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59085" w14:textId="77777777" w:rsidR="00350FA3" w:rsidRPr="00217E08" w:rsidRDefault="00350FA3">
      <w:pPr>
        <w:pStyle w:val="Normal1"/>
        <w:widowControl w:val="0"/>
        <w:spacing w:line="276" w:lineRule="auto"/>
        <w:rPr>
          <w:rFonts w:ascii="Segoe UI" w:hAnsi="Segoe UI" w:cs="Segoe UI"/>
        </w:rPr>
      </w:pPr>
    </w:p>
    <w:p w14:paraId="1F963741" w14:textId="77777777" w:rsidR="00350FA3" w:rsidRPr="00217E08" w:rsidRDefault="006E1A8F">
      <w:pPr>
        <w:pStyle w:val="Normal1"/>
        <w:rPr>
          <w:rFonts w:ascii="Segoe UI" w:hAnsi="Segoe UI" w:cs="Segoe UI"/>
          <w:sz w:val="24"/>
          <w:szCs w:val="24"/>
        </w:rPr>
      </w:pPr>
      <w:r>
        <w:rPr>
          <w:noProof/>
        </w:rPr>
        <w:drawing>
          <wp:anchor distT="0" distB="0" distL="114300" distR="114300" simplePos="0" relativeHeight="251656704" behindDoc="0" locked="0" layoutInCell="1" allowOverlap="1" wp14:anchorId="0FA3A778" wp14:editId="145C5C3F">
            <wp:simplePos x="0" y="0"/>
            <wp:positionH relativeFrom="column">
              <wp:posOffset>4037330</wp:posOffset>
            </wp:positionH>
            <wp:positionV relativeFrom="paragraph">
              <wp:posOffset>202565</wp:posOffset>
            </wp:positionV>
            <wp:extent cx="1112520" cy="1219200"/>
            <wp:effectExtent l="0" t="0" r="0" b="0"/>
            <wp:wrapNone/>
            <wp:docPr id="449183397" name="image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jpg"/>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2520" cy="1219200"/>
                    </a:xfrm>
                    <a:prstGeom prst="rect">
                      <a:avLst/>
                    </a:prstGeom>
                    <a:noFill/>
                  </pic:spPr>
                </pic:pic>
              </a:graphicData>
            </a:graphic>
            <wp14:sizeRelH relativeFrom="page">
              <wp14:pctWidth>0</wp14:pctWidth>
            </wp14:sizeRelH>
            <wp14:sizeRelV relativeFrom="page">
              <wp14:pctHeight>0</wp14:pctHeight>
            </wp14:sizeRelV>
          </wp:anchor>
        </w:drawing>
      </w:r>
    </w:p>
    <w:p w14:paraId="60D27288" w14:textId="77777777" w:rsidR="00350FA3" w:rsidRPr="00217E08" w:rsidRDefault="006E1A8F">
      <w:pPr>
        <w:pStyle w:val="Normal1"/>
        <w:jc w:val="center"/>
        <w:rPr>
          <w:rFonts w:ascii="Segoe UI" w:hAnsi="Segoe UI" w:cs="Segoe UI"/>
          <w:sz w:val="40"/>
          <w:szCs w:val="40"/>
          <w:vertAlign w:val="superscript"/>
        </w:rPr>
      </w:pPr>
      <w:r>
        <w:rPr>
          <w:noProof/>
        </w:rPr>
        <w:drawing>
          <wp:anchor distT="0" distB="0" distL="114300" distR="114300" simplePos="0" relativeHeight="251655680" behindDoc="0" locked="0" layoutInCell="1" allowOverlap="1" wp14:anchorId="364B9276" wp14:editId="0C3E8DD7">
            <wp:simplePos x="0" y="0"/>
            <wp:positionH relativeFrom="column">
              <wp:posOffset>516255</wp:posOffset>
            </wp:positionH>
            <wp:positionV relativeFrom="paragraph">
              <wp:posOffset>123825</wp:posOffset>
            </wp:positionV>
            <wp:extent cx="1097280" cy="1097280"/>
            <wp:effectExtent l="0" t="0" r="0" b="0"/>
            <wp:wrapNone/>
            <wp:docPr id="167257594" name="image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jpg"/>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7280" cy="1097280"/>
                    </a:xfrm>
                    <a:prstGeom prst="rect">
                      <a:avLst/>
                    </a:prstGeom>
                    <a:noFill/>
                  </pic:spPr>
                </pic:pic>
              </a:graphicData>
            </a:graphic>
            <wp14:sizeRelH relativeFrom="page">
              <wp14:pctWidth>0</wp14:pctWidth>
            </wp14:sizeRelH>
            <wp14:sizeRelV relativeFrom="page">
              <wp14:pctHeight>0</wp14:pctHeight>
            </wp14:sizeRelV>
          </wp:anchor>
        </w:drawing>
      </w:r>
      <w:r w:rsidR="00350FA3" w:rsidRPr="00217E08">
        <w:rPr>
          <w:rFonts w:ascii="Segoe UI" w:hAnsi="Segoe UI" w:cs="Segoe UI"/>
          <w:sz w:val="40"/>
          <w:szCs w:val="40"/>
          <w:vertAlign w:val="superscript"/>
        </w:rPr>
        <w:t xml:space="preserve">                  </w:t>
      </w:r>
      <w:r w:rsidR="00350FA3" w:rsidRPr="00217E08">
        <w:rPr>
          <w:rFonts w:ascii="Segoe UI" w:hAnsi="Segoe UI" w:cs="Segoe UI"/>
          <w:sz w:val="24"/>
          <w:szCs w:val="24"/>
        </w:rPr>
        <w:t xml:space="preserve">               </w:t>
      </w:r>
      <w:r>
        <w:rPr>
          <w:rFonts w:ascii="Segoe UI" w:hAnsi="Segoe UI" w:cs="Segoe UI"/>
          <w:noProof/>
        </w:rPr>
        <w:drawing>
          <wp:inline distT="0" distB="0" distL="0" distR="0" wp14:anchorId="56D423D5" wp14:editId="236F7B19">
            <wp:extent cx="12700" cy="12700"/>
            <wp:effectExtent l="0" t="0" r="0" b="0"/>
            <wp:docPr id="1" name="image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5.png"/>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14:paraId="0480B4E9" w14:textId="77777777" w:rsidR="00350FA3" w:rsidRPr="00217E08" w:rsidRDefault="006E1A8F">
      <w:pPr>
        <w:pStyle w:val="Normal1"/>
        <w:jc w:val="center"/>
        <w:rPr>
          <w:rFonts w:ascii="Segoe UI" w:hAnsi="Segoe UI" w:cs="Segoe UI"/>
          <w:sz w:val="40"/>
          <w:szCs w:val="40"/>
          <w:vertAlign w:val="superscript"/>
        </w:rPr>
      </w:pPr>
      <w:r>
        <w:rPr>
          <w:noProof/>
        </w:rPr>
        <w:drawing>
          <wp:anchor distT="0" distB="0" distL="114300" distR="114300" simplePos="0" relativeHeight="251657728" behindDoc="0" locked="0" layoutInCell="1" allowOverlap="1" wp14:anchorId="06D223F6" wp14:editId="46BA387C">
            <wp:simplePos x="0" y="0"/>
            <wp:positionH relativeFrom="column">
              <wp:posOffset>2147570</wp:posOffset>
            </wp:positionH>
            <wp:positionV relativeFrom="paragraph">
              <wp:posOffset>127635</wp:posOffset>
            </wp:positionV>
            <wp:extent cx="1540510" cy="913130"/>
            <wp:effectExtent l="0" t="0" r="0" b="0"/>
            <wp:wrapNone/>
            <wp:docPr id="4" name="Picture 1" descr="Contact - Justice For Girl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ontact - Justice For Girls"/>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0510" cy="913130"/>
                    </a:xfrm>
                    <a:prstGeom prst="rect">
                      <a:avLst/>
                    </a:prstGeom>
                    <a:noFill/>
                  </pic:spPr>
                </pic:pic>
              </a:graphicData>
            </a:graphic>
            <wp14:sizeRelH relativeFrom="page">
              <wp14:pctWidth>0</wp14:pctWidth>
            </wp14:sizeRelH>
            <wp14:sizeRelV relativeFrom="page">
              <wp14:pctHeight>0</wp14:pctHeight>
            </wp14:sizeRelV>
          </wp:anchor>
        </w:drawing>
      </w:r>
    </w:p>
    <w:p w14:paraId="58A8F887" w14:textId="77777777" w:rsidR="00350FA3" w:rsidRDefault="00350FA3">
      <w:pPr>
        <w:pStyle w:val="Normal1"/>
        <w:jc w:val="center"/>
        <w:rPr>
          <w:rFonts w:ascii="Segoe UI" w:hAnsi="Segoe UI" w:cs="Segoe UI"/>
          <w:sz w:val="24"/>
          <w:szCs w:val="24"/>
        </w:rPr>
      </w:pPr>
    </w:p>
    <w:p w14:paraId="6553417C" w14:textId="77777777" w:rsidR="00350FA3" w:rsidRDefault="00350FA3">
      <w:pPr>
        <w:pStyle w:val="Normal1"/>
        <w:jc w:val="center"/>
        <w:rPr>
          <w:rFonts w:ascii="Segoe UI" w:hAnsi="Segoe UI" w:cs="Segoe UI"/>
          <w:sz w:val="24"/>
          <w:szCs w:val="24"/>
        </w:rPr>
      </w:pPr>
      <w:r>
        <w:fldChar w:fldCharType="begin"/>
      </w:r>
      <w:r>
        <w:instrText xml:space="preserve"> INCLUDEPICTURE "https://www.justiceforgirls.org/wp-content/uploads/justice-for-girls-logo.png" \* MERGEFORMATINET </w:instrText>
      </w:r>
      <w:r>
        <w:fldChar w:fldCharType="end"/>
      </w:r>
    </w:p>
    <w:p w14:paraId="46042835" w14:textId="77777777" w:rsidR="00350FA3" w:rsidRDefault="00350FA3">
      <w:pPr>
        <w:pStyle w:val="Normal1"/>
        <w:jc w:val="center"/>
        <w:rPr>
          <w:rFonts w:ascii="Segoe UI" w:hAnsi="Segoe UI" w:cs="Segoe UI"/>
          <w:sz w:val="24"/>
          <w:szCs w:val="24"/>
        </w:rPr>
      </w:pPr>
    </w:p>
    <w:p w14:paraId="28876441" w14:textId="77777777" w:rsidR="00350FA3" w:rsidRDefault="00350FA3">
      <w:pPr>
        <w:pStyle w:val="Normal1"/>
        <w:jc w:val="center"/>
        <w:rPr>
          <w:rFonts w:ascii="Segoe UI" w:hAnsi="Segoe UI" w:cs="Segoe UI"/>
          <w:sz w:val="24"/>
          <w:szCs w:val="24"/>
        </w:rPr>
      </w:pPr>
    </w:p>
    <w:p w14:paraId="6D1DD3C6" w14:textId="77777777" w:rsidR="00350FA3" w:rsidRPr="00217E08" w:rsidRDefault="006E1A8F">
      <w:pPr>
        <w:pStyle w:val="Normal1"/>
        <w:jc w:val="center"/>
        <w:rPr>
          <w:rFonts w:ascii="Segoe UI" w:hAnsi="Segoe UI" w:cs="Segoe UI"/>
          <w:sz w:val="24"/>
          <w:szCs w:val="24"/>
        </w:rPr>
      </w:pPr>
      <w:r>
        <w:rPr>
          <w:noProof/>
        </w:rPr>
        <w:drawing>
          <wp:anchor distT="0" distB="0" distL="114300" distR="114300" simplePos="0" relativeHeight="251658752" behindDoc="0" locked="0" layoutInCell="1" allowOverlap="1" wp14:anchorId="7115B5A6" wp14:editId="68E6A1E1">
            <wp:simplePos x="0" y="0"/>
            <wp:positionH relativeFrom="column">
              <wp:posOffset>-173990</wp:posOffset>
            </wp:positionH>
            <wp:positionV relativeFrom="paragraph">
              <wp:posOffset>75565</wp:posOffset>
            </wp:positionV>
            <wp:extent cx="2736215" cy="1068070"/>
            <wp:effectExtent l="0" t="0" r="0" b="0"/>
            <wp:wrapThrough wrapText="bothSides">
              <wp:wrapPolygon edited="0">
                <wp:start x="2105" y="4366"/>
                <wp:lineTo x="1604" y="6164"/>
                <wp:lineTo x="1404" y="7448"/>
                <wp:lineTo x="1404" y="14640"/>
                <wp:lineTo x="1905" y="16694"/>
                <wp:lineTo x="3308" y="18235"/>
                <wp:lineTo x="4411" y="18235"/>
                <wp:lineTo x="13935" y="17208"/>
                <wp:lineTo x="18347" y="15924"/>
                <wp:lineTo x="18447" y="6935"/>
                <wp:lineTo x="16442" y="6421"/>
                <wp:lineTo x="5514" y="4366"/>
                <wp:lineTo x="2105" y="4366"/>
              </wp:wrapPolygon>
            </wp:wrapThrough>
            <wp:docPr id="5" name="Picture 6" descr="A blue rectangular sign with black text&#13;&#10;&#13;&#10;&#13;&#10;&#13;&#10;&#13;&#10;&#13;&#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A blue rectangular sign with black text&#13;&#10;&#13;&#10;&#13;&#10;&#13;&#10;&#13;&#10;&#13;&#10;Description automatically generated"/>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36215" cy="10680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0" locked="0" layoutInCell="1" allowOverlap="1" wp14:anchorId="72DD2940" wp14:editId="29846766">
            <wp:simplePos x="0" y="0"/>
            <wp:positionH relativeFrom="column">
              <wp:posOffset>2351405</wp:posOffset>
            </wp:positionH>
            <wp:positionV relativeFrom="paragraph">
              <wp:posOffset>198755</wp:posOffset>
            </wp:positionV>
            <wp:extent cx="1046480" cy="1046480"/>
            <wp:effectExtent l="0" t="0" r="0" b="0"/>
            <wp:wrapNone/>
            <wp:docPr id="6"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4.png"/>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6480" cy="1046480"/>
                    </a:xfrm>
                    <a:prstGeom prst="rect">
                      <a:avLst/>
                    </a:prstGeom>
                    <a:noFill/>
                  </pic:spPr>
                </pic:pic>
              </a:graphicData>
            </a:graphic>
            <wp14:sizeRelH relativeFrom="page">
              <wp14:pctWidth>0</wp14:pctWidth>
            </wp14:sizeRelH>
            <wp14:sizeRelV relativeFrom="page">
              <wp14:pctHeight>0</wp14:pctHeight>
            </wp14:sizeRelV>
          </wp:anchor>
        </w:drawing>
      </w:r>
    </w:p>
    <w:p w14:paraId="2C523BAE" w14:textId="77777777" w:rsidR="00350FA3" w:rsidRPr="00217E08" w:rsidRDefault="00350FA3">
      <w:pPr>
        <w:pStyle w:val="Normal1"/>
        <w:jc w:val="center"/>
        <w:rPr>
          <w:rFonts w:ascii="Segoe UI" w:hAnsi="Segoe UI" w:cs="Segoe UI"/>
          <w:sz w:val="24"/>
          <w:szCs w:val="24"/>
        </w:rPr>
      </w:pPr>
      <w:r w:rsidRPr="00217E08">
        <w:rPr>
          <w:rFonts w:ascii="Segoe UI" w:hAnsi="Segoe UI" w:cs="Segoe UI"/>
          <w:sz w:val="24"/>
          <w:szCs w:val="24"/>
        </w:rPr>
        <w:tab/>
      </w:r>
      <w:r w:rsidRPr="00217E08">
        <w:rPr>
          <w:rFonts w:ascii="Segoe UI" w:hAnsi="Segoe UI" w:cs="Segoe UI"/>
          <w:sz w:val="24"/>
          <w:szCs w:val="24"/>
        </w:rPr>
        <w:tab/>
      </w:r>
      <w:r w:rsidRPr="00217E08">
        <w:rPr>
          <w:rFonts w:ascii="Segoe UI" w:hAnsi="Segoe UI" w:cs="Segoe UI"/>
          <w:sz w:val="24"/>
          <w:szCs w:val="24"/>
        </w:rPr>
        <w:tab/>
        <w:t xml:space="preserve">     </w:t>
      </w:r>
      <w:r w:rsidR="00000000">
        <w:rPr>
          <w:noProof/>
        </w:rPr>
        <w:fldChar w:fldCharType="begin"/>
      </w:r>
      <w:r w:rsidR="00000000">
        <w:rPr>
          <w:noProof/>
        </w:rPr>
        <w:instrText xml:space="preserve"> INCLUDEPICTURE  "https://fafia-afai.org/wp-content/themes/fafia/imgs/logo.png" \* MERGEFORMATINET </w:instrText>
      </w:r>
      <w:r w:rsidR="00000000">
        <w:rPr>
          <w:noProof/>
        </w:rPr>
        <w:fldChar w:fldCharType="separate"/>
      </w:r>
      <w:r w:rsidR="006E1A8F">
        <w:rPr>
          <w:noProof/>
        </w:rPr>
        <w:drawing>
          <wp:inline distT="0" distB="0" distL="0" distR="0" wp14:anchorId="577F8427" wp14:editId="51FDACAD">
            <wp:extent cx="2163445" cy="862965"/>
            <wp:effectExtent l="0" t="0" r="0" b="0"/>
            <wp:docPr id="2" name="Picture 1" descr="FAFIA-AFA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FAFIA-AFAI"/>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63445" cy="862965"/>
                    </a:xfrm>
                    <a:prstGeom prst="rect">
                      <a:avLst/>
                    </a:prstGeom>
                    <a:noFill/>
                    <a:ln>
                      <a:noFill/>
                    </a:ln>
                  </pic:spPr>
                </pic:pic>
              </a:graphicData>
            </a:graphic>
          </wp:inline>
        </w:drawing>
      </w:r>
      <w:r w:rsidR="00000000">
        <w:rPr>
          <w:noProof/>
        </w:rPr>
        <w:fldChar w:fldCharType="end"/>
      </w:r>
      <w:r w:rsidRPr="00217E08">
        <w:rPr>
          <w:rFonts w:ascii="Segoe UI" w:hAnsi="Segoe UI" w:cs="Segoe UI"/>
          <w:sz w:val="24"/>
          <w:szCs w:val="24"/>
        </w:rPr>
        <w:t xml:space="preserve">  </w:t>
      </w:r>
    </w:p>
    <w:p w14:paraId="69C85980" w14:textId="77777777" w:rsidR="00350FA3" w:rsidRPr="00E26126" w:rsidRDefault="00350FA3" w:rsidP="00E26126">
      <w:pPr>
        <w:pStyle w:val="Normal1"/>
        <w:rPr>
          <w:rFonts w:ascii="Segoe UI" w:hAnsi="Segoe UI" w:cs="Segoe UI"/>
          <w:b/>
          <w:bCs/>
          <w:sz w:val="24"/>
          <w:szCs w:val="24"/>
        </w:rPr>
      </w:pPr>
      <w:r w:rsidRPr="00217E08">
        <w:rPr>
          <w:rFonts w:ascii="Segoe UI" w:hAnsi="Segoe UI" w:cs="Segoe UI"/>
          <w:b/>
          <w:bCs/>
          <w:sz w:val="24"/>
          <w:szCs w:val="24"/>
        </w:rPr>
        <w:t xml:space="preserve"> </w:t>
      </w:r>
    </w:p>
    <w:p w14:paraId="461E74CB" w14:textId="77777777" w:rsidR="00350FA3" w:rsidRPr="00217E08" w:rsidRDefault="00350FA3">
      <w:pPr>
        <w:pStyle w:val="Normal1"/>
        <w:jc w:val="center"/>
        <w:rPr>
          <w:rFonts w:ascii="Segoe UI" w:hAnsi="Segoe UI" w:cs="Segoe UI"/>
          <w:b/>
          <w:bCs/>
          <w:color w:val="993300"/>
          <w:sz w:val="28"/>
          <w:szCs w:val="28"/>
        </w:rPr>
      </w:pPr>
    </w:p>
    <w:p w14:paraId="19735BCD" w14:textId="77777777" w:rsidR="00350FA3" w:rsidRPr="00217E08" w:rsidRDefault="00350FA3">
      <w:pPr>
        <w:pStyle w:val="Normal1"/>
        <w:jc w:val="center"/>
        <w:rPr>
          <w:rFonts w:ascii="Segoe UI" w:hAnsi="Segoe UI" w:cs="Segoe UI"/>
          <w:b/>
          <w:bCs/>
          <w:color w:val="993300"/>
          <w:sz w:val="28"/>
          <w:szCs w:val="28"/>
        </w:rPr>
      </w:pPr>
    </w:p>
    <w:p w14:paraId="799588F5" w14:textId="77777777" w:rsidR="00350FA3" w:rsidRPr="00217E08" w:rsidRDefault="00350FA3">
      <w:pPr>
        <w:pStyle w:val="Normal1"/>
        <w:jc w:val="center"/>
        <w:rPr>
          <w:rFonts w:ascii="Segoe UI" w:hAnsi="Segoe UI" w:cs="Segoe UI"/>
          <w:b/>
          <w:bCs/>
          <w:color w:val="993300"/>
          <w:sz w:val="32"/>
          <w:szCs w:val="32"/>
        </w:rPr>
      </w:pPr>
      <w:r w:rsidRPr="00217E08">
        <w:rPr>
          <w:rFonts w:ascii="Segoe UI" w:hAnsi="Segoe UI" w:cs="Segoe UI"/>
          <w:b/>
          <w:bCs/>
          <w:color w:val="993300"/>
          <w:sz w:val="32"/>
          <w:szCs w:val="32"/>
        </w:rPr>
        <w:t xml:space="preserve">Indian Act Sex Discrimination Working Group </w:t>
      </w:r>
    </w:p>
    <w:p w14:paraId="78B415C3" w14:textId="77777777" w:rsidR="00350FA3" w:rsidRPr="00217E08" w:rsidRDefault="00350FA3">
      <w:pPr>
        <w:pStyle w:val="Normal1"/>
        <w:jc w:val="center"/>
        <w:rPr>
          <w:rFonts w:ascii="Segoe UI" w:hAnsi="Segoe UI" w:cs="Segoe UI"/>
          <w:b/>
          <w:bCs/>
          <w:color w:val="993300"/>
          <w:sz w:val="32"/>
          <w:szCs w:val="32"/>
        </w:rPr>
      </w:pPr>
      <w:r w:rsidRPr="00217E08">
        <w:rPr>
          <w:rFonts w:ascii="Segoe UI" w:hAnsi="Segoe UI" w:cs="Segoe UI"/>
          <w:b/>
          <w:bCs/>
          <w:color w:val="993300"/>
          <w:sz w:val="32"/>
          <w:szCs w:val="32"/>
        </w:rPr>
        <w:t xml:space="preserve">Submission to the </w:t>
      </w:r>
    </w:p>
    <w:p w14:paraId="2FB3D64C" w14:textId="77777777" w:rsidR="00350FA3" w:rsidRPr="00217E08" w:rsidRDefault="00350FA3">
      <w:pPr>
        <w:pStyle w:val="Normal1"/>
        <w:jc w:val="center"/>
        <w:rPr>
          <w:rFonts w:ascii="Segoe UI" w:hAnsi="Segoe UI" w:cs="Segoe UI"/>
          <w:b/>
          <w:bCs/>
          <w:color w:val="993300"/>
          <w:sz w:val="32"/>
          <w:szCs w:val="32"/>
        </w:rPr>
      </w:pPr>
      <w:r w:rsidRPr="00217E08">
        <w:rPr>
          <w:rFonts w:ascii="Segoe UI" w:hAnsi="Segoe UI" w:cs="Segoe UI"/>
          <w:b/>
          <w:bCs/>
          <w:color w:val="993300"/>
          <w:sz w:val="32"/>
          <w:szCs w:val="32"/>
        </w:rPr>
        <w:t xml:space="preserve">United Nations Human Rights Committee </w:t>
      </w:r>
    </w:p>
    <w:p w14:paraId="2130F036" w14:textId="77777777" w:rsidR="00350FA3" w:rsidRPr="00217E08" w:rsidRDefault="00350FA3">
      <w:pPr>
        <w:pStyle w:val="Normal1"/>
        <w:jc w:val="center"/>
        <w:rPr>
          <w:rFonts w:ascii="Segoe UI" w:hAnsi="Segoe UI" w:cs="Segoe UI"/>
          <w:b/>
          <w:bCs/>
          <w:color w:val="993300"/>
          <w:sz w:val="32"/>
          <w:szCs w:val="32"/>
        </w:rPr>
      </w:pPr>
      <w:r w:rsidRPr="00217E08">
        <w:rPr>
          <w:rFonts w:ascii="Segoe UI" w:hAnsi="Segoe UI" w:cs="Segoe UI"/>
          <w:b/>
          <w:bCs/>
          <w:color w:val="993300"/>
          <w:sz w:val="32"/>
          <w:szCs w:val="32"/>
        </w:rPr>
        <w:t xml:space="preserve">for the </w:t>
      </w:r>
    </w:p>
    <w:p w14:paraId="6D7C0FD8" w14:textId="77777777" w:rsidR="00350FA3" w:rsidRPr="00217E08" w:rsidRDefault="00350FA3">
      <w:pPr>
        <w:pStyle w:val="Normal1"/>
        <w:jc w:val="center"/>
        <w:rPr>
          <w:rFonts w:ascii="Segoe UI" w:hAnsi="Segoe UI" w:cs="Segoe UI"/>
          <w:b/>
          <w:bCs/>
          <w:color w:val="993300"/>
          <w:sz w:val="24"/>
          <w:szCs w:val="24"/>
        </w:rPr>
      </w:pPr>
      <w:r w:rsidRPr="00217E08">
        <w:rPr>
          <w:rFonts w:ascii="Segoe UI" w:hAnsi="Segoe UI" w:cs="Segoe UI"/>
          <w:b/>
          <w:bCs/>
          <w:color w:val="993300"/>
          <w:sz w:val="32"/>
          <w:szCs w:val="32"/>
        </w:rPr>
        <w:t xml:space="preserve">Review of Canada, March 2026 </w:t>
      </w:r>
    </w:p>
    <w:p w14:paraId="4B78D591" w14:textId="77777777" w:rsidR="00350FA3" w:rsidRPr="00217E08" w:rsidRDefault="00350FA3">
      <w:pPr>
        <w:pStyle w:val="Normal1"/>
        <w:jc w:val="center"/>
        <w:rPr>
          <w:rFonts w:ascii="Segoe UI" w:hAnsi="Segoe UI" w:cs="Segoe UI"/>
          <w:b/>
          <w:bCs/>
          <w:color w:val="993300"/>
          <w:sz w:val="24"/>
          <w:szCs w:val="24"/>
        </w:rPr>
      </w:pPr>
    </w:p>
    <w:p w14:paraId="75A5FE81" w14:textId="77777777" w:rsidR="00350FA3" w:rsidRPr="00217E08" w:rsidRDefault="00350FA3">
      <w:pPr>
        <w:pStyle w:val="Normal1"/>
        <w:widowControl w:val="0"/>
        <w:spacing w:line="276" w:lineRule="auto"/>
        <w:rPr>
          <w:rFonts w:ascii="Segoe UI" w:hAnsi="Segoe UI" w:cs="Segoe UI"/>
          <w:b/>
          <w:bCs/>
          <w:smallCaps/>
          <w:color w:val="000000"/>
          <w:sz w:val="28"/>
          <w:szCs w:val="28"/>
        </w:rPr>
      </w:pPr>
      <w:r w:rsidRPr="00217E08">
        <w:rPr>
          <w:rFonts w:ascii="Segoe UI" w:hAnsi="Segoe UI" w:cs="Segoe UI"/>
        </w:rPr>
        <w:br w:type="page"/>
      </w:r>
      <w:r w:rsidRPr="00217E08">
        <w:rPr>
          <w:rFonts w:ascii="Segoe UI" w:hAnsi="Segoe UI" w:cs="Segoe UI"/>
          <w:b/>
          <w:bCs/>
          <w:smallCaps/>
          <w:color w:val="000000"/>
          <w:sz w:val="28"/>
          <w:szCs w:val="28"/>
        </w:rPr>
        <w:lastRenderedPageBreak/>
        <w:t>Table of Contents</w:t>
      </w:r>
    </w:p>
    <w:p w14:paraId="7C218B1A" w14:textId="77777777" w:rsidR="00350FA3" w:rsidRDefault="00350FA3">
      <w:pPr>
        <w:pStyle w:val="TOC1"/>
        <w:rPr>
          <w:rFonts w:ascii="Calibri" w:hAnsi="Calibri" w:cs="Calibri"/>
          <w:b w:val="0"/>
          <w:bCs w:val="0"/>
          <w:caps w:val="0"/>
          <w:kern w:val="2"/>
          <w:sz w:val="24"/>
          <w:szCs w:val="24"/>
          <w:lang w:val="en-CA"/>
        </w:rPr>
      </w:pPr>
      <w:r w:rsidRPr="00217E08">
        <w:fldChar w:fldCharType="begin"/>
      </w:r>
      <w:r w:rsidRPr="00217E08">
        <w:instrText xml:space="preserve"> TOC \h \u \z \t "Heading 1,1,Heading 2,2,Heading 3,3,"</w:instrText>
      </w:r>
      <w:r w:rsidRPr="00217E08">
        <w:fldChar w:fldCharType="separate"/>
      </w:r>
      <w:hyperlink w:anchor="_Toc220932336" w:history="1">
        <w:r w:rsidRPr="00DE0C7C">
          <w:rPr>
            <w:rStyle w:val="Hyperlink"/>
            <w:rFonts w:ascii="Segoe UI" w:hAnsi="Segoe UI" w:cs="Segoe UI"/>
          </w:rPr>
          <w:t>Executive Summary</w:t>
        </w:r>
        <w:r>
          <w:rPr>
            <w:webHidden/>
          </w:rPr>
          <w:tab/>
        </w:r>
        <w:r>
          <w:rPr>
            <w:webHidden/>
          </w:rPr>
          <w:fldChar w:fldCharType="begin"/>
        </w:r>
        <w:r>
          <w:rPr>
            <w:webHidden/>
          </w:rPr>
          <w:instrText xml:space="preserve"> PAGEREF _Toc220932336 \h </w:instrText>
        </w:r>
        <w:r>
          <w:rPr>
            <w:webHidden/>
          </w:rPr>
        </w:r>
        <w:r>
          <w:rPr>
            <w:webHidden/>
          </w:rPr>
          <w:fldChar w:fldCharType="separate"/>
        </w:r>
        <w:r>
          <w:rPr>
            <w:webHidden/>
          </w:rPr>
          <w:t>3</w:t>
        </w:r>
        <w:r>
          <w:rPr>
            <w:webHidden/>
          </w:rPr>
          <w:fldChar w:fldCharType="end"/>
        </w:r>
      </w:hyperlink>
    </w:p>
    <w:p w14:paraId="2DE26865" w14:textId="77777777" w:rsidR="00350FA3" w:rsidRDefault="00350FA3">
      <w:pPr>
        <w:pStyle w:val="TOC1"/>
        <w:rPr>
          <w:rFonts w:ascii="Calibri" w:hAnsi="Calibri" w:cs="Calibri"/>
          <w:b w:val="0"/>
          <w:bCs w:val="0"/>
          <w:caps w:val="0"/>
          <w:kern w:val="2"/>
          <w:sz w:val="24"/>
          <w:szCs w:val="24"/>
          <w:lang w:val="en-CA"/>
        </w:rPr>
      </w:pPr>
      <w:hyperlink w:anchor="_Toc220932337" w:history="1">
        <w:r w:rsidRPr="00DE0C7C">
          <w:rPr>
            <w:rStyle w:val="Hyperlink"/>
            <w:rFonts w:ascii="Segoe UI" w:hAnsi="Segoe UI" w:cs="Segoe UI"/>
          </w:rPr>
          <w:t>Introduction</w:t>
        </w:r>
        <w:r>
          <w:rPr>
            <w:webHidden/>
          </w:rPr>
          <w:tab/>
        </w:r>
        <w:r>
          <w:rPr>
            <w:webHidden/>
          </w:rPr>
          <w:fldChar w:fldCharType="begin"/>
        </w:r>
        <w:r>
          <w:rPr>
            <w:webHidden/>
          </w:rPr>
          <w:instrText xml:space="preserve"> PAGEREF _Toc220932337 \h </w:instrText>
        </w:r>
        <w:r>
          <w:rPr>
            <w:webHidden/>
          </w:rPr>
        </w:r>
        <w:r>
          <w:rPr>
            <w:webHidden/>
          </w:rPr>
          <w:fldChar w:fldCharType="separate"/>
        </w:r>
        <w:r>
          <w:rPr>
            <w:webHidden/>
          </w:rPr>
          <w:t>7</w:t>
        </w:r>
        <w:r>
          <w:rPr>
            <w:webHidden/>
          </w:rPr>
          <w:fldChar w:fldCharType="end"/>
        </w:r>
      </w:hyperlink>
    </w:p>
    <w:p w14:paraId="61CBBF95" w14:textId="77777777" w:rsidR="00350FA3" w:rsidRDefault="00350FA3">
      <w:pPr>
        <w:pStyle w:val="TOC2"/>
        <w:rPr>
          <w:b w:val="0"/>
          <w:bCs w:val="0"/>
          <w:kern w:val="2"/>
          <w:sz w:val="24"/>
          <w:szCs w:val="24"/>
          <w:lang w:val="en-CA"/>
        </w:rPr>
      </w:pPr>
      <w:hyperlink w:anchor="_Toc220932338" w:history="1">
        <w:r w:rsidRPr="00DE0C7C">
          <w:rPr>
            <w:rStyle w:val="Hyperlink"/>
            <w:rFonts w:ascii="Segoe UI" w:hAnsi="Segoe UI" w:cs="Segoe UI"/>
          </w:rPr>
          <w:t>The Indian Act Sex Discrimination Working Group</w:t>
        </w:r>
        <w:r>
          <w:rPr>
            <w:webHidden/>
          </w:rPr>
          <w:tab/>
        </w:r>
        <w:r>
          <w:rPr>
            <w:webHidden/>
          </w:rPr>
          <w:fldChar w:fldCharType="begin"/>
        </w:r>
        <w:r>
          <w:rPr>
            <w:webHidden/>
          </w:rPr>
          <w:instrText xml:space="preserve"> PAGEREF _Toc220932338 \h </w:instrText>
        </w:r>
        <w:r>
          <w:rPr>
            <w:webHidden/>
          </w:rPr>
        </w:r>
        <w:r>
          <w:rPr>
            <w:webHidden/>
          </w:rPr>
          <w:fldChar w:fldCharType="separate"/>
        </w:r>
        <w:r>
          <w:rPr>
            <w:webHidden/>
          </w:rPr>
          <w:t>7</w:t>
        </w:r>
        <w:r>
          <w:rPr>
            <w:webHidden/>
          </w:rPr>
          <w:fldChar w:fldCharType="end"/>
        </w:r>
      </w:hyperlink>
    </w:p>
    <w:p w14:paraId="6081AF9D" w14:textId="77777777" w:rsidR="00350FA3" w:rsidRDefault="00350FA3">
      <w:pPr>
        <w:pStyle w:val="TOC2"/>
        <w:rPr>
          <w:b w:val="0"/>
          <w:bCs w:val="0"/>
          <w:kern w:val="2"/>
          <w:sz w:val="24"/>
          <w:szCs w:val="24"/>
          <w:lang w:val="en-CA"/>
        </w:rPr>
      </w:pPr>
      <w:hyperlink w:anchor="_Toc220932339" w:history="1">
        <w:r w:rsidRPr="00DE0C7C">
          <w:rPr>
            <w:rStyle w:val="Hyperlink"/>
            <w:rFonts w:ascii="Segoe UI" w:hAnsi="Segoe UI" w:cs="Segoe UI"/>
          </w:rPr>
          <w:t>History of sex discrimination in the Indian Act; a legal extinction plan</w:t>
        </w:r>
        <w:r>
          <w:rPr>
            <w:webHidden/>
          </w:rPr>
          <w:tab/>
        </w:r>
        <w:r>
          <w:rPr>
            <w:webHidden/>
          </w:rPr>
          <w:fldChar w:fldCharType="begin"/>
        </w:r>
        <w:r>
          <w:rPr>
            <w:webHidden/>
          </w:rPr>
          <w:instrText xml:space="preserve"> PAGEREF _Toc220932339 \h </w:instrText>
        </w:r>
        <w:r>
          <w:rPr>
            <w:webHidden/>
          </w:rPr>
        </w:r>
        <w:r>
          <w:rPr>
            <w:webHidden/>
          </w:rPr>
          <w:fldChar w:fldCharType="separate"/>
        </w:r>
        <w:r>
          <w:rPr>
            <w:webHidden/>
          </w:rPr>
          <w:t>7</w:t>
        </w:r>
        <w:r>
          <w:rPr>
            <w:webHidden/>
          </w:rPr>
          <w:fldChar w:fldCharType="end"/>
        </w:r>
      </w:hyperlink>
    </w:p>
    <w:p w14:paraId="6A3AF6DE" w14:textId="77777777" w:rsidR="00350FA3" w:rsidRDefault="00350FA3">
      <w:pPr>
        <w:pStyle w:val="TOC1"/>
        <w:rPr>
          <w:rFonts w:ascii="Calibri" w:hAnsi="Calibri" w:cs="Calibri"/>
          <w:b w:val="0"/>
          <w:bCs w:val="0"/>
          <w:caps w:val="0"/>
          <w:kern w:val="2"/>
          <w:sz w:val="24"/>
          <w:szCs w:val="24"/>
          <w:lang w:val="en-CA"/>
        </w:rPr>
      </w:pPr>
      <w:hyperlink w:anchor="_Toc220932340" w:history="1">
        <w:r w:rsidRPr="00DE0C7C">
          <w:rPr>
            <w:rStyle w:val="Hyperlink"/>
            <w:rFonts w:ascii="Segoe UI" w:hAnsi="Segoe UI" w:cs="Segoe UI"/>
          </w:rPr>
          <w:t>Canada’s failure to implement recommendations from UN bodies</w:t>
        </w:r>
        <w:r>
          <w:rPr>
            <w:webHidden/>
          </w:rPr>
          <w:tab/>
        </w:r>
        <w:r>
          <w:rPr>
            <w:webHidden/>
          </w:rPr>
          <w:fldChar w:fldCharType="begin"/>
        </w:r>
        <w:r>
          <w:rPr>
            <w:webHidden/>
          </w:rPr>
          <w:instrText xml:space="preserve"> PAGEREF _Toc220932340 \h </w:instrText>
        </w:r>
        <w:r>
          <w:rPr>
            <w:webHidden/>
          </w:rPr>
        </w:r>
        <w:r>
          <w:rPr>
            <w:webHidden/>
          </w:rPr>
          <w:fldChar w:fldCharType="separate"/>
        </w:r>
        <w:r>
          <w:rPr>
            <w:webHidden/>
          </w:rPr>
          <w:t>13</w:t>
        </w:r>
        <w:r>
          <w:rPr>
            <w:webHidden/>
          </w:rPr>
          <w:fldChar w:fldCharType="end"/>
        </w:r>
      </w:hyperlink>
    </w:p>
    <w:p w14:paraId="731DA4DF" w14:textId="77777777" w:rsidR="00350FA3" w:rsidRDefault="00350FA3">
      <w:pPr>
        <w:pStyle w:val="TOC2"/>
        <w:rPr>
          <w:b w:val="0"/>
          <w:bCs w:val="0"/>
          <w:kern w:val="2"/>
          <w:sz w:val="24"/>
          <w:szCs w:val="24"/>
          <w:lang w:val="en-CA"/>
        </w:rPr>
      </w:pPr>
      <w:hyperlink w:anchor="_Toc220932341" w:history="1">
        <w:r w:rsidRPr="00DE0C7C">
          <w:rPr>
            <w:rStyle w:val="Hyperlink"/>
            <w:rFonts w:ascii="Segoe UI" w:hAnsi="Segoe UI" w:cs="Segoe UI"/>
            <w:i/>
            <w:iCs/>
          </w:rPr>
          <w:t>McIvor v. Canada</w:t>
        </w:r>
        <w:r>
          <w:rPr>
            <w:webHidden/>
          </w:rPr>
          <w:tab/>
        </w:r>
        <w:r>
          <w:rPr>
            <w:webHidden/>
          </w:rPr>
          <w:fldChar w:fldCharType="begin"/>
        </w:r>
        <w:r>
          <w:rPr>
            <w:webHidden/>
          </w:rPr>
          <w:instrText xml:space="preserve"> PAGEREF _Toc220932341 \h </w:instrText>
        </w:r>
        <w:r>
          <w:rPr>
            <w:webHidden/>
          </w:rPr>
        </w:r>
        <w:r>
          <w:rPr>
            <w:webHidden/>
          </w:rPr>
          <w:fldChar w:fldCharType="separate"/>
        </w:r>
        <w:r>
          <w:rPr>
            <w:webHidden/>
          </w:rPr>
          <w:t>14</w:t>
        </w:r>
        <w:r>
          <w:rPr>
            <w:webHidden/>
          </w:rPr>
          <w:fldChar w:fldCharType="end"/>
        </w:r>
      </w:hyperlink>
    </w:p>
    <w:p w14:paraId="534AF360" w14:textId="77777777" w:rsidR="00350FA3" w:rsidRDefault="00350FA3">
      <w:pPr>
        <w:pStyle w:val="TOC2"/>
        <w:rPr>
          <w:b w:val="0"/>
          <w:bCs w:val="0"/>
          <w:kern w:val="2"/>
          <w:sz w:val="24"/>
          <w:szCs w:val="24"/>
          <w:lang w:val="en-CA"/>
        </w:rPr>
      </w:pPr>
      <w:hyperlink w:anchor="_Toc220932342" w:history="1">
        <w:r w:rsidRPr="00DE0C7C">
          <w:rPr>
            <w:rStyle w:val="Hyperlink"/>
            <w:rFonts w:ascii="Segoe UI" w:hAnsi="Segoe UI" w:cs="Segoe UI"/>
            <w:i/>
            <w:iCs/>
          </w:rPr>
          <w:t>Matson v. Canada</w:t>
        </w:r>
        <w:r>
          <w:rPr>
            <w:webHidden/>
          </w:rPr>
          <w:tab/>
        </w:r>
        <w:r>
          <w:rPr>
            <w:webHidden/>
          </w:rPr>
          <w:fldChar w:fldCharType="begin"/>
        </w:r>
        <w:r>
          <w:rPr>
            <w:webHidden/>
          </w:rPr>
          <w:instrText xml:space="preserve"> PAGEREF _Toc220932342 \h </w:instrText>
        </w:r>
        <w:r>
          <w:rPr>
            <w:webHidden/>
          </w:rPr>
        </w:r>
        <w:r>
          <w:rPr>
            <w:webHidden/>
          </w:rPr>
          <w:fldChar w:fldCharType="separate"/>
        </w:r>
        <w:r>
          <w:rPr>
            <w:webHidden/>
          </w:rPr>
          <w:t>15</w:t>
        </w:r>
        <w:r>
          <w:rPr>
            <w:webHidden/>
          </w:rPr>
          <w:fldChar w:fldCharType="end"/>
        </w:r>
      </w:hyperlink>
    </w:p>
    <w:p w14:paraId="7D678728" w14:textId="77777777" w:rsidR="00350FA3" w:rsidRDefault="00350FA3">
      <w:pPr>
        <w:pStyle w:val="TOC1"/>
        <w:rPr>
          <w:rFonts w:ascii="Calibri" w:hAnsi="Calibri" w:cs="Calibri"/>
          <w:b w:val="0"/>
          <w:bCs w:val="0"/>
          <w:caps w:val="0"/>
          <w:kern w:val="2"/>
          <w:sz w:val="24"/>
          <w:szCs w:val="24"/>
          <w:lang w:val="en-CA"/>
        </w:rPr>
      </w:pPr>
      <w:hyperlink w:anchor="_Toc220932343" w:history="1">
        <w:r w:rsidRPr="00DE0C7C">
          <w:rPr>
            <w:rStyle w:val="Hyperlink"/>
            <w:rFonts w:ascii="Segoe UI" w:hAnsi="Segoe UI" w:cs="Segoe UI"/>
          </w:rPr>
          <w:t>Continuing non-compliance with articles 2, 3, 26 and 27 of the ICCPR and other human rights obligations</w:t>
        </w:r>
        <w:r>
          <w:rPr>
            <w:webHidden/>
          </w:rPr>
          <w:tab/>
        </w:r>
        <w:r>
          <w:rPr>
            <w:webHidden/>
          </w:rPr>
          <w:fldChar w:fldCharType="begin"/>
        </w:r>
        <w:r>
          <w:rPr>
            <w:webHidden/>
          </w:rPr>
          <w:instrText xml:space="preserve"> PAGEREF _Toc220932343 \h </w:instrText>
        </w:r>
        <w:r>
          <w:rPr>
            <w:webHidden/>
          </w:rPr>
        </w:r>
        <w:r>
          <w:rPr>
            <w:webHidden/>
          </w:rPr>
          <w:fldChar w:fldCharType="separate"/>
        </w:r>
        <w:r>
          <w:rPr>
            <w:webHidden/>
          </w:rPr>
          <w:t>16</w:t>
        </w:r>
        <w:r>
          <w:rPr>
            <w:webHidden/>
          </w:rPr>
          <w:fldChar w:fldCharType="end"/>
        </w:r>
      </w:hyperlink>
    </w:p>
    <w:p w14:paraId="07B90F35" w14:textId="77777777" w:rsidR="00350FA3" w:rsidRDefault="00350FA3">
      <w:pPr>
        <w:pStyle w:val="TOC2"/>
        <w:rPr>
          <w:b w:val="0"/>
          <w:bCs w:val="0"/>
          <w:kern w:val="2"/>
          <w:sz w:val="24"/>
          <w:szCs w:val="24"/>
          <w:lang w:val="en-CA"/>
        </w:rPr>
      </w:pPr>
      <w:hyperlink w:anchor="_Toc220932344" w:history="1">
        <w:r w:rsidRPr="00DE0C7C">
          <w:rPr>
            <w:rStyle w:val="Hyperlink"/>
            <w:rFonts w:ascii="Segoe UI" w:hAnsi="Segoe UI" w:cs="Segoe UI"/>
          </w:rPr>
          <w:t>1. Registration Issues</w:t>
        </w:r>
        <w:r>
          <w:rPr>
            <w:webHidden/>
          </w:rPr>
          <w:tab/>
        </w:r>
        <w:r>
          <w:rPr>
            <w:webHidden/>
          </w:rPr>
          <w:fldChar w:fldCharType="begin"/>
        </w:r>
        <w:r>
          <w:rPr>
            <w:webHidden/>
          </w:rPr>
          <w:instrText xml:space="preserve"> PAGEREF _Toc220932344 \h </w:instrText>
        </w:r>
        <w:r>
          <w:rPr>
            <w:webHidden/>
          </w:rPr>
        </w:r>
        <w:r>
          <w:rPr>
            <w:webHidden/>
          </w:rPr>
          <w:fldChar w:fldCharType="separate"/>
        </w:r>
        <w:r>
          <w:rPr>
            <w:webHidden/>
          </w:rPr>
          <w:t>17</w:t>
        </w:r>
        <w:r>
          <w:rPr>
            <w:webHidden/>
          </w:rPr>
          <w:fldChar w:fldCharType="end"/>
        </w:r>
      </w:hyperlink>
    </w:p>
    <w:p w14:paraId="61891987" w14:textId="77777777" w:rsidR="00350FA3" w:rsidRDefault="00350FA3">
      <w:pPr>
        <w:pStyle w:val="TOC3"/>
        <w:tabs>
          <w:tab w:val="right" w:pos="9350"/>
        </w:tabs>
        <w:rPr>
          <w:noProof/>
          <w:kern w:val="2"/>
          <w:sz w:val="24"/>
          <w:szCs w:val="24"/>
          <w:lang w:val="en-CA"/>
        </w:rPr>
      </w:pPr>
      <w:hyperlink w:anchor="_Toc220932345" w:history="1">
        <w:r w:rsidRPr="00DE0C7C">
          <w:rPr>
            <w:rStyle w:val="Hyperlink"/>
            <w:rFonts w:ascii="Segoe UI" w:hAnsi="Segoe UI" w:cs="Segoe UI"/>
            <w:b/>
            <w:bCs/>
            <w:i/>
            <w:iCs/>
            <w:noProof/>
            <w:lang w:val="en-CA"/>
          </w:rPr>
          <w:t>Loss of Band Membership</w:t>
        </w:r>
        <w:r>
          <w:rPr>
            <w:noProof/>
            <w:webHidden/>
          </w:rPr>
          <w:tab/>
        </w:r>
        <w:r>
          <w:rPr>
            <w:noProof/>
            <w:webHidden/>
          </w:rPr>
          <w:fldChar w:fldCharType="begin"/>
        </w:r>
        <w:r>
          <w:rPr>
            <w:noProof/>
            <w:webHidden/>
          </w:rPr>
          <w:instrText xml:space="preserve"> PAGEREF _Toc220932345 \h </w:instrText>
        </w:r>
        <w:r>
          <w:rPr>
            <w:noProof/>
            <w:webHidden/>
          </w:rPr>
        </w:r>
        <w:r>
          <w:rPr>
            <w:noProof/>
            <w:webHidden/>
          </w:rPr>
          <w:fldChar w:fldCharType="separate"/>
        </w:r>
        <w:r>
          <w:rPr>
            <w:noProof/>
            <w:webHidden/>
          </w:rPr>
          <w:t>18</w:t>
        </w:r>
        <w:r>
          <w:rPr>
            <w:noProof/>
            <w:webHidden/>
          </w:rPr>
          <w:fldChar w:fldCharType="end"/>
        </w:r>
      </w:hyperlink>
    </w:p>
    <w:p w14:paraId="63A52F80" w14:textId="77777777" w:rsidR="00350FA3" w:rsidRDefault="00350FA3">
      <w:pPr>
        <w:pStyle w:val="TOC2"/>
        <w:rPr>
          <w:b w:val="0"/>
          <w:bCs w:val="0"/>
          <w:kern w:val="2"/>
          <w:sz w:val="24"/>
          <w:szCs w:val="24"/>
          <w:lang w:val="en-CA"/>
        </w:rPr>
      </w:pPr>
      <w:hyperlink w:anchor="_Toc220932346" w:history="1">
        <w:r w:rsidRPr="00DE0C7C">
          <w:rPr>
            <w:rStyle w:val="Hyperlink"/>
            <w:rFonts w:ascii="Segoe UI" w:hAnsi="Segoe UI" w:cs="Segoe UI"/>
          </w:rPr>
          <w:t>2. Outstanding Law Reform Issues</w:t>
        </w:r>
        <w:r>
          <w:rPr>
            <w:webHidden/>
          </w:rPr>
          <w:tab/>
        </w:r>
        <w:r>
          <w:rPr>
            <w:webHidden/>
          </w:rPr>
          <w:fldChar w:fldCharType="begin"/>
        </w:r>
        <w:r>
          <w:rPr>
            <w:webHidden/>
          </w:rPr>
          <w:instrText xml:space="preserve"> PAGEREF _Toc220932346 \h </w:instrText>
        </w:r>
        <w:r>
          <w:rPr>
            <w:webHidden/>
          </w:rPr>
        </w:r>
        <w:r>
          <w:rPr>
            <w:webHidden/>
          </w:rPr>
          <w:fldChar w:fldCharType="separate"/>
        </w:r>
        <w:r>
          <w:rPr>
            <w:webHidden/>
          </w:rPr>
          <w:t>19</w:t>
        </w:r>
        <w:r>
          <w:rPr>
            <w:webHidden/>
          </w:rPr>
          <w:fldChar w:fldCharType="end"/>
        </w:r>
      </w:hyperlink>
    </w:p>
    <w:p w14:paraId="531C2B13" w14:textId="77777777" w:rsidR="00350FA3" w:rsidRDefault="00350FA3">
      <w:pPr>
        <w:pStyle w:val="TOC3"/>
        <w:tabs>
          <w:tab w:val="right" w:pos="9350"/>
        </w:tabs>
        <w:rPr>
          <w:noProof/>
          <w:kern w:val="2"/>
          <w:sz w:val="24"/>
          <w:szCs w:val="24"/>
          <w:lang w:val="en-CA"/>
        </w:rPr>
      </w:pPr>
      <w:hyperlink w:anchor="_Toc220932347" w:history="1">
        <w:r w:rsidRPr="00DE0C7C">
          <w:rPr>
            <w:rStyle w:val="Hyperlink"/>
            <w:rFonts w:ascii="Segoe UI" w:hAnsi="Segoe UI" w:cs="Segoe UI"/>
            <w:b/>
            <w:bCs/>
            <w:i/>
            <w:iCs/>
            <w:noProof/>
          </w:rPr>
          <w:t>Removal of the bar to compensation for discrimination</w:t>
        </w:r>
        <w:r>
          <w:rPr>
            <w:noProof/>
            <w:webHidden/>
          </w:rPr>
          <w:tab/>
        </w:r>
        <w:r>
          <w:rPr>
            <w:noProof/>
            <w:webHidden/>
          </w:rPr>
          <w:fldChar w:fldCharType="begin"/>
        </w:r>
        <w:r>
          <w:rPr>
            <w:noProof/>
            <w:webHidden/>
          </w:rPr>
          <w:instrText xml:space="preserve"> PAGEREF _Toc220932347 \h </w:instrText>
        </w:r>
        <w:r>
          <w:rPr>
            <w:noProof/>
            <w:webHidden/>
          </w:rPr>
        </w:r>
        <w:r>
          <w:rPr>
            <w:noProof/>
            <w:webHidden/>
          </w:rPr>
          <w:fldChar w:fldCharType="separate"/>
        </w:r>
        <w:r>
          <w:rPr>
            <w:noProof/>
            <w:webHidden/>
          </w:rPr>
          <w:t>19</w:t>
        </w:r>
        <w:r>
          <w:rPr>
            <w:noProof/>
            <w:webHidden/>
          </w:rPr>
          <w:fldChar w:fldCharType="end"/>
        </w:r>
      </w:hyperlink>
    </w:p>
    <w:p w14:paraId="7AAD4F1E" w14:textId="77777777" w:rsidR="00350FA3" w:rsidRDefault="00350FA3">
      <w:pPr>
        <w:pStyle w:val="TOC3"/>
        <w:tabs>
          <w:tab w:val="right" w:pos="9350"/>
        </w:tabs>
        <w:rPr>
          <w:noProof/>
          <w:kern w:val="2"/>
          <w:sz w:val="24"/>
          <w:szCs w:val="24"/>
          <w:lang w:val="en-CA"/>
        </w:rPr>
      </w:pPr>
      <w:hyperlink w:anchor="_Toc220932348" w:history="1">
        <w:r w:rsidRPr="00DE0C7C">
          <w:rPr>
            <w:rStyle w:val="Hyperlink"/>
            <w:rFonts w:ascii="Segoe UI" w:hAnsi="Segoe UI" w:cs="Segoe UI"/>
            <w:b/>
            <w:bCs/>
            <w:i/>
            <w:iCs/>
            <w:noProof/>
          </w:rPr>
          <w:t>Removal of 6(1)(f), 6(2), the second generation cut-off, and the two-parent rule</w:t>
        </w:r>
        <w:r>
          <w:rPr>
            <w:noProof/>
            <w:webHidden/>
          </w:rPr>
          <w:tab/>
        </w:r>
        <w:r>
          <w:rPr>
            <w:noProof/>
            <w:webHidden/>
          </w:rPr>
          <w:fldChar w:fldCharType="begin"/>
        </w:r>
        <w:r>
          <w:rPr>
            <w:noProof/>
            <w:webHidden/>
          </w:rPr>
          <w:instrText xml:space="preserve"> PAGEREF _Toc220932348 \h </w:instrText>
        </w:r>
        <w:r>
          <w:rPr>
            <w:noProof/>
            <w:webHidden/>
          </w:rPr>
        </w:r>
        <w:r>
          <w:rPr>
            <w:noProof/>
            <w:webHidden/>
          </w:rPr>
          <w:fldChar w:fldCharType="separate"/>
        </w:r>
        <w:r>
          <w:rPr>
            <w:noProof/>
            <w:webHidden/>
          </w:rPr>
          <w:t>22</w:t>
        </w:r>
        <w:r>
          <w:rPr>
            <w:noProof/>
            <w:webHidden/>
          </w:rPr>
          <w:fldChar w:fldCharType="end"/>
        </w:r>
      </w:hyperlink>
    </w:p>
    <w:p w14:paraId="65C11C38" w14:textId="77777777" w:rsidR="00350FA3" w:rsidRDefault="00350FA3">
      <w:pPr>
        <w:pStyle w:val="TOC2"/>
        <w:rPr>
          <w:b w:val="0"/>
          <w:bCs w:val="0"/>
          <w:kern w:val="2"/>
          <w:sz w:val="24"/>
          <w:szCs w:val="24"/>
          <w:lang w:val="en-CA"/>
        </w:rPr>
      </w:pPr>
      <w:hyperlink w:anchor="_Toc220932349" w:history="1">
        <w:r w:rsidRPr="00DE0C7C">
          <w:rPr>
            <w:rStyle w:val="Hyperlink"/>
            <w:rFonts w:ascii="Segoe UI" w:hAnsi="Segoe UI" w:cs="Segoe UI"/>
          </w:rPr>
          <w:t>3. Reparations and Restoration</w:t>
        </w:r>
        <w:r>
          <w:rPr>
            <w:webHidden/>
          </w:rPr>
          <w:tab/>
        </w:r>
        <w:r>
          <w:rPr>
            <w:webHidden/>
          </w:rPr>
          <w:fldChar w:fldCharType="begin"/>
        </w:r>
        <w:r>
          <w:rPr>
            <w:webHidden/>
          </w:rPr>
          <w:instrText xml:space="preserve"> PAGEREF _Toc220932349 \h </w:instrText>
        </w:r>
        <w:r>
          <w:rPr>
            <w:webHidden/>
          </w:rPr>
        </w:r>
        <w:r>
          <w:rPr>
            <w:webHidden/>
          </w:rPr>
          <w:fldChar w:fldCharType="separate"/>
        </w:r>
        <w:r>
          <w:rPr>
            <w:webHidden/>
          </w:rPr>
          <w:t>25</w:t>
        </w:r>
        <w:r>
          <w:rPr>
            <w:webHidden/>
          </w:rPr>
          <w:fldChar w:fldCharType="end"/>
        </w:r>
      </w:hyperlink>
    </w:p>
    <w:p w14:paraId="3C6486F5" w14:textId="77777777" w:rsidR="00350FA3" w:rsidRDefault="00350FA3">
      <w:pPr>
        <w:pStyle w:val="TOC1"/>
        <w:rPr>
          <w:rFonts w:ascii="Calibri" w:hAnsi="Calibri" w:cs="Calibri"/>
          <w:b w:val="0"/>
          <w:bCs w:val="0"/>
          <w:caps w:val="0"/>
          <w:kern w:val="2"/>
          <w:sz w:val="24"/>
          <w:szCs w:val="24"/>
          <w:lang w:val="en-CA"/>
        </w:rPr>
      </w:pPr>
      <w:hyperlink w:anchor="_Toc220932350" w:history="1">
        <w:r w:rsidRPr="00DE0C7C">
          <w:rPr>
            <w:rStyle w:val="Hyperlink"/>
            <w:rFonts w:ascii="Segoe UI" w:hAnsi="Segoe UI" w:cs="Segoe UI"/>
          </w:rPr>
          <w:t>Conclusion</w:t>
        </w:r>
        <w:r>
          <w:rPr>
            <w:webHidden/>
          </w:rPr>
          <w:tab/>
        </w:r>
        <w:r>
          <w:rPr>
            <w:webHidden/>
          </w:rPr>
          <w:fldChar w:fldCharType="begin"/>
        </w:r>
        <w:r>
          <w:rPr>
            <w:webHidden/>
          </w:rPr>
          <w:instrText xml:space="preserve"> PAGEREF _Toc220932350 \h </w:instrText>
        </w:r>
        <w:r>
          <w:rPr>
            <w:webHidden/>
          </w:rPr>
        </w:r>
        <w:r>
          <w:rPr>
            <w:webHidden/>
          </w:rPr>
          <w:fldChar w:fldCharType="separate"/>
        </w:r>
        <w:r>
          <w:rPr>
            <w:webHidden/>
          </w:rPr>
          <w:t>26</w:t>
        </w:r>
        <w:r>
          <w:rPr>
            <w:webHidden/>
          </w:rPr>
          <w:fldChar w:fldCharType="end"/>
        </w:r>
      </w:hyperlink>
    </w:p>
    <w:p w14:paraId="779A2D15" w14:textId="77777777" w:rsidR="00350FA3" w:rsidRDefault="00350FA3">
      <w:pPr>
        <w:pStyle w:val="TOC2"/>
        <w:rPr>
          <w:b w:val="0"/>
          <w:bCs w:val="0"/>
          <w:kern w:val="2"/>
          <w:sz w:val="24"/>
          <w:szCs w:val="24"/>
          <w:lang w:val="en-CA"/>
        </w:rPr>
      </w:pPr>
      <w:hyperlink w:anchor="_Toc220932351" w:history="1">
        <w:r w:rsidRPr="00DE0C7C">
          <w:rPr>
            <w:rStyle w:val="Hyperlink"/>
            <w:rFonts w:ascii="Segoe UI" w:hAnsi="Segoe UI" w:cs="Segoe UI"/>
          </w:rPr>
          <w:t>Contact Information</w:t>
        </w:r>
        <w:r>
          <w:rPr>
            <w:webHidden/>
          </w:rPr>
          <w:tab/>
        </w:r>
        <w:r>
          <w:rPr>
            <w:webHidden/>
          </w:rPr>
          <w:fldChar w:fldCharType="begin"/>
        </w:r>
        <w:r>
          <w:rPr>
            <w:webHidden/>
          </w:rPr>
          <w:instrText xml:space="preserve"> PAGEREF _Toc220932351 \h </w:instrText>
        </w:r>
        <w:r>
          <w:rPr>
            <w:webHidden/>
          </w:rPr>
        </w:r>
        <w:r>
          <w:rPr>
            <w:webHidden/>
          </w:rPr>
          <w:fldChar w:fldCharType="separate"/>
        </w:r>
        <w:r>
          <w:rPr>
            <w:webHidden/>
          </w:rPr>
          <w:t>26</w:t>
        </w:r>
        <w:r>
          <w:rPr>
            <w:webHidden/>
          </w:rPr>
          <w:fldChar w:fldCharType="end"/>
        </w:r>
      </w:hyperlink>
    </w:p>
    <w:p w14:paraId="70C074CA" w14:textId="77777777" w:rsidR="00350FA3" w:rsidRPr="00217E08" w:rsidRDefault="00350FA3">
      <w:pPr>
        <w:pStyle w:val="Normal1"/>
        <w:rPr>
          <w:rFonts w:ascii="Segoe UI" w:hAnsi="Segoe UI" w:cs="Segoe UI"/>
          <w:b/>
          <w:bCs/>
          <w:sz w:val="28"/>
          <w:szCs w:val="28"/>
        </w:rPr>
      </w:pPr>
      <w:r w:rsidRPr="00217E08">
        <w:fldChar w:fldCharType="end"/>
      </w:r>
    </w:p>
    <w:p w14:paraId="224D5475" w14:textId="77777777" w:rsidR="00350FA3" w:rsidRPr="00217E08" w:rsidRDefault="00350FA3">
      <w:pPr>
        <w:pStyle w:val="Normal1"/>
        <w:rPr>
          <w:rFonts w:ascii="Segoe UI" w:hAnsi="Segoe UI" w:cs="Segoe UI"/>
          <w:sz w:val="24"/>
          <w:szCs w:val="24"/>
        </w:rPr>
      </w:pPr>
    </w:p>
    <w:p w14:paraId="0BADD5B6" w14:textId="77777777" w:rsidR="00350FA3" w:rsidRPr="00217E08" w:rsidRDefault="00350FA3">
      <w:pPr>
        <w:pStyle w:val="Normal1"/>
        <w:rPr>
          <w:rFonts w:ascii="Segoe UI" w:hAnsi="Segoe UI" w:cs="Segoe UI"/>
          <w:sz w:val="24"/>
          <w:szCs w:val="24"/>
        </w:rPr>
      </w:pPr>
    </w:p>
    <w:p w14:paraId="26EC6C5A" w14:textId="77777777" w:rsidR="00350FA3" w:rsidRPr="00217E08" w:rsidRDefault="00350FA3">
      <w:pPr>
        <w:pStyle w:val="Normal1"/>
        <w:rPr>
          <w:rFonts w:ascii="Segoe UI" w:hAnsi="Segoe UI" w:cs="Segoe UI"/>
          <w:b/>
          <w:bCs/>
          <w:sz w:val="24"/>
          <w:szCs w:val="24"/>
        </w:rPr>
      </w:pPr>
      <w:r w:rsidRPr="00217E08">
        <w:rPr>
          <w:rFonts w:ascii="Segoe UI" w:hAnsi="Segoe UI" w:cs="Segoe UI"/>
          <w:sz w:val="24"/>
          <w:szCs w:val="24"/>
        </w:rPr>
        <w:t>Word count: 8,</w:t>
      </w:r>
      <w:r>
        <w:rPr>
          <w:rFonts w:ascii="Segoe UI" w:hAnsi="Segoe UI" w:cs="Segoe UI"/>
          <w:sz w:val="24"/>
          <w:szCs w:val="24"/>
        </w:rPr>
        <w:t>661</w:t>
      </w:r>
    </w:p>
    <w:p w14:paraId="57058C3D" w14:textId="77777777" w:rsidR="00350FA3" w:rsidRPr="00217E08" w:rsidRDefault="00350FA3">
      <w:pPr>
        <w:pStyle w:val="Heading1"/>
        <w:rPr>
          <w:rFonts w:ascii="Segoe UI" w:hAnsi="Segoe UI" w:cs="Segoe UI"/>
        </w:rPr>
      </w:pPr>
      <w:bookmarkStart w:id="0" w:name="_heading_h_3hg5s3mkaecb" w:colFirst="0" w:colLast="0"/>
      <w:bookmarkEnd w:id="0"/>
      <w:r w:rsidRPr="00217E08">
        <w:rPr>
          <w:rFonts w:ascii="Segoe UI" w:hAnsi="Segoe UI" w:cs="Segoe UI"/>
        </w:rPr>
        <w:br w:type="page"/>
      </w:r>
      <w:bookmarkStart w:id="1" w:name="_Toc220932336"/>
      <w:r w:rsidRPr="00217E08">
        <w:rPr>
          <w:rFonts w:ascii="Segoe UI" w:hAnsi="Segoe UI" w:cs="Segoe UI"/>
        </w:rPr>
        <w:lastRenderedPageBreak/>
        <w:t>Executive Summary</w:t>
      </w:r>
      <w:bookmarkEnd w:id="1"/>
      <w:r w:rsidRPr="00217E08">
        <w:rPr>
          <w:rFonts w:ascii="Segoe UI" w:hAnsi="Segoe UI" w:cs="Segoe UI"/>
        </w:rPr>
        <w:t xml:space="preserve"> </w:t>
      </w:r>
    </w:p>
    <w:p w14:paraId="0AE1EE4F" w14:textId="77777777" w:rsidR="00350FA3" w:rsidRPr="00217E08" w:rsidRDefault="00350FA3">
      <w:pPr>
        <w:pStyle w:val="Normal1"/>
        <w:rPr>
          <w:rFonts w:ascii="Segoe UI" w:hAnsi="Segoe UI" w:cs="Segoe UI"/>
          <w:sz w:val="24"/>
          <w:szCs w:val="24"/>
        </w:rPr>
      </w:pPr>
    </w:p>
    <w:p w14:paraId="188000A1" w14:textId="77777777" w:rsidR="00350FA3" w:rsidRPr="00217E08" w:rsidRDefault="00350FA3" w:rsidP="00680670">
      <w:pPr>
        <w:pStyle w:val="Normal1"/>
        <w:numPr>
          <w:ilvl w:val="0"/>
          <w:numId w:val="3"/>
        </w:numPr>
        <w:rPr>
          <w:rFonts w:ascii="Segoe UI" w:hAnsi="Segoe UI" w:cs="Segoe UI"/>
        </w:rPr>
      </w:pPr>
      <w:r w:rsidRPr="00217E08">
        <w:rPr>
          <w:rFonts w:ascii="Segoe UI" w:hAnsi="Segoe UI" w:cs="Segoe UI"/>
          <w:color w:val="000000"/>
          <w:sz w:val="24"/>
          <w:szCs w:val="24"/>
        </w:rPr>
        <w:t xml:space="preserve">Since 1876, the </w:t>
      </w:r>
      <w:r w:rsidRPr="00217E08">
        <w:rPr>
          <w:rFonts w:ascii="Segoe UI" w:hAnsi="Segoe UI" w:cs="Segoe UI"/>
          <w:i/>
          <w:iCs/>
          <w:color w:val="000000"/>
          <w:sz w:val="24"/>
          <w:szCs w:val="24"/>
        </w:rPr>
        <w:t>Indian Act</w:t>
      </w:r>
      <w:r w:rsidRPr="00217E08">
        <w:rPr>
          <w:rFonts w:ascii="Segoe UI" w:hAnsi="Segoe UI" w:cs="Segoe UI"/>
          <w:color w:val="000000"/>
          <w:sz w:val="24"/>
          <w:szCs w:val="24"/>
        </w:rPr>
        <w:t xml:space="preserve"> has discriminated against First Nations</w:t>
      </w:r>
      <w:r>
        <w:rPr>
          <w:rFonts w:ascii="Segoe UI" w:hAnsi="Segoe UI" w:cs="Segoe UI"/>
          <w:color w:val="000000"/>
          <w:sz w:val="24"/>
          <w:szCs w:val="24"/>
        </w:rPr>
        <w:t xml:space="preserve"> </w:t>
      </w:r>
      <w:r w:rsidRPr="00217E08">
        <w:rPr>
          <w:rFonts w:ascii="Segoe UI" w:hAnsi="Segoe UI" w:cs="Segoe UI"/>
          <w:color w:val="000000"/>
          <w:sz w:val="24"/>
          <w:szCs w:val="24"/>
        </w:rPr>
        <w:t xml:space="preserve">women and their descendants, discrimination that continues today. As a result, thousands of women and their descendants have been denied ‘Indian status’ and denied the many economic, social, and political benefits that go with legal recognition. Since 1981 </w:t>
      </w:r>
      <w:hyperlink r:id="rId14">
        <w:r w:rsidRPr="00217E08">
          <w:rPr>
            <w:rFonts w:ascii="Segoe UI" w:hAnsi="Segoe UI" w:cs="Segoe UI"/>
            <w:color w:val="833C0B"/>
            <w:sz w:val="24"/>
            <w:szCs w:val="24"/>
            <w:u w:val="single"/>
          </w:rPr>
          <w:t>UN bodies have repeatedly recommended</w:t>
        </w:r>
      </w:hyperlink>
      <w:r w:rsidRPr="00217E08">
        <w:rPr>
          <w:rFonts w:ascii="Segoe UI" w:hAnsi="Segoe UI" w:cs="Segoe UI"/>
          <w:color w:val="000000"/>
          <w:sz w:val="24"/>
          <w:szCs w:val="24"/>
        </w:rPr>
        <w:t xml:space="preserve"> that Canada eliminate sex discrimination from the </w:t>
      </w:r>
      <w:r w:rsidRPr="00217E08">
        <w:rPr>
          <w:rFonts w:ascii="Segoe UI" w:hAnsi="Segoe UI" w:cs="Segoe UI"/>
          <w:i/>
          <w:iCs/>
          <w:color w:val="000000"/>
          <w:sz w:val="24"/>
          <w:szCs w:val="24"/>
        </w:rPr>
        <w:t>Indian Act</w:t>
      </w:r>
      <w:r w:rsidRPr="00217E08">
        <w:rPr>
          <w:rFonts w:ascii="Segoe UI" w:hAnsi="Segoe UI" w:cs="Segoe UI"/>
          <w:color w:val="000000"/>
          <w:sz w:val="24"/>
          <w:szCs w:val="24"/>
        </w:rPr>
        <w:t xml:space="preserve">. These recommendations have not been heeded. </w:t>
      </w:r>
    </w:p>
    <w:p w14:paraId="01A4CF3F" w14:textId="77777777" w:rsidR="00350FA3" w:rsidRPr="00217E08" w:rsidRDefault="00350FA3" w:rsidP="00065433">
      <w:pPr>
        <w:pStyle w:val="Normal1"/>
        <w:ind w:left="720"/>
        <w:rPr>
          <w:rFonts w:ascii="Segoe UI" w:hAnsi="Segoe UI" w:cs="Segoe UI"/>
          <w:color w:val="000000"/>
          <w:sz w:val="24"/>
          <w:szCs w:val="24"/>
        </w:rPr>
      </w:pPr>
    </w:p>
    <w:p w14:paraId="2AAF648D" w14:textId="77777777" w:rsidR="00350FA3" w:rsidRPr="00217E08" w:rsidRDefault="00350FA3" w:rsidP="00680670">
      <w:pPr>
        <w:pStyle w:val="Normal1"/>
        <w:numPr>
          <w:ilvl w:val="0"/>
          <w:numId w:val="3"/>
        </w:numPr>
        <w:rPr>
          <w:rFonts w:ascii="Segoe UI" w:hAnsi="Segoe UI" w:cs="Segoe UI"/>
          <w:color w:val="000000"/>
          <w:sz w:val="24"/>
          <w:szCs w:val="24"/>
        </w:rPr>
      </w:pPr>
      <w:r w:rsidRPr="00217E08">
        <w:rPr>
          <w:rFonts w:ascii="Segoe UI" w:hAnsi="Segoe UI" w:cs="Segoe UI"/>
          <w:color w:val="000000"/>
          <w:sz w:val="24"/>
          <w:szCs w:val="24"/>
        </w:rPr>
        <w:t xml:space="preserve">In 1981, 2019, and 2022, United Nations treaty bodies (the UN Human Rights Committee and CEDAW) issued decisions on the petitions of </w:t>
      </w:r>
      <w:hyperlink r:id="rId15">
        <w:r w:rsidRPr="00217E08">
          <w:rPr>
            <w:rFonts w:ascii="Segoe UI" w:hAnsi="Segoe UI" w:cs="Segoe UI"/>
            <w:color w:val="833C0B"/>
            <w:sz w:val="24"/>
            <w:szCs w:val="24"/>
            <w:u w:val="single"/>
          </w:rPr>
          <w:t>Sandra Lovelace</w:t>
        </w:r>
      </w:hyperlink>
      <w:r w:rsidRPr="00217E08">
        <w:rPr>
          <w:rFonts w:ascii="Segoe UI" w:hAnsi="Segoe UI" w:cs="Segoe UI"/>
          <w:color w:val="000000"/>
          <w:sz w:val="24"/>
          <w:szCs w:val="24"/>
        </w:rPr>
        <w:t xml:space="preserve">, </w:t>
      </w:r>
      <w:hyperlink r:id="rId16">
        <w:r w:rsidRPr="00217E08">
          <w:rPr>
            <w:rFonts w:ascii="Segoe UI" w:hAnsi="Segoe UI" w:cs="Segoe UI"/>
            <w:color w:val="833C0B"/>
            <w:sz w:val="24"/>
            <w:szCs w:val="24"/>
            <w:u w:val="single"/>
          </w:rPr>
          <w:t>Sharon McIvor</w:t>
        </w:r>
      </w:hyperlink>
      <w:r w:rsidRPr="00217E08">
        <w:rPr>
          <w:rFonts w:ascii="Segoe UI" w:hAnsi="Segoe UI" w:cs="Segoe UI"/>
          <w:color w:val="000000"/>
          <w:sz w:val="24"/>
          <w:szCs w:val="24"/>
        </w:rPr>
        <w:t xml:space="preserve">, and </w:t>
      </w:r>
      <w:hyperlink r:id="rId17">
        <w:r w:rsidRPr="00217E08">
          <w:rPr>
            <w:rFonts w:ascii="Segoe UI" w:hAnsi="Segoe UI" w:cs="Segoe UI"/>
            <w:color w:val="833C0B"/>
            <w:sz w:val="24"/>
            <w:szCs w:val="24"/>
            <w:u w:val="single"/>
          </w:rPr>
          <w:t>Jeremy Matson</w:t>
        </w:r>
      </w:hyperlink>
      <w:r w:rsidRPr="00217E08">
        <w:rPr>
          <w:rFonts w:ascii="Segoe UI" w:hAnsi="Segoe UI" w:cs="Segoe UI"/>
          <w:color w:val="000000"/>
          <w:sz w:val="24"/>
          <w:szCs w:val="24"/>
        </w:rPr>
        <w:t xml:space="preserve">.  All three petitions found Canada in violation of its treaty obligations. Canada has failed to fully implement the </w:t>
      </w:r>
      <w:hyperlink r:id="rId18">
        <w:r w:rsidRPr="00217E08">
          <w:rPr>
            <w:rFonts w:ascii="Segoe UI" w:hAnsi="Segoe UI" w:cs="Segoe UI"/>
            <w:color w:val="833C0B"/>
            <w:sz w:val="24"/>
            <w:szCs w:val="24"/>
            <w:u w:val="single"/>
          </w:rPr>
          <w:t>remedies recommended</w:t>
        </w:r>
      </w:hyperlink>
      <w:r w:rsidRPr="00217E08">
        <w:rPr>
          <w:rFonts w:ascii="Segoe UI" w:hAnsi="Segoe UI" w:cs="Segoe UI"/>
          <w:color w:val="000000"/>
          <w:sz w:val="24"/>
          <w:szCs w:val="24"/>
        </w:rPr>
        <w:t xml:space="preserve"> in all three petitions. Canada has flatly rejected the </w:t>
      </w:r>
      <w:hyperlink r:id="rId19">
        <w:r w:rsidRPr="00217E08">
          <w:rPr>
            <w:rFonts w:ascii="Segoe UI" w:hAnsi="Segoe UI" w:cs="Segoe UI"/>
            <w:color w:val="833C0B"/>
            <w:sz w:val="24"/>
            <w:szCs w:val="24"/>
            <w:u w:val="single"/>
          </w:rPr>
          <w:t xml:space="preserve">finding of the CEDAW Committee in </w:t>
        </w:r>
      </w:hyperlink>
      <w:hyperlink r:id="rId20">
        <w:r w:rsidRPr="00217E08">
          <w:rPr>
            <w:rFonts w:ascii="Segoe UI" w:hAnsi="Segoe UI" w:cs="Segoe UI"/>
            <w:i/>
            <w:iCs/>
            <w:color w:val="833C0B"/>
            <w:sz w:val="24"/>
            <w:szCs w:val="24"/>
            <w:u w:val="single"/>
          </w:rPr>
          <w:t>Matson v. Canada</w:t>
        </w:r>
      </w:hyperlink>
      <w:r w:rsidRPr="00217E08">
        <w:rPr>
          <w:rFonts w:ascii="Segoe UI" w:hAnsi="Segoe UI" w:cs="Segoe UI"/>
          <w:color w:val="000000"/>
          <w:sz w:val="24"/>
          <w:szCs w:val="24"/>
        </w:rPr>
        <w:t xml:space="preserve"> that there is continuing sex discrimination in the </w:t>
      </w:r>
      <w:r w:rsidRPr="00217E08">
        <w:rPr>
          <w:rFonts w:ascii="Segoe UI" w:hAnsi="Segoe UI" w:cs="Segoe UI"/>
          <w:i/>
          <w:iCs/>
          <w:color w:val="000000"/>
          <w:sz w:val="24"/>
          <w:szCs w:val="24"/>
        </w:rPr>
        <w:t>Indian Act</w:t>
      </w:r>
      <w:r w:rsidRPr="00217E08">
        <w:rPr>
          <w:rFonts w:ascii="Segoe UI" w:hAnsi="Segoe UI" w:cs="Segoe UI"/>
          <w:color w:val="000000"/>
          <w:sz w:val="24"/>
          <w:szCs w:val="24"/>
        </w:rPr>
        <w:t xml:space="preserve"> that affects women and their descendants, including Jeremy Matson and his children.</w:t>
      </w:r>
    </w:p>
    <w:p w14:paraId="25B145B3" w14:textId="77777777" w:rsidR="00350FA3" w:rsidRPr="00217E08" w:rsidRDefault="00350FA3" w:rsidP="00065433">
      <w:pPr>
        <w:pStyle w:val="Normal1"/>
        <w:ind w:left="360"/>
        <w:rPr>
          <w:rFonts w:ascii="Segoe UI" w:hAnsi="Segoe UI" w:cs="Segoe UI"/>
          <w:color w:val="000000"/>
          <w:sz w:val="24"/>
          <w:szCs w:val="24"/>
        </w:rPr>
      </w:pPr>
    </w:p>
    <w:p w14:paraId="1CCBA627" w14:textId="77777777" w:rsidR="00350FA3" w:rsidRDefault="00350FA3" w:rsidP="00486E4E">
      <w:pPr>
        <w:pStyle w:val="Normal1"/>
        <w:numPr>
          <w:ilvl w:val="0"/>
          <w:numId w:val="3"/>
        </w:numPr>
        <w:rPr>
          <w:rFonts w:ascii="Segoe UI" w:hAnsi="Segoe UI" w:cs="Segoe UI"/>
          <w:sz w:val="24"/>
          <w:szCs w:val="24"/>
        </w:rPr>
      </w:pPr>
      <w:r w:rsidRPr="00217E08">
        <w:rPr>
          <w:rFonts w:ascii="Segoe UI" w:hAnsi="Segoe UI" w:cs="Segoe UI"/>
          <w:sz w:val="24"/>
          <w:szCs w:val="24"/>
        </w:rPr>
        <w:t xml:space="preserve">Canada’s continued discriminatory policies, enshrined in the </w:t>
      </w:r>
      <w:r w:rsidRPr="00217E08">
        <w:rPr>
          <w:rFonts w:ascii="Segoe UI" w:hAnsi="Segoe UI" w:cs="Segoe UI"/>
          <w:i/>
          <w:iCs/>
          <w:sz w:val="24"/>
          <w:szCs w:val="24"/>
        </w:rPr>
        <w:t>Indian Act</w:t>
      </w:r>
      <w:r w:rsidRPr="00217E08">
        <w:rPr>
          <w:rFonts w:ascii="Segoe UI" w:hAnsi="Segoe UI" w:cs="Segoe UI"/>
          <w:sz w:val="24"/>
          <w:szCs w:val="24"/>
        </w:rPr>
        <w:t xml:space="preserve">, are in direct violation of </w:t>
      </w:r>
      <w:r>
        <w:rPr>
          <w:rFonts w:ascii="Segoe UI" w:hAnsi="Segoe UI" w:cs="Segoe UI"/>
          <w:sz w:val="24"/>
          <w:szCs w:val="24"/>
        </w:rPr>
        <w:t>A</w:t>
      </w:r>
      <w:r w:rsidRPr="00217E08">
        <w:rPr>
          <w:rFonts w:ascii="Segoe UI" w:hAnsi="Segoe UI" w:cs="Segoe UI"/>
          <w:sz w:val="24"/>
          <w:szCs w:val="24"/>
        </w:rPr>
        <w:t xml:space="preserve">rticles 2, 3, 26 and 27 of the </w:t>
      </w:r>
      <w:r w:rsidRPr="002C048B">
        <w:rPr>
          <w:rFonts w:ascii="Segoe UI" w:hAnsi="Segoe UI" w:cs="Segoe UI"/>
          <w:i/>
          <w:iCs/>
          <w:sz w:val="24"/>
          <w:szCs w:val="24"/>
        </w:rPr>
        <w:t>International Covenant on Civil and Political Rights</w:t>
      </w:r>
      <w:r w:rsidRPr="00217E08">
        <w:rPr>
          <w:rFonts w:ascii="Segoe UI" w:hAnsi="Segoe UI" w:cs="Segoe UI"/>
          <w:sz w:val="24"/>
          <w:szCs w:val="24"/>
        </w:rPr>
        <w:t xml:space="preserve"> (ICCPR). </w:t>
      </w:r>
    </w:p>
    <w:p w14:paraId="4BB1F840" w14:textId="77777777" w:rsidR="00350FA3" w:rsidRDefault="00350FA3">
      <w:pPr>
        <w:pStyle w:val="Normal1"/>
        <w:rPr>
          <w:rFonts w:ascii="Segoe UI" w:hAnsi="Segoe UI" w:cs="Segoe UI"/>
          <w:sz w:val="24"/>
          <w:szCs w:val="24"/>
        </w:rPr>
      </w:pPr>
    </w:p>
    <w:p w14:paraId="058D9BCA" w14:textId="77777777" w:rsidR="00350FA3" w:rsidRPr="00294836" w:rsidRDefault="00350FA3" w:rsidP="00CE6EF4">
      <w:pPr>
        <w:pStyle w:val="Normal1"/>
        <w:numPr>
          <w:ilvl w:val="0"/>
          <w:numId w:val="3"/>
        </w:numPr>
        <w:rPr>
          <w:rFonts w:ascii="Segoe UI" w:hAnsi="Segoe UI" w:cs="Segoe UI"/>
          <w:sz w:val="24"/>
          <w:szCs w:val="24"/>
        </w:rPr>
      </w:pPr>
      <w:r w:rsidRPr="00217E08">
        <w:rPr>
          <w:rFonts w:ascii="Segoe UI" w:hAnsi="Segoe UI" w:cs="Segoe UI"/>
          <w:sz w:val="24"/>
          <w:szCs w:val="24"/>
        </w:rPr>
        <w:t xml:space="preserve">In 2026, Canada is at a crucial moment in the history of </w:t>
      </w:r>
      <w:r w:rsidRPr="00217E08">
        <w:rPr>
          <w:rFonts w:ascii="Segoe UI" w:hAnsi="Segoe UI" w:cs="Segoe UI"/>
          <w:i/>
          <w:iCs/>
          <w:sz w:val="24"/>
          <w:szCs w:val="24"/>
        </w:rPr>
        <w:t>Indian Act</w:t>
      </w:r>
      <w:r w:rsidRPr="00217E08">
        <w:rPr>
          <w:rFonts w:ascii="Segoe UI" w:hAnsi="Segoe UI" w:cs="Segoe UI"/>
          <w:sz w:val="24"/>
          <w:szCs w:val="24"/>
        </w:rPr>
        <w:t xml:space="preserve"> discrimination. The most significant outstanding form of </w:t>
      </w:r>
      <w:r w:rsidRPr="00217E08">
        <w:rPr>
          <w:rFonts w:ascii="Segoe UI" w:hAnsi="Segoe UI" w:cs="Segoe UI"/>
          <w:i/>
          <w:iCs/>
          <w:sz w:val="24"/>
          <w:szCs w:val="24"/>
        </w:rPr>
        <w:t>Indian Act</w:t>
      </w:r>
      <w:r w:rsidRPr="00217E08">
        <w:rPr>
          <w:rFonts w:ascii="Segoe UI" w:hAnsi="Segoe UI" w:cs="Segoe UI"/>
          <w:sz w:val="24"/>
          <w:szCs w:val="24"/>
        </w:rPr>
        <w:t xml:space="preserve"> discrimination is the second generation cut-off, which was introduced in 1985. The effect of the second generation cut-off is to bar transmission of </w:t>
      </w:r>
      <w:r>
        <w:rPr>
          <w:rFonts w:ascii="Segoe UI" w:hAnsi="Segoe UI" w:cs="Segoe UI"/>
          <w:sz w:val="24"/>
          <w:szCs w:val="24"/>
        </w:rPr>
        <w:t xml:space="preserve">Indian </w:t>
      </w:r>
      <w:r w:rsidRPr="00217E08">
        <w:rPr>
          <w:rFonts w:ascii="Segoe UI" w:hAnsi="Segoe UI" w:cs="Segoe UI"/>
          <w:sz w:val="24"/>
          <w:szCs w:val="24"/>
        </w:rPr>
        <w:t>status to a child who has both a grandparent and a parent who conceived a child with a non-status person. In other words, two generations of out-parenting</w:t>
      </w:r>
      <w:r>
        <w:rPr>
          <w:rFonts w:ascii="Segoe UI" w:hAnsi="Segoe UI" w:cs="Segoe UI"/>
          <w:sz w:val="24"/>
          <w:szCs w:val="24"/>
        </w:rPr>
        <w:t xml:space="preserve"> (a status Indian parenting with a non-status Indian)</w:t>
      </w:r>
      <w:r w:rsidRPr="00217E08">
        <w:rPr>
          <w:rFonts w:ascii="Segoe UI" w:hAnsi="Segoe UI" w:cs="Segoe UI"/>
          <w:sz w:val="24"/>
          <w:szCs w:val="24"/>
        </w:rPr>
        <w:t xml:space="preserve"> results in no status. </w:t>
      </w:r>
    </w:p>
    <w:p w14:paraId="249E38CD" w14:textId="77777777" w:rsidR="00350FA3" w:rsidRDefault="00350FA3">
      <w:pPr>
        <w:pStyle w:val="Normal1"/>
        <w:rPr>
          <w:rFonts w:ascii="Segoe UI" w:hAnsi="Segoe UI" w:cs="Segoe UI"/>
          <w:sz w:val="24"/>
          <w:szCs w:val="24"/>
        </w:rPr>
      </w:pPr>
    </w:p>
    <w:p w14:paraId="64F5CE96" w14:textId="77777777" w:rsidR="00350FA3" w:rsidRDefault="00350FA3" w:rsidP="00680670">
      <w:pPr>
        <w:pStyle w:val="Normal1"/>
        <w:numPr>
          <w:ilvl w:val="0"/>
          <w:numId w:val="3"/>
        </w:numPr>
        <w:rPr>
          <w:rFonts w:ascii="Segoe UI" w:hAnsi="Segoe UI" w:cs="Segoe UI"/>
          <w:sz w:val="24"/>
          <w:szCs w:val="24"/>
        </w:rPr>
      </w:pPr>
      <w:r w:rsidRPr="00217E08">
        <w:rPr>
          <w:rFonts w:ascii="Segoe UI" w:hAnsi="Segoe UI" w:cs="Segoe UI"/>
          <w:sz w:val="24"/>
          <w:szCs w:val="24"/>
        </w:rPr>
        <w:t>Embedded in the second generation cut-off is a two parent rule. A parent with full status (or 6(1) status) who parents with a non-status person can only transmit half status, or 6(2) status. In Canada now 29% of status Indians have only 6(2) status. If they parent with a non-status person, their child will have no status. A 6(2) Indian must parent with another status Indian in order to transmit status to a child. This rule, which requires two status parents in order to transmit full status to a child, is the vehicle for continuing Canada’s policy of forced assimilation, and the goal of making Indians ‘disappear.’</w:t>
      </w:r>
    </w:p>
    <w:p w14:paraId="45034096" w14:textId="77777777" w:rsidR="00350FA3" w:rsidRDefault="00350FA3">
      <w:pPr>
        <w:pStyle w:val="Normal1"/>
        <w:rPr>
          <w:rFonts w:ascii="Segoe UI" w:hAnsi="Segoe UI" w:cs="Segoe UI"/>
          <w:sz w:val="24"/>
          <w:szCs w:val="24"/>
        </w:rPr>
      </w:pPr>
    </w:p>
    <w:p w14:paraId="28D18A25" w14:textId="77777777" w:rsidR="00350FA3" w:rsidRDefault="00350FA3" w:rsidP="00CE6EF4">
      <w:pPr>
        <w:pStyle w:val="Normal1"/>
        <w:numPr>
          <w:ilvl w:val="0"/>
          <w:numId w:val="3"/>
        </w:numPr>
        <w:rPr>
          <w:rFonts w:ascii="Segoe UI" w:hAnsi="Segoe UI" w:cs="Segoe UI"/>
          <w:sz w:val="24"/>
          <w:szCs w:val="24"/>
        </w:rPr>
      </w:pPr>
      <w:r w:rsidRPr="00CE6EF4">
        <w:rPr>
          <w:rFonts w:ascii="Segoe UI" w:hAnsi="Segoe UI" w:cs="Segoe UI"/>
          <w:sz w:val="24"/>
          <w:szCs w:val="24"/>
        </w:rPr>
        <w:t xml:space="preserve">This is a genocidal policy that will result in the legal extinction of status Indians. Everyone – demographers, legal experts, and the Government of Canada – agrees that </w:t>
      </w:r>
      <w:hyperlink r:id="rId21" w:anchor="sec3">
        <w:r w:rsidRPr="00CE6EF4">
          <w:rPr>
            <w:rFonts w:ascii="Segoe UI" w:hAnsi="Segoe UI" w:cs="Segoe UI"/>
            <w:color w:val="833C0B"/>
            <w:sz w:val="24"/>
            <w:szCs w:val="24"/>
            <w:u w:val="single"/>
          </w:rPr>
          <w:t>these rules will make status Indians legally extinct in three or four generations</w:t>
        </w:r>
      </w:hyperlink>
      <w:r w:rsidRPr="00CE6EF4">
        <w:rPr>
          <w:rFonts w:ascii="Segoe UI" w:hAnsi="Segoe UI" w:cs="Segoe UI"/>
          <w:sz w:val="24"/>
          <w:szCs w:val="24"/>
        </w:rPr>
        <w:t>. Because of rates of out-parenting, under the current policy, the numbers of those who are legally eligible for Indian status is diminishing rapidly</w:t>
      </w:r>
      <w:r>
        <w:rPr>
          <w:rStyle w:val="FootnoteReference"/>
          <w:rFonts w:ascii="Segoe UI" w:hAnsi="Segoe UI" w:cs="Segoe UI"/>
          <w:sz w:val="24"/>
          <w:szCs w:val="24"/>
        </w:rPr>
        <w:footnoteReference w:id="1"/>
      </w:r>
      <w:r w:rsidRPr="00CE6EF4">
        <w:rPr>
          <w:rFonts w:ascii="Segoe UI" w:hAnsi="Segoe UI" w:cs="Segoe UI"/>
          <w:sz w:val="24"/>
          <w:szCs w:val="24"/>
        </w:rPr>
        <w:t>.</w:t>
      </w:r>
    </w:p>
    <w:p w14:paraId="09AD6425" w14:textId="77777777" w:rsidR="00350FA3" w:rsidRPr="00CE6EF4" w:rsidRDefault="00350FA3" w:rsidP="00CE6EF4">
      <w:pPr>
        <w:pStyle w:val="Normal1"/>
        <w:rPr>
          <w:rFonts w:ascii="Segoe UI" w:hAnsi="Segoe UI" w:cs="Segoe UI"/>
          <w:sz w:val="24"/>
          <w:szCs w:val="24"/>
        </w:rPr>
      </w:pPr>
    </w:p>
    <w:p w14:paraId="5BE7837B" w14:textId="77777777" w:rsidR="00350FA3" w:rsidRPr="00217E08" w:rsidRDefault="00350FA3" w:rsidP="00680670">
      <w:pPr>
        <w:pStyle w:val="Normal1"/>
        <w:numPr>
          <w:ilvl w:val="0"/>
          <w:numId w:val="3"/>
        </w:numPr>
        <w:rPr>
          <w:rFonts w:ascii="Segoe UI" w:hAnsi="Segoe UI" w:cs="Segoe UI"/>
          <w:sz w:val="24"/>
          <w:szCs w:val="24"/>
        </w:rPr>
      </w:pPr>
      <w:r w:rsidRPr="00217E08">
        <w:rPr>
          <w:rFonts w:ascii="Segoe UI" w:hAnsi="Segoe UI" w:cs="Segoe UI"/>
          <w:sz w:val="24"/>
          <w:szCs w:val="24"/>
        </w:rPr>
        <w:t xml:space="preserve">In addition, although the second generation cut-off is gender neutral on its face, it perpetuates </w:t>
      </w:r>
      <w:r>
        <w:rPr>
          <w:rFonts w:ascii="Segoe UI" w:hAnsi="Segoe UI" w:cs="Segoe UI"/>
          <w:sz w:val="24"/>
          <w:szCs w:val="24"/>
        </w:rPr>
        <w:t>past</w:t>
      </w:r>
      <w:r w:rsidRPr="00217E08">
        <w:rPr>
          <w:rFonts w:ascii="Segoe UI" w:hAnsi="Segoe UI" w:cs="Segoe UI"/>
          <w:sz w:val="24"/>
          <w:szCs w:val="24"/>
        </w:rPr>
        <w:t xml:space="preserve"> sex discrimination, because it causes the descendants of women who ‘married out’ to lose status sooner than the descendants of men who ‘married out’. In addition, the burden of the second generation cut-off falls particularly heavily on a woman with 6(2) status because she cannot transmit status to her child if the father refuses to claim paternity, or if she cannot name the father because the child was conceived as a result of violence, incest, adultery or other abuse. </w:t>
      </w:r>
    </w:p>
    <w:p w14:paraId="5BABEDAF" w14:textId="77777777" w:rsidR="00350FA3" w:rsidRPr="00217E08" w:rsidRDefault="00350FA3">
      <w:pPr>
        <w:pStyle w:val="Normal1"/>
        <w:rPr>
          <w:rFonts w:ascii="Segoe UI" w:hAnsi="Segoe UI" w:cs="Segoe UI"/>
          <w:sz w:val="24"/>
          <w:szCs w:val="24"/>
        </w:rPr>
      </w:pPr>
    </w:p>
    <w:p w14:paraId="6DCA30E8" w14:textId="77777777" w:rsidR="00350FA3" w:rsidRPr="00217E08" w:rsidRDefault="00350FA3" w:rsidP="00680670">
      <w:pPr>
        <w:pStyle w:val="Normal1"/>
        <w:numPr>
          <w:ilvl w:val="0"/>
          <w:numId w:val="3"/>
        </w:numPr>
        <w:rPr>
          <w:rFonts w:ascii="Segoe UI" w:hAnsi="Segoe UI" w:cs="Segoe UI"/>
          <w:sz w:val="24"/>
          <w:szCs w:val="24"/>
          <w:highlight w:val="white"/>
        </w:rPr>
      </w:pPr>
      <w:r w:rsidRPr="00217E08">
        <w:rPr>
          <w:rFonts w:ascii="Segoe UI" w:hAnsi="Segoe UI" w:cs="Segoe UI"/>
          <w:sz w:val="24"/>
          <w:szCs w:val="24"/>
          <w:highlight w:val="white"/>
        </w:rPr>
        <w:t>On May 29, 2025, Bill S-2</w:t>
      </w:r>
      <w:r>
        <w:rPr>
          <w:rStyle w:val="FootnoteReference"/>
          <w:rFonts w:ascii="Segoe UI" w:hAnsi="Segoe UI" w:cs="Segoe UI"/>
          <w:sz w:val="24"/>
          <w:szCs w:val="24"/>
          <w:highlight w:val="white"/>
        </w:rPr>
        <w:footnoteReference w:id="2"/>
      </w:r>
      <w:r w:rsidRPr="00217E08">
        <w:rPr>
          <w:rFonts w:ascii="Segoe UI" w:hAnsi="Segoe UI" w:cs="Segoe UI"/>
          <w:sz w:val="24"/>
          <w:szCs w:val="24"/>
          <w:highlight w:val="white"/>
        </w:rPr>
        <w:t xml:space="preserve"> was introduced to amend the </w:t>
      </w:r>
      <w:r w:rsidRPr="00217E08">
        <w:rPr>
          <w:rFonts w:ascii="Segoe UI" w:hAnsi="Segoe UI" w:cs="Segoe UI"/>
          <w:i/>
          <w:iCs/>
          <w:sz w:val="24"/>
          <w:szCs w:val="24"/>
          <w:highlight w:val="white"/>
        </w:rPr>
        <w:t>Indian Act</w:t>
      </w:r>
      <w:r w:rsidRPr="00217E08">
        <w:rPr>
          <w:rFonts w:ascii="Segoe UI" w:hAnsi="Segoe UI" w:cs="Segoe UI"/>
          <w:sz w:val="24"/>
          <w:szCs w:val="24"/>
          <w:highlight w:val="white"/>
        </w:rPr>
        <w:t xml:space="preserve"> in response to a decision in the </w:t>
      </w:r>
      <w:r w:rsidRPr="00217E08">
        <w:rPr>
          <w:rFonts w:ascii="Segoe UI" w:hAnsi="Segoe UI" w:cs="Segoe UI"/>
          <w:i/>
          <w:iCs/>
          <w:sz w:val="24"/>
          <w:szCs w:val="24"/>
          <w:highlight w:val="white"/>
        </w:rPr>
        <w:t xml:space="preserve">Nicholas v. Canada </w:t>
      </w:r>
      <w:r w:rsidRPr="00217E08">
        <w:rPr>
          <w:rFonts w:ascii="Segoe UI" w:hAnsi="Segoe UI" w:cs="Segoe UI"/>
          <w:sz w:val="24"/>
          <w:szCs w:val="24"/>
          <w:highlight w:val="white"/>
        </w:rPr>
        <w:t xml:space="preserve">case, in which the British Columbia Supreme Court ruled that sections of the </w:t>
      </w:r>
      <w:r w:rsidRPr="00217E08">
        <w:rPr>
          <w:rFonts w:ascii="Segoe UI" w:hAnsi="Segoe UI" w:cs="Segoe UI"/>
          <w:i/>
          <w:iCs/>
          <w:sz w:val="24"/>
          <w:szCs w:val="24"/>
          <w:highlight w:val="white"/>
        </w:rPr>
        <w:t>Indian Act</w:t>
      </w:r>
      <w:r w:rsidRPr="00217E08">
        <w:rPr>
          <w:rFonts w:ascii="Segoe UI" w:hAnsi="Segoe UI" w:cs="Segoe UI"/>
          <w:sz w:val="24"/>
          <w:szCs w:val="24"/>
          <w:highlight w:val="white"/>
        </w:rPr>
        <w:t xml:space="preserve"> are unconstitutional</w:t>
      </w:r>
      <w:r w:rsidRPr="00217E08">
        <w:rPr>
          <w:rFonts w:ascii="Segoe UI" w:hAnsi="Segoe UI" w:cs="Segoe UI"/>
          <w:sz w:val="24"/>
          <w:szCs w:val="24"/>
          <w:highlight w:val="white"/>
          <w:vertAlign w:val="superscript"/>
        </w:rPr>
        <w:footnoteReference w:id="3"/>
      </w:r>
      <w:r w:rsidRPr="00217E08">
        <w:rPr>
          <w:rFonts w:ascii="Segoe UI" w:hAnsi="Segoe UI" w:cs="Segoe UI"/>
          <w:sz w:val="24"/>
          <w:szCs w:val="24"/>
          <w:highlight w:val="white"/>
        </w:rPr>
        <w:t xml:space="preserve"> because they automatically remove status from the women and children of men who enfranchised, whether voluntarily or involuntarily. The Court allowed the Government of Canada until April 30, 2026, to enact law allowing enfranchised individuals and their direct descendants to register for status</w:t>
      </w:r>
      <w:r w:rsidRPr="00217E08">
        <w:rPr>
          <w:rFonts w:ascii="Segoe UI" w:hAnsi="Segoe UI" w:cs="Segoe UI"/>
          <w:sz w:val="24"/>
          <w:szCs w:val="24"/>
          <w:highlight w:val="white"/>
          <w:vertAlign w:val="superscript"/>
        </w:rPr>
        <w:footnoteReference w:id="4"/>
      </w:r>
      <w:r w:rsidRPr="00217E08">
        <w:rPr>
          <w:rFonts w:ascii="Segoe UI" w:hAnsi="Segoe UI" w:cs="Segoe UI"/>
          <w:sz w:val="24"/>
          <w:szCs w:val="24"/>
          <w:highlight w:val="white"/>
        </w:rPr>
        <w:t xml:space="preserve"> (</w:t>
      </w:r>
      <w:r>
        <w:rPr>
          <w:rFonts w:ascii="Segoe UI" w:hAnsi="Segoe UI" w:cs="Segoe UI"/>
          <w:sz w:val="24"/>
          <w:szCs w:val="24"/>
          <w:highlight w:val="white"/>
        </w:rPr>
        <w:t>I</w:t>
      </w:r>
      <w:r w:rsidRPr="00217E08">
        <w:rPr>
          <w:rFonts w:ascii="Segoe UI" w:hAnsi="Segoe UI" w:cs="Segoe UI"/>
          <w:sz w:val="24"/>
          <w:szCs w:val="24"/>
          <w:highlight w:val="white"/>
        </w:rPr>
        <w:t xml:space="preserve">f needed, the Government of Canada can apply to the court to extend this deadline). </w:t>
      </w:r>
    </w:p>
    <w:p w14:paraId="00C3286D" w14:textId="77777777" w:rsidR="00350FA3" w:rsidRPr="00217E08" w:rsidRDefault="00350FA3" w:rsidP="00BD42A7">
      <w:pPr>
        <w:pStyle w:val="Normal1"/>
        <w:rPr>
          <w:rFonts w:ascii="Segoe UI" w:hAnsi="Segoe UI" w:cs="Segoe UI"/>
          <w:sz w:val="24"/>
          <w:szCs w:val="24"/>
          <w:highlight w:val="white"/>
        </w:rPr>
      </w:pPr>
    </w:p>
    <w:p w14:paraId="59F27F8A" w14:textId="77777777" w:rsidR="00350FA3" w:rsidRDefault="00350FA3" w:rsidP="00217E08">
      <w:pPr>
        <w:pStyle w:val="Normal1"/>
        <w:numPr>
          <w:ilvl w:val="0"/>
          <w:numId w:val="3"/>
        </w:numPr>
        <w:rPr>
          <w:rFonts w:ascii="Segoe UI" w:hAnsi="Segoe UI" w:cs="Segoe UI"/>
          <w:sz w:val="24"/>
          <w:szCs w:val="24"/>
        </w:rPr>
      </w:pPr>
      <w:r w:rsidRPr="00217E08">
        <w:rPr>
          <w:rFonts w:ascii="Segoe UI" w:hAnsi="Segoe UI" w:cs="Segoe UI"/>
          <w:sz w:val="24"/>
          <w:szCs w:val="24"/>
          <w:highlight w:val="white"/>
        </w:rPr>
        <w:t xml:space="preserve">Bill S-2 was introduced in the Senate and referred for consideration to the Standing Senate Committee on Indigenous Peoples (Senate Committee). That Committee, faced with another piecemeal amendment to the </w:t>
      </w:r>
      <w:r w:rsidRPr="00217E08">
        <w:rPr>
          <w:rFonts w:ascii="Segoe UI" w:hAnsi="Segoe UI" w:cs="Segoe UI"/>
          <w:i/>
          <w:iCs/>
          <w:sz w:val="24"/>
          <w:szCs w:val="24"/>
          <w:highlight w:val="white"/>
        </w:rPr>
        <w:t>Indian Act</w:t>
      </w:r>
      <w:r w:rsidRPr="00217E08">
        <w:rPr>
          <w:rFonts w:ascii="Segoe UI" w:hAnsi="Segoe UI" w:cs="Segoe UI"/>
          <w:sz w:val="24"/>
          <w:szCs w:val="24"/>
          <w:highlight w:val="white"/>
        </w:rPr>
        <w:t xml:space="preserve"> designed only to respond to another constitutional challenge that Canada lost, voted to amend Bill S-2 to eliminate the </w:t>
      </w:r>
      <w:r w:rsidRPr="00217E08">
        <w:rPr>
          <w:rFonts w:ascii="Segoe UI" w:hAnsi="Segoe UI" w:cs="Segoe UI"/>
          <w:i/>
          <w:iCs/>
          <w:sz w:val="24"/>
          <w:szCs w:val="24"/>
          <w:highlight w:val="white"/>
        </w:rPr>
        <w:t>Indian Act</w:t>
      </w:r>
      <w:r w:rsidRPr="00217E08">
        <w:rPr>
          <w:rFonts w:ascii="Segoe UI" w:hAnsi="Segoe UI" w:cs="Segoe UI"/>
          <w:sz w:val="24"/>
          <w:szCs w:val="24"/>
          <w:highlight w:val="white"/>
        </w:rPr>
        <w:t>’s second-generation cut-off, return to a one</w:t>
      </w:r>
      <w:r>
        <w:rPr>
          <w:rFonts w:ascii="Segoe UI" w:hAnsi="Segoe UI" w:cs="Segoe UI"/>
          <w:sz w:val="24"/>
          <w:szCs w:val="24"/>
          <w:highlight w:val="white"/>
        </w:rPr>
        <w:t xml:space="preserve"> </w:t>
      </w:r>
      <w:r w:rsidRPr="00217E08">
        <w:rPr>
          <w:rFonts w:ascii="Segoe UI" w:hAnsi="Segoe UI" w:cs="Segoe UI"/>
          <w:sz w:val="24"/>
          <w:szCs w:val="24"/>
          <w:highlight w:val="white"/>
        </w:rPr>
        <w:t>parent rule for transmission of status, and end the legislative extinction plan for Indigenous peoples.</w:t>
      </w:r>
      <w:r w:rsidRPr="00217E08">
        <w:rPr>
          <w:rFonts w:ascii="Segoe UI" w:hAnsi="Segoe UI" w:cs="Segoe UI"/>
          <w:sz w:val="24"/>
          <w:szCs w:val="24"/>
          <w:highlight w:val="white"/>
          <w:vertAlign w:val="superscript"/>
        </w:rPr>
        <w:footnoteReference w:id="5"/>
      </w:r>
      <w:r w:rsidRPr="00217E08">
        <w:rPr>
          <w:rFonts w:ascii="Segoe UI" w:hAnsi="Segoe UI" w:cs="Segoe UI"/>
          <w:sz w:val="24"/>
          <w:szCs w:val="24"/>
          <w:highlight w:val="white"/>
        </w:rPr>
        <w:t xml:space="preserve"> The Senate Committee heard 57 witnesses, including many Chiefs</w:t>
      </w:r>
      <w:r>
        <w:rPr>
          <w:rFonts w:ascii="Segoe UI" w:hAnsi="Segoe UI" w:cs="Segoe UI"/>
          <w:sz w:val="24"/>
          <w:szCs w:val="24"/>
          <w:highlight w:val="white"/>
        </w:rPr>
        <w:t xml:space="preserve"> and</w:t>
      </w:r>
      <w:r w:rsidRPr="00217E08">
        <w:rPr>
          <w:rFonts w:ascii="Segoe UI" w:hAnsi="Segoe UI" w:cs="Segoe UI"/>
          <w:sz w:val="24"/>
          <w:szCs w:val="24"/>
          <w:highlight w:val="white"/>
        </w:rPr>
        <w:t xml:space="preserve"> Indigenous organizations representing Bands in different regions of the country, </w:t>
      </w:r>
      <w:r>
        <w:rPr>
          <w:rFonts w:ascii="Segoe UI" w:hAnsi="Segoe UI" w:cs="Segoe UI"/>
          <w:sz w:val="24"/>
          <w:szCs w:val="24"/>
          <w:highlight w:val="white"/>
        </w:rPr>
        <w:t xml:space="preserve">as well as </w:t>
      </w:r>
      <w:r w:rsidRPr="00217E08">
        <w:rPr>
          <w:rFonts w:ascii="Segoe UI" w:hAnsi="Segoe UI" w:cs="Segoe UI"/>
          <w:sz w:val="24"/>
          <w:szCs w:val="24"/>
          <w:highlight w:val="white"/>
        </w:rPr>
        <w:t>First Nations women’s organizations, legal experts and affected individuals</w:t>
      </w:r>
      <w:r>
        <w:rPr>
          <w:rFonts w:ascii="Segoe UI" w:hAnsi="Segoe UI" w:cs="Segoe UI"/>
          <w:sz w:val="24"/>
          <w:szCs w:val="24"/>
          <w:highlight w:val="white"/>
        </w:rPr>
        <w:t>. Witnesses</w:t>
      </w:r>
      <w:r w:rsidRPr="00217E08">
        <w:rPr>
          <w:rFonts w:ascii="Segoe UI" w:hAnsi="Segoe UI" w:cs="Segoe UI"/>
          <w:sz w:val="24"/>
          <w:szCs w:val="24"/>
          <w:highlight w:val="white"/>
        </w:rPr>
        <w:t xml:space="preserve"> </w:t>
      </w:r>
      <w:r>
        <w:rPr>
          <w:rFonts w:ascii="Segoe UI" w:hAnsi="Segoe UI" w:cs="Segoe UI"/>
          <w:sz w:val="24"/>
          <w:szCs w:val="24"/>
          <w:highlight w:val="white"/>
        </w:rPr>
        <w:t xml:space="preserve"> expressed </w:t>
      </w:r>
      <w:r w:rsidRPr="00217E08">
        <w:rPr>
          <w:rFonts w:ascii="Segoe UI" w:hAnsi="Segoe UI" w:cs="Segoe UI"/>
          <w:sz w:val="24"/>
          <w:szCs w:val="24"/>
          <w:highlight w:val="white"/>
        </w:rPr>
        <w:t>overwhelming support</w:t>
      </w:r>
      <w:r>
        <w:rPr>
          <w:rFonts w:ascii="Segoe UI" w:hAnsi="Segoe UI" w:cs="Segoe UI"/>
          <w:sz w:val="24"/>
          <w:szCs w:val="24"/>
          <w:highlight w:val="white"/>
        </w:rPr>
        <w:t xml:space="preserve"> for</w:t>
      </w:r>
      <w:r w:rsidRPr="00217E08">
        <w:rPr>
          <w:rFonts w:ascii="Segoe UI" w:hAnsi="Segoe UI" w:cs="Segoe UI"/>
          <w:sz w:val="24"/>
          <w:szCs w:val="24"/>
          <w:highlight w:val="white"/>
        </w:rPr>
        <w:t xml:space="preserve"> the immediate removal of the second generation cut-off. The Chair of the Committee, Mi’kmaw Senator Paul Prosper, when urging the Senate as a whole to support the amendments adopted by the Senate Committee, noted the </w:t>
      </w:r>
      <w:r w:rsidRPr="00217E08">
        <w:rPr>
          <w:rFonts w:ascii="Segoe UI" w:hAnsi="Segoe UI" w:cs="Segoe UI"/>
          <w:sz w:val="24"/>
          <w:szCs w:val="24"/>
          <w:highlight w:val="white"/>
        </w:rPr>
        <w:lastRenderedPageBreak/>
        <w:t xml:space="preserve">damage being done </w:t>
      </w:r>
      <w:r>
        <w:rPr>
          <w:rFonts w:ascii="Segoe UI" w:hAnsi="Segoe UI" w:cs="Segoe UI"/>
          <w:sz w:val="24"/>
          <w:szCs w:val="24"/>
          <w:highlight w:val="white"/>
        </w:rPr>
        <w:t xml:space="preserve">now </w:t>
      </w:r>
      <w:r w:rsidRPr="00217E08">
        <w:rPr>
          <w:rFonts w:ascii="Segoe UI" w:hAnsi="Segoe UI" w:cs="Segoe UI"/>
          <w:sz w:val="24"/>
          <w:szCs w:val="24"/>
          <w:highlight w:val="white"/>
        </w:rPr>
        <w:t>to First Nations individuals and communities because of the discriminatory and assimilationist effects of the second-generation cutoff.</w:t>
      </w:r>
      <w:r w:rsidRPr="00217E08">
        <w:rPr>
          <w:rFonts w:ascii="Segoe UI" w:hAnsi="Segoe UI" w:cs="Segoe UI"/>
          <w:sz w:val="24"/>
          <w:szCs w:val="24"/>
          <w:highlight w:val="white"/>
          <w:vertAlign w:val="superscript"/>
        </w:rPr>
        <w:footnoteReference w:id="6"/>
      </w:r>
      <w:r w:rsidRPr="00217E08">
        <w:rPr>
          <w:rFonts w:ascii="Segoe UI" w:hAnsi="Segoe UI" w:cs="Segoe UI"/>
          <w:sz w:val="24"/>
          <w:szCs w:val="24"/>
        </w:rPr>
        <w:t xml:space="preserve"> </w:t>
      </w:r>
      <w:r w:rsidRPr="00217E08">
        <w:rPr>
          <w:rFonts w:ascii="Segoe UI" w:hAnsi="Segoe UI" w:cs="Segoe UI"/>
          <w:sz w:val="24"/>
          <w:szCs w:val="24"/>
          <w:highlight w:val="white"/>
        </w:rPr>
        <w:t>On December 5, 2025, the Senate, as a whole, voted 63-0 in favour of Bill S-2 with amendments to remove the 1985 second-generation cut-off and return to a one parent rule for transmission of status.</w:t>
      </w:r>
      <w:r w:rsidRPr="00217E08">
        <w:rPr>
          <w:rFonts w:ascii="Segoe UI" w:hAnsi="Segoe UI" w:cs="Segoe UI"/>
          <w:sz w:val="24"/>
          <w:szCs w:val="24"/>
          <w:highlight w:val="white"/>
          <w:vertAlign w:val="superscript"/>
        </w:rPr>
        <w:footnoteReference w:id="7"/>
      </w:r>
    </w:p>
    <w:p w14:paraId="4713B5D6" w14:textId="77777777" w:rsidR="00350FA3" w:rsidRPr="00217E08" w:rsidRDefault="00350FA3" w:rsidP="00217E08">
      <w:pPr>
        <w:pStyle w:val="Normal1"/>
        <w:rPr>
          <w:rFonts w:ascii="Segoe UI" w:hAnsi="Segoe UI" w:cs="Segoe UI"/>
          <w:sz w:val="24"/>
          <w:szCs w:val="24"/>
        </w:rPr>
      </w:pPr>
    </w:p>
    <w:p w14:paraId="5A33BCD7" w14:textId="77777777" w:rsidR="00350FA3" w:rsidRPr="00217E08" w:rsidRDefault="00350FA3" w:rsidP="00680670">
      <w:pPr>
        <w:pStyle w:val="Normal1"/>
        <w:numPr>
          <w:ilvl w:val="0"/>
          <w:numId w:val="3"/>
        </w:numPr>
        <w:rPr>
          <w:rFonts w:ascii="Segoe UI" w:hAnsi="Segoe UI" w:cs="Segoe UI"/>
          <w:sz w:val="24"/>
          <w:szCs w:val="24"/>
          <w:highlight w:val="white"/>
        </w:rPr>
      </w:pPr>
      <w:r w:rsidRPr="00217E08">
        <w:rPr>
          <w:rFonts w:ascii="Segoe UI" w:hAnsi="Segoe UI" w:cs="Segoe UI"/>
          <w:sz w:val="24"/>
          <w:szCs w:val="24"/>
          <w:highlight w:val="white"/>
        </w:rPr>
        <w:t>Bill S-2, with the amendments made by the Senate, was introduced in the House of Commons on December 10, 2025, and will be referred to the Standing Committee of the House of Commons on Indian and Northern Affairs.</w:t>
      </w:r>
      <w:r w:rsidRPr="00217E08">
        <w:rPr>
          <w:rStyle w:val="FootnoteReference"/>
          <w:rFonts w:ascii="Segoe UI" w:hAnsi="Segoe UI" w:cs="Segoe UI"/>
          <w:sz w:val="24"/>
          <w:szCs w:val="24"/>
          <w:highlight w:val="white"/>
        </w:rPr>
        <w:footnoteReference w:id="8"/>
      </w:r>
      <w:r w:rsidRPr="00217E08">
        <w:rPr>
          <w:rFonts w:ascii="Segoe UI" w:hAnsi="Segoe UI" w:cs="Segoe UI"/>
          <w:sz w:val="24"/>
          <w:szCs w:val="24"/>
          <w:highlight w:val="white"/>
        </w:rPr>
        <w:t xml:space="preserve"> It is expected that the Government of Canada will urge this Committee, and the House of Commons as a whole, to remove the Senate’s amendments before referring Bill S-2 back to the Senate.</w:t>
      </w:r>
    </w:p>
    <w:p w14:paraId="0DE065BE" w14:textId="77777777" w:rsidR="00350FA3" w:rsidRPr="00217E08" w:rsidRDefault="00350FA3" w:rsidP="00ED7604">
      <w:pPr>
        <w:pStyle w:val="Normal1"/>
        <w:rPr>
          <w:rFonts w:ascii="Segoe UI" w:hAnsi="Segoe UI" w:cs="Segoe UI"/>
          <w:sz w:val="24"/>
          <w:szCs w:val="24"/>
          <w:highlight w:val="white"/>
        </w:rPr>
      </w:pPr>
    </w:p>
    <w:p w14:paraId="74ABD122" w14:textId="77777777" w:rsidR="00350FA3" w:rsidRPr="00217E08" w:rsidRDefault="00350FA3" w:rsidP="00680670">
      <w:pPr>
        <w:pStyle w:val="Normal1"/>
        <w:numPr>
          <w:ilvl w:val="0"/>
          <w:numId w:val="3"/>
        </w:numPr>
        <w:rPr>
          <w:rFonts w:ascii="Segoe UI" w:hAnsi="Segoe UI" w:cs="Segoe UI"/>
          <w:sz w:val="24"/>
          <w:szCs w:val="24"/>
          <w:highlight w:val="white"/>
        </w:rPr>
      </w:pPr>
      <w:r w:rsidRPr="00217E08">
        <w:rPr>
          <w:rFonts w:ascii="Segoe UI" w:hAnsi="Segoe UI" w:cs="Segoe UI"/>
          <w:sz w:val="24"/>
          <w:szCs w:val="24"/>
          <w:highlight w:val="white"/>
        </w:rPr>
        <w:t xml:space="preserve">It is vital that these amendments be retained. Removing the second generation cut-off now, and returning to a one parent rule for transmission of status, is crucial. </w:t>
      </w:r>
      <w:r w:rsidRPr="00217E08">
        <w:rPr>
          <w:rFonts w:ascii="Segoe UI" w:hAnsi="Segoe UI" w:cs="Segoe UI"/>
          <w:sz w:val="24"/>
          <w:szCs w:val="24"/>
        </w:rPr>
        <w:t>While Canada now recognizes that it must end the second generation cut-off, it is determined to continue consultation on this issue, despite the fact that forty years of consultation since 1985 have produced no legislative reform</w:t>
      </w:r>
      <w:r>
        <w:rPr>
          <w:rFonts w:ascii="Segoe UI" w:hAnsi="Segoe UI" w:cs="Segoe UI"/>
          <w:sz w:val="24"/>
          <w:szCs w:val="24"/>
        </w:rPr>
        <w:t xml:space="preserve"> and that the extinction plan is a clear violation of Indigenous rights and perpetuates race- and sex- based discrimination</w:t>
      </w:r>
      <w:r w:rsidRPr="00217E08">
        <w:rPr>
          <w:rFonts w:ascii="Segoe UI" w:hAnsi="Segoe UI" w:cs="Segoe UI"/>
          <w:sz w:val="24"/>
          <w:szCs w:val="24"/>
        </w:rPr>
        <w:t xml:space="preserve">. Moreover, witnesses before the Senate Committee, who have urged the immediate elimination of the second generation cut-off, represent the majority of participants in </w:t>
      </w:r>
      <w:r>
        <w:rPr>
          <w:rFonts w:ascii="Segoe UI" w:hAnsi="Segoe UI" w:cs="Segoe UI"/>
          <w:sz w:val="24"/>
          <w:szCs w:val="24"/>
        </w:rPr>
        <w:t>Canada’s</w:t>
      </w:r>
      <w:r w:rsidRPr="00217E08">
        <w:rPr>
          <w:rFonts w:ascii="Segoe UI" w:hAnsi="Segoe UI" w:cs="Segoe UI"/>
          <w:sz w:val="24"/>
          <w:szCs w:val="24"/>
        </w:rPr>
        <w:t xml:space="preserve"> consultation process. </w:t>
      </w:r>
    </w:p>
    <w:p w14:paraId="7E82FE82" w14:textId="77777777" w:rsidR="00350FA3" w:rsidRPr="00217E08" w:rsidRDefault="00350FA3" w:rsidP="0078389D">
      <w:pPr>
        <w:pStyle w:val="Normal1"/>
        <w:rPr>
          <w:rFonts w:ascii="Segoe UI" w:hAnsi="Segoe UI" w:cs="Segoe UI"/>
          <w:sz w:val="24"/>
          <w:szCs w:val="24"/>
          <w:highlight w:val="white"/>
        </w:rPr>
      </w:pPr>
    </w:p>
    <w:p w14:paraId="026AB67E" w14:textId="77777777" w:rsidR="00350FA3" w:rsidRPr="00294836" w:rsidRDefault="00350FA3" w:rsidP="00680670">
      <w:pPr>
        <w:pStyle w:val="Normal1"/>
        <w:numPr>
          <w:ilvl w:val="0"/>
          <w:numId w:val="3"/>
        </w:numPr>
        <w:rPr>
          <w:rFonts w:ascii="Segoe UI" w:hAnsi="Segoe UI" w:cs="Segoe UI"/>
          <w:sz w:val="24"/>
          <w:szCs w:val="24"/>
          <w:highlight w:val="white"/>
        </w:rPr>
      </w:pPr>
      <w:r w:rsidRPr="00217E08">
        <w:rPr>
          <w:rFonts w:ascii="Segoe UI" w:hAnsi="Segoe UI" w:cs="Segoe UI"/>
          <w:sz w:val="24"/>
          <w:szCs w:val="24"/>
          <w:highlight w:val="white"/>
        </w:rPr>
        <w:t>Right now, children and grandchildren of status Indians are being cut off from their heritage</w:t>
      </w:r>
      <w:r>
        <w:rPr>
          <w:rFonts w:ascii="Segoe UI" w:hAnsi="Segoe UI" w:cs="Segoe UI"/>
          <w:sz w:val="24"/>
          <w:szCs w:val="24"/>
          <w:highlight w:val="white"/>
        </w:rPr>
        <w:t xml:space="preserve">, </w:t>
      </w:r>
      <w:r w:rsidRPr="00217E08">
        <w:rPr>
          <w:rFonts w:ascii="Segoe UI" w:hAnsi="Segoe UI" w:cs="Segoe UI"/>
          <w:sz w:val="24"/>
          <w:szCs w:val="24"/>
          <w:highlight w:val="white"/>
        </w:rPr>
        <w:t>culture,</w:t>
      </w:r>
      <w:r>
        <w:rPr>
          <w:rFonts w:ascii="Segoe UI" w:hAnsi="Segoe UI" w:cs="Segoe UI"/>
          <w:sz w:val="24"/>
          <w:szCs w:val="24"/>
          <w:highlight w:val="white"/>
        </w:rPr>
        <w:t xml:space="preserve"> and families,</w:t>
      </w:r>
      <w:r w:rsidRPr="00217E08">
        <w:rPr>
          <w:rFonts w:ascii="Segoe UI" w:hAnsi="Segoe UI" w:cs="Segoe UI"/>
          <w:sz w:val="24"/>
          <w:szCs w:val="24"/>
          <w:highlight w:val="white"/>
        </w:rPr>
        <w:t xml:space="preserve"> and </w:t>
      </w:r>
      <w:r>
        <w:rPr>
          <w:rFonts w:ascii="Segoe UI" w:hAnsi="Segoe UI" w:cs="Segoe UI"/>
          <w:sz w:val="24"/>
          <w:szCs w:val="24"/>
          <w:highlight w:val="white"/>
        </w:rPr>
        <w:t xml:space="preserve">are being </w:t>
      </w:r>
      <w:r w:rsidRPr="00217E08">
        <w:rPr>
          <w:rFonts w:ascii="Segoe UI" w:hAnsi="Segoe UI" w:cs="Segoe UI"/>
          <w:sz w:val="24"/>
          <w:szCs w:val="24"/>
          <w:highlight w:val="white"/>
        </w:rPr>
        <w:t>denied the benefits of status, which include recognition by Canada as a First Nations person, with Indigenous rights and title, and entitlement to statutory benefits, services and programs essential to well-being for Indigenous peoples.</w:t>
      </w:r>
      <w:r w:rsidRPr="00217E08">
        <w:rPr>
          <w:rFonts w:ascii="Segoe UI" w:hAnsi="Segoe UI" w:cs="Segoe UI"/>
          <w:sz w:val="24"/>
          <w:szCs w:val="24"/>
        </w:rPr>
        <w:t xml:space="preserve"> Only a return to one parent rule for transmission of status can end both the continuing sex discrimination and legal extinction.</w:t>
      </w:r>
    </w:p>
    <w:p w14:paraId="52E7BD97" w14:textId="77777777" w:rsidR="00350FA3" w:rsidRDefault="00350FA3" w:rsidP="00294836">
      <w:pPr>
        <w:pStyle w:val="ListParagraph"/>
        <w:rPr>
          <w:rFonts w:ascii="Segoe UI" w:hAnsi="Segoe UI" w:cs="Segoe UI"/>
          <w:highlight w:val="white"/>
        </w:rPr>
      </w:pPr>
    </w:p>
    <w:p w14:paraId="1F611E14" w14:textId="77777777" w:rsidR="00350FA3" w:rsidRPr="008A7F29" w:rsidRDefault="00350FA3" w:rsidP="00294836">
      <w:pPr>
        <w:pStyle w:val="Normal1"/>
        <w:numPr>
          <w:ilvl w:val="0"/>
          <w:numId w:val="3"/>
        </w:numPr>
        <w:spacing w:before="120" w:after="120"/>
        <w:ind w:right="203"/>
        <w:rPr>
          <w:rFonts w:ascii="Segoe UI" w:hAnsi="Segoe UI" w:cs="Segoe UI"/>
          <w:color w:val="000000"/>
          <w:sz w:val="24"/>
          <w:szCs w:val="24"/>
        </w:rPr>
      </w:pPr>
      <w:r w:rsidRPr="008A7F29">
        <w:rPr>
          <w:rFonts w:ascii="Segoe UI" w:hAnsi="Segoe UI" w:cs="Segoe UI"/>
          <w:sz w:val="24"/>
          <w:szCs w:val="24"/>
          <w:highlight w:val="white"/>
        </w:rPr>
        <w:t>The amendments to Bill S-2 must be retained for Indigenous women’s rights to be protected and for Canada to be in compliance with</w:t>
      </w:r>
      <w:r w:rsidRPr="008A7F29">
        <w:rPr>
          <w:rFonts w:ascii="Segoe UI" w:hAnsi="Segoe UI" w:cs="Segoe UI"/>
          <w:sz w:val="24"/>
          <w:szCs w:val="24"/>
        </w:rPr>
        <w:t xml:space="preserve"> the </w:t>
      </w:r>
      <w:r w:rsidRPr="008A7F29">
        <w:rPr>
          <w:rFonts w:ascii="Segoe UI" w:hAnsi="Segoe UI" w:cs="Segoe UI"/>
          <w:i/>
          <w:iCs/>
          <w:color w:val="000000"/>
          <w:sz w:val="24"/>
          <w:szCs w:val="24"/>
        </w:rPr>
        <w:t>International Covenant on Civil and Political Rights (</w:t>
      </w:r>
      <w:r w:rsidRPr="008A7F29">
        <w:rPr>
          <w:rFonts w:ascii="Segoe UI" w:hAnsi="Segoe UI" w:cs="Segoe UI"/>
          <w:sz w:val="24"/>
          <w:szCs w:val="24"/>
        </w:rPr>
        <w:t>Articles 2, 3, 26, and 27)</w:t>
      </w:r>
      <w:r w:rsidRPr="008A7F29">
        <w:rPr>
          <w:rFonts w:ascii="Segoe UI" w:hAnsi="Segoe UI" w:cs="Segoe UI"/>
          <w:color w:val="000000"/>
          <w:sz w:val="24"/>
          <w:szCs w:val="24"/>
        </w:rPr>
        <w:t xml:space="preserve">, the </w:t>
      </w:r>
      <w:r w:rsidRPr="008A7F29">
        <w:rPr>
          <w:rFonts w:ascii="Segoe UI" w:hAnsi="Segoe UI" w:cs="Segoe UI"/>
          <w:i/>
          <w:iCs/>
          <w:color w:val="000000"/>
          <w:sz w:val="24"/>
          <w:szCs w:val="24"/>
        </w:rPr>
        <w:t>Convention on the Elimination of All Forms of Discrimination against Women</w:t>
      </w:r>
      <w:r w:rsidRPr="008A7F29">
        <w:rPr>
          <w:rFonts w:ascii="Segoe UI" w:hAnsi="Segoe UI" w:cs="Segoe UI"/>
          <w:color w:val="000000"/>
          <w:sz w:val="24"/>
          <w:szCs w:val="24"/>
        </w:rPr>
        <w:t xml:space="preserve">, and the </w:t>
      </w:r>
      <w:r w:rsidRPr="008A7F29">
        <w:rPr>
          <w:rFonts w:ascii="Segoe UI" w:hAnsi="Segoe UI" w:cs="Segoe UI"/>
          <w:i/>
          <w:iCs/>
          <w:color w:val="000000"/>
          <w:sz w:val="24"/>
          <w:szCs w:val="24"/>
        </w:rPr>
        <w:t>UN Declaration on the Rights of Indigenous Peoples</w:t>
      </w:r>
      <w:r w:rsidRPr="008A7F29">
        <w:rPr>
          <w:rFonts w:ascii="Segoe UI" w:hAnsi="Segoe UI" w:cs="Segoe UI"/>
          <w:color w:val="000000"/>
          <w:sz w:val="24"/>
          <w:szCs w:val="24"/>
        </w:rPr>
        <w:t xml:space="preserve">. </w:t>
      </w:r>
      <w:r>
        <w:rPr>
          <w:rFonts w:ascii="Segoe UI" w:hAnsi="Segoe UI" w:cs="Segoe UI"/>
          <w:color w:val="000000"/>
          <w:sz w:val="24"/>
          <w:szCs w:val="24"/>
        </w:rPr>
        <w:t xml:space="preserve">Canada has the opportunity to end historical wrongs, and to relinquish </w:t>
      </w:r>
      <w:r>
        <w:rPr>
          <w:rFonts w:ascii="Segoe UI" w:hAnsi="Segoe UI" w:cs="Segoe UI"/>
          <w:sz w:val="24"/>
          <w:szCs w:val="24"/>
        </w:rPr>
        <w:t>its</w:t>
      </w:r>
      <w:r w:rsidRPr="008A7F29">
        <w:rPr>
          <w:rFonts w:ascii="Segoe UI" w:hAnsi="Segoe UI" w:cs="Segoe UI"/>
          <w:sz w:val="24"/>
          <w:szCs w:val="24"/>
        </w:rPr>
        <w:t xml:space="preserve"> legislated extinction</w:t>
      </w:r>
      <w:r>
        <w:rPr>
          <w:rFonts w:ascii="Segoe UI" w:hAnsi="Segoe UI" w:cs="Segoe UI"/>
          <w:sz w:val="24"/>
          <w:szCs w:val="24"/>
        </w:rPr>
        <w:t xml:space="preserve"> plan, by </w:t>
      </w:r>
      <w:r w:rsidRPr="008A7F29">
        <w:rPr>
          <w:rFonts w:ascii="Segoe UI" w:hAnsi="Segoe UI" w:cs="Segoe UI"/>
          <w:sz w:val="24"/>
          <w:szCs w:val="24"/>
        </w:rPr>
        <w:t>passing the amended Bill S-2</w:t>
      </w:r>
      <w:r w:rsidRPr="008A7F29">
        <w:rPr>
          <w:rFonts w:ascii="Segoe UI" w:hAnsi="Segoe UI" w:cs="Segoe UI"/>
          <w:color w:val="000000"/>
          <w:sz w:val="24"/>
          <w:szCs w:val="24"/>
        </w:rPr>
        <w:t>.</w:t>
      </w:r>
    </w:p>
    <w:p w14:paraId="6BCBB609" w14:textId="77777777" w:rsidR="00350FA3" w:rsidRPr="008A7F29" w:rsidRDefault="00350FA3" w:rsidP="00ED7604">
      <w:pPr>
        <w:pStyle w:val="Normal1"/>
        <w:rPr>
          <w:rFonts w:ascii="Segoe UI" w:hAnsi="Segoe UI" w:cs="Segoe UI"/>
          <w:sz w:val="24"/>
          <w:szCs w:val="24"/>
          <w:highlight w:val="white"/>
        </w:rPr>
      </w:pPr>
    </w:p>
    <w:p w14:paraId="01137022" w14:textId="77777777" w:rsidR="00350FA3" w:rsidRPr="00217E08" w:rsidRDefault="00350FA3" w:rsidP="00D5099B">
      <w:pPr>
        <w:rPr>
          <w:rFonts w:ascii="Segoe UI" w:hAnsi="Segoe UI" w:cs="Segoe UI"/>
          <w:b/>
          <w:bCs/>
          <w:color w:val="C45911"/>
          <w:sz w:val="28"/>
          <w:szCs w:val="28"/>
        </w:rPr>
      </w:pPr>
      <w:r w:rsidRPr="00217E08">
        <w:rPr>
          <w:rFonts w:ascii="Segoe UI" w:hAnsi="Segoe UI" w:cs="Segoe UI"/>
          <w:b/>
          <w:bCs/>
          <w:color w:val="C45911"/>
          <w:sz w:val="28"/>
          <w:szCs w:val="28"/>
        </w:rPr>
        <w:lastRenderedPageBreak/>
        <w:t>Recommendations</w:t>
      </w:r>
    </w:p>
    <w:p w14:paraId="61C17B60" w14:textId="77777777" w:rsidR="00350FA3" w:rsidRPr="00217E08" w:rsidRDefault="00350FA3" w:rsidP="0010661E">
      <w:pPr>
        <w:pStyle w:val="Normal1"/>
        <w:rPr>
          <w:rFonts w:ascii="Segoe UI" w:hAnsi="Segoe UI" w:cs="Segoe UI"/>
          <w:color w:val="993300"/>
          <w:sz w:val="24"/>
          <w:szCs w:val="24"/>
        </w:rPr>
      </w:pPr>
    </w:p>
    <w:tbl>
      <w:tblPr>
        <w:tblW w:w="944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9448"/>
      </w:tblGrid>
      <w:tr w:rsidR="00350FA3" w:rsidRPr="00217E08" w14:paraId="377901D4" w14:textId="77777777">
        <w:trPr>
          <w:trHeight w:val="10130"/>
        </w:trPr>
        <w:tc>
          <w:tcPr>
            <w:tcW w:w="9448" w:type="dxa"/>
          </w:tcPr>
          <w:p w14:paraId="56A70677" w14:textId="77777777" w:rsidR="00350FA3" w:rsidRPr="00217E08" w:rsidRDefault="00350FA3" w:rsidP="003429B9">
            <w:pPr>
              <w:pStyle w:val="Normal1"/>
              <w:spacing w:after="120"/>
              <w:rPr>
                <w:rFonts w:ascii="Segoe UI" w:hAnsi="Segoe UI" w:cs="Segoe UI"/>
                <w:sz w:val="24"/>
                <w:szCs w:val="24"/>
              </w:rPr>
            </w:pPr>
            <w:r w:rsidRPr="00217E08">
              <w:rPr>
                <w:rFonts w:ascii="Segoe UI" w:hAnsi="Segoe UI" w:cs="Segoe UI"/>
                <w:sz w:val="24"/>
                <w:szCs w:val="24"/>
              </w:rPr>
              <w:t>That the Government of Canada:</w:t>
            </w:r>
          </w:p>
          <w:p w14:paraId="60AFDA72" w14:textId="77777777" w:rsidR="00350FA3" w:rsidRPr="00217E08" w:rsidRDefault="00350FA3" w:rsidP="003429B9">
            <w:pPr>
              <w:pStyle w:val="Normal1"/>
              <w:numPr>
                <w:ilvl w:val="0"/>
                <w:numId w:val="2"/>
              </w:numPr>
              <w:spacing w:after="120"/>
              <w:rPr>
                <w:rFonts w:ascii="Segoe UI" w:hAnsi="Segoe UI" w:cs="Segoe UI"/>
                <w:color w:val="000000"/>
                <w:sz w:val="24"/>
                <w:szCs w:val="24"/>
              </w:rPr>
            </w:pPr>
            <w:r w:rsidRPr="00217E08">
              <w:rPr>
                <w:rFonts w:ascii="Segoe UI" w:hAnsi="Segoe UI" w:cs="Segoe UI"/>
                <w:color w:val="000000"/>
                <w:sz w:val="24"/>
                <w:szCs w:val="24"/>
              </w:rPr>
              <w:t xml:space="preserve">Support the amendments to Bill S-2 made by the Senate of Canada, which will have the effect of removing the second generation cut-off and the 1985 cut-off, and restoring a one parent rule for transmission of status; </w:t>
            </w:r>
          </w:p>
          <w:p w14:paraId="555C31BD" w14:textId="77777777" w:rsidR="00350FA3" w:rsidRPr="00217E08" w:rsidRDefault="00350FA3" w:rsidP="003429B9">
            <w:pPr>
              <w:pStyle w:val="Normal1"/>
              <w:numPr>
                <w:ilvl w:val="0"/>
                <w:numId w:val="2"/>
              </w:numPr>
              <w:spacing w:after="120"/>
              <w:rPr>
                <w:rFonts w:ascii="Segoe UI" w:hAnsi="Segoe UI" w:cs="Segoe UI"/>
                <w:color w:val="000000"/>
                <w:sz w:val="24"/>
                <w:szCs w:val="24"/>
              </w:rPr>
            </w:pPr>
            <w:r w:rsidRPr="00217E08">
              <w:rPr>
                <w:rFonts w:ascii="Segoe UI" w:hAnsi="Segoe UI" w:cs="Segoe UI"/>
                <w:color w:val="000000"/>
                <w:sz w:val="24"/>
                <w:szCs w:val="24"/>
              </w:rPr>
              <w:t>Implement the CEDAW and Human Rights Committee recommendations</w:t>
            </w:r>
            <w:r>
              <w:rPr>
                <w:rStyle w:val="FootnoteReference"/>
                <w:rFonts w:ascii="Segoe UI" w:hAnsi="Segoe UI" w:cs="Segoe UI"/>
                <w:color w:val="000000"/>
                <w:sz w:val="24"/>
                <w:szCs w:val="24"/>
              </w:rPr>
              <w:footnoteReference w:id="9"/>
            </w:r>
            <w:r w:rsidRPr="00217E08">
              <w:rPr>
                <w:rFonts w:ascii="Segoe UI" w:hAnsi="Segoe UI" w:cs="Segoe UI"/>
                <w:color w:val="000000"/>
                <w:sz w:val="24"/>
                <w:szCs w:val="24"/>
              </w:rPr>
              <w:t xml:space="preserve"> to fully eliminate all </w:t>
            </w:r>
            <w:r>
              <w:rPr>
                <w:rFonts w:ascii="Segoe UI" w:hAnsi="Segoe UI" w:cs="Segoe UI"/>
                <w:color w:val="000000"/>
                <w:sz w:val="24"/>
                <w:szCs w:val="24"/>
              </w:rPr>
              <w:t>remaining</w:t>
            </w:r>
            <w:r w:rsidRPr="00217E08">
              <w:rPr>
                <w:rFonts w:ascii="Segoe UI" w:hAnsi="Segoe UI" w:cs="Segoe UI"/>
                <w:color w:val="000000"/>
                <w:sz w:val="24"/>
                <w:szCs w:val="24"/>
              </w:rPr>
              <w:t xml:space="preserve"> discrimination from the </w:t>
            </w:r>
            <w:r w:rsidRPr="00217E08">
              <w:rPr>
                <w:rFonts w:ascii="Segoe UI" w:hAnsi="Segoe UI" w:cs="Segoe UI"/>
                <w:i/>
                <w:iCs/>
                <w:color w:val="000000"/>
                <w:sz w:val="24"/>
                <w:szCs w:val="24"/>
              </w:rPr>
              <w:t>Indian Act</w:t>
            </w:r>
            <w:r w:rsidRPr="00217E08">
              <w:rPr>
                <w:rFonts w:ascii="Segoe UI" w:hAnsi="Segoe UI" w:cs="Segoe UI"/>
                <w:color w:val="000000"/>
                <w:sz w:val="24"/>
                <w:szCs w:val="24"/>
              </w:rPr>
              <w:t xml:space="preserve">; </w:t>
            </w:r>
          </w:p>
          <w:p w14:paraId="4CECEFD5" w14:textId="77777777" w:rsidR="00350FA3" w:rsidRPr="00217E08" w:rsidRDefault="00350FA3" w:rsidP="003429B9">
            <w:pPr>
              <w:pStyle w:val="Normal1"/>
              <w:numPr>
                <w:ilvl w:val="0"/>
                <w:numId w:val="2"/>
              </w:numPr>
              <w:spacing w:after="120"/>
              <w:rPr>
                <w:rFonts w:ascii="Segoe UI" w:hAnsi="Segoe UI" w:cs="Segoe UI"/>
                <w:sz w:val="24"/>
                <w:szCs w:val="24"/>
              </w:rPr>
            </w:pPr>
            <w:r w:rsidRPr="00217E08">
              <w:rPr>
                <w:rFonts w:ascii="Segoe UI" w:hAnsi="Segoe UI" w:cs="Segoe UI"/>
                <w:sz w:val="24"/>
                <w:szCs w:val="24"/>
              </w:rPr>
              <w:t xml:space="preserve">Initiate a pro-active, effective and timely campaign to register all those entitled to registration including by: creating an information campaign to ensure that First Nations individuals, particularly women and their descendants, know that they may be newly entitled to status, and assigning sufficient resources to register them promptly; </w:t>
            </w:r>
          </w:p>
          <w:p w14:paraId="38B9A5DB" w14:textId="77777777" w:rsidR="00350FA3" w:rsidRPr="00217E08" w:rsidRDefault="00350FA3" w:rsidP="003429B9">
            <w:pPr>
              <w:pStyle w:val="Normal1"/>
              <w:numPr>
                <w:ilvl w:val="0"/>
                <w:numId w:val="2"/>
              </w:numPr>
              <w:spacing w:after="120"/>
              <w:rPr>
                <w:rFonts w:ascii="Segoe UI" w:hAnsi="Segoe UI" w:cs="Segoe UI"/>
                <w:sz w:val="24"/>
                <w:szCs w:val="24"/>
              </w:rPr>
            </w:pPr>
            <w:r w:rsidRPr="00217E08">
              <w:rPr>
                <w:rFonts w:ascii="Segoe UI" w:hAnsi="Segoe UI" w:cs="Segoe UI"/>
                <w:sz w:val="24"/>
                <w:szCs w:val="24"/>
              </w:rPr>
              <w:t xml:space="preserve">Include a new provision in the </w:t>
            </w:r>
            <w:r w:rsidRPr="00217E08">
              <w:rPr>
                <w:rFonts w:ascii="Segoe UI" w:hAnsi="Segoe UI" w:cs="Segoe UI"/>
                <w:i/>
                <w:iCs/>
                <w:sz w:val="24"/>
                <w:szCs w:val="24"/>
              </w:rPr>
              <w:t xml:space="preserve">Indian Act </w:t>
            </w:r>
            <w:r w:rsidRPr="00217E08">
              <w:rPr>
                <w:rFonts w:ascii="Segoe UI" w:hAnsi="Segoe UI" w:cs="Segoe UI"/>
                <w:sz w:val="24"/>
                <w:szCs w:val="24"/>
              </w:rPr>
              <w:t xml:space="preserve">to clarify that women and their descendants whose status has been restored, corrected, or improved by changes to the </w:t>
            </w:r>
            <w:r w:rsidRPr="00217E08">
              <w:rPr>
                <w:rFonts w:ascii="Segoe UI" w:hAnsi="Segoe UI" w:cs="Segoe UI"/>
                <w:i/>
                <w:iCs/>
                <w:sz w:val="24"/>
                <w:szCs w:val="24"/>
              </w:rPr>
              <w:t>Indian Act</w:t>
            </w:r>
            <w:r w:rsidRPr="00217E08">
              <w:rPr>
                <w:rFonts w:ascii="Segoe UI" w:hAnsi="Segoe UI" w:cs="Segoe UI"/>
                <w:sz w:val="24"/>
                <w:szCs w:val="24"/>
              </w:rPr>
              <w:t xml:space="preserve"> are entitled to band membership, including in </w:t>
            </w:r>
            <w:hyperlink r:id="rId22">
              <w:r w:rsidRPr="00217E08">
                <w:rPr>
                  <w:rFonts w:ascii="Segoe UI" w:hAnsi="Segoe UI" w:cs="Segoe UI"/>
                  <w:color w:val="833C0B"/>
                  <w:sz w:val="24"/>
                  <w:szCs w:val="24"/>
                  <w:u w:val="single"/>
                </w:rPr>
                <w:t>s. 10 bands</w:t>
              </w:r>
            </w:hyperlink>
            <w:r w:rsidRPr="00217E08">
              <w:rPr>
                <w:rFonts w:ascii="Segoe UI" w:hAnsi="Segoe UI" w:cs="Segoe UI"/>
                <w:sz w:val="24"/>
                <w:szCs w:val="24"/>
              </w:rPr>
              <w:t>;</w:t>
            </w:r>
          </w:p>
          <w:p w14:paraId="451C967A" w14:textId="77777777" w:rsidR="00350FA3" w:rsidRPr="00217E08" w:rsidRDefault="00350FA3" w:rsidP="003429B9">
            <w:pPr>
              <w:pStyle w:val="Normal1"/>
              <w:numPr>
                <w:ilvl w:val="0"/>
                <w:numId w:val="2"/>
              </w:numPr>
              <w:spacing w:after="120"/>
              <w:rPr>
                <w:rFonts w:ascii="Segoe UI" w:hAnsi="Segoe UI" w:cs="Segoe UI"/>
                <w:color w:val="000000"/>
                <w:sz w:val="24"/>
                <w:szCs w:val="24"/>
              </w:rPr>
            </w:pPr>
            <w:r w:rsidRPr="00217E08">
              <w:rPr>
                <w:rFonts w:ascii="Segoe UI" w:hAnsi="Segoe UI" w:cs="Segoe UI"/>
                <w:color w:val="000000"/>
                <w:sz w:val="24"/>
                <w:szCs w:val="24"/>
              </w:rPr>
              <w:t xml:space="preserve">Implement the Senate Committee’s recommendations from the </w:t>
            </w:r>
            <w:hyperlink r:id="rId23" w:history="1">
              <w:r w:rsidRPr="00002AB8">
                <w:rPr>
                  <w:rStyle w:val="Hyperlink"/>
                  <w:rFonts w:ascii="Segoe UI" w:hAnsi="Segoe UI" w:cs="Segoe UI"/>
                  <w:sz w:val="24"/>
                  <w:szCs w:val="24"/>
                </w:rPr>
                <w:t>“Make It Stop!” report</w:t>
              </w:r>
            </w:hyperlink>
            <w:r w:rsidRPr="00217E08">
              <w:rPr>
                <w:rFonts w:ascii="Segoe UI" w:hAnsi="Segoe UI" w:cs="Segoe UI"/>
                <w:color w:val="000000"/>
                <w:sz w:val="24"/>
                <w:szCs w:val="24"/>
              </w:rPr>
              <w:t xml:space="preserve"> to fully eliminate all sex discrimination from the </w:t>
            </w:r>
            <w:r w:rsidRPr="00217E08">
              <w:rPr>
                <w:rFonts w:ascii="Segoe UI" w:hAnsi="Segoe UI" w:cs="Segoe UI"/>
                <w:i/>
                <w:iCs/>
                <w:color w:val="000000"/>
                <w:sz w:val="24"/>
                <w:szCs w:val="24"/>
              </w:rPr>
              <w:t>Indian Act</w:t>
            </w:r>
            <w:r w:rsidRPr="00217E08">
              <w:rPr>
                <w:rFonts w:ascii="Segoe UI" w:hAnsi="Segoe UI" w:cs="Segoe UI"/>
                <w:color w:val="000000"/>
                <w:sz w:val="24"/>
                <w:szCs w:val="24"/>
              </w:rPr>
              <w:t xml:space="preserve"> and to improve the registration process;</w:t>
            </w:r>
          </w:p>
          <w:p w14:paraId="74C5B0F1" w14:textId="77777777" w:rsidR="00350FA3" w:rsidRPr="00217E08" w:rsidRDefault="00350FA3" w:rsidP="003429B9">
            <w:pPr>
              <w:pStyle w:val="Normal1"/>
              <w:numPr>
                <w:ilvl w:val="0"/>
                <w:numId w:val="2"/>
              </w:numPr>
              <w:spacing w:after="120"/>
              <w:rPr>
                <w:rFonts w:ascii="Segoe UI" w:hAnsi="Segoe UI" w:cs="Segoe UI"/>
                <w:sz w:val="24"/>
                <w:szCs w:val="24"/>
              </w:rPr>
            </w:pPr>
            <w:r w:rsidRPr="00217E08">
              <w:rPr>
                <w:rFonts w:ascii="Segoe UI" w:hAnsi="Segoe UI" w:cs="Segoe UI"/>
                <w:sz w:val="24"/>
                <w:szCs w:val="24"/>
              </w:rPr>
              <w:t xml:space="preserve">Remove all bars to compensation for all forms of discrimination against First Nations women and their descendants caused by status provisions of the </w:t>
            </w:r>
            <w:r w:rsidRPr="00217E08">
              <w:rPr>
                <w:rFonts w:ascii="Segoe UI" w:hAnsi="Segoe UI" w:cs="Segoe UI"/>
                <w:i/>
                <w:iCs/>
                <w:sz w:val="24"/>
                <w:szCs w:val="24"/>
              </w:rPr>
              <w:t>Indian Act</w:t>
            </w:r>
            <w:r>
              <w:rPr>
                <w:rFonts w:ascii="Segoe UI" w:hAnsi="Segoe UI" w:cs="Segoe UI"/>
                <w:sz w:val="24"/>
                <w:szCs w:val="24"/>
              </w:rPr>
              <w:t>;</w:t>
            </w:r>
          </w:p>
          <w:p w14:paraId="5F21F999" w14:textId="77777777" w:rsidR="00350FA3" w:rsidRPr="00217E08" w:rsidRDefault="00350FA3" w:rsidP="003429B9">
            <w:pPr>
              <w:pStyle w:val="Normal1"/>
              <w:numPr>
                <w:ilvl w:val="0"/>
                <w:numId w:val="2"/>
              </w:numPr>
              <w:spacing w:after="120"/>
              <w:rPr>
                <w:rFonts w:ascii="Segoe UI" w:hAnsi="Segoe UI" w:cs="Segoe UI"/>
                <w:sz w:val="24"/>
                <w:szCs w:val="24"/>
              </w:rPr>
            </w:pPr>
            <w:r w:rsidRPr="00217E08">
              <w:rPr>
                <w:rFonts w:ascii="Segoe UI" w:hAnsi="Segoe UI" w:cs="Segoe UI"/>
                <w:sz w:val="24"/>
                <w:szCs w:val="24"/>
              </w:rPr>
              <w:t xml:space="preserve">Provide full reparations including compensation, apology, and public education on sex discrimination in the </w:t>
            </w:r>
            <w:r w:rsidRPr="00217E08">
              <w:rPr>
                <w:rFonts w:ascii="Segoe UI" w:hAnsi="Segoe UI" w:cs="Segoe UI"/>
                <w:i/>
                <w:iCs/>
                <w:sz w:val="24"/>
                <w:szCs w:val="24"/>
              </w:rPr>
              <w:t>Indian Act</w:t>
            </w:r>
            <w:r w:rsidRPr="00217E08">
              <w:rPr>
                <w:rFonts w:ascii="Segoe UI" w:hAnsi="Segoe UI" w:cs="Segoe UI"/>
                <w:sz w:val="24"/>
                <w:szCs w:val="24"/>
              </w:rPr>
              <w:t>;</w:t>
            </w:r>
          </w:p>
          <w:p w14:paraId="35713993" w14:textId="77777777" w:rsidR="00350FA3" w:rsidRPr="00217E08" w:rsidRDefault="00350FA3" w:rsidP="003429B9">
            <w:pPr>
              <w:pStyle w:val="Normal1"/>
              <w:numPr>
                <w:ilvl w:val="0"/>
                <w:numId w:val="2"/>
              </w:numPr>
              <w:spacing w:after="120"/>
              <w:rPr>
                <w:rFonts w:ascii="Segoe UI" w:hAnsi="Segoe UI" w:cs="Segoe UI"/>
                <w:sz w:val="24"/>
                <w:szCs w:val="24"/>
              </w:rPr>
            </w:pPr>
            <w:r w:rsidRPr="00217E08">
              <w:rPr>
                <w:rFonts w:ascii="Segoe UI" w:hAnsi="Segoe UI" w:cs="Segoe UI"/>
                <w:sz w:val="24"/>
                <w:szCs w:val="24"/>
              </w:rPr>
              <w:t xml:space="preserve">Respond, with a meaningful plan for action, to the recommendations from the decision of this Committee in </w:t>
            </w:r>
            <w:r w:rsidRPr="00217E08">
              <w:rPr>
                <w:rFonts w:ascii="Segoe UI" w:hAnsi="Segoe UI" w:cs="Segoe UI"/>
                <w:i/>
                <w:iCs/>
                <w:sz w:val="24"/>
                <w:szCs w:val="24"/>
              </w:rPr>
              <w:t>McIvor and Grismer v. Canada</w:t>
            </w:r>
            <w:r w:rsidRPr="00217E08">
              <w:rPr>
                <w:rFonts w:ascii="Segoe UI" w:hAnsi="Segoe UI" w:cs="Segoe UI"/>
                <w:sz w:val="24"/>
                <w:szCs w:val="24"/>
              </w:rPr>
              <w:t xml:space="preserve"> and the decision of the CEDAW Committee in </w:t>
            </w:r>
            <w:r w:rsidRPr="00217E08">
              <w:rPr>
                <w:rFonts w:ascii="Segoe UI" w:hAnsi="Segoe UI" w:cs="Segoe UI"/>
                <w:i/>
                <w:iCs/>
                <w:sz w:val="24"/>
                <w:szCs w:val="24"/>
              </w:rPr>
              <w:t>Matson v. Canada</w:t>
            </w:r>
            <w:r w:rsidRPr="00217E08">
              <w:rPr>
                <w:rFonts w:ascii="Segoe UI" w:hAnsi="Segoe UI" w:cs="Segoe UI"/>
                <w:sz w:val="24"/>
                <w:szCs w:val="24"/>
              </w:rPr>
              <w:t>; and</w:t>
            </w:r>
          </w:p>
          <w:p w14:paraId="53BA91D2" w14:textId="77777777" w:rsidR="00350FA3" w:rsidRPr="00217E08" w:rsidRDefault="00350FA3" w:rsidP="003429B9">
            <w:pPr>
              <w:pStyle w:val="Normal1"/>
              <w:numPr>
                <w:ilvl w:val="0"/>
                <w:numId w:val="2"/>
              </w:numPr>
              <w:spacing w:after="120"/>
              <w:rPr>
                <w:rFonts w:ascii="Segoe UI" w:hAnsi="Segoe UI" w:cs="Segoe UI"/>
                <w:sz w:val="24"/>
                <w:szCs w:val="24"/>
              </w:rPr>
            </w:pPr>
            <w:r w:rsidRPr="00217E08">
              <w:rPr>
                <w:rFonts w:ascii="Segoe UI" w:hAnsi="Segoe UI" w:cs="Segoe UI"/>
                <w:sz w:val="24"/>
                <w:szCs w:val="24"/>
              </w:rPr>
              <w:t>Provide sufficient funding, resources and land to First Nations to support new members, and to correct historic underfunding and under-resourcing of infrastructure and social programs.</w:t>
            </w:r>
          </w:p>
        </w:tc>
      </w:tr>
    </w:tbl>
    <w:p w14:paraId="3847E201" w14:textId="77777777" w:rsidR="00350FA3" w:rsidRPr="00217E08" w:rsidRDefault="00350FA3" w:rsidP="00ED7604">
      <w:pPr>
        <w:pStyle w:val="Normal1"/>
        <w:rPr>
          <w:rFonts w:ascii="Segoe UI" w:hAnsi="Segoe UI" w:cs="Segoe UI"/>
          <w:sz w:val="24"/>
          <w:szCs w:val="24"/>
          <w:highlight w:val="white"/>
        </w:rPr>
      </w:pPr>
    </w:p>
    <w:p w14:paraId="38B61ED9" w14:textId="77777777" w:rsidR="00350FA3" w:rsidRPr="00217E08" w:rsidRDefault="00350FA3" w:rsidP="00CC1F1C">
      <w:pPr>
        <w:pStyle w:val="Heading1"/>
        <w:tabs>
          <w:tab w:val="left" w:pos="5523"/>
        </w:tabs>
        <w:rPr>
          <w:rFonts w:ascii="Segoe UI" w:hAnsi="Segoe UI" w:cs="Segoe UI"/>
        </w:rPr>
      </w:pPr>
      <w:bookmarkStart w:id="2" w:name="_heading_h_t2sf7r5pd7j9" w:colFirst="0" w:colLast="0"/>
      <w:bookmarkStart w:id="3" w:name="_Toc220932337"/>
      <w:bookmarkEnd w:id="2"/>
      <w:r w:rsidRPr="00217E08">
        <w:rPr>
          <w:rFonts w:ascii="Segoe UI" w:hAnsi="Segoe UI" w:cs="Segoe UI"/>
        </w:rPr>
        <w:lastRenderedPageBreak/>
        <w:t>Introduction</w:t>
      </w:r>
      <w:bookmarkEnd w:id="3"/>
      <w:r>
        <w:rPr>
          <w:rFonts w:ascii="Segoe UI" w:hAnsi="Segoe UI" w:cs="Segoe UI"/>
        </w:rPr>
        <w:tab/>
      </w:r>
    </w:p>
    <w:p w14:paraId="3DCA468B" w14:textId="77777777" w:rsidR="00350FA3" w:rsidRPr="00217E08" w:rsidRDefault="00350FA3">
      <w:pPr>
        <w:pStyle w:val="Heading2"/>
        <w:rPr>
          <w:rFonts w:ascii="Segoe UI" w:hAnsi="Segoe UI" w:cs="Segoe UI"/>
          <w:b/>
          <w:bCs/>
          <w:color w:val="C45911"/>
        </w:rPr>
      </w:pPr>
      <w:bookmarkStart w:id="4" w:name="_heading_h_r3frcrd86by7" w:colFirst="0" w:colLast="0"/>
      <w:bookmarkStart w:id="5" w:name="_Toc220932338"/>
      <w:bookmarkEnd w:id="4"/>
      <w:r w:rsidRPr="00217E08">
        <w:rPr>
          <w:rFonts w:ascii="Segoe UI" w:hAnsi="Segoe UI" w:cs="Segoe UI"/>
          <w:b/>
          <w:bCs/>
          <w:color w:val="C45911"/>
        </w:rPr>
        <w:t>The Indian Act Sex Discrimination Working Group</w:t>
      </w:r>
      <w:bookmarkEnd w:id="5"/>
    </w:p>
    <w:p w14:paraId="140128ED" w14:textId="77777777" w:rsidR="00350FA3" w:rsidRPr="00217E08" w:rsidRDefault="00350FA3" w:rsidP="00E14849">
      <w:pPr>
        <w:pStyle w:val="Normal1"/>
        <w:numPr>
          <w:ilvl w:val="0"/>
          <w:numId w:val="3"/>
        </w:numPr>
        <w:spacing w:before="120" w:after="120"/>
        <w:rPr>
          <w:rFonts w:ascii="Segoe UI" w:hAnsi="Segoe UI" w:cs="Segoe UI"/>
          <w:sz w:val="24"/>
          <w:szCs w:val="24"/>
        </w:rPr>
      </w:pPr>
      <w:r w:rsidRPr="00217E08">
        <w:rPr>
          <w:rFonts w:ascii="Segoe UI" w:hAnsi="Segoe UI" w:cs="Segoe UI"/>
          <w:sz w:val="24"/>
          <w:szCs w:val="24"/>
        </w:rPr>
        <w:t xml:space="preserve">The Indian Act Sex Discrimination Working Group (the Working Group) is convened and supported by the Canadian Feminist Alliance for International Action (FAFIA). The </w:t>
      </w:r>
      <w:r w:rsidRPr="00217E08">
        <w:rPr>
          <w:rFonts w:ascii="Segoe UI" w:hAnsi="Segoe UI" w:cs="Segoe UI"/>
          <w:color w:val="833C0B"/>
          <w:sz w:val="24"/>
          <w:szCs w:val="24"/>
          <w:u w:val="single"/>
        </w:rPr>
        <w:t xml:space="preserve">Working Group is </w:t>
      </w:r>
      <w:hyperlink r:id="rId24" w:history="1">
        <w:r w:rsidRPr="000952A6">
          <w:rPr>
            <w:rStyle w:val="Hyperlink"/>
            <w:rFonts w:ascii="Segoe UI" w:hAnsi="Segoe UI" w:cs="Segoe UI"/>
            <w:sz w:val="24"/>
            <w:szCs w:val="24"/>
          </w:rPr>
          <w:t>composed</w:t>
        </w:r>
      </w:hyperlink>
      <w:r w:rsidRPr="00217E08">
        <w:rPr>
          <w:rFonts w:ascii="Segoe UI" w:hAnsi="Segoe UI" w:cs="Segoe UI"/>
          <w:color w:val="833C0B"/>
          <w:sz w:val="24"/>
          <w:szCs w:val="24"/>
          <w:u w:val="single"/>
        </w:rPr>
        <w:t xml:space="preserve"> of</w:t>
      </w:r>
      <w:r w:rsidRPr="00217E08">
        <w:rPr>
          <w:rFonts w:ascii="Segoe UI" w:hAnsi="Segoe UI" w:cs="Segoe UI"/>
          <w:sz w:val="24"/>
          <w:szCs w:val="24"/>
        </w:rPr>
        <w:t xml:space="preserve"> the leading plaintiffs in the court and UN petitions that have challenged </w:t>
      </w:r>
      <w:r w:rsidRPr="00217E08">
        <w:rPr>
          <w:rFonts w:ascii="Segoe UI" w:hAnsi="Segoe UI" w:cs="Segoe UI"/>
          <w:i/>
          <w:iCs/>
          <w:sz w:val="24"/>
          <w:szCs w:val="24"/>
        </w:rPr>
        <w:t>Indian Act</w:t>
      </w:r>
      <w:r w:rsidRPr="00217E08">
        <w:rPr>
          <w:rFonts w:ascii="Segoe UI" w:hAnsi="Segoe UI" w:cs="Segoe UI"/>
          <w:sz w:val="24"/>
          <w:szCs w:val="24"/>
        </w:rPr>
        <w:t xml:space="preserve"> sex discrimination, Canada's top legal experts on this sex discrimination, and leaders from two of Canada's largest Indigenous women's organizations - the Ontario Native Women's Association and the Quebec Native Women's Association – as well as the Union of B.C. Indian Chiefs, Justice for Girls and FAFIA. The Working Group advocates for the fulfillment of the rights of First Nations women, for an end to the sex </w:t>
      </w:r>
      <w:r>
        <w:rPr>
          <w:rFonts w:ascii="Segoe UI" w:hAnsi="Segoe UI" w:cs="Segoe UI"/>
          <w:sz w:val="24"/>
          <w:szCs w:val="24"/>
        </w:rPr>
        <w:t xml:space="preserve">and race </w:t>
      </w:r>
      <w:r w:rsidRPr="00217E08">
        <w:rPr>
          <w:rFonts w:ascii="Segoe UI" w:hAnsi="Segoe UI" w:cs="Segoe UI"/>
          <w:sz w:val="24"/>
          <w:szCs w:val="24"/>
        </w:rPr>
        <w:t xml:space="preserve">discrimination in the </w:t>
      </w:r>
      <w:r w:rsidRPr="00217E08">
        <w:rPr>
          <w:rFonts w:ascii="Segoe UI" w:hAnsi="Segoe UI" w:cs="Segoe UI"/>
          <w:i/>
          <w:iCs/>
          <w:sz w:val="24"/>
          <w:szCs w:val="24"/>
        </w:rPr>
        <w:t>Indian Act</w:t>
      </w:r>
      <w:r w:rsidRPr="00217E08">
        <w:rPr>
          <w:rFonts w:ascii="Segoe UI" w:hAnsi="Segoe UI" w:cs="Segoe UI"/>
          <w:sz w:val="24"/>
          <w:szCs w:val="24"/>
        </w:rPr>
        <w:t xml:space="preserve">, and for redress of all its resulting harms. </w:t>
      </w:r>
    </w:p>
    <w:p w14:paraId="0B8BCB31" w14:textId="77777777" w:rsidR="00350FA3" w:rsidRPr="00217E08" w:rsidRDefault="00350FA3">
      <w:pPr>
        <w:pStyle w:val="Heading2"/>
        <w:rPr>
          <w:rFonts w:ascii="Segoe UI" w:hAnsi="Segoe UI" w:cs="Segoe UI"/>
          <w:b/>
          <w:bCs/>
          <w:color w:val="C45911"/>
        </w:rPr>
      </w:pPr>
      <w:bookmarkStart w:id="6" w:name="_heading_h_d46z164xmwk5" w:colFirst="0" w:colLast="0"/>
      <w:bookmarkStart w:id="7" w:name="_Toc220932339"/>
      <w:bookmarkEnd w:id="6"/>
      <w:r w:rsidRPr="00217E08">
        <w:rPr>
          <w:rFonts w:ascii="Segoe UI" w:hAnsi="Segoe UI" w:cs="Segoe UI"/>
          <w:b/>
          <w:bCs/>
          <w:color w:val="C45911"/>
        </w:rPr>
        <w:t>History of sex discrimination in the Indian Act; a legal extinction plan</w:t>
      </w:r>
      <w:bookmarkEnd w:id="7"/>
    </w:p>
    <w:p w14:paraId="0CFEC808" w14:textId="77777777" w:rsidR="00350FA3" w:rsidRPr="00217E08" w:rsidRDefault="00350FA3" w:rsidP="00E0247D">
      <w:pPr>
        <w:pStyle w:val="Normal1"/>
        <w:widowControl w:val="0"/>
        <w:numPr>
          <w:ilvl w:val="0"/>
          <w:numId w:val="3"/>
        </w:numPr>
        <w:spacing w:before="120" w:after="120"/>
        <w:rPr>
          <w:rFonts w:ascii="Segoe UI" w:hAnsi="Segoe UI" w:cs="Segoe UI"/>
          <w:color w:val="00000A"/>
          <w:sz w:val="24"/>
          <w:szCs w:val="24"/>
        </w:rPr>
      </w:pPr>
      <w:r w:rsidRPr="00217E08">
        <w:rPr>
          <w:rFonts w:ascii="Segoe UI" w:hAnsi="Segoe UI" w:cs="Segoe UI"/>
          <w:color w:val="00000A"/>
          <w:sz w:val="24"/>
          <w:szCs w:val="24"/>
        </w:rPr>
        <w:t xml:space="preserve">Since its inception in 1876, the </w:t>
      </w:r>
      <w:r w:rsidRPr="00217E08">
        <w:rPr>
          <w:rFonts w:ascii="Segoe UI" w:hAnsi="Segoe UI" w:cs="Segoe UI"/>
          <w:i/>
          <w:iCs/>
          <w:color w:val="00000A"/>
          <w:sz w:val="24"/>
          <w:szCs w:val="24"/>
        </w:rPr>
        <w:t>Indian Act</w:t>
      </w:r>
      <w:r w:rsidRPr="00217E08">
        <w:rPr>
          <w:rFonts w:ascii="Segoe UI" w:hAnsi="Segoe UI" w:cs="Segoe UI"/>
          <w:color w:val="00000A"/>
          <w:sz w:val="24"/>
          <w:szCs w:val="24"/>
        </w:rPr>
        <w:t xml:space="preserve"> has defined who is an ‘Indian,’ entitled to recognition by Canada, and owed fiduciary duties. The </w:t>
      </w:r>
      <w:r w:rsidRPr="00217E08">
        <w:rPr>
          <w:rFonts w:ascii="Segoe UI" w:hAnsi="Segoe UI" w:cs="Segoe UI"/>
          <w:i/>
          <w:iCs/>
          <w:color w:val="00000A"/>
          <w:sz w:val="24"/>
          <w:szCs w:val="24"/>
        </w:rPr>
        <w:t>Indian Act</w:t>
      </w:r>
      <w:r w:rsidRPr="00217E08">
        <w:rPr>
          <w:rFonts w:ascii="Segoe UI" w:hAnsi="Segoe UI" w:cs="Segoe UI"/>
          <w:color w:val="00000A"/>
          <w:sz w:val="24"/>
          <w:szCs w:val="24"/>
        </w:rPr>
        <w:t xml:space="preserve"> has accorded privilege to male Indians and their descendants and treated female Indians and their descendants as non-persons, or second-class Indians. In the beginning, the </w:t>
      </w:r>
      <w:r w:rsidRPr="00217E08">
        <w:rPr>
          <w:rFonts w:ascii="Segoe UI" w:hAnsi="Segoe UI" w:cs="Segoe UI"/>
          <w:i/>
          <w:iCs/>
          <w:color w:val="00000A"/>
          <w:sz w:val="24"/>
          <w:szCs w:val="24"/>
        </w:rPr>
        <w:t>Indian Act</w:t>
      </w:r>
      <w:r w:rsidRPr="00217E08">
        <w:rPr>
          <w:rFonts w:ascii="Segoe UI" w:hAnsi="Segoe UI" w:cs="Segoe UI"/>
          <w:color w:val="00000A"/>
          <w:sz w:val="24"/>
          <w:szCs w:val="24"/>
        </w:rPr>
        <w:t xml:space="preserve"> defined an Indian as: a male Indian, the wife of a male Indian, or the child of a male Indian. These persons had ‘status’ as an ‘Indian’ and were entitled to be registered and recognized as members of Indian Bands. Under successive versions of the </w:t>
      </w:r>
      <w:r w:rsidRPr="00217E08">
        <w:rPr>
          <w:rFonts w:ascii="Segoe UI" w:hAnsi="Segoe UI" w:cs="Segoe UI"/>
          <w:i/>
          <w:iCs/>
          <w:color w:val="00000A"/>
          <w:sz w:val="24"/>
          <w:szCs w:val="24"/>
        </w:rPr>
        <w:t>Indian Act</w:t>
      </w:r>
      <w:r w:rsidRPr="00217E08">
        <w:rPr>
          <w:rFonts w:ascii="Segoe UI" w:hAnsi="Segoe UI" w:cs="Segoe UI"/>
          <w:color w:val="00000A"/>
          <w:sz w:val="24"/>
          <w:szCs w:val="24"/>
        </w:rPr>
        <w:t xml:space="preserve">, for the most part, Indian women’s status relied on their relationship to a father or husband. </w:t>
      </w:r>
      <w:hyperlink r:id="rId25">
        <w:r w:rsidRPr="00217E08">
          <w:rPr>
            <w:rFonts w:ascii="Segoe UI" w:hAnsi="Segoe UI" w:cs="Segoe UI"/>
            <w:color w:val="833C0B"/>
            <w:sz w:val="24"/>
            <w:szCs w:val="24"/>
            <w:u w:val="single"/>
          </w:rPr>
          <w:t>Indian women lost status when they married a non-Indian, while Indian men endowed Indian status on their non-Indian wives</w:t>
        </w:r>
      </w:hyperlink>
      <w:r w:rsidRPr="00217E08">
        <w:rPr>
          <w:rFonts w:ascii="Segoe UI" w:hAnsi="Segoe UI" w:cs="Segoe UI"/>
          <w:sz w:val="24"/>
          <w:szCs w:val="24"/>
        </w:rPr>
        <w:t>. Indian women</w:t>
      </w:r>
      <w:r w:rsidRPr="00217E08">
        <w:rPr>
          <w:rFonts w:ascii="Segoe UI" w:hAnsi="Segoe UI" w:cs="Segoe UI"/>
          <w:color w:val="00000A"/>
          <w:sz w:val="24"/>
          <w:szCs w:val="24"/>
        </w:rPr>
        <w:t xml:space="preserve"> had no independent status or ability to transmit status to their descendants. </w:t>
      </w:r>
    </w:p>
    <w:p w14:paraId="254C9B59" w14:textId="77777777" w:rsidR="00350FA3" w:rsidRPr="00EA2F3F" w:rsidRDefault="00350FA3" w:rsidP="00EA2F3F">
      <w:pPr>
        <w:pStyle w:val="Normal1"/>
        <w:widowControl w:val="0"/>
        <w:numPr>
          <w:ilvl w:val="0"/>
          <w:numId w:val="3"/>
        </w:numPr>
        <w:spacing w:before="120" w:after="120"/>
        <w:rPr>
          <w:rFonts w:ascii="Segoe UI" w:hAnsi="Segoe UI" w:cs="Segoe UI"/>
          <w:color w:val="00000A"/>
          <w:sz w:val="24"/>
          <w:szCs w:val="24"/>
        </w:rPr>
      </w:pPr>
      <w:r w:rsidRPr="00217E08">
        <w:rPr>
          <w:rFonts w:ascii="Segoe UI" w:hAnsi="Segoe UI" w:cs="Segoe UI"/>
          <w:color w:val="00000A"/>
          <w:sz w:val="24"/>
          <w:szCs w:val="24"/>
        </w:rPr>
        <w:t>Prior to 1985, there had always been a one</w:t>
      </w:r>
      <w:r>
        <w:rPr>
          <w:rFonts w:ascii="Segoe UI" w:hAnsi="Segoe UI" w:cs="Segoe UI"/>
          <w:color w:val="00000A"/>
          <w:sz w:val="24"/>
          <w:szCs w:val="24"/>
        </w:rPr>
        <w:t xml:space="preserve"> </w:t>
      </w:r>
      <w:r w:rsidRPr="00217E08">
        <w:rPr>
          <w:rFonts w:ascii="Segoe UI" w:hAnsi="Segoe UI" w:cs="Segoe UI"/>
          <w:color w:val="00000A"/>
          <w:sz w:val="24"/>
          <w:szCs w:val="24"/>
        </w:rPr>
        <w:t xml:space="preserve">parent rule for transmitting status and the transmitting parent was male. In other words, the </w:t>
      </w:r>
      <w:r w:rsidRPr="00217E08">
        <w:rPr>
          <w:rFonts w:ascii="Segoe UI" w:hAnsi="Segoe UI" w:cs="Segoe UI"/>
          <w:i/>
          <w:iCs/>
          <w:color w:val="00000A"/>
          <w:sz w:val="24"/>
          <w:szCs w:val="24"/>
        </w:rPr>
        <w:t>Indian Act</w:t>
      </w:r>
      <w:r w:rsidRPr="00217E08">
        <w:rPr>
          <w:rFonts w:ascii="Segoe UI" w:hAnsi="Segoe UI" w:cs="Segoe UI"/>
          <w:color w:val="00000A"/>
          <w:sz w:val="24"/>
          <w:szCs w:val="24"/>
        </w:rPr>
        <w:t xml:space="preserve"> recognized only patrilineal descent and penalized Indigenous women, but not men, for ‘marrying out.’ While amendments to the </w:t>
      </w:r>
      <w:r w:rsidRPr="00217E08">
        <w:rPr>
          <w:rFonts w:ascii="Segoe UI" w:hAnsi="Segoe UI" w:cs="Segoe UI"/>
          <w:i/>
          <w:iCs/>
          <w:color w:val="00000A"/>
          <w:sz w:val="24"/>
          <w:szCs w:val="24"/>
        </w:rPr>
        <w:t>Indian Act</w:t>
      </w:r>
      <w:r w:rsidRPr="00217E08">
        <w:rPr>
          <w:rFonts w:ascii="Segoe UI" w:hAnsi="Segoe UI" w:cs="Segoe UI"/>
          <w:color w:val="00000A"/>
          <w:sz w:val="24"/>
          <w:szCs w:val="24"/>
        </w:rPr>
        <w:t xml:space="preserve"> made in 1985 (Bill C-31), 2011 (Bill C-3, the </w:t>
      </w:r>
      <w:r w:rsidRPr="00F4303B">
        <w:rPr>
          <w:rFonts w:ascii="Segoe UI" w:hAnsi="Segoe UI" w:cs="Segoe UI"/>
          <w:i/>
          <w:iCs/>
          <w:color w:val="00000A"/>
          <w:sz w:val="24"/>
          <w:szCs w:val="24"/>
        </w:rPr>
        <w:t>McIvor</w:t>
      </w:r>
      <w:r w:rsidRPr="00217E08">
        <w:rPr>
          <w:rFonts w:ascii="Segoe UI" w:hAnsi="Segoe UI" w:cs="Segoe UI"/>
          <w:color w:val="00000A"/>
          <w:sz w:val="24"/>
          <w:szCs w:val="24"/>
        </w:rPr>
        <w:t xml:space="preserve"> amendment) and 2017 (Bill S-3, the </w:t>
      </w:r>
      <w:r w:rsidRPr="00F4303B">
        <w:rPr>
          <w:rFonts w:ascii="Segoe UI" w:hAnsi="Segoe UI" w:cs="Segoe UI"/>
          <w:i/>
          <w:iCs/>
          <w:color w:val="00000A"/>
          <w:sz w:val="24"/>
          <w:szCs w:val="24"/>
        </w:rPr>
        <w:t>Descheneaux</w:t>
      </w:r>
      <w:r w:rsidRPr="00217E08">
        <w:rPr>
          <w:rFonts w:ascii="Segoe UI" w:hAnsi="Segoe UI" w:cs="Segoe UI"/>
          <w:color w:val="00000A"/>
          <w:sz w:val="24"/>
          <w:szCs w:val="24"/>
        </w:rPr>
        <w:t xml:space="preserve"> amendment) corrected some elements of the discrimination, they also added new forms of discrimination, and all have failed to fully eliminate the discrimination.</w:t>
      </w:r>
      <w:r>
        <w:rPr>
          <w:rFonts w:ascii="Segoe UI" w:hAnsi="Segoe UI" w:cs="Segoe UI"/>
          <w:color w:val="00000A"/>
          <w:sz w:val="24"/>
          <w:szCs w:val="24"/>
        </w:rPr>
        <w:t xml:space="preserve"> </w:t>
      </w:r>
    </w:p>
    <w:p w14:paraId="06F060E7" w14:textId="77777777" w:rsidR="00350FA3" w:rsidRPr="00217E08" w:rsidRDefault="00350FA3" w:rsidP="00E0247D">
      <w:pPr>
        <w:pStyle w:val="Normal1"/>
        <w:numPr>
          <w:ilvl w:val="0"/>
          <w:numId w:val="3"/>
        </w:numPr>
        <w:spacing w:before="120" w:after="120"/>
        <w:rPr>
          <w:rFonts w:ascii="Segoe UI" w:hAnsi="Segoe UI" w:cs="Segoe UI"/>
          <w:sz w:val="24"/>
          <w:szCs w:val="24"/>
        </w:rPr>
      </w:pPr>
      <w:r w:rsidRPr="00217E08">
        <w:rPr>
          <w:rFonts w:ascii="Segoe UI" w:hAnsi="Segoe UI" w:cs="Segoe UI"/>
          <w:sz w:val="24"/>
          <w:szCs w:val="24"/>
        </w:rPr>
        <w:t>Th</w:t>
      </w:r>
      <w:r>
        <w:rPr>
          <w:rFonts w:ascii="Segoe UI" w:hAnsi="Segoe UI" w:cs="Segoe UI"/>
          <w:sz w:val="24"/>
          <w:szCs w:val="24"/>
        </w:rPr>
        <w:t>e sex</w:t>
      </w:r>
      <w:r w:rsidRPr="00217E08">
        <w:rPr>
          <w:rFonts w:ascii="Segoe UI" w:hAnsi="Segoe UI" w:cs="Segoe UI"/>
          <w:sz w:val="24"/>
          <w:szCs w:val="24"/>
        </w:rPr>
        <w:t xml:space="preserve"> discrimination has had profoundly harmful effects on First Nations women, their descendants and their communities. This persistent discrimination has been identified by the CEDAW Committee and the Inter-American Commission on Human Rights (IACHR) as a </w:t>
      </w:r>
      <w:hyperlink r:id="rId26">
        <w:r w:rsidRPr="00217E08">
          <w:rPr>
            <w:rFonts w:ascii="Segoe UI" w:hAnsi="Segoe UI" w:cs="Segoe UI"/>
            <w:color w:val="833C0B"/>
            <w:sz w:val="24"/>
            <w:szCs w:val="24"/>
            <w:u w:val="single"/>
          </w:rPr>
          <w:t>root cause of the violence against Indigenous women and girls</w:t>
        </w:r>
      </w:hyperlink>
      <w:r w:rsidRPr="00217E08">
        <w:rPr>
          <w:rFonts w:ascii="Segoe UI" w:hAnsi="Segoe UI" w:cs="Segoe UI"/>
          <w:sz w:val="24"/>
          <w:szCs w:val="24"/>
        </w:rPr>
        <w:t xml:space="preserve">. The sex discrimination has </w:t>
      </w:r>
      <w:r>
        <w:rPr>
          <w:rFonts w:ascii="Segoe UI" w:hAnsi="Segoe UI" w:cs="Segoe UI"/>
          <w:sz w:val="24"/>
          <w:szCs w:val="24"/>
        </w:rPr>
        <w:t xml:space="preserve">also </w:t>
      </w:r>
      <w:r w:rsidRPr="00217E08">
        <w:rPr>
          <w:rFonts w:ascii="Segoe UI" w:hAnsi="Segoe UI" w:cs="Segoe UI"/>
          <w:sz w:val="24"/>
          <w:szCs w:val="24"/>
        </w:rPr>
        <w:t xml:space="preserve">been an effective tool of assimilation, defining thousands of First Nations women and their descendants as non-Indian, not entitled to </w:t>
      </w:r>
      <w:r w:rsidRPr="00217E08">
        <w:rPr>
          <w:rFonts w:ascii="Segoe UI" w:hAnsi="Segoe UI" w:cs="Segoe UI"/>
          <w:sz w:val="24"/>
          <w:szCs w:val="24"/>
        </w:rPr>
        <w:lastRenderedPageBreak/>
        <w:t xml:space="preserve">recognition, belonging in their communities, political voice, or the benefits of treaties or inherent rights. </w:t>
      </w:r>
    </w:p>
    <w:p w14:paraId="4EC240E7" w14:textId="77777777" w:rsidR="00350FA3" w:rsidRPr="00217E08" w:rsidRDefault="00350FA3" w:rsidP="00A70ECB">
      <w:pPr>
        <w:pStyle w:val="Normal1"/>
        <w:numPr>
          <w:ilvl w:val="0"/>
          <w:numId w:val="3"/>
        </w:numPr>
        <w:rPr>
          <w:rFonts w:ascii="Segoe UI" w:hAnsi="Segoe UI" w:cs="Segoe UI"/>
          <w:sz w:val="24"/>
          <w:szCs w:val="24"/>
        </w:rPr>
      </w:pPr>
      <w:r w:rsidRPr="00217E08">
        <w:rPr>
          <w:rFonts w:ascii="Segoe UI" w:hAnsi="Segoe UI" w:cs="Segoe UI"/>
          <w:sz w:val="24"/>
          <w:szCs w:val="24"/>
        </w:rPr>
        <w:t xml:space="preserve">The </w:t>
      </w:r>
      <w:r>
        <w:rPr>
          <w:rFonts w:ascii="Segoe UI" w:hAnsi="Segoe UI" w:cs="Segoe UI"/>
          <w:sz w:val="24"/>
          <w:szCs w:val="24"/>
        </w:rPr>
        <w:t>2017</w:t>
      </w:r>
      <w:r w:rsidRPr="00217E08">
        <w:rPr>
          <w:rFonts w:ascii="Segoe UI" w:hAnsi="Segoe UI" w:cs="Segoe UI"/>
          <w:sz w:val="24"/>
          <w:szCs w:val="24"/>
        </w:rPr>
        <w:t xml:space="preserve"> amendment, Bill S-3, followed the 2015 </w:t>
      </w:r>
      <w:r w:rsidRPr="00217E08">
        <w:rPr>
          <w:rFonts w:ascii="Segoe UI" w:hAnsi="Segoe UI" w:cs="Segoe UI"/>
          <w:i/>
          <w:iCs/>
          <w:sz w:val="24"/>
          <w:szCs w:val="24"/>
        </w:rPr>
        <w:t xml:space="preserve">Descheneaux v. Canada </w:t>
      </w:r>
      <w:r w:rsidRPr="00217E08">
        <w:rPr>
          <w:rFonts w:ascii="Segoe UI" w:hAnsi="Segoe UI" w:cs="Segoe UI"/>
          <w:sz w:val="24"/>
          <w:szCs w:val="24"/>
        </w:rPr>
        <w:t xml:space="preserve">case, which highlighted inequalities that remained in the </w:t>
      </w:r>
      <w:r w:rsidRPr="00217E08">
        <w:rPr>
          <w:rFonts w:ascii="Segoe UI" w:hAnsi="Segoe UI" w:cs="Segoe UI"/>
          <w:i/>
          <w:iCs/>
          <w:sz w:val="24"/>
          <w:szCs w:val="24"/>
        </w:rPr>
        <w:t xml:space="preserve">Indian Act </w:t>
      </w:r>
      <w:r w:rsidRPr="00217E08">
        <w:rPr>
          <w:rFonts w:ascii="Segoe UI" w:hAnsi="Segoe UI" w:cs="Segoe UI"/>
          <w:sz w:val="24"/>
          <w:szCs w:val="24"/>
        </w:rPr>
        <w:t xml:space="preserve">after the </w:t>
      </w:r>
      <w:r w:rsidRPr="00217E08">
        <w:rPr>
          <w:rFonts w:ascii="Segoe UI" w:hAnsi="Segoe UI" w:cs="Segoe UI"/>
          <w:i/>
          <w:iCs/>
          <w:sz w:val="24"/>
          <w:szCs w:val="24"/>
        </w:rPr>
        <w:t>McIvor</w:t>
      </w:r>
      <w:r w:rsidRPr="00217E08">
        <w:rPr>
          <w:rFonts w:ascii="Segoe UI" w:hAnsi="Segoe UI" w:cs="Segoe UI"/>
          <w:sz w:val="24"/>
          <w:szCs w:val="24"/>
        </w:rPr>
        <w:t xml:space="preserve"> case</w:t>
      </w:r>
      <w:r w:rsidRPr="00217E08">
        <w:rPr>
          <w:rFonts w:ascii="Segoe UI" w:hAnsi="Segoe UI" w:cs="Segoe UI"/>
          <w:sz w:val="24"/>
          <w:szCs w:val="24"/>
          <w:vertAlign w:val="superscript"/>
        </w:rPr>
        <w:footnoteReference w:id="10"/>
      </w:r>
      <w:r w:rsidRPr="00217E08">
        <w:rPr>
          <w:rFonts w:ascii="Segoe UI" w:hAnsi="Segoe UI" w:cs="Segoe UI"/>
          <w:sz w:val="24"/>
          <w:szCs w:val="24"/>
        </w:rPr>
        <w:t xml:space="preserve"> and </w:t>
      </w:r>
      <w:r>
        <w:rPr>
          <w:rFonts w:ascii="Segoe UI" w:hAnsi="Segoe UI" w:cs="Segoe UI"/>
          <w:sz w:val="24"/>
          <w:szCs w:val="24"/>
        </w:rPr>
        <w:t xml:space="preserve">even after </w:t>
      </w:r>
      <w:r w:rsidRPr="00217E08">
        <w:rPr>
          <w:rFonts w:ascii="Segoe UI" w:hAnsi="Segoe UI" w:cs="Segoe UI"/>
          <w:sz w:val="24"/>
          <w:szCs w:val="24"/>
        </w:rPr>
        <w:t xml:space="preserve">the legislative reform introduced in Bill C-3 to respond to it. The </w:t>
      </w:r>
      <w:r w:rsidRPr="00217E08">
        <w:rPr>
          <w:rFonts w:ascii="Segoe UI" w:hAnsi="Segoe UI" w:cs="Segoe UI"/>
          <w:i/>
          <w:iCs/>
          <w:sz w:val="24"/>
          <w:szCs w:val="24"/>
        </w:rPr>
        <w:t>Descheneaux</w:t>
      </w:r>
      <w:r w:rsidRPr="00217E08">
        <w:rPr>
          <w:rFonts w:ascii="Segoe UI" w:hAnsi="Segoe UI" w:cs="Segoe UI"/>
          <w:sz w:val="24"/>
          <w:szCs w:val="24"/>
        </w:rPr>
        <w:t xml:space="preserve"> Court criticized the Government of Canada for continuing to make piecemeal and narrow amendments to the </w:t>
      </w:r>
      <w:r w:rsidRPr="00217E08">
        <w:rPr>
          <w:rFonts w:ascii="Segoe UI" w:hAnsi="Segoe UI" w:cs="Segoe UI"/>
          <w:i/>
          <w:iCs/>
          <w:sz w:val="24"/>
          <w:szCs w:val="24"/>
        </w:rPr>
        <w:t>Indian Act</w:t>
      </w:r>
      <w:r w:rsidRPr="00217E08">
        <w:rPr>
          <w:rFonts w:ascii="Segoe UI" w:hAnsi="Segoe UI" w:cs="Segoe UI"/>
          <w:sz w:val="24"/>
          <w:szCs w:val="24"/>
        </w:rPr>
        <w:t xml:space="preserve"> only in response to legal challenges. Despite this rebuke from the Quebec Superior Court, the Government of Canada introduced Bill S-3</w:t>
      </w:r>
      <w:r>
        <w:rPr>
          <w:rFonts w:ascii="Segoe UI" w:hAnsi="Segoe UI" w:cs="Segoe UI"/>
          <w:sz w:val="24"/>
          <w:szCs w:val="24"/>
        </w:rPr>
        <w:t>,</w:t>
      </w:r>
      <w:r w:rsidRPr="00217E08">
        <w:rPr>
          <w:rFonts w:ascii="Segoe UI" w:hAnsi="Segoe UI" w:cs="Segoe UI"/>
          <w:sz w:val="24"/>
          <w:szCs w:val="24"/>
        </w:rPr>
        <w:t xml:space="preserve"> which made only a narrow amendment to cure the particular forms of discrimination identified in </w:t>
      </w:r>
      <w:r w:rsidRPr="00217E08">
        <w:rPr>
          <w:rFonts w:ascii="Segoe UI" w:hAnsi="Segoe UI" w:cs="Segoe UI"/>
          <w:i/>
          <w:iCs/>
          <w:sz w:val="24"/>
          <w:szCs w:val="24"/>
        </w:rPr>
        <w:t>Descheneaux</w:t>
      </w:r>
      <w:r w:rsidRPr="00217E08">
        <w:rPr>
          <w:rFonts w:ascii="Segoe UI" w:hAnsi="Segoe UI" w:cs="Segoe UI"/>
          <w:sz w:val="24"/>
          <w:szCs w:val="24"/>
        </w:rPr>
        <w:t>.</w:t>
      </w:r>
    </w:p>
    <w:p w14:paraId="0D40C699" w14:textId="77777777" w:rsidR="00350FA3" w:rsidRPr="00217E08" w:rsidRDefault="00350FA3" w:rsidP="00893C84">
      <w:pPr>
        <w:pStyle w:val="Normal1"/>
        <w:numPr>
          <w:ilvl w:val="0"/>
          <w:numId w:val="3"/>
        </w:numPr>
        <w:spacing w:before="120" w:after="120"/>
        <w:rPr>
          <w:rFonts w:ascii="Segoe UI" w:hAnsi="Segoe UI" w:cs="Segoe UI"/>
          <w:sz w:val="24"/>
          <w:szCs w:val="24"/>
        </w:rPr>
      </w:pPr>
      <w:r w:rsidRPr="00217E08">
        <w:rPr>
          <w:rFonts w:ascii="Segoe UI" w:hAnsi="Segoe UI" w:cs="Segoe UI"/>
          <w:sz w:val="24"/>
          <w:szCs w:val="24"/>
        </w:rPr>
        <w:t>Fortunately, Bill S-3 was broadened by a Senate amendment, dubbed the ’6(1)(a) all the way’ amendment, which came into force on August 15, 2019.</w:t>
      </w:r>
      <w:r w:rsidRPr="00217E08">
        <w:rPr>
          <w:rFonts w:ascii="Segoe UI" w:hAnsi="Segoe UI" w:cs="Segoe UI"/>
          <w:sz w:val="24"/>
          <w:szCs w:val="24"/>
          <w:vertAlign w:val="superscript"/>
        </w:rPr>
        <w:footnoteReference w:id="11"/>
      </w:r>
      <w:r w:rsidRPr="00217E08">
        <w:rPr>
          <w:rFonts w:ascii="Segoe UI" w:hAnsi="Segoe UI" w:cs="Segoe UI"/>
          <w:i/>
          <w:iCs/>
          <w:sz w:val="24"/>
          <w:szCs w:val="24"/>
        </w:rPr>
        <w:t xml:space="preserve"> </w:t>
      </w:r>
      <w:r w:rsidRPr="00217E08">
        <w:rPr>
          <w:rFonts w:ascii="Segoe UI" w:hAnsi="Segoe UI" w:cs="Segoe UI"/>
          <w:sz w:val="24"/>
          <w:szCs w:val="24"/>
        </w:rPr>
        <w:t xml:space="preserve">The effect of the Senate’s amending provision was to </w:t>
      </w:r>
      <w:r>
        <w:rPr>
          <w:rFonts w:ascii="Segoe UI" w:hAnsi="Segoe UI" w:cs="Segoe UI"/>
          <w:sz w:val="24"/>
          <w:szCs w:val="24"/>
        </w:rPr>
        <w:t xml:space="preserve">finally </w:t>
      </w:r>
      <w:r w:rsidRPr="00217E08">
        <w:rPr>
          <w:rFonts w:ascii="Segoe UI" w:hAnsi="Segoe UI" w:cs="Segoe UI"/>
          <w:sz w:val="24"/>
          <w:szCs w:val="24"/>
        </w:rPr>
        <w:t xml:space="preserve">entitle women who married out prior to 1985 to the same full Indian status </w:t>
      </w:r>
      <w:r>
        <w:rPr>
          <w:rFonts w:ascii="Segoe UI" w:hAnsi="Segoe UI" w:cs="Segoe UI"/>
          <w:sz w:val="24"/>
          <w:szCs w:val="24"/>
        </w:rPr>
        <w:t>enjoyed by</w:t>
      </w:r>
      <w:r w:rsidRPr="00217E08">
        <w:rPr>
          <w:rFonts w:ascii="Segoe UI" w:hAnsi="Segoe UI" w:cs="Segoe UI"/>
          <w:sz w:val="24"/>
          <w:szCs w:val="24"/>
        </w:rPr>
        <w:t xml:space="preserve"> men who married out. This eliminated a major piece of the preferential treatment accorded to men and their descendants that had been in place from 1869 to 1985, and that had not been corrected by 1985 and 2011 amendments. It was a big step forward. But it did not remove the second generation cut-off and the post 1985 discrimination that was still entrenched in the </w:t>
      </w:r>
      <w:r w:rsidRPr="00217E08">
        <w:rPr>
          <w:rFonts w:ascii="Segoe UI" w:hAnsi="Segoe UI" w:cs="Segoe UI"/>
          <w:i/>
          <w:iCs/>
          <w:sz w:val="24"/>
          <w:szCs w:val="24"/>
        </w:rPr>
        <w:t xml:space="preserve">Indian Act. </w:t>
      </w:r>
      <w:r w:rsidRPr="00217E08">
        <w:rPr>
          <w:rFonts w:ascii="Segoe UI" w:hAnsi="Segoe UI" w:cs="Segoe UI"/>
          <w:sz w:val="24"/>
          <w:szCs w:val="24"/>
        </w:rPr>
        <w:t xml:space="preserve">The Government of Canada claimed that, after Bill S-3, there were no sex-based inequities in the </w:t>
      </w:r>
      <w:r w:rsidRPr="00217E08">
        <w:rPr>
          <w:rFonts w:ascii="Segoe UI" w:hAnsi="Segoe UI" w:cs="Segoe UI"/>
          <w:i/>
          <w:iCs/>
          <w:sz w:val="24"/>
          <w:szCs w:val="24"/>
        </w:rPr>
        <w:t>Indian Act</w:t>
      </w:r>
      <w:r w:rsidRPr="00217E08">
        <w:rPr>
          <w:rFonts w:ascii="Segoe UI" w:hAnsi="Segoe UI" w:cs="Segoe UI"/>
          <w:sz w:val="24"/>
          <w:szCs w:val="24"/>
        </w:rPr>
        <w:t xml:space="preserve">, a claim that was soon shown to be false. </w:t>
      </w:r>
    </w:p>
    <w:p w14:paraId="090F858C" w14:textId="77777777" w:rsidR="00350FA3" w:rsidRPr="00217E08" w:rsidRDefault="00350FA3" w:rsidP="009379F7">
      <w:pPr>
        <w:pStyle w:val="Normal1"/>
        <w:numPr>
          <w:ilvl w:val="0"/>
          <w:numId w:val="3"/>
        </w:numPr>
        <w:rPr>
          <w:rFonts w:ascii="Segoe UI" w:hAnsi="Segoe UI" w:cs="Segoe UI"/>
          <w:sz w:val="24"/>
          <w:szCs w:val="24"/>
        </w:rPr>
      </w:pPr>
      <w:r w:rsidRPr="00217E08">
        <w:rPr>
          <w:rFonts w:ascii="Segoe UI" w:hAnsi="Segoe UI" w:cs="Segoe UI"/>
          <w:sz w:val="24"/>
          <w:szCs w:val="24"/>
        </w:rPr>
        <w:t>On June 10, 2021, Juristes Power Law</w:t>
      </w:r>
      <w:r w:rsidRPr="00217E08">
        <w:rPr>
          <w:rStyle w:val="FootnoteReference"/>
          <w:rFonts w:ascii="Segoe UI" w:hAnsi="Segoe UI" w:cs="Segoe UI"/>
          <w:sz w:val="24"/>
          <w:szCs w:val="24"/>
        </w:rPr>
        <w:footnoteReference w:id="12"/>
      </w:r>
      <w:r w:rsidRPr="00217E08">
        <w:rPr>
          <w:rFonts w:ascii="Segoe UI" w:hAnsi="Segoe UI" w:cs="Segoe UI"/>
          <w:sz w:val="24"/>
          <w:szCs w:val="24"/>
        </w:rPr>
        <w:t xml:space="preserve"> filed the Charter challenge </w:t>
      </w:r>
      <w:r w:rsidRPr="00217E08">
        <w:rPr>
          <w:rFonts w:ascii="Segoe UI" w:hAnsi="Segoe UI" w:cs="Segoe UI"/>
          <w:i/>
          <w:iCs/>
          <w:sz w:val="24"/>
          <w:szCs w:val="24"/>
        </w:rPr>
        <w:t>Nicholas v. Canada</w:t>
      </w:r>
      <w:r w:rsidRPr="00217E08">
        <w:rPr>
          <w:rStyle w:val="FootnoteReference"/>
          <w:rFonts w:ascii="Segoe UI" w:hAnsi="Segoe UI" w:cs="Segoe UI"/>
          <w:sz w:val="24"/>
          <w:szCs w:val="24"/>
        </w:rPr>
        <w:footnoteReference w:id="13"/>
      </w:r>
      <w:r w:rsidRPr="00217E08">
        <w:rPr>
          <w:rFonts w:ascii="Segoe UI" w:hAnsi="Segoe UI" w:cs="Segoe UI"/>
          <w:i/>
          <w:iCs/>
          <w:sz w:val="24"/>
          <w:szCs w:val="24"/>
        </w:rPr>
        <w:t xml:space="preserve"> </w:t>
      </w:r>
      <w:r w:rsidRPr="00217E08">
        <w:rPr>
          <w:rFonts w:ascii="Segoe UI" w:hAnsi="Segoe UI" w:cs="Segoe UI"/>
          <w:sz w:val="24"/>
          <w:szCs w:val="24"/>
        </w:rPr>
        <w:t>in British Columbia Supreme Court.</w:t>
      </w:r>
      <w:r w:rsidRPr="00217E08">
        <w:rPr>
          <w:rFonts w:ascii="Segoe UI" w:hAnsi="Segoe UI" w:cs="Segoe UI"/>
          <w:sz w:val="24"/>
          <w:szCs w:val="24"/>
          <w:highlight w:val="white"/>
          <w:vertAlign w:val="superscript"/>
        </w:rPr>
        <w:footnoteReference w:id="14"/>
      </w:r>
      <w:r w:rsidRPr="00217E08">
        <w:rPr>
          <w:rFonts w:ascii="Segoe UI" w:hAnsi="Segoe UI" w:cs="Segoe UI"/>
          <w:sz w:val="24"/>
          <w:szCs w:val="24"/>
          <w:highlight w:val="white"/>
        </w:rPr>
        <w:t xml:space="preserve"> The </w:t>
      </w:r>
      <w:r w:rsidRPr="00217E08">
        <w:rPr>
          <w:rFonts w:ascii="Segoe UI" w:hAnsi="Segoe UI" w:cs="Segoe UI"/>
          <w:i/>
          <w:iCs/>
          <w:sz w:val="24"/>
          <w:szCs w:val="24"/>
          <w:highlight w:val="white"/>
        </w:rPr>
        <w:t>Nicholas</w:t>
      </w:r>
      <w:r w:rsidRPr="00217E08">
        <w:rPr>
          <w:rFonts w:ascii="Segoe UI" w:hAnsi="Segoe UI" w:cs="Segoe UI"/>
          <w:sz w:val="24"/>
          <w:szCs w:val="24"/>
          <w:highlight w:val="white"/>
        </w:rPr>
        <w:t xml:space="preserve"> plaintiffs argued that the loss of Indigenous women’s status and rights resulting from their male relatives’ enfranchisement (“history of family enfranchisement”</w:t>
      </w:r>
      <w:r w:rsidRPr="00217E08">
        <w:rPr>
          <w:rFonts w:ascii="Segoe UI" w:hAnsi="Segoe UI" w:cs="Segoe UI"/>
          <w:sz w:val="24"/>
          <w:szCs w:val="24"/>
          <w:highlight w:val="white"/>
          <w:vertAlign w:val="superscript"/>
        </w:rPr>
        <w:footnoteReference w:id="15"/>
      </w:r>
      <w:r w:rsidRPr="00217E08">
        <w:rPr>
          <w:rFonts w:ascii="Segoe UI" w:hAnsi="Segoe UI" w:cs="Segoe UI"/>
          <w:sz w:val="24"/>
          <w:szCs w:val="24"/>
          <w:highlight w:val="white"/>
        </w:rPr>
        <w:t xml:space="preserve">) violated sections 7 (life, liberty, and security) and 15 (equality) of the </w:t>
      </w:r>
      <w:r w:rsidRPr="00217E08">
        <w:rPr>
          <w:rFonts w:ascii="Segoe UI" w:hAnsi="Segoe UI" w:cs="Segoe UI"/>
          <w:i/>
          <w:iCs/>
          <w:sz w:val="24"/>
          <w:szCs w:val="24"/>
          <w:highlight w:val="white"/>
        </w:rPr>
        <w:t>Canadian Charter of Rights and Freedoms</w:t>
      </w:r>
      <w:r w:rsidRPr="00217E08">
        <w:rPr>
          <w:rFonts w:ascii="Segoe UI" w:hAnsi="Segoe UI" w:cs="Segoe UI"/>
          <w:sz w:val="24"/>
          <w:szCs w:val="24"/>
          <w:highlight w:val="white"/>
        </w:rPr>
        <w:t>.</w:t>
      </w:r>
      <w:r w:rsidRPr="00217E08">
        <w:rPr>
          <w:rFonts w:ascii="Segoe UI" w:hAnsi="Segoe UI" w:cs="Segoe UI"/>
          <w:sz w:val="24"/>
          <w:szCs w:val="24"/>
          <w:highlight w:val="white"/>
          <w:vertAlign w:val="superscript"/>
        </w:rPr>
        <w:footnoteReference w:id="16"/>
      </w:r>
      <w:r w:rsidRPr="00217E08">
        <w:rPr>
          <w:rFonts w:ascii="Segoe UI" w:hAnsi="Segoe UI" w:cs="Segoe UI"/>
          <w:sz w:val="24"/>
          <w:szCs w:val="24"/>
          <w:highlight w:val="white"/>
        </w:rPr>
        <w:t xml:space="preserve"> On January 6, 2022, the Government of Canada made an agreement with the </w:t>
      </w:r>
      <w:r w:rsidRPr="00217E08">
        <w:rPr>
          <w:rFonts w:ascii="Segoe UI" w:hAnsi="Segoe UI" w:cs="Segoe UI"/>
          <w:i/>
          <w:iCs/>
          <w:sz w:val="24"/>
          <w:szCs w:val="24"/>
          <w:highlight w:val="white"/>
        </w:rPr>
        <w:t>Nicholas</w:t>
      </w:r>
      <w:r w:rsidRPr="00217E08">
        <w:rPr>
          <w:rFonts w:ascii="Segoe UI" w:hAnsi="Segoe UI" w:cs="Segoe UI"/>
          <w:sz w:val="24"/>
          <w:szCs w:val="24"/>
          <w:highlight w:val="white"/>
        </w:rPr>
        <w:t xml:space="preserve"> plaintiffs that, if the court process was put on hold, it would create a legislative solution for enfranchisement-related issues.</w:t>
      </w:r>
    </w:p>
    <w:p w14:paraId="3382F48C" w14:textId="77777777" w:rsidR="00350FA3" w:rsidRPr="00217E08" w:rsidRDefault="00350FA3" w:rsidP="00B36D8D">
      <w:pPr>
        <w:pStyle w:val="Normal1"/>
        <w:rPr>
          <w:rFonts w:ascii="Segoe UI" w:hAnsi="Segoe UI" w:cs="Segoe UI"/>
          <w:sz w:val="24"/>
          <w:szCs w:val="24"/>
        </w:rPr>
      </w:pPr>
    </w:p>
    <w:p w14:paraId="10D703FC" w14:textId="77777777" w:rsidR="006E1A8F" w:rsidRPr="006E1A8F" w:rsidRDefault="00350FA3" w:rsidP="006E1A8F">
      <w:pPr>
        <w:pStyle w:val="Normal1"/>
        <w:numPr>
          <w:ilvl w:val="0"/>
          <w:numId w:val="3"/>
        </w:numPr>
        <w:rPr>
          <w:rFonts w:ascii="Segoe UI" w:hAnsi="Segoe UI" w:cs="Segoe UI"/>
          <w:sz w:val="24"/>
          <w:szCs w:val="24"/>
          <w:highlight w:val="white"/>
        </w:rPr>
      </w:pPr>
      <w:r w:rsidRPr="00217E08">
        <w:rPr>
          <w:rFonts w:ascii="Segoe UI" w:hAnsi="Segoe UI" w:cs="Segoe UI"/>
          <w:color w:val="000000"/>
          <w:sz w:val="24"/>
          <w:szCs w:val="24"/>
        </w:rPr>
        <w:lastRenderedPageBreak/>
        <w:t xml:space="preserve">In 2022, the Government of Canada introduced Bill C-38 to amend the </w:t>
      </w:r>
      <w:r w:rsidRPr="00217E08">
        <w:rPr>
          <w:rFonts w:ascii="Segoe UI" w:hAnsi="Segoe UI" w:cs="Segoe UI"/>
          <w:i/>
          <w:iCs/>
          <w:color w:val="000000"/>
          <w:sz w:val="24"/>
          <w:szCs w:val="24"/>
        </w:rPr>
        <w:t xml:space="preserve">Indian Act </w:t>
      </w:r>
      <w:r w:rsidRPr="00217E08">
        <w:rPr>
          <w:rFonts w:ascii="Segoe UI" w:hAnsi="Segoe UI" w:cs="Segoe UI"/>
          <w:color w:val="000000"/>
          <w:sz w:val="24"/>
          <w:szCs w:val="24"/>
        </w:rPr>
        <w:t xml:space="preserve">and respond to the </w:t>
      </w:r>
      <w:r w:rsidRPr="00217E08">
        <w:rPr>
          <w:rFonts w:ascii="Segoe UI" w:hAnsi="Segoe UI" w:cs="Segoe UI"/>
          <w:i/>
          <w:iCs/>
          <w:color w:val="000000"/>
          <w:sz w:val="24"/>
          <w:szCs w:val="24"/>
        </w:rPr>
        <w:t>Nicholas</w:t>
      </w:r>
      <w:r w:rsidRPr="00217E08">
        <w:rPr>
          <w:rFonts w:ascii="Segoe UI" w:hAnsi="Segoe UI" w:cs="Segoe UI"/>
          <w:color w:val="000000"/>
          <w:sz w:val="24"/>
          <w:szCs w:val="24"/>
        </w:rPr>
        <w:t xml:space="preserve"> case. If passed, Bill C-38 would have enacted one more legislative amendment to the </w:t>
      </w:r>
      <w:r w:rsidRPr="00217E08">
        <w:rPr>
          <w:rFonts w:ascii="Segoe UI" w:hAnsi="Segoe UI" w:cs="Segoe UI"/>
          <w:i/>
          <w:iCs/>
          <w:color w:val="000000"/>
          <w:sz w:val="24"/>
          <w:szCs w:val="24"/>
        </w:rPr>
        <w:t>Indian Act</w:t>
      </w:r>
      <w:r w:rsidRPr="00217E08">
        <w:rPr>
          <w:rFonts w:ascii="Segoe UI" w:hAnsi="Segoe UI" w:cs="Segoe UI"/>
          <w:color w:val="000000"/>
          <w:sz w:val="24"/>
          <w:szCs w:val="24"/>
        </w:rPr>
        <w:t xml:space="preserve"> that addressed only a sliver of the remaining discrimination and did not fully correct the decades of sex and family-based discrimination.</w:t>
      </w:r>
    </w:p>
    <w:p w14:paraId="23C08A21" w14:textId="77777777" w:rsidR="006E1A8F" w:rsidRDefault="006E1A8F" w:rsidP="006E1A8F">
      <w:pPr>
        <w:pStyle w:val="ListParagraph"/>
        <w:rPr>
          <w:rFonts w:ascii="Segoe UI" w:hAnsi="Segoe UI" w:cs="Segoe UI"/>
          <w:highlight w:val="white"/>
        </w:rPr>
      </w:pPr>
    </w:p>
    <w:p w14:paraId="502C4B15" w14:textId="4AD60DAA" w:rsidR="00350FA3" w:rsidRPr="00217E08" w:rsidRDefault="00350FA3" w:rsidP="006E1A8F">
      <w:pPr>
        <w:pStyle w:val="Normal1"/>
        <w:numPr>
          <w:ilvl w:val="0"/>
          <w:numId w:val="3"/>
        </w:numPr>
        <w:rPr>
          <w:rFonts w:ascii="Segoe UI" w:hAnsi="Segoe UI" w:cs="Segoe UI"/>
          <w:sz w:val="24"/>
          <w:szCs w:val="24"/>
          <w:highlight w:val="white"/>
        </w:rPr>
      </w:pPr>
      <w:r w:rsidRPr="00217E08">
        <w:rPr>
          <w:rFonts w:ascii="Segoe UI" w:hAnsi="Segoe UI" w:cs="Segoe UI"/>
          <w:sz w:val="24"/>
          <w:szCs w:val="24"/>
          <w:highlight w:val="white"/>
        </w:rPr>
        <w:t xml:space="preserve">In January 2025, Bill C-38, the Government of Canada’s response to the </w:t>
      </w:r>
      <w:r w:rsidRPr="00217E08">
        <w:rPr>
          <w:rFonts w:ascii="Segoe UI" w:hAnsi="Segoe UI" w:cs="Segoe UI"/>
          <w:i/>
          <w:iCs/>
          <w:sz w:val="24"/>
          <w:szCs w:val="24"/>
          <w:highlight w:val="white"/>
        </w:rPr>
        <w:t>Nicholas</w:t>
      </w:r>
      <w:r w:rsidRPr="00217E08">
        <w:rPr>
          <w:rFonts w:ascii="Segoe UI" w:hAnsi="Segoe UI" w:cs="Segoe UI"/>
          <w:sz w:val="24"/>
          <w:szCs w:val="24"/>
          <w:highlight w:val="white"/>
        </w:rPr>
        <w:t xml:space="preserve"> case, died on the Order Paper before passing its second reading due to the prorogation of Parliament.</w:t>
      </w:r>
      <w:r w:rsidRPr="00217E08">
        <w:rPr>
          <w:rFonts w:ascii="Segoe UI" w:hAnsi="Segoe UI" w:cs="Segoe UI"/>
          <w:sz w:val="24"/>
          <w:szCs w:val="24"/>
          <w:highlight w:val="white"/>
          <w:vertAlign w:val="superscript"/>
        </w:rPr>
        <w:footnoteReference w:id="17"/>
      </w:r>
      <w:r w:rsidRPr="00217E08">
        <w:rPr>
          <w:rFonts w:ascii="Segoe UI" w:hAnsi="Segoe UI" w:cs="Segoe UI"/>
          <w:sz w:val="24"/>
          <w:szCs w:val="24"/>
          <w:highlight w:val="white"/>
        </w:rPr>
        <w:t xml:space="preserve"> It had been stalled for nearly two years in the legislative process. </w:t>
      </w:r>
    </w:p>
    <w:p w14:paraId="4E4938C6" w14:textId="77777777" w:rsidR="00350FA3" w:rsidRPr="00217E08" w:rsidRDefault="00350FA3" w:rsidP="00E0247D">
      <w:pPr>
        <w:pStyle w:val="Normal1"/>
        <w:widowControl w:val="0"/>
        <w:rPr>
          <w:rFonts w:ascii="Segoe UI" w:hAnsi="Segoe UI" w:cs="Segoe UI"/>
          <w:color w:val="000000"/>
          <w:sz w:val="24"/>
          <w:szCs w:val="24"/>
        </w:rPr>
      </w:pPr>
    </w:p>
    <w:p w14:paraId="6A13DD18" w14:textId="77777777" w:rsidR="00350FA3" w:rsidRPr="00D542C0" w:rsidRDefault="00350FA3" w:rsidP="00D542C0">
      <w:pPr>
        <w:pStyle w:val="Normal1"/>
        <w:numPr>
          <w:ilvl w:val="0"/>
          <w:numId w:val="3"/>
        </w:numPr>
        <w:rPr>
          <w:rFonts w:ascii="Segoe UI" w:hAnsi="Segoe UI" w:cs="Segoe UI"/>
          <w:sz w:val="24"/>
          <w:szCs w:val="24"/>
        </w:rPr>
      </w:pPr>
      <w:r w:rsidRPr="00D542C0">
        <w:rPr>
          <w:rFonts w:ascii="Segoe UI" w:hAnsi="Segoe UI" w:cs="Segoe UI"/>
          <w:sz w:val="24"/>
          <w:szCs w:val="24"/>
          <w:highlight w:val="white"/>
        </w:rPr>
        <w:t xml:space="preserve">Between 2022 and 2025, </w:t>
      </w:r>
      <w:r>
        <w:rPr>
          <w:rFonts w:ascii="Segoe UI" w:hAnsi="Segoe UI" w:cs="Segoe UI"/>
          <w:sz w:val="24"/>
          <w:szCs w:val="24"/>
          <w:highlight w:val="white"/>
        </w:rPr>
        <w:t xml:space="preserve">with no legislated remedy, </w:t>
      </w:r>
      <w:r w:rsidRPr="00D542C0">
        <w:rPr>
          <w:rFonts w:ascii="Segoe UI" w:hAnsi="Segoe UI" w:cs="Segoe UI"/>
          <w:sz w:val="24"/>
          <w:szCs w:val="24"/>
          <w:highlight w:val="white"/>
        </w:rPr>
        <w:t>the Nicholas plaintiffs resumed their litigation</w:t>
      </w:r>
      <w:r>
        <w:rPr>
          <w:rFonts w:ascii="Segoe UI" w:hAnsi="Segoe UI" w:cs="Segoe UI"/>
          <w:sz w:val="24"/>
          <w:szCs w:val="24"/>
          <w:highlight w:val="white"/>
        </w:rPr>
        <w:t>.</w:t>
      </w:r>
      <w:r w:rsidRPr="00D542C0">
        <w:rPr>
          <w:rFonts w:ascii="Segoe UI" w:hAnsi="Segoe UI" w:cs="Segoe UI"/>
          <w:sz w:val="24"/>
          <w:szCs w:val="24"/>
          <w:highlight w:val="white"/>
        </w:rPr>
        <w:t xml:space="preserve"> The British Columbia Supreme Court ruled that denial of status to them violated sections 7 and 15 of Canada’s </w:t>
      </w:r>
      <w:r w:rsidRPr="00D542C0">
        <w:rPr>
          <w:rFonts w:ascii="Segoe UI" w:hAnsi="Segoe UI" w:cs="Segoe UI"/>
          <w:i/>
          <w:iCs/>
          <w:sz w:val="24"/>
          <w:szCs w:val="24"/>
          <w:highlight w:val="white"/>
        </w:rPr>
        <w:t>Charter</w:t>
      </w:r>
      <w:r w:rsidRPr="00D542C0">
        <w:rPr>
          <w:rFonts w:ascii="Segoe UI" w:hAnsi="Segoe UI" w:cs="Segoe UI"/>
          <w:sz w:val="24"/>
          <w:szCs w:val="24"/>
          <w:highlight w:val="white"/>
        </w:rPr>
        <w:t>.</w:t>
      </w:r>
      <w:r w:rsidRPr="00D542C0">
        <w:rPr>
          <w:rFonts w:ascii="Segoe UI" w:hAnsi="Segoe UI" w:cs="Segoe UI"/>
          <w:sz w:val="24"/>
          <w:szCs w:val="24"/>
          <w:highlight w:val="white"/>
          <w:vertAlign w:val="superscript"/>
        </w:rPr>
        <w:footnoteReference w:id="18"/>
      </w:r>
      <w:r w:rsidRPr="00D542C0">
        <w:rPr>
          <w:rFonts w:ascii="Segoe UI" w:hAnsi="Segoe UI" w:cs="Segoe UI"/>
          <w:sz w:val="24"/>
          <w:szCs w:val="24"/>
          <w:highlight w:val="white"/>
        </w:rPr>
        <w:t xml:space="preserve"> The Court gave the Government of Canada until April 30, 2026 to enact a law allowing enfranchised individuals and their direct descendants to register for status</w:t>
      </w:r>
      <w:r w:rsidRPr="00D542C0">
        <w:rPr>
          <w:rFonts w:ascii="Segoe UI" w:hAnsi="Segoe UI" w:cs="Segoe UI"/>
          <w:sz w:val="24"/>
          <w:szCs w:val="24"/>
          <w:highlight w:val="white"/>
          <w:vertAlign w:val="superscript"/>
        </w:rPr>
        <w:footnoteReference w:id="19"/>
      </w:r>
      <w:r w:rsidRPr="00D542C0">
        <w:rPr>
          <w:rFonts w:ascii="Segoe UI" w:hAnsi="Segoe UI" w:cs="Segoe UI"/>
          <w:sz w:val="24"/>
          <w:szCs w:val="24"/>
          <w:highlight w:val="white"/>
        </w:rPr>
        <w:t xml:space="preserve"> </w:t>
      </w:r>
    </w:p>
    <w:p w14:paraId="1715C168" w14:textId="77777777" w:rsidR="00350FA3" w:rsidRPr="00D542C0" w:rsidRDefault="00350FA3" w:rsidP="00D542C0">
      <w:pPr>
        <w:pStyle w:val="ListParagraph"/>
        <w:rPr>
          <w:rFonts w:ascii="Segoe UI" w:hAnsi="Segoe UI" w:cs="Segoe UI"/>
          <w:highlight w:val="white"/>
        </w:rPr>
      </w:pPr>
    </w:p>
    <w:p w14:paraId="38A96489" w14:textId="77777777" w:rsidR="00350FA3" w:rsidRDefault="00350FA3" w:rsidP="00D542C0">
      <w:pPr>
        <w:pStyle w:val="Normal1"/>
        <w:numPr>
          <w:ilvl w:val="0"/>
          <w:numId w:val="3"/>
        </w:numPr>
        <w:rPr>
          <w:rFonts w:ascii="Segoe UI" w:hAnsi="Segoe UI" w:cs="Segoe UI"/>
          <w:sz w:val="24"/>
          <w:szCs w:val="24"/>
        </w:rPr>
      </w:pPr>
      <w:r w:rsidRPr="00D542C0">
        <w:rPr>
          <w:rFonts w:ascii="Segoe UI" w:hAnsi="Segoe UI" w:cs="Segoe UI"/>
          <w:sz w:val="24"/>
          <w:szCs w:val="24"/>
          <w:highlight w:val="white"/>
        </w:rPr>
        <w:t>On May 29, 2025, Bill S-2 was introduced in the Senate of Canada and referred for study to the Senate Committee on Indigenous Peoples. Bill S-2 is Bill C-38 renamed</w:t>
      </w:r>
      <w:r>
        <w:rPr>
          <w:rFonts w:ascii="Segoe UI" w:hAnsi="Segoe UI" w:cs="Segoe UI"/>
          <w:sz w:val="24"/>
          <w:szCs w:val="24"/>
          <w:highlight w:val="white"/>
        </w:rPr>
        <w:t xml:space="preserve">, the Government’s </w:t>
      </w:r>
      <w:r w:rsidRPr="00D542C0">
        <w:rPr>
          <w:rFonts w:ascii="Segoe UI" w:hAnsi="Segoe UI" w:cs="Segoe UI"/>
          <w:sz w:val="24"/>
          <w:szCs w:val="24"/>
          <w:highlight w:val="white"/>
        </w:rPr>
        <w:t xml:space="preserve">response to the </w:t>
      </w:r>
      <w:r w:rsidRPr="00D542C0">
        <w:rPr>
          <w:rFonts w:ascii="Segoe UI" w:hAnsi="Segoe UI" w:cs="Segoe UI"/>
          <w:i/>
          <w:iCs/>
          <w:sz w:val="24"/>
          <w:szCs w:val="24"/>
          <w:highlight w:val="white"/>
        </w:rPr>
        <w:t xml:space="preserve">Nicholas v. Canada </w:t>
      </w:r>
      <w:r w:rsidRPr="00D542C0">
        <w:rPr>
          <w:rFonts w:ascii="Segoe UI" w:hAnsi="Segoe UI" w:cs="Segoe UI"/>
          <w:sz w:val="24"/>
          <w:szCs w:val="24"/>
          <w:highlight w:val="white"/>
        </w:rPr>
        <w:t>case.</w:t>
      </w:r>
    </w:p>
    <w:p w14:paraId="5582A69F" w14:textId="77777777" w:rsidR="00350FA3" w:rsidRDefault="00350FA3" w:rsidP="00D542C0">
      <w:pPr>
        <w:pStyle w:val="ListParagraph"/>
        <w:rPr>
          <w:rFonts w:ascii="Segoe UI" w:hAnsi="Segoe UI" w:cs="Segoe UI"/>
          <w:highlight w:val="white"/>
        </w:rPr>
      </w:pPr>
    </w:p>
    <w:p w14:paraId="103F0D36" w14:textId="77777777" w:rsidR="00350FA3" w:rsidRPr="00294836" w:rsidRDefault="00350FA3" w:rsidP="00D542C0">
      <w:pPr>
        <w:pStyle w:val="Normal1"/>
        <w:numPr>
          <w:ilvl w:val="0"/>
          <w:numId w:val="3"/>
        </w:numPr>
        <w:rPr>
          <w:rFonts w:ascii="Segoe UI" w:hAnsi="Segoe UI" w:cs="Segoe UI"/>
          <w:sz w:val="24"/>
          <w:szCs w:val="24"/>
        </w:rPr>
      </w:pPr>
      <w:r>
        <w:rPr>
          <w:rFonts w:ascii="Segoe UI" w:hAnsi="Segoe UI" w:cs="Segoe UI"/>
          <w:sz w:val="24"/>
          <w:szCs w:val="24"/>
          <w:highlight w:val="white"/>
        </w:rPr>
        <w:t>O</w:t>
      </w:r>
      <w:r w:rsidRPr="00D542C0">
        <w:rPr>
          <w:rFonts w:ascii="Segoe UI" w:hAnsi="Segoe UI" w:cs="Segoe UI"/>
          <w:sz w:val="24"/>
          <w:szCs w:val="24"/>
          <w:highlight w:val="white"/>
        </w:rPr>
        <w:t>n November 18, 2025</w:t>
      </w:r>
      <w:r>
        <w:rPr>
          <w:rFonts w:ascii="Segoe UI" w:hAnsi="Segoe UI" w:cs="Segoe UI"/>
          <w:sz w:val="24"/>
          <w:szCs w:val="24"/>
          <w:highlight w:val="white"/>
        </w:rPr>
        <w:t>, t</w:t>
      </w:r>
      <w:r w:rsidRPr="00D542C0">
        <w:rPr>
          <w:rFonts w:ascii="Segoe UI" w:hAnsi="Segoe UI" w:cs="Segoe UI"/>
          <w:sz w:val="24"/>
          <w:szCs w:val="24"/>
          <w:highlight w:val="white"/>
        </w:rPr>
        <w:t>he Senate Committee voted to amend Bill S-2 to eliminate the second-generation cut-off</w:t>
      </w:r>
      <w:r>
        <w:rPr>
          <w:rFonts w:ascii="Segoe UI" w:hAnsi="Segoe UI" w:cs="Segoe UI"/>
          <w:sz w:val="24"/>
          <w:szCs w:val="24"/>
          <w:highlight w:val="white"/>
        </w:rPr>
        <w:t xml:space="preserve">, the 1985 cut-off and the two parent rule, in order to </w:t>
      </w:r>
      <w:r w:rsidRPr="00D542C0">
        <w:rPr>
          <w:rFonts w:ascii="Segoe UI" w:hAnsi="Segoe UI" w:cs="Segoe UI"/>
          <w:sz w:val="24"/>
          <w:szCs w:val="24"/>
          <w:highlight w:val="white"/>
        </w:rPr>
        <w:t>end the legislative extinction</w:t>
      </w:r>
      <w:r>
        <w:rPr>
          <w:rFonts w:ascii="Segoe UI" w:hAnsi="Segoe UI" w:cs="Segoe UI"/>
          <w:sz w:val="24"/>
          <w:szCs w:val="24"/>
          <w:highlight w:val="white"/>
        </w:rPr>
        <w:t xml:space="preserve"> scheme embedded in the </w:t>
      </w:r>
      <w:r w:rsidRPr="008F3A83">
        <w:rPr>
          <w:rFonts w:ascii="Segoe UI" w:hAnsi="Segoe UI" w:cs="Segoe UI"/>
          <w:i/>
          <w:iCs/>
          <w:sz w:val="24"/>
          <w:szCs w:val="24"/>
          <w:highlight w:val="white"/>
        </w:rPr>
        <w:t>Indian Act</w:t>
      </w:r>
      <w:r>
        <w:rPr>
          <w:rFonts w:ascii="Segoe UI" w:hAnsi="Segoe UI" w:cs="Segoe UI"/>
          <w:sz w:val="24"/>
          <w:szCs w:val="24"/>
          <w:highlight w:val="white"/>
        </w:rPr>
        <w:t>.</w:t>
      </w:r>
      <w:r w:rsidRPr="00D542C0">
        <w:rPr>
          <w:rFonts w:ascii="Segoe UI" w:hAnsi="Segoe UI" w:cs="Segoe UI"/>
          <w:sz w:val="24"/>
          <w:szCs w:val="24"/>
          <w:highlight w:val="white"/>
        </w:rPr>
        <w:t xml:space="preserve">. </w:t>
      </w:r>
      <w:r>
        <w:rPr>
          <w:rFonts w:ascii="Segoe UI" w:hAnsi="Segoe UI" w:cs="Segoe UI"/>
          <w:sz w:val="24"/>
          <w:szCs w:val="24"/>
        </w:rPr>
        <w:t xml:space="preserve">The second generation cut-off, the 1985 cut-off and the two parent rule were introduced in 1985 with Bill C-31. </w:t>
      </w:r>
    </w:p>
    <w:p w14:paraId="5DEA9639" w14:textId="77777777" w:rsidR="00350FA3" w:rsidRDefault="00350FA3" w:rsidP="00294836">
      <w:pPr>
        <w:pStyle w:val="ListParagraph"/>
        <w:rPr>
          <w:rFonts w:ascii="Segoe UI" w:hAnsi="Segoe UI" w:cs="Segoe UI"/>
          <w:highlight w:val="white"/>
        </w:rPr>
      </w:pPr>
    </w:p>
    <w:p w14:paraId="0B91FF19" w14:textId="77777777" w:rsidR="00350FA3" w:rsidRDefault="00350FA3" w:rsidP="00D542C0">
      <w:pPr>
        <w:pStyle w:val="Normal1"/>
        <w:numPr>
          <w:ilvl w:val="0"/>
          <w:numId w:val="3"/>
        </w:numPr>
        <w:rPr>
          <w:rFonts w:ascii="Segoe UI" w:hAnsi="Segoe UI" w:cs="Segoe UI"/>
          <w:sz w:val="24"/>
          <w:szCs w:val="24"/>
        </w:rPr>
      </w:pPr>
      <w:r w:rsidRPr="00D542C0">
        <w:rPr>
          <w:rFonts w:ascii="Segoe UI" w:hAnsi="Segoe UI" w:cs="Segoe UI"/>
          <w:sz w:val="24"/>
          <w:szCs w:val="24"/>
          <w:highlight w:val="white"/>
        </w:rPr>
        <w:t>On December 5, 2025, the Senate</w:t>
      </w:r>
      <w:r>
        <w:rPr>
          <w:rFonts w:ascii="Segoe UI" w:hAnsi="Segoe UI" w:cs="Segoe UI"/>
          <w:sz w:val="24"/>
          <w:szCs w:val="24"/>
          <w:highlight w:val="white"/>
        </w:rPr>
        <w:t xml:space="preserve"> of Canada</w:t>
      </w:r>
      <w:r w:rsidRPr="00D542C0">
        <w:rPr>
          <w:rFonts w:ascii="Segoe UI" w:hAnsi="Segoe UI" w:cs="Segoe UI"/>
          <w:sz w:val="24"/>
          <w:szCs w:val="24"/>
          <w:highlight w:val="white"/>
        </w:rPr>
        <w:t xml:space="preserve"> voted 63-0 with eight abstentions to support the amendments made by the Senate Committee.</w:t>
      </w:r>
      <w:r w:rsidRPr="00D542C0">
        <w:rPr>
          <w:rFonts w:ascii="Segoe UI" w:hAnsi="Segoe UI" w:cs="Segoe UI"/>
          <w:sz w:val="24"/>
          <w:szCs w:val="24"/>
          <w:highlight w:val="white"/>
          <w:vertAlign w:val="superscript"/>
        </w:rPr>
        <w:footnoteReference w:id="20"/>
      </w:r>
      <w:r w:rsidRPr="00D542C0">
        <w:rPr>
          <w:rFonts w:ascii="Segoe UI" w:hAnsi="Segoe UI" w:cs="Segoe UI"/>
          <w:sz w:val="24"/>
          <w:szCs w:val="24"/>
          <w:highlight w:val="white"/>
        </w:rPr>
        <w:t xml:space="preserve"> These amendments restore a one</w:t>
      </w:r>
      <w:r>
        <w:rPr>
          <w:rFonts w:ascii="Segoe UI" w:hAnsi="Segoe UI" w:cs="Segoe UI"/>
          <w:sz w:val="24"/>
          <w:szCs w:val="24"/>
          <w:highlight w:val="white"/>
        </w:rPr>
        <w:t xml:space="preserve"> </w:t>
      </w:r>
      <w:r w:rsidRPr="00D542C0">
        <w:rPr>
          <w:rFonts w:ascii="Segoe UI" w:hAnsi="Segoe UI" w:cs="Segoe UI"/>
          <w:sz w:val="24"/>
          <w:szCs w:val="24"/>
          <w:highlight w:val="white"/>
        </w:rPr>
        <w:t xml:space="preserve">parent rule for determining status eligibility, eliminating subsection 6(2) of the </w:t>
      </w:r>
      <w:r w:rsidRPr="00D542C0">
        <w:rPr>
          <w:rFonts w:ascii="Segoe UI" w:hAnsi="Segoe UI" w:cs="Segoe UI"/>
          <w:i/>
          <w:iCs/>
          <w:sz w:val="24"/>
          <w:szCs w:val="24"/>
          <w:highlight w:val="white"/>
        </w:rPr>
        <w:t>Indian Act</w:t>
      </w:r>
      <w:r w:rsidRPr="00D542C0">
        <w:rPr>
          <w:rFonts w:ascii="Segoe UI" w:hAnsi="Segoe UI" w:cs="Segoe UI"/>
          <w:sz w:val="24"/>
          <w:szCs w:val="24"/>
          <w:highlight w:val="white"/>
        </w:rPr>
        <w:t>, which grants only half status to those with one Indian parent,</w:t>
      </w:r>
      <w:r w:rsidRPr="00217E08">
        <w:rPr>
          <w:rFonts w:ascii="Segoe UI" w:hAnsi="Segoe UI" w:cs="Segoe UI"/>
          <w:sz w:val="24"/>
          <w:szCs w:val="24"/>
          <w:highlight w:val="white"/>
          <w:vertAlign w:val="superscript"/>
        </w:rPr>
        <w:footnoteReference w:id="21"/>
      </w:r>
      <w:r w:rsidRPr="00D542C0">
        <w:rPr>
          <w:rFonts w:ascii="Segoe UI" w:hAnsi="Segoe UI" w:cs="Segoe UI"/>
          <w:sz w:val="24"/>
          <w:szCs w:val="24"/>
          <w:highlight w:val="white"/>
        </w:rPr>
        <w:t xml:space="preserve">and </w:t>
      </w:r>
      <w:r>
        <w:rPr>
          <w:rFonts w:ascii="Segoe UI" w:hAnsi="Segoe UI" w:cs="Segoe UI"/>
          <w:sz w:val="24"/>
          <w:szCs w:val="24"/>
          <w:highlight w:val="white"/>
        </w:rPr>
        <w:t>eliminating</w:t>
      </w:r>
      <w:r w:rsidRPr="00D542C0">
        <w:rPr>
          <w:rFonts w:ascii="Segoe UI" w:hAnsi="Segoe UI" w:cs="Segoe UI"/>
          <w:sz w:val="24"/>
          <w:szCs w:val="24"/>
          <w:highlight w:val="white"/>
        </w:rPr>
        <w:t xml:space="preserve"> the second generation cut-off. </w:t>
      </w:r>
      <w:r w:rsidRPr="00217E08">
        <w:rPr>
          <w:rFonts w:ascii="Segoe UI" w:hAnsi="Segoe UI" w:cs="Segoe UI"/>
          <w:sz w:val="24"/>
          <w:szCs w:val="24"/>
          <w:highlight w:val="white"/>
          <w:vertAlign w:val="superscript"/>
        </w:rPr>
        <w:footnoteReference w:id="22"/>
      </w:r>
    </w:p>
    <w:p w14:paraId="7AF41541" w14:textId="77777777" w:rsidR="00350FA3" w:rsidRDefault="00350FA3" w:rsidP="00D542C0">
      <w:pPr>
        <w:pStyle w:val="ListParagraph"/>
        <w:rPr>
          <w:rFonts w:ascii="Segoe UI" w:hAnsi="Segoe UI" w:cs="Segoe UI"/>
          <w:color w:val="000000"/>
        </w:rPr>
      </w:pPr>
    </w:p>
    <w:p w14:paraId="00E06124" w14:textId="77777777" w:rsidR="00350FA3" w:rsidRPr="002B388C" w:rsidRDefault="00350FA3" w:rsidP="00D542C0">
      <w:pPr>
        <w:pStyle w:val="Normal1"/>
        <w:numPr>
          <w:ilvl w:val="0"/>
          <w:numId w:val="3"/>
        </w:numPr>
        <w:rPr>
          <w:rFonts w:ascii="Segoe UI" w:hAnsi="Segoe UI" w:cs="Segoe UI"/>
          <w:sz w:val="24"/>
          <w:szCs w:val="24"/>
        </w:rPr>
      </w:pPr>
      <w:r w:rsidRPr="00D542C0">
        <w:rPr>
          <w:rFonts w:ascii="Segoe UI" w:hAnsi="Segoe UI" w:cs="Segoe UI"/>
          <w:color w:val="000000"/>
          <w:sz w:val="24"/>
          <w:szCs w:val="24"/>
        </w:rPr>
        <w:t>The Senate’s amendments are a monumental step</w:t>
      </w:r>
      <w:r>
        <w:rPr>
          <w:rFonts w:ascii="Segoe UI" w:hAnsi="Segoe UI" w:cs="Segoe UI"/>
          <w:color w:val="000000"/>
          <w:sz w:val="24"/>
          <w:szCs w:val="24"/>
        </w:rPr>
        <w:t xml:space="preserve">. They eliminate the sex and marital status discrimination that is perpetuated by the second generation cut-off and </w:t>
      </w:r>
      <w:r>
        <w:rPr>
          <w:rFonts w:ascii="Segoe UI" w:hAnsi="Segoe UI" w:cs="Segoe UI"/>
          <w:color w:val="000000"/>
          <w:sz w:val="24"/>
          <w:szCs w:val="24"/>
        </w:rPr>
        <w:lastRenderedPageBreak/>
        <w:t xml:space="preserve">the 1985 cut-off, and they eliminate the </w:t>
      </w:r>
      <w:r w:rsidRPr="00D542C0">
        <w:rPr>
          <w:rFonts w:ascii="Segoe UI" w:hAnsi="Segoe UI" w:cs="Segoe UI"/>
          <w:color w:val="000000"/>
          <w:sz w:val="24"/>
          <w:szCs w:val="24"/>
        </w:rPr>
        <w:t xml:space="preserve">legal extinction </w:t>
      </w:r>
      <w:r>
        <w:rPr>
          <w:rFonts w:ascii="Segoe UI" w:hAnsi="Segoe UI" w:cs="Segoe UI"/>
          <w:color w:val="000000"/>
          <w:sz w:val="24"/>
          <w:szCs w:val="24"/>
        </w:rPr>
        <w:t xml:space="preserve">scheme that continues </w:t>
      </w:r>
      <w:r w:rsidRPr="00D542C0">
        <w:rPr>
          <w:rFonts w:ascii="Segoe UI" w:hAnsi="Segoe UI" w:cs="Segoe UI"/>
          <w:color w:val="000000"/>
          <w:sz w:val="24"/>
          <w:szCs w:val="24"/>
        </w:rPr>
        <w:t xml:space="preserve">Canada’s program of forced assimilation by legally defining out of the pool of ‘Indians’ those with only one ‘Indian’ parent. </w:t>
      </w:r>
    </w:p>
    <w:p w14:paraId="3AFB6597" w14:textId="77777777" w:rsidR="00350FA3" w:rsidRDefault="00350FA3" w:rsidP="002B388C">
      <w:pPr>
        <w:pStyle w:val="Normal1"/>
      </w:pPr>
    </w:p>
    <w:p w14:paraId="59751E95" w14:textId="77777777" w:rsidR="00350FA3" w:rsidRPr="00EA2F3F" w:rsidRDefault="00350FA3" w:rsidP="002B388C">
      <w:pPr>
        <w:pStyle w:val="Normal1"/>
        <w:widowControl w:val="0"/>
        <w:numPr>
          <w:ilvl w:val="0"/>
          <w:numId w:val="3"/>
        </w:numPr>
        <w:spacing w:before="120" w:after="120"/>
        <w:rPr>
          <w:rFonts w:ascii="Segoe UI" w:hAnsi="Segoe UI" w:cs="Segoe UI"/>
          <w:color w:val="00000A"/>
          <w:sz w:val="24"/>
          <w:szCs w:val="24"/>
        </w:rPr>
      </w:pPr>
      <w:r>
        <w:rPr>
          <w:rFonts w:ascii="Segoe UI" w:hAnsi="Segoe UI" w:cs="Segoe UI"/>
          <w:color w:val="00000A"/>
          <w:sz w:val="24"/>
          <w:szCs w:val="24"/>
        </w:rPr>
        <w:t>It is important to note that since 1985, the second generation cut-off has been repeatedly identified and repudiated by experts appointed by the Government of Canada. T</w:t>
      </w:r>
      <w:r w:rsidRPr="006C2B9D">
        <w:rPr>
          <w:rFonts w:ascii="Segoe UI" w:hAnsi="Segoe UI" w:cs="Segoe UI"/>
          <w:color w:val="00000A"/>
          <w:sz w:val="24"/>
          <w:szCs w:val="24"/>
        </w:rPr>
        <w:t>he Royal Commission on Aboriginal Peoples, commissioned in 1991, was clear about the impacts of Bill C-31, stating “</w:t>
      </w:r>
      <w:r w:rsidRPr="00B54A49">
        <w:rPr>
          <w:rFonts w:ascii="Segoe UI" w:hAnsi="Segoe UI" w:cs="Segoe UI"/>
          <w:sz w:val="24"/>
          <w:szCs w:val="24"/>
        </w:rPr>
        <w:t xml:space="preserve">[Bill C-31] was written to eliminate discrimination in the Indian Act. What it has really done is found a way to eliminate status Indians all together. Thus, it can be predicted that in future there may be bands on reserves with no status Indian members. They will </w:t>
      </w:r>
      <w:r>
        <w:rPr>
          <w:rFonts w:ascii="Segoe UI" w:hAnsi="Segoe UI" w:cs="Segoe UI"/>
          <w:sz w:val="24"/>
          <w:szCs w:val="24"/>
        </w:rPr>
        <w:t>[..]</w:t>
      </w:r>
      <w:r w:rsidRPr="00B54A49">
        <w:rPr>
          <w:rFonts w:ascii="Segoe UI" w:hAnsi="Segoe UI" w:cs="Segoe UI"/>
          <w:sz w:val="24"/>
          <w:szCs w:val="24"/>
        </w:rPr>
        <w:t xml:space="preserve"> effectively have been assimilated for legal purposes into provincial populations. Historical assimilation goals will have been reached, and the federal government will have been relieved of its constitutional obligation of protection, since there will no longer be any legal 'Indians' left to protect.”</w:t>
      </w:r>
      <w:r>
        <w:rPr>
          <w:rStyle w:val="FootnoteReference"/>
          <w:rFonts w:ascii="Segoe UI" w:hAnsi="Segoe UI" w:cs="Segoe UI"/>
          <w:sz w:val="24"/>
          <w:szCs w:val="24"/>
        </w:rPr>
        <w:footnoteReference w:id="23"/>
      </w:r>
    </w:p>
    <w:p w14:paraId="7D231F6E" w14:textId="77777777" w:rsidR="00350FA3" w:rsidRDefault="00350FA3" w:rsidP="002B388C">
      <w:pPr>
        <w:pStyle w:val="Normal1"/>
      </w:pPr>
    </w:p>
    <w:p w14:paraId="4779AEFB" w14:textId="77777777" w:rsidR="00350FA3" w:rsidRPr="004F4E10" w:rsidRDefault="00350FA3" w:rsidP="00D542C0">
      <w:pPr>
        <w:pStyle w:val="Normal1"/>
        <w:numPr>
          <w:ilvl w:val="0"/>
          <w:numId w:val="3"/>
        </w:numPr>
        <w:rPr>
          <w:rFonts w:ascii="Segoe UI" w:hAnsi="Segoe UI" w:cs="Segoe UI"/>
          <w:sz w:val="24"/>
          <w:szCs w:val="24"/>
        </w:rPr>
      </w:pPr>
      <w:r>
        <w:rPr>
          <w:rFonts w:ascii="Segoe UI" w:hAnsi="Segoe UI" w:cs="Segoe UI"/>
          <w:sz w:val="24"/>
          <w:szCs w:val="24"/>
        </w:rPr>
        <w:t>In</w:t>
      </w:r>
      <w:r w:rsidRPr="00217E08">
        <w:rPr>
          <w:rFonts w:ascii="Segoe UI" w:hAnsi="Segoe UI" w:cs="Segoe UI"/>
          <w:sz w:val="24"/>
          <w:szCs w:val="24"/>
        </w:rPr>
        <w:t xml:space="preserve"> 2018, the Government of Canada in</w:t>
      </w:r>
      <w:r>
        <w:rPr>
          <w:rFonts w:ascii="Segoe UI" w:hAnsi="Segoe UI" w:cs="Segoe UI"/>
          <w:sz w:val="24"/>
          <w:szCs w:val="24"/>
        </w:rPr>
        <w:t>itiated a</w:t>
      </w:r>
      <w:r w:rsidRPr="00217E08">
        <w:rPr>
          <w:rFonts w:ascii="Segoe UI" w:hAnsi="Segoe UI" w:cs="Segoe UI"/>
          <w:sz w:val="24"/>
          <w:szCs w:val="24"/>
        </w:rPr>
        <w:t xml:space="preserve"> </w:t>
      </w:r>
      <w:r w:rsidRPr="00217E08">
        <w:rPr>
          <w:rFonts w:ascii="Segoe UI" w:hAnsi="Segoe UI" w:cs="Segoe UI"/>
          <w:i/>
          <w:iCs/>
          <w:sz w:val="24"/>
          <w:szCs w:val="24"/>
        </w:rPr>
        <w:t xml:space="preserve">Collaborative Process on Indian Registration, Band Membership and First Nation Citizenship </w:t>
      </w:r>
      <w:r w:rsidRPr="004F4E10">
        <w:rPr>
          <w:rFonts w:ascii="Segoe UI" w:hAnsi="Segoe UI" w:cs="Segoe UI"/>
          <w:sz w:val="24"/>
          <w:szCs w:val="24"/>
        </w:rPr>
        <w:t>to consult First Nations about continuing discrimination in the</w:t>
      </w:r>
      <w:r>
        <w:rPr>
          <w:rFonts w:ascii="Segoe UI" w:hAnsi="Segoe UI" w:cs="Segoe UI"/>
          <w:i/>
          <w:iCs/>
          <w:sz w:val="24"/>
          <w:szCs w:val="24"/>
        </w:rPr>
        <w:t xml:space="preserve"> Indian Act.</w:t>
      </w:r>
      <w:r w:rsidRPr="00217E08">
        <w:rPr>
          <w:rFonts w:ascii="Segoe UI" w:hAnsi="Segoe UI" w:cs="Segoe UI"/>
          <w:sz w:val="24"/>
          <w:szCs w:val="24"/>
        </w:rPr>
        <w:t>.</w:t>
      </w:r>
      <w:r w:rsidRPr="00217E08">
        <w:rPr>
          <w:rFonts w:ascii="Segoe UI" w:hAnsi="Segoe UI" w:cs="Segoe UI"/>
          <w:sz w:val="24"/>
          <w:szCs w:val="24"/>
          <w:vertAlign w:val="superscript"/>
        </w:rPr>
        <w:footnoteReference w:id="24"/>
      </w:r>
      <w:r w:rsidRPr="00217E08">
        <w:rPr>
          <w:rFonts w:ascii="Segoe UI" w:hAnsi="Segoe UI" w:cs="Segoe UI"/>
          <w:sz w:val="24"/>
          <w:szCs w:val="24"/>
        </w:rPr>
        <w:t xml:space="preserve"> Final findings of the consultation issued in June 2019 revealed that “</w:t>
      </w:r>
      <w:r w:rsidRPr="00217E08">
        <w:rPr>
          <w:rFonts w:ascii="Segoe UI" w:hAnsi="Segoe UI" w:cs="Segoe UI"/>
          <w:color w:val="333333"/>
          <w:sz w:val="24"/>
          <w:szCs w:val="24"/>
          <w:highlight w:val="white"/>
        </w:rPr>
        <w:t>the inequity of greatest concern throughout the consultation was the issue of the second-generation cut-off”.</w:t>
      </w:r>
      <w:r w:rsidRPr="00217E08">
        <w:rPr>
          <w:rFonts w:ascii="Segoe UI" w:hAnsi="Segoe UI" w:cs="Segoe UI"/>
          <w:color w:val="333333"/>
          <w:sz w:val="24"/>
          <w:szCs w:val="24"/>
          <w:highlight w:val="white"/>
          <w:vertAlign w:val="superscript"/>
        </w:rPr>
        <w:footnoteReference w:id="25"/>
      </w:r>
      <w:r w:rsidRPr="00D542C0">
        <w:rPr>
          <w:rFonts w:ascii="Segoe UI" w:hAnsi="Segoe UI" w:cs="Segoe UI"/>
          <w:color w:val="833C0B"/>
          <w:sz w:val="24"/>
          <w:szCs w:val="24"/>
          <w:u w:val="single"/>
        </w:rPr>
        <w:t>Claudette Dumont-Smith</w:t>
      </w:r>
      <w:r>
        <w:rPr>
          <w:rFonts w:ascii="Segoe UI" w:hAnsi="Segoe UI" w:cs="Segoe UI"/>
          <w:color w:val="833C0B"/>
          <w:sz w:val="24"/>
          <w:szCs w:val="24"/>
          <w:u w:val="single"/>
        </w:rPr>
        <w:t>, who lead this consultation on behalf of the Government of Canada,</w:t>
      </w:r>
      <w:r w:rsidRPr="00D542C0">
        <w:rPr>
          <w:rFonts w:ascii="Segoe UI" w:hAnsi="Segoe UI" w:cs="Segoe UI"/>
          <w:color w:val="833C0B"/>
          <w:sz w:val="24"/>
          <w:szCs w:val="24"/>
          <w:u w:val="single"/>
        </w:rPr>
        <w:t xml:space="preserve"> stated in </w:t>
      </w:r>
      <w:hyperlink r:id="rId27" w:history="1">
        <w:r w:rsidRPr="00D542C0">
          <w:rPr>
            <w:rStyle w:val="Hyperlink"/>
            <w:rFonts w:ascii="Segoe UI" w:hAnsi="Segoe UI" w:cs="Segoe UI"/>
            <w:sz w:val="24"/>
            <w:szCs w:val="24"/>
          </w:rPr>
          <w:t xml:space="preserve">her report </w:t>
        </w:r>
      </w:hyperlink>
      <w:r w:rsidRPr="00D542C0">
        <w:rPr>
          <w:rFonts w:ascii="Segoe UI" w:hAnsi="Segoe UI" w:cs="Segoe UI"/>
          <w:color w:val="000000"/>
          <w:sz w:val="24"/>
          <w:szCs w:val="24"/>
        </w:rPr>
        <w:t>“This inequity will see the gradual elimination of persons eligible to be registered as an Indian with some communities feeling this impact in the next generation while most First Nation communities, regardless of location, will feel this impact within the next four generations. The end result, in the not-so-distant future, is that some communities will no longer have any registered Indians, or the number of registered Indians will have declined significantly.”</w:t>
      </w:r>
    </w:p>
    <w:p w14:paraId="223A9BF1" w14:textId="77777777" w:rsidR="00350FA3" w:rsidRDefault="00350FA3" w:rsidP="004F4E10">
      <w:pPr>
        <w:pStyle w:val="Normal1"/>
        <w:rPr>
          <w:rFonts w:ascii="Segoe UI" w:hAnsi="Segoe UI" w:cs="Segoe UI"/>
          <w:sz w:val="24"/>
          <w:szCs w:val="24"/>
        </w:rPr>
      </w:pPr>
    </w:p>
    <w:p w14:paraId="3D7D2E57" w14:textId="77777777" w:rsidR="00350FA3" w:rsidRPr="00D542C0" w:rsidRDefault="00350FA3" w:rsidP="004F4E10">
      <w:pPr>
        <w:pStyle w:val="Normal1"/>
        <w:numPr>
          <w:ilvl w:val="0"/>
          <w:numId w:val="3"/>
        </w:numPr>
        <w:rPr>
          <w:rFonts w:ascii="Segoe UI" w:hAnsi="Segoe UI" w:cs="Segoe UI"/>
          <w:sz w:val="24"/>
          <w:szCs w:val="24"/>
        </w:rPr>
      </w:pPr>
      <w:r w:rsidRPr="00D542C0">
        <w:rPr>
          <w:rFonts w:ascii="Segoe UI" w:hAnsi="Segoe UI" w:cs="Segoe UI"/>
          <w:sz w:val="24"/>
          <w:szCs w:val="24"/>
          <w:highlight w:val="white"/>
        </w:rPr>
        <w:t xml:space="preserve">Despite </w:t>
      </w:r>
      <w:r>
        <w:rPr>
          <w:rFonts w:ascii="Segoe UI" w:hAnsi="Segoe UI" w:cs="Segoe UI"/>
          <w:sz w:val="24"/>
          <w:szCs w:val="24"/>
          <w:highlight w:val="white"/>
        </w:rPr>
        <w:t xml:space="preserve">these </w:t>
      </w:r>
      <w:r w:rsidRPr="00D542C0">
        <w:rPr>
          <w:rFonts w:ascii="Segoe UI" w:hAnsi="Segoe UI" w:cs="Segoe UI"/>
          <w:sz w:val="24"/>
          <w:szCs w:val="24"/>
          <w:highlight w:val="white"/>
        </w:rPr>
        <w:t>reports and extensive prior consultations on the second-generation cut-off that have been completed since 1985,</w:t>
      </w:r>
      <w:r w:rsidRPr="00217E08">
        <w:rPr>
          <w:rFonts w:ascii="Segoe UI" w:hAnsi="Segoe UI" w:cs="Segoe UI"/>
          <w:sz w:val="24"/>
          <w:szCs w:val="24"/>
          <w:highlight w:val="white"/>
          <w:vertAlign w:val="superscript"/>
        </w:rPr>
        <w:footnoteReference w:id="26"/>
      </w:r>
      <w:r w:rsidRPr="00D542C0">
        <w:rPr>
          <w:rFonts w:ascii="Segoe UI" w:hAnsi="Segoe UI" w:cs="Segoe UI"/>
          <w:sz w:val="24"/>
          <w:szCs w:val="24"/>
          <w:highlight w:val="white"/>
        </w:rPr>
        <w:t xml:space="preserve"> Indigenous Services Canada Minister Mandy Gull-Masty, </w:t>
      </w:r>
      <w:r>
        <w:rPr>
          <w:rFonts w:ascii="Segoe UI" w:hAnsi="Segoe UI" w:cs="Segoe UI"/>
          <w:sz w:val="24"/>
          <w:szCs w:val="24"/>
          <w:highlight w:val="white"/>
        </w:rPr>
        <w:t xml:space="preserve">has </w:t>
      </w:r>
      <w:r w:rsidRPr="00D542C0">
        <w:rPr>
          <w:rFonts w:ascii="Segoe UI" w:hAnsi="Segoe UI" w:cs="Segoe UI"/>
          <w:sz w:val="24"/>
          <w:szCs w:val="24"/>
          <w:highlight w:val="white"/>
        </w:rPr>
        <w:t xml:space="preserve">stated that the Senate’s amendments, are too dramatic. She cited Section 35 (“Duty to Consult”) of the </w:t>
      </w:r>
      <w:r w:rsidRPr="00D542C0">
        <w:rPr>
          <w:rFonts w:ascii="Segoe UI" w:hAnsi="Segoe UI" w:cs="Segoe UI"/>
          <w:i/>
          <w:iCs/>
          <w:sz w:val="24"/>
          <w:szCs w:val="24"/>
          <w:highlight w:val="white"/>
        </w:rPr>
        <w:t>Canadian Charter of Rights and Freedoms</w:t>
      </w:r>
      <w:r w:rsidRPr="00D542C0">
        <w:rPr>
          <w:rFonts w:ascii="Segoe UI" w:hAnsi="Segoe UI" w:cs="Segoe UI"/>
          <w:sz w:val="24"/>
          <w:szCs w:val="24"/>
          <w:highlight w:val="white"/>
        </w:rPr>
        <w:t xml:space="preserve"> as the basis for requiring extended consultations instead of immediately accepting the </w:t>
      </w:r>
      <w:r w:rsidRPr="00D542C0">
        <w:rPr>
          <w:rFonts w:ascii="Segoe UI" w:hAnsi="Segoe UI" w:cs="Segoe UI"/>
          <w:sz w:val="24"/>
          <w:szCs w:val="24"/>
          <w:highlight w:val="white"/>
        </w:rPr>
        <w:lastRenderedPageBreak/>
        <w:t>Senate’s amendments to Bill S-2.</w:t>
      </w:r>
      <w:r w:rsidRPr="00217E08">
        <w:rPr>
          <w:rFonts w:ascii="Segoe UI" w:hAnsi="Segoe UI" w:cs="Segoe UI"/>
          <w:sz w:val="24"/>
          <w:szCs w:val="24"/>
          <w:highlight w:val="white"/>
          <w:vertAlign w:val="superscript"/>
        </w:rPr>
        <w:footnoteReference w:id="27"/>
      </w:r>
      <w:r w:rsidRPr="00D542C0">
        <w:rPr>
          <w:rFonts w:ascii="Segoe UI" w:hAnsi="Segoe UI" w:cs="Segoe UI"/>
          <w:sz w:val="24"/>
          <w:szCs w:val="24"/>
          <w:highlight w:val="white"/>
        </w:rPr>
        <w:t xml:space="preserve"> The </w:t>
      </w:r>
      <w:r>
        <w:rPr>
          <w:rFonts w:ascii="Segoe UI" w:hAnsi="Segoe UI" w:cs="Segoe UI"/>
          <w:sz w:val="24"/>
          <w:szCs w:val="24"/>
          <w:highlight w:val="white"/>
        </w:rPr>
        <w:t xml:space="preserve">Minister’s </w:t>
      </w:r>
      <w:r w:rsidRPr="00D542C0">
        <w:rPr>
          <w:rFonts w:ascii="Segoe UI" w:hAnsi="Segoe UI" w:cs="Segoe UI"/>
          <w:sz w:val="24"/>
          <w:szCs w:val="24"/>
          <w:highlight w:val="white"/>
        </w:rPr>
        <w:t>propos</w:t>
      </w:r>
      <w:r>
        <w:rPr>
          <w:rFonts w:ascii="Segoe UI" w:hAnsi="Segoe UI" w:cs="Segoe UI"/>
          <w:sz w:val="24"/>
          <w:szCs w:val="24"/>
          <w:highlight w:val="white"/>
        </w:rPr>
        <w:t>es to continue the c</w:t>
      </w:r>
      <w:r w:rsidRPr="00D542C0">
        <w:rPr>
          <w:rFonts w:ascii="Segoe UI" w:hAnsi="Segoe UI" w:cs="Segoe UI"/>
          <w:sz w:val="24"/>
          <w:szCs w:val="24"/>
          <w:highlight w:val="white"/>
        </w:rPr>
        <w:t>onsultations</w:t>
      </w:r>
      <w:r>
        <w:rPr>
          <w:rFonts w:ascii="Segoe UI" w:hAnsi="Segoe UI" w:cs="Segoe UI"/>
          <w:sz w:val="24"/>
          <w:szCs w:val="24"/>
          <w:highlight w:val="white"/>
        </w:rPr>
        <w:t>, but can provide no</w:t>
      </w:r>
      <w:r w:rsidRPr="00D542C0">
        <w:rPr>
          <w:rFonts w:ascii="Segoe UI" w:hAnsi="Segoe UI" w:cs="Segoe UI"/>
          <w:sz w:val="24"/>
          <w:szCs w:val="24"/>
          <w:highlight w:val="white"/>
        </w:rPr>
        <w:t xml:space="preserve"> guarantee of future amendments nor an agreed timeline. Senator Prosper, Chair of the Senate Committee on Indigenous Peoples, stated that the collaborative process is being weaponized to delay the current Liberal government’s promise of rectifying inequities.</w:t>
      </w:r>
      <w:r w:rsidRPr="00217E08">
        <w:rPr>
          <w:rFonts w:ascii="Segoe UI" w:hAnsi="Segoe UI" w:cs="Segoe UI"/>
          <w:sz w:val="24"/>
          <w:szCs w:val="24"/>
          <w:highlight w:val="white"/>
          <w:vertAlign w:val="superscript"/>
        </w:rPr>
        <w:footnoteReference w:id="28"/>
      </w:r>
      <w:r w:rsidRPr="00D542C0">
        <w:rPr>
          <w:rFonts w:ascii="Segoe UI" w:hAnsi="Segoe UI" w:cs="Segoe UI"/>
          <w:sz w:val="24"/>
          <w:szCs w:val="24"/>
          <w:highlight w:val="white"/>
        </w:rPr>
        <w:t xml:space="preserve"> Refusal to accept the Senate’s amendments to Bill S-2 on the grounds that the Government must consult further is viewed as a weaponization of the duty to consult </w:t>
      </w:r>
      <w:r>
        <w:rPr>
          <w:rFonts w:ascii="Segoe UI" w:hAnsi="Segoe UI" w:cs="Segoe UI"/>
          <w:sz w:val="24"/>
          <w:szCs w:val="24"/>
          <w:highlight w:val="white"/>
        </w:rPr>
        <w:t xml:space="preserve">– especially </w:t>
      </w:r>
      <w:r w:rsidRPr="00D542C0">
        <w:rPr>
          <w:rFonts w:ascii="Segoe UI" w:hAnsi="Segoe UI" w:cs="Segoe UI"/>
          <w:sz w:val="24"/>
          <w:szCs w:val="24"/>
          <w:highlight w:val="white"/>
        </w:rPr>
        <w:t xml:space="preserve">in light of the fact that </w:t>
      </w:r>
      <w:r>
        <w:rPr>
          <w:rFonts w:ascii="Segoe UI" w:hAnsi="Segoe UI" w:cs="Segoe UI"/>
          <w:sz w:val="24"/>
          <w:szCs w:val="24"/>
          <w:highlight w:val="white"/>
        </w:rPr>
        <w:t xml:space="preserve">other recent </w:t>
      </w:r>
      <w:r w:rsidRPr="00D542C0">
        <w:rPr>
          <w:rFonts w:ascii="Segoe UI" w:hAnsi="Segoe UI" w:cs="Segoe UI"/>
          <w:sz w:val="24"/>
          <w:szCs w:val="24"/>
          <w:highlight w:val="white"/>
        </w:rPr>
        <w:t xml:space="preserve">bills, such as Bill C-5 (One Canadian Economy Act), which will have profound </w:t>
      </w:r>
      <w:r>
        <w:rPr>
          <w:rFonts w:ascii="Segoe UI" w:hAnsi="Segoe UI" w:cs="Segoe UI"/>
          <w:sz w:val="24"/>
          <w:szCs w:val="24"/>
          <w:highlight w:val="white"/>
        </w:rPr>
        <w:t>impacts</w:t>
      </w:r>
      <w:r w:rsidRPr="00D542C0">
        <w:rPr>
          <w:rFonts w:ascii="Segoe UI" w:hAnsi="Segoe UI" w:cs="Segoe UI"/>
          <w:sz w:val="24"/>
          <w:szCs w:val="24"/>
          <w:highlight w:val="white"/>
        </w:rPr>
        <w:t xml:space="preserve"> on</w:t>
      </w:r>
      <w:r>
        <w:rPr>
          <w:rFonts w:ascii="Segoe UI" w:hAnsi="Segoe UI" w:cs="Segoe UI"/>
          <w:sz w:val="24"/>
          <w:szCs w:val="24"/>
          <w:highlight w:val="white"/>
        </w:rPr>
        <w:t xml:space="preserve"> the rights of</w:t>
      </w:r>
      <w:r w:rsidRPr="00D542C0">
        <w:rPr>
          <w:rFonts w:ascii="Segoe UI" w:hAnsi="Segoe UI" w:cs="Segoe UI"/>
          <w:sz w:val="24"/>
          <w:szCs w:val="24"/>
          <w:highlight w:val="white"/>
        </w:rPr>
        <w:t xml:space="preserve"> Indigenous peoples, was passed with no prior consultation with Indigenous peoples.</w:t>
      </w:r>
      <w:r w:rsidRPr="00217E08">
        <w:rPr>
          <w:rFonts w:ascii="Segoe UI" w:hAnsi="Segoe UI" w:cs="Segoe UI"/>
          <w:sz w:val="24"/>
          <w:szCs w:val="24"/>
          <w:highlight w:val="white"/>
          <w:vertAlign w:val="superscript"/>
        </w:rPr>
        <w:footnoteReference w:id="29"/>
      </w:r>
      <w:r w:rsidRPr="00D542C0">
        <w:rPr>
          <w:rFonts w:ascii="Segoe UI" w:hAnsi="Segoe UI" w:cs="Segoe UI"/>
          <w:color w:val="000000"/>
          <w:sz w:val="24"/>
          <w:szCs w:val="24"/>
        </w:rPr>
        <w:t xml:space="preserve"> </w:t>
      </w:r>
    </w:p>
    <w:p w14:paraId="06678584" w14:textId="77777777" w:rsidR="00350FA3" w:rsidRPr="00722D75" w:rsidRDefault="00350FA3" w:rsidP="00EA2F3F">
      <w:pPr>
        <w:rPr>
          <w:rFonts w:ascii="Segoe UI" w:hAnsi="Segoe UI" w:cs="Segoe UI"/>
        </w:rPr>
      </w:pPr>
    </w:p>
    <w:p w14:paraId="4C79DE7C" w14:textId="77777777" w:rsidR="00350FA3" w:rsidRPr="00722D75" w:rsidRDefault="00350FA3" w:rsidP="009B1BEA">
      <w:pPr>
        <w:pStyle w:val="Normal1"/>
        <w:numPr>
          <w:ilvl w:val="0"/>
          <w:numId w:val="3"/>
        </w:numPr>
        <w:rPr>
          <w:rFonts w:ascii="Segoe UI" w:hAnsi="Segoe UI" w:cs="Segoe UI"/>
          <w:sz w:val="24"/>
          <w:szCs w:val="24"/>
        </w:rPr>
      </w:pPr>
      <w:r w:rsidRPr="00D542C0">
        <w:rPr>
          <w:rFonts w:ascii="Segoe UI" w:hAnsi="Segoe UI" w:cs="Segoe UI"/>
          <w:color w:val="000000"/>
          <w:sz w:val="24"/>
          <w:szCs w:val="24"/>
        </w:rPr>
        <w:t>Continuation of the second generation cut-off</w:t>
      </w:r>
      <w:r>
        <w:rPr>
          <w:rFonts w:ascii="Segoe UI" w:hAnsi="Segoe UI" w:cs="Segoe UI"/>
          <w:color w:val="000000"/>
          <w:sz w:val="24"/>
          <w:szCs w:val="24"/>
        </w:rPr>
        <w:t>, the 1985 cut-off,</w:t>
      </w:r>
      <w:r w:rsidRPr="00D542C0">
        <w:rPr>
          <w:rFonts w:ascii="Segoe UI" w:hAnsi="Segoe UI" w:cs="Segoe UI"/>
          <w:color w:val="000000"/>
          <w:sz w:val="24"/>
          <w:szCs w:val="24"/>
        </w:rPr>
        <w:t xml:space="preserve"> and the two-parent rule will fulfill the </w:t>
      </w:r>
      <w:r>
        <w:rPr>
          <w:rFonts w:ascii="Segoe UI" w:hAnsi="Segoe UI" w:cs="Segoe UI"/>
          <w:color w:val="000000"/>
          <w:sz w:val="24"/>
          <w:szCs w:val="24"/>
        </w:rPr>
        <w:t xml:space="preserve">original </w:t>
      </w:r>
      <w:r w:rsidRPr="00D542C0">
        <w:rPr>
          <w:rFonts w:ascii="Segoe UI" w:hAnsi="Segoe UI" w:cs="Segoe UI"/>
          <w:color w:val="000000"/>
          <w:sz w:val="24"/>
          <w:szCs w:val="24"/>
        </w:rPr>
        <w:t xml:space="preserve">genocidal intention of the </w:t>
      </w:r>
      <w:r w:rsidRPr="00D542C0">
        <w:rPr>
          <w:rFonts w:ascii="Segoe UI" w:hAnsi="Segoe UI" w:cs="Segoe UI"/>
          <w:i/>
          <w:iCs/>
          <w:color w:val="000000"/>
          <w:sz w:val="24"/>
          <w:szCs w:val="24"/>
        </w:rPr>
        <w:t>Indian Act</w:t>
      </w:r>
      <w:r w:rsidRPr="00D542C0">
        <w:rPr>
          <w:rFonts w:ascii="Segoe UI" w:hAnsi="Segoe UI" w:cs="Segoe UI"/>
          <w:color w:val="000000"/>
          <w:sz w:val="24"/>
          <w:szCs w:val="24"/>
        </w:rPr>
        <w:t xml:space="preserve"> – getting rid of the “Indian problem” – through forced assimilation. </w:t>
      </w:r>
      <w:r>
        <w:rPr>
          <w:rFonts w:ascii="Segoe UI" w:hAnsi="Segoe UI" w:cs="Segoe UI"/>
          <w:color w:val="000000"/>
          <w:sz w:val="24"/>
          <w:szCs w:val="24"/>
        </w:rPr>
        <w:t>T</w:t>
      </w:r>
      <w:r w:rsidRPr="00722D75">
        <w:rPr>
          <w:rFonts w:ascii="Segoe UI" w:hAnsi="Segoe UI" w:cs="Segoe UI"/>
          <w:color w:val="000000"/>
          <w:sz w:val="24"/>
          <w:szCs w:val="24"/>
        </w:rPr>
        <w:t>hese discriminatory policies</w:t>
      </w:r>
      <w:r>
        <w:rPr>
          <w:rFonts w:ascii="Segoe UI" w:hAnsi="Segoe UI" w:cs="Segoe UI"/>
          <w:color w:val="000000"/>
          <w:sz w:val="24"/>
          <w:szCs w:val="24"/>
        </w:rPr>
        <w:t>, and the race, sex, and family status discrimination they perpetuate,</w:t>
      </w:r>
      <w:r w:rsidRPr="00722D75">
        <w:rPr>
          <w:rFonts w:ascii="Segoe UI" w:hAnsi="Segoe UI" w:cs="Segoe UI"/>
          <w:color w:val="000000"/>
          <w:sz w:val="24"/>
          <w:szCs w:val="24"/>
        </w:rPr>
        <w:t xml:space="preserve"> will </w:t>
      </w:r>
      <w:r w:rsidRPr="00722D75">
        <w:rPr>
          <w:rFonts w:ascii="Segoe UI" w:hAnsi="Segoe UI" w:cs="Segoe UI"/>
          <w:sz w:val="24"/>
          <w:szCs w:val="24"/>
        </w:rPr>
        <w:t xml:space="preserve">continue if the amendments to Bill S-2 are reversed in the House of Commons this year. </w:t>
      </w:r>
    </w:p>
    <w:p w14:paraId="7A592A76" w14:textId="77777777" w:rsidR="00350FA3" w:rsidRDefault="00350FA3" w:rsidP="00D542C0">
      <w:pPr>
        <w:pStyle w:val="Normal1"/>
        <w:rPr>
          <w:rFonts w:ascii="Segoe UI" w:hAnsi="Segoe UI" w:cs="Segoe UI"/>
          <w:sz w:val="24"/>
          <w:szCs w:val="24"/>
        </w:rPr>
      </w:pPr>
    </w:p>
    <w:p w14:paraId="49BEF4E4" w14:textId="77777777" w:rsidR="00350FA3" w:rsidRDefault="00350FA3" w:rsidP="009B1BEA">
      <w:pPr>
        <w:pStyle w:val="Normal1"/>
        <w:numPr>
          <w:ilvl w:val="0"/>
          <w:numId w:val="3"/>
        </w:numPr>
        <w:rPr>
          <w:rFonts w:ascii="Segoe UI" w:hAnsi="Segoe UI" w:cs="Segoe UI"/>
          <w:sz w:val="24"/>
          <w:szCs w:val="24"/>
        </w:rPr>
      </w:pPr>
      <w:r w:rsidRPr="00217E08">
        <w:rPr>
          <w:rFonts w:ascii="Segoe UI" w:hAnsi="Segoe UI" w:cs="Segoe UI"/>
          <w:sz w:val="24"/>
          <w:szCs w:val="24"/>
        </w:rPr>
        <w:t>In 2026, it is apparent that Canada’s legislated sex discrimination has not only denied First Nations women and their descendants their right to equality and their right to culture</w:t>
      </w:r>
      <w:r>
        <w:rPr>
          <w:rFonts w:ascii="Segoe UI" w:hAnsi="Segoe UI" w:cs="Segoe UI"/>
          <w:sz w:val="24"/>
          <w:szCs w:val="24"/>
        </w:rPr>
        <w:t xml:space="preserve"> contrary to articles 26 and 27 of the </w:t>
      </w:r>
      <w:r w:rsidRPr="007D5E2C">
        <w:rPr>
          <w:rFonts w:ascii="Segoe UI" w:hAnsi="Segoe UI" w:cs="Segoe UI"/>
          <w:sz w:val="24"/>
          <w:szCs w:val="24"/>
        </w:rPr>
        <w:t>Covenant</w:t>
      </w:r>
      <w:r w:rsidRPr="00217E08">
        <w:rPr>
          <w:rFonts w:ascii="Segoe UI" w:hAnsi="Segoe UI" w:cs="Segoe UI"/>
          <w:sz w:val="24"/>
          <w:szCs w:val="24"/>
        </w:rPr>
        <w:t xml:space="preserve">, it has also been an effective tool of forced assimilation. Since its inception, the </w:t>
      </w:r>
      <w:r w:rsidRPr="00217E08">
        <w:rPr>
          <w:rFonts w:ascii="Segoe UI" w:hAnsi="Segoe UI" w:cs="Segoe UI"/>
          <w:i/>
          <w:iCs/>
          <w:sz w:val="24"/>
          <w:szCs w:val="24"/>
        </w:rPr>
        <w:t>Indian Act</w:t>
      </w:r>
      <w:r w:rsidRPr="00217E08">
        <w:rPr>
          <w:rFonts w:ascii="Segoe UI" w:hAnsi="Segoe UI" w:cs="Segoe UI"/>
          <w:sz w:val="24"/>
          <w:szCs w:val="24"/>
        </w:rPr>
        <w:t xml:space="preserve"> has defined thousands of First Nations women and their descendants as non-Indians and forced them into the non-Indigenous population. By doing so, it has stripped First Nations of thousands of members, shrinking the pool of Indians who are recognized as having inherent, Aboriginal, treaty and land rights, and to whom the government owes a fiduciary duty. </w:t>
      </w:r>
      <w:r>
        <w:rPr>
          <w:rFonts w:ascii="Segoe UI" w:hAnsi="Segoe UI" w:cs="Segoe UI"/>
          <w:sz w:val="24"/>
          <w:szCs w:val="24"/>
        </w:rPr>
        <w:t>That discrimination is being perpetuated and added to by the second generation cut-off and the two parent rule.</w:t>
      </w:r>
    </w:p>
    <w:p w14:paraId="3DC5AA9E" w14:textId="77777777" w:rsidR="00350FA3" w:rsidRDefault="00350FA3" w:rsidP="008F3A83">
      <w:pPr>
        <w:pStyle w:val="Normal1"/>
        <w:rPr>
          <w:rFonts w:ascii="Segoe UI" w:hAnsi="Segoe UI" w:cs="Segoe UI"/>
          <w:sz w:val="24"/>
          <w:szCs w:val="24"/>
        </w:rPr>
      </w:pPr>
    </w:p>
    <w:p w14:paraId="632F366E" w14:textId="77777777" w:rsidR="00350FA3" w:rsidRDefault="00350FA3" w:rsidP="00E34C62">
      <w:pPr>
        <w:pStyle w:val="Normal1"/>
        <w:numPr>
          <w:ilvl w:val="0"/>
          <w:numId w:val="3"/>
        </w:numPr>
        <w:rPr>
          <w:rFonts w:ascii="Segoe UI" w:hAnsi="Segoe UI" w:cs="Segoe UI"/>
          <w:color w:val="000000"/>
          <w:sz w:val="24"/>
          <w:szCs w:val="24"/>
        </w:rPr>
      </w:pPr>
      <w:r w:rsidRPr="00217E08">
        <w:rPr>
          <w:rFonts w:ascii="Segoe UI" w:hAnsi="Segoe UI" w:cs="Segoe UI"/>
          <w:sz w:val="24"/>
          <w:szCs w:val="24"/>
        </w:rPr>
        <w:t xml:space="preserve">Article 8 of UNDRIP sets out the right of Indigenous Peoples to reparations for any form of forced population transfer. </w:t>
      </w:r>
      <w:r>
        <w:rPr>
          <w:rFonts w:ascii="Segoe UI" w:hAnsi="Segoe UI" w:cs="Segoe UI"/>
          <w:sz w:val="24"/>
          <w:szCs w:val="24"/>
        </w:rPr>
        <w:t>I</w:t>
      </w:r>
      <w:r w:rsidRPr="00217E08">
        <w:rPr>
          <w:rFonts w:ascii="Segoe UI" w:hAnsi="Segoe UI" w:cs="Segoe UI"/>
          <w:color w:val="000000"/>
          <w:sz w:val="24"/>
          <w:szCs w:val="24"/>
        </w:rPr>
        <w:t xml:space="preserve">n </w:t>
      </w:r>
      <w:hyperlink r:id="rId28">
        <w:r w:rsidRPr="00217E08">
          <w:rPr>
            <w:rFonts w:ascii="Segoe UI" w:hAnsi="Segoe UI" w:cs="Segoe UI"/>
            <w:color w:val="833C0B"/>
            <w:sz w:val="24"/>
            <w:szCs w:val="24"/>
            <w:u w:val="single"/>
          </w:rPr>
          <w:t>2016 Canada endorsed</w:t>
        </w:r>
      </w:hyperlink>
      <w:r w:rsidRPr="00217E08">
        <w:rPr>
          <w:rFonts w:ascii="Segoe UI" w:hAnsi="Segoe UI" w:cs="Segoe UI"/>
          <w:color w:val="000000"/>
          <w:sz w:val="24"/>
          <w:szCs w:val="24"/>
        </w:rPr>
        <w:t xml:space="preserve"> the </w:t>
      </w:r>
      <w:hyperlink r:id="rId29">
        <w:r w:rsidRPr="00217E08">
          <w:rPr>
            <w:rFonts w:ascii="Segoe UI" w:hAnsi="Segoe UI" w:cs="Segoe UI"/>
            <w:i/>
            <w:iCs/>
            <w:color w:val="833C0B"/>
            <w:sz w:val="24"/>
            <w:szCs w:val="24"/>
            <w:u w:val="single"/>
          </w:rPr>
          <w:t>United Nations Declaration on the Rights of Indigenous Peoples</w:t>
        </w:r>
      </w:hyperlink>
      <w:r w:rsidRPr="00217E08">
        <w:rPr>
          <w:rFonts w:ascii="Segoe UI" w:hAnsi="Segoe UI" w:cs="Segoe UI"/>
          <w:color w:val="000000"/>
          <w:sz w:val="24"/>
          <w:szCs w:val="24"/>
        </w:rPr>
        <w:t xml:space="preserve">, and in 2021 Canada passed the </w:t>
      </w:r>
      <w:hyperlink r:id="rId30">
        <w:r w:rsidRPr="00217E08">
          <w:rPr>
            <w:rFonts w:ascii="Segoe UI" w:hAnsi="Segoe UI" w:cs="Segoe UI"/>
            <w:i/>
            <w:iCs/>
            <w:color w:val="833C0B"/>
            <w:sz w:val="24"/>
            <w:szCs w:val="24"/>
            <w:u w:val="single"/>
          </w:rPr>
          <w:t>United Nations Declaration on the Rights of Indigenous Peoples Act</w:t>
        </w:r>
      </w:hyperlink>
      <w:r w:rsidRPr="00217E08">
        <w:rPr>
          <w:rFonts w:ascii="Segoe UI" w:hAnsi="Segoe UI" w:cs="Segoe UI"/>
          <w:color w:val="000000"/>
          <w:sz w:val="24"/>
          <w:szCs w:val="24"/>
        </w:rPr>
        <w:t xml:space="preserve">, which requires Canada to ensure that its laws and policies are consistent with UNDRIP. In 2023 Canada released its </w:t>
      </w:r>
      <w:hyperlink r:id="rId31">
        <w:r w:rsidRPr="00217E08">
          <w:rPr>
            <w:rFonts w:ascii="Segoe UI" w:hAnsi="Segoe UI" w:cs="Segoe UI"/>
            <w:color w:val="833C0B"/>
            <w:sz w:val="24"/>
            <w:szCs w:val="24"/>
            <w:u w:val="single"/>
          </w:rPr>
          <w:t xml:space="preserve">Plan for implementing the </w:t>
        </w:r>
      </w:hyperlink>
      <w:hyperlink r:id="rId32">
        <w:r w:rsidRPr="00217E08">
          <w:rPr>
            <w:rFonts w:ascii="Segoe UI" w:hAnsi="Segoe UI" w:cs="Segoe UI"/>
            <w:i/>
            <w:iCs/>
            <w:color w:val="833C0B"/>
            <w:sz w:val="24"/>
            <w:szCs w:val="24"/>
            <w:u w:val="single"/>
          </w:rPr>
          <w:t>UNDRIP Act</w:t>
        </w:r>
      </w:hyperlink>
      <w:r w:rsidRPr="00217E08">
        <w:rPr>
          <w:rFonts w:ascii="Segoe UI" w:hAnsi="Segoe UI" w:cs="Segoe UI"/>
          <w:color w:val="000000"/>
          <w:sz w:val="24"/>
          <w:szCs w:val="24"/>
        </w:rPr>
        <w:t xml:space="preserve">. Despite the fact that </w:t>
      </w:r>
      <w:r>
        <w:rPr>
          <w:rFonts w:ascii="Segoe UI" w:hAnsi="Segoe UI" w:cs="Segoe UI"/>
          <w:color w:val="000000"/>
          <w:sz w:val="24"/>
          <w:szCs w:val="24"/>
        </w:rPr>
        <w:t xml:space="preserve">discrimination in the </w:t>
      </w:r>
      <w:r w:rsidRPr="00217E08">
        <w:rPr>
          <w:rFonts w:ascii="Segoe UI" w:hAnsi="Segoe UI" w:cs="Segoe UI"/>
          <w:i/>
          <w:iCs/>
          <w:color w:val="000000"/>
          <w:sz w:val="24"/>
          <w:szCs w:val="24"/>
        </w:rPr>
        <w:t>Indian Act</w:t>
      </w:r>
      <w:r>
        <w:rPr>
          <w:rFonts w:ascii="Segoe UI" w:hAnsi="Segoe UI" w:cs="Segoe UI"/>
          <w:color w:val="000000"/>
          <w:sz w:val="24"/>
          <w:szCs w:val="24"/>
        </w:rPr>
        <w:t>, including t</w:t>
      </w:r>
      <w:r w:rsidRPr="00217E08">
        <w:rPr>
          <w:rFonts w:ascii="Segoe UI" w:hAnsi="Segoe UI" w:cs="Segoe UI"/>
          <w:color w:val="000000"/>
          <w:sz w:val="24"/>
          <w:szCs w:val="24"/>
        </w:rPr>
        <w:t xml:space="preserve">he second generation cut-off, </w:t>
      </w:r>
      <w:r>
        <w:rPr>
          <w:rFonts w:ascii="Segoe UI" w:hAnsi="Segoe UI" w:cs="Segoe UI"/>
          <w:color w:val="000000"/>
          <w:sz w:val="24"/>
          <w:szCs w:val="24"/>
        </w:rPr>
        <w:t xml:space="preserve">the 1985 cut-off and the two parent rule </w:t>
      </w:r>
      <w:r w:rsidRPr="00217E08">
        <w:rPr>
          <w:rFonts w:ascii="Segoe UI" w:hAnsi="Segoe UI" w:cs="Segoe UI"/>
          <w:color w:val="000000"/>
          <w:sz w:val="24"/>
          <w:szCs w:val="24"/>
        </w:rPr>
        <w:lastRenderedPageBreak/>
        <w:t xml:space="preserve">clearly violate a number of Articles of UNDRIP, the Plan does not include measures that will fully eliminate all remaining discrimination from the </w:t>
      </w:r>
      <w:r w:rsidRPr="00217E08">
        <w:rPr>
          <w:rFonts w:ascii="Segoe UI" w:hAnsi="Segoe UI" w:cs="Segoe UI"/>
          <w:i/>
          <w:iCs/>
          <w:color w:val="000000"/>
          <w:sz w:val="24"/>
          <w:szCs w:val="24"/>
        </w:rPr>
        <w:t>Indian Act</w:t>
      </w:r>
      <w:r w:rsidRPr="00217E08">
        <w:rPr>
          <w:rFonts w:ascii="Segoe UI" w:hAnsi="Segoe UI" w:cs="Segoe UI"/>
          <w:color w:val="000000"/>
          <w:sz w:val="24"/>
          <w:szCs w:val="24"/>
        </w:rPr>
        <w:t>.</w:t>
      </w:r>
    </w:p>
    <w:p w14:paraId="2547FB4B" w14:textId="77777777" w:rsidR="00350FA3" w:rsidRDefault="00350FA3" w:rsidP="008F3A83">
      <w:pPr>
        <w:pStyle w:val="Normal1"/>
        <w:rPr>
          <w:rFonts w:ascii="Segoe UI" w:hAnsi="Segoe UI" w:cs="Segoe UI"/>
          <w:color w:val="000000"/>
          <w:sz w:val="24"/>
          <w:szCs w:val="24"/>
        </w:rPr>
      </w:pPr>
    </w:p>
    <w:p w14:paraId="55804436" w14:textId="77777777" w:rsidR="00350FA3" w:rsidRPr="00217E08" w:rsidRDefault="00350FA3" w:rsidP="009B1BEA">
      <w:pPr>
        <w:pStyle w:val="Normal1"/>
        <w:numPr>
          <w:ilvl w:val="0"/>
          <w:numId w:val="3"/>
        </w:numPr>
        <w:rPr>
          <w:rFonts w:ascii="Segoe UI" w:hAnsi="Segoe UI" w:cs="Segoe UI"/>
          <w:sz w:val="24"/>
          <w:szCs w:val="24"/>
        </w:rPr>
      </w:pPr>
      <w:r w:rsidRPr="00217E08">
        <w:rPr>
          <w:rFonts w:ascii="Segoe UI" w:hAnsi="Segoe UI" w:cs="Segoe UI"/>
          <w:sz w:val="24"/>
          <w:szCs w:val="24"/>
        </w:rPr>
        <w:t xml:space="preserve">Canada’s plan for implementing the </w:t>
      </w:r>
      <w:r w:rsidRPr="00217E08">
        <w:rPr>
          <w:rFonts w:ascii="Segoe UI" w:hAnsi="Segoe UI" w:cs="Segoe UI"/>
          <w:i/>
          <w:iCs/>
          <w:sz w:val="24"/>
          <w:szCs w:val="24"/>
        </w:rPr>
        <w:t>UNDRIP Act</w:t>
      </w:r>
      <w:r w:rsidRPr="00217E08">
        <w:rPr>
          <w:rFonts w:ascii="Segoe UI" w:hAnsi="Segoe UI" w:cs="Segoe UI"/>
          <w:sz w:val="24"/>
          <w:szCs w:val="24"/>
        </w:rPr>
        <w:t xml:space="preserve"> does not include recognition of the comprehensive steps that must be taken to end the </w:t>
      </w:r>
      <w:r>
        <w:rPr>
          <w:rFonts w:ascii="Segoe UI" w:hAnsi="Segoe UI" w:cs="Segoe UI"/>
          <w:sz w:val="24"/>
          <w:szCs w:val="24"/>
        </w:rPr>
        <w:t xml:space="preserve">discrimination and forced assimilation, and </w:t>
      </w:r>
      <w:r w:rsidRPr="00217E08">
        <w:rPr>
          <w:rFonts w:ascii="Segoe UI" w:hAnsi="Segoe UI" w:cs="Segoe UI"/>
          <w:sz w:val="24"/>
          <w:szCs w:val="24"/>
        </w:rPr>
        <w:t>repair the harms</w:t>
      </w:r>
      <w:r>
        <w:rPr>
          <w:rFonts w:ascii="Segoe UI" w:hAnsi="Segoe UI" w:cs="Segoe UI"/>
          <w:sz w:val="24"/>
          <w:szCs w:val="24"/>
        </w:rPr>
        <w:t xml:space="preserve">, and </w:t>
      </w:r>
      <w:r w:rsidRPr="00217E08">
        <w:rPr>
          <w:rFonts w:ascii="Segoe UI" w:hAnsi="Segoe UI" w:cs="Segoe UI"/>
          <w:sz w:val="24"/>
          <w:szCs w:val="24"/>
        </w:rPr>
        <w:t xml:space="preserve">provide reparations. </w:t>
      </w:r>
    </w:p>
    <w:p w14:paraId="34C5AEE6" w14:textId="77777777" w:rsidR="00350FA3" w:rsidRPr="00217E08" w:rsidRDefault="00350FA3" w:rsidP="00A70ECB">
      <w:pPr>
        <w:pStyle w:val="Normal1"/>
        <w:ind w:left="1080"/>
        <w:rPr>
          <w:rFonts w:ascii="Segoe UI" w:hAnsi="Segoe UI" w:cs="Segoe UI"/>
          <w:sz w:val="24"/>
          <w:szCs w:val="24"/>
        </w:rPr>
      </w:pPr>
    </w:p>
    <w:p w14:paraId="1ED37AE2" w14:textId="77777777" w:rsidR="00350FA3" w:rsidRPr="000B27A6" w:rsidRDefault="00350FA3" w:rsidP="000B27A6">
      <w:pPr>
        <w:pStyle w:val="Normal1"/>
        <w:numPr>
          <w:ilvl w:val="0"/>
          <w:numId w:val="3"/>
        </w:numPr>
        <w:rPr>
          <w:rFonts w:ascii="Segoe UI" w:hAnsi="Segoe UI" w:cs="Segoe UI"/>
          <w:sz w:val="24"/>
          <w:szCs w:val="24"/>
        </w:rPr>
      </w:pPr>
      <w:r>
        <w:rPr>
          <w:rFonts w:ascii="Segoe UI" w:hAnsi="Segoe UI" w:cs="Segoe UI"/>
          <w:sz w:val="24"/>
          <w:szCs w:val="24"/>
        </w:rPr>
        <w:t xml:space="preserve">To go beyond rhetoric in its commitments to truth, reconciliation, and the human rights of Indigenous Peoples, Canada must: </w:t>
      </w:r>
    </w:p>
    <w:p w14:paraId="321DF4F6" w14:textId="77777777" w:rsidR="00350FA3" w:rsidRDefault="00350FA3" w:rsidP="000B27A6">
      <w:pPr>
        <w:pStyle w:val="Normal1"/>
        <w:numPr>
          <w:ilvl w:val="1"/>
          <w:numId w:val="3"/>
        </w:numPr>
        <w:rPr>
          <w:rFonts w:ascii="Segoe UI" w:hAnsi="Segoe UI" w:cs="Segoe UI"/>
          <w:sz w:val="24"/>
          <w:szCs w:val="24"/>
        </w:rPr>
      </w:pPr>
      <w:r>
        <w:rPr>
          <w:rFonts w:ascii="Segoe UI" w:hAnsi="Segoe UI" w:cs="Segoe UI"/>
          <w:sz w:val="24"/>
          <w:szCs w:val="24"/>
        </w:rPr>
        <w:t>I</w:t>
      </w:r>
      <w:r w:rsidRPr="00217E08">
        <w:rPr>
          <w:rFonts w:ascii="Segoe UI" w:hAnsi="Segoe UI" w:cs="Segoe UI"/>
          <w:sz w:val="24"/>
          <w:szCs w:val="24"/>
        </w:rPr>
        <w:t>mplement a comprehensive plan to restore status, entitlements, and membership lost because of sex discrimination to women and their descendants</w:t>
      </w:r>
      <w:r>
        <w:rPr>
          <w:rFonts w:ascii="Segoe UI" w:hAnsi="Segoe UI" w:cs="Segoe UI"/>
          <w:sz w:val="24"/>
          <w:szCs w:val="24"/>
        </w:rPr>
        <w:t>;</w:t>
      </w:r>
    </w:p>
    <w:p w14:paraId="424B586F" w14:textId="77777777" w:rsidR="00350FA3" w:rsidRDefault="00350FA3" w:rsidP="000B27A6">
      <w:pPr>
        <w:pStyle w:val="Normal1"/>
        <w:numPr>
          <w:ilvl w:val="1"/>
          <w:numId w:val="3"/>
        </w:numPr>
        <w:rPr>
          <w:rFonts w:ascii="Segoe UI" w:hAnsi="Segoe UI" w:cs="Segoe UI"/>
          <w:sz w:val="24"/>
          <w:szCs w:val="24"/>
        </w:rPr>
      </w:pPr>
      <w:r>
        <w:rPr>
          <w:rFonts w:ascii="Segoe UI" w:hAnsi="Segoe UI" w:cs="Segoe UI"/>
          <w:sz w:val="24"/>
          <w:szCs w:val="24"/>
        </w:rPr>
        <w:t>A</w:t>
      </w:r>
      <w:r w:rsidRPr="00217E08">
        <w:rPr>
          <w:rFonts w:ascii="Segoe UI" w:hAnsi="Segoe UI" w:cs="Segoe UI"/>
          <w:sz w:val="24"/>
          <w:szCs w:val="24"/>
        </w:rPr>
        <w:t>bolish the second generation cut-off</w:t>
      </w:r>
      <w:r>
        <w:rPr>
          <w:rFonts w:ascii="Segoe UI" w:hAnsi="Segoe UI" w:cs="Segoe UI"/>
          <w:sz w:val="24"/>
          <w:szCs w:val="24"/>
        </w:rPr>
        <w:t>, the 1985 cut-off and the two parent rule;</w:t>
      </w:r>
      <w:r w:rsidRPr="00217E08">
        <w:rPr>
          <w:rFonts w:ascii="Segoe UI" w:hAnsi="Segoe UI" w:cs="Segoe UI"/>
          <w:sz w:val="24"/>
          <w:szCs w:val="24"/>
        </w:rPr>
        <w:t xml:space="preserve"> </w:t>
      </w:r>
    </w:p>
    <w:p w14:paraId="5F8C76B6" w14:textId="77777777" w:rsidR="00350FA3" w:rsidRDefault="00350FA3" w:rsidP="000B27A6">
      <w:pPr>
        <w:pStyle w:val="Normal1"/>
        <w:numPr>
          <w:ilvl w:val="1"/>
          <w:numId w:val="3"/>
        </w:numPr>
        <w:rPr>
          <w:rFonts w:ascii="Segoe UI" w:hAnsi="Segoe UI" w:cs="Segoe UI"/>
          <w:sz w:val="24"/>
          <w:szCs w:val="24"/>
        </w:rPr>
      </w:pPr>
      <w:r>
        <w:rPr>
          <w:rFonts w:ascii="Segoe UI" w:hAnsi="Segoe UI" w:cs="Segoe UI"/>
          <w:sz w:val="24"/>
          <w:szCs w:val="24"/>
        </w:rPr>
        <w:t>P</w:t>
      </w:r>
      <w:r w:rsidRPr="00217E08">
        <w:rPr>
          <w:rFonts w:ascii="Segoe UI" w:hAnsi="Segoe UI" w:cs="Segoe UI"/>
          <w:sz w:val="24"/>
          <w:szCs w:val="24"/>
        </w:rPr>
        <w:t>rovide reparations to women, their descendants, and their Nations</w:t>
      </w:r>
    </w:p>
    <w:p w14:paraId="2AB2FC89" w14:textId="77777777" w:rsidR="00350FA3" w:rsidRDefault="00350FA3" w:rsidP="000B27A6">
      <w:pPr>
        <w:pStyle w:val="Normal1"/>
        <w:rPr>
          <w:rFonts w:ascii="Segoe UI" w:hAnsi="Segoe UI" w:cs="Segoe UI"/>
          <w:sz w:val="24"/>
          <w:szCs w:val="24"/>
        </w:rPr>
      </w:pPr>
    </w:p>
    <w:p w14:paraId="2F8ED422" w14:textId="77777777" w:rsidR="00350FA3" w:rsidRDefault="00350FA3" w:rsidP="000B27A6">
      <w:pPr>
        <w:pStyle w:val="Normal1"/>
        <w:rPr>
          <w:rFonts w:ascii="Segoe UI" w:hAnsi="Segoe UI" w:cs="Segoe UI"/>
          <w:sz w:val="24"/>
          <w:szCs w:val="24"/>
        </w:rPr>
      </w:pPr>
      <w:r>
        <w:rPr>
          <w:rFonts w:ascii="Segoe UI" w:hAnsi="Segoe UI" w:cs="Segoe UI"/>
          <w:sz w:val="24"/>
          <w:szCs w:val="24"/>
        </w:rPr>
        <w:t xml:space="preserve">Without these, </w:t>
      </w:r>
      <w:r w:rsidRPr="000B27A6">
        <w:rPr>
          <w:rFonts w:ascii="Segoe UI" w:hAnsi="Segoe UI" w:cs="Segoe UI"/>
          <w:sz w:val="24"/>
          <w:szCs w:val="24"/>
        </w:rPr>
        <w:t>the colonial policy of assimilation will be successful</w:t>
      </w:r>
      <w:r>
        <w:rPr>
          <w:rFonts w:ascii="Segoe UI" w:hAnsi="Segoe UI" w:cs="Segoe UI"/>
          <w:sz w:val="24"/>
          <w:szCs w:val="24"/>
        </w:rPr>
        <w:t xml:space="preserve">. </w:t>
      </w:r>
    </w:p>
    <w:p w14:paraId="156CF751" w14:textId="77777777" w:rsidR="00350FA3" w:rsidRDefault="00350FA3" w:rsidP="000B27A6">
      <w:pPr>
        <w:pStyle w:val="Normal1"/>
        <w:rPr>
          <w:rFonts w:ascii="Segoe UI" w:hAnsi="Segoe UI" w:cs="Segoe UI"/>
          <w:sz w:val="24"/>
          <w:szCs w:val="24"/>
        </w:rPr>
      </w:pPr>
    </w:p>
    <w:p w14:paraId="1058A589" w14:textId="77777777" w:rsidR="00350FA3" w:rsidRPr="00217E08" w:rsidRDefault="00350FA3" w:rsidP="00183585">
      <w:pPr>
        <w:pStyle w:val="Normal1"/>
        <w:numPr>
          <w:ilvl w:val="0"/>
          <w:numId w:val="3"/>
        </w:numPr>
        <w:rPr>
          <w:rFonts w:ascii="Segoe UI" w:hAnsi="Segoe UI" w:cs="Segoe UI"/>
          <w:sz w:val="24"/>
          <w:szCs w:val="24"/>
        </w:rPr>
      </w:pPr>
      <w:r w:rsidRPr="00217E08">
        <w:rPr>
          <w:rFonts w:ascii="Segoe UI" w:hAnsi="Segoe UI" w:cs="Segoe UI"/>
          <w:sz w:val="24"/>
          <w:szCs w:val="24"/>
          <w:highlight w:val="white"/>
        </w:rPr>
        <w:t xml:space="preserve">On December 10, 2025, Bill S-2, with the Senate’s amendments, was given first reading in the House of Commons. </w:t>
      </w:r>
      <w:r>
        <w:rPr>
          <w:rFonts w:ascii="Segoe UI" w:hAnsi="Segoe UI" w:cs="Segoe UI"/>
          <w:sz w:val="24"/>
          <w:szCs w:val="24"/>
          <w:highlight w:val="white"/>
        </w:rPr>
        <w:t>In the next few months t</w:t>
      </w:r>
      <w:r w:rsidRPr="00217E08">
        <w:rPr>
          <w:rFonts w:ascii="Segoe UI" w:hAnsi="Segoe UI" w:cs="Segoe UI"/>
          <w:sz w:val="24"/>
          <w:szCs w:val="24"/>
          <w:highlight w:val="white"/>
        </w:rPr>
        <w:t>he House of Commons will review and vote on the Bill and its amendments.</w:t>
      </w:r>
      <w:r w:rsidRPr="00217E08">
        <w:rPr>
          <w:rStyle w:val="FootnoteReference"/>
          <w:rFonts w:ascii="Segoe UI" w:hAnsi="Segoe UI" w:cs="Segoe UI"/>
          <w:sz w:val="24"/>
          <w:szCs w:val="24"/>
          <w:highlight w:val="white"/>
        </w:rPr>
        <w:footnoteReference w:id="30"/>
      </w:r>
      <w:r w:rsidRPr="00217E08">
        <w:rPr>
          <w:rFonts w:ascii="Segoe UI" w:hAnsi="Segoe UI" w:cs="Segoe UI"/>
          <w:sz w:val="24"/>
          <w:szCs w:val="24"/>
          <w:highlight w:val="white"/>
        </w:rPr>
        <w:t xml:space="preserve"> At any point during </w:t>
      </w:r>
      <w:r>
        <w:rPr>
          <w:rFonts w:ascii="Segoe UI" w:hAnsi="Segoe UI" w:cs="Segoe UI"/>
          <w:sz w:val="24"/>
          <w:szCs w:val="24"/>
          <w:highlight w:val="white"/>
        </w:rPr>
        <w:t>this review and debate in the Hou</w:t>
      </w:r>
      <w:r w:rsidRPr="00217E08">
        <w:rPr>
          <w:rFonts w:ascii="Segoe UI" w:hAnsi="Segoe UI" w:cs="Segoe UI"/>
          <w:sz w:val="24"/>
          <w:szCs w:val="24"/>
          <w:highlight w:val="white"/>
        </w:rPr>
        <w:t>se of Commons, the Senate’s amendments to Bill S-2 could be deleted.</w:t>
      </w:r>
      <w:r w:rsidRPr="00217E08">
        <w:rPr>
          <w:rFonts w:ascii="Segoe UI" w:hAnsi="Segoe UI" w:cs="Segoe UI"/>
          <w:sz w:val="24"/>
          <w:szCs w:val="24"/>
          <w:highlight w:val="white"/>
          <w:vertAlign w:val="superscript"/>
        </w:rPr>
        <w:footnoteReference w:id="31"/>
      </w:r>
    </w:p>
    <w:p w14:paraId="33D33AB5" w14:textId="77777777" w:rsidR="00350FA3" w:rsidRPr="00294836" w:rsidRDefault="00350FA3" w:rsidP="00183585">
      <w:pPr>
        <w:rPr>
          <w:rFonts w:ascii="Segoe UI" w:hAnsi="Segoe UI" w:cs="Segoe UI"/>
        </w:rPr>
      </w:pPr>
    </w:p>
    <w:p w14:paraId="49800599" w14:textId="77777777" w:rsidR="00350FA3" w:rsidRDefault="00350FA3" w:rsidP="007F38C8">
      <w:pPr>
        <w:pStyle w:val="Normal1"/>
        <w:numPr>
          <w:ilvl w:val="0"/>
          <w:numId w:val="3"/>
        </w:numPr>
        <w:rPr>
          <w:rFonts w:ascii="Segoe UI" w:hAnsi="Segoe UI" w:cs="Segoe UI"/>
          <w:sz w:val="24"/>
          <w:szCs w:val="24"/>
        </w:rPr>
      </w:pPr>
      <w:r w:rsidRPr="000B27A6">
        <w:rPr>
          <w:rFonts w:ascii="Segoe UI" w:hAnsi="Segoe UI" w:cs="Segoe UI"/>
          <w:sz w:val="24"/>
          <w:szCs w:val="24"/>
        </w:rPr>
        <w:t>To ensure the equality of Indigenous women and their descendants,</w:t>
      </w:r>
      <w:r>
        <w:rPr>
          <w:rFonts w:ascii="Segoe UI" w:hAnsi="Segoe UI" w:cs="Segoe UI"/>
          <w:sz w:val="24"/>
          <w:szCs w:val="24"/>
        </w:rPr>
        <w:t xml:space="preserve"> and to stop the legal extinction of status Indians in Canada</w:t>
      </w:r>
      <w:r w:rsidRPr="000B27A6">
        <w:rPr>
          <w:rFonts w:ascii="Segoe UI" w:hAnsi="Segoe UI" w:cs="Segoe UI"/>
          <w:sz w:val="24"/>
          <w:szCs w:val="24"/>
        </w:rPr>
        <w:t xml:space="preserve"> it is critically important that the current amendments to Bill S-2 eliminating the second generation cut-off are retained </w:t>
      </w:r>
      <w:r>
        <w:rPr>
          <w:rFonts w:ascii="Segoe UI" w:hAnsi="Segoe UI" w:cs="Segoe UI"/>
          <w:sz w:val="24"/>
          <w:szCs w:val="24"/>
        </w:rPr>
        <w:t>by</w:t>
      </w:r>
      <w:r w:rsidRPr="000B27A6">
        <w:rPr>
          <w:rFonts w:ascii="Segoe UI" w:hAnsi="Segoe UI" w:cs="Segoe UI"/>
          <w:sz w:val="24"/>
          <w:szCs w:val="24"/>
        </w:rPr>
        <w:t xml:space="preserve"> the </w:t>
      </w:r>
      <w:r>
        <w:rPr>
          <w:rFonts w:ascii="Segoe UI" w:hAnsi="Segoe UI" w:cs="Segoe UI"/>
          <w:sz w:val="24"/>
          <w:szCs w:val="24"/>
        </w:rPr>
        <w:t xml:space="preserve">Committee and by the </w:t>
      </w:r>
      <w:r w:rsidRPr="000B27A6">
        <w:rPr>
          <w:rFonts w:ascii="Segoe UI" w:hAnsi="Segoe UI" w:cs="Segoe UI"/>
          <w:sz w:val="24"/>
          <w:szCs w:val="24"/>
        </w:rPr>
        <w:t>House of Commons.</w:t>
      </w:r>
      <w:bookmarkStart w:id="8" w:name="_heading_h_5m8wccbfyakh" w:colFirst="0" w:colLast="0"/>
      <w:bookmarkEnd w:id="8"/>
      <w:r>
        <w:rPr>
          <w:rFonts w:ascii="Segoe UI" w:hAnsi="Segoe UI" w:cs="Segoe UI"/>
          <w:sz w:val="24"/>
          <w:szCs w:val="24"/>
        </w:rPr>
        <w:t xml:space="preserve"> The Government of Canada can and must support the Senate’s amendments.</w:t>
      </w:r>
    </w:p>
    <w:p w14:paraId="4F63A23C" w14:textId="77777777" w:rsidR="00350FA3" w:rsidRDefault="00350FA3" w:rsidP="00073E08">
      <w:pPr>
        <w:pStyle w:val="ListParagraph"/>
        <w:rPr>
          <w:rFonts w:ascii="Segoe UI" w:hAnsi="Segoe UI" w:cs="Segoe UI"/>
        </w:rPr>
      </w:pPr>
    </w:p>
    <w:p w14:paraId="3C53C7F7" w14:textId="77777777" w:rsidR="00350FA3" w:rsidRPr="00073E08" w:rsidRDefault="00350FA3" w:rsidP="00073E08">
      <w:pPr>
        <w:pStyle w:val="Normal1"/>
        <w:rPr>
          <w:rFonts w:ascii="Segoe UI" w:hAnsi="Segoe UI" w:cs="Segoe UI"/>
          <w:sz w:val="24"/>
          <w:szCs w:val="24"/>
        </w:rPr>
      </w:pPr>
    </w:p>
    <w:p w14:paraId="752B2558" w14:textId="77777777" w:rsidR="00350FA3" w:rsidRPr="007F38C8" w:rsidRDefault="00350FA3" w:rsidP="007F38C8">
      <w:pPr>
        <w:pStyle w:val="Heading1"/>
        <w:rPr>
          <w:rFonts w:ascii="Segoe UI" w:hAnsi="Segoe UI" w:cs="Segoe UI"/>
          <w:sz w:val="24"/>
          <w:szCs w:val="24"/>
        </w:rPr>
      </w:pPr>
      <w:bookmarkStart w:id="9" w:name="_Toc220932340"/>
      <w:r w:rsidRPr="007F38C8">
        <w:rPr>
          <w:rFonts w:ascii="Segoe UI" w:hAnsi="Segoe UI" w:cs="Segoe UI"/>
        </w:rPr>
        <w:lastRenderedPageBreak/>
        <w:t>Canada’s failure to implement recommendations from UN bodies</w:t>
      </w:r>
      <w:bookmarkEnd w:id="9"/>
      <w:r w:rsidRPr="007F38C8">
        <w:rPr>
          <w:rFonts w:ascii="Segoe UI" w:hAnsi="Segoe UI" w:cs="Segoe UI"/>
        </w:rPr>
        <w:t xml:space="preserve"> </w:t>
      </w:r>
    </w:p>
    <w:p w14:paraId="1344A046" w14:textId="77777777" w:rsidR="00350FA3" w:rsidRPr="00217E08" w:rsidRDefault="00350FA3" w:rsidP="00684D7D">
      <w:pPr>
        <w:pStyle w:val="Normal1"/>
        <w:widowControl w:val="0"/>
        <w:numPr>
          <w:ilvl w:val="0"/>
          <w:numId w:val="3"/>
        </w:numPr>
        <w:spacing w:before="120" w:after="120"/>
        <w:ind w:left="-180"/>
        <w:rPr>
          <w:rFonts w:ascii="Segoe UI" w:hAnsi="Segoe UI" w:cs="Segoe UI"/>
          <w:color w:val="00000A"/>
          <w:sz w:val="24"/>
          <w:szCs w:val="24"/>
        </w:rPr>
      </w:pPr>
      <w:r w:rsidRPr="00217E08">
        <w:rPr>
          <w:rFonts w:ascii="Segoe UI" w:hAnsi="Segoe UI" w:cs="Segoe UI"/>
          <w:color w:val="00000A"/>
          <w:sz w:val="24"/>
          <w:szCs w:val="24"/>
        </w:rPr>
        <w:t>Since 1981, UN treaty bodies and the UN Human Rights C</w:t>
      </w:r>
      <w:r>
        <w:rPr>
          <w:rFonts w:ascii="Segoe UI" w:hAnsi="Segoe UI" w:cs="Segoe UI"/>
          <w:color w:val="00000A"/>
          <w:sz w:val="24"/>
          <w:szCs w:val="24"/>
        </w:rPr>
        <w:t>ommittee</w:t>
      </w:r>
      <w:r>
        <w:rPr>
          <w:rStyle w:val="FootnoteReference"/>
          <w:rFonts w:ascii="Segoe UI" w:hAnsi="Segoe UI" w:cs="Segoe UI"/>
          <w:color w:val="00000A"/>
          <w:sz w:val="24"/>
          <w:szCs w:val="24"/>
        </w:rPr>
        <w:footnoteReference w:id="32"/>
      </w:r>
      <w:r w:rsidRPr="00217E08">
        <w:rPr>
          <w:rFonts w:ascii="Segoe UI" w:hAnsi="Segoe UI" w:cs="Segoe UI"/>
          <w:color w:val="00000A"/>
          <w:sz w:val="24"/>
          <w:szCs w:val="24"/>
        </w:rPr>
        <w:t xml:space="preserve"> (HRC) have </w:t>
      </w:r>
      <w:hyperlink r:id="rId33" w:anchor="heading=h.vn4mdctua7j8" w:history="1">
        <w:r w:rsidRPr="000F3841">
          <w:rPr>
            <w:rStyle w:val="Hyperlink"/>
            <w:rFonts w:ascii="Segoe UI" w:hAnsi="Segoe UI" w:cs="Segoe UI"/>
            <w:sz w:val="24"/>
            <w:szCs w:val="24"/>
          </w:rPr>
          <w:t>recommended repeatedly</w:t>
        </w:r>
        <w:r w:rsidRPr="000F3841">
          <w:rPr>
            <w:rStyle w:val="Hyperlink"/>
            <w:rFonts w:ascii="Arial" w:hAnsi="Arial" w:cs="Arial"/>
            <w:sz w:val="22"/>
            <w:szCs w:val="22"/>
          </w:rPr>
          <w:t xml:space="preserve"> (Annex B)</w:t>
        </w:r>
      </w:hyperlink>
      <w:r w:rsidRPr="00217E08">
        <w:rPr>
          <w:rFonts w:ascii="Segoe UI" w:hAnsi="Segoe UI" w:cs="Segoe UI"/>
          <w:color w:val="00000A"/>
          <w:sz w:val="24"/>
          <w:szCs w:val="24"/>
        </w:rPr>
        <w:t xml:space="preserve"> that Canada remove all sex discrimination from the </w:t>
      </w:r>
      <w:r w:rsidRPr="00217E08">
        <w:rPr>
          <w:rFonts w:ascii="Segoe UI" w:hAnsi="Segoe UI" w:cs="Segoe UI"/>
          <w:i/>
          <w:iCs/>
          <w:color w:val="00000A"/>
          <w:sz w:val="24"/>
          <w:szCs w:val="24"/>
        </w:rPr>
        <w:t>Indian Act</w:t>
      </w:r>
      <w:r w:rsidRPr="00217E08">
        <w:rPr>
          <w:rFonts w:ascii="Segoe UI" w:hAnsi="Segoe UI" w:cs="Segoe UI"/>
          <w:color w:val="00000A"/>
          <w:sz w:val="24"/>
          <w:szCs w:val="24"/>
        </w:rPr>
        <w:t xml:space="preserve"> and repair the harms done to Indigenous women and their descendants. </w:t>
      </w:r>
    </w:p>
    <w:p w14:paraId="4AC56848" w14:textId="77777777" w:rsidR="00350FA3" w:rsidRPr="00217E08" w:rsidRDefault="00350FA3" w:rsidP="00684D7D">
      <w:pPr>
        <w:pStyle w:val="Normal1"/>
        <w:numPr>
          <w:ilvl w:val="0"/>
          <w:numId w:val="3"/>
        </w:numPr>
        <w:spacing w:before="120" w:after="120"/>
        <w:ind w:left="-180"/>
        <w:rPr>
          <w:rFonts w:ascii="Segoe UI" w:hAnsi="Segoe UI" w:cs="Segoe UI"/>
          <w:sz w:val="24"/>
          <w:szCs w:val="24"/>
        </w:rPr>
      </w:pPr>
      <w:r w:rsidRPr="00217E08">
        <w:rPr>
          <w:rFonts w:ascii="Segoe UI" w:hAnsi="Segoe UI" w:cs="Segoe UI"/>
          <w:color w:val="00000A"/>
          <w:sz w:val="24"/>
          <w:szCs w:val="24"/>
        </w:rPr>
        <w:t xml:space="preserve">Since 2003, the CEDAW Committee has issued concluding observations after every review of Canada calling for the elimination of legislated sex discrimination. </w:t>
      </w:r>
    </w:p>
    <w:p w14:paraId="123E7D9B" w14:textId="77777777" w:rsidR="00350FA3" w:rsidRPr="00684D7D" w:rsidRDefault="00350FA3" w:rsidP="004E57CE">
      <w:pPr>
        <w:pStyle w:val="Normal1"/>
        <w:numPr>
          <w:ilvl w:val="0"/>
          <w:numId w:val="3"/>
        </w:numPr>
        <w:ind w:left="-180"/>
        <w:rPr>
          <w:rFonts w:ascii="Segoe UI" w:hAnsi="Segoe UI" w:cs="Segoe UI"/>
          <w:sz w:val="24"/>
          <w:szCs w:val="24"/>
        </w:rPr>
      </w:pPr>
      <w:r w:rsidRPr="00862A00">
        <w:rPr>
          <w:rFonts w:ascii="Segoe UI" w:hAnsi="Segoe UI" w:cs="Segoe UI"/>
          <w:sz w:val="24"/>
          <w:szCs w:val="24"/>
        </w:rPr>
        <w:t xml:space="preserve">On October 16, 2024, the Committee on the Elimination of All Forms of Discrimination Against Women (CEDAW) reviewed Canada’s compliance with the </w:t>
      </w:r>
      <w:r w:rsidRPr="00862A00">
        <w:rPr>
          <w:rFonts w:ascii="Segoe UI" w:hAnsi="Segoe UI" w:cs="Segoe UI"/>
          <w:i/>
          <w:iCs/>
          <w:sz w:val="24"/>
          <w:szCs w:val="24"/>
        </w:rPr>
        <w:t xml:space="preserve">Convention on the Elimination of All Forms of Discrimination Against Women </w:t>
      </w:r>
      <w:r w:rsidRPr="00862A00">
        <w:rPr>
          <w:rFonts w:ascii="Segoe UI" w:hAnsi="Segoe UI" w:cs="Segoe UI"/>
          <w:sz w:val="24"/>
          <w:szCs w:val="24"/>
        </w:rPr>
        <w:t>for the tenth time. The CEDAW Committee concluded that Indigenous women and girls in Canada still face gender-based discrimination.</w:t>
      </w:r>
      <w:r w:rsidRPr="00217E08">
        <w:rPr>
          <w:rFonts w:ascii="Segoe UI" w:hAnsi="Segoe UI" w:cs="Segoe UI"/>
          <w:sz w:val="24"/>
          <w:szCs w:val="24"/>
          <w:vertAlign w:val="superscript"/>
        </w:rPr>
        <w:footnoteReference w:id="33"/>
      </w:r>
      <w:r w:rsidRPr="00862A00">
        <w:rPr>
          <w:rFonts w:ascii="Segoe UI" w:hAnsi="Segoe UI" w:cs="Segoe UI"/>
          <w:sz w:val="24"/>
          <w:szCs w:val="24"/>
        </w:rPr>
        <w:t xml:space="preserve"> </w:t>
      </w:r>
      <w:r w:rsidRPr="00862A00">
        <w:rPr>
          <w:rFonts w:ascii="Segoe UI" w:hAnsi="Segoe UI" w:cs="Segoe UI"/>
          <w:color w:val="333333"/>
          <w:sz w:val="24"/>
          <w:szCs w:val="24"/>
        </w:rPr>
        <w:t xml:space="preserve">The Committee, noting that modifications to the </w:t>
      </w:r>
      <w:r w:rsidRPr="00862A00">
        <w:rPr>
          <w:rFonts w:ascii="Segoe UI" w:hAnsi="Segoe UI" w:cs="Segoe UI"/>
          <w:i/>
          <w:iCs/>
          <w:color w:val="333333"/>
          <w:sz w:val="24"/>
          <w:szCs w:val="24"/>
        </w:rPr>
        <w:t>Indian Act</w:t>
      </w:r>
      <w:r w:rsidRPr="00862A00">
        <w:rPr>
          <w:rFonts w:ascii="Segoe UI" w:hAnsi="Segoe UI" w:cs="Segoe UI"/>
          <w:color w:val="333333"/>
          <w:sz w:val="24"/>
          <w:szCs w:val="24"/>
        </w:rPr>
        <w:t xml:space="preserve"> have been unsuccessful in fully remedying sex-based discrimination present in the legislation, recommended that Canada remove sections 6(1)(f) and 6(2) from the </w:t>
      </w:r>
      <w:r w:rsidRPr="00862A00">
        <w:rPr>
          <w:rFonts w:ascii="Segoe UI" w:hAnsi="Segoe UI" w:cs="Segoe UI"/>
          <w:i/>
          <w:iCs/>
          <w:color w:val="333333"/>
          <w:sz w:val="24"/>
          <w:szCs w:val="24"/>
        </w:rPr>
        <w:t>Indian Act</w:t>
      </w:r>
      <w:r w:rsidRPr="00862A00">
        <w:rPr>
          <w:rFonts w:ascii="Segoe UI" w:hAnsi="Segoe UI" w:cs="Segoe UI"/>
          <w:color w:val="333333"/>
          <w:sz w:val="24"/>
          <w:szCs w:val="24"/>
        </w:rPr>
        <w:t>, eliminate any other legal provisions denying men and women equal rights over status entitlement, and abolish distinctions between levels of status, “including differentiations in entitlement caused by birth and marriage dates before and after April 17, 1985”.</w:t>
      </w:r>
      <w:r w:rsidRPr="00217E08">
        <w:rPr>
          <w:rFonts w:ascii="Segoe UI" w:hAnsi="Segoe UI" w:cs="Segoe UI"/>
          <w:color w:val="333333"/>
          <w:sz w:val="24"/>
          <w:szCs w:val="24"/>
          <w:vertAlign w:val="superscript"/>
        </w:rPr>
        <w:footnoteReference w:id="34"/>
      </w:r>
      <w:r w:rsidRPr="00862A00">
        <w:rPr>
          <w:rFonts w:ascii="Segoe UI" w:hAnsi="Segoe UI" w:cs="Segoe UI"/>
          <w:sz w:val="24"/>
          <w:szCs w:val="24"/>
        </w:rPr>
        <w:t xml:space="preserve"> While respecting the Government’s duty to consult, the Committee urged the Government of Canada to overhaul the </w:t>
      </w:r>
      <w:r w:rsidRPr="00862A00">
        <w:rPr>
          <w:rFonts w:ascii="Segoe UI" w:hAnsi="Segoe UI" w:cs="Segoe UI"/>
          <w:i/>
          <w:iCs/>
          <w:sz w:val="24"/>
          <w:szCs w:val="24"/>
        </w:rPr>
        <w:t>Indian Act</w:t>
      </w:r>
      <w:r w:rsidRPr="00862A00">
        <w:rPr>
          <w:rFonts w:ascii="Segoe UI" w:hAnsi="Segoe UI" w:cs="Segoe UI"/>
          <w:sz w:val="24"/>
          <w:szCs w:val="24"/>
        </w:rPr>
        <w:t>, with emphasis on removing the second generation cut-off and finally stopping discrimination against Indigenous women, girls, and their descendants.</w:t>
      </w:r>
      <w:r w:rsidRPr="00217E08">
        <w:rPr>
          <w:rFonts w:ascii="Segoe UI" w:hAnsi="Segoe UI" w:cs="Segoe UI"/>
          <w:sz w:val="24"/>
          <w:szCs w:val="24"/>
          <w:vertAlign w:val="superscript"/>
        </w:rPr>
        <w:footnoteReference w:id="35"/>
      </w:r>
    </w:p>
    <w:p w14:paraId="026568EC" w14:textId="77777777" w:rsidR="00350FA3" w:rsidRDefault="00350FA3" w:rsidP="000440AC">
      <w:pPr>
        <w:pStyle w:val="Normal1"/>
        <w:numPr>
          <w:ilvl w:val="0"/>
          <w:numId w:val="3"/>
        </w:numPr>
        <w:spacing w:before="100" w:after="100"/>
        <w:ind w:left="-180"/>
        <w:rPr>
          <w:rFonts w:ascii="Segoe UI" w:hAnsi="Segoe UI" w:cs="Segoe UI"/>
          <w:color w:val="333333"/>
          <w:sz w:val="24"/>
          <w:szCs w:val="24"/>
        </w:rPr>
      </w:pPr>
      <w:r w:rsidRPr="00217E08">
        <w:rPr>
          <w:rFonts w:ascii="Segoe UI" w:hAnsi="Segoe UI" w:cs="Segoe UI"/>
          <w:color w:val="333333"/>
          <w:sz w:val="24"/>
          <w:szCs w:val="24"/>
        </w:rPr>
        <w:t xml:space="preserve">The CEDAW Committee sent Canada an Information Request on the response to Committee recommendations, particularly those surrounding </w:t>
      </w:r>
      <w:r>
        <w:rPr>
          <w:rFonts w:ascii="Segoe UI" w:hAnsi="Segoe UI" w:cs="Segoe UI"/>
          <w:color w:val="333333"/>
          <w:sz w:val="24"/>
          <w:szCs w:val="24"/>
        </w:rPr>
        <w:t>sex</w:t>
      </w:r>
      <w:r w:rsidRPr="00217E08">
        <w:rPr>
          <w:rFonts w:ascii="Segoe UI" w:hAnsi="Segoe UI" w:cs="Segoe UI"/>
          <w:color w:val="333333"/>
          <w:sz w:val="24"/>
          <w:szCs w:val="24"/>
        </w:rPr>
        <w:t xml:space="preserve"> discrimination within the </w:t>
      </w:r>
      <w:r w:rsidRPr="00217E08">
        <w:rPr>
          <w:rFonts w:ascii="Segoe UI" w:hAnsi="Segoe UI" w:cs="Segoe UI"/>
          <w:i/>
          <w:iCs/>
          <w:color w:val="333333"/>
          <w:sz w:val="24"/>
          <w:szCs w:val="24"/>
        </w:rPr>
        <w:t>Indian Act</w:t>
      </w:r>
      <w:r w:rsidRPr="00217E08">
        <w:rPr>
          <w:rFonts w:ascii="Segoe UI" w:hAnsi="Segoe UI" w:cs="Segoe UI"/>
          <w:color w:val="333333"/>
          <w:sz w:val="24"/>
          <w:szCs w:val="24"/>
        </w:rPr>
        <w:t>. However, Canada failed to respond by the May 1, 2025</w:t>
      </w:r>
      <w:r>
        <w:rPr>
          <w:rFonts w:ascii="Segoe UI" w:hAnsi="Segoe UI" w:cs="Segoe UI"/>
          <w:color w:val="333333"/>
          <w:sz w:val="24"/>
          <w:szCs w:val="24"/>
        </w:rPr>
        <w:t>,</w:t>
      </w:r>
      <w:r w:rsidRPr="00217E08">
        <w:rPr>
          <w:rFonts w:ascii="Segoe UI" w:hAnsi="Segoe UI" w:cs="Segoe UI"/>
          <w:color w:val="333333"/>
          <w:sz w:val="24"/>
          <w:szCs w:val="24"/>
        </w:rPr>
        <w:t xml:space="preserve"> deadline.</w:t>
      </w:r>
    </w:p>
    <w:p w14:paraId="0776CF66" w14:textId="77777777" w:rsidR="00350FA3" w:rsidRDefault="00350FA3" w:rsidP="000440AC">
      <w:pPr>
        <w:pStyle w:val="Normal1"/>
        <w:numPr>
          <w:ilvl w:val="0"/>
          <w:numId w:val="3"/>
        </w:numPr>
        <w:ind w:left="-180"/>
        <w:rPr>
          <w:rFonts w:ascii="Segoe UI" w:hAnsi="Segoe UI" w:cs="Segoe UI"/>
          <w:sz w:val="24"/>
          <w:szCs w:val="24"/>
        </w:rPr>
      </w:pPr>
      <w:r>
        <w:rPr>
          <w:rFonts w:ascii="Segoe UI" w:hAnsi="Segoe UI" w:cs="Segoe UI"/>
          <w:sz w:val="24"/>
          <w:szCs w:val="24"/>
        </w:rPr>
        <w:t>I</w:t>
      </w:r>
      <w:r w:rsidRPr="006C2B9D">
        <w:rPr>
          <w:rFonts w:ascii="Segoe UI" w:hAnsi="Segoe UI" w:cs="Segoe UI"/>
          <w:sz w:val="24"/>
          <w:szCs w:val="24"/>
        </w:rPr>
        <w:t>n his 2024 visit to Canada, the Special Rapporteur on the Rights of Indigenous Peoples, Mr. José Francisco Calí-Tzay, recommended that further amendments be made to the Indian Act “to eliminate the remaining discrimination” and that there should be “increased support for registration of women and their descendants who are newly eligible for status.”</w:t>
      </w:r>
      <w:r>
        <w:rPr>
          <w:rStyle w:val="FootnoteReference"/>
          <w:rFonts w:ascii="Segoe UI" w:hAnsi="Segoe UI" w:cs="Segoe UI"/>
          <w:sz w:val="24"/>
          <w:szCs w:val="24"/>
        </w:rPr>
        <w:footnoteReference w:id="36"/>
      </w:r>
      <w:r w:rsidRPr="006C2B9D">
        <w:rPr>
          <w:rFonts w:ascii="Segoe UI" w:hAnsi="Segoe UI" w:cs="Segoe UI"/>
          <w:sz w:val="24"/>
          <w:szCs w:val="24"/>
        </w:rPr>
        <w:t xml:space="preserve"> The Special Rapporteur </w:t>
      </w:r>
      <w:hyperlink r:id="rId34" w:history="1">
        <w:r w:rsidRPr="00224AA7">
          <w:rPr>
            <w:rStyle w:val="Hyperlink"/>
            <w:rFonts w:ascii="Segoe UI" w:hAnsi="Segoe UI" w:cs="Segoe UI"/>
            <w:sz w:val="24"/>
            <w:szCs w:val="24"/>
          </w:rPr>
          <w:t>also recommended</w:t>
        </w:r>
      </w:hyperlink>
      <w:r w:rsidRPr="006C2B9D">
        <w:rPr>
          <w:rFonts w:ascii="Segoe UI" w:hAnsi="Segoe UI" w:cs="Segoe UI"/>
          <w:sz w:val="24"/>
          <w:szCs w:val="24"/>
        </w:rPr>
        <w:t xml:space="preserve"> that Canada should create accessible remedies and compensation.</w:t>
      </w:r>
    </w:p>
    <w:p w14:paraId="73FF2F3B" w14:textId="77777777" w:rsidR="00350FA3" w:rsidRPr="00815773" w:rsidRDefault="00350FA3" w:rsidP="00815773">
      <w:pPr>
        <w:pStyle w:val="Heading2"/>
        <w:rPr>
          <w:rFonts w:ascii="Segoe UI" w:hAnsi="Segoe UI" w:cs="Segoe UI"/>
          <w:b/>
          <w:bCs/>
          <w:i/>
          <w:iCs/>
          <w:color w:val="C45911"/>
        </w:rPr>
      </w:pPr>
      <w:bookmarkStart w:id="10" w:name="_Toc220932341"/>
      <w:r w:rsidRPr="00217E08">
        <w:rPr>
          <w:rFonts w:ascii="Segoe UI" w:hAnsi="Segoe UI" w:cs="Segoe UI"/>
          <w:b/>
          <w:bCs/>
          <w:i/>
          <w:iCs/>
          <w:color w:val="C45911"/>
        </w:rPr>
        <w:lastRenderedPageBreak/>
        <w:t>McIvor v. Canada</w:t>
      </w:r>
      <w:bookmarkEnd w:id="10"/>
    </w:p>
    <w:p w14:paraId="1FC3DD97" w14:textId="77777777" w:rsidR="00350FA3" w:rsidRPr="00815773" w:rsidRDefault="00350FA3" w:rsidP="0089016D">
      <w:pPr>
        <w:pStyle w:val="Normal1"/>
        <w:numPr>
          <w:ilvl w:val="0"/>
          <w:numId w:val="3"/>
        </w:numPr>
        <w:spacing w:before="100" w:after="100"/>
        <w:ind w:left="-180"/>
        <w:rPr>
          <w:rFonts w:ascii="Segoe UI" w:hAnsi="Segoe UI" w:cs="Segoe UI"/>
          <w:color w:val="333333"/>
          <w:sz w:val="24"/>
          <w:szCs w:val="24"/>
        </w:rPr>
      </w:pPr>
      <w:r w:rsidRPr="00862A00">
        <w:rPr>
          <w:rFonts w:ascii="Segoe UI" w:hAnsi="Segoe UI" w:cs="Segoe UI"/>
          <w:sz w:val="24"/>
          <w:szCs w:val="24"/>
        </w:rPr>
        <w:t xml:space="preserve">In 2007, Sharon McIvor and her son, Jacob Grismer, brought an action in Canadian courts alleging the </w:t>
      </w:r>
      <w:r w:rsidRPr="00862A00">
        <w:rPr>
          <w:rFonts w:ascii="Segoe UI" w:hAnsi="Segoe UI" w:cs="Segoe UI"/>
          <w:i/>
          <w:iCs/>
          <w:sz w:val="24"/>
          <w:szCs w:val="24"/>
        </w:rPr>
        <w:t>Indian Act</w:t>
      </w:r>
      <w:r w:rsidRPr="00862A00">
        <w:rPr>
          <w:rFonts w:ascii="Segoe UI" w:hAnsi="Segoe UI" w:cs="Segoe UI"/>
          <w:sz w:val="24"/>
          <w:szCs w:val="24"/>
        </w:rPr>
        <w:t xml:space="preserve"> perpetuated discrimination against her. She won, and her case led to the adoption of amendments in 2010 in Bill C-3. Yet these amendments did not fully remedy the sex discrimination she challenged, so she and her son </w:t>
      </w:r>
      <w:hyperlink r:id="rId35">
        <w:r w:rsidRPr="00862A00">
          <w:rPr>
            <w:rFonts w:ascii="Segoe UI" w:hAnsi="Segoe UI" w:cs="Segoe UI"/>
            <w:color w:val="833C0B"/>
            <w:sz w:val="24"/>
            <w:szCs w:val="24"/>
            <w:u w:val="single"/>
          </w:rPr>
          <w:t>filed a petition with the HRC</w:t>
        </w:r>
      </w:hyperlink>
      <w:r w:rsidRPr="00862A00">
        <w:rPr>
          <w:rFonts w:ascii="Segoe UI" w:hAnsi="Segoe UI" w:cs="Segoe UI"/>
          <w:color w:val="000009"/>
          <w:sz w:val="24"/>
          <w:szCs w:val="24"/>
        </w:rPr>
        <w:t xml:space="preserve">, claiming that the </w:t>
      </w:r>
      <w:r w:rsidRPr="00862A00">
        <w:rPr>
          <w:rFonts w:ascii="Segoe UI" w:hAnsi="Segoe UI" w:cs="Segoe UI"/>
          <w:i/>
          <w:iCs/>
          <w:color w:val="000009"/>
          <w:sz w:val="24"/>
          <w:szCs w:val="24"/>
        </w:rPr>
        <w:t>Indian Act</w:t>
      </w:r>
      <w:r w:rsidRPr="00862A00">
        <w:rPr>
          <w:rFonts w:ascii="Segoe UI" w:hAnsi="Segoe UI" w:cs="Segoe UI"/>
          <w:color w:val="000009"/>
          <w:sz w:val="24"/>
          <w:szCs w:val="24"/>
        </w:rPr>
        <w:t xml:space="preserve"> continued to discriminate based on sex in violation of the </w:t>
      </w:r>
      <w:r w:rsidRPr="00862A00">
        <w:rPr>
          <w:rFonts w:ascii="Segoe UI" w:hAnsi="Segoe UI" w:cs="Segoe UI"/>
          <w:i/>
          <w:iCs/>
          <w:color w:val="000009"/>
          <w:sz w:val="24"/>
          <w:szCs w:val="24"/>
        </w:rPr>
        <w:t>International Covenant on Civil and Political Rights</w:t>
      </w:r>
      <w:r w:rsidRPr="00862A00">
        <w:rPr>
          <w:rFonts w:ascii="Segoe UI" w:hAnsi="Segoe UI" w:cs="Segoe UI"/>
          <w:color w:val="000009"/>
          <w:sz w:val="24"/>
          <w:szCs w:val="24"/>
        </w:rPr>
        <w:t>.</w:t>
      </w:r>
      <w:r w:rsidRPr="00862A00">
        <w:rPr>
          <w:rFonts w:ascii="Segoe UI" w:hAnsi="Segoe UI" w:cs="Segoe UI"/>
          <w:sz w:val="24"/>
          <w:szCs w:val="24"/>
        </w:rPr>
        <w:t xml:space="preserve"> On January 11, 2019, this Committee ruled on that petition and </w:t>
      </w:r>
      <w:hyperlink r:id="rId36">
        <w:r w:rsidRPr="00862A00">
          <w:rPr>
            <w:rFonts w:ascii="Segoe UI" w:hAnsi="Segoe UI" w:cs="Segoe UI"/>
            <w:color w:val="833C0B"/>
            <w:sz w:val="24"/>
            <w:szCs w:val="24"/>
            <w:u w:val="single"/>
          </w:rPr>
          <w:t xml:space="preserve">found that the </w:t>
        </w:r>
      </w:hyperlink>
      <w:hyperlink r:id="rId37">
        <w:r w:rsidRPr="00862A00">
          <w:rPr>
            <w:rFonts w:ascii="Segoe UI" w:hAnsi="Segoe UI" w:cs="Segoe UI"/>
            <w:i/>
            <w:iCs/>
            <w:color w:val="833C0B"/>
            <w:sz w:val="24"/>
            <w:szCs w:val="24"/>
            <w:u w:val="single"/>
          </w:rPr>
          <w:t>Indian Act</w:t>
        </w:r>
      </w:hyperlink>
      <w:hyperlink r:id="rId38">
        <w:r w:rsidRPr="00862A00">
          <w:rPr>
            <w:rFonts w:ascii="Segoe UI" w:hAnsi="Segoe UI" w:cs="Segoe UI"/>
            <w:color w:val="833C0B"/>
            <w:sz w:val="24"/>
            <w:szCs w:val="24"/>
            <w:u w:val="single"/>
          </w:rPr>
          <w:t xml:space="preserve"> violates the rights of First Nations women to equal protection of the law and to equal enjoyment of their culture</w:t>
        </w:r>
      </w:hyperlink>
      <w:r w:rsidRPr="00862A00">
        <w:rPr>
          <w:rFonts w:ascii="Segoe UI" w:hAnsi="Segoe UI" w:cs="Segoe UI"/>
          <w:sz w:val="24"/>
          <w:szCs w:val="24"/>
        </w:rPr>
        <w:t xml:space="preserve">. </w:t>
      </w:r>
    </w:p>
    <w:p w14:paraId="3818BB74" w14:textId="77777777" w:rsidR="00350FA3" w:rsidRPr="00217E08" w:rsidRDefault="00350FA3" w:rsidP="00F15EEB">
      <w:pPr>
        <w:pStyle w:val="Normal1"/>
        <w:numPr>
          <w:ilvl w:val="0"/>
          <w:numId w:val="3"/>
        </w:numPr>
        <w:spacing w:before="120"/>
        <w:ind w:left="-180"/>
        <w:rPr>
          <w:rFonts w:ascii="Segoe UI" w:hAnsi="Segoe UI" w:cs="Segoe UI"/>
          <w:sz w:val="24"/>
          <w:szCs w:val="24"/>
        </w:rPr>
      </w:pPr>
      <w:r w:rsidRPr="00217E08">
        <w:rPr>
          <w:rFonts w:ascii="Segoe UI" w:hAnsi="Segoe UI" w:cs="Segoe UI"/>
          <w:sz w:val="24"/>
          <w:szCs w:val="24"/>
        </w:rPr>
        <w:t xml:space="preserve"> Th</w:t>
      </w:r>
      <w:r>
        <w:rPr>
          <w:rFonts w:ascii="Segoe UI" w:hAnsi="Segoe UI" w:cs="Segoe UI"/>
          <w:sz w:val="24"/>
          <w:szCs w:val="24"/>
        </w:rPr>
        <w:t>is</w:t>
      </w:r>
      <w:r w:rsidRPr="00217E08">
        <w:rPr>
          <w:rFonts w:ascii="Segoe UI" w:hAnsi="Segoe UI" w:cs="Segoe UI"/>
          <w:sz w:val="24"/>
          <w:szCs w:val="24"/>
        </w:rPr>
        <w:t xml:space="preserve"> </w:t>
      </w:r>
      <w:hyperlink r:id="rId39">
        <w:r w:rsidRPr="00217E08">
          <w:rPr>
            <w:rFonts w:ascii="Segoe UI" w:hAnsi="Segoe UI" w:cs="Segoe UI"/>
            <w:color w:val="833C0B"/>
            <w:sz w:val="24"/>
            <w:szCs w:val="24"/>
            <w:u w:val="single"/>
          </w:rPr>
          <w:t>Committee stated that Canada</w:t>
        </w:r>
      </w:hyperlink>
      <w:r w:rsidRPr="00217E08">
        <w:rPr>
          <w:rFonts w:ascii="Segoe UI" w:hAnsi="Segoe UI" w:cs="Segoe UI"/>
          <w:sz w:val="24"/>
          <w:szCs w:val="24"/>
        </w:rPr>
        <w:t xml:space="preserve"> is obliged to provide Ms. McIvor, and all those similarly situated, with full reparations, which include: </w:t>
      </w:r>
    </w:p>
    <w:p w14:paraId="27DC2390" w14:textId="77777777" w:rsidR="00350FA3" w:rsidRDefault="00350FA3" w:rsidP="009B04AC">
      <w:pPr>
        <w:pStyle w:val="Normal1"/>
        <w:spacing w:before="120"/>
        <w:ind w:left="900"/>
        <w:rPr>
          <w:rFonts w:ascii="Segoe UI" w:hAnsi="Segoe UI" w:cs="Segoe UI"/>
          <w:sz w:val="24"/>
          <w:szCs w:val="24"/>
        </w:rPr>
      </w:pPr>
      <w:r w:rsidRPr="00217E08">
        <w:rPr>
          <w:rFonts w:ascii="Segoe UI" w:hAnsi="Segoe UI" w:cs="Segoe UI"/>
          <w:sz w:val="24"/>
          <w:szCs w:val="24"/>
        </w:rPr>
        <w:t xml:space="preserve">(a) ensuring registration to all those denied registration under 6(1)(a) (full status) of the 1985 </w:t>
      </w:r>
      <w:r w:rsidRPr="00217E08">
        <w:rPr>
          <w:rFonts w:ascii="Segoe UI" w:hAnsi="Segoe UI" w:cs="Segoe UI"/>
          <w:i/>
          <w:iCs/>
          <w:sz w:val="24"/>
          <w:szCs w:val="24"/>
        </w:rPr>
        <w:t>Indian Act</w:t>
      </w:r>
      <w:r w:rsidRPr="00217E08">
        <w:rPr>
          <w:rFonts w:ascii="Segoe UI" w:hAnsi="Segoe UI" w:cs="Segoe UI"/>
          <w:sz w:val="24"/>
          <w:szCs w:val="24"/>
        </w:rPr>
        <w:t xml:space="preserve"> solely as a result of preferential treatment accorded to Indian men over Indian women born prior to 17 April 1985 and to patrilineal descendants over matrilineal descendants, born prior to 17 April 1985; </w:t>
      </w:r>
    </w:p>
    <w:p w14:paraId="434D1DA9" w14:textId="77777777" w:rsidR="00350FA3" w:rsidRDefault="00350FA3" w:rsidP="009B04AC">
      <w:pPr>
        <w:pStyle w:val="Normal1"/>
        <w:spacing w:before="120"/>
        <w:ind w:left="900"/>
        <w:rPr>
          <w:rFonts w:ascii="Segoe UI" w:hAnsi="Segoe UI" w:cs="Segoe UI"/>
          <w:sz w:val="24"/>
          <w:szCs w:val="24"/>
        </w:rPr>
      </w:pPr>
      <w:r w:rsidRPr="00217E08">
        <w:rPr>
          <w:rFonts w:ascii="Segoe UI" w:hAnsi="Segoe UI" w:cs="Segoe UI"/>
          <w:sz w:val="24"/>
          <w:szCs w:val="24"/>
        </w:rPr>
        <w:t xml:space="preserve">(b) taking steps to address residual discrimination within First Nations communities arising from the sex discrimination in the </w:t>
      </w:r>
      <w:r w:rsidRPr="00217E08">
        <w:rPr>
          <w:rFonts w:ascii="Segoe UI" w:hAnsi="Segoe UI" w:cs="Segoe UI"/>
          <w:i/>
          <w:iCs/>
          <w:sz w:val="24"/>
          <w:szCs w:val="24"/>
        </w:rPr>
        <w:t>Indian Act</w:t>
      </w:r>
      <w:r w:rsidRPr="00217E08">
        <w:rPr>
          <w:rFonts w:ascii="Segoe UI" w:hAnsi="Segoe UI" w:cs="Segoe UI"/>
          <w:sz w:val="24"/>
          <w:szCs w:val="24"/>
        </w:rPr>
        <w:t>, and</w:t>
      </w:r>
    </w:p>
    <w:p w14:paraId="0077A7C7" w14:textId="77777777" w:rsidR="00350FA3" w:rsidRPr="00217E08" w:rsidRDefault="00350FA3" w:rsidP="009B04AC">
      <w:pPr>
        <w:pStyle w:val="Normal1"/>
        <w:spacing w:before="120"/>
        <w:ind w:left="900"/>
        <w:rPr>
          <w:rFonts w:ascii="Segoe UI" w:hAnsi="Segoe UI" w:cs="Segoe UI"/>
          <w:sz w:val="24"/>
          <w:szCs w:val="24"/>
        </w:rPr>
      </w:pPr>
      <w:r>
        <w:rPr>
          <w:rFonts w:ascii="Segoe UI" w:hAnsi="Segoe UI" w:cs="Segoe UI"/>
          <w:sz w:val="24"/>
          <w:szCs w:val="24"/>
        </w:rPr>
        <w:t>(</w:t>
      </w:r>
      <w:r w:rsidRPr="00217E08">
        <w:rPr>
          <w:rFonts w:ascii="Segoe UI" w:hAnsi="Segoe UI" w:cs="Segoe UI"/>
          <w:sz w:val="24"/>
          <w:szCs w:val="24"/>
        </w:rPr>
        <w:t>c) taking steps to avoid similar violations in the future.</w:t>
      </w:r>
    </w:p>
    <w:p w14:paraId="096C266F" w14:textId="77777777" w:rsidR="00350FA3" w:rsidRDefault="00350FA3" w:rsidP="00A12BFE">
      <w:pPr>
        <w:pStyle w:val="Normal1"/>
        <w:numPr>
          <w:ilvl w:val="0"/>
          <w:numId w:val="3"/>
        </w:numPr>
        <w:spacing w:before="100" w:after="100"/>
        <w:ind w:left="-180"/>
        <w:rPr>
          <w:rFonts w:ascii="Segoe UI" w:hAnsi="Segoe UI" w:cs="Segoe UI"/>
          <w:sz w:val="24"/>
          <w:szCs w:val="24"/>
        </w:rPr>
      </w:pPr>
      <w:r w:rsidRPr="00217E08">
        <w:rPr>
          <w:rFonts w:ascii="Segoe UI" w:hAnsi="Segoe UI" w:cs="Segoe UI"/>
          <w:sz w:val="24"/>
          <w:szCs w:val="24"/>
        </w:rPr>
        <w:t xml:space="preserve">In its August 2022 Report on </w:t>
      </w:r>
      <w:hyperlink r:id="rId40">
        <w:r w:rsidRPr="00217E08">
          <w:rPr>
            <w:rFonts w:ascii="Segoe UI" w:hAnsi="Segoe UI" w:cs="Segoe UI"/>
            <w:i/>
            <w:iCs/>
            <w:color w:val="833C0B"/>
            <w:sz w:val="24"/>
            <w:szCs w:val="24"/>
            <w:u w:val="single"/>
          </w:rPr>
          <w:t>Follow up progress on individual communications</w:t>
        </w:r>
      </w:hyperlink>
      <w:r w:rsidRPr="00217E08">
        <w:rPr>
          <w:rFonts w:ascii="Segoe UI" w:hAnsi="Segoe UI" w:cs="Segoe UI"/>
          <w:i/>
          <w:iCs/>
          <w:sz w:val="24"/>
          <w:szCs w:val="24"/>
        </w:rPr>
        <w:t xml:space="preserve"> </w:t>
      </w:r>
      <w:r w:rsidRPr="00217E08">
        <w:rPr>
          <w:rFonts w:ascii="Segoe UI" w:hAnsi="Segoe UI" w:cs="Segoe UI"/>
          <w:sz w:val="24"/>
          <w:szCs w:val="24"/>
        </w:rPr>
        <w:t>th</w:t>
      </w:r>
      <w:r>
        <w:rPr>
          <w:rFonts w:ascii="Segoe UI" w:hAnsi="Segoe UI" w:cs="Segoe UI"/>
          <w:sz w:val="24"/>
          <w:szCs w:val="24"/>
        </w:rPr>
        <w:t xml:space="preserve">is Committee </w:t>
      </w:r>
      <w:r w:rsidRPr="00217E08">
        <w:rPr>
          <w:rFonts w:ascii="Segoe UI" w:hAnsi="Segoe UI" w:cs="Segoe UI"/>
          <w:sz w:val="24"/>
          <w:szCs w:val="24"/>
        </w:rPr>
        <w:t>assessed Canada’s response to its decision as only partially satisfactory. Canada has failed to show that it has satisfied three standards:</w:t>
      </w:r>
    </w:p>
    <w:p w14:paraId="150B1917" w14:textId="77777777" w:rsidR="00350FA3" w:rsidRDefault="00350FA3" w:rsidP="00A12BFE">
      <w:pPr>
        <w:pStyle w:val="Normal1"/>
        <w:spacing w:before="100" w:after="100"/>
        <w:ind w:firstLine="720"/>
        <w:rPr>
          <w:rFonts w:ascii="Segoe UI" w:hAnsi="Segoe UI" w:cs="Segoe UI"/>
          <w:sz w:val="24"/>
          <w:szCs w:val="24"/>
        </w:rPr>
      </w:pPr>
      <w:r w:rsidRPr="00A12BFE">
        <w:rPr>
          <w:rFonts w:ascii="Segoe UI" w:hAnsi="Segoe UI" w:cs="Segoe UI"/>
          <w:sz w:val="24"/>
          <w:szCs w:val="24"/>
        </w:rPr>
        <w:t xml:space="preserve">a) inclusive interpretation of section 6(1)(a) of the </w:t>
      </w:r>
      <w:r w:rsidRPr="00A12BFE">
        <w:rPr>
          <w:rFonts w:ascii="Segoe UI" w:hAnsi="Segoe UI" w:cs="Segoe UI"/>
          <w:i/>
          <w:iCs/>
          <w:sz w:val="24"/>
          <w:szCs w:val="24"/>
        </w:rPr>
        <w:t xml:space="preserve">Indian Act </w:t>
      </w:r>
      <w:r w:rsidRPr="00A12BFE">
        <w:rPr>
          <w:rFonts w:ascii="Segoe UI" w:hAnsi="Segoe UI" w:cs="Segoe UI"/>
          <w:sz w:val="24"/>
          <w:szCs w:val="24"/>
        </w:rPr>
        <w:t xml:space="preserve">of 1985; </w:t>
      </w:r>
    </w:p>
    <w:p w14:paraId="65CE3F23" w14:textId="77777777" w:rsidR="00350FA3" w:rsidRDefault="00350FA3" w:rsidP="00A12BFE">
      <w:pPr>
        <w:pStyle w:val="Normal1"/>
        <w:spacing w:before="100" w:after="100"/>
        <w:ind w:left="720"/>
        <w:rPr>
          <w:rFonts w:ascii="Segoe UI" w:hAnsi="Segoe UI" w:cs="Segoe UI"/>
          <w:sz w:val="24"/>
          <w:szCs w:val="24"/>
        </w:rPr>
      </w:pPr>
      <w:r w:rsidRPr="00217E08">
        <w:rPr>
          <w:rFonts w:ascii="Segoe UI" w:hAnsi="Segoe UI" w:cs="Segoe UI"/>
          <w:sz w:val="24"/>
          <w:szCs w:val="24"/>
        </w:rPr>
        <w:t>b) taking steps to address residual discrimination within First Nations; and</w:t>
      </w:r>
    </w:p>
    <w:p w14:paraId="3459179E" w14:textId="77777777" w:rsidR="00350FA3" w:rsidRDefault="00350FA3" w:rsidP="00A12BFE">
      <w:pPr>
        <w:pStyle w:val="Normal1"/>
        <w:spacing w:before="100" w:after="100"/>
        <w:ind w:left="720"/>
        <w:rPr>
          <w:rFonts w:ascii="Segoe UI" w:hAnsi="Segoe UI" w:cs="Segoe UI"/>
          <w:sz w:val="24"/>
          <w:szCs w:val="24"/>
        </w:rPr>
      </w:pPr>
      <w:r w:rsidRPr="00217E08">
        <w:rPr>
          <w:rFonts w:ascii="Segoe UI" w:hAnsi="Segoe UI" w:cs="Segoe UI"/>
          <w:sz w:val="24"/>
          <w:szCs w:val="24"/>
        </w:rPr>
        <w:t xml:space="preserve">c) non-repetition. </w:t>
      </w:r>
    </w:p>
    <w:p w14:paraId="58EBC7DD" w14:textId="77777777" w:rsidR="00350FA3" w:rsidRDefault="00350FA3" w:rsidP="00A12BFE">
      <w:pPr>
        <w:pStyle w:val="Normal1"/>
        <w:spacing w:before="100" w:after="100"/>
        <w:ind w:left="-180"/>
        <w:rPr>
          <w:rFonts w:ascii="Segoe UI" w:hAnsi="Segoe UI" w:cs="Segoe UI"/>
          <w:sz w:val="24"/>
          <w:szCs w:val="24"/>
        </w:rPr>
      </w:pPr>
      <w:r>
        <w:rPr>
          <w:rFonts w:ascii="Segoe UI" w:hAnsi="Segoe UI" w:cs="Segoe UI"/>
          <w:sz w:val="24"/>
          <w:szCs w:val="24"/>
        </w:rPr>
        <w:t>This Committee</w:t>
      </w:r>
      <w:r w:rsidRPr="00217E08">
        <w:rPr>
          <w:rFonts w:ascii="Segoe UI" w:hAnsi="Segoe UI" w:cs="Segoe UI"/>
          <w:sz w:val="24"/>
          <w:szCs w:val="24"/>
        </w:rPr>
        <w:t xml:space="preserve"> asked Canada to report back by February 2023 on additional measures it has taken to satisfy these standards and provide a full and effective remedy for the discrimination. The Working Group does not know of any submitted report.</w:t>
      </w:r>
    </w:p>
    <w:p w14:paraId="685F3D5A" w14:textId="77777777" w:rsidR="00350FA3" w:rsidRPr="005E4220" w:rsidRDefault="00350FA3" w:rsidP="00F4303B">
      <w:pPr>
        <w:pStyle w:val="Normal1"/>
        <w:numPr>
          <w:ilvl w:val="0"/>
          <w:numId w:val="3"/>
        </w:numPr>
        <w:spacing w:before="100" w:after="100"/>
        <w:ind w:left="-180"/>
        <w:rPr>
          <w:rFonts w:ascii="Segoe UI" w:hAnsi="Segoe UI" w:cs="Segoe UI"/>
          <w:sz w:val="24"/>
          <w:szCs w:val="24"/>
        </w:rPr>
      </w:pPr>
      <w:r w:rsidRPr="00217E08">
        <w:rPr>
          <w:rFonts w:ascii="Segoe UI" w:hAnsi="Segoe UI" w:cs="Segoe UI"/>
          <w:sz w:val="24"/>
          <w:szCs w:val="24"/>
        </w:rPr>
        <w:t xml:space="preserve">Full reparation would include registration of all those who are entitled to status, compensation, apology, and education on the issue of sex discrimination in the </w:t>
      </w:r>
      <w:r w:rsidRPr="00217E08">
        <w:rPr>
          <w:rFonts w:ascii="Segoe UI" w:hAnsi="Segoe UI" w:cs="Segoe UI"/>
          <w:i/>
          <w:iCs/>
          <w:sz w:val="24"/>
          <w:szCs w:val="24"/>
        </w:rPr>
        <w:t>Indian Act</w:t>
      </w:r>
      <w:r w:rsidRPr="00217E08">
        <w:rPr>
          <w:rFonts w:ascii="Segoe UI" w:hAnsi="Segoe UI" w:cs="Segoe UI"/>
          <w:sz w:val="24"/>
          <w:szCs w:val="24"/>
        </w:rPr>
        <w:t xml:space="preserve">. But Crown Indigenous Relations informed the Working Group in 2020 that: “We do not currently have a mandate to negotiate on this matter.” In other words, the Government of Canada has not authorized representatives to provide the remedy directed by the Human Rights Committee. Canada’s response to its obligations under international law is wholly inadequate, especially </w:t>
      </w:r>
      <w:hyperlink r:id="rId41">
        <w:r w:rsidRPr="00217E08">
          <w:rPr>
            <w:rFonts w:ascii="Segoe UI" w:hAnsi="Segoe UI" w:cs="Segoe UI"/>
            <w:color w:val="833C0B"/>
            <w:sz w:val="24"/>
            <w:szCs w:val="24"/>
            <w:u w:val="single"/>
          </w:rPr>
          <w:t xml:space="preserve">considering Canada’s commitment to make Canadian law </w:t>
        </w:r>
        <w:r w:rsidRPr="00217E08">
          <w:rPr>
            <w:rFonts w:ascii="Segoe UI" w:hAnsi="Segoe UI" w:cs="Segoe UI"/>
            <w:color w:val="833C0B"/>
            <w:sz w:val="24"/>
            <w:szCs w:val="24"/>
            <w:u w:val="single"/>
          </w:rPr>
          <w:lastRenderedPageBreak/>
          <w:t>consistent with UNDRIP</w:t>
        </w:r>
      </w:hyperlink>
      <w:r w:rsidRPr="00217E08">
        <w:rPr>
          <w:rFonts w:ascii="Segoe UI" w:hAnsi="Segoe UI" w:cs="Segoe UI"/>
          <w:sz w:val="24"/>
          <w:szCs w:val="24"/>
        </w:rPr>
        <w:t xml:space="preserve"> and the affirmation by the </w:t>
      </w:r>
      <w:hyperlink r:id="rId42" w:history="1">
        <w:r w:rsidRPr="00217E08">
          <w:rPr>
            <w:rStyle w:val="Hyperlink"/>
            <w:rFonts w:ascii="Segoe UI" w:hAnsi="Segoe UI" w:cs="Segoe UI"/>
            <w:sz w:val="24"/>
            <w:szCs w:val="24"/>
          </w:rPr>
          <w:t>Supreme Court of Canada that UNDRIP has been incorporated into Canada’s domestic positive law</w:t>
        </w:r>
      </w:hyperlink>
      <w:r w:rsidRPr="00217E08">
        <w:rPr>
          <w:rFonts w:ascii="Segoe UI" w:hAnsi="Segoe UI" w:cs="Segoe UI"/>
          <w:i/>
          <w:iCs/>
          <w:sz w:val="24"/>
          <w:szCs w:val="24"/>
        </w:rPr>
        <w:t xml:space="preserve">. </w:t>
      </w:r>
    </w:p>
    <w:p w14:paraId="28C19E42" w14:textId="77777777" w:rsidR="00350FA3" w:rsidRPr="00F4303B" w:rsidRDefault="00350FA3" w:rsidP="00F15EEB">
      <w:pPr>
        <w:pStyle w:val="Normal1"/>
        <w:numPr>
          <w:ilvl w:val="0"/>
          <w:numId w:val="3"/>
        </w:numPr>
        <w:spacing w:before="100" w:after="100"/>
        <w:ind w:left="-180"/>
        <w:rPr>
          <w:rFonts w:ascii="Segoe UI" w:hAnsi="Segoe UI" w:cs="Segoe UI"/>
          <w:color w:val="000000"/>
          <w:sz w:val="24"/>
          <w:szCs w:val="24"/>
        </w:rPr>
      </w:pPr>
      <w:r w:rsidRPr="00217E08">
        <w:rPr>
          <w:rFonts w:ascii="Segoe UI" w:hAnsi="Segoe UI" w:cs="Segoe UI"/>
          <w:sz w:val="24"/>
          <w:szCs w:val="24"/>
        </w:rPr>
        <w:t xml:space="preserve">Canada has consistently failed to fully implement treaty body recommendations. Every time </w:t>
      </w:r>
      <w:r w:rsidRPr="00F4303B">
        <w:rPr>
          <w:rFonts w:ascii="Segoe UI" w:hAnsi="Segoe UI" w:cs="Segoe UI"/>
          <w:color w:val="000000"/>
          <w:sz w:val="24"/>
          <w:szCs w:val="24"/>
        </w:rPr>
        <w:t xml:space="preserve">Canada states that it is removing the sex discrimination from the </w:t>
      </w:r>
      <w:r w:rsidRPr="00F4303B">
        <w:rPr>
          <w:rFonts w:ascii="Segoe UI" w:hAnsi="Segoe UI" w:cs="Segoe UI"/>
          <w:i/>
          <w:iCs/>
          <w:color w:val="000000"/>
          <w:sz w:val="24"/>
          <w:szCs w:val="24"/>
        </w:rPr>
        <w:t>Indian Act</w:t>
      </w:r>
      <w:r w:rsidRPr="00F4303B">
        <w:rPr>
          <w:rFonts w:ascii="Segoe UI" w:hAnsi="Segoe UI" w:cs="Segoe UI"/>
          <w:color w:val="000000"/>
          <w:sz w:val="24"/>
          <w:szCs w:val="24"/>
        </w:rPr>
        <w:t>, it does so in a piecemeal and incomplete fashion, thus allowing discrimination to continue. The uncertainty about whether the Senate’s vital December 2025 amendments to Bill S-2 will be passed in the House of Commons signals Canada’s lack of urgency and willingness to comply with its international human rights obligations and repeated treaty body recommendations.</w:t>
      </w:r>
    </w:p>
    <w:p w14:paraId="26E1076B" w14:textId="77777777" w:rsidR="00350FA3" w:rsidRDefault="00350FA3" w:rsidP="00F15EEB">
      <w:pPr>
        <w:pStyle w:val="Normal1"/>
        <w:numPr>
          <w:ilvl w:val="0"/>
          <w:numId w:val="3"/>
        </w:numPr>
        <w:spacing w:before="100" w:after="100"/>
        <w:ind w:left="-180"/>
        <w:rPr>
          <w:rFonts w:ascii="Segoe UI" w:hAnsi="Segoe UI" w:cs="Segoe UI"/>
          <w:sz w:val="24"/>
          <w:szCs w:val="24"/>
        </w:rPr>
      </w:pPr>
      <w:r w:rsidRPr="00217E08">
        <w:rPr>
          <w:rFonts w:ascii="Segoe UI" w:hAnsi="Segoe UI" w:cs="Segoe UI"/>
          <w:color w:val="00000A"/>
          <w:sz w:val="24"/>
          <w:szCs w:val="24"/>
        </w:rPr>
        <w:t>Furthermore, there is no domestic mechanism to monitor Canada’s follow-up to concluding observations, UPR recommendations, decisions on petitions, or reports from mandate holders.</w:t>
      </w:r>
      <w:r w:rsidRPr="00217E08">
        <w:rPr>
          <w:rFonts w:ascii="Segoe UI" w:hAnsi="Segoe UI" w:cs="Segoe UI"/>
          <w:color w:val="00000A"/>
          <w:sz w:val="24"/>
          <w:szCs w:val="24"/>
          <w:vertAlign w:val="superscript"/>
        </w:rPr>
        <w:footnoteReference w:id="37"/>
      </w:r>
    </w:p>
    <w:p w14:paraId="21E66B9D" w14:textId="77777777" w:rsidR="00350FA3" w:rsidRPr="00F15EEB" w:rsidRDefault="00350FA3" w:rsidP="00F15EEB">
      <w:pPr>
        <w:pStyle w:val="Normal1"/>
        <w:spacing w:before="100" w:after="100"/>
        <w:ind w:left="-180"/>
        <w:rPr>
          <w:rFonts w:ascii="Segoe UI" w:hAnsi="Segoe UI" w:cs="Segoe UI"/>
          <w:sz w:val="24"/>
          <w:szCs w:val="24"/>
        </w:rPr>
      </w:pPr>
    </w:p>
    <w:p w14:paraId="1FBB346A" w14:textId="77777777" w:rsidR="00350FA3" w:rsidRPr="00684D7D" w:rsidRDefault="00350FA3" w:rsidP="00684D7D">
      <w:pPr>
        <w:pStyle w:val="Heading2"/>
        <w:rPr>
          <w:rFonts w:ascii="Segoe UI" w:hAnsi="Segoe UI" w:cs="Segoe UI"/>
          <w:b/>
          <w:bCs/>
          <w:i/>
          <w:iCs/>
          <w:color w:val="C45911"/>
        </w:rPr>
      </w:pPr>
      <w:bookmarkStart w:id="11" w:name="_Toc220932342"/>
      <w:r w:rsidRPr="00217E08">
        <w:rPr>
          <w:rFonts w:ascii="Segoe UI" w:hAnsi="Segoe UI" w:cs="Segoe UI"/>
          <w:b/>
          <w:bCs/>
          <w:i/>
          <w:iCs/>
          <w:color w:val="C45911"/>
        </w:rPr>
        <w:t>Matson v. Canada</w:t>
      </w:r>
      <w:bookmarkEnd w:id="11"/>
      <w:r w:rsidRPr="00217E08">
        <w:rPr>
          <w:rFonts w:ascii="Segoe UI" w:hAnsi="Segoe UI" w:cs="Segoe UI"/>
          <w:b/>
          <w:bCs/>
          <w:i/>
          <w:iCs/>
          <w:color w:val="C45911"/>
        </w:rPr>
        <w:t xml:space="preserve"> </w:t>
      </w:r>
    </w:p>
    <w:p w14:paraId="6BD679D5" w14:textId="77777777" w:rsidR="00350FA3" w:rsidRDefault="00350FA3" w:rsidP="00646814">
      <w:pPr>
        <w:pStyle w:val="Normal1"/>
        <w:numPr>
          <w:ilvl w:val="0"/>
          <w:numId w:val="3"/>
        </w:numPr>
        <w:spacing w:before="120" w:after="120"/>
        <w:ind w:left="-180"/>
        <w:rPr>
          <w:rFonts w:ascii="Segoe UI" w:hAnsi="Segoe UI" w:cs="Segoe UI"/>
          <w:sz w:val="24"/>
          <w:szCs w:val="24"/>
        </w:rPr>
      </w:pPr>
      <w:r w:rsidRPr="00217E08">
        <w:rPr>
          <w:rFonts w:ascii="Segoe UI" w:hAnsi="Segoe UI" w:cs="Segoe UI"/>
          <w:color w:val="00000A"/>
          <w:sz w:val="24"/>
          <w:szCs w:val="24"/>
        </w:rPr>
        <w:t xml:space="preserve">In 2022, the CEDAW Committee issued its </w:t>
      </w:r>
      <w:hyperlink r:id="rId43">
        <w:r w:rsidRPr="00217E08">
          <w:rPr>
            <w:rFonts w:ascii="Segoe UI" w:hAnsi="Segoe UI" w:cs="Segoe UI"/>
            <w:color w:val="833C0B"/>
            <w:sz w:val="24"/>
            <w:szCs w:val="24"/>
            <w:u w:val="single"/>
          </w:rPr>
          <w:t xml:space="preserve">decision in </w:t>
        </w:r>
      </w:hyperlink>
      <w:hyperlink r:id="rId44">
        <w:r w:rsidRPr="00217E08">
          <w:rPr>
            <w:rFonts w:ascii="Segoe UI" w:hAnsi="Segoe UI" w:cs="Segoe UI"/>
            <w:i/>
            <w:iCs/>
            <w:color w:val="833C0B"/>
            <w:sz w:val="24"/>
            <w:szCs w:val="24"/>
            <w:u w:val="single"/>
          </w:rPr>
          <w:t>Matson v. Canada</w:t>
        </w:r>
      </w:hyperlink>
      <w:r w:rsidRPr="00217E08">
        <w:rPr>
          <w:rFonts w:ascii="Segoe UI" w:hAnsi="Segoe UI" w:cs="Segoe UI"/>
          <w:color w:val="00000A"/>
          <w:sz w:val="24"/>
          <w:szCs w:val="24"/>
        </w:rPr>
        <w:t xml:space="preserve"> urging Canada to eliminate the 1985 cut-off dates in the registration provisions and take all other measures necessary to provide registration to all matrilineal descendants and patrilineal descendants on an equal basis. </w:t>
      </w:r>
      <w:hyperlink r:id="rId45">
        <w:r w:rsidRPr="00217E08">
          <w:rPr>
            <w:rFonts w:ascii="Segoe UI" w:hAnsi="Segoe UI" w:cs="Segoe UI"/>
            <w:color w:val="833C0B"/>
            <w:sz w:val="24"/>
            <w:szCs w:val="24"/>
            <w:u w:val="single"/>
          </w:rPr>
          <w:t xml:space="preserve">CEDAW concluded that the </w:t>
        </w:r>
      </w:hyperlink>
      <w:hyperlink r:id="rId46">
        <w:r w:rsidRPr="00217E08">
          <w:rPr>
            <w:rFonts w:ascii="Segoe UI" w:hAnsi="Segoe UI" w:cs="Segoe UI"/>
            <w:i/>
            <w:iCs/>
            <w:color w:val="833C0B"/>
            <w:sz w:val="24"/>
            <w:szCs w:val="24"/>
            <w:u w:val="single"/>
          </w:rPr>
          <w:t>Indian Act</w:t>
        </w:r>
      </w:hyperlink>
      <w:hyperlink r:id="rId47">
        <w:r w:rsidRPr="00217E08">
          <w:rPr>
            <w:rFonts w:ascii="Segoe UI" w:hAnsi="Segoe UI" w:cs="Segoe UI"/>
            <w:color w:val="833C0B"/>
            <w:sz w:val="24"/>
            <w:szCs w:val="24"/>
            <w:u w:val="single"/>
          </w:rPr>
          <w:t xml:space="preserve"> continues to perpetuate</w:t>
        </w:r>
      </w:hyperlink>
      <w:r w:rsidRPr="00217E08">
        <w:rPr>
          <w:rFonts w:ascii="Segoe UI" w:hAnsi="Segoe UI" w:cs="Segoe UI"/>
          <w:sz w:val="24"/>
          <w:szCs w:val="24"/>
        </w:rPr>
        <w:t xml:space="preserve"> “the differential treatment of descendants of previously disenfranchised Indigenous women, which constitutes transgenerational discrimination.”</w:t>
      </w:r>
      <w:r w:rsidRPr="00217E08">
        <w:rPr>
          <w:rFonts w:ascii="Segoe UI" w:hAnsi="Segoe UI" w:cs="Segoe UI"/>
          <w:sz w:val="24"/>
          <w:szCs w:val="24"/>
          <w:vertAlign w:val="superscript"/>
        </w:rPr>
        <w:footnoteReference w:id="38"/>
      </w:r>
    </w:p>
    <w:p w14:paraId="1E0CCA7B" w14:textId="77777777" w:rsidR="00350FA3" w:rsidRPr="00646814" w:rsidRDefault="00350FA3" w:rsidP="00646814">
      <w:pPr>
        <w:pStyle w:val="Normal1"/>
        <w:numPr>
          <w:ilvl w:val="0"/>
          <w:numId w:val="3"/>
        </w:numPr>
        <w:spacing w:before="120" w:after="120"/>
        <w:ind w:left="-180"/>
        <w:rPr>
          <w:rFonts w:ascii="Segoe UI" w:hAnsi="Segoe UI" w:cs="Segoe UI"/>
          <w:sz w:val="24"/>
          <w:szCs w:val="24"/>
        </w:rPr>
      </w:pPr>
      <w:hyperlink r:id="rId48">
        <w:r w:rsidRPr="00646814">
          <w:rPr>
            <w:rFonts w:ascii="Segoe UI" w:hAnsi="Segoe UI" w:cs="Segoe UI"/>
            <w:color w:val="833C0B"/>
            <w:sz w:val="24"/>
            <w:szCs w:val="24"/>
            <w:u w:val="single"/>
          </w:rPr>
          <w:t>Canada’s response to Jeremy Matson’s petition</w:t>
        </w:r>
      </w:hyperlink>
      <w:r w:rsidRPr="00646814">
        <w:rPr>
          <w:rFonts w:ascii="Segoe UI" w:hAnsi="Segoe UI" w:cs="Segoe UI"/>
          <w:color w:val="00000A"/>
          <w:sz w:val="24"/>
          <w:szCs w:val="24"/>
        </w:rPr>
        <w:t xml:space="preserve">, asserted that there are no sex-based inequities the </w:t>
      </w:r>
      <w:r w:rsidRPr="00646814">
        <w:rPr>
          <w:rFonts w:ascii="Segoe UI" w:hAnsi="Segoe UI" w:cs="Segoe UI"/>
          <w:i/>
          <w:iCs/>
          <w:color w:val="00000A"/>
          <w:sz w:val="24"/>
          <w:szCs w:val="24"/>
        </w:rPr>
        <w:t>Indian Act</w:t>
      </w:r>
      <w:r w:rsidRPr="00646814">
        <w:rPr>
          <w:rFonts w:ascii="Segoe UI" w:hAnsi="Segoe UI" w:cs="Segoe UI"/>
          <w:color w:val="00000A"/>
          <w:sz w:val="24"/>
          <w:szCs w:val="24"/>
        </w:rPr>
        <w:t>, which</w:t>
      </w:r>
      <w:r w:rsidRPr="00646814">
        <w:rPr>
          <w:rFonts w:ascii="Segoe UI" w:hAnsi="Segoe UI" w:cs="Segoe UI"/>
          <w:i/>
          <w:iCs/>
          <w:color w:val="00000A"/>
          <w:sz w:val="24"/>
          <w:szCs w:val="24"/>
        </w:rPr>
        <w:t xml:space="preserve"> </w:t>
      </w:r>
      <w:r w:rsidRPr="00646814">
        <w:rPr>
          <w:rFonts w:ascii="Segoe UI" w:hAnsi="Segoe UI" w:cs="Segoe UI"/>
          <w:color w:val="00000A"/>
          <w:sz w:val="24"/>
          <w:szCs w:val="24"/>
        </w:rPr>
        <w:t xml:space="preserve">is an embarrassment to Canada’s human rights record. </w:t>
      </w:r>
    </w:p>
    <w:p w14:paraId="6BC08BF3" w14:textId="77777777" w:rsidR="00350FA3" w:rsidRDefault="00350FA3" w:rsidP="00684D7D">
      <w:pPr>
        <w:pStyle w:val="Normal1"/>
        <w:numPr>
          <w:ilvl w:val="0"/>
          <w:numId w:val="3"/>
        </w:numPr>
        <w:spacing w:before="120" w:after="120"/>
        <w:ind w:left="-180"/>
        <w:rPr>
          <w:rFonts w:ascii="Segoe UI" w:hAnsi="Segoe UI" w:cs="Segoe UI"/>
          <w:sz w:val="24"/>
          <w:szCs w:val="24"/>
        </w:rPr>
      </w:pPr>
      <w:r w:rsidRPr="00217E08">
        <w:rPr>
          <w:rFonts w:ascii="Segoe UI" w:hAnsi="Segoe UI" w:cs="Segoe UI"/>
          <w:sz w:val="24"/>
          <w:szCs w:val="24"/>
        </w:rPr>
        <w:t xml:space="preserve">The Working Group is gravely concerned by Canada’s rejection of the Committee’s findings concerning communication No. 68/2014 and continued failure to address the reparation claim of Mr. Jeremy Matson in line with the </w:t>
      </w:r>
      <w:hyperlink r:id="rId49">
        <w:r w:rsidRPr="00217E08">
          <w:rPr>
            <w:rFonts w:ascii="Segoe UI" w:hAnsi="Segoe UI" w:cs="Segoe UI"/>
            <w:color w:val="833C0B"/>
            <w:sz w:val="24"/>
            <w:szCs w:val="24"/>
            <w:u w:val="single"/>
          </w:rPr>
          <w:t>views adopted by the CEDAW Committee</w:t>
        </w:r>
      </w:hyperlink>
      <w:r w:rsidRPr="00217E08">
        <w:rPr>
          <w:rFonts w:ascii="Segoe UI" w:hAnsi="Segoe UI" w:cs="Segoe UI"/>
          <w:sz w:val="24"/>
          <w:szCs w:val="24"/>
        </w:rPr>
        <w:t xml:space="preserve">. </w:t>
      </w:r>
    </w:p>
    <w:p w14:paraId="54C5DD1E" w14:textId="77777777" w:rsidR="00350FA3" w:rsidRPr="00726ED0" w:rsidRDefault="00350FA3" w:rsidP="00FA435F">
      <w:pPr>
        <w:pStyle w:val="Normal1"/>
        <w:numPr>
          <w:ilvl w:val="0"/>
          <w:numId w:val="3"/>
        </w:numPr>
        <w:spacing w:before="120" w:after="120"/>
        <w:ind w:left="-180"/>
        <w:rPr>
          <w:rFonts w:ascii="Segoe UI" w:hAnsi="Segoe UI" w:cs="Segoe UI"/>
          <w:sz w:val="24"/>
          <w:szCs w:val="24"/>
        </w:rPr>
      </w:pPr>
      <w:r w:rsidRPr="00217E08">
        <w:rPr>
          <w:rFonts w:ascii="Segoe UI" w:hAnsi="Segoe UI" w:cs="Segoe UI"/>
          <w:sz w:val="24"/>
          <w:szCs w:val="24"/>
        </w:rPr>
        <w:t xml:space="preserve">Similarly, Canada has failed to address the joint communication of several special rapporteurs in October 2023, on this same </w:t>
      </w:r>
      <w:r w:rsidRPr="005E4220">
        <w:rPr>
          <w:rFonts w:ascii="Segoe UI" w:hAnsi="Segoe UI" w:cs="Segoe UI"/>
          <w:sz w:val="24"/>
          <w:szCs w:val="24"/>
        </w:rPr>
        <w:t>issue (ALCAN/3/2023).</w:t>
      </w:r>
      <w:r>
        <w:rPr>
          <w:rFonts w:ascii="Segoe UI" w:hAnsi="Segoe UI" w:cs="Segoe UI"/>
          <w:sz w:val="24"/>
          <w:szCs w:val="24"/>
        </w:rPr>
        <w:t xml:space="preserve"> On</w:t>
      </w:r>
      <w:r w:rsidRPr="00217E08">
        <w:rPr>
          <w:rFonts w:ascii="Segoe UI" w:hAnsi="Segoe UI" w:cs="Segoe UI"/>
          <w:sz w:val="24"/>
          <w:szCs w:val="24"/>
        </w:rPr>
        <w:t xml:space="preserve"> October 27, 2023, several Special Rapporteurs issued a communication concerning the sex-based discrimination against Indigenous women and their descendants under the </w:t>
      </w:r>
      <w:r w:rsidRPr="00217E08">
        <w:rPr>
          <w:rFonts w:ascii="Segoe UI" w:hAnsi="Segoe UI" w:cs="Segoe UI"/>
          <w:i/>
          <w:iCs/>
          <w:sz w:val="24"/>
          <w:szCs w:val="24"/>
        </w:rPr>
        <w:t>Indian Act</w:t>
      </w:r>
      <w:r w:rsidRPr="00217E08">
        <w:rPr>
          <w:rFonts w:ascii="Segoe UI" w:hAnsi="Segoe UI" w:cs="Segoe UI"/>
          <w:sz w:val="24"/>
          <w:szCs w:val="24"/>
        </w:rPr>
        <w:t xml:space="preserve"> and </w:t>
      </w:r>
      <w:r w:rsidRPr="00217E08">
        <w:rPr>
          <w:rFonts w:ascii="Segoe UI" w:hAnsi="Segoe UI" w:cs="Segoe UI"/>
          <w:sz w:val="24"/>
          <w:szCs w:val="24"/>
        </w:rPr>
        <w:lastRenderedPageBreak/>
        <w:t xml:space="preserve">failure to provide an effective remedy to victims of this discrimination, in light of Canada’s response to the Matson decision. </w:t>
      </w:r>
      <w:hyperlink r:id="rId50">
        <w:r w:rsidRPr="00217E08">
          <w:rPr>
            <w:rFonts w:ascii="Segoe UI" w:hAnsi="Segoe UI" w:cs="Segoe UI"/>
            <w:color w:val="833C0B"/>
            <w:sz w:val="24"/>
            <w:szCs w:val="24"/>
            <w:u w:val="single"/>
          </w:rPr>
          <w:t>Canada’s reply of November 30, 2023</w:t>
        </w:r>
      </w:hyperlink>
      <w:r w:rsidRPr="00217E08">
        <w:rPr>
          <w:rFonts w:ascii="Segoe UI" w:hAnsi="Segoe UI" w:cs="Segoe UI"/>
          <w:sz w:val="24"/>
          <w:szCs w:val="24"/>
        </w:rPr>
        <w:t>, is yet another example of the denial and delay of rights that Indigenous women and their descendants have experienced for generations.</w:t>
      </w:r>
    </w:p>
    <w:p w14:paraId="45C09AB2" w14:textId="77777777" w:rsidR="00350FA3" w:rsidRPr="00217E08" w:rsidRDefault="00350FA3" w:rsidP="008751B8">
      <w:pPr>
        <w:pStyle w:val="Heading1"/>
        <w:rPr>
          <w:rFonts w:ascii="Segoe UI" w:hAnsi="Segoe UI" w:cs="Segoe UI"/>
        </w:rPr>
      </w:pPr>
      <w:bookmarkStart w:id="12" w:name="_Toc220932343"/>
      <w:r w:rsidRPr="00217E08">
        <w:rPr>
          <w:rFonts w:ascii="Segoe UI" w:hAnsi="Segoe UI" w:cs="Segoe UI"/>
        </w:rPr>
        <w:t xml:space="preserve">Continuing non-compliance with </w:t>
      </w:r>
      <w:r>
        <w:rPr>
          <w:rFonts w:ascii="Segoe UI" w:hAnsi="Segoe UI" w:cs="Segoe UI"/>
        </w:rPr>
        <w:t xml:space="preserve">articles 2, 3, 26 and 27 of the </w:t>
      </w:r>
      <w:r w:rsidRPr="00217E08">
        <w:rPr>
          <w:rFonts w:ascii="Segoe UI" w:hAnsi="Segoe UI" w:cs="Segoe UI"/>
        </w:rPr>
        <w:t>ICCPR and other human rights obligations</w:t>
      </w:r>
      <w:bookmarkEnd w:id="12"/>
    </w:p>
    <w:p w14:paraId="08FB6D7E" w14:textId="77777777" w:rsidR="00350FA3" w:rsidRPr="00EB75C0" w:rsidRDefault="00350FA3" w:rsidP="00EB75C0">
      <w:pPr>
        <w:pStyle w:val="Normal1"/>
        <w:numPr>
          <w:ilvl w:val="0"/>
          <w:numId w:val="3"/>
        </w:numPr>
        <w:spacing w:before="120" w:after="120"/>
        <w:ind w:left="-180"/>
        <w:rPr>
          <w:rFonts w:ascii="Segoe UI" w:hAnsi="Segoe UI" w:cs="Segoe UI"/>
          <w:sz w:val="24"/>
          <w:szCs w:val="24"/>
        </w:rPr>
      </w:pPr>
      <w:r w:rsidRPr="00217E08">
        <w:rPr>
          <w:rFonts w:ascii="Segoe UI" w:hAnsi="Segoe UI" w:cs="Segoe UI"/>
          <w:sz w:val="24"/>
          <w:szCs w:val="24"/>
        </w:rPr>
        <w:t>Now, in 2026, the Indian Act continues to discriminate against Indigenous women and their descendants</w:t>
      </w:r>
      <w:r>
        <w:rPr>
          <w:rFonts w:ascii="Segoe UI" w:hAnsi="Segoe UI" w:cs="Segoe UI"/>
          <w:sz w:val="24"/>
          <w:szCs w:val="24"/>
        </w:rPr>
        <w:t>, in violation of articles 2, 3, 26, and 27 of the Covenant</w:t>
      </w:r>
      <w:r w:rsidRPr="00217E08">
        <w:rPr>
          <w:rFonts w:ascii="Segoe UI" w:hAnsi="Segoe UI" w:cs="Segoe UI"/>
          <w:sz w:val="24"/>
          <w:szCs w:val="24"/>
        </w:rPr>
        <w:t>. The Working Group submits that the outstanding issues are:</w:t>
      </w:r>
    </w:p>
    <w:p w14:paraId="30A4318C" w14:textId="77777777" w:rsidR="00350FA3" w:rsidRPr="00217E08" w:rsidRDefault="00350FA3" w:rsidP="00BE7313">
      <w:pPr>
        <w:pStyle w:val="Normal1"/>
        <w:numPr>
          <w:ilvl w:val="0"/>
          <w:numId w:val="7"/>
        </w:numPr>
        <w:ind w:right="432"/>
        <w:rPr>
          <w:rFonts w:ascii="Segoe UI" w:hAnsi="Segoe UI" w:cs="Segoe UI"/>
          <w:sz w:val="24"/>
          <w:szCs w:val="24"/>
        </w:rPr>
      </w:pPr>
      <w:r w:rsidRPr="00217E08">
        <w:rPr>
          <w:rFonts w:ascii="Segoe UI" w:hAnsi="Segoe UI" w:cs="Segoe UI"/>
          <w:sz w:val="24"/>
          <w:szCs w:val="24"/>
        </w:rPr>
        <w:t xml:space="preserve">the discriminatory effects of the second generation cut-off, 6(2) status (“half status”) and the two-parent rule on women and their descendants; </w:t>
      </w:r>
    </w:p>
    <w:p w14:paraId="260D993C" w14:textId="77777777" w:rsidR="00350FA3" w:rsidRPr="00217E08" w:rsidRDefault="00350FA3" w:rsidP="00BE7313">
      <w:pPr>
        <w:pStyle w:val="Normal1"/>
        <w:numPr>
          <w:ilvl w:val="0"/>
          <w:numId w:val="7"/>
        </w:numPr>
        <w:ind w:right="432"/>
        <w:rPr>
          <w:rFonts w:ascii="Segoe UI" w:hAnsi="Segoe UI" w:cs="Segoe UI"/>
          <w:sz w:val="24"/>
          <w:szCs w:val="24"/>
        </w:rPr>
      </w:pPr>
      <w:r w:rsidRPr="00217E08">
        <w:rPr>
          <w:rFonts w:ascii="Segoe UI" w:hAnsi="Segoe UI" w:cs="Segoe UI"/>
          <w:sz w:val="24"/>
          <w:szCs w:val="24"/>
        </w:rPr>
        <w:t>the effect of earlier sex discrimination on following generations due to differentiation in status eligibility for those with pre- and post-1985 birth and marriage dates;</w:t>
      </w:r>
      <w:r>
        <w:rPr>
          <w:rFonts w:ascii="Segoe UI" w:hAnsi="Segoe UI" w:cs="Segoe UI"/>
          <w:sz w:val="24"/>
          <w:szCs w:val="24"/>
        </w:rPr>
        <w:t xml:space="preserve"> (the 1985 cut-off)</w:t>
      </w:r>
    </w:p>
    <w:p w14:paraId="72BC504F" w14:textId="77777777" w:rsidR="00350FA3" w:rsidRPr="00217E08" w:rsidRDefault="00350FA3" w:rsidP="00BE7313">
      <w:pPr>
        <w:pStyle w:val="Normal1"/>
        <w:numPr>
          <w:ilvl w:val="0"/>
          <w:numId w:val="7"/>
        </w:numPr>
        <w:ind w:right="432"/>
        <w:rPr>
          <w:rFonts w:ascii="Segoe UI" w:hAnsi="Segoe UI" w:cs="Segoe UI"/>
          <w:sz w:val="24"/>
          <w:szCs w:val="24"/>
        </w:rPr>
      </w:pPr>
      <w:r w:rsidRPr="00217E08">
        <w:rPr>
          <w:rFonts w:ascii="Segoe UI" w:hAnsi="Segoe UI" w:cs="Segoe UI"/>
          <w:sz w:val="24"/>
          <w:szCs w:val="24"/>
        </w:rPr>
        <w:t xml:space="preserve">the automatic removal of status from the wives and children of men who enfranchised, whether voluntarily or involuntarily; </w:t>
      </w:r>
      <w:r>
        <w:rPr>
          <w:rFonts w:ascii="Segoe UI" w:hAnsi="Segoe UI" w:cs="Segoe UI"/>
          <w:sz w:val="24"/>
          <w:szCs w:val="24"/>
        </w:rPr>
        <w:t xml:space="preserve">(the </w:t>
      </w:r>
      <w:r w:rsidRPr="00E34C62">
        <w:rPr>
          <w:rFonts w:ascii="Segoe UI" w:hAnsi="Segoe UI" w:cs="Segoe UI"/>
          <w:i/>
          <w:iCs/>
          <w:sz w:val="24"/>
          <w:szCs w:val="24"/>
        </w:rPr>
        <w:t>Nicholas</w:t>
      </w:r>
      <w:r>
        <w:rPr>
          <w:rFonts w:ascii="Segoe UI" w:hAnsi="Segoe UI" w:cs="Segoe UI"/>
          <w:sz w:val="24"/>
          <w:szCs w:val="24"/>
        </w:rPr>
        <w:t xml:space="preserve"> amendment is included in Bill S-2)</w:t>
      </w:r>
    </w:p>
    <w:p w14:paraId="3D61EBC6" w14:textId="77777777" w:rsidR="00350FA3" w:rsidRPr="00217E08" w:rsidRDefault="00350FA3" w:rsidP="00BE7313">
      <w:pPr>
        <w:pStyle w:val="Normal1"/>
        <w:numPr>
          <w:ilvl w:val="0"/>
          <w:numId w:val="7"/>
        </w:numPr>
        <w:ind w:right="432"/>
        <w:rPr>
          <w:rFonts w:ascii="Segoe UI" w:hAnsi="Segoe UI" w:cs="Segoe UI"/>
          <w:sz w:val="24"/>
          <w:szCs w:val="24"/>
        </w:rPr>
      </w:pPr>
      <w:r w:rsidRPr="00217E08">
        <w:rPr>
          <w:rFonts w:ascii="Segoe UI" w:hAnsi="Segoe UI" w:cs="Segoe UI"/>
          <w:sz w:val="24"/>
          <w:szCs w:val="24"/>
        </w:rPr>
        <w:t xml:space="preserve">the automatic transfer of women from their natal bands to their husbands’ bands; </w:t>
      </w:r>
    </w:p>
    <w:p w14:paraId="709ED52E" w14:textId="77777777" w:rsidR="00350FA3" w:rsidRPr="00217E08" w:rsidRDefault="00350FA3" w:rsidP="00BE7313">
      <w:pPr>
        <w:pStyle w:val="Normal1"/>
        <w:numPr>
          <w:ilvl w:val="0"/>
          <w:numId w:val="7"/>
        </w:numPr>
        <w:ind w:right="432"/>
        <w:rPr>
          <w:rFonts w:ascii="Segoe UI" w:hAnsi="Segoe UI" w:cs="Segoe UI"/>
          <w:sz w:val="24"/>
          <w:szCs w:val="24"/>
        </w:rPr>
      </w:pPr>
      <w:r w:rsidRPr="00217E08">
        <w:rPr>
          <w:rFonts w:ascii="Segoe UI" w:hAnsi="Segoe UI" w:cs="Segoe UI"/>
          <w:sz w:val="24"/>
          <w:szCs w:val="24"/>
        </w:rPr>
        <w:t xml:space="preserve">the loss of band membership by women and their descendants who lost or were denied status; </w:t>
      </w:r>
    </w:p>
    <w:p w14:paraId="18654624" w14:textId="77777777" w:rsidR="00350FA3" w:rsidRPr="00217E08" w:rsidRDefault="00350FA3" w:rsidP="00BE7313">
      <w:pPr>
        <w:pStyle w:val="Normal1"/>
        <w:numPr>
          <w:ilvl w:val="0"/>
          <w:numId w:val="8"/>
        </w:numPr>
        <w:ind w:right="432"/>
        <w:rPr>
          <w:rFonts w:ascii="Segoe UI" w:hAnsi="Segoe UI" w:cs="Segoe UI"/>
          <w:sz w:val="24"/>
          <w:szCs w:val="24"/>
        </w:rPr>
      </w:pPr>
      <w:r w:rsidRPr="00217E08">
        <w:rPr>
          <w:rFonts w:ascii="Segoe UI" w:hAnsi="Segoe UI" w:cs="Segoe UI"/>
          <w:sz w:val="24"/>
          <w:szCs w:val="24"/>
        </w:rPr>
        <w:t xml:space="preserve">the bar to compensation for harms caused by sex discrimination in the </w:t>
      </w:r>
      <w:r w:rsidRPr="00217E08">
        <w:rPr>
          <w:rFonts w:ascii="Segoe UI" w:hAnsi="Segoe UI" w:cs="Segoe UI"/>
          <w:i/>
          <w:iCs/>
          <w:sz w:val="24"/>
          <w:szCs w:val="24"/>
        </w:rPr>
        <w:t>Indian Act</w:t>
      </w:r>
      <w:r w:rsidRPr="00217E08">
        <w:rPr>
          <w:rFonts w:ascii="Segoe UI" w:hAnsi="Segoe UI" w:cs="Segoe UI"/>
          <w:sz w:val="24"/>
          <w:szCs w:val="24"/>
        </w:rPr>
        <w:t xml:space="preserve"> and the consequent failure to provide reparations to women and their descendants, including restoration to band membership, compensation for lost benefits, services, and entitlements, apology, and memorialization; and</w:t>
      </w:r>
    </w:p>
    <w:p w14:paraId="0040934C" w14:textId="77777777" w:rsidR="00350FA3" w:rsidRDefault="00350FA3" w:rsidP="00186EAA">
      <w:pPr>
        <w:pStyle w:val="Normal1"/>
        <w:numPr>
          <w:ilvl w:val="0"/>
          <w:numId w:val="7"/>
        </w:numPr>
        <w:ind w:right="432"/>
        <w:rPr>
          <w:rFonts w:ascii="Segoe UI" w:hAnsi="Segoe UI" w:cs="Segoe UI"/>
          <w:sz w:val="24"/>
          <w:szCs w:val="24"/>
        </w:rPr>
      </w:pPr>
      <w:r w:rsidRPr="00217E08">
        <w:rPr>
          <w:rFonts w:ascii="Segoe UI" w:hAnsi="Segoe UI" w:cs="Segoe UI"/>
          <w:sz w:val="24"/>
          <w:szCs w:val="24"/>
        </w:rPr>
        <w:t xml:space="preserve">the failure to register, and therefore actually grant status to, </w:t>
      </w:r>
      <w:hyperlink r:id="rId51">
        <w:r w:rsidRPr="00217E08">
          <w:rPr>
            <w:rFonts w:ascii="Segoe UI" w:hAnsi="Segoe UI" w:cs="Segoe UI"/>
            <w:color w:val="833C0B"/>
            <w:sz w:val="24"/>
            <w:szCs w:val="24"/>
            <w:u w:val="single"/>
          </w:rPr>
          <w:t>thousands of women and their descendants who have gained, or regained</w:t>
        </w:r>
      </w:hyperlink>
      <w:r w:rsidRPr="00217E08">
        <w:rPr>
          <w:rFonts w:ascii="Segoe UI" w:hAnsi="Segoe UI" w:cs="Segoe UI"/>
          <w:sz w:val="24"/>
          <w:szCs w:val="24"/>
        </w:rPr>
        <w:t xml:space="preserve">, entitlement to status through amendments to the </w:t>
      </w:r>
      <w:r w:rsidRPr="00217E08">
        <w:rPr>
          <w:rFonts w:ascii="Segoe UI" w:hAnsi="Segoe UI" w:cs="Segoe UI"/>
          <w:i/>
          <w:iCs/>
          <w:sz w:val="24"/>
          <w:szCs w:val="24"/>
        </w:rPr>
        <w:t>Indian Act</w:t>
      </w:r>
      <w:r w:rsidRPr="00217E08">
        <w:rPr>
          <w:rFonts w:ascii="Segoe UI" w:hAnsi="Segoe UI" w:cs="Segoe UI"/>
          <w:sz w:val="24"/>
          <w:szCs w:val="24"/>
        </w:rPr>
        <w:t xml:space="preserve"> in Bill C-31 (1985), Bill C-3 (2011), and Bill S-3 (2017), and particularly through the ‘6(1)(a) all the way’ amendment to Bill S-3 that was brought into force in August 2019.</w:t>
      </w:r>
    </w:p>
    <w:p w14:paraId="485F7146" w14:textId="77777777" w:rsidR="00350FA3" w:rsidRDefault="00350FA3" w:rsidP="00186EAA">
      <w:pPr>
        <w:pStyle w:val="Normal1"/>
        <w:ind w:left="720" w:right="432"/>
        <w:rPr>
          <w:rFonts w:ascii="Segoe UI" w:hAnsi="Segoe UI" w:cs="Segoe UI"/>
          <w:sz w:val="24"/>
          <w:szCs w:val="24"/>
        </w:rPr>
      </w:pPr>
    </w:p>
    <w:p w14:paraId="108959C9" w14:textId="77777777" w:rsidR="00350FA3" w:rsidRDefault="00350FA3" w:rsidP="00186EAA">
      <w:pPr>
        <w:pStyle w:val="Normal1"/>
        <w:numPr>
          <w:ilvl w:val="0"/>
          <w:numId w:val="3"/>
        </w:numPr>
        <w:ind w:left="142" w:right="432"/>
        <w:rPr>
          <w:rFonts w:ascii="Segoe UI" w:hAnsi="Segoe UI" w:cs="Segoe UI"/>
          <w:sz w:val="24"/>
          <w:szCs w:val="24"/>
        </w:rPr>
      </w:pPr>
      <w:r w:rsidRPr="00186EAA">
        <w:rPr>
          <w:rFonts w:ascii="Segoe UI" w:hAnsi="Segoe UI" w:cs="Segoe UI"/>
          <w:sz w:val="24"/>
          <w:szCs w:val="24"/>
        </w:rPr>
        <w:t xml:space="preserve">This submission addresses these issues under the following </w:t>
      </w:r>
      <w:r>
        <w:rPr>
          <w:rFonts w:ascii="Segoe UI" w:hAnsi="Segoe UI" w:cs="Segoe UI"/>
          <w:sz w:val="24"/>
          <w:szCs w:val="24"/>
        </w:rPr>
        <w:t>sub-</w:t>
      </w:r>
      <w:r w:rsidRPr="00186EAA">
        <w:rPr>
          <w:rFonts w:ascii="Segoe UI" w:hAnsi="Segoe UI" w:cs="Segoe UI"/>
          <w:sz w:val="24"/>
          <w:szCs w:val="24"/>
        </w:rPr>
        <w:t>headings: 1) Registration Issues, 2) Outstanding Law Reform Issues, 3) Reparations and Restoration.</w:t>
      </w:r>
    </w:p>
    <w:p w14:paraId="00461D3C" w14:textId="77777777" w:rsidR="00350FA3" w:rsidRDefault="00350FA3" w:rsidP="00C86BAF">
      <w:pPr>
        <w:pStyle w:val="Normal1"/>
        <w:ind w:left="142" w:right="432"/>
        <w:rPr>
          <w:rFonts w:ascii="Segoe UI" w:hAnsi="Segoe UI" w:cs="Segoe UI"/>
          <w:sz w:val="24"/>
          <w:szCs w:val="24"/>
        </w:rPr>
      </w:pPr>
    </w:p>
    <w:p w14:paraId="1CDC3687" w14:textId="77777777" w:rsidR="00350FA3" w:rsidRPr="006D63F7" w:rsidRDefault="00350FA3" w:rsidP="006D63F7">
      <w:pPr>
        <w:pStyle w:val="Heading2"/>
        <w:rPr>
          <w:rFonts w:ascii="Segoe UI" w:hAnsi="Segoe UI" w:cs="Segoe UI"/>
          <w:b/>
          <w:bCs/>
          <w:i/>
          <w:iCs/>
          <w:color w:val="C45911"/>
          <w:sz w:val="28"/>
          <w:szCs w:val="28"/>
        </w:rPr>
      </w:pPr>
      <w:bookmarkStart w:id="13" w:name="_Toc220932344"/>
      <w:r w:rsidRPr="006D63F7">
        <w:rPr>
          <w:rFonts w:ascii="Segoe UI" w:hAnsi="Segoe UI" w:cs="Segoe UI"/>
          <w:b/>
          <w:bCs/>
          <w:color w:val="C45911"/>
          <w:sz w:val="28"/>
          <w:szCs w:val="28"/>
        </w:rPr>
        <w:lastRenderedPageBreak/>
        <w:t>1. Registration Issues</w:t>
      </w:r>
      <w:bookmarkEnd w:id="13"/>
      <w:r w:rsidRPr="006D63F7">
        <w:rPr>
          <w:rFonts w:ascii="Segoe UI" w:hAnsi="Segoe UI" w:cs="Segoe UI"/>
          <w:b/>
          <w:bCs/>
          <w:i/>
          <w:iCs/>
          <w:color w:val="C45911"/>
          <w:sz w:val="28"/>
          <w:szCs w:val="28"/>
        </w:rPr>
        <w:t xml:space="preserve"> </w:t>
      </w:r>
    </w:p>
    <w:p w14:paraId="4724A792" w14:textId="77777777" w:rsidR="00350FA3" w:rsidRDefault="00350FA3" w:rsidP="00C86BAF">
      <w:pPr>
        <w:pStyle w:val="Normal1"/>
        <w:numPr>
          <w:ilvl w:val="0"/>
          <w:numId w:val="3"/>
        </w:numPr>
        <w:spacing w:before="120" w:after="120"/>
        <w:ind w:left="142"/>
        <w:rPr>
          <w:rFonts w:ascii="Segoe UI" w:hAnsi="Segoe UI" w:cs="Segoe UI"/>
          <w:sz w:val="24"/>
          <w:szCs w:val="24"/>
        </w:rPr>
      </w:pPr>
      <w:bookmarkStart w:id="14" w:name="_heading_h_4x9mm3grz9bm" w:colFirst="0" w:colLast="0"/>
      <w:bookmarkEnd w:id="14"/>
      <w:r w:rsidRPr="00217E08">
        <w:rPr>
          <w:rFonts w:ascii="Segoe UI" w:hAnsi="Segoe UI" w:cs="Segoe UI"/>
          <w:sz w:val="24"/>
          <w:szCs w:val="24"/>
        </w:rPr>
        <w:t xml:space="preserve">In its August 15, 2019 announcement, the Government of Canada estimated that removing the sex discrimination from the </w:t>
      </w:r>
      <w:r w:rsidRPr="00217E08">
        <w:rPr>
          <w:rFonts w:ascii="Segoe UI" w:hAnsi="Segoe UI" w:cs="Segoe UI"/>
          <w:i/>
          <w:iCs/>
          <w:sz w:val="24"/>
          <w:szCs w:val="24"/>
        </w:rPr>
        <w:t>Indian Act</w:t>
      </w:r>
      <w:r w:rsidRPr="00217E08">
        <w:rPr>
          <w:rFonts w:ascii="Segoe UI" w:hAnsi="Segoe UI" w:cs="Segoe UI"/>
          <w:sz w:val="24"/>
          <w:szCs w:val="24"/>
        </w:rPr>
        <w:t xml:space="preserve"> </w:t>
      </w:r>
      <w:hyperlink r:id="rId52">
        <w:r w:rsidRPr="00217E08">
          <w:rPr>
            <w:rFonts w:ascii="Segoe UI" w:hAnsi="Segoe UI" w:cs="Segoe UI"/>
            <w:color w:val="833C0B"/>
            <w:sz w:val="24"/>
            <w:szCs w:val="24"/>
            <w:u w:val="single"/>
          </w:rPr>
          <w:t>would newly entitle between 270,000 and 450,000 First Nations women and their descendants to Indian status</w:t>
        </w:r>
      </w:hyperlink>
      <w:r w:rsidRPr="00217E08">
        <w:rPr>
          <w:rFonts w:ascii="Segoe UI" w:hAnsi="Segoe UI" w:cs="Segoe UI"/>
          <w:sz w:val="24"/>
          <w:szCs w:val="24"/>
        </w:rPr>
        <w:t>.</w:t>
      </w:r>
    </w:p>
    <w:p w14:paraId="643D5BB0" w14:textId="77777777" w:rsidR="00350FA3" w:rsidRDefault="00350FA3" w:rsidP="00C86BAF">
      <w:pPr>
        <w:pStyle w:val="Normal1"/>
        <w:numPr>
          <w:ilvl w:val="0"/>
          <w:numId w:val="3"/>
        </w:numPr>
        <w:spacing w:before="120" w:after="120"/>
        <w:ind w:left="142"/>
        <w:rPr>
          <w:rFonts w:ascii="Segoe UI" w:hAnsi="Segoe UI" w:cs="Segoe UI"/>
          <w:sz w:val="24"/>
          <w:szCs w:val="24"/>
        </w:rPr>
      </w:pPr>
      <w:r>
        <w:rPr>
          <w:rFonts w:ascii="Segoe UI" w:hAnsi="Segoe UI" w:cs="Segoe UI"/>
          <w:sz w:val="24"/>
          <w:szCs w:val="24"/>
        </w:rPr>
        <w:t>As o</w:t>
      </w:r>
      <w:r w:rsidRPr="00217E08">
        <w:rPr>
          <w:rFonts w:ascii="Segoe UI" w:hAnsi="Segoe UI" w:cs="Segoe UI"/>
          <w:sz w:val="24"/>
          <w:szCs w:val="24"/>
        </w:rPr>
        <w:t>f June 17, 2024, the number of newly registered individuals under Bill S-3 was 55,804.</w:t>
      </w:r>
      <w:r w:rsidRPr="00217E08">
        <w:rPr>
          <w:rFonts w:ascii="Segoe UI" w:hAnsi="Segoe UI" w:cs="Segoe UI"/>
          <w:sz w:val="24"/>
          <w:szCs w:val="24"/>
          <w:vertAlign w:val="superscript"/>
        </w:rPr>
        <w:footnoteReference w:id="39"/>
      </w:r>
      <w:r w:rsidRPr="00217E08">
        <w:rPr>
          <w:rFonts w:ascii="Segoe UI" w:hAnsi="Segoe UI" w:cs="Segoe UI"/>
          <w:sz w:val="24"/>
          <w:szCs w:val="24"/>
        </w:rPr>
        <w:t xml:space="preserve"> While Indigenous Services Canada (ISC) reports that the registration process has improved, the Working Group remains concerned with</w:t>
      </w:r>
      <w:r>
        <w:rPr>
          <w:rFonts w:ascii="Segoe UI" w:hAnsi="Segoe UI" w:cs="Segoe UI"/>
          <w:sz w:val="24"/>
          <w:szCs w:val="24"/>
        </w:rPr>
        <w:t>:</w:t>
      </w:r>
    </w:p>
    <w:p w14:paraId="20F34C00" w14:textId="77777777" w:rsidR="00350FA3" w:rsidRDefault="00350FA3" w:rsidP="006C6105">
      <w:pPr>
        <w:pStyle w:val="Normal1"/>
        <w:numPr>
          <w:ilvl w:val="1"/>
          <w:numId w:val="3"/>
        </w:numPr>
        <w:spacing w:before="120" w:after="120"/>
        <w:rPr>
          <w:rFonts w:ascii="Segoe UI" w:hAnsi="Segoe UI" w:cs="Segoe UI"/>
          <w:sz w:val="24"/>
          <w:szCs w:val="24"/>
        </w:rPr>
      </w:pPr>
      <w:r w:rsidRPr="00217E08">
        <w:rPr>
          <w:rFonts w:ascii="Segoe UI" w:hAnsi="Segoe UI" w:cs="Segoe UI"/>
          <w:sz w:val="24"/>
          <w:szCs w:val="24"/>
        </w:rPr>
        <w:t xml:space="preserve">how long the registration process takes (six months to two years) and thus how long individuals continue to be denied their rights; </w:t>
      </w:r>
    </w:p>
    <w:p w14:paraId="30B76668" w14:textId="77777777" w:rsidR="00350FA3" w:rsidRDefault="00350FA3" w:rsidP="006C6105">
      <w:pPr>
        <w:pStyle w:val="Normal1"/>
        <w:numPr>
          <w:ilvl w:val="1"/>
          <w:numId w:val="3"/>
        </w:numPr>
        <w:spacing w:before="120" w:after="120"/>
        <w:rPr>
          <w:rFonts w:ascii="Segoe UI" w:hAnsi="Segoe UI" w:cs="Segoe UI"/>
          <w:sz w:val="24"/>
          <w:szCs w:val="24"/>
        </w:rPr>
      </w:pPr>
      <w:r w:rsidRPr="00217E08">
        <w:rPr>
          <w:rFonts w:ascii="Segoe UI" w:hAnsi="Segoe UI" w:cs="Segoe UI"/>
          <w:sz w:val="24"/>
          <w:szCs w:val="24"/>
        </w:rPr>
        <w:t xml:space="preserve">the lack of adequate resources to effectively deal with registration; </w:t>
      </w:r>
    </w:p>
    <w:p w14:paraId="06E0656C" w14:textId="77777777" w:rsidR="00350FA3" w:rsidRDefault="00350FA3" w:rsidP="006C6105">
      <w:pPr>
        <w:pStyle w:val="Normal1"/>
        <w:numPr>
          <w:ilvl w:val="1"/>
          <w:numId w:val="3"/>
        </w:numPr>
        <w:spacing w:before="120" w:after="120"/>
        <w:rPr>
          <w:rFonts w:ascii="Segoe UI" w:hAnsi="Segoe UI" w:cs="Segoe UI"/>
          <w:sz w:val="24"/>
          <w:szCs w:val="24"/>
        </w:rPr>
      </w:pPr>
      <w:r w:rsidRPr="00217E08">
        <w:rPr>
          <w:rFonts w:ascii="Segoe UI" w:hAnsi="Segoe UI" w:cs="Segoe UI"/>
          <w:sz w:val="24"/>
          <w:szCs w:val="24"/>
        </w:rPr>
        <w:t xml:space="preserve">the lack of adequate assistance for applicants; and </w:t>
      </w:r>
    </w:p>
    <w:p w14:paraId="699F9834" w14:textId="77777777" w:rsidR="00350FA3" w:rsidRPr="00217E08" w:rsidRDefault="00350FA3" w:rsidP="006C6105">
      <w:pPr>
        <w:pStyle w:val="Normal1"/>
        <w:numPr>
          <w:ilvl w:val="1"/>
          <w:numId w:val="3"/>
        </w:numPr>
        <w:spacing w:before="120" w:after="120"/>
        <w:rPr>
          <w:rFonts w:ascii="Segoe UI" w:hAnsi="Segoe UI" w:cs="Segoe UI"/>
          <w:sz w:val="24"/>
          <w:szCs w:val="24"/>
        </w:rPr>
      </w:pPr>
      <w:r w:rsidRPr="00217E08">
        <w:rPr>
          <w:rFonts w:ascii="Segoe UI" w:hAnsi="Segoe UI" w:cs="Segoe UI"/>
          <w:sz w:val="24"/>
          <w:szCs w:val="24"/>
        </w:rPr>
        <w:t xml:space="preserve">the lack of appropriate information dissemination to those individuals who might be eligible to register if they only knew.  </w:t>
      </w:r>
    </w:p>
    <w:p w14:paraId="2A9EF708" w14:textId="77777777" w:rsidR="00350FA3" w:rsidRPr="00217E08" w:rsidRDefault="00350FA3" w:rsidP="005D7DB7">
      <w:pPr>
        <w:pStyle w:val="Normal1"/>
        <w:numPr>
          <w:ilvl w:val="0"/>
          <w:numId w:val="3"/>
        </w:numPr>
        <w:spacing w:before="120" w:after="120"/>
        <w:ind w:left="142"/>
        <w:rPr>
          <w:rFonts w:ascii="Segoe UI" w:hAnsi="Segoe UI" w:cs="Segoe UI"/>
          <w:sz w:val="24"/>
          <w:szCs w:val="24"/>
        </w:rPr>
      </w:pPr>
      <w:r w:rsidRPr="00217E08">
        <w:rPr>
          <w:rFonts w:ascii="Segoe UI" w:hAnsi="Segoe UI" w:cs="Segoe UI"/>
          <w:sz w:val="24"/>
          <w:szCs w:val="24"/>
        </w:rPr>
        <w:t>By June 10, 2025, the federal department responsible for registration (ISC) was operating with a backlog of 12000 applications, nearly 1,500 of which had been delayed for over two years.</w:t>
      </w:r>
      <w:r w:rsidRPr="00217E08">
        <w:rPr>
          <w:rFonts w:ascii="Segoe UI" w:hAnsi="Segoe UI" w:cs="Segoe UI"/>
          <w:sz w:val="24"/>
          <w:szCs w:val="24"/>
          <w:vertAlign w:val="superscript"/>
        </w:rPr>
        <w:footnoteReference w:id="40"/>
      </w:r>
      <w:r w:rsidRPr="00217E08">
        <w:rPr>
          <w:rFonts w:ascii="Segoe UI" w:hAnsi="Segoe UI" w:cs="Segoe UI"/>
          <w:sz w:val="24"/>
          <w:szCs w:val="24"/>
        </w:rPr>
        <w:t xml:space="preserve"> This same report found that community-based processing centres, a core element of ISC’s mandate to gradually transfer power to First Nations communities, receive only $5,000 annually to staff the position of registration administrator, a number that has not changed since 1994.</w:t>
      </w:r>
      <w:r>
        <w:rPr>
          <w:rStyle w:val="FootnoteReference"/>
          <w:rFonts w:ascii="Segoe UI" w:hAnsi="Segoe UI" w:cs="Segoe UI"/>
          <w:sz w:val="24"/>
          <w:szCs w:val="24"/>
        </w:rPr>
        <w:footnoteReference w:id="41"/>
      </w:r>
      <w:r w:rsidRPr="00217E08">
        <w:rPr>
          <w:rFonts w:ascii="Segoe UI" w:hAnsi="Segoe UI" w:cs="Segoe UI"/>
          <w:sz w:val="24"/>
          <w:szCs w:val="24"/>
        </w:rPr>
        <w:t xml:space="preserve"> In order to properly facilitate the expanded recognition of status holders, which will increase should Bill S-2 pass successfully, this funding must increase (this was also stated by </w:t>
      </w:r>
      <w:hyperlink r:id="rId53">
        <w:r w:rsidRPr="00217E08">
          <w:rPr>
            <w:rFonts w:ascii="Segoe UI" w:hAnsi="Segoe UI" w:cs="Segoe UI"/>
            <w:color w:val="1155CC"/>
            <w:sz w:val="24"/>
            <w:szCs w:val="24"/>
            <w:u w:val="single"/>
          </w:rPr>
          <w:t>Canada’s Auditor General</w:t>
        </w:r>
      </w:hyperlink>
      <w:r w:rsidRPr="00217E08">
        <w:rPr>
          <w:rFonts w:ascii="Segoe UI" w:hAnsi="Segoe UI" w:cs="Segoe UI"/>
          <w:sz w:val="24"/>
          <w:szCs w:val="24"/>
        </w:rPr>
        <w:t xml:space="preserve"> in 2025). The underfunding of ISC and community-based processing centres has also been cited as a concern relating to the passing of Bill S-2.</w:t>
      </w:r>
      <w:r w:rsidRPr="00217E08">
        <w:rPr>
          <w:rFonts w:ascii="Segoe UI" w:hAnsi="Segoe UI" w:cs="Segoe UI"/>
          <w:sz w:val="24"/>
          <w:szCs w:val="24"/>
          <w:vertAlign w:val="superscript"/>
        </w:rPr>
        <w:footnoteReference w:id="42"/>
      </w:r>
      <w:r w:rsidRPr="00217E08">
        <w:rPr>
          <w:rFonts w:ascii="Segoe UI" w:hAnsi="Segoe UI" w:cs="Segoe UI"/>
          <w:sz w:val="24"/>
          <w:szCs w:val="24"/>
        </w:rPr>
        <w:t xml:space="preserve"> As of the Auditor General’s report in June 2025, ISC missed their service standard 6-month processing period 80% of the time.</w:t>
      </w:r>
      <w:r w:rsidRPr="00217E08">
        <w:rPr>
          <w:rFonts w:ascii="Segoe UI" w:hAnsi="Segoe UI" w:cs="Segoe UI"/>
          <w:sz w:val="24"/>
          <w:szCs w:val="24"/>
          <w:vertAlign w:val="superscript"/>
        </w:rPr>
        <w:footnoteReference w:id="43"/>
      </w:r>
      <w:r w:rsidRPr="00217E08">
        <w:rPr>
          <w:rFonts w:ascii="Segoe UI" w:hAnsi="Segoe UI" w:cs="Segoe UI"/>
          <w:sz w:val="24"/>
          <w:szCs w:val="24"/>
        </w:rPr>
        <w:t xml:space="preserve"> </w:t>
      </w:r>
    </w:p>
    <w:p w14:paraId="2F77B637" w14:textId="77777777" w:rsidR="00350FA3" w:rsidRPr="00217E08" w:rsidRDefault="00350FA3" w:rsidP="005D7DB7">
      <w:pPr>
        <w:pStyle w:val="Normal1"/>
        <w:numPr>
          <w:ilvl w:val="0"/>
          <w:numId w:val="3"/>
        </w:numPr>
        <w:spacing w:before="120" w:after="120"/>
        <w:ind w:left="142"/>
        <w:rPr>
          <w:rFonts w:ascii="Segoe UI" w:hAnsi="Segoe UI" w:cs="Segoe UI"/>
          <w:sz w:val="24"/>
          <w:szCs w:val="24"/>
        </w:rPr>
      </w:pPr>
      <w:r w:rsidRPr="00217E08">
        <w:rPr>
          <w:rFonts w:ascii="Segoe UI" w:hAnsi="Segoe UI" w:cs="Segoe UI"/>
          <w:sz w:val="24"/>
          <w:szCs w:val="24"/>
        </w:rPr>
        <w:t xml:space="preserve">Unless the women and their descendants are registered, the changes to the law that came in 2011, 2017, and 2019 (and, hopefully, 2026) are without meaning. Registration is fundamental to women and to their descendants for accessing rights and entitlements, including treaty payments. For many it opens the door to regain lost culture, voice, and belonging. There is still no effective plan in place to ensure that </w:t>
      </w:r>
      <w:r w:rsidRPr="00217E08">
        <w:rPr>
          <w:rFonts w:ascii="Segoe UI" w:hAnsi="Segoe UI" w:cs="Segoe UI"/>
          <w:sz w:val="24"/>
          <w:szCs w:val="24"/>
        </w:rPr>
        <w:lastRenderedPageBreak/>
        <w:t xml:space="preserve">women and their descendants know about their new entitlements, and to handle increased applications. </w:t>
      </w:r>
    </w:p>
    <w:p w14:paraId="1E961A53" w14:textId="77777777" w:rsidR="00350FA3" w:rsidRPr="00217E08" w:rsidRDefault="00350FA3" w:rsidP="005D7DB7">
      <w:pPr>
        <w:pStyle w:val="Normal1"/>
        <w:numPr>
          <w:ilvl w:val="0"/>
          <w:numId w:val="3"/>
        </w:numPr>
        <w:spacing w:before="120" w:after="120"/>
        <w:ind w:left="142"/>
        <w:rPr>
          <w:rFonts w:ascii="Segoe UI" w:hAnsi="Segoe UI" w:cs="Segoe UI"/>
          <w:sz w:val="24"/>
          <w:szCs w:val="24"/>
        </w:rPr>
      </w:pPr>
      <w:r w:rsidRPr="00217E08">
        <w:rPr>
          <w:rFonts w:ascii="Segoe UI" w:hAnsi="Segoe UI" w:cs="Segoe UI"/>
          <w:sz w:val="24"/>
          <w:szCs w:val="24"/>
        </w:rPr>
        <w:t xml:space="preserve">In June 2022, the Standing Senate Committee on Aboriginal Peoples released a report entitled </w:t>
      </w:r>
      <w:hyperlink r:id="rId54">
        <w:r w:rsidRPr="00217E08">
          <w:rPr>
            <w:rFonts w:ascii="Segoe UI" w:hAnsi="Segoe UI" w:cs="Segoe UI"/>
            <w:i/>
            <w:iCs/>
            <w:color w:val="833C0B"/>
            <w:sz w:val="24"/>
            <w:szCs w:val="24"/>
            <w:u w:val="single"/>
          </w:rPr>
          <w:t>Make it Stop! Ending the remaining discrimination in Indian registration</w:t>
        </w:r>
      </w:hyperlink>
      <w:r w:rsidRPr="00217E08">
        <w:rPr>
          <w:rFonts w:ascii="Segoe UI" w:hAnsi="Segoe UI" w:cs="Segoe UI"/>
          <w:sz w:val="24"/>
          <w:szCs w:val="24"/>
        </w:rPr>
        <w:t>, including nine comprehensive recommendations.</w:t>
      </w:r>
    </w:p>
    <w:p w14:paraId="7F7C9A6C" w14:textId="77777777" w:rsidR="00350FA3" w:rsidRDefault="00350FA3" w:rsidP="005D7DB7">
      <w:pPr>
        <w:pStyle w:val="Normal1"/>
        <w:numPr>
          <w:ilvl w:val="0"/>
          <w:numId w:val="3"/>
        </w:numPr>
        <w:spacing w:before="120" w:after="120"/>
        <w:ind w:left="142"/>
        <w:rPr>
          <w:rFonts w:ascii="Segoe UI" w:hAnsi="Segoe UI" w:cs="Segoe UI"/>
          <w:sz w:val="24"/>
          <w:szCs w:val="24"/>
        </w:rPr>
      </w:pPr>
      <w:r w:rsidRPr="00217E08">
        <w:rPr>
          <w:rFonts w:ascii="Segoe UI" w:hAnsi="Segoe UI" w:cs="Segoe UI"/>
          <w:sz w:val="24"/>
          <w:szCs w:val="24"/>
        </w:rPr>
        <w:t>Regarding the registration process, the Senate Committee made recommendations that the Government of Canada</w:t>
      </w:r>
      <w:r>
        <w:rPr>
          <w:rFonts w:ascii="Segoe UI" w:hAnsi="Segoe UI" w:cs="Segoe UI"/>
          <w:sz w:val="24"/>
          <w:szCs w:val="24"/>
        </w:rPr>
        <w:t>:</w:t>
      </w:r>
    </w:p>
    <w:p w14:paraId="6A3D0AE2" w14:textId="77777777" w:rsidR="00350FA3" w:rsidRDefault="00350FA3" w:rsidP="006C6105">
      <w:pPr>
        <w:pStyle w:val="Normal1"/>
        <w:numPr>
          <w:ilvl w:val="1"/>
          <w:numId w:val="3"/>
        </w:numPr>
        <w:spacing w:before="120" w:after="120"/>
        <w:rPr>
          <w:rFonts w:ascii="Segoe UI" w:hAnsi="Segoe UI" w:cs="Segoe UI"/>
          <w:sz w:val="24"/>
          <w:szCs w:val="24"/>
        </w:rPr>
      </w:pPr>
      <w:r w:rsidRPr="00217E08">
        <w:rPr>
          <w:rFonts w:ascii="Segoe UI" w:hAnsi="Segoe UI" w:cs="Segoe UI"/>
          <w:sz w:val="24"/>
          <w:szCs w:val="24"/>
        </w:rPr>
        <w:t xml:space="preserve">simplify the process, </w:t>
      </w:r>
    </w:p>
    <w:p w14:paraId="42D75E49" w14:textId="77777777" w:rsidR="00350FA3" w:rsidRDefault="00350FA3" w:rsidP="006C6105">
      <w:pPr>
        <w:pStyle w:val="Normal1"/>
        <w:numPr>
          <w:ilvl w:val="1"/>
          <w:numId w:val="3"/>
        </w:numPr>
        <w:spacing w:before="120" w:after="120"/>
        <w:rPr>
          <w:rFonts w:ascii="Segoe UI" w:hAnsi="Segoe UI" w:cs="Segoe UI"/>
          <w:sz w:val="24"/>
          <w:szCs w:val="24"/>
        </w:rPr>
      </w:pPr>
      <w:r w:rsidRPr="00217E08">
        <w:rPr>
          <w:rFonts w:ascii="Segoe UI" w:hAnsi="Segoe UI" w:cs="Segoe UI"/>
          <w:sz w:val="24"/>
          <w:szCs w:val="24"/>
        </w:rPr>
        <w:t xml:space="preserve">give additional assistance to applicants, </w:t>
      </w:r>
    </w:p>
    <w:p w14:paraId="5B48FCB8" w14:textId="77777777" w:rsidR="00350FA3" w:rsidRDefault="00350FA3" w:rsidP="006C6105">
      <w:pPr>
        <w:pStyle w:val="Normal1"/>
        <w:numPr>
          <w:ilvl w:val="1"/>
          <w:numId w:val="3"/>
        </w:numPr>
        <w:spacing w:before="120" w:after="120"/>
        <w:rPr>
          <w:rFonts w:ascii="Segoe UI" w:hAnsi="Segoe UI" w:cs="Segoe UI"/>
          <w:sz w:val="24"/>
          <w:szCs w:val="24"/>
        </w:rPr>
      </w:pPr>
      <w:r w:rsidRPr="00217E08">
        <w:rPr>
          <w:rFonts w:ascii="Segoe UI" w:hAnsi="Segoe UI" w:cs="Segoe UI"/>
          <w:sz w:val="24"/>
          <w:szCs w:val="24"/>
        </w:rPr>
        <w:t xml:space="preserve">establish an effective public awareness campaign, </w:t>
      </w:r>
    </w:p>
    <w:p w14:paraId="1A1415C2" w14:textId="77777777" w:rsidR="00350FA3" w:rsidRDefault="00350FA3" w:rsidP="006C6105">
      <w:pPr>
        <w:pStyle w:val="Normal1"/>
        <w:numPr>
          <w:ilvl w:val="1"/>
          <w:numId w:val="3"/>
        </w:numPr>
        <w:spacing w:before="120" w:after="120"/>
        <w:rPr>
          <w:rFonts w:ascii="Segoe UI" w:hAnsi="Segoe UI" w:cs="Segoe UI"/>
          <w:sz w:val="24"/>
          <w:szCs w:val="24"/>
        </w:rPr>
      </w:pPr>
      <w:r w:rsidRPr="00217E08">
        <w:rPr>
          <w:rFonts w:ascii="Segoe UI" w:hAnsi="Segoe UI" w:cs="Segoe UI"/>
          <w:sz w:val="24"/>
          <w:szCs w:val="24"/>
        </w:rPr>
        <w:t xml:space="preserve">set a ten-day service standard, and </w:t>
      </w:r>
    </w:p>
    <w:p w14:paraId="0F937112" w14:textId="77777777" w:rsidR="00350FA3" w:rsidRDefault="00350FA3" w:rsidP="006C6105">
      <w:pPr>
        <w:pStyle w:val="Normal1"/>
        <w:numPr>
          <w:ilvl w:val="1"/>
          <w:numId w:val="3"/>
        </w:numPr>
        <w:spacing w:before="120" w:after="120"/>
        <w:rPr>
          <w:rFonts w:ascii="Segoe UI" w:hAnsi="Segoe UI" w:cs="Segoe UI"/>
          <w:sz w:val="24"/>
          <w:szCs w:val="24"/>
        </w:rPr>
      </w:pPr>
      <w:r w:rsidRPr="00217E08">
        <w:rPr>
          <w:rFonts w:ascii="Segoe UI" w:hAnsi="Segoe UI" w:cs="Segoe UI"/>
          <w:sz w:val="24"/>
          <w:szCs w:val="24"/>
        </w:rPr>
        <w:t xml:space="preserve">establish an independent registration review panel.  </w:t>
      </w:r>
    </w:p>
    <w:p w14:paraId="26657EDB" w14:textId="77777777" w:rsidR="00350FA3" w:rsidRPr="00217E08" w:rsidRDefault="00350FA3" w:rsidP="006C6105">
      <w:pPr>
        <w:pStyle w:val="Normal1"/>
        <w:spacing w:before="120" w:after="120"/>
        <w:rPr>
          <w:rFonts w:ascii="Segoe UI" w:hAnsi="Segoe UI" w:cs="Segoe UI"/>
          <w:sz w:val="24"/>
          <w:szCs w:val="24"/>
        </w:rPr>
      </w:pPr>
      <w:r w:rsidRPr="00217E08">
        <w:rPr>
          <w:rFonts w:ascii="Segoe UI" w:hAnsi="Segoe UI" w:cs="Segoe UI"/>
          <w:sz w:val="24"/>
          <w:szCs w:val="24"/>
        </w:rPr>
        <w:t xml:space="preserve">In addition, the Senate Committee recommended that there be oversight of the registration process, and a study led by the Office of the Auditor General of Canada. To date, no action has been taken on these recommendations. </w:t>
      </w:r>
    </w:p>
    <w:p w14:paraId="1EC05DB2" w14:textId="77777777" w:rsidR="00350FA3" w:rsidRDefault="00350FA3" w:rsidP="006C6105">
      <w:pPr>
        <w:pStyle w:val="Normal1"/>
        <w:numPr>
          <w:ilvl w:val="0"/>
          <w:numId w:val="3"/>
        </w:numPr>
        <w:spacing w:before="120" w:after="120"/>
        <w:ind w:left="142"/>
        <w:rPr>
          <w:rFonts w:ascii="Segoe UI" w:hAnsi="Segoe UI" w:cs="Segoe UI"/>
          <w:sz w:val="24"/>
          <w:szCs w:val="24"/>
        </w:rPr>
      </w:pPr>
      <w:r w:rsidRPr="00217E08">
        <w:rPr>
          <w:rFonts w:ascii="Segoe UI" w:hAnsi="Segoe UI" w:cs="Segoe UI"/>
          <w:sz w:val="24"/>
          <w:szCs w:val="24"/>
        </w:rPr>
        <w:t>Actually getting the women and their descendants registered remains a key issue. It is registration that makes any legislative reform meaningful.</w:t>
      </w:r>
    </w:p>
    <w:p w14:paraId="54D729BD" w14:textId="77777777" w:rsidR="00350FA3" w:rsidRPr="00526697" w:rsidRDefault="00350FA3" w:rsidP="00526697">
      <w:pPr>
        <w:pStyle w:val="Heading3"/>
        <w:ind w:firstLine="142"/>
        <w:rPr>
          <w:rFonts w:ascii="Segoe UI" w:hAnsi="Segoe UI" w:cs="Segoe UI"/>
          <w:b/>
          <w:bCs/>
          <w:i/>
          <w:iCs/>
          <w:color w:val="C45911"/>
          <w:sz w:val="28"/>
          <w:szCs w:val="28"/>
          <w:lang w:val="en-CA"/>
        </w:rPr>
      </w:pPr>
      <w:bookmarkStart w:id="15" w:name="_Toc220932345"/>
      <w:r w:rsidRPr="00526697">
        <w:rPr>
          <w:rFonts w:ascii="Segoe UI" w:hAnsi="Segoe UI" w:cs="Segoe UI"/>
          <w:b/>
          <w:bCs/>
          <w:i/>
          <w:iCs/>
          <w:color w:val="C45911"/>
          <w:sz w:val="28"/>
          <w:szCs w:val="28"/>
          <w:lang w:val="en-CA"/>
        </w:rPr>
        <w:t>Loss of Band Membership</w:t>
      </w:r>
      <w:bookmarkEnd w:id="15"/>
    </w:p>
    <w:p w14:paraId="5D691AB7" w14:textId="77777777" w:rsidR="00350FA3" w:rsidRPr="00AD61B5" w:rsidRDefault="00350FA3" w:rsidP="005E6FCE">
      <w:pPr>
        <w:pStyle w:val="Normal1"/>
        <w:numPr>
          <w:ilvl w:val="0"/>
          <w:numId w:val="3"/>
        </w:numPr>
        <w:spacing w:before="120" w:after="120"/>
        <w:ind w:left="142"/>
        <w:rPr>
          <w:rFonts w:ascii="Segoe UI" w:hAnsi="Segoe UI" w:cs="Segoe UI"/>
          <w:lang w:val="en-CA"/>
        </w:rPr>
      </w:pPr>
      <w:r w:rsidRPr="00133F92">
        <w:rPr>
          <w:rFonts w:ascii="Segoe UI" w:hAnsi="Segoe UI" w:cs="Segoe UI"/>
          <w:sz w:val="24"/>
          <w:szCs w:val="24"/>
          <w:lang w:val="en-CA"/>
        </w:rPr>
        <w:t>Women who lost membership in their natal bands and were transferred automatically to membership in their husbands</w:t>
      </w:r>
      <w:r w:rsidRPr="00612688">
        <w:rPr>
          <w:rFonts w:ascii="Segoe UI" w:hAnsi="Segoe UI" w:cs="Segoe UI"/>
          <w:sz w:val="24"/>
          <w:szCs w:val="24"/>
          <w:lang w:val="en-CA"/>
        </w:rPr>
        <w:t>’</w:t>
      </w:r>
      <w:r w:rsidRPr="00133F92">
        <w:rPr>
          <w:rFonts w:ascii="Segoe UI" w:hAnsi="Segoe UI" w:cs="Segoe UI"/>
          <w:sz w:val="24"/>
          <w:szCs w:val="24"/>
          <w:lang w:val="en-CA"/>
        </w:rPr>
        <w:t xml:space="preserve"> bands lost familial and community connections, and access to their traditional territories, culture and language</w:t>
      </w:r>
      <w:r w:rsidRPr="00AD61B5">
        <w:rPr>
          <w:rFonts w:ascii="Segoe UI" w:hAnsi="Segoe UI" w:cs="Segoe UI"/>
          <w:lang w:val="en-CA"/>
        </w:rPr>
        <w:t>.</w:t>
      </w:r>
    </w:p>
    <w:p w14:paraId="2432BD44" w14:textId="77777777" w:rsidR="00350FA3" w:rsidRPr="00133F92" w:rsidRDefault="00350FA3" w:rsidP="000C43D6">
      <w:pPr>
        <w:pStyle w:val="Normal1"/>
        <w:numPr>
          <w:ilvl w:val="0"/>
          <w:numId w:val="3"/>
        </w:numPr>
        <w:spacing w:before="120" w:after="120"/>
        <w:rPr>
          <w:rFonts w:ascii="Segoe UI" w:hAnsi="Segoe UI" w:cs="Segoe UI"/>
          <w:sz w:val="24"/>
          <w:szCs w:val="24"/>
          <w:lang w:val="en-CA"/>
        </w:rPr>
      </w:pPr>
      <w:r w:rsidRPr="00133F92">
        <w:rPr>
          <w:rFonts w:ascii="Segoe UI" w:hAnsi="Segoe UI" w:cs="Segoe UI"/>
          <w:sz w:val="24"/>
          <w:szCs w:val="24"/>
          <w:lang w:val="en-CA"/>
        </w:rPr>
        <w:t>Bill S-2</w:t>
      </w:r>
      <w:r>
        <w:rPr>
          <w:rFonts w:ascii="Segoe UI" w:hAnsi="Segoe UI" w:cs="Segoe UI"/>
          <w:sz w:val="24"/>
          <w:szCs w:val="24"/>
          <w:lang w:val="en-CA"/>
        </w:rPr>
        <w:t xml:space="preserve"> </w:t>
      </w:r>
      <w:r w:rsidRPr="00133F92">
        <w:rPr>
          <w:rFonts w:ascii="Segoe UI" w:hAnsi="Segoe UI" w:cs="Segoe UI"/>
          <w:sz w:val="24"/>
          <w:szCs w:val="24"/>
          <w:lang w:val="en-CA"/>
        </w:rPr>
        <w:t>provides a new legal mechanism that would allow those women who lost the right to be members of their natal band prior to 1985, because they were transferred to their husband</w:t>
      </w:r>
      <w:r w:rsidRPr="00612688">
        <w:rPr>
          <w:rFonts w:ascii="Segoe UI" w:hAnsi="Segoe UI" w:cs="Segoe UI"/>
          <w:sz w:val="24"/>
          <w:szCs w:val="24"/>
          <w:lang w:val="en-CA"/>
        </w:rPr>
        <w:t>’</w:t>
      </w:r>
      <w:r w:rsidRPr="00133F92">
        <w:rPr>
          <w:rFonts w:ascii="Segoe UI" w:hAnsi="Segoe UI" w:cs="Segoe UI"/>
          <w:sz w:val="24"/>
          <w:szCs w:val="24"/>
          <w:lang w:val="en-CA"/>
        </w:rPr>
        <w:t>s band, to apply to have their membership in their natal band restored. The new mechanism and associated policies must ensure that it is easy to trigger this return. The Working Group fully supports th</w:t>
      </w:r>
      <w:r>
        <w:rPr>
          <w:rFonts w:ascii="Segoe UI" w:hAnsi="Segoe UI" w:cs="Segoe UI"/>
          <w:sz w:val="24"/>
          <w:szCs w:val="24"/>
          <w:lang w:val="en-CA"/>
        </w:rPr>
        <w:t>e intent of this</w:t>
      </w:r>
      <w:r w:rsidRPr="00133F92">
        <w:rPr>
          <w:rFonts w:ascii="Segoe UI" w:hAnsi="Segoe UI" w:cs="Segoe UI"/>
          <w:sz w:val="24"/>
          <w:szCs w:val="24"/>
          <w:lang w:val="en-CA"/>
        </w:rPr>
        <w:t xml:space="preserve"> </w:t>
      </w:r>
      <w:r>
        <w:rPr>
          <w:rFonts w:ascii="Segoe UI" w:hAnsi="Segoe UI" w:cs="Segoe UI"/>
          <w:sz w:val="24"/>
          <w:szCs w:val="24"/>
          <w:lang w:val="en-CA"/>
        </w:rPr>
        <w:t>new provision.</w:t>
      </w:r>
    </w:p>
    <w:p w14:paraId="4993AAED" w14:textId="77777777" w:rsidR="00350FA3" w:rsidRPr="00133F92" w:rsidRDefault="00350FA3" w:rsidP="000C43D6">
      <w:pPr>
        <w:pStyle w:val="Normal1"/>
        <w:numPr>
          <w:ilvl w:val="0"/>
          <w:numId w:val="3"/>
        </w:numPr>
        <w:spacing w:before="120" w:after="120"/>
        <w:ind w:left="142"/>
        <w:rPr>
          <w:rFonts w:ascii="Segoe UI" w:hAnsi="Segoe UI" w:cs="Segoe UI"/>
          <w:sz w:val="24"/>
          <w:szCs w:val="24"/>
          <w:lang w:val="en-CA"/>
        </w:rPr>
      </w:pPr>
      <w:r w:rsidRPr="00133F92">
        <w:rPr>
          <w:rFonts w:ascii="Segoe UI" w:hAnsi="Segoe UI" w:cs="Segoe UI"/>
          <w:sz w:val="24"/>
          <w:szCs w:val="24"/>
          <w:lang w:val="en-CA"/>
        </w:rPr>
        <w:t xml:space="preserve">However, there are two outstanding issues. First, the Working Group notes that ISC maintains (see </w:t>
      </w:r>
      <w:hyperlink r:id="rId55" w:history="1">
        <w:r w:rsidRPr="00133F92">
          <w:rPr>
            <w:rStyle w:val="Hyperlink"/>
            <w:rFonts w:ascii="Segoe UI" w:hAnsi="Segoe UI" w:cs="Segoe UI"/>
            <w:sz w:val="24"/>
            <w:szCs w:val="24"/>
            <w:lang w:val="en-CA"/>
          </w:rPr>
          <w:t>ISC Rights-Holders Engagement Kit</w:t>
        </w:r>
      </w:hyperlink>
      <w:r w:rsidRPr="00133F92">
        <w:rPr>
          <w:rFonts w:ascii="Segoe UI" w:hAnsi="Segoe UI" w:cs="Segoe UI"/>
          <w:sz w:val="24"/>
          <w:szCs w:val="24"/>
          <w:lang w:val="en-CA"/>
        </w:rPr>
        <w:t xml:space="preserve">) that section 10 bands, that have adopted their own membership codes, can, on the face of the law, refuse to accept a requested transfer of a woman back to her natal band. This hands-off approach by the Government of Canada could permit section 10 bands to perpetuate the same sex discrimination that women have experienced through the </w:t>
      </w:r>
      <w:r w:rsidRPr="00133F92">
        <w:rPr>
          <w:rFonts w:ascii="Segoe UI" w:hAnsi="Segoe UI" w:cs="Segoe UI"/>
          <w:i/>
          <w:iCs/>
          <w:sz w:val="24"/>
          <w:szCs w:val="24"/>
          <w:lang w:val="en-CA"/>
        </w:rPr>
        <w:t>Indian Act</w:t>
      </w:r>
      <w:r w:rsidRPr="00133F92">
        <w:rPr>
          <w:rFonts w:ascii="Segoe UI" w:hAnsi="Segoe UI" w:cs="Segoe UI"/>
          <w:sz w:val="24"/>
          <w:szCs w:val="24"/>
          <w:lang w:val="en-CA"/>
        </w:rPr>
        <w:t xml:space="preserve">, even though both the Government and the bands are constrained from discriminating based on sex by the </w:t>
      </w:r>
      <w:r w:rsidRPr="00133F92">
        <w:rPr>
          <w:rFonts w:ascii="Segoe UI" w:hAnsi="Segoe UI" w:cs="Segoe UI"/>
          <w:i/>
          <w:iCs/>
          <w:sz w:val="24"/>
          <w:szCs w:val="24"/>
          <w:lang w:val="en-CA"/>
        </w:rPr>
        <w:t>Canadian Human Rights Act</w:t>
      </w:r>
      <w:r w:rsidRPr="00133F92">
        <w:rPr>
          <w:rFonts w:ascii="Segoe UI" w:hAnsi="Segoe UI" w:cs="Segoe UI"/>
          <w:sz w:val="24"/>
          <w:szCs w:val="24"/>
          <w:lang w:val="en-CA"/>
        </w:rPr>
        <w:t xml:space="preserve">, s. 15 of the Charter and Articles 9, 44 and 22 of the </w:t>
      </w:r>
      <w:r w:rsidRPr="00133F92">
        <w:rPr>
          <w:rFonts w:ascii="Segoe UI" w:hAnsi="Segoe UI" w:cs="Segoe UI"/>
          <w:i/>
          <w:iCs/>
          <w:sz w:val="24"/>
          <w:szCs w:val="24"/>
          <w:lang w:val="en-CA"/>
        </w:rPr>
        <w:t>United Nations Declaration on the Rights of Indigenous Peoples</w:t>
      </w:r>
      <w:r w:rsidRPr="00133F92">
        <w:rPr>
          <w:rFonts w:ascii="Segoe UI" w:hAnsi="Segoe UI" w:cs="Segoe UI"/>
          <w:sz w:val="24"/>
          <w:szCs w:val="24"/>
          <w:lang w:val="en-CA"/>
        </w:rPr>
        <w:t xml:space="preserve"> </w:t>
      </w:r>
      <w:r w:rsidRPr="00133F92">
        <w:rPr>
          <w:rFonts w:ascii="Segoe UI" w:hAnsi="Segoe UI" w:cs="Segoe UI"/>
          <w:sz w:val="24"/>
          <w:szCs w:val="24"/>
          <w:lang w:val="en-CA"/>
        </w:rPr>
        <w:lastRenderedPageBreak/>
        <w:t>and</w:t>
      </w:r>
      <w:r w:rsidRPr="00612688">
        <w:rPr>
          <w:rFonts w:ascii="Segoe UI" w:hAnsi="Segoe UI" w:cs="Segoe UI"/>
          <w:sz w:val="24"/>
          <w:szCs w:val="24"/>
          <w:lang w:val="en-CA"/>
        </w:rPr>
        <w:t> </w:t>
      </w:r>
      <w:r w:rsidRPr="00133F92">
        <w:rPr>
          <w:rFonts w:ascii="Segoe UI" w:hAnsi="Segoe UI" w:cs="Segoe UI"/>
          <w:sz w:val="24"/>
          <w:szCs w:val="24"/>
          <w:lang w:val="en-CA"/>
        </w:rPr>
        <w:t>Article 26 of the ICCPR, which guarantee the right of Indigenous women to belong to an Indigenous community or nation without discrimination. Consequently, the amendment should clarify that women who were transferred automatically to their husband</w:t>
      </w:r>
      <w:r w:rsidRPr="00612688">
        <w:rPr>
          <w:rFonts w:ascii="Segoe UI" w:hAnsi="Segoe UI" w:cs="Segoe UI"/>
          <w:sz w:val="24"/>
          <w:szCs w:val="24"/>
          <w:lang w:val="en-CA"/>
        </w:rPr>
        <w:t>’</w:t>
      </w:r>
      <w:r w:rsidRPr="00133F92">
        <w:rPr>
          <w:rFonts w:ascii="Segoe UI" w:hAnsi="Segoe UI" w:cs="Segoe UI"/>
          <w:sz w:val="24"/>
          <w:szCs w:val="24"/>
          <w:lang w:val="en-CA"/>
        </w:rPr>
        <w:t xml:space="preserve">s bands have an unrestricted right to return to their natal band when and if they choose, whether it is a s. 10 or a s. 11 band. </w:t>
      </w:r>
    </w:p>
    <w:p w14:paraId="41111C0A" w14:textId="77777777" w:rsidR="00350FA3" w:rsidRPr="00133F92" w:rsidRDefault="00350FA3" w:rsidP="000C43D6">
      <w:pPr>
        <w:pStyle w:val="Normal1"/>
        <w:numPr>
          <w:ilvl w:val="0"/>
          <w:numId w:val="3"/>
        </w:numPr>
        <w:spacing w:before="120" w:after="120"/>
        <w:ind w:left="142"/>
        <w:rPr>
          <w:rFonts w:ascii="Segoe UI" w:hAnsi="Segoe UI" w:cs="Segoe UI"/>
          <w:sz w:val="24"/>
          <w:szCs w:val="24"/>
          <w:lang w:val="en-CA"/>
        </w:rPr>
      </w:pPr>
      <w:r w:rsidRPr="00133F92">
        <w:rPr>
          <w:rFonts w:ascii="Segoe UI" w:hAnsi="Segoe UI" w:cs="Segoe UI"/>
          <w:sz w:val="24"/>
          <w:szCs w:val="24"/>
          <w:lang w:val="en-CA"/>
        </w:rPr>
        <w:t xml:space="preserve">Secondly, the Working Group notes that restoration of band membership is an issue not just for women who wish to transfer back to their natal bands. It is a significant issue for all First Nations women and their descendants who, but for the sex discrimination in the </w:t>
      </w:r>
      <w:r w:rsidRPr="005E6FCE">
        <w:rPr>
          <w:rFonts w:ascii="Segoe UI" w:hAnsi="Segoe UI" w:cs="Segoe UI"/>
          <w:i/>
          <w:iCs/>
          <w:sz w:val="24"/>
          <w:szCs w:val="24"/>
          <w:lang w:val="en-CA"/>
        </w:rPr>
        <w:t>Indian Act</w:t>
      </w:r>
      <w:r w:rsidRPr="00133F92">
        <w:rPr>
          <w:rFonts w:ascii="Segoe UI" w:hAnsi="Segoe UI" w:cs="Segoe UI"/>
          <w:sz w:val="24"/>
          <w:szCs w:val="24"/>
          <w:lang w:val="en-CA"/>
        </w:rPr>
        <w:t xml:space="preserve">, would have been band members in their home bands. Canada has a legal obligation to remedy ongoing sex discrimination in band membership which is directly tied to the historic and/or ongoing sex discrimination in Indian registration. Band membership is an issue for women whose eligibility for status has been reinstated, corrected and/or improved) because of post-1985 amendments to the </w:t>
      </w:r>
      <w:r w:rsidRPr="00133F92">
        <w:rPr>
          <w:rFonts w:ascii="Segoe UI" w:hAnsi="Segoe UI" w:cs="Segoe UI"/>
          <w:i/>
          <w:iCs/>
          <w:sz w:val="24"/>
          <w:szCs w:val="24"/>
          <w:lang w:val="en-CA"/>
        </w:rPr>
        <w:t>Indian Act.</w:t>
      </w:r>
    </w:p>
    <w:p w14:paraId="486D9296" w14:textId="77777777" w:rsidR="00350FA3" w:rsidRPr="00133F92" w:rsidRDefault="00350FA3" w:rsidP="00AD61B5">
      <w:pPr>
        <w:pStyle w:val="Normal1"/>
        <w:numPr>
          <w:ilvl w:val="0"/>
          <w:numId w:val="3"/>
        </w:numPr>
        <w:spacing w:before="120" w:after="120"/>
        <w:ind w:left="142"/>
        <w:rPr>
          <w:rFonts w:ascii="Segoe UI" w:hAnsi="Segoe UI" w:cs="Segoe UI"/>
          <w:sz w:val="24"/>
          <w:szCs w:val="24"/>
          <w:lang w:val="en-CA"/>
        </w:rPr>
      </w:pPr>
      <w:r w:rsidRPr="00133F92">
        <w:rPr>
          <w:rFonts w:ascii="Segoe UI" w:hAnsi="Segoe UI" w:cs="Segoe UI"/>
          <w:sz w:val="24"/>
          <w:szCs w:val="24"/>
          <w:lang w:val="en-CA"/>
        </w:rPr>
        <w:t xml:space="preserve">As statutory human rights, the Charter, and international human rights law all apply to band membership codes, and restoration of band membership is an essential element of unwinding </w:t>
      </w:r>
      <w:r w:rsidRPr="00133F92">
        <w:rPr>
          <w:rFonts w:ascii="Segoe UI" w:hAnsi="Segoe UI" w:cs="Segoe UI"/>
          <w:i/>
          <w:iCs/>
          <w:sz w:val="24"/>
          <w:szCs w:val="24"/>
          <w:lang w:val="en-CA"/>
        </w:rPr>
        <w:t>Indian Act</w:t>
      </w:r>
      <w:r w:rsidRPr="00133F92">
        <w:rPr>
          <w:rFonts w:ascii="Segoe UI" w:hAnsi="Segoe UI" w:cs="Segoe UI"/>
          <w:sz w:val="24"/>
          <w:szCs w:val="24"/>
          <w:lang w:val="en-CA"/>
        </w:rPr>
        <w:t xml:space="preserve"> sex discrimination, the </w:t>
      </w:r>
      <w:r w:rsidRPr="00133F92">
        <w:rPr>
          <w:rFonts w:ascii="Segoe UI" w:hAnsi="Segoe UI" w:cs="Segoe UI"/>
          <w:i/>
          <w:iCs/>
          <w:sz w:val="24"/>
          <w:szCs w:val="24"/>
          <w:lang w:val="en-CA"/>
        </w:rPr>
        <w:t>Indian Act</w:t>
      </w:r>
      <w:r w:rsidRPr="00133F92">
        <w:rPr>
          <w:rFonts w:ascii="Segoe UI" w:hAnsi="Segoe UI" w:cs="Segoe UI"/>
          <w:sz w:val="24"/>
          <w:szCs w:val="24"/>
          <w:lang w:val="en-CA"/>
        </w:rPr>
        <w:t xml:space="preserve"> should contain a new provision that states that a band cannot exclude a woman whose status has been restored, corrected, or improved under the</w:t>
      </w:r>
      <w:r w:rsidRPr="00133F92">
        <w:rPr>
          <w:rFonts w:ascii="Segoe UI" w:hAnsi="Segoe UI" w:cs="Segoe UI"/>
          <w:i/>
          <w:iCs/>
          <w:sz w:val="24"/>
          <w:szCs w:val="24"/>
          <w:lang w:val="en-CA"/>
        </w:rPr>
        <w:t xml:space="preserve"> Indian Act,</w:t>
      </w:r>
      <w:r w:rsidRPr="00133F92">
        <w:rPr>
          <w:rFonts w:ascii="Segoe UI" w:hAnsi="Segoe UI" w:cs="Segoe UI"/>
          <w:sz w:val="24"/>
          <w:szCs w:val="24"/>
          <w:lang w:val="en-CA"/>
        </w:rPr>
        <w:t xml:space="preserve"> whether it is a s. 10 or a s. 11 band.</w:t>
      </w:r>
    </w:p>
    <w:p w14:paraId="2E9D4E00" w14:textId="77777777" w:rsidR="00350FA3" w:rsidRPr="00612688" w:rsidRDefault="00350FA3" w:rsidP="000C43D6">
      <w:pPr>
        <w:pStyle w:val="Normal1"/>
        <w:spacing w:before="120" w:after="120"/>
        <w:ind w:left="142"/>
        <w:rPr>
          <w:rFonts w:ascii="Segoe UI" w:hAnsi="Segoe UI" w:cs="Segoe UI"/>
          <w:sz w:val="24"/>
          <w:szCs w:val="24"/>
        </w:rPr>
      </w:pPr>
    </w:p>
    <w:p w14:paraId="63C610BE" w14:textId="77777777" w:rsidR="00350FA3" w:rsidRPr="007D1697" w:rsidRDefault="00350FA3" w:rsidP="006D63F7">
      <w:pPr>
        <w:pStyle w:val="Heading2"/>
        <w:rPr>
          <w:rFonts w:ascii="Segoe UI" w:hAnsi="Segoe UI" w:cs="Segoe UI"/>
          <w:sz w:val="28"/>
          <w:szCs w:val="28"/>
        </w:rPr>
      </w:pPr>
      <w:bookmarkStart w:id="16" w:name="_heading_h_mv00j9duejvc" w:colFirst="0" w:colLast="0"/>
      <w:bookmarkStart w:id="17" w:name="_Toc220932346"/>
      <w:bookmarkEnd w:id="16"/>
      <w:r>
        <w:rPr>
          <w:rFonts w:ascii="Segoe UI" w:hAnsi="Segoe UI" w:cs="Segoe UI"/>
          <w:b/>
          <w:bCs/>
          <w:color w:val="C45911"/>
          <w:sz w:val="28"/>
          <w:szCs w:val="28"/>
        </w:rPr>
        <w:t xml:space="preserve">2. </w:t>
      </w:r>
      <w:r w:rsidRPr="007D1697">
        <w:rPr>
          <w:rFonts w:ascii="Segoe UI" w:hAnsi="Segoe UI" w:cs="Segoe UI"/>
          <w:b/>
          <w:bCs/>
          <w:color w:val="C45911"/>
          <w:sz w:val="28"/>
          <w:szCs w:val="28"/>
        </w:rPr>
        <w:t>Outstanding Law Reform Issues</w:t>
      </w:r>
      <w:bookmarkEnd w:id="17"/>
      <w:r w:rsidRPr="007D1697">
        <w:rPr>
          <w:rFonts w:ascii="Segoe UI" w:hAnsi="Segoe UI" w:cs="Segoe UI"/>
          <w:b/>
          <w:bCs/>
          <w:color w:val="C45911"/>
          <w:sz w:val="28"/>
          <w:szCs w:val="28"/>
        </w:rPr>
        <w:t xml:space="preserve"> </w:t>
      </w:r>
      <w:r w:rsidRPr="007D1697">
        <w:rPr>
          <w:rFonts w:ascii="Segoe UI" w:hAnsi="Segoe UI" w:cs="Segoe UI"/>
          <w:sz w:val="28"/>
          <w:szCs w:val="28"/>
        </w:rPr>
        <w:t xml:space="preserve"> </w:t>
      </w:r>
    </w:p>
    <w:p w14:paraId="407D3273" w14:textId="77777777" w:rsidR="00350FA3" w:rsidRDefault="00350FA3" w:rsidP="005D7DB7">
      <w:pPr>
        <w:pStyle w:val="Normal1"/>
        <w:numPr>
          <w:ilvl w:val="0"/>
          <w:numId w:val="3"/>
        </w:numPr>
        <w:spacing w:before="120" w:after="120"/>
        <w:ind w:left="142"/>
        <w:rPr>
          <w:rFonts w:ascii="Segoe UI" w:hAnsi="Segoe UI" w:cs="Segoe UI"/>
          <w:sz w:val="24"/>
          <w:szCs w:val="24"/>
        </w:rPr>
      </w:pPr>
      <w:r w:rsidRPr="00217E08">
        <w:rPr>
          <w:rFonts w:ascii="Segoe UI" w:hAnsi="Segoe UI" w:cs="Segoe UI"/>
          <w:sz w:val="24"/>
          <w:szCs w:val="24"/>
        </w:rPr>
        <w:t xml:space="preserve">The Working Group fully supports </w:t>
      </w:r>
      <w:r>
        <w:rPr>
          <w:rFonts w:ascii="Segoe UI" w:hAnsi="Segoe UI" w:cs="Segoe UI"/>
          <w:sz w:val="24"/>
          <w:szCs w:val="24"/>
        </w:rPr>
        <w:t xml:space="preserve">Bill S-2, with </w:t>
      </w:r>
      <w:r w:rsidRPr="00217E08">
        <w:rPr>
          <w:rFonts w:ascii="Segoe UI" w:hAnsi="Segoe UI" w:cs="Segoe UI"/>
          <w:sz w:val="24"/>
          <w:szCs w:val="24"/>
        </w:rPr>
        <w:t>the amendments made to Bill S-2 by the Senate Committee, and the Senate as a whole, in 2025. However, although these amendments will eliminate crucial element</w:t>
      </w:r>
      <w:r>
        <w:rPr>
          <w:rFonts w:ascii="Segoe UI" w:hAnsi="Segoe UI" w:cs="Segoe UI"/>
          <w:sz w:val="24"/>
          <w:szCs w:val="24"/>
        </w:rPr>
        <w:t>s</w:t>
      </w:r>
      <w:r w:rsidRPr="00217E08">
        <w:rPr>
          <w:rFonts w:ascii="Segoe UI" w:hAnsi="Segoe UI" w:cs="Segoe UI"/>
          <w:sz w:val="24"/>
          <w:szCs w:val="24"/>
        </w:rPr>
        <w:t xml:space="preserve"> of the post-1985 discrimination, even these amendments will not completely remove the </w:t>
      </w:r>
      <w:r w:rsidRPr="007B7C51">
        <w:rPr>
          <w:rFonts w:ascii="Segoe UI" w:hAnsi="Segoe UI" w:cs="Segoe UI"/>
          <w:sz w:val="24"/>
          <w:szCs w:val="24"/>
        </w:rPr>
        <w:t xml:space="preserve">discrimination from the </w:t>
      </w:r>
      <w:r w:rsidRPr="007B7C51">
        <w:rPr>
          <w:rFonts w:ascii="Segoe UI" w:hAnsi="Segoe UI" w:cs="Segoe UI"/>
          <w:i/>
          <w:iCs/>
          <w:sz w:val="24"/>
          <w:szCs w:val="24"/>
        </w:rPr>
        <w:t>Indian Act</w:t>
      </w:r>
      <w:r w:rsidRPr="007B7C51">
        <w:rPr>
          <w:rFonts w:ascii="Segoe UI" w:hAnsi="Segoe UI" w:cs="Segoe UI"/>
          <w:sz w:val="24"/>
          <w:szCs w:val="24"/>
        </w:rPr>
        <w:t xml:space="preserve">. </w:t>
      </w:r>
      <w:r w:rsidRPr="00A276F9">
        <w:rPr>
          <w:rFonts w:ascii="Segoe UI" w:hAnsi="Segoe UI" w:cs="Segoe UI"/>
          <w:sz w:val="24"/>
          <w:szCs w:val="24"/>
        </w:rPr>
        <w:t>Barriers to registration and compensation, as well as issues regarding restoration to band membership</w:t>
      </w:r>
      <w:r>
        <w:rPr>
          <w:rFonts w:ascii="Segoe UI" w:hAnsi="Segoe UI" w:cs="Segoe UI"/>
          <w:sz w:val="24"/>
          <w:szCs w:val="24"/>
        </w:rPr>
        <w:t>,</w:t>
      </w:r>
      <w:r w:rsidRPr="00A276F9">
        <w:rPr>
          <w:rFonts w:ascii="Segoe UI" w:hAnsi="Segoe UI" w:cs="Segoe UI"/>
          <w:sz w:val="24"/>
          <w:szCs w:val="24"/>
        </w:rPr>
        <w:t xml:space="preserve"> remain</w:t>
      </w:r>
      <w:r>
        <w:rPr>
          <w:rFonts w:ascii="Segoe UI" w:hAnsi="Segoe UI" w:cs="Segoe UI"/>
          <w:sz w:val="24"/>
          <w:szCs w:val="24"/>
        </w:rPr>
        <w:t xml:space="preserve"> outstanding</w:t>
      </w:r>
      <w:r w:rsidRPr="00A276F9">
        <w:rPr>
          <w:rFonts w:ascii="Segoe UI" w:hAnsi="Segoe UI" w:cs="Segoe UI"/>
          <w:sz w:val="24"/>
          <w:szCs w:val="24"/>
        </w:rPr>
        <w:t>.</w:t>
      </w:r>
      <w:r>
        <w:rPr>
          <w:rFonts w:ascii="Segoe UI" w:hAnsi="Segoe UI" w:cs="Segoe UI"/>
          <w:sz w:val="24"/>
          <w:szCs w:val="24"/>
        </w:rPr>
        <w:t xml:space="preserve"> </w:t>
      </w:r>
      <w:r w:rsidRPr="00217E08">
        <w:rPr>
          <w:rFonts w:ascii="Segoe UI" w:hAnsi="Segoe UI" w:cs="Segoe UI"/>
          <w:sz w:val="24"/>
          <w:szCs w:val="24"/>
        </w:rPr>
        <w:t xml:space="preserve">Moreover, the House of Commons appears poised to delete </w:t>
      </w:r>
      <w:r>
        <w:rPr>
          <w:rFonts w:ascii="Segoe UI" w:hAnsi="Segoe UI" w:cs="Segoe UI"/>
          <w:sz w:val="24"/>
          <w:szCs w:val="24"/>
        </w:rPr>
        <w:t>the Senate’s amendments in favour of yet more consultation on whether this discrimination should be perpetuated</w:t>
      </w:r>
      <w:r w:rsidRPr="00217E08">
        <w:rPr>
          <w:rFonts w:ascii="Segoe UI" w:hAnsi="Segoe UI" w:cs="Segoe UI"/>
          <w:sz w:val="24"/>
          <w:szCs w:val="24"/>
        </w:rPr>
        <w:t xml:space="preserve">. </w:t>
      </w:r>
    </w:p>
    <w:p w14:paraId="1E052F0F" w14:textId="77777777" w:rsidR="00350FA3" w:rsidRPr="008732FC" w:rsidRDefault="00350FA3" w:rsidP="008732FC">
      <w:pPr>
        <w:pStyle w:val="Heading3"/>
        <w:rPr>
          <w:rFonts w:ascii="Segoe UI" w:hAnsi="Segoe UI" w:cs="Segoe UI"/>
          <w:b/>
          <w:bCs/>
          <w:i/>
          <w:iCs/>
          <w:color w:val="C45911"/>
          <w:sz w:val="28"/>
          <w:szCs w:val="28"/>
        </w:rPr>
      </w:pPr>
      <w:bookmarkStart w:id="18" w:name="_Toc220932347"/>
      <w:r w:rsidRPr="008732FC">
        <w:rPr>
          <w:rFonts w:ascii="Segoe UI" w:hAnsi="Segoe UI" w:cs="Segoe UI"/>
          <w:b/>
          <w:bCs/>
          <w:i/>
          <w:iCs/>
          <w:color w:val="C45911"/>
          <w:sz w:val="28"/>
          <w:szCs w:val="28"/>
        </w:rPr>
        <w:t>Removal of the bar to compensation for discrimination</w:t>
      </w:r>
      <w:bookmarkEnd w:id="18"/>
      <w:r w:rsidRPr="008732FC">
        <w:rPr>
          <w:rFonts w:ascii="Segoe UI" w:hAnsi="Segoe UI" w:cs="Segoe UI"/>
          <w:b/>
          <w:bCs/>
          <w:i/>
          <w:iCs/>
          <w:color w:val="C45911"/>
          <w:sz w:val="28"/>
          <w:szCs w:val="28"/>
        </w:rPr>
        <w:t xml:space="preserve"> </w:t>
      </w:r>
    </w:p>
    <w:p w14:paraId="47EB1EA7" w14:textId="77777777" w:rsidR="00350FA3" w:rsidRPr="00217E08" w:rsidRDefault="00350FA3" w:rsidP="005D7DB7">
      <w:pPr>
        <w:pStyle w:val="Normal1"/>
        <w:numPr>
          <w:ilvl w:val="0"/>
          <w:numId w:val="3"/>
        </w:numPr>
        <w:spacing w:before="120" w:after="120"/>
        <w:ind w:left="142"/>
        <w:rPr>
          <w:rFonts w:ascii="Segoe UI" w:hAnsi="Segoe UI" w:cs="Segoe UI"/>
          <w:sz w:val="24"/>
          <w:szCs w:val="24"/>
        </w:rPr>
      </w:pPr>
      <w:bookmarkStart w:id="19" w:name="_heading_h_9p5a9h9whcgl" w:colFirst="0" w:colLast="0"/>
      <w:bookmarkStart w:id="20" w:name="_heading_h_uts7ds5yllob" w:colFirst="0" w:colLast="0"/>
      <w:bookmarkEnd w:id="19"/>
      <w:bookmarkEnd w:id="20"/>
      <w:r w:rsidRPr="00217E08">
        <w:rPr>
          <w:rFonts w:ascii="Segoe UI" w:hAnsi="Segoe UI" w:cs="Segoe UI"/>
          <w:sz w:val="24"/>
          <w:szCs w:val="24"/>
        </w:rPr>
        <w:t xml:space="preserve">Bill S-2 and its amendments </w:t>
      </w:r>
      <w:r w:rsidRPr="00217E08">
        <w:rPr>
          <w:rFonts w:ascii="Segoe UI" w:hAnsi="Segoe UI" w:cs="Segoe UI"/>
          <w:color w:val="000000"/>
          <w:sz w:val="24"/>
          <w:szCs w:val="24"/>
        </w:rPr>
        <w:t xml:space="preserve">do not remove all the legal barriers to compensation for First Nations women and their descendants for the harms caused by the sex discrimination in the </w:t>
      </w:r>
      <w:r w:rsidRPr="00217E08">
        <w:rPr>
          <w:rFonts w:ascii="Segoe UI" w:hAnsi="Segoe UI" w:cs="Segoe UI"/>
          <w:i/>
          <w:iCs/>
          <w:color w:val="000000"/>
          <w:sz w:val="24"/>
          <w:szCs w:val="24"/>
        </w:rPr>
        <w:t>Indian Act</w:t>
      </w:r>
      <w:r w:rsidRPr="00217E08">
        <w:rPr>
          <w:rFonts w:ascii="Segoe UI" w:hAnsi="Segoe UI" w:cs="Segoe UI"/>
          <w:color w:val="000000"/>
          <w:sz w:val="24"/>
          <w:szCs w:val="24"/>
        </w:rPr>
        <w:t xml:space="preserve">. </w:t>
      </w:r>
      <w:r w:rsidRPr="00217E08">
        <w:rPr>
          <w:rFonts w:ascii="Segoe UI" w:hAnsi="Segoe UI" w:cs="Segoe UI"/>
          <w:sz w:val="24"/>
          <w:szCs w:val="24"/>
        </w:rPr>
        <w:t>The amendments to Bill S-2 passed by the Senate on December 5, 2025, removed the non-liability clause that was included in this Bill. Th</w:t>
      </w:r>
      <w:r>
        <w:rPr>
          <w:rFonts w:ascii="Segoe UI" w:hAnsi="Segoe UI" w:cs="Segoe UI"/>
          <w:sz w:val="24"/>
          <w:szCs w:val="24"/>
        </w:rPr>
        <w:t>at</w:t>
      </w:r>
      <w:r w:rsidRPr="00217E08">
        <w:rPr>
          <w:rFonts w:ascii="Segoe UI" w:hAnsi="Segoe UI" w:cs="Segoe UI"/>
          <w:sz w:val="24"/>
          <w:szCs w:val="24"/>
        </w:rPr>
        <w:t xml:space="preserve"> non-liability clause would have protected the Canadian government from liability for its past discriminatory actions covered by Bill</w:t>
      </w:r>
      <w:r>
        <w:rPr>
          <w:rFonts w:ascii="Segoe UI" w:hAnsi="Segoe UI" w:cs="Segoe UI"/>
          <w:sz w:val="24"/>
          <w:szCs w:val="24"/>
        </w:rPr>
        <w:t xml:space="preserve"> S-2</w:t>
      </w:r>
      <w:r w:rsidRPr="00217E08">
        <w:rPr>
          <w:rFonts w:ascii="Segoe UI" w:hAnsi="Segoe UI" w:cs="Segoe UI"/>
          <w:sz w:val="24"/>
          <w:szCs w:val="24"/>
        </w:rPr>
        <w:t xml:space="preserve"> only, such as automatic removal of </w:t>
      </w:r>
      <w:r w:rsidRPr="00217E08">
        <w:rPr>
          <w:rFonts w:ascii="Segoe UI" w:hAnsi="Segoe UI" w:cs="Segoe UI"/>
          <w:sz w:val="24"/>
          <w:szCs w:val="24"/>
        </w:rPr>
        <w:lastRenderedPageBreak/>
        <w:t>status from Indigenous women married to men who were enfranchised</w:t>
      </w:r>
      <w:r>
        <w:rPr>
          <w:rFonts w:ascii="Segoe UI" w:hAnsi="Segoe UI" w:cs="Segoe UI"/>
          <w:sz w:val="24"/>
          <w:szCs w:val="24"/>
        </w:rPr>
        <w:t>.</w:t>
      </w:r>
      <w:r w:rsidRPr="00217E08">
        <w:rPr>
          <w:rFonts w:ascii="Segoe UI" w:hAnsi="Segoe UI" w:cs="Segoe UI"/>
          <w:sz w:val="24"/>
          <w:szCs w:val="24"/>
        </w:rPr>
        <w:t>.</w:t>
      </w:r>
      <w:r w:rsidRPr="00217E08">
        <w:rPr>
          <w:rFonts w:ascii="Segoe UI" w:hAnsi="Segoe UI" w:cs="Segoe UI"/>
          <w:sz w:val="24"/>
          <w:szCs w:val="24"/>
          <w:vertAlign w:val="superscript"/>
        </w:rPr>
        <w:footnoteReference w:id="44"/>
      </w:r>
      <w:r w:rsidRPr="00217E08">
        <w:rPr>
          <w:rFonts w:ascii="Segoe UI" w:hAnsi="Segoe UI" w:cs="Segoe UI"/>
          <w:sz w:val="24"/>
          <w:szCs w:val="24"/>
        </w:rPr>
        <w:t xml:space="preserve"> Though this clause has been removed, similar non-liability clauses still exist in the 1985, 2011 and 2017 amendments to the </w:t>
      </w:r>
      <w:r w:rsidRPr="00217E08">
        <w:rPr>
          <w:rFonts w:ascii="Segoe UI" w:hAnsi="Segoe UI" w:cs="Segoe UI"/>
          <w:i/>
          <w:iCs/>
          <w:sz w:val="24"/>
          <w:szCs w:val="24"/>
        </w:rPr>
        <w:t xml:space="preserve">Indian Act </w:t>
      </w:r>
      <w:r w:rsidRPr="00217E08">
        <w:rPr>
          <w:rFonts w:ascii="Segoe UI" w:hAnsi="Segoe UI" w:cs="Segoe UI"/>
          <w:sz w:val="24"/>
          <w:szCs w:val="24"/>
        </w:rPr>
        <w:t>meaning that not all restrictions on liability have been removed</w:t>
      </w:r>
    </w:p>
    <w:p w14:paraId="2203BC18" w14:textId="77777777" w:rsidR="00350FA3" w:rsidRPr="00217E08" w:rsidRDefault="00350FA3" w:rsidP="005D7DB7">
      <w:pPr>
        <w:pStyle w:val="Normal1"/>
        <w:numPr>
          <w:ilvl w:val="0"/>
          <w:numId w:val="3"/>
        </w:numPr>
        <w:spacing w:before="120" w:after="120"/>
        <w:ind w:left="142" w:right="181"/>
        <w:rPr>
          <w:rFonts w:ascii="Segoe UI" w:hAnsi="Segoe UI" w:cs="Segoe UI"/>
          <w:color w:val="000000"/>
          <w:sz w:val="24"/>
          <w:szCs w:val="24"/>
        </w:rPr>
      </w:pPr>
      <w:r w:rsidRPr="00217E08">
        <w:rPr>
          <w:rFonts w:ascii="Segoe UI" w:hAnsi="Segoe UI" w:cs="Segoe UI"/>
          <w:color w:val="000000"/>
          <w:sz w:val="24"/>
          <w:szCs w:val="24"/>
        </w:rPr>
        <w:t xml:space="preserve">The Senate Committee on Aboriginal Peoples in its </w:t>
      </w:r>
      <w:hyperlink r:id="rId56">
        <w:r w:rsidRPr="00217E08">
          <w:rPr>
            <w:rFonts w:ascii="Segoe UI" w:hAnsi="Segoe UI" w:cs="Segoe UI"/>
            <w:color w:val="833C0B"/>
            <w:sz w:val="24"/>
            <w:szCs w:val="24"/>
            <w:u w:val="single"/>
          </w:rPr>
          <w:t>June 2022 report recommended</w:t>
        </w:r>
      </w:hyperlink>
      <w:r w:rsidRPr="00217E08">
        <w:rPr>
          <w:rFonts w:ascii="Segoe UI" w:hAnsi="Segoe UI" w:cs="Segoe UI"/>
          <w:color w:val="000000"/>
          <w:sz w:val="24"/>
          <w:szCs w:val="24"/>
        </w:rPr>
        <w:t xml:space="preserve"> that “the Government of Canada…repeal section 22 of </w:t>
      </w:r>
      <w:r w:rsidRPr="00217E08">
        <w:rPr>
          <w:rFonts w:ascii="Segoe UI" w:hAnsi="Segoe UI" w:cs="Segoe UI"/>
          <w:i/>
          <w:iCs/>
          <w:color w:val="000000"/>
          <w:sz w:val="24"/>
          <w:szCs w:val="24"/>
        </w:rPr>
        <w:t xml:space="preserve">An Act to Amend the Indian Act </w:t>
      </w:r>
      <w:r w:rsidRPr="00217E08">
        <w:rPr>
          <w:rFonts w:ascii="Segoe UI" w:hAnsi="Segoe UI" w:cs="Segoe UI"/>
          <w:color w:val="000000"/>
          <w:sz w:val="24"/>
          <w:szCs w:val="24"/>
        </w:rPr>
        <w:t xml:space="preserve">(1985); section 9 of the </w:t>
      </w:r>
      <w:r w:rsidRPr="00217E08">
        <w:rPr>
          <w:rFonts w:ascii="Segoe UI" w:hAnsi="Segoe UI" w:cs="Segoe UI"/>
          <w:i/>
          <w:iCs/>
          <w:color w:val="000000"/>
          <w:sz w:val="24"/>
          <w:szCs w:val="24"/>
        </w:rPr>
        <w:t xml:space="preserve">Gender Equity in Indian Registration Act </w:t>
      </w:r>
      <w:r w:rsidRPr="00217E08">
        <w:rPr>
          <w:rFonts w:ascii="Segoe UI" w:hAnsi="Segoe UI" w:cs="Segoe UI"/>
          <w:color w:val="000000"/>
          <w:sz w:val="24"/>
          <w:szCs w:val="24"/>
        </w:rPr>
        <w:t xml:space="preserve">(2010); and sections 10 and 10.1 of </w:t>
      </w:r>
      <w:r w:rsidRPr="00217E08">
        <w:rPr>
          <w:rFonts w:ascii="Segoe UI" w:hAnsi="Segoe UI" w:cs="Segoe UI"/>
          <w:i/>
          <w:iCs/>
          <w:color w:val="000000"/>
          <w:sz w:val="24"/>
          <w:szCs w:val="24"/>
        </w:rPr>
        <w:t xml:space="preserve">An Act to amend the Indian Act in response to the Superior Court of Quebec decision in Descheneaux c. Canada (Procureur général) </w:t>
      </w:r>
      <w:r w:rsidRPr="00217E08">
        <w:rPr>
          <w:rFonts w:ascii="Segoe UI" w:hAnsi="Segoe UI" w:cs="Segoe UI"/>
          <w:color w:val="000000"/>
          <w:sz w:val="24"/>
          <w:szCs w:val="24"/>
        </w:rPr>
        <w:t>(2017) to enable First Nations women and their descendants to access compensation.”</w:t>
      </w:r>
    </w:p>
    <w:p w14:paraId="0453ACE1" w14:textId="77777777" w:rsidR="00350FA3" w:rsidRPr="00217E08" w:rsidRDefault="00350FA3" w:rsidP="00C16E6E">
      <w:pPr>
        <w:pStyle w:val="Normal1"/>
        <w:numPr>
          <w:ilvl w:val="0"/>
          <w:numId w:val="3"/>
        </w:numPr>
        <w:spacing w:before="120" w:after="120"/>
        <w:ind w:left="142" w:right="286"/>
        <w:rPr>
          <w:rFonts w:ascii="Segoe UI" w:hAnsi="Segoe UI" w:cs="Segoe UI"/>
          <w:color w:val="000000"/>
          <w:sz w:val="24"/>
          <w:szCs w:val="24"/>
          <w:vertAlign w:val="superscript"/>
        </w:rPr>
      </w:pPr>
      <w:r w:rsidRPr="00217E08">
        <w:rPr>
          <w:rFonts w:ascii="Segoe UI" w:hAnsi="Segoe UI" w:cs="Segoe UI"/>
          <w:color w:val="000000"/>
          <w:sz w:val="24"/>
          <w:szCs w:val="24"/>
        </w:rPr>
        <w:t xml:space="preserve">The </w:t>
      </w:r>
      <w:hyperlink r:id="rId57">
        <w:r w:rsidRPr="00217E08">
          <w:rPr>
            <w:rFonts w:ascii="Segoe UI" w:hAnsi="Segoe UI" w:cs="Segoe UI"/>
            <w:color w:val="833C0B"/>
            <w:sz w:val="24"/>
            <w:szCs w:val="24"/>
            <w:u w:val="single"/>
          </w:rPr>
          <w:t>Senate Committee explaine</w:t>
        </w:r>
      </w:hyperlink>
      <w:hyperlink r:id="rId58">
        <w:r w:rsidRPr="00217E08">
          <w:rPr>
            <w:rFonts w:ascii="Segoe UI" w:hAnsi="Segoe UI" w:cs="Segoe UI"/>
            <w:color w:val="833C0B"/>
            <w:sz w:val="24"/>
            <w:szCs w:val="24"/>
            <w:u w:val="single"/>
          </w:rPr>
          <w:t>d</w:t>
        </w:r>
      </w:hyperlink>
      <w:r w:rsidRPr="00217E08">
        <w:rPr>
          <w:rFonts w:ascii="Segoe UI" w:hAnsi="Segoe UI" w:cs="Segoe UI"/>
          <w:color w:val="000000"/>
          <w:sz w:val="24"/>
          <w:szCs w:val="24"/>
        </w:rPr>
        <w:t xml:space="preserve">: “The committee agrees with witnesses that reparations, including compensation and a formal apology, are essential to recognize the harms experienced by First Nations women and their descendants as a result of discrimination in the registration provisions under the </w:t>
      </w:r>
      <w:r w:rsidRPr="00217E08">
        <w:rPr>
          <w:rFonts w:ascii="Segoe UI" w:hAnsi="Segoe UI" w:cs="Segoe UI"/>
          <w:i/>
          <w:iCs/>
          <w:color w:val="000000"/>
          <w:sz w:val="24"/>
          <w:szCs w:val="24"/>
        </w:rPr>
        <w:t>Indian Act</w:t>
      </w:r>
      <w:r w:rsidRPr="00217E08">
        <w:rPr>
          <w:rFonts w:ascii="Segoe UI" w:hAnsi="Segoe UI" w:cs="Segoe UI"/>
          <w:color w:val="000000"/>
          <w:sz w:val="24"/>
          <w:szCs w:val="24"/>
        </w:rPr>
        <w:t>. Reparations are a fundamental part of reconciliation, providing the opportunity for Indigenous women and their children to heal, and for all Canadians to learn about this ongoing injustice in our shared history. …[T]he committee believes that non-liability clauses must be repealed to enable First Nations women and their descendants to access compensation.”</w:t>
      </w:r>
    </w:p>
    <w:p w14:paraId="191BE425" w14:textId="77777777" w:rsidR="00350FA3" w:rsidRPr="00217E08" w:rsidRDefault="00350FA3" w:rsidP="005D7DB7">
      <w:pPr>
        <w:pStyle w:val="Normal1"/>
        <w:numPr>
          <w:ilvl w:val="0"/>
          <w:numId w:val="3"/>
        </w:numPr>
        <w:spacing w:before="120" w:after="120"/>
        <w:ind w:left="142"/>
        <w:rPr>
          <w:rFonts w:ascii="Segoe UI" w:hAnsi="Segoe UI" w:cs="Segoe UI"/>
          <w:color w:val="000000"/>
          <w:sz w:val="24"/>
          <w:szCs w:val="24"/>
        </w:rPr>
      </w:pPr>
      <w:r w:rsidRPr="00217E08">
        <w:rPr>
          <w:rFonts w:ascii="Segoe UI" w:hAnsi="Segoe UI" w:cs="Segoe UI"/>
          <w:color w:val="000000"/>
          <w:sz w:val="24"/>
          <w:szCs w:val="24"/>
        </w:rPr>
        <w:t xml:space="preserve">Bars compensation, first introduced in 1985, constitute blatant sex discrimination, contrary to Article 26 of the ICCPR, CEDAW and s. 15, the equality provision of the </w:t>
      </w:r>
      <w:r w:rsidRPr="00217E08">
        <w:rPr>
          <w:rFonts w:ascii="Segoe UI" w:hAnsi="Segoe UI" w:cs="Segoe UI"/>
          <w:i/>
          <w:iCs/>
          <w:color w:val="000000"/>
          <w:sz w:val="24"/>
          <w:szCs w:val="24"/>
        </w:rPr>
        <w:t>Canadian Charter</w:t>
      </w:r>
      <w:r w:rsidRPr="00217E08">
        <w:rPr>
          <w:rFonts w:ascii="Segoe UI" w:hAnsi="Segoe UI" w:cs="Segoe UI"/>
          <w:color w:val="000000"/>
          <w:sz w:val="24"/>
          <w:szCs w:val="24"/>
        </w:rPr>
        <w:t>. These bars are particularly egregious in light of compensation that has been offered to Indigenous peoples for other harms caused by colonial laws, policies and practices. These include:</w:t>
      </w:r>
    </w:p>
    <w:p w14:paraId="5E0C1FF4" w14:textId="77777777" w:rsidR="00350FA3" w:rsidRDefault="00350FA3" w:rsidP="00707DDF">
      <w:pPr>
        <w:pStyle w:val="Normal1"/>
        <w:numPr>
          <w:ilvl w:val="0"/>
          <w:numId w:val="13"/>
        </w:numPr>
        <w:spacing w:before="120" w:after="120"/>
        <w:ind w:right="181"/>
        <w:rPr>
          <w:rFonts w:ascii="Segoe UI" w:hAnsi="Segoe UI" w:cs="Segoe UI"/>
          <w:color w:val="000000"/>
          <w:sz w:val="24"/>
          <w:szCs w:val="24"/>
        </w:rPr>
      </w:pPr>
      <w:r w:rsidRPr="00217E08">
        <w:rPr>
          <w:rFonts w:ascii="Segoe UI" w:hAnsi="Segoe UI" w:cs="Segoe UI"/>
          <w:color w:val="000000"/>
          <w:sz w:val="24"/>
          <w:szCs w:val="24"/>
        </w:rPr>
        <w:t xml:space="preserve">Inuit compensation for forced relocations - $50M; </w:t>
      </w:r>
    </w:p>
    <w:p w14:paraId="1232BC8B" w14:textId="77777777" w:rsidR="00350FA3" w:rsidRDefault="00350FA3" w:rsidP="00707DDF">
      <w:pPr>
        <w:pStyle w:val="Normal1"/>
        <w:numPr>
          <w:ilvl w:val="0"/>
          <w:numId w:val="13"/>
        </w:numPr>
        <w:spacing w:before="120" w:after="120"/>
        <w:ind w:right="181"/>
        <w:rPr>
          <w:rFonts w:ascii="Segoe UI" w:hAnsi="Segoe UI" w:cs="Segoe UI"/>
          <w:color w:val="000000"/>
          <w:sz w:val="24"/>
          <w:szCs w:val="24"/>
        </w:rPr>
      </w:pPr>
      <w:r w:rsidRPr="00217E08">
        <w:rPr>
          <w:rFonts w:ascii="Segoe UI" w:hAnsi="Segoe UI" w:cs="Segoe UI"/>
          <w:color w:val="000000"/>
          <w:sz w:val="24"/>
          <w:szCs w:val="24"/>
        </w:rPr>
        <w:t xml:space="preserve">Inuit compensation for dog slaughter - $20M; </w:t>
      </w:r>
    </w:p>
    <w:p w14:paraId="3F77DF5C" w14:textId="77777777" w:rsidR="00350FA3" w:rsidRDefault="00350FA3" w:rsidP="00707DDF">
      <w:pPr>
        <w:pStyle w:val="Normal1"/>
        <w:numPr>
          <w:ilvl w:val="0"/>
          <w:numId w:val="13"/>
        </w:numPr>
        <w:spacing w:before="120" w:after="120"/>
        <w:ind w:right="181"/>
        <w:rPr>
          <w:rFonts w:ascii="Segoe UI" w:hAnsi="Segoe UI" w:cs="Segoe UI"/>
          <w:color w:val="000000"/>
          <w:sz w:val="24"/>
          <w:szCs w:val="24"/>
        </w:rPr>
      </w:pPr>
      <w:r w:rsidRPr="00217E08">
        <w:rPr>
          <w:rFonts w:ascii="Segoe UI" w:hAnsi="Segoe UI" w:cs="Segoe UI"/>
          <w:color w:val="000000"/>
          <w:sz w:val="24"/>
          <w:szCs w:val="24"/>
        </w:rPr>
        <w:t xml:space="preserve">Indian residential school settlement - $3.23B; </w:t>
      </w:r>
    </w:p>
    <w:p w14:paraId="74C0B578" w14:textId="77777777" w:rsidR="00350FA3" w:rsidRDefault="00350FA3" w:rsidP="00707DDF">
      <w:pPr>
        <w:pStyle w:val="Normal1"/>
        <w:numPr>
          <w:ilvl w:val="0"/>
          <w:numId w:val="13"/>
        </w:numPr>
        <w:spacing w:before="120" w:after="120"/>
        <w:ind w:right="181"/>
        <w:rPr>
          <w:rFonts w:ascii="Segoe UI" w:hAnsi="Segoe UI" w:cs="Segoe UI"/>
          <w:color w:val="000000"/>
          <w:sz w:val="24"/>
          <w:szCs w:val="24"/>
        </w:rPr>
      </w:pPr>
      <w:r w:rsidRPr="00217E08">
        <w:rPr>
          <w:rFonts w:ascii="Segoe UI" w:hAnsi="Segoe UI" w:cs="Segoe UI"/>
          <w:color w:val="000000"/>
          <w:sz w:val="24"/>
          <w:szCs w:val="24"/>
        </w:rPr>
        <w:t xml:space="preserve">Indian day school settlement - $1.27B; 60’s scoop settlement - $750M; </w:t>
      </w:r>
    </w:p>
    <w:p w14:paraId="1FFEAFC3" w14:textId="77777777" w:rsidR="00350FA3" w:rsidRDefault="00350FA3" w:rsidP="00707DDF">
      <w:pPr>
        <w:pStyle w:val="Normal1"/>
        <w:numPr>
          <w:ilvl w:val="0"/>
          <w:numId w:val="13"/>
        </w:numPr>
        <w:spacing w:before="120" w:after="120"/>
        <w:ind w:right="181"/>
        <w:rPr>
          <w:rFonts w:ascii="Segoe UI" w:hAnsi="Segoe UI" w:cs="Segoe UI"/>
          <w:color w:val="000000"/>
          <w:sz w:val="24"/>
          <w:szCs w:val="24"/>
        </w:rPr>
      </w:pPr>
      <w:r w:rsidRPr="00217E08">
        <w:rPr>
          <w:rFonts w:ascii="Segoe UI" w:hAnsi="Segoe UI" w:cs="Segoe UI"/>
          <w:color w:val="000000"/>
          <w:sz w:val="24"/>
          <w:szCs w:val="24"/>
        </w:rPr>
        <w:t xml:space="preserve">First Nations child welfare settlement - $40B; </w:t>
      </w:r>
    </w:p>
    <w:p w14:paraId="08A9865D" w14:textId="77777777" w:rsidR="00350FA3" w:rsidRDefault="00350FA3" w:rsidP="00707DDF">
      <w:pPr>
        <w:pStyle w:val="Normal1"/>
        <w:numPr>
          <w:ilvl w:val="0"/>
          <w:numId w:val="13"/>
        </w:numPr>
        <w:spacing w:before="120" w:after="120"/>
        <w:ind w:right="181"/>
        <w:rPr>
          <w:rFonts w:ascii="Segoe UI" w:hAnsi="Segoe UI" w:cs="Segoe UI"/>
          <w:color w:val="000000"/>
          <w:sz w:val="24"/>
          <w:szCs w:val="24"/>
        </w:rPr>
      </w:pPr>
      <w:r w:rsidRPr="00217E08">
        <w:rPr>
          <w:rFonts w:ascii="Segoe UI" w:hAnsi="Segoe UI" w:cs="Segoe UI"/>
          <w:color w:val="000000"/>
          <w:sz w:val="24"/>
          <w:szCs w:val="24"/>
        </w:rPr>
        <w:t xml:space="preserve">First Nations drinking water settlement - $8B; </w:t>
      </w:r>
    </w:p>
    <w:p w14:paraId="6A944BF0" w14:textId="77777777" w:rsidR="00350FA3" w:rsidRDefault="00350FA3" w:rsidP="00707DDF">
      <w:pPr>
        <w:pStyle w:val="Normal1"/>
        <w:numPr>
          <w:ilvl w:val="0"/>
          <w:numId w:val="13"/>
        </w:numPr>
        <w:spacing w:before="120" w:after="120"/>
        <w:ind w:right="181"/>
        <w:rPr>
          <w:rFonts w:ascii="Segoe UI" w:hAnsi="Segoe UI" w:cs="Segoe UI"/>
          <w:color w:val="000000"/>
          <w:sz w:val="24"/>
          <w:szCs w:val="24"/>
        </w:rPr>
      </w:pPr>
      <w:r w:rsidRPr="00217E08">
        <w:rPr>
          <w:rFonts w:ascii="Segoe UI" w:hAnsi="Segoe UI" w:cs="Segoe UI"/>
          <w:color w:val="000000"/>
          <w:sz w:val="24"/>
          <w:szCs w:val="24"/>
        </w:rPr>
        <w:t xml:space="preserve">First Nations flooding settlements (nationwide) - $45M - $90M; </w:t>
      </w:r>
    </w:p>
    <w:p w14:paraId="56323231" w14:textId="77777777" w:rsidR="00350FA3" w:rsidRDefault="00350FA3" w:rsidP="00707DDF">
      <w:pPr>
        <w:pStyle w:val="Normal1"/>
        <w:numPr>
          <w:ilvl w:val="0"/>
          <w:numId w:val="13"/>
        </w:numPr>
        <w:spacing w:before="120" w:after="120"/>
        <w:ind w:right="181"/>
        <w:rPr>
          <w:rFonts w:ascii="Segoe UI" w:hAnsi="Segoe UI" w:cs="Segoe UI"/>
          <w:color w:val="000000"/>
          <w:sz w:val="24"/>
          <w:szCs w:val="24"/>
        </w:rPr>
      </w:pPr>
      <w:r w:rsidRPr="00217E08">
        <w:rPr>
          <w:rFonts w:ascii="Segoe UI" w:hAnsi="Segoe UI" w:cs="Segoe UI"/>
          <w:color w:val="000000"/>
          <w:sz w:val="24"/>
          <w:szCs w:val="24"/>
        </w:rPr>
        <w:t xml:space="preserve">Robinson-Huron </w:t>
      </w:r>
      <w:r>
        <w:rPr>
          <w:rFonts w:ascii="Segoe UI" w:hAnsi="Segoe UI" w:cs="Segoe UI"/>
          <w:color w:val="000000"/>
          <w:sz w:val="24"/>
          <w:szCs w:val="24"/>
        </w:rPr>
        <w:t>T</w:t>
      </w:r>
      <w:r w:rsidRPr="00217E08">
        <w:rPr>
          <w:rFonts w:ascii="Segoe UI" w:hAnsi="Segoe UI" w:cs="Segoe UI"/>
          <w:color w:val="000000"/>
          <w:sz w:val="24"/>
          <w:szCs w:val="24"/>
        </w:rPr>
        <w:t xml:space="preserve">reaty annuity settlement – $10B; </w:t>
      </w:r>
      <w:r>
        <w:rPr>
          <w:rFonts w:ascii="Segoe UI" w:hAnsi="Segoe UI" w:cs="Segoe UI"/>
          <w:color w:val="000000"/>
          <w:sz w:val="24"/>
          <w:szCs w:val="24"/>
        </w:rPr>
        <w:t>and,</w:t>
      </w:r>
    </w:p>
    <w:p w14:paraId="5EBC733E" w14:textId="77777777" w:rsidR="00350FA3" w:rsidRPr="00217E08" w:rsidRDefault="00350FA3" w:rsidP="00707DDF">
      <w:pPr>
        <w:pStyle w:val="Normal1"/>
        <w:numPr>
          <w:ilvl w:val="0"/>
          <w:numId w:val="13"/>
        </w:numPr>
        <w:spacing w:before="120" w:after="120"/>
        <w:ind w:right="181"/>
        <w:rPr>
          <w:rFonts w:ascii="Segoe UI" w:hAnsi="Segoe UI" w:cs="Segoe UI"/>
          <w:color w:val="000000"/>
          <w:sz w:val="24"/>
          <w:szCs w:val="24"/>
        </w:rPr>
      </w:pPr>
      <w:r w:rsidRPr="00217E08">
        <w:rPr>
          <w:rFonts w:ascii="Segoe UI" w:hAnsi="Segoe UI" w:cs="Segoe UI"/>
          <w:color w:val="000000"/>
          <w:sz w:val="24"/>
          <w:szCs w:val="24"/>
        </w:rPr>
        <w:t xml:space="preserve">Robinson-Superior </w:t>
      </w:r>
      <w:r>
        <w:rPr>
          <w:rFonts w:ascii="Segoe UI" w:hAnsi="Segoe UI" w:cs="Segoe UI"/>
          <w:color w:val="000000"/>
          <w:sz w:val="24"/>
          <w:szCs w:val="24"/>
        </w:rPr>
        <w:t>T</w:t>
      </w:r>
      <w:r w:rsidRPr="00217E08">
        <w:rPr>
          <w:rFonts w:ascii="Segoe UI" w:hAnsi="Segoe UI" w:cs="Segoe UI"/>
          <w:color w:val="000000"/>
          <w:sz w:val="24"/>
          <w:szCs w:val="24"/>
        </w:rPr>
        <w:t>reaty annuity litigation – up to $126B.</w:t>
      </w:r>
    </w:p>
    <w:p w14:paraId="7E9DEB82" w14:textId="77777777" w:rsidR="00350FA3" w:rsidRPr="00217E08" w:rsidRDefault="00350FA3" w:rsidP="005D7DB7">
      <w:pPr>
        <w:pStyle w:val="Normal1"/>
        <w:numPr>
          <w:ilvl w:val="0"/>
          <w:numId w:val="3"/>
        </w:numPr>
        <w:spacing w:before="120" w:after="120"/>
        <w:ind w:left="142" w:right="181"/>
        <w:rPr>
          <w:rFonts w:ascii="Segoe UI" w:hAnsi="Segoe UI" w:cs="Segoe UI"/>
          <w:color w:val="000000"/>
          <w:sz w:val="24"/>
          <w:szCs w:val="24"/>
        </w:rPr>
      </w:pPr>
      <w:r w:rsidRPr="00217E08">
        <w:rPr>
          <w:rFonts w:ascii="Segoe UI" w:hAnsi="Segoe UI" w:cs="Segoe UI"/>
          <w:color w:val="000000"/>
          <w:sz w:val="24"/>
          <w:szCs w:val="24"/>
        </w:rPr>
        <w:lastRenderedPageBreak/>
        <w:t>The bars to compensation also contravene the right</w:t>
      </w:r>
      <w:r>
        <w:rPr>
          <w:rFonts w:ascii="Segoe UI" w:hAnsi="Segoe UI" w:cs="Segoe UI"/>
          <w:color w:val="000000"/>
          <w:sz w:val="24"/>
          <w:szCs w:val="24"/>
        </w:rPr>
        <w:t>s</w:t>
      </w:r>
      <w:r w:rsidRPr="00217E08">
        <w:rPr>
          <w:rFonts w:ascii="Segoe UI" w:hAnsi="Segoe UI" w:cs="Segoe UI"/>
          <w:color w:val="000000"/>
          <w:sz w:val="24"/>
          <w:szCs w:val="24"/>
        </w:rPr>
        <w:t xml:space="preserve"> of Indigenous women and their descendants to redress for forced assimilation, guaranteed by Article 8(2)(d) of UNDRIP. Barring </w:t>
      </w:r>
      <w:r w:rsidRPr="00217E08">
        <w:rPr>
          <w:rFonts w:ascii="Segoe UI" w:hAnsi="Segoe UI" w:cs="Segoe UI"/>
          <w:sz w:val="24"/>
          <w:szCs w:val="24"/>
        </w:rPr>
        <w:t>Indigenous women from pursuing compensation also directly violates Articles 28 and 39 of UNDRIP</w:t>
      </w:r>
      <w:r>
        <w:rPr>
          <w:rFonts w:ascii="Segoe UI" w:hAnsi="Segoe UI" w:cs="Segoe UI"/>
          <w:sz w:val="24"/>
          <w:szCs w:val="24"/>
        </w:rPr>
        <w:t>.</w:t>
      </w:r>
      <w:r w:rsidRPr="00217E08">
        <w:rPr>
          <w:rFonts w:ascii="Segoe UI" w:hAnsi="Segoe UI" w:cs="Segoe UI"/>
          <w:color w:val="000000"/>
          <w:sz w:val="24"/>
          <w:szCs w:val="24"/>
          <w:vertAlign w:val="superscript"/>
        </w:rPr>
        <w:footnoteReference w:id="45"/>
      </w:r>
      <w:r w:rsidRPr="00217E08">
        <w:rPr>
          <w:rFonts w:ascii="Segoe UI" w:hAnsi="Segoe UI" w:cs="Segoe UI"/>
          <w:sz w:val="24"/>
          <w:szCs w:val="24"/>
        </w:rPr>
        <w:t xml:space="preserve"> These violations constitute further examples of Canada’s failure to comply with its international human rights obligations.</w:t>
      </w:r>
    </w:p>
    <w:p w14:paraId="0B60E034" w14:textId="77777777" w:rsidR="00350FA3" w:rsidRPr="00217E08" w:rsidRDefault="00350FA3" w:rsidP="005D7DB7">
      <w:pPr>
        <w:pStyle w:val="Normal1"/>
        <w:numPr>
          <w:ilvl w:val="0"/>
          <w:numId w:val="3"/>
        </w:numPr>
        <w:spacing w:before="120" w:after="120"/>
        <w:ind w:left="142" w:right="181"/>
        <w:rPr>
          <w:rFonts w:ascii="Segoe UI" w:hAnsi="Segoe UI" w:cs="Segoe UI"/>
          <w:color w:val="000000"/>
          <w:sz w:val="24"/>
          <w:szCs w:val="24"/>
        </w:rPr>
      </w:pPr>
      <w:r w:rsidRPr="00217E08">
        <w:rPr>
          <w:rFonts w:ascii="Segoe UI" w:hAnsi="Segoe UI" w:cs="Segoe UI"/>
          <w:color w:val="000000"/>
          <w:sz w:val="24"/>
          <w:szCs w:val="24"/>
        </w:rPr>
        <w:t xml:space="preserve">The Working Group notes that CEDAW </w:t>
      </w:r>
      <w:hyperlink r:id="rId59">
        <w:r w:rsidRPr="00217E08">
          <w:rPr>
            <w:rFonts w:ascii="Segoe UI" w:hAnsi="Segoe UI" w:cs="Segoe UI"/>
            <w:i/>
            <w:iCs/>
            <w:color w:val="833C0B"/>
            <w:sz w:val="24"/>
            <w:szCs w:val="24"/>
            <w:u w:val="single"/>
          </w:rPr>
          <w:t>General Recommendation No. 39 (2022)</w:t>
        </w:r>
      </w:hyperlink>
      <w:r w:rsidRPr="00217E08">
        <w:rPr>
          <w:rFonts w:ascii="Segoe UI" w:hAnsi="Segoe UI" w:cs="Segoe UI"/>
          <w:color w:val="000000"/>
          <w:sz w:val="24"/>
          <w:szCs w:val="24"/>
        </w:rPr>
        <w:t>, states: “The Committee acknowledges that Indigenous women and girls have suffered and continue to suffer from forced assimilation policies and other large-scale human rights violations, which may in certain instances amount to genocide. It is critical for States parties to address the consequences of historic injustices and to provide support and reparations to the affected communities as part of reconciliation and the process of building societies free from discrimination against indigenous women and girls.”</w:t>
      </w:r>
    </w:p>
    <w:p w14:paraId="1E85D5AD" w14:textId="77777777" w:rsidR="00350FA3" w:rsidRPr="00217E08" w:rsidRDefault="00350FA3" w:rsidP="005D7DB7">
      <w:pPr>
        <w:pStyle w:val="Normal1"/>
        <w:numPr>
          <w:ilvl w:val="0"/>
          <w:numId w:val="3"/>
        </w:numPr>
        <w:spacing w:before="120" w:after="120"/>
        <w:ind w:left="142" w:right="181"/>
        <w:rPr>
          <w:rFonts w:ascii="Segoe UI" w:hAnsi="Segoe UI" w:cs="Segoe UI"/>
          <w:sz w:val="24"/>
          <w:szCs w:val="24"/>
        </w:rPr>
      </w:pPr>
      <w:r w:rsidRPr="00217E08">
        <w:rPr>
          <w:rFonts w:ascii="Segoe UI" w:hAnsi="Segoe UI" w:cs="Segoe UI"/>
          <w:sz w:val="24"/>
          <w:szCs w:val="24"/>
        </w:rPr>
        <w:t>In October 2025, the Ontario Native Women’s Association (ONWA) in its submission for the Standing Senate Committee on Indigenous Peoples published a list of amendments to Bill S-2. Proposed amendment 4 called for the removal of legislative barriers to compensation to empower women and descendants seeking redress for past sex-based discrimination.</w:t>
      </w:r>
      <w:r w:rsidRPr="00217E08">
        <w:rPr>
          <w:rFonts w:ascii="Segoe UI" w:hAnsi="Segoe UI" w:cs="Segoe UI"/>
          <w:color w:val="000000"/>
          <w:sz w:val="24"/>
          <w:szCs w:val="24"/>
          <w:vertAlign w:val="superscript"/>
        </w:rPr>
        <w:footnoteReference w:id="46"/>
      </w:r>
      <w:r w:rsidRPr="00217E08">
        <w:rPr>
          <w:rFonts w:ascii="Segoe UI" w:hAnsi="Segoe UI" w:cs="Segoe UI"/>
          <w:sz w:val="24"/>
          <w:szCs w:val="24"/>
        </w:rPr>
        <w:t xml:space="preserve"> After years of calls from advocates, the Government of Canada continues to violate its human rights obligations by maintaining non-liability clauses in its latest Bill meant to remedy the harms of the </w:t>
      </w:r>
      <w:r w:rsidRPr="00217E08">
        <w:rPr>
          <w:rFonts w:ascii="Segoe UI" w:hAnsi="Segoe UI" w:cs="Segoe UI"/>
          <w:i/>
          <w:iCs/>
          <w:sz w:val="24"/>
          <w:szCs w:val="24"/>
        </w:rPr>
        <w:t>Indian Act</w:t>
      </w:r>
      <w:r w:rsidRPr="00217E08">
        <w:rPr>
          <w:rFonts w:ascii="Segoe UI" w:hAnsi="Segoe UI" w:cs="Segoe UI"/>
          <w:sz w:val="24"/>
          <w:szCs w:val="24"/>
        </w:rPr>
        <w:t xml:space="preserve">. </w:t>
      </w:r>
    </w:p>
    <w:p w14:paraId="0F631CD3" w14:textId="77777777" w:rsidR="00350FA3" w:rsidRPr="00FF13C5" w:rsidRDefault="00350FA3" w:rsidP="005D7DB7">
      <w:pPr>
        <w:pStyle w:val="Normal1"/>
        <w:numPr>
          <w:ilvl w:val="0"/>
          <w:numId w:val="3"/>
        </w:numPr>
        <w:spacing w:before="120" w:after="120"/>
        <w:ind w:left="142" w:right="286"/>
        <w:rPr>
          <w:rFonts w:ascii="Segoe UI" w:hAnsi="Segoe UI" w:cs="Segoe UI"/>
          <w:sz w:val="24"/>
          <w:szCs w:val="24"/>
        </w:rPr>
      </w:pPr>
      <w:r w:rsidRPr="00217E08">
        <w:rPr>
          <w:rFonts w:ascii="Segoe UI" w:hAnsi="Segoe UI" w:cs="Segoe UI"/>
          <w:sz w:val="24"/>
          <w:szCs w:val="24"/>
        </w:rPr>
        <w:t xml:space="preserve">The </w:t>
      </w:r>
      <w:hyperlink r:id="rId60" w:history="1">
        <w:r w:rsidRPr="00217E08">
          <w:rPr>
            <w:rFonts w:ascii="Segoe UI" w:hAnsi="Segoe UI" w:cs="Segoe UI"/>
            <w:color w:val="1155CC"/>
            <w:sz w:val="24"/>
            <w:szCs w:val="24"/>
            <w:u w:val="single"/>
          </w:rPr>
          <w:t>Senate Committee also stated i</w:t>
        </w:r>
        <w:r>
          <w:rPr>
            <w:rFonts w:ascii="Segoe UI" w:hAnsi="Segoe UI" w:cs="Segoe UI"/>
            <w:color w:val="1155CC"/>
            <w:sz w:val="24"/>
            <w:szCs w:val="24"/>
            <w:u w:val="single"/>
          </w:rPr>
          <w:t>n</w:t>
        </w:r>
        <w:r w:rsidRPr="00217E08">
          <w:rPr>
            <w:rFonts w:ascii="Segoe UI" w:hAnsi="Segoe UI" w:cs="Segoe UI"/>
            <w:color w:val="1155CC"/>
            <w:sz w:val="24"/>
            <w:szCs w:val="24"/>
            <w:u w:val="single"/>
          </w:rPr>
          <w:t xml:space="preserve"> its Report</w:t>
        </w:r>
      </w:hyperlink>
      <w:r w:rsidRPr="00217E08">
        <w:rPr>
          <w:rFonts w:ascii="Segoe UI" w:hAnsi="Segoe UI" w:cs="Segoe UI"/>
          <w:sz w:val="24"/>
          <w:szCs w:val="24"/>
        </w:rPr>
        <w:t>: “</w:t>
      </w:r>
      <w:r w:rsidRPr="00217E08">
        <w:rPr>
          <w:rFonts w:ascii="Segoe UI" w:hAnsi="Segoe UI" w:cs="Segoe UI"/>
          <w:color w:val="212529"/>
          <w:sz w:val="24"/>
          <w:szCs w:val="24"/>
          <w:highlight w:val="white"/>
        </w:rPr>
        <w:t xml:space="preserve">No Canadian law should include a bar to compensation for discrimination. The committee heard from witnesses who contend that the bars to compensation in the </w:t>
      </w:r>
      <w:r w:rsidRPr="00217E08">
        <w:rPr>
          <w:rFonts w:ascii="Segoe UI" w:hAnsi="Segoe UI" w:cs="Segoe UI"/>
          <w:i/>
          <w:iCs/>
          <w:color w:val="212529"/>
          <w:sz w:val="24"/>
          <w:szCs w:val="24"/>
          <w:highlight w:val="white"/>
        </w:rPr>
        <w:t xml:space="preserve">Indian Act </w:t>
      </w:r>
      <w:r w:rsidRPr="00217E08">
        <w:rPr>
          <w:rFonts w:ascii="Segoe UI" w:hAnsi="Segoe UI" w:cs="Segoe UI"/>
          <w:color w:val="212529"/>
          <w:sz w:val="24"/>
          <w:szCs w:val="24"/>
          <w:highlight w:val="white"/>
        </w:rPr>
        <w:t xml:space="preserve">violate the Charter and international treaties Canada has ratified. This committee agrees with witnesses that First Nations women should not have to resort to litigation in order to eliminate this bar. Your committee believes that a clear, statutory commitment is required that provides adequate, sustainable and predictable funding to First Nations to administer new regulations regarding status and membership. Currently, First Nations are already chronically underfunded, and many are unable to support current membership levels. Without investments, First Nations will continue to bear </w:t>
      </w:r>
      <w:r w:rsidRPr="00217E08">
        <w:rPr>
          <w:rFonts w:ascii="Segoe UI" w:hAnsi="Segoe UI" w:cs="Segoe UI"/>
          <w:color w:val="212529"/>
          <w:sz w:val="24"/>
          <w:szCs w:val="24"/>
          <w:highlight w:val="white"/>
        </w:rPr>
        <w:lastRenderedPageBreak/>
        <w:t>the administrative and financial burdens of current and increased membership levels.</w:t>
      </w:r>
      <w:r>
        <w:rPr>
          <w:rFonts w:ascii="Segoe UI" w:hAnsi="Segoe UI" w:cs="Segoe UI"/>
          <w:color w:val="212529"/>
          <w:sz w:val="24"/>
          <w:szCs w:val="24"/>
        </w:rPr>
        <w:t xml:space="preserve"> </w:t>
      </w:r>
    </w:p>
    <w:p w14:paraId="68558F5C" w14:textId="77777777" w:rsidR="00350FA3" w:rsidRPr="009465EA" w:rsidRDefault="00350FA3" w:rsidP="00F4303B">
      <w:pPr>
        <w:pStyle w:val="Normal1"/>
        <w:numPr>
          <w:ilvl w:val="0"/>
          <w:numId w:val="3"/>
        </w:numPr>
        <w:spacing w:before="120" w:after="120"/>
        <w:ind w:left="142" w:right="286"/>
        <w:rPr>
          <w:rFonts w:ascii="Segoe UI" w:hAnsi="Segoe UI" w:cs="Segoe UI"/>
          <w:color w:val="212529"/>
          <w:sz w:val="24"/>
          <w:szCs w:val="24"/>
        </w:rPr>
      </w:pPr>
      <w:r w:rsidRPr="009465EA">
        <w:rPr>
          <w:rFonts w:ascii="Segoe UI" w:hAnsi="Segoe UI" w:cs="Segoe UI"/>
          <w:color w:val="212529"/>
          <w:sz w:val="24"/>
          <w:szCs w:val="24"/>
        </w:rPr>
        <w:t xml:space="preserve">The Working Group has repeatedly recommended that all bars to compensation be removed, and that First Nations women and their descendants be compensated for the harms of sex discrimination, including the harm that not treating them as equal parents, able to transmit status on an equal footing with their male counterparts, has done to women in their role as principal conveyors of culture and language. </w:t>
      </w:r>
    </w:p>
    <w:p w14:paraId="3569ABEB" w14:textId="77777777" w:rsidR="00350FA3" w:rsidRDefault="00350FA3" w:rsidP="004F7EEB">
      <w:pPr>
        <w:pStyle w:val="Normal1"/>
        <w:ind w:right="286"/>
        <w:rPr>
          <w:rFonts w:ascii="Segoe UI" w:hAnsi="Segoe UI" w:cs="Segoe UI"/>
          <w:color w:val="212529"/>
          <w:sz w:val="24"/>
          <w:szCs w:val="24"/>
        </w:rPr>
      </w:pPr>
    </w:p>
    <w:p w14:paraId="31F514A3" w14:textId="77777777" w:rsidR="00350FA3" w:rsidRPr="004F7EEB" w:rsidRDefault="00350FA3" w:rsidP="004F7EEB">
      <w:pPr>
        <w:pStyle w:val="Heading3"/>
      </w:pPr>
      <w:bookmarkStart w:id="21" w:name="_Toc220932348"/>
      <w:r>
        <w:rPr>
          <w:rFonts w:ascii="Segoe UI" w:hAnsi="Segoe UI" w:cs="Segoe UI"/>
          <w:b/>
          <w:bCs/>
          <w:i/>
          <w:iCs/>
          <w:color w:val="C45911"/>
          <w:sz w:val="28"/>
          <w:szCs w:val="28"/>
        </w:rPr>
        <w:t xml:space="preserve">Removal of </w:t>
      </w:r>
      <w:r w:rsidRPr="004F7EEB">
        <w:rPr>
          <w:rFonts w:ascii="Segoe UI" w:hAnsi="Segoe UI" w:cs="Segoe UI"/>
          <w:b/>
          <w:bCs/>
          <w:i/>
          <w:iCs/>
          <w:color w:val="C45911"/>
          <w:sz w:val="28"/>
          <w:szCs w:val="28"/>
        </w:rPr>
        <w:t>6(1)(f), 6(2), the second generation cut-off, and the two-parent rule</w:t>
      </w:r>
      <w:bookmarkEnd w:id="21"/>
      <w:r>
        <w:rPr>
          <w:rFonts w:ascii="Segoe UI" w:hAnsi="Segoe UI" w:cs="Segoe UI"/>
          <w:b/>
          <w:bCs/>
          <w:i/>
          <w:iCs/>
          <w:color w:val="C45911"/>
          <w:sz w:val="28"/>
          <w:szCs w:val="28"/>
        </w:rPr>
        <w:t xml:space="preserve">  </w:t>
      </w:r>
    </w:p>
    <w:p w14:paraId="222588E2" w14:textId="77777777" w:rsidR="00350FA3" w:rsidRDefault="00350FA3" w:rsidP="005D7DB7">
      <w:pPr>
        <w:pStyle w:val="Normal1"/>
        <w:numPr>
          <w:ilvl w:val="0"/>
          <w:numId w:val="3"/>
        </w:numPr>
        <w:spacing w:before="120" w:after="120"/>
        <w:ind w:left="142" w:right="113"/>
        <w:jc w:val="both"/>
        <w:rPr>
          <w:rFonts w:ascii="Segoe UI" w:hAnsi="Segoe UI" w:cs="Segoe UI"/>
          <w:color w:val="000000"/>
          <w:sz w:val="24"/>
          <w:szCs w:val="24"/>
        </w:rPr>
      </w:pPr>
      <w:r w:rsidRPr="00217E08">
        <w:rPr>
          <w:rFonts w:ascii="Segoe UI" w:hAnsi="Segoe UI" w:cs="Segoe UI"/>
          <w:color w:val="000000"/>
          <w:sz w:val="24"/>
          <w:szCs w:val="24"/>
        </w:rPr>
        <w:t>Section 6(2), the second generation cut-off and the two-parent rule</w:t>
      </w:r>
      <w:r>
        <w:rPr>
          <w:rFonts w:ascii="Segoe UI" w:hAnsi="Segoe UI" w:cs="Segoe UI"/>
          <w:color w:val="000000"/>
          <w:sz w:val="24"/>
          <w:szCs w:val="24"/>
        </w:rPr>
        <w:t>,</w:t>
      </w:r>
      <w:r w:rsidRPr="00217E08">
        <w:rPr>
          <w:rFonts w:ascii="Segoe UI" w:hAnsi="Segoe UI" w:cs="Segoe UI"/>
          <w:color w:val="000000"/>
          <w:sz w:val="24"/>
          <w:szCs w:val="24"/>
        </w:rPr>
        <w:t xml:space="preserve"> were introduced to the </w:t>
      </w:r>
      <w:r w:rsidRPr="00217E08">
        <w:rPr>
          <w:rFonts w:ascii="Segoe UI" w:hAnsi="Segoe UI" w:cs="Segoe UI"/>
          <w:i/>
          <w:iCs/>
          <w:color w:val="000000"/>
          <w:sz w:val="24"/>
          <w:szCs w:val="24"/>
        </w:rPr>
        <w:t xml:space="preserve">Indian Act </w:t>
      </w:r>
      <w:r w:rsidRPr="00217E08">
        <w:rPr>
          <w:rFonts w:ascii="Segoe UI" w:hAnsi="Segoe UI" w:cs="Segoe UI"/>
          <w:color w:val="000000"/>
          <w:sz w:val="24"/>
          <w:szCs w:val="24"/>
        </w:rPr>
        <w:t xml:space="preserve">in 1985. Section 6(2) provides that someone who has only one status parent will get status for their lifetime. However, the 6(2) person </w:t>
      </w:r>
      <w:r>
        <w:rPr>
          <w:rFonts w:ascii="Segoe UI" w:hAnsi="Segoe UI" w:cs="Segoe UI"/>
          <w:color w:val="000000"/>
          <w:sz w:val="24"/>
          <w:szCs w:val="24"/>
        </w:rPr>
        <w:t>must parent</w:t>
      </w:r>
      <w:r w:rsidRPr="00217E08">
        <w:rPr>
          <w:rFonts w:ascii="Segoe UI" w:hAnsi="Segoe UI" w:cs="Segoe UI"/>
          <w:color w:val="000000"/>
          <w:sz w:val="24"/>
          <w:szCs w:val="24"/>
        </w:rPr>
        <w:t xml:space="preserve"> with another status person in order to ensure that their children have status. If a 6(2) person has a child with a non-status person that child will </w:t>
      </w:r>
      <w:r w:rsidRPr="007A7600">
        <w:rPr>
          <w:rFonts w:ascii="Segoe UI" w:hAnsi="Segoe UI" w:cs="Segoe UI"/>
          <w:i/>
          <w:iCs/>
          <w:color w:val="000000"/>
          <w:sz w:val="24"/>
          <w:szCs w:val="24"/>
        </w:rPr>
        <w:t>not</w:t>
      </w:r>
      <w:r w:rsidRPr="00217E08">
        <w:rPr>
          <w:rFonts w:ascii="Segoe UI" w:hAnsi="Segoe UI" w:cs="Segoe UI"/>
          <w:color w:val="000000"/>
          <w:sz w:val="24"/>
          <w:szCs w:val="24"/>
        </w:rPr>
        <w:t xml:space="preserve"> be entitled to status under the </w:t>
      </w:r>
      <w:r w:rsidRPr="00217E08">
        <w:rPr>
          <w:rFonts w:ascii="Segoe UI" w:hAnsi="Segoe UI" w:cs="Segoe UI"/>
          <w:i/>
          <w:iCs/>
          <w:color w:val="000000"/>
          <w:sz w:val="24"/>
          <w:szCs w:val="24"/>
        </w:rPr>
        <w:t>Indian Act</w:t>
      </w:r>
      <w:r w:rsidRPr="00217E08">
        <w:rPr>
          <w:rFonts w:ascii="Segoe UI" w:hAnsi="Segoe UI" w:cs="Segoe UI"/>
          <w:color w:val="000000"/>
          <w:sz w:val="24"/>
          <w:szCs w:val="24"/>
        </w:rPr>
        <w:t xml:space="preserve">. This is called the ‘second generation cut-off.’ </w:t>
      </w:r>
      <w:r>
        <w:rPr>
          <w:rFonts w:ascii="Segoe UI" w:hAnsi="Segoe UI" w:cs="Segoe UI"/>
          <w:color w:val="000000"/>
          <w:sz w:val="24"/>
          <w:szCs w:val="24"/>
        </w:rPr>
        <w:t>The second generation cut-off is illustrated in the graphic below:</w:t>
      </w:r>
    </w:p>
    <w:p w14:paraId="15010D83" w14:textId="77777777" w:rsidR="00350FA3" w:rsidRPr="00217E08" w:rsidRDefault="006E1A8F" w:rsidP="007A7600">
      <w:pPr>
        <w:pStyle w:val="Normal1"/>
        <w:spacing w:before="120" w:after="120"/>
        <w:ind w:left="142" w:right="113"/>
        <w:jc w:val="center"/>
        <w:rPr>
          <w:rFonts w:ascii="Segoe UI" w:hAnsi="Segoe UI" w:cs="Segoe UI"/>
          <w:color w:val="000000"/>
          <w:sz w:val="24"/>
          <w:szCs w:val="24"/>
        </w:rPr>
      </w:pPr>
      <w:r>
        <w:rPr>
          <w:rFonts w:ascii="Segoe UI" w:hAnsi="Segoe UI" w:cs="Segoe UI"/>
          <w:noProof/>
          <w:color w:val="000000"/>
          <w:sz w:val="24"/>
          <w:szCs w:val="24"/>
        </w:rPr>
        <w:drawing>
          <wp:inline distT="0" distB="0" distL="0" distR="0" wp14:anchorId="0BD640E4" wp14:editId="35842EB7">
            <wp:extent cx="4584700" cy="1957705"/>
            <wp:effectExtent l="0" t="0" r="0" b="0"/>
            <wp:docPr id="3" name="Picture 1" descr="A diagram of a child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A diagram of a childAI-generated content may be incorrect."/>
                    <pic:cNvPicPr>
                      <a:picLocks/>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584700" cy="1957705"/>
                    </a:xfrm>
                    <a:prstGeom prst="rect">
                      <a:avLst/>
                    </a:prstGeom>
                    <a:noFill/>
                    <a:ln>
                      <a:noFill/>
                    </a:ln>
                  </pic:spPr>
                </pic:pic>
              </a:graphicData>
            </a:graphic>
          </wp:inline>
        </w:drawing>
      </w:r>
    </w:p>
    <w:p w14:paraId="64701209" w14:textId="77777777" w:rsidR="00350FA3" w:rsidRPr="00217E08" w:rsidRDefault="00350FA3" w:rsidP="005D7DB7">
      <w:pPr>
        <w:pStyle w:val="Normal1"/>
        <w:numPr>
          <w:ilvl w:val="0"/>
          <w:numId w:val="3"/>
        </w:numPr>
        <w:spacing w:before="120" w:after="120"/>
        <w:ind w:left="142" w:right="181"/>
        <w:rPr>
          <w:rFonts w:ascii="Segoe UI" w:hAnsi="Segoe UI" w:cs="Segoe UI"/>
          <w:color w:val="000000"/>
          <w:sz w:val="24"/>
          <w:szCs w:val="24"/>
        </w:rPr>
      </w:pPr>
      <w:r w:rsidRPr="00217E08">
        <w:rPr>
          <w:rFonts w:ascii="Segoe UI" w:hAnsi="Segoe UI" w:cs="Segoe UI"/>
          <w:color w:val="000000"/>
          <w:sz w:val="24"/>
          <w:szCs w:val="24"/>
        </w:rPr>
        <w:t xml:space="preserve">As Claudette Dumont-Smith reported to the Minister for Crown-Indigenous Relations in 2017 regarding her consultations on </w:t>
      </w:r>
      <w:r w:rsidRPr="00217E08">
        <w:rPr>
          <w:rFonts w:ascii="Segoe UI" w:hAnsi="Segoe UI" w:cs="Segoe UI"/>
          <w:i/>
          <w:iCs/>
          <w:color w:val="000000"/>
          <w:sz w:val="24"/>
          <w:szCs w:val="24"/>
        </w:rPr>
        <w:t>Indian Act</w:t>
      </w:r>
      <w:r w:rsidRPr="00217E08">
        <w:rPr>
          <w:rFonts w:ascii="Segoe UI" w:hAnsi="Segoe UI" w:cs="Segoe UI"/>
          <w:color w:val="000000"/>
          <w:sz w:val="24"/>
          <w:szCs w:val="24"/>
        </w:rPr>
        <w:t xml:space="preserve"> discrimination issues “the inequity of greatest concern that was raised throughout the collaborative process was the second generation cut-off. The effect of this inequity is felt in the community and amongst families where some family members are registered and others [are] ineligible in spite of recent legislative changes through Bill S-3.”</w:t>
      </w:r>
      <w:r>
        <w:rPr>
          <w:rStyle w:val="FootnoteReference"/>
          <w:rFonts w:ascii="Segoe UI" w:hAnsi="Segoe UI" w:cs="Segoe UI"/>
          <w:color w:val="000000"/>
          <w:sz w:val="24"/>
          <w:szCs w:val="24"/>
        </w:rPr>
        <w:footnoteReference w:id="47"/>
      </w:r>
    </w:p>
    <w:p w14:paraId="3A70CCFE" w14:textId="77777777" w:rsidR="00350FA3" w:rsidRPr="00217E08" w:rsidRDefault="00350FA3" w:rsidP="005D7DB7">
      <w:pPr>
        <w:pStyle w:val="Normal1"/>
        <w:numPr>
          <w:ilvl w:val="0"/>
          <w:numId w:val="3"/>
        </w:numPr>
        <w:spacing w:before="120" w:after="120"/>
        <w:ind w:left="142" w:right="181"/>
        <w:rPr>
          <w:rFonts w:ascii="Segoe UI" w:hAnsi="Segoe UI" w:cs="Segoe UI"/>
          <w:sz w:val="24"/>
          <w:szCs w:val="24"/>
        </w:rPr>
      </w:pPr>
      <w:r w:rsidRPr="00217E08">
        <w:rPr>
          <w:rFonts w:ascii="Segoe UI" w:hAnsi="Segoe UI" w:cs="Segoe UI"/>
          <w:sz w:val="24"/>
          <w:szCs w:val="24"/>
        </w:rPr>
        <w:lastRenderedPageBreak/>
        <w:t>The second generation cut-off has been a focus of concern for years. The Senate’s recent amendments to Bill S-2, currently before the House of Commons, seek to completely eliminate the second generation cut</w:t>
      </w:r>
      <w:r>
        <w:rPr>
          <w:rFonts w:ascii="Segoe UI" w:hAnsi="Segoe UI" w:cs="Segoe UI"/>
          <w:sz w:val="24"/>
          <w:szCs w:val="24"/>
        </w:rPr>
        <w:t>-</w:t>
      </w:r>
      <w:r w:rsidRPr="00217E08">
        <w:rPr>
          <w:rFonts w:ascii="Segoe UI" w:hAnsi="Segoe UI" w:cs="Segoe UI"/>
          <w:sz w:val="24"/>
          <w:szCs w:val="24"/>
        </w:rPr>
        <w:t>off..</w:t>
      </w:r>
    </w:p>
    <w:p w14:paraId="1475116E" w14:textId="77777777" w:rsidR="00350FA3" w:rsidRPr="00217E08" w:rsidRDefault="00350FA3" w:rsidP="005D7DB7">
      <w:pPr>
        <w:pStyle w:val="Normal1"/>
        <w:numPr>
          <w:ilvl w:val="0"/>
          <w:numId w:val="3"/>
        </w:numPr>
        <w:spacing w:before="120" w:after="120"/>
        <w:ind w:left="142" w:right="154"/>
        <w:rPr>
          <w:rFonts w:ascii="Segoe UI" w:hAnsi="Segoe UI" w:cs="Segoe UI"/>
          <w:color w:val="000000"/>
          <w:sz w:val="24"/>
          <w:szCs w:val="24"/>
        </w:rPr>
      </w:pPr>
      <w:r w:rsidRPr="00217E08">
        <w:rPr>
          <w:rFonts w:ascii="Segoe UI" w:hAnsi="Segoe UI" w:cs="Segoe UI"/>
          <w:color w:val="000000"/>
          <w:sz w:val="24"/>
          <w:szCs w:val="24"/>
        </w:rPr>
        <w:t xml:space="preserve">The second generation cut-off and the two-parent rule perpetuate discrimination against women in three ways, outlined here.    </w:t>
      </w:r>
    </w:p>
    <w:p w14:paraId="6A2A64AD" w14:textId="77777777" w:rsidR="00350FA3" w:rsidRPr="00217E08" w:rsidRDefault="00350FA3">
      <w:pPr>
        <w:pStyle w:val="Heading4"/>
        <w:numPr>
          <w:ilvl w:val="0"/>
          <w:numId w:val="1"/>
        </w:numPr>
        <w:spacing w:before="120" w:after="120"/>
        <w:rPr>
          <w:rFonts w:ascii="Segoe UI" w:hAnsi="Segoe UI" w:cs="Segoe UI"/>
          <w:color w:val="993300"/>
          <w:sz w:val="24"/>
          <w:szCs w:val="24"/>
        </w:rPr>
      </w:pPr>
      <w:r w:rsidRPr="00217E08">
        <w:rPr>
          <w:rFonts w:ascii="Segoe UI" w:hAnsi="Segoe UI" w:cs="Segoe UI"/>
          <w:color w:val="993300"/>
          <w:sz w:val="24"/>
          <w:szCs w:val="24"/>
        </w:rPr>
        <w:t>They Penalize Women if the Father of their Child is Unknown or Unnamed</w:t>
      </w:r>
    </w:p>
    <w:p w14:paraId="77653821" w14:textId="77777777" w:rsidR="00350FA3" w:rsidRPr="00217E08" w:rsidRDefault="00350FA3" w:rsidP="005D7DB7">
      <w:pPr>
        <w:pStyle w:val="Normal1"/>
        <w:numPr>
          <w:ilvl w:val="0"/>
          <w:numId w:val="3"/>
        </w:numPr>
        <w:spacing w:before="120" w:after="120"/>
        <w:ind w:left="142" w:right="181"/>
        <w:rPr>
          <w:rFonts w:ascii="Segoe UI" w:hAnsi="Segoe UI" w:cs="Segoe UI"/>
          <w:color w:val="000000"/>
          <w:sz w:val="24"/>
          <w:szCs w:val="24"/>
        </w:rPr>
      </w:pPr>
      <w:r w:rsidRPr="00217E08">
        <w:rPr>
          <w:rFonts w:ascii="Segoe UI" w:hAnsi="Segoe UI" w:cs="Segoe UI"/>
          <w:color w:val="000000"/>
          <w:sz w:val="24"/>
          <w:szCs w:val="24"/>
        </w:rPr>
        <w:t xml:space="preserve">Until 1985, an Indian woman had the independent right to transmit status to her child in just one situation – where the state could not prove that the father was non-status. Under that old provision, the onus was on the government and its agents to show that the father was not an Indian. However, in 1985, the onus was reversed. Since then, the mother has – by way of ISC policy – the onus of establishing that the father of the child </w:t>
      </w:r>
      <w:r w:rsidRPr="00217E08">
        <w:rPr>
          <w:rFonts w:ascii="Segoe UI" w:hAnsi="Segoe UI" w:cs="Segoe UI"/>
          <w:b/>
          <w:bCs/>
          <w:color w:val="000000"/>
          <w:sz w:val="24"/>
          <w:szCs w:val="24"/>
        </w:rPr>
        <w:t xml:space="preserve">is </w:t>
      </w:r>
      <w:r w:rsidRPr="00217E08">
        <w:rPr>
          <w:rFonts w:ascii="Segoe UI" w:hAnsi="Segoe UI" w:cs="Segoe UI"/>
          <w:color w:val="000000"/>
          <w:sz w:val="24"/>
          <w:szCs w:val="24"/>
        </w:rPr>
        <w:t>a status person in order for the child to have status.</w:t>
      </w:r>
    </w:p>
    <w:p w14:paraId="012750CA" w14:textId="77777777" w:rsidR="00350FA3" w:rsidRPr="00217E08" w:rsidRDefault="00350FA3" w:rsidP="005D7DB7">
      <w:pPr>
        <w:pStyle w:val="Normal1"/>
        <w:numPr>
          <w:ilvl w:val="0"/>
          <w:numId w:val="3"/>
        </w:numPr>
        <w:spacing w:before="120" w:after="120"/>
        <w:ind w:left="142" w:right="181"/>
        <w:rPr>
          <w:rFonts w:ascii="Segoe UI" w:hAnsi="Segoe UI" w:cs="Segoe UI"/>
          <w:color w:val="000000"/>
          <w:sz w:val="24"/>
          <w:szCs w:val="24"/>
        </w:rPr>
      </w:pPr>
      <w:r w:rsidRPr="00217E08">
        <w:rPr>
          <w:rFonts w:ascii="Segoe UI" w:hAnsi="Segoe UI" w:cs="Segoe UI"/>
          <w:color w:val="000000"/>
          <w:sz w:val="24"/>
          <w:szCs w:val="24"/>
        </w:rPr>
        <w:t xml:space="preserve">This is sexist and problematic. Who is a child’s mother is usually readily apparent. Who is the father is not always apparent. Whether the father acknowledges his paternity and thus can be “counted” as the second status parent for purposes of eligibility for status is essentially his decision. The provision thus perpetuates the patriarchal and privileged role of the father in conferring status which was a feature of the </w:t>
      </w:r>
      <w:r w:rsidRPr="00217E08">
        <w:rPr>
          <w:rFonts w:ascii="Segoe UI" w:hAnsi="Segoe UI" w:cs="Segoe UI"/>
          <w:i/>
          <w:iCs/>
          <w:color w:val="000000"/>
          <w:sz w:val="24"/>
          <w:szCs w:val="24"/>
        </w:rPr>
        <w:t xml:space="preserve">Indian Act </w:t>
      </w:r>
      <w:r w:rsidRPr="00217E08">
        <w:rPr>
          <w:rFonts w:ascii="Segoe UI" w:hAnsi="Segoe UI" w:cs="Segoe UI"/>
          <w:color w:val="000000"/>
          <w:sz w:val="24"/>
          <w:szCs w:val="24"/>
        </w:rPr>
        <w:t>before 1985, albeit in a new way.</w:t>
      </w:r>
    </w:p>
    <w:p w14:paraId="5C53002A" w14:textId="77777777" w:rsidR="00350FA3" w:rsidRPr="00217E08" w:rsidRDefault="00350FA3" w:rsidP="005D7DB7">
      <w:pPr>
        <w:pStyle w:val="Normal1"/>
        <w:numPr>
          <w:ilvl w:val="0"/>
          <w:numId w:val="3"/>
        </w:numPr>
        <w:spacing w:before="120" w:after="120"/>
        <w:ind w:left="142" w:right="181"/>
        <w:rPr>
          <w:rFonts w:ascii="Segoe UI" w:hAnsi="Segoe UI" w:cs="Segoe UI"/>
          <w:color w:val="000000"/>
          <w:sz w:val="24"/>
          <w:szCs w:val="24"/>
        </w:rPr>
      </w:pPr>
      <w:r w:rsidRPr="00217E08">
        <w:rPr>
          <w:rFonts w:ascii="Segoe UI" w:hAnsi="Segoe UI" w:cs="Segoe UI"/>
          <w:color w:val="000000"/>
          <w:sz w:val="24"/>
          <w:szCs w:val="24"/>
        </w:rPr>
        <w:t xml:space="preserve">Moreover, there </w:t>
      </w:r>
      <w:r>
        <w:rPr>
          <w:rFonts w:ascii="Segoe UI" w:hAnsi="Segoe UI" w:cs="Segoe UI"/>
          <w:color w:val="000000"/>
          <w:sz w:val="24"/>
          <w:szCs w:val="24"/>
        </w:rPr>
        <w:t xml:space="preserve">may be instances where </w:t>
      </w:r>
      <w:r w:rsidRPr="00217E08">
        <w:rPr>
          <w:rFonts w:ascii="Segoe UI" w:hAnsi="Segoe UI" w:cs="Segoe UI"/>
          <w:color w:val="000000"/>
          <w:sz w:val="24"/>
          <w:szCs w:val="24"/>
        </w:rPr>
        <w:t xml:space="preserve">it is not desirable or possible to name the father. </w:t>
      </w:r>
      <w:r>
        <w:rPr>
          <w:rFonts w:ascii="Segoe UI" w:hAnsi="Segoe UI" w:cs="Segoe UI"/>
          <w:color w:val="000000"/>
          <w:sz w:val="24"/>
          <w:szCs w:val="24"/>
        </w:rPr>
        <w:t>In some cases,</w:t>
      </w:r>
      <w:r w:rsidRPr="00217E08">
        <w:rPr>
          <w:rFonts w:ascii="Segoe UI" w:hAnsi="Segoe UI" w:cs="Segoe UI"/>
          <w:color w:val="000000"/>
          <w:sz w:val="24"/>
          <w:szCs w:val="24"/>
        </w:rPr>
        <w:t xml:space="preserve"> putting </w:t>
      </w:r>
      <w:r>
        <w:rPr>
          <w:rFonts w:ascii="Segoe UI" w:hAnsi="Segoe UI" w:cs="Segoe UI"/>
          <w:color w:val="000000"/>
          <w:sz w:val="24"/>
          <w:szCs w:val="24"/>
        </w:rPr>
        <w:t>the name of the father</w:t>
      </w:r>
      <w:r w:rsidRPr="00217E08">
        <w:rPr>
          <w:rFonts w:ascii="Segoe UI" w:hAnsi="Segoe UI" w:cs="Segoe UI"/>
          <w:color w:val="000000"/>
          <w:sz w:val="24"/>
          <w:szCs w:val="24"/>
        </w:rPr>
        <w:t xml:space="preserve"> on the birth certificate or status application will have negative effects on both the child and the mother. </w:t>
      </w:r>
      <w:r>
        <w:rPr>
          <w:rFonts w:ascii="Segoe UI" w:hAnsi="Segoe UI" w:cs="Segoe UI"/>
          <w:color w:val="000000"/>
          <w:sz w:val="24"/>
          <w:szCs w:val="24"/>
        </w:rPr>
        <w:t>Reasons for this are varied, but may include cases of incest, the presence or threat of violence, or other. Furthermore, there are cases where t</w:t>
      </w:r>
      <w:r w:rsidRPr="00217E08">
        <w:rPr>
          <w:rFonts w:ascii="Segoe UI" w:hAnsi="Segoe UI" w:cs="Segoe UI"/>
          <w:color w:val="000000"/>
          <w:sz w:val="24"/>
          <w:szCs w:val="24"/>
        </w:rPr>
        <w:t xml:space="preserve">he father of the child may be unknown, </w:t>
      </w:r>
      <w:r>
        <w:rPr>
          <w:rFonts w:ascii="Segoe UI" w:hAnsi="Segoe UI" w:cs="Segoe UI"/>
          <w:color w:val="000000"/>
          <w:sz w:val="24"/>
          <w:szCs w:val="24"/>
        </w:rPr>
        <w:t>as in</w:t>
      </w:r>
      <w:r w:rsidRPr="00217E08">
        <w:rPr>
          <w:rFonts w:ascii="Segoe UI" w:hAnsi="Segoe UI" w:cs="Segoe UI"/>
          <w:color w:val="000000"/>
          <w:sz w:val="24"/>
          <w:szCs w:val="24"/>
        </w:rPr>
        <w:t xml:space="preserve"> rape or gang rape.</w:t>
      </w:r>
    </w:p>
    <w:p w14:paraId="773A4098" w14:textId="77777777" w:rsidR="00350FA3" w:rsidRPr="00217E08" w:rsidRDefault="00350FA3" w:rsidP="005D7DB7">
      <w:pPr>
        <w:pStyle w:val="Normal1"/>
        <w:numPr>
          <w:ilvl w:val="0"/>
          <w:numId w:val="3"/>
        </w:numPr>
        <w:spacing w:before="120" w:after="120"/>
        <w:ind w:left="142" w:right="181"/>
        <w:rPr>
          <w:rFonts w:ascii="Segoe UI" w:hAnsi="Segoe UI" w:cs="Segoe UI"/>
          <w:color w:val="000000"/>
          <w:sz w:val="24"/>
          <w:szCs w:val="24"/>
        </w:rPr>
      </w:pPr>
      <w:r w:rsidRPr="00217E08">
        <w:rPr>
          <w:rFonts w:ascii="Segoe UI" w:hAnsi="Segoe UI" w:cs="Segoe UI"/>
          <w:color w:val="000000"/>
          <w:sz w:val="24"/>
          <w:szCs w:val="24"/>
        </w:rPr>
        <w:t>Where the father of the child is unnamed or unknown, the ‘Gehl provision</w:t>
      </w:r>
      <w:r>
        <w:rPr>
          <w:rFonts w:ascii="Segoe UI" w:hAnsi="Segoe UI" w:cs="Segoe UI"/>
          <w:color w:val="000000"/>
          <w:sz w:val="24"/>
          <w:szCs w:val="24"/>
        </w:rPr>
        <w:t>,</w:t>
      </w:r>
      <w:r w:rsidRPr="00217E08">
        <w:rPr>
          <w:rFonts w:ascii="Segoe UI" w:hAnsi="Segoe UI" w:cs="Segoe UI"/>
          <w:color w:val="000000"/>
          <w:sz w:val="24"/>
          <w:szCs w:val="24"/>
        </w:rPr>
        <w:t>’ introduced in 2017</w:t>
      </w:r>
      <w:r>
        <w:rPr>
          <w:rFonts w:ascii="Segoe UI" w:hAnsi="Segoe UI" w:cs="Segoe UI"/>
          <w:color w:val="000000"/>
          <w:sz w:val="24"/>
          <w:szCs w:val="24"/>
        </w:rPr>
        <w:t>,</w:t>
      </w:r>
      <w:r w:rsidRPr="00217E08">
        <w:rPr>
          <w:rFonts w:ascii="Segoe UI" w:hAnsi="Segoe UI" w:cs="Segoe UI"/>
          <w:color w:val="000000"/>
          <w:sz w:val="24"/>
          <w:szCs w:val="24"/>
        </w:rPr>
        <w:t xml:space="preserve"> in Bill S-3</w:t>
      </w:r>
      <w:r>
        <w:rPr>
          <w:rFonts w:ascii="Segoe UI" w:hAnsi="Segoe UI" w:cs="Segoe UI"/>
          <w:color w:val="000000"/>
          <w:sz w:val="24"/>
          <w:szCs w:val="24"/>
        </w:rPr>
        <w:t>,</w:t>
      </w:r>
      <w:r w:rsidRPr="00217E08">
        <w:rPr>
          <w:rFonts w:ascii="Segoe UI" w:hAnsi="Segoe UI" w:cs="Segoe UI"/>
          <w:i/>
          <w:iCs/>
          <w:color w:val="000000"/>
          <w:sz w:val="24"/>
          <w:szCs w:val="24"/>
        </w:rPr>
        <w:t xml:space="preserve"> </w:t>
      </w:r>
      <w:r w:rsidRPr="00217E08">
        <w:rPr>
          <w:rFonts w:ascii="Segoe UI" w:hAnsi="Segoe UI" w:cs="Segoe UI"/>
          <w:color w:val="000000"/>
          <w:sz w:val="24"/>
          <w:szCs w:val="24"/>
        </w:rPr>
        <w:t>allows the mother to bring forward such evidence as she can to establish the father’s Indian status, and the Registrar must give that evidence a reasonable interpretation. The father need not be named. However, if she does not have that evidence, and if she has 6(2) status herself, the child will not receive Indian status.</w:t>
      </w:r>
    </w:p>
    <w:p w14:paraId="10CCFDC2" w14:textId="77777777" w:rsidR="00350FA3" w:rsidRPr="00217E08" w:rsidRDefault="00350FA3" w:rsidP="005D7DB7">
      <w:pPr>
        <w:pStyle w:val="Normal1"/>
        <w:numPr>
          <w:ilvl w:val="0"/>
          <w:numId w:val="3"/>
        </w:numPr>
        <w:spacing w:before="120" w:after="120"/>
        <w:ind w:left="142" w:right="181"/>
        <w:rPr>
          <w:rFonts w:ascii="Segoe UI" w:hAnsi="Segoe UI" w:cs="Segoe UI"/>
          <w:sz w:val="24"/>
          <w:szCs w:val="24"/>
        </w:rPr>
      </w:pPr>
      <w:r w:rsidRPr="00217E08">
        <w:rPr>
          <w:rFonts w:ascii="Segoe UI" w:hAnsi="Segoe UI" w:cs="Segoe UI"/>
          <w:sz w:val="24"/>
          <w:szCs w:val="24"/>
        </w:rPr>
        <w:t>By contrast, the Senate’s December 2025 amendment to Bill S-2 introduce</w:t>
      </w:r>
      <w:r>
        <w:rPr>
          <w:rFonts w:ascii="Segoe UI" w:hAnsi="Segoe UI" w:cs="Segoe UI"/>
          <w:sz w:val="24"/>
          <w:szCs w:val="24"/>
        </w:rPr>
        <w:t>s</w:t>
      </w:r>
      <w:r w:rsidRPr="00217E08">
        <w:rPr>
          <w:rFonts w:ascii="Segoe UI" w:hAnsi="Segoe UI" w:cs="Segoe UI"/>
          <w:sz w:val="24"/>
          <w:szCs w:val="24"/>
        </w:rPr>
        <w:t xml:space="preserve"> a one</w:t>
      </w:r>
      <w:r>
        <w:rPr>
          <w:rFonts w:ascii="Segoe UI" w:hAnsi="Segoe UI" w:cs="Segoe UI"/>
          <w:sz w:val="24"/>
          <w:szCs w:val="24"/>
        </w:rPr>
        <w:t xml:space="preserve"> </w:t>
      </w:r>
      <w:r w:rsidRPr="00217E08">
        <w:rPr>
          <w:rFonts w:ascii="Segoe UI" w:hAnsi="Segoe UI" w:cs="Segoe UI"/>
          <w:sz w:val="24"/>
          <w:szCs w:val="24"/>
        </w:rPr>
        <w:t xml:space="preserve">parent rule for transmission of status: so long as one parent of the child is a status-holder, the child will be eligible for status. This removes the </w:t>
      </w:r>
      <w:r>
        <w:rPr>
          <w:rFonts w:ascii="Segoe UI" w:hAnsi="Segoe UI" w:cs="Segoe UI"/>
          <w:sz w:val="24"/>
          <w:szCs w:val="24"/>
        </w:rPr>
        <w:t>sex</w:t>
      </w:r>
      <w:r w:rsidRPr="00217E08">
        <w:rPr>
          <w:rFonts w:ascii="Segoe UI" w:hAnsi="Segoe UI" w:cs="Segoe UI"/>
          <w:sz w:val="24"/>
          <w:szCs w:val="24"/>
        </w:rPr>
        <w:t>-based discrimination inherent in the two-parent rule, empowering women who are unable to attain evidence, who do not wish to name their child’s father, o</w:t>
      </w:r>
      <w:r>
        <w:rPr>
          <w:rFonts w:ascii="Segoe UI" w:hAnsi="Segoe UI" w:cs="Segoe UI"/>
          <w:sz w:val="24"/>
          <w:szCs w:val="24"/>
        </w:rPr>
        <w:t>r</w:t>
      </w:r>
      <w:r w:rsidRPr="00217E08">
        <w:rPr>
          <w:rFonts w:ascii="Segoe UI" w:hAnsi="Segoe UI" w:cs="Segoe UI"/>
          <w:sz w:val="24"/>
          <w:szCs w:val="24"/>
        </w:rPr>
        <w:t xml:space="preserve"> who do not know the identity of their child’s father.</w:t>
      </w:r>
    </w:p>
    <w:p w14:paraId="232FBC97" w14:textId="77777777" w:rsidR="00350FA3" w:rsidRPr="00217E08" w:rsidRDefault="00350FA3">
      <w:pPr>
        <w:pStyle w:val="Heading4"/>
        <w:numPr>
          <w:ilvl w:val="0"/>
          <w:numId w:val="1"/>
        </w:numPr>
        <w:spacing w:before="120" w:after="120"/>
        <w:rPr>
          <w:rFonts w:ascii="Segoe UI" w:hAnsi="Segoe UI" w:cs="Segoe UI"/>
          <w:color w:val="993300"/>
          <w:sz w:val="24"/>
          <w:szCs w:val="24"/>
        </w:rPr>
      </w:pPr>
      <w:r w:rsidRPr="00217E08">
        <w:rPr>
          <w:rFonts w:ascii="Segoe UI" w:hAnsi="Segoe UI" w:cs="Segoe UI"/>
          <w:color w:val="993300"/>
          <w:sz w:val="24"/>
          <w:szCs w:val="24"/>
        </w:rPr>
        <w:lastRenderedPageBreak/>
        <w:t xml:space="preserve">They Carry Forward the Original Sex Discrimination </w:t>
      </w:r>
    </w:p>
    <w:p w14:paraId="7962C0C6" w14:textId="77777777" w:rsidR="00350FA3" w:rsidRPr="00217E08" w:rsidRDefault="00350FA3" w:rsidP="005D7DB7">
      <w:pPr>
        <w:pStyle w:val="Normal1"/>
        <w:numPr>
          <w:ilvl w:val="0"/>
          <w:numId w:val="3"/>
        </w:numPr>
        <w:spacing w:before="120" w:after="120"/>
        <w:ind w:left="142" w:right="443"/>
        <w:jc w:val="both"/>
        <w:rPr>
          <w:rFonts w:ascii="Segoe UI" w:hAnsi="Segoe UI" w:cs="Segoe UI"/>
          <w:color w:val="000000"/>
          <w:sz w:val="24"/>
          <w:szCs w:val="24"/>
        </w:rPr>
      </w:pPr>
      <w:r w:rsidRPr="00217E08">
        <w:rPr>
          <w:rFonts w:ascii="Segoe UI" w:hAnsi="Segoe UI" w:cs="Segoe UI"/>
          <w:color w:val="000000"/>
          <w:sz w:val="24"/>
          <w:szCs w:val="24"/>
        </w:rPr>
        <w:t>The 1985 amendment, Bill C-31, preserved the old advantages of Indian men by providing that the non-status – often non-Indigenous – women whom they married and endowed with status before 1985 would henceforth be able to pass status on to a child, something they could not do before 1985.</w:t>
      </w:r>
    </w:p>
    <w:p w14:paraId="5C8A568D" w14:textId="77777777" w:rsidR="00350FA3" w:rsidRPr="00217E08" w:rsidRDefault="00350FA3" w:rsidP="005D7DB7">
      <w:pPr>
        <w:pStyle w:val="Normal1"/>
        <w:numPr>
          <w:ilvl w:val="0"/>
          <w:numId w:val="3"/>
        </w:numPr>
        <w:spacing w:before="120" w:after="120"/>
        <w:ind w:left="142" w:right="187"/>
        <w:rPr>
          <w:rFonts w:ascii="Segoe UI" w:hAnsi="Segoe UI" w:cs="Segoe UI"/>
          <w:color w:val="000000"/>
          <w:sz w:val="24"/>
          <w:szCs w:val="24"/>
        </w:rPr>
      </w:pPr>
      <w:r w:rsidRPr="00217E08">
        <w:rPr>
          <w:rFonts w:ascii="Segoe UI" w:hAnsi="Segoe UI" w:cs="Segoe UI"/>
          <w:color w:val="000000"/>
          <w:sz w:val="24"/>
          <w:szCs w:val="24"/>
        </w:rPr>
        <w:t xml:space="preserve">In this way, a whole population of eligible two-parent status families came into being in 1985. By contrast, the non-status men who had married status women, cost the women their status, but were </w:t>
      </w:r>
      <w:r w:rsidRPr="00217E08">
        <w:rPr>
          <w:rFonts w:ascii="Segoe UI" w:hAnsi="Segoe UI" w:cs="Segoe UI"/>
          <w:b/>
          <w:bCs/>
          <w:i/>
          <w:iCs/>
          <w:color w:val="000000"/>
          <w:sz w:val="24"/>
          <w:szCs w:val="24"/>
        </w:rPr>
        <w:t>not</w:t>
      </w:r>
      <w:r w:rsidRPr="00217E08">
        <w:rPr>
          <w:rFonts w:ascii="Segoe UI" w:hAnsi="Segoe UI" w:cs="Segoe UI"/>
          <w:b/>
          <w:bCs/>
          <w:color w:val="000000"/>
          <w:sz w:val="24"/>
          <w:szCs w:val="24"/>
        </w:rPr>
        <w:t xml:space="preserve"> </w:t>
      </w:r>
      <w:r w:rsidRPr="00217E08">
        <w:rPr>
          <w:rFonts w:ascii="Segoe UI" w:hAnsi="Segoe UI" w:cs="Segoe UI"/>
          <w:color w:val="000000"/>
          <w:sz w:val="24"/>
          <w:szCs w:val="24"/>
        </w:rPr>
        <w:t>given status. Thus the women restored to status were left out of the privileged circle of families with two status parents. It is thus more likely that the children of families led by status women will become 6(2)s before the children of families led by status men. The new rules simply perpetuate the old discrimination against the female line under a new guise.</w:t>
      </w:r>
    </w:p>
    <w:p w14:paraId="42274B58" w14:textId="77777777" w:rsidR="00350FA3" w:rsidRPr="00217E08" w:rsidRDefault="00350FA3" w:rsidP="005D7DB7">
      <w:pPr>
        <w:pStyle w:val="Normal1"/>
        <w:numPr>
          <w:ilvl w:val="0"/>
          <w:numId w:val="3"/>
        </w:numPr>
        <w:spacing w:before="120" w:after="120"/>
        <w:ind w:left="142" w:right="187"/>
        <w:rPr>
          <w:rFonts w:ascii="Segoe UI" w:hAnsi="Segoe UI" w:cs="Segoe UI"/>
          <w:sz w:val="24"/>
          <w:szCs w:val="24"/>
        </w:rPr>
      </w:pPr>
      <w:r w:rsidRPr="00217E08">
        <w:rPr>
          <w:rFonts w:ascii="Segoe UI" w:hAnsi="Segoe UI" w:cs="Segoe UI"/>
          <w:sz w:val="24"/>
          <w:szCs w:val="24"/>
        </w:rPr>
        <w:t>The current version of Bill S-2 in the House of Commons, as amended</w:t>
      </w:r>
      <w:r>
        <w:rPr>
          <w:rFonts w:ascii="Segoe UI" w:hAnsi="Segoe UI" w:cs="Segoe UI"/>
          <w:sz w:val="24"/>
          <w:szCs w:val="24"/>
        </w:rPr>
        <w:t xml:space="preserve"> by the Senate</w:t>
      </w:r>
      <w:r w:rsidRPr="00217E08">
        <w:rPr>
          <w:rFonts w:ascii="Segoe UI" w:hAnsi="Segoe UI" w:cs="Segoe UI"/>
          <w:sz w:val="24"/>
          <w:szCs w:val="24"/>
        </w:rPr>
        <w:t xml:space="preserve">, directly addresses the differences in status resulting from decades of discrimination against Indigenous women. If passed in the House of Commons, the Bill would eliminate the second-generation cut-off, which prevents children with one 6(2) and one non-status parent from registering as status Indians. </w:t>
      </w:r>
    </w:p>
    <w:p w14:paraId="78824CED" w14:textId="77777777" w:rsidR="00350FA3" w:rsidRPr="00217E08" w:rsidRDefault="00350FA3">
      <w:pPr>
        <w:pStyle w:val="Heading4"/>
        <w:numPr>
          <w:ilvl w:val="0"/>
          <w:numId w:val="1"/>
        </w:numPr>
        <w:spacing w:before="120" w:after="120"/>
        <w:rPr>
          <w:rFonts w:ascii="Segoe UI" w:hAnsi="Segoe UI" w:cs="Segoe UI"/>
          <w:color w:val="993300"/>
          <w:sz w:val="24"/>
          <w:szCs w:val="24"/>
        </w:rPr>
      </w:pPr>
      <w:r w:rsidRPr="00217E08">
        <w:rPr>
          <w:rFonts w:ascii="Segoe UI" w:hAnsi="Segoe UI" w:cs="Segoe UI"/>
          <w:color w:val="993300"/>
          <w:sz w:val="24"/>
          <w:szCs w:val="24"/>
        </w:rPr>
        <w:t>Pre and Post 1985 Birth and Marriage Dates</w:t>
      </w:r>
    </w:p>
    <w:p w14:paraId="39CE17C2" w14:textId="77777777" w:rsidR="00350FA3" w:rsidRPr="00217E08" w:rsidRDefault="00350FA3" w:rsidP="005D7DB7">
      <w:pPr>
        <w:pStyle w:val="Normal1"/>
        <w:numPr>
          <w:ilvl w:val="0"/>
          <w:numId w:val="3"/>
        </w:numPr>
        <w:spacing w:before="120" w:after="120"/>
        <w:ind w:left="142" w:right="203"/>
        <w:rPr>
          <w:rFonts w:ascii="Segoe UI" w:hAnsi="Segoe UI" w:cs="Segoe UI"/>
          <w:color w:val="000000"/>
          <w:sz w:val="24"/>
          <w:szCs w:val="24"/>
        </w:rPr>
      </w:pPr>
      <w:r w:rsidRPr="00217E08">
        <w:rPr>
          <w:rFonts w:ascii="Segoe UI" w:hAnsi="Segoe UI" w:cs="Segoe UI"/>
          <w:color w:val="000000"/>
          <w:sz w:val="24"/>
          <w:szCs w:val="24"/>
        </w:rPr>
        <w:t xml:space="preserve">In some families, siblings with the same birth parents, have full section 6(1)(a) status or no status depending on whether they were born before or after April 17, 1985. Similar anomalies arise because of the date of marriage of the parents, whether before or after April 17, 1985. This ‘1985 cut-off’ was found to be discriminatory by CEDAW in its ruling in </w:t>
      </w:r>
      <w:hyperlink r:id="rId62">
        <w:r w:rsidRPr="00217E08">
          <w:rPr>
            <w:rFonts w:ascii="Segoe UI" w:hAnsi="Segoe UI" w:cs="Segoe UI"/>
            <w:i/>
            <w:iCs/>
            <w:color w:val="833C0B"/>
            <w:sz w:val="24"/>
            <w:szCs w:val="24"/>
            <w:u w:val="single"/>
          </w:rPr>
          <w:t>Matson v. Canada</w:t>
        </w:r>
      </w:hyperlink>
      <w:r w:rsidRPr="00217E08">
        <w:rPr>
          <w:rFonts w:ascii="Segoe UI" w:hAnsi="Segoe UI" w:cs="Segoe UI"/>
          <w:color w:val="000000"/>
          <w:sz w:val="24"/>
          <w:szCs w:val="24"/>
        </w:rPr>
        <w:t xml:space="preserve">. CEDAW Committee member, Ms. Corinne Dettmeijer-Vermeulen, in testimony before the Senate Committee on Aboriginal Peoples in May 2022 regarding the CEDAW Committee’s decision, </w:t>
      </w:r>
      <w:hyperlink r:id="rId63">
        <w:r w:rsidRPr="00217E08">
          <w:rPr>
            <w:rFonts w:ascii="Segoe UI" w:hAnsi="Segoe UI" w:cs="Segoe UI"/>
            <w:color w:val="833C0B"/>
            <w:sz w:val="24"/>
            <w:szCs w:val="24"/>
            <w:u w:val="single"/>
          </w:rPr>
          <w:t>stated that</w:t>
        </w:r>
      </w:hyperlink>
      <w:r w:rsidRPr="00217E08">
        <w:rPr>
          <w:rFonts w:ascii="Segoe UI" w:hAnsi="Segoe UI" w:cs="Segoe UI"/>
          <w:color w:val="000000"/>
          <w:sz w:val="24"/>
          <w:szCs w:val="24"/>
        </w:rPr>
        <w:t xml:space="preserve"> “even if not currently based on the gender of the descendants themselves, it perpetuates in practice the differential treatment of descendants of previously disenfranchised Indigenous women.” The </w:t>
      </w:r>
      <w:hyperlink r:id="rId64">
        <w:r w:rsidRPr="00217E08">
          <w:rPr>
            <w:rFonts w:ascii="Segoe UI" w:hAnsi="Segoe UI" w:cs="Segoe UI"/>
            <w:color w:val="833C0B"/>
            <w:sz w:val="24"/>
            <w:szCs w:val="24"/>
            <w:u w:val="single"/>
          </w:rPr>
          <w:t>CEDAW Committee directed Canada to</w:t>
        </w:r>
      </w:hyperlink>
      <w:r w:rsidRPr="00217E08">
        <w:rPr>
          <w:rFonts w:ascii="Segoe UI" w:hAnsi="Segoe UI" w:cs="Segoe UI"/>
          <w:color w:val="000000"/>
          <w:sz w:val="24"/>
          <w:szCs w:val="24"/>
        </w:rPr>
        <w:t xml:space="preserve"> “[a]mend its legislation… to address fully the adverse effects of the historical gender inequality in the </w:t>
      </w:r>
      <w:r w:rsidRPr="00217E08">
        <w:rPr>
          <w:rFonts w:ascii="Segoe UI" w:hAnsi="Segoe UI" w:cs="Segoe UI"/>
          <w:i/>
          <w:iCs/>
          <w:color w:val="000000"/>
          <w:sz w:val="24"/>
          <w:szCs w:val="24"/>
        </w:rPr>
        <w:t xml:space="preserve">Indian Act </w:t>
      </w:r>
      <w:r w:rsidRPr="00217E08">
        <w:rPr>
          <w:rFonts w:ascii="Segoe UI" w:hAnsi="Segoe UI" w:cs="Segoe UI"/>
          <w:color w:val="000000"/>
          <w:sz w:val="24"/>
          <w:szCs w:val="24"/>
        </w:rPr>
        <w:t>….including by eliminating cut-off dates in the registration provisions and taking all other measures necessary to provide registration to all matrilineal descendants on an equal basis to patrilineal descendants.” The 1985 cut-off date also causes discrimination on the basis of age, family and marital status.</w:t>
      </w:r>
    </w:p>
    <w:p w14:paraId="32724A77" w14:textId="77777777" w:rsidR="00350FA3" w:rsidRPr="00217E08" w:rsidRDefault="00350FA3" w:rsidP="005D7DB7">
      <w:pPr>
        <w:pStyle w:val="Normal1"/>
        <w:numPr>
          <w:ilvl w:val="0"/>
          <w:numId w:val="3"/>
        </w:numPr>
        <w:spacing w:before="120" w:after="120"/>
        <w:ind w:left="142" w:right="181"/>
        <w:rPr>
          <w:rFonts w:ascii="Segoe UI" w:hAnsi="Segoe UI" w:cs="Segoe UI"/>
          <w:color w:val="000000"/>
          <w:sz w:val="24"/>
          <w:szCs w:val="24"/>
          <w:vertAlign w:val="superscript"/>
        </w:rPr>
      </w:pPr>
      <w:r w:rsidRPr="00217E08">
        <w:rPr>
          <w:rFonts w:ascii="Segoe UI" w:hAnsi="Segoe UI" w:cs="Segoe UI"/>
          <w:color w:val="000000"/>
          <w:sz w:val="24"/>
          <w:szCs w:val="24"/>
        </w:rPr>
        <w:t xml:space="preserve">The </w:t>
      </w:r>
      <w:hyperlink r:id="rId65">
        <w:r w:rsidRPr="00217E08">
          <w:rPr>
            <w:rFonts w:ascii="Segoe UI" w:hAnsi="Segoe UI" w:cs="Segoe UI"/>
            <w:color w:val="833C0B"/>
            <w:sz w:val="24"/>
            <w:szCs w:val="24"/>
            <w:u w:val="single"/>
          </w:rPr>
          <w:t>Canadian Human Rights Commission has encouraged Canada to take the CEDAW ruling into account</w:t>
        </w:r>
      </w:hyperlink>
      <w:r w:rsidRPr="00217E08">
        <w:rPr>
          <w:rFonts w:ascii="Segoe UI" w:hAnsi="Segoe UI" w:cs="Segoe UI"/>
          <w:color w:val="000000"/>
          <w:sz w:val="24"/>
          <w:szCs w:val="24"/>
        </w:rPr>
        <w:t xml:space="preserve"> in its new amendment to the </w:t>
      </w:r>
      <w:r w:rsidRPr="00217E08">
        <w:rPr>
          <w:rFonts w:ascii="Segoe UI" w:hAnsi="Segoe UI" w:cs="Segoe UI"/>
          <w:i/>
          <w:iCs/>
          <w:color w:val="000000"/>
          <w:sz w:val="24"/>
          <w:szCs w:val="24"/>
        </w:rPr>
        <w:t>Indian Act</w:t>
      </w:r>
      <w:r w:rsidRPr="00217E08">
        <w:rPr>
          <w:rFonts w:ascii="Segoe UI" w:hAnsi="Segoe UI" w:cs="Segoe UI"/>
          <w:color w:val="000000"/>
          <w:sz w:val="24"/>
          <w:szCs w:val="24"/>
        </w:rPr>
        <w:t xml:space="preserve">. The </w:t>
      </w:r>
      <w:hyperlink r:id="rId66">
        <w:r w:rsidRPr="00217E08">
          <w:rPr>
            <w:rFonts w:ascii="Segoe UI" w:hAnsi="Segoe UI" w:cs="Segoe UI"/>
            <w:color w:val="833C0B"/>
            <w:sz w:val="24"/>
            <w:szCs w:val="24"/>
            <w:u w:val="single"/>
          </w:rPr>
          <w:t>Senate Committee found that</w:t>
        </w:r>
      </w:hyperlink>
      <w:r w:rsidRPr="00217E08">
        <w:rPr>
          <w:rFonts w:ascii="Segoe UI" w:hAnsi="Segoe UI" w:cs="Segoe UI"/>
          <w:color w:val="000000"/>
          <w:sz w:val="24"/>
          <w:szCs w:val="24"/>
        </w:rPr>
        <w:t xml:space="preserve"> “as with the second generation cut-off, this matter must be urgently addressed by the Government of Canada to ensure equality in the registration provisions.”</w:t>
      </w:r>
    </w:p>
    <w:p w14:paraId="659F7AAA" w14:textId="77777777" w:rsidR="00350FA3" w:rsidRDefault="00350FA3" w:rsidP="005D7DB7">
      <w:pPr>
        <w:pStyle w:val="Normal1"/>
        <w:numPr>
          <w:ilvl w:val="0"/>
          <w:numId w:val="3"/>
        </w:numPr>
        <w:spacing w:before="119" w:after="120" w:line="259" w:lineRule="auto"/>
        <w:ind w:left="142" w:right="181"/>
        <w:rPr>
          <w:rFonts w:ascii="Segoe UI" w:hAnsi="Segoe UI" w:cs="Segoe UI"/>
          <w:color w:val="000000"/>
          <w:sz w:val="24"/>
          <w:szCs w:val="24"/>
        </w:rPr>
      </w:pPr>
      <w:r w:rsidRPr="00217E08">
        <w:rPr>
          <w:rFonts w:ascii="Segoe UI" w:hAnsi="Segoe UI" w:cs="Segoe UI"/>
          <w:color w:val="000000"/>
          <w:sz w:val="24"/>
          <w:szCs w:val="24"/>
        </w:rPr>
        <w:lastRenderedPageBreak/>
        <w:t xml:space="preserve">The Working Group has urged the Government of Canada to eliminate </w:t>
      </w:r>
      <w:r>
        <w:rPr>
          <w:rFonts w:ascii="Segoe UI" w:hAnsi="Segoe UI" w:cs="Segoe UI"/>
          <w:color w:val="000000"/>
          <w:sz w:val="24"/>
          <w:szCs w:val="24"/>
        </w:rPr>
        <w:t xml:space="preserve">core elements of the </w:t>
      </w:r>
      <w:r w:rsidRPr="00217E08">
        <w:rPr>
          <w:rFonts w:ascii="Segoe UI" w:hAnsi="Segoe UI" w:cs="Segoe UI"/>
          <w:color w:val="000000"/>
          <w:sz w:val="24"/>
          <w:szCs w:val="24"/>
        </w:rPr>
        <w:t xml:space="preserve">discrimination </w:t>
      </w:r>
      <w:r>
        <w:rPr>
          <w:rFonts w:ascii="Segoe UI" w:hAnsi="Segoe UI" w:cs="Segoe UI"/>
          <w:color w:val="000000"/>
          <w:sz w:val="24"/>
          <w:szCs w:val="24"/>
        </w:rPr>
        <w:t xml:space="preserve">caused by the second generation cut-off and the 1985 cut-off </w:t>
      </w:r>
      <w:r w:rsidRPr="00217E08">
        <w:rPr>
          <w:rFonts w:ascii="Segoe UI" w:hAnsi="Segoe UI" w:cs="Segoe UI"/>
          <w:color w:val="000000"/>
          <w:sz w:val="24"/>
          <w:szCs w:val="24"/>
        </w:rPr>
        <w:t xml:space="preserve">by establishing a one parent rule for transmission for both male and female parents. The Working Group fully supports the Senate amendment to Bill S-2, which would do so. This is what should have been done in 1985 to correct the decades of discrimination against the women and to put them on the same footing as their male counterparts. The 2019 ‘6(1)(a) all the way’ amendment that was hard fought for by First Nations women, their allies, and the Senate of Canada. It reflects the decision of the UN Human Rights Committee in </w:t>
      </w:r>
      <w:r w:rsidRPr="00217E08">
        <w:rPr>
          <w:rFonts w:ascii="Segoe UI" w:hAnsi="Segoe UI" w:cs="Segoe UI"/>
          <w:i/>
          <w:iCs/>
          <w:color w:val="000000"/>
          <w:sz w:val="24"/>
          <w:szCs w:val="24"/>
        </w:rPr>
        <w:t>McIvor and Grismer v. Canada</w:t>
      </w:r>
      <w:r w:rsidRPr="00217E08">
        <w:rPr>
          <w:rFonts w:ascii="Segoe UI" w:hAnsi="Segoe UI" w:cs="Segoe UI"/>
          <w:color w:val="000000"/>
          <w:sz w:val="24"/>
          <w:szCs w:val="24"/>
        </w:rPr>
        <w:t xml:space="preserve"> and essentially established a one parent rule for women and men from 1869 to 1985. However, it did not correct the post-1985 discrimination caused by the Government of Canada’s imposition for the first time of a two-parent rule. Instating a one parent rule for both male and female parents from 1985 onwards is what should have been done in 1985. But it was not. Canada can do it now.</w:t>
      </w:r>
    </w:p>
    <w:p w14:paraId="3231B7E1" w14:textId="77777777" w:rsidR="00350FA3" w:rsidRDefault="00350FA3" w:rsidP="00252CFF">
      <w:pPr>
        <w:pStyle w:val="Normal1"/>
        <w:spacing w:before="119" w:after="120" w:line="259" w:lineRule="auto"/>
        <w:ind w:right="181"/>
        <w:rPr>
          <w:rFonts w:ascii="Segoe UI" w:hAnsi="Segoe UI" w:cs="Segoe UI"/>
          <w:color w:val="000000"/>
          <w:sz w:val="24"/>
          <w:szCs w:val="24"/>
        </w:rPr>
      </w:pPr>
    </w:p>
    <w:p w14:paraId="386810B3" w14:textId="77777777" w:rsidR="00350FA3" w:rsidRPr="006D63F7" w:rsidRDefault="00350FA3" w:rsidP="006D63F7">
      <w:pPr>
        <w:pStyle w:val="Heading2"/>
        <w:rPr>
          <w:rFonts w:ascii="Segoe UI" w:hAnsi="Segoe UI" w:cs="Segoe UI"/>
          <w:b/>
          <w:bCs/>
          <w:i/>
          <w:iCs/>
          <w:color w:val="C45911"/>
          <w:sz w:val="28"/>
          <w:szCs w:val="28"/>
        </w:rPr>
      </w:pPr>
      <w:bookmarkStart w:id="22" w:name="_Toc220932349"/>
      <w:r w:rsidRPr="006D63F7">
        <w:rPr>
          <w:rFonts w:ascii="Segoe UI" w:hAnsi="Segoe UI" w:cs="Segoe UI"/>
          <w:b/>
          <w:bCs/>
          <w:color w:val="C45911"/>
          <w:sz w:val="28"/>
          <w:szCs w:val="28"/>
        </w:rPr>
        <w:t>3. Reparations and Restoration</w:t>
      </w:r>
      <w:bookmarkEnd w:id="22"/>
    </w:p>
    <w:p w14:paraId="0B557454" w14:textId="77777777" w:rsidR="00350FA3" w:rsidRPr="00117C9D" w:rsidRDefault="00350FA3" w:rsidP="005D7DB7">
      <w:pPr>
        <w:pStyle w:val="Normal1"/>
        <w:numPr>
          <w:ilvl w:val="0"/>
          <w:numId w:val="3"/>
        </w:numPr>
        <w:spacing w:before="120" w:after="120"/>
        <w:ind w:left="142"/>
        <w:rPr>
          <w:rFonts w:ascii="Segoe UI" w:hAnsi="Segoe UI" w:cs="Segoe UI"/>
          <w:sz w:val="24"/>
          <w:szCs w:val="24"/>
        </w:rPr>
      </w:pPr>
      <w:r w:rsidRPr="00217E08">
        <w:rPr>
          <w:rFonts w:ascii="Segoe UI" w:hAnsi="Segoe UI" w:cs="Segoe UI"/>
          <w:sz w:val="24"/>
          <w:szCs w:val="24"/>
        </w:rPr>
        <w:t>The</w:t>
      </w:r>
      <w:r>
        <w:rPr>
          <w:rFonts w:ascii="Segoe UI" w:hAnsi="Segoe UI" w:cs="Segoe UI"/>
          <w:sz w:val="24"/>
          <w:szCs w:val="24"/>
        </w:rPr>
        <w:t xml:space="preserve"> </w:t>
      </w:r>
      <w:r w:rsidRPr="00217E08">
        <w:rPr>
          <w:rFonts w:ascii="Segoe UI" w:hAnsi="Segoe UI" w:cs="Segoe UI"/>
          <w:sz w:val="24"/>
          <w:szCs w:val="24"/>
        </w:rPr>
        <w:t xml:space="preserve">Senate Committee’s </w:t>
      </w:r>
      <w:r w:rsidRPr="00117C9D">
        <w:rPr>
          <w:rFonts w:ascii="Segoe UI" w:hAnsi="Segoe UI" w:cs="Segoe UI"/>
          <w:i/>
          <w:iCs/>
          <w:sz w:val="24"/>
          <w:szCs w:val="24"/>
        </w:rPr>
        <w:t>Make It Stop!</w:t>
      </w:r>
      <w:r>
        <w:rPr>
          <w:rFonts w:ascii="Segoe UI" w:hAnsi="Segoe UI" w:cs="Segoe UI"/>
          <w:sz w:val="24"/>
          <w:szCs w:val="24"/>
        </w:rPr>
        <w:t xml:space="preserve"> </w:t>
      </w:r>
      <w:r w:rsidRPr="00217E08">
        <w:rPr>
          <w:rFonts w:ascii="Segoe UI" w:hAnsi="Segoe UI" w:cs="Segoe UI"/>
          <w:sz w:val="24"/>
          <w:szCs w:val="24"/>
        </w:rPr>
        <w:t xml:space="preserve">report highlights the importance of reparations in </w:t>
      </w:r>
      <w:hyperlink r:id="rId67" w:anchor="heading=h.x9vfga4cx9mg">
        <w:r w:rsidRPr="00217E08">
          <w:rPr>
            <w:rFonts w:ascii="Segoe UI" w:hAnsi="Segoe UI" w:cs="Segoe UI"/>
            <w:color w:val="833C0B"/>
            <w:sz w:val="24"/>
            <w:szCs w:val="24"/>
            <w:u w:val="single"/>
          </w:rPr>
          <w:t>Recommendations 7 and 8</w:t>
        </w:r>
      </w:hyperlink>
      <w:r w:rsidRPr="00217E08">
        <w:rPr>
          <w:rFonts w:ascii="Segoe UI" w:hAnsi="Segoe UI" w:cs="Segoe UI"/>
          <w:sz w:val="24"/>
          <w:szCs w:val="24"/>
        </w:rPr>
        <w:t xml:space="preserve">. Yet Canada has not </w:t>
      </w:r>
      <w:r w:rsidRPr="00117C9D">
        <w:rPr>
          <w:rFonts w:ascii="Segoe UI" w:hAnsi="Segoe UI" w:cs="Segoe UI"/>
          <w:sz w:val="24"/>
          <w:szCs w:val="24"/>
        </w:rPr>
        <w:t xml:space="preserve">taken action on either of these, despite its stated commitments to truth and reconciliation, and its legislated commitment to the implementation of </w:t>
      </w:r>
      <w:hyperlink r:id="rId68">
        <w:r w:rsidRPr="00117C9D">
          <w:rPr>
            <w:rFonts w:ascii="Segoe UI" w:hAnsi="Segoe UI" w:cs="Segoe UI"/>
            <w:color w:val="833C0B"/>
            <w:sz w:val="24"/>
            <w:szCs w:val="24"/>
            <w:u w:val="single"/>
          </w:rPr>
          <w:t>UNDRIP. Article 8</w:t>
        </w:r>
      </w:hyperlink>
      <w:r w:rsidRPr="00117C9D">
        <w:rPr>
          <w:rFonts w:ascii="Segoe UI" w:hAnsi="Segoe UI" w:cs="Segoe UI"/>
          <w:sz w:val="24"/>
          <w:szCs w:val="24"/>
        </w:rPr>
        <w:t xml:space="preserve"> of UNDRIP provides that States shall provide effective redress for any form of forced assimilation. </w:t>
      </w:r>
    </w:p>
    <w:p w14:paraId="685C7110" w14:textId="77777777" w:rsidR="00350FA3" w:rsidRPr="00217E08" w:rsidRDefault="00350FA3" w:rsidP="005D7DB7">
      <w:pPr>
        <w:pStyle w:val="Normal1"/>
        <w:numPr>
          <w:ilvl w:val="0"/>
          <w:numId w:val="3"/>
        </w:numPr>
        <w:spacing w:before="120" w:after="120"/>
        <w:ind w:left="142"/>
        <w:rPr>
          <w:rFonts w:ascii="Segoe UI" w:hAnsi="Segoe UI" w:cs="Segoe UI"/>
          <w:sz w:val="24"/>
          <w:szCs w:val="24"/>
        </w:rPr>
      </w:pPr>
      <w:r w:rsidRPr="00117C9D">
        <w:rPr>
          <w:rFonts w:ascii="Segoe UI" w:hAnsi="Segoe UI" w:cs="Segoe UI"/>
          <w:sz w:val="24"/>
          <w:szCs w:val="24"/>
        </w:rPr>
        <w:t xml:space="preserve">The </w:t>
      </w:r>
      <w:r w:rsidRPr="00F4303B">
        <w:rPr>
          <w:rFonts w:ascii="Segoe UI" w:hAnsi="Segoe UI" w:cs="Segoe UI"/>
          <w:i/>
          <w:iCs/>
          <w:sz w:val="24"/>
          <w:szCs w:val="24"/>
        </w:rPr>
        <w:t>McIvor</w:t>
      </w:r>
      <w:r w:rsidRPr="00117C9D">
        <w:rPr>
          <w:rFonts w:ascii="Segoe UI" w:hAnsi="Segoe UI" w:cs="Segoe UI"/>
          <w:sz w:val="24"/>
          <w:szCs w:val="24"/>
        </w:rPr>
        <w:t xml:space="preserve"> and </w:t>
      </w:r>
      <w:r w:rsidRPr="00F4303B">
        <w:rPr>
          <w:rFonts w:ascii="Segoe UI" w:hAnsi="Segoe UI" w:cs="Segoe UI"/>
          <w:i/>
          <w:iCs/>
          <w:sz w:val="24"/>
          <w:szCs w:val="24"/>
        </w:rPr>
        <w:t>Matson</w:t>
      </w:r>
      <w:r w:rsidRPr="00117C9D">
        <w:rPr>
          <w:rFonts w:ascii="Segoe UI" w:hAnsi="Segoe UI" w:cs="Segoe UI"/>
          <w:sz w:val="24"/>
          <w:szCs w:val="24"/>
        </w:rPr>
        <w:t xml:space="preserve"> cases also highlight this critical issue of redress</w:t>
      </w:r>
      <w:r w:rsidRPr="00217E08">
        <w:rPr>
          <w:rFonts w:ascii="Segoe UI" w:hAnsi="Segoe UI" w:cs="Segoe UI"/>
          <w:sz w:val="24"/>
          <w:szCs w:val="24"/>
        </w:rPr>
        <w:t xml:space="preserve"> and restoration.  </w:t>
      </w:r>
    </w:p>
    <w:p w14:paraId="3D6A55A5" w14:textId="77777777" w:rsidR="00350FA3" w:rsidRDefault="00350FA3" w:rsidP="005D7DB7">
      <w:pPr>
        <w:pStyle w:val="Normal1"/>
        <w:numPr>
          <w:ilvl w:val="0"/>
          <w:numId w:val="3"/>
        </w:numPr>
        <w:spacing w:before="120" w:after="120"/>
        <w:ind w:left="142"/>
        <w:rPr>
          <w:rFonts w:ascii="Segoe UI" w:hAnsi="Segoe UI" w:cs="Segoe UI"/>
          <w:sz w:val="24"/>
          <w:szCs w:val="24"/>
        </w:rPr>
      </w:pPr>
      <w:r w:rsidRPr="00217E08">
        <w:rPr>
          <w:rFonts w:ascii="Segoe UI" w:hAnsi="Segoe UI" w:cs="Segoe UI"/>
          <w:sz w:val="24"/>
          <w:szCs w:val="24"/>
        </w:rPr>
        <w:t xml:space="preserve">Reparations are essential for the effective implementation of the ICCPR, CEDAW and UNDRIP, and </w:t>
      </w:r>
      <w:hyperlink r:id="rId69">
        <w:r w:rsidRPr="00217E08">
          <w:rPr>
            <w:rFonts w:ascii="Segoe UI" w:hAnsi="Segoe UI" w:cs="Segoe UI"/>
            <w:color w:val="833C0B"/>
            <w:sz w:val="24"/>
            <w:szCs w:val="24"/>
            <w:u w:val="single"/>
          </w:rPr>
          <w:t>are a means of</w:t>
        </w:r>
      </w:hyperlink>
      <w:r w:rsidRPr="00217E08">
        <w:rPr>
          <w:rFonts w:ascii="Segoe UI" w:hAnsi="Segoe UI" w:cs="Segoe UI"/>
          <w:sz w:val="24"/>
          <w:szCs w:val="24"/>
        </w:rPr>
        <w:t xml:space="preserve"> “addressing colonization and its long-term effects and of overcoming challenges with deep historical roots.” The women and their descendants who have been prevented from enjoying and exercising their rights as registered First Nations individuals have waited </w:t>
      </w:r>
      <w:r>
        <w:rPr>
          <w:rFonts w:ascii="Segoe UI" w:hAnsi="Segoe UI" w:cs="Segoe UI"/>
          <w:sz w:val="24"/>
          <w:szCs w:val="24"/>
        </w:rPr>
        <w:t>150</w:t>
      </w:r>
      <w:r w:rsidRPr="00217E08">
        <w:rPr>
          <w:rFonts w:ascii="Segoe UI" w:hAnsi="Segoe UI" w:cs="Segoe UI"/>
          <w:sz w:val="24"/>
          <w:szCs w:val="24"/>
        </w:rPr>
        <w:t xml:space="preserve"> years to be recognized. It is past time for this discrimination to be addressed through compensation, apology, memorialization, and public education about Canada’s persistent denial of rights and its ongoing impacts. Importantly, as noted by </w:t>
      </w:r>
      <w:hyperlink r:id="rId70">
        <w:r w:rsidRPr="00217E08">
          <w:rPr>
            <w:rFonts w:ascii="Segoe UI" w:hAnsi="Segoe UI" w:cs="Segoe UI"/>
            <w:color w:val="833C0B"/>
            <w:sz w:val="24"/>
            <w:szCs w:val="24"/>
            <w:u w:val="single"/>
          </w:rPr>
          <w:t>EMRIP in its 2019 study on the subject of reparations</w:t>
        </w:r>
      </w:hyperlink>
      <w:r w:rsidRPr="00217E08">
        <w:rPr>
          <w:rFonts w:ascii="Segoe UI" w:hAnsi="Segoe UI" w:cs="Segoe UI"/>
          <w:sz w:val="24"/>
          <w:szCs w:val="24"/>
        </w:rPr>
        <w:t>, that “while apologies and other measures of satisfaction are to be commended, they should translate into tangible changes in terms of respect for and protection of the rights of indigenous peoples.”</w:t>
      </w:r>
      <w:bookmarkStart w:id="23" w:name="_heading_h_dupkc9mfn9mp" w:colFirst="0" w:colLast="0"/>
      <w:bookmarkStart w:id="24" w:name="_heading_h_l6hcol879t0l" w:colFirst="0" w:colLast="0"/>
      <w:bookmarkStart w:id="25" w:name="_heading_h_q8awzkbjs07b" w:colFirst="0" w:colLast="0"/>
      <w:bookmarkEnd w:id="23"/>
      <w:bookmarkEnd w:id="24"/>
      <w:bookmarkEnd w:id="25"/>
    </w:p>
    <w:p w14:paraId="336464D2" w14:textId="77777777" w:rsidR="00350FA3" w:rsidRPr="00217E08" w:rsidRDefault="00350FA3">
      <w:pPr>
        <w:pStyle w:val="Heading1"/>
        <w:rPr>
          <w:rFonts w:ascii="Segoe UI" w:hAnsi="Segoe UI" w:cs="Segoe UI"/>
        </w:rPr>
      </w:pPr>
      <w:bookmarkStart w:id="26" w:name="_heading_h_32ox7dps0y9c" w:colFirst="0" w:colLast="0"/>
      <w:bookmarkStart w:id="27" w:name="_heading_h_y0v5h7yol2jp" w:colFirst="0" w:colLast="0"/>
      <w:bookmarkStart w:id="28" w:name="_Toc220932350"/>
      <w:bookmarkEnd w:id="26"/>
      <w:bookmarkEnd w:id="27"/>
      <w:r>
        <w:rPr>
          <w:rFonts w:ascii="Segoe UI" w:hAnsi="Segoe UI" w:cs="Segoe UI"/>
        </w:rPr>
        <w:lastRenderedPageBreak/>
        <w:t>C</w:t>
      </w:r>
      <w:r w:rsidRPr="00217E08">
        <w:rPr>
          <w:rFonts w:ascii="Segoe UI" w:hAnsi="Segoe UI" w:cs="Segoe UI"/>
        </w:rPr>
        <w:t>onclusion</w:t>
      </w:r>
      <w:bookmarkEnd w:id="28"/>
    </w:p>
    <w:p w14:paraId="2D7CA9E0" w14:textId="77777777" w:rsidR="00350FA3" w:rsidRDefault="00350FA3" w:rsidP="005D7DB7">
      <w:pPr>
        <w:pStyle w:val="Normal1"/>
        <w:numPr>
          <w:ilvl w:val="0"/>
          <w:numId w:val="3"/>
        </w:numPr>
        <w:spacing w:before="120" w:after="120"/>
        <w:ind w:left="142" w:right="432"/>
        <w:rPr>
          <w:rFonts w:ascii="Segoe UI" w:hAnsi="Segoe UI" w:cs="Segoe UI"/>
          <w:sz w:val="24"/>
          <w:szCs w:val="24"/>
        </w:rPr>
      </w:pPr>
      <w:bookmarkStart w:id="29" w:name="_heading_h_2lypsrh3puv0" w:colFirst="0" w:colLast="0"/>
      <w:bookmarkEnd w:id="29"/>
      <w:r w:rsidRPr="00217E08">
        <w:rPr>
          <w:rFonts w:ascii="Segoe UI" w:hAnsi="Segoe UI" w:cs="Segoe UI"/>
          <w:sz w:val="24"/>
          <w:szCs w:val="24"/>
        </w:rPr>
        <w:t xml:space="preserve">Despite some progress, Canada refuses to act to fully remove all </w:t>
      </w:r>
      <w:r>
        <w:rPr>
          <w:rFonts w:ascii="Segoe UI" w:hAnsi="Segoe UI" w:cs="Segoe UI"/>
          <w:sz w:val="24"/>
          <w:szCs w:val="24"/>
        </w:rPr>
        <w:t xml:space="preserve">sex </w:t>
      </w:r>
      <w:r w:rsidRPr="00217E08">
        <w:rPr>
          <w:rFonts w:ascii="Segoe UI" w:hAnsi="Segoe UI" w:cs="Segoe UI"/>
          <w:sz w:val="24"/>
          <w:szCs w:val="24"/>
        </w:rPr>
        <w:t xml:space="preserve">discrimination from the </w:t>
      </w:r>
      <w:r w:rsidRPr="00217E08">
        <w:rPr>
          <w:rFonts w:ascii="Segoe UI" w:hAnsi="Segoe UI" w:cs="Segoe UI"/>
          <w:i/>
          <w:iCs/>
          <w:sz w:val="24"/>
          <w:szCs w:val="24"/>
        </w:rPr>
        <w:t>Indian Act</w:t>
      </w:r>
      <w:r w:rsidRPr="00217E08">
        <w:rPr>
          <w:rFonts w:ascii="Segoe UI" w:hAnsi="Segoe UI" w:cs="Segoe UI"/>
          <w:sz w:val="24"/>
          <w:szCs w:val="24"/>
        </w:rPr>
        <w:t xml:space="preserve">, even though it has been </w:t>
      </w:r>
      <w:hyperlink r:id="rId71">
        <w:r w:rsidRPr="00217E08">
          <w:rPr>
            <w:rFonts w:ascii="Segoe UI" w:hAnsi="Segoe UI" w:cs="Segoe UI"/>
            <w:color w:val="833C0B"/>
            <w:sz w:val="24"/>
            <w:szCs w:val="24"/>
            <w:u w:val="single"/>
          </w:rPr>
          <w:t>urged to do so repeatedly by UN treaty bodies</w:t>
        </w:r>
      </w:hyperlink>
      <w:r w:rsidRPr="00217E08">
        <w:rPr>
          <w:rFonts w:ascii="Segoe UI" w:hAnsi="Segoe UI" w:cs="Segoe UI"/>
          <w:sz w:val="24"/>
          <w:szCs w:val="24"/>
        </w:rPr>
        <w:t xml:space="preserve">, and even though this discrimination has been identified as a root cause of the human rights crisis of murders and disappearances of Indigenous women and girls. Indigenous women have been fighting to end this sex discrimination for more than fifty years. </w:t>
      </w:r>
    </w:p>
    <w:p w14:paraId="228DCB32" w14:textId="77777777" w:rsidR="00350FA3" w:rsidRPr="00217E08" w:rsidRDefault="00350FA3" w:rsidP="005D7DB7">
      <w:pPr>
        <w:pStyle w:val="Normal1"/>
        <w:numPr>
          <w:ilvl w:val="0"/>
          <w:numId w:val="3"/>
        </w:numPr>
        <w:spacing w:before="120" w:after="120"/>
        <w:ind w:left="142" w:right="432"/>
        <w:rPr>
          <w:rFonts w:ascii="Segoe UI" w:hAnsi="Segoe UI" w:cs="Segoe UI"/>
          <w:sz w:val="24"/>
          <w:szCs w:val="24"/>
        </w:rPr>
      </w:pPr>
      <w:r>
        <w:rPr>
          <w:rFonts w:ascii="Segoe UI" w:hAnsi="Segoe UI" w:cs="Segoe UI"/>
          <w:sz w:val="24"/>
          <w:szCs w:val="24"/>
        </w:rPr>
        <w:t xml:space="preserve">In 2026, First Nations women and men and First Nations are facing the devastating effects of the legal extinction plan introduced in 1985, which perpetuates sex discrimination, is resulting in the loss of status by children and grandchildren of current status holders, and threatens the future of First Nations. </w:t>
      </w:r>
      <w:r w:rsidRPr="00217E08">
        <w:rPr>
          <w:rFonts w:ascii="Segoe UI" w:hAnsi="Segoe UI" w:cs="Segoe UI"/>
          <w:sz w:val="24"/>
          <w:szCs w:val="24"/>
        </w:rPr>
        <w:t>Unless</w:t>
      </w:r>
      <w:r>
        <w:rPr>
          <w:rFonts w:ascii="Segoe UI" w:hAnsi="Segoe UI" w:cs="Segoe UI"/>
          <w:sz w:val="24"/>
          <w:szCs w:val="24"/>
        </w:rPr>
        <w:t>,</w:t>
      </w:r>
      <w:r w:rsidRPr="00217E08">
        <w:rPr>
          <w:rFonts w:ascii="Segoe UI" w:hAnsi="Segoe UI" w:cs="Segoe UI"/>
          <w:sz w:val="24"/>
          <w:szCs w:val="24"/>
        </w:rPr>
        <w:t xml:space="preserve"> and until</w:t>
      </w:r>
      <w:r>
        <w:rPr>
          <w:rFonts w:ascii="Segoe UI" w:hAnsi="Segoe UI" w:cs="Segoe UI"/>
          <w:sz w:val="24"/>
          <w:szCs w:val="24"/>
        </w:rPr>
        <w:t>,</w:t>
      </w:r>
      <w:r w:rsidRPr="00217E08">
        <w:rPr>
          <w:rFonts w:ascii="Segoe UI" w:hAnsi="Segoe UI" w:cs="Segoe UI"/>
          <w:sz w:val="24"/>
          <w:szCs w:val="24"/>
        </w:rPr>
        <w:t xml:space="preserve"> the discrimination </w:t>
      </w:r>
      <w:r>
        <w:rPr>
          <w:rFonts w:ascii="Segoe UI" w:hAnsi="Segoe UI" w:cs="Segoe UI"/>
          <w:sz w:val="24"/>
          <w:szCs w:val="24"/>
        </w:rPr>
        <w:t xml:space="preserve">and the extinction plan are fully addressed, eliminated and repaired, </w:t>
      </w:r>
      <w:r w:rsidRPr="00217E08">
        <w:rPr>
          <w:rFonts w:ascii="Segoe UI" w:hAnsi="Segoe UI" w:cs="Segoe UI"/>
          <w:sz w:val="24"/>
          <w:szCs w:val="24"/>
        </w:rPr>
        <w:t xml:space="preserve">Canada’s program of assimilation, which began at contact, will be successful. Now is the time for Canada to fully and finally end </w:t>
      </w:r>
      <w:r w:rsidRPr="00AB4A17">
        <w:rPr>
          <w:rFonts w:ascii="Segoe UI" w:hAnsi="Segoe UI" w:cs="Segoe UI"/>
          <w:i/>
          <w:iCs/>
          <w:sz w:val="24"/>
          <w:szCs w:val="24"/>
        </w:rPr>
        <w:t>Indian Act</w:t>
      </w:r>
      <w:r>
        <w:rPr>
          <w:rFonts w:ascii="Segoe UI" w:hAnsi="Segoe UI" w:cs="Segoe UI"/>
          <w:sz w:val="24"/>
          <w:szCs w:val="24"/>
        </w:rPr>
        <w:t xml:space="preserve"> </w:t>
      </w:r>
      <w:r w:rsidRPr="00217E08">
        <w:rPr>
          <w:rFonts w:ascii="Segoe UI" w:hAnsi="Segoe UI" w:cs="Segoe UI"/>
          <w:sz w:val="24"/>
          <w:szCs w:val="24"/>
        </w:rPr>
        <w:t>discrimination</w:t>
      </w:r>
      <w:r>
        <w:rPr>
          <w:rFonts w:ascii="Segoe UI" w:hAnsi="Segoe UI" w:cs="Segoe UI"/>
          <w:sz w:val="24"/>
          <w:szCs w:val="24"/>
        </w:rPr>
        <w:t xml:space="preserve"> and forced assimilation.</w:t>
      </w:r>
    </w:p>
    <w:p w14:paraId="34B90851" w14:textId="77777777" w:rsidR="00350FA3" w:rsidRPr="00217E08" w:rsidRDefault="00350FA3">
      <w:pPr>
        <w:pStyle w:val="Normal1"/>
        <w:rPr>
          <w:rFonts w:ascii="Segoe UI" w:hAnsi="Segoe UI" w:cs="Segoe UI"/>
        </w:rPr>
      </w:pPr>
      <w:bookmarkStart w:id="30" w:name="_heading_h_jk0aw49uvna8" w:colFirst="0" w:colLast="0"/>
      <w:bookmarkEnd w:id="30"/>
    </w:p>
    <w:p w14:paraId="3980EC62" w14:textId="77777777" w:rsidR="00350FA3" w:rsidRPr="00217E08" w:rsidRDefault="00350FA3">
      <w:pPr>
        <w:pStyle w:val="Heading2"/>
        <w:rPr>
          <w:rFonts w:ascii="Segoe UI" w:hAnsi="Segoe UI" w:cs="Segoe UI"/>
          <w:b/>
          <w:bCs/>
          <w:color w:val="C45911"/>
        </w:rPr>
      </w:pPr>
      <w:bookmarkStart w:id="31" w:name="_heading_h_dhyb7udulvfl" w:colFirst="0" w:colLast="0"/>
      <w:bookmarkStart w:id="32" w:name="_Toc220932351"/>
      <w:bookmarkEnd w:id="31"/>
      <w:r w:rsidRPr="00217E08">
        <w:rPr>
          <w:rFonts w:ascii="Segoe UI" w:hAnsi="Segoe UI" w:cs="Segoe UI"/>
          <w:b/>
          <w:bCs/>
          <w:color w:val="C45911"/>
        </w:rPr>
        <w:t>Contact Information</w:t>
      </w:r>
      <w:bookmarkEnd w:id="32"/>
    </w:p>
    <w:p w14:paraId="21F94717" w14:textId="77777777" w:rsidR="00350FA3" w:rsidRPr="00217E08" w:rsidRDefault="00350FA3">
      <w:pPr>
        <w:pStyle w:val="Normal1"/>
        <w:ind w:left="720" w:right="431"/>
        <w:rPr>
          <w:rFonts w:ascii="Segoe UI" w:hAnsi="Segoe UI" w:cs="Segoe UI"/>
          <w:sz w:val="24"/>
          <w:szCs w:val="24"/>
        </w:rPr>
      </w:pPr>
    </w:p>
    <w:p w14:paraId="73290EE0" w14:textId="77777777" w:rsidR="00350FA3" w:rsidRPr="00217E08" w:rsidRDefault="00350FA3">
      <w:pPr>
        <w:pStyle w:val="Normal1"/>
        <w:ind w:left="720" w:right="431"/>
        <w:rPr>
          <w:rFonts w:ascii="Segoe UI" w:hAnsi="Segoe UI" w:cs="Segoe UI"/>
          <w:sz w:val="24"/>
          <w:szCs w:val="24"/>
        </w:rPr>
      </w:pPr>
      <w:r w:rsidRPr="00217E08">
        <w:rPr>
          <w:rFonts w:ascii="Segoe UI" w:hAnsi="Segoe UI" w:cs="Segoe UI"/>
          <w:sz w:val="24"/>
          <w:szCs w:val="24"/>
        </w:rPr>
        <w:t>Shelagh Day, Human Rights Committee Chair</w:t>
      </w:r>
    </w:p>
    <w:p w14:paraId="092C9932" w14:textId="77777777" w:rsidR="00350FA3" w:rsidRPr="00217E08" w:rsidRDefault="00350FA3">
      <w:pPr>
        <w:pStyle w:val="Normal1"/>
        <w:ind w:left="720" w:right="431"/>
        <w:rPr>
          <w:rFonts w:ascii="Segoe UI" w:hAnsi="Segoe UI" w:cs="Segoe UI"/>
          <w:sz w:val="24"/>
          <w:szCs w:val="24"/>
        </w:rPr>
      </w:pPr>
      <w:r w:rsidRPr="00217E08">
        <w:rPr>
          <w:rFonts w:ascii="Segoe UI" w:hAnsi="Segoe UI" w:cs="Segoe UI"/>
          <w:sz w:val="24"/>
          <w:szCs w:val="24"/>
        </w:rPr>
        <w:t>Canadian Feminist Alliance for International Action </w:t>
      </w:r>
    </w:p>
    <w:p w14:paraId="0EFDC359" w14:textId="77777777" w:rsidR="00350FA3" w:rsidRPr="00217E08" w:rsidRDefault="00350FA3">
      <w:pPr>
        <w:pStyle w:val="Normal1"/>
        <w:ind w:left="720" w:right="431"/>
        <w:rPr>
          <w:rFonts w:ascii="Segoe UI" w:hAnsi="Segoe UI" w:cs="Segoe UI"/>
          <w:sz w:val="24"/>
          <w:szCs w:val="24"/>
        </w:rPr>
      </w:pPr>
      <w:r w:rsidRPr="00217E08">
        <w:rPr>
          <w:rFonts w:ascii="Segoe UI" w:hAnsi="Segoe UI" w:cs="Segoe UI"/>
          <w:sz w:val="24"/>
          <w:szCs w:val="24"/>
        </w:rPr>
        <w:t>9-2020 Lanthier Dr,</w:t>
      </w:r>
      <w:r w:rsidRPr="00217E08">
        <w:rPr>
          <w:rFonts w:ascii="Segoe UI" w:hAnsi="Segoe UI" w:cs="Segoe UI"/>
          <w:sz w:val="24"/>
          <w:szCs w:val="24"/>
        </w:rPr>
        <w:br/>
        <w:t>Suite #228</w:t>
      </w:r>
      <w:r w:rsidRPr="00217E08">
        <w:rPr>
          <w:rFonts w:ascii="Segoe UI" w:hAnsi="Segoe UI" w:cs="Segoe UI"/>
          <w:sz w:val="24"/>
          <w:szCs w:val="24"/>
        </w:rPr>
        <w:br/>
        <w:t>Orleans, ON</w:t>
      </w:r>
    </w:p>
    <w:p w14:paraId="383BD8F1" w14:textId="77777777" w:rsidR="00350FA3" w:rsidRPr="00217E08" w:rsidRDefault="00350FA3">
      <w:pPr>
        <w:pStyle w:val="Normal1"/>
        <w:ind w:left="720" w:right="431"/>
        <w:rPr>
          <w:rFonts w:ascii="Segoe UI" w:hAnsi="Segoe UI" w:cs="Segoe UI"/>
          <w:sz w:val="24"/>
          <w:szCs w:val="24"/>
        </w:rPr>
      </w:pPr>
      <w:r w:rsidRPr="00217E08">
        <w:rPr>
          <w:rFonts w:ascii="Segoe UI" w:hAnsi="Segoe UI" w:cs="Segoe UI"/>
          <w:sz w:val="24"/>
          <w:szCs w:val="24"/>
        </w:rPr>
        <w:t>Tel: +1 604-872-0750</w:t>
      </w:r>
    </w:p>
    <w:p w14:paraId="6AFE6473" w14:textId="77777777" w:rsidR="00350FA3" w:rsidRPr="00217E08" w:rsidRDefault="00350FA3">
      <w:pPr>
        <w:pStyle w:val="Normal1"/>
        <w:ind w:left="720" w:right="431"/>
        <w:rPr>
          <w:rFonts w:ascii="Segoe UI" w:hAnsi="Segoe UI" w:cs="Segoe UI"/>
          <w:sz w:val="24"/>
          <w:szCs w:val="24"/>
        </w:rPr>
      </w:pPr>
      <w:r w:rsidRPr="00217E08">
        <w:rPr>
          <w:rFonts w:ascii="Segoe UI" w:hAnsi="Segoe UI" w:cs="Segoe UI"/>
          <w:sz w:val="24"/>
          <w:szCs w:val="24"/>
        </w:rPr>
        <w:t xml:space="preserve">Email: </w:t>
      </w:r>
      <w:hyperlink r:id="rId72">
        <w:r w:rsidRPr="00217E08">
          <w:rPr>
            <w:rFonts w:ascii="Segoe UI" w:hAnsi="Segoe UI" w:cs="Segoe UI"/>
            <w:color w:val="0432FF"/>
            <w:sz w:val="24"/>
            <w:szCs w:val="24"/>
            <w:u w:val="single"/>
          </w:rPr>
          <w:t>shelagh.day@gmail.com</w:t>
        </w:r>
      </w:hyperlink>
    </w:p>
    <w:p w14:paraId="3C6073E2" w14:textId="77777777" w:rsidR="00350FA3" w:rsidRDefault="00350FA3">
      <w:pPr>
        <w:pStyle w:val="Normal1"/>
        <w:spacing w:before="120" w:after="120"/>
        <w:ind w:right="432" w:firstLine="720"/>
        <w:rPr>
          <w:rFonts w:ascii="Segoe UI" w:hAnsi="Segoe UI" w:cs="Segoe UI"/>
          <w:sz w:val="24"/>
          <w:szCs w:val="24"/>
        </w:rPr>
      </w:pPr>
      <w:r w:rsidRPr="00217E08">
        <w:rPr>
          <w:rFonts w:ascii="Segoe UI" w:hAnsi="Segoe UI" w:cs="Segoe UI"/>
          <w:sz w:val="24"/>
          <w:szCs w:val="24"/>
        </w:rPr>
        <w:t>Tania Amaral, Senior Manager</w:t>
      </w:r>
      <w:r>
        <w:rPr>
          <w:rFonts w:ascii="Segoe UI" w:hAnsi="Segoe UI" w:cs="Segoe UI"/>
          <w:sz w:val="24"/>
          <w:szCs w:val="24"/>
        </w:rPr>
        <w:t xml:space="preserve">,  </w:t>
      </w:r>
      <w:r w:rsidRPr="00217E08">
        <w:rPr>
          <w:rFonts w:ascii="Segoe UI" w:hAnsi="Segoe UI" w:cs="Segoe UI"/>
          <w:sz w:val="24"/>
          <w:szCs w:val="24"/>
        </w:rPr>
        <w:t>Tania@fafia-afai.org</w:t>
      </w:r>
      <w:r w:rsidRPr="00217E08">
        <w:rPr>
          <w:rFonts w:ascii="Segoe UI" w:hAnsi="Segoe UI" w:cs="Segoe UI"/>
          <w:b/>
          <w:bCs/>
          <w:sz w:val="24"/>
          <w:szCs w:val="24"/>
        </w:rPr>
        <w:t xml:space="preserve"> </w:t>
      </w:r>
    </w:p>
    <w:p w14:paraId="5B4A725A" w14:textId="77777777" w:rsidR="00350FA3" w:rsidRPr="00217E08" w:rsidRDefault="00350FA3">
      <w:pPr>
        <w:pStyle w:val="Heading1"/>
        <w:rPr>
          <w:rFonts w:ascii="Segoe UI" w:hAnsi="Segoe UI" w:cs="Segoe UI"/>
          <w:sz w:val="24"/>
          <w:szCs w:val="24"/>
        </w:rPr>
      </w:pPr>
    </w:p>
    <w:p w14:paraId="5211CAF3" w14:textId="77777777" w:rsidR="00350FA3" w:rsidRPr="00217E08" w:rsidRDefault="00350FA3">
      <w:pPr>
        <w:pStyle w:val="Normal1"/>
        <w:rPr>
          <w:rFonts w:ascii="Segoe UI" w:hAnsi="Segoe UI" w:cs="Segoe UI"/>
          <w:sz w:val="24"/>
          <w:szCs w:val="24"/>
        </w:rPr>
      </w:pPr>
    </w:p>
    <w:sectPr w:rsidR="00350FA3" w:rsidRPr="00217E08" w:rsidSect="00ED156C">
      <w:footerReference w:type="default" r:id="rId73"/>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19F9A" w14:textId="77777777" w:rsidR="00B215D2" w:rsidRDefault="00B215D2" w:rsidP="00ED156C">
      <w:r>
        <w:separator/>
      </w:r>
    </w:p>
  </w:endnote>
  <w:endnote w:type="continuationSeparator" w:id="0">
    <w:p w14:paraId="4E99676A" w14:textId="77777777" w:rsidR="00B215D2" w:rsidRDefault="00B215D2" w:rsidP="00ED1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Times New Roman"/>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B5110" w14:textId="77777777" w:rsidR="00350FA3" w:rsidRPr="007572CA" w:rsidRDefault="00350FA3">
    <w:pPr>
      <w:pStyle w:val="Normal1"/>
      <w:widowControl w:val="0"/>
      <w:tabs>
        <w:tab w:val="center" w:pos="4680"/>
        <w:tab w:val="right" w:pos="9360"/>
      </w:tabs>
      <w:jc w:val="right"/>
      <w:rPr>
        <w:rFonts w:ascii="Segoe UI" w:hAnsi="Segoe UI" w:cs="Segoe UI"/>
        <w:color w:val="000000"/>
        <w:sz w:val="20"/>
        <w:szCs w:val="20"/>
      </w:rPr>
    </w:pPr>
    <w:r w:rsidRPr="007572CA">
      <w:rPr>
        <w:rFonts w:ascii="Segoe UI" w:hAnsi="Segoe UI" w:cs="Segoe UI"/>
        <w:color w:val="000000"/>
        <w:sz w:val="20"/>
        <w:szCs w:val="20"/>
      </w:rPr>
      <w:fldChar w:fldCharType="begin"/>
    </w:r>
    <w:r w:rsidRPr="007572CA">
      <w:rPr>
        <w:rFonts w:ascii="Segoe UI" w:hAnsi="Segoe UI" w:cs="Segoe UI"/>
        <w:color w:val="000000"/>
        <w:sz w:val="20"/>
        <w:szCs w:val="20"/>
      </w:rPr>
      <w:instrText>PAGE</w:instrText>
    </w:r>
    <w:r w:rsidRPr="007572CA">
      <w:rPr>
        <w:rFonts w:ascii="Segoe UI" w:hAnsi="Segoe UI" w:cs="Segoe UI"/>
        <w:color w:val="000000"/>
        <w:sz w:val="20"/>
        <w:szCs w:val="20"/>
      </w:rPr>
      <w:fldChar w:fldCharType="separate"/>
    </w:r>
    <w:r>
      <w:rPr>
        <w:rFonts w:ascii="Segoe UI" w:hAnsi="Segoe UI" w:cs="Segoe UI"/>
        <w:noProof/>
        <w:color w:val="000000"/>
        <w:sz w:val="20"/>
        <w:szCs w:val="20"/>
      </w:rPr>
      <w:t>12</w:t>
    </w:r>
    <w:r w:rsidRPr="007572CA">
      <w:rPr>
        <w:rFonts w:ascii="Segoe UI" w:hAnsi="Segoe UI" w:cs="Segoe UI"/>
        <w:color w:val="000000"/>
        <w:sz w:val="20"/>
        <w:szCs w:val="20"/>
      </w:rPr>
      <w:fldChar w:fldCharType="end"/>
    </w:r>
  </w:p>
  <w:p w14:paraId="6301BF4F" w14:textId="77777777" w:rsidR="00350FA3" w:rsidRDefault="00350FA3">
    <w:pPr>
      <w:pStyle w:val="Normal1"/>
      <w:widowControl w:val="0"/>
      <w:tabs>
        <w:tab w:val="center" w:pos="4680"/>
        <w:tab w:val="right" w:pos="9360"/>
      </w:tabs>
      <w:ind w:right="360"/>
      <w:rPr>
        <w:rFonts w:ascii="Times New Roman" w:hAnsi="Times New Roman" w:cs="Times New Roman"/>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DEFCE" w14:textId="77777777" w:rsidR="00B215D2" w:rsidRDefault="00B215D2" w:rsidP="00ED156C">
      <w:r>
        <w:separator/>
      </w:r>
    </w:p>
  </w:footnote>
  <w:footnote w:type="continuationSeparator" w:id="0">
    <w:p w14:paraId="3DA33C7C" w14:textId="77777777" w:rsidR="00B215D2" w:rsidRDefault="00B215D2" w:rsidP="00ED156C">
      <w:r>
        <w:continuationSeparator/>
      </w:r>
    </w:p>
  </w:footnote>
  <w:footnote w:id="1">
    <w:p w14:paraId="6AF71559" w14:textId="77777777" w:rsidR="00350FA3" w:rsidRDefault="00350FA3">
      <w:pPr>
        <w:pStyle w:val="FootnoteText"/>
      </w:pPr>
      <w:r>
        <w:rPr>
          <w:rStyle w:val="FootnoteReference"/>
        </w:rPr>
        <w:footnoteRef/>
      </w:r>
      <w:r>
        <w:t xml:space="preserve"> Government of Canada, Second Generation Cut-Off Issue Sheet, </w:t>
      </w:r>
      <w:r w:rsidRPr="00AD1B49">
        <w:t>https://www.sac-isc.gc.ca/eng/1710424351084/1710424389393#sec3</w:t>
      </w:r>
    </w:p>
  </w:footnote>
  <w:footnote w:id="2">
    <w:p w14:paraId="23FAEEEB" w14:textId="77777777" w:rsidR="00350FA3" w:rsidRDefault="00350FA3">
      <w:pPr>
        <w:pStyle w:val="FootnoteText"/>
      </w:pPr>
      <w:r>
        <w:rPr>
          <w:rStyle w:val="FootnoteReference"/>
        </w:rPr>
        <w:footnoteRef/>
      </w:r>
      <w:r>
        <w:t xml:space="preserve"> Bill S-2, an Act to amend the Indian Act (new registration entitlements), online at: </w:t>
      </w:r>
      <w:r w:rsidRPr="00AD1B49">
        <w:t>https://www.sac-isc.gc.ca/eng/1662142490384/1662142638971</w:t>
      </w:r>
      <w:r>
        <w:t xml:space="preserve"> </w:t>
      </w:r>
    </w:p>
  </w:footnote>
  <w:footnote w:id="3">
    <w:p w14:paraId="6CAC8350" w14:textId="77777777" w:rsidR="00350FA3" w:rsidRDefault="00350FA3" w:rsidP="00BD42A7">
      <w:pPr>
        <w:pStyle w:val="Normal1"/>
      </w:pPr>
      <w:r w:rsidRPr="0026583F">
        <w:rPr>
          <w:rStyle w:val="FootnoteReference"/>
          <w:sz w:val="20"/>
          <w:szCs w:val="20"/>
        </w:rPr>
        <w:footnoteRef/>
      </w:r>
      <w:r w:rsidRPr="0026583F">
        <w:rPr>
          <w:sz w:val="20"/>
          <w:szCs w:val="20"/>
        </w:rPr>
        <w:t xml:space="preserve"> </w:t>
      </w:r>
      <w:hyperlink r:id="rId1">
        <w:r w:rsidRPr="0026583F">
          <w:rPr>
            <w:color w:val="1155CC"/>
            <w:sz w:val="20"/>
            <w:szCs w:val="20"/>
            <w:u w:val="single"/>
          </w:rPr>
          <w:t>https://www.ubcic.bc.ca/senate_committee_votes_to_eliminate_the_second_generation_cut_off</w:t>
        </w:r>
      </w:hyperlink>
      <w:r w:rsidRPr="0026583F">
        <w:rPr>
          <w:sz w:val="20"/>
          <w:szCs w:val="20"/>
        </w:rPr>
        <w:t xml:space="preserve"> </w:t>
      </w:r>
    </w:p>
  </w:footnote>
  <w:footnote w:id="4">
    <w:p w14:paraId="31367B04" w14:textId="77777777" w:rsidR="00350FA3" w:rsidRDefault="00350FA3" w:rsidP="00BD42A7">
      <w:pPr>
        <w:pStyle w:val="Normal1"/>
      </w:pPr>
      <w:r w:rsidRPr="0026583F">
        <w:rPr>
          <w:rStyle w:val="FootnoteReference"/>
          <w:sz w:val="20"/>
          <w:szCs w:val="20"/>
        </w:rPr>
        <w:footnoteRef/>
      </w:r>
      <w:r w:rsidRPr="0026583F">
        <w:rPr>
          <w:sz w:val="20"/>
          <w:szCs w:val="20"/>
        </w:rPr>
        <w:t xml:space="preserve"> </w:t>
      </w:r>
      <w:hyperlink r:id="rId2">
        <w:r w:rsidRPr="0026583F">
          <w:rPr>
            <w:color w:val="1155CC"/>
            <w:sz w:val="20"/>
            <w:szCs w:val="20"/>
            <w:u w:val="single"/>
          </w:rPr>
          <w:t>https://www.firstpeopleslaw.com/public-education/blog/bill-s-2-and-the-second-generation-cut-off-patricia-lawrence</w:t>
        </w:r>
      </w:hyperlink>
      <w:r w:rsidRPr="0026583F">
        <w:rPr>
          <w:sz w:val="20"/>
          <w:szCs w:val="20"/>
        </w:rPr>
        <w:t xml:space="preserve"> </w:t>
      </w:r>
    </w:p>
  </w:footnote>
  <w:footnote w:id="5">
    <w:p w14:paraId="121A11F6" w14:textId="77777777" w:rsidR="00350FA3" w:rsidRDefault="00350FA3" w:rsidP="00BD42A7">
      <w:pPr>
        <w:pStyle w:val="Normal1"/>
      </w:pPr>
      <w:r w:rsidRPr="0026583F">
        <w:rPr>
          <w:rStyle w:val="FootnoteReference"/>
          <w:sz w:val="20"/>
          <w:szCs w:val="20"/>
        </w:rPr>
        <w:footnoteRef/>
      </w:r>
      <w:r w:rsidRPr="0026583F">
        <w:rPr>
          <w:sz w:val="20"/>
          <w:szCs w:val="20"/>
        </w:rPr>
        <w:t xml:space="preserve"> </w:t>
      </w:r>
      <w:hyperlink r:id="rId3">
        <w:r w:rsidRPr="0026583F">
          <w:rPr>
            <w:color w:val="1155CC"/>
            <w:sz w:val="20"/>
            <w:szCs w:val="20"/>
            <w:u w:val="single"/>
          </w:rPr>
          <w:t>https://www.ubcic.bc.ca/senate_committee_votes_to_eliminate_the_second_generation_cut_off</w:t>
        </w:r>
      </w:hyperlink>
      <w:r w:rsidRPr="0026583F">
        <w:rPr>
          <w:sz w:val="20"/>
          <w:szCs w:val="20"/>
        </w:rPr>
        <w:t xml:space="preserve"> </w:t>
      </w:r>
    </w:p>
  </w:footnote>
  <w:footnote w:id="6">
    <w:p w14:paraId="0D2FC51D" w14:textId="77777777" w:rsidR="00350FA3" w:rsidRDefault="00350FA3" w:rsidP="00BD42A7">
      <w:pPr>
        <w:pStyle w:val="Normal1"/>
      </w:pPr>
      <w:r w:rsidRPr="0026583F">
        <w:rPr>
          <w:rStyle w:val="FootnoteReference"/>
          <w:sz w:val="20"/>
          <w:szCs w:val="20"/>
        </w:rPr>
        <w:footnoteRef/>
      </w:r>
      <w:r w:rsidRPr="00C34CF5">
        <w:rPr>
          <w:sz w:val="20"/>
          <w:szCs w:val="20"/>
          <w:lang w:val="es-ES"/>
        </w:rPr>
        <w:t xml:space="preserve"> </w:t>
      </w:r>
      <w:r w:rsidRPr="00C34CF5">
        <w:rPr>
          <w:i/>
          <w:iCs/>
          <w:sz w:val="20"/>
          <w:szCs w:val="20"/>
          <w:lang w:val="es-ES"/>
        </w:rPr>
        <w:t>Ibid.</w:t>
      </w:r>
    </w:p>
  </w:footnote>
  <w:footnote w:id="7">
    <w:p w14:paraId="7CA9AC98" w14:textId="77777777" w:rsidR="00350FA3" w:rsidRDefault="00350FA3" w:rsidP="003429B9">
      <w:pPr>
        <w:pStyle w:val="Normal1"/>
      </w:pPr>
      <w:r w:rsidRPr="00CE6D86">
        <w:rPr>
          <w:rStyle w:val="FootnoteReference"/>
          <w:sz w:val="20"/>
          <w:szCs w:val="20"/>
        </w:rPr>
        <w:footnoteRef/>
      </w:r>
      <w:r w:rsidRPr="00CE6D86">
        <w:rPr>
          <w:sz w:val="20"/>
          <w:szCs w:val="20"/>
          <w:lang w:val="es-ES"/>
        </w:rPr>
        <w:t xml:space="preserve"> </w:t>
      </w:r>
      <w:hyperlink r:id="rId4">
        <w:r w:rsidRPr="00CE6D86">
          <w:rPr>
            <w:color w:val="1155CC"/>
            <w:sz w:val="20"/>
            <w:szCs w:val="20"/>
            <w:u w:val="single"/>
            <w:lang w:val="es-ES"/>
          </w:rPr>
          <w:t>https://www.cbc.ca/news/indigenous/bill-s2-indian-act-status-9.7004888</w:t>
        </w:r>
      </w:hyperlink>
      <w:r w:rsidRPr="00CE6D86">
        <w:rPr>
          <w:sz w:val="20"/>
          <w:szCs w:val="20"/>
          <w:lang w:val="es-ES"/>
        </w:rPr>
        <w:t xml:space="preserve">. </w:t>
      </w:r>
    </w:p>
  </w:footnote>
  <w:footnote w:id="8">
    <w:p w14:paraId="144F32DD" w14:textId="77777777" w:rsidR="00350FA3" w:rsidRDefault="00350FA3">
      <w:pPr>
        <w:pStyle w:val="FootnoteText"/>
      </w:pPr>
      <w:r w:rsidRPr="00CE6D86">
        <w:rPr>
          <w:rStyle w:val="FootnoteReference"/>
          <w:rFonts w:ascii="Arial" w:hAnsi="Arial" w:cs="Arial"/>
        </w:rPr>
        <w:footnoteRef/>
      </w:r>
      <w:r w:rsidRPr="00CE6D86">
        <w:rPr>
          <w:rFonts w:ascii="Arial" w:hAnsi="Arial" w:cs="Arial"/>
          <w:lang w:val="es-ES"/>
        </w:rPr>
        <w:t xml:space="preserve"> </w:t>
      </w:r>
      <w:hyperlink r:id="rId5" w:history="1">
        <w:r w:rsidRPr="00CE6D86">
          <w:rPr>
            <w:rStyle w:val="Hyperlink"/>
            <w:rFonts w:ascii="Arial" w:hAnsi="Arial" w:cs="Arial"/>
            <w:lang w:val="es-ES"/>
          </w:rPr>
          <w:t>https://www.ourcommons.ca/documentviewer/en/45-1/house/sitting-71/hansard</w:t>
        </w:r>
      </w:hyperlink>
      <w:r w:rsidRPr="00CE6D86">
        <w:rPr>
          <w:rFonts w:ascii="Arial" w:hAnsi="Arial" w:cs="Arial"/>
          <w:lang w:val="es-ES"/>
        </w:rPr>
        <w:t xml:space="preserve"> </w:t>
      </w:r>
    </w:p>
  </w:footnote>
  <w:footnote w:id="9">
    <w:p w14:paraId="3D5F147D" w14:textId="77777777" w:rsidR="00350FA3" w:rsidRDefault="00350FA3">
      <w:pPr>
        <w:pStyle w:val="FootnoteText"/>
      </w:pPr>
      <w:r>
        <w:rPr>
          <w:rStyle w:val="FootnoteReference"/>
        </w:rPr>
        <w:footnoteRef/>
      </w:r>
      <w:r>
        <w:t xml:space="preserve"> </w:t>
      </w:r>
      <w:r>
        <w:rPr>
          <w:lang w:val="en-CA"/>
        </w:rPr>
        <w:t xml:space="preserve">See Annex B here: </w:t>
      </w:r>
      <w:hyperlink r:id="rId6" w:history="1">
        <w:r w:rsidRPr="0072383C">
          <w:rPr>
            <w:rStyle w:val="Hyperlink"/>
            <w:lang w:val="en-CA"/>
          </w:rPr>
          <w:t>https://docs.google.com/document/d/1SE8qMDbMWb8MvVjHXdy5ZcwbpX7shU-5fEBJfw-7OLk/edit?tab=t.0</w:t>
        </w:r>
      </w:hyperlink>
      <w:r>
        <w:rPr>
          <w:lang w:val="en-CA"/>
        </w:rPr>
        <w:t xml:space="preserve"> </w:t>
      </w:r>
    </w:p>
  </w:footnote>
  <w:footnote w:id="10">
    <w:p w14:paraId="03A1CED7" w14:textId="77777777" w:rsidR="00350FA3" w:rsidRDefault="00350FA3" w:rsidP="00A70ECB">
      <w:pPr>
        <w:pStyle w:val="Normal1"/>
      </w:pPr>
      <w:r w:rsidRPr="00CE6D86">
        <w:rPr>
          <w:rStyle w:val="FootnoteReference"/>
        </w:rPr>
        <w:footnoteRef/>
      </w:r>
      <w:r w:rsidRPr="00CE6D86">
        <w:rPr>
          <w:sz w:val="20"/>
          <w:szCs w:val="20"/>
          <w:lang w:val="es-ES"/>
        </w:rPr>
        <w:t xml:space="preserve"> </w:t>
      </w:r>
      <w:hyperlink r:id="rId7">
        <w:r w:rsidRPr="00CE6D86">
          <w:rPr>
            <w:color w:val="1155CC"/>
            <w:sz w:val="20"/>
            <w:szCs w:val="20"/>
            <w:u w:val="single"/>
            <w:lang w:val="es-ES"/>
          </w:rPr>
          <w:t>https://www.mandellpinder.com/descheneaux-v-canada-2015-qccs-3555-case-summary/</w:t>
        </w:r>
      </w:hyperlink>
      <w:r w:rsidRPr="00CE6D86">
        <w:rPr>
          <w:sz w:val="20"/>
          <w:szCs w:val="20"/>
          <w:lang w:val="es-ES"/>
        </w:rPr>
        <w:t xml:space="preserve"> </w:t>
      </w:r>
    </w:p>
  </w:footnote>
  <w:footnote w:id="11">
    <w:p w14:paraId="7188AFE5" w14:textId="77777777" w:rsidR="00350FA3" w:rsidRDefault="00350FA3" w:rsidP="00A70ECB">
      <w:pPr>
        <w:pStyle w:val="Normal1"/>
      </w:pPr>
      <w:r w:rsidRPr="00CE6D86">
        <w:rPr>
          <w:rStyle w:val="FootnoteReference"/>
        </w:rPr>
        <w:footnoteRef/>
      </w:r>
      <w:r w:rsidRPr="00CE6D86">
        <w:rPr>
          <w:sz w:val="20"/>
          <w:szCs w:val="20"/>
          <w:lang w:val="es-ES"/>
        </w:rPr>
        <w:t xml:space="preserve"> </w:t>
      </w:r>
      <w:hyperlink r:id="rId8">
        <w:r w:rsidRPr="00CE6D86">
          <w:rPr>
            <w:color w:val="1155CC"/>
            <w:sz w:val="20"/>
            <w:szCs w:val="20"/>
            <w:u w:val="single"/>
            <w:lang w:val="es-ES"/>
          </w:rPr>
          <w:t>https://www.faq-qnw.org/wp-content/uploads/2017/03/Descheneaux-Information-Toolkit-final-low-res.pdf</w:t>
        </w:r>
      </w:hyperlink>
      <w:r w:rsidRPr="00CE6D86">
        <w:rPr>
          <w:sz w:val="20"/>
          <w:szCs w:val="20"/>
          <w:lang w:val="es-ES"/>
        </w:rPr>
        <w:t xml:space="preserve"> </w:t>
      </w:r>
    </w:p>
  </w:footnote>
  <w:footnote w:id="12">
    <w:p w14:paraId="23D0E153" w14:textId="77777777" w:rsidR="00350FA3" w:rsidRDefault="00350FA3">
      <w:pPr>
        <w:pStyle w:val="FootnoteText"/>
      </w:pPr>
      <w:r w:rsidRPr="00CE6D86">
        <w:rPr>
          <w:rStyle w:val="FootnoteReference"/>
          <w:rFonts w:ascii="Arial" w:hAnsi="Arial" w:cs="Arial"/>
        </w:rPr>
        <w:footnoteRef/>
      </w:r>
      <w:r w:rsidRPr="00F4303B">
        <w:rPr>
          <w:rFonts w:ascii="Arial" w:hAnsi="Arial" w:cs="Arial"/>
          <w:lang w:val="es-ES"/>
        </w:rPr>
        <w:t xml:space="preserve"> On behalf of plaintiffs: Sharon Nicholas, Terra Jean Nicholas, Nicole Eileen Nicholas, James Edward Nicholas, Joan Martha Ward, Jack Ray Ward, Royce Sagar Ward, Wanda Alexis Salmaniw, Nadia Alexis Salmaniw, Nicholas Alexander Salmaniw, Edith Fournier, Kathryn Fournier, Gabrielle Heroux, Philippe Heroux, Mervin Smith, and James Hanson. </w:t>
      </w:r>
    </w:p>
  </w:footnote>
  <w:footnote w:id="13">
    <w:p w14:paraId="1F60EDAB" w14:textId="77777777" w:rsidR="00350FA3" w:rsidRDefault="00350FA3" w:rsidP="00C02EB0">
      <w:pPr>
        <w:pStyle w:val="FootnoteText"/>
      </w:pPr>
      <w:r w:rsidRPr="00CE6D86">
        <w:rPr>
          <w:rStyle w:val="FootnoteReference"/>
          <w:rFonts w:ascii="Arial" w:hAnsi="Arial" w:cs="Arial"/>
        </w:rPr>
        <w:footnoteRef/>
      </w:r>
      <w:r w:rsidRPr="00F4303B">
        <w:rPr>
          <w:rFonts w:ascii="Arial" w:hAnsi="Arial" w:cs="Arial"/>
          <w:lang w:val="es-ES"/>
        </w:rPr>
        <w:t xml:space="preserve"> </w:t>
      </w:r>
      <w:hyperlink r:id="rId9" w:history="1">
        <w:r w:rsidRPr="00F4303B">
          <w:rPr>
            <w:rStyle w:val="Hyperlink"/>
            <w:rFonts w:ascii="Arial" w:hAnsi="Arial" w:cs="Arial"/>
            <w:lang w:val="es-ES"/>
          </w:rPr>
          <w:t>https://www.canlii.org/en/bc/bcsc/doc/2025/2025bcsc1596/2025bcsc1596.html</w:t>
        </w:r>
      </w:hyperlink>
      <w:r w:rsidRPr="00F4303B">
        <w:rPr>
          <w:rFonts w:ascii="Arial" w:hAnsi="Arial" w:cs="Arial"/>
          <w:lang w:val="es-ES"/>
        </w:rPr>
        <w:t xml:space="preserve"> </w:t>
      </w:r>
    </w:p>
  </w:footnote>
  <w:footnote w:id="14">
    <w:p w14:paraId="648A7BA8" w14:textId="77777777" w:rsidR="00350FA3" w:rsidRDefault="00350FA3" w:rsidP="00E0247D">
      <w:pPr>
        <w:pStyle w:val="Normal1"/>
      </w:pPr>
      <w:r w:rsidRPr="00CE6D86">
        <w:rPr>
          <w:rStyle w:val="FootnoteReference"/>
        </w:rPr>
        <w:footnoteRef/>
      </w:r>
      <w:r w:rsidRPr="00CE6D86">
        <w:rPr>
          <w:sz w:val="20"/>
          <w:szCs w:val="20"/>
          <w:lang w:val="es-ES"/>
        </w:rPr>
        <w:t xml:space="preserve"> </w:t>
      </w:r>
      <w:hyperlink r:id="rId10" w:anchor="chp10">
        <w:r w:rsidRPr="00CE6D86">
          <w:rPr>
            <w:color w:val="1155CC"/>
            <w:sz w:val="20"/>
            <w:szCs w:val="20"/>
            <w:u w:val="single"/>
            <w:lang w:val="es-ES"/>
          </w:rPr>
          <w:t>https://www.sac-isc.gc.ca/eng/1659021979260/1659022082327#chp10</w:t>
        </w:r>
      </w:hyperlink>
      <w:r w:rsidRPr="00CE6D86">
        <w:rPr>
          <w:sz w:val="20"/>
          <w:szCs w:val="20"/>
          <w:lang w:val="es-ES"/>
        </w:rPr>
        <w:t xml:space="preserve">. </w:t>
      </w:r>
    </w:p>
  </w:footnote>
  <w:footnote w:id="15">
    <w:p w14:paraId="2FB6C143" w14:textId="77777777" w:rsidR="00350FA3" w:rsidRDefault="00350FA3" w:rsidP="00E0247D">
      <w:pPr>
        <w:pStyle w:val="Normal1"/>
      </w:pPr>
      <w:r w:rsidRPr="00CE6D86">
        <w:rPr>
          <w:rStyle w:val="FootnoteReference"/>
        </w:rPr>
        <w:footnoteRef/>
      </w:r>
      <w:r w:rsidRPr="00CE6D86">
        <w:rPr>
          <w:sz w:val="20"/>
          <w:szCs w:val="20"/>
          <w:lang w:val="es-ES"/>
        </w:rPr>
        <w:t xml:space="preserve"> </w:t>
      </w:r>
      <w:hyperlink r:id="rId11">
        <w:r w:rsidRPr="00CE6D86">
          <w:rPr>
            <w:color w:val="1155CC"/>
            <w:sz w:val="20"/>
            <w:szCs w:val="20"/>
            <w:u w:val="single"/>
            <w:lang w:val="es-ES"/>
          </w:rPr>
          <w:t>https://powerlaw.ca/wesley-et-al-v-his-majesty-the-king/</w:t>
        </w:r>
      </w:hyperlink>
      <w:r w:rsidRPr="00CE6D86">
        <w:rPr>
          <w:sz w:val="20"/>
          <w:szCs w:val="20"/>
          <w:lang w:val="es-ES"/>
        </w:rPr>
        <w:t xml:space="preserve"> </w:t>
      </w:r>
    </w:p>
  </w:footnote>
  <w:footnote w:id="16">
    <w:p w14:paraId="1120EA07" w14:textId="77777777" w:rsidR="00350FA3" w:rsidRDefault="00350FA3" w:rsidP="00E0247D">
      <w:pPr>
        <w:pStyle w:val="Normal1"/>
      </w:pPr>
      <w:r w:rsidRPr="00CE6D86">
        <w:rPr>
          <w:rStyle w:val="FootnoteReference"/>
        </w:rPr>
        <w:footnoteRef/>
      </w:r>
      <w:r w:rsidRPr="00CE6D86">
        <w:rPr>
          <w:sz w:val="20"/>
          <w:szCs w:val="20"/>
          <w:lang w:val="es-ES"/>
        </w:rPr>
        <w:t xml:space="preserve"> </w:t>
      </w:r>
      <w:hyperlink r:id="rId12">
        <w:r w:rsidRPr="00CE6D86">
          <w:rPr>
            <w:color w:val="1155CC"/>
            <w:sz w:val="20"/>
            <w:szCs w:val="20"/>
            <w:u w:val="single"/>
            <w:lang w:val="es-ES"/>
          </w:rPr>
          <w:t>https://thenarwhal.ca/canada-bill-c38-indigenous-land-rights/</w:t>
        </w:r>
      </w:hyperlink>
      <w:r w:rsidRPr="00CE6D86">
        <w:rPr>
          <w:sz w:val="20"/>
          <w:szCs w:val="20"/>
          <w:lang w:val="es-ES"/>
        </w:rPr>
        <w:t xml:space="preserve"> </w:t>
      </w:r>
    </w:p>
  </w:footnote>
  <w:footnote w:id="17">
    <w:p w14:paraId="36BEDB58" w14:textId="77777777" w:rsidR="00350FA3" w:rsidRDefault="00350FA3" w:rsidP="00E0247D">
      <w:pPr>
        <w:pStyle w:val="Normal1"/>
      </w:pPr>
      <w:r w:rsidRPr="00CE6D86">
        <w:rPr>
          <w:rStyle w:val="FootnoteReference"/>
        </w:rPr>
        <w:footnoteRef/>
      </w:r>
      <w:r w:rsidRPr="00CE6D86">
        <w:rPr>
          <w:sz w:val="20"/>
          <w:szCs w:val="20"/>
          <w:lang w:val="es-ES"/>
        </w:rPr>
        <w:t xml:space="preserve"> </w:t>
      </w:r>
      <w:hyperlink r:id="rId13">
        <w:r w:rsidRPr="00CE6D86">
          <w:rPr>
            <w:color w:val="1155CC"/>
            <w:sz w:val="20"/>
            <w:szCs w:val="20"/>
            <w:u w:val="single"/>
            <w:lang w:val="es-ES"/>
          </w:rPr>
          <w:t>https://www.parl.ca/legisinfo/en/bill/44-1/c-38</w:t>
        </w:r>
      </w:hyperlink>
      <w:r w:rsidRPr="00CE6D86">
        <w:rPr>
          <w:sz w:val="20"/>
          <w:szCs w:val="20"/>
          <w:lang w:val="es-ES"/>
        </w:rPr>
        <w:t xml:space="preserve"> </w:t>
      </w:r>
    </w:p>
  </w:footnote>
  <w:footnote w:id="18">
    <w:p w14:paraId="52F19FC6" w14:textId="77777777" w:rsidR="00350FA3" w:rsidRDefault="00350FA3" w:rsidP="00743E46">
      <w:pPr>
        <w:pStyle w:val="Normal1"/>
      </w:pPr>
      <w:r w:rsidRPr="00CE6D86">
        <w:rPr>
          <w:rStyle w:val="FootnoteReference"/>
        </w:rPr>
        <w:footnoteRef/>
      </w:r>
      <w:r w:rsidRPr="00CE6D86">
        <w:rPr>
          <w:sz w:val="20"/>
          <w:szCs w:val="20"/>
          <w:lang w:val="es-ES"/>
        </w:rPr>
        <w:t xml:space="preserve"> </w:t>
      </w:r>
      <w:hyperlink r:id="rId14">
        <w:r w:rsidRPr="00CE6D86">
          <w:rPr>
            <w:color w:val="1155CC"/>
            <w:sz w:val="20"/>
            <w:szCs w:val="20"/>
            <w:u w:val="single"/>
            <w:lang w:val="es-ES"/>
          </w:rPr>
          <w:t>https://www.ubcic.bc.ca/senate_committee_votes_to_eliminate_the_second_generation_cut_off</w:t>
        </w:r>
      </w:hyperlink>
      <w:r w:rsidRPr="00CE6D86">
        <w:rPr>
          <w:sz w:val="20"/>
          <w:szCs w:val="20"/>
          <w:lang w:val="es-ES"/>
        </w:rPr>
        <w:t xml:space="preserve"> </w:t>
      </w:r>
    </w:p>
  </w:footnote>
  <w:footnote w:id="19">
    <w:p w14:paraId="1A8B62D9" w14:textId="77777777" w:rsidR="00350FA3" w:rsidRDefault="00350FA3" w:rsidP="00743E46">
      <w:pPr>
        <w:pStyle w:val="Normal1"/>
      </w:pPr>
      <w:r w:rsidRPr="00CE6D86">
        <w:rPr>
          <w:rStyle w:val="FootnoteReference"/>
        </w:rPr>
        <w:footnoteRef/>
      </w:r>
      <w:r w:rsidRPr="00CE6D86">
        <w:rPr>
          <w:sz w:val="20"/>
          <w:szCs w:val="20"/>
          <w:lang w:val="es-ES"/>
        </w:rPr>
        <w:t xml:space="preserve"> </w:t>
      </w:r>
      <w:hyperlink r:id="rId15">
        <w:r w:rsidRPr="00CE6D86">
          <w:rPr>
            <w:color w:val="1155CC"/>
            <w:sz w:val="20"/>
            <w:szCs w:val="20"/>
            <w:u w:val="single"/>
            <w:lang w:val="es-ES"/>
          </w:rPr>
          <w:t>https://www.firstpeopleslaw.com/public-education/blog/bill-s-2-and-the-second-generation-cut-off-patricia-lawrence</w:t>
        </w:r>
      </w:hyperlink>
      <w:r w:rsidRPr="00CE6D86">
        <w:rPr>
          <w:sz w:val="20"/>
          <w:szCs w:val="20"/>
          <w:lang w:val="es-ES"/>
        </w:rPr>
        <w:t xml:space="preserve"> </w:t>
      </w:r>
    </w:p>
  </w:footnote>
  <w:footnote w:id="20">
    <w:p w14:paraId="705BD23B" w14:textId="77777777" w:rsidR="00350FA3" w:rsidRDefault="00350FA3" w:rsidP="001A3FCD">
      <w:pPr>
        <w:pStyle w:val="Normal1"/>
      </w:pPr>
      <w:r w:rsidRPr="00CE6D86">
        <w:rPr>
          <w:rStyle w:val="FootnoteReference"/>
        </w:rPr>
        <w:footnoteRef/>
      </w:r>
      <w:r w:rsidRPr="00CE6D86">
        <w:rPr>
          <w:sz w:val="20"/>
          <w:szCs w:val="20"/>
          <w:lang w:val="es-ES"/>
        </w:rPr>
        <w:t xml:space="preserve"> </w:t>
      </w:r>
      <w:hyperlink r:id="rId16">
        <w:r w:rsidRPr="00CE6D86">
          <w:rPr>
            <w:color w:val="1155CC"/>
            <w:sz w:val="20"/>
            <w:szCs w:val="20"/>
            <w:u w:val="single"/>
            <w:lang w:val="es-ES"/>
          </w:rPr>
          <w:t>https://www.cbc.ca/news/indigenous/bill-s2-indian-act-status-9.7004888</w:t>
        </w:r>
      </w:hyperlink>
      <w:r w:rsidRPr="00CE6D86">
        <w:rPr>
          <w:sz w:val="20"/>
          <w:szCs w:val="20"/>
          <w:lang w:val="es-ES"/>
        </w:rPr>
        <w:t xml:space="preserve">. </w:t>
      </w:r>
    </w:p>
  </w:footnote>
  <w:footnote w:id="21">
    <w:p w14:paraId="0D9D1281" w14:textId="77777777" w:rsidR="00350FA3" w:rsidRDefault="00350FA3" w:rsidP="001A3FCD">
      <w:pPr>
        <w:pStyle w:val="Normal1"/>
      </w:pPr>
      <w:r w:rsidRPr="00CE6D86">
        <w:rPr>
          <w:rStyle w:val="FootnoteReference"/>
        </w:rPr>
        <w:footnoteRef/>
      </w:r>
      <w:r w:rsidRPr="00CE6D86">
        <w:rPr>
          <w:sz w:val="20"/>
          <w:szCs w:val="20"/>
          <w:lang w:val="es-ES"/>
        </w:rPr>
        <w:t xml:space="preserve"> </w:t>
      </w:r>
      <w:r w:rsidRPr="00CE6D86">
        <w:rPr>
          <w:i/>
          <w:iCs/>
          <w:sz w:val="20"/>
          <w:szCs w:val="20"/>
          <w:lang w:val="es-ES"/>
        </w:rPr>
        <w:t>Ibid.</w:t>
      </w:r>
    </w:p>
  </w:footnote>
  <w:footnote w:id="22">
    <w:p w14:paraId="5DDB9615" w14:textId="77777777" w:rsidR="00350FA3" w:rsidRDefault="00350FA3" w:rsidP="00743E46">
      <w:pPr>
        <w:pStyle w:val="Normal1"/>
      </w:pPr>
      <w:r w:rsidRPr="00CE6D86">
        <w:rPr>
          <w:rStyle w:val="FootnoteReference"/>
        </w:rPr>
        <w:footnoteRef/>
      </w:r>
      <w:r w:rsidRPr="00CE6D86">
        <w:rPr>
          <w:sz w:val="20"/>
          <w:szCs w:val="20"/>
          <w:lang w:val="es-ES"/>
        </w:rPr>
        <w:t xml:space="preserve"> </w:t>
      </w:r>
      <w:hyperlink r:id="rId17">
        <w:r w:rsidRPr="00CE6D86">
          <w:rPr>
            <w:color w:val="1155CC"/>
            <w:sz w:val="20"/>
            <w:szCs w:val="20"/>
            <w:u w:val="single"/>
            <w:lang w:val="es-ES"/>
          </w:rPr>
          <w:t>https://www.ubcic.bc.ca/senate_committee_votes_to_eliminate_the_second_generation_cut_off</w:t>
        </w:r>
      </w:hyperlink>
      <w:r w:rsidRPr="00CE6D86">
        <w:rPr>
          <w:sz w:val="20"/>
          <w:szCs w:val="20"/>
          <w:lang w:val="es-ES"/>
        </w:rPr>
        <w:t xml:space="preserve"> </w:t>
      </w:r>
    </w:p>
  </w:footnote>
  <w:footnote w:id="23">
    <w:p w14:paraId="4C199ED0" w14:textId="77777777" w:rsidR="00350FA3" w:rsidRDefault="00350FA3" w:rsidP="002B388C">
      <w:pPr>
        <w:pStyle w:val="FootnoteText"/>
      </w:pPr>
      <w:r>
        <w:rPr>
          <w:rStyle w:val="FootnoteReference"/>
        </w:rPr>
        <w:footnoteRef/>
      </w:r>
      <w:r>
        <w:t xml:space="preserve"> </w:t>
      </w:r>
      <w:r w:rsidRPr="006C2B9D">
        <w:t>https://data2.archives.ca/e/e448/e011188230-01.pdf</w:t>
      </w:r>
    </w:p>
  </w:footnote>
  <w:footnote w:id="24">
    <w:p w14:paraId="0DEE5CB8" w14:textId="77777777" w:rsidR="00350FA3" w:rsidRDefault="00350FA3" w:rsidP="004F4E10">
      <w:pPr>
        <w:pStyle w:val="Normal1"/>
      </w:pPr>
      <w:r w:rsidRPr="00CE6D86">
        <w:rPr>
          <w:rStyle w:val="FootnoteReference"/>
          <w:rFonts w:eastAsia="Yu Gothic Light"/>
        </w:rPr>
        <w:footnoteRef/>
      </w:r>
      <w:r w:rsidRPr="00CE6D86">
        <w:rPr>
          <w:sz w:val="20"/>
          <w:szCs w:val="20"/>
          <w:lang w:val="es-ES"/>
        </w:rPr>
        <w:t xml:space="preserve"> </w:t>
      </w:r>
      <w:hyperlink r:id="rId18">
        <w:r w:rsidRPr="00CE6D86">
          <w:rPr>
            <w:color w:val="1155CC"/>
            <w:sz w:val="20"/>
            <w:szCs w:val="20"/>
            <w:u w:val="single"/>
            <w:lang w:val="es-ES"/>
          </w:rPr>
          <w:t>https://www.rcaanc-cirnac.gc.ca/eng/1522949271019/1568896763719</w:t>
        </w:r>
      </w:hyperlink>
      <w:r w:rsidRPr="00CE6D86">
        <w:rPr>
          <w:sz w:val="20"/>
          <w:szCs w:val="20"/>
          <w:lang w:val="es-ES"/>
        </w:rPr>
        <w:t xml:space="preserve"> </w:t>
      </w:r>
    </w:p>
  </w:footnote>
  <w:footnote w:id="25">
    <w:p w14:paraId="0C67B971" w14:textId="77777777" w:rsidR="00350FA3" w:rsidRDefault="00350FA3" w:rsidP="004F4E10">
      <w:pPr>
        <w:pStyle w:val="Normal1"/>
      </w:pPr>
      <w:r w:rsidRPr="00CE6D86">
        <w:rPr>
          <w:rStyle w:val="FootnoteReference"/>
          <w:rFonts w:eastAsia="Yu Gothic Light"/>
        </w:rPr>
        <w:footnoteRef/>
      </w:r>
      <w:r w:rsidRPr="00CE6D86">
        <w:rPr>
          <w:sz w:val="20"/>
          <w:szCs w:val="20"/>
          <w:lang w:val="es-ES"/>
        </w:rPr>
        <w:t xml:space="preserve"> </w:t>
      </w:r>
      <w:hyperlink r:id="rId19">
        <w:r w:rsidRPr="00CE6D86">
          <w:rPr>
            <w:color w:val="1155CC"/>
            <w:sz w:val="20"/>
            <w:szCs w:val="20"/>
            <w:u w:val="single"/>
            <w:lang w:val="es-ES"/>
          </w:rPr>
          <w:t>https://www.sac-isc.gc.ca/eng/1706281094364/1706281216732</w:t>
        </w:r>
      </w:hyperlink>
      <w:r w:rsidRPr="00CE6D86">
        <w:rPr>
          <w:sz w:val="20"/>
          <w:szCs w:val="20"/>
          <w:lang w:val="es-ES"/>
        </w:rPr>
        <w:t xml:space="preserve"> </w:t>
      </w:r>
    </w:p>
  </w:footnote>
  <w:footnote w:id="26">
    <w:p w14:paraId="0241D92E" w14:textId="77777777" w:rsidR="00350FA3" w:rsidRDefault="00350FA3" w:rsidP="004F4E10">
      <w:pPr>
        <w:pStyle w:val="Normal1"/>
      </w:pPr>
      <w:r w:rsidRPr="00CE6D86">
        <w:rPr>
          <w:rStyle w:val="FootnoteReference"/>
        </w:rPr>
        <w:footnoteRef/>
      </w:r>
      <w:r w:rsidRPr="00CE6D86">
        <w:rPr>
          <w:sz w:val="20"/>
          <w:szCs w:val="20"/>
          <w:lang w:val="es-ES"/>
        </w:rPr>
        <w:t xml:space="preserve"> </w:t>
      </w:r>
      <w:hyperlink r:id="rId20">
        <w:r w:rsidRPr="00CE6D86">
          <w:rPr>
            <w:color w:val="1155CC"/>
            <w:sz w:val="20"/>
            <w:szCs w:val="20"/>
            <w:u w:val="single"/>
            <w:lang w:val="es-ES"/>
          </w:rPr>
          <w:t>https://www.ubcic.bc.ca/senate_committee_votes_to_eliminate_the_second_generation_cut_off</w:t>
        </w:r>
      </w:hyperlink>
      <w:r w:rsidRPr="00CE6D86">
        <w:rPr>
          <w:sz w:val="20"/>
          <w:szCs w:val="20"/>
          <w:lang w:val="es-ES"/>
        </w:rPr>
        <w:t xml:space="preserve"> </w:t>
      </w:r>
    </w:p>
  </w:footnote>
  <w:footnote w:id="27">
    <w:p w14:paraId="333564DF" w14:textId="77777777" w:rsidR="00350FA3" w:rsidRDefault="00350FA3" w:rsidP="004F4E10">
      <w:pPr>
        <w:pStyle w:val="Normal1"/>
      </w:pPr>
      <w:r w:rsidRPr="00CE6D86">
        <w:rPr>
          <w:rStyle w:val="FootnoteReference"/>
        </w:rPr>
        <w:footnoteRef/>
      </w:r>
      <w:r w:rsidRPr="00CE6D86">
        <w:rPr>
          <w:sz w:val="20"/>
          <w:szCs w:val="20"/>
          <w:lang w:val="es-ES"/>
        </w:rPr>
        <w:t xml:space="preserve"> </w:t>
      </w:r>
      <w:hyperlink r:id="rId21">
        <w:r w:rsidRPr="00CE6D86">
          <w:rPr>
            <w:color w:val="1155CC"/>
            <w:sz w:val="20"/>
            <w:szCs w:val="20"/>
            <w:u w:val="single"/>
            <w:lang w:val="es-ES"/>
          </w:rPr>
          <w:t>https://www.aptnnews.ca/national-news/bill-s-2-amendments-to-eliminate-second-generation-cutoff-pass-major-hurdle/</w:t>
        </w:r>
      </w:hyperlink>
      <w:r w:rsidRPr="00CE6D86">
        <w:rPr>
          <w:sz w:val="20"/>
          <w:szCs w:val="20"/>
          <w:lang w:val="es-ES"/>
        </w:rPr>
        <w:t xml:space="preserve"> </w:t>
      </w:r>
    </w:p>
  </w:footnote>
  <w:footnote w:id="28">
    <w:p w14:paraId="226B8A78" w14:textId="77777777" w:rsidR="00350FA3" w:rsidRDefault="00350FA3" w:rsidP="004F4E10">
      <w:pPr>
        <w:pStyle w:val="Normal1"/>
      </w:pPr>
      <w:r w:rsidRPr="00CE6D86">
        <w:rPr>
          <w:rStyle w:val="FootnoteReference"/>
        </w:rPr>
        <w:footnoteRef/>
      </w:r>
      <w:r w:rsidRPr="00CE6D86">
        <w:rPr>
          <w:sz w:val="20"/>
          <w:szCs w:val="20"/>
          <w:lang w:val="es-ES"/>
        </w:rPr>
        <w:t xml:space="preserve"> </w:t>
      </w:r>
      <w:r w:rsidRPr="00CE6D86">
        <w:rPr>
          <w:i/>
          <w:iCs/>
          <w:sz w:val="20"/>
          <w:szCs w:val="20"/>
          <w:lang w:val="es-ES"/>
        </w:rPr>
        <w:t>Ibid.</w:t>
      </w:r>
    </w:p>
  </w:footnote>
  <w:footnote w:id="29">
    <w:p w14:paraId="12ABE4B4" w14:textId="77777777" w:rsidR="00350FA3" w:rsidRDefault="00350FA3" w:rsidP="004F4E10">
      <w:pPr>
        <w:pStyle w:val="Normal1"/>
      </w:pPr>
      <w:r w:rsidRPr="00CE6D86">
        <w:rPr>
          <w:rStyle w:val="FootnoteReference"/>
        </w:rPr>
        <w:footnoteRef/>
      </w:r>
      <w:r w:rsidRPr="00CE6D86">
        <w:rPr>
          <w:sz w:val="20"/>
          <w:szCs w:val="20"/>
          <w:lang w:val="es-ES"/>
        </w:rPr>
        <w:t xml:space="preserve"> </w:t>
      </w:r>
      <w:hyperlink r:id="rId22">
        <w:r w:rsidRPr="00CE6D86">
          <w:rPr>
            <w:color w:val="1155CC"/>
            <w:sz w:val="20"/>
            <w:szCs w:val="20"/>
            <w:u w:val="single"/>
            <w:lang w:val="es-ES"/>
          </w:rPr>
          <w:t>https://www.firstpeopleslaw.com/public-education/blog/the-national-interest-and-the-future-of-bill-c-5</w:t>
        </w:r>
      </w:hyperlink>
      <w:r w:rsidRPr="00CE6D86">
        <w:rPr>
          <w:sz w:val="20"/>
          <w:szCs w:val="20"/>
          <w:lang w:val="es-ES"/>
        </w:rPr>
        <w:t xml:space="preserve"> </w:t>
      </w:r>
    </w:p>
  </w:footnote>
  <w:footnote w:id="30">
    <w:p w14:paraId="67718F53" w14:textId="77777777" w:rsidR="00350FA3" w:rsidRDefault="00350FA3" w:rsidP="00183585">
      <w:pPr>
        <w:pStyle w:val="FootnoteText"/>
      </w:pPr>
      <w:r w:rsidRPr="00CE6D86">
        <w:rPr>
          <w:rStyle w:val="FootnoteReference"/>
          <w:rFonts w:ascii="Arial" w:hAnsi="Arial" w:cs="Arial"/>
        </w:rPr>
        <w:footnoteRef/>
      </w:r>
      <w:r w:rsidRPr="00CE6D86">
        <w:rPr>
          <w:rFonts w:ascii="Arial" w:hAnsi="Arial" w:cs="Arial"/>
          <w:lang w:val="es-ES"/>
        </w:rPr>
        <w:t xml:space="preserve"> </w:t>
      </w:r>
      <w:hyperlink r:id="rId23" w:history="1">
        <w:r w:rsidRPr="00CE6D86">
          <w:rPr>
            <w:rStyle w:val="Hyperlink"/>
            <w:rFonts w:ascii="Arial" w:hAnsi="Arial" w:cs="Arial"/>
            <w:lang w:val="es-ES"/>
          </w:rPr>
          <w:t>https://www.ourcommons.ca/documentviewer/en/45-1/house/sitting-71/hansard</w:t>
        </w:r>
      </w:hyperlink>
      <w:r w:rsidRPr="00CE6D86">
        <w:rPr>
          <w:rFonts w:ascii="Arial" w:hAnsi="Arial" w:cs="Arial"/>
          <w:lang w:val="es-ES"/>
        </w:rPr>
        <w:t xml:space="preserve"> </w:t>
      </w:r>
    </w:p>
  </w:footnote>
  <w:footnote w:id="31">
    <w:p w14:paraId="0A945D5D" w14:textId="77777777" w:rsidR="00350FA3" w:rsidRDefault="00350FA3" w:rsidP="00183585">
      <w:pPr>
        <w:pStyle w:val="Normal1"/>
      </w:pPr>
      <w:r w:rsidRPr="00CE6D86">
        <w:rPr>
          <w:rStyle w:val="FootnoteReference"/>
        </w:rPr>
        <w:footnoteRef/>
      </w:r>
      <w:r w:rsidRPr="00CE6D86">
        <w:rPr>
          <w:sz w:val="20"/>
          <w:szCs w:val="20"/>
          <w:lang w:val="es-ES"/>
        </w:rPr>
        <w:t xml:space="preserve"> </w:t>
      </w:r>
      <w:hyperlink r:id="rId24">
        <w:r w:rsidRPr="00CE6D86">
          <w:rPr>
            <w:color w:val="1155CC"/>
            <w:sz w:val="20"/>
            <w:szCs w:val="20"/>
            <w:u w:val="single"/>
            <w:lang w:val="es-ES"/>
          </w:rPr>
          <w:t>https://www.aptnnews.ca/national-news/bill-s-2-amendments-to-eliminate-second-generation-cutoff-pass-major-hurdle/</w:t>
        </w:r>
      </w:hyperlink>
      <w:r w:rsidRPr="00CE6D86">
        <w:rPr>
          <w:sz w:val="20"/>
          <w:szCs w:val="20"/>
          <w:lang w:val="es-ES"/>
        </w:rPr>
        <w:t xml:space="preserve"> </w:t>
      </w:r>
    </w:p>
  </w:footnote>
  <w:footnote w:id="32">
    <w:p w14:paraId="78CE7613" w14:textId="77777777" w:rsidR="00350FA3" w:rsidRDefault="00350FA3">
      <w:pPr>
        <w:pStyle w:val="FootnoteText"/>
      </w:pPr>
      <w:r>
        <w:rPr>
          <w:rStyle w:val="FootnoteReference"/>
        </w:rPr>
        <w:footnoteRef/>
      </w:r>
      <w:r>
        <w:t xml:space="preserve"> </w:t>
      </w:r>
      <w:r w:rsidRPr="000F3841">
        <w:t>Human Rights Committee, Concluding Observations on Canada CCPR/C/79/Add.105, 7 April 1999, para 19; Human Rights Committee, Concluding Observations on Canada, CCPR/C/CAN/CO/5, 20 April 2006, para 22; Human Rights Committee, Concluding Observations on Canada, C/CAN/CO/7 (2015), paras 17 – 18</w:t>
      </w:r>
      <w:r>
        <w:t>.</w:t>
      </w:r>
    </w:p>
  </w:footnote>
  <w:footnote w:id="33">
    <w:p w14:paraId="2394A712" w14:textId="77777777" w:rsidR="00350FA3" w:rsidRDefault="00350FA3" w:rsidP="00B23897">
      <w:pPr>
        <w:pStyle w:val="Normal1"/>
      </w:pPr>
      <w:r w:rsidRPr="00CE6D86">
        <w:rPr>
          <w:rStyle w:val="FootnoteReference"/>
        </w:rPr>
        <w:footnoteRef/>
      </w:r>
      <w:r w:rsidRPr="00CE6D86">
        <w:rPr>
          <w:sz w:val="20"/>
          <w:szCs w:val="20"/>
          <w:lang w:val="es-ES"/>
        </w:rPr>
        <w:t xml:space="preserve"> </w:t>
      </w:r>
      <w:hyperlink r:id="rId25" w:anchor="sec4_4">
        <w:r w:rsidRPr="00CE6D86">
          <w:rPr>
            <w:color w:val="1155CC"/>
            <w:sz w:val="20"/>
            <w:szCs w:val="20"/>
            <w:u w:val="single"/>
            <w:lang w:val="es-ES"/>
          </w:rPr>
          <w:t>https://www.sac-isc.gc.ca/eng/1765550289110/1765550326340#sec4_4</w:t>
        </w:r>
      </w:hyperlink>
      <w:r w:rsidRPr="00CE6D86">
        <w:rPr>
          <w:sz w:val="20"/>
          <w:szCs w:val="20"/>
          <w:lang w:val="es-ES"/>
        </w:rPr>
        <w:t xml:space="preserve"> </w:t>
      </w:r>
    </w:p>
  </w:footnote>
  <w:footnote w:id="34">
    <w:p w14:paraId="18DA343C" w14:textId="77777777" w:rsidR="00350FA3" w:rsidRDefault="00350FA3" w:rsidP="00B23897">
      <w:pPr>
        <w:pStyle w:val="Normal1"/>
      </w:pPr>
      <w:r w:rsidRPr="00CE6D86">
        <w:rPr>
          <w:rStyle w:val="FootnoteReference"/>
        </w:rPr>
        <w:footnoteRef/>
      </w:r>
      <w:r w:rsidRPr="00CE6D86">
        <w:rPr>
          <w:sz w:val="18"/>
          <w:szCs w:val="18"/>
          <w:lang w:val="es-ES"/>
        </w:rPr>
        <w:t xml:space="preserve"> </w:t>
      </w:r>
      <w:hyperlink r:id="rId26" w:anchor="sec4_4">
        <w:r w:rsidRPr="00CE6D86">
          <w:rPr>
            <w:color w:val="1155CC"/>
            <w:sz w:val="18"/>
            <w:szCs w:val="18"/>
            <w:u w:val="single"/>
            <w:lang w:val="es-ES"/>
          </w:rPr>
          <w:t>https://www.sac-isc.gc.ca/eng/1765550289110/1765550326340#sec4_4</w:t>
        </w:r>
      </w:hyperlink>
      <w:r w:rsidRPr="00CE6D86">
        <w:rPr>
          <w:sz w:val="18"/>
          <w:szCs w:val="18"/>
          <w:lang w:val="es-ES"/>
        </w:rPr>
        <w:t xml:space="preserve"> </w:t>
      </w:r>
    </w:p>
  </w:footnote>
  <w:footnote w:id="35">
    <w:p w14:paraId="06129B58" w14:textId="77777777" w:rsidR="00350FA3" w:rsidRDefault="00350FA3" w:rsidP="00B23897">
      <w:pPr>
        <w:pStyle w:val="Normal1"/>
      </w:pPr>
      <w:r w:rsidRPr="00CE6D86">
        <w:rPr>
          <w:rStyle w:val="FootnoteReference"/>
        </w:rPr>
        <w:footnoteRef/>
      </w:r>
      <w:r w:rsidRPr="00F4303B">
        <w:rPr>
          <w:sz w:val="20"/>
          <w:szCs w:val="20"/>
          <w:lang w:val="en-CA"/>
        </w:rPr>
        <w:t xml:space="preserve"> </w:t>
      </w:r>
      <w:r w:rsidRPr="00F4303B">
        <w:rPr>
          <w:i/>
          <w:iCs/>
          <w:sz w:val="20"/>
          <w:szCs w:val="20"/>
          <w:lang w:val="en-CA"/>
        </w:rPr>
        <w:t>Ibid.</w:t>
      </w:r>
    </w:p>
  </w:footnote>
  <w:footnote w:id="36">
    <w:p w14:paraId="12DE45A1" w14:textId="77777777" w:rsidR="00350FA3" w:rsidRDefault="00350FA3">
      <w:pPr>
        <w:pStyle w:val="FootnoteText"/>
      </w:pPr>
      <w:r>
        <w:rPr>
          <w:rStyle w:val="FootnoteReference"/>
        </w:rPr>
        <w:footnoteRef/>
      </w:r>
      <w:r>
        <w:t xml:space="preserve"> See paragraphs 40, 41, and 93. </w:t>
      </w:r>
      <w:r w:rsidRPr="00F0672A">
        <w:t>https://docs.un.org/en/A/HRC/54/31/Add.2</w:t>
      </w:r>
    </w:p>
  </w:footnote>
  <w:footnote w:id="37">
    <w:p w14:paraId="7421EFFA" w14:textId="77777777" w:rsidR="00350FA3" w:rsidRDefault="00350FA3" w:rsidP="00F15EEB">
      <w:pPr>
        <w:pStyle w:val="Normal1"/>
      </w:pPr>
      <w:r w:rsidRPr="00CE6D86">
        <w:rPr>
          <w:rStyle w:val="FootnoteReference"/>
        </w:rPr>
        <w:footnoteRef/>
      </w:r>
      <w:r w:rsidRPr="00CE6D86">
        <w:rPr>
          <w:color w:val="000000"/>
          <w:sz w:val="18"/>
          <w:szCs w:val="18"/>
        </w:rPr>
        <w:t xml:space="preserve"> Please see the submission of the Canadian Feminist Alliance for International Action (FAFIA) </w:t>
      </w:r>
      <w:r>
        <w:rPr>
          <w:color w:val="000000"/>
          <w:sz w:val="18"/>
          <w:szCs w:val="18"/>
        </w:rPr>
        <w:t xml:space="preserve">to CEDAW’s review of Canada in 2024 </w:t>
      </w:r>
      <w:r w:rsidRPr="00CE6D86">
        <w:rPr>
          <w:color w:val="000000"/>
          <w:sz w:val="18"/>
          <w:szCs w:val="18"/>
        </w:rPr>
        <w:t>for further information on this point.</w:t>
      </w:r>
      <w:r>
        <w:rPr>
          <w:color w:val="000000"/>
          <w:sz w:val="18"/>
          <w:szCs w:val="18"/>
        </w:rPr>
        <w:t xml:space="preserve"> </w:t>
      </w:r>
      <w:hyperlink r:id="rId27" w:history="1">
        <w:r w:rsidRPr="0072383C">
          <w:rPr>
            <w:rStyle w:val="Hyperlink"/>
            <w:rFonts w:ascii="Arial" w:hAnsi="Arial" w:cs="Arial"/>
            <w:sz w:val="18"/>
            <w:szCs w:val="18"/>
          </w:rPr>
          <w:t>https://tbinternet.ohchr.org/_layouts/15/treatybodyexternal/Download.aspx?symbolno=INT%2FCEDAW%2FCSS%2FCAN%2F59717&amp;Lang=en</w:t>
        </w:r>
      </w:hyperlink>
      <w:r>
        <w:rPr>
          <w:color w:val="000000"/>
          <w:sz w:val="18"/>
          <w:szCs w:val="18"/>
        </w:rPr>
        <w:t xml:space="preserve">  </w:t>
      </w:r>
    </w:p>
  </w:footnote>
  <w:footnote w:id="38">
    <w:p w14:paraId="55003664" w14:textId="77777777" w:rsidR="00350FA3" w:rsidRDefault="00350FA3" w:rsidP="001D62C6">
      <w:pPr>
        <w:pStyle w:val="Normal1"/>
      </w:pPr>
      <w:r w:rsidRPr="00CE6D86">
        <w:rPr>
          <w:rStyle w:val="FootnoteReference"/>
        </w:rPr>
        <w:footnoteRef/>
      </w:r>
      <w:r w:rsidRPr="00CE6D86">
        <w:rPr>
          <w:color w:val="000000"/>
          <w:sz w:val="18"/>
          <w:szCs w:val="18"/>
        </w:rPr>
        <w:t xml:space="preserve"> The Working Group would like to note, in relation to CEDAW’s emphasis on self-identification, the importance of the multiple factors included in the current understanding of who Indigenous Peoples are, which goes beyond solely self-identification at the individual level, and includes acceptance by the community as a member, in addition to multiple other factors. In Canada, there is growing concern about the issue of “pretendians”, or people who falsely claim to be Indigenous through self-identification. </w:t>
      </w:r>
    </w:p>
  </w:footnote>
  <w:footnote w:id="39">
    <w:p w14:paraId="04337BD0" w14:textId="77777777" w:rsidR="00350FA3" w:rsidRDefault="00350FA3">
      <w:pPr>
        <w:pStyle w:val="Normal1"/>
      </w:pPr>
      <w:r w:rsidRPr="00CE6D86">
        <w:rPr>
          <w:rStyle w:val="FootnoteReference"/>
        </w:rPr>
        <w:footnoteRef/>
      </w:r>
      <w:r w:rsidRPr="00CE6D86">
        <w:rPr>
          <w:color w:val="000000"/>
          <w:sz w:val="20"/>
          <w:szCs w:val="20"/>
        </w:rPr>
        <w:t xml:space="preserve"> </w:t>
      </w:r>
      <w:r w:rsidRPr="00CE6D86">
        <w:rPr>
          <w:color w:val="000000"/>
          <w:sz w:val="18"/>
          <w:szCs w:val="18"/>
        </w:rPr>
        <w:t xml:space="preserve">See footnote 1. </w:t>
      </w:r>
    </w:p>
  </w:footnote>
  <w:footnote w:id="40">
    <w:p w14:paraId="46219A1A" w14:textId="77777777" w:rsidR="00350FA3" w:rsidRDefault="00350FA3">
      <w:pPr>
        <w:pStyle w:val="Normal1"/>
      </w:pPr>
      <w:r w:rsidRPr="00CE6D86">
        <w:rPr>
          <w:rStyle w:val="FootnoteReference"/>
        </w:rPr>
        <w:footnoteRef/>
      </w:r>
      <w:r w:rsidRPr="00CE6D86">
        <w:rPr>
          <w:sz w:val="18"/>
          <w:szCs w:val="18"/>
        </w:rPr>
        <w:t xml:space="preserve"> </w:t>
      </w:r>
      <w:hyperlink r:id="rId28" w:anchor=":~:text=Indigenous%20Services%20Canada's%20headquarters%20misses,aid%20for%20post%2Dsecondary%20schooling" w:history="1">
        <w:r w:rsidRPr="0072383C">
          <w:rPr>
            <w:rStyle w:val="Hyperlink"/>
            <w:rFonts w:ascii="Arial" w:hAnsi="Arial" w:cs="Arial"/>
            <w:sz w:val="18"/>
            <w:szCs w:val="18"/>
          </w:rPr>
          <w:t>https://www.cbc.ca/news/indigenous/auditor-general-indian-status-registration-1.7557301#:~:text=Indigenous%20Services%20Canada's%20headquarters%20misses,aid%20for%20post%2Dsecondary%20schooling</w:t>
        </w:r>
      </w:hyperlink>
      <w:r w:rsidRPr="00CE6D86">
        <w:rPr>
          <w:sz w:val="18"/>
          <w:szCs w:val="18"/>
        </w:rPr>
        <w:t>.</w:t>
      </w:r>
      <w:r>
        <w:rPr>
          <w:sz w:val="18"/>
          <w:szCs w:val="18"/>
        </w:rPr>
        <w:t xml:space="preserve"> </w:t>
      </w:r>
    </w:p>
  </w:footnote>
  <w:footnote w:id="41">
    <w:p w14:paraId="1221B27C" w14:textId="77777777" w:rsidR="00350FA3" w:rsidRDefault="00350FA3">
      <w:pPr>
        <w:pStyle w:val="FootnoteText"/>
      </w:pPr>
      <w:r>
        <w:rPr>
          <w:rStyle w:val="FootnoteReference"/>
        </w:rPr>
        <w:footnoteRef/>
      </w:r>
      <w:r w:rsidRPr="00F4303B">
        <w:rPr>
          <w:lang w:val="es-ES"/>
        </w:rPr>
        <w:t xml:space="preserve"> Ibid. </w:t>
      </w:r>
    </w:p>
  </w:footnote>
  <w:footnote w:id="42">
    <w:p w14:paraId="31C90D20" w14:textId="77777777" w:rsidR="00350FA3" w:rsidRDefault="00350FA3">
      <w:pPr>
        <w:pStyle w:val="Normal1"/>
      </w:pPr>
      <w:r w:rsidRPr="00CE6D86">
        <w:rPr>
          <w:rStyle w:val="FootnoteReference"/>
        </w:rPr>
        <w:footnoteRef/>
      </w:r>
      <w:r w:rsidRPr="00F4303B">
        <w:rPr>
          <w:sz w:val="20"/>
          <w:szCs w:val="20"/>
          <w:lang w:val="es-ES"/>
        </w:rPr>
        <w:t xml:space="preserve"> </w:t>
      </w:r>
      <w:hyperlink r:id="rId29">
        <w:r w:rsidRPr="00F4303B">
          <w:rPr>
            <w:color w:val="1155CC"/>
            <w:sz w:val="18"/>
            <w:szCs w:val="18"/>
            <w:u w:val="single"/>
            <w:lang w:val="es-ES"/>
          </w:rPr>
          <w:t>https://www.cbc.ca/news/politics/minister-consultations-changes-first-nations-status-eligibility-9.7007961</w:t>
        </w:r>
      </w:hyperlink>
      <w:r w:rsidRPr="00F4303B">
        <w:rPr>
          <w:sz w:val="18"/>
          <w:szCs w:val="18"/>
          <w:lang w:val="es-ES"/>
        </w:rPr>
        <w:t xml:space="preserve"> </w:t>
      </w:r>
    </w:p>
  </w:footnote>
  <w:footnote w:id="43">
    <w:p w14:paraId="09094272" w14:textId="77777777" w:rsidR="00350FA3" w:rsidRDefault="00350FA3">
      <w:pPr>
        <w:pStyle w:val="Normal1"/>
      </w:pPr>
      <w:r w:rsidRPr="00CE6D86">
        <w:rPr>
          <w:rStyle w:val="FootnoteReference"/>
        </w:rPr>
        <w:footnoteRef/>
      </w:r>
      <w:r w:rsidRPr="00F4303B">
        <w:rPr>
          <w:sz w:val="18"/>
          <w:szCs w:val="18"/>
          <w:lang w:val="es-ES"/>
        </w:rPr>
        <w:t xml:space="preserve"> </w:t>
      </w:r>
      <w:hyperlink r:id="rId30">
        <w:r w:rsidRPr="00F4303B">
          <w:rPr>
            <w:color w:val="1155CC"/>
            <w:sz w:val="18"/>
            <w:szCs w:val="18"/>
            <w:u w:val="single"/>
            <w:lang w:val="es-ES"/>
          </w:rPr>
          <w:t>https://www.oag-bvg.gc.ca/internet/docs/parl_oag_202506_01_e.pdf</w:t>
        </w:r>
      </w:hyperlink>
      <w:r w:rsidRPr="00F4303B">
        <w:rPr>
          <w:sz w:val="18"/>
          <w:szCs w:val="18"/>
          <w:lang w:val="es-ES"/>
        </w:rPr>
        <w:t xml:space="preserve"> </w:t>
      </w:r>
    </w:p>
  </w:footnote>
  <w:footnote w:id="44">
    <w:p w14:paraId="4346BD45" w14:textId="77777777" w:rsidR="00350FA3" w:rsidRDefault="00350FA3" w:rsidP="0063424C">
      <w:pPr>
        <w:pStyle w:val="Normal1"/>
      </w:pPr>
      <w:r w:rsidRPr="00CE6D86">
        <w:rPr>
          <w:rStyle w:val="FootnoteReference"/>
        </w:rPr>
        <w:footnoteRef/>
      </w:r>
      <w:r w:rsidRPr="00F4303B">
        <w:rPr>
          <w:sz w:val="18"/>
          <w:szCs w:val="18"/>
          <w:lang w:val="es-ES"/>
        </w:rPr>
        <w:t xml:space="preserve"> </w:t>
      </w:r>
      <w:hyperlink r:id="rId31" w:history="1">
        <w:r w:rsidRPr="00F4303B">
          <w:rPr>
            <w:rStyle w:val="Hyperlink"/>
            <w:rFonts w:ascii="Arial" w:hAnsi="Arial" w:cs="Arial"/>
            <w:sz w:val="18"/>
            <w:szCs w:val="18"/>
            <w:lang w:val="es-ES"/>
          </w:rPr>
          <w:t>https://www.sac-isc.gc.ca/eng/1662142490384/1662142638971</w:t>
        </w:r>
      </w:hyperlink>
      <w:r w:rsidRPr="00F4303B">
        <w:rPr>
          <w:sz w:val="18"/>
          <w:szCs w:val="18"/>
          <w:lang w:val="es-ES"/>
        </w:rPr>
        <w:t xml:space="preserve">. </w:t>
      </w:r>
    </w:p>
  </w:footnote>
  <w:footnote w:id="45">
    <w:p w14:paraId="0BD7E034" w14:textId="77777777" w:rsidR="00350FA3" w:rsidRDefault="00350FA3">
      <w:pPr>
        <w:pStyle w:val="Normal1"/>
      </w:pPr>
      <w:r w:rsidRPr="00CE6D86">
        <w:rPr>
          <w:rStyle w:val="FootnoteReference"/>
        </w:rPr>
        <w:footnoteRef/>
      </w:r>
      <w:r w:rsidRPr="00CE6D86">
        <w:rPr>
          <w:sz w:val="20"/>
          <w:szCs w:val="20"/>
        </w:rPr>
        <w:t xml:space="preserve"> </w:t>
      </w:r>
      <w:r w:rsidRPr="00735630">
        <w:rPr>
          <w:sz w:val="20"/>
          <w:szCs w:val="20"/>
        </w:rPr>
        <w:t>Articles 28 and 39 of UNDRIP</w:t>
      </w:r>
      <w:r>
        <w:rPr>
          <w:sz w:val="20"/>
          <w:szCs w:val="20"/>
        </w:rPr>
        <w:t xml:space="preserve"> </w:t>
      </w:r>
      <w:r w:rsidRPr="00735630">
        <w:rPr>
          <w:sz w:val="20"/>
          <w:szCs w:val="20"/>
        </w:rPr>
        <w:t>state, respectively: “Indigenous peoples have the right to have access to financial and technical assistance from States and through international cooperation, for the enjoyment of the rights contained in this Declaration”, and “Indigenous peoples have the right to redress, by means that can include restitution or, when this is not possible, just, fair and equitable compensation, for the lands, territories and resources which they have traditionally owned or otherwise occupied or used, and which have been confiscated, taken, occupied, used or damaged without their free, prior and informed consent</w:t>
      </w:r>
      <w:r>
        <w:rPr>
          <w:sz w:val="20"/>
          <w:szCs w:val="20"/>
        </w:rPr>
        <w:t>.</w:t>
      </w:r>
      <w:r w:rsidRPr="00735630">
        <w:rPr>
          <w:sz w:val="20"/>
          <w:szCs w:val="20"/>
        </w:rPr>
        <w:t>”</w:t>
      </w:r>
      <w:r>
        <w:rPr>
          <w:sz w:val="20"/>
          <w:szCs w:val="20"/>
        </w:rPr>
        <w:t xml:space="preserve"> </w:t>
      </w:r>
      <w:hyperlink r:id="rId32" w:history="1">
        <w:r w:rsidRPr="0072383C">
          <w:rPr>
            <w:rStyle w:val="Hyperlink"/>
            <w:rFonts w:ascii="Arial" w:hAnsi="Arial" w:cs="Arial"/>
            <w:sz w:val="18"/>
            <w:szCs w:val="18"/>
          </w:rPr>
          <w:t>https://www.un.org/development/desa/Indigenouspeoples/wp-content/uploads/sites/19/2018/11/UNDRIP_E_web.pdf</w:t>
        </w:r>
      </w:hyperlink>
      <w:r>
        <w:rPr>
          <w:sz w:val="18"/>
          <w:szCs w:val="18"/>
        </w:rPr>
        <w:t xml:space="preserve"> </w:t>
      </w:r>
    </w:p>
  </w:footnote>
  <w:footnote w:id="46">
    <w:p w14:paraId="73C0E016" w14:textId="77777777" w:rsidR="00350FA3" w:rsidRDefault="00350FA3">
      <w:pPr>
        <w:pStyle w:val="Normal1"/>
      </w:pPr>
      <w:r w:rsidRPr="00CE6D86">
        <w:rPr>
          <w:rStyle w:val="FootnoteReference"/>
        </w:rPr>
        <w:footnoteRef/>
      </w:r>
      <w:r w:rsidRPr="00CE6D86">
        <w:rPr>
          <w:sz w:val="20"/>
          <w:szCs w:val="20"/>
        </w:rPr>
        <w:t xml:space="preserve"> </w:t>
      </w:r>
      <w:hyperlink r:id="rId33" w:history="1">
        <w:r w:rsidRPr="0072383C">
          <w:rPr>
            <w:rStyle w:val="Hyperlink"/>
            <w:rFonts w:ascii="Arial" w:hAnsi="Arial" w:cs="Arial"/>
            <w:sz w:val="18"/>
            <w:szCs w:val="18"/>
          </w:rPr>
          <w:t>https://sencanada.ca/Content/Sen/Committee/451/APPA/briefs/2025-10-28_APPA_S-2_Brief_ONWA_e.pdf</w:t>
        </w:r>
      </w:hyperlink>
      <w:r>
        <w:rPr>
          <w:sz w:val="18"/>
          <w:szCs w:val="18"/>
        </w:rPr>
        <w:t xml:space="preserve"> </w:t>
      </w:r>
    </w:p>
  </w:footnote>
  <w:footnote w:id="47">
    <w:p w14:paraId="4961AAD8" w14:textId="77777777" w:rsidR="00350FA3" w:rsidRDefault="00350FA3">
      <w:pPr>
        <w:pStyle w:val="FootnoteText"/>
      </w:pPr>
      <w:r>
        <w:rPr>
          <w:rStyle w:val="FootnoteReference"/>
        </w:rPr>
        <w:footnoteRef/>
      </w:r>
      <w:r>
        <w:t xml:space="preserve"> </w:t>
      </w:r>
      <w:hyperlink r:id="rId34" w:history="1">
        <w:r w:rsidRPr="0072383C">
          <w:rPr>
            <w:rStyle w:val="Hyperlink"/>
          </w:rPr>
          <w:t>https://www.rcaanc-cirnac.gc.ca/eng/1561561140999/1568902073183</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C45F4"/>
    <w:multiLevelType w:val="hybridMultilevel"/>
    <w:tmpl w:val="14520EAA"/>
    <w:lvl w:ilvl="0" w:tplc="FFFFFFFF">
      <w:start w:val="33"/>
      <w:numFmt w:val="decimal"/>
      <w:lvlText w:val="%1."/>
      <w:lvlJc w:val="left"/>
      <w:pPr>
        <w:tabs>
          <w:tab w:val="num" w:pos="142"/>
        </w:tabs>
        <w:ind w:left="142"/>
      </w:pPr>
      <w:rPr>
        <w:rFonts w:hint="default"/>
        <w:sz w:val="24"/>
        <w:szCs w:val="24"/>
      </w:rPr>
    </w:lvl>
    <w:lvl w:ilvl="1" w:tplc="FFFFFFFF">
      <w:start w:val="1"/>
      <w:numFmt w:val="lowerLetter"/>
      <w:lvlText w:val="%2."/>
      <w:lvlJc w:val="left"/>
      <w:pPr>
        <w:tabs>
          <w:tab w:val="num" w:pos="1222"/>
        </w:tabs>
        <w:ind w:left="1222" w:hanging="360"/>
      </w:pPr>
    </w:lvl>
    <w:lvl w:ilvl="2" w:tplc="FFFFFFFF">
      <w:start w:val="1"/>
      <w:numFmt w:val="lowerRoman"/>
      <w:lvlText w:val="%3."/>
      <w:lvlJc w:val="right"/>
      <w:pPr>
        <w:tabs>
          <w:tab w:val="num" w:pos="1942"/>
        </w:tabs>
        <w:ind w:left="1942" w:hanging="180"/>
      </w:pPr>
    </w:lvl>
    <w:lvl w:ilvl="3" w:tplc="FFFFFFFF">
      <w:start w:val="1"/>
      <w:numFmt w:val="decimal"/>
      <w:lvlText w:val="%4."/>
      <w:lvlJc w:val="left"/>
      <w:pPr>
        <w:tabs>
          <w:tab w:val="num" w:pos="2662"/>
        </w:tabs>
        <w:ind w:left="2662" w:hanging="360"/>
      </w:pPr>
    </w:lvl>
    <w:lvl w:ilvl="4" w:tplc="FFFFFFFF">
      <w:start w:val="1"/>
      <w:numFmt w:val="lowerLetter"/>
      <w:lvlText w:val="%5."/>
      <w:lvlJc w:val="left"/>
      <w:pPr>
        <w:tabs>
          <w:tab w:val="num" w:pos="3382"/>
        </w:tabs>
        <w:ind w:left="3382" w:hanging="360"/>
      </w:pPr>
    </w:lvl>
    <w:lvl w:ilvl="5" w:tplc="FFFFFFFF">
      <w:start w:val="1"/>
      <w:numFmt w:val="lowerRoman"/>
      <w:lvlText w:val="%6."/>
      <w:lvlJc w:val="right"/>
      <w:pPr>
        <w:tabs>
          <w:tab w:val="num" w:pos="4102"/>
        </w:tabs>
        <w:ind w:left="4102" w:hanging="180"/>
      </w:pPr>
    </w:lvl>
    <w:lvl w:ilvl="6" w:tplc="FFFFFFFF">
      <w:start w:val="1"/>
      <w:numFmt w:val="decimal"/>
      <w:lvlText w:val="%7."/>
      <w:lvlJc w:val="left"/>
      <w:pPr>
        <w:tabs>
          <w:tab w:val="num" w:pos="4822"/>
        </w:tabs>
        <w:ind w:left="4822" w:hanging="360"/>
      </w:pPr>
    </w:lvl>
    <w:lvl w:ilvl="7" w:tplc="FFFFFFFF">
      <w:start w:val="1"/>
      <w:numFmt w:val="lowerLetter"/>
      <w:lvlText w:val="%8."/>
      <w:lvlJc w:val="left"/>
      <w:pPr>
        <w:tabs>
          <w:tab w:val="num" w:pos="5542"/>
        </w:tabs>
        <w:ind w:left="5542" w:hanging="360"/>
      </w:pPr>
    </w:lvl>
    <w:lvl w:ilvl="8" w:tplc="FFFFFFFF">
      <w:start w:val="1"/>
      <w:numFmt w:val="lowerRoman"/>
      <w:lvlText w:val="%9."/>
      <w:lvlJc w:val="right"/>
      <w:pPr>
        <w:tabs>
          <w:tab w:val="num" w:pos="6262"/>
        </w:tabs>
        <w:ind w:left="6262" w:hanging="180"/>
      </w:pPr>
    </w:lvl>
  </w:abstractNum>
  <w:abstractNum w:abstractNumId="1" w15:restartNumberingAfterBreak="0">
    <w:nsid w:val="162B2CB7"/>
    <w:multiLevelType w:val="multilevel"/>
    <w:tmpl w:val="B6AA157A"/>
    <w:lvl w:ilvl="0">
      <w:start w:val="33"/>
      <w:numFmt w:val="decimal"/>
      <w:lvlText w:val="%1."/>
      <w:lvlJc w:val="left"/>
      <w:pPr>
        <w:tabs>
          <w:tab w:val="num" w:pos="360"/>
        </w:tabs>
        <w:ind w:left="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F0701AF"/>
    <w:multiLevelType w:val="hybridMultilevel"/>
    <w:tmpl w:val="951E367C"/>
    <w:lvl w:ilvl="0" w:tplc="81B69E5E">
      <w:start w:val="1"/>
      <w:numFmt w:val="bullet"/>
      <w:lvlText w:val=""/>
      <w:lvlJc w:val="left"/>
      <w:pPr>
        <w:tabs>
          <w:tab w:val="num" w:pos="360"/>
        </w:tabs>
        <w:ind w:left="360" w:hanging="360"/>
      </w:pPr>
      <w:rPr>
        <w:rFonts w:ascii="Symbol" w:hAnsi="Symbol" w:cs="Symbol" w:hint="default"/>
        <w:vertAlign w:val="baseline"/>
      </w:rPr>
    </w:lvl>
    <w:lvl w:ilvl="1" w:tplc="04090001">
      <w:start w:val="1"/>
      <w:numFmt w:val="bullet"/>
      <w:lvlText w:val=""/>
      <w:lvlJc w:val="left"/>
      <w:pPr>
        <w:ind w:left="1440" w:hanging="360"/>
      </w:pPr>
      <w:rPr>
        <w:rFonts w:ascii="Symbol" w:hAnsi="Symbol" w:cs="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20517623"/>
    <w:multiLevelType w:val="multilevel"/>
    <w:tmpl w:val="FFFFFFFF"/>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23A12031"/>
    <w:multiLevelType w:val="hybridMultilevel"/>
    <w:tmpl w:val="14520EAA"/>
    <w:lvl w:ilvl="0" w:tplc="FFFFFFFF">
      <w:start w:val="33"/>
      <w:numFmt w:val="decimal"/>
      <w:lvlText w:val="%1."/>
      <w:lvlJc w:val="left"/>
      <w:pPr>
        <w:tabs>
          <w:tab w:val="num" w:pos="142"/>
        </w:tabs>
        <w:ind w:left="142"/>
      </w:pPr>
      <w:rPr>
        <w:rFonts w:hint="default"/>
        <w:sz w:val="24"/>
        <w:szCs w:val="24"/>
      </w:rPr>
    </w:lvl>
    <w:lvl w:ilvl="1" w:tplc="FFFFFFFF">
      <w:start w:val="1"/>
      <w:numFmt w:val="lowerLetter"/>
      <w:lvlText w:val="%2."/>
      <w:lvlJc w:val="left"/>
      <w:pPr>
        <w:tabs>
          <w:tab w:val="num" w:pos="1222"/>
        </w:tabs>
        <w:ind w:left="1222" w:hanging="360"/>
      </w:pPr>
    </w:lvl>
    <w:lvl w:ilvl="2" w:tplc="FFFFFFFF">
      <w:start w:val="1"/>
      <w:numFmt w:val="lowerRoman"/>
      <w:lvlText w:val="%3."/>
      <w:lvlJc w:val="right"/>
      <w:pPr>
        <w:tabs>
          <w:tab w:val="num" w:pos="1942"/>
        </w:tabs>
        <w:ind w:left="1942" w:hanging="180"/>
      </w:pPr>
    </w:lvl>
    <w:lvl w:ilvl="3" w:tplc="FFFFFFFF">
      <w:start w:val="1"/>
      <w:numFmt w:val="decimal"/>
      <w:lvlText w:val="%4."/>
      <w:lvlJc w:val="left"/>
      <w:pPr>
        <w:tabs>
          <w:tab w:val="num" w:pos="2662"/>
        </w:tabs>
        <w:ind w:left="2662" w:hanging="360"/>
      </w:pPr>
    </w:lvl>
    <w:lvl w:ilvl="4" w:tplc="FFFFFFFF">
      <w:start w:val="1"/>
      <w:numFmt w:val="lowerLetter"/>
      <w:lvlText w:val="%5."/>
      <w:lvlJc w:val="left"/>
      <w:pPr>
        <w:tabs>
          <w:tab w:val="num" w:pos="3382"/>
        </w:tabs>
        <w:ind w:left="3382" w:hanging="360"/>
      </w:pPr>
    </w:lvl>
    <w:lvl w:ilvl="5" w:tplc="FFFFFFFF">
      <w:start w:val="1"/>
      <w:numFmt w:val="lowerRoman"/>
      <w:lvlText w:val="%6."/>
      <w:lvlJc w:val="right"/>
      <w:pPr>
        <w:tabs>
          <w:tab w:val="num" w:pos="4102"/>
        </w:tabs>
        <w:ind w:left="4102" w:hanging="180"/>
      </w:pPr>
    </w:lvl>
    <w:lvl w:ilvl="6" w:tplc="FFFFFFFF">
      <w:start w:val="1"/>
      <w:numFmt w:val="decimal"/>
      <w:lvlText w:val="%7."/>
      <w:lvlJc w:val="left"/>
      <w:pPr>
        <w:tabs>
          <w:tab w:val="num" w:pos="4822"/>
        </w:tabs>
        <w:ind w:left="4822" w:hanging="360"/>
      </w:pPr>
    </w:lvl>
    <w:lvl w:ilvl="7" w:tplc="FFFFFFFF">
      <w:start w:val="1"/>
      <w:numFmt w:val="lowerLetter"/>
      <w:lvlText w:val="%8."/>
      <w:lvlJc w:val="left"/>
      <w:pPr>
        <w:tabs>
          <w:tab w:val="num" w:pos="5542"/>
        </w:tabs>
        <w:ind w:left="5542" w:hanging="360"/>
      </w:pPr>
    </w:lvl>
    <w:lvl w:ilvl="8" w:tplc="FFFFFFFF">
      <w:start w:val="1"/>
      <w:numFmt w:val="lowerRoman"/>
      <w:lvlText w:val="%9."/>
      <w:lvlJc w:val="right"/>
      <w:pPr>
        <w:tabs>
          <w:tab w:val="num" w:pos="6262"/>
        </w:tabs>
        <w:ind w:left="6262" w:hanging="180"/>
      </w:pPr>
    </w:lvl>
  </w:abstractNum>
  <w:abstractNum w:abstractNumId="5" w15:restartNumberingAfterBreak="0">
    <w:nsid w:val="276A5A2A"/>
    <w:multiLevelType w:val="multilevel"/>
    <w:tmpl w:val="72B02B9A"/>
    <w:lvl w:ilvl="0">
      <w:start w:val="1"/>
      <w:numFmt w:val="decimal"/>
      <w:lvlText w:val="%1."/>
      <w:lvlJc w:val="left"/>
      <w:pPr>
        <w:tabs>
          <w:tab w:val="num" w:pos="0"/>
        </w:tabs>
      </w:pPr>
      <w:rPr>
        <w:rFonts w:hint="default"/>
        <w:vertAlign w:val="baseline"/>
      </w:rPr>
    </w:lvl>
    <w:lvl w:ilvl="1">
      <w:start w:val="1"/>
      <w:numFmt w:val="bullet"/>
      <w:lvlText w:val=""/>
      <w:lvlJc w:val="left"/>
      <w:pPr>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38752CB6"/>
    <w:multiLevelType w:val="hybridMultilevel"/>
    <w:tmpl w:val="163411E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38E578A1"/>
    <w:multiLevelType w:val="hybridMultilevel"/>
    <w:tmpl w:val="F5C40148"/>
    <w:lvl w:ilvl="0" w:tplc="04090001">
      <w:start w:val="1"/>
      <w:numFmt w:val="bullet"/>
      <w:lvlText w:val=""/>
      <w:lvlJc w:val="left"/>
      <w:pPr>
        <w:ind w:left="1270" w:hanging="360"/>
      </w:pPr>
      <w:rPr>
        <w:rFonts w:ascii="Symbol" w:hAnsi="Symbol" w:cs="Symbol" w:hint="default"/>
      </w:rPr>
    </w:lvl>
    <w:lvl w:ilvl="1" w:tplc="04090003">
      <w:start w:val="1"/>
      <w:numFmt w:val="bullet"/>
      <w:lvlText w:val="o"/>
      <w:lvlJc w:val="left"/>
      <w:pPr>
        <w:ind w:left="1990" w:hanging="360"/>
      </w:pPr>
      <w:rPr>
        <w:rFonts w:ascii="Courier New" w:hAnsi="Courier New" w:cs="Courier New" w:hint="default"/>
      </w:rPr>
    </w:lvl>
    <w:lvl w:ilvl="2" w:tplc="04090005">
      <w:start w:val="1"/>
      <w:numFmt w:val="bullet"/>
      <w:lvlText w:val=""/>
      <w:lvlJc w:val="left"/>
      <w:pPr>
        <w:ind w:left="2710" w:hanging="360"/>
      </w:pPr>
      <w:rPr>
        <w:rFonts w:ascii="Wingdings" w:hAnsi="Wingdings" w:cs="Wingdings" w:hint="default"/>
      </w:rPr>
    </w:lvl>
    <w:lvl w:ilvl="3" w:tplc="04090001">
      <w:start w:val="1"/>
      <w:numFmt w:val="bullet"/>
      <w:lvlText w:val=""/>
      <w:lvlJc w:val="left"/>
      <w:pPr>
        <w:ind w:left="3430" w:hanging="360"/>
      </w:pPr>
      <w:rPr>
        <w:rFonts w:ascii="Symbol" w:hAnsi="Symbol" w:cs="Symbol" w:hint="default"/>
      </w:rPr>
    </w:lvl>
    <w:lvl w:ilvl="4" w:tplc="04090003">
      <w:start w:val="1"/>
      <w:numFmt w:val="bullet"/>
      <w:lvlText w:val="o"/>
      <w:lvlJc w:val="left"/>
      <w:pPr>
        <w:ind w:left="4150" w:hanging="360"/>
      </w:pPr>
      <w:rPr>
        <w:rFonts w:ascii="Courier New" w:hAnsi="Courier New" w:cs="Courier New" w:hint="default"/>
      </w:rPr>
    </w:lvl>
    <w:lvl w:ilvl="5" w:tplc="04090005">
      <w:start w:val="1"/>
      <w:numFmt w:val="bullet"/>
      <w:lvlText w:val=""/>
      <w:lvlJc w:val="left"/>
      <w:pPr>
        <w:ind w:left="4870" w:hanging="360"/>
      </w:pPr>
      <w:rPr>
        <w:rFonts w:ascii="Wingdings" w:hAnsi="Wingdings" w:cs="Wingdings" w:hint="default"/>
      </w:rPr>
    </w:lvl>
    <w:lvl w:ilvl="6" w:tplc="04090001">
      <w:start w:val="1"/>
      <w:numFmt w:val="bullet"/>
      <w:lvlText w:val=""/>
      <w:lvlJc w:val="left"/>
      <w:pPr>
        <w:ind w:left="5590" w:hanging="360"/>
      </w:pPr>
      <w:rPr>
        <w:rFonts w:ascii="Symbol" w:hAnsi="Symbol" w:cs="Symbol" w:hint="default"/>
      </w:rPr>
    </w:lvl>
    <w:lvl w:ilvl="7" w:tplc="04090003">
      <w:start w:val="1"/>
      <w:numFmt w:val="bullet"/>
      <w:lvlText w:val="o"/>
      <w:lvlJc w:val="left"/>
      <w:pPr>
        <w:ind w:left="6310" w:hanging="360"/>
      </w:pPr>
      <w:rPr>
        <w:rFonts w:ascii="Courier New" w:hAnsi="Courier New" w:cs="Courier New" w:hint="default"/>
      </w:rPr>
    </w:lvl>
    <w:lvl w:ilvl="8" w:tplc="04090005">
      <w:start w:val="1"/>
      <w:numFmt w:val="bullet"/>
      <w:lvlText w:val=""/>
      <w:lvlJc w:val="left"/>
      <w:pPr>
        <w:ind w:left="7030" w:hanging="360"/>
      </w:pPr>
      <w:rPr>
        <w:rFonts w:ascii="Wingdings" w:hAnsi="Wingdings" w:cs="Wingdings" w:hint="default"/>
      </w:rPr>
    </w:lvl>
  </w:abstractNum>
  <w:abstractNum w:abstractNumId="8" w15:restartNumberingAfterBreak="0">
    <w:nsid w:val="49EE75D4"/>
    <w:multiLevelType w:val="hybridMultilevel"/>
    <w:tmpl w:val="1382D212"/>
    <w:lvl w:ilvl="0" w:tplc="7C682B5E">
      <w:start w:val="25"/>
      <w:numFmt w:val="decimal"/>
      <w:lvlText w:val="%1."/>
      <w:lvlJc w:val="left"/>
      <w:pPr>
        <w:tabs>
          <w:tab w:val="num" w:pos="-180"/>
        </w:tabs>
        <w:ind w:left="-180"/>
      </w:pPr>
      <w:rPr>
        <w:rFonts w:hint="default"/>
      </w:rPr>
    </w:lvl>
    <w:lvl w:ilvl="1" w:tplc="43D83E1C">
      <w:start w:val="1"/>
      <w:numFmt w:val="decimal"/>
      <w:lvlText w:val="%2."/>
      <w:lvlJc w:val="left"/>
      <w:pPr>
        <w:tabs>
          <w:tab w:val="num" w:pos="1260"/>
        </w:tabs>
        <w:ind w:left="1260" w:hanging="360"/>
      </w:pPr>
      <w:rPr>
        <w:rFonts w:hint="default"/>
      </w:r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9" w15:restartNumberingAfterBreak="0">
    <w:nsid w:val="4E0D1910"/>
    <w:multiLevelType w:val="hybridMultilevel"/>
    <w:tmpl w:val="70AE356C"/>
    <w:lvl w:ilvl="0" w:tplc="81B69E5E">
      <w:start w:val="1"/>
      <w:numFmt w:val="bullet"/>
      <w:lvlText w:val=""/>
      <w:lvlJc w:val="left"/>
      <w:pPr>
        <w:tabs>
          <w:tab w:val="num" w:pos="1080"/>
        </w:tabs>
        <w:ind w:left="108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50825C80"/>
    <w:multiLevelType w:val="hybridMultilevel"/>
    <w:tmpl w:val="BE762A00"/>
    <w:lvl w:ilvl="0" w:tplc="FC04BE38">
      <w:start w:val="1"/>
      <w:numFmt w:val="decimal"/>
      <w:lvlText w:val="%1."/>
      <w:lvlJc w:val="left"/>
      <w:pPr>
        <w:tabs>
          <w:tab w:val="num" w:pos="0"/>
        </w:tabs>
      </w:pPr>
      <w:rPr>
        <w:rFonts w:hint="default"/>
        <w:vertAlign w:val="baseli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530C46D4"/>
    <w:multiLevelType w:val="hybridMultilevel"/>
    <w:tmpl w:val="FFE49902"/>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5490542D"/>
    <w:multiLevelType w:val="hybridMultilevel"/>
    <w:tmpl w:val="6E22928C"/>
    <w:lvl w:ilvl="0" w:tplc="78C490E6">
      <w:start w:val="17"/>
      <w:numFmt w:val="decimal"/>
      <w:lvlText w:val="%1."/>
      <w:lvlJc w:val="left"/>
      <w:pPr>
        <w:tabs>
          <w:tab w:val="num" w:pos="0"/>
        </w:tabs>
      </w:pPr>
      <w:rPr>
        <w:rFonts w:hint="default"/>
        <w:b w:val="0"/>
        <w:bCs w:val="0"/>
        <w:vertAlign w:val="baseli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62FF0AEB"/>
    <w:multiLevelType w:val="multilevel"/>
    <w:tmpl w:val="FFFFFFFF"/>
    <w:lvl w:ilvl="0">
      <w:start w:val="1"/>
      <w:numFmt w:val="lowerLetter"/>
      <w:lvlText w:val="%1)"/>
      <w:lvlJc w:val="left"/>
      <w:pPr>
        <w:ind w:left="720" w:hanging="360"/>
      </w:pPr>
      <w:rPr>
        <w:b w:val="0"/>
        <w:bCs w:val="0"/>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14" w15:restartNumberingAfterBreak="0">
    <w:nsid w:val="687F1C67"/>
    <w:multiLevelType w:val="hybridMultilevel"/>
    <w:tmpl w:val="22AEC976"/>
    <w:lvl w:ilvl="0" w:tplc="04090001">
      <w:start w:val="1"/>
      <w:numFmt w:val="bullet"/>
      <w:lvlText w:val=""/>
      <w:lvlJc w:val="left"/>
      <w:pPr>
        <w:tabs>
          <w:tab w:val="num" w:pos="720"/>
        </w:tabs>
        <w:ind w:left="720" w:hanging="360"/>
      </w:pPr>
      <w:rPr>
        <w:rFonts w:ascii="Symbol" w:hAnsi="Symbol" w:cs="Symbol" w:hint="default"/>
      </w:rPr>
    </w:lvl>
    <w:lvl w:ilvl="1" w:tplc="A9ACA1A0">
      <w:start w:val="33"/>
      <w:numFmt w:val="decimal"/>
      <w:lvlText w:val="%2."/>
      <w:lvlJc w:val="left"/>
      <w:pPr>
        <w:tabs>
          <w:tab w:val="num" w:pos="1080"/>
        </w:tabs>
        <w:ind w:left="1080"/>
      </w:pPr>
      <w:rPr>
        <w:rFont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723246C7"/>
    <w:multiLevelType w:val="hybridMultilevel"/>
    <w:tmpl w:val="14520EAA"/>
    <w:lvl w:ilvl="0" w:tplc="CAFCCE70">
      <w:start w:val="33"/>
      <w:numFmt w:val="decimal"/>
      <w:lvlText w:val="%1."/>
      <w:lvlJc w:val="left"/>
      <w:pPr>
        <w:tabs>
          <w:tab w:val="num" w:pos="142"/>
        </w:tabs>
        <w:ind w:left="142"/>
      </w:pPr>
      <w:rPr>
        <w:rFonts w:hint="default"/>
        <w:sz w:val="24"/>
        <w:szCs w:val="24"/>
      </w:rPr>
    </w:lvl>
    <w:lvl w:ilvl="1" w:tplc="04090019">
      <w:start w:val="1"/>
      <w:numFmt w:val="lowerLetter"/>
      <w:lvlText w:val="%2."/>
      <w:lvlJc w:val="left"/>
      <w:pPr>
        <w:tabs>
          <w:tab w:val="num" w:pos="1222"/>
        </w:tabs>
        <w:ind w:left="1222" w:hanging="360"/>
      </w:pPr>
    </w:lvl>
    <w:lvl w:ilvl="2" w:tplc="0409001B">
      <w:start w:val="1"/>
      <w:numFmt w:val="lowerRoman"/>
      <w:lvlText w:val="%3."/>
      <w:lvlJc w:val="right"/>
      <w:pPr>
        <w:tabs>
          <w:tab w:val="num" w:pos="1942"/>
        </w:tabs>
        <w:ind w:left="1942" w:hanging="180"/>
      </w:pPr>
    </w:lvl>
    <w:lvl w:ilvl="3" w:tplc="0409000F">
      <w:start w:val="1"/>
      <w:numFmt w:val="decimal"/>
      <w:lvlText w:val="%4."/>
      <w:lvlJc w:val="left"/>
      <w:pPr>
        <w:tabs>
          <w:tab w:val="num" w:pos="2662"/>
        </w:tabs>
        <w:ind w:left="2662" w:hanging="360"/>
      </w:pPr>
    </w:lvl>
    <w:lvl w:ilvl="4" w:tplc="04090019">
      <w:start w:val="1"/>
      <w:numFmt w:val="lowerLetter"/>
      <w:lvlText w:val="%5."/>
      <w:lvlJc w:val="left"/>
      <w:pPr>
        <w:tabs>
          <w:tab w:val="num" w:pos="3382"/>
        </w:tabs>
        <w:ind w:left="3382" w:hanging="360"/>
      </w:pPr>
    </w:lvl>
    <w:lvl w:ilvl="5" w:tplc="0409001B">
      <w:start w:val="1"/>
      <w:numFmt w:val="lowerRoman"/>
      <w:lvlText w:val="%6."/>
      <w:lvlJc w:val="right"/>
      <w:pPr>
        <w:tabs>
          <w:tab w:val="num" w:pos="4102"/>
        </w:tabs>
        <w:ind w:left="4102" w:hanging="180"/>
      </w:pPr>
    </w:lvl>
    <w:lvl w:ilvl="6" w:tplc="0409000F">
      <w:start w:val="1"/>
      <w:numFmt w:val="decimal"/>
      <w:lvlText w:val="%7."/>
      <w:lvlJc w:val="left"/>
      <w:pPr>
        <w:tabs>
          <w:tab w:val="num" w:pos="4822"/>
        </w:tabs>
        <w:ind w:left="4822" w:hanging="360"/>
      </w:pPr>
    </w:lvl>
    <w:lvl w:ilvl="7" w:tplc="04090019">
      <w:start w:val="1"/>
      <w:numFmt w:val="lowerLetter"/>
      <w:lvlText w:val="%8."/>
      <w:lvlJc w:val="left"/>
      <w:pPr>
        <w:tabs>
          <w:tab w:val="num" w:pos="5542"/>
        </w:tabs>
        <w:ind w:left="5542" w:hanging="360"/>
      </w:pPr>
    </w:lvl>
    <w:lvl w:ilvl="8" w:tplc="0409001B">
      <w:start w:val="1"/>
      <w:numFmt w:val="lowerRoman"/>
      <w:lvlText w:val="%9."/>
      <w:lvlJc w:val="right"/>
      <w:pPr>
        <w:tabs>
          <w:tab w:val="num" w:pos="6262"/>
        </w:tabs>
        <w:ind w:left="6262" w:hanging="180"/>
      </w:pPr>
    </w:lvl>
  </w:abstractNum>
  <w:abstractNum w:abstractNumId="16" w15:restartNumberingAfterBreak="0">
    <w:nsid w:val="74FD6C07"/>
    <w:multiLevelType w:val="hybridMultilevel"/>
    <w:tmpl w:val="640475DE"/>
    <w:lvl w:ilvl="0" w:tplc="C5D03444">
      <w:start w:val="17"/>
      <w:numFmt w:val="decimal"/>
      <w:lvlText w:val="%1."/>
      <w:lvlJc w:val="left"/>
      <w:pPr>
        <w:tabs>
          <w:tab w:val="num" w:pos="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7B415007"/>
    <w:multiLevelType w:val="hybridMultilevel"/>
    <w:tmpl w:val="DDB27D62"/>
    <w:lvl w:ilvl="0" w:tplc="81B69E5E">
      <w:start w:val="1"/>
      <w:numFmt w:val="bullet"/>
      <w:lvlText w:val=""/>
      <w:lvlJc w:val="left"/>
      <w:pPr>
        <w:tabs>
          <w:tab w:val="num" w:pos="360"/>
        </w:tabs>
        <w:ind w:left="360" w:hanging="360"/>
      </w:pPr>
      <w:rPr>
        <w:rFonts w:ascii="Symbol" w:hAnsi="Symbol" w:cs="Symbol" w:hint="default"/>
        <w:vertAlign w:val="baseline"/>
      </w:rPr>
    </w:lvl>
    <w:lvl w:ilvl="1" w:tplc="04090001">
      <w:start w:val="1"/>
      <w:numFmt w:val="bullet"/>
      <w:lvlText w:val=""/>
      <w:lvlJc w:val="left"/>
      <w:pPr>
        <w:ind w:left="1440" w:hanging="360"/>
      </w:pPr>
      <w:rPr>
        <w:rFonts w:ascii="Symbol" w:hAnsi="Symbol" w:cs="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15:restartNumberingAfterBreak="0">
    <w:nsid w:val="7EC51824"/>
    <w:multiLevelType w:val="hybridMultilevel"/>
    <w:tmpl w:val="8C96E69C"/>
    <w:lvl w:ilvl="0" w:tplc="93C8DE72">
      <w:start w:val="1"/>
      <w:numFmt w:val="decimal"/>
      <w:lvlText w:val="%1."/>
      <w:lvlJc w:val="left"/>
      <w:pPr>
        <w:tabs>
          <w:tab w:val="num" w:pos="284"/>
        </w:tabs>
      </w:pPr>
      <w:rPr>
        <w:rFonts w:hint="default"/>
        <w:sz w:val="22"/>
        <w:szCs w:val="22"/>
        <w:vertAlign w:val="baseline"/>
      </w:rPr>
    </w:lvl>
    <w:lvl w:ilvl="1" w:tplc="04090001">
      <w:start w:val="1"/>
      <w:numFmt w:val="bullet"/>
      <w:lvlText w:val=""/>
      <w:lvlJc w:val="left"/>
      <w:pPr>
        <w:ind w:left="1440" w:hanging="360"/>
      </w:pPr>
      <w:rPr>
        <w:rFonts w:ascii="Symbol" w:hAnsi="Symbol" w:cs="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1407075272">
    <w:abstractNumId w:val="3"/>
  </w:num>
  <w:num w:numId="2" w16cid:durableId="407506454">
    <w:abstractNumId w:val="13"/>
  </w:num>
  <w:num w:numId="3" w16cid:durableId="2112163791">
    <w:abstractNumId w:val="18"/>
  </w:num>
  <w:num w:numId="4" w16cid:durableId="418067467">
    <w:abstractNumId w:val="16"/>
  </w:num>
  <w:num w:numId="5" w16cid:durableId="1562137576">
    <w:abstractNumId w:val="12"/>
  </w:num>
  <w:num w:numId="6" w16cid:durableId="1039278198">
    <w:abstractNumId w:val="8"/>
  </w:num>
  <w:num w:numId="7" w16cid:durableId="973024117">
    <w:abstractNumId w:val="14"/>
  </w:num>
  <w:num w:numId="8" w16cid:durableId="315761876">
    <w:abstractNumId w:val="11"/>
  </w:num>
  <w:num w:numId="9" w16cid:durableId="1631785525">
    <w:abstractNumId w:val="15"/>
  </w:num>
  <w:num w:numId="10" w16cid:durableId="2090494345">
    <w:abstractNumId w:val="1"/>
  </w:num>
  <w:num w:numId="11" w16cid:durableId="18749129">
    <w:abstractNumId w:val="4"/>
  </w:num>
  <w:num w:numId="12" w16cid:durableId="1880584726">
    <w:abstractNumId w:val="0"/>
  </w:num>
  <w:num w:numId="13" w16cid:durableId="1081953658">
    <w:abstractNumId w:val="7"/>
  </w:num>
  <w:num w:numId="14" w16cid:durableId="216745836">
    <w:abstractNumId w:val="6"/>
  </w:num>
  <w:num w:numId="15" w16cid:durableId="1876236551">
    <w:abstractNumId w:val="2"/>
  </w:num>
  <w:num w:numId="16" w16cid:durableId="281887947">
    <w:abstractNumId w:val="9"/>
  </w:num>
  <w:num w:numId="17" w16cid:durableId="1031808981">
    <w:abstractNumId w:val="5"/>
  </w:num>
  <w:num w:numId="18" w16cid:durableId="184246875">
    <w:abstractNumId w:val="17"/>
  </w:num>
  <w:num w:numId="19" w16cid:durableId="8780549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56C"/>
    <w:rsid w:val="00002AB8"/>
    <w:rsid w:val="00014CB9"/>
    <w:rsid w:val="0001726D"/>
    <w:rsid w:val="0003577B"/>
    <w:rsid w:val="00041D8B"/>
    <w:rsid w:val="00041F9F"/>
    <w:rsid w:val="000440AC"/>
    <w:rsid w:val="00044C81"/>
    <w:rsid w:val="00047894"/>
    <w:rsid w:val="00065433"/>
    <w:rsid w:val="00073E08"/>
    <w:rsid w:val="00084F41"/>
    <w:rsid w:val="00085044"/>
    <w:rsid w:val="00086508"/>
    <w:rsid w:val="000867B8"/>
    <w:rsid w:val="000939BC"/>
    <w:rsid w:val="00094F09"/>
    <w:rsid w:val="000952A6"/>
    <w:rsid w:val="000A5103"/>
    <w:rsid w:val="000B1E3C"/>
    <w:rsid w:val="000B27A6"/>
    <w:rsid w:val="000B31A0"/>
    <w:rsid w:val="000C3062"/>
    <w:rsid w:val="000C43D6"/>
    <w:rsid w:val="000C6630"/>
    <w:rsid w:val="000D52F2"/>
    <w:rsid w:val="000E293A"/>
    <w:rsid w:val="000F217B"/>
    <w:rsid w:val="000F3841"/>
    <w:rsid w:val="0010661E"/>
    <w:rsid w:val="00106F09"/>
    <w:rsid w:val="00117C9D"/>
    <w:rsid w:val="001231FB"/>
    <w:rsid w:val="00124B22"/>
    <w:rsid w:val="001300DC"/>
    <w:rsid w:val="00133F92"/>
    <w:rsid w:val="0014310D"/>
    <w:rsid w:val="00143ECB"/>
    <w:rsid w:val="00146529"/>
    <w:rsid w:val="00152C69"/>
    <w:rsid w:val="00174CA3"/>
    <w:rsid w:val="00183585"/>
    <w:rsid w:val="00186EAA"/>
    <w:rsid w:val="00193DB4"/>
    <w:rsid w:val="0019480F"/>
    <w:rsid w:val="001A06FC"/>
    <w:rsid w:val="001A240E"/>
    <w:rsid w:val="001A3B3A"/>
    <w:rsid w:val="001A3FCD"/>
    <w:rsid w:val="001B06B5"/>
    <w:rsid w:val="001D62C6"/>
    <w:rsid w:val="001E5967"/>
    <w:rsid w:val="00217E08"/>
    <w:rsid w:val="00220E0E"/>
    <w:rsid w:val="00224AA7"/>
    <w:rsid w:val="00246B93"/>
    <w:rsid w:val="00247480"/>
    <w:rsid w:val="00252CFF"/>
    <w:rsid w:val="002543BF"/>
    <w:rsid w:val="0026583F"/>
    <w:rsid w:val="0028266D"/>
    <w:rsid w:val="00294836"/>
    <w:rsid w:val="002B388C"/>
    <w:rsid w:val="002C048B"/>
    <w:rsid w:val="002C24DB"/>
    <w:rsid w:val="0031477F"/>
    <w:rsid w:val="003429B9"/>
    <w:rsid w:val="00350FA3"/>
    <w:rsid w:val="0035310B"/>
    <w:rsid w:val="00353AAA"/>
    <w:rsid w:val="00353D03"/>
    <w:rsid w:val="003669FF"/>
    <w:rsid w:val="00385427"/>
    <w:rsid w:val="00387A72"/>
    <w:rsid w:val="0039121F"/>
    <w:rsid w:val="00394900"/>
    <w:rsid w:val="00397308"/>
    <w:rsid w:val="003B3FA7"/>
    <w:rsid w:val="003B4109"/>
    <w:rsid w:val="003C0757"/>
    <w:rsid w:val="003C73BD"/>
    <w:rsid w:val="00422584"/>
    <w:rsid w:val="00425C0B"/>
    <w:rsid w:val="00425FA9"/>
    <w:rsid w:val="00431FEA"/>
    <w:rsid w:val="004323FA"/>
    <w:rsid w:val="00434351"/>
    <w:rsid w:val="004376BD"/>
    <w:rsid w:val="004504D7"/>
    <w:rsid w:val="00482BF0"/>
    <w:rsid w:val="00486E48"/>
    <w:rsid w:val="00486E4E"/>
    <w:rsid w:val="004901A3"/>
    <w:rsid w:val="00491372"/>
    <w:rsid w:val="0049606D"/>
    <w:rsid w:val="004C0A45"/>
    <w:rsid w:val="004C6D0B"/>
    <w:rsid w:val="004C769A"/>
    <w:rsid w:val="004D3217"/>
    <w:rsid w:val="004E4A51"/>
    <w:rsid w:val="004E57CE"/>
    <w:rsid w:val="004F000D"/>
    <w:rsid w:val="004F4E10"/>
    <w:rsid w:val="004F7EEB"/>
    <w:rsid w:val="00514147"/>
    <w:rsid w:val="00520C16"/>
    <w:rsid w:val="00526697"/>
    <w:rsid w:val="00526F21"/>
    <w:rsid w:val="00557E83"/>
    <w:rsid w:val="005656D4"/>
    <w:rsid w:val="005707A8"/>
    <w:rsid w:val="00575873"/>
    <w:rsid w:val="00577214"/>
    <w:rsid w:val="00582976"/>
    <w:rsid w:val="005A558F"/>
    <w:rsid w:val="005B0965"/>
    <w:rsid w:val="005D2BA4"/>
    <w:rsid w:val="005D5B33"/>
    <w:rsid w:val="005D7DB7"/>
    <w:rsid w:val="005E361E"/>
    <w:rsid w:val="005E4172"/>
    <w:rsid w:val="005E4220"/>
    <w:rsid w:val="005E4DF5"/>
    <w:rsid w:val="005E6FCE"/>
    <w:rsid w:val="005F0872"/>
    <w:rsid w:val="006063FA"/>
    <w:rsid w:val="00612688"/>
    <w:rsid w:val="00614B2E"/>
    <w:rsid w:val="0062230B"/>
    <w:rsid w:val="0063424C"/>
    <w:rsid w:val="00646814"/>
    <w:rsid w:val="006562D2"/>
    <w:rsid w:val="00674D49"/>
    <w:rsid w:val="00677B9C"/>
    <w:rsid w:val="00680670"/>
    <w:rsid w:val="00684D7D"/>
    <w:rsid w:val="00696603"/>
    <w:rsid w:val="006C2B9D"/>
    <w:rsid w:val="006C33C2"/>
    <w:rsid w:val="006C6105"/>
    <w:rsid w:val="006D63F7"/>
    <w:rsid w:val="006E08AC"/>
    <w:rsid w:val="006E1A8F"/>
    <w:rsid w:val="006E2F6F"/>
    <w:rsid w:val="006E4611"/>
    <w:rsid w:val="006F1648"/>
    <w:rsid w:val="00706A43"/>
    <w:rsid w:val="00707DDF"/>
    <w:rsid w:val="00722D75"/>
    <w:rsid w:val="0072383C"/>
    <w:rsid w:val="00725350"/>
    <w:rsid w:val="00726ED0"/>
    <w:rsid w:val="0073415C"/>
    <w:rsid w:val="00735630"/>
    <w:rsid w:val="00743E46"/>
    <w:rsid w:val="00746D69"/>
    <w:rsid w:val="007474A6"/>
    <w:rsid w:val="007475E0"/>
    <w:rsid w:val="007526E8"/>
    <w:rsid w:val="007572CA"/>
    <w:rsid w:val="00757F5F"/>
    <w:rsid w:val="00763A50"/>
    <w:rsid w:val="00771CCA"/>
    <w:rsid w:val="0078389D"/>
    <w:rsid w:val="007A4605"/>
    <w:rsid w:val="007A51A2"/>
    <w:rsid w:val="007A7600"/>
    <w:rsid w:val="007B1C4D"/>
    <w:rsid w:val="007B7C51"/>
    <w:rsid w:val="007D1697"/>
    <w:rsid w:val="007D5E2C"/>
    <w:rsid w:val="007E46F3"/>
    <w:rsid w:val="007F38C8"/>
    <w:rsid w:val="007F7DB5"/>
    <w:rsid w:val="00802A15"/>
    <w:rsid w:val="00806DA6"/>
    <w:rsid w:val="00815773"/>
    <w:rsid w:val="00817B11"/>
    <w:rsid w:val="00824247"/>
    <w:rsid w:val="00830652"/>
    <w:rsid w:val="008355A7"/>
    <w:rsid w:val="00855B75"/>
    <w:rsid w:val="00862A00"/>
    <w:rsid w:val="0086791E"/>
    <w:rsid w:val="008732FC"/>
    <w:rsid w:val="008751B8"/>
    <w:rsid w:val="0089016D"/>
    <w:rsid w:val="00893C84"/>
    <w:rsid w:val="008A3BC0"/>
    <w:rsid w:val="008A6ABC"/>
    <w:rsid w:val="008A6C34"/>
    <w:rsid w:val="008A7F29"/>
    <w:rsid w:val="008D2033"/>
    <w:rsid w:val="008D214E"/>
    <w:rsid w:val="008D30AA"/>
    <w:rsid w:val="008F3A83"/>
    <w:rsid w:val="00906C71"/>
    <w:rsid w:val="009070FC"/>
    <w:rsid w:val="009379F7"/>
    <w:rsid w:val="00941AAB"/>
    <w:rsid w:val="009465EA"/>
    <w:rsid w:val="00947764"/>
    <w:rsid w:val="009618DB"/>
    <w:rsid w:val="009636C4"/>
    <w:rsid w:val="009A5DEE"/>
    <w:rsid w:val="009B04AC"/>
    <w:rsid w:val="009B1BEA"/>
    <w:rsid w:val="009B2B82"/>
    <w:rsid w:val="009D78B7"/>
    <w:rsid w:val="009E076F"/>
    <w:rsid w:val="00A054B7"/>
    <w:rsid w:val="00A12BFE"/>
    <w:rsid w:val="00A276F9"/>
    <w:rsid w:val="00A37021"/>
    <w:rsid w:val="00A70ECB"/>
    <w:rsid w:val="00A75D1D"/>
    <w:rsid w:val="00A90EC0"/>
    <w:rsid w:val="00AB1259"/>
    <w:rsid w:val="00AB4A17"/>
    <w:rsid w:val="00AC2AE7"/>
    <w:rsid w:val="00AC4823"/>
    <w:rsid w:val="00AC4AC9"/>
    <w:rsid w:val="00AD1B49"/>
    <w:rsid w:val="00AD3830"/>
    <w:rsid w:val="00AD61B5"/>
    <w:rsid w:val="00B10E4D"/>
    <w:rsid w:val="00B215D2"/>
    <w:rsid w:val="00B23897"/>
    <w:rsid w:val="00B3219F"/>
    <w:rsid w:val="00B33C60"/>
    <w:rsid w:val="00B36D8D"/>
    <w:rsid w:val="00B43DA2"/>
    <w:rsid w:val="00B54A49"/>
    <w:rsid w:val="00B568E8"/>
    <w:rsid w:val="00B76B6F"/>
    <w:rsid w:val="00B77A80"/>
    <w:rsid w:val="00B8104F"/>
    <w:rsid w:val="00B82817"/>
    <w:rsid w:val="00B9253C"/>
    <w:rsid w:val="00B964AC"/>
    <w:rsid w:val="00BD42A7"/>
    <w:rsid w:val="00BE5508"/>
    <w:rsid w:val="00BE619D"/>
    <w:rsid w:val="00BE7313"/>
    <w:rsid w:val="00C02EB0"/>
    <w:rsid w:val="00C10450"/>
    <w:rsid w:val="00C16E6E"/>
    <w:rsid w:val="00C34CF5"/>
    <w:rsid w:val="00C64355"/>
    <w:rsid w:val="00C674BF"/>
    <w:rsid w:val="00C86BAF"/>
    <w:rsid w:val="00CC124D"/>
    <w:rsid w:val="00CC1F1C"/>
    <w:rsid w:val="00CE6D86"/>
    <w:rsid w:val="00CE6EF4"/>
    <w:rsid w:val="00CE7A1A"/>
    <w:rsid w:val="00CF4A68"/>
    <w:rsid w:val="00D019C5"/>
    <w:rsid w:val="00D33659"/>
    <w:rsid w:val="00D46C72"/>
    <w:rsid w:val="00D5099B"/>
    <w:rsid w:val="00D542C0"/>
    <w:rsid w:val="00D56FCC"/>
    <w:rsid w:val="00D57076"/>
    <w:rsid w:val="00DA305D"/>
    <w:rsid w:val="00DA7997"/>
    <w:rsid w:val="00DC1FF0"/>
    <w:rsid w:val="00DD6A5B"/>
    <w:rsid w:val="00DE0C7C"/>
    <w:rsid w:val="00DE7BD3"/>
    <w:rsid w:val="00DF561F"/>
    <w:rsid w:val="00E0247D"/>
    <w:rsid w:val="00E14849"/>
    <w:rsid w:val="00E220C3"/>
    <w:rsid w:val="00E26126"/>
    <w:rsid w:val="00E271EA"/>
    <w:rsid w:val="00E34C62"/>
    <w:rsid w:val="00E87615"/>
    <w:rsid w:val="00EA2F3F"/>
    <w:rsid w:val="00EA43E0"/>
    <w:rsid w:val="00EB75C0"/>
    <w:rsid w:val="00EC6273"/>
    <w:rsid w:val="00ED156C"/>
    <w:rsid w:val="00ED16D5"/>
    <w:rsid w:val="00ED7604"/>
    <w:rsid w:val="00EE54F5"/>
    <w:rsid w:val="00EF7885"/>
    <w:rsid w:val="00F0672A"/>
    <w:rsid w:val="00F138FE"/>
    <w:rsid w:val="00F15233"/>
    <w:rsid w:val="00F15EEB"/>
    <w:rsid w:val="00F2663B"/>
    <w:rsid w:val="00F307B2"/>
    <w:rsid w:val="00F35C8E"/>
    <w:rsid w:val="00F4303B"/>
    <w:rsid w:val="00F71060"/>
    <w:rsid w:val="00FA435F"/>
    <w:rsid w:val="00FB3729"/>
    <w:rsid w:val="00FC0456"/>
    <w:rsid w:val="00FD4B69"/>
    <w:rsid w:val="00FE5DDF"/>
    <w:rsid w:val="00FF13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BB6ED2"/>
  <w15:docId w15:val="{15F85034-BB1D-9A43-8E65-6020F693B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697"/>
    <w:rPr>
      <w:rFonts w:ascii="Times New Roman" w:eastAsia="Times New Roman" w:hAnsi="Times New Roman" w:cs="Times New Roman"/>
      <w:sz w:val="24"/>
      <w:szCs w:val="24"/>
      <w:lang w:val="en-CA"/>
    </w:rPr>
  </w:style>
  <w:style w:type="paragraph" w:styleId="Heading1">
    <w:name w:val="heading 1"/>
    <w:basedOn w:val="Normal1"/>
    <w:next w:val="Normal1"/>
    <w:link w:val="Heading1Char"/>
    <w:uiPriority w:val="99"/>
    <w:qFormat/>
    <w:rsid w:val="00ED156C"/>
    <w:pPr>
      <w:keepNext/>
      <w:keepLines/>
      <w:spacing w:before="240"/>
      <w:outlineLvl w:val="0"/>
    </w:pPr>
    <w:rPr>
      <w:rFonts w:ascii="Calibri" w:eastAsia="Yu Gothic Light" w:hAnsi="Calibri" w:cs="Calibri"/>
      <w:b/>
      <w:bCs/>
      <w:color w:val="CA5D29"/>
      <w:sz w:val="32"/>
      <w:szCs w:val="32"/>
      <w:lang w:eastAsia="ja-JP"/>
    </w:rPr>
  </w:style>
  <w:style w:type="paragraph" w:styleId="Heading2">
    <w:name w:val="heading 2"/>
    <w:basedOn w:val="Normal1"/>
    <w:next w:val="Normal1"/>
    <w:link w:val="Heading2Char"/>
    <w:uiPriority w:val="99"/>
    <w:qFormat/>
    <w:rsid w:val="00ED156C"/>
    <w:pPr>
      <w:keepNext/>
      <w:keepLines/>
      <w:spacing w:before="40"/>
      <w:outlineLvl w:val="1"/>
    </w:pPr>
    <w:rPr>
      <w:rFonts w:ascii="Calibri Light" w:hAnsi="Calibri Light" w:cs="Calibri Light"/>
      <w:color w:val="0B5294"/>
      <w:sz w:val="26"/>
      <w:szCs w:val="26"/>
    </w:rPr>
  </w:style>
  <w:style w:type="paragraph" w:styleId="Heading3">
    <w:name w:val="heading 3"/>
    <w:basedOn w:val="Normal1"/>
    <w:next w:val="Normal1"/>
    <w:link w:val="Heading3Char"/>
    <w:uiPriority w:val="99"/>
    <w:qFormat/>
    <w:rsid w:val="00ED156C"/>
    <w:pPr>
      <w:keepNext/>
      <w:keepLines/>
      <w:spacing w:before="40"/>
      <w:outlineLvl w:val="2"/>
    </w:pPr>
    <w:rPr>
      <w:rFonts w:ascii="Calibri Light" w:hAnsi="Calibri Light" w:cs="Calibri Light"/>
      <w:color w:val="073662"/>
      <w:sz w:val="20"/>
      <w:szCs w:val="20"/>
    </w:rPr>
  </w:style>
  <w:style w:type="paragraph" w:styleId="Heading4">
    <w:name w:val="heading 4"/>
    <w:basedOn w:val="Normal1"/>
    <w:next w:val="Normal1"/>
    <w:link w:val="Heading4Char"/>
    <w:uiPriority w:val="99"/>
    <w:qFormat/>
    <w:rsid w:val="00ED156C"/>
    <w:pPr>
      <w:keepNext/>
      <w:keepLines/>
      <w:spacing w:before="40"/>
      <w:outlineLvl w:val="3"/>
    </w:pPr>
    <w:rPr>
      <w:rFonts w:ascii="Calibri Light" w:hAnsi="Calibri Light" w:cs="Calibri Light"/>
      <w:i/>
      <w:iCs/>
      <w:color w:val="0B5294"/>
    </w:rPr>
  </w:style>
  <w:style w:type="paragraph" w:styleId="Heading5">
    <w:name w:val="heading 5"/>
    <w:basedOn w:val="Normal1"/>
    <w:next w:val="Normal1"/>
    <w:link w:val="Heading5Char"/>
    <w:uiPriority w:val="99"/>
    <w:qFormat/>
    <w:rsid w:val="00ED156C"/>
    <w:pPr>
      <w:keepNext/>
      <w:keepLines/>
      <w:spacing w:before="40"/>
      <w:outlineLvl w:val="4"/>
    </w:pPr>
    <w:rPr>
      <w:rFonts w:ascii="Calibri Light" w:hAnsi="Calibri Light" w:cs="Calibri Light"/>
      <w:color w:val="0B5294"/>
    </w:rPr>
  </w:style>
  <w:style w:type="paragraph" w:styleId="Heading6">
    <w:name w:val="heading 6"/>
    <w:basedOn w:val="Normal1"/>
    <w:next w:val="Normal1"/>
    <w:link w:val="Heading6Char"/>
    <w:uiPriority w:val="99"/>
    <w:qFormat/>
    <w:rsid w:val="00ED156C"/>
    <w:pPr>
      <w:keepNext/>
      <w:keepLines/>
      <w:spacing w:before="40"/>
      <w:outlineLvl w:val="5"/>
    </w:pPr>
    <w:rPr>
      <w:rFonts w:ascii="Calibri Light" w:hAnsi="Calibri Light" w:cs="Calibri Light"/>
      <w:color w:val="07366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71CCA"/>
    <w:rPr>
      <w:rFonts w:ascii="Calibri" w:eastAsia="Yu Gothic Light" w:hAnsi="Calibri" w:cs="Calibri"/>
      <w:b/>
      <w:bCs/>
      <w:color w:val="CA5D29"/>
      <w:sz w:val="32"/>
      <w:szCs w:val="32"/>
      <w:lang w:val="en-US" w:eastAsia="ja-JP"/>
    </w:rPr>
  </w:style>
  <w:style w:type="character" w:customStyle="1" w:styleId="Heading2Char">
    <w:name w:val="Heading 2 Char"/>
    <w:basedOn w:val="DefaultParagraphFont"/>
    <w:link w:val="Heading2"/>
    <w:uiPriority w:val="99"/>
    <w:locked/>
    <w:rsid w:val="00771CCA"/>
    <w:rPr>
      <w:rFonts w:ascii="Calibri Light" w:hAnsi="Calibri Light" w:cs="Calibri Light"/>
      <w:color w:val="0B5294"/>
      <w:sz w:val="26"/>
      <w:szCs w:val="26"/>
    </w:rPr>
  </w:style>
  <w:style w:type="character" w:customStyle="1" w:styleId="Heading3Char">
    <w:name w:val="Heading 3 Char"/>
    <w:basedOn w:val="DefaultParagraphFont"/>
    <w:link w:val="Heading3"/>
    <w:uiPriority w:val="99"/>
    <w:locked/>
    <w:rsid w:val="00771CCA"/>
    <w:rPr>
      <w:rFonts w:ascii="Calibri Light" w:hAnsi="Calibri Light" w:cs="Calibri Light"/>
      <w:color w:val="073662"/>
    </w:rPr>
  </w:style>
  <w:style w:type="character" w:customStyle="1" w:styleId="Heading4Char">
    <w:name w:val="Heading 4 Char"/>
    <w:basedOn w:val="DefaultParagraphFont"/>
    <w:link w:val="Heading4"/>
    <w:uiPriority w:val="99"/>
    <w:locked/>
    <w:rsid w:val="00771CCA"/>
    <w:rPr>
      <w:rFonts w:ascii="Calibri Light" w:hAnsi="Calibri Light" w:cs="Calibri Light"/>
      <w:i/>
      <w:iCs/>
      <w:color w:val="0B5294"/>
      <w:sz w:val="22"/>
      <w:szCs w:val="22"/>
    </w:rPr>
  </w:style>
  <w:style w:type="character" w:customStyle="1" w:styleId="Heading5Char">
    <w:name w:val="Heading 5 Char"/>
    <w:basedOn w:val="DefaultParagraphFont"/>
    <w:link w:val="Heading5"/>
    <w:uiPriority w:val="99"/>
    <w:locked/>
    <w:rsid w:val="00771CCA"/>
    <w:rPr>
      <w:rFonts w:ascii="Calibri Light" w:hAnsi="Calibri Light" w:cs="Calibri Light"/>
      <w:color w:val="0B5294"/>
      <w:sz w:val="22"/>
      <w:szCs w:val="22"/>
    </w:rPr>
  </w:style>
  <w:style w:type="character" w:customStyle="1" w:styleId="Heading6Char">
    <w:name w:val="Heading 6 Char"/>
    <w:basedOn w:val="DefaultParagraphFont"/>
    <w:link w:val="Heading6"/>
    <w:uiPriority w:val="99"/>
    <w:locked/>
    <w:rsid w:val="00771CCA"/>
    <w:rPr>
      <w:rFonts w:ascii="Calibri Light" w:hAnsi="Calibri Light" w:cs="Calibri Light"/>
      <w:color w:val="073662"/>
      <w:sz w:val="22"/>
      <w:szCs w:val="22"/>
    </w:rPr>
  </w:style>
  <w:style w:type="paragraph" w:styleId="BalloonText">
    <w:name w:val="Balloon Text"/>
    <w:basedOn w:val="Normal1"/>
    <w:link w:val="BalloonTextChar"/>
    <w:uiPriority w:val="99"/>
    <w:semiHidden/>
    <w:rsid w:val="00771CCA"/>
    <w:rPr>
      <w:rFonts w:ascii="Times New Roman" w:hAnsi="Times New Roman"/>
      <w:sz w:val="20"/>
      <w:szCs w:val="20"/>
    </w:rPr>
  </w:style>
  <w:style w:type="character" w:customStyle="1" w:styleId="BalloonTextChar">
    <w:name w:val="Balloon Text Char"/>
    <w:basedOn w:val="DefaultParagraphFont"/>
    <w:link w:val="BalloonText"/>
    <w:uiPriority w:val="99"/>
    <w:semiHidden/>
    <w:locked/>
    <w:rsid w:val="00771CCA"/>
    <w:rPr>
      <w:rFonts w:ascii="Times New Roman" w:hAnsi="Times New Roman" w:cs="Times New Roman"/>
      <w:sz w:val="20"/>
      <w:szCs w:val="20"/>
      <w:lang w:val="en-US"/>
    </w:rPr>
  </w:style>
  <w:style w:type="table" w:customStyle="1" w:styleId="TableNormal0">
    <w:name w:val="TableNormal"/>
    <w:uiPriority w:val="99"/>
    <w:rsid w:val="00ED156C"/>
    <w:tblPr>
      <w:tblCellMar>
        <w:top w:w="100" w:type="dxa"/>
        <w:left w:w="100" w:type="dxa"/>
        <w:bottom w:w="100" w:type="dxa"/>
        <w:right w:w="100" w:type="dxa"/>
      </w:tblCellMar>
    </w:tblPr>
  </w:style>
  <w:style w:type="paragraph" w:customStyle="1" w:styleId="Normal1">
    <w:name w:val="Normal1"/>
    <w:uiPriority w:val="99"/>
    <w:rsid w:val="00ED156C"/>
  </w:style>
  <w:style w:type="paragraph" w:styleId="Title">
    <w:name w:val="Title"/>
    <w:basedOn w:val="Normal1"/>
    <w:next w:val="Normal1"/>
    <w:link w:val="TitleChar"/>
    <w:uiPriority w:val="99"/>
    <w:qFormat/>
    <w:rsid w:val="00ED156C"/>
    <w:pPr>
      <w:widowControl w:val="0"/>
      <w:ind w:left="1125" w:right="754"/>
    </w:pPr>
    <w:rPr>
      <w:rFonts w:ascii="Times New Roman" w:hAnsi="Times New Roman" w:cs="Times New Roman"/>
      <w:b/>
      <w:bCs/>
      <w:sz w:val="28"/>
      <w:szCs w:val="28"/>
    </w:rPr>
  </w:style>
  <w:style w:type="character" w:customStyle="1" w:styleId="TitleChar">
    <w:name w:val="Title Char"/>
    <w:basedOn w:val="DefaultParagraphFont"/>
    <w:link w:val="Title"/>
    <w:uiPriority w:val="99"/>
    <w:locked/>
    <w:rsid w:val="00771CCA"/>
    <w:rPr>
      <w:rFonts w:ascii="Times New Roman" w:hAnsi="Times New Roman" w:cs="Times New Roman"/>
      <w:b/>
      <w:bCs/>
      <w:sz w:val="28"/>
      <w:szCs w:val="28"/>
      <w:lang w:val="en-US"/>
    </w:rPr>
  </w:style>
  <w:style w:type="paragraph" w:styleId="FootnoteText">
    <w:name w:val="footnote text"/>
    <w:basedOn w:val="Normal1"/>
    <w:link w:val="FootnoteTextChar1"/>
    <w:uiPriority w:val="99"/>
    <w:semiHidden/>
    <w:rsid w:val="00771CCA"/>
    <w:rPr>
      <w:rFonts w:ascii="Calibri" w:hAnsi="Calibri" w:cs="Calibri"/>
      <w:sz w:val="20"/>
      <w:szCs w:val="20"/>
    </w:rPr>
  </w:style>
  <w:style w:type="character" w:customStyle="1" w:styleId="FootnoteTextChar">
    <w:name w:val="Footnote Text Char"/>
    <w:basedOn w:val="DefaultParagraphFont"/>
    <w:uiPriority w:val="99"/>
    <w:locked/>
    <w:rsid w:val="00771CCA"/>
    <w:rPr>
      <w:rFonts w:ascii="Arial" w:hAnsi="Arial" w:cs="Arial"/>
      <w:color w:val="000000"/>
      <w:sz w:val="20"/>
      <w:szCs w:val="20"/>
    </w:rPr>
  </w:style>
  <w:style w:type="character" w:customStyle="1" w:styleId="FootnoteTextChar1">
    <w:name w:val="Footnote Text Char1"/>
    <w:link w:val="FootnoteText"/>
    <w:uiPriority w:val="99"/>
    <w:locked/>
    <w:rsid w:val="00771CCA"/>
    <w:rPr>
      <w:rFonts w:ascii="Calibri" w:hAnsi="Calibri" w:cs="Calibri"/>
      <w:sz w:val="20"/>
      <w:szCs w:val="20"/>
      <w:lang w:val="en-US"/>
    </w:rPr>
  </w:style>
  <w:style w:type="character" w:styleId="FootnoteReference">
    <w:name w:val="footnote reference"/>
    <w:aliases w:val="Footnotes refss"/>
    <w:basedOn w:val="DefaultParagraphFont"/>
    <w:uiPriority w:val="99"/>
    <w:semiHidden/>
    <w:rsid w:val="00771CCA"/>
    <w:rPr>
      <w:vertAlign w:val="superscript"/>
    </w:rPr>
  </w:style>
  <w:style w:type="character" w:styleId="Hyperlink">
    <w:name w:val="Hyperlink"/>
    <w:basedOn w:val="DefaultParagraphFont"/>
    <w:uiPriority w:val="99"/>
    <w:rsid w:val="00771CCA"/>
    <w:rPr>
      <w:rFonts w:ascii="Calibri" w:hAnsi="Calibri" w:cs="Calibri"/>
      <w:color w:val="833C0B"/>
      <w:sz w:val="20"/>
      <w:szCs w:val="20"/>
      <w:u w:val="single"/>
    </w:rPr>
  </w:style>
  <w:style w:type="character" w:customStyle="1" w:styleId="InternetLink">
    <w:name w:val="Internet Link"/>
    <w:uiPriority w:val="99"/>
    <w:rsid w:val="00771CCA"/>
    <w:rPr>
      <w:rFonts w:ascii="Calibri" w:hAnsi="Calibri" w:cs="Calibri"/>
      <w:color w:val="833C0B"/>
      <w:sz w:val="20"/>
      <w:szCs w:val="20"/>
      <w:u w:val="single"/>
    </w:rPr>
  </w:style>
  <w:style w:type="paragraph" w:styleId="NormalWeb">
    <w:name w:val="Normal (Web)"/>
    <w:basedOn w:val="Normal1"/>
    <w:uiPriority w:val="99"/>
    <w:rsid w:val="00771CCA"/>
    <w:pPr>
      <w:spacing w:before="100" w:after="100"/>
    </w:pPr>
    <w:rPr>
      <w:rFonts w:ascii="Calibri" w:hAnsi="Calibri" w:cs="Calibri"/>
      <w:sz w:val="24"/>
      <w:szCs w:val="24"/>
    </w:rPr>
  </w:style>
  <w:style w:type="paragraph" w:styleId="ListParagraph">
    <w:name w:val="List Paragraph"/>
    <w:basedOn w:val="Normal1"/>
    <w:uiPriority w:val="99"/>
    <w:qFormat/>
    <w:rsid w:val="00771CCA"/>
    <w:pPr>
      <w:ind w:left="720"/>
    </w:pPr>
    <w:rPr>
      <w:rFonts w:ascii="Calibri" w:hAnsi="Calibri" w:cs="Calibri"/>
      <w:sz w:val="24"/>
      <w:szCs w:val="24"/>
    </w:rPr>
  </w:style>
  <w:style w:type="character" w:customStyle="1" w:styleId="markedcontent">
    <w:name w:val="markedcontent"/>
    <w:uiPriority w:val="99"/>
    <w:rsid w:val="00771CCA"/>
  </w:style>
  <w:style w:type="character" w:customStyle="1" w:styleId="sccappellantforindexchar">
    <w:name w:val="sccappellantforindexchar"/>
    <w:uiPriority w:val="99"/>
    <w:rsid w:val="00771CCA"/>
  </w:style>
  <w:style w:type="character" w:customStyle="1" w:styleId="sccrespondentforindexchar">
    <w:name w:val="sccrespondentforindexchar"/>
    <w:uiPriority w:val="99"/>
    <w:rsid w:val="00771CCA"/>
  </w:style>
  <w:style w:type="paragraph" w:styleId="NormalIndent">
    <w:name w:val="Normal Indent"/>
    <w:basedOn w:val="Normal1"/>
    <w:uiPriority w:val="99"/>
    <w:rsid w:val="00771CCA"/>
    <w:pPr>
      <w:ind w:left="720"/>
    </w:pPr>
    <w:rPr>
      <w:rFonts w:ascii="Calibri" w:hAnsi="Calibri" w:cs="Calibri"/>
      <w:sz w:val="24"/>
      <w:szCs w:val="24"/>
    </w:rPr>
  </w:style>
  <w:style w:type="character" w:styleId="CommentReference">
    <w:name w:val="annotation reference"/>
    <w:basedOn w:val="DefaultParagraphFont"/>
    <w:uiPriority w:val="99"/>
    <w:semiHidden/>
    <w:rsid w:val="00771CCA"/>
    <w:rPr>
      <w:sz w:val="16"/>
      <w:szCs w:val="16"/>
    </w:rPr>
  </w:style>
  <w:style w:type="paragraph" w:styleId="CommentText">
    <w:name w:val="annotation text"/>
    <w:basedOn w:val="Normal1"/>
    <w:link w:val="CommentTextChar"/>
    <w:uiPriority w:val="99"/>
    <w:semiHidden/>
    <w:rsid w:val="00771CCA"/>
    <w:rPr>
      <w:color w:val="000000"/>
      <w:sz w:val="20"/>
      <w:szCs w:val="20"/>
    </w:rPr>
  </w:style>
  <w:style w:type="character" w:customStyle="1" w:styleId="CommentTextChar">
    <w:name w:val="Comment Text Char"/>
    <w:basedOn w:val="DefaultParagraphFont"/>
    <w:link w:val="CommentText"/>
    <w:uiPriority w:val="99"/>
    <w:semiHidden/>
    <w:locked/>
    <w:rsid w:val="00771CCA"/>
    <w:rPr>
      <w:rFonts w:ascii="Arial" w:hAnsi="Arial" w:cs="Arial"/>
      <w:color w:val="000000"/>
      <w:sz w:val="20"/>
      <w:szCs w:val="20"/>
    </w:rPr>
  </w:style>
  <w:style w:type="paragraph" w:styleId="CommentSubject">
    <w:name w:val="annotation subject"/>
    <w:basedOn w:val="CommentText"/>
    <w:next w:val="CommentText"/>
    <w:link w:val="CommentSubjectChar"/>
    <w:uiPriority w:val="99"/>
    <w:semiHidden/>
    <w:rsid w:val="00771CCA"/>
    <w:rPr>
      <w:b/>
      <w:bCs/>
    </w:rPr>
  </w:style>
  <w:style w:type="character" w:customStyle="1" w:styleId="CommentSubjectChar">
    <w:name w:val="Comment Subject Char"/>
    <w:basedOn w:val="CommentTextChar"/>
    <w:link w:val="CommentSubject"/>
    <w:uiPriority w:val="99"/>
    <w:semiHidden/>
    <w:locked/>
    <w:rsid w:val="00771CCA"/>
    <w:rPr>
      <w:rFonts w:ascii="Arial" w:hAnsi="Arial" w:cs="Arial"/>
      <w:b/>
      <w:bCs/>
      <w:color w:val="000000"/>
      <w:sz w:val="20"/>
      <w:szCs w:val="20"/>
    </w:rPr>
  </w:style>
  <w:style w:type="character" w:styleId="Emphasis">
    <w:name w:val="Emphasis"/>
    <w:basedOn w:val="DefaultParagraphFont"/>
    <w:uiPriority w:val="99"/>
    <w:qFormat/>
    <w:rsid w:val="00771CCA"/>
    <w:rPr>
      <w:i/>
      <w:iCs/>
    </w:rPr>
  </w:style>
  <w:style w:type="character" w:styleId="Strong">
    <w:name w:val="Strong"/>
    <w:basedOn w:val="DefaultParagraphFont"/>
    <w:uiPriority w:val="99"/>
    <w:qFormat/>
    <w:rsid w:val="00771CCA"/>
    <w:rPr>
      <w:b/>
      <w:bCs/>
    </w:rPr>
  </w:style>
  <w:style w:type="paragraph" w:styleId="BodyText2">
    <w:name w:val="Body Text 2"/>
    <w:basedOn w:val="Normal1"/>
    <w:link w:val="BodyText2Char"/>
    <w:uiPriority w:val="99"/>
    <w:rsid w:val="00771CCA"/>
    <w:pPr>
      <w:spacing w:after="120" w:line="480" w:lineRule="auto"/>
    </w:pPr>
    <w:rPr>
      <w:rFonts w:ascii="Calibri" w:hAnsi="Calibri" w:cs="Calibri"/>
      <w:sz w:val="20"/>
      <w:szCs w:val="20"/>
    </w:rPr>
  </w:style>
  <w:style w:type="character" w:customStyle="1" w:styleId="BodyText2Char">
    <w:name w:val="Body Text 2 Char"/>
    <w:basedOn w:val="DefaultParagraphFont"/>
    <w:link w:val="BodyText2"/>
    <w:uiPriority w:val="99"/>
    <w:locked/>
    <w:rsid w:val="00771CCA"/>
    <w:rPr>
      <w:rFonts w:ascii="Calibri" w:hAnsi="Calibri" w:cs="Calibri"/>
      <w:lang w:val="en-US"/>
    </w:rPr>
  </w:style>
  <w:style w:type="character" w:customStyle="1" w:styleId="gi">
    <w:name w:val="gi"/>
    <w:uiPriority w:val="99"/>
    <w:rsid w:val="00771CCA"/>
  </w:style>
  <w:style w:type="character" w:customStyle="1" w:styleId="css-1qaijidr-bcqeeor-qvutc0r-poiln3">
    <w:name w:val="css-1qaijid r-bcqeeo r-qvutc0 r-poiln3"/>
    <w:uiPriority w:val="99"/>
    <w:rsid w:val="00771CCA"/>
  </w:style>
  <w:style w:type="paragraph" w:styleId="EndnoteText">
    <w:name w:val="endnote text"/>
    <w:basedOn w:val="Normal1"/>
    <w:link w:val="EndnoteTextChar"/>
    <w:uiPriority w:val="99"/>
    <w:semiHidden/>
    <w:rsid w:val="00771CCA"/>
    <w:rPr>
      <w:rFonts w:ascii="Calibri" w:hAnsi="Calibri" w:cs="Calibri"/>
      <w:sz w:val="20"/>
      <w:szCs w:val="20"/>
    </w:rPr>
  </w:style>
  <w:style w:type="character" w:customStyle="1" w:styleId="EndnoteTextChar">
    <w:name w:val="Endnote Text Char"/>
    <w:basedOn w:val="DefaultParagraphFont"/>
    <w:link w:val="EndnoteText"/>
    <w:uiPriority w:val="99"/>
    <w:semiHidden/>
    <w:locked/>
    <w:rsid w:val="00771CCA"/>
    <w:rPr>
      <w:rFonts w:ascii="Calibri" w:hAnsi="Calibri" w:cs="Calibri"/>
      <w:sz w:val="20"/>
      <w:szCs w:val="20"/>
      <w:lang w:val="en-US"/>
    </w:rPr>
  </w:style>
  <w:style w:type="character" w:styleId="EndnoteReference">
    <w:name w:val="endnote reference"/>
    <w:basedOn w:val="DefaultParagraphFont"/>
    <w:uiPriority w:val="99"/>
    <w:semiHidden/>
    <w:rsid w:val="00771CCA"/>
    <w:rPr>
      <w:vertAlign w:val="superscript"/>
    </w:rPr>
  </w:style>
  <w:style w:type="character" w:customStyle="1" w:styleId="UnresolvedMention1">
    <w:name w:val="Unresolved Mention1"/>
    <w:uiPriority w:val="99"/>
    <w:semiHidden/>
    <w:rsid w:val="00771CCA"/>
    <w:rPr>
      <w:color w:val="auto"/>
      <w:shd w:val="clear" w:color="auto" w:fill="auto"/>
    </w:rPr>
  </w:style>
  <w:style w:type="paragraph" w:styleId="BodyText">
    <w:name w:val="Body Text"/>
    <w:basedOn w:val="Normal1"/>
    <w:link w:val="BodyTextChar"/>
    <w:uiPriority w:val="99"/>
    <w:rsid w:val="00771CCA"/>
    <w:pPr>
      <w:spacing w:after="120"/>
    </w:pPr>
    <w:rPr>
      <w:color w:val="000000"/>
    </w:rPr>
  </w:style>
  <w:style w:type="character" w:customStyle="1" w:styleId="BodyTextChar">
    <w:name w:val="Body Text Char"/>
    <w:basedOn w:val="DefaultParagraphFont"/>
    <w:link w:val="BodyText"/>
    <w:uiPriority w:val="99"/>
    <w:locked/>
    <w:rsid w:val="00771CCA"/>
    <w:rPr>
      <w:rFonts w:ascii="Arial" w:hAnsi="Arial" w:cs="Arial"/>
      <w:color w:val="000000"/>
      <w:sz w:val="22"/>
      <w:szCs w:val="22"/>
    </w:rPr>
  </w:style>
  <w:style w:type="paragraph" w:styleId="Header">
    <w:name w:val="header"/>
    <w:basedOn w:val="Normal1"/>
    <w:link w:val="HeaderChar"/>
    <w:uiPriority w:val="99"/>
    <w:rsid w:val="00771CCA"/>
    <w:pPr>
      <w:widowControl w:val="0"/>
      <w:tabs>
        <w:tab w:val="center" w:pos="4680"/>
        <w:tab w:val="right" w:pos="9360"/>
      </w:tabs>
      <w:autoSpaceDE w:val="0"/>
      <w:autoSpaceDN w:val="0"/>
      <w:adjustRightInd w:val="0"/>
    </w:pPr>
    <w:rPr>
      <w:rFonts w:ascii="Times New Roman" w:hAnsi="Times New Roman" w:cs="Times New Roman"/>
      <w:sz w:val="20"/>
      <w:szCs w:val="20"/>
    </w:rPr>
  </w:style>
  <w:style w:type="character" w:customStyle="1" w:styleId="HeaderChar">
    <w:name w:val="Header Char"/>
    <w:basedOn w:val="DefaultParagraphFont"/>
    <w:link w:val="Header"/>
    <w:uiPriority w:val="99"/>
    <w:locked/>
    <w:rsid w:val="00771CCA"/>
    <w:rPr>
      <w:rFonts w:ascii="Times New Roman" w:hAnsi="Times New Roman" w:cs="Times New Roman"/>
      <w:sz w:val="20"/>
      <w:szCs w:val="20"/>
      <w:lang w:val="en-US"/>
    </w:rPr>
  </w:style>
  <w:style w:type="paragraph" w:styleId="Footer">
    <w:name w:val="footer"/>
    <w:basedOn w:val="Normal1"/>
    <w:link w:val="FooterChar"/>
    <w:uiPriority w:val="99"/>
    <w:rsid w:val="00771CCA"/>
    <w:pPr>
      <w:widowControl w:val="0"/>
      <w:tabs>
        <w:tab w:val="center" w:pos="4680"/>
        <w:tab w:val="right" w:pos="9360"/>
      </w:tabs>
      <w:autoSpaceDE w:val="0"/>
      <w:autoSpaceDN w:val="0"/>
      <w:adjustRightInd w:val="0"/>
    </w:pPr>
    <w:rPr>
      <w:rFonts w:ascii="Times New Roman" w:hAnsi="Times New Roman" w:cs="Times New Roman"/>
      <w:sz w:val="20"/>
      <w:szCs w:val="20"/>
    </w:rPr>
  </w:style>
  <w:style w:type="character" w:customStyle="1" w:styleId="FooterChar">
    <w:name w:val="Footer Char"/>
    <w:basedOn w:val="DefaultParagraphFont"/>
    <w:link w:val="Footer"/>
    <w:uiPriority w:val="99"/>
    <w:locked/>
    <w:rsid w:val="00771CCA"/>
    <w:rPr>
      <w:rFonts w:ascii="Times New Roman" w:hAnsi="Times New Roman" w:cs="Times New Roman"/>
      <w:sz w:val="20"/>
      <w:szCs w:val="20"/>
      <w:lang w:val="en-US"/>
    </w:rPr>
  </w:style>
  <w:style w:type="character" w:customStyle="1" w:styleId="UnresolvedMention11">
    <w:name w:val="Unresolved Mention11"/>
    <w:uiPriority w:val="99"/>
    <w:semiHidden/>
    <w:rsid w:val="00771CCA"/>
    <w:rPr>
      <w:color w:val="auto"/>
      <w:shd w:val="clear" w:color="auto" w:fill="auto"/>
    </w:rPr>
  </w:style>
  <w:style w:type="character" w:styleId="FollowedHyperlink">
    <w:name w:val="FollowedHyperlink"/>
    <w:basedOn w:val="DefaultParagraphFont"/>
    <w:uiPriority w:val="99"/>
    <w:semiHidden/>
    <w:rsid w:val="00771CCA"/>
    <w:rPr>
      <w:color w:val="auto"/>
      <w:u w:val="single"/>
    </w:rPr>
  </w:style>
  <w:style w:type="paragraph" w:styleId="Revision">
    <w:name w:val="Revision"/>
    <w:hidden/>
    <w:uiPriority w:val="99"/>
    <w:semiHidden/>
    <w:rsid w:val="00771CCA"/>
    <w:rPr>
      <w:rFonts w:ascii="Times New Roman" w:hAnsi="Times New Roman" w:cs="Times New Roman"/>
    </w:rPr>
  </w:style>
  <w:style w:type="paragraph" w:styleId="TOC3">
    <w:name w:val="toc 3"/>
    <w:basedOn w:val="Normal1"/>
    <w:next w:val="Normal1"/>
    <w:autoRedefine/>
    <w:uiPriority w:val="99"/>
    <w:semiHidden/>
    <w:rsid w:val="00771CCA"/>
    <w:pPr>
      <w:ind w:left="220"/>
    </w:pPr>
    <w:rPr>
      <w:rFonts w:ascii="Calibri" w:hAnsi="Calibri" w:cs="Calibri"/>
      <w:sz w:val="20"/>
      <w:szCs w:val="20"/>
    </w:rPr>
  </w:style>
  <w:style w:type="paragraph" w:styleId="TOC1">
    <w:name w:val="toc 1"/>
    <w:basedOn w:val="Normal1"/>
    <w:next w:val="Normal1"/>
    <w:autoRedefine/>
    <w:uiPriority w:val="99"/>
    <w:semiHidden/>
    <w:rsid w:val="00771CCA"/>
    <w:pPr>
      <w:tabs>
        <w:tab w:val="right" w:pos="9350"/>
      </w:tabs>
      <w:spacing w:before="360"/>
    </w:pPr>
    <w:rPr>
      <w:rFonts w:ascii="Segoe UI" w:hAnsi="Segoe UI" w:cs="Segoe UI"/>
      <w:b/>
      <w:bCs/>
      <w:caps/>
      <w:noProof/>
      <w:sz w:val="28"/>
      <w:szCs w:val="28"/>
    </w:rPr>
  </w:style>
  <w:style w:type="paragraph" w:styleId="TOC2">
    <w:name w:val="toc 2"/>
    <w:basedOn w:val="Normal1"/>
    <w:next w:val="Normal1"/>
    <w:autoRedefine/>
    <w:uiPriority w:val="99"/>
    <w:semiHidden/>
    <w:rsid w:val="00771CCA"/>
    <w:pPr>
      <w:tabs>
        <w:tab w:val="right" w:pos="9350"/>
      </w:tabs>
      <w:spacing w:before="240"/>
    </w:pPr>
    <w:rPr>
      <w:rFonts w:ascii="Calibri" w:hAnsi="Calibri" w:cs="Calibri"/>
      <w:b/>
      <w:bCs/>
      <w:noProof/>
      <w:sz w:val="28"/>
      <w:szCs w:val="28"/>
    </w:rPr>
  </w:style>
  <w:style w:type="paragraph" w:styleId="TOC4">
    <w:name w:val="toc 4"/>
    <w:basedOn w:val="Normal1"/>
    <w:next w:val="Normal1"/>
    <w:autoRedefine/>
    <w:uiPriority w:val="99"/>
    <w:semiHidden/>
    <w:rsid w:val="00771CCA"/>
    <w:pPr>
      <w:ind w:left="440"/>
    </w:pPr>
    <w:rPr>
      <w:rFonts w:ascii="Calibri" w:hAnsi="Calibri" w:cs="Calibri"/>
      <w:sz w:val="20"/>
      <w:szCs w:val="20"/>
    </w:rPr>
  </w:style>
  <w:style w:type="paragraph" w:styleId="TOC5">
    <w:name w:val="toc 5"/>
    <w:basedOn w:val="Normal1"/>
    <w:next w:val="Normal1"/>
    <w:autoRedefine/>
    <w:uiPriority w:val="99"/>
    <w:semiHidden/>
    <w:rsid w:val="00771CCA"/>
    <w:pPr>
      <w:ind w:left="660"/>
    </w:pPr>
    <w:rPr>
      <w:rFonts w:ascii="Calibri" w:hAnsi="Calibri" w:cs="Calibri"/>
      <w:sz w:val="20"/>
      <w:szCs w:val="20"/>
    </w:rPr>
  </w:style>
  <w:style w:type="paragraph" w:styleId="TOC6">
    <w:name w:val="toc 6"/>
    <w:basedOn w:val="Normal1"/>
    <w:next w:val="Normal1"/>
    <w:autoRedefine/>
    <w:uiPriority w:val="99"/>
    <w:semiHidden/>
    <w:rsid w:val="00771CCA"/>
    <w:pPr>
      <w:ind w:left="880"/>
    </w:pPr>
    <w:rPr>
      <w:rFonts w:ascii="Calibri" w:hAnsi="Calibri" w:cs="Calibri"/>
      <w:sz w:val="20"/>
      <w:szCs w:val="20"/>
    </w:rPr>
  </w:style>
  <w:style w:type="paragraph" w:styleId="TOC7">
    <w:name w:val="toc 7"/>
    <w:basedOn w:val="Normal1"/>
    <w:next w:val="Normal1"/>
    <w:autoRedefine/>
    <w:uiPriority w:val="99"/>
    <w:semiHidden/>
    <w:rsid w:val="00771CCA"/>
    <w:pPr>
      <w:ind w:left="1100"/>
    </w:pPr>
    <w:rPr>
      <w:rFonts w:ascii="Calibri" w:hAnsi="Calibri" w:cs="Calibri"/>
      <w:sz w:val="20"/>
      <w:szCs w:val="20"/>
    </w:rPr>
  </w:style>
  <w:style w:type="paragraph" w:styleId="TOC8">
    <w:name w:val="toc 8"/>
    <w:basedOn w:val="Normal1"/>
    <w:next w:val="Normal1"/>
    <w:autoRedefine/>
    <w:uiPriority w:val="99"/>
    <w:semiHidden/>
    <w:rsid w:val="00771CCA"/>
    <w:pPr>
      <w:ind w:left="1320"/>
    </w:pPr>
    <w:rPr>
      <w:rFonts w:ascii="Calibri" w:hAnsi="Calibri" w:cs="Calibri"/>
      <w:sz w:val="20"/>
      <w:szCs w:val="20"/>
    </w:rPr>
  </w:style>
  <w:style w:type="paragraph" w:styleId="TOC9">
    <w:name w:val="toc 9"/>
    <w:basedOn w:val="Normal1"/>
    <w:next w:val="Normal1"/>
    <w:autoRedefine/>
    <w:uiPriority w:val="99"/>
    <w:semiHidden/>
    <w:rsid w:val="00771CCA"/>
    <w:pPr>
      <w:ind w:left="1540"/>
    </w:pPr>
    <w:rPr>
      <w:rFonts w:ascii="Calibri" w:hAnsi="Calibri" w:cs="Calibri"/>
      <w:sz w:val="20"/>
      <w:szCs w:val="20"/>
    </w:rPr>
  </w:style>
  <w:style w:type="character" w:customStyle="1" w:styleId="st">
    <w:name w:val="st"/>
    <w:uiPriority w:val="99"/>
    <w:rsid w:val="00771CCA"/>
  </w:style>
  <w:style w:type="paragraph" w:customStyle="1" w:styleId="Default">
    <w:name w:val="Default"/>
    <w:uiPriority w:val="99"/>
    <w:rsid w:val="00771CCA"/>
    <w:pPr>
      <w:widowControl w:val="0"/>
      <w:autoSpaceDE w:val="0"/>
      <w:autoSpaceDN w:val="0"/>
      <w:adjustRightInd w:val="0"/>
    </w:pPr>
    <w:rPr>
      <w:color w:val="000000"/>
      <w:sz w:val="24"/>
      <w:szCs w:val="24"/>
    </w:rPr>
  </w:style>
  <w:style w:type="character" w:styleId="PageNumber">
    <w:name w:val="page number"/>
    <w:basedOn w:val="DefaultParagraphFont"/>
    <w:uiPriority w:val="99"/>
    <w:rsid w:val="00771CCA"/>
  </w:style>
  <w:style w:type="character" w:customStyle="1" w:styleId="CharChar2">
    <w:name w:val="Char Char2"/>
    <w:uiPriority w:val="99"/>
    <w:locked/>
    <w:rsid w:val="00771CCA"/>
    <w:rPr>
      <w:rFonts w:ascii="Calibri" w:hAnsi="Calibri" w:cs="Calibri"/>
      <w:lang w:val="en-US" w:eastAsia="en-US"/>
    </w:rPr>
  </w:style>
  <w:style w:type="character" w:customStyle="1" w:styleId="CharChar9">
    <w:name w:val="Char Char9"/>
    <w:uiPriority w:val="99"/>
    <w:locked/>
    <w:rsid w:val="00771CCA"/>
    <w:rPr>
      <w:rFonts w:ascii="Calibri" w:hAnsi="Calibri" w:cs="Calibri"/>
      <w:sz w:val="20"/>
      <w:szCs w:val="20"/>
      <w:lang w:eastAsia="en-US"/>
    </w:rPr>
  </w:style>
  <w:style w:type="paragraph" w:styleId="Subtitle">
    <w:name w:val="Subtitle"/>
    <w:basedOn w:val="Normal1"/>
    <w:next w:val="Normal1"/>
    <w:link w:val="SubtitleChar"/>
    <w:uiPriority w:val="99"/>
    <w:qFormat/>
    <w:rsid w:val="00ED156C"/>
    <w:pPr>
      <w:keepNext/>
      <w:keepLines/>
      <w:spacing w:before="360" w:after="80"/>
    </w:pPr>
    <w:rPr>
      <w:rFonts w:ascii="Cambria" w:hAnsi="Cambria" w:cs="Cambria"/>
      <w:sz w:val="24"/>
      <w:szCs w:val="24"/>
    </w:rPr>
  </w:style>
  <w:style w:type="character" w:customStyle="1" w:styleId="SubtitleChar">
    <w:name w:val="Subtitle Char"/>
    <w:basedOn w:val="DefaultParagraphFont"/>
    <w:link w:val="Subtitle"/>
    <w:uiPriority w:val="99"/>
    <w:locked/>
    <w:rsid w:val="00947764"/>
    <w:rPr>
      <w:rFonts w:ascii="Cambria" w:hAnsi="Cambria" w:cs="Cambria"/>
      <w:sz w:val="24"/>
      <w:szCs w:val="24"/>
    </w:rPr>
  </w:style>
  <w:style w:type="table" w:customStyle="1" w:styleId="Style">
    <w:name w:val="Style"/>
    <w:uiPriority w:val="99"/>
    <w:rsid w:val="00ED156C"/>
    <w:rPr>
      <w:sz w:val="20"/>
      <w:szCs w:val="20"/>
    </w:rPr>
    <w:tblPr>
      <w:tblStyleRowBandSize w:val="1"/>
      <w:tblStyleColBandSize w:val="1"/>
      <w:tblCellMar>
        <w:top w:w="0" w:type="dxa"/>
        <w:left w:w="115" w:type="dxa"/>
        <w:bottom w:w="0" w:type="dxa"/>
        <w:right w:w="115" w:type="dxa"/>
      </w:tblCellMar>
    </w:tblPr>
  </w:style>
  <w:style w:type="character" w:customStyle="1" w:styleId="UnresolvedMention2">
    <w:name w:val="Unresolved Mention2"/>
    <w:uiPriority w:val="99"/>
    <w:semiHidden/>
    <w:rsid w:val="00746D69"/>
    <w:rPr>
      <w:color w:val="auto"/>
      <w:shd w:val="clear" w:color="auto" w:fill="auto"/>
    </w:rPr>
  </w:style>
  <w:style w:type="character" w:customStyle="1" w:styleId="UnresolvedMention3">
    <w:name w:val="Unresolved Mention3"/>
    <w:basedOn w:val="DefaultParagraphFont"/>
    <w:uiPriority w:val="99"/>
    <w:semiHidden/>
    <w:rsid w:val="000C43D6"/>
    <w:rPr>
      <w:color w:val="auto"/>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oas.org/en/iachr/reports/pdfs/indigenous-women-bc-canada-en.pdf" TargetMode="External"/><Relationship Id="rId21" Type="http://schemas.openxmlformats.org/officeDocument/2006/relationships/hyperlink" Target="https://www.sac-isc.gc.ca/eng/1710424351084/1710424389393" TargetMode="External"/><Relationship Id="rId42" Type="http://schemas.openxmlformats.org/officeDocument/2006/relationships/hyperlink" Target="https://decisions.scc-csc.ca/scc-csc/scc-csc/en/item/20264/index.do" TargetMode="External"/><Relationship Id="rId47" Type="http://schemas.openxmlformats.org/officeDocument/2006/relationships/hyperlink" Target="https://www.ohchr.org/en/press-releases/2022/03/un-womens-rights-committee-urges-canada-amend-transgenerational" TargetMode="External"/><Relationship Id="rId63" Type="http://schemas.openxmlformats.org/officeDocument/2006/relationships/hyperlink" Target="https://sencanada.ca/en/info-page/parl-44-1/appa-make-it-stop-ending-the-remaining-discrimination-in-indian-registration/" TargetMode="External"/><Relationship Id="rId68" Type="http://schemas.openxmlformats.org/officeDocument/2006/relationships/hyperlink" Target="https://www.un.org/development/desa/indigenouspeoples/wp-content/uploads/sites/19/2018/11/UNDRIP_E_web.pdf" TargetMode="External"/><Relationship Id="rId2" Type="http://schemas.openxmlformats.org/officeDocument/2006/relationships/styles" Target="styles.xml"/><Relationship Id="rId16" Type="http://schemas.openxmlformats.org/officeDocument/2006/relationships/hyperlink" Target="https://tbinternet.ohchr.org/_layouts/15/TreatyBodyExternal/Download.aspx?symbolno=CCPR%2FC%2F124%2FD%2F2020%2F2010&amp;Lang=en" TargetMode="External"/><Relationship Id="rId29" Type="http://schemas.openxmlformats.org/officeDocument/2006/relationships/hyperlink" Target="https://www.un.org/development/desa/indigenouspeoples/wp-content/uploads/sites/19/2018/11/UNDRIP_E_web.pdf" TargetMode="External"/><Relationship Id="rId11" Type="http://schemas.openxmlformats.org/officeDocument/2006/relationships/image" Target="media/image5.png"/><Relationship Id="rId24" Type="http://schemas.openxmlformats.org/officeDocument/2006/relationships/hyperlink" Target="https://docs.google.com/document/d/1SE8qMDbMWb8MvVjHXdy5ZcwbpX7shU-5fEBJfw-7OLk/edit?usp=sharing" TargetMode="External"/><Relationship Id="rId32" Type="http://schemas.openxmlformats.org/officeDocument/2006/relationships/hyperlink" Target="https://www.justice.gc.ca/eng/declaration/ap-pa/index.html" TargetMode="External"/><Relationship Id="rId37" Type="http://schemas.openxmlformats.org/officeDocument/2006/relationships/hyperlink" Target="https://povertyandhumanrights.org/2019/08/mcivor-v-canada-2019/" TargetMode="External"/><Relationship Id="rId40" Type="http://schemas.openxmlformats.org/officeDocument/2006/relationships/hyperlink" Target="https://digitallibrary.un.org/record/3988177?ln=en&amp;v=pdf" TargetMode="External"/><Relationship Id="rId45" Type="http://schemas.openxmlformats.org/officeDocument/2006/relationships/hyperlink" Target="https://www.ohchr.org/en/press-releases/2022/03/un-womens-rights-committee-urges-canada-amend-transgenerational" TargetMode="External"/><Relationship Id="rId53" Type="http://schemas.openxmlformats.org/officeDocument/2006/relationships/hyperlink" Target="https://www.oag-bvg.gc.ca/internet/docs/parl_oag_202506_01_e.pdf" TargetMode="External"/><Relationship Id="rId58" Type="http://schemas.openxmlformats.org/officeDocument/2006/relationships/hyperlink" Target="https://sencanada.ca/en/info-page/parl-44-1/appa-make-it-stop-ending-the-remaining-discrimination-in-indian-registration/" TargetMode="External"/><Relationship Id="rId66" Type="http://schemas.openxmlformats.org/officeDocument/2006/relationships/hyperlink" Target="https://sencanada.ca/en/info-page/parl-44-1/appa-make-it-stop-ending-the-remaining-discrimination-in-indian-registration/" TargetMode="External"/><Relationship Id="rId74"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8.png"/><Relationship Id="rId19" Type="http://schemas.openxmlformats.org/officeDocument/2006/relationships/hyperlink" Target="https://docstore.ohchr.org/SelfServices/FilesHandler.ashx?enc=6QkG1d%2FPPRiCAqhKb7yhsgekS3XMuMTIW18D8vtwB3%2FD%2FByHAzfLA5AhFQ6A4x%2Fy3Hgmz7q6dVhsZmS2ETUEsn9KljRf9kh9kmWworV6h7LlCV5cU5cVXbOocdkv%2Fl9bt0wa%2FC6xlSu2kG6w2NCoZw%3D%3D" TargetMode="External"/><Relationship Id="rId14" Type="http://schemas.openxmlformats.org/officeDocument/2006/relationships/hyperlink" Target="https://docs.google.com/document/d/1SE8qMDbMWb8MvVjHXdy5ZcwbpX7shU-5fEBJfw-7OLk/edit?usp=sharing" TargetMode="External"/><Relationship Id="rId22" Type="http://schemas.openxmlformats.org/officeDocument/2006/relationships/hyperlink" Target="https://laws-lois.justice.gc.ca/eng/acts/i-5/section-10.html" TargetMode="External"/><Relationship Id="rId27" Type="http://schemas.openxmlformats.org/officeDocument/2006/relationships/hyperlink" Target="https://www.rcaanc-cirnac.gc.ca/eng/1561561140999/1568902073183" TargetMode="External"/><Relationship Id="rId30" Type="http://schemas.openxmlformats.org/officeDocument/2006/relationships/hyperlink" Target="https://www.justice.gc.ca/eng/declaration/about-apropos.html" TargetMode="External"/><Relationship Id="rId35" Type="http://schemas.openxmlformats.org/officeDocument/2006/relationships/hyperlink" Target="https://povertyandhumanrights.org/2011/08/mcivor-v-canada/" TargetMode="External"/><Relationship Id="rId43" Type="http://schemas.openxmlformats.org/officeDocument/2006/relationships/hyperlink" Target="https://docstore.ohchr.org/SelfServices/FilesHandler.ashx?enc=6QkG1d%2FPPRiCAqhKb7yhsgekS3XMuMTIW18D8vtwB3%2FD%2FByHAzfLA5AhFQ6A4x%2Fy3Hgmz7q6dVhsZmS2ETUEsn9KljRf9kh9kmWworV6h7LlCV5cU5cVXbOocdkv%2Fl9bt0wa%2FC6xlSu2kG6w2NCoZw%3D%3D" TargetMode="External"/><Relationship Id="rId48" Type="http://schemas.openxmlformats.org/officeDocument/2006/relationships/hyperlink" Target="https://docstore.ohchr.org/SelfServices/FilesHandler.ashx?enc=6QkG1d%2FPPRiCAqhKb7yhsgekS3XMuMTIW18D8vtwB3%2FD%2FByHAzfLA5AhFQ6A4x%2Fy3Hgmz7q6dVhsZmS2ETUEsn9KljRf9kh9kmWworV6h7LlCV5cU5cVXbOocdkv%2Fl9bt0wa%2FC6xlSu2kG6w2NCoZw%3D%3D" TargetMode="External"/><Relationship Id="rId56" Type="http://schemas.openxmlformats.org/officeDocument/2006/relationships/hyperlink" Target="https://sencanada.ca/en/info-page/parl-44-1/appa-make-it-stop-ending-the-remaining-discrimination-in-indian-registration/" TargetMode="External"/><Relationship Id="rId64" Type="http://schemas.openxmlformats.org/officeDocument/2006/relationships/hyperlink" Target="https://tbinternet.ohchr.org/_layouts/15/treatybodyexternal/Download.aspx?symbolno=CEDAW%2fC%2f81%2fD%2f68%2f2014&amp;Lang=en" TargetMode="External"/><Relationship Id="rId69" Type="http://schemas.openxmlformats.org/officeDocument/2006/relationships/hyperlink" Target="https://digitallibrary.un.org/record/3876759?ln=en&amp;v=pdf" TargetMode="External"/><Relationship Id="rId8" Type="http://schemas.openxmlformats.org/officeDocument/2006/relationships/image" Target="media/image2.jpeg"/><Relationship Id="rId51" Type="http://schemas.openxmlformats.org/officeDocument/2006/relationships/hyperlink" Target="https://www.sac-isc.gc.ca/eng/1619622534553/1619622552773" TargetMode="External"/><Relationship Id="rId72" Type="http://schemas.openxmlformats.org/officeDocument/2006/relationships/hyperlink" Target="mailto:shelagh.day@gmail.com"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tbinternet.ohchr.org/_layouts/15/treatybodyexternal/Download.aspx?symbolno=CEDAW%2fC%2f81%2fD%2f68%2f2014&amp;Lang=en" TargetMode="External"/><Relationship Id="rId25" Type="http://schemas.openxmlformats.org/officeDocument/2006/relationships/hyperlink" Target="https://qspace.library.queensu.ca/server/api/core/bitstreams/28a68354-3ad0-4e55-af0c-7526de37c06b/content" TargetMode="External"/><Relationship Id="rId33" Type="http://schemas.openxmlformats.org/officeDocument/2006/relationships/hyperlink" Target="https://docs.google.com/document/d/1SE8qMDbMWb8MvVjHXdy5ZcwbpX7shU-5fEBJfw-7OLk/edit?tab=t.0" TargetMode="External"/><Relationship Id="rId38" Type="http://schemas.openxmlformats.org/officeDocument/2006/relationships/hyperlink" Target="https://povertyandhumanrights.org/2019/08/mcivor-v-canada-2019/" TargetMode="External"/><Relationship Id="rId46" Type="http://schemas.openxmlformats.org/officeDocument/2006/relationships/hyperlink" Target="https://www.ohchr.org/en/press-releases/2022/03/un-womens-rights-committee-urges-canada-amend-transgenerational" TargetMode="External"/><Relationship Id="rId59" Type="http://schemas.openxmlformats.org/officeDocument/2006/relationships/hyperlink" Target="https://www.ohchr.org/en/documents/general-comments-and-recommendations/general-recommendation-no39-2022-rights-indigeneous" TargetMode="External"/><Relationship Id="rId67" Type="http://schemas.openxmlformats.org/officeDocument/2006/relationships/hyperlink" Target="https://docs.google.com/document/d/1SE8qMDbMWb8MvVjHXdy5ZcwbpX7shU-5fEBJfw-7OLk/edit" TargetMode="External"/><Relationship Id="rId20" Type="http://schemas.openxmlformats.org/officeDocument/2006/relationships/hyperlink" Target="https://docstore.ohchr.org/SelfServices/FilesHandler.ashx?enc=6QkG1d%2FPPRiCAqhKb7yhsgekS3XMuMTIW18D8vtwB3%2FD%2FByHAzfLA5AhFQ6A4x%2Fy3Hgmz7q6dVhsZmS2ETUEsn9KljRf9kh9kmWworV6h7LlCV5cU5cVXbOocdkv%2Fl9bt0wa%2FC6xlSu2kG6w2NCoZw%3D%3D" TargetMode="External"/><Relationship Id="rId41" Type="http://schemas.openxmlformats.org/officeDocument/2006/relationships/hyperlink" Target="https://laws-lois.justice.gc.ca/eng/acts/U-2.2/" TargetMode="External"/><Relationship Id="rId54" Type="http://schemas.openxmlformats.org/officeDocument/2006/relationships/hyperlink" Target="https://sencanada.ca/en/info-page/parl-44-1/appa-make-it-stop-ending-the-remaining-discrimination-in-indian-registration/" TargetMode="External"/><Relationship Id="rId62" Type="http://schemas.openxmlformats.org/officeDocument/2006/relationships/hyperlink" Target="https://tbinternet.ohchr.org/_layouts/15/treatybodyexternal/Download.aspx?symbolno=CEDAW%2fC%2f81%2fD%2f68%2f2014&amp;Lang=en" TargetMode="External"/><Relationship Id="rId70" Type="http://schemas.openxmlformats.org/officeDocument/2006/relationships/hyperlink" Target="https://digitallibrary.un.org/record/3876759?ln=en&amp;v=pdf"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juris.ohchr.org/casedetails/286/en-US" TargetMode="External"/><Relationship Id="rId23" Type="http://schemas.openxmlformats.org/officeDocument/2006/relationships/hyperlink" Target="https://sencanada.ca/en/info-page/parl-44-1/appa-make-it-stop-ending-the-remaining-discrimination-in-indian-registration/" TargetMode="External"/><Relationship Id="rId28" Type="http://schemas.openxmlformats.org/officeDocument/2006/relationships/hyperlink" Target="https://www.cbc.ca/news/indigenous/canada-adopting-implementing-un-rights-declaration-1.3575272" TargetMode="External"/><Relationship Id="rId36" Type="http://schemas.openxmlformats.org/officeDocument/2006/relationships/hyperlink" Target="https://povertyandhumanrights.org/2019/08/mcivor-v-canada-2019/" TargetMode="External"/><Relationship Id="rId49" Type="http://schemas.openxmlformats.org/officeDocument/2006/relationships/hyperlink" Target="https://docstore.ohchr.org/SelfServices/FilesHandler.ashx?enc=6QkG1d%2FPPRiCAqhKb7yhsgekS3XMuMTIW18D8vtwB3%2FD%2FByHAzfLA5AhFQ6A4x%2Fy3Hgmz7q6dVhsZmS2ETUEsn9KljRf9kh9kmWworV6h7LlCV5cU5cVXbOocdkv%2Fl9bt0wa%2FC6xlSu2kG6w2NCoZw%3D%3D" TargetMode="External"/><Relationship Id="rId57" Type="http://schemas.openxmlformats.org/officeDocument/2006/relationships/hyperlink" Target="https://sencanada.ca/en/info-page/parl-44-1/appa-make-it-stop-ending-the-remaining-discrimination-in-indian-registration/" TargetMode="External"/><Relationship Id="rId10" Type="http://schemas.openxmlformats.org/officeDocument/2006/relationships/image" Target="media/image4.png"/><Relationship Id="rId31" Type="http://schemas.openxmlformats.org/officeDocument/2006/relationships/hyperlink" Target="https://www.justice.gc.ca/eng/declaration/ap-pa/index.html" TargetMode="External"/><Relationship Id="rId44" Type="http://schemas.openxmlformats.org/officeDocument/2006/relationships/hyperlink" Target="https://docstore.ohchr.org/SelfServices/FilesHandler.ashx?enc=6QkG1d%2FPPRiCAqhKb7yhsgekS3XMuMTIW18D8vtwB3%2FD%2FByHAzfLA5AhFQ6A4x%2Fy3Hgmz7q6dVhsZmS2ETUEsn9KljRf9kh9kmWworV6h7LlCV5cU5cVXbOocdkv%2Fl9bt0wa%2FC6xlSu2kG6w2NCoZw%3D%3D" TargetMode="External"/><Relationship Id="rId52" Type="http://schemas.openxmlformats.org/officeDocument/2006/relationships/hyperlink" Target="https://www.sac-isc.gc.ca/eng/1619622534553/1619622552773" TargetMode="External"/><Relationship Id="rId60" Type="http://schemas.openxmlformats.org/officeDocument/2006/relationships/hyperlink" Target="https://sencanada.ca/en/committees/APPA/Report/147289/45-1" TargetMode="External"/><Relationship Id="rId65" Type="http://schemas.openxmlformats.org/officeDocument/2006/relationships/hyperlink" Target="https://www.chrc-ccdp.gc.ca/en/resources/more-must-be-done-dismantle-the-lasting-effects-colonialism" TargetMode="External"/><Relationship Id="rId73"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digitallibrary.un.org/record/3988177/files/CCPR_C_134_4-EN.pdf?ln=zh_CN" TargetMode="External"/><Relationship Id="rId39" Type="http://schemas.openxmlformats.org/officeDocument/2006/relationships/hyperlink" Target="https://tbinternet.ohchr.org/_layouts/15/TreatyBodyExternal/Download.aspx?symbolno=CCPR%2FC%2F124%2FD%2F2020%2F2010&amp;Lang=en" TargetMode="External"/><Relationship Id="rId34" Type="http://schemas.openxmlformats.org/officeDocument/2006/relationships/hyperlink" Target="https://www.ohchr.org/sites/default/files/documents/issues/indigenouspeoples/sr/statements/eom-statement-canada-sr-indigenous-2023-03-10.pdf" TargetMode="External"/><Relationship Id="rId50" Type="http://schemas.openxmlformats.org/officeDocument/2006/relationships/hyperlink" Target="https://spcommreports.ohchr.org/TMResultsBase/DownLoadFile?gId=37873" TargetMode="External"/><Relationship Id="rId55" Type="http://schemas.openxmlformats.org/officeDocument/2006/relationships/hyperlink" Target="https://www.sac-isc.gc.ca/eng/1710424351084/1710424389393" TargetMode="External"/><Relationship Id="rId7" Type="http://schemas.openxmlformats.org/officeDocument/2006/relationships/image" Target="media/image1.jpeg"/><Relationship Id="rId71" Type="http://schemas.openxmlformats.org/officeDocument/2006/relationships/hyperlink" Target="https://digitallibrary.un.org/record/836103?ln=en&amp;v=pdf"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parl.ca/legisinfo/en/bill/44-1/c-38" TargetMode="External"/><Relationship Id="rId18" Type="http://schemas.openxmlformats.org/officeDocument/2006/relationships/hyperlink" Target="https://www.rcaanc-cirnac.gc.ca/eng/1522949271019/1568896763719" TargetMode="External"/><Relationship Id="rId26" Type="http://schemas.openxmlformats.org/officeDocument/2006/relationships/hyperlink" Target="https://www.sac-isc.gc.ca/eng/1765550289110/1765550326340" TargetMode="External"/><Relationship Id="rId3" Type="http://schemas.openxmlformats.org/officeDocument/2006/relationships/hyperlink" Target="https://www.ubcic.bc.ca/senate_committee_votes_to_eliminate_the_second_generation_cut_off" TargetMode="External"/><Relationship Id="rId21" Type="http://schemas.openxmlformats.org/officeDocument/2006/relationships/hyperlink" Target="https://www.aptnnews.ca/national-news/bill-s-2-amendments-to-eliminate-second-generation-cutoff-pass-major-hurdle/" TargetMode="External"/><Relationship Id="rId34" Type="http://schemas.openxmlformats.org/officeDocument/2006/relationships/hyperlink" Target="https://www.rcaanc-cirnac.gc.ca/eng/1561561140999/1568902073183" TargetMode="External"/><Relationship Id="rId7" Type="http://schemas.openxmlformats.org/officeDocument/2006/relationships/hyperlink" Target="https://www.mandellpinder.com/descheneaux-v-canada-2015-qccs-3555-case-summary/" TargetMode="External"/><Relationship Id="rId12" Type="http://schemas.openxmlformats.org/officeDocument/2006/relationships/hyperlink" Target="https://thenarwhal.ca/canada-bill-c38-indigenous-land-rights/" TargetMode="External"/><Relationship Id="rId17" Type="http://schemas.openxmlformats.org/officeDocument/2006/relationships/hyperlink" Target="https://www.ubcic.bc.ca/senate_committee_votes_to_eliminate_the_second_generation_cut_off" TargetMode="External"/><Relationship Id="rId25" Type="http://schemas.openxmlformats.org/officeDocument/2006/relationships/hyperlink" Target="https://www.sac-isc.gc.ca/eng/1765550289110/1765550326340" TargetMode="External"/><Relationship Id="rId33" Type="http://schemas.openxmlformats.org/officeDocument/2006/relationships/hyperlink" Target="https://sencanada.ca/Content/Sen/Committee/451/APPA/briefs/2025-10-28_APPA_S-2_Brief_ONWA_e.pdf" TargetMode="External"/><Relationship Id="rId2" Type="http://schemas.openxmlformats.org/officeDocument/2006/relationships/hyperlink" Target="https://www.firstpeopleslaw.com/public-education/blog/bill-s-2-and-the-second-generation-cut-off-patricia-lawrence" TargetMode="External"/><Relationship Id="rId16" Type="http://schemas.openxmlformats.org/officeDocument/2006/relationships/hyperlink" Target="https://www.cbc.ca/news/indigenous/bill-s2-indian-act-status-9.7004888" TargetMode="External"/><Relationship Id="rId20" Type="http://schemas.openxmlformats.org/officeDocument/2006/relationships/hyperlink" Target="https://www.ubcic.bc.ca/senate_committee_votes_to_eliminate_the_second_generation_cut_off" TargetMode="External"/><Relationship Id="rId29" Type="http://schemas.openxmlformats.org/officeDocument/2006/relationships/hyperlink" Target="https://www.cbc.ca/news/politics/minister-consultations-changes-first-nations-status-eligibility-9.7007961" TargetMode="External"/><Relationship Id="rId1" Type="http://schemas.openxmlformats.org/officeDocument/2006/relationships/hyperlink" Target="https://www.ubcic.bc.ca/senate_committee_votes_to_eliminate_the_second_generation_cut_off" TargetMode="External"/><Relationship Id="rId6" Type="http://schemas.openxmlformats.org/officeDocument/2006/relationships/hyperlink" Target="https://docs.google.com/document/d/1SE8qMDbMWb8MvVjHXdy5ZcwbpX7shU-5fEBJfw-7OLk/edit?tab=t.0" TargetMode="External"/><Relationship Id="rId11" Type="http://schemas.openxmlformats.org/officeDocument/2006/relationships/hyperlink" Target="https://powerlaw.ca/wesley-et-al-v-his-majesty-the-king/" TargetMode="External"/><Relationship Id="rId24" Type="http://schemas.openxmlformats.org/officeDocument/2006/relationships/hyperlink" Target="https://www.aptnnews.ca/national-news/bill-s-2-amendments-to-eliminate-second-generation-cutoff-pass-major-hurdle/" TargetMode="External"/><Relationship Id="rId32" Type="http://schemas.openxmlformats.org/officeDocument/2006/relationships/hyperlink" Target="https://www.un.org/development/desa/Indigenouspeoples/wp-content/uploads/sites/19/2018/11/UNDRIP_E_web.pdf" TargetMode="External"/><Relationship Id="rId5" Type="http://schemas.openxmlformats.org/officeDocument/2006/relationships/hyperlink" Target="https://www.ourcommons.ca/documentviewer/en/45-1/house/sitting-71/hansard" TargetMode="External"/><Relationship Id="rId15" Type="http://schemas.openxmlformats.org/officeDocument/2006/relationships/hyperlink" Target="https://www.firstpeopleslaw.com/public-education/blog/bill-s-2-and-the-second-generation-cut-off-patricia-lawrence" TargetMode="External"/><Relationship Id="rId23" Type="http://schemas.openxmlformats.org/officeDocument/2006/relationships/hyperlink" Target="https://www.ourcommons.ca/documentviewer/en/45-1/house/sitting-71/hansard" TargetMode="External"/><Relationship Id="rId28" Type="http://schemas.openxmlformats.org/officeDocument/2006/relationships/hyperlink" Target="https://www.cbc.ca/news/indigenous/auditor-general-indian-status-registration-1.7557301" TargetMode="External"/><Relationship Id="rId10" Type="http://schemas.openxmlformats.org/officeDocument/2006/relationships/hyperlink" Target="https://www.sac-isc.gc.ca/eng/1659021979260/1659022082327" TargetMode="External"/><Relationship Id="rId19" Type="http://schemas.openxmlformats.org/officeDocument/2006/relationships/hyperlink" Target="https://www.sac-isc.gc.ca/eng/1706281094364/1706281216732" TargetMode="External"/><Relationship Id="rId31" Type="http://schemas.openxmlformats.org/officeDocument/2006/relationships/hyperlink" Target="https://www.sac-isc.gc.ca/eng/1662142490384/1662142638971" TargetMode="External"/><Relationship Id="rId4" Type="http://schemas.openxmlformats.org/officeDocument/2006/relationships/hyperlink" Target="https://www.cbc.ca/news/indigenous/bill-s2-indian-act-status-9.7004888" TargetMode="External"/><Relationship Id="rId9" Type="http://schemas.openxmlformats.org/officeDocument/2006/relationships/hyperlink" Target="https://www.canlii.org/en/bc/bcsc/doc/2025/2025bcsc1596/2025bcsc1596.html" TargetMode="External"/><Relationship Id="rId14" Type="http://schemas.openxmlformats.org/officeDocument/2006/relationships/hyperlink" Target="https://www.ubcic.bc.ca/senate_committee_votes_to_eliminate_the_second_generation_cut_off" TargetMode="External"/><Relationship Id="rId22" Type="http://schemas.openxmlformats.org/officeDocument/2006/relationships/hyperlink" Target="https://www.firstpeopleslaw.com/public-education/blog/the-national-interest-and-the-future-of-bill-c-5" TargetMode="External"/><Relationship Id="rId27" Type="http://schemas.openxmlformats.org/officeDocument/2006/relationships/hyperlink" Target="https://tbinternet.ohchr.org/_layouts/15/treatybodyexternal/Download.aspx?symbolno=INT%2FCEDAW%2FCSS%2FCAN%2F59717&amp;Lang=en" TargetMode="External"/><Relationship Id="rId30" Type="http://schemas.openxmlformats.org/officeDocument/2006/relationships/hyperlink" Target="https://www.oag-bvg.gc.ca/internet/docs/parl_oag_202506_01_e.pdf" TargetMode="External"/><Relationship Id="rId8" Type="http://schemas.openxmlformats.org/officeDocument/2006/relationships/hyperlink" Target="https://www.faq-qnw.org/wp-content/uploads/2017/03/Descheneaux-Information-Toolkit-final-low-r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9607</Words>
  <Characters>54763</Characters>
  <Application>Microsoft Office Word</Application>
  <DocSecurity>0</DocSecurity>
  <Lines>456</Lines>
  <Paragraphs>128</Paragraphs>
  <ScaleCrop>false</ScaleCrop>
  <Company/>
  <LinksUpToDate>false</LinksUpToDate>
  <CharactersWithSpaces>64242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Rachel Singleton-Polster</dc:creator>
  <cp:keywords/>
  <dc:description/>
  <cp:lastModifiedBy>Rachel  Singleton-Polster</cp:lastModifiedBy>
  <cp:revision>2</cp:revision>
  <dcterms:created xsi:type="dcterms:W3CDTF">2026-02-02T21:58:00Z</dcterms:created>
  <dcterms:modified xsi:type="dcterms:W3CDTF">2026-02-02T21:58:00Z</dcterms:modified>
</cp:coreProperties>
</file>