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E8D4F1" w14:textId="77777777" w:rsidR="0098366D" w:rsidRDefault="00000000">
      <w:pPr>
        <w:spacing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September 9, 2024</w:t>
      </w:r>
    </w:p>
    <w:p w14:paraId="743E2C17" w14:textId="7936B9F1" w:rsidR="0098366D" w:rsidRDefault="00000000">
      <w:pPr>
        <w:spacing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Created by Be the Change Okinawa</w:t>
      </w:r>
      <w:r w:rsidR="005165B1">
        <w:rPr>
          <w:rStyle w:val="af0"/>
          <w:rFonts w:ascii="Times New Roman" w:eastAsia="Times New Roman" w:hAnsi="Times New Roman" w:cs="Times New Roman"/>
          <w:sz w:val="24"/>
          <w:szCs w:val="24"/>
        </w:rPr>
        <w:footnoteReference w:id="1"/>
      </w:r>
    </w:p>
    <w:p w14:paraId="102E6904" w14:textId="77777777" w:rsidR="0098366D" w:rsidRDefault="0098366D">
      <w:pPr>
        <w:spacing w:line="276" w:lineRule="auto"/>
        <w:jc w:val="right"/>
        <w:rPr>
          <w:rFonts w:ascii="Times New Roman" w:eastAsia="Times New Roman" w:hAnsi="Times New Roman" w:cs="Times New Roman"/>
          <w:sz w:val="24"/>
          <w:szCs w:val="24"/>
        </w:rPr>
      </w:pPr>
    </w:p>
    <w:p w14:paraId="5F7F7F44" w14:textId="77777777" w:rsidR="0098366D" w:rsidRDefault="00000000">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NGO Report on the Examination of the Report of the Government of Japan at the 89th session of the Committee on the Elimination of Discrimination against Women</w:t>
      </w:r>
    </w:p>
    <w:p w14:paraId="3942321D" w14:textId="77777777" w:rsidR="0098366D" w:rsidRPr="00B76BBD" w:rsidRDefault="00000000">
      <w:pPr>
        <w:spacing w:line="276" w:lineRule="auto"/>
        <w:rPr>
          <w:rFonts w:ascii="Times New Roman" w:eastAsia="Times New Roman" w:hAnsi="Times New Roman" w:cs="Times New Roman"/>
          <w:b/>
          <w:sz w:val="32"/>
          <w:szCs w:val="32"/>
        </w:rPr>
      </w:pPr>
      <w:r w:rsidRPr="00B76BBD">
        <w:rPr>
          <w:rFonts w:ascii="Times New Roman" w:eastAsia="Times New Roman" w:hAnsi="Times New Roman" w:cs="Times New Roman"/>
          <w:b/>
          <w:sz w:val="32"/>
          <w:szCs w:val="32"/>
        </w:rPr>
        <w:t>Issues Related to Women and Girls in Ryukyu/Okinawa</w:t>
      </w:r>
    </w:p>
    <w:p w14:paraId="3B895748" w14:textId="77777777" w:rsidR="0098366D" w:rsidRDefault="0098366D">
      <w:pPr>
        <w:spacing w:line="276" w:lineRule="auto"/>
        <w:rPr>
          <w:rFonts w:ascii="Times New Roman" w:eastAsia="Times New Roman" w:hAnsi="Times New Roman" w:cs="Times New Roman"/>
          <w:sz w:val="24"/>
          <w:szCs w:val="24"/>
        </w:rPr>
      </w:pPr>
    </w:p>
    <w:p w14:paraId="1EE62958" w14:textId="77777777" w:rsidR="0098366D" w:rsidRDefault="00000000">
      <w:pPr>
        <w:spacing w:after="28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Contents</w:t>
      </w:r>
    </w:p>
    <w:tbl>
      <w:tblPr>
        <w:tblStyle w:val="afc"/>
        <w:tblW w:w="921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704"/>
        <w:gridCol w:w="4258"/>
        <w:gridCol w:w="992"/>
        <w:gridCol w:w="1559"/>
        <w:gridCol w:w="992"/>
        <w:gridCol w:w="142"/>
        <w:gridCol w:w="567"/>
      </w:tblGrid>
      <w:tr w:rsidR="006178A3" w14:paraId="63A8031E" w14:textId="77777777">
        <w:tc>
          <w:tcPr>
            <w:tcW w:w="4962" w:type="dxa"/>
            <w:gridSpan w:val="2"/>
          </w:tcPr>
          <w:p w14:paraId="7ECCD3AE" w14:textId="77777777" w:rsidR="006178A3" w:rsidRPr="006178A3" w:rsidRDefault="006178A3" w:rsidP="006178A3">
            <w:pPr>
              <w:numPr>
                <w:ilvl w:val="0"/>
                <w:numId w:val="4"/>
              </w:numPr>
              <w:pBdr>
                <w:top w:val="nil"/>
                <w:left w:val="nil"/>
                <w:bottom w:val="nil"/>
                <w:right w:val="nil"/>
                <w:between w:val="nil"/>
              </w:pBdr>
              <w:spacing w:line="276" w:lineRule="auto"/>
              <w:rPr>
                <w:rFonts w:ascii="Times New Roman" w:eastAsia="Times New Roman" w:hAnsi="Times New Roman" w:cs="Times New Roman"/>
                <w:b/>
                <w:bCs/>
                <w:color w:val="000000"/>
                <w:sz w:val="24"/>
                <w:szCs w:val="24"/>
              </w:rPr>
            </w:pPr>
            <w:r w:rsidRPr="006178A3">
              <w:rPr>
                <w:rFonts w:ascii="Times New Roman" w:eastAsia="Times New Roman" w:hAnsi="Times New Roman" w:cs="Times New Roman"/>
                <w:b/>
                <w:bCs/>
                <w:color w:val="000000"/>
                <w:sz w:val="24"/>
                <w:szCs w:val="24"/>
              </w:rPr>
              <w:t>Introduction</w:t>
            </w:r>
          </w:p>
        </w:tc>
        <w:tc>
          <w:tcPr>
            <w:tcW w:w="2551" w:type="dxa"/>
            <w:gridSpan w:val="2"/>
          </w:tcPr>
          <w:p w14:paraId="12E1BBB1" w14:textId="77777777" w:rsidR="006178A3" w:rsidRDefault="006178A3" w:rsidP="006178A3">
            <w:pPr>
              <w:spacing w:line="276" w:lineRule="auto"/>
              <w:rPr>
                <w:rFonts w:ascii="Times New Roman" w:eastAsia="Times New Roman" w:hAnsi="Times New Roman" w:cs="Times New Roman"/>
                <w:color w:val="000000"/>
                <w:sz w:val="24"/>
                <w:szCs w:val="24"/>
              </w:rPr>
            </w:pPr>
          </w:p>
        </w:tc>
        <w:tc>
          <w:tcPr>
            <w:tcW w:w="992" w:type="dxa"/>
          </w:tcPr>
          <w:p w14:paraId="78EA23FA" w14:textId="51B50B60" w:rsidR="006178A3" w:rsidRDefault="00000000" w:rsidP="006178A3">
            <w:pPr>
              <w:spacing w:line="276" w:lineRule="auto"/>
              <w:rPr>
                <w:rFonts w:ascii="Times New Roman" w:eastAsia="Times New Roman" w:hAnsi="Times New Roman" w:cs="Times New Roman"/>
                <w:sz w:val="24"/>
                <w:szCs w:val="24"/>
              </w:rPr>
            </w:pPr>
            <w:sdt>
              <w:sdtPr>
                <w:tag w:val="goog_rdk_2"/>
                <w:id w:val="1392774063"/>
              </w:sdtPr>
              <w:sdtContent>
                <w:r w:rsidR="006178A3">
                  <w:rPr>
                    <w:rFonts w:ascii="ＭＳ 明朝" w:eastAsia="ＭＳ 明朝" w:hAnsi="ＭＳ 明朝" w:cs="ＭＳ 明朝" w:hint="eastAsia"/>
                    <w:sz w:val="24"/>
                    <w:szCs w:val="24"/>
                  </w:rPr>
                  <w:t>・・・</w:t>
                </w:r>
              </w:sdtContent>
            </w:sdt>
          </w:p>
        </w:tc>
        <w:tc>
          <w:tcPr>
            <w:tcW w:w="709" w:type="dxa"/>
            <w:gridSpan w:val="2"/>
          </w:tcPr>
          <w:p w14:paraId="4973343E" w14:textId="77777777" w:rsidR="006178A3" w:rsidRDefault="006178A3" w:rsidP="006178A3">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p.2</w:t>
            </w:r>
          </w:p>
        </w:tc>
      </w:tr>
      <w:tr w:rsidR="006178A3" w14:paraId="3AABDE84" w14:textId="77777777">
        <w:tc>
          <w:tcPr>
            <w:tcW w:w="704" w:type="dxa"/>
          </w:tcPr>
          <w:p w14:paraId="3F8C7283" w14:textId="77777777" w:rsidR="006178A3" w:rsidRDefault="00000000" w:rsidP="006178A3">
            <w:pPr>
              <w:spacing w:line="276" w:lineRule="auto"/>
              <w:rPr>
                <w:rFonts w:ascii="Times New Roman" w:eastAsia="Times New Roman" w:hAnsi="Times New Roman" w:cs="Times New Roman"/>
                <w:color w:val="000000"/>
                <w:sz w:val="24"/>
                <w:szCs w:val="24"/>
              </w:rPr>
            </w:pPr>
            <w:sdt>
              <w:sdtPr>
                <w:tag w:val="goog_rdk_0"/>
                <w:id w:val="1392468564"/>
              </w:sdtPr>
              <w:sdtContent>
                <w:r w:rsidR="006178A3" w:rsidRPr="00E93F74">
                  <w:rPr>
                    <w:rFonts w:ascii="Times New Roman" w:eastAsia="Gungsuh" w:hAnsi="Times New Roman" w:cs="Times New Roman"/>
                    <w:color w:val="000000"/>
                    <w:sz w:val="24"/>
                    <w:szCs w:val="24"/>
                  </w:rPr>
                  <w:t xml:space="preserve">2 </w:t>
                </w:r>
                <w:r w:rsidR="006178A3">
                  <w:rPr>
                    <w:rFonts w:ascii="Gungsuh" w:eastAsia="Gungsuh" w:hAnsi="Gungsuh" w:cs="Gungsuh"/>
                    <w:color w:val="000000"/>
                    <w:sz w:val="24"/>
                    <w:szCs w:val="24"/>
                  </w:rPr>
                  <w:t>．</w:t>
                </w:r>
              </w:sdtContent>
            </w:sdt>
          </w:p>
        </w:tc>
        <w:tc>
          <w:tcPr>
            <w:tcW w:w="5250" w:type="dxa"/>
            <w:gridSpan w:val="2"/>
          </w:tcPr>
          <w:p w14:paraId="0A11D28D" w14:textId="77777777" w:rsidR="006178A3" w:rsidRDefault="006178A3" w:rsidP="006178A3">
            <w:pPr>
              <w:spacing w:line="276"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Issue 1: Gender-based violence against women</w:t>
            </w:r>
          </w:p>
        </w:tc>
        <w:tc>
          <w:tcPr>
            <w:tcW w:w="1559" w:type="dxa"/>
          </w:tcPr>
          <w:p w14:paraId="68C71F39" w14:textId="77777777" w:rsidR="006178A3" w:rsidRPr="006178A3" w:rsidRDefault="006178A3" w:rsidP="006178A3">
            <w:pPr>
              <w:spacing w:line="276" w:lineRule="auto"/>
              <w:rPr>
                <w:rFonts w:ascii="Times New Roman" w:eastAsiaTheme="minorEastAsia" w:hAnsi="Times New Roman" w:cs="Times New Roman"/>
                <w:sz w:val="24"/>
                <w:szCs w:val="24"/>
              </w:rPr>
            </w:pPr>
            <w:r>
              <w:rPr>
                <w:rFonts w:ascii="Times New Roman" w:eastAsia="Times New Roman" w:hAnsi="Times New Roman" w:cs="Times New Roman"/>
                <w:sz w:val="24"/>
                <w:szCs w:val="24"/>
              </w:rPr>
              <w:t>LOI.9</w:t>
            </w:r>
          </w:p>
        </w:tc>
        <w:tc>
          <w:tcPr>
            <w:tcW w:w="992" w:type="dxa"/>
          </w:tcPr>
          <w:p w14:paraId="3A05A9CB" w14:textId="0A281247" w:rsidR="006178A3" w:rsidRDefault="00000000" w:rsidP="006178A3">
            <w:pPr>
              <w:spacing w:line="276" w:lineRule="auto"/>
              <w:rPr>
                <w:rFonts w:ascii="Times New Roman" w:eastAsia="Times New Roman" w:hAnsi="Times New Roman" w:cs="Times New Roman"/>
                <w:sz w:val="24"/>
                <w:szCs w:val="24"/>
              </w:rPr>
            </w:pPr>
            <w:sdt>
              <w:sdtPr>
                <w:tag w:val="goog_rdk_2"/>
                <w:id w:val="2091108736"/>
              </w:sdtPr>
              <w:sdtContent>
                <w:r w:rsidR="006178A3">
                  <w:rPr>
                    <w:rFonts w:ascii="ＭＳ 明朝" w:eastAsia="ＭＳ 明朝" w:hAnsi="ＭＳ 明朝" w:cs="ＭＳ 明朝" w:hint="eastAsia"/>
                    <w:sz w:val="24"/>
                    <w:szCs w:val="24"/>
                  </w:rPr>
                  <w:t>・・・</w:t>
                </w:r>
              </w:sdtContent>
            </w:sdt>
          </w:p>
        </w:tc>
        <w:tc>
          <w:tcPr>
            <w:tcW w:w="709" w:type="dxa"/>
            <w:gridSpan w:val="2"/>
          </w:tcPr>
          <w:p w14:paraId="064FB3A8" w14:textId="77777777" w:rsidR="006178A3" w:rsidRDefault="006178A3" w:rsidP="006178A3">
            <w:pPr>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p.2</w:t>
            </w:r>
          </w:p>
        </w:tc>
      </w:tr>
      <w:tr w:rsidR="0098366D" w14:paraId="1AF2C677" w14:textId="77777777">
        <w:tc>
          <w:tcPr>
            <w:tcW w:w="704" w:type="dxa"/>
          </w:tcPr>
          <w:p w14:paraId="6E84476A" w14:textId="77777777" w:rsidR="0098366D" w:rsidRDefault="00000000">
            <w:pP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7943" w:type="dxa"/>
            <w:gridSpan w:val="5"/>
          </w:tcPr>
          <w:p w14:paraId="63B4A910" w14:textId="77777777" w:rsidR="0098366D" w:rsidRDefault="00000000">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Proposal: Proposed Questions to the Government of Japan</w:t>
            </w:r>
          </w:p>
          <w:p w14:paraId="24C6B8E2" w14:textId="77777777" w:rsidR="0098366D" w:rsidRDefault="00000000">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Rationale for Proposed Question - Prevention of Violence Against Women Based on the WPS Agenda and “Ending Impunity for Perpetrators” </w:t>
            </w:r>
          </w:p>
          <w:p w14:paraId="76AF896B" w14:textId="77777777" w:rsidR="0098366D" w:rsidRDefault="00000000">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Proposal: Draft Recommendations to the Government of Japan </w:t>
            </w:r>
          </w:p>
          <w:p w14:paraId="4737CD79" w14:textId="77777777" w:rsidR="0098366D" w:rsidRDefault="00000000">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Background - The Current Situation of Violence Against Women Arising from U.S. Military bases in Okinawa and Measures for Prevention </w:t>
            </w:r>
          </w:p>
          <w:p w14:paraId="42D281AF" w14:textId="77777777" w:rsidR="0098366D" w:rsidRDefault="00000000">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Recommendations Related to “Gender-Based Violence” in the General Recommendations of the Committee on the Elimination of Discrimination against Women </w:t>
            </w:r>
          </w:p>
          <w:p w14:paraId="20C5F18A" w14:textId="77777777" w:rsidR="0098366D" w:rsidRDefault="00000000">
            <w:pPr>
              <w:numPr>
                <w:ilvl w:val="0"/>
                <w:numId w:val="1"/>
              </w:numPr>
              <w:pBdr>
                <w:top w:val="nil"/>
                <w:left w:val="nil"/>
                <w:bottom w:val="nil"/>
                <w:right w:val="nil"/>
                <w:between w:val="nil"/>
              </w:pBdr>
              <w:spacing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Recommendations from International Human Rights Treaty Bodies Regarding Minority Women, Okinawa, and U.S. Military Bases in Okinawa.</w:t>
            </w:r>
          </w:p>
        </w:tc>
        <w:tc>
          <w:tcPr>
            <w:tcW w:w="567" w:type="dxa"/>
          </w:tcPr>
          <w:p w14:paraId="2C11724C" w14:textId="77777777" w:rsidR="0098366D" w:rsidRPr="003E5778" w:rsidRDefault="003E5778">
            <w:pPr>
              <w:spacing w:line="276" w:lineRule="auto"/>
              <w:rPr>
                <w:rFonts w:ascii="Times New Roman" w:eastAsiaTheme="minorEastAsia" w:hAnsi="Times New Roman" w:cs="Times New Roman"/>
                <w:sz w:val="24"/>
                <w:szCs w:val="24"/>
              </w:rPr>
            </w:pPr>
            <w:r w:rsidRPr="003E5778">
              <w:rPr>
                <w:rFonts w:ascii="Times New Roman" w:eastAsiaTheme="minorEastAsia" w:hAnsi="Times New Roman" w:cs="Times New Roman" w:hint="eastAsia"/>
                <w:sz w:val="24"/>
                <w:szCs w:val="24"/>
              </w:rPr>
              <w:t>p.2</w:t>
            </w:r>
          </w:p>
          <w:p w14:paraId="2007E96F" w14:textId="77777777" w:rsidR="003E5778" w:rsidRPr="003E5778" w:rsidRDefault="003E5778">
            <w:pPr>
              <w:spacing w:line="276" w:lineRule="auto"/>
              <w:rPr>
                <w:rFonts w:ascii="Times New Roman" w:eastAsiaTheme="minorEastAsia" w:hAnsi="Times New Roman" w:cs="Times New Roman"/>
                <w:sz w:val="24"/>
                <w:szCs w:val="24"/>
              </w:rPr>
            </w:pPr>
            <w:r w:rsidRPr="003E5778">
              <w:rPr>
                <w:rFonts w:ascii="Times New Roman" w:eastAsiaTheme="minorEastAsia" w:hAnsi="Times New Roman" w:cs="Times New Roman" w:hint="eastAsia"/>
                <w:sz w:val="24"/>
                <w:szCs w:val="24"/>
              </w:rPr>
              <w:t>p.3</w:t>
            </w:r>
          </w:p>
          <w:p w14:paraId="241F56F9" w14:textId="77777777" w:rsidR="003E5778" w:rsidRPr="003E5778" w:rsidRDefault="003E5778">
            <w:pPr>
              <w:spacing w:line="276" w:lineRule="auto"/>
              <w:rPr>
                <w:rFonts w:ascii="Times New Roman" w:eastAsiaTheme="minorEastAsia" w:hAnsi="Times New Roman" w:cs="Times New Roman"/>
                <w:sz w:val="24"/>
                <w:szCs w:val="24"/>
              </w:rPr>
            </w:pPr>
          </w:p>
          <w:p w14:paraId="63B31C71" w14:textId="77777777" w:rsidR="003E5778" w:rsidRPr="003E5778" w:rsidRDefault="003E5778">
            <w:pPr>
              <w:spacing w:line="276" w:lineRule="auto"/>
              <w:rPr>
                <w:rFonts w:ascii="Times New Roman" w:eastAsiaTheme="minorEastAsia" w:hAnsi="Times New Roman" w:cs="Times New Roman"/>
                <w:sz w:val="24"/>
                <w:szCs w:val="24"/>
              </w:rPr>
            </w:pPr>
            <w:r w:rsidRPr="003E5778">
              <w:rPr>
                <w:rFonts w:ascii="Times New Roman" w:eastAsiaTheme="minorEastAsia" w:hAnsi="Times New Roman" w:cs="Times New Roman" w:hint="eastAsia"/>
                <w:sz w:val="24"/>
                <w:szCs w:val="24"/>
              </w:rPr>
              <w:t>p.4</w:t>
            </w:r>
          </w:p>
          <w:p w14:paraId="32D22EAC" w14:textId="77777777" w:rsidR="003E5778" w:rsidRPr="003E5778" w:rsidRDefault="003E5778">
            <w:pPr>
              <w:spacing w:line="276" w:lineRule="auto"/>
              <w:rPr>
                <w:rFonts w:ascii="Times New Roman" w:eastAsiaTheme="minorEastAsia" w:hAnsi="Times New Roman" w:cs="Times New Roman"/>
                <w:sz w:val="24"/>
                <w:szCs w:val="24"/>
              </w:rPr>
            </w:pPr>
            <w:r w:rsidRPr="003E5778">
              <w:rPr>
                <w:rFonts w:ascii="Times New Roman" w:eastAsiaTheme="minorEastAsia" w:hAnsi="Times New Roman" w:cs="Times New Roman" w:hint="eastAsia"/>
                <w:sz w:val="24"/>
                <w:szCs w:val="24"/>
              </w:rPr>
              <w:t>p.4</w:t>
            </w:r>
          </w:p>
          <w:p w14:paraId="16931A36" w14:textId="77777777" w:rsidR="003E5778" w:rsidRDefault="003E5778">
            <w:pPr>
              <w:spacing w:line="276" w:lineRule="auto"/>
              <w:rPr>
                <w:rFonts w:ascii="Times New Roman" w:eastAsiaTheme="minorEastAsia" w:hAnsi="Times New Roman" w:cs="Times New Roman"/>
                <w:sz w:val="24"/>
                <w:szCs w:val="24"/>
              </w:rPr>
            </w:pPr>
          </w:p>
          <w:p w14:paraId="16E1C6D8" w14:textId="77777777" w:rsidR="003E5778" w:rsidRDefault="003E5778">
            <w:pPr>
              <w:spacing w:line="276" w:lineRule="auto"/>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p.7</w:t>
            </w:r>
          </w:p>
          <w:p w14:paraId="0E5FF7DF" w14:textId="77777777" w:rsidR="003E5778" w:rsidRDefault="003E5778">
            <w:pPr>
              <w:spacing w:line="276" w:lineRule="auto"/>
              <w:rPr>
                <w:rFonts w:ascii="Times New Roman" w:eastAsiaTheme="minorEastAsia" w:hAnsi="Times New Roman" w:cs="Times New Roman"/>
                <w:sz w:val="24"/>
                <w:szCs w:val="24"/>
              </w:rPr>
            </w:pPr>
          </w:p>
          <w:p w14:paraId="3DF46E7F" w14:textId="77777777" w:rsidR="003E5778" w:rsidRDefault="003E5778">
            <w:pPr>
              <w:spacing w:line="276" w:lineRule="auto"/>
              <w:rPr>
                <w:rFonts w:ascii="Times New Roman" w:eastAsiaTheme="minorEastAsia" w:hAnsi="Times New Roman" w:cs="Times New Roman"/>
                <w:sz w:val="24"/>
                <w:szCs w:val="24"/>
              </w:rPr>
            </w:pPr>
          </w:p>
          <w:p w14:paraId="64D0023D" w14:textId="534A6553" w:rsidR="003E5778" w:rsidRPr="003E5778" w:rsidRDefault="003E5778">
            <w:pPr>
              <w:spacing w:line="276" w:lineRule="auto"/>
              <w:rPr>
                <w:rFonts w:ascii="Times New Roman" w:eastAsiaTheme="minorEastAsia" w:hAnsi="Times New Roman" w:cs="Times New Roman" w:hint="eastAsia"/>
                <w:sz w:val="24"/>
                <w:szCs w:val="24"/>
              </w:rPr>
            </w:pPr>
            <w:r>
              <w:rPr>
                <w:rFonts w:ascii="Times New Roman" w:eastAsiaTheme="minorEastAsia" w:hAnsi="Times New Roman" w:cs="Times New Roman" w:hint="eastAsia"/>
                <w:sz w:val="24"/>
                <w:szCs w:val="24"/>
              </w:rPr>
              <w:t>p.9</w:t>
            </w:r>
          </w:p>
        </w:tc>
      </w:tr>
      <w:tr w:rsidR="00094C9D" w14:paraId="25D5F659" w14:textId="77777777" w:rsidTr="00A243C2">
        <w:tc>
          <w:tcPr>
            <w:tcW w:w="704" w:type="dxa"/>
          </w:tcPr>
          <w:p w14:paraId="1D981D84" w14:textId="174C674B" w:rsidR="00094C9D" w:rsidRDefault="00000000" w:rsidP="00A243C2">
            <w:pPr>
              <w:spacing w:line="276" w:lineRule="auto"/>
              <w:rPr>
                <w:rFonts w:ascii="Times New Roman" w:eastAsia="Times New Roman" w:hAnsi="Times New Roman" w:cs="Times New Roman"/>
                <w:color w:val="000000"/>
                <w:sz w:val="24"/>
                <w:szCs w:val="24"/>
              </w:rPr>
            </w:pPr>
            <w:sdt>
              <w:sdtPr>
                <w:tag w:val="goog_rdk_0"/>
                <w:id w:val="122664355"/>
              </w:sdtPr>
              <w:sdtContent>
                <w:r w:rsidR="00094C9D">
                  <w:rPr>
                    <w:rFonts w:ascii="Times New Roman" w:eastAsiaTheme="minorEastAsia" w:hAnsi="Times New Roman" w:cs="Times New Roman" w:hint="eastAsia"/>
                    <w:color w:val="000000"/>
                    <w:sz w:val="24"/>
                    <w:szCs w:val="24"/>
                  </w:rPr>
                  <w:t>3</w:t>
                </w:r>
                <w:r w:rsidR="00094C9D" w:rsidRPr="00E93F74">
                  <w:rPr>
                    <w:rFonts w:ascii="Times New Roman" w:eastAsia="Gungsuh" w:hAnsi="Times New Roman" w:cs="Times New Roman"/>
                    <w:color w:val="000000"/>
                    <w:sz w:val="24"/>
                    <w:szCs w:val="24"/>
                  </w:rPr>
                  <w:t xml:space="preserve"> </w:t>
                </w:r>
                <w:r w:rsidR="00094C9D">
                  <w:rPr>
                    <w:rFonts w:ascii="Gungsuh" w:eastAsia="Gungsuh" w:hAnsi="Gungsuh" w:cs="Gungsuh"/>
                    <w:color w:val="000000"/>
                    <w:sz w:val="24"/>
                    <w:szCs w:val="24"/>
                  </w:rPr>
                  <w:t>．</w:t>
                </w:r>
              </w:sdtContent>
            </w:sdt>
          </w:p>
        </w:tc>
        <w:tc>
          <w:tcPr>
            <w:tcW w:w="5250" w:type="dxa"/>
            <w:gridSpan w:val="2"/>
          </w:tcPr>
          <w:p w14:paraId="6FB10207" w14:textId="5C50937B" w:rsidR="00094C9D" w:rsidRPr="00094C9D" w:rsidRDefault="00094C9D" w:rsidP="00A243C2">
            <w:pPr>
              <w:spacing w:line="276" w:lineRule="auto"/>
              <w:rPr>
                <w:rFonts w:ascii="Times New Roman" w:eastAsiaTheme="minorEastAsia" w:hAnsi="Times New Roman" w:cs="Times New Roman"/>
                <w:b/>
                <w:color w:val="000000"/>
                <w:sz w:val="24"/>
                <w:szCs w:val="24"/>
              </w:rPr>
            </w:pPr>
            <w:r>
              <w:rPr>
                <w:rFonts w:ascii="Times New Roman" w:eastAsia="Times New Roman" w:hAnsi="Times New Roman" w:cs="Times New Roman"/>
                <w:b/>
                <w:color w:val="000000"/>
                <w:sz w:val="24"/>
                <w:szCs w:val="24"/>
              </w:rPr>
              <w:t xml:space="preserve">Issue </w:t>
            </w:r>
            <w:r>
              <w:rPr>
                <w:rFonts w:ascii="Times New Roman" w:eastAsiaTheme="minorEastAsia" w:hAnsi="Times New Roman" w:cs="Times New Roman" w:hint="eastAsia"/>
                <w:b/>
                <w:color w:val="000000"/>
                <w:sz w:val="24"/>
                <w:szCs w:val="24"/>
              </w:rPr>
              <w:t>2</w:t>
            </w:r>
            <w:r>
              <w:rPr>
                <w:rFonts w:ascii="Times New Roman" w:eastAsia="Times New Roman" w:hAnsi="Times New Roman" w:cs="Times New Roman"/>
                <w:b/>
                <w:color w:val="000000"/>
                <w:sz w:val="24"/>
                <w:szCs w:val="24"/>
              </w:rPr>
              <w:t xml:space="preserve">: </w:t>
            </w:r>
            <w:r>
              <w:rPr>
                <w:rFonts w:ascii="Times New Roman" w:eastAsiaTheme="minorEastAsia" w:hAnsi="Times New Roman" w:cs="Times New Roman" w:hint="eastAsia"/>
                <w:b/>
                <w:color w:val="000000"/>
                <w:sz w:val="24"/>
                <w:szCs w:val="24"/>
              </w:rPr>
              <w:t>Economic and Social Benefits</w:t>
            </w:r>
          </w:p>
        </w:tc>
        <w:tc>
          <w:tcPr>
            <w:tcW w:w="1559" w:type="dxa"/>
          </w:tcPr>
          <w:p w14:paraId="74A7C5C5" w14:textId="689E865C" w:rsidR="00094C9D" w:rsidRPr="00094C9D" w:rsidRDefault="00094C9D" w:rsidP="00A243C2">
            <w:pPr>
              <w:spacing w:line="276" w:lineRule="auto"/>
              <w:rPr>
                <w:rFonts w:ascii="Times New Roman" w:eastAsiaTheme="minorEastAsia" w:hAnsi="Times New Roman" w:cs="Times New Roman"/>
                <w:sz w:val="24"/>
                <w:szCs w:val="24"/>
              </w:rPr>
            </w:pPr>
            <w:r>
              <w:rPr>
                <w:rFonts w:ascii="Times New Roman" w:eastAsia="Times New Roman" w:hAnsi="Times New Roman" w:cs="Times New Roman"/>
                <w:sz w:val="24"/>
                <w:szCs w:val="24"/>
              </w:rPr>
              <w:t>LOI.</w:t>
            </w:r>
            <w:r>
              <w:rPr>
                <w:rFonts w:ascii="Times New Roman" w:eastAsiaTheme="minorEastAsia" w:hAnsi="Times New Roman" w:cs="Times New Roman" w:hint="eastAsia"/>
                <w:sz w:val="24"/>
                <w:szCs w:val="24"/>
              </w:rPr>
              <w:t>22</w:t>
            </w:r>
          </w:p>
        </w:tc>
        <w:tc>
          <w:tcPr>
            <w:tcW w:w="992" w:type="dxa"/>
          </w:tcPr>
          <w:p w14:paraId="635B00E3" w14:textId="77777777" w:rsidR="00094C9D" w:rsidRDefault="00000000" w:rsidP="00A243C2">
            <w:pPr>
              <w:spacing w:line="276" w:lineRule="auto"/>
              <w:rPr>
                <w:rFonts w:ascii="Times New Roman" w:eastAsia="Times New Roman" w:hAnsi="Times New Roman" w:cs="Times New Roman"/>
                <w:sz w:val="24"/>
                <w:szCs w:val="24"/>
              </w:rPr>
            </w:pPr>
            <w:sdt>
              <w:sdtPr>
                <w:tag w:val="goog_rdk_2"/>
                <w:id w:val="-1538198280"/>
              </w:sdtPr>
              <w:sdtContent>
                <w:r w:rsidR="00094C9D">
                  <w:rPr>
                    <w:rFonts w:ascii="ＭＳ 明朝" w:eastAsia="ＭＳ 明朝" w:hAnsi="ＭＳ 明朝" w:cs="ＭＳ 明朝" w:hint="eastAsia"/>
                    <w:sz w:val="24"/>
                    <w:szCs w:val="24"/>
                  </w:rPr>
                  <w:t>・・・</w:t>
                </w:r>
              </w:sdtContent>
            </w:sdt>
          </w:p>
        </w:tc>
        <w:tc>
          <w:tcPr>
            <w:tcW w:w="709" w:type="dxa"/>
            <w:gridSpan w:val="2"/>
          </w:tcPr>
          <w:p w14:paraId="353DFB14" w14:textId="2543EC21" w:rsidR="00094C9D" w:rsidRPr="00094C9D" w:rsidRDefault="00094C9D" w:rsidP="00A243C2">
            <w:pPr>
              <w:spacing w:line="276" w:lineRule="auto"/>
              <w:rPr>
                <w:rFonts w:ascii="Times New Roman" w:eastAsiaTheme="minorEastAsia" w:hAnsi="Times New Roman" w:cs="Times New Roman"/>
                <w:sz w:val="24"/>
                <w:szCs w:val="24"/>
              </w:rPr>
            </w:pPr>
            <w:r>
              <w:rPr>
                <w:rFonts w:ascii="Times New Roman" w:eastAsia="Times New Roman" w:hAnsi="Times New Roman" w:cs="Times New Roman"/>
                <w:sz w:val="24"/>
                <w:szCs w:val="24"/>
              </w:rPr>
              <w:t>p.</w:t>
            </w:r>
            <w:r>
              <w:rPr>
                <w:rFonts w:ascii="Times New Roman" w:eastAsiaTheme="minorEastAsia" w:hAnsi="Times New Roman" w:cs="Times New Roman" w:hint="eastAsia"/>
                <w:sz w:val="24"/>
                <w:szCs w:val="24"/>
              </w:rPr>
              <w:t>11</w:t>
            </w:r>
          </w:p>
        </w:tc>
      </w:tr>
      <w:tr w:rsidR="006178A3" w14:paraId="3C1532BF" w14:textId="77777777" w:rsidTr="00C674D1">
        <w:tc>
          <w:tcPr>
            <w:tcW w:w="704" w:type="dxa"/>
          </w:tcPr>
          <w:p w14:paraId="0FB0D238" w14:textId="77777777" w:rsidR="006178A3" w:rsidRPr="00E93F74" w:rsidRDefault="006178A3">
            <w:pPr>
              <w:spacing w:line="276" w:lineRule="auto"/>
              <w:rPr>
                <w:rFonts w:ascii="Times New Roman" w:eastAsia="Gungsuh" w:hAnsi="Times New Roman" w:cs="Times New Roman"/>
                <w:color w:val="000000"/>
                <w:sz w:val="24"/>
                <w:szCs w:val="24"/>
              </w:rPr>
            </w:pPr>
          </w:p>
        </w:tc>
        <w:tc>
          <w:tcPr>
            <w:tcW w:w="7801" w:type="dxa"/>
            <w:gridSpan w:val="4"/>
          </w:tcPr>
          <w:p w14:paraId="4F02EB71" w14:textId="77777777" w:rsidR="003E5778" w:rsidRDefault="006178A3" w:rsidP="003E5778">
            <w:pPr>
              <w:pStyle w:val="a9"/>
              <w:numPr>
                <w:ilvl w:val="1"/>
                <w:numId w:val="1"/>
              </w:numPr>
              <w:spacing w:after="280" w:line="276" w:lineRule="auto"/>
              <w:ind w:left="465" w:hanging="465"/>
              <w:rPr>
                <w:rFonts w:ascii="Times New Roman" w:eastAsiaTheme="minorEastAsia" w:hAnsi="Times New Roman" w:cs="Times New Roman"/>
                <w:color w:val="000000"/>
                <w:sz w:val="24"/>
                <w:szCs w:val="24"/>
              </w:rPr>
            </w:pPr>
            <w:r w:rsidRPr="003E5778">
              <w:rPr>
                <w:rFonts w:ascii="Times New Roman" w:eastAsia="Times New Roman" w:hAnsi="Times New Roman" w:cs="Times New Roman"/>
                <w:color w:val="000000"/>
                <w:sz w:val="24"/>
                <w:szCs w:val="24"/>
              </w:rPr>
              <w:t xml:space="preserve">Proposal: Proposed Questions to the Government of Japan </w:t>
            </w:r>
          </w:p>
          <w:p w14:paraId="22B646B0" w14:textId="79DF6552" w:rsidR="003E5778" w:rsidRDefault="006178A3" w:rsidP="003E5778">
            <w:pPr>
              <w:pStyle w:val="a9"/>
              <w:numPr>
                <w:ilvl w:val="1"/>
                <w:numId w:val="1"/>
              </w:numPr>
              <w:spacing w:after="280" w:line="276" w:lineRule="auto"/>
              <w:ind w:left="465" w:hanging="465"/>
              <w:rPr>
                <w:rFonts w:ascii="Times New Roman" w:eastAsiaTheme="minorEastAsia" w:hAnsi="Times New Roman" w:cs="Times New Roman"/>
                <w:color w:val="000000"/>
                <w:sz w:val="24"/>
                <w:szCs w:val="24"/>
              </w:rPr>
            </w:pPr>
            <w:r w:rsidRPr="003E5778">
              <w:rPr>
                <w:rFonts w:ascii="Times New Roman" w:eastAsia="Times New Roman" w:hAnsi="Times New Roman" w:cs="Times New Roman"/>
                <w:color w:val="000000"/>
                <w:sz w:val="24"/>
                <w:szCs w:val="24"/>
              </w:rPr>
              <w:t>Rationale for Proposed Questions - 27 Years of U.S. Military Rule after the World War II</w:t>
            </w:r>
          </w:p>
          <w:p w14:paraId="691DA848" w14:textId="767B790A" w:rsidR="006178A3" w:rsidRPr="003E5778" w:rsidRDefault="006178A3" w:rsidP="003E5778">
            <w:pPr>
              <w:pStyle w:val="a9"/>
              <w:numPr>
                <w:ilvl w:val="1"/>
                <w:numId w:val="1"/>
              </w:numPr>
              <w:spacing w:after="280" w:line="276" w:lineRule="auto"/>
              <w:ind w:left="465" w:hanging="465"/>
              <w:rPr>
                <w:rFonts w:ascii="Times New Roman" w:eastAsiaTheme="minorEastAsia" w:hAnsi="Times New Roman" w:cs="Times New Roman"/>
                <w:color w:val="000000"/>
                <w:sz w:val="24"/>
                <w:szCs w:val="24"/>
              </w:rPr>
            </w:pPr>
            <w:r w:rsidRPr="003E5778">
              <w:rPr>
                <w:rFonts w:ascii="Times New Roman" w:eastAsia="Times New Roman" w:hAnsi="Times New Roman" w:cs="Times New Roman"/>
                <w:color w:val="000000"/>
                <w:sz w:val="24"/>
                <w:szCs w:val="24"/>
              </w:rPr>
              <w:t>Proposal: Draft Recommendations to the Government of Japan</w:t>
            </w:r>
          </w:p>
        </w:tc>
        <w:tc>
          <w:tcPr>
            <w:tcW w:w="709" w:type="dxa"/>
            <w:gridSpan w:val="2"/>
          </w:tcPr>
          <w:p w14:paraId="7D38C583" w14:textId="77777777" w:rsidR="006178A3" w:rsidRDefault="003E5778" w:rsidP="003E5778">
            <w:pPr>
              <w:spacing w:line="276" w:lineRule="auto"/>
              <w:jc w:val="right"/>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p.11</w:t>
            </w:r>
          </w:p>
          <w:p w14:paraId="7B828BBD" w14:textId="77777777" w:rsidR="003E5778" w:rsidRDefault="003E5778" w:rsidP="003E5778">
            <w:pPr>
              <w:spacing w:line="276" w:lineRule="auto"/>
              <w:jc w:val="right"/>
              <w:rPr>
                <w:rFonts w:ascii="Times New Roman" w:eastAsiaTheme="minorEastAsia" w:hAnsi="Times New Roman" w:cs="Times New Roman"/>
                <w:sz w:val="24"/>
                <w:szCs w:val="24"/>
              </w:rPr>
            </w:pPr>
            <w:r>
              <w:rPr>
                <w:rFonts w:ascii="Times New Roman" w:eastAsiaTheme="minorEastAsia" w:hAnsi="Times New Roman" w:cs="Times New Roman" w:hint="eastAsia"/>
                <w:sz w:val="24"/>
                <w:szCs w:val="24"/>
              </w:rPr>
              <w:t>p.12</w:t>
            </w:r>
          </w:p>
          <w:p w14:paraId="228F1A03" w14:textId="77777777" w:rsidR="003E5778" w:rsidRDefault="003E5778" w:rsidP="003E5778">
            <w:pPr>
              <w:spacing w:line="276" w:lineRule="auto"/>
              <w:jc w:val="right"/>
              <w:rPr>
                <w:rFonts w:ascii="Times New Roman" w:eastAsiaTheme="minorEastAsia" w:hAnsi="Times New Roman" w:cs="Times New Roman"/>
                <w:sz w:val="24"/>
                <w:szCs w:val="24"/>
              </w:rPr>
            </w:pPr>
          </w:p>
          <w:p w14:paraId="31CDB7E9" w14:textId="191A572D" w:rsidR="003E5778" w:rsidRPr="003E5778" w:rsidRDefault="003E5778" w:rsidP="003E5778">
            <w:pPr>
              <w:spacing w:line="276" w:lineRule="auto"/>
              <w:jc w:val="right"/>
              <w:rPr>
                <w:rFonts w:ascii="Times New Roman" w:eastAsiaTheme="minorEastAsia" w:hAnsi="Times New Roman" w:cs="Times New Roman" w:hint="eastAsia"/>
                <w:sz w:val="24"/>
                <w:szCs w:val="24"/>
              </w:rPr>
            </w:pPr>
            <w:r>
              <w:rPr>
                <w:rFonts w:ascii="Times New Roman" w:eastAsiaTheme="minorEastAsia" w:hAnsi="Times New Roman" w:cs="Times New Roman" w:hint="eastAsia"/>
                <w:sz w:val="24"/>
                <w:szCs w:val="24"/>
              </w:rPr>
              <w:t>p.13</w:t>
            </w:r>
          </w:p>
        </w:tc>
      </w:tr>
    </w:tbl>
    <w:p w14:paraId="095F400F" w14:textId="77777777" w:rsidR="0098366D" w:rsidRPr="00094C9D" w:rsidRDefault="0098366D">
      <w:pPr>
        <w:spacing w:line="276" w:lineRule="auto"/>
        <w:rPr>
          <w:rFonts w:ascii="Times New Roman" w:eastAsia="Times New Roman" w:hAnsi="Times New Roman" w:cs="Times New Roman"/>
          <w:sz w:val="24"/>
          <w:szCs w:val="24"/>
        </w:rPr>
      </w:pPr>
    </w:p>
    <w:p w14:paraId="159EFF41" w14:textId="3E77636E" w:rsidR="0098366D" w:rsidRDefault="00000000">
      <w:pPr>
        <w:spacing w:line="276" w:lineRule="auto"/>
        <w:rPr>
          <w:rFonts w:ascii="Times New Roman" w:eastAsia="Times New Roman" w:hAnsi="Times New Roman" w:cs="Times New Roman"/>
          <w:b/>
          <w:sz w:val="24"/>
          <w:szCs w:val="24"/>
        </w:rPr>
      </w:pPr>
      <w:r>
        <w:br w:type="page"/>
      </w:r>
    </w:p>
    <w:p w14:paraId="0FB32986" w14:textId="77777777" w:rsidR="0098366D" w:rsidRPr="006178A3" w:rsidRDefault="00000000" w:rsidP="00E93F74">
      <w:pPr>
        <w:spacing w:line="276" w:lineRule="auto"/>
        <w:jc w:val="both"/>
        <w:rPr>
          <w:rFonts w:ascii="Times New Roman" w:eastAsia="Times New Roman" w:hAnsi="Times New Roman" w:cs="Times New Roman"/>
          <w:b/>
          <w:sz w:val="24"/>
          <w:szCs w:val="24"/>
        </w:rPr>
      </w:pPr>
      <w:r w:rsidRPr="006178A3">
        <w:rPr>
          <w:rFonts w:ascii="Times New Roman" w:eastAsia="Times New Roman" w:hAnsi="Times New Roman" w:cs="Times New Roman"/>
          <w:b/>
          <w:sz w:val="24"/>
          <w:szCs w:val="24"/>
        </w:rPr>
        <w:lastRenderedPageBreak/>
        <w:t>1. Introduction</w:t>
      </w:r>
    </w:p>
    <w:p w14:paraId="674CA30A" w14:textId="34CDCBBC" w:rsidR="0098366D" w:rsidRPr="00E93F74" w:rsidRDefault="006178A3" w:rsidP="00E93F74">
      <w:pPr>
        <w:spacing w:line="276" w:lineRule="auto"/>
        <w:jc w:val="both"/>
        <w:rPr>
          <w:rFonts w:ascii="Times New Roman" w:eastAsia="Times New Roman" w:hAnsi="Times New Roman" w:cs="Times New Roman"/>
          <w:sz w:val="22"/>
          <w:szCs w:val="22"/>
        </w:rPr>
      </w:pPr>
      <w:r>
        <w:rPr>
          <w:rFonts w:ascii="Times New Roman" w:eastAsiaTheme="minorEastAsia" w:hAnsi="Times New Roman" w:cs="Times New Roman"/>
          <w:sz w:val="22"/>
          <w:szCs w:val="22"/>
        </w:rPr>
        <w:br/>
      </w:r>
      <w:r w:rsidRPr="00E93F74">
        <w:rPr>
          <w:rFonts w:ascii="Times New Roman" w:eastAsia="Times New Roman" w:hAnsi="Times New Roman" w:cs="Times New Roman"/>
          <w:sz w:val="22"/>
          <w:szCs w:val="22"/>
        </w:rPr>
        <w:t>(1) Okinawa, now one of the 47 prefectures (administrative regions) in Japan, was once a country called the Kingdom of Ryukyu which was annexed by Japan in 1879 (Ryukyu Disposition). Following the annexation, its languages and culture were banned by the Imperialization policy of the Government of Japan, while the militarization policy led to the expropriation of its land and environmental degradation.</w:t>
      </w:r>
      <w:r w:rsidRPr="00E93F74">
        <w:rPr>
          <w:rFonts w:ascii="Times New Roman" w:eastAsia="Times New Roman" w:hAnsi="Times New Roman" w:cs="Times New Roman"/>
          <w:sz w:val="22"/>
          <w:szCs w:val="22"/>
          <w:u w:val="single"/>
          <w:vertAlign w:val="superscript"/>
        </w:rPr>
        <w:t>[1]</w:t>
      </w:r>
      <w:r w:rsidRPr="00E93F74">
        <w:rPr>
          <w:rFonts w:ascii="Times New Roman" w:eastAsia="Times New Roman" w:hAnsi="Times New Roman" w:cs="Times New Roman"/>
          <w:sz w:val="22"/>
          <w:szCs w:val="22"/>
        </w:rPr>
        <w:t xml:space="preserve"> At the end of the Pacific War, the islands of Okinawa became the battle fields between the Japanese and U.S. forces. During this battle, approximately a quarter of the Okinawan population lost their lives. The islands had been occupied and placed under U.S. military control until they were returned to Japan in 1972. During the U.S. military occupation, substantial portions of its territory were requisitioned for the construction of the U.S. military bases. Even after the reversion to Japan, the burden of U.S. military bases has not decreased, and currently about 70% of the facilities and areas designated for the exclusive use of U.S. Forces in Japan are concentrated in Okinawa Prefecture, the small islands prefecture that accounts for only about 0.6% of Japan's land area. In recent years, the deployment of Japan's Self-Defense Forces (SDF) to Okinawa has also expanded rapidly, intensifying a discriminatory situation that has continued for 78 years since the end of World War II, in which numerous problems stemming from militarization has been disproportionately imposed on Okinawa.</w:t>
      </w:r>
    </w:p>
    <w:p w14:paraId="1CAD9203" w14:textId="394CF385" w:rsidR="0098366D" w:rsidRPr="00E93F74" w:rsidRDefault="00000000" w:rsidP="00E93F74">
      <w:pPr>
        <w:spacing w:line="276" w:lineRule="auto"/>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w:t>
      </w:r>
      <w:r w:rsidR="00EF6A39">
        <w:rPr>
          <w:rFonts w:ascii="Times New Roman" w:eastAsiaTheme="minorEastAsia" w:hAnsi="Times New Roman" w:cs="Times New Roman" w:hint="eastAsia"/>
          <w:sz w:val="22"/>
          <w:szCs w:val="22"/>
        </w:rPr>
        <w:t>2</w:t>
      </w:r>
      <w:r w:rsidRPr="00E93F74">
        <w:rPr>
          <w:rFonts w:ascii="Times New Roman" w:eastAsia="Times New Roman" w:hAnsi="Times New Roman" w:cs="Times New Roman"/>
          <w:sz w:val="22"/>
          <w:szCs w:val="22"/>
        </w:rPr>
        <w:t>) Our group focuses on women and girls with roots in the Ryukyu/Okinawa region, which has a different historical and political background compared to mainland Japan, and we are focusing on issues related to human rights violations against them.</w:t>
      </w:r>
    </w:p>
    <w:p w14:paraId="49C7488B" w14:textId="6E0CFCBC" w:rsidR="0098366D" w:rsidRPr="00E93F74" w:rsidRDefault="00000000" w:rsidP="00E93F74">
      <w:pPr>
        <w:spacing w:line="276" w:lineRule="auto"/>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w:t>
      </w:r>
      <w:r w:rsidR="00EF6A39">
        <w:rPr>
          <w:rFonts w:ascii="Times New Roman" w:eastAsiaTheme="minorEastAsia" w:hAnsi="Times New Roman" w:cs="Times New Roman" w:hint="eastAsia"/>
          <w:sz w:val="22"/>
          <w:szCs w:val="22"/>
        </w:rPr>
        <w:t>3</w:t>
      </w:r>
      <w:r w:rsidRPr="00E93F74">
        <w:rPr>
          <w:rFonts w:ascii="Times New Roman" w:eastAsia="Times New Roman" w:hAnsi="Times New Roman" w:cs="Times New Roman"/>
          <w:sz w:val="22"/>
          <w:szCs w:val="22"/>
        </w:rPr>
        <w:t>) This report will primarily address gender-based sexual violence stemming from the U.S. military presence in Okinawa, as well as discrimination issues affecting women and girls in the Ryukyu/Okinawa region.</w:t>
      </w:r>
    </w:p>
    <w:p w14:paraId="7D36D2F6"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3B4818BC" w14:textId="12FE2736" w:rsidR="0098366D" w:rsidRPr="00E93F74" w:rsidRDefault="00000000" w:rsidP="00E93F74">
      <w:pPr>
        <w:spacing w:line="276" w:lineRule="auto"/>
        <w:jc w:val="both"/>
        <w:rPr>
          <w:rFonts w:ascii="Times New Roman" w:eastAsia="Times New Roman" w:hAnsi="Times New Roman" w:cs="Times New Roman"/>
          <w:b/>
          <w:sz w:val="22"/>
          <w:szCs w:val="22"/>
        </w:rPr>
      </w:pPr>
      <w:r w:rsidRPr="006178A3">
        <w:rPr>
          <w:rFonts w:ascii="Times New Roman" w:eastAsia="Times New Roman" w:hAnsi="Times New Roman" w:cs="Times New Roman"/>
          <w:b/>
          <w:sz w:val="24"/>
          <w:szCs w:val="24"/>
        </w:rPr>
        <w:t xml:space="preserve">2. </w:t>
      </w:r>
      <w:r w:rsidR="00E93F74" w:rsidRPr="006178A3">
        <w:rPr>
          <w:rFonts w:ascii="Times New Roman" w:eastAsia="Times New Roman" w:hAnsi="Times New Roman" w:cs="Times New Roman"/>
          <w:b/>
          <w:color w:val="000000"/>
          <w:sz w:val="28"/>
          <w:szCs w:val="28"/>
        </w:rPr>
        <w:t xml:space="preserve">Issue 1: </w:t>
      </w:r>
      <w:r w:rsidRPr="006178A3">
        <w:rPr>
          <w:rFonts w:ascii="Times New Roman" w:eastAsia="Times New Roman" w:hAnsi="Times New Roman" w:cs="Times New Roman"/>
          <w:b/>
          <w:sz w:val="24"/>
          <w:szCs w:val="24"/>
        </w:rPr>
        <w:t>Gender-based violence against women</w:t>
      </w:r>
    </w:p>
    <w:p w14:paraId="57E9B764"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3C2D6207"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List of issues LOI 9. Gender-based violence against women</w:t>
      </w:r>
    </w:p>
    <w:p w14:paraId="34167332" w14:textId="77777777" w:rsidR="0098366D" w:rsidRPr="00E93F74" w:rsidRDefault="0098366D" w:rsidP="00E93F74">
      <w:pPr>
        <w:spacing w:line="276" w:lineRule="auto"/>
        <w:jc w:val="both"/>
        <w:rPr>
          <w:rFonts w:ascii="Times New Roman" w:eastAsia="Times New Roman" w:hAnsi="Times New Roman" w:cs="Times New Roman"/>
          <w:b/>
          <w:sz w:val="22"/>
          <w:szCs w:val="22"/>
        </w:rPr>
      </w:pPr>
    </w:p>
    <w:p w14:paraId="5C4E1809" w14:textId="77777777" w:rsidR="0098366D" w:rsidRPr="00E93F74" w:rsidRDefault="00000000" w:rsidP="00E93F74">
      <w:pPr>
        <w:spacing w:line="276" w:lineRule="auto"/>
        <w:jc w:val="both"/>
        <w:rPr>
          <w:rFonts w:ascii="Times New Roman" w:eastAsia="Times New Roman" w:hAnsi="Times New Roman" w:cs="Times New Roman"/>
          <w:b/>
          <w:sz w:val="22"/>
          <w:szCs w:val="22"/>
        </w:rPr>
      </w:pPr>
      <w:r w:rsidRPr="00E93F74">
        <w:rPr>
          <w:rFonts w:ascii="Times New Roman" w:eastAsia="Times New Roman" w:hAnsi="Times New Roman" w:cs="Times New Roman"/>
          <w:b/>
          <w:sz w:val="22"/>
          <w:szCs w:val="22"/>
        </w:rPr>
        <w:t>(1) Proposal: Proposed Questions to the Government of Japan</w:t>
      </w:r>
    </w:p>
    <w:p w14:paraId="3AFCE710" w14:textId="77777777"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Proposed Question 1: The "</w:t>
      </w:r>
      <w:r w:rsidRPr="00E93F74">
        <w:rPr>
          <w:rFonts w:ascii="Times New Roman" w:hAnsi="Times New Roman" w:cs="Times New Roman"/>
          <w:sz w:val="22"/>
          <w:szCs w:val="22"/>
        </w:rPr>
        <w:t xml:space="preserve"> </w:t>
      </w:r>
      <w:r w:rsidRPr="00E93F74">
        <w:rPr>
          <w:rFonts w:ascii="Times New Roman" w:eastAsia="Times New Roman" w:hAnsi="Times New Roman" w:cs="Times New Roman"/>
          <w:sz w:val="22"/>
          <w:szCs w:val="22"/>
        </w:rPr>
        <w:t>Preventing and Addressing Sexual and Gender-Based Violence " mentioned in the Third National Action Plan (NAP)</w:t>
      </w:r>
      <w:r w:rsidRPr="00E93F74">
        <w:rPr>
          <w:rFonts w:ascii="Times New Roman" w:eastAsia="Times New Roman" w:hAnsi="Times New Roman" w:cs="Times New Roman"/>
          <w:sz w:val="22"/>
          <w:szCs w:val="22"/>
          <w:vertAlign w:val="superscript"/>
        </w:rPr>
        <w:footnoteReference w:id="2"/>
      </w:r>
      <w:r w:rsidRPr="00E93F74">
        <w:rPr>
          <w:rFonts w:ascii="Times New Roman" w:eastAsia="Times New Roman" w:hAnsi="Times New Roman" w:cs="Times New Roman"/>
          <w:sz w:val="22"/>
          <w:szCs w:val="22"/>
        </w:rPr>
        <w:t xml:space="preserve"> – does it pertain solely to violence in conflict situations outside Japan, or does it also include sexual violence and gender-based violence related to foreign military presence within Japan? If the plan excludes domestic situations, please provide an explanation for this exclusion.</w:t>
      </w:r>
    </w:p>
    <w:p w14:paraId="133929D5" w14:textId="77777777" w:rsidR="0098366D" w:rsidRPr="00E93F74" w:rsidRDefault="0098366D" w:rsidP="00E93F74">
      <w:pPr>
        <w:spacing w:line="276" w:lineRule="auto"/>
        <w:ind w:left="846" w:hanging="846"/>
        <w:jc w:val="both"/>
        <w:rPr>
          <w:rFonts w:ascii="Times New Roman" w:eastAsia="Times New Roman" w:hAnsi="Times New Roman" w:cs="Times New Roman"/>
          <w:sz w:val="22"/>
          <w:szCs w:val="22"/>
        </w:rPr>
      </w:pPr>
    </w:p>
    <w:p w14:paraId="13067BC4" w14:textId="77777777"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 xml:space="preserve">Proposed Question 2: The National Action Plan on Women, Peace, and Security (NAP), revised in April 2023 to implement UN Security Council Resolution 1325 (WPS), does not include measures to prevent sexual violence by U.S. military personnel stationed at bases in Okinawa.". It also omits provisions for protecting and supporting those victims of sexual violence in Okinawa, prosecuting perpetrators, and offering official apologies. Clarify </w:t>
      </w:r>
      <w:r w:rsidRPr="00E93F74">
        <w:rPr>
          <w:rFonts w:ascii="Times New Roman" w:eastAsia="Times New Roman" w:hAnsi="Times New Roman" w:cs="Times New Roman"/>
          <w:sz w:val="22"/>
          <w:szCs w:val="22"/>
          <w:u w:val="single"/>
        </w:rPr>
        <w:t>the reason for the exclusion</w:t>
      </w:r>
      <w:r w:rsidRPr="00E93F74">
        <w:rPr>
          <w:rFonts w:ascii="Times New Roman" w:eastAsia="Times New Roman" w:hAnsi="Times New Roman" w:cs="Times New Roman"/>
          <w:sz w:val="22"/>
          <w:szCs w:val="22"/>
        </w:rPr>
        <w:t xml:space="preserve"> of these issues from the NAP.</w:t>
      </w:r>
    </w:p>
    <w:p w14:paraId="7AC6C832"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36FB16A2" w14:textId="5149B56A"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Proposed Question 3: Regarding the government’s response titled “</w:t>
      </w:r>
      <w:r w:rsidR="006B79DF" w:rsidRPr="006B79DF">
        <w:rPr>
          <w:rFonts w:ascii="Times New Roman" w:eastAsia="Times New Roman" w:hAnsi="Times New Roman" w:cs="Times New Roman"/>
          <w:sz w:val="22"/>
          <w:szCs w:val="22"/>
        </w:rPr>
        <w:t>a framework agreement</w:t>
      </w:r>
      <w:r w:rsidRPr="00E93F74">
        <w:rPr>
          <w:rFonts w:ascii="Times New Roman" w:eastAsia="Times New Roman" w:hAnsi="Times New Roman" w:cs="Times New Roman"/>
          <w:sz w:val="22"/>
          <w:szCs w:val="22"/>
        </w:rPr>
        <w:t xml:space="preserve">” submitted in the 2016 CEDAW review, explain what measures have been taken within the Japan-U.S. Joint </w:t>
      </w:r>
      <w:r w:rsidRPr="00E93F74">
        <w:rPr>
          <w:rFonts w:ascii="Times New Roman" w:eastAsia="Times New Roman" w:hAnsi="Times New Roman" w:cs="Times New Roman"/>
          <w:sz w:val="22"/>
          <w:szCs w:val="22"/>
        </w:rPr>
        <w:lastRenderedPageBreak/>
        <w:t xml:space="preserve">Committee—the consultation mechanism between Japan and the U.S.—concerning WPS and Violence Against Women (VAW). Additionally, clarify which documents or sections align the provisions on VAW in </w:t>
      </w:r>
      <w:r w:rsidR="00F16C16">
        <w:rPr>
          <w:rFonts w:ascii="Times New Roman" w:eastAsiaTheme="minorEastAsia" w:hAnsi="Times New Roman" w:cs="Times New Roman"/>
          <w:sz w:val="22"/>
          <w:szCs w:val="22"/>
        </w:rPr>
        <w:t>“</w:t>
      </w:r>
      <w:r w:rsidR="00F16C16" w:rsidRPr="00F16C16">
        <w:rPr>
          <w:rFonts w:ascii="Times New Roman" w:eastAsiaTheme="minorEastAsia" w:hAnsi="Times New Roman" w:cs="Times New Roman"/>
          <w:sz w:val="22"/>
          <w:szCs w:val="22"/>
        </w:rPr>
        <w:t>a framework agreement</w:t>
      </w:r>
      <w:r w:rsidR="00F16C16">
        <w:rPr>
          <w:rFonts w:ascii="Times New Roman" w:eastAsiaTheme="minorEastAsia" w:hAnsi="Times New Roman" w:cs="Times New Roman"/>
          <w:sz w:val="22"/>
          <w:szCs w:val="22"/>
        </w:rPr>
        <w:t>”</w:t>
      </w:r>
      <w:r w:rsidR="00F16C16">
        <w:rPr>
          <w:rFonts w:ascii="Times New Roman" w:eastAsiaTheme="minorEastAsia" w:hAnsi="Times New Roman" w:cs="Times New Roman" w:hint="eastAsia"/>
          <w:sz w:val="22"/>
          <w:szCs w:val="22"/>
        </w:rPr>
        <w:t xml:space="preserve"> </w:t>
      </w:r>
      <w:r w:rsidRPr="00E93F74">
        <w:rPr>
          <w:rFonts w:ascii="Times New Roman" w:eastAsia="Times New Roman" w:hAnsi="Times New Roman" w:cs="Times New Roman"/>
          <w:sz w:val="22"/>
          <w:szCs w:val="22"/>
        </w:rPr>
        <w:t>with those in NAP.</w:t>
      </w:r>
    </w:p>
    <w:p w14:paraId="59A0110D"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6CBB1582" w14:textId="77777777"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 xml:space="preserve">Proposed Question 4: In the context of the “survivor-centered approach” </w:t>
      </w:r>
      <w:r w:rsidRPr="00E93F74">
        <w:rPr>
          <w:rFonts w:ascii="Times New Roman" w:eastAsia="Times New Roman" w:hAnsi="Times New Roman" w:cs="Times New Roman"/>
          <w:sz w:val="22"/>
          <w:szCs w:val="22"/>
          <w:vertAlign w:val="superscript"/>
        </w:rPr>
        <w:footnoteReference w:id="3"/>
      </w:r>
      <w:r w:rsidRPr="00E93F74">
        <w:rPr>
          <w:rFonts w:ascii="Times New Roman" w:eastAsia="Times New Roman" w:hAnsi="Times New Roman" w:cs="Times New Roman"/>
          <w:sz w:val="22"/>
          <w:szCs w:val="22"/>
        </w:rPr>
        <w:t xml:space="preserve"> outlined in NAP, particularly regarding “awareness-raising and education to prevent sexual violence and gender-based violence ,”</w:t>
      </w:r>
      <w:r w:rsidRPr="00E93F74">
        <w:rPr>
          <w:rFonts w:ascii="Times New Roman" w:eastAsia="Times New Roman" w:hAnsi="Times New Roman" w:cs="Times New Roman"/>
          <w:sz w:val="22"/>
          <w:szCs w:val="22"/>
          <w:vertAlign w:val="superscript"/>
        </w:rPr>
        <w:footnoteReference w:id="4"/>
      </w:r>
      <w:r w:rsidRPr="00E93F74">
        <w:rPr>
          <w:rFonts w:ascii="Times New Roman" w:eastAsia="Times New Roman" w:hAnsi="Times New Roman" w:cs="Times New Roman"/>
          <w:sz w:val="22"/>
          <w:szCs w:val="22"/>
        </w:rPr>
        <w:t xml:space="preserve"> clarify what specific actions the Government of Japan has requested the U.S. government to take, including those for “ending the culture of impunity for perpetrators.”</w:t>
      </w:r>
      <w:r w:rsidRPr="00E93F74">
        <w:rPr>
          <w:rFonts w:ascii="Times New Roman" w:eastAsia="Times New Roman" w:hAnsi="Times New Roman" w:cs="Times New Roman"/>
          <w:sz w:val="22"/>
          <w:szCs w:val="22"/>
          <w:vertAlign w:val="superscript"/>
        </w:rPr>
        <w:footnoteReference w:id="5"/>
      </w:r>
    </w:p>
    <w:p w14:paraId="60350ABF"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505D50E3" w14:textId="77777777" w:rsidR="00E93F74" w:rsidRPr="00E93F74" w:rsidRDefault="00000000" w:rsidP="00E93F74">
      <w:pPr>
        <w:spacing w:line="276" w:lineRule="auto"/>
        <w:jc w:val="both"/>
        <w:rPr>
          <w:rFonts w:ascii="Times New Roman" w:eastAsia="Times New Roman" w:hAnsi="Times New Roman" w:cs="Times New Roman"/>
          <w:b/>
          <w:sz w:val="22"/>
          <w:szCs w:val="22"/>
        </w:rPr>
      </w:pPr>
      <w:r w:rsidRPr="00E93F74">
        <w:rPr>
          <w:rFonts w:ascii="Times New Roman" w:eastAsia="Times New Roman" w:hAnsi="Times New Roman" w:cs="Times New Roman"/>
          <w:b/>
          <w:sz w:val="22"/>
          <w:szCs w:val="22"/>
        </w:rPr>
        <w:t xml:space="preserve">(2) </w:t>
      </w:r>
      <w:r w:rsidR="00E93F74" w:rsidRPr="00E93F74">
        <w:rPr>
          <w:rFonts w:ascii="Times New Roman" w:eastAsia="Times New Roman" w:hAnsi="Times New Roman" w:cs="Times New Roman"/>
          <w:b/>
          <w:sz w:val="22"/>
          <w:szCs w:val="22"/>
        </w:rPr>
        <w:t xml:space="preserve">Rationale for Proposed Question - Prevention of Violence Against Women Based on the WPS Agenda and “Ending Impunity for Perpetrators” </w:t>
      </w:r>
    </w:p>
    <w:p w14:paraId="6DEA183A" w14:textId="26F4E6F6" w:rsidR="0098366D" w:rsidRPr="00E93F74" w:rsidRDefault="0098366D" w:rsidP="00E93F74">
      <w:pPr>
        <w:spacing w:line="276" w:lineRule="auto"/>
        <w:jc w:val="both"/>
        <w:rPr>
          <w:rFonts w:ascii="Times New Roman" w:eastAsia="Times New Roman" w:hAnsi="Times New Roman" w:cs="Times New Roman"/>
          <w:b/>
          <w:sz w:val="22"/>
          <w:szCs w:val="22"/>
        </w:rPr>
      </w:pPr>
    </w:p>
    <w:p w14:paraId="48B056EA"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During Japan's 2016 CEDAW review, Committee member Mr. Niklas Bruun (Finland) raised the question of whether sexual violence committed by foreign military forces stationed in Japan was addressed in the National Action Plan for implementing Security Council Resolution 1325 (2000). He also inquired about measures being taken to ensure that gender considerations were integrated into all security policies.</w:t>
      </w:r>
      <w:r w:rsidRPr="00E93F74">
        <w:rPr>
          <w:rFonts w:ascii="Times New Roman" w:eastAsia="Times New Roman" w:hAnsi="Times New Roman" w:cs="Times New Roman"/>
          <w:sz w:val="22"/>
          <w:szCs w:val="22"/>
          <w:vertAlign w:val="superscript"/>
        </w:rPr>
        <w:footnoteReference w:id="6"/>
      </w:r>
      <w:r w:rsidRPr="00E93F74">
        <w:rPr>
          <w:rFonts w:ascii="Times New Roman" w:eastAsia="Times New Roman" w:hAnsi="Times New Roman" w:cs="Times New Roman"/>
          <w:sz w:val="22"/>
          <w:szCs w:val="22"/>
        </w:rPr>
        <w:t xml:space="preserve"> In response, the government stated that sexual violence committed by foreign military personnel in Japan was already addressed under </w:t>
      </w:r>
      <w:r w:rsidRPr="006B79DF">
        <w:rPr>
          <w:rFonts w:ascii="Times New Roman" w:eastAsia="Times New Roman" w:hAnsi="Times New Roman" w:cs="Times New Roman"/>
          <w:sz w:val="22"/>
          <w:szCs w:val="22"/>
        </w:rPr>
        <w:t>an existing framework agreement,</w:t>
      </w:r>
      <w:r w:rsidRPr="00E93F74">
        <w:rPr>
          <w:rFonts w:ascii="Times New Roman" w:eastAsia="Times New Roman" w:hAnsi="Times New Roman" w:cs="Times New Roman"/>
          <w:sz w:val="22"/>
          <w:szCs w:val="22"/>
        </w:rPr>
        <w:t xml:space="preserve"> and therefore, it was unnecessary to include the issue in the National Action Plan.</w:t>
      </w:r>
      <w:r w:rsidRPr="00E93F74">
        <w:rPr>
          <w:rFonts w:ascii="Times New Roman" w:eastAsia="Times New Roman" w:hAnsi="Times New Roman" w:cs="Times New Roman"/>
          <w:sz w:val="22"/>
          <w:szCs w:val="22"/>
          <w:vertAlign w:val="superscript"/>
        </w:rPr>
        <w:footnoteReference w:id="7"/>
      </w:r>
      <w:r w:rsidRPr="00E93F74">
        <w:rPr>
          <w:rFonts w:ascii="Times New Roman" w:eastAsia="Times New Roman" w:hAnsi="Times New Roman" w:cs="Times New Roman"/>
          <w:sz w:val="22"/>
          <w:szCs w:val="22"/>
        </w:rPr>
        <w:t xml:space="preserve"> The NAP is structured around the “four pillars” (participation, prevention, protection, and relief and recovery) and is divided into sections on international contributions and domestic activities. Although the NAP states its commitment to “create a society that does not tolerate violence against women” in “IV. Implementation of WPS in Japan,” the measures for protecting victims and providing remedies are inadequate. In response to these questions, the government stated that sexual violence committed by foreign military personnel in Japan was already addressed under </w:t>
      </w:r>
      <w:r w:rsidRPr="006B79DF">
        <w:rPr>
          <w:rFonts w:ascii="Times New Roman" w:eastAsia="Times New Roman" w:hAnsi="Times New Roman" w:cs="Times New Roman"/>
          <w:sz w:val="22"/>
          <w:szCs w:val="22"/>
        </w:rPr>
        <w:t>an existing framework agreement,</w:t>
      </w:r>
      <w:r w:rsidRPr="00E93F74">
        <w:rPr>
          <w:rFonts w:ascii="Times New Roman" w:eastAsia="Times New Roman" w:hAnsi="Times New Roman" w:cs="Times New Roman"/>
          <w:sz w:val="22"/>
          <w:szCs w:val="22"/>
        </w:rPr>
        <w:t xml:space="preserve"> and therefore, it was unnecessary to include the issue in the National Action Plan.The Government of Japan must also clarify how VAW as well as the protection and remedy for VAW victims outlined in the National Action Plan (NAP), are referenced in documents related to the ‘framework agreement’..</w:t>
      </w:r>
    </w:p>
    <w:p w14:paraId="300333CA"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The NAP further states that the government “will strengthen awareness-raising and education to prevent sexual violence and gender-based violence in conflict, strengthen the rule of law to protect victims and survivors and punish perpetrators, and enhance international cooperation to protect victims and survivors and help them become self-reliant and socially reintegrated.” Additionally, it is clearly stated that it will “promote all efforts based on a survivor-centered approach”.</w:t>
      </w:r>
      <w:r w:rsidRPr="00E93F74">
        <w:rPr>
          <w:rFonts w:ascii="Times New Roman" w:eastAsia="Times New Roman" w:hAnsi="Times New Roman" w:cs="Times New Roman"/>
          <w:sz w:val="22"/>
          <w:szCs w:val="22"/>
          <w:vertAlign w:val="superscript"/>
        </w:rPr>
        <w:footnoteReference w:id="8"/>
      </w:r>
      <w:r w:rsidRPr="00E93F74">
        <w:rPr>
          <w:rFonts w:ascii="Times New Roman" w:eastAsia="Times New Roman" w:hAnsi="Times New Roman" w:cs="Times New Roman"/>
          <w:sz w:val="22"/>
          <w:szCs w:val="22"/>
        </w:rPr>
        <w:t xml:space="preserve"> Based on this, the Ministry of Foreign Affairs has expressed its intention to “request concrete measures from the U.S. side and the development of strategies for preventing incidents and accidents moving forward”.</w:t>
      </w:r>
      <w:r w:rsidRPr="00E93F74">
        <w:rPr>
          <w:rFonts w:ascii="Times New Roman" w:eastAsia="Times New Roman" w:hAnsi="Times New Roman" w:cs="Times New Roman"/>
          <w:sz w:val="22"/>
          <w:szCs w:val="22"/>
          <w:vertAlign w:val="superscript"/>
        </w:rPr>
        <w:footnoteReference w:id="9"/>
      </w:r>
    </w:p>
    <w:p w14:paraId="05E68BA0"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Furthermore, under “II.</w:t>
      </w:r>
      <w:r w:rsidRPr="00E93F74">
        <w:rPr>
          <w:rFonts w:ascii="Times New Roman" w:hAnsi="Times New Roman" w:cs="Times New Roman"/>
          <w:sz w:val="22"/>
          <w:szCs w:val="22"/>
        </w:rPr>
        <w:t xml:space="preserve"> </w:t>
      </w:r>
      <w:r w:rsidRPr="00E93F74">
        <w:rPr>
          <w:rFonts w:ascii="Times New Roman" w:eastAsia="Times New Roman" w:hAnsi="Times New Roman" w:cs="Times New Roman"/>
          <w:sz w:val="22"/>
          <w:szCs w:val="22"/>
        </w:rPr>
        <w:t>Preventing and Addressing Sexual and Gender-Based Violence” in the NAP, it clearly states “1. Actions (2) Establishment of the rule of law: provide assistance that contributes to ending the culture of impunity for perpetrators”. We would like to confirm the specific measures outlined in this section.</w:t>
      </w:r>
    </w:p>
    <w:p w14:paraId="78873849"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lastRenderedPageBreak/>
        <w:t>Additionally, as part of the NAP’s efforts to establish a framework for effectively evaluating the action plan’s implementation, it states that “the government will report on the implementation of the Action Plan in periodic reports such as the Convention on the Elimination of All Forms of Discrimination against Women (CEDAW) and the Universal and Periodic Review (UPR) of the UN Human Rights Council.”</w:t>
      </w:r>
      <w:r w:rsidRPr="00E93F74">
        <w:rPr>
          <w:rFonts w:ascii="Times New Roman" w:eastAsia="Times New Roman" w:hAnsi="Times New Roman" w:cs="Times New Roman"/>
          <w:sz w:val="22"/>
          <w:szCs w:val="22"/>
          <w:vertAlign w:val="superscript"/>
        </w:rPr>
        <w:footnoteReference w:id="10"/>
      </w:r>
      <w:r w:rsidRPr="00E93F74">
        <w:rPr>
          <w:rFonts w:ascii="Times New Roman" w:eastAsia="Times New Roman" w:hAnsi="Times New Roman" w:cs="Times New Roman"/>
          <w:sz w:val="22"/>
          <w:szCs w:val="22"/>
        </w:rPr>
        <w:t xml:space="preserve"> However, we are concerned that the 9th Report does not provide information on the status of the NAP’s implementation.</w:t>
      </w:r>
    </w:p>
    <w:p w14:paraId="76874D70"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3FB2CABB" w14:textId="7D92003C" w:rsidR="0098366D" w:rsidRPr="00E93F74" w:rsidRDefault="00000000" w:rsidP="00E93F74">
      <w:pPr>
        <w:spacing w:line="276" w:lineRule="auto"/>
        <w:jc w:val="both"/>
        <w:rPr>
          <w:rFonts w:ascii="Times New Roman" w:eastAsia="Times New Roman" w:hAnsi="Times New Roman" w:cs="Times New Roman"/>
          <w:b/>
          <w:sz w:val="22"/>
          <w:szCs w:val="22"/>
        </w:rPr>
      </w:pPr>
      <w:r w:rsidRPr="00E93F74">
        <w:rPr>
          <w:rFonts w:ascii="Times New Roman" w:eastAsia="Times New Roman" w:hAnsi="Times New Roman" w:cs="Times New Roman"/>
          <w:b/>
          <w:sz w:val="22"/>
          <w:szCs w:val="22"/>
        </w:rPr>
        <w:t xml:space="preserve">(3) </w:t>
      </w:r>
      <w:r w:rsidR="00E93F74" w:rsidRPr="00E93F74">
        <w:rPr>
          <w:rFonts w:ascii="Times New Roman" w:eastAsia="Times New Roman" w:hAnsi="Times New Roman" w:cs="Times New Roman"/>
          <w:b/>
          <w:sz w:val="22"/>
          <w:szCs w:val="22"/>
        </w:rPr>
        <w:t>Proposal: Draft Recommendations to the Government of Japan</w:t>
      </w:r>
    </w:p>
    <w:p w14:paraId="49184A50" w14:textId="77777777"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Draft Recommendation 1: In the NAP, explicitly include provisions for preventing sexual violence by U.S. military personnel in Okinawa, as well as for the prompt protection, remedy, and compensation of victims of sexual violence, in addition to calling for an official apology from perpetrators. Furthermore, remove the limitations under the Japan-U.S. Status of Forces Agreement, particularly in terms of criminal jurisdiction, that serve as barriers to</w:t>
      </w:r>
      <w:r w:rsidRPr="00E93F74">
        <w:rPr>
          <w:rFonts w:ascii="Times New Roman" w:hAnsi="Times New Roman" w:cs="Times New Roman"/>
          <w:sz w:val="22"/>
          <w:szCs w:val="22"/>
        </w:rPr>
        <w:t xml:space="preserve"> “</w:t>
      </w:r>
      <w:r w:rsidRPr="00E93F74">
        <w:rPr>
          <w:rFonts w:ascii="Times New Roman" w:eastAsia="Times New Roman" w:hAnsi="Times New Roman" w:cs="Times New Roman"/>
          <w:sz w:val="22"/>
          <w:szCs w:val="22"/>
        </w:rPr>
        <w:t>ending the culture of impunity for perpetrators.”</w:t>
      </w:r>
    </w:p>
    <w:p w14:paraId="43E7CBDC" w14:textId="77777777" w:rsidR="0098366D" w:rsidRPr="00E93F74" w:rsidRDefault="0098366D" w:rsidP="00E93F74">
      <w:pPr>
        <w:spacing w:line="276" w:lineRule="auto"/>
        <w:ind w:left="846" w:hanging="846"/>
        <w:jc w:val="both"/>
        <w:rPr>
          <w:rFonts w:ascii="Times New Roman" w:eastAsia="Times New Roman" w:hAnsi="Times New Roman" w:cs="Times New Roman"/>
          <w:sz w:val="22"/>
          <w:szCs w:val="22"/>
        </w:rPr>
      </w:pPr>
    </w:p>
    <w:p w14:paraId="2E8486DF" w14:textId="77777777"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Draft Recommendation 2: Ensure the participation of female representatives from Ryukyu/Okinawa in the Japan-U.S. Joint Committee in line with the principles of WPS, which promote women's participation in conflict prevention, peacebuilding, and decision-making in peace and security policies. This recommendation aligns with the temporary special measures outlined in Article 4(1) of the Committee on the Elimination of All Forms of Discrimination Against Women and General Recommendation No. 25 and is important for achieving substantive equality for women in decision-making bodies.</w:t>
      </w:r>
    </w:p>
    <w:p w14:paraId="2D36EB96" w14:textId="77777777" w:rsidR="0098366D" w:rsidRPr="00E93F74" w:rsidRDefault="0098366D" w:rsidP="00E93F74">
      <w:pPr>
        <w:spacing w:line="276" w:lineRule="auto"/>
        <w:ind w:left="846" w:hanging="846"/>
        <w:jc w:val="both"/>
        <w:rPr>
          <w:rFonts w:ascii="Times New Roman" w:eastAsia="Times New Roman" w:hAnsi="Times New Roman" w:cs="Times New Roman"/>
          <w:sz w:val="22"/>
          <w:szCs w:val="22"/>
        </w:rPr>
      </w:pPr>
    </w:p>
    <w:p w14:paraId="2EF8936A" w14:textId="77777777" w:rsidR="0098366D" w:rsidRPr="00E93F74" w:rsidRDefault="00000000" w:rsidP="00E93F74">
      <w:pPr>
        <w:spacing w:line="276" w:lineRule="auto"/>
        <w:ind w:left="846" w:hanging="846"/>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Draft Recommendation 3: To effectively advance the WPS agenda further, establish a WPS Center in Okinawa as a research and investigation institution focused on creating a society with zero tolerance for violence against women and girls, as outlined in General Recommendation No. 30, paragraph 38(a) and (b). This center would facilitate comprehensive initiatives, including the prevention of VAW, the protection and remedy for victims, compensation, and official apologies from perpetrators. In addition, we emphasize that, in establishing the center, the Government of Japan should conduct thorough consultations with female representatives of local civil society in Okinawa and ensure adequate support, including budgetary allocations, for initiatives that contribute to the center's objectives.</w:t>
      </w:r>
    </w:p>
    <w:p w14:paraId="113C0CA6" w14:textId="77777777" w:rsidR="0098366D" w:rsidRPr="00E93F74" w:rsidRDefault="0098366D" w:rsidP="00E93F74">
      <w:pPr>
        <w:spacing w:line="276" w:lineRule="auto"/>
        <w:ind w:left="635" w:hanging="635"/>
        <w:jc w:val="both"/>
        <w:rPr>
          <w:rFonts w:ascii="Times New Roman" w:eastAsia="Times New Roman" w:hAnsi="Times New Roman" w:cs="Times New Roman"/>
          <w:sz w:val="22"/>
          <w:szCs w:val="22"/>
        </w:rPr>
      </w:pPr>
    </w:p>
    <w:p w14:paraId="47BDE631" w14:textId="7782101A" w:rsidR="0098366D" w:rsidRPr="00E93F74" w:rsidRDefault="00000000" w:rsidP="00E93F74">
      <w:pPr>
        <w:spacing w:line="276" w:lineRule="auto"/>
        <w:jc w:val="both"/>
        <w:rPr>
          <w:rFonts w:ascii="Times New Roman" w:eastAsia="Times New Roman" w:hAnsi="Times New Roman" w:cs="Times New Roman"/>
          <w:b/>
          <w:sz w:val="22"/>
          <w:szCs w:val="22"/>
        </w:rPr>
      </w:pPr>
      <w:r w:rsidRPr="00E93F74">
        <w:rPr>
          <w:rFonts w:ascii="Times New Roman" w:eastAsia="Times New Roman" w:hAnsi="Times New Roman" w:cs="Times New Roman"/>
          <w:b/>
          <w:sz w:val="22"/>
          <w:szCs w:val="22"/>
        </w:rPr>
        <w:t xml:space="preserve">(4) </w:t>
      </w:r>
      <w:r w:rsidR="00E93F74" w:rsidRPr="00E93F74">
        <w:rPr>
          <w:rFonts w:ascii="Times New Roman" w:eastAsia="Times New Roman" w:hAnsi="Times New Roman" w:cs="Times New Roman"/>
          <w:b/>
          <w:sz w:val="22"/>
          <w:szCs w:val="22"/>
        </w:rPr>
        <w:t>Background - The Current Situation of Violence Against Women Arising from U.S. Military bases in Okinawa and Measures for Prevention</w:t>
      </w:r>
    </w:p>
    <w:p w14:paraId="5B34ADE1" w14:textId="15A77199" w:rsidR="0098366D" w:rsidRPr="00E93F74" w:rsidRDefault="00EF6A39" w:rsidP="00E93F74">
      <w:pPr>
        <w:spacing w:line="276" w:lineRule="auto"/>
        <w:jc w:val="both"/>
        <w:rPr>
          <w:rFonts w:ascii="Times New Roman" w:eastAsia="Times New Roman" w:hAnsi="Times New Roman" w:cs="Times New Roman"/>
          <w:sz w:val="22"/>
          <w:szCs w:val="22"/>
        </w:rPr>
      </w:pPr>
      <w:r>
        <w:rPr>
          <w:rFonts w:ascii="Times New Roman" w:hAnsi="Times New Roman" w:cs="Times New Roman"/>
          <w:sz w:val="22"/>
          <w:szCs w:val="22"/>
        </w:rPr>
        <w:br/>
      </w:r>
      <w:sdt>
        <w:sdtPr>
          <w:rPr>
            <w:rFonts w:ascii="Times New Roman" w:hAnsi="Times New Roman" w:cs="Times New Roman"/>
            <w:sz w:val="22"/>
            <w:szCs w:val="22"/>
          </w:rPr>
          <w:tag w:val="goog_rdk_5"/>
          <w:id w:val="-1091763681"/>
        </w:sdtPr>
        <w:sdtContent>
          <w:r w:rsidRPr="00EF6A39">
            <w:rPr>
              <w:rFonts w:ascii="Times New Roman" w:eastAsia="Gungsuh" w:hAnsi="Times New Roman" w:cs="Times New Roman"/>
              <w:b/>
              <w:bCs/>
              <w:sz w:val="22"/>
              <w:szCs w:val="22"/>
            </w:rPr>
            <w:t xml:space="preserve">　</w:t>
          </w:r>
          <w:r w:rsidRPr="00EF6A39">
            <w:rPr>
              <w:rFonts w:ascii="Times New Roman" w:eastAsia="Gungsuh" w:hAnsi="Times New Roman" w:cs="Times New Roman"/>
              <w:b/>
              <w:bCs/>
              <w:sz w:val="22"/>
              <w:szCs w:val="22"/>
            </w:rPr>
            <w:t>(i). Repeated Incidents of Sexual Violence by U.S. Military Personnel — The Overburden of U.S. Military Bases in Okinawa</w:t>
          </w:r>
        </w:sdtContent>
      </w:sdt>
    </w:p>
    <w:p w14:paraId="0EFF86E7" w14:textId="53BDB6AD" w:rsidR="0098366D" w:rsidRPr="00E93F74" w:rsidRDefault="00000000" w:rsidP="00E93F74">
      <w:pPr>
        <w:spacing w:line="276" w:lineRule="auto"/>
        <w:jc w:val="both"/>
        <w:rPr>
          <w:rFonts w:ascii="Times New Roman" w:eastAsia="Times New Roman" w:hAnsi="Times New Roman" w:cs="Times New Roman"/>
          <w:sz w:val="22"/>
          <w:szCs w:val="22"/>
        </w:rPr>
      </w:pPr>
      <w:sdt>
        <w:sdtPr>
          <w:rPr>
            <w:rFonts w:ascii="Times New Roman" w:hAnsi="Times New Roman" w:cs="Times New Roman"/>
            <w:sz w:val="22"/>
            <w:szCs w:val="22"/>
          </w:rPr>
          <w:tag w:val="goog_rdk_6"/>
          <w:id w:val="-1236013496"/>
        </w:sdtPr>
        <w:sdtContent>
          <w:r w:rsidR="00EF6A39">
            <w:rPr>
              <w:rFonts w:ascii="Times New Roman" w:hAnsi="Times New Roman" w:cs="Times New Roman"/>
              <w:sz w:val="22"/>
              <w:szCs w:val="22"/>
            </w:rPr>
            <w:br/>
          </w:r>
          <w:r w:rsidRPr="00E93F74">
            <w:rPr>
              <w:rFonts w:ascii="Times New Roman" w:eastAsia="Gungsuh" w:hAnsi="Times New Roman" w:cs="Times New Roman"/>
              <w:sz w:val="22"/>
              <w:szCs w:val="22"/>
            </w:rPr>
            <w:t xml:space="preserve">　</w:t>
          </w:r>
          <w:r w:rsidRPr="00E93F74">
            <w:rPr>
              <w:rFonts w:ascii="Times New Roman" w:eastAsia="Gungsuh" w:hAnsi="Times New Roman" w:cs="Times New Roman"/>
              <w:sz w:val="22"/>
              <w:szCs w:val="22"/>
            </w:rPr>
            <w:t xml:space="preserve">According to statistics from Okinawa Prefecture, between 1972, when the administrative control was returned from the U.S. military to Japan, and the end of 2023, there were 6,235 criminal cases involving U.S. military personnel and related individuals. Of these, 586 were serious crimes such as murder, robbery, </w:t>
          </w:r>
          <w:r w:rsidRPr="00E93F74">
            <w:rPr>
              <w:rFonts w:ascii="Times New Roman" w:eastAsia="Gungsuh" w:hAnsi="Times New Roman" w:cs="Times New Roman"/>
              <w:sz w:val="22"/>
              <w:szCs w:val="22"/>
            </w:rPr>
            <w:lastRenderedPageBreak/>
            <w:t>and non-consensual sexual intercourse, while 80 were classified as moral offenses, including forcible indecent assault.</w:t>
          </w:r>
        </w:sdtContent>
      </w:sdt>
      <w:r w:rsidRPr="00E93F74">
        <w:rPr>
          <w:rFonts w:ascii="Times New Roman" w:eastAsia="Times New Roman" w:hAnsi="Times New Roman" w:cs="Times New Roman"/>
          <w:sz w:val="22"/>
          <w:szCs w:val="22"/>
          <w:vertAlign w:val="superscript"/>
        </w:rPr>
        <w:footnoteReference w:id="11"/>
      </w:r>
    </w:p>
    <w:p w14:paraId="7BE7108D"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Additionally, it has been revealed that, of the 88 cases of non-consensual sexual intercourse involving U.S. military personnel nationwide over the 35-year period from 1989 to 2023, 41 cases, or 46.5%, occurred in Okinawa. Furthermore, of the 75 cases of non-consensual indecent assault, 27 cases, or 36%, took place in Okinawa.</w:t>
      </w:r>
      <w:r w:rsidRPr="00E93F74">
        <w:rPr>
          <w:rFonts w:ascii="Times New Roman" w:eastAsia="Times New Roman" w:hAnsi="Times New Roman" w:cs="Times New Roman"/>
          <w:sz w:val="22"/>
          <w:szCs w:val="22"/>
          <w:vertAlign w:val="superscript"/>
        </w:rPr>
        <w:footnoteReference w:id="12"/>
      </w:r>
    </w:p>
    <w:p w14:paraId="6A72D9BF"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 xml:space="preserve">Furthermore, according to a survey by a citizen’s group in Okinawa, it is estimated that approximately 1,000 cases of sexual violence stemming from U.S. military bases in Okinawa have occurred throughout the prefecture between 1945, when the U.S. military landed during the Battle of Okinawa, and 2021, with around 900 women being victimized. </w:t>
      </w:r>
      <w:r w:rsidRPr="00E93F74">
        <w:rPr>
          <w:rFonts w:ascii="Times New Roman" w:eastAsia="Times New Roman" w:hAnsi="Times New Roman" w:cs="Times New Roman"/>
          <w:sz w:val="22"/>
          <w:szCs w:val="22"/>
          <w:vertAlign w:val="superscript"/>
        </w:rPr>
        <w:footnoteReference w:id="13"/>
      </w:r>
      <w:r w:rsidRPr="00E93F74">
        <w:rPr>
          <w:rFonts w:ascii="Times New Roman" w:eastAsia="Times New Roman" w:hAnsi="Times New Roman" w:cs="Times New Roman"/>
          <w:sz w:val="22"/>
          <w:szCs w:val="22"/>
        </w:rPr>
        <w:t>However, due to the nature of sexual violence, it is believed that the so-called “dark figure” of unreported cases—where victims were unable to come forward—is likely more than double the number of known cases.</w:t>
      </w:r>
    </w:p>
    <w:p w14:paraId="53185D36" w14:textId="77777777" w:rsidR="0098366D" w:rsidRPr="00E93F74" w:rsidRDefault="00000000" w:rsidP="00E93F74">
      <w:pPr>
        <w:spacing w:line="276" w:lineRule="auto"/>
        <w:jc w:val="both"/>
        <w:rPr>
          <w:rFonts w:ascii="Times New Roman" w:eastAsia="Times New Roman" w:hAnsi="Times New Roman" w:cs="Times New Roman"/>
          <w:b/>
          <w:sz w:val="22"/>
          <w:szCs w:val="22"/>
        </w:rPr>
      </w:pPr>
      <w:r w:rsidRPr="00E93F74">
        <w:rPr>
          <w:rFonts w:ascii="Times New Roman" w:eastAsia="Times New Roman" w:hAnsi="Times New Roman" w:cs="Times New Roman"/>
          <w:sz w:val="22"/>
          <w:szCs w:val="22"/>
        </w:rPr>
        <w:t xml:space="preserve">     </w:t>
      </w:r>
    </w:p>
    <w:p w14:paraId="68BCBEE0" w14:textId="77777777" w:rsidR="0098366D" w:rsidRPr="00EF6A39" w:rsidRDefault="00000000" w:rsidP="00E93F74">
      <w:pPr>
        <w:spacing w:line="276" w:lineRule="auto"/>
        <w:ind w:firstLine="212"/>
        <w:jc w:val="both"/>
        <w:rPr>
          <w:rFonts w:ascii="Times New Roman" w:eastAsia="Times New Roman" w:hAnsi="Times New Roman" w:cs="Times New Roman"/>
          <w:b/>
          <w:bCs/>
          <w:sz w:val="22"/>
          <w:szCs w:val="22"/>
        </w:rPr>
      </w:pPr>
      <w:r w:rsidRPr="00EF6A39">
        <w:rPr>
          <w:rFonts w:ascii="Times New Roman" w:eastAsia="Times New Roman" w:hAnsi="Times New Roman" w:cs="Times New Roman"/>
          <w:b/>
          <w:bCs/>
          <w:sz w:val="22"/>
          <w:szCs w:val="22"/>
        </w:rPr>
        <w:t>(ii) Recent Incidents of Sexual Violence Against Girls by U.S. Soldiers</w:t>
      </w:r>
    </w:p>
    <w:p w14:paraId="2BF3848C" w14:textId="0348A9D1" w:rsidR="0098366D" w:rsidRPr="00E93F74" w:rsidRDefault="00EF6A39" w:rsidP="00E93F74">
      <w:pPr>
        <w:spacing w:line="276" w:lineRule="auto"/>
        <w:jc w:val="both"/>
        <w:rPr>
          <w:rFonts w:ascii="Times New Roman" w:eastAsia="Times New Roman" w:hAnsi="Times New Roman" w:cs="Times New Roman"/>
          <w:sz w:val="22"/>
          <w:szCs w:val="22"/>
        </w:rPr>
      </w:pPr>
      <w:r>
        <w:rPr>
          <w:rFonts w:ascii="Times New Roman" w:hAnsi="Times New Roman" w:cs="Times New Roman"/>
          <w:sz w:val="22"/>
          <w:szCs w:val="22"/>
        </w:rPr>
        <w:br/>
      </w:r>
      <w:sdt>
        <w:sdtPr>
          <w:rPr>
            <w:rFonts w:ascii="Times New Roman" w:hAnsi="Times New Roman" w:cs="Times New Roman"/>
            <w:sz w:val="22"/>
            <w:szCs w:val="22"/>
          </w:rPr>
          <w:tag w:val="goog_rdk_7"/>
          <w:id w:val="-1096949035"/>
        </w:sdtPr>
        <w:sdtContent>
          <w:r w:rsidRPr="00E93F74">
            <w:rPr>
              <w:rFonts w:ascii="Times New Roman" w:eastAsia="Gungsuh" w:hAnsi="Times New Roman" w:cs="Times New Roman"/>
              <w:sz w:val="22"/>
              <w:szCs w:val="22"/>
            </w:rPr>
            <w:t xml:space="preserve">　</w:t>
          </w:r>
          <w:r w:rsidRPr="00E93F74">
            <w:rPr>
              <w:rFonts w:ascii="Times New Roman" w:eastAsia="Gungsuh" w:hAnsi="Times New Roman" w:cs="Times New Roman"/>
              <w:sz w:val="22"/>
              <w:szCs w:val="22"/>
            </w:rPr>
            <w:t>It was revealed that on June 25, 2024, an</w:t>
          </w:r>
        </w:sdtContent>
      </w:sdt>
      <w:r w:rsidRPr="00E93F74">
        <w:rPr>
          <w:rFonts w:ascii="Times New Roman" w:eastAsia="Times New Roman" w:hAnsi="Times New Roman" w:cs="Times New Roman"/>
          <w:sz w:val="22"/>
          <w:szCs w:val="22"/>
        </w:rPr>
        <w:t xml:space="preserve"> alleged assault incident involving a U.S. soldier and a girl under the age of 16 had occurred. The incident occurred in December 2023, when a 24-year-old U.S. airman stationed at Kadena Air Base abducted a girl in a car from a park outside the base and took her to his off-base residence, where he allegedly sexually assaulted her. In March 2024, the Naha District Public Prosecutor’s Office indicted the man on charges of abduction for indecent purposes and non-consensual sexual intercourse. At the trial, the girl claimed that she had clearly and truthfully stated her age as being under 16, while the man insisted that 'the girl said she was 18' in an alleged attempt to circumvent the legal requirement that the victim be “under 16 years old” for the crime of non-consensual sexual intercourse. Additionally, the man testified that he had obtained the girl's consent, stating, “I’m innocent. I didn’t kidnap nor rape her,” as he asserted his innocence. On the other hand, after the incident, the victimized girl tearfully recounted what happened to her family. Subsequently, she experienced severe psychological distress, including losing control of her emotions and engaging in self-harm. The psychological impact on the girl has been significant. (Note: As of the time this report is submitted, the trial is still ongoing, and a verdict has not yet been reached.)</w:t>
      </w:r>
    </w:p>
    <w:p w14:paraId="3830BB49" w14:textId="77777777" w:rsidR="0098366D" w:rsidRPr="00E93F74" w:rsidRDefault="00000000" w:rsidP="00E93F74">
      <w:pPr>
        <w:spacing w:line="276" w:lineRule="auto"/>
        <w:jc w:val="both"/>
        <w:rPr>
          <w:rFonts w:ascii="Times New Roman" w:eastAsia="Times New Roman" w:hAnsi="Times New Roman" w:cs="Times New Roman"/>
          <w:sz w:val="22"/>
          <w:szCs w:val="22"/>
        </w:rPr>
      </w:pPr>
      <w:sdt>
        <w:sdtPr>
          <w:rPr>
            <w:rFonts w:ascii="Times New Roman" w:hAnsi="Times New Roman" w:cs="Times New Roman"/>
            <w:sz w:val="22"/>
            <w:szCs w:val="22"/>
          </w:rPr>
          <w:tag w:val="goog_rdk_8"/>
          <w:id w:val="1601839919"/>
        </w:sdtPr>
        <w:sdtContent>
          <w:r w:rsidRPr="00E93F74">
            <w:rPr>
              <w:rFonts w:ascii="Times New Roman" w:eastAsia="Gungsuh" w:hAnsi="Times New Roman" w:cs="Times New Roman"/>
              <w:sz w:val="22"/>
              <w:szCs w:val="22"/>
            </w:rPr>
            <w:t xml:space="preserve">　</w:t>
          </w:r>
        </w:sdtContent>
      </w:sdt>
    </w:p>
    <w:p w14:paraId="408DC3D9" w14:textId="77777777" w:rsidR="0098366D" w:rsidRPr="00EF6A39" w:rsidRDefault="00000000" w:rsidP="00E93F74">
      <w:pPr>
        <w:spacing w:line="276" w:lineRule="auto"/>
        <w:ind w:firstLine="106"/>
        <w:jc w:val="both"/>
        <w:rPr>
          <w:rFonts w:ascii="Times New Roman" w:eastAsia="Times New Roman" w:hAnsi="Times New Roman" w:cs="Times New Roman"/>
          <w:b/>
          <w:sz w:val="22"/>
          <w:szCs w:val="22"/>
        </w:rPr>
      </w:pPr>
      <w:r w:rsidRPr="00EF6A39">
        <w:rPr>
          <w:rFonts w:ascii="Times New Roman" w:eastAsia="Times New Roman" w:hAnsi="Times New Roman" w:cs="Times New Roman"/>
          <w:b/>
          <w:sz w:val="22"/>
          <w:szCs w:val="22"/>
        </w:rPr>
        <w:t xml:space="preserve">(iii) The Hollowing Out of the Japan-U.S. Joint Committee Agreement on the “reporting procedures” for accidents involving U.S. military personnel in Okinawa. </w:t>
      </w:r>
    </w:p>
    <w:p w14:paraId="199F3DFE" w14:textId="77777777" w:rsidR="0098366D" w:rsidRPr="00E93F74" w:rsidRDefault="0098366D" w:rsidP="00E93F74">
      <w:pPr>
        <w:spacing w:line="276" w:lineRule="auto"/>
        <w:ind w:firstLine="106"/>
        <w:jc w:val="both"/>
        <w:rPr>
          <w:rFonts w:ascii="Times New Roman" w:eastAsia="Times New Roman" w:hAnsi="Times New Roman" w:cs="Times New Roman"/>
          <w:b/>
          <w:sz w:val="22"/>
          <w:szCs w:val="22"/>
        </w:rPr>
      </w:pPr>
    </w:p>
    <w:p w14:paraId="0D19EACE"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In response to the 1995 incident in Okinawa, where three U.S. military personnel sexually assaulted a 12-year-old girl, the Japanese and U.S. governments agreed in 1997 to establish “reporting procedures”. The purpose of these procedures was to ensure that, upon receiving reports of such incidents/accidents involving U.S. military personnel in Okinawa from the U.S. side, information would be promptly confirmed with the Ministry of Foreign Affairs and the Okinawa Defense Bureau, allowing for a swift response.</w:t>
      </w:r>
    </w:p>
    <w:p w14:paraId="365196C9"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 xml:space="preserve">However, despite the incident mentioned above occurring in December 2023 and the indictment taking place in March of this year, no information had been provided to Okinawa prefecture. After the news report, statistical data from the Okinawa Prefectural Police revealed that, similarly, five cases of U.S. </w:t>
      </w:r>
      <w:r w:rsidRPr="00E93F74">
        <w:rPr>
          <w:rFonts w:ascii="Times New Roman" w:eastAsia="Times New Roman" w:hAnsi="Times New Roman" w:cs="Times New Roman"/>
          <w:sz w:val="22"/>
          <w:szCs w:val="22"/>
        </w:rPr>
        <w:lastRenderedPageBreak/>
        <w:t>military personnel being arrested and indicted for “heinous crimes,” including non-consensual intercourse, had occurred by the end of May 2024. However, none of these incidents had been reported to Okinawa Prefecture.</w:t>
      </w:r>
    </w:p>
    <w:p w14:paraId="73126E77" w14:textId="77777777" w:rsidR="0098366D" w:rsidRPr="00E93F74" w:rsidRDefault="00000000" w:rsidP="00E93F74">
      <w:pPr>
        <w:spacing w:line="276" w:lineRule="auto"/>
        <w:jc w:val="both"/>
        <w:rPr>
          <w:rFonts w:ascii="Times New Roman" w:eastAsia="Times New Roman" w:hAnsi="Times New Roman" w:cs="Times New Roman"/>
          <w:sz w:val="22"/>
          <w:szCs w:val="22"/>
        </w:rPr>
      </w:pPr>
      <w:sdt>
        <w:sdtPr>
          <w:rPr>
            <w:rFonts w:ascii="Times New Roman" w:hAnsi="Times New Roman" w:cs="Times New Roman"/>
            <w:sz w:val="22"/>
            <w:szCs w:val="22"/>
          </w:rPr>
          <w:tag w:val="goog_rdk_9"/>
          <w:id w:val="454300381"/>
        </w:sdtPr>
        <w:sdtContent>
          <w:r w:rsidRPr="00E93F74">
            <w:rPr>
              <w:rFonts w:ascii="Times New Roman" w:eastAsia="Gungsuh" w:hAnsi="Times New Roman" w:cs="Times New Roman"/>
              <w:sz w:val="22"/>
              <w:szCs w:val="22"/>
            </w:rPr>
            <w:t xml:space="preserve">　</w:t>
          </w:r>
          <w:r w:rsidRPr="00E93F74">
            <w:rPr>
              <w:rFonts w:ascii="Times New Roman" w:eastAsia="Gungsuh" w:hAnsi="Times New Roman" w:cs="Times New Roman"/>
              <w:sz w:val="22"/>
              <w:szCs w:val="22"/>
            </w:rPr>
            <w:t>According to the Japan-U.S. Joint Committee agreement, incidents and accidents involving the U.S. military in Okinawa are supposed to be reported by the U.S. military. Upon occurrence, the U.S. military is to notify the U.S. Embassy in Tokyo and the Okinawa Defense Bureau, which then informs the Okinawa Prefectural Government and the relevant municipalities. However, in this case, the U.S. military only notified the U.S. Embassy in Tokyo and failed to contact the Okinawa Defense Bureau. Furthermore, despite obtaining information from the Okinawa Prefectural Police, the investigative authority, rather than the U.S. military, the Ministry of Foreign Affairs failed to notify the Ministry of Defense, resulting in a breakdown in communication. This underscores that both the U.S. military and the Government of Japan arbitrarily failed to comply with the Joint Committee Agreement.</w:t>
          </w:r>
        </w:sdtContent>
      </w:sdt>
    </w:p>
    <w:p w14:paraId="2524B615"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The Ministry of Foreign Affairs has explained that the restrictions on the reporting procedures were implemented to protect the victims' privacy. However, the repeated arbitrary application of these procedures has led to the concealment of incidents, ultimately putting the local community, especially women, at greater risk. This clearly demonstrates that the process lacks both a gender perspective and a focus on preventing sexual violence.</w:t>
      </w:r>
    </w:p>
    <w:p w14:paraId="0C69F7DB" w14:textId="77777777" w:rsidR="0098366D" w:rsidRPr="00E93F74" w:rsidRDefault="0098366D" w:rsidP="00E93F74">
      <w:pPr>
        <w:spacing w:line="276" w:lineRule="auto"/>
        <w:ind w:firstLine="212"/>
        <w:jc w:val="both"/>
        <w:rPr>
          <w:rFonts w:ascii="Times New Roman" w:eastAsia="Times New Roman" w:hAnsi="Times New Roman" w:cs="Times New Roman"/>
          <w:sz w:val="22"/>
          <w:szCs w:val="22"/>
        </w:rPr>
      </w:pPr>
    </w:p>
    <w:p w14:paraId="58565730" w14:textId="77777777" w:rsidR="0098366D" w:rsidRPr="00E93F74" w:rsidRDefault="00000000" w:rsidP="00E93F74">
      <w:pPr>
        <w:spacing w:line="276" w:lineRule="auto"/>
        <w:jc w:val="both"/>
        <w:rPr>
          <w:rFonts w:ascii="Times New Roman" w:eastAsia="Times New Roman" w:hAnsi="Times New Roman" w:cs="Times New Roman"/>
          <w:b/>
          <w:sz w:val="22"/>
          <w:szCs w:val="22"/>
        </w:rPr>
      </w:pPr>
      <w:r w:rsidRPr="00E93F74">
        <w:rPr>
          <w:rFonts w:ascii="Times New Roman" w:eastAsia="Times New Roman" w:hAnsi="Times New Roman" w:cs="Times New Roman"/>
          <w:b/>
          <w:sz w:val="22"/>
          <w:szCs w:val="22"/>
        </w:rPr>
        <w:t>(ⅳ) Towards Preventing Incidents and Accidents at U.S. Military Bases in Okinawa and Establishing a Zero-Tolerance Policy</w:t>
      </w:r>
    </w:p>
    <w:p w14:paraId="035BA2FC" w14:textId="4C81BFC0" w:rsidR="0098366D" w:rsidRPr="00E93F74" w:rsidRDefault="00EF6A39" w:rsidP="00E93F74">
      <w:pPr>
        <w:spacing w:line="276" w:lineRule="auto"/>
        <w:jc w:val="both"/>
        <w:rPr>
          <w:rFonts w:ascii="Times New Roman" w:eastAsia="Times New Roman" w:hAnsi="Times New Roman" w:cs="Times New Roman"/>
          <w:sz w:val="22"/>
          <w:szCs w:val="22"/>
        </w:rPr>
      </w:pPr>
      <w:r>
        <w:rPr>
          <w:rFonts w:ascii="Times New Roman" w:hAnsi="Times New Roman" w:cs="Times New Roman"/>
          <w:sz w:val="22"/>
          <w:szCs w:val="22"/>
        </w:rPr>
        <w:br/>
      </w:r>
      <w:sdt>
        <w:sdtPr>
          <w:rPr>
            <w:rFonts w:ascii="Times New Roman" w:hAnsi="Times New Roman" w:cs="Times New Roman"/>
            <w:sz w:val="22"/>
            <w:szCs w:val="22"/>
          </w:rPr>
          <w:tag w:val="goog_rdk_10"/>
          <w:id w:val="-206567633"/>
        </w:sdtPr>
        <w:sdtContent>
          <w:r w:rsidRPr="00E93F74">
            <w:rPr>
              <w:rFonts w:ascii="Times New Roman" w:eastAsia="Gungsuh" w:hAnsi="Times New Roman" w:cs="Times New Roman"/>
              <w:sz w:val="22"/>
              <w:szCs w:val="22"/>
            </w:rPr>
            <w:t xml:space="preserve">　</w:t>
          </w:r>
          <w:r w:rsidRPr="00E93F74">
            <w:rPr>
              <w:rFonts w:ascii="Times New Roman" w:eastAsia="Gungsuh" w:hAnsi="Times New Roman" w:cs="Times New Roman"/>
              <w:sz w:val="22"/>
              <w:szCs w:val="22"/>
            </w:rPr>
            <w:t>As indicated in (</w:t>
          </w:r>
          <w:r>
            <w:rPr>
              <w:rFonts w:asciiTheme="minorEastAsia" w:eastAsiaTheme="minorEastAsia" w:hAnsiTheme="minorEastAsia" w:cs="Times New Roman" w:hint="eastAsia"/>
              <w:sz w:val="22"/>
              <w:szCs w:val="22"/>
            </w:rPr>
            <w:t>ⅰ</w:t>
          </w:r>
          <w:r w:rsidRPr="00E93F74">
            <w:rPr>
              <w:rFonts w:ascii="Times New Roman" w:eastAsia="Gungsuh" w:hAnsi="Times New Roman" w:cs="Times New Roman"/>
              <w:sz w:val="22"/>
              <w:szCs w:val="22"/>
            </w:rPr>
            <w:t>) above, foreign troops have been stationed in the confined area of Okinawa for an extended period since the post-war era, and incidents of sexual violence have persisted due to the inaction of the Government of Japan.</w:t>
          </w:r>
        </w:sdtContent>
      </w:sdt>
      <w:r w:rsidRPr="00E93F74">
        <w:rPr>
          <w:rFonts w:ascii="Times New Roman" w:eastAsia="Times New Roman" w:hAnsi="Times New Roman" w:cs="Times New Roman"/>
          <w:sz w:val="22"/>
          <w:szCs w:val="22"/>
        </w:rPr>
        <w:t xml:space="preserve"> Violence against women is a form of gender discrimination and the Government of Japan must implement “by all appropriate means and without delay a policy of eliminating discrimination against women” and adopt a “zero-tolerance” approach that does not tolerate any form of discrimination. To more effectively advance the measures outlined in the NAP, we request that the Government of Japan establish a research institution in collaboration with civil society, experts, and NGOs. Furthermore, we urge the Government of Japan to prioritize the prevention of gender-based violence and violence against women, and to secure financial and material support for comprehensive measures. These should include swift protection and relief for victims, the establishment of a compensation system, prosecution of perpetrators, and formal apologies.</w:t>
      </w:r>
    </w:p>
    <w:p w14:paraId="6D884927"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206B526F" w14:textId="77777777" w:rsidR="0098366D" w:rsidRPr="00E93F74" w:rsidRDefault="00000000" w:rsidP="00E93F74">
      <w:pPr>
        <w:spacing w:line="276" w:lineRule="auto"/>
        <w:ind w:firstLine="212"/>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 xml:space="preserve">The continued occurrence of sexual violence can be attributed to the fact that, for nearly 80 years since the end of World War II, approximately 70.3% of U.S. military-exclusive facilities in Japan have been concentrated in Okinawa. The people of Ryukyu and Okinawa believe that the most effective way to prevent incidents and accidents associated with U.S. military bases in Okinawa is to remove the bases entirely. At a minimum, we have repeatedly urged the Government of Japan to reduce and consolidate the existing bases and to fundamentally revise the U.S.-Japan Status of Forces Agreement. In the 1996 prefectural referendum on "the revision of the U.S.-Japan Status of Forces Agreement and the reduction and consolidation of U.S. military bases," 89% voted in favor. In the 2019 prefectural referendum on "whether to approve the relocation of the U.S. Marine Corps' Futenma Air Station in Ginowan City to Henoko in Nago City," 71% opposed the relocation. Nevertheless, in December 2023, the Government of Japan has ignored Okinawa Prefecture’s requests for a prior consultation and is pressing forward with the construction of a new U.S. military base off the coast of Henoko in northern Okinawa through forced “substitute execution.” In other words, not only has the government continuously disregarded the will of </w:t>
      </w:r>
      <w:r w:rsidRPr="00E93F74">
        <w:rPr>
          <w:rFonts w:ascii="Times New Roman" w:eastAsia="Times New Roman" w:hAnsi="Times New Roman" w:cs="Times New Roman"/>
          <w:sz w:val="22"/>
          <w:szCs w:val="22"/>
        </w:rPr>
        <w:lastRenderedPageBreak/>
        <w:t>the Okinawan people, but it also raises doubts about its genuine commitment to preventing VAW stemming from military bases.</w:t>
      </w:r>
    </w:p>
    <w:p w14:paraId="50462A24" w14:textId="77777777" w:rsidR="0098366D" w:rsidRPr="00E93F74" w:rsidRDefault="0098366D" w:rsidP="00E93F74">
      <w:pPr>
        <w:spacing w:line="276" w:lineRule="auto"/>
        <w:jc w:val="both"/>
        <w:rPr>
          <w:rFonts w:ascii="Times New Roman" w:eastAsia="Times New Roman" w:hAnsi="Times New Roman" w:cs="Times New Roman"/>
          <w:sz w:val="22"/>
          <w:szCs w:val="22"/>
        </w:rPr>
      </w:pPr>
    </w:p>
    <w:p w14:paraId="2ECB7B4D" w14:textId="77777777" w:rsidR="0098366D" w:rsidRPr="00E93F74" w:rsidRDefault="00000000" w:rsidP="00E93F74">
      <w:pPr>
        <w:spacing w:line="276" w:lineRule="auto"/>
        <w:jc w:val="both"/>
        <w:rPr>
          <w:rFonts w:ascii="Times New Roman" w:eastAsia="Times New Roman" w:hAnsi="Times New Roman" w:cs="Times New Roman"/>
          <w:sz w:val="22"/>
          <w:szCs w:val="22"/>
        </w:rPr>
      </w:pPr>
      <w:r w:rsidRPr="00E93F74">
        <w:rPr>
          <w:rFonts w:ascii="Times New Roman" w:eastAsia="Times New Roman" w:hAnsi="Times New Roman" w:cs="Times New Roman"/>
          <w:sz w:val="22"/>
          <w:szCs w:val="22"/>
        </w:rPr>
        <w:t xml:space="preserve">     </w:t>
      </w:r>
    </w:p>
    <w:p w14:paraId="497E3E96" w14:textId="482A82DF" w:rsidR="0098366D" w:rsidRPr="00E93F74" w:rsidRDefault="00E93F74" w:rsidP="00E93F74">
      <w:pPr>
        <w:spacing w:line="276" w:lineRule="auto"/>
        <w:jc w:val="both"/>
        <w:rPr>
          <w:rFonts w:ascii="Times New Roman" w:hAnsi="Times New Roman" w:cs="Times New Roman"/>
          <w:b/>
          <w:sz w:val="22"/>
          <w:szCs w:val="22"/>
        </w:rPr>
      </w:pPr>
      <w:r>
        <w:rPr>
          <w:rFonts w:ascii="Times New Roman" w:hAnsi="Times New Roman" w:cs="Times New Roman"/>
          <w:b/>
          <w:sz w:val="22"/>
          <w:szCs w:val="22"/>
        </w:rPr>
        <w:t>(5)</w:t>
      </w:r>
      <w:r w:rsidRPr="00E93F74">
        <w:rPr>
          <w:rFonts w:ascii="Times New Roman" w:hAnsi="Times New Roman" w:cs="Times New Roman"/>
          <w:b/>
          <w:sz w:val="22"/>
          <w:szCs w:val="22"/>
        </w:rPr>
        <w:t>Recommendations Related to “Gender-Based Violence” in the General Recommendations of the Committee on the Elimination of Discrimination against Women</w:t>
      </w:r>
    </w:p>
    <w:p w14:paraId="652E3DDA" w14:textId="77777777" w:rsidR="00E93F74" w:rsidRPr="00E93F74" w:rsidRDefault="00E93F74" w:rsidP="00E93F74">
      <w:pPr>
        <w:spacing w:line="276" w:lineRule="auto"/>
        <w:jc w:val="both"/>
        <w:rPr>
          <w:rFonts w:ascii="Times New Roman" w:hAnsi="Times New Roman" w:cs="Times New Roman"/>
          <w:b/>
          <w:sz w:val="22"/>
          <w:szCs w:val="22"/>
        </w:rPr>
      </w:pPr>
    </w:p>
    <w:p w14:paraId="0B33D8FC" w14:textId="29659166" w:rsidR="0098366D" w:rsidRPr="00E93F74" w:rsidRDefault="00000000" w:rsidP="00EF6A39">
      <w:pPr>
        <w:spacing w:line="276" w:lineRule="auto"/>
        <w:rPr>
          <w:rFonts w:ascii="Times New Roman" w:hAnsi="Times New Roman" w:cs="Times New Roman"/>
          <w:sz w:val="22"/>
          <w:szCs w:val="22"/>
        </w:rPr>
      </w:pPr>
      <w:r w:rsidRPr="00E93F74">
        <w:rPr>
          <w:rFonts w:ascii="Times New Roman" w:hAnsi="Times New Roman" w:cs="Times New Roman"/>
          <w:b/>
          <w:sz w:val="22"/>
          <w:szCs w:val="22"/>
        </w:rPr>
        <w:t>General recommendation No. 19: Violence against women (A/47/38, 1992)</w:t>
      </w:r>
      <w:r w:rsidRPr="00E93F74">
        <w:rPr>
          <w:rFonts w:ascii="Times New Roman" w:hAnsi="Times New Roman" w:cs="Times New Roman"/>
          <w:b/>
          <w:sz w:val="22"/>
          <w:szCs w:val="22"/>
        </w:rPr>
        <w:br/>
        <w:t xml:space="preserve">Para 6. </w:t>
      </w:r>
      <w:r w:rsidRPr="00E93F74">
        <w:rPr>
          <w:rFonts w:ascii="Times New Roman" w:hAnsi="Times New Roman" w:cs="Times New Roman"/>
          <w:sz w:val="22"/>
          <w:szCs w:val="22"/>
        </w:rPr>
        <w:t xml:space="preserve">The Convention in article 1 defines discrimination against women. </w:t>
      </w:r>
      <w:r w:rsidRPr="00E93F74">
        <w:rPr>
          <w:rFonts w:ascii="Times New Roman" w:hAnsi="Times New Roman" w:cs="Times New Roman"/>
          <w:sz w:val="22"/>
          <w:szCs w:val="22"/>
          <w:u w:val="single"/>
        </w:rPr>
        <w:t>The definition of discrimination includes gender-based violence</w:t>
      </w:r>
      <w:r w:rsidRPr="00E93F74">
        <w:rPr>
          <w:rFonts w:ascii="Times New Roman" w:hAnsi="Times New Roman" w:cs="Times New Roman"/>
          <w:sz w:val="22"/>
          <w:szCs w:val="22"/>
        </w:rPr>
        <w:t xml:space="preserve">, that is, </w:t>
      </w:r>
      <w:r w:rsidRPr="00E93F74">
        <w:rPr>
          <w:rFonts w:ascii="Times New Roman" w:hAnsi="Times New Roman" w:cs="Times New Roman"/>
          <w:sz w:val="22"/>
          <w:szCs w:val="22"/>
          <w:u w:val="single"/>
        </w:rPr>
        <w:t>violence that is directed against a woman because she is a woman or that affects women disproportionately</w:t>
      </w:r>
      <w:r w:rsidRPr="00E93F74">
        <w:rPr>
          <w:rFonts w:ascii="Times New Roman" w:hAnsi="Times New Roman" w:cs="Times New Roman"/>
          <w:sz w:val="22"/>
          <w:szCs w:val="22"/>
        </w:rPr>
        <w:t xml:space="preserve">. It includes acts that </w:t>
      </w:r>
      <w:r w:rsidRPr="00E93F74">
        <w:rPr>
          <w:rFonts w:ascii="Times New Roman" w:hAnsi="Times New Roman" w:cs="Times New Roman"/>
          <w:sz w:val="22"/>
          <w:szCs w:val="22"/>
          <w:u w:val="single"/>
        </w:rPr>
        <w:t>inflict physical, mental or sexual harm or suffering, threats of such acts, coercion and other deprivations of liberty</w:t>
      </w:r>
      <w:r w:rsidRPr="00E93F74">
        <w:rPr>
          <w:rFonts w:ascii="Times New Roman" w:hAnsi="Times New Roman" w:cs="Times New Roman"/>
          <w:sz w:val="22"/>
          <w:szCs w:val="22"/>
        </w:rPr>
        <w:t xml:space="preserve">. </w:t>
      </w:r>
      <w:r w:rsidRPr="00EF6A39">
        <w:rPr>
          <w:rFonts w:ascii="Times New Roman" w:hAnsi="Times New Roman" w:cs="Times New Roman"/>
          <w:sz w:val="22"/>
          <w:szCs w:val="22"/>
        </w:rPr>
        <w:t>Gender-based violence may breach specific provisions of the Convention, regardless of whether those provisions expressly mention violence.</w:t>
      </w:r>
    </w:p>
    <w:p w14:paraId="5F1802E1"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Para 9.</w:t>
      </w:r>
      <w:r w:rsidRPr="00E93F74">
        <w:rPr>
          <w:rFonts w:ascii="Times New Roman" w:hAnsi="Times New Roman" w:cs="Times New Roman"/>
          <w:sz w:val="22"/>
          <w:szCs w:val="22"/>
        </w:rPr>
        <w:t xml:space="preserve"> </w:t>
      </w:r>
      <w:r w:rsidRPr="00EF6A39">
        <w:rPr>
          <w:rFonts w:ascii="Times New Roman" w:hAnsi="Times New Roman" w:cs="Times New Roman"/>
          <w:sz w:val="22"/>
          <w:szCs w:val="22"/>
        </w:rPr>
        <w:t>It is emphasized, however, that discrimination under the Convention is not restricted to action by or on behalf of Governments (see articles 2 (e), 2 (f) and 5). For example, under article 2 (e) the Convention calls on States parties to take all appropriate measures to eliminate discrimination against women by any person, organization or enterprise. Under general international law and specific human rights covenants,</w:t>
      </w:r>
      <w:r w:rsidRPr="00E93F74">
        <w:rPr>
          <w:rFonts w:ascii="Times New Roman" w:hAnsi="Times New Roman" w:cs="Times New Roman"/>
          <w:sz w:val="22"/>
          <w:szCs w:val="22"/>
        </w:rPr>
        <w:t xml:space="preserve"> </w:t>
      </w:r>
      <w:r w:rsidRPr="00E93F74">
        <w:rPr>
          <w:rFonts w:ascii="Times New Roman" w:hAnsi="Times New Roman" w:cs="Times New Roman"/>
          <w:sz w:val="22"/>
          <w:szCs w:val="22"/>
          <w:u w:val="single"/>
        </w:rPr>
        <w:t>States may also be responsible for private acts if they fail to act with due diligence to prevent violations of rights or to investigate and punish acts of violence, and for providing compensation</w:t>
      </w:r>
      <w:r w:rsidRPr="00E93F74">
        <w:rPr>
          <w:rFonts w:ascii="Times New Roman" w:hAnsi="Times New Roman" w:cs="Times New Roman"/>
          <w:sz w:val="22"/>
          <w:szCs w:val="22"/>
        </w:rPr>
        <w:t>.</w:t>
      </w:r>
    </w:p>
    <w:p w14:paraId="37334895" w14:textId="77777777" w:rsidR="0098366D" w:rsidRPr="00E93F74" w:rsidRDefault="0098366D" w:rsidP="00E93F74">
      <w:pPr>
        <w:spacing w:line="276" w:lineRule="auto"/>
        <w:jc w:val="both"/>
        <w:rPr>
          <w:rFonts w:ascii="Times New Roman" w:hAnsi="Times New Roman" w:cs="Times New Roman"/>
          <w:b/>
          <w:sz w:val="22"/>
          <w:szCs w:val="22"/>
        </w:rPr>
      </w:pPr>
    </w:p>
    <w:p w14:paraId="4574439C"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General recommendation No. 28 on the core obligations of States parties under article 2 of the Convention on the Elimination of All Forms of Discrimination against Women (CEDAW/C/GC/28, 2010)</w:t>
      </w:r>
    </w:p>
    <w:p w14:paraId="18529C74"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 xml:space="preserve">Para10. </w:t>
      </w:r>
      <w:r w:rsidRPr="00E93F74">
        <w:rPr>
          <w:rFonts w:ascii="Times New Roman" w:hAnsi="Times New Roman" w:cs="Times New Roman"/>
          <w:sz w:val="22"/>
          <w:szCs w:val="22"/>
        </w:rPr>
        <w:t xml:space="preserve">States parties have an </w:t>
      </w:r>
      <w:r w:rsidRPr="00E93F74">
        <w:rPr>
          <w:rFonts w:ascii="Times New Roman" w:hAnsi="Times New Roman" w:cs="Times New Roman"/>
          <w:sz w:val="22"/>
          <w:szCs w:val="22"/>
          <w:u w:val="single"/>
        </w:rPr>
        <w:t>obligation not to cause discrimination against women through acts or omissions</w:t>
      </w:r>
      <w:r w:rsidRPr="00E93F74">
        <w:rPr>
          <w:rFonts w:ascii="Times New Roman" w:hAnsi="Times New Roman" w:cs="Times New Roman"/>
          <w:sz w:val="22"/>
          <w:szCs w:val="22"/>
        </w:rPr>
        <w:t xml:space="preserve">; </w:t>
      </w:r>
      <w:r w:rsidRPr="00E93F74">
        <w:rPr>
          <w:rFonts w:ascii="Times New Roman" w:hAnsi="Times New Roman" w:cs="Times New Roman"/>
          <w:sz w:val="22"/>
          <w:szCs w:val="22"/>
          <w:u w:val="single"/>
        </w:rPr>
        <w:t>they are further obliged to react actively against discrimination against women, regardless of whether such acts or omissions are perpetrated by the State or by private actors.</w:t>
      </w:r>
      <w:r w:rsidRPr="00E93F74">
        <w:rPr>
          <w:rFonts w:ascii="Times New Roman" w:hAnsi="Times New Roman" w:cs="Times New Roman"/>
          <w:sz w:val="22"/>
          <w:szCs w:val="22"/>
        </w:rPr>
        <w:t xml:space="preserve"> </w:t>
      </w:r>
      <w:r w:rsidRPr="00EF6A39">
        <w:rPr>
          <w:rFonts w:ascii="Times New Roman" w:hAnsi="Times New Roman" w:cs="Times New Roman"/>
          <w:sz w:val="22"/>
          <w:szCs w:val="22"/>
        </w:rPr>
        <w:t xml:space="preserve">Discrimination can occur through the failure of States to take necessary legislative measures to ensure the full realization of women’s rights, the failure to adopt national policies aimed at achieving equality between women and men and the failure to enforce relevant laws. </w:t>
      </w:r>
      <w:r w:rsidRPr="00E93F74">
        <w:rPr>
          <w:rFonts w:ascii="Times New Roman" w:hAnsi="Times New Roman" w:cs="Times New Roman"/>
          <w:sz w:val="22"/>
          <w:szCs w:val="22"/>
        </w:rPr>
        <w:t xml:space="preserve">Likewise, States parties have an international </w:t>
      </w:r>
      <w:r w:rsidRPr="00E93F74">
        <w:rPr>
          <w:rFonts w:ascii="Times New Roman" w:hAnsi="Times New Roman" w:cs="Times New Roman"/>
          <w:sz w:val="22"/>
          <w:szCs w:val="22"/>
          <w:u w:val="single"/>
        </w:rPr>
        <w:t>responsibility to create and continuously improve statistical databases and the analysis of all forms of discrimination against women in general and against women belonging to specific vulnerable groups in particular.</w:t>
      </w:r>
    </w:p>
    <w:p w14:paraId="45F728C3" w14:textId="0F5728AF"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b/>
          <w:sz w:val="22"/>
          <w:szCs w:val="22"/>
        </w:rPr>
        <w:t>Para 16.</w:t>
      </w:r>
      <w:r w:rsidRPr="00E93F74">
        <w:rPr>
          <w:rFonts w:ascii="Times New Roman" w:hAnsi="Times New Roman" w:cs="Times New Roman"/>
          <w:sz w:val="22"/>
          <w:szCs w:val="22"/>
        </w:rPr>
        <w:t xml:space="preserve"> States parties are under an obligation to respect, protect and fulfil the right to nondiscrimination of women and to ensure the development and advancement of women in order that they improve their position and implement their right of de jure and de facto or substantive equality with men. States parties shall ensure that there is neither direct nor indirect discrimination against women. Direct discrimination against women constitutes different treatment explicitly based on grounds of sex and gender differences. Indirect discrimination against women occurs when a law, policy, programme or practice appears to be neutral in so far as it relates to men and women but has a discriminatory effect in practice on women because pre-existing inequalities are not addressed by the apparently neutral measure. </w:t>
      </w:r>
      <w:r w:rsidRPr="00EF6A39">
        <w:rPr>
          <w:rFonts w:ascii="Times New Roman" w:hAnsi="Times New Roman" w:cs="Times New Roman"/>
          <w:sz w:val="22"/>
          <w:szCs w:val="22"/>
        </w:rPr>
        <w:t>Moreover, indirect discrimination can exacerbate existing inequalities owing to a failure to recognize structural and historical patterns of discrimination and unequal power relationships between women and men.</w:t>
      </w:r>
      <w:r w:rsidR="00EF6A39">
        <w:rPr>
          <w:rFonts w:ascii="Times New Roman" w:hAnsi="Times New Roman" w:cs="Times New Roman"/>
          <w:sz w:val="22"/>
          <w:szCs w:val="22"/>
        </w:rPr>
        <w:br/>
      </w:r>
      <w:r w:rsidRPr="00E93F74">
        <w:rPr>
          <w:rFonts w:ascii="Times New Roman" w:hAnsi="Times New Roman" w:cs="Times New Roman"/>
          <w:b/>
          <w:sz w:val="22"/>
          <w:szCs w:val="22"/>
        </w:rPr>
        <w:t>Para 17.</w:t>
      </w:r>
      <w:r w:rsidRPr="00E93F74">
        <w:rPr>
          <w:rFonts w:ascii="Times New Roman" w:hAnsi="Times New Roman" w:cs="Times New Roman"/>
          <w:sz w:val="22"/>
          <w:szCs w:val="22"/>
        </w:rPr>
        <w:t xml:space="preserve"> States parties also have an obligation to ensure that women are protected against discrimination committed by public authorities, the judiciary, organizations, enterprises or private individuals, in the public and private spheres. This protection shall be provided by competent tribunals and other public institutions and enforced by sanctions and remedies, where appropriate. States parties should ensure that all Government bodies and organs are fully aware of the principles of equality and non-discrimination on </w:t>
      </w:r>
      <w:r w:rsidRPr="00E93F74">
        <w:rPr>
          <w:rFonts w:ascii="Times New Roman" w:hAnsi="Times New Roman" w:cs="Times New Roman"/>
          <w:sz w:val="22"/>
          <w:szCs w:val="22"/>
        </w:rPr>
        <w:lastRenderedPageBreak/>
        <w:t>the basis of sex and gender and that adequate training and awareness-raising programmes are set up and carried out in this respect.</w:t>
      </w:r>
    </w:p>
    <w:p w14:paraId="35E3A385"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sz w:val="22"/>
          <w:szCs w:val="22"/>
        </w:rPr>
        <w:br/>
      </w:r>
      <w:r w:rsidRPr="00E93F74">
        <w:rPr>
          <w:rFonts w:ascii="Times New Roman" w:hAnsi="Times New Roman" w:cs="Times New Roman"/>
          <w:b/>
          <w:sz w:val="22"/>
          <w:szCs w:val="22"/>
        </w:rPr>
        <w:t>General recommendation No. 30 on women in conflict prevention, conflict and post-conflict situations (CEDAW/C/GC/30, 2013)</w:t>
      </w:r>
    </w:p>
    <w:p w14:paraId="7905079F"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b/>
          <w:sz w:val="22"/>
          <w:szCs w:val="22"/>
        </w:rPr>
        <w:t xml:space="preserve">Para 19. </w:t>
      </w:r>
      <w:r w:rsidRPr="00E93F74">
        <w:rPr>
          <w:rFonts w:ascii="Times New Roman" w:hAnsi="Times New Roman" w:cs="Times New Roman"/>
          <w:sz w:val="22"/>
          <w:szCs w:val="22"/>
        </w:rPr>
        <w:t>In all crisis situations, whether non-international or international armed conflict, public emergencies, foreign occupation or other situations of concern such as political strife, women’s rights are guaranteed by an international law regime that consists of complementary protections under the Convention and international humanitarian, refugee and criminal law.</w:t>
      </w:r>
    </w:p>
    <w:p w14:paraId="51024497"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b/>
          <w:sz w:val="22"/>
          <w:szCs w:val="22"/>
        </w:rPr>
        <w:t xml:space="preserve">Para 23. </w:t>
      </w:r>
      <w:r w:rsidRPr="00E93F74">
        <w:rPr>
          <w:rFonts w:ascii="Times New Roman" w:hAnsi="Times New Roman" w:cs="Times New Roman"/>
          <w:sz w:val="22"/>
          <w:szCs w:val="22"/>
          <w:u w:val="single"/>
        </w:rPr>
        <w:t>Under the Convention, States parties’ obligations to prevent, investigate and punish trafficking and sexual and gender-based violence are reinforced by international criminal law</w:t>
      </w:r>
      <w:r w:rsidRPr="00E93F74">
        <w:rPr>
          <w:rFonts w:ascii="Times New Roman" w:hAnsi="Times New Roman" w:cs="Times New Roman"/>
          <w:sz w:val="22"/>
          <w:szCs w:val="22"/>
        </w:rPr>
        <w:t xml:space="preserve">, including jurisprudence of the international and mixed criminal tribunals and the Rome Statute of the International Criminal Court, pursuant to which enslavement in the course of trafficking in women and girls, rape, sexual slavery, enforced prostitution, forced pregnancy, enforced sterilization or any other form of sexual violence of comparable gravity may constitute a war crime, a crime against humanity or an act of torture, or constitute an act of genocide. </w:t>
      </w:r>
      <w:r w:rsidRPr="00EF6A39">
        <w:rPr>
          <w:rFonts w:ascii="Times New Roman" w:hAnsi="Times New Roman" w:cs="Times New Roman"/>
          <w:sz w:val="22"/>
          <w:szCs w:val="22"/>
        </w:rPr>
        <w:t>International criminal law, including the definitions of gender-based violence, in particular sexual violence, must also be interpreted consistently with the Convention and other internationally recognized human rights instruments without adverse distinction as to gender.</w:t>
      </w:r>
    </w:p>
    <w:p w14:paraId="5F0E2900"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b/>
          <w:sz w:val="22"/>
          <w:szCs w:val="22"/>
        </w:rPr>
        <w:t>Para 38.</w:t>
      </w:r>
      <w:r w:rsidRPr="00E93F74">
        <w:rPr>
          <w:rFonts w:ascii="Times New Roman" w:hAnsi="Times New Roman" w:cs="Times New Roman"/>
          <w:sz w:val="22"/>
          <w:szCs w:val="22"/>
        </w:rPr>
        <w:t xml:space="preserve"> The Committee recommends that States parties:</w:t>
      </w:r>
    </w:p>
    <w:p w14:paraId="3D47BE2A"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b/>
        <w:t>(a)</w:t>
      </w:r>
      <w:r w:rsidRPr="00E93F74">
        <w:rPr>
          <w:rFonts w:ascii="Times New Roman" w:hAnsi="Times New Roman" w:cs="Times New Roman"/>
          <w:sz w:val="22"/>
          <w:szCs w:val="22"/>
        </w:rPr>
        <w:tab/>
        <w:t>Prohibit all forms of gender-based violence by State and non-State actors, including through legislation, policies and protocols;</w:t>
      </w:r>
    </w:p>
    <w:p w14:paraId="045730F2"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b/>
        <w:t>(b)</w:t>
      </w:r>
      <w:r w:rsidRPr="00E93F74">
        <w:rPr>
          <w:rFonts w:ascii="Times New Roman" w:hAnsi="Times New Roman" w:cs="Times New Roman"/>
          <w:sz w:val="22"/>
          <w:szCs w:val="22"/>
        </w:rPr>
        <w:tab/>
        <w:t xml:space="preserve">Prevent, investigate and punish all forms of gender-based violence, in particular sexual violence perpetrated by State and non-State actors, and </w:t>
      </w:r>
      <w:r w:rsidRPr="00E93F74">
        <w:rPr>
          <w:rFonts w:ascii="Times New Roman" w:hAnsi="Times New Roman" w:cs="Times New Roman"/>
          <w:sz w:val="22"/>
          <w:szCs w:val="22"/>
          <w:u w:val="single"/>
        </w:rPr>
        <w:t>implement a policy of zero tolerance;</w:t>
      </w:r>
    </w:p>
    <w:p w14:paraId="1FFD65AB"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b/>
        <w:t>(c)</w:t>
      </w:r>
      <w:r w:rsidRPr="00E93F74">
        <w:rPr>
          <w:rFonts w:ascii="Times New Roman" w:hAnsi="Times New Roman" w:cs="Times New Roman"/>
          <w:sz w:val="22"/>
          <w:szCs w:val="22"/>
        </w:rPr>
        <w:tab/>
        <w:t xml:space="preserve">Ensure women’s and girls’ access to justice; adopt gender-sensitive investigative procedures to address gender-based violence, in particular sexual violence; conduct gender-sensitive training and </w:t>
      </w:r>
      <w:r w:rsidRPr="00E93F74">
        <w:rPr>
          <w:rFonts w:ascii="Times New Roman" w:hAnsi="Times New Roman" w:cs="Times New Roman"/>
          <w:sz w:val="22"/>
          <w:szCs w:val="22"/>
          <w:u w:val="single"/>
        </w:rPr>
        <w:t>adopt codes of conduct and protocols for the police and military</w:t>
      </w:r>
      <w:r w:rsidRPr="00E93F74">
        <w:rPr>
          <w:rFonts w:ascii="Times New Roman" w:hAnsi="Times New Roman" w:cs="Times New Roman"/>
          <w:sz w:val="22"/>
          <w:szCs w:val="22"/>
        </w:rPr>
        <w:t>, including peacekeepers; and build the capacity of the judiciary, including in the context of transitional justice mechanisms, to ensure its independence, impartiality and integrity;</w:t>
      </w:r>
    </w:p>
    <w:p w14:paraId="57321BF9" w14:textId="77777777" w:rsidR="0098366D"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b/>
        <w:t>(d)</w:t>
      </w:r>
      <w:r w:rsidRPr="00E93F74">
        <w:rPr>
          <w:rFonts w:ascii="Times New Roman" w:hAnsi="Times New Roman" w:cs="Times New Roman"/>
          <w:sz w:val="22"/>
          <w:szCs w:val="22"/>
        </w:rPr>
        <w:tab/>
        <w:t xml:space="preserve">Collect data, and standardize data collection methods, on the incidence and prevalence of gender-based violence, in particular sexual violence, in different settings and with regard to different categories of </w:t>
      </w:r>
      <w:proofErr w:type="gramStart"/>
      <w:r w:rsidRPr="00E93F74">
        <w:rPr>
          <w:rFonts w:ascii="Times New Roman" w:hAnsi="Times New Roman" w:cs="Times New Roman"/>
          <w:sz w:val="22"/>
          <w:szCs w:val="22"/>
        </w:rPr>
        <w:t>women;</w:t>
      </w:r>
      <w:proofErr w:type="gramEnd"/>
    </w:p>
    <w:p w14:paraId="54949C2E" w14:textId="6939A2D9" w:rsidR="00E92EEE" w:rsidRPr="006B79DF" w:rsidRDefault="00E92EEE" w:rsidP="00E92EEE">
      <w:pPr>
        <w:spacing w:line="276" w:lineRule="auto"/>
        <w:jc w:val="both"/>
        <w:rPr>
          <w:rFonts w:ascii="Times New Roman" w:hAnsi="Times New Roman" w:cs="Times New Roman"/>
          <w:sz w:val="22"/>
          <w:szCs w:val="22"/>
        </w:rPr>
      </w:pPr>
      <w:r w:rsidRPr="006B79DF">
        <w:rPr>
          <w:rFonts w:ascii="Times New Roman" w:hAnsi="Times New Roman" w:cs="Times New Roman" w:hint="eastAsia"/>
          <w:sz w:val="22"/>
          <w:szCs w:val="22"/>
        </w:rPr>
        <w:t xml:space="preserve">　　　</w:t>
      </w:r>
      <w:r w:rsidRPr="006B79DF">
        <w:rPr>
          <w:rFonts w:ascii="Times New Roman" w:hAnsi="Times New Roman" w:cs="Times New Roman" w:hint="eastAsia"/>
          <w:sz w:val="22"/>
          <w:szCs w:val="22"/>
        </w:rPr>
        <w:t xml:space="preserve">(e)        </w:t>
      </w:r>
      <w:r w:rsidRPr="006B79DF">
        <w:rPr>
          <w:rFonts w:ascii="Times New Roman" w:hAnsi="Times New Roman" w:cs="Times New Roman"/>
          <w:sz w:val="22"/>
          <w:szCs w:val="22"/>
        </w:rPr>
        <w:t>Allocate adequate resources and adopt effective measures to ensure that</w:t>
      </w:r>
      <w:r w:rsidRPr="006B79DF">
        <w:rPr>
          <w:rFonts w:ascii="Times New Roman" w:hAnsi="Times New Roman" w:cs="Times New Roman" w:hint="eastAsia"/>
          <w:sz w:val="22"/>
          <w:szCs w:val="22"/>
        </w:rPr>
        <w:t xml:space="preserve"> </w:t>
      </w:r>
      <w:r w:rsidRPr="006B79DF">
        <w:rPr>
          <w:rFonts w:ascii="Times New Roman" w:hAnsi="Times New Roman" w:cs="Times New Roman"/>
          <w:sz w:val="22"/>
          <w:szCs w:val="22"/>
        </w:rPr>
        <w:t>victims of gender-based violence, in particular sexual violence, have access to</w:t>
      </w:r>
      <w:r w:rsidRPr="006B79DF">
        <w:rPr>
          <w:rFonts w:ascii="Times New Roman" w:hAnsi="Times New Roman" w:cs="Times New Roman" w:hint="eastAsia"/>
          <w:sz w:val="22"/>
          <w:szCs w:val="22"/>
        </w:rPr>
        <w:t xml:space="preserve"> </w:t>
      </w:r>
      <w:r w:rsidRPr="006B79DF">
        <w:rPr>
          <w:rFonts w:ascii="Times New Roman" w:hAnsi="Times New Roman" w:cs="Times New Roman"/>
          <w:sz w:val="22"/>
          <w:szCs w:val="22"/>
        </w:rPr>
        <w:t xml:space="preserve">comprehensive medical treatment, mental health care and psychosocial </w:t>
      </w:r>
      <w:proofErr w:type="gramStart"/>
      <w:r w:rsidRPr="006B79DF">
        <w:rPr>
          <w:rFonts w:ascii="Times New Roman" w:hAnsi="Times New Roman" w:cs="Times New Roman"/>
          <w:sz w:val="22"/>
          <w:szCs w:val="22"/>
        </w:rPr>
        <w:t>support;</w:t>
      </w:r>
      <w:proofErr w:type="gramEnd"/>
    </w:p>
    <w:p w14:paraId="38680AE8" w14:textId="2D9AF75F" w:rsidR="0098366D" w:rsidRPr="00E93F74" w:rsidRDefault="00000000" w:rsidP="00EF6A39">
      <w:pPr>
        <w:spacing w:line="276" w:lineRule="auto"/>
        <w:ind w:firstLineChars="300" w:firstLine="660"/>
        <w:jc w:val="both"/>
        <w:rPr>
          <w:rFonts w:ascii="Times New Roman" w:hAnsi="Times New Roman" w:cs="Times New Roman"/>
          <w:sz w:val="22"/>
          <w:szCs w:val="22"/>
        </w:rPr>
      </w:pPr>
      <w:r w:rsidRPr="00E93F74">
        <w:rPr>
          <w:rFonts w:ascii="Times New Roman" w:hAnsi="Times New Roman" w:cs="Times New Roman"/>
          <w:sz w:val="22"/>
          <w:szCs w:val="22"/>
        </w:rPr>
        <w:t>(f)</w:t>
      </w:r>
      <w:r w:rsidR="00EF6A39">
        <w:rPr>
          <w:rFonts w:ascii="Times New Roman" w:hAnsi="Times New Roman" w:cs="Times New Roman" w:hint="eastAsia"/>
          <w:sz w:val="22"/>
          <w:szCs w:val="22"/>
        </w:rPr>
        <w:t xml:space="preserve">       </w:t>
      </w:r>
      <w:r w:rsidRPr="00E93F74">
        <w:rPr>
          <w:rFonts w:ascii="Times New Roman" w:hAnsi="Times New Roman" w:cs="Times New Roman"/>
          <w:sz w:val="22"/>
          <w:szCs w:val="22"/>
        </w:rPr>
        <w:t xml:space="preserve">Develop and disseminate standard operating procedures and referral pathways to link security actors with service providers on gender-based violence, including </w:t>
      </w:r>
      <w:r w:rsidRPr="00E93F74">
        <w:rPr>
          <w:rFonts w:ascii="Times New Roman" w:hAnsi="Times New Roman" w:cs="Times New Roman"/>
          <w:sz w:val="22"/>
          <w:szCs w:val="22"/>
          <w:u w:val="single"/>
        </w:rPr>
        <w:t xml:space="preserve">one-stop shops offering medical, legal and psychosocial services for sexual violence survivors, multipurpose community centres that link immediate assistance to economic and social empowerment and reintegration, and mobile </w:t>
      </w:r>
      <w:proofErr w:type="gramStart"/>
      <w:r w:rsidRPr="00E93F74">
        <w:rPr>
          <w:rFonts w:ascii="Times New Roman" w:hAnsi="Times New Roman" w:cs="Times New Roman"/>
          <w:sz w:val="22"/>
          <w:szCs w:val="22"/>
          <w:u w:val="single"/>
        </w:rPr>
        <w:t>clinics;</w:t>
      </w:r>
      <w:proofErr w:type="gramEnd"/>
    </w:p>
    <w:p w14:paraId="0A772BE5"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b/>
        <w:t>(g)</w:t>
      </w:r>
      <w:r w:rsidRPr="00E93F74">
        <w:rPr>
          <w:rFonts w:ascii="Times New Roman" w:hAnsi="Times New Roman" w:cs="Times New Roman"/>
          <w:sz w:val="22"/>
          <w:szCs w:val="22"/>
        </w:rPr>
        <w:tab/>
        <w:t>Invest in technical expertise and allocate resources to address the distinct needs of women and girls subject to violence, including the impact of sexual violence on their reproductive health;</w:t>
      </w:r>
    </w:p>
    <w:p w14:paraId="18DB99DB" w14:textId="77777777" w:rsidR="0098366D" w:rsidRPr="00E93F74" w:rsidRDefault="0098366D" w:rsidP="00E93F74">
      <w:pPr>
        <w:spacing w:line="276" w:lineRule="auto"/>
        <w:jc w:val="both"/>
        <w:rPr>
          <w:rFonts w:ascii="Times New Roman" w:hAnsi="Times New Roman" w:cs="Times New Roman"/>
          <w:b/>
          <w:sz w:val="22"/>
          <w:szCs w:val="22"/>
        </w:rPr>
      </w:pPr>
    </w:p>
    <w:p w14:paraId="786D44AD" w14:textId="77777777" w:rsidR="00EF6A39"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General recommendation No. 35 on gender-based violence against women, updating general recommendation No. 19 (CEDAW/C/GC/35, 2017)</w:t>
      </w:r>
    </w:p>
    <w:p w14:paraId="3BAA19BC" w14:textId="12F0966A" w:rsidR="0098366D" w:rsidRPr="00E93F74" w:rsidRDefault="00000000" w:rsidP="00E93F74">
      <w:pPr>
        <w:spacing w:line="276" w:lineRule="auto"/>
        <w:jc w:val="both"/>
        <w:rPr>
          <w:rFonts w:ascii="Times New Roman" w:hAnsi="Times New Roman" w:cs="Times New Roman"/>
          <w:sz w:val="22"/>
          <w:szCs w:val="22"/>
          <w:u w:val="single"/>
        </w:rPr>
      </w:pPr>
      <w:r w:rsidRPr="00E93F74">
        <w:rPr>
          <w:rFonts w:ascii="Times New Roman" w:hAnsi="Times New Roman" w:cs="Times New Roman"/>
          <w:b/>
          <w:sz w:val="22"/>
          <w:szCs w:val="22"/>
        </w:rPr>
        <w:t xml:space="preserve">Para 1 </w:t>
      </w:r>
      <w:r w:rsidRPr="00E93F74">
        <w:rPr>
          <w:rFonts w:ascii="Times New Roman" w:hAnsi="Times New Roman" w:cs="Times New Roman"/>
          <w:sz w:val="22"/>
          <w:szCs w:val="22"/>
        </w:rPr>
        <w:t xml:space="preserve">In its general recommendation No. 19 (1992) on violence against women, adopted at its eleventh session, the </w:t>
      </w:r>
      <w:r w:rsidRPr="00E93F74">
        <w:rPr>
          <w:rFonts w:ascii="Times New Roman" w:hAnsi="Times New Roman" w:cs="Times New Roman"/>
          <w:sz w:val="22"/>
          <w:szCs w:val="22"/>
          <w:u w:val="single"/>
        </w:rPr>
        <w:t xml:space="preserve">Committee clarified that discrimination against women, as defined in article 1 of the Convention, included gender-based violence, that is “violence which is directed against a woman because </w:t>
      </w:r>
      <w:r w:rsidRPr="00E93F74">
        <w:rPr>
          <w:rFonts w:ascii="Times New Roman" w:hAnsi="Times New Roman" w:cs="Times New Roman"/>
          <w:sz w:val="22"/>
          <w:szCs w:val="22"/>
          <w:u w:val="single"/>
        </w:rPr>
        <w:lastRenderedPageBreak/>
        <w:t>she is a woman or that affects women disproportionately”, and that it constituted a violation of their human rights.</w:t>
      </w:r>
    </w:p>
    <w:p w14:paraId="391084F7" w14:textId="77777777" w:rsidR="0098366D" w:rsidRPr="00E93F74" w:rsidRDefault="00000000" w:rsidP="00E93F74">
      <w:pPr>
        <w:spacing w:line="276" w:lineRule="auto"/>
        <w:jc w:val="both"/>
        <w:rPr>
          <w:rFonts w:ascii="Times New Roman" w:hAnsi="Times New Roman" w:cs="Times New Roman"/>
          <w:sz w:val="22"/>
          <w:szCs w:val="22"/>
        </w:rPr>
      </w:pPr>
      <w:r w:rsidRPr="00EF6A39">
        <w:rPr>
          <w:rFonts w:ascii="Times New Roman" w:hAnsi="Times New Roman" w:cs="Times New Roman"/>
          <w:b/>
          <w:sz w:val="22"/>
          <w:szCs w:val="22"/>
        </w:rPr>
        <w:t xml:space="preserve">Para 6 </w:t>
      </w:r>
      <w:r w:rsidRPr="00EF6A39">
        <w:rPr>
          <w:rFonts w:ascii="Times New Roman" w:hAnsi="Times New Roman" w:cs="Times New Roman"/>
          <w:sz w:val="22"/>
          <w:szCs w:val="22"/>
        </w:rPr>
        <w:t>Despite those advances, gender-based violence against women, whether committed by States, intergovernmental organizations or non-State actors, including private persons and armed groups, remains pervasive in all countries, with high levels of impunity. It manifests itself on a continuum of multiple, interrelated and recurring forms, in a range of settings, from private to public, including technology-mediated settings and in the contemporary globalized world it transcends national boundaries.</w:t>
      </w:r>
    </w:p>
    <w:p w14:paraId="49C9D192"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Para 14</w:t>
      </w:r>
      <w:r w:rsidRPr="00E93F74">
        <w:rPr>
          <w:rFonts w:ascii="Times New Roman" w:hAnsi="Times New Roman" w:cs="Times New Roman"/>
          <w:sz w:val="22"/>
          <w:szCs w:val="22"/>
        </w:rPr>
        <w:t xml:space="preserve"> </w:t>
      </w:r>
      <w:r w:rsidRPr="00EF6A39">
        <w:rPr>
          <w:rFonts w:ascii="Times New Roman" w:hAnsi="Times New Roman" w:cs="Times New Roman"/>
          <w:sz w:val="22"/>
          <w:szCs w:val="22"/>
        </w:rPr>
        <w:t>Gender-based violence affects women throughout their life cycle and, accordingly, references to women in the present document include girls. Such violence takes multiple forms, including acts or omissions intended or likely to cause or result in death</w:t>
      </w:r>
      <w:r w:rsidRPr="00EF6A39">
        <w:rPr>
          <w:rFonts w:ascii="Times New Roman" w:hAnsi="Times New Roman" w:cs="Times New Roman"/>
          <w:sz w:val="22"/>
          <w:szCs w:val="22"/>
          <w:vertAlign w:val="superscript"/>
        </w:rPr>
        <w:t xml:space="preserve"> </w:t>
      </w:r>
      <w:r w:rsidRPr="00EF6A39">
        <w:rPr>
          <w:rFonts w:ascii="Times New Roman" w:hAnsi="Times New Roman" w:cs="Times New Roman"/>
          <w:sz w:val="22"/>
          <w:szCs w:val="22"/>
        </w:rPr>
        <w:t>or physical, sexual, psychological or economic harm or suffering to women, threats of such acts, harassment, coercion and arbitrary deprivation of liberty.</w:t>
      </w:r>
      <w:r w:rsidRPr="00E93F74">
        <w:rPr>
          <w:rFonts w:ascii="Times New Roman" w:hAnsi="Times New Roman" w:cs="Times New Roman"/>
          <w:sz w:val="22"/>
          <w:szCs w:val="22"/>
        </w:rPr>
        <w:t xml:space="preserve"> </w:t>
      </w:r>
      <w:r w:rsidRPr="00E93F74">
        <w:rPr>
          <w:rFonts w:ascii="Times New Roman" w:hAnsi="Times New Roman" w:cs="Times New Roman"/>
          <w:sz w:val="22"/>
          <w:szCs w:val="22"/>
          <w:u w:val="single"/>
        </w:rPr>
        <w:t>Gender-based violence against women is affected and often exacerbated by cultural, economic, ideological, technological, political, religious, social and environmental factors</w:t>
      </w:r>
      <w:r w:rsidRPr="00E93F74">
        <w:rPr>
          <w:rFonts w:ascii="Times New Roman" w:hAnsi="Times New Roman" w:cs="Times New Roman"/>
          <w:sz w:val="22"/>
          <w:szCs w:val="22"/>
        </w:rPr>
        <w:t xml:space="preserve">, as evidenced, among other things, in the contexts of displacement, migration, the increased globalization of economic activities, including global supply chains, the extractive and offshoring industry, </w:t>
      </w:r>
      <w:r w:rsidRPr="00E93F74">
        <w:rPr>
          <w:rFonts w:ascii="Times New Roman" w:hAnsi="Times New Roman" w:cs="Times New Roman"/>
          <w:sz w:val="22"/>
          <w:szCs w:val="22"/>
          <w:u w:val="single"/>
        </w:rPr>
        <w:t>militarization, foreign occupation,</w:t>
      </w:r>
      <w:r w:rsidRPr="00E93F74">
        <w:rPr>
          <w:rFonts w:ascii="Times New Roman" w:hAnsi="Times New Roman" w:cs="Times New Roman"/>
          <w:sz w:val="22"/>
          <w:szCs w:val="22"/>
        </w:rPr>
        <w:t xml:space="preserve"> armed conflict, violent extremism and terrorism. </w:t>
      </w:r>
      <w:r w:rsidRPr="00EF6A39">
        <w:rPr>
          <w:rFonts w:ascii="Times New Roman" w:hAnsi="Times New Roman" w:cs="Times New Roman"/>
          <w:sz w:val="22"/>
          <w:szCs w:val="22"/>
        </w:rPr>
        <w:t>Gender-based violence against women is also affected by political, economic and social crises, civil unrest, humanitarian emergencies, natural disasters and the destruction or degradation of natural resources. Harmful practices and crimes against women human rights defenders, politicians, activists or journalists are also forms of gender-based violence against women affected by such cultural, ideological and political factors.</w:t>
      </w:r>
    </w:p>
    <w:p w14:paraId="062E6375"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 xml:space="preserve">Para 21 </w:t>
      </w:r>
      <w:r w:rsidRPr="00E93F74">
        <w:rPr>
          <w:rFonts w:ascii="Times New Roman" w:hAnsi="Times New Roman" w:cs="Times New Roman"/>
          <w:sz w:val="22"/>
          <w:szCs w:val="22"/>
        </w:rPr>
        <w:t xml:space="preserve">Gender-based violence against women constitutes discrimination against women under article 1 and therefore engages all obligations under the Convention. Article 2 provides that </w:t>
      </w:r>
      <w:r w:rsidRPr="00E93F74">
        <w:rPr>
          <w:rFonts w:ascii="Times New Roman" w:hAnsi="Times New Roman" w:cs="Times New Roman"/>
          <w:sz w:val="22"/>
          <w:szCs w:val="22"/>
          <w:u w:val="single"/>
        </w:rPr>
        <w:t>the overarching obligation of States parties is to pursue by all appropriate means and without delay a policy of eliminating discrimination against women, including gender-based violence against women.</w:t>
      </w:r>
      <w:r w:rsidRPr="00E93F74">
        <w:rPr>
          <w:rFonts w:ascii="Times New Roman" w:hAnsi="Times New Roman" w:cs="Times New Roman"/>
          <w:sz w:val="22"/>
          <w:szCs w:val="22"/>
        </w:rPr>
        <w:t xml:space="preserve"> </w:t>
      </w:r>
      <w:r w:rsidRPr="00E93F74">
        <w:rPr>
          <w:rFonts w:ascii="Times New Roman" w:hAnsi="Times New Roman" w:cs="Times New Roman"/>
          <w:sz w:val="22"/>
          <w:szCs w:val="22"/>
          <w:u w:val="single"/>
        </w:rPr>
        <w:t>That is an obligation of an immediate nature; delays cannot be justified on any grounds,</w:t>
      </w:r>
      <w:r w:rsidRPr="00E93F74">
        <w:rPr>
          <w:rFonts w:ascii="Times New Roman" w:hAnsi="Times New Roman" w:cs="Times New Roman"/>
          <w:sz w:val="22"/>
          <w:szCs w:val="22"/>
        </w:rPr>
        <w:t xml:space="preserve"> including economic, cultural or religious grounds. </w:t>
      </w:r>
      <w:r w:rsidRPr="00EF6A39">
        <w:rPr>
          <w:rFonts w:ascii="Times New Roman" w:hAnsi="Times New Roman" w:cs="Times New Roman"/>
          <w:sz w:val="22"/>
          <w:szCs w:val="22"/>
        </w:rPr>
        <w:t>In general recommendation No. 19, it is indicated that, with regard to gender-based violence against women, the obligation comprises two aspects of State responsibility for such violence, that which results from the acts or omissions of both the State party or its actors, on the one hand, and non-State actors, on the other.</w:t>
      </w:r>
    </w:p>
    <w:p w14:paraId="3CAA24E5" w14:textId="77777777" w:rsidR="0098366D" w:rsidRPr="00E93F74" w:rsidRDefault="0098366D" w:rsidP="00E93F74">
      <w:pPr>
        <w:spacing w:line="276" w:lineRule="auto"/>
        <w:jc w:val="both"/>
        <w:rPr>
          <w:rFonts w:ascii="Times New Roman" w:hAnsi="Times New Roman" w:cs="Times New Roman"/>
          <w:sz w:val="22"/>
          <w:szCs w:val="22"/>
        </w:rPr>
      </w:pPr>
    </w:p>
    <w:p w14:paraId="6656312B"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(6) Recommendations and observations by international human rights treaty bodies on minority women, Okinawa, and U.S. military bases in Okinawa</w:t>
      </w:r>
    </w:p>
    <w:p w14:paraId="13A91F82" w14:textId="77777777" w:rsidR="0098366D" w:rsidRPr="00E93F74" w:rsidRDefault="0098366D" w:rsidP="00E93F74">
      <w:pPr>
        <w:spacing w:line="276" w:lineRule="auto"/>
        <w:jc w:val="both"/>
        <w:rPr>
          <w:rFonts w:ascii="Times New Roman" w:hAnsi="Times New Roman" w:cs="Times New Roman"/>
          <w:b/>
          <w:sz w:val="22"/>
          <w:szCs w:val="22"/>
        </w:rPr>
      </w:pPr>
    </w:p>
    <w:p w14:paraId="5A2A6C62" w14:textId="77777777" w:rsidR="0098366D" w:rsidRPr="00E93F74" w:rsidRDefault="00000000" w:rsidP="00E93F74">
      <w:pPr>
        <w:spacing w:line="276" w:lineRule="auto"/>
        <w:jc w:val="both"/>
        <w:rPr>
          <w:rFonts w:ascii="Times New Roman" w:hAnsi="Times New Roman" w:cs="Times New Roman"/>
          <w:b/>
          <w:sz w:val="22"/>
          <w:szCs w:val="22"/>
        </w:rPr>
      </w:pPr>
      <w:r w:rsidRPr="00E93F74">
        <w:rPr>
          <w:rFonts w:ascii="Times New Roman" w:hAnsi="Times New Roman" w:cs="Times New Roman"/>
          <w:b/>
          <w:sz w:val="22"/>
          <w:szCs w:val="22"/>
        </w:rPr>
        <w:t>CEDAW, Concluding observations on the combined seventh and eighth periodic reports of Japan (CEDAW/C/JPN/CO/7-8, 2016)</w:t>
      </w:r>
    </w:p>
    <w:p w14:paraId="288CC13F" w14:textId="77777777" w:rsidR="0098366D" w:rsidRPr="00E93F74" w:rsidRDefault="00000000" w:rsidP="00E93F74">
      <w:pPr>
        <w:widowControl w:val="0"/>
        <w:numPr>
          <w:ilvl w:val="0"/>
          <w:numId w:val="6"/>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Violence against women</w:t>
      </w:r>
    </w:p>
    <w:p w14:paraId="3ADE58F7" w14:textId="77777777" w:rsidR="0098366D" w:rsidRPr="00E93F74" w:rsidRDefault="00000000" w:rsidP="00E93F74">
      <w:pPr>
        <w:pBdr>
          <w:top w:val="nil"/>
          <w:left w:val="nil"/>
          <w:bottom w:val="nil"/>
          <w:right w:val="nil"/>
          <w:between w:val="nil"/>
        </w:pBdr>
        <w:spacing w:line="276" w:lineRule="auto"/>
        <w:ind w:left="360"/>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 xml:space="preserve">Para 23. </w:t>
      </w:r>
      <w:r w:rsidRPr="00E93F74">
        <w:rPr>
          <w:rFonts w:ascii="Times New Roman" w:hAnsi="Times New Roman" w:cs="Times New Roman"/>
          <w:color w:val="000000"/>
          <w:sz w:val="22"/>
          <w:szCs w:val="22"/>
        </w:rPr>
        <w:t>Recalling its general recommendation No. 19 (1992) on violence against women, and its previous recommendations (CEDAW/C/JPN/CO/6, para. 30), the Committee urges the State party: (a)To make full use of the provisions of the Convention and the Committee’s general recommendation No. 19, as well as its jurisprudence, when amending its Penal Code, in order to ensure that it comprehensively addresses violence against women, including to address domestic violence and incest as specific crimes; (e) To encourage reporting by victims of all forms of violence against women and girls, particularly migrant women, and ensure that shelters are available and adequately equipped for women victims of violence; (f) To ensure training of lead personnel and that all cases of violence against women and girls are thoroughly and effectively investigated and that perpetrators are prosecuted and, if convicted, adequately punished;</w:t>
      </w:r>
    </w:p>
    <w:p w14:paraId="7F07D5B7" w14:textId="77777777" w:rsidR="0098366D" w:rsidRPr="00E93F74" w:rsidRDefault="0098366D" w:rsidP="00E93F74">
      <w:pPr>
        <w:pBdr>
          <w:top w:val="nil"/>
          <w:left w:val="nil"/>
          <w:bottom w:val="nil"/>
          <w:right w:val="nil"/>
          <w:between w:val="nil"/>
        </w:pBdr>
        <w:spacing w:line="276" w:lineRule="auto"/>
        <w:ind w:left="360"/>
        <w:jc w:val="both"/>
        <w:rPr>
          <w:rFonts w:ascii="Times New Roman" w:hAnsi="Times New Roman" w:cs="Times New Roman"/>
          <w:color w:val="000000"/>
          <w:sz w:val="22"/>
          <w:szCs w:val="22"/>
        </w:rPr>
      </w:pPr>
    </w:p>
    <w:p w14:paraId="6A9ED373" w14:textId="77777777" w:rsidR="0098366D" w:rsidRPr="00E93F74" w:rsidRDefault="00000000" w:rsidP="00E93F74">
      <w:pPr>
        <w:widowControl w:val="0"/>
        <w:numPr>
          <w:ilvl w:val="0"/>
          <w:numId w:val="6"/>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lastRenderedPageBreak/>
        <w:t xml:space="preserve">Temporary special measures to accelerate women’s participation in decision making bodies </w:t>
      </w:r>
    </w:p>
    <w:p w14:paraId="6A22DA49" w14:textId="77777777" w:rsidR="0098366D" w:rsidRPr="00E93F74" w:rsidRDefault="00000000" w:rsidP="00E93F74">
      <w:pPr>
        <w:spacing w:line="276" w:lineRule="auto"/>
        <w:ind w:left="420"/>
        <w:jc w:val="both"/>
        <w:rPr>
          <w:rFonts w:ascii="Times New Roman" w:hAnsi="Times New Roman" w:cs="Times New Roman"/>
          <w:sz w:val="22"/>
          <w:szCs w:val="22"/>
        </w:rPr>
      </w:pPr>
      <w:r w:rsidRPr="00E93F74">
        <w:rPr>
          <w:rFonts w:ascii="Times New Roman" w:hAnsi="Times New Roman" w:cs="Times New Roman"/>
          <w:b/>
          <w:sz w:val="22"/>
          <w:szCs w:val="22"/>
        </w:rPr>
        <w:t xml:space="preserve">Para 31. </w:t>
      </w:r>
      <w:r w:rsidRPr="00E93F74">
        <w:rPr>
          <w:rFonts w:ascii="Times New Roman" w:hAnsi="Times New Roman" w:cs="Times New Roman"/>
          <w:sz w:val="22"/>
          <w:szCs w:val="22"/>
        </w:rPr>
        <w:t xml:space="preserve">The Committee reiterates its previous recommendation (CEDAW/C/JPN/CO/6, para. 42) and calls upon the State party: (a) </w:t>
      </w:r>
      <w:r w:rsidRPr="00E93F74">
        <w:rPr>
          <w:rFonts w:ascii="Times New Roman" w:hAnsi="Times New Roman" w:cs="Times New Roman"/>
          <w:sz w:val="22"/>
          <w:szCs w:val="22"/>
          <w:u w:val="single"/>
        </w:rPr>
        <w:t>To adopt more temporary special measures, such as statutory quotas</w:t>
      </w:r>
      <w:r w:rsidRPr="00E93F74">
        <w:rPr>
          <w:rFonts w:ascii="Times New Roman" w:hAnsi="Times New Roman" w:cs="Times New Roman"/>
          <w:sz w:val="22"/>
          <w:szCs w:val="22"/>
        </w:rPr>
        <w:t xml:space="preserve">, in accordance with article 4, paragraph 1, of the Convention and the Committee’s general recommendations No. 25 and No. 23 (1997) on women in political and public life, in order to </w:t>
      </w:r>
      <w:r w:rsidRPr="00E93F74">
        <w:rPr>
          <w:rFonts w:ascii="Times New Roman" w:hAnsi="Times New Roman" w:cs="Times New Roman"/>
          <w:sz w:val="22"/>
          <w:szCs w:val="22"/>
          <w:u w:val="single"/>
        </w:rPr>
        <w:t>accelerate women’s full and equal participation in elected and appointed positions</w:t>
      </w:r>
      <w:r w:rsidRPr="00E93F74">
        <w:rPr>
          <w:rFonts w:ascii="Times New Roman" w:hAnsi="Times New Roman" w:cs="Times New Roman"/>
          <w:sz w:val="22"/>
          <w:szCs w:val="22"/>
        </w:rPr>
        <w:t>;</w:t>
      </w:r>
      <w:r w:rsidRPr="00E93F74">
        <w:rPr>
          <w:rFonts w:ascii="Times New Roman" w:hAnsi="Times New Roman" w:cs="Times New Roman"/>
          <w:sz w:val="22"/>
          <w:szCs w:val="22"/>
        </w:rPr>
        <w:t xml:space="preserve">　</w:t>
      </w:r>
    </w:p>
    <w:p w14:paraId="561D17DB" w14:textId="77777777" w:rsidR="0098366D" w:rsidRPr="00E93F74" w:rsidRDefault="00000000" w:rsidP="00E93F74">
      <w:pPr>
        <w:widowControl w:val="0"/>
        <w:numPr>
          <w:ilvl w:val="0"/>
          <w:numId w:val="6"/>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Elimination of intersecting forms of discrimination</w:t>
      </w:r>
    </w:p>
    <w:p w14:paraId="352917A2" w14:textId="77777777" w:rsidR="0098366D" w:rsidRPr="00E93F74" w:rsidRDefault="00000000" w:rsidP="00E93F74">
      <w:pPr>
        <w:spacing w:line="276" w:lineRule="auto"/>
        <w:ind w:left="420"/>
        <w:jc w:val="both"/>
        <w:rPr>
          <w:rFonts w:ascii="Times New Roman" w:hAnsi="Times New Roman" w:cs="Times New Roman"/>
          <w:sz w:val="22"/>
          <w:szCs w:val="22"/>
        </w:rPr>
      </w:pPr>
      <w:r w:rsidRPr="00EF6A39">
        <w:rPr>
          <w:rFonts w:ascii="Times New Roman" w:hAnsi="Times New Roman" w:cs="Times New Roman"/>
          <w:b/>
          <w:bCs/>
          <w:sz w:val="22"/>
          <w:szCs w:val="22"/>
        </w:rPr>
        <w:t xml:space="preserve">Para 47. </w:t>
      </w:r>
      <w:r w:rsidRPr="00E93F74">
        <w:rPr>
          <w:rFonts w:ascii="Times New Roman" w:hAnsi="Times New Roman" w:cs="Times New Roman"/>
          <w:sz w:val="22"/>
          <w:szCs w:val="22"/>
        </w:rPr>
        <w:t xml:space="preserve">The Committee calls upon the State party to vigorously </w:t>
      </w:r>
      <w:r w:rsidRPr="00E93F74">
        <w:rPr>
          <w:rFonts w:ascii="Times New Roman" w:hAnsi="Times New Roman" w:cs="Times New Roman"/>
          <w:sz w:val="22"/>
          <w:szCs w:val="22"/>
          <w:u w:val="single"/>
        </w:rPr>
        <w:t>pursue efforts aimed at eliminating multiple and intersecting forms of discrimination experienced by indigenous and ethnic minority women</w:t>
      </w:r>
      <w:r w:rsidRPr="00E93F74">
        <w:rPr>
          <w:rFonts w:ascii="Times New Roman" w:hAnsi="Times New Roman" w:cs="Times New Roman"/>
          <w:sz w:val="22"/>
          <w:szCs w:val="22"/>
        </w:rPr>
        <w:t>, such as Ainu, Buraku and Zainichi Korean women, and women with disabilities, lesbian. bisexual and transgender women and migrant women, which affect their access to health, education and employment and their participation in public life, as well as their experiences with health and education services and at the workplace.</w:t>
      </w:r>
    </w:p>
    <w:p w14:paraId="047C6AFC" w14:textId="77777777" w:rsidR="0098366D" w:rsidRPr="00E93F74" w:rsidRDefault="0098366D" w:rsidP="00E93F74">
      <w:pPr>
        <w:spacing w:line="276" w:lineRule="auto"/>
        <w:ind w:left="420"/>
        <w:jc w:val="both"/>
        <w:rPr>
          <w:rFonts w:ascii="Times New Roman" w:hAnsi="Times New Roman" w:cs="Times New Roman"/>
          <w:sz w:val="22"/>
          <w:szCs w:val="22"/>
        </w:rPr>
      </w:pPr>
    </w:p>
    <w:p w14:paraId="342103D0" w14:textId="77777777" w:rsidR="0098366D" w:rsidRPr="00E93F74" w:rsidRDefault="00000000" w:rsidP="00E93F74">
      <w:pPr>
        <w:pBdr>
          <w:top w:val="nil"/>
          <w:left w:val="nil"/>
          <w:bottom w:val="nil"/>
          <w:right w:val="nil"/>
          <w:between w:val="nil"/>
        </w:pBdr>
        <w:spacing w:line="276" w:lineRule="auto"/>
        <w:ind w:left="360"/>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CAT, Concluding observations on the second periodic report of Japan, adopted by the Committee at its fiftieth session (CAT/C/JPN/CO/2, 2013</w:t>
      </w:r>
      <w:r w:rsidRPr="00E93F74">
        <w:rPr>
          <w:rFonts w:ascii="Times New Roman" w:hAnsi="Times New Roman" w:cs="Times New Roman"/>
          <w:b/>
          <w:color w:val="000000"/>
          <w:sz w:val="22"/>
          <w:szCs w:val="22"/>
        </w:rPr>
        <w:t>）</w:t>
      </w:r>
    </w:p>
    <w:p w14:paraId="719C1A3A" w14:textId="77777777" w:rsidR="0098366D" w:rsidRPr="00E93F74" w:rsidRDefault="00000000" w:rsidP="00E93F74">
      <w:pPr>
        <w:spacing w:line="276" w:lineRule="auto"/>
        <w:ind w:left="420"/>
        <w:jc w:val="both"/>
        <w:rPr>
          <w:rFonts w:ascii="Times New Roman" w:hAnsi="Times New Roman" w:cs="Times New Roman"/>
          <w:sz w:val="22"/>
          <w:szCs w:val="22"/>
        </w:rPr>
      </w:pPr>
      <w:r w:rsidRPr="00E93F74">
        <w:rPr>
          <w:rFonts w:ascii="Times New Roman" w:hAnsi="Times New Roman" w:cs="Times New Roman"/>
          <w:b/>
          <w:sz w:val="22"/>
          <w:szCs w:val="22"/>
        </w:rPr>
        <w:t>a</w:t>
      </w:r>
      <w:r w:rsidRPr="00E93F74">
        <w:rPr>
          <w:rFonts w:ascii="Times New Roman" w:hAnsi="Times New Roman" w:cs="Times New Roman"/>
          <w:b/>
          <w:sz w:val="22"/>
          <w:szCs w:val="22"/>
        </w:rPr>
        <w:t>．</w:t>
      </w:r>
      <w:r w:rsidRPr="00E93F74">
        <w:rPr>
          <w:rFonts w:ascii="Times New Roman" w:hAnsi="Times New Roman" w:cs="Times New Roman"/>
          <w:b/>
          <w:sz w:val="22"/>
          <w:szCs w:val="22"/>
        </w:rPr>
        <w:t>Violence against women and gender-based violence</w:t>
      </w:r>
    </w:p>
    <w:p w14:paraId="4249897F" w14:textId="77777777" w:rsidR="006178A3" w:rsidRDefault="00000000" w:rsidP="00E93F74">
      <w:pPr>
        <w:spacing w:line="276" w:lineRule="auto"/>
        <w:ind w:left="420"/>
        <w:jc w:val="both"/>
        <w:rPr>
          <w:rFonts w:ascii="Times New Roman" w:hAnsi="Times New Roman" w:cs="Times New Roman"/>
          <w:sz w:val="22"/>
          <w:szCs w:val="22"/>
        </w:rPr>
      </w:pPr>
      <w:r w:rsidRPr="00EF6A39">
        <w:rPr>
          <w:rFonts w:ascii="Times New Roman" w:hAnsi="Times New Roman" w:cs="Times New Roman"/>
          <w:b/>
          <w:bCs/>
          <w:sz w:val="22"/>
          <w:szCs w:val="22"/>
        </w:rPr>
        <w:t>Para 20.</w:t>
      </w:r>
      <w:r w:rsidRPr="00E93F74">
        <w:rPr>
          <w:rFonts w:ascii="Times New Roman" w:hAnsi="Times New Roman" w:cs="Times New Roman"/>
          <w:sz w:val="22"/>
          <w:szCs w:val="22"/>
        </w:rPr>
        <w:t xml:space="preserve"> … In light of previous recommendations made by the Committee (para. 25) and the Committee on the Elimination of Discrimination against Women (CEDAW/C/JPN/CO/6, paras. 31-34), the </w:t>
      </w:r>
      <w:r w:rsidRPr="00E93F74">
        <w:rPr>
          <w:rFonts w:ascii="Times New Roman" w:hAnsi="Times New Roman" w:cs="Times New Roman"/>
          <w:sz w:val="22"/>
          <w:szCs w:val="22"/>
          <w:u w:val="single"/>
        </w:rPr>
        <w:t>State party should strengthen its efforts to prevent and prosecute all forms of gender-based abuse</w:t>
      </w:r>
      <w:r w:rsidRPr="00E93F74">
        <w:rPr>
          <w:rFonts w:ascii="Times New Roman" w:hAnsi="Times New Roman" w:cs="Times New Roman"/>
          <w:sz w:val="22"/>
          <w:szCs w:val="22"/>
        </w:rPr>
        <w:t xml:space="preserve">, including domestic violence, incest and rape, including marital rape, in particular, by: (a) Adopting and implementing a coherent and comprehensive national strategy for the elimination of violence against women that includes legal, educational, financial and social components; (b) Guaranteeing victims of such violence access to a complaint mechanism, and </w:t>
      </w:r>
      <w:r w:rsidRPr="00E93F74">
        <w:rPr>
          <w:rFonts w:ascii="Times New Roman" w:hAnsi="Times New Roman" w:cs="Times New Roman"/>
          <w:sz w:val="22"/>
          <w:szCs w:val="22"/>
          <w:u w:val="single"/>
        </w:rPr>
        <w:t>facilitating victims’ physical and psychological rehabilitation</w:t>
      </w:r>
      <w:r w:rsidRPr="00E93F74">
        <w:rPr>
          <w:rFonts w:ascii="Times New Roman" w:hAnsi="Times New Roman" w:cs="Times New Roman"/>
          <w:sz w:val="22"/>
          <w:szCs w:val="22"/>
        </w:rPr>
        <w:t xml:space="preserve">. </w:t>
      </w:r>
      <w:r w:rsidRPr="00E93F74">
        <w:rPr>
          <w:rFonts w:ascii="Times New Roman" w:hAnsi="Times New Roman" w:cs="Times New Roman"/>
          <w:sz w:val="22"/>
          <w:szCs w:val="22"/>
          <w:u w:val="single"/>
        </w:rPr>
        <w:t>Such support should be extended to victims of all military personnel, including those in foreign forces in the State party</w:t>
      </w:r>
      <w:r w:rsidRPr="00E93F74">
        <w:rPr>
          <w:rFonts w:ascii="Times New Roman" w:hAnsi="Times New Roman" w:cs="Times New Roman"/>
          <w:sz w:val="22"/>
          <w:szCs w:val="22"/>
        </w:rPr>
        <w:t xml:space="preserve">; </w:t>
      </w:r>
      <w:r w:rsidRPr="006178A3">
        <w:rPr>
          <w:rFonts w:ascii="Times New Roman" w:hAnsi="Times New Roman" w:cs="Times New Roman"/>
          <w:sz w:val="22"/>
          <w:szCs w:val="22"/>
        </w:rPr>
        <w:t>(c) Promptly, effectively and impartially investigating all incidents of violence against women and prosecuting those responsible. The Committee urges the State party to revise its legislation to ensure that the crime of sexual violence is prosecuted without complaint by the victim;</w:t>
      </w:r>
    </w:p>
    <w:p w14:paraId="0CA710D8" w14:textId="1A2CAFBF" w:rsidR="0098366D" w:rsidRPr="00E93F74" w:rsidRDefault="0098366D" w:rsidP="00E93F74">
      <w:pPr>
        <w:spacing w:line="276" w:lineRule="auto"/>
        <w:ind w:left="420"/>
        <w:jc w:val="both"/>
        <w:rPr>
          <w:rFonts w:ascii="Times New Roman" w:hAnsi="Times New Roman" w:cs="Times New Roman"/>
          <w:sz w:val="22"/>
          <w:szCs w:val="22"/>
        </w:rPr>
      </w:pPr>
    </w:p>
    <w:p w14:paraId="003DE5FF" w14:textId="77777777" w:rsidR="0098366D" w:rsidRPr="00E93F74" w:rsidRDefault="00000000" w:rsidP="00E93F74">
      <w:pPr>
        <w:pBdr>
          <w:top w:val="nil"/>
          <w:left w:val="nil"/>
          <w:bottom w:val="nil"/>
          <w:right w:val="nil"/>
          <w:between w:val="nil"/>
        </w:pBdr>
        <w:spacing w:line="276" w:lineRule="auto"/>
        <w:ind w:left="360"/>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CERD, Concluding observations on the combined tenth and eleventh periodic reports of Japan (CERD/C/JPN/CO/10-11, 2018)</w:t>
      </w:r>
    </w:p>
    <w:p w14:paraId="61AD0B9A" w14:textId="77777777" w:rsidR="0098366D" w:rsidRPr="00E93F74" w:rsidRDefault="00000000" w:rsidP="00E93F74">
      <w:pPr>
        <w:spacing w:line="276" w:lineRule="auto"/>
        <w:ind w:left="420"/>
        <w:jc w:val="both"/>
        <w:rPr>
          <w:rFonts w:ascii="Times New Roman" w:hAnsi="Times New Roman" w:cs="Times New Roman"/>
          <w:b/>
          <w:sz w:val="22"/>
          <w:szCs w:val="22"/>
        </w:rPr>
      </w:pPr>
      <w:r w:rsidRPr="00E93F74">
        <w:rPr>
          <w:rFonts w:ascii="Times New Roman" w:hAnsi="Times New Roman" w:cs="Times New Roman"/>
          <w:b/>
          <w:sz w:val="22"/>
          <w:szCs w:val="22"/>
        </w:rPr>
        <w:t>a</w:t>
      </w:r>
      <w:r w:rsidRPr="00E93F74">
        <w:rPr>
          <w:rFonts w:ascii="Times New Roman" w:hAnsi="Times New Roman" w:cs="Times New Roman"/>
          <w:b/>
          <w:sz w:val="22"/>
          <w:szCs w:val="22"/>
        </w:rPr>
        <w:t>．</w:t>
      </w:r>
      <w:r w:rsidRPr="00E93F74">
        <w:rPr>
          <w:rFonts w:ascii="Times New Roman" w:hAnsi="Times New Roman" w:cs="Times New Roman"/>
          <w:b/>
          <w:sz w:val="22"/>
          <w:szCs w:val="22"/>
        </w:rPr>
        <w:t xml:space="preserve">Situation of the Ryukyu/Okinawa peoples </w:t>
      </w:r>
    </w:p>
    <w:p w14:paraId="46A2F3FB" w14:textId="77777777" w:rsidR="0098366D" w:rsidRPr="00E93F74" w:rsidRDefault="00000000" w:rsidP="00E93F74">
      <w:pPr>
        <w:spacing w:line="276" w:lineRule="auto"/>
        <w:ind w:left="420"/>
        <w:jc w:val="both"/>
        <w:rPr>
          <w:rFonts w:ascii="Times New Roman" w:hAnsi="Times New Roman" w:cs="Times New Roman"/>
          <w:sz w:val="22"/>
          <w:szCs w:val="22"/>
        </w:rPr>
      </w:pPr>
      <w:r w:rsidRPr="00E93F74">
        <w:rPr>
          <w:rFonts w:ascii="Times New Roman" w:hAnsi="Times New Roman" w:cs="Times New Roman"/>
          <w:b/>
          <w:sz w:val="22"/>
          <w:szCs w:val="22"/>
        </w:rPr>
        <w:t xml:space="preserve">Para 17. </w:t>
      </w:r>
      <w:r w:rsidRPr="00E93F74">
        <w:rPr>
          <w:rFonts w:ascii="Times New Roman" w:hAnsi="Times New Roman" w:cs="Times New Roman"/>
          <w:sz w:val="22"/>
          <w:szCs w:val="22"/>
        </w:rPr>
        <w:t xml:space="preserve">The Committee is concerned that the Ryukyu/Okinawa are not recognized as indigenous peoples despite its previous recommendation (CERD/C/JPN/CO/7-9, para. 21) and recommendations from other human rights mechanisms. </w:t>
      </w:r>
      <w:r w:rsidRPr="00E93F74">
        <w:rPr>
          <w:rFonts w:ascii="Times New Roman" w:hAnsi="Times New Roman" w:cs="Times New Roman"/>
          <w:sz w:val="22"/>
          <w:szCs w:val="22"/>
          <w:u w:val="single"/>
        </w:rPr>
        <w:t>The Committee is also concerned at reports of violence against women in Okinawa, and challenges reportedly faced by the Ryukyu/Okinawa peoples related to accidents involving military aircraft in civilian areas, owing to the presence of a military base of the United States of America on the island of Okinawa</w:t>
      </w:r>
      <w:r w:rsidRPr="00E93F74">
        <w:rPr>
          <w:rFonts w:ascii="Times New Roman" w:hAnsi="Times New Roman" w:cs="Times New Roman"/>
          <w:sz w:val="22"/>
          <w:szCs w:val="22"/>
        </w:rPr>
        <w:t xml:space="preserve"> (art. 5). 18. The Committee recommends that the State party reconsider its position on recognizing the Ryukyu as indigenous peoples and step up measures to protect their rights. </w:t>
      </w:r>
      <w:r w:rsidRPr="00E93F74">
        <w:rPr>
          <w:rFonts w:ascii="Times New Roman" w:hAnsi="Times New Roman" w:cs="Times New Roman"/>
          <w:sz w:val="22"/>
          <w:szCs w:val="22"/>
          <w:u w:val="single"/>
        </w:rPr>
        <w:t>The Committee recommends that the State party ensure the proper safety and protection of Ryukyu/Okinawa persons, including by protecting Ryukyu/Okinawa women from violence and ensuring proper prosecution and conviction of perpetrators of violence against them</w:t>
      </w:r>
      <w:r w:rsidRPr="00E93F74">
        <w:rPr>
          <w:rFonts w:ascii="Times New Roman" w:hAnsi="Times New Roman" w:cs="Times New Roman"/>
          <w:sz w:val="22"/>
          <w:szCs w:val="22"/>
        </w:rPr>
        <w:t>.</w:t>
      </w:r>
      <w:r w:rsidRPr="00E93F74">
        <w:rPr>
          <w:rFonts w:ascii="Times New Roman" w:hAnsi="Times New Roman" w:cs="Times New Roman"/>
          <w:sz w:val="22"/>
          <w:szCs w:val="22"/>
        </w:rPr>
        <w:br/>
      </w:r>
    </w:p>
    <w:p w14:paraId="7476AEA9" w14:textId="77777777" w:rsidR="0098366D" w:rsidRPr="00E93F74" w:rsidRDefault="00000000" w:rsidP="00E93F74">
      <w:pPr>
        <w:pBdr>
          <w:top w:val="nil"/>
          <w:left w:val="nil"/>
          <w:bottom w:val="nil"/>
          <w:right w:val="nil"/>
          <w:between w:val="nil"/>
        </w:pBdr>
        <w:spacing w:line="276" w:lineRule="auto"/>
        <w:ind w:left="360"/>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lastRenderedPageBreak/>
        <w:t>Special Rapporteur on violence against women, its causes and consequences, Yakin Ertürk, Integration of the human rights of women and the gender perspective: Violence against women. The due diligence standard as a tool for the elimination of violence against women</w:t>
      </w:r>
      <w:r w:rsidRPr="00E93F74">
        <w:rPr>
          <w:rFonts w:ascii="Times New Roman" w:hAnsi="Times New Roman" w:cs="Times New Roman"/>
          <w:b/>
          <w:color w:val="000000"/>
          <w:sz w:val="22"/>
          <w:szCs w:val="22"/>
        </w:rPr>
        <w:t>（</w:t>
      </w:r>
      <w:r w:rsidRPr="00E93F74">
        <w:rPr>
          <w:rFonts w:ascii="Times New Roman" w:hAnsi="Times New Roman" w:cs="Times New Roman"/>
          <w:b/>
          <w:color w:val="000000"/>
          <w:sz w:val="22"/>
          <w:szCs w:val="22"/>
        </w:rPr>
        <w:t>E/CN.4/2006/61, 2006</w:t>
      </w:r>
      <w:r w:rsidRPr="00E93F74">
        <w:rPr>
          <w:rFonts w:ascii="Times New Roman" w:hAnsi="Times New Roman" w:cs="Times New Roman"/>
          <w:b/>
          <w:color w:val="000000"/>
          <w:sz w:val="22"/>
          <w:szCs w:val="22"/>
        </w:rPr>
        <w:t>）</w:t>
      </w:r>
    </w:p>
    <w:p w14:paraId="0817785E" w14:textId="77777777" w:rsidR="0098366D" w:rsidRPr="00E93F74" w:rsidRDefault="00000000" w:rsidP="00E93F74">
      <w:pPr>
        <w:spacing w:line="276" w:lineRule="auto"/>
        <w:ind w:left="420"/>
        <w:jc w:val="both"/>
        <w:rPr>
          <w:rFonts w:ascii="Times New Roman" w:hAnsi="Times New Roman" w:cs="Times New Roman"/>
          <w:sz w:val="22"/>
          <w:szCs w:val="22"/>
        </w:rPr>
      </w:pPr>
      <w:r w:rsidRPr="00E93F74">
        <w:rPr>
          <w:rFonts w:ascii="Times New Roman" w:hAnsi="Times New Roman" w:cs="Times New Roman"/>
          <w:b/>
          <w:sz w:val="22"/>
          <w:szCs w:val="22"/>
        </w:rPr>
        <w:t xml:space="preserve">Para 99. </w:t>
      </w:r>
      <w:r w:rsidRPr="00E93F74">
        <w:rPr>
          <w:rFonts w:ascii="Times New Roman" w:hAnsi="Times New Roman" w:cs="Times New Roman"/>
          <w:sz w:val="22"/>
          <w:szCs w:val="22"/>
        </w:rPr>
        <w:t xml:space="preserve">Last but not least, </w:t>
      </w:r>
      <w:r w:rsidRPr="00E93F74">
        <w:rPr>
          <w:rFonts w:ascii="Times New Roman" w:hAnsi="Times New Roman" w:cs="Times New Roman"/>
          <w:sz w:val="22"/>
          <w:szCs w:val="22"/>
          <w:u w:val="single"/>
        </w:rPr>
        <w:t>where States and/or intergovernmental bodies are deploying military, peacekeeping or civilian policing operations abroad, they must also act with due diligence to ensure that these personnel do not commit acts of violence against women.</w:t>
      </w:r>
      <w:r w:rsidRPr="00E93F74">
        <w:rPr>
          <w:rFonts w:ascii="Times New Roman" w:hAnsi="Times New Roman" w:cs="Times New Roman"/>
          <w:sz w:val="22"/>
          <w:szCs w:val="22"/>
        </w:rPr>
        <w:t xml:space="preserve"> </w:t>
      </w:r>
      <w:r w:rsidRPr="00E93F74">
        <w:rPr>
          <w:rFonts w:ascii="Times New Roman" w:hAnsi="Times New Roman" w:cs="Times New Roman"/>
          <w:sz w:val="22"/>
          <w:szCs w:val="22"/>
          <w:u w:val="single"/>
        </w:rPr>
        <w:t>For this purpose, the sending authority must adopt the necessary legislation and procedures to prevent and respond to such acts</w:t>
      </w:r>
      <w:r w:rsidRPr="00E93F74">
        <w:rPr>
          <w:rFonts w:ascii="Times New Roman" w:hAnsi="Times New Roman" w:cs="Times New Roman"/>
          <w:sz w:val="22"/>
          <w:szCs w:val="22"/>
        </w:rPr>
        <w:t xml:space="preserve"> as receiving States may lack the capacity to do so.</w:t>
      </w:r>
    </w:p>
    <w:p w14:paraId="07716214" w14:textId="77777777" w:rsidR="0098366D" w:rsidRPr="00E93F74" w:rsidRDefault="0098366D" w:rsidP="00E93F74">
      <w:pPr>
        <w:spacing w:line="276" w:lineRule="auto"/>
        <w:jc w:val="both"/>
        <w:rPr>
          <w:rFonts w:ascii="Times New Roman" w:hAnsi="Times New Roman" w:cs="Times New Roman"/>
          <w:sz w:val="22"/>
          <w:szCs w:val="22"/>
        </w:rPr>
      </w:pPr>
    </w:p>
    <w:p w14:paraId="23CC4806" w14:textId="77777777" w:rsidR="0098366D" w:rsidRPr="00E93F74" w:rsidRDefault="00000000" w:rsidP="00E93F74">
      <w:pPr>
        <w:pBdr>
          <w:top w:val="nil"/>
          <w:left w:val="nil"/>
          <w:bottom w:val="nil"/>
          <w:right w:val="nil"/>
          <w:between w:val="nil"/>
        </w:pBdr>
        <w:spacing w:line="276" w:lineRule="auto"/>
        <w:ind w:left="360"/>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Report of the Special Rapporteur on violence against women, its causes and consequences, Reem Alsale,</w:t>
      </w:r>
      <w:r w:rsidRPr="00E93F74">
        <w:rPr>
          <w:rFonts w:ascii="Times New Roman" w:hAnsi="Times New Roman" w:cs="Times New Roman"/>
          <w:color w:val="000000"/>
          <w:sz w:val="22"/>
          <w:szCs w:val="22"/>
        </w:rPr>
        <w:t xml:space="preserve"> </w:t>
      </w:r>
      <w:r w:rsidRPr="00E93F74">
        <w:rPr>
          <w:rFonts w:ascii="Times New Roman" w:hAnsi="Times New Roman" w:cs="Times New Roman"/>
          <w:b/>
          <w:color w:val="000000"/>
          <w:sz w:val="22"/>
          <w:szCs w:val="22"/>
        </w:rPr>
        <w:t>Violence against indigenous women and girls (A/HRC/50/26, 2022</w:t>
      </w:r>
      <w:r w:rsidRPr="00E93F74">
        <w:rPr>
          <w:rFonts w:ascii="Times New Roman" w:hAnsi="Times New Roman" w:cs="Times New Roman"/>
          <w:b/>
          <w:color w:val="000000"/>
          <w:sz w:val="22"/>
          <w:szCs w:val="22"/>
        </w:rPr>
        <w:t>）</w:t>
      </w:r>
    </w:p>
    <w:p w14:paraId="6EF3CED7" w14:textId="77777777" w:rsidR="0098366D" w:rsidRPr="00E93F74" w:rsidRDefault="00000000" w:rsidP="00E93F74">
      <w:pPr>
        <w:widowControl w:val="0"/>
        <w:numPr>
          <w:ilvl w:val="0"/>
          <w:numId w:val="3"/>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 xml:space="preserve">Historical background of Ryukyu/Okinawa and sexual violence </w:t>
      </w:r>
      <w:r w:rsidRPr="00E93F74">
        <w:rPr>
          <w:rFonts w:ascii="Times New Roman" w:hAnsi="Times New Roman" w:cs="Times New Roman"/>
          <w:b/>
          <w:color w:val="000000"/>
          <w:sz w:val="22"/>
          <w:szCs w:val="22"/>
        </w:rPr>
        <w:t xml:space="preserve">　</w:t>
      </w:r>
    </w:p>
    <w:p w14:paraId="1A5304F2" w14:textId="77777777" w:rsidR="0098366D" w:rsidRPr="00E93F74" w:rsidRDefault="00000000" w:rsidP="00E93F74">
      <w:pPr>
        <w:spacing w:line="276" w:lineRule="auto"/>
        <w:ind w:left="420"/>
        <w:jc w:val="both"/>
        <w:rPr>
          <w:rFonts w:ascii="Times New Roman" w:hAnsi="Times New Roman" w:cs="Times New Roman"/>
          <w:sz w:val="22"/>
          <w:szCs w:val="22"/>
        </w:rPr>
      </w:pPr>
      <w:r w:rsidRPr="00E93F74">
        <w:rPr>
          <w:rFonts w:ascii="Times New Roman" w:hAnsi="Times New Roman" w:cs="Times New Roman"/>
          <w:b/>
          <w:sz w:val="22"/>
          <w:szCs w:val="22"/>
        </w:rPr>
        <w:t>Para 27.</w:t>
      </w:r>
      <w:r w:rsidRPr="00E93F74">
        <w:rPr>
          <w:rFonts w:ascii="Times New Roman" w:hAnsi="Times New Roman" w:cs="Times New Roman"/>
          <w:sz w:val="22"/>
          <w:szCs w:val="22"/>
        </w:rPr>
        <w:t xml:space="preserve"> Expectedly, situations of armed conflict, which often are related to lands, territories and natural resources, have a heavy impact on the rights of indigenous peoples and indigenous women and girls. In nearly every region of the world, indigenous peoples are being displaced and severely affected by violence on their lands and territories. For example, the islands of Okinawa in Japan, once the Kingdom of Ryukyu, historically became the battlefields for various conflicts over territory. </w:t>
      </w:r>
      <w:r w:rsidRPr="00E93F74">
        <w:rPr>
          <w:rFonts w:ascii="Times New Roman" w:hAnsi="Times New Roman" w:cs="Times New Roman"/>
          <w:sz w:val="22"/>
          <w:szCs w:val="22"/>
          <w:u w:val="single"/>
        </w:rPr>
        <w:t>Today, reportedly, this still has a profound gender-based impact on Ryukyuan/Okinawan women and girls, who face high rates of sexual violence and domestic violence</w:t>
      </w:r>
      <w:r w:rsidRPr="00E93F74">
        <w:rPr>
          <w:rFonts w:ascii="Times New Roman" w:hAnsi="Times New Roman" w:cs="Times New Roman"/>
          <w:sz w:val="22"/>
          <w:szCs w:val="22"/>
        </w:rPr>
        <w:t xml:space="preserve">. </w:t>
      </w:r>
      <w:r w:rsidRPr="00EF6A39">
        <w:rPr>
          <w:rFonts w:ascii="Times New Roman" w:hAnsi="Times New Roman" w:cs="Times New Roman"/>
          <w:sz w:val="22"/>
          <w:szCs w:val="22"/>
        </w:rPr>
        <w:t>Likewise, the armed conflict in and militarization of the Autonomous Republic of Crimea and the city of Sevastopol, Ukraine, temporarily occupied by the Russian Federation, since 2014, and the increase in armed clashes since late 2018 between Indonesian security forces and pro-Papua armed independence groups are examples of conflict that has an impact on indigenous women</w:t>
      </w:r>
      <w:r w:rsidRPr="00E93F74">
        <w:rPr>
          <w:rFonts w:ascii="Times New Roman" w:hAnsi="Times New Roman" w:cs="Times New Roman"/>
          <w:sz w:val="22"/>
          <w:szCs w:val="22"/>
        </w:rPr>
        <w:t xml:space="preserve"> </w:t>
      </w:r>
    </w:p>
    <w:p w14:paraId="7DF16E89" w14:textId="77777777" w:rsidR="0098366D" w:rsidRPr="00E93F74" w:rsidRDefault="00000000" w:rsidP="00E93F74">
      <w:pPr>
        <w:widowControl w:val="0"/>
        <w:numPr>
          <w:ilvl w:val="0"/>
          <w:numId w:val="3"/>
        </w:numPr>
        <w:pBdr>
          <w:top w:val="nil"/>
          <w:left w:val="nil"/>
          <w:bottom w:val="nil"/>
          <w:right w:val="nil"/>
          <w:between w:val="nil"/>
        </w:pBdr>
        <w:spacing w:line="276" w:lineRule="auto"/>
        <w:jc w:val="both"/>
        <w:rPr>
          <w:rFonts w:ascii="Times New Roman" w:hAnsi="Times New Roman" w:cs="Times New Roman"/>
          <w:b/>
          <w:color w:val="000000"/>
          <w:sz w:val="22"/>
          <w:szCs w:val="22"/>
        </w:rPr>
      </w:pPr>
      <w:r w:rsidRPr="00E93F74">
        <w:rPr>
          <w:rFonts w:ascii="Times New Roman" w:hAnsi="Times New Roman" w:cs="Times New Roman"/>
          <w:b/>
          <w:color w:val="000000"/>
          <w:sz w:val="22"/>
          <w:szCs w:val="22"/>
        </w:rPr>
        <w:t>Impacts of militarization of indigenous lands on indigenous women and girls</w:t>
      </w:r>
    </w:p>
    <w:p w14:paraId="322A6792" w14:textId="77777777" w:rsidR="0098366D" w:rsidRPr="00E93F74" w:rsidRDefault="00000000" w:rsidP="00E93F74">
      <w:pPr>
        <w:spacing w:line="276" w:lineRule="auto"/>
        <w:ind w:left="360"/>
        <w:jc w:val="both"/>
        <w:rPr>
          <w:rFonts w:ascii="Times New Roman" w:hAnsi="Times New Roman" w:cs="Times New Roman"/>
          <w:sz w:val="22"/>
          <w:szCs w:val="22"/>
        </w:rPr>
      </w:pPr>
      <w:r w:rsidRPr="00E93F74">
        <w:rPr>
          <w:rFonts w:ascii="Times New Roman" w:hAnsi="Times New Roman" w:cs="Times New Roman"/>
          <w:sz w:val="22"/>
          <w:szCs w:val="22"/>
        </w:rPr>
        <w:t xml:space="preserve">Para 84. </w:t>
      </w:r>
      <w:r w:rsidRPr="00E93F74">
        <w:rPr>
          <w:rFonts w:ascii="Times New Roman" w:hAnsi="Times New Roman" w:cs="Times New Roman"/>
          <w:sz w:val="22"/>
          <w:szCs w:val="22"/>
          <w:u w:val="single"/>
        </w:rPr>
        <w:t>States and other stakeholders must step up efforts to collect disaggregated data on the situation of indigenous women and girls and on the forms of violence and discrimination they are subjected to, as well as on the impact of militarization of the habitat and territories of indigenous peoples</w:t>
      </w:r>
      <w:r w:rsidRPr="00E93F74">
        <w:rPr>
          <w:rFonts w:ascii="Times New Roman" w:hAnsi="Times New Roman" w:cs="Times New Roman"/>
          <w:sz w:val="22"/>
          <w:szCs w:val="22"/>
        </w:rPr>
        <w:t>. The data should – to the extent possible – be disaggregated according to age, ethnicity, sex, and the relationship between perpetrator and victim. Data should be used to inform policies that are aimed at preventing and responding to acts of violence against indigenous women and girls.</w:t>
      </w:r>
    </w:p>
    <w:p w14:paraId="1FD411CD" w14:textId="77777777" w:rsidR="0098366D" w:rsidRDefault="0098366D" w:rsidP="00E93F74">
      <w:pPr>
        <w:spacing w:line="276" w:lineRule="auto"/>
        <w:jc w:val="both"/>
        <w:rPr>
          <w:rFonts w:ascii="Times New Roman" w:hAnsi="Times New Roman" w:cs="Times New Roman"/>
          <w:sz w:val="22"/>
          <w:szCs w:val="22"/>
        </w:rPr>
      </w:pPr>
    </w:p>
    <w:p w14:paraId="1D80A857" w14:textId="77777777" w:rsidR="00B83524" w:rsidRPr="00E93F74" w:rsidRDefault="00B83524" w:rsidP="00E93F74">
      <w:pPr>
        <w:spacing w:line="276" w:lineRule="auto"/>
        <w:jc w:val="both"/>
        <w:rPr>
          <w:rFonts w:ascii="Times New Roman" w:hAnsi="Times New Roman" w:cs="Times New Roman"/>
          <w:sz w:val="22"/>
          <w:szCs w:val="22"/>
        </w:rPr>
      </w:pPr>
    </w:p>
    <w:p w14:paraId="25BB9D12" w14:textId="2FDB5F8F" w:rsidR="0098366D" w:rsidRPr="006178A3" w:rsidRDefault="00000000" w:rsidP="00E93F74">
      <w:pPr>
        <w:spacing w:line="276" w:lineRule="auto"/>
        <w:jc w:val="both"/>
        <w:rPr>
          <w:rFonts w:ascii="Times New Roman" w:hAnsi="Times New Roman" w:cs="Times New Roman"/>
          <w:b/>
          <w:sz w:val="24"/>
          <w:szCs w:val="24"/>
        </w:rPr>
      </w:pPr>
      <w:r w:rsidRPr="006178A3">
        <w:rPr>
          <w:rFonts w:ascii="Times New Roman" w:hAnsi="Times New Roman" w:cs="Times New Roman"/>
          <w:b/>
          <w:sz w:val="24"/>
          <w:szCs w:val="24"/>
        </w:rPr>
        <w:t>３．</w:t>
      </w:r>
      <w:r w:rsidR="00B83524" w:rsidRPr="006178A3">
        <w:rPr>
          <w:rFonts w:ascii="Times New Roman" w:hAnsi="Times New Roman" w:cs="Times New Roman"/>
          <w:b/>
          <w:sz w:val="24"/>
          <w:szCs w:val="24"/>
        </w:rPr>
        <w:t>Issue 2:</w:t>
      </w:r>
      <w:r w:rsidR="00B83524" w:rsidRPr="006178A3">
        <w:rPr>
          <w:rFonts w:ascii="Times New Roman" w:hAnsi="Times New Roman" w:cs="Times New Roman" w:hint="eastAsia"/>
          <w:b/>
          <w:sz w:val="24"/>
          <w:szCs w:val="24"/>
        </w:rPr>
        <w:t xml:space="preserve"> </w:t>
      </w:r>
      <w:r w:rsidRPr="006178A3">
        <w:rPr>
          <w:rFonts w:ascii="Times New Roman" w:hAnsi="Times New Roman" w:cs="Times New Roman"/>
          <w:b/>
          <w:sz w:val="24"/>
          <w:szCs w:val="24"/>
        </w:rPr>
        <w:t>Economic and social benefits (List of Issues No. 22)</w:t>
      </w:r>
    </w:p>
    <w:p w14:paraId="568A075A" w14:textId="156E7636" w:rsidR="00B83524" w:rsidRDefault="00B83524" w:rsidP="00B83524">
      <w:pPr>
        <w:widowControl w:val="0"/>
        <w:pBdr>
          <w:top w:val="nil"/>
          <w:left w:val="nil"/>
          <w:bottom w:val="nil"/>
          <w:right w:val="nil"/>
          <w:between w:val="nil"/>
        </w:pBdr>
        <w:spacing w:line="276" w:lineRule="auto"/>
        <w:jc w:val="both"/>
        <w:rPr>
          <w:rFonts w:ascii="Times New Roman" w:hAnsi="Times New Roman" w:cs="Times New Roman"/>
          <w:b/>
          <w:sz w:val="22"/>
          <w:szCs w:val="22"/>
        </w:rPr>
      </w:pPr>
      <w:r w:rsidRPr="00B83524">
        <w:rPr>
          <w:rFonts w:ascii="Times New Roman" w:hAnsi="Times New Roman" w:cs="Times New Roman"/>
          <w:b/>
          <w:sz w:val="22"/>
          <w:szCs w:val="22"/>
        </w:rPr>
        <w:t>(1)</w:t>
      </w:r>
      <w:r w:rsidR="006178A3">
        <w:rPr>
          <w:rFonts w:ascii="Times New Roman" w:hAnsi="Times New Roman" w:cs="Times New Roman" w:hint="eastAsia"/>
          <w:b/>
          <w:sz w:val="22"/>
          <w:szCs w:val="22"/>
        </w:rPr>
        <w:t xml:space="preserve">  </w:t>
      </w:r>
      <w:r w:rsidRPr="00B83524">
        <w:rPr>
          <w:rFonts w:ascii="Times New Roman" w:hAnsi="Times New Roman" w:cs="Times New Roman"/>
          <w:b/>
          <w:sz w:val="22"/>
          <w:szCs w:val="22"/>
        </w:rPr>
        <w:t>Proposal: Proposed Questions to the Government of Japan</w:t>
      </w:r>
    </w:p>
    <w:p w14:paraId="0378CAA8" w14:textId="55821346" w:rsidR="0098366D" w:rsidRPr="00E93F74" w:rsidRDefault="00B83524" w:rsidP="00B83524">
      <w:pPr>
        <w:widowControl w:val="0"/>
        <w:pBdr>
          <w:top w:val="nil"/>
          <w:left w:val="nil"/>
          <w:bottom w:val="nil"/>
          <w:right w:val="nil"/>
          <w:between w:val="nil"/>
        </w:pBdr>
        <w:spacing w:line="276" w:lineRule="auto"/>
        <w:ind w:left="2091" w:hangingChars="950" w:hanging="2091"/>
        <w:jc w:val="both"/>
        <w:rPr>
          <w:rFonts w:ascii="Times New Roman" w:hAnsi="Times New Roman" w:cs="Times New Roman"/>
          <w:sz w:val="22"/>
          <w:szCs w:val="22"/>
        </w:rPr>
      </w:pPr>
      <w:r w:rsidRPr="00B83524">
        <w:rPr>
          <w:rFonts w:ascii="Times New Roman" w:hAnsi="Times New Roman" w:cs="Times New Roman"/>
          <w:b/>
          <w:sz w:val="22"/>
          <w:szCs w:val="22"/>
        </w:rPr>
        <w:t xml:space="preserve">Proposed Question 1:  </w:t>
      </w:r>
      <w:r w:rsidRPr="00E93F74">
        <w:rPr>
          <w:rFonts w:ascii="Times New Roman" w:eastAsia="Arial" w:hAnsi="Times New Roman" w:cs="Times New Roman"/>
          <w:color w:val="444746"/>
          <w:sz w:val="22"/>
          <w:szCs w:val="22"/>
        </w:rPr>
        <w:t>Since Okinawa was under U.S. military control for 27 years after World War II, the introduction of the Japanese pension scheme was delayed. As a result, many elderly women are currently without pension coverage or receive low pension benefits, forcing them to live in poverty. Has the Government of Japan conducted a fact-finding survey on this issue? If so, we request the government to provide statistical data.</w:t>
      </w:r>
    </w:p>
    <w:p w14:paraId="4C034B7F" w14:textId="44A32A3B" w:rsidR="0098366D" w:rsidRPr="00E93F74" w:rsidRDefault="00B83524" w:rsidP="00B83524">
      <w:pPr>
        <w:widowControl w:val="0"/>
        <w:pBdr>
          <w:top w:val="nil"/>
          <w:left w:val="nil"/>
          <w:bottom w:val="nil"/>
          <w:right w:val="nil"/>
          <w:between w:val="nil"/>
        </w:pBdr>
        <w:spacing w:line="276" w:lineRule="auto"/>
        <w:ind w:left="1981" w:hangingChars="900" w:hanging="1981"/>
        <w:jc w:val="both"/>
        <w:rPr>
          <w:rFonts w:ascii="Times New Roman" w:hAnsi="Times New Roman" w:cs="Times New Roman"/>
          <w:sz w:val="22"/>
          <w:szCs w:val="22"/>
        </w:rPr>
      </w:pPr>
      <w:r w:rsidRPr="00B83524">
        <w:rPr>
          <w:rFonts w:ascii="Times New Roman" w:hAnsi="Times New Roman" w:cs="Times New Roman"/>
          <w:b/>
          <w:bCs/>
          <w:color w:val="000000"/>
          <w:sz w:val="22"/>
          <w:szCs w:val="22"/>
        </w:rPr>
        <w:t xml:space="preserve">Proposed Question </w:t>
      </w:r>
      <w:r w:rsidRPr="00B83524">
        <w:rPr>
          <w:rFonts w:ascii="Times New Roman" w:hAnsi="Times New Roman" w:cs="Times New Roman" w:hint="eastAsia"/>
          <w:b/>
          <w:bCs/>
          <w:color w:val="000000"/>
          <w:sz w:val="22"/>
          <w:szCs w:val="22"/>
        </w:rPr>
        <w:t>2</w:t>
      </w:r>
      <w:r w:rsidRPr="00B83524">
        <w:rPr>
          <w:rFonts w:ascii="Times New Roman" w:hAnsi="Times New Roman" w:cs="Times New Roman"/>
          <w:b/>
          <w:bCs/>
          <w:color w:val="000000"/>
          <w:sz w:val="22"/>
          <w:szCs w:val="22"/>
        </w:rPr>
        <w:t>:</w:t>
      </w:r>
      <w:r w:rsidRPr="00B83524">
        <w:rPr>
          <w:rFonts w:ascii="Times New Roman" w:hAnsi="Times New Roman" w:cs="Times New Roman"/>
          <w:color w:val="000000"/>
          <w:sz w:val="22"/>
          <w:szCs w:val="22"/>
        </w:rPr>
        <w:t xml:space="preserve"> </w:t>
      </w:r>
      <w:r w:rsidRPr="00E93F74">
        <w:rPr>
          <w:rFonts w:ascii="Times New Roman" w:hAnsi="Times New Roman" w:cs="Times New Roman"/>
          <w:color w:val="000000"/>
          <w:sz w:val="22"/>
          <w:szCs w:val="22"/>
        </w:rPr>
        <w:t xml:space="preserve">Please clarify what measures the government is taking to </w:t>
      </w:r>
      <w:r w:rsidRPr="00E93F74">
        <w:rPr>
          <w:rFonts w:ascii="Times New Roman" w:eastAsia="Arial" w:hAnsi="Times New Roman" w:cs="Times New Roman"/>
          <w:color w:val="444746"/>
          <w:sz w:val="22"/>
          <w:szCs w:val="22"/>
        </w:rPr>
        <w:t>provide a relief measure for</w:t>
      </w:r>
      <w:r w:rsidRPr="00E93F74">
        <w:rPr>
          <w:rFonts w:ascii="Times New Roman" w:hAnsi="Times New Roman" w:cs="Times New Roman"/>
          <w:color w:val="000000"/>
          <w:sz w:val="22"/>
          <w:szCs w:val="22"/>
        </w:rPr>
        <w:t xml:space="preserve"> elderly women without pension coverage or with low pension </w:t>
      </w:r>
      <w:r w:rsidRPr="00E93F74">
        <w:rPr>
          <w:rFonts w:ascii="Times New Roman" w:hAnsi="Times New Roman" w:cs="Times New Roman"/>
          <w:sz w:val="22"/>
          <w:szCs w:val="22"/>
        </w:rPr>
        <w:t>benefits</w:t>
      </w:r>
      <w:r w:rsidRPr="00E93F74">
        <w:rPr>
          <w:rFonts w:ascii="Times New Roman" w:hAnsi="Times New Roman" w:cs="Times New Roman"/>
          <w:color w:val="000000"/>
          <w:sz w:val="22"/>
          <w:szCs w:val="22"/>
        </w:rPr>
        <w:t>, and what steps it has taken to improve the current system.</w:t>
      </w:r>
    </w:p>
    <w:p w14:paraId="35743761" w14:textId="77777777" w:rsidR="0098366D" w:rsidRPr="00E93F74" w:rsidRDefault="0098366D" w:rsidP="00E93F74">
      <w:pPr>
        <w:spacing w:line="276" w:lineRule="auto"/>
        <w:jc w:val="both"/>
        <w:rPr>
          <w:rFonts w:ascii="Times New Roman" w:hAnsi="Times New Roman" w:cs="Times New Roman"/>
          <w:sz w:val="22"/>
          <w:szCs w:val="22"/>
        </w:rPr>
      </w:pPr>
    </w:p>
    <w:p w14:paraId="00367B97" w14:textId="3A3848BB" w:rsidR="00B83524" w:rsidRDefault="00B83524" w:rsidP="00E93F74">
      <w:pPr>
        <w:spacing w:line="276" w:lineRule="auto"/>
        <w:jc w:val="both"/>
        <w:rPr>
          <w:rFonts w:ascii="Times New Roman" w:hAnsi="Times New Roman" w:cs="Times New Roman"/>
          <w:b/>
          <w:sz w:val="22"/>
          <w:szCs w:val="22"/>
        </w:rPr>
      </w:pPr>
      <w:r w:rsidRPr="00B83524">
        <w:rPr>
          <w:rFonts w:ascii="Times New Roman" w:hAnsi="Times New Roman" w:cs="Times New Roman"/>
          <w:b/>
          <w:sz w:val="22"/>
          <w:szCs w:val="22"/>
        </w:rPr>
        <w:lastRenderedPageBreak/>
        <w:t>(2)</w:t>
      </w:r>
      <w:r w:rsidR="006178A3">
        <w:rPr>
          <w:rFonts w:ascii="Times New Roman" w:hAnsi="Times New Roman" w:cs="Times New Roman" w:hint="eastAsia"/>
          <w:b/>
          <w:sz w:val="22"/>
          <w:szCs w:val="22"/>
        </w:rPr>
        <w:t xml:space="preserve">  </w:t>
      </w:r>
      <w:r w:rsidRPr="00B83524">
        <w:rPr>
          <w:rFonts w:ascii="Times New Roman" w:hAnsi="Times New Roman" w:cs="Times New Roman"/>
          <w:b/>
          <w:sz w:val="22"/>
          <w:szCs w:val="22"/>
        </w:rPr>
        <w:t>Rationale for Proposed Questions - 27 Years of U.S. Military Rule after the World War II</w:t>
      </w:r>
    </w:p>
    <w:p w14:paraId="531EB078" w14:textId="382861A3"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According to the Ministry of Health, Labor and Welfare's “FY2023 Survey of the Insured under the Medical Care System for Elderly in the Later Stage of Life”</w:t>
      </w:r>
      <w:r w:rsidRPr="00E93F74">
        <w:rPr>
          <w:rFonts w:ascii="Times New Roman" w:hAnsi="Times New Roman" w:cs="Times New Roman"/>
          <w:sz w:val="22"/>
          <w:szCs w:val="22"/>
          <w:vertAlign w:val="superscript"/>
        </w:rPr>
        <w:footnoteReference w:id="14"/>
      </w:r>
      <w:r w:rsidRPr="00E93F74">
        <w:rPr>
          <w:rFonts w:ascii="Times New Roman" w:hAnsi="Times New Roman" w:cs="Times New Roman"/>
          <w:sz w:val="22"/>
          <w:szCs w:val="22"/>
        </w:rPr>
        <w:t xml:space="preserve">, the number of individuals without pension coverage is 490,000. This represents an approximate 1.3% "No pension rate" out of a population of 36 million people aged 65 and over, indicating that one in every 100 elderly individuals does not have a pension. Due to discrimination based on their origins, minority women were unable to fully enjoy educational opportunities, which also impacted their employment prospects. </w:t>
      </w:r>
      <w:r w:rsidRPr="00E93F74">
        <w:rPr>
          <w:rFonts w:ascii="Times New Roman" w:eastAsia="Arial" w:hAnsi="Times New Roman" w:cs="Times New Roman"/>
          <w:sz w:val="22"/>
          <w:szCs w:val="22"/>
          <w:highlight w:val="white"/>
        </w:rPr>
        <w:t>Many elderly women, while engaged in low-wage, non-regular employment, were unable to adequately pay pension premiums. As a result, they do not meet the qualifications to receive a pension and are forced to live without one.</w:t>
      </w:r>
    </w:p>
    <w:p w14:paraId="5B64DD1C" w14:textId="77777777" w:rsidR="0098366D" w:rsidRPr="00E93F74" w:rsidRDefault="0098366D" w:rsidP="00E93F74">
      <w:pPr>
        <w:spacing w:line="276" w:lineRule="auto"/>
        <w:jc w:val="both"/>
        <w:rPr>
          <w:rFonts w:ascii="Times New Roman" w:hAnsi="Times New Roman" w:cs="Times New Roman"/>
          <w:sz w:val="22"/>
          <w:szCs w:val="22"/>
        </w:rPr>
      </w:pPr>
    </w:p>
    <w:p w14:paraId="47835C21"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 xml:space="preserve">The number of people in Okinawa Prefecture aged 65 or older who are not receiving pensions due to lack of pension eligibility or deferral of benefits is approximately 12,000 in FY 2019, accounting for 3.7%. </w:t>
      </w:r>
      <w:r w:rsidRPr="00E93F74">
        <w:rPr>
          <w:rFonts w:ascii="Times New Roman" w:eastAsia="Arial" w:hAnsi="Times New Roman" w:cs="Times New Roman"/>
          <w:sz w:val="22"/>
          <w:szCs w:val="22"/>
        </w:rPr>
        <w:t>This is higher than the national average of approximately 2.2%</w:t>
      </w:r>
      <w:r w:rsidRPr="00E93F74">
        <w:rPr>
          <w:rFonts w:ascii="Times New Roman" w:hAnsi="Times New Roman" w:cs="Times New Roman"/>
          <w:sz w:val="22"/>
          <w:szCs w:val="22"/>
        </w:rPr>
        <w:t>.</w:t>
      </w:r>
      <w:r w:rsidRPr="00E93F74">
        <w:rPr>
          <w:rFonts w:ascii="Times New Roman" w:hAnsi="Times New Roman" w:cs="Times New Roman"/>
          <w:sz w:val="22"/>
          <w:szCs w:val="22"/>
          <w:vertAlign w:val="superscript"/>
        </w:rPr>
        <w:footnoteReference w:id="15"/>
      </w:r>
      <w:r w:rsidRPr="00E93F74">
        <w:rPr>
          <w:rFonts w:ascii="Times New Roman" w:hAnsi="Times New Roman" w:cs="Times New Roman"/>
          <w:sz w:val="22"/>
          <w:szCs w:val="22"/>
        </w:rPr>
        <w:t xml:space="preserve"> </w:t>
      </w:r>
    </w:p>
    <w:p w14:paraId="1572397B" w14:textId="77777777" w:rsidR="0098366D" w:rsidRPr="00E93F74" w:rsidRDefault="0098366D" w:rsidP="00E93F74">
      <w:pPr>
        <w:spacing w:line="276" w:lineRule="auto"/>
        <w:jc w:val="both"/>
        <w:rPr>
          <w:rFonts w:ascii="Times New Roman" w:hAnsi="Times New Roman" w:cs="Times New Roman"/>
          <w:sz w:val="22"/>
          <w:szCs w:val="22"/>
        </w:rPr>
      </w:pPr>
    </w:p>
    <w:p w14:paraId="5A13CED7"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After World War II, Okinawa was separated from Japan and placed under the U.S. military control. This delayed the development of various laws and regulations for social welfare. Although the pension scheme was implemented in Japan in 1961, Okinawa did not have its own pension scheme until 1970. When Okinawa returned to Japan in 1972, special measures were taken several times such as allowing retroactive payments for previous years, but many individuals failed to make their payments. As a result, many people are now living in retirement without a pension or with a low pension.</w:t>
      </w:r>
    </w:p>
    <w:p w14:paraId="44F2FFEC" w14:textId="77777777" w:rsidR="0098366D" w:rsidRPr="00E93F74" w:rsidRDefault="0098366D" w:rsidP="00E93F74">
      <w:pPr>
        <w:spacing w:line="276" w:lineRule="auto"/>
        <w:jc w:val="both"/>
        <w:rPr>
          <w:rFonts w:ascii="Times New Roman" w:hAnsi="Times New Roman" w:cs="Times New Roman"/>
          <w:sz w:val="22"/>
          <w:szCs w:val="22"/>
        </w:rPr>
      </w:pPr>
    </w:p>
    <w:p w14:paraId="3950D734"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In February 2024, the Okinawa Prefecture conducted a survey to assess the actual levels of impoverishment among the elderly, aged 60 and over.</w:t>
      </w:r>
      <w:r w:rsidRPr="00E93F74">
        <w:rPr>
          <w:rFonts w:ascii="Times New Roman" w:hAnsi="Times New Roman" w:cs="Times New Roman"/>
          <w:sz w:val="22"/>
          <w:szCs w:val="22"/>
          <w:vertAlign w:val="superscript"/>
        </w:rPr>
        <w:footnoteReference w:id="16"/>
      </w:r>
      <w:r w:rsidRPr="00E93F74">
        <w:rPr>
          <w:rFonts w:ascii="Times New Roman" w:hAnsi="Times New Roman" w:cs="Times New Roman"/>
          <w:sz w:val="22"/>
          <w:szCs w:val="22"/>
        </w:rPr>
        <w:t xml:space="preserve"> The results revealed a 60% increase in the number of consultations in 2023 compared to 2019. The most common issue reported by elderly individuals seeking consultations was impoverishment, primarily concerning a lack of or absence of pension. Local communities, welfare councils, and other support organizations have strongly advocated for significant reforms to the current system, including removing age restrictions on the loan system and limitations on benefits due to asset retention.</w:t>
      </w:r>
    </w:p>
    <w:p w14:paraId="6D5CB0E4" w14:textId="77777777" w:rsidR="0098366D" w:rsidRPr="00E93F74" w:rsidRDefault="0098366D" w:rsidP="00E93F74">
      <w:pPr>
        <w:spacing w:line="276" w:lineRule="auto"/>
        <w:jc w:val="both"/>
        <w:rPr>
          <w:rFonts w:ascii="Times New Roman" w:hAnsi="Times New Roman" w:cs="Times New Roman"/>
          <w:sz w:val="22"/>
          <w:szCs w:val="22"/>
        </w:rPr>
      </w:pPr>
    </w:p>
    <w:p w14:paraId="17FB1437"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Noting the existing large gender gap in pension benefits and raising concerns about the living conditions of women,</w:t>
      </w:r>
      <w:r w:rsidRPr="00E93F74">
        <w:rPr>
          <w:rFonts w:ascii="Times New Roman" w:hAnsi="Times New Roman" w:cs="Times New Roman"/>
          <w:sz w:val="22"/>
          <w:szCs w:val="22"/>
          <w:vertAlign w:val="superscript"/>
        </w:rPr>
        <w:footnoteReference w:id="17"/>
      </w:r>
      <w:r w:rsidRPr="00E93F74">
        <w:rPr>
          <w:rFonts w:ascii="Times New Roman" w:hAnsi="Times New Roman" w:cs="Times New Roman"/>
          <w:sz w:val="22"/>
          <w:szCs w:val="22"/>
        </w:rPr>
        <w:t xml:space="preserve"> the Committee called for exploring the possibility of reforming the pension scheme,</w:t>
      </w:r>
      <w:r w:rsidRPr="00E93F74">
        <w:rPr>
          <w:rFonts w:ascii="Times New Roman" w:hAnsi="Times New Roman" w:cs="Times New Roman"/>
          <w:sz w:val="22"/>
          <w:szCs w:val="22"/>
          <w:vertAlign w:val="superscript"/>
        </w:rPr>
        <w:footnoteReference w:id="18"/>
      </w:r>
      <w:r w:rsidRPr="00E93F74">
        <w:rPr>
          <w:rFonts w:ascii="Times New Roman" w:hAnsi="Times New Roman" w:cs="Times New Roman"/>
          <w:sz w:val="22"/>
          <w:szCs w:val="22"/>
        </w:rPr>
        <w:t xml:space="preserve"> but no fundamental measures have been taken.</w:t>
      </w:r>
    </w:p>
    <w:p w14:paraId="16433F5A" w14:textId="77777777" w:rsidR="0098366D" w:rsidRPr="00E93F74" w:rsidRDefault="0098366D" w:rsidP="00E93F74">
      <w:pPr>
        <w:spacing w:line="276" w:lineRule="auto"/>
        <w:jc w:val="both"/>
        <w:rPr>
          <w:rFonts w:ascii="Times New Roman" w:hAnsi="Times New Roman" w:cs="Times New Roman"/>
          <w:sz w:val="22"/>
          <w:szCs w:val="22"/>
        </w:rPr>
      </w:pPr>
    </w:p>
    <w:p w14:paraId="2CE20A1B" w14:textId="77777777" w:rsidR="0098366D" w:rsidRPr="00E93F74" w:rsidRDefault="00000000" w:rsidP="00E93F74">
      <w:pPr>
        <w:spacing w:line="276" w:lineRule="auto"/>
        <w:jc w:val="both"/>
        <w:rPr>
          <w:rFonts w:ascii="Times New Roman" w:hAnsi="Times New Roman" w:cs="Times New Roman"/>
          <w:sz w:val="22"/>
          <w:szCs w:val="22"/>
        </w:rPr>
      </w:pPr>
      <w:r w:rsidRPr="00E93F74">
        <w:rPr>
          <w:rFonts w:ascii="Times New Roman" w:hAnsi="Times New Roman" w:cs="Times New Roman"/>
          <w:sz w:val="22"/>
          <w:szCs w:val="22"/>
        </w:rPr>
        <w:t xml:space="preserve">In its General Recommendation No. 28, the Committee identifies the creation of a comprehensive statistical database of women from specific vulnerable groups as a positive obligation of States Parties to eliminate discrimination against women. Accordingly, the Government of Japan is obligated to establish a comprehensive statistical database of Ryukyu/Okinawa women and girls. Additionally, the Government </w:t>
      </w:r>
      <w:r w:rsidRPr="00E93F74">
        <w:rPr>
          <w:rFonts w:ascii="Times New Roman" w:hAnsi="Times New Roman" w:cs="Times New Roman"/>
          <w:sz w:val="22"/>
          <w:szCs w:val="22"/>
        </w:rPr>
        <w:lastRenderedPageBreak/>
        <w:t>should conduct a thorough fact-finding survey to identify and address the specific needs of these vulnerable groups of women.</w:t>
      </w:r>
    </w:p>
    <w:p w14:paraId="76AA804D" w14:textId="77777777" w:rsidR="0098366D" w:rsidRPr="00E93F74" w:rsidRDefault="0098366D" w:rsidP="00E93F74">
      <w:pPr>
        <w:spacing w:line="276" w:lineRule="auto"/>
        <w:jc w:val="both"/>
        <w:rPr>
          <w:rFonts w:ascii="Times New Roman" w:hAnsi="Times New Roman" w:cs="Times New Roman"/>
          <w:sz w:val="22"/>
          <w:szCs w:val="22"/>
        </w:rPr>
      </w:pPr>
    </w:p>
    <w:p w14:paraId="27FE60B2" w14:textId="41E46C2C" w:rsidR="00B83524" w:rsidRPr="006178A3" w:rsidRDefault="006178A3" w:rsidP="006178A3">
      <w:pPr>
        <w:pStyle w:val="a9"/>
        <w:widowControl w:val="0"/>
        <w:numPr>
          <w:ilvl w:val="0"/>
          <w:numId w:val="8"/>
        </w:numPr>
        <w:pBdr>
          <w:top w:val="nil"/>
          <w:left w:val="nil"/>
          <w:bottom w:val="nil"/>
          <w:right w:val="nil"/>
          <w:between w:val="nil"/>
        </w:pBdr>
        <w:spacing w:line="276" w:lineRule="auto"/>
        <w:jc w:val="both"/>
        <w:rPr>
          <w:rFonts w:ascii="Times New Roman" w:hAnsi="Times New Roman" w:cs="Times New Roman"/>
          <w:sz w:val="22"/>
          <w:szCs w:val="22"/>
        </w:rPr>
      </w:pPr>
      <w:r>
        <w:rPr>
          <w:rFonts w:ascii="Times New Roman" w:hAnsi="Times New Roman" w:cs="Times New Roman" w:hint="eastAsia"/>
          <w:b/>
          <w:sz w:val="22"/>
          <w:szCs w:val="22"/>
        </w:rPr>
        <w:t xml:space="preserve"> </w:t>
      </w:r>
      <w:r w:rsidR="00B83524" w:rsidRPr="006178A3">
        <w:rPr>
          <w:rFonts w:ascii="Times New Roman" w:hAnsi="Times New Roman" w:cs="Times New Roman"/>
          <w:b/>
          <w:sz w:val="22"/>
          <w:szCs w:val="22"/>
        </w:rPr>
        <w:t>Proposal: Draft Recommendations to the Government of Japan</w:t>
      </w:r>
    </w:p>
    <w:p w14:paraId="23C412ED" w14:textId="73169FF6" w:rsidR="0098366D" w:rsidRPr="00E93F74" w:rsidRDefault="00B83524" w:rsidP="00B83524">
      <w:pPr>
        <w:widowControl w:val="0"/>
        <w:pBdr>
          <w:top w:val="nil"/>
          <w:left w:val="nil"/>
          <w:bottom w:val="nil"/>
          <w:right w:val="nil"/>
          <w:between w:val="nil"/>
        </w:pBdr>
        <w:spacing w:line="276" w:lineRule="auto"/>
        <w:ind w:left="2311" w:hangingChars="1050" w:hanging="2311"/>
        <w:jc w:val="both"/>
        <w:rPr>
          <w:rFonts w:ascii="Times New Roman" w:hAnsi="Times New Roman" w:cs="Times New Roman"/>
          <w:sz w:val="22"/>
          <w:szCs w:val="22"/>
        </w:rPr>
      </w:pPr>
      <w:r w:rsidRPr="00B83524">
        <w:rPr>
          <w:rFonts w:ascii="Times New Roman" w:hAnsi="Times New Roman" w:cs="Times New Roman"/>
          <w:b/>
          <w:bCs/>
          <w:color w:val="000000"/>
          <w:sz w:val="22"/>
          <w:szCs w:val="22"/>
        </w:rPr>
        <w:t>Draft Recommendation 1:</w:t>
      </w:r>
      <w:r w:rsidR="006178A3">
        <w:rPr>
          <w:rFonts w:ascii="Times New Roman" w:hAnsi="Times New Roman" w:cs="Times New Roman" w:hint="eastAsia"/>
          <w:b/>
          <w:bCs/>
          <w:color w:val="000000"/>
          <w:sz w:val="22"/>
          <w:szCs w:val="22"/>
        </w:rPr>
        <w:t xml:space="preserve"> </w:t>
      </w:r>
      <w:r w:rsidRPr="00B83524">
        <w:rPr>
          <w:rFonts w:ascii="Times New Roman" w:hAnsi="Times New Roman" w:cs="Times New Roman"/>
          <w:color w:val="000000"/>
          <w:sz w:val="22"/>
          <w:szCs w:val="22"/>
        </w:rPr>
        <w:t xml:space="preserve"> </w:t>
      </w:r>
      <w:r w:rsidRPr="00E93F74">
        <w:rPr>
          <w:rFonts w:ascii="Times New Roman" w:hAnsi="Times New Roman" w:cs="Times New Roman"/>
          <w:color w:val="000000"/>
          <w:sz w:val="22"/>
          <w:szCs w:val="22"/>
        </w:rPr>
        <w:t>Conduct a comprehensive fact-finding survey and create a statistical database on elderly Ryukyuan/Okinawan women without pension coverage.</w:t>
      </w:r>
    </w:p>
    <w:p w14:paraId="31254F1B" w14:textId="7C498C38" w:rsidR="00B83524" w:rsidRDefault="00B83524" w:rsidP="00B83524">
      <w:pPr>
        <w:widowControl w:val="0"/>
        <w:pBdr>
          <w:top w:val="nil"/>
          <w:left w:val="nil"/>
          <w:bottom w:val="nil"/>
          <w:right w:val="nil"/>
          <w:between w:val="nil"/>
        </w:pBdr>
        <w:spacing w:line="276" w:lineRule="auto"/>
        <w:ind w:left="2311" w:hangingChars="1050" w:hanging="2311"/>
        <w:jc w:val="both"/>
        <w:rPr>
          <w:rFonts w:ascii="Times New Roman" w:hAnsi="Times New Roman" w:cs="Times New Roman"/>
          <w:color w:val="000000"/>
          <w:sz w:val="22"/>
          <w:szCs w:val="22"/>
        </w:rPr>
      </w:pPr>
      <w:r w:rsidRPr="00B83524">
        <w:rPr>
          <w:rFonts w:ascii="Times New Roman" w:hAnsi="Times New Roman" w:cs="Times New Roman"/>
          <w:b/>
          <w:bCs/>
          <w:color w:val="000000"/>
          <w:sz w:val="22"/>
          <w:szCs w:val="22"/>
        </w:rPr>
        <w:t xml:space="preserve">Draft Recommendation </w:t>
      </w:r>
      <w:r>
        <w:rPr>
          <w:rFonts w:ascii="Times New Roman" w:hAnsi="Times New Roman" w:cs="Times New Roman" w:hint="eastAsia"/>
          <w:b/>
          <w:bCs/>
          <w:color w:val="000000"/>
          <w:sz w:val="22"/>
          <w:szCs w:val="22"/>
        </w:rPr>
        <w:t>2</w:t>
      </w:r>
      <w:r w:rsidRPr="00B83524">
        <w:rPr>
          <w:rFonts w:ascii="Times New Roman" w:hAnsi="Times New Roman" w:cs="Times New Roman"/>
          <w:b/>
          <w:bCs/>
          <w:color w:val="000000"/>
          <w:sz w:val="22"/>
          <w:szCs w:val="22"/>
        </w:rPr>
        <w:t>:</w:t>
      </w:r>
      <w:r w:rsidR="006178A3">
        <w:rPr>
          <w:rFonts w:ascii="Times New Roman" w:hAnsi="Times New Roman" w:cs="Times New Roman" w:hint="eastAsia"/>
          <w:b/>
          <w:bCs/>
          <w:color w:val="000000"/>
          <w:sz w:val="22"/>
          <w:szCs w:val="22"/>
        </w:rPr>
        <w:t xml:space="preserve"> </w:t>
      </w:r>
      <w:r w:rsidRPr="00E93F74">
        <w:rPr>
          <w:rFonts w:ascii="Times New Roman" w:hAnsi="Times New Roman" w:cs="Times New Roman"/>
          <w:color w:val="000000"/>
          <w:sz w:val="22"/>
          <w:szCs w:val="22"/>
        </w:rPr>
        <w:t>Implement comprehensive institutional reforms to provide relief measures for impoverished households of elderly Ryukyuan/Okinawan women without pension coverage or with low pension benefits.</w:t>
      </w:r>
    </w:p>
    <w:p w14:paraId="6C4E650F" w14:textId="743ED396" w:rsidR="0098366D" w:rsidRPr="006178A3" w:rsidRDefault="0098366D" w:rsidP="006178A3">
      <w:pPr>
        <w:widowControl w:val="0"/>
        <w:pBdr>
          <w:top w:val="nil"/>
          <w:left w:val="nil"/>
          <w:bottom w:val="nil"/>
          <w:right w:val="nil"/>
          <w:between w:val="nil"/>
        </w:pBdr>
        <w:spacing w:line="276" w:lineRule="auto"/>
        <w:ind w:left="2310" w:hangingChars="1050" w:hanging="2310"/>
        <w:jc w:val="both"/>
        <w:rPr>
          <w:rFonts w:ascii="Times New Roman" w:hAnsi="Times New Roman" w:cs="Times New Roman"/>
          <w:sz w:val="22"/>
          <w:szCs w:val="22"/>
        </w:rPr>
      </w:pPr>
    </w:p>
    <w:sectPr w:rsidR="0098366D" w:rsidRPr="006178A3">
      <w:footerReference w:type="default" r:id="rId8"/>
      <w:headerReference w:type="first" r:id="rId9"/>
      <w:footerReference w:type="first" r:id="rId10"/>
      <w:pgSz w:w="11906" w:h="16838"/>
      <w:pgMar w:top="1588" w:right="1274" w:bottom="1418" w:left="1418" w:header="567" w:footer="2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0C6CF" w14:textId="77777777" w:rsidR="008235CF" w:rsidRDefault="008235CF">
      <w:r>
        <w:separator/>
      </w:r>
    </w:p>
  </w:endnote>
  <w:endnote w:type="continuationSeparator" w:id="0">
    <w:p w14:paraId="5B25C40A" w14:textId="77777777" w:rsidR="008235CF" w:rsidRDefault="00823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5310171"/>
      <w:docPartObj>
        <w:docPartGallery w:val="Page Numbers (Bottom of Page)"/>
        <w:docPartUnique/>
      </w:docPartObj>
    </w:sdtPr>
    <w:sdtContent>
      <w:sdt>
        <w:sdtPr>
          <w:id w:val="-1769616900"/>
          <w:docPartObj>
            <w:docPartGallery w:val="Page Numbers (Top of Page)"/>
            <w:docPartUnique/>
          </w:docPartObj>
        </w:sdtPr>
        <w:sdtContent>
          <w:p w14:paraId="2C19D863" w14:textId="7C4408FC" w:rsidR="006178A3" w:rsidRDefault="006178A3">
            <w:pPr>
              <w:pStyle w:val="ac"/>
              <w:jc w:val="right"/>
            </w:pPr>
            <w:r>
              <w:rPr>
                <w:lang w:val="ja-JP"/>
              </w:rPr>
              <w:t xml:space="preserve"> </w:t>
            </w:r>
            <w:r>
              <w:rPr>
                <w:b/>
                <w:bCs/>
                <w:sz w:val="24"/>
                <w:szCs w:val="24"/>
              </w:rPr>
              <w:fldChar w:fldCharType="begin"/>
            </w:r>
            <w:r>
              <w:rPr>
                <w:b/>
                <w:bCs/>
              </w:rPr>
              <w:instrText>PAGE</w:instrText>
            </w:r>
            <w:r>
              <w:rPr>
                <w:b/>
                <w:bCs/>
                <w:sz w:val="24"/>
                <w:szCs w:val="24"/>
              </w:rPr>
              <w:fldChar w:fldCharType="separate"/>
            </w:r>
            <w:r>
              <w:rPr>
                <w:b/>
                <w:bCs/>
                <w:lang w:val="ja-JP"/>
              </w:rPr>
              <w:t>2</w:t>
            </w:r>
            <w:r>
              <w:rPr>
                <w:b/>
                <w:bCs/>
                <w:sz w:val="24"/>
                <w:szCs w:val="24"/>
              </w:rPr>
              <w:fldChar w:fldCharType="end"/>
            </w:r>
            <w:r>
              <w:rPr>
                <w:lang w:val="ja-JP"/>
              </w:rPr>
              <w:t xml:space="preserve"> / </w:t>
            </w:r>
            <w:r>
              <w:rPr>
                <w:b/>
                <w:bCs/>
                <w:sz w:val="24"/>
                <w:szCs w:val="24"/>
              </w:rPr>
              <w:fldChar w:fldCharType="begin"/>
            </w:r>
            <w:r>
              <w:rPr>
                <w:b/>
                <w:bCs/>
              </w:rPr>
              <w:instrText>NUMPAGES</w:instrText>
            </w:r>
            <w:r>
              <w:rPr>
                <w:b/>
                <w:bCs/>
                <w:sz w:val="24"/>
                <w:szCs w:val="24"/>
              </w:rPr>
              <w:fldChar w:fldCharType="separate"/>
            </w:r>
            <w:r>
              <w:rPr>
                <w:b/>
                <w:bCs/>
                <w:lang w:val="ja-JP"/>
              </w:rPr>
              <w:t>2</w:t>
            </w:r>
            <w:r>
              <w:rPr>
                <w:b/>
                <w:bCs/>
                <w:sz w:val="24"/>
                <w:szCs w:val="24"/>
              </w:rPr>
              <w:fldChar w:fldCharType="end"/>
            </w:r>
          </w:p>
        </w:sdtContent>
      </w:sdt>
    </w:sdtContent>
  </w:sdt>
  <w:p w14:paraId="1891870F" w14:textId="77777777" w:rsidR="0098366D" w:rsidRDefault="0098366D">
    <w:pPr>
      <w:pBdr>
        <w:top w:val="nil"/>
        <w:left w:val="nil"/>
        <w:bottom w:val="nil"/>
        <w:right w:val="nil"/>
        <w:between w:val="nil"/>
      </w:pBdr>
      <w:tabs>
        <w:tab w:val="center" w:pos="4252"/>
        <w:tab w:val="right" w:pos="8504"/>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6A89A" w14:textId="77777777" w:rsidR="0098366D" w:rsidRDefault="00000000">
    <w:pPr>
      <w:pBdr>
        <w:top w:val="nil"/>
        <w:left w:val="nil"/>
        <w:bottom w:val="nil"/>
        <w:right w:val="nil"/>
        <w:between w:val="nil"/>
      </w:pBdr>
      <w:tabs>
        <w:tab w:val="center" w:pos="4252"/>
        <w:tab w:val="right" w:pos="8504"/>
      </w:tabs>
      <w:jc w:val="center"/>
      <w:rPr>
        <w:color w:val="000000"/>
      </w:rPr>
    </w:pPr>
    <w:r>
      <w:rPr>
        <w:color w:val="000000"/>
      </w:rPr>
      <w:t xml:space="preserve"> </w:t>
    </w:r>
  </w:p>
  <w:p w14:paraId="07BEFBEF" w14:textId="77777777" w:rsidR="0098366D" w:rsidRDefault="0098366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A6D134" w14:textId="77777777" w:rsidR="008235CF" w:rsidRDefault="008235CF">
      <w:r>
        <w:separator/>
      </w:r>
    </w:p>
  </w:footnote>
  <w:footnote w:type="continuationSeparator" w:id="0">
    <w:p w14:paraId="69F965A4" w14:textId="77777777" w:rsidR="008235CF" w:rsidRDefault="008235CF">
      <w:r>
        <w:continuationSeparator/>
      </w:r>
    </w:p>
  </w:footnote>
  <w:footnote w:id="1">
    <w:p w14:paraId="3DBA07DE" w14:textId="66E5B590" w:rsidR="005165B1" w:rsidRDefault="005165B1" w:rsidP="005165B1">
      <w:pPr>
        <w:spacing w:line="276" w:lineRule="auto"/>
        <w:jc w:val="both"/>
        <w:rPr>
          <w:rFonts w:ascii="Times New Roman" w:eastAsiaTheme="minorEastAsia" w:hAnsi="Times New Roman" w:cs="Times New Roman"/>
          <w:sz w:val="18"/>
          <w:szCs w:val="18"/>
        </w:rPr>
      </w:pPr>
      <w:r w:rsidRPr="005165B1">
        <w:rPr>
          <w:rStyle w:val="af0"/>
          <w:rFonts w:ascii="Times New Roman" w:hAnsi="Times New Roman" w:cs="Times New Roman"/>
          <w:sz w:val="18"/>
          <w:szCs w:val="18"/>
        </w:rPr>
        <w:footnoteRef/>
      </w:r>
      <w:r w:rsidRPr="005165B1">
        <w:rPr>
          <w:rFonts w:ascii="Times New Roman" w:hAnsi="Times New Roman" w:cs="Times New Roman"/>
          <w:sz w:val="18"/>
          <w:szCs w:val="18"/>
        </w:rPr>
        <w:t xml:space="preserve"> </w:t>
      </w:r>
      <w:r w:rsidRPr="005165B1">
        <w:rPr>
          <w:rFonts w:ascii="Times New Roman" w:eastAsia="Times New Roman" w:hAnsi="Times New Roman" w:cs="Times New Roman"/>
          <w:sz w:val="18"/>
          <w:szCs w:val="18"/>
        </w:rPr>
        <w:t>Be the Change Okinawa is a civil society organization established in July 2024 as a coalition of various groups working on women's human rights issues in Okinawa, along with individuals who support its mission. The organization was formed to prepare an NGO report for the review of the Government of Japan’s report during the 89th session of the Committee on the Elimination of Discrimination against Women (CEDAW) in October 2024.</w:t>
      </w:r>
      <w:r w:rsidR="00443F46">
        <w:rPr>
          <w:rFonts w:ascii="Times New Roman" w:eastAsiaTheme="minorEastAsia" w:hAnsi="Times New Roman" w:cs="Times New Roman" w:hint="eastAsia"/>
          <w:sz w:val="18"/>
          <w:szCs w:val="18"/>
        </w:rPr>
        <w:t xml:space="preserve">  </w:t>
      </w:r>
      <w:r w:rsidR="00443F46" w:rsidRPr="00443F46">
        <w:rPr>
          <w:rFonts w:ascii="Times New Roman" w:eastAsiaTheme="minorEastAsia" w:hAnsi="Times New Roman" w:cs="Times New Roman"/>
          <w:sz w:val="18"/>
          <w:szCs w:val="18"/>
        </w:rPr>
        <w:t>E-mail:</w:t>
      </w:r>
      <w:r w:rsidR="003E5778">
        <w:rPr>
          <w:rFonts w:ascii="Times New Roman" w:eastAsiaTheme="minorEastAsia" w:hAnsi="Times New Roman" w:cs="Times New Roman" w:hint="eastAsia"/>
          <w:sz w:val="18"/>
          <w:szCs w:val="18"/>
        </w:rPr>
        <w:t xml:space="preserve"> </w:t>
      </w:r>
      <w:r w:rsidR="00443F46" w:rsidRPr="00443F46">
        <w:rPr>
          <w:rFonts w:ascii="Times New Roman" w:eastAsiaTheme="minorEastAsia" w:hAnsi="Times New Roman" w:cs="Times New Roman"/>
          <w:sz w:val="18"/>
          <w:szCs w:val="18"/>
        </w:rPr>
        <w:t>Bethechangeokinawa@outlook.com</w:t>
      </w:r>
    </w:p>
    <w:p w14:paraId="43885D05" w14:textId="24CC9F99" w:rsidR="005165B1" w:rsidRDefault="005165B1">
      <w:pPr>
        <w:pStyle w:val="ae"/>
      </w:pPr>
    </w:p>
  </w:footnote>
  <w:footnote w:id="2">
    <w:p w14:paraId="3C09C127" w14:textId="77777777" w:rsidR="0098366D" w:rsidRPr="005165B1" w:rsidRDefault="00000000">
      <w:pPr>
        <w:pBdr>
          <w:top w:val="nil"/>
          <w:left w:val="nil"/>
          <w:bottom w:val="nil"/>
          <w:right w:val="nil"/>
          <w:between w:val="nil"/>
        </w:pBdr>
        <w:rPr>
          <w:rFonts w:ascii="Times New Roman" w:hAnsi="Times New Roman" w:cs="Times New Roman"/>
          <w:color w:val="000000"/>
          <w:sz w:val="18"/>
          <w:szCs w:val="18"/>
        </w:rPr>
      </w:pPr>
      <w:r w:rsidRPr="005165B1">
        <w:rPr>
          <w:rFonts w:ascii="Times New Roman" w:hAnsi="Times New Roman" w:cs="Times New Roman"/>
          <w:sz w:val="18"/>
          <w:szCs w:val="18"/>
          <w:vertAlign w:val="superscript"/>
        </w:rPr>
        <w:footnoteRef/>
      </w:r>
      <w:r w:rsidRPr="005165B1">
        <w:rPr>
          <w:rFonts w:ascii="Times New Roman" w:hAnsi="Times New Roman" w:cs="Times New Roman"/>
          <w:color w:val="000000"/>
          <w:sz w:val="18"/>
          <w:szCs w:val="18"/>
        </w:rPr>
        <w:t xml:space="preserve"> </w:t>
      </w:r>
      <w:r w:rsidRPr="005165B1">
        <w:rPr>
          <w:rFonts w:ascii="Times New Roman" w:eastAsia="Times New Roman" w:hAnsi="Times New Roman" w:cs="Times New Roman"/>
          <w:color w:val="000000"/>
          <w:sz w:val="18"/>
          <w:szCs w:val="18"/>
        </w:rPr>
        <w:t xml:space="preserve">Ministry of Foreign Affairs of Japan, “National Action Plan on Women, Peace, and Security Third Edition (2023-2028)”, pp. 11 (revised in April 2023), available at </w:t>
      </w:r>
      <w:hyperlink r:id="rId1">
        <w:r w:rsidRPr="005165B1">
          <w:rPr>
            <w:rFonts w:ascii="Times New Roman" w:eastAsia="Times New Roman" w:hAnsi="Times New Roman" w:cs="Times New Roman"/>
            <w:color w:val="467886"/>
            <w:sz w:val="18"/>
            <w:szCs w:val="18"/>
            <w:u w:val="single"/>
          </w:rPr>
          <w:t>100647460.pdf (mofa.go.jp)</w:t>
        </w:r>
      </w:hyperlink>
    </w:p>
  </w:footnote>
  <w:footnote w:id="3">
    <w:p w14:paraId="5D43D30D" w14:textId="77777777" w:rsidR="0098366D" w:rsidRPr="008133C1" w:rsidRDefault="00000000">
      <w:pPr>
        <w:pBdr>
          <w:top w:val="nil"/>
          <w:left w:val="nil"/>
          <w:bottom w:val="nil"/>
          <w:right w:val="nil"/>
          <w:between w:val="nil"/>
        </w:pBdr>
        <w:rPr>
          <w:rFonts w:ascii="Times New Roman" w:hAnsi="Times New Roman" w:cs="Times New Roman"/>
          <w:color w:val="000000"/>
          <w:sz w:val="18"/>
          <w:szCs w:val="18"/>
        </w:rPr>
      </w:pPr>
      <w:r w:rsidRPr="008133C1">
        <w:rPr>
          <w:rFonts w:ascii="Times New Roman" w:hAnsi="Times New Roman" w:cs="Times New Roman"/>
          <w:sz w:val="18"/>
          <w:szCs w:val="18"/>
          <w:vertAlign w:val="superscript"/>
        </w:rPr>
        <w:footnoteRef/>
      </w:r>
      <w:r w:rsidRPr="008133C1">
        <w:rPr>
          <w:rFonts w:ascii="Times New Roman" w:eastAsia="Times New Roman" w:hAnsi="Times New Roman" w:cs="Times New Roman"/>
          <w:color w:val="000000"/>
          <w:sz w:val="18"/>
          <w:szCs w:val="18"/>
        </w:rPr>
        <w:t xml:space="preserve"> Ibid., pp. 6.</w:t>
      </w:r>
    </w:p>
  </w:footnote>
  <w:footnote w:id="4">
    <w:p w14:paraId="0E048A6B" w14:textId="3D4BAC46" w:rsidR="0098366D" w:rsidRPr="008133C1" w:rsidRDefault="00000000">
      <w:pPr>
        <w:rPr>
          <w:rFonts w:ascii="Times New Roman" w:hAnsi="Times New Roman" w:cs="Times New Roman"/>
          <w:sz w:val="18"/>
          <w:szCs w:val="18"/>
        </w:rPr>
      </w:pPr>
      <w:r w:rsidRPr="008133C1">
        <w:rPr>
          <w:rFonts w:ascii="Times New Roman" w:hAnsi="Times New Roman" w:cs="Times New Roman"/>
          <w:sz w:val="18"/>
          <w:szCs w:val="18"/>
          <w:vertAlign w:val="superscript"/>
        </w:rPr>
        <w:footnoteRef/>
      </w:r>
      <w:r w:rsidRPr="008133C1">
        <w:rPr>
          <w:rFonts w:ascii="Times New Roman" w:hAnsi="Times New Roman" w:cs="Times New Roman"/>
          <w:sz w:val="18"/>
          <w:szCs w:val="18"/>
        </w:rPr>
        <w:t xml:space="preserve"> </w:t>
      </w:r>
      <w:r w:rsidR="008133C1" w:rsidRPr="008133C1">
        <w:rPr>
          <w:rFonts w:ascii="Times New Roman" w:hAnsi="Times New Roman" w:cs="Times New Roman"/>
          <w:sz w:val="18"/>
          <w:szCs w:val="18"/>
        </w:rPr>
        <w:t>Ibid</w:t>
      </w:r>
      <w:r w:rsidRPr="008133C1">
        <w:rPr>
          <w:rFonts w:ascii="Times New Roman" w:hAnsi="Times New Roman" w:cs="Times New Roman"/>
          <w:sz w:val="18"/>
          <w:szCs w:val="18"/>
        </w:rPr>
        <w:t>.</w:t>
      </w:r>
      <w:r w:rsidR="008133C1">
        <w:rPr>
          <w:rFonts w:ascii="Times New Roman" w:hAnsi="Times New Roman" w:cs="Times New Roman"/>
          <w:sz w:val="18"/>
          <w:szCs w:val="18"/>
        </w:rPr>
        <w:t>,</w:t>
      </w:r>
      <w:r w:rsidRPr="008133C1">
        <w:rPr>
          <w:rFonts w:ascii="Times New Roman" w:hAnsi="Times New Roman" w:cs="Times New Roman"/>
          <w:sz w:val="18"/>
          <w:szCs w:val="18"/>
        </w:rPr>
        <w:t xml:space="preserve"> </w:t>
      </w:r>
      <w:r w:rsidR="008133C1">
        <w:rPr>
          <w:rFonts w:ascii="Times New Roman" w:hAnsi="Times New Roman" w:cs="Times New Roman"/>
          <w:sz w:val="18"/>
          <w:szCs w:val="18"/>
        </w:rPr>
        <w:t xml:space="preserve">pp. </w:t>
      </w:r>
      <w:r w:rsidRPr="008133C1">
        <w:rPr>
          <w:rFonts w:ascii="Times New Roman" w:hAnsi="Times New Roman" w:cs="Times New Roman"/>
          <w:sz w:val="18"/>
          <w:szCs w:val="18"/>
        </w:rPr>
        <w:t>7.</w:t>
      </w:r>
    </w:p>
  </w:footnote>
  <w:footnote w:id="5">
    <w:p w14:paraId="5F3EE58A" w14:textId="77777777" w:rsidR="0098366D" w:rsidRPr="008133C1" w:rsidRDefault="00000000">
      <w:pPr>
        <w:pBdr>
          <w:top w:val="nil"/>
          <w:left w:val="nil"/>
          <w:bottom w:val="nil"/>
          <w:right w:val="nil"/>
          <w:between w:val="nil"/>
        </w:pBdr>
        <w:rPr>
          <w:rFonts w:ascii="Times New Roman" w:hAnsi="Times New Roman" w:cs="Times New Roman"/>
          <w:color w:val="000000"/>
          <w:sz w:val="18"/>
          <w:szCs w:val="18"/>
        </w:rPr>
      </w:pPr>
      <w:r w:rsidRPr="008133C1">
        <w:rPr>
          <w:rFonts w:ascii="Times New Roman" w:hAnsi="Times New Roman" w:cs="Times New Roman"/>
          <w:sz w:val="18"/>
          <w:szCs w:val="18"/>
          <w:vertAlign w:val="superscript"/>
        </w:rPr>
        <w:footnoteRef/>
      </w:r>
      <w:r w:rsidRPr="008133C1">
        <w:rPr>
          <w:rFonts w:ascii="Times New Roman" w:eastAsia="Times New Roman" w:hAnsi="Times New Roman" w:cs="Times New Roman"/>
          <w:color w:val="000000"/>
          <w:sz w:val="18"/>
          <w:szCs w:val="18"/>
        </w:rPr>
        <w:t xml:space="preserve"> </w:t>
      </w:r>
      <w:r w:rsidRPr="00EF6A39">
        <w:rPr>
          <w:rFonts w:ascii="Times New Roman" w:eastAsia="Times New Roman" w:hAnsi="Times New Roman" w:cs="Times New Roman"/>
          <w:color w:val="000000"/>
          <w:sz w:val="18"/>
          <w:szCs w:val="18"/>
        </w:rPr>
        <w:t>Ibid., pp 11.</w:t>
      </w:r>
    </w:p>
  </w:footnote>
  <w:footnote w:id="6">
    <w:p w14:paraId="0AF8C198" w14:textId="1B1CDC30" w:rsidR="0098366D" w:rsidRPr="008133C1" w:rsidRDefault="00000000">
      <w:pPr>
        <w:rPr>
          <w:rFonts w:ascii="Times New Roman" w:hAnsi="Times New Roman" w:cs="Times New Roman"/>
          <w:sz w:val="18"/>
          <w:szCs w:val="18"/>
        </w:rPr>
      </w:pPr>
      <w:r w:rsidRPr="008133C1">
        <w:rPr>
          <w:rFonts w:ascii="Times New Roman" w:hAnsi="Times New Roman" w:cs="Times New Roman"/>
          <w:sz w:val="18"/>
          <w:szCs w:val="18"/>
          <w:vertAlign w:val="superscript"/>
        </w:rPr>
        <w:footnoteRef/>
      </w:r>
      <w:r w:rsidRPr="008133C1">
        <w:rPr>
          <w:rFonts w:ascii="Times New Roman" w:hAnsi="Times New Roman" w:cs="Times New Roman"/>
          <w:sz w:val="18"/>
          <w:szCs w:val="18"/>
        </w:rPr>
        <w:t xml:space="preserve"> </w:t>
      </w:r>
      <w:r w:rsidRPr="00EF6A39">
        <w:rPr>
          <w:rFonts w:ascii="Times New Roman" w:hAnsi="Times New Roman" w:cs="Times New Roman"/>
          <w:sz w:val="18"/>
          <w:szCs w:val="18"/>
        </w:rPr>
        <w:t>CEDAW/C/SR.1375, para 9</w:t>
      </w:r>
    </w:p>
  </w:footnote>
  <w:footnote w:id="7">
    <w:p w14:paraId="04278B43" w14:textId="77777777" w:rsidR="0098366D" w:rsidRPr="008133C1" w:rsidRDefault="00000000">
      <w:pPr>
        <w:rPr>
          <w:rFonts w:ascii="Times New Roman" w:hAnsi="Times New Roman" w:cs="Times New Roman"/>
          <w:sz w:val="18"/>
          <w:szCs w:val="18"/>
        </w:rPr>
      </w:pPr>
      <w:r w:rsidRPr="008133C1">
        <w:rPr>
          <w:rFonts w:ascii="Times New Roman" w:hAnsi="Times New Roman" w:cs="Times New Roman"/>
          <w:sz w:val="18"/>
          <w:szCs w:val="18"/>
          <w:vertAlign w:val="superscript"/>
        </w:rPr>
        <w:footnoteRef/>
      </w:r>
      <w:r w:rsidRPr="008133C1">
        <w:rPr>
          <w:rFonts w:ascii="Times New Roman" w:hAnsi="Times New Roman" w:cs="Times New Roman"/>
          <w:sz w:val="18"/>
          <w:szCs w:val="18"/>
        </w:rPr>
        <w:t xml:space="preserve"> </w:t>
      </w:r>
      <w:r w:rsidRPr="00EF6A39">
        <w:rPr>
          <w:rFonts w:ascii="Times New Roman" w:hAnsi="Times New Roman" w:cs="Times New Roman"/>
          <w:sz w:val="18"/>
          <w:szCs w:val="18"/>
        </w:rPr>
        <w:t>Ibid., para. 16.</w:t>
      </w:r>
    </w:p>
  </w:footnote>
  <w:footnote w:id="8">
    <w:p w14:paraId="7C162ECD" w14:textId="77777777" w:rsidR="0098366D" w:rsidRPr="008133C1" w:rsidRDefault="00000000">
      <w:pPr>
        <w:pBdr>
          <w:top w:val="nil"/>
          <w:left w:val="nil"/>
          <w:bottom w:val="nil"/>
          <w:right w:val="nil"/>
          <w:between w:val="nil"/>
        </w:pBdr>
        <w:rPr>
          <w:rFonts w:ascii="Times New Roman" w:hAnsi="Times New Roman" w:cs="Times New Roman"/>
          <w:color w:val="000000"/>
          <w:sz w:val="18"/>
          <w:szCs w:val="18"/>
        </w:rPr>
      </w:pPr>
      <w:r w:rsidRPr="008133C1">
        <w:rPr>
          <w:rFonts w:ascii="Times New Roman" w:hAnsi="Times New Roman" w:cs="Times New Roman"/>
          <w:sz w:val="18"/>
          <w:szCs w:val="18"/>
          <w:vertAlign w:val="superscript"/>
        </w:rPr>
        <w:footnoteRef/>
      </w:r>
      <w:r w:rsidRPr="008133C1">
        <w:rPr>
          <w:rFonts w:ascii="Times New Roman" w:hAnsi="Times New Roman" w:cs="Times New Roman"/>
          <w:color w:val="000000"/>
          <w:sz w:val="18"/>
          <w:szCs w:val="18"/>
        </w:rPr>
        <w:t xml:space="preserve"> </w:t>
      </w:r>
      <w:r w:rsidRPr="00EF6A39">
        <w:rPr>
          <w:rFonts w:ascii="Times New Roman" w:eastAsia="Times New Roman" w:hAnsi="Times New Roman" w:cs="Times New Roman"/>
          <w:color w:val="000000"/>
          <w:sz w:val="18"/>
          <w:szCs w:val="18"/>
        </w:rPr>
        <w:t xml:space="preserve">National Action Plan on Women, Peace, and Security Third Edition (2023-2028), revised in April 2023, available at </w:t>
      </w:r>
      <w:hyperlink r:id="rId2">
        <w:r w:rsidRPr="00EF6A39">
          <w:rPr>
            <w:rFonts w:ascii="Times New Roman" w:eastAsia="Times New Roman" w:hAnsi="Times New Roman" w:cs="Times New Roman"/>
            <w:color w:val="467886"/>
            <w:sz w:val="18"/>
            <w:szCs w:val="18"/>
            <w:u w:val="single"/>
          </w:rPr>
          <w:t>100647460.pdf (mofa.go.jp)</w:t>
        </w:r>
      </w:hyperlink>
    </w:p>
  </w:footnote>
  <w:footnote w:id="9">
    <w:p w14:paraId="7A0E67C7" w14:textId="77777777" w:rsidR="0098366D" w:rsidRPr="005165B1" w:rsidRDefault="00000000">
      <w:pPr>
        <w:pBdr>
          <w:top w:val="nil"/>
          <w:left w:val="nil"/>
          <w:bottom w:val="nil"/>
          <w:right w:val="nil"/>
          <w:between w:val="nil"/>
        </w:pBdr>
        <w:rPr>
          <w:rFonts w:ascii="Times New Roman" w:hAnsi="Times New Roman" w:cs="Times New Roman"/>
          <w:color w:val="000000"/>
          <w:sz w:val="18"/>
          <w:szCs w:val="18"/>
        </w:rPr>
      </w:pPr>
      <w:r w:rsidRPr="005165B1">
        <w:rPr>
          <w:rFonts w:ascii="Times New Roman" w:hAnsi="Times New Roman" w:cs="Times New Roman"/>
          <w:sz w:val="18"/>
          <w:szCs w:val="18"/>
          <w:vertAlign w:val="superscript"/>
        </w:rPr>
        <w:footnoteRef/>
      </w:r>
      <w:r w:rsidRPr="005165B1">
        <w:rPr>
          <w:rFonts w:ascii="Times New Roman" w:hAnsi="Times New Roman" w:cs="Times New Roman"/>
          <w:color w:val="000000"/>
          <w:sz w:val="18"/>
          <w:szCs w:val="18"/>
        </w:rPr>
        <w:t xml:space="preserve"> </w:t>
      </w:r>
      <w:r w:rsidRPr="00EF6A39">
        <w:rPr>
          <w:rFonts w:ascii="Times New Roman" w:eastAsia="Times New Roman" w:hAnsi="Times New Roman" w:cs="Times New Roman"/>
          <w:color w:val="000000"/>
          <w:sz w:val="18"/>
          <w:szCs w:val="18"/>
        </w:rPr>
        <w:t xml:space="preserve">Press Conference by Foreign Press Secretary KITAMURA Toshihiro (Wednesday, July 3, 2024, 4:20 p.m.) available at </w:t>
      </w:r>
      <w:hyperlink r:id="rId3">
        <w:r w:rsidRPr="00EF6A39">
          <w:rPr>
            <w:rFonts w:ascii="Times New Roman" w:eastAsia="Times New Roman" w:hAnsi="Times New Roman" w:cs="Times New Roman"/>
            <w:color w:val="467886"/>
            <w:sz w:val="18"/>
            <w:szCs w:val="18"/>
            <w:u w:val="single"/>
          </w:rPr>
          <w:t>Press Conference by Foreign Press Secretary KITAMURA Toshihiro | Ministry of Foreign Affairs of Japan (mofa.go.jp)</w:t>
        </w:r>
      </w:hyperlink>
    </w:p>
  </w:footnote>
  <w:footnote w:id="10">
    <w:p w14:paraId="15B0407F" w14:textId="77777777" w:rsidR="0098366D" w:rsidRPr="005165B1" w:rsidRDefault="00000000">
      <w:pPr>
        <w:pBdr>
          <w:top w:val="nil"/>
          <w:left w:val="nil"/>
          <w:bottom w:val="nil"/>
          <w:right w:val="nil"/>
          <w:between w:val="nil"/>
        </w:pBdr>
        <w:rPr>
          <w:rFonts w:ascii="Times New Roman" w:eastAsia="Times New Roman" w:hAnsi="Times New Roman" w:cs="Times New Roman"/>
          <w:color w:val="000000"/>
          <w:sz w:val="18"/>
          <w:szCs w:val="18"/>
        </w:rPr>
      </w:pPr>
      <w:r w:rsidRPr="005165B1">
        <w:rPr>
          <w:rFonts w:ascii="Times New Roman" w:hAnsi="Times New Roman" w:cs="Times New Roman"/>
          <w:sz w:val="18"/>
          <w:szCs w:val="18"/>
          <w:vertAlign w:val="superscript"/>
        </w:rPr>
        <w:footnoteRef/>
      </w:r>
      <w:r w:rsidRPr="005165B1">
        <w:rPr>
          <w:rFonts w:ascii="Times New Roman" w:eastAsia="Times New Roman" w:hAnsi="Times New Roman" w:cs="Times New Roman"/>
          <w:color w:val="000000"/>
          <w:sz w:val="18"/>
          <w:szCs w:val="18"/>
        </w:rPr>
        <w:t xml:space="preserve"> National Action Plan on Women, Peace, and Security Third Edition, pp.18.</w:t>
      </w:r>
    </w:p>
  </w:footnote>
  <w:footnote w:id="11">
    <w:p w14:paraId="25A6FDB6" w14:textId="77777777" w:rsidR="0098366D" w:rsidRDefault="00000000">
      <w:pPr>
        <w:pBdr>
          <w:top w:val="nil"/>
          <w:left w:val="nil"/>
          <w:bottom w:val="nil"/>
          <w:right w:val="nil"/>
          <w:between w:val="nil"/>
        </w:pBdr>
        <w:rPr>
          <w:color w:val="000000"/>
        </w:rPr>
      </w:pPr>
      <w:r w:rsidRPr="005165B1">
        <w:rPr>
          <w:rFonts w:ascii="Times New Roman" w:hAnsi="Times New Roman" w:cs="Times New Roman"/>
          <w:sz w:val="18"/>
          <w:szCs w:val="18"/>
          <w:vertAlign w:val="superscript"/>
        </w:rPr>
        <w:footnoteRef/>
      </w:r>
      <w:r w:rsidRPr="005165B1">
        <w:rPr>
          <w:rFonts w:ascii="Times New Roman" w:eastAsia="Times New Roman" w:hAnsi="Times New Roman" w:cs="Times New Roman"/>
          <w:color w:val="000000"/>
          <w:sz w:val="18"/>
          <w:szCs w:val="18"/>
        </w:rPr>
        <w:t xml:space="preserve"> Response from Mr. Masahito Tamari, Executive Director of the Governor’s Office of the Okinawa Prefectural Government, to the question from the prefectural assembly member Mr. Osamu Toguchi (Japanese Communist Party) during the questions from representatives of parties of the 2nd Regular Meeting of the Okinawa Prefectural Assembly on July 11, 2024.</w:t>
      </w:r>
    </w:p>
  </w:footnote>
  <w:footnote w:id="12">
    <w:p w14:paraId="12600417" w14:textId="77777777" w:rsidR="0098366D" w:rsidRPr="005165B1" w:rsidRDefault="00000000">
      <w:pPr>
        <w:pBdr>
          <w:top w:val="nil"/>
          <w:left w:val="nil"/>
          <w:bottom w:val="nil"/>
          <w:right w:val="nil"/>
          <w:between w:val="nil"/>
        </w:pBdr>
        <w:rPr>
          <w:rFonts w:ascii="Times New Roman" w:hAnsi="Times New Roman" w:cs="Times New Roman"/>
          <w:color w:val="000000"/>
          <w:sz w:val="18"/>
          <w:szCs w:val="18"/>
        </w:rPr>
      </w:pPr>
      <w:r w:rsidRPr="005165B1">
        <w:rPr>
          <w:rFonts w:ascii="Times New Roman" w:hAnsi="Times New Roman" w:cs="Times New Roman"/>
          <w:sz w:val="18"/>
          <w:szCs w:val="18"/>
          <w:vertAlign w:val="superscript"/>
        </w:rPr>
        <w:footnoteRef/>
      </w:r>
      <w:r w:rsidRPr="005165B1">
        <w:rPr>
          <w:rFonts w:ascii="Times New Roman" w:hAnsi="Times New Roman" w:cs="Times New Roman"/>
          <w:color w:val="000000"/>
          <w:sz w:val="18"/>
          <w:szCs w:val="18"/>
        </w:rPr>
        <w:t xml:space="preserve"> </w:t>
      </w:r>
      <w:r w:rsidRPr="005165B1">
        <w:rPr>
          <w:rFonts w:ascii="Times New Roman" w:eastAsia="Times New Roman" w:hAnsi="Times New Roman" w:cs="Times New Roman"/>
          <w:color w:val="000000"/>
          <w:sz w:val="18"/>
          <w:szCs w:val="18"/>
        </w:rPr>
        <w:t>Same as above</w:t>
      </w:r>
    </w:p>
  </w:footnote>
  <w:footnote w:id="13">
    <w:p w14:paraId="08899916" w14:textId="77777777" w:rsidR="0098366D" w:rsidRDefault="00000000">
      <w:pPr>
        <w:pBdr>
          <w:top w:val="nil"/>
          <w:left w:val="nil"/>
          <w:bottom w:val="nil"/>
          <w:right w:val="nil"/>
          <w:between w:val="nil"/>
        </w:pBdr>
        <w:rPr>
          <w:color w:val="000000"/>
        </w:rPr>
      </w:pPr>
      <w:r w:rsidRPr="005165B1">
        <w:rPr>
          <w:rFonts w:ascii="Times New Roman" w:hAnsi="Times New Roman" w:cs="Times New Roman"/>
          <w:sz w:val="18"/>
          <w:szCs w:val="18"/>
          <w:vertAlign w:val="superscript"/>
        </w:rPr>
        <w:footnoteRef/>
      </w:r>
      <w:r w:rsidRPr="005165B1">
        <w:rPr>
          <w:rFonts w:ascii="Times New Roman" w:hAnsi="Times New Roman" w:cs="Times New Roman"/>
          <w:color w:val="000000"/>
          <w:sz w:val="18"/>
          <w:szCs w:val="18"/>
        </w:rPr>
        <w:t xml:space="preserve"> </w:t>
      </w:r>
      <w:r w:rsidRPr="005165B1">
        <w:rPr>
          <w:rFonts w:ascii="Times New Roman" w:eastAsia="Times New Roman" w:hAnsi="Times New Roman" w:cs="Times New Roman"/>
          <w:color w:val="000000"/>
          <w:sz w:val="18"/>
          <w:szCs w:val="18"/>
        </w:rPr>
        <w:t>A booklet “Crimes of sexual violence committed by U.S. military personnel against women” (April 1945–December 2021), 13th Edition, edited and published by the Okinawa Women Act Against Military Violence (April 30, 2023).</w:t>
      </w:r>
    </w:p>
  </w:footnote>
  <w:footnote w:id="14">
    <w:p w14:paraId="21C29359" w14:textId="77777777" w:rsidR="0098366D" w:rsidRPr="006F2445" w:rsidRDefault="00000000">
      <w:pPr>
        <w:pBdr>
          <w:top w:val="nil"/>
          <w:left w:val="nil"/>
          <w:bottom w:val="nil"/>
          <w:right w:val="nil"/>
          <w:between w:val="nil"/>
        </w:pBdr>
        <w:rPr>
          <w:rFonts w:ascii="Times New Roman" w:eastAsia="Times New Roman" w:hAnsi="Times New Roman" w:cs="Times New Roman"/>
          <w:color w:val="000000"/>
          <w:sz w:val="18"/>
          <w:szCs w:val="18"/>
        </w:rPr>
      </w:pPr>
      <w:r w:rsidRPr="006F2445">
        <w:rPr>
          <w:rFonts w:ascii="Times New Roman" w:hAnsi="Times New Roman" w:cs="Times New Roman"/>
          <w:sz w:val="18"/>
          <w:szCs w:val="18"/>
          <w:vertAlign w:val="superscript"/>
        </w:rPr>
        <w:footnoteRef/>
      </w:r>
      <w:r w:rsidRPr="006F2445">
        <w:rPr>
          <w:rFonts w:ascii="Times New Roman" w:eastAsia="Times New Roman" w:hAnsi="Times New Roman" w:cs="Times New Roman"/>
          <w:color w:val="000000"/>
          <w:sz w:val="18"/>
          <w:szCs w:val="18"/>
        </w:rPr>
        <w:t xml:space="preserve"> Health Insurance Bureau, Ministry of Health, Labour and Welfare, “ FY 2023 Survey of the Insured under the Medical Care System for Elderly in the Later Stage of Life” (2023) available at: </w:t>
      </w:r>
      <w:hyperlink r:id="rId4">
        <w:r w:rsidRPr="006F2445">
          <w:rPr>
            <w:rFonts w:ascii="Times New Roman" w:eastAsia="Times New Roman" w:hAnsi="Times New Roman" w:cs="Times New Roman"/>
            <w:color w:val="467886"/>
            <w:sz w:val="18"/>
            <w:szCs w:val="18"/>
            <w:u w:val="single"/>
          </w:rPr>
          <w:t>https://www.e-stat.go.jp/stat-search/files?page=1&amp;layout=datalist&amp;toukei=00450388&amp;tstat=000001044907&amp;cycle=0&amp;tclass1=000001044908&amp;tclass2=000001219188&amp;tclass3val=0</w:t>
        </w:r>
      </w:hyperlink>
    </w:p>
  </w:footnote>
  <w:footnote w:id="15">
    <w:p w14:paraId="409B7335" w14:textId="77777777" w:rsidR="0098366D" w:rsidRPr="006F2445" w:rsidRDefault="00000000">
      <w:pPr>
        <w:pBdr>
          <w:top w:val="nil"/>
          <w:left w:val="nil"/>
          <w:bottom w:val="nil"/>
          <w:right w:val="nil"/>
          <w:between w:val="nil"/>
        </w:pBdr>
        <w:rPr>
          <w:rFonts w:ascii="Times New Roman" w:eastAsia="Times New Roman" w:hAnsi="Times New Roman" w:cs="Times New Roman"/>
          <w:color w:val="000000"/>
          <w:sz w:val="18"/>
          <w:szCs w:val="18"/>
        </w:rPr>
      </w:pPr>
      <w:r w:rsidRPr="006F2445">
        <w:rPr>
          <w:rFonts w:ascii="Times New Roman" w:hAnsi="Times New Roman" w:cs="Times New Roman"/>
          <w:sz w:val="18"/>
          <w:szCs w:val="18"/>
          <w:vertAlign w:val="superscript"/>
        </w:rPr>
        <w:footnoteRef/>
      </w:r>
      <w:r w:rsidRPr="006F2445">
        <w:rPr>
          <w:rFonts w:ascii="Times New Roman" w:eastAsia="Times New Roman" w:hAnsi="Times New Roman" w:cs="Times New Roman"/>
          <w:color w:val="000000"/>
          <w:sz w:val="18"/>
          <w:szCs w:val="18"/>
        </w:rPr>
        <w:t xml:space="preserve"> General question at the 2nd regular session of the 2024 Okinawa Prefectural Assembly (18 July, 2024), available at: </w:t>
      </w:r>
      <w:hyperlink r:id="rId5">
        <w:r w:rsidRPr="006F2445">
          <w:rPr>
            <w:rFonts w:ascii="Times New Roman" w:eastAsia="Times New Roman" w:hAnsi="Times New Roman" w:cs="Times New Roman"/>
            <w:color w:val="467886"/>
            <w:sz w:val="18"/>
            <w:szCs w:val="18"/>
            <w:u w:val="single"/>
          </w:rPr>
          <w:t>https://smart.discussvision.net/smart/tenant/pref_okinawa/WebView/rd/schedule.html?year=2024&amp;council_id=175&amp;schedule_id=718</w:t>
        </w:r>
      </w:hyperlink>
    </w:p>
  </w:footnote>
  <w:footnote w:id="16">
    <w:p w14:paraId="269F82BC" w14:textId="77777777" w:rsidR="0098366D" w:rsidRPr="006F2445" w:rsidRDefault="00000000">
      <w:pPr>
        <w:pBdr>
          <w:top w:val="nil"/>
          <w:left w:val="nil"/>
          <w:bottom w:val="nil"/>
          <w:right w:val="nil"/>
          <w:between w:val="nil"/>
        </w:pBdr>
        <w:rPr>
          <w:rFonts w:ascii="Times New Roman" w:eastAsia="Times New Roman" w:hAnsi="Times New Roman" w:cs="Times New Roman"/>
          <w:color w:val="000000"/>
          <w:sz w:val="18"/>
          <w:szCs w:val="18"/>
        </w:rPr>
      </w:pPr>
      <w:r w:rsidRPr="006F2445">
        <w:rPr>
          <w:rFonts w:ascii="Times New Roman" w:hAnsi="Times New Roman" w:cs="Times New Roman"/>
          <w:sz w:val="18"/>
          <w:szCs w:val="18"/>
          <w:vertAlign w:val="superscript"/>
        </w:rPr>
        <w:footnoteRef/>
      </w:r>
      <w:r w:rsidRPr="006F2445">
        <w:rPr>
          <w:rFonts w:ascii="Times New Roman" w:eastAsia="Times New Roman" w:hAnsi="Times New Roman" w:cs="Times New Roman"/>
          <w:color w:val="000000"/>
          <w:sz w:val="18"/>
          <w:szCs w:val="18"/>
        </w:rPr>
        <w:t xml:space="preserve"> Okinawa Prefectural Government, “Report on the Survey of Impoverishment of the Elderly” (2024) available at: </w:t>
      </w:r>
      <w:hyperlink r:id="rId6">
        <w:r w:rsidRPr="006F2445">
          <w:rPr>
            <w:rFonts w:ascii="Times New Roman" w:eastAsia="Times New Roman" w:hAnsi="Times New Roman" w:cs="Times New Roman"/>
            <w:color w:val="467886"/>
            <w:sz w:val="18"/>
            <w:szCs w:val="18"/>
            <w:u w:val="single"/>
          </w:rPr>
          <w:t>https://www.pref.okinawa.lg.jp/_res/projects/default_project/_page_/001/030/048/honnpenn.pdf</w:t>
        </w:r>
      </w:hyperlink>
    </w:p>
  </w:footnote>
  <w:footnote w:id="17">
    <w:p w14:paraId="50672EE7" w14:textId="77777777" w:rsidR="0098366D" w:rsidRPr="006F2445" w:rsidRDefault="00000000">
      <w:pPr>
        <w:pBdr>
          <w:top w:val="nil"/>
          <w:left w:val="nil"/>
          <w:bottom w:val="nil"/>
          <w:right w:val="nil"/>
          <w:between w:val="nil"/>
        </w:pBdr>
        <w:rPr>
          <w:rFonts w:ascii="Times New Roman" w:eastAsia="Times New Roman" w:hAnsi="Times New Roman" w:cs="Times New Roman"/>
          <w:color w:val="000000"/>
          <w:sz w:val="18"/>
          <w:szCs w:val="18"/>
        </w:rPr>
      </w:pPr>
      <w:r w:rsidRPr="006F2445">
        <w:rPr>
          <w:rFonts w:ascii="Times New Roman" w:hAnsi="Times New Roman" w:cs="Times New Roman"/>
          <w:sz w:val="18"/>
          <w:szCs w:val="18"/>
          <w:vertAlign w:val="superscript"/>
        </w:rPr>
        <w:footnoteRef/>
      </w:r>
      <w:r w:rsidRPr="006F2445">
        <w:rPr>
          <w:rFonts w:ascii="Times New Roman" w:eastAsia="Times New Roman" w:hAnsi="Times New Roman" w:cs="Times New Roman"/>
          <w:color w:val="000000"/>
          <w:sz w:val="18"/>
          <w:szCs w:val="18"/>
        </w:rPr>
        <w:t xml:space="preserve"> Para. 40, CEDAW/C/JPN/CO/7-8</w:t>
      </w:r>
    </w:p>
  </w:footnote>
  <w:footnote w:id="18">
    <w:p w14:paraId="217F2E22" w14:textId="77777777" w:rsidR="0098366D" w:rsidRDefault="00000000">
      <w:pPr>
        <w:pBdr>
          <w:top w:val="nil"/>
          <w:left w:val="nil"/>
          <w:bottom w:val="nil"/>
          <w:right w:val="nil"/>
          <w:between w:val="nil"/>
        </w:pBdr>
        <w:rPr>
          <w:color w:val="000000"/>
        </w:rPr>
      </w:pPr>
      <w:r w:rsidRPr="006F2445">
        <w:rPr>
          <w:rFonts w:ascii="Times New Roman" w:hAnsi="Times New Roman" w:cs="Times New Roman"/>
          <w:sz w:val="18"/>
          <w:szCs w:val="18"/>
          <w:vertAlign w:val="superscript"/>
        </w:rPr>
        <w:footnoteRef/>
      </w:r>
      <w:r w:rsidRPr="006F2445">
        <w:rPr>
          <w:rFonts w:ascii="Times New Roman" w:eastAsia="Times New Roman" w:hAnsi="Times New Roman" w:cs="Times New Roman"/>
          <w:color w:val="000000"/>
          <w:sz w:val="18"/>
          <w:szCs w:val="18"/>
        </w:rPr>
        <w:t xml:space="preserve"> Para. 41, CEDAW/C/JPN/CO/7-8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C8960" w14:textId="77777777" w:rsidR="0098366D" w:rsidRDefault="0098366D">
    <w:pPr>
      <w:ind w:left="6728"/>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A58F9"/>
    <w:multiLevelType w:val="multilevel"/>
    <w:tmpl w:val="26481A12"/>
    <w:lvl w:ilvl="0">
      <w:start w:val="1"/>
      <w:numFmt w:val="lowerLetter"/>
      <w:lvlText w:val="%1."/>
      <w:lvlJc w:val="left"/>
      <w:pPr>
        <w:ind w:left="720" w:hanging="360"/>
      </w:pPr>
    </w:lvl>
    <w:lvl w:ilvl="1">
      <w:start w:val="1"/>
      <w:numFmt w:val="decimal"/>
      <w:lvlText w:val="(%2)"/>
      <w:lvlJc w:val="left"/>
      <w:pPr>
        <w:ind w:left="1240" w:hanging="440"/>
      </w:pPr>
    </w:lvl>
    <w:lvl w:ilvl="2">
      <w:start w:val="1"/>
      <w:numFmt w:val="decimal"/>
      <w:lvlText w:val="%3"/>
      <w:lvlJc w:val="left"/>
      <w:pPr>
        <w:ind w:left="1680" w:hanging="440"/>
      </w:pPr>
    </w:lvl>
    <w:lvl w:ilvl="3">
      <w:start w:val="1"/>
      <w:numFmt w:val="decimal"/>
      <w:lvlText w:val="%4."/>
      <w:lvlJc w:val="left"/>
      <w:pPr>
        <w:ind w:left="2120" w:hanging="440"/>
      </w:pPr>
    </w:lvl>
    <w:lvl w:ilvl="4">
      <w:start w:val="1"/>
      <w:numFmt w:val="decimal"/>
      <w:lvlText w:val="(%5)"/>
      <w:lvlJc w:val="left"/>
      <w:pPr>
        <w:ind w:left="2560" w:hanging="440"/>
      </w:pPr>
    </w:lvl>
    <w:lvl w:ilvl="5">
      <w:start w:val="1"/>
      <w:numFmt w:val="decimal"/>
      <w:lvlText w:val="%6"/>
      <w:lvlJc w:val="left"/>
      <w:pPr>
        <w:ind w:left="3000" w:hanging="440"/>
      </w:pPr>
    </w:lvl>
    <w:lvl w:ilvl="6">
      <w:start w:val="1"/>
      <w:numFmt w:val="decimal"/>
      <w:lvlText w:val="%7."/>
      <w:lvlJc w:val="left"/>
      <w:pPr>
        <w:ind w:left="3440" w:hanging="440"/>
      </w:pPr>
    </w:lvl>
    <w:lvl w:ilvl="7">
      <w:start w:val="1"/>
      <w:numFmt w:val="decimal"/>
      <w:lvlText w:val="(%8)"/>
      <w:lvlJc w:val="left"/>
      <w:pPr>
        <w:ind w:left="3880" w:hanging="440"/>
      </w:pPr>
    </w:lvl>
    <w:lvl w:ilvl="8">
      <w:start w:val="1"/>
      <w:numFmt w:val="decimal"/>
      <w:lvlText w:val="%9"/>
      <w:lvlJc w:val="left"/>
      <w:pPr>
        <w:ind w:left="4320" w:hanging="440"/>
      </w:pPr>
    </w:lvl>
  </w:abstractNum>
  <w:abstractNum w:abstractNumId="1" w15:restartNumberingAfterBreak="0">
    <w:nsid w:val="3A2559F0"/>
    <w:multiLevelType w:val="multilevel"/>
    <w:tmpl w:val="092AE88C"/>
    <w:lvl w:ilvl="0">
      <w:start w:val="1"/>
      <w:numFmt w:val="decimal"/>
      <w:lvlText w:val="%1."/>
      <w:lvlJc w:val="left"/>
      <w:pPr>
        <w:ind w:left="360" w:hanging="36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2" w15:restartNumberingAfterBreak="0">
    <w:nsid w:val="3B1E2F35"/>
    <w:multiLevelType w:val="multilevel"/>
    <w:tmpl w:val="96E68050"/>
    <w:lvl w:ilvl="0">
      <w:start w:val="1"/>
      <w:numFmt w:val="lowerLetter"/>
      <w:lvlText w:val="%1．"/>
      <w:lvlJc w:val="left"/>
      <w:pPr>
        <w:ind w:left="720" w:hanging="360"/>
      </w:pPr>
    </w:lvl>
    <w:lvl w:ilvl="1">
      <w:start w:val="1"/>
      <w:numFmt w:val="decimal"/>
      <w:lvlText w:val="(%2)"/>
      <w:lvlJc w:val="left"/>
      <w:pPr>
        <w:ind w:left="1240" w:hanging="440"/>
      </w:pPr>
    </w:lvl>
    <w:lvl w:ilvl="2">
      <w:start w:val="1"/>
      <w:numFmt w:val="decimal"/>
      <w:lvlText w:val="%3"/>
      <w:lvlJc w:val="left"/>
      <w:pPr>
        <w:ind w:left="1680" w:hanging="440"/>
      </w:pPr>
    </w:lvl>
    <w:lvl w:ilvl="3">
      <w:start w:val="1"/>
      <w:numFmt w:val="decimal"/>
      <w:lvlText w:val="%4."/>
      <w:lvlJc w:val="left"/>
      <w:pPr>
        <w:ind w:left="2120" w:hanging="440"/>
      </w:pPr>
    </w:lvl>
    <w:lvl w:ilvl="4">
      <w:start w:val="1"/>
      <w:numFmt w:val="decimal"/>
      <w:lvlText w:val="(%5)"/>
      <w:lvlJc w:val="left"/>
      <w:pPr>
        <w:ind w:left="2560" w:hanging="440"/>
      </w:pPr>
    </w:lvl>
    <w:lvl w:ilvl="5">
      <w:start w:val="1"/>
      <w:numFmt w:val="decimal"/>
      <w:lvlText w:val="%6"/>
      <w:lvlJc w:val="left"/>
      <w:pPr>
        <w:ind w:left="3000" w:hanging="440"/>
      </w:pPr>
    </w:lvl>
    <w:lvl w:ilvl="6">
      <w:start w:val="1"/>
      <w:numFmt w:val="decimal"/>
      <w:lvlText w:val="%7."/>
      <w:lvlJc w:val="left"/>
      <w:pPr>
        <w:ind w:left="3440" w:hanging="440"/>
      </w:pPr>
    </w:lvl>
    <w:lvl w:ilvl="7">
      <w:start w:val="1"/>
      <w:numFmt w:val="decimal"/>
      <w:lvlText w:val="(%8)"/>
      <w:lvlJc w:val="left"/>
      <w:pPr>
        <w:ind w:left="3880" w:hanging="440"/>
      </w:pPr>
    </w:lvl>
    <w:lvl w:ilvl="8">
      <w:start w:val="1"/>
      <w:numFmt w:val="decimal"/>
      <w:lvlText w:val="%9"/>
      <w:lvlJc w:val="left"/>
      <w:pPr>
        <w:ind w:left="4320" w:hanging="440"/>
      </w:pPr>
    </w:lvl>
  </w:abstractNum>
  <w:abstractNum w:abstractNumId="3" w15:restartNumberingAfterBreak="0">
    <w:nsid w:val="40FB19DF"/>
    <w:multiLevelType w:val="multilevel"/>
    <w:tmpl w:val="6AC8F476"/>
    <w:lvl w:ilvl="0">
      <w:start w:val="1"/>
      <w:numFmt w:val="decimal"/>
      <w:lvlText w:val="(%1)"/>
      <w:lvlJc w:val="left"/>
      <w:pPr>
        <w:ind w:left="440" w:hanging="440"/>
      </w:pPr>
      <w:rPr>
        <w:b w:val="0"/>
      </w:r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4" w15:restartNumberingAfterBreak="0">
    <w:nsid w:val="489968FF"/>
    <w:multiLevelType w:val="multilevel"/>
    <w:tmpl w:val="96E2C138"/>
    <w:lvl w:ilvl="0">
      <w:start w:val="1"/>
      <w:numFmt w:val="decimal"/>
      <w:lvlText w:val="(%1)"/>
      <w:lvlJc w:val="left"/>
      <w:pPr>
        <w:ind w:left="500" w:hanging="440"/>
      </w:pPr>
      <w:rPr>
        <w:b w:val="0"/>
      </w:rPr>
    </w:lvl>
    <w:lvl w:ilvl="1">
      <w:start w:val="1"/>
      <w:numFmt w:val="decimal"/>
      <w:lvlText w:val="(%2)"/>
      <w:lvlJc w:val="left"/>
      <w:pPr>
        <w:ind w:left="940" w:hanging="440"/>
      </w:pPr>
    </w:lvl>
    <w:lvl w:ilvl="2">
      <w:start w:val="1"/>
      <w:numFmt w:val="decimal"/>
      <w:lvlText w:val="%3"/>
      <w:lvlJc w:val="left"/>
      <w:pPr>
        <w:ind w:left="1380" w:hanging="440"/>
      </w:pPr>
    </w:lvl>
    <w:lvl w:ilvl="3">
      <w:start w:val="1"/>
      <w:numFmt w:val="decimal"/>
      <w:lvlText w:val="%4."/>
      <w:lvlJc w:val="left"/>
      <w:pPr>
        <w:ind w:left="1820" w:hanging="440"/>
      </w:pPr>
    </w:lvl>
    <w:lvl w:ilvl="4">
      <w:start w:val="1"/>
      <w:numFmt w:val="decimal"/>
      <w:lvlText w:val="(%5)"/>
      <w:lvlJc w:val="left"/>
      <w:pPr>
        <w:ind w:left="2260" w:hanging="440"/>
      </w:pPr>
    </w:lvl>
    <w:lvl w:ilvl="5">
      <w:start w:val="1"/>
      <w:numFmt w:val="decimal"/>
      <w:lvlText w:val="%6"/>
      <w:lvlJc w:val="left"/>
      <w:pPr>
        <w:ind w:left="2700" w:hanging="440"/>
      </w:pPr>
    </w:lvl>
    <w:lvl w:ilvl="6">
      <w:start w:val="1"/>
      <w:numFmt w:val="decimal"/>
      <w:lvlText w:val="%7."/>
      <w:lvlJc w:val="left"/>
      <w:pPr>
        <w:ind w:left="3140" w:hanging="440"/>
      </w:pPr>
    </w:lvl>
    <w:lvl w:ilvl="7">
      <w:start w:val="1"/>
      <w:numFmt w:val="decimal"/>
      <w:lvlText w:val="(%8)"/>
      <w:lvlJc w:val="left"/>
      <w:pPr>
        <w:ind w:left="3580" w:hanging="440"/>
      </w:pPr>
    </w:lvl>
    <w:lvl w:ilvl="8">
      <w:start w:val="1"/>
      <w:numFmt w:val="decimal"/>
      <w:lvlText w:val="%9"/>
      <w:lvlJc w:val="left"/>
      <w:pPr>
        <w:ind w:left="4020" w:hanging="440"/>
      </w:pPr>
    </w:lvl>
  </w:abstractNum>
  <w:abstractNum w:abstractNumId="5" w15:restartNumberingAfterBreak="0">
    <w:nsid w:val="4E14128F"/>
    <w:multiLevelType w:val="hybridMultilevel"/>
    <w:tmpl w:val="625E3D68"/>
    <w:lvl w:ilvl="0" w:tplc="7910E532">
      <w:start w:val="3"/>
      <w:numFmt w:val="decimal"/>
      <w:lvlText w:val="(%1)"/>
      <w:lvlJc w:val="left"/>
      <w:pPr>
        <w:ind w:left="360" w:hanging="360"/>
      </w:pPr>
      <w:rPr>
        <w:rFonts w:hint="default"/>
        <w:b/>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623F6133"/>
    <w:multiLevelType w:val="multilevel"/>
    <w:tmpl w:val="96E2C138"/>
    <w:lvl w:ilvl="0">
      <w:start w:val="1"/>
      <w:numFmt w:val="decimal"/>
      <w:lvlText w:val="(%1)"/>
      <w:lvlJc w:val="left"/>
      <w:pPr>
        <w:ind w:left="500" w:hanging="440"/>
      </w:pPr>
      <w:rPr>
        <w:b w:val="0"/>
      </w:rPr>
    </w:lvl>
    <w:lvl w:ilvl="1">
      <w:start w:val="1"/>
      <w:numFmt w:val="decimal"/>
      <w:lvlText w:val="(%2)"/>
      <w:lvlJc w:val="left"/>
      <w:pPr>
        <w:ind w:left="940" w:hanging="440"/>
      </w:pPr>
    </w:lvl>
    <w:lvl w:ilvl="2">
      <w:start w:val="1"/>
      <w:numFmt w:val="decimal"/>
      <w:lvlText w:val="%3"/>
      <w:lvlJc w:val="left"/>
      <w:pPr>
        <w:ind w:left="1380" w:hanging="440"/>
      </w:pPr>
    </w:lvl>
    <w:lvl w:ilvl="3">
      <w:start w:val="1"/>
      <w:numFmt w:val="decimal"/>
      <w:lvlText w:val="%4."/>
      <w:lvlJc w:val="left"/>
      <w:pPr>
        <w:ind w:left="1820" w:hanging="440"/>
      </w:pPr>
    </w:lvl>
    <w:lvl w:ilvl="4">
      <w:start w:val="1"/>
      <w:numFmt w:val="decimal"/>
      <w:lvlText w:val="(%5)"/>
      <w:lvlJc w:val="left"/>
      <w:pPr>
        <w:ind w:left="2260" w:hanging="440"/>
      </w:pPr>
    </w:lvl>
    <w:lvl w:ilvl="5">
      <w:start w:val="1"/>
      <w:numFmt w:val="decimal"/>
      <w:lvlText w:val="%6"/>
      <w:lvlJc w:val="left"/>
      <w:pPr>
        <w:ind w:left="2700" w:hanging="440"/>
      </w:pPr>
    </w:lvl>
    <w:lvl w:ilvl="6">
      <w:start w:val="1"/>
      <w:numFmt w:val="decimal"/>
      <w:lvlText w:val="%7."/>
      <w:lvlJc w:val="left"/>
      <w:pPr>
        <w:ind w:left="3140" w:hanging="440"/>
      </w:pPr>
    </w:lvl>
    <w:lvl w:ilvl="7">
      <w:start w:val="1"/>
      <w:numFmt w:val="decimal"/>
      <w:lvlText w:val="(%8)"/>
      <w:lvlJc w:val="left"/>
      <w:pPr>
        <w:ind w:left="3580" w:hanging="440"/>
      </w:pPr>
    </w:lvl>
    <w:lvl w:ilvl="8">
      <w:start w:val="1"/>
      <w:numFmt w:val="decimal"/>
      <w:lvlText w:val="%9"/>
      <w:lvlJc w:val="left"/>
      <w:pPr>
        <w:ind w:left="4020" w:hanging="440"/>
      </w:pPr>
    </w:lvl>
  </w:abstractNum>
  <w:abstractNum w:abstractNumId="7" w15:restartNumberingAfterBreak="0">
    <w:nsid w:val="663C5E70"/>
    <w:multiLevelType w:val="multilevel"/>
    <w:tmpl w:val="68F85268"/>
    <w:lvl w:ilvl="0">
      <w:start w:val="1"/>
      <w:numFmt w:val="decimal"/>
      <w:lvlText w:val="%1."/>
      <w:lvlJc w:val="left"/>
      <w:pPr>
        <w:ind w:left="380" w:hanging="38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abstractNum w:abstractNumId="8" w15:restartNumberingAfterBreak="0">
    <w:nsid w:val="758A05E4"/>
    <w:multiLevelType w:val="multilevel"/>
    <w:tmpl w:val="756C0F8E"/>
    <w:lvl w:ilvl="0">
      <w:start w:val="1"/>
      <w:numFmt w:val="decimal"/>
      <w:lvlText w:val="%1."/>
      <w:lvlJc w:val="left"/>
      <w:pPr>
        <w:ind w:left="360" w:hanging="360"/>
      </w:pPr>
    </w:lvl>
    <w:lvl w:ilvl="1">
      <w:start w:val="1"/>
      <w:numFmt w:val="decimal"/>
      <w:lvlText w:val="(%2)"/>
      <w:lvlJc w:val="left"/>
      <w:pPr>
        <w:ind w:left="880" w:hanging="440"/>
      </w:pPr>
    </w:lvl>
    <w:lvl w:ilvl="2">
      <w:start w:val="1"/>
      <w:numFmt w:val="decimal"/>
      <w:lvlText w:val="%3"/>
      <w:lvlJc w:val="left"/>
      <w:pPr>
        <w:ind w:left="1320" w:hanging="440"/>
      </w:pPr>
    </w:lvl>
    <w:lvl w:ilvl="3">
      <w:start w:val="1"/>
      <w:numFmt w:val="decimal"/>
      <w:lvlText w:val="%4."/>
      <w:lvlJc w:val="left"/>
      <w:pPr>
        <w:ind w:left="1760" w:hanging="440"/>
      </w:pPr>
    </w:lvl>
    <w:lvl w:ilvl="4">
      <w:start w:val="1"/>
      <w:numFmt w:val="decimal"/>
      <w:lvlText w:val="(%5)"/>
      <w:lvlJc w:val="left"/>
      <w:pPr>
        <w:ind w:left="2200" w:hanging="440"/>
      </w:pPr>
    </w:lvl>
    <w:lvl w:ilvl="5">
      <w:start w:val="1"/>
      <w:numFmt w:val="decimal"/>
      <w:lvlText w:val="%6"/>
      <w:lvlJc w:val="left"/>
      <w:pPr>
        <w:ind w:left="2640" w:hanging="440"/>
      </w:pPr>
    </w:lvl>
    <w:lvl w:ilvl="6">
      <w:start w:val="1"/>
      <w:numFmt w:val="decimal"/>
      <w:lvlText w:val="%7."/>
      <w:lvlJc w:val="left"/>
      <w:pPr>
        <w:ind w:left="3080" w:hanging="440"/>
      </w:pPr>
    </w:lvl>
    <w:lvl w:ilvl="7">
      <w:start w:val="1"/>
      <w:numFmt w:val="decimal"/>
      <w:lvlText w:val="(%8)"/>
      <w:lvlJc w:val="left"/>
      <w:pPr>
        <w:ind w:left="3520" w:hanging="440"/>
      </w:pPr>
    </w:lvl>
    <w:lvl w:ilvl="8">
      <w:start w:val="1"/>
      <w:numFmt w:val="decimal"/>
      <w:lvlText w:val="%9"/>
      <w:lvlJc w:val="left"/>
      <w:pPr>
        <w:ind w:left="3960" w:hanging="440"/>
      </w:pPr>
    </w:lvl>
  </w:abstractNum>
  <w:num w:numId="1" w16cid:durableId="1399016373">
    <w:abstractNumId w:val="3"/>
  </w:num>
  <w:num w:numId="2" w16cid:durableId="1300964828">
    <w:abstractNumId w:val="4"/>
  </w:num>
  <w:num w:numId="3" w16cid:durableId="62682510">
    <w:abstractNumId w:val="2"/>
  </w:num>
  <w:num w:numId="4" w16cid:durableId="1279987040">
    <w:abstractNumId w:val="1"/>
  </w:num>
  <w:num w:numId="5" w16cid:durableId="764809590">
    <w:abstractNumId w:val="7"/>
  </w:num>
  <w:num w:numId="6" w16cid:durableId="1756903584">
    <w:abstractNumId w:val="0"/>
  </w:num>
  <w:num w:numId="7" w16cid:durableId="763261237">
    <w:abstractNumId w:val="8"/>
  </w:num>
  <w:num w:numId="8" w16cid:durableId="1756704919">
    <w:abstractNumId w:val="5"/>
  </w:num>
  <w:num w:numId="9" w16cid:durableId="9068421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bordersDoNotSurroundHeader/>
  <w:bordersDoNotSurroundFooter/>
  <w:proofState w:spelling="clean" w:grammar="clean"/>
  <w:documentProtection w:edit="readOnly" w:enforcement="0"/>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66D"/>
    <w:rsid w:val="00094C9D"/>
    <w:rsid w:val="000A658A"/>
    <w:rsid w:val="002639BB"/>
    <w:rsid w:val="003A2603"/>
    <w:rsid w:val="003E5778"/>
    <w:rsid w:val="00443F46"/>
    <w:rsid w:val="005165B1"/>
    <w:rsid w:val="006178A3"/>
    <w:rsid w:val="006B79DF"/>
    <w:rsid w:val="006F2445"/>
    <w:rsid w:val="00772458"/>
    <w:rsid w:val="00777850"/>
    <w:rsid w:val="008133C1"/>
    <w:rsid w:val="008235CF"/>
    <w:rsid w:val="0091354E"/>
    <w:rsid w:val="009737AD"/>
    <w:rsid w:val="0098366D"/>
    <w:rsid w:val="00A64616"/>
    <w:rsid w:val="00A746C6"/>
    <w:rsid w:val="00AB3BFB"/>
    <w:rsid w:val="00AB70FF"/>
    <w:rsid w:val="00B16B6E"/>
    <w:rsid w:val="00B76BBD"/>
    <w:rsid w:val="00B83524"/>
    <w:rsid w:val="00BF1CAA"/>
    <w:rsid w:val="00C45797"/>
    <w:rsid w:val="00CD3098"/>
    <w:rsid w:val="00CE7555"/>
    <w:rsid w:val="00E6263E"/>
    <w:rsid w:val="00E92EEE"/>
    <w:rsid w:val="00E93F74"/>
    <w:rsid w:val="00EA78D6"/>
    <w:rsid w:val="00EC09A2"/>
    <w:rsid w:val="00ED7527"/>
    <w:rsid w:val="00EF6A39"/>
    <w:rsid w:val="00F16C16"/>
    <w:rsid w:val="00F336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8CC4167"/>
  <w15:docId w15:val="{E95BFF52-3C2A-214A-9A5E-203224130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游明朝" w:eastAsia="游明朝" w:hAnsi="游明朝" w:cs="游明朝"/>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B2DE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2B2DE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2B2DE2"/>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2B2DE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2B2DE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2B2DE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2B2DE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2B2DE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2B2DE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2B2DE2"/>
    <w:pPr>
      <w:spacing w:after="80"/>
      <w:contextualSpacing/>
      <w:jc w:val="center"/>
    </w:pPr>
    <w:rPr>
      <w:rFonts w:asciiTheme="majorHAnsi" w:eastAsiaTheme="majorEastAsia" w:hAnsiTheme="majorHAnsi" w:cstheme="majorBidi"/>
      <w:spacing w:val="-10"/>
      <w:kern w:val="28"/>
      <w:sz w:val="56"/>
      <w:szCs w:val="56"/>
    </w:rPr>
  </w:style>
  <w:style w:type="table" w:customStyle="1" w:styleId="TableNormal0">
    <w:name w:val="Table Normal"/>
    <w:tblPr>
      <w:tblCellMar>
        <w:top w:w="0" w:type="dxa"/>
        <w:left w:w="0" w:type="dxa"/>
        <w:bottom w:w="0" w:type="dxa"/>
        <w:right w:w="0" w:type="dxa"/>
      </w:tblCellMar>
    </w:tblPr>
  </w:style>
  <w:style w:type="character" w:customStyle="1" w:styleId="10">
    <w:name w:val="見出し 1 (文字)"/>
    <w:basedOn w:val="a0"/>
    <w:link w:val="1"/>
    <w:uiPriority w:val="9"/>
    <w:rsid w:val="002B2DE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2B2DE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2B2DE2"/>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2B2DE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2B2DE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2B2DE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2B2DE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2B2DE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2B2DE2"/>
    <w:rPr>
      <w:rFonts w:asciiTheme="majorHAnsi" w:eastAsiaTheme="majorEastAsia" w:hAnsiTheme="majorHAnsi" w:cstheme="majorBidi"/>
      <w:color w:val="000000" w:themeColor="text1"/>
    </w:rPr>
  </w:style>
  <w:style w:type="character" w:customStyle="1" w:styleId="a4">
    <w:name w:val="表題 (文字)"/>
    <w:basedOn w:val="a0"/>
    <w:link w:val="a3"/>
    <w:uiPriority w:val="10"/>
    <w:rsid w:val="002B2DE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pPr>
      <w:spacing w:after="160"/>
      <w:jc w:val="center"/>
    </w:pPr>
    <w:rPr>
      <w:rFonts w:ascii="游ゴシック Light" w:eastAsia="游ゴシック Light" w:hAnsi="游ゴシック Light" w:cs="游ゴシック Light"/>
      <w:color w:val="595959"/>
      <w:sz w:val="28"/>
      <w:szCs w:val="28"/>
    </w:rPr>
  </w:style>
  <w:style w:type="character" w:customStyle="1" w:styleId="a6">
    <w:name w:val="副題 (文字)"/>
    <w:basedOn w:val="a0"/>
    <w:link w:val="a5"/>
    <w:uiPriority w:val="11"/>
    <w:rsid w:val="002B2DE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B2DE2"/>
    <w:pPr>
      <w:spacing w:before="160" w:after="160"/>
      <w:jc w:val="center"/>
    </w:pPr>
    <w:rPr>
      <w:i/>
      <w:iCs/>
      <w:color w:val="404040" w:themeColor="text1" w:themeTint="BF"/>
    </w:rPr>
  </w:style>
  <w:style w:type="character" w:customStyle="1" w:styleId="a8">
    <w:name w:val="引用文 (文字)"/>
    <w:basedOn w:val="a0"/>
    <w:link w:val="a7"/>
    <w:uiPriority w:val="29"/>
    <w:rsid w:val="002B2DE2"/>
    <w:rPr>
      <w:i/>
      <w:iCs/>
      <w:color w:val="404040" w:themeColor="text1" w:themeTint="BF"/>
    </w:rPr>
  </w:style>
  <w:style w:type="paragraph" w:styleId="a9">
    <w:name w:val="List Paragraph"/>
    <w:basedOn w:val="a"/>
    <w:uiPriority w:val="34"/>
    <w:qFormat/>
    <w:rsid w:val="002B2DE2"/>
    <w:pPr>
      <w:ind w:left="720"/>
      <w:contextualSpacing/>
    </w:pPr>
  </w:style>
  <w:style w:type="character" w:styleId="21">
    <w:name w:val="Intense Emphasis"/>
    <w:basedOn w:val="a0"/>
    <w:uiPriority w:val="21"/>
    <w:qFormat/>
    <w:rsid w:val="002B2DE2"/>
    <w:rPr>
      <w:i/>
      <w:iCs/>
      <w:color w:val="0F4761" w:themeColor="accent1" w:themeShade="BF"/>
    </w:rPr>
  </w:style>
  <w:style w:type="paragraph" w:styleId="22">
    <w:name w:val="Intense Quote"/>
    <w:basedOn w:val="a"/>
    <w:next w:val="a"/>
    <w:link w:val="23"/>
    <w:uiPriority w:val="30"/>
    <w:qFormat/>
    <w:rsid w:val="002B2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2B2DE2"/>
    <w:rPr>
      <w:i/>
      <w:iCs/>
      <w:color w:val="0F4761" w:themeColor="accent1" w:themeShade="BF"/>
    </w:rPr>
  </w:style>
  <w:style w:type="character" w:styleId="24">
    <w:name w:val="Intense Reference"/>
    <w:basedOn w:val="a0"/>
    <w:uiPriority w:val="32"/>
    <w:qFormat/>
    <w:rsid w:val="002B2DE2"/>
    <w:rPr>
      <w:b/>
      <w:bCs/>
      <w:smallCaps/>
      <w:color w:val="0F4761" w:themeColor="accent1" w:themeShade="BF"/>
      <w:spacing w:val="5"/>
    </w:rPr>
  </w:style>
  <w:style w:type="paragraph" w:styleId="aa">
    <w:name w:val="header"/>
    <w:basedOn w:val="a"/>
    <w:link w:val="ab"/>
    <w:uiPriority w:val="99"/>
    <w:unhideWhenUsed/>
    <w:rsid w:val="00386143"/>
    <w:pPr>
      <w:tabs>
        <w:tab w:val="center" w:pos="4252"/>
        <w:tab w:val="right" w:pos="8504"/>
      </w:tabs>
      <w:snapToGrid w:val="0"/>
    </w:pPr>
  </w:style>
  <w:style w:type="character" w:customStyle="1" w:styleId="ab">
    <w:name w:val="ヘッダー (文字)"/>
    <w:basedOn w:val="a0"/>
    <w:link w:val="aa"/>
    <w:uiPriority w:val="99"/>
    <w:rsid w:val="00386143"/>
  </w:style>
  <w:style w:type="paragraph" w:styleId="ac">
    <w:name w:val="footer"/>
    <w:basedOn w:val="a"/>
    <w:link w:val="ad"/>
    <w:uiPriority w:val="99"/>
    <w:unhideWhenUsed/>
    <w:rsid w:val="00386143"/>
    <w:pPr>
      <w:tabs>
        <w:tab w:val="center" w:pos="4252"/>
        <w:tab w:val="right" w:pos="8504"/>
      </w:tabs>
      <w:snapToGrid w:val="0"/>
    </w:pPr>
  </w:style>
  <w:style w:type="character" w:customStyle="1" w:styleId="ad">
    <w:name w:val="フッター (文字)"/>
    <w:basedOn w:val="a0"/>
    <w:link w:val="ac"/>
    <w:uiPriority w:val="99"/>
    <w:rsid w:val="00386143"/>
  </w:style>
  <w:style w:type="paragraph" w:styleId="ae">
    <w:name w:val="footnote text"/>
    <w:basedOn w:val="a"/>
    <w:link w:val="af"/>
    <w:unhideWhenUsed/>
    <w:rsid w:val="00A62706"/>
    <w:pPr>
      <w:snapToGrid w:val="0"/>
    </w:pPr>
  </w:style>
  <w:style w:type="character" w:customStyle="1" w:styleId="af">
    <w:name w:val="脚注文字列 (文字)"/>
    <w:basedOn w:val="a0"/>
    <w:link w:val="ae"/>
    <w:rsid w:val="00A62706"/>
  </w:style>
  <w:style w:type="character" w:styleId="af0">
    <w:name w:val="footnote reference"/>
    <w:basedOn w:val="a0"/>
    <w:semiHidden/>
    <w:unhideWhenUsed/>
    <w:rsid w:val="00A62706"/>
    <w:rPr>
      <w:vertAlign w:val="superscript"/>
    </w:rPr>
  </w:style>
  <w:style w:type="character" w:styleId="af1">
    <w:name w:val="Hyperlink"/>
    <w:basedOn w:val="a0"/>
    <w:uiPriority w:val="99"/>
    <w:unhideWhenUsed/>
    <w:rsid w:val="00A62706"/>
    <w:rPr>
      <w:color w:val="467886" w:themeColor="hyperlink"/>
      <w:u w:val="single"/>
    </w:rPr>
  </w:style>
  <w:style w:type="character" w:styleId="af2">
    <w:name w:val="Unresolved Mention"/>
    <w:basedOn w:val="a0"/>
    <w:uiPriority w:val="99"/>
    <w:semiHidden/>
    <w:unhideWhenUsed/>
    <w:rsid w:val="00A62706"/>
    <w:rPr>
      <w:color w:val="605E5C"/>
      <w:shd w:val="clear" w:color="auto" w:fill="E1DFDD"/>
    </w:rPr>
  </w:style>
  <w:style w:type="table" w:styleId="af3">
    <w:name w:val="Table Grid"/>
    <w:basedOn w:val="a1"/>
    <w:uiPriority w:val="39"/>
    <w:rsid w:val="00920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4">
    <w:basedOn w:val="TableNormal0"/>
    <w:tblPr>
      <w:tblStyleRowBandSize w:val="1"/>
      <w:tblStyleColBandSize w:val="1"/>
      <w:tblCellMar>
        <w:left w:w="108" w:type="dxa"/>
        <w:right w:w="108" w:type="dxa"/>
      </w:tblCellMar>
    </w:tblPr>
  </w:style>
  <w:style w:type="paragraph" w:styleId="af5">
    <w:name w:val="annotation text"/>
    <w:basedOn w:val="a"/>
    <w:link w:val="af6"/>
    <w:uiPriority w:val="99"/>
    <w:unhideWhenUsed/>
  </w:style>
  <w:style w:type="character" w:customStyle="1" w:styleId="af6">
    <w:name w:val="コメント文字列 (文字)"/>
    <w:basedOn w:val="a0"/>
    <w:link w:val="af5"/>
    <w:uiPriority w:val="99"/>
  </w:style>
  <w:style w:type="character" w:styleId="af7">
    <w:name w:val="annotation reference"/>
    <w:basedOn w:val="a0"/>
    <w:uiPriority w:val="99"/>
    <w:semiHidden/>
    <w:unhideWhenUsed/>
    <w:rPr>
      <w:sz w:val="18"/>
      <w:szCs w:val="18"/>
    </w:rPr>
  </w:style>
  <w:style w:type="paragraph" w:styleId="af8">
    <w:name w:val="Revision"/>
    <w:hidden/>
    <w:uiPriority w:val="99"/>
    <w:semiHidden/>
    <w:rsid w:val="00074DB7"/>
  </w:style>
  <w:style w:type="character" w:styleId="af9">
    <w:name w:val="FollowedHyperlink"/>
    <w:basedOn w:val="a0"/>
    <w:uiPriority w:val="99"/>
    <w:semiHidden/>
    <w:unhideWhenUsed/>
    <w:rsid w:val="000A28B3"/>
    <w:rPr>
      <w:color w:val="96607D" w:themeColor="followedHyperlink"/>
      <w:u w:val="single"/>
    </w:rPr>
  </w:style>
  <w:style w:type="paragraph" w:styleId="afa">
    <w:name w:val="annotation subject"/>
    <w:basedOn w:val="af5"/>
    <w:next w:val="af5"/>
    <w:link w:val="afb"/>
    <w:uiPriority w:val="99"/>
    <w:semiHidden/>
    <w:unhideWhenUsed/>
    <w:rsid w:val="0093272C"/>
    <w:rPr>
      <w:b/>
      <w:bCs/>
    </w:rPr>
  </w:style>
  <w:style w:type="character" w:customStyle="1" w:styleId="afb">
    <w:name w:val="コメント内容 (文字)"/>
    <w:basedOn w:val="af6"/>
    <w:link w:val="afa"/>
    <w:uiPriority w:val="99"/>
    <w:semiHidden/>
    <w:rsid w:val="0093272C"/>
    <w:rPr>
      <w:b/>
      <w:bCs/>
    </w:rPr>
  </w:style>
  <w:style w:type="table" w:customStyle="1" w:styleId="afc">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mofa.go.jp/press/kaiken/kaikenwe_000001_00077.html" TargetMode="External"/><Relationship Id="rId2" Type="http://schemas.openxmlformats.org/officeDocument/2006/relationships/hyperlink" Target="https://www.mofa.go.jp/files/100647460.pdf" TargetMode="External"/><Relationship Id="rId1" Type="http://schemas.openxmlformats.org/officeDocument/2006/relationships/hyperlink" Target="https://www.mofa.go.jp/files/100647460.pdf" TargetMode="External"/><Relationship Id="rId6" Type="http://schemas.openxmlformats.org/officeDocument/2006/relationships/hyperlink" Target="https://www.pref.okinawa.lg.jp/_res/projects/default_project/_page_/001/030/048/honnpenn.pdf" TargetMode="External"/><Relationship Id="rId5" Type="http://schemas.openxmlformats.org/officeDocument/2006/relationships/hyperlink" Target="https://smart.discussvision.net/smart/tenant/pref_okinawa/WebView/rd/schedule.html?year=2024&amp;council_id=175&amp;schedule_id=718" TargetMode="External"/><Relationship Id="rId4" Type="http://schemas.openxmlformats.org/officeDocument/2006/relationships/hyperlink" Target="https://www.e-stat.go.jp/stat-search/files?page=1&amp;layout=datalist&amp;toukei=00450388&amp;tstat=000001044907&amp;cycle=0&amp;tclass1=000001044908&amp;tclass2=000001219188&amp;tclass3val=0"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R08Anrjhfq2kbL65D6LLRLkY+A==">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B2F966-B987-41EA-9AAB-735D8F421277}"/>
</file>

<file path=customXml/itemProps3.xml><?xml version="1.0" encoding="utf-8"?>
<ds:datastoreItem xmlns:ds="http://schemas.openxmlformats.org/officeDocument/2006/customXml" ds:itemID="{20DE61EC-7522-4C0E-B92E-7A63264D3A81}"/>
</file>

<file path=docProps/app.xml><?xml version="1.0" encoding="utf-8"?>
<Properties xmlns="http://schemas.openxmlformats.org/officeDocument/2006/extended-properties" xmlns:vt="http://schemas.openxmlformats.org/officeDocument/2006/docPropsVTypes">
  <Template>Normal</Template>
  <TotalTime>78</TotalTime>
  <Pages>1</Pages>
  <Words>6150</Words>
  <Characters>35060</Characters>
  <Application>Microsoft Office Word</Application>
  <DocSecurity>0</DocSecurity>
  <Lines>292</Lines>
  <Paragraphs>82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Yuko Oyakawa</dc:creator>
  <cp:lastModifiedBy>Yuko Oyakawa</cp:lastModifiedBy>
  <cp:revision>8</cp:revision>
  <dcterms:created xsi:type="dcterms:W3CDTF">2024-09-09T15:22:00Z</dcterms:created>
  <dcterms:modified xsi:type="dcterms:W3CDTF">2024-09-11T02:54:00Z</dcterms:modified>
</cp:coreProperties>
</file>