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1B0EA" w14:textId="77777777" w:rsidR="00DE2F96" w:rsidRPr="009F0D98" w:rsidRDefault="00DE2F96" w:rsidP="00995877">
      <w:pPr>
        <w:pStyle w:val="NormalWeb"/>
        <w:spacing w:before="0" w:beforeAutospacing="0" w:after="0" w:afterAutospacing="0"/>
        <w:jc w:val="center"/>
        <w:rPr>
          <w:rFonts w:asciiTheme="majorHAnsi" w:hAnsiTheme="majorHAnsi" w:cstheme="majorHAnsi"/>
          <w:b/>
          <w:bCs/>
          <w:color w:val="000000" w:themeColor="text1"/>
        </w:rPr>
      </w:pPr>
    </w:p>
    <w:p w14:paraId="670CD1C7" w14:textId="77777777" w:rsidR="00DE2F96" w:rsidRPr="009F0D98" w:rsidRDefault="00DE2F96" w:rsidP="00995877">
      <w:pPr>
        <w:pStyle w:val="NormalWeb"/>
        <w:spacing w:before="0" w:beforeAutospacing="0" w:after="0" w:afterAutospacing="0"/>
        <w:jc w:val="center"/>
        <w:rPr>
          <w:rFonts w:asciiTheme="majorHAnsi" w:hAnsiTheme="majorHAnsi" w:cstheme="majorHAnsi"/>
          <w:b/>
          <w:bCs/>
          <w:color w:val="000000" w:themeColor="text1"/>
        </w:rPr>
      </w:pPr>
      <w:r w:rsidRPr="009F0D98">
        <w:rPr>
          <w:rFonts w:asciiTheme="majorHAnsi" w:hAnsiTheme="majorHAnsi" w:cstheme="majorHAnsi"/>
          <w:b/>
          <w:bCs/>
          <w:color w:val="000000" w:themeColor="text1"/>
        </w:rPr>
        <w:t xml:space="preserve">Statement to the Committee on Economic Social and Cultural Rights </w:t>
      </w:r>
    </w:p>
    <w:p w14:paraId="71D8B826" w14:textId="77777777" w:rsidR="00DE2F96" w:rsidRPr="009F0D98" w:rsidRDefault="00DE2F96" w:rsidP="00995877">
      <w:pPr>
        <w:pStyle w:val="NormalWeb"/>
        <w:spacing w:before="0" w:beforeAutospacing="0" w:after="0" w:afterAutospacing="0"/>
        <w:jc w:val="center"/>
        <w:rPr>
          <w:rFonts w:asciiTheme="majorHAnsi" w:hAnsiTheme="majorHAnsi" w:cstheme="majorHAnsi"/>
          <w:b/>
          <w:bCs/>
          <w:color w:val="000000" w:themeColor="text1"/>
        </w:rPr>
      </w:pPr>
      <w:r w:rsidRPr="009F0D98">
        <w:rPr>
          <w:rFonts w:asciiTheme="majorHAnsi" w:hAnsiTheme="majorHAnsi" w:cstheme="majorHAnsi"/>
          <w:b/>
          <w:bCs/>
          <w:color w:val="000000" w:themeColor="text1"/>
        </w:rPr>
        <w:t xml:space="preserve">Regarding its Upcoming Review of Brazil’s Record of Compliance with the Convention on Economic Social and Cultural Rights </w:t>
      </w:r>
    </w:p>
    <w:p w14:paraId="221D897C" w14:textId="77777777" w:rsidR="009F0D98" w:rsidRPr="009F0D98" w:rsidRDefault="009F0D98" w:rsidP="00995877">
      <w:pPr>
        <w:widowControl w:val="0"/>
        <w:spacing w:line="240" w:lineRule="auto"/>
        <w:rPr>
          <w:rFonts w:asciiTheme="majorHAnsi" w:eastAsia="Times New Roman" w:hAnsiTheme="majorHAnsi" w:cstheme="majorHAnsi"/>
          <w:b/>
          <w:sz w:val="24"/>
          <w:szCs w:val="24"/>
        </w:rPr>
      </w:pPr>
    </w:p>
    <w:p w14:paraId="6230214D" w14:textId="77777777" w:rsidR="009F0D98" w:rsidRPr="009F0D98" w:rsidRDefault="00CB1BB4" w:rsidP="00995877">
      <w:pPr>
        <w:widowControl w:val="0"/>
        <w:spacing w:line="240" w:lineRule="auto"/>
        <w:ind w:firstLine="720"/>
        <w:jc w:val="both"/>
        <w:rPr>
          <w:rFonts w:asciiTheme="majorHAnsi" w:hAnsiTheme="majorHAnsi" w:cstheme="majorHAnsi"/>
          <w:sz w:val="24"/>
          <w:szCs w:val="24"/>
        </w:rPr>
      </w:pPr>
      <w:r w:rsidRPr="00CB1BB4">
        <w:rPr>
          <w:rFonts w:asciiTheme="majorHAnsi" w:hAnsiTheme="majorHAnsi" w:cstheme="majorHAnsi"/>
          <w:sz w:val="24"/>
          <w:szCs w:val="24"/>
        </w:rPr>
        <w:t xml:space="preserve">The </w:t>
      </w:r>
      <w:r>
        <w:rPr>
          <w:rFonts w:asciiTheme="majorHAnsi" w:hAnsiTheme="majorHAnsi" w:cstheme="majorHAnsi"/>
          <w:sz w:val="24"/>
          <w:szCs w:val="24"/>
        </w:rPr>
        <w:t>“Sociedade Maranhense de Direitos Humanos” (</w:t>
      </w:r>
      <w:r w:rsidRPr="00CB1BB4">
        <w:rPr>
          <w:rFonts w:asciiTheme="majorHAnsi" w:hAnsiTheme="majorHAnsi" w:cstheme="majorHAnsi"/>
          <w:sz w:val="24"/>
          <w:szCs w:val="24"/>
        </w:rPr>
        <w:t>Maranh</w:t>
      </w:r>
      <w:r>
        <w:rPr>
          <w:rFonts w:asciiTheme="majorHAnsi" w:hAnsiTheme="majorHAnsi" w:cstheme="majorHAnsi"/>
          <w:sz w:val="24"/>
          <w:szCs w:val="24"/>
        </w:rPr>
        <w:t>ense</w:t>
      </w:r>
      <w:r w:rsidRPr="00CB1BB4">
        <w:rPr>
          <w:rFonts w:asciiTheme="majorHAnsi" w:hAnsiTheme="majorHAnsi" w:cstheme="majorHAnsi"/>
          <w:sz w:val="24"/>
          <w:szCs w:val="24"/>
        </w:rPr>
        <w:t xml:space="preserve"> Society of Human Rights</w:t>
      </w:r>
      <w:r>
        <w:rPr>
          <w:rFonts w:asciiTheme="majorHAnsi" w:hAnsiTheme="majorHAnsi" w:cstheme="majorHAnsi"/>
          <w:sz w:val="24"/>
          <w:szCs w:val="24"/>
        </w:rPr>
        <w:t>)</w:t>
      </w:r>
      <w:r w:rsidRPr="00CB1BB4">
        <w:rPr>
          <w:rFonts w:asciiTheme="majorHAnsi" w:hAnsiTheme="majorHAnsi" w:cstheme="majorHAnsi"/>
          <w:sz w:val="24"/>
          <w:szCs w:val="24"/>
        </w:rPr>
        <w:t>, an organization with ECOSOC status, with national operations in Brazil, with offices in Brasília-DF and in the state of Maranhão, has existed since 1979</w:t>
      </w:r>
      <w:r>
        <w:rPr>
          <w:rFonts w:asciiTheme="majorHAnsi" w:hAnsiTheme="majorHAnsi" w:cstheme="majorHAnsi"/>
          <w:sz w:val="24"/>
          <w:szCs w:val="24"/>
        </w:rPr>
        <w:t>,</w:t>
      </w:r>
      <w:r w:rsidRPr="00CB1BB4">
        <w:rPr>
          <w:rFonts w:asciiTheme="majorHAnsi" w:hAnsiTheme="majorHAnsi" w:cstheme="majorHAnsi"/>
          <w:sz w:val="24"/>
          <w:szCs w:val="24"/>
        </w:rPr>
        <w:t xml:space="preserve"> acting in protection. Promotion and defense of human rights, from work in relation to the rights of people in situations of deprivation of liberty, combating torture and against cruel, inhuman and degrading punishments and pleading for the promotion of socio-environmental justice, </w:t>
      </w:r>
      <w:r>
        <w:rPr>
          <w:rFonts w:asciiTheme="majorHAnsi" w:hAnsiTheme="majorHAnsi" w:cstheme="majorHAnsi"/>
          <w:sz w:val="24"/>
          <w:szCs w:val="24"/>
        </w:rPr>
        <w:t>“bem – viver (</w:t>
      </w:r>
      <w:r w:rsidRPr="00CB1BB4">
        <w:rPr>
          <w:rFonts w:asciiTheme="majorHAnsi" w:hAnsiTheme="majorHAnsi" w:cstheme="majorHAnsi"/>
          <w:sz w:val="24"/>
          <w:szCs w:val="24"/>
        </w:rPr>
        <w:t>well-being</w:t>
      </w:r>
      <w:r>
        <w:rPr>
          <w:rFonts w:asciiTheme="majorHAnsi" w:hAnsiTheme="majorHAnsi" w:cstheme="majorHAnsi"/>
          <w:sz w:val="24"/>
          <w:szCs w:val="24"/>
        </w:rPr>
        <w:t>)</w:t>
      </w:r>
      <w:r w:rsidRPr="00CB1BB4">
        <w:rPr>
          <w:rFonts w:asciiTheme="majorHAnsi" w:hAnsiTheme="majorHAnsi" w:cstheme="majorHAnsi"/>
          <w:sz w:val="24"/>
          <w:szCs w:val="24"/>
        </w:rPr>
        <w:t xml:space="preserve"> and the right to land and territory of traditional peoples and communities.</w:t>
      </w:r>
    </w:p>
    <w:p w14:paraId="6B7A7D35" w14:textId="77777777" w:rsidR="00DE2F96" w:rsidRDefault="00CB1BB4" w:rsidP="00995877">
      <w:pPr>
        <w:widowControl w:val="0"/>
        <w:spacing w:line="240" w:lineRule="auto"/>
        <w:ind w:firstLine="720"/>
        <w:jc w:val="both"/>
        <w:rPr>
          <w:rFonts w:asciiTheme="majorHAnsi" w:hAnsiTheme="majorHAnsi" w:cstheme="majorHAnsi"/>
          <w:sz w:val="24"/>
          <w:szCs w:val="24"/>
        </w:rPr>
      </w:pPr>
      <w:r w:rsidRPr="00CB1BB4">
        <w:rPr>
          <w:rFonts w:asciiTheme="majorHAnsi" w:hAnsiTheme="majorHAnsi" w:cstheme="majorHAnsi"/>
          <w:sz w:val="24"/>
          <w:szCs w:val="24"/>
        </w:rPr>
        <w:t>We hereby present additional information to the latest Brazilian report, especially with regard to Article 2 of the Convention on Economic, Social and Cultural Rights in relation to the rights of persons deprived of liberty, traditional peoples and communities, and human rights defenders.</w:t>
      </w:r>
    </w:p>
    <w:p w14:paraId="55224C38" w14:textId="77777777" w:rsidR="00CB1BB4" w:rsidRPr="009F0D98" w:rsidRDefault="00CB1BB4" w:rsidP="00995877">
      <w:pPr>
        <w:widowControl w:val="0"/>
        <w:spacing w:line="240" w:lineRule="auto"/>
        <w:ind w:firstLine="720"/>
        <w:rPr>
          <w:rFonts w:asciiTheme="majorHAnsi" w:eastAsia="Times New Roman" w:hAnsiTheme="majorHAnsi" w:cstheme="majorHAnsi"/>
          <w:b/>
          <w:sz w:val="24"/>
          <w:szCs w:val="24"/>
        </w:rPr>
      </w:pPr>
    </w:p>
    <w:p w14:paraId="1FD2E4D3" w14:textId="77777777" w:rsidR="00DE2F96" w:rsidRPr="009F0D98" w:rsidRDefault="00CB1BB4" w:rsidP="00995877">
      <w:pPr>
        <w:spacing w:line="240" w:lineRule="auto"/>
        <w:jc w:val="both"/>
        <w:rPr>
          <w:rFonts w:asciiTheme="majorHAnsi" w:hAnsiTheme="majorHAnsi" w:cstheme="majorHAnsi"/>
          <w:b/>
          <w:bCs/>
          <w:sz w:val="24"/>
          <w:szCs w:val="24"/>
        </w:rPr>
      </w:pPr>
      <w:r w:rsidRPr="00CB1BB4">
        <w:rPr>
          <w:rFonts w:asciiTheme="majorHAnsi" w:hAnsiTheme="majorHAnsi" w:cstheme="majorHAnsi"/>
          <w:b/>
          <w:bCs/>
          <w:sz w:val="24"/>
          <w:szCs w:val="24"/>
        </w:rPr>
        <w:t>SITUATION OF PERSONS IN DEPRIVATION OF LIBERTY</w:t>
      </w:r>
    </w:p>
    <w:p w14:paraId="78A13C61" w14:textId="77777777" w:rsidR="00CB1BB4" w:rsidRDefault="00CB1BB4" w:rsidP="00995877">
      <w:pPr>
        <w:spacing w:line="240" w:lineRule="auto"/>
        <w:ind w:firstLine="567"/>
        <w:jc w:val="both"/>
        <w:rPr>
          <w:rFonts w:asciiTheme="majorHAnsi" w:hAnsiTheme="majorHAnsi" w:cstheme="majorHAnsi"/>
          <w:sz w:val="24"/>
          <w:szCs w:val="24"/>
        </w:rPr>
      </w:pPr>
    </w:p>
    <w:p w14:paraId="5C964B40" w14:textId="77777777" w:rsidR="00CB1BB4" w:rsidRDefault="00CB1BB4" w:rsidP="00995877">
      <w:pPr>
        <w:spacing w:line="240" w:lineRule="auto"/>
        <w:ind w:firstLine="567"/>
        <w:jc w:val="both"/>
        <w:rPr>
          <w:rFonts w:asciiTheme="majorHAnsi" w:hAnsiTheme="majorHAnsi" w:cstheme="majorHAnsi"/>
          <w:sz w:val="24"/>
          <w:szCs w:val="24"/>
        </w:rPr>
      </w:pPr>
      <w:r w:rsidRPr="00CB1BB4">
        <w:rPr>
          <w:rFonts w:asciiTheme="majorHAnsi" w:hAnsiTheme="majorHAnsi" w:cstheme="majorHAnsi"/>
          <w:sz w:val="24"/>
          <w:szCs w:val="24"/>
        </w:rPr>
        <w:t xml:space="preserve">The report presented by the Brazilian state is silent in not commenting on one of the main problems of national criminal policy: mass incarceration as a state policy. Between the years 2000-2022, Brazil expanded its prison population by 372.5%. In the year 2000 Brazil had 174,980 people deprived of liberty, already in 2022 this number is at 826,740 (ANUÁRIO BRASILEIRO DE SEGURANÇA PÚBLICA, 2023).  </w:t>
      </w:r>
      <w:r w:rsidR="00DE2F96" w:rsidRPr="009F0D98">
        <w:rPr>
          <w:rStyle w:val="FootnoteReference"/>
          <w:rFonts w:asciiTheme="majorHAnsi" w:hAnsiTheme="majorHAnsi" w:cstheme="majorHAnsi"/>
          <w:sz w:val="24"/>
          <w:szCs w:val="24"/>
        </w:rPr>
        <w:footnoteReference w:id="1"/>
      </w:r>
      <w:r w:rsidR="00DE2F96" w:rsidRPr="009F0D98">
        <w:rPr>
          <w:rFonts w:asciiTheme="majorHAnsi" w:hAnsiTheme="majorHAnsi" w:cstheme="majorHAnsi"/>
          <w:sz w:val="24"/>
          <w:szCs w:val="24"/>
        </w:rPr>
        <w:t xml:space="preserve">. </w:t>
      </w:r>
    </w:p>
    <w:p w14:paraId="0CD1B364" w14:textId="77777777" w:rsidR="00F40F1F" w:rsidRPr="00F40F1F" w:rsidRDefault="00F40F1F" w:rsidP="00995877">
      <w:pPr>
        <w:spacing w:line="240" w:lineRule="auto"/>
        <w:ind w:firstLine="567"/>
        <w:jc w:val="both"/>
        <w:rPr>
          <w:rFonts w:asciiTheme="majorHAnsi" w:hAnsiTheme="majorHAnsi" w:cstheme="majorHAnsi"/>
          <w:sz w:val="24"/>
          <w:szCs w:val="24"/>
        </w:rPr>
      </w:pPr>
      <w:r w:rsidRPr="00F40F1F">
        <w:rPr>
          <w:rFonts w:asciiTheme="majorHAnsi" w:hAnsiTheme="majorHAnsi" w:cstheme="majorHAnsi"/>
          <w:sz w:val="24"/>
          <w:szCs w:val="24"/>
        </w:rPr>
        <w:t xml:space="preserve">In </w:t>
      </w:r>
      <w:r>
        <w:rPr>
          <w:rFonts w:asciiTheme="majorHAnsi" w:hAnsiTheme="majorHAnsi" w:cstheme="majorHAnsi"/>
          <w:sz w:val="24"/>
          <w:szCs w:val="24"/>
        </w:rPr>
        <w:t>any</w:t>
      </w:r>
      <w:r w:rsidRPr="00F40F1F">
        <w:rPr>
          <w:rFonts w:asciiTheme="majorHAnsi" w:hAnsiTheme="majorHAnsi" w:cstheme="majorHAnsi"/>
          <w:sz w:val="24"/>
          <w:szCs w:val="24"/>
        </w:rPr>
        <w:t xml:space="preserve"> year of the aforementioned period was there any type of reduction in the prison population, only progressive increases, which makes it possible to predict that Brazil will reach the mark of one million incarcerated people in the coming years.</w:t>
      </w:r>
    </w:p>
    <w:p w14:paraId="63DBAE56" w14:textId="77777777" w:rsidR="00DE2F96" w:rsidRPr="009F0D98" w:rsidRDefault="00F40F1F" w:rsidP="00995877">
      <w:pPr>
        <w:spacing w:line="240" w:lineRule="auto"/>
        <w:ind w:firstLine="567"/>
        <w:jc w:val="both"/>
        <w:rPr>
          <w:rFonts w:asciiTheme="majorHAnsi" w:hAnsiTheme="majorHAnsi" w:cstheme="majorHAnsi"/>
          <w:sz w:val="24"/>
          <w:szCs w:val="24"/>
        </w:rPr>
      </w:pPr>
      <w:r w:rsidRPr="00F40F1F">
        <w:rPr>
          <w:rFonts w:asciiTheme="majorHAnsi" w:hAnsiTheme="majorHAnsi" w:cstheme="majorHAnsi"/>
          <w:sz w:val="24"/>
          <w:szCs w:val="24"/>
        </w:rPr>
        <w:t xml:space="preserve">Incarceration processes mainly affect the most vulnerable segment of the Brazilian population, especially young, poor and black people. In other words, it is a containment strategy for historically vulnerable segments. 68.2% of the Brazilian prison population is black, although they represent approximately 50% of the country's total population. This number has shown continuous percentage growth </w:t>
      </w:r>
      <w:r w:rsidR="00DE2F96" w:rsidRPr="009F0D98">
        <w:rPr>
          <w:rFonts w:asciiTheme="majorHAnsi" w:hAnsiTheme="majorHAnsi" w:cstheme="majorHAnsi"/>
          <w:sz w:val="24"/>
          <w:szCs w:val="24"/>
        </w:rPr>
        <w:t>e progressivo entre os anos de 2005-2022 (ANUÁRIO BRASILEIRO DE SEGURANÇA PÚBLICA, 2023).</w:t>
      </w:r>
    </w:p>
    <w:p w14:paraId="7DBBFD1E" w14:textId="77777777" w:rsidR="00F40F1F" w:rsidRDefault="00F40F1F" w:rsidP="00995877">
      <w:pPr>
        <w:spacing w:line="240" w:lineRule="auto"/>
        <w:ind w:firstLine="567"/>
        <w:jc w:val="both"/>
        <w:rPr>
          <w:rFonts w:asciiTheme="majorHAnsi" w:hAnsiTheme="majorHAnsi" w:cstheme="majorHAnsi"/>
          <w:sz w:val="24"/>
          <w:szCs w:val="24"/>
        </w:rPr>
      </w:pPr>
      <w:r w:rsidRPr="00F40F1F">
        <w:rPr>
          <w:rFonts w:asciiTheme="majorHAnsi" w:hAnsiTheme="majorHAnsi" w:cstheme="majorHAnsi"/>
          <w:sz w:val="24"/>
          <w:szCs w:val="24"/>
        </w:rPr>
        <w:t>It is also important to highlight that Brazil has been systematically neglectful in the production and dissemination of data on public security and incarceration, forming a management that is averse to transparency and social control. Still, the mechanisms destined to expand the channels of popular participation in the construction and execution of the policy are few and, those that exist, ineffective. In short, it can be said that Brazilian management of public security has been undemocratic, since it makes both participation and social control unfeasible.</w:t>
      </w:r>
    </w:p>
    <w:p w14:paraId="2FEA6CF9" w14:textId="77777777" w:rsidR="00700343" w:rsidRDefault="00700343" w:rsidP="00995877">
      <w:pPr>
        <w:spacing w:line="240" w:lineRule="auto"/>
        <w:ind w:firstLine="567"/>
        <w:jc w:val="both"/>
        <w:rPr>
          <w:rFonts w:asciiTheme="majorHAnsi" w:hAnsiTheme="majorHAnsi" w:cstheme="majorHAnsi"/>
          <w:sz w:val="24"/>
          <w:szCs w:val="24"/>
        </w:rPr>
      </w:pPr>
      <w:r w:rsidRPr="00700343">
        <w:rPr>
          <w:rFonts w:asciiTheme="majorHAnsi" w:hAnsiTheme="majorHAnsi" w:cstheme="majorHAnsi"/>
          <w:sz w:val="24"/>
          <w:szCs w:val="24"/>
        </w:rPr>
        <w:lastRenderedPageBreak/>
        <w:t>Prison overcrowding also remains a crucial problem. Currently, Brazil has a deficit of 230,578 vacancies in the Brazil system. We have 826,740 people deprived of liberty and only 596,162 vacancies are offered (ANUÁRIO BRASILEIRO DE SEGURANÇA PÚBLICA, 2023). The situation of overcrowding is responsible for the aggravation of several other problems in prison, such as the precariousness of health conditions and the difficulty of articulating intersectoral policies aimed at social reintegration. Only 19% of Brazilian prisoners are involved in some work activity (ANUÁRIO BRASILEIRO DE SEGURANÇA PÚBLICA, 2023).</w:t>
      </w:r>
    </w:p>
    <w:p w14:paraId="4F6356B6" w14:textId="77777777" w:rsidR="00700343" w:rsidRPr="00700343" w:rsidRDefault="00700343" w:rsidP="00995877">
      <w:pPr>
        <w:widowControl w:val="0"/>
        <w:spacing w:line="240" w:lineRule="auto"/>
        <w:jc w:val="both"/>
        <w:rPr>
          <w:rFonts w:asciiTheme="majorHAnsi" w:hAnsiTheme="majorHAnsi" w:cstheme="majorHAnsi"/>
          <w:sz w:val="24"/>
          <w:szCs w:val="24"/>
        </w:rPr>
      </w:pPr>
      <w:r w:rsidRPr="00700343">
        <w:rPr>
          <w:rFonts w:asciiTheme="majorHAnsi" w:hAnsiTheme="majorHAnsi" w:cstheme="majorHAnsi"/>
          <w:sz w:val="24"/>
          <w:szCs w:val="24"/>
        </w:rPr>
        <w:t>Part of the overcrowding picture is generated by the massive presence of pre-trial detainees in Brazilian prisons. 25.3% of Brazilian prisoners have not yet been tried (ANUÁRIO BRASILEIRO DE SEGURANÇA PÚBLICA, 2023). This is a historical problem in the country, since the indiscriminate use of provisional incarceration, contrary to constitutional principles such as full defense and the contradictory and presumption of innocence and guaranteed by the maintenance of authoritarian criminal procedural legislation, has been the main tool to provide rapid and massive incarceration.</w:t>
      </w:r>
    </w:p>
    <w:p w14:paraId="31025E2F" w14:textId="77777777" w:rsidR="00700343" w:rsidRPr="00700343" w:rsidRDefault="00700343" w:rsidP="00995877">
      <w:pPr>
        <w:widowControl w:val="0"/>
        <w:spacing w:line="240" w:lineRule="auto"/>
        <w:ind w:firstLine="720"/>
        <w:jc w:val="both"/>
        <w:rPr>
          <w:rFonts w:asciiTheme="majorHAnsi" w:hAnsiTheme="majorHAnsi" w:cstheme="majorHAnsi"/>
          <w:sz w:val="24"/>
          <w:szCs w:val="24"/>
        </w:rPr>
      </w:pPr>
      <w:r w:rsidRPr="00700343">
        <w:rPr>
          <w:rFonts w:asciiTheme="majorHAnsi" w:hAnsiTheme="majorHAnsi" w:cstheme="majorHAnsi"/>
          <w:sz w:val="24"/>
          <w:szCs w:val="24"/>
        </w:rPr>
        <w:t>Finally, we emphasize that the Brazilian state continues to systematically use torture as an institutional practice within Brazilian prisons. Although there are no data attesting to this amount, since the state itself does not provide them and omits them, news of torture is frequently reported in custody hearings and comes to the attention of civil society organizations that carry out inspections of prisons.</w:t>
      </w:r>
    </w:p>
    <w:p w14:paraId="42E3F14A" w14:textId="77777777" w:rsidR="00DE2F96" w:rsidRDefault="00700343" w:rsidP="00995877">
      <w:pPr>
        <w:widowControl w:val="0"/>
        <w:spacing w:line="240" w:lineRule="auto"/>
        <w:ind w:firstLine="720"/>
        <w:jc w:val="both"/>
        <w:rPr>
          <w:rFonts w:asciiTheme="majorHAnsi" w:hAnsiTheme="majorHAnsi" w:cstheme="majorHAnsi"/>
          <w:sz w:val="24"/>
          <w:szCs w:val="24"/>
        </w:rPr>
      </w:pPr>
      <w:r w:rsidRPr="00700343">
        <w:rPr>
          <w:rFonts w:asciiTheme="majorHAnsi" w:hAnsiTheme="majorHAnsi" w:cstheme="majorHAnsi"/>
          <w:sz w:val="24"/>
          <w:szCs w:val="24"/>
        </w:rPr>
        <w:t>This scenario shows the maintenance of a state structure, involving both public security and institutions of the justice system, which legitimizes and reproduces the practice of torture. Such a phenomenon is neither new nor unexpected, especially if we consider that Brazil is a country whose rise of democracy was not accompanied by a total and complete rupture with the remnants of the military dictatorship that multiply in police practices, legislation and, mainly, in the popular imagination.</w:t>
      </w:r>
    </w:p>
    <w:p w14:paraId="3DAC70E9" w14:textId="77777777" w:rsidR="00700343" w:rsidRPr="009F0D98" w:rsidRDefault="00700343" w:rsidP="00995877">
      <w:pPr>
        <w:widowControl w:val="0"/>
        <w:spacing w:line="240" w:lineRule="auto"/>
        <w:rPr>
          <w:rFonts w:asciiTheme="majorHAnsi" w:eastAsia="Times New Roman" w:hAnsiTheme="majorHAnsi" w:cstheme="majorHAnsi"/>
          <w:b/>
          <w:sz w:val="24"/>
          <w:szCs w:val="24"/>
        </w:rPr>
      </w:pPr>
    </w:p>
    <w:p w14:paraId="1B7469FF" w14:textId="77777777" w:rsidR="00736504" w:rsidRDefault="00700343" w:rsidP="00995877">
      <w:pPr>
        <w:widowControl w:val="0"/>
        <w:spacing w:line="240" w:lineRule="auto"/>
        <w:rPr>
          <w:rFonts w:asciiTheme="majorHAnsi" w:eastAsia="Times New Roman" w:hAnsiTheme="majorHAnsi" w:cstheme="majorHAnsi"/>
          <w:b/>
          <w:sz w:val="24"/>
          <w:szCs w:val="24"/>
        </w:rPr>
      </w:pPr>
      <w:r w:rsidRPr="00700343">
        <w:rPr>
          <w:rFonts w:asciiTheme="majorHAnsi" w:eastAsia="Times New Roman" w:hAnsiTheme="majorHAnsi" w:cstheme="majorHAnsi"/>
          <w:b/>
          <w:sz w:val="24"/>
          <w:szCs w:val="24"/>
        </w:rPr>
        <w:t>VIOLENCE IN THE COUNTRYSIDE IN MARANHÃO FROM 2015 TO 2021: analytical balance for the guarantee of human rights</w:t>
      </w:r>
    </w:p>
    <w:p w14:paraId="5C131CD3" w14:textId="77777777" w:rsidR="00700343" w:rsidRPr="00700343" w:rsidRDefault="00700343" w:rsidP="00995877">
      <w:pPr>
        <w:widowControl w:val="0"/>
        <w:spacing w:line="240" w:lineRule="auto"/>
        <w:rPr>
          <w:rFonts w:asciiTheme="majorHAnsi" w:eastAsia="Times New Roman" w:hAnsiTheme="majorHAnsi" w:cstheme="majorHAnsi"/>
          <w:sz w:val="24"/>
          <w:szCs w:val="24"/>
        </w:rPr>
      </w:pPr>
    </w:p>
    <w:p w14:paraId="6445A58A" w14:textId="77777777" w:rsidR="00700343" w:rsidRPr="00700343" w:rsidRDefault="00700343" w:rsidP="00995877">
      <w:pPr>
        <w:spacing w:line="240" w:lineRule="auto"/>
        <w:ind w:firstLine="720"/>
        <w:jc w:val="both"/>
        <w:rPr>
          <w:rFonts w:asciiTheme="majorHAnsi" w:eastAsia="Times New Roman" w:hAnsiTheme="majorHAnsi" w:cstheme="majorHAnsi"/>
          <w:sz w:val="24"/>
          <w:szCs w:val="24"/>
        </w:rPr>
      </w:pPr>
      <w:bookmarkStart w:id="0" w:name="_gjdgxs" w:colFirst="0" w:colLast="0"/>
      <w:bookmarkEnd w:id="0"/>
      <w:r w:rsidRPr="00700343">
        <w:rPr>
          <w:rFonts w:asciiTheme="majorHAnsi" w:eastAsia="Times New Roman" w:hAnsiTheme="majorHAnsi" w:cstheme="majorHAnsi"/>
          <w:sz w:val="24"/>
          <w:szCs w:val="24"/>
        </w:rPr>
        <w:t>The data on violence in the countryside of Maranhão referred to here were based on seven annual reports published by the SMDH from 2015 to 2021 , resulting from the monitoring of violence in Maranhão, in particular, based on the eviction indicator, analyzed using information from the Commission State for the Prevention of Violence in the Countryside and in the City – COECV and contextualized with data produced by the Pastoral Land Commission – CPT and the Federation of Rural Workers, Farmers and Family Farmers of the State of Maranhão – FETAEMA, in addition to the actions of the State and Federal Government.</w:t>
      </w:r>
    </w:p>
    <w:p w14:paraId="5EEC85A2" w14:textId="77777777" w:rsidR="00700343" w:rsidRPr="00700343" w:rsidRDefault="00700343" w:rsidP="00995877">
      <w:pPr>
        <w:pStyle w:val="ListParagraph"/>
        <w:numPr>
          <w:ilvl w:val="1"/>
          <w:numId w:val="1"/>
        </w:numPr>
        <w:spacing w:line="240" w:lineRule="auto"/>
        <w:jc w:val="both"/>
        <w:rPr>
          <w:rFonts w:asciiTheme="majorHAnsi" w:eastAsia="Times New Roman" w:hAnsiTheme="majorHAnsi" w:cstheme="majorHAnsi"/>
          <w:b/>
          <w:sz w:val="24"/>
          <w:szCs w:val="24"/>
        </w:rPr>
      </w:pPr>
      <w:r w:rsidRPr="00700343">
        <w:rPr>
          <w:rFonts w:asciiTheme="majorHAnsi" w:eastAsia="Times New Roman" w:hAnsiTheme="majorHAnsi" w:cstheme="majorHAnsi"/>
          <w:b/>
          <w:sz w:val="24"/>
          <w:szCs w:val="24"/>
        </w:rPr>
        <w:t>Land Violence in Maranhão from 2015 to 2021 according to COECV data</w:t>
      </w:r>
    </w:p>
    <w:p w14:paraId="32CF8446" w14:textId="77777777" w:rsidR="00700343" w:rsidRDefault="00700343" w:rsidP="00995877">
      <w:pPr>
        <w:spacing w:line="240" w:lineRule="auto"/>
        <w:ind w:firstLine="720"/>
        <w:jc w:val="both"/>
        <w:rPr>
          <w:rFonts w:asciiTheme="majorHAnsi" w:eastAsia="Times New Roman" w:hAnsiTheme="majorHAnsi" w:cstheme="majorHAnsi"/>
          <w:sz w:val="24"/>
          <w:szCs w:val="24"/>
        </w:rPr>
      </w:pPr>
      <w:r w:rsidRPr="00700343">
        <w:rPr>
          <w:rFonts w:asciiTheme="majorHAnsi" w:eastAsia="Times New Roman" w:hAnsiTheme="majorHAnsi" w:cstheme="majorHAnsi"/>
          <w:sz w:val="24"/>
          <w:szCs w:val="24"/>
        </w:rPr>
        <w:t>According to the available data, in the period from 2015 to 2021, COECV received 650 cases of judicialized land conflicts with a request for the use of police force to assist in the fulfillment of possessory warrants, as shown in the table below:</w:t>
      </w:r>
    </w:p>
    <w:p w14:paraId="5E1244E6" w14:textId="77777777" w:rsidR="00995877" w:rsidRDefault="00995877" w:rsidP="00995877">
      <w:pPr>
        <w:spacing w:line="240" w:lineRule="auto"/>
        <w:ind w:firstLine="720"/>
        <w:jc w:val="both"/>
        <w:rPr>
          <w:rFonts w:asciiTheme="majorHAnsi" w:eastAsia="Times New Roman" w:hAnsiTheme="majorHAnsi" w:cstheme="majorHAnsi"/>
          <w:b/>
          <w:sz w:val="24"/>
          <w:szCs w:val="24"/>
        </w:rPr>
      </w:pPr>
    </w:p>
    <w:p w14:paraId="7DEA12BA" w14:textId="77777777" w:rsidR="00736504" w:rsidRPr="009F0D98" w:rsidRDefault="00700343" w:rsidP="00995877">
      <w:pPr>
        <w:spacing w:line="240" w:lineRule="auto"/>
        <w:ind w:firstLine="720"/>
        <w:jc w:val="both"/>
        <w:rPr>
          <w:rFonts w:asciiTheme="majorHAnsi" w:eastAsia="Times New Roman" w:hAnsiTheme="majorHAnsi" w:cstheme="majorHAnsi"/>
          <w:sz w:val="24"/>
          <w:szCs w:val="24"/>
        </w:rPr>
      </w:pPr>
      <w:r w:rsidRPr="00700343">
        <w:rPr>
          <w:rFonts w:asciiTheme="majorHAnsi" w:eastAsia="Times New Roman" w:hAnsiTheme="majorHAnsi" w:cstheme="majorHAnsi"/>
          <w:b/>
          <w:sz w:val="24"/>
          <w:szCs w:val="24"/>
        </w:rPr>
        <w:lastRenderedPageBreak/>
        <w:t>Number of cases received by COECV from 2015 to 2021</w:t>
      </w:r>
      <w:r>
        <w:rPr>
          <w:rFonts w:asciiTheme="majorHAnsi" w:eastAsia="Times New Roman" w:hAnsiTheme="majorHAnsi" w:cstheme="majorHAnsi"/>
          <w:b/>
          <w:sz w:val="24"/>
          <w:szCs w:val="24"/>
        </w:rPr>
        <w:t>:</w:t>
      </w:r>
    </w:p>
    <w:tbl>
      <w:tblPr>
        <w:tblStyle w:val="a"/>
        <w:tblW w:w="9028" w:type="dxa"/>
        <w:tblInd w:w="-99" w:type="dxa"/>
        <w:tblLayout w:type="fixed"/>
        <w:tblLook w:val="0600" w:firstRow="0" w:lastRow="0" w:firstColumn="0" w:lastColumn="0" w:noHBand="1" w:noVBand="1"/>
      </w:tblPr>
      <w:tblGrid>
        <w:gridCol w:w="4514"/>
        <w:gridCol w:w="4514"/>
      </w:tblGrid>
      <w:tr w:rsidR="00736504" w:rsidRPr="009F0D98" w14:paraId="194502AB"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17DD6E59" w14:textId="77777777" w:rsidR="00736504" w:rsidRPr="009F0D98" w:rsidRDefault="00700343" w:rsidP="00995877">
            <w:pPr>
              <w:widowControl w:val="0"/>
              <w:spacing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Year</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24DEFAB7" w14:textId="77777777" w:rsidR="00736504" w:rsidRPr="009F0D98" w:rsidRDefault="00700343" w:rsidP="00995877">
            <w:pPr>
              <w:widowControl w:val="0"/>
              <w:spacing w:line="240" w:lineRule="auto"/>
              <w:rPr>
                <w:rFonts w:asciiTheme="majorHAnsi" w:eastAsia="Times New Roman" w:hAnsiTheme="majorHAnsi" w:cstheme="majorHAnsi"/>
                <w:sz w:val="24"/>
                <w:szCs w:val="24"/>
              </w:rPr>
            </w:pPr>
            <w:r w:rsidRPr="00700343">
              <w:rPr>
                <w:rFonts w:asciiTheme="majorHAnsi" w:eastAsia="Times New Roman" w:hAnsiTheme="majorHAnsi" w:cstheme="majorHAnsi"/>
                <w:b/>
                <w:sz w:val="24"/>
                <w:szCs w:val="24"/>
              </w:rPr>
              <w:t>Number of cases received</w:t>
            </w:r>
          </w:p>
        </w:tc>
      </w:tr>
      <w:tr w:rsidR="00736504" w:rsidRPr="009F0D98" w14:paraId="79F63A99"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078418D7"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2015</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71B9A4DA"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309</w:t>
            </w:r>
          </w:p>
        </w:tc>
      </w:tr>
      <w:tr w:rsidR="00736504" w:rsidRPr="009F0D98" w14:paraId="3DCB6574"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76330613"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2016</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1E7D08E8"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87</w:t>
            </w:r>
          </w:p>
        </w:tc>
      </w:tr>
      <w:tr w:rsidR="00736504" w:rsidRPr="009F0D98" w14:paraId="6D8379CC"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3EFFDD52"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2017</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78DA65E2"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53</w:t>
            </w:r>
          </w:p>
        </w:tc>
      </w:tr>
      <w:tr w:rsidR="00736504" w:rsidRPr="009F0D98" w14:paraId="5472EDCD"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67E47A1F"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2018</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432DF092"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83</w:t>
            </w:r>
          </w:p>
        </w:tc>
      </w:tr>
      <w:tr w:rsidR="00736504" w:rsidRPr="009F0D98" w14:paraId="67FED1E7"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5819A65E"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2019</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6B103644"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65</w:t>
            </w:r>
          </w:p>
        </w:tc>
      </w:tr>
      <w:tr w:rsidR="00736504" w:rsidRPr="009F0D98" w14:paraId="4B377822"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35C766DB"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2020</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3DC1B487"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56</w:t>
            </w:r>
          </w:p>
        </w:tc>
      </w:tr>
      <w:tr w:rsidR="00736504" w:rsidRPr="009F0D98" w14:paraId="3DFE05FD"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2A088911"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2021</w:t>
            </w:r>
          </w:p>
        </w:tc>
        <w:tc>
          <w:tcPr>
            <w:tcW w:w="4514" w:type="dxa"/>
            <w:tcBorders>
              <w:top w:val="single" w:sz="8" w:space="0" w:color="000000"/>
              <w:left w:val="single" w:sz="8" w:space="0" w:color="000000"/>
              <w:bottom w:val="single" w:sz="8" w:space="0" w:color="000000"/>
              <w:right w:val="single" w:sz="8" w:space="0" w:color="000000"/>
            </w:tcBorders>
            <w:shd w:val="clear" w:color="auto" w:fill="auto"/>
          </w:tcPr>
          <w:p w14:paraId="247F2D6A" w14:textId="77777777" w:rsidR="00736504" w:rsidRPr="009F0D98" w:rsidRDefault="006B48D8" w:rsidP="00995877">
            <w:pPr>
              <w:widowControl w:val="0"/>
              <w:spacing w:line="240" w:lineRule="auto"/>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53</w:t>
            </w:r>
          </w:p>
        </w:tc>
      </w:tr>
    </w:tbl>
    <w:p w14:paraId="55388384" w14:textId="77777777" w:rsidR="00736504" w:rsidRPr="009F0D98" w:rsidRDefault="006B48D8" w:rsidP="00995877">
      <w:pPr>
        <w:spacing w:line="240" w:lineRule="auto"/>
        <w:jc w:val="both"/>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 xml:space="preserve"> Fonte: </w:t>
      </w:r>
      <w:r w:rsidR="00700343">
        <w:rPr>
          <w:rFonts w:asciiTheme="majorHAnsi" w:eastAsia="Times New Roman" w:hAnsiTheme="majorHAnsi" w:cstheme="majorHAnsi"/>
          <w:sz w:val="24"/>
          <w:szCs w:val="24"/>
        </w:rPr>
        <w:t>Report of</w:t>
      </w:r>
      <w:r w:rsidRPr="009F0D98">
        <w:rPr>
          <w:rFonts w:asciiTheme="majorHAnsi" w:eastAsia="Times New Roman" w:hAnsiTheme="majorHAnsi" w:cstheme="majorHAnsi"/>
          <w:sz w:val="24"/>
          <w:szCs w:val="24"/>
        </w:rPr>
        <w:t xml:space="preserve"> COECV.</w:t>
      </w:r>
    </w:p>
    <w:p w14:paraId="741A392A" w14:textId="77777777" w:rsidR="00995877" w:rsidRDefault="00995877" w:rsidP="00995877">
      <w:pPr>
        <w:spacing w:line="240" w:lineRule="auto"/>
        <w:ind w:firstLine="720"/>
        <w:jc w:val="both"/>
        <w:rPr>
          <w:rFonts w:asciiTheme="majorHAnsi" w:eastAsia="Times New Roman" w:hAnsiTheme="majorHAnsi" w:cstheme="majorHAnsi"/>
          <w:color w:val="0000FF"/>
          <w:sz w:val="24"/>
          <w:szCs w:val="24"/>
        </w:rPr>
      </w:pPr>
    </w:p>
    <w:p w14:paraId="2D0FF4C6" w14:textId="77777777" w:rsidR="003B4053" w:rsidRPr="003B4053" w:rsidRDefault="006B48D8" w:rsidP="00995877">
      <w:pPr>
        <w:spacing w:line="240" w:lineRule="auto"/>
        <w:ind w:firstLine="720"/>
        <w:jc w:val="both"/>
        <w:rPr>
          <w:rFonts w:asciiTheme="majorHAnsi" w:eastAsia="Times New Roman" w:hAnsiTheme="majorHAnsi" w:cstheme="majorHAnsi"/>
          <w:sz w:val="24"/>
          <w:szCs w:val="24"/>
        </w:rPr>
      </w:pPr>
      <w:r w:rsidRPr="009F0D98">
        <w:rPr>
          <w:rFonts w:asciiTheme="majorHAnsi" w:eastAsia="Times New Roman" w:hAnsiTheme="majorHAnsi" w:cstheme="majorHAnsi"/>
          <w:color w:val="0000FF"/>
          <w:sz w:val="24"/>
          <w:szCs w:val="24"/>
        </w:rPr>
        <w:t xml:space="preserve"> </w:t>
      </w:r>
      <w:r w:rsidR="003B4053" w:rsidRPr="003B4053">
        <w:rPr>
          <w:rFonts w:asciiTheme="majorHAnsi" w:eastAsia="Times New Roman" w:hAnsiTheme="majorHAnsi" w:cstheme="majorHAnsi"/>
          <w:sz w:val="24"/>
          <w:szCs w:val="24"/>
        </w:rPr>
        <w:t>It is important to note that these numbers do not express all the land conflicts nor all the violence that took place in the countryside of Maranhão during that period. They refer only to conflicts that were judicialized with a request for the use of police force to comply with possessory orders. CPT and FETAEMA data more reliably portray a larger set of conflicts, including those that are not judicialized.</w:t>
      </w:r>
    </w:p>
    <w:p w14:paraId="582E14CA" w14:textId="77777777" w:rsidR="00995877" w:rsidRDefault="00995877" w:rsidP="00995877">
      <w:pPr>
        <w:spacing w:line="240" w:lineRule="auto"/>
        <w:ind w:firstLine="720"/>
        <w:jc w:val="both"/>
        <w:rPr>
          <w:rFonts w:asciiTheme="majorHAnsi" w:eastAsia="Times New Roman" w:hAnsiTheme="majorHAnsi" w:cstheme="majorHAnsi"/>
          <w:sz w:val="24"/>
          <w:szCs w:val="24"/>
        </w:rPr>
      </w:pPr>
    </w:p>
    <w:p w14:paraId="7AE06072" w14:textId="77777777" w:rsidR="003B4053" w:rsidRPr="003B4053" w:rsidRDefault="003B4053" w:rsidP="00995877">
      <w:pPr>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1.2 Context of Conflicts in Campo Maranhense</w:t>
      </w:r>
    </w:p>
    <w:p w14:paraId="0CE0F82B" w14:textId="77777777" w:rsidR="00736504" w:rsidRPr="009F0D98" w:rsidRDefault="003B4053" w:rsidP="00995877">
      <w:pPr>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For purposes of contextualizing the violence in the countryside of Maranhão, the SMDH took data from the CPT Conflict Notebooks as a reference, as well as conflict reports from FETAEMA. Thus, considering the data recorded by the CPT, in the period from 2015 to 2021 we had in Maranhão a total of 1,170 conflicts in the countryside of Maranhão, in addition to 46 murders of leaders, as follows:</w:t>
      </w:r>
    </w:p>
    <w:tbl>
      <w:tblPr>
        <w:tblStyle w:val="a0"/>
        <w:tblW w:w="9029" w:type="dxa"/>
        <w:tblInd w:w="-99" w:type="dxa"/>
        <w:tblLayout w:type="fixed"/>
        <w:tblLook w:val="0600" w:firstRow="0" w:lastRow="0" w:firstColumn="0" w:lastColumn="0" w:noHBand="1" w:noVBand="1"/>
      </w:tblPr>
      <w:tblGrid>
        <w:gridCol w:w="3009"/>
        <w:gridCol w:w="3010"/>
        <w:gridCol w:w="3010"/>
      </w:tblGrid>
      <w:tr w:rsidR="00736504" w:rsidRPr="00995877" w14:paraId="5E385170"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2D9D3BC0" w14:textId="77777777" w:rsidR="00736504" w:rsidRPr="00995877" w:rsidRDefault="003B4053" w:rsidP="00995877">
            <w:pPr>
              <w:widowControl w:val="0"/>
              <w:spacing w:line="240" w:lineRule="auto"/>
              <w:rPr>
                <w:rFonts w:asciiTheme="majorHAnsi" w:eastAsia="Times New Roman" w:hAnsiTheme="majorHAnsi" w:cstheme="majorHAnsi"/>
                <w:b/>
                <w:sz w:val="20"/>
                <w:szCs w:val="20"/>
              </w:rPr>
            </w:pPr>
            <w:r w:rsidRPr="00995877">
              <w:rPr>
                <w:rFonts w:asciiTheme="majorHAnsi" w:eastAsia="Times New Roman" w:hAnsiTheme="majorHAnsi" w:cstheme="majorHAnsi"/>
                <w:b/>
                <w:sz w:val="20"/>
                <w:szCs w:val="20"/>
              </w:rPr>
              <w:t>Year</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0409FC16" w14:textId="77777777" w:rsidR="00736504" w:rsidRPr="00995877" w:rsidRDefault="006B48D8" w:rsidP="00995877">
            <w:pPr>
              <w:widowControl w:val="0"/>
              <w:spacing w:line="240" w:lineRule="auto"/>
              <w:rPr>
                <w:rFonts w:asciiTheme="majorHAnsi" w:eastAsia="Times New Roman" w:hAnsiTheme="majorHAnsi" w:cstheme="majorHAnsi"/>
                <w:b/>
                <w:sz w:val="20"/>
                <w:szCs w:val="20"/>
              </w:rPr>
            </w:pPr>
            <w:r w:rsidRPr="00995877">
              <w:rPr>
                <w:rFonts w:asciiTheme="majorHAnsi" w:eastAsia="Times New Roman" w:hAnsiTheme="majorHAnsi" w:cstheme="majorHAnsi"/>
                <w:b/>
                <w:sz w:val="20"/>
                <w:szCs w:val="20"/>
              </w:rPr>
              <w:t>Número de conflitos no campo</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0E188879" w14:textId="77777777" w:rsidR="00736504" w:rsidRPr="00995877" w:rsidRDefault="003B4053" w:rsidP="00995877">
            <w:pPr>
              <w:widowControl w:val="0"/>
              <w:spacing w:line="240" w:lineRule="auto"/>
              <w:rPr>
                <w:rFonts w:asciiTheme="majorHAnsi" w:eastAsia="Times New Roman" w:hAnsiTheme="majorHAnsi" w:cstheme="majorHAnsi"/>
                <w:b/>
                <w:sz w:val="20"/>
                <w:szCs w:val="20"/>
              </w:rPr>
            </w:pPr>
            <w:r w:rsidRPr="00995877">
              <w:rPr>
                <w:rFonts w:asciiTheme="majorHAnsi" w:eastAsia="Times New Roman" w:hAnsiTheme="majorHAnsi" w:cstheme="majorHAnsi"/>
                <w:b/>
                <w:sz w:val="20"/>
                <w:szCs w:val="20"/>
              </w:rPr>
              <w:t>Number of conflicts in the countryside</w:t>
            </w:r>
          </w:p>
        </w:tc>
      </w:tr>
      <w:tr w:rsidR="00736504" w:rsidRPr="00995877" w14:paraId="6416BED7"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31991A78"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2015</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59992CD5"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135</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6459CCE8"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06</w:t>
            </w:r>
          </w:p>
        </w:tc>
      </w:tr>
      <w:tr w:rsidR="00736504" w:rsidRPr="00995877" w14:paraId="58B9BB41"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57A420C9"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2016</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4E8AA153"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180</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375BD2FB"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13</w:t>
            </w:r>
          </w:p>
        </w:tc>
      </w:tr>
      <w:tr w:rsidR="00736504" w:rsidRPr="00995877" w14:paraId="02038730"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68517ECF"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2017</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197AAF02"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201</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1298911B"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04</w:t>
            </w:r>
          </w:p>
        </w:tc>
      </w:tr>
      <w:tr w:rsidR="00736504" w:rsidRPr="00995877" w14:paraId="7A51930F"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5C65EFC3"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2018</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4DABF5F1"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199</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5906F0D2"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02</w:t>
            </w:r>
          </w:p>
        </w:tc>
      </w:tr>
      <w:tr w:rsidR="00736504" w:rsidRPr="00995877" w14:paraId="0ED8F409"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2683A06F"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2019</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22AE9113"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174</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1E005C13"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04</w:t>
            </w:r>
          </w:p>
        </w:tc>
      </w:tr>
      <w:tr w:rsidR="00736504" w:rsidRPr="00995877" w14:paraId="5F95517C"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3416BA69"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2020</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66FA3060"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210</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271EB1BC"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03</w:t>
            </w:r>
          </w:p>
        </w:tc>
      </w:tr>
      <w:tr w:rsidR="00736504" w:rsidRPr="00995877" w14:paraId="69C0A106" w14:textId="77777777">
        <w:tc>
          <w:tcPr>
            <w:tcW w:w="3009" w:type="dxa"/>
            <w:tcBorders>
              <w:top w:val="single" w:sz="8" w:space="0" w:color="000000"/>
              <w:left w:val="single" w:sz="8" w:space="0" w:color="000000"/>
              <w:bottom w:val="single" w:sz="8" w:space="0" w:color="000000"/>
              <w:right w:val="single" w:sz="8" w:space="0" w:color="000000"/>
            </w:tcBorders>
            <w:shd w:val="clear" w:color="auto" w:fill="auto"/>
          </w:tcPr>
          <w:p w14:paraId="7E63FA3A"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lastRenderedPageBreak/>
              <w:t>2021</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5C8390C2"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98</w:t>
            </w:r>
          </w:p>
        </w:tc>
        <w:tc>
          <w:tcPr>
            <w:tcW w:w="3010" w:type="dxa"/>
            <w:tcBorders>
              <w:top w:val="single" w:sz="8" w:space="0" w:color="000000"/>
              <w:left w:val="single" w:sz="8" w:space="0" w:color="000000"/>
              <w:bottom w:val="single" w:sz="8" w:space="0" w:color="000000"/>
              <w:right w:val="single" w:sz="8" w:space="0" w:color="000000"/>
            </w:tcBorders>
            <w:shd w:val="clear" w:color="auto" w:fill="auto"/>
          </w:tcPr>
          <w:p w14:paraId="3E554EE6" w14:textId="77777777" w:rsidR="00736504" w:rsidRPr="00995877" w:rsidRDefault="006B48D8" w:rsidP="00995877">
            <w:pPr>
              <w:widowControl w:val="0"/>
              <w:spacing w:line="240" w:lineRule="auto"/>
              <w:rPr>
                <w:rFonts w:asciiTheme="majorHAnsi" w:eastAsia="Times New Roman" w:hAnsiTheme="majorHAnsi" w:cstheme="majorHAnsi"/>
                <w:sz w:val="20"/>
                <w:szCs w:val="20"/>
              </w:rPr>
            </w:pPr>
            <w:r w:rsidRPr="00995877">
              <w:rPr>
                <w:rFonts w:asciiTheme="majorHAnsi" w:eastAsia="Times New Roman" w:hAnsiTheme="majorHAnsi" w:cstheme="majorHAnsi"/>
                <w:sz w:val="20"/>
                <w:szCs w:val="20"/>
              </w:rPr>
              <w:t>09</w:t>
            </w:r>
          </w:p>
        </w:tc>
      </w:tr>
    </w:tbl>
    <w:p w14:paraId="1DEE4A5C" w14:textId="77777777" w:rsidR="00736504" w:rsidRPr="009F0D98" w:rsidRDefault="006B48D8" w:rsidP="00995877">
      <w:pPr>
        <w:shd w:val="clear" w:color="auto" w:fill="FFFFFF"/>
        <w:spacing w:line="240" w:lineRule="auto"/>
        <w:ind w:firstLine="720"/>
        <w:jc w:val="both"/>
        <w:rPr>
          <w:rFonts w:asciiTheme="majorHAnsi" w:eastAsia="Times New Roman" w:hAnsiTheme="majorHAnsi" w:cstheme="majorHAnsi"/>
          <w:sz w:val="24"/>
          <w:szCs w:val="24"/>
        </w:rPr>
      </w:pPr>
      <w:r w:rsidRPr="009F0D98">
        <w:rPr>
          <w:rFonts w:asciiTheme="majorHAnsi" w:eastAsia="Times New Roman" w:hAnsiTheme="majorHAnsi" w:cstheme="majorHAnsi"/>
          <w:sz w:val="24"/>
          <w:szCs w:val="24"/>
        </w:rPr>
        <w:t xml:space="preserve"> Fonte: Cadernos de Conflitos no Campo Brasil, CPT</w:t>
      </w:r>
    </w:p>
    <w:p w14:paraId="59A76378" w14:textId="77777777" w:rsidR="003B4053" w:rsidRPr="003B4053" w:rsidRDefault="003B4053" w:rsidP="00995877">
      <w:pPr>
        <w:shd w:val="clear" w:color="auto" w:fill="FFFFFF"/>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The aforementioned data, as well as the evictions, must be analyzed within the set of violent movements that occur in the countryside, with the advance of monocultures and their strategies (grabbing, deforestation, use of pesticides, threats and intimidation), but also of government actions who support them or simply fail to repress them.</w:t>
      </w:r>
    </w:p>
    <w:p w14:paraId="059FC757" w14:textId="77777777" w:rsidR="003B4053" w:rsidRPr="003B4053" w:rsidRDefault="003B4053" w:rsidP="00995877">
      <w:pPr>
        <w:shd w:val="clear" w:color="auto" w:fill="FFFFFF"/>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Using a different methodology from the CPT and having greater capillarity in the 217 municipalities of Maranhão, FETAEMA recorded the highest number of cases of conflicts in the state, in 2021. Between January 1st and December 31st, 2021, FETAEMA verified 204 people threatened with death, an increase of 203% compared to the year 2020, seven murders against rural workers as a result of agrarian conflicts, an increase of 133% compared to the previous year and one attempted murder. Fetaema accounted for 243 situations of conflict over land/territory, in 52 municipalities involving 32,473 families and 1,107,691 (one million, one hundred and seven thousand, six hundred and ninety-one) hectares in dispute.</w:t>
      </w:r>
    </w:p>
    <w:p w14:paraId="5DAF18CA" w14:textId="77777777" w:rsidR="00995877" w:rsidRDefault="00995877" w:rsidP="00995877">
      <w:pPr>
        <w:shd w:val="clear" w:color="auto" w:fill="FFFFFF"/>
        <w:spacing w:line="240" w:lineRule="auto"/>
        <w:ind w:firstLine="720"/>
        <w:jc w:val="both"/>
        <w:rPr>
          <w:rFonts w:asciiTheme="majorHAnsi" w:eastAsia="Times New Roman" w:hAnsiTheme="majorHAnsi" w:cstheme="majorHAnsi"/>
          <w:sz w:val="24"/>
          <w:szCs w:val="24"/>
        </w:rPr>
      </w:pPr>
    </w:p>
    <w:p w14:paraId="2156E277" w14:textId="77777777" w:rsidR="003B4053" w:rsidRPr="003B4053" w:rsidRDefault="003B4053" w:rsidP="00995877">
      <w:pPr>
        <w:shd w:val="clear" w:color="auto" w:fill="FFFFFF"/>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2. ACTIONS BY THE FEDERAL AND STATE GOVERNMENTS</w:t>
      </w:r>
    </w:p>
    <w:p w14:paraId="1D3AA3FC" w14:textId="77777777" w:rsidR="00995877" w:rsidRDefault="00995877" w:rsidP="00995877">
      <w:pPr>
        <w:shd w:val="clear" w:color="auto" w:fill="FFFFFF"/>
        <w:spacing w:line="240" w:lineRule="auto"/>
        <w:ind w:firstLine="720"/>
        <w:jc w:val="both"/>
        <w:rPr>
          <w:rFonts w:asciiTheme="majorHAnsi" w:eastAsia="Times New Roman" w:hAnsiTheme="majorHAnsi" w:cstheme="majorHAnsi"/>
          <w:sz w:val="24"/>
          <w:szCs w:val="24"/>
        </w:rPr>
      </w:pPr>
    </w:p>
    <w:p w14:paraId="6DB1A93A" w14:textId="77777777" w:rsidR="003B4053" w:rsidRPr="003B4053" w:rsidRDefault="003B4053" w:rsidP="00995877">
      <w:pPr>
        <w:shd w:val="clear" w:color="auto" w:fill="FFFFFF"/>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2.1. Federal Government Actions</w:t>
      </w:r>
    </w:p>
    <w:p w14:paraId="53B5F621" w14:textId="77777777" w:rsidR="003B4053" w:rsidRPr="003B4053" w:rsidRDefault="003B4053" w:rsidP="00995877">
      <w:pPr>
        <w:shd w:val="clear" w:color="auto" w:fill="FFFFFF"/>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Land reform actions in the second Dilma Roussef government (2015 to 08/31/2016) were already in decline. However, after the impeachment of the president of the republic, a new stage in the process of deconstructing public policies in the country began.</w:t>
      </w:r>
    </w:p>
    <w:p w14:paraId="06B024BC" w14:textId="77777777" w:rsidR="00736504" w:rsidRPr="009F0D98" w:rsidRDefault="003B4053" w:rsidP="00995877">
      <w:pPr>
        <w:shd w:val="clear" w:color="auto" w:fill="FFFFFF"/>
        <w:spacing w:line="240" w:lineRule="auto"/>
        <w:ind w:firstLine="720"/>
        <w:jc w:val="both"/>
        <w:rPr>
          <w:rFonts w:asciiTheme="majorHAnsi" w:eastAsia="Times New Roman" w:hAnsiTheme="majorHAnsi" w:cstheme="majorHAnsi"/>
          <w:sz w:val="24"/>
          <w:szCs w:val="24"/>
        </w:rPr>
      </w:pPr>
      <w:r w:rsidRPr="003B4053">
        <w:rPr>
          <w:rFonts w:asciiTheme="majorHAnsi" w:eastAsia="Times New Roman" w:hAnsiTheme="majorHAnsi" w:cstheme="majorHAnsi"/>
          <w:sz w:val="24"/>
          <w:szCs w:val="24"/>
        </w:rPr>
        <w:t>Since the Michel Temer government, an agenda of setbacks has begun, putting the viability of agrarian reform at risk. The ruralist political project advanced with broad government support, including within the National Congress. It reached mechanisms for the production of laws, decrees and regulations, promoted the scrapping of inspection bodies and the execution of public policies. The anti-agrarian reform groups occupied the central government, starting to develop strategies to dismantle this public policy, with very serious repercussions in environmental policy, in the demarcation of indigenous lands, in the titling of quilombos and in the actions of agrarian reform. Right after the coup, we recorded two sad records: the number of deaths in the countryside and the number of conflicts over land.</w:t>
      </w:r>
    </w:p>
    <w:p w14:paraId="2E7E047C" w14:textId="77777777" w:rsidR="00995877" w:rsidRDefault="00995877" w:rsidP="00995877">
      <w:pPr>
        <w:shd w:val="clear" w:color="auto" w:fill="FFFFFF"/>
        <w:spacing w:line="240" w:lineRule="auto"/>
        <w:ind w:firstLine="720"/>
        <w:jc w:val="both"/>
        <w:rPr>
          <w:rFonts w:asciiTheme="majorHAnsi" w:eastAsia="Times New Roman" w:hAnsiTheme="majorHAnsi" w:cstheme="majorHAnsi"/>
          <w:b/>
          <w:sz w:val="24"/>
          <w:szCs w:val="24"/>
        </w:rPr>
      </w:pPr>
      <w:bookmarkStart w:id="1" w:name="_2et92p0" w:colFirst="0" w:colLast="0"/>
      <w:bookmarkEnd w:id="1"/>
    </w:p>
    <w:p w14:paraId="337EC7C3" w14:textId="77777777" w:rsidR="00C06D51" w:rsidRPr="00C06D51" w:rsidRDefault="00C06D51" w:rsidP="00995877">
      <w:pPr>
        <w:shd w:val="clear" w:color="auto" w:fill="FFFFFF"/>
        <w:spacing w:line="240" w:lineRule="auto"/>
        <w:ind w:firstLine="720"/>
        <w:jc w:val="both"/>
        <w:rPr>
          <w:rFonts w:asciiTheme="majorHAnsi" w:eastAsia="Times New Roman" w:hAnsiTheme="majorHAnsi" w:cstheme="majorHAnsi"/>
          <w:b/>
          <w:sz w:val="24"/>
          <w:szCs w:val="24"/>
        </w:rPr>
      </w:pPr>
      <w:r w:rsidRPr="00C06D51">
        <w:rPr>
          <w:rFonts w:asciiTheme="majorHAnsi" w:eastAsia="Times New Roman" w:hAnsiTheme="majorHAnsi" w:cstheme="majorHAnsi"/>
          <w:b/>
          <w:sz w:val="24"/>
          <w:szCs w:val="24"/>
        </w:rPr>
        <w:t>2.1.1 Agrarian Reform</w:t>
      </w:r>
    </w:p>
    <w:p w14:paraId="21C25EF4" w14:textId="77777777" w:rsidR="00C06D51" w:rsidRPr="005276D6"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From 2015 to 2021, land concentration remained untouched, despite the large concentration of settlements created in the state of Maranhão since the early 1990s, a process completely paralyzed until 2022, with the end of the Bolsonaro government.</w:t>
      </w:r>
    </w:p>
    <w:p w14:paraId="38C18BAF" w14:textId="77777777" w:rsidR="00C06D51" w:rsidRPr="005276D6"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 xml:space="preserve">In 2019, from the point of view of agrarian reform policy, some indicators expressed the weakening of this public policy: suspension of administrative processes pending at INCRA; scrapping of the land organ; lack of resources to obtain land and technical assistance for agrarian reform; cuts in the land credit program, in resources for promoting education in the countryside and in the infrastructure of settlements, as well as in the food acquisition </w:t>
      </w:r>
      <w:r w:rsidRPr="005276D6">
        <w:rPr>
          <w:rFonts w:asciiTheme="majorHAnsi" w:eastAsia="Times New Roman" w:hAnsiTheme="majorHAnsi" w:cstheme="majorHAnsi"/>
          <w:sz w:val="24"/>
          <w:szCs w:val="24"/>
        </w:rPr>
        <w:lastRenderedPageBreak/>
        <w:t>program; and, the end of the National Agrarian Ombudsman. Since taking office, Bolsonaro has not signed any expropriation decree for land reform purposes.</w:t>
      </w:r>
    </w:p>
    <w:p w14:paraId="741898A1" w14:textId="77777777" w:rsidR="00995877" w:rsidRDefault="00995877" w:rsidP="00995877">
      <w:pPr>
        <w:shd w:val="clear" w:color="auto" w:fill="FFFFFF"/>
        <w:spacing w:line="240" w:lineRule="auto"/>
        <w:ind w:firstLine="720"/>
        <w:jc w:val="both"/>
        <w:rPr>
          <w:rFonts w:asciiTheme="majorHAnsi" w:eastAsia="Times New Roman" w:hAnsiTheme="majorHAnsi" w:cstheme="majorHAnsi"/>
          <w:b/>
          <w:sz w:val="24"/>
          <w:szCs w:val="24"/>
        </w:rPr>
      </w:pPr>
    </w:p>
    <w:p w14:paraId="6EA45371" w14:textId="77777777" w:rsidR="00C06D51" w:rsidRPr="00C06D51" w:rsidRDefault="00C06D51" w:rsidP="00995877">
      <w:pPr>
        <w:shd w:val="clear" w:color="auto" w:fill="FFFFFF"/>
        <w:spacing w:line="240" w:lineRule="auto"/>
        <w:ind w:firstLine="720"/>
        <w:jc w:val="both"/>
        <w:rPr>
          <w:rFonts w:asciiTheme="majorHAnsi" w:eastAsia="Times New Roman" w:hAnsiTheme="majorHAnsi" w:cstheme="majorHAnsi"/>
          <w:b/>
          <w:sz w:val="24"/>
          <w:szCs w:val="24"/>
        </w:rPr>
      </w:pPr>
      <w:r w:rsidRPr="00C06D51">
        <w:rPr>
          <w:rFonts w:asciiTheme="majorHAnsi" w:eastAsia="Times New Roman" w:hAnsiTheme="majorHAnsi" w:cstheme="majorHAnsi"/>
          <w:b/>
          <w:sz w:val="24"/>
          <w:szCs w:val="24"/>
        </w:rPr>
        <w:t>2.1.2. Certification and Title of Quilombos</w:t>
      </w:r>
    </w:p>
    <w:p w14:paraId="3122191A" w14:textId="77777777" w:rsidR="00C06D51" w:rsidRPr="005276D6"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According to INCRA, in 2015, in Brazil there were only 09 titled quilombola territories, none of them in Maranhão, even though it was the state with the largest number of titled territories, with 337 ongoing administrative processes pending.</w:t>
      </w:r>
    </w:p>
    <w:p w14:paraId="0429C873" w14:textId="77777777" w:rsidR="00C06D51" w:rsidRPr="005276D6"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According to data from the Palmares Cultural Foundation - FCP, in 2016, 171 Certifications were issued in Brazil, of which 53 in Maranhão, involving 59 Quilombo Remnant Communities. In addition to these, there were 49 open certification processes under technical analysis. In 2017, the number of certificates and certified quilombola communities in Maranhão decreased compared to 2016, which had 53 certificates involving 59 quilombola communities. In 2018, FCP certified the self-definition of 184 Quilombola Communities in Brazil, of which 47 in Maranhão, a higher number than in 2017, when 34 certificates were issued.</w:t>
      </w:r>
    </w:p>
    <w:p w14:paraId="51FB9AA0" w14:textId="77777777" w:rsidR="00C06D51" w:rsidRPr="00C06D51"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During the entire Bolsonaro government, only three quilombola territories were titled, and even partially, and 12 public notices of the Technical Report on Identification and Delimitation (RTID) were published by INCRA, one of the steps towards titling. The certification of territories in 2020 reached the lowest level since 2004. There were only 29 certifications by the FCP (number 58% lower than the previous year). Only one territory was titled in 2020: Quilombo Rio dos Macacos (BA), which disputed land with the Navy for more than 40 years.</w:t>
      </w:r>
    </w:p>
    <w:p w14:paraId="3C67C477" w14:textId="77777777" w:rsidR="00C06D51" w:rsidRPr="00C06D51"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In all, there are 816 quilombola communities certified by the Palmares Cultural Foundation in Maranhão. According to the Institute of Colonization and Lands of Maranhão - ITERMA, there are 65 quilombola communities titled by the State out of a total of 1,121, including those under the competence of INCRA. Maranhão is the state in the federation with the highest number of processes of this type filed with INCRA, with 399 processes in progress and only three partially titled.</w:t>
      </w:r>
    </w:p>
    <w:p w14:paraId="73E8E8FC" w14:textId="77777777" w:rsidR="00995877" w:rsidRDefault="00995877" w:rsidP="00995877">
      <w:pPr>
        <w:shd w:val="clear" w:color="auto" w:fill="FFFFFF"/>
        <w:spacing w:line="240" w:lineRule="auto"/>
        <w:ind w:firstLine="720"/>
        <w:jc w:val="both"/>
        <w:rPr>
          <w:rFonts w:asciiTheme="majorHAnsi" w:eastAsia="Times New Roman" w:hAnsiTheme="majorHAnsi" w:cstheme="majorHAnsi"/>
          <w:sz w:val="24"/>
          <w:szCs w:val="24"/>
        </w:rPr>
      </w:pPr>
    </w:p>
    <w:p w14:paraId="493F10FE" w14:textId="77777777" w:rsidR="00C06D51" w:rsidRPr="00C06D51"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2.2. State Government Actions</w:t>
      </w:r>
    </w:p>
    <w:p w14:paraId="137BCD72" w14:textId="77777777" w:rsidR="00C06D51" w:rsidRPr="00C06D51"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From 2015 to 2021, Maranhão saw a deepening of the so-called modernization of the countryside, which intensified the process of expelling peasants, translated by the handing over of public lands to large business groups, since the 1960s. rural poverty. There was continuity of the agro-export development project adopted since Sarney's victory over Vitorino Freire to the present day.</w:t>
      </w:r>
    </w:p>
    <w:p w14:paraId="0F855AD8" w14:textId="77777777" w:rsidR="00C06D51" w:rsidRDefault="00C06D51" w:rsidP="00995877">
      <w:pPr>
        <w:shd w:val="clear" w:color="auto" w:fill="FFFFFF"/>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 xml:space="preserve">In the period from 2015 to 2021, we consider that there were advances in the state's action in the face of violence in the countryside of Maranhão, but with actions to attend to situations of agrarian conflicts already installed, such as the creation of organs to mediate conflicts and protect people. field fighters. Within the scope of these actions are a) the creation of the Commission for the Prevention of Violence in the Countryside and in the City, in August 2015; b) the implementation of the Program for the Protection of Human Rights Defenders in 2016; c) the installation of the Agrarian Public Prosecutor's Office; d) the </w:t>
      </w:r>
      <w:r w:rsidRPr="00C06D51">
        <w:rPr>
          <w:rFonts w:asciiTheme="majorHAnsi" w:eastAsia="Times New Roman" w:hAnsiTheme="majorHAnsi" w:cstheme="majorHAnsi"/>
          <w:sz w:val="24"/>
          <w:szCs w:val="24"/>
        </w:rPr>
        <w:lastRenderedPageBreak/>
        <w:t>installation of the Agrarian Court; and, e) initiatives by the Court of Justice, within the scope of the Corregedoria Geral de Justiça, which reestablished the creation of the Nucleus for Rural and Urban Land Regularization, as well as the establishment of a partnership with INCRA aimed at the transparency of information regarding public areas and already demarcated throughout the State of Maranhão, in addition to the institution of the State Plan for the Prevention of Violence in the Countryside and in the City.</w:t>
      </w:r>
    </w:p>
    <w:p w14:paraId="09FACE70"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In general, these are important actions, but limited because they cannot affect the reduction of numbers and violent practices in the countryside of Maranhão. During this period, what was verified was the permanence of violent practices against those who assume the fights for the realization of human rights in the countryside. Without changing the dynamics and historical direction of the State's actions, the governmental public instances continued to give priority to the interests of the large economic groups and foreign capital, and thus, reproducing the conditions favorable to the practices of socio-environmental injustice.</w:t>
      </w:r>
    </w:p>
    <w:p w14:paraId="75CE5A7A"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We observe the need for more effective actions to deal with evictions in Maranhão, such as the creation and structuring of an Ombudsman for Land Conflicts, structuring of the Agrarian Police Station and the strengthening of bodies such as COECV and ITERMA, which need to hold a public tender, since that the effective staff is made up of a large number of employees who meet the requirements for retirement. In addition, the structuring and strengthening of Agrarian Prosecutions and the Agrarian Court and expansion of the Public Defender's Office in all Maranhão districts, not to mention the creation of a new legal culture focused on the realization of human rights in the countryside. It is fundamental to overcome the fragilities of the public security policy in the context of rural violence. Fragilities that are verified even before murders, when leaders try to make reports of threats and are often prevented, or even, when they succeed, cases are not properly investigated. There is a lack of technical expertise and other basic procedures that affect the investigation of the crime. Add to this the devaluation of the Agrarian Police Station which, in 2015, did not even have a titular delegate and, with the current structure, is also unable to deal with the demand related to land conflicts. And, fundamentally, structural and articulated policies are needed, such as land regularization and the end of impunity in the countryside.</w:t>
      </w:r>
    </w:p>
    <w:p w14:paraId="0871F894" w14:textId="77777777" w:rsid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The performance of the Brazilian State in the context of agrarian conflicts during the second year of the Covid-19 pandemic continued to be marked by the deliberate breach of its obligations to fulfill the human right to life and health of all Brazilians.</w:t>
      </w:r>
    </w:p>
    <w:p w14:paraId="1759FBCB"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In view of this scenario, several civil society movements and organizations continued to denounce the Brazilian State for violations of human rights, among them the Articulation for the Monitoring of Human Rights in Brazil (AMDH), which in 2021, denounced serious violations of the human rights to life. and health in the country committed by the Brazilian State, as well as the Bolsonaro government, by action and omission, during the confrontation of the Covid-19 pandemic.</w:t>
      </w:r>
    </w:p>
    <w:p w14:paraId="721D4CCC" w14:textId="77777777" w:rsid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 xml:space="preserve">Traditional Peoples and Communities throughout Brazil have had their basic human rights impacted, as in the cases recorded by AMDH in the document "Violations of human rights in Brazil: case reports in the context of Covid-19". Human rights organizations indicated </w:t>
      </w:r>
      <w:r w:rsidRPr="00C06D51">
        <w:rPr>
          <w:rFonts w:asciiTheme="majorHAnsi" w:eastAsia="Times New Roman" w:hAnsiTheme="majorHAnsi" w:cstheme="majorHAnsi"/>
          <w:sz w:val="24"/>
          <w:szCs w:val="24"/>
        </w:rPr>
        <w:lastRenderedPageBreak/>
        <w:t>seventeen (17) cases in which the deepening of violence by public and private agents against some of the most vulnerable groups in the country was identified. Eleven (11) of the seventeen cases denounced involved traditional peoples and communities - seven (07) involved indigenous people, one of which in Maranhão territory and four (04) referred to quilombolas, artisanal fishermen and extractivists. In all cases a common mark - the failure to adopt necessary measures to protect the right to life and health, such as access to food, water, shelter, medical care and sanitation, effective emergency health services. At the same time, traditional peoples and communities suffer invasions in their territories, combined with the omission or deliberate action of the Brazilian State to deepen violence in articulation with the forces of agribusiness, mining, so-called clean energy sources.</w:t>
      </w:r>
    </w:p>
    <w:p w14:paraId="691814D5"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Traditional peoples and communities are also experiencing another extremely serious reality in the context of the second year of the COVID-19 pandemic: many of them had preliminary eviction decisions determined in court proceedings awaiting compliance. In this scenario, on April 14, 2021, the Claim of Non-compliance with a Fundamental Precept (ADPF) 828 is proposed by the Socialism and Freedom Party - PSOL, together with various movements and civil society organizations that aimed to suspend the issuance of judicial measures, administrative or extrajudicial measures of removal and/or eviction, repossession or eviction while the effects of the COVID-19 health crisis on the Brazilian population last.</w:t>
      </w:r>
    </w:p>
    <w:p w14:paraId="5BE430C7"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Still in force of the decree of public calamity, approved by the National Congress on March 20, 2020, the Federal Supreme Court (STF) decided, outright, in June/2021, to suspend for six months, until 12/3/21, orders or eviction measures within the scope of the Argument of Non-compliance with a Fundamental Precept (ADPF) 828 (proposed on April 14, 2021, at the request of the Socialism and Freedom Party (PSOL) and other civil society entities). Still within the scope of the ADPF, a new suspension took place on December 1, 2021. Minister Barroso responded to the request of the Socialism and Freedom Party - PSOL together with various civil society movements and organizations, decided to extend until March 31, 2022 the rules that suspended evictions and evictions due to the Covid-19 pandemic and established that the measure was valid for properties in both urban and rural areas. and other entities went back to the Supreme Court, asking that the rules be valid for another year and requesting other measures. The minister partially granted the injunction: he maintained the suspension of evictions in urban and rural areas until October 31, 2022.</w:t>
      </w:r>
    </w:p>
    <w:p w14:paraId="5C3036BB" w14:textId="77777777" w:rsid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It is also important to register Bill (PL) 827/2020, which established exceptional measures due to the Public Health Emergency of National Importance (Espin) resulting from human infection with the SARS-CoV-2 coronavirus, to suspend compliance with a judicial measure , extrajudicial or administrative that results in collective eviction or forced removal in private or public, urban or rural property, and the granting of an injunction in eviction action referred to in Law No. 8,245, of October 18, 1991, and to encourage the conclusion of agreements in tenant relations. This PL (827/2020) resulted in Law 14.216 of October 7, 2021, approved by the National Congress, which suspended removal and eviction orders until December 31, 2021, only for urban properties.</w:t>
      </w:r>
    </w:p>
    <w:p w14:paraId="40B0881D"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 xml:space="preserve">In a context of progressive weakening of land reform policies, producing environments favorable to violence in the countryside, civil society movements and organizations have </w:t>
      </w:r>
      <w:r w:rsidRPr="00C06D51">
        <w:rPr>
          <w:rFonts w:asciiTheme="majorHAnsi" w:eastAsia="Times New Roman" w:hAnsiTheme="majorHAnsi" w:cstheme="majorHAnsi"/>
          <w:sz w:val="24"/>
          <w:szCs w:val="24"/>
        </w:rPr>
        <w:lastRenderedPageBreak/>
        <w:t>already mobilized even before 2021 around important actions of legal incidence, such as Public Civil Action No. 5005594-05.2017. 4.04.71 which resulted (in 2022) in the obligation of the Union to adopt necessary measures for the elaboration of a National Plan for the Protection of Human Rights Defenders and the Direct Action of Unconstitutionality 7.052 Federal District in which the National Confederation of Rural Workers and Family Farmers (CONTAG) is the author and that in December 2021 the State of Roraima, State of Amapá, Pastoral Land Commission (CPT), Maranhense Society of Human Rights (SMDH) and Strategic Action Group of State and District Public Defenders in the Superior Courts (GAETS) plead in the Federal Supreme Court (STF), requests for admission, as amici curiae (which the STF granted in May 2022). In this condition, they challenge the allocation of public lands from the Union to the states of Roraima, Amapá and Rondônia for intentions that do not comply with the Federal Constitution, or that cause impacts to the peoples and communities of the countryside .</w:t>
      </w:r>
    </w:p>
    <w:p w14:paraId="4F6294C1" w14:textId="77777777" w:rsidR="00C06D51" w:rsidRP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It is also important to note the mobilization carried out by movements, civil society organizations and researchers around the National Campaign Against Land Grabbing in Brazil articulated by SMDH in February 2021 throughout the year. Incidences with the National Congress against PL 2633/2020, and proposals for state laws, as well as debates on the subject of land grabbing in academic spaces and with other organizations and society in general were some of its actions developed.</w:t>
      </w:r>
    </w:p>
    <w:p w14:paraId="13F19040" w14:textId="77777777" w:rsidR="00C06D51" w:rsidRDefault="00C06D51" w:rsidP="00995877">
      <w:pPr>
        <w:spacing w:line="240" w:lineRule="auto"/>
        <w:ind w:firstLine="720"/>
        <w:jc w:val="both"/>
        <w:rPr>
          <w:rFonts w:asciiTheme="majorHAnsi" w:eastAsia="Times New Roman" w:hAnsiTheme="majorHAnsi" w:cstheme="majorHAnsi"/>
          <w:sz w:val="24"/>
          <w:szCs w:val="24"/>
        </w:rPr>
      </w:pPr>
      <w:r w:rsidRPr="00C06D51">
        <w:rPr>
          <w:rFonts w:asciiTheme="majorHAnsi" w:eastAsia="Times New Roman" w:hAnsiTheme="majorHAnsi" w:cstheme="majorHAnsi"/>
          <w:sz w:val="24"/>
          <w:szCs w:val="24"/>
        </w:rPr>
        <w:t>In Maranhão, the State Public Defender's Office, the Maranhense Society of Human Rights (SMDH) and FETAEMA sued the State of Maranhão, and in this context, proposed a judicial agreement for it to undertake to institutionalize the right of prior consultation, free and informed in the manner established by Convention 169 of the International Labor Organization (ILO) in all its administrative or executive/legal actions that affect the life of traditional peoples and communities. It is important to note that although the State of Maranhão ratified the Agreement in 2022, it has systematically failed to comply with the duty to guarantee Free, Prior and Informed Consultation to Traditional Peoples and Communities affected by environmental licensing.</w:t>
      </w:r>
    </w:p>
    <w:p w14:paraId="35379C73" w14:textId="77777777" w:rsidR="00DF79DD" w:rsidRPr="00DF79DD" w:rsidRDefault="00DF79DD" w:rsidP="00995877">
      <w:pPr>
        <w:spacing w:line="240" w:lineRule="auto"/>
        <w:ind w:firstLine="720"/>
        <w:jc w:val="both"/>
        <w:rPr>
          <w:rFonts w:asciiTheme="majorHAnsi" w:eastAsia="Times New Roman" w:hAnsiTheme="majorHAnsi" w:cstheme="majorHAnsi"/>
          <w:sz w:val="24"/>
          <w:szCs w:val="24"/>
        </w:rPr>
      </w:pPr>
      <w:r w:rsidRPr="00DF79DD">
        <w:rPr>
          <w:rFonts w:asciiTheme="majorHAnsi" w:eastAsia="Times New Roman" w:hAnsiTheme="majorHAnsi" w:cstheme="majorHAnsi"/>
          <w:sz w:val="24"/>
          <w:szCs w:val="24"/>
        </w:rPr>
        <w:t>These and other actions provoked by civil society movements and organizations were (and are) fundamental in view of the actions and omissions of the Federal and State Governments in the context of rural violence in 2021, as we will see below.</w:t>
      </w:r>
    </w:p>
    <w:p w14:paraId="3179C045" w14:textId="77777777" w:rsidR="00DF79DD" w:rsidRPr="00DF79DD" w:rsidRDefault="00DF79DD" w:rsidP="00995877">
      <w:pPr>
        <w:spacing w:line="240" w:lineRule="auto"/>
        <w:ind w:firstLine="720"/>
        <w:jc w:val="both"/>
        <w:rPr>
          <w:rFonts w:asciiTheme="majorHAnsi" w:eastAsia="Times New Roman" w:hAnsiTheme="majorHAnsi" w:cstheme="majorHAnsi"/>
          <w:sz w:val="24"/>
          <w:szCs w:val="24"/>
        </w:rPr>
      </w:pPr>
      <w:r w:rsidRPr="00DF79DD">
        <w:rPr>
          <w:rFonts w:asciiTheme="majorHAnsi" w:eastAsia="Times New Roman" w:hAnsiTheme="majorHAnsi" w:cstheme="majorHAnsi"/>
          <w:sz w:val="24"/>
          <w:szCs w:val="24"/>
        </w:rPr>
        <w:t>In 2021, the President of the Republic, in a deliberate action to promote violence in the countryside, presented a total veto to PL 827/2020, which the National Congress rejected and thus became effective in prohibiting eviction or vacating properties until the end of 2021 due to the coronavirus pandemic.</w:t>
      </w:r>
    </w:p>
    <w:p w14:paraId="26D1DE66" w14:textId="77777777" w:rsidR="00DF79DD" w:rsidRPr="00DF79DD" w:rsidRDefault="00DF79DD" w:rsidP="00995877">
      <w:pPr>
        <w:spacing w:line="240" w:lineRule="auto"/>
        <w:ind w:firstLine="720"/>
        <w:jc w:val="both"/>
        <w:rPr>
          <w:rFonts w:asciiTheme="majorHAnsi" w:eastAsia="Times New Roman" w:hAnsiTheme="majorHAnsi" w:cstheme="majorHAnsi"/>
          <w:sz w:val="24"/>
          <w:szCs w:val="24"/>
        </w:rPr>
      </w:pPr>
      <w:r w:rsidRPr="00DF79DD">
        <w:rPr>
          <w:rFonts w:asciiTheme="majorHAnsi" w:eastAsia="Times New Roman" w:hAnsiTheme="majorHAnsi" w:cstheme="majorHAnsi"/>
          <w:sz w:val="24"/>
          <w:szCs w:val="24"/>
        </w:rPr>
        <w:t xml:space="preserve">Presidential decrees directed the action of the Federal Executive towards the promotion of the interests of private agents that promote violence in the countryside, such as, a) those published on February 12, 2021 - 10,627 , 10,628 , 10,629 , 10,630 that regulate the Disarmament Statute (Law 10,826, of 2003), whose main purpose is to make rules more flexible and expand access to firearms; b) Decree No. 10,833, of October 7, 2021, which "provides for research, experimentation, production, packaging and labeling, transport, storage, marketing, commercial advertising, use, import, export, final destination of waste </w:t>
      </w:r>
      <w:r w:rsidRPr="00DF79DD">
        <w:rPr>
          <w:rFonts w:asciiTheme="majorHAnsi" w:eastAsia="Times New Roman" w:hAnsiTheme="majorHAnsi" w:cstheme="majorHAnsi"/>
          <w:sz w:val="24"/>
          <w:szCs w:val="24"/>
        </w:rPr>
        <w:lastRenderedPageBreak/>
        <w:t>and packaging, registration, classification, control, inspection and inspection of pesticides, their components and the like".</w:t>
      </w:r>
    </w:p>
    <w:p w14:paraId="5C4DC5E5" w14:textId="77777777" w:rsidR="00736504" w:rsidRPr="009F0D98" w:rsidRDefault="00DF79DD" w:rsidP="00995877">
      <w:pPr>
        <w:spacing w:line="240" w:lineRule="auto"/>
        <w:ind w:firstLine="720"/>
        <w:jc w:val="both"/>
        <w:rPr>
          <w:rFonts w:asciiTheme="majorHAnsi" w:eastAsia="Times New Roman" w:hAnsiTheme="majorHAnsi" w:cstheme="majorHAnsi"/>
          <w:sz w:val="24"/>
          <w:szCs w:val="24"/>
        </w:rPr>
      </w:pPr>
      <w:r w:rsidRPr="00DF79DD">
        <w:rPr>
          <w:rFonts w:asciiTheme="majorHAnsi" w:eastAsia="Times New Roman" w:hAnsiTheme="majorHAnsi" w:cstheme="majorHAnsi"/>
          <w:sz w:val="24"/>
          <w:szCs w:val="24"/>
        </w:rPr>
        <w:t>In addition to these presidential decrees, others were identified, such as Decree No. 10,815, of September 27, 2021, which "Amends Decree No. 9,937, of July 24, 2019, which establishes the Program for the Protection of Human Rights Defenders, Communicators and Environmentalists and the Deliberative Council of the Program for the Protection of Human Rights Defenders, Communicators and Environmentalists" and Presidential Decree No. 10,723 of June 15, 2021, which declares the rural properties covered to be of social interest, for purposes of expropriation by the quilombola territory Pedro Cubas, located in the Municipality of Eldorado, State of São Paulo</w:t>
      </w:r>
      <w:r w:rsidR="006B48D8" w:rsidRPr="009F0D98">
        <w:rPr>
          <w:rFonts w:asciiTheme="majorHAnsi" w:eastAsia="Times New Roman" w:hAnsiTheme="majorHAnsi" w:cstheme="majorHAnsi"/>
          <w:sz w:val="24"/>
          <w:szCs w:val="24"/>
          <w:vertAlign w:val="superscript"/>
        </w:rPr>
        <w:footnoteReference w:id="2"/>
      </w:r>
      <w:r w:rsidR="006B48D8" w:rsidRPr="009F0D98">
        <w:rPr>
          <w:rFonts w:asciiTheme="majorHAnsi" w:eastAsia="Times New Roman" w:hAnsiTheme="majorHAnsi" w:cstheme="majorHAnsi"/>
          <w:sz w:val="24"/>
          <w:szCs w:val="24"/>
        </w:rPr>
        <w:t>.</w:t>
      </w:r>
    </w:p>
    <w:p w14:paraId="2EADD00A" w14:textId="77777777" w:rsidR="00DF79DD" w:rsidRPr="00DF79DD" w:rsidRDefault="00DF79DD" w:rsidP="00995877">
      <w:pPr>
        <w:spacing w:line="240" w:lineRule="auto"/>
        <w:ind w:firstLine="720"/>
        <w:jc w:val="both"/>
        <w:rPr>
          <w:rFonts w:asciiTheme="majorHAnsi" w:eastAsia="Times New Roman" w:hAnsiTheme="majorHAnsi" w:cstheme="majorHAnsi"/>
          <w:sz w:val="24"/>
          <w:szCs w:val="24"/>
        </w:rPr>
      </w:pPr>
      <w:r w:rsidRPr="00DF79DD">
        <w:rPr>
          <w:rFonts w:asciiTheme="majorHAnsi" w:eastAsia="Times New Roman" w:hAnsiTheme="majorHAnsi" w:cstheme="majorHAnsi"/>
          <w:sz w:val="24"/>
          <w:szCs w:val="24"/>
        </w:rPr>
        <w:t>As for the State Government of Maranhão, in 2021, initiatives were verified that still do not produce a significant change in the situation of violence involving peoples and traditional communities from Maranhão, as we will see below.</w:t>
      </w:r>
    </w:p>
    <w:p w14:paraId="5D12CE0C" w14:textId="77777777" w:rsidR="00DF79DD" w:rsidRPr="00DF79DD" w:rsidRDefault="00DF79DD" w:rsidP="00995877">
      <w:pPr>
        <w:spacing w:line="240" w:lineRule="auto"/>
        <w:ind w:firstLine="720"/>
        <w:jc w:val="both"/>
        <w:rPr>
          <w:rFonts w:asciiTheme="majorHAnsi" w:eastAsia="Times New Roman" w:hAnsiTheme="majorHAnsi" w:cstheme="majorHAnsi"/>
          <w:sz w:val="24"/>
          <w:szCs w:val="24"/>
        </w:rPr>
      </w:pPr>
      <w:r w:rsidRPr="00DF79DD">
        <w:rPr>
          <w:rFonts w:asciiTheme="majorHAnsi" w:eastAsia="Times New Roman" w:hAnsiTheme="majorHAnsi" w:cstheme="majorHAnsi"/>
          <w:sz w:val="24"/>
          <w:szCs w:val="24"/>
        </w:rPr>
        <w:t xml:space="preserve">  In the State Gazette of Maranhão, 64 public notices were identified establishing administrative procedures aimed at land tenure regularization of real estate for individuals, 59 public notices establishing administrative procedures for Summary Collection of plots of land and 62 ordinances of Summary Collection of property.</w:t>
      </w:r>
    </w:p>
    <w:p w14:paraId="357787F7" w14:textId="77777777" w:rsidR="005276D6" w:rsidRPr="005276D6" w:rsidRDefault="00DF79DD" w:rsidP="00995877">
      <w:pPr>
        <w:spacing w:line="240" w:lineRule="auto"/>
        <w:ind w:firstLine="720"/>
        <w:jc w:val="both"/>
        <w:rPr>
          <w:rFonts w:asciiTheme="majorHAnsi" w:eastAsia="Times New Roman" w:hAnsiTheme="majorHAnsi" w:cstheme="majorHAnsi"/>
          <w:sz w:val="20"/>
          <w:szCs w:val="20"/>
        </w:rPr>
      </w:pPr>
      <w:r w:rsidRPr="00DF79DD">
        <w:rPr>
          <w:rFonts w:asciiTheme="majorHAnsi" w:eastAsia="Times New Roman" w:hAnsiTheme="majorHAnsi" w:cstheme="majorHAnsi"/>
          <w:sz w:val="24"/>
          <w:szCs w:val="24"/>
        </w:rPr>
        <w:t>In addition to these initiatives identified within the scope of ITERMA's activities, Decree No. 36889 of July 27, 2021 was verified, which "establishes guidelines for the issuance of environmental licenses and authorizations and for the registration of properties in the Rural Environmental Registry (CAR) , and makes other arrangements".</w:t>
      </w:r>
    </w:p>
    <w:p w14:paraId="45A7CDE5" w14:textId="77777777" w:rsidR="005276D6" w:rsidRDefault="005276D6" w:rsidP="00995877">
      <w:pPr>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Acting in a complementary manner to the agrarian reform policy, the National Land Credit Program in Maranhão, in 2021, contracted and paid for thirteen (13) properties, three (03) in Tuntum, one (01) in Lago do Junco, one ( 01) in Codó, one (01) in Lago da Pedra, two (02) in Lago dos Rodrigues, one (01) in Bacuri, one (01) in Vargem Grande, one (01) in Cururupu and two (02) in Santo Antônio dos Lopes; only one (01) property was contracted - one (01) in Tuntum. All properties were contracted in 2020/2021 and total a value of R$41,525,016.72, an area of 9,259.6393 ha and 440 beneficiaries.</w:t>
      </w:r>
    </w:p>
    <w:p w14:paraId="5192A8C0" w14:textId="77777777" w:rsidR="00995877" w:rsidRPr="005276D6" w:rsidRDefault="00995877" w:rsidP="00995877">
      <w:pPr>
        <w:spacing w:line="240" w:lineRule="auto"/>
        <w:ind w:firstLine="720"/>
        <w:jc w:val="both"/>
        <w:rPr>
          <w:rFonts w:asciiTheme="majorHAnsi" w:eastAsia="Times New Roman" w:hAnsiTheme="majorHAnsi" w:cstheme="majorHAnsi"/>
          <w:sz w:val="24"/>
          <w:szCs w:val="24"/>
        </w:rPr>
      </w:pPr>
    </w:p>
    <w:p w14:paraId="0260B06F" w14:textId="77777777" w:rsidR="005276D6" w:rsidRPr="005276D6" w:rsidRDefault="005276D6" w:rsidP="00995877">
      <w:pPr>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Some advances and challenges</w:t>
      </w:r>
    </w:p>
    <w:p w14:paraId="525D4E44" w14:textId="77777777" w:rsidR="00995877" w:rsidRDefault="00995877" w:rsidP="00995877">
      <w:pPr>
        <w:spacing w:line="240" w:lineRule="auto"/>
        <w:ind w:firstLine="720"/>
        <w:jc w:val="both"/>
        <w:rPr>
          <w:rFonts w:asciiTheme="majorHAnsi" w:eastAsia="Times New Roman" w:hAnsiTheme="majorHAnsi" w:cstheme="majorHAnsi"/>
          <w:sz w:val="24"/>
          <w:szCs w:val="24"/>
        </w:rPr>
      </w:pPr>
    </w:p>
    <w:p w14:paraId="60906C88" w14:textId="77777777" w:rsidR="00736504" w:rsidRPr="009F0D98" w:rsidRDefault="005276D6" w:rsidP="00995877">
      <w:pPr>
        <w:spacing w:line="240" w:lineRule="auto"/>
        <w:ind w:firstLine="720"/>
        <w:jc w:val="both"/>
        <w:rPr>
          <w:rFonts w:asciiTheme="majorHAnsi" w:eastAsia="Times New Roman" w:hAnsiTheme="majorHAnsi" w:cstheme="majorHAnsi"/>
          <w:sz w:val="24"/>
          <w:szCs w:val="24"/>
        </w:rPr>
      </w:pPr>
      <w:r w:rsidRPr="005276D6">
        <w:rPr>
          <w:rFonts w:asciiTheme="majorHAnsi" w:eastAsia="Times New Roman" w:hAnsiTheme="majorHAnsi" w:cstheme="majorHAnsi"/>
          <w:sz w:val="24"/>
          <w:szCs w:val="24"/>
        </w:rPr>
        <w:t>Faced with the scenario of deepening violence in the countryside, serious violations of the rights to life and health, in addition to the advance of conservative forces over traditional territories in the context of the Covid-19 pandemic, we evaluate as fundamental actions to guarantee life in the countryside in 2021, the decisions of the STF regarding the suspension of eviction actions, the incidences made by social movements and civil society organizations within the scope of the justice system and parliament. Finally, it is fundamental for the Brazilian State to advance in public policies for agrarian reform and recognition of ethnic territories. Only then will it effectively fulfill its legal obligation to protect the peoples of the land, waters and forests.</w:t>
      </w:r>
    </w:p>
    <w:p w14:paraId="1FA0887B" w14:textId="77777777" w:rsidR="005276D6" w:rsidRPr="005276D6" w:rsidRDefault="005276D6" w:rsidP="00995877">
      <w:pPr>
        <w:pStyle w:val="NormalWeb"/>
        <w:spacing w:before="0" w:beforeAutospacing="0" w:after="0" w:afterAutospacing="0"/>
        <w:ind w:firstLine="720"/>
        <w:jc w:val="both"/>
        <w:rPr>
          <w:rFonts w:asciiTheme="majorHAnsi" w:hAnsiTheme="majorHAnsi" w:cstheme="majorHAnsi"/>
        </w:rPr>
      </w:pPr>
      <w:r w:rsidRPr="005276D6">
        <w:rPr>
          <w:rFonts w:asciiTheme="majorHAnsi" w:hAnsiTheme="majorHAnsi" w:cstheme="majorHAnsi"/>
        </w:rPr>
        <w:lastRenderedPageBreak/>
        <w:t>We hope to have contributed to the evaluation of Brazil and in particular the state of Maranhão in the revision of the Convention on Economic Social and Cultural Rights</w:t>
      </w:r>
    </w:p>
    <w:p w14:paraId="6CA09FD0" w14:textId="77777777" w:rsidR="005276D6" w:rsidRPr="005276D6" w:rsidRDefault="005276D6" w:rsidP="00995877">
      <w:pPr>
        <w:pStyle w:val="NormalWeb"/>
        <w:spacing w:before="0" w:beforeAutospacing="0" w:after="0" w:afterAutospacing="0"/>
        <w:ind w:firstLine="720"/>
        <w:jc w:val="both"/>
        <w:rPr>
          <w:rFonts w:asciiTheme="majorHAnsi" w:hAnsiTheme="majorHAnsi" w:cstheme="majorHAnsi"/>
        </w:rPr>
      </w:pPr>
    </w:p>
    <w:p w14:paraId="691FD330" w14:textId="77777777" w:rsidR="005276D6" w:rsidRPr="005276D6" w:rsidRDefault="005276D6" w:rsidP="00995877">
      <w:pPr>
        <w:pStyle w:val="NormalWeb"/>
        <w:spacing w:before="0" w:beforeAutospacing="0" w:after="0" w:afterAutospacing="0"/>
        <w:ind w:firstLine="720"/>
        <w:jc w:val="both"/>
        <w:rPr>
          <w:rFonts w:asciiTheme="majorHAnsi" w:hAnsiTheme="majorHAnsi" w:cstheme="majorHAnsi"/>
        </w:rPr>
      </w:pPr>
      <w:r w:rsidRPr="005276D6">
        <w:rPr>
          <w:rFonts w:asciiTheme="majorHAnsi" w:hAnsiTheme="majorHAnsi" w:cstheme="majorHAnsi"/>
        </w:rPr>
        <w:t>Yours sincerely,</w:t>
      </w:r>
    </w:p>
    <w:p w14:paraId="04F5D68C" w14:textId="77777777" w:rsidR="005276D6" w:rsidRPr="005276D6" w:rsidRDefault="005276D6" w:rsidP="00995877">
      <w:pPr>
        <w:pStyle w:val="NormalWeb"/>
        <w:spacing w:before="0" w:beforeAutospacing="0" w:after="0" w:afterAutospacing="0"/>
        <w:ind w:firstLine="720"/>
        <w:jc w:val="both"/>
        <w:rPr>
          <w:rFonts w:asciiTheme="majorHAnsi" w:hAnsiTheme="majorHAnsi" w:cstheme="majorHAnsi"/>
        </w:rPr>
      </w:pPr>
    </w:p>
    <w:p w14:paraId="663460DE" w14:textId="77777777" w:rsidR="005276D6" w:rsidRDefault="005276D6" w:rsidP="00995877">
      <w:pPr>
        <w:pStyle w:val="NormalWeb"/>
        <w:spacing w:before="0" w:beforeAutospacing="0" w:after="0" w:afterAutospacing="0"/>
        <w:ind w:firstLine="720"/>
        <w:jc w:val="center"/>
        <w:rPr>
          <w:rFonts w:asciiTheme="majorHAnsi" w:hAnsiTheme="majorHAnsi" w:cstheme="majorHAnsi"/>
        </w:rPr>
      </w:pPr>
      <w:r>
        <w:rPr>
          <w:rFonts w:asciiTheme="majorHAnsi" w:hAnsiTheme="majorHAnsi" w:cstheme="majorHAnsi"/>
        </w:rPr>
        <w:t>Sociedade Maranhense de Direitos Humanos</w:t>
      </w:r>
    </w:p>
    <w:p w14:paraId="027524B4" w14:textId="77777777" w:rsidR="005276D6" w:rsidRPr="005276D6" w:rsidRDefault="005276D6" w:rsidP="00995877">
      <w:pPr>
        <w:pStyle w:val="NormalWeb"/>
        <w:spacing w:before="0" w:beforeAutospacing="0" w:after="0" w:afterAutospacing="0"/>
        <w:ind w:firstLine="720"/>
        <w:jc w:val="center"/>
        <w:rPr>
          <w:rFonts w:asciiTheme="majorHAnsi" w:hAnsiTheme="majorHAnsi" w:cstheme="majorHAnsi"/>
        </w:rPr>
      </w:pPr>
      <w:r w:rsidRPr="005276D6">
        <w:rPr>
          <w:rFonts w:asciiTheme="majorHAnsi" w:hAnsiTheme="majorHAnsi" w:cstheme="majorHAnsi"/>
        </w:rPr>
        <w:t>Maranhão Society of Human Rights</w:t>
      </w:r>
    </w:p>
    <w:p w14:paraId="630DD120" w14:textId="77777777" w:rsidR="00E058CC" w:rsidRPr="009F0D98" w:rsidRDefault="00E058CC" w:rsidP="00995877">
      <w:pPr>
        <w:pStyle w:val="NormalWeb"/>
        <w:spacing w:before="0" w:beforeAutospacing="0" w:after="0" w:afterAutospacing="0"/>
        <w:ind w:firstLine="720"/>
        <w:jc w:val="both"/>
        <w:rPr>
          <w:rFonts w:asciiTheme="majorHAnsi" w:hAnsiTheme="majorHAnsi" w:cstheme="majorHAnsi"/>
        </w:rPr>
      </w:pPr>
    </w:p>
    <w:sectPr w:rsidR="00E058CC" w:rsidRPr="009F0D98" w:rsidSect="009F0D98">
      <w:headerReference w:type="default" r:id="rId8"/>
      <w:footerReference w:type="default" r:id="rId9"/>
      <w:pgSz w:w="11909" w:h="16834"/>
      <w:pgMar w:top="1440" w:right="1440" w:bottom="1985"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0B9CC" w14:textId="77777777" w:rsidR="007E56D8" w:rsidRDefault="006B48D8">
      <w:pPr>
        <w:spacing w:line="240" w:lineRule="auto"/>
      </w:pPr>
      <w:r>
        <w:separator/>
      </w:r>
    </w:p>
  </w:endnote>
  <w:endnote w:type="continuationSeparator" w:id="0">
    <w:p w14:paraId="59743DE3" w14:textId="77777777" w:rsidR="007E56D8" w:rsidRDefault="006B48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2A636" w14:textId="77777777" w:rsidR="009F0D98" w:rsidRDefault="009F0D98" w:rsidP="009F0D98">
    <w:pPr>
      <w:pStyle w:val="Footer"/>
      <w:jc w:val="center"/>
    </w:pPr>
    <w:r>
      <w:rPr>
        <w:rFonts w:ascii="Calibri" w:hAnsi="Calibri" w:cs="Calibri"/>
        <w:color w:val="222222"/>
        <w:sz w:val="16"/>
        <w:shd w:val="clear" w:color="auto" w:fill="FFFFFF"/>
      </w:rPr>
      <w:t xml:space="preserve">Rua do Desenho, quadra 10, casa 29, Cohafuma– CEP: 65071-000 – São Luís/MA – Telefax: (98) 3231 1897 / 3231 1601 </w:t>
    </w:r>
  </w:p>
  <w:p w14:paraId="50DF3830" w14:textId="77777777" w:rsidR="009F0D98" w:rsidRDefault="009F0D98" w:rsidP="009F0D98">
    <w:pPr>
      <w:pStyle w:val="Footer"/>
      <w:jc w:val="center"/>
    </w:pPr>
    <w:r>
      <w:rPr>
        <w:rFonts w:ascii="Calibri" w:hAnsi="Calibri" w:cs="Calibri"/>
        <w:color w:val="222222"/>
        <w:sz w:val="16"/>
        <w:shd w:val="clear" w:color="auto" w:fill="FFFFFF"/>
      </w:rPr>
      <w:t>Endereços eletrônicos:</w:t>
    </w:r>
    <w:r>
      <w:rPr>
        <w:rFonts w:ascii="Calibri" w:hAnsi="Calibri" w:cs="Calibri"/>
        <w:sz w:val="16"/>
      </w:rPr>
      <w:t xml:space="preserve"> smdhvida1979@gmail.com site: </w:t>
    </w:r>
    <w:hyperlink r:id="rId1" w:history="1">
      <w:r>
        <w:rPr>
          <w:rStyle w:val="Hyperlink"/>
          <w:rFonts w:ascii="Calibri" w:hAnsi="Calibri" w:cs="Calibri"/>
          <w:sz w:val="16"/>
        </w:rPr>
        <w:t>www.smdh.org.br</w:t>
      </w:r>
    </w:hyperlink>
    <w:r>
      <w:rPr>
        <w:rFonts w:ascii="Calibri" w:hAnsi="Calibri" w:cs="Calibri"/>
        <w:sz w:val="16"/>
      </w:rPr>
      <w:t xml:space="preserve"> </w:t>
    </w:r>
  </w:p>
  <w:p w14:paraId="1E7B69B9" w14:textId="77777777" w:rsidR="009F0D98" w:rsidRDefault="009F0D98" w:rsidP="009F0D98">
    <w:pPr>
      <w:pStyle w:val="Footer"/>
      <w:jc w:val="center"/>
    </w:pPr>
    <w:r>
      <w:rPr>
        <w:rFonts w:ascii="Calibri" w:hAnsi="Calibri" w:cs="Calibri"/>
        <w:sz w:val="16"/>
      </w:rPr>
      <w:t>Avenida W5, SGAN 914, Conjunto F, Aldeias Infantis, Casa 02, CEP 70.790- 140 – Brasília/DF</w:t>
    </w:r>
  </w:p>
  <w:p w14:paraId="7F93A157" w14:textId="77777777" w:rsidR="009F0D98" w:rsidRPr="009F0D98" w:rsidRDefault="009F0D98" w:rsidP="009F0D98">
    <w:pPr>
      <w:pStyle w:val="Footer"/>
      <w:jc w:val="center"/>
      <w:rPr>
        <w:rFonts w:ascii="Calibri" w:hAnsi="Calibri" w:cs="Calibri"/>
        <w:sz w:val="16"/>
      </w:rPr>
    </w:pPr>
    <w:r>
      <w:rPr>
        <w:rFonts w:ascii="Calibri" w:hAnsi="Calibri" w:cs="Calibri"/>
        <w:sz w:val="16"/>
      </w:rPr>
      <w:t>Fone Fax: (061)3272-8372/3273-4585 – e-mail: smdhvida1979@gmail.com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661DC" w14:textId="77777777" w:rsidR="007E56D8" w:rsidRDefault="006B48D8">
      <w:pPr>
        <w:spacing w:line="240" w:lineRule="auto"/>
      </w:pPr>
      <w:r>
        <w:separator/>
      </w:r>
    </w:p>
  </w:footnote>
  <w:footnote w:type="continuationSeparator" w:id="0">
    <w:p w14:paraId="6B2A3745" w14:textId="77777777" w:rsidR="007E56D8" w:rsidRDefault="006B48D8">
      <w:pPr>
        <w:spacing w:line="240" w:lineRule="auto"/>
      </w:pPr>
      <w:r>
        <w:continuationSeparator/>
      </w:r>
    </w:p>
  </w:footnote>
  <w:footnote w:id="1">
    <w:p w14:paraId="6AB147AA" w14:textId="77777777" w:rsidR="00DE2F96" w:rsidRDefault="00DE2F96" w:rsidP="00DE2F96">
      <w:pPr>
        <w:pStyle w:val="FootnoteText"/>
        <w:jc w:val="both"/>
        <w:rPr>
          <w:rFonts w:ascii="Times New Roman" w:hAnsi="Times New Roman" w:cs="Times New Roman"/>
        </w:rPr>
      </w:pPr>
      <w:r w:rsidRPr="00F40F1F">
        <w:rPr>
          <w:rStyle w:val="FootnoteReference"/>
          <w:rFonts w:asciiTheme="majorHAnsi" w:hAnsiTheme="majorHAnsi" w:cstheme="majorHAnsi"/>
        </w:rPr>
        <w:footnoteRef/>
      </w:r>
      <w:r w:rsidRPr="00F40F1F">
        <w:rPr>
          <w:rFonts w:asciiTheme="majorHAnsi" w:hAnsiTheme="majorHAnsi" w:cstheme="majorHAnsi"/>
        </w:rPr>
        <w:t xml:space="preserve"> </w:t>
      </w:r>
      <w:r w:rsidR="00F40F1F" w:rsidRPr="00F40F1F">
        <w:rPr>
          <w:rFonts w:asciiTheme="majorHAnsi" w:hAnsiTheme="majorHAnsi" w:cstheme="majorHAnsi"/>
        </w:rPr>
        <w:t xml:space="preserve">Data from the Brazilian Yearbook of Public Security produced by the Brazilian Forum of Public Security (2023). Available in: </w:t>
      </w:r>
      <w:r w:rsidRPr="00F40F1F">
        <w:rPr>
          <w:rFonts w:asciiTheme="majorHAnsi" w:hAnsiTheme="majorHAnsi" w:cstheme="majorHAnsi"/>
        </w:rPr>
        <w:t>h</w:t>
      </w:r>
      <w:r>
        <w:rPr>
          <w:rFonts w:ascii="Times New Roman" w:hAnsi="Times New Roman" w:cs="Times New Roman"/>
        </w:rPr>
        <w:t>ttps://forumseguranca.org.br/wp-content/uploads/2023/07/anuario-2023.pdf</w:t>
      </w:r>
    </w:p>
  </w:footnote>
  <w:footnote w:id="2">
    <w:p w14:paraId="2E1729FD" w14:textId="77777777" w:rsidR="00736504" w:rsidRDefault="006B48D8">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sz w:val="20"/>
          <w:szCs w:val="20"/>
        </w:rPr>
        <w:t>Ver em http://www.planalto.gov.br/ccivil_03/_ato2019-2022/2021/decreto/D10723.htm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5652E" w14:textId="77777777" w:rsidR="00DE2F96" w:rsidRPr="009F0D98" w:rsidRDefault="00DE2F96" w:rsidP="00DE2F96">
    <w:pPr>
      <w:tabs>
        <w:tab w:val="left" w:pos="2552"/>
        <w:tab w:val="left" w:pos="4395"/>
      </w:tabs>
      <w:ind w:left="1843"/>
      <w:jc w:val="center"/>
      <w:rPr>
        <w:rFonts w:asciiTheme="majorHAnsi" w:hAnsiTheme="majorHAnsi" w:cstheme="majorHAnsi"/>
        <w:b/>
        <w:sz w:val="30"/>
        <w:u w:val="single"/>
      </w:rPr>
    </w:pPr>
    <w:r w:rsidRPr="009F0D98">
      <w:rPr>
        <w:rFonts w:asciiTheme="majorHAnsi" w:hAnsiTheme="majorHAnsi" w:cstheme="majorHAnsi"/>
        <w:noProof/>
      </w:rPr>
      <w:drawing>
        <wp:anchor distT="0" distB="0" distL="114300" distR="114300" simplePos="0" relativeHeight="251659264" behindDoc="1" locked="0" layoutInCell="1" allowOverlap="1" wp14:anchorId="67C803D1" wp14:editId="7F47477B">
          <wp:simplePos x="0" y="0"/>
          <wp:positionH relativeFrom="column">
            <wp:posOffset>21590</wp:posOffset>
          </wp:positionH>
          <wp:positionV relativeFrom="paragraph">
            <wp:posOffset>0</wp:posOffset>
          </wp:positionV>
          <wp:extent cx="1224280" cy="1155700"/>
          <wp:effectExtent l="0" t="0" r="0" b="635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280" cy="1155700"/>
                  </a:xfrm>
                  <a:prstGeom prst="rect">
                    <a:avLst/>
                  </a:prstGeom>
                  <a:noFill/>
                </pic:spPr>
              </pic:pic>
            </a:graphicData>
          </a:graphic>
          <wp14:sizeRelH relativeFrom="page">
            <wp14:pctWidth>0</wp14:pctWidth>
          </wp14:sizeRelH>
          <wp14:sizeRelV relativeFrom="page">
            <wp14:pctHeight>0</wp14:pctHeight>
          </wp14:sizeRelV>
        </wp:anchor>
      </w:drawing>
    </w:r>
    <w:r w:rsidRPr="009F0D98">
      <w:rPr>
        <w:rFonts w:asciiTheme="majorHAnsi" w:hAnsiTheme="majorHAnsi" w:cstheme="majorHAnsi"/>
        <w:b/>
        <w:sz w:val="30"/>
        <w:u w:val="single"/>
      </w:rPr>
      <w:t>Sociedade Maranhense de Direitos Humanos</w:t>
    </w:r>
  </w:p>
  <w:p w14:paraId="2C974571" w14:textId="77777777" w:rsidR="00DE2F96" w:rsidRPr="009F0D98" w:rsidRDefault="00DE2F96" w:rsidP="00DE2F96">
    <w:pPr>
      <w:spacing w:line="240" w:lineRule="auto"/>
      <w:ind w:left="2410" w:hanging="284"/>
      <w:jc w:val="center"/>
      <w:rPr>
        <w:rFonts w:asciiTheme="majorHAnsi" w:hAnsiTheme="majorHAnsi" w:cstheme="majorHAnsi"/>
        <w:b/>
        <w:sz w:val="20"/>
        <w:szCs w:val="20"/>
      </w:rPr>
    </w:pPr>
    <w:r w:rsidRPr="009F0D98">
      <w:rPr>
        <w:rFonts w:asciiTheme="majorHAnsi" w:hAnsiTheme="majorHAnsi" w:cstheme="majorHAnsi"/>
        <w:b/>
        <w:sz w:val="20"/>
        <w:szCs w:val="20"/>
      </w:rPr>
      <w:t>Em defesa da vida</w:t>
    </w:r>
  </w:p>
  <w:p w14:paraId="424FCE93" w14:textId="77777777" w:rsidR="00DE2F96" w:rsidRPr="009F0D98" w:rsidRDefault="00DE2F96" w:rsidP="00DE2F96">
    <w:pPr>
      <w:spacing w:line="240" w:lineRule="auto"/>
      <w:ind w:left="2410" w:hanging="284"/>
      <w:jc w:val="center"/>
      <w:rPr>
        <w:rFonts w:asciiTheme="majorHAnsi" w:hAnsiTheme="majorHAnsi" w:cstheme="majorHAnsi"/>
        <w:sz w:val="20"/>
        <w:szCs w:val="20"/>
      </w:rPr>
    </w:pPr>
    <w:r w:rsidRPr="009F0D98">
      <w:rPr>
        <w:rFonts w:asciiTheme="majorHAnsi" w:hAnsiTheme="majorHAnsi" w:cstheme="majorHAnsi"/>
        <w:sz w:val="20"/>
        <w:szCs w:val="20"/>
      </w:rPr>
      <w:t>CNPJ: 05761069/0001-51</w:t>
    </w:r>
  </w:p>
  <w:p w14:paraId="0AB4C508" w14:textId="77777777" w:rsidR="00DE2F96" w:rsidRPr="009F0D98" w:rsidRDefault="00DE2F96" w:rsidP="00DE2F96">
    <w:pPr>
      <w:spacing w:line="240" w:lineRule="auto"/>
      <w:ind w:left="2410" w:hanging="283"/>
      <w:jc w:val="center"/>
      <w:rPr>
        <w:rFonts w:asciiTheme="majorHAnsi" w:hAnsiTheme="majorHAnsi" w:cstheme="majorHAnsi"/>
        <w:sz w:val="20"/>
        <w:szCs w:val="20"/>
      </w:rPr>
    </w:pPr>
    <w:r w:rsidRPr="009F0D98">
      <w:rPr>
        <w:rFonts w:asciiTheme="majorHAnsi" w:hAnsiTheme="majorHAnsi" w:cstheme="majorHAnsi"/>
        <w:sz w:val="20"/>
        <w:szCs w:val="20"/>
      </w:rPr>
      <w:t>Fundada em 12 de fevereiro de 1979.</w:t>
    </w:r>
  </w:p>
  <w:p w14:paraId="53F77F66" w14:textId="77777777" w:rsidR="00DE2F96" w:rsidRPr="009F0D98" w:rsidRDefault="00DE2F96" w:rsidP="00DE2F96">
    <w:pPr>
      <w:spacing w:line="240" w:lineRule="auto"/>
      <w:ind w:left="2410" w:hanging="283"/>
      <w:jc w:val="center"/>
      <w:rPr>
        <w:rFonts w:asciiTheme="majorHAnsi" w:hAnsiTheme="majorHAnsi" w:cstheme="majorHAnsi"/>
        <w:sz w:val="20"/>
        <w:szCs w:val="20"/>
      </w:rPr>
    </w:pPr>
    <w:r w:rsidRPr="009F0D98">
      <w:rPr>
        <w:rFonts w:asciiTheme="majorHAnsi" w:hAnsiTheme="majorHAnsi" w:cstheme="majorHAnsi"/>
        <w:sz w:val="20"/>
        <w:szCs w:val="20"/>
      </w:rPr>
      <w:t>Reconhecida como de utilidade pública pela Lei Estadual nº 4.868 A/88</w:t>
    </w:r>
  </w:p>
  <w:p w14:paraId="58DF4E6F" w14:textId="77777777" w:rsidR="00DE2F96" w:rsidRPr="009F0D98" w:rsidRDefault="00DE2F96" w:rsidP="00DE2F96">
    <w:pPr>
      <w:spacing w:line="240" w:lineRule="auto"/>
      <w:ind w:left="2410" w:hanging="283"/>
      <w:jc w:val="center"/>
      <w:rPr>
        <w:rFonts w:asciiTheme="majorHAnsi" w:hAnsiTheme="majorHAnsi" w:cstheme="majorHAnsi"/>
        <w:sz w:val="20"/>
        <w:szCs w:val="20"/>
      </w:rPr>
    </w:pPr>
    <w:r w:rsidRPr="009F0D98">
      <w:rPr>
        <w:rFonts w:asciiTheme="majorHAnsi" w:hAnsiTheme="majorHAnsi" w:cstheme="majorHAnsi"/>
        <w:sz w:val="20"/>
        <w:szCs w:val="20"/>
      </w:rPr>
      <w:t>e pela Lei Municipal nº 3.068/90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94A51"/>
    <w:multiLevelType w:val="multilevel"/>
    <w:tmpl w:val="7DF6BAF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864128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504"/>
    <w:rsid w:val="003B4053"/>
    <w:rsid w:val="00415AAF"/>
    <w:rsid w:val="005276D6"/>
    <w:rsid w:val="006B48D8"/>
    <w:rsid w:val="00700343"/>
    <w:rsid w:val="00736504"/>
    <w:rsid w:val="007E56D8"/>
    <w:rsid w:val="00995877"/>
    <w:rsid w:val="009F0D98"/>
    <w:rsid w:val="00C06D51"/>
    <w:rsid w:val="00CB1BB4"/>
    <w:rsid w:val="00DE2F96"/>
    <w:rsid w:val="00DF79DD"/>
    <w:rsid w:val="00E058CC"/>
    <w:rsid w:val="00F40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22AB0"/>
  <w15:docId w15:val="{E76B2705-0DB9-4989-9E21-34D7C5F9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DE2F9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DE2F96"/>
    <w:pPr>
      <w:spacing w:line="240" w:lineRule="auto"/>
    </w:pPr>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DE2F96"/>
    <w:rPr>
      <w:rFonts w:asciiTheme="minorHAnsi" w:eastAsiaTheme="minorHAnsi" w:hAnsiTheme="minorHAnsi" w:cstheme="minorBidi"/>
      <w:kern w:val="2"/>
      <w:sz w:val="20"/>
      <w:szCs w:val="20"/>
      <w:lang w:eastAsia="en-US"/>
      <w14:ligatures w14:val="standardContextual"/>
    </w:rPr>
  </w:style>
  <w:style w:type="character" w:styleId="FootnoteReference">
    <w:name w:val="footnote reference"/>
    <w:basedOn w:val="DefaultParagraphFont"/>
    <w:uiPriority w:val="99"/>
    <w:semiHidden/>
    <w:unhideWhenUsed/>
    <w:rsid w:val="00DE2F96"/>
    <w:rPr>
      <w:vertAlign w:val="superscript"/>
    </w:rPr>
  </w:style>
  <w:style w:type="paragraph" w:styleId="Header">
    <w:name w:val="header"/>
    <w:basedOn w:val="Normal"/>
    <w:link w:val="HeaderChar"/>
    <w:uiPriority w:val="99"/>
    <w:unhideWhenUsed/>
    <w:rsid w:val="00DE2F96"/>
    <w:pPr>
      <w:tabs>
        <w:tab w:val="center" w:pos="4252"/>
        <w:tab w:val="right" w:pos="8504"/>
      </w:tabs>
      <w:spacing w:line="240" w:lineRule="auto"/>
    </w:pPr>
  </w:style>
  <w:style w:type="character" w:customStyle="1" w:styleId="HeaderChar">
    <w:name w:val="Header Char"/>
    <w:basedOn w:val="DefaultParagraphFont"/>
    <w:link w:val="Header"/>
    <w:uiPriority w:val="99"/>
    <w:rsid w:val="00DE2F96"/>
  </w:style>
  <w:style w:type="paragraph" w:styleId="Footer">
    <w:name w:val="footer"/>
    <w:basedOn w:val="Normal"/>
    <w:link w:val="FooterChar"/>
    <w:unhideWhenUsed/>
    <w:rsid w:val="00DE2F96"/>
    <w:pPr>
      <w:tabs>
        <w:tab w:val="center" w:pos="4252"/>
        <w:tab w:val="right" w:pos="8504"/>
      </w:tabs>
      <w:spacing w:line="240" w:lineRule="auto"/>
    </w:pPr>
  </w:style>
  <w:style w:type="character" w:customStyle="1" w:styleId="FooterChar">
    <w:name w:val="Footer Char"/>
    <w:basedOn w:val="DefaultParagraphFont"/>
    <w:link w:val="Footer"/>
    <w:uiPriority w:val="99"/>
    <w:rsid w:val="00DE2F96"/>
  </w:style>
  <w:style w:type="character" w:styleId="Hyperlink">
    <w:name w:val="Hyperlink"/>
    <w:rsid w:val="009F0D98"/>
    <w:rPr>
      <w:color w:val="0000FF"/>
      <w:u w:val="single"/>
    </w:rPr>
  </w:style>
  <w:style w:type="character" w:styleId="UnresolvedMention">
    <w:name w:val="Unresolved Mention"/>
    <w:basedOn w:val="DefaultParagraphFont"/>
    <w:uiPriority w:val="99"/>
    <w:semiHidden/>
    <w:unhideWhenUsed/>
    <w:rsid w:val="00CB1BB4"/>
    <w:rPr>
      <w:color w:val="605E5C"/>
      <w:shd w:val="clear" w:color="auto" w:fill="E1DFDD"/>
    </w:rPr>
  </w:style>
  <w:style w:type="paragraph" w:styleId="ListParagraph">
    <w:name w:val="List Paragraph"/>
    <w:basedOn w:val="Normal"/>
    <w:uiPriority w:val="34"/>
    <w:qFormat/>
    <w:rsid w:val="00700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483719">
      <w:bodyDiv w:val="1"/>
      <w:marLeft w:val="0"/>
      <w:marRight w:val="0"/>
      <w:marTop w:val="0"/>
      <w:marBottom w:val="0"/>
      <w:divBdr>
        <w:top w:val="none" w:sz="0" w:space="0" w:color="auto"/>
        <w:left w:val="none" w:sz="0" w:space="0" w:color="auto"/>
        <w:bottom w:val="none" w:sz="0" w:space="0" w:color="auto"/>
        <w:right w:val="none" w:sz="0" w:space="0" w:color="auto"/>
      </w:divBdr>
    </w:div>
    <w:div w:id="1142579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mdh.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7FA88-57A2-452C-B571-E90E57C1F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4268</Words>
  <Characters>23180</Characters>
  <Application>Microsoft Office Word</Application>
  <DocSecurity>0</DocSecurity>
  <Lines>392</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Melo</dc:creator>
  <cp:lastModifiedBy>Celine Reynaud</cp:lastModifiedBy>
  <cp:revision>2</cp:revision>
  <cp:lastPrinted>2023-08-29T08:54:00Z</cp:lastPrinted>
  <dcterms:created xsi:type="dcterms:W3CDTF">2023-08-29T14:15:00Z</dcterms:created>
  <dcterms:modified xsi:type="dcterms:W3CDTF">2023-08-29T14:15:00Z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0d2ee95bcb50e6d269a3dc5d7d4db95d52b8d1f56f952d08e922a0172f541db5</vt:lpwstr>
  </property>
</Properties>
</file>