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eading=h.gjdgxs" w:colFirst="0" w:colLast="0"/>
    <w:bookmarkEnd w:id="0"/>
    <w:p w14:paraId="00000001" w14:textId="77777777" w:rsidR="001776FF" w:rsidRPr="0078103E" w:rsidRDefault="00000000" w:rsidP="00E5763D">
      <w:pPr>
        <w:ind w:right="4710"/>
        <w:rPr>
          <w:rFonts w:ascii="Arial" w:eastAsia="Arial" w:hAnsi="Arial" w:cs="Arial"/>
          <w:sz w:val="22"/>
          <w:szCs w:val="22"/>
          <w:lang w:val="en-GB"/>
        </w:rPr>
      </w:pPr>
      <w:sdt>
        <w:sdtPr>
          <w:tag w:val="goog_rdk_0"/>
          <w:id w:val="1447433632"/>
        </w:sdtPr>
        <w:sdtContent/>
      </w:sdt>
      <w:r w:rsidRPr="0078103E">
        <w:rPr>
          <w:rFonts w:ascii="Arial" w:eastAsia="Arial" w:hAnsi="Arial" w:cs="Arial"/>
          <w:sz w:val="22"/>
          <w:szCs w:val="22"/>
          <w:lang w:val="en-GB"/>
        </w:rPr>
        <w:t>Submission to Committee on Economic Social and Cultural Rights (CESCRs) in relation to the review of the United Kingdom and Northern Ireland</w:t>
      </w:r>
    </w:p>
    <w:p w14:paraId="00000002" w14:textId="77777777" w:rsidR="001776FF" w:rsidRPr="0078103E" w:rsidRDefault="001776FF" w:rsidP="00E5763D">
      <w:pPr>
        <w:ind w:right="4710"/>
        <w:rPr>
          <w:rFonts w:ascii="Arial" w:eastAsia="Arial" w:hAnsi="Arial" w:cs="Arial"/>
          <w:sz w:val="22"/>
          <w:szCs w:val="22"/>
          <w:lang w:val="en-GB"/>
        </w:rPr>
      </w:pPr>
      <w:bookmarkStart w:id="1" w:name="_heading=h.jgcajzjwiuc6" w:colFirst="0" w:colLast="0"/>
      <w:bookmarkEnd w:id="1"/>
    </w:p>
    <w:p w14:paraId="00000003" w14:textId="25E59ED1" w:rsidR="001776FF" w:rsidRPr="0078103E" w:rsidRDefault="00000000">
      <w:pPr>
        <w:pBdr>
          <w:bottom w:val="single" w:sz="4" w:space="1" w:color="000000"/>
        </w:pBdr>
        <w:ind w:right="30"/>
        <w:jc w:val="center"/>
        <w:rPr>
          <w:rFonts w:ascii="Arial" w:eastAsia="Arial" w:hAnsi="Arial" w:cs="Arial"/>
          <w:b/>
          <w:sz w:val="28"/>
          <w:szCs w:val="28"/>
          <w:lang w:val="en-GB"/>
        </w:rPr>
      </w:pPr>
      <w:bookmarkStart w:id="2" w:name="_heading=h.6b53zk5gb6r1" w:colFirst="0" w:colLast="0"/>
      <w:bookmarkEnd w:id="2"/>
      <w:r w:rsidRPr="0078103E">
        <w:rPr>
          <w:rFonts w:ascii="Arial" w:eastAsia="Arial" w:hAnsi="Arial" w:cs="Arial"/>
          <w:b/>
          <w:sz w:val="28"/>
          <w:szCs w:val="28"/>
          <w:lang w:val="en-GB"/>
        </w:rPr>
        <w:t xml:space="preserve">The UK’s obligations under the </w:t>
      </w:r>
      <w:r w:rsidR="002A53AC">
        <w:rPr>
          <w:rFonts w:ascii="Arial" w:eastAsia="Arial" w:hAnsi="Arial" w:cs="Arial"/>
          <w:b/>
          <w:sz w:val="28"/>
          <w:szCs w:val="28"/>
          <w:lang w:val="en-GB"/>
        </w:rPr>
        <w:t xml:space="preserve">International </w:t>
      </w:r>
      <w:r w:rsidRPr="0078103E">
        <w:rPr>
          <w:rFonts w:ascii="Arial" w:eastAsia="Arial" w:hAnsi="Arial" w:cs="Arial"/>
          <w:b/>
          <w:sz w:val="28"/>
          <w:szCs w:val="28"/>
          <w:lang w:val="en-GB"/>
        </w:rPr>
        <w:t xml:space="preserve">Covenant on Economic, Social and Cultural Rights in light of the ICJ Advisory </w:t>
      </w:r>
      <w:r w:rsidR="000A2082">
        <w:rPr>
          <w:rFonts w:ascii="Arial" w:eastAsia="Arial" w:hAnsi="Arial" w:cs="Arial"/>
          <w:b/>
          <w:sz w:val="28"/>
          <w:szCs w:val="28"/>
          <w:lang w:val="en-GB"/>
        </w:rPr>
        <w:t>O</w:t>
      </w:r>
      <w:r w:rsidRPr="0078103E">
        <w:rPr>
          <w:rFonts w:ascii="Arial" w:eastAsia="Arial" w:hAnsi="Arial" w:cs="Arial"/>
          <w:b/>
          <w:sz w:val="28"/>
          <w:szCs w:val="28"/>
          <w:lang w:val="en-GB"/>
        </w:rPr>
        <w:t>pinion on the Occupied Palestinian Territories</w:t>
      </w:r>
    </w:p>
    <w:p w14:paraId="00000004" w14:textId="77777777" w:rsidR="001776FF" w:rsidRPr="0078103E" w:rsidRDefault="001776FF" w:rsidP="00E5763D">
      <w:pPr>
        <w:ind w:right="4710"/>
        <w:jc w:val="both"/>
        <w:rPr>
          <w:rFonts w:ascii="Arial" w:eastAsia="Arial" w:hAnsi="Arial" w:cs="Arial"/>
          <w:b/>
          <w:sz w:val="22"/>
          <w:szCs w:val="22"/>
          <w:lang w:val="en-GB"/>
        </w:rPr>
      </w:pPr>
      <w:bookmarkStart w:id="3" w:name="_heading=h.nsg35idzxx5j" w:colFirst="0" w:colLast="0"/>
      <w:bookmarkEnd w:id="3"/>
    </w:p>
    <w:p w14:paraId="00000005" w14:textId="31ED59B6" w:rsidR="001776FF" w:rsidRPr="00E5763D" w:rsidRDefault="00000000" w:rsidP="00E5763D">
      <w:pPr>
        <w:ind w:right="237"/>
        <w:jc w:val="both"/>
        <w:rPr>
          <w:rFonts w:ascii="Arial" w:eastAsia="Arial" w:hAnsi="Arial" w:cs="Arial"/>
          <w:b/>
          <w:sz w:val="22"/>
          <w:szCs w:val="22"/>
        </w:rPr>
      </w:pPr>
      <w:bookmarkStart w:id="4" w:name="_heading=h.o3c5ed3jx07t" w:colFirst="0" w:colLast="0"/>
      <w:bookmarkEnd w:id="4"/>
      <w:r w:rsidRPr="00E5763D">
        <w:rPr>
          <w:rFonts w:ascii="Arial" w:eastAsia="Arial" w:hAnsi="Arial" w:cs="Arial"/>
          <w:b/>
          <w:sz w:val="22"/>
          <w:szCs w:val="22"/>
          <w:lang w:val="en-GB"/>
        </w:rPr>
        <w:t xml:space="preserve">By Third World Network (TWN) and </w:t>
      </w:r>
      <w:r w:rsidR="00E5763D" w:rsidRPr="00E5763D">
        <w:rPr>
          <w:rFonts w:ascii="Arial" w:eastAsia="Arial" w:hAnsi="Arial" w:cs="Arial"/>
          <w:b/>
          <w:sz w:val="22"/>
          <w:szCs w:val="22"/>
          <w:lang w:val="en-GB"/>
        </w:rPr>
        <w:t>Arab NGO Network for Development (ANND)</w:t>
      </w:r>
      <w:r w:rsidRPr="00E5763D">
        <w:rPr>
          <w:rFonts w:ascii="Arial" w:eastAsia="Arial" w:hAnsi="Arial" w:cs="Arial"/>
          <w:b/>
          <w:sz w:val="22"/>
          <w:szCs w:val="22"/>
          <w:lang w:val="en-GB"/>
        </w:rPr>
        <w:t xml:space="preserve"> </w:t>
      </w:r>
      <w:r w:rsidRPr="00E5763D">
        <w:rPr>
          <w:rFonts w:ascii="Arial" w:eastAsia="Arial" w:hAnsi="Arial" w:cs="Arial"/>
          <w:b/>
          <w:sz w:val="22"/>
          <w:szCs w:val="22"/>
        </w:rPr>
        <w:t>(</w:t>
      </w:r>
      <w:r w:rsidR="00E5763D" w:rsidRPr="00E5763D">
        <w:rPr>
          <w:rFonts w:ascii="Arial" w:eastAsia="Arial" w:hAnsi="Arial" w:cs="Arial"/>
          <w:b/>
          <w:sz w:val="22"/>
          <w:szCs w:val="22"/>
          <w:lang w:val="en-US"/>
        </w:rPr>
        <w:t>17.1.2025</w:t>
      </w:r>
      <w:r w:rsidRPr="00E5763D">
        <w:rPr>
          <w:rFonts w:ascii="Arial" w:eastAsia="Arial" w:hAnsi="Arial" w:cs="Arial"/>
          <w:b/>
          <w:sz w:val="22"/>
          <w:szCs w:val="22"/>
        </w:rPr>
        <w:t>)</w:t>
      </w:r>
    </w:p>
    <w:p w14:paraId="00000006" w14:textId="77777777" w:rsidR="001776FF" w:rsidRDefault="001776FF" w:rsidP="00E5763D">
      <w:pPr>
        <w:ind w:right="4710"/>
        <w:jc w:val="both"/>
        <w:rPr>
          <w:rFonts w:ascii="Arial" w:eastAsia="Arial" w:hAnsi="Arial" w:cs="Arial"/>
          <w:b/>
          <w:sz w:val="22"/>
          <w:szCs w:val="22"/>
          <w:highlight w:val="yellow"/>
        </w:rPr>
      </w:pPr>
      <w:bookmarkStart w:id="5" w:name="_heading=h.8jx8394j0v2u" w:colFirst="0" w:colLast="0"/>
      <w:bookmarkEnd w:id="5"/>
    </w:p>
    <w:p w14:paraId="00000007" w14:textId="23C8A3BF"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 xml:space="preserve">This submission is focused </w:t>
      </w:r>
      <w:r w:rsidRPr="0078103E">
        <w:rPr>
          <w:rFonts w:ascii="Arial" w:eastAsia="Arial" w:hAnsi="Arial" w:cs="Arial"/>
          <w:color w:val="000000"/>
          <w:sz w:val="22"/>
          <w:szCs w:val="22"/>
          <w:lang w:val="en-GB"/>
        </w:rPr>
        <w:t xml:space="preserve">on the consequences for the </w:t>
      </w:r>
      <w:r w:rsidR="00DE03D4">
        <w:rPr>
          <w:rFonts w:ascii="Arial" w:eastAsia="Arial" w:hAnsi="Arial" w:cs="Arial"/>
          <w:color w:val="000000"/>
          <w:sz w:val="22"/>
          <w:szCs w:val="22"/>
          <w:lang w:val="en-GB"/>
        </w:rPr>
        <w:t>United Kingdom (</w:t>
      </w:r>
      <w:r w:rsidRPr="0078103E">
        <w:rPr>
          <w:rFonts w:ascii="Arial" w:eastAsia="Arial" w:hAnsi="Arial" w:cs="Arial"/>
          <w:color w:val="000000"/>
          <w:sz w:val="22"/>
          <w:szCs w:val="22"/>
          <w:lang w:val="en-GB"/>
        </w:rPr>
        <w:t>UK</w:t>
      </w:r>
      <w:r w:rsidR="00DE03D4">
        <w:rPr>
          <w:rFonts w:ascii="Arial" w:eastAsia="Arial" w:hAnsi="Arial" w:cs="Arial"/>
          <w:color w:val="000000"/>
          <w:sz w:val="22"/>
          <w:szCs w:val="22"/>
          <w:lang w:val="en-GB"/>
        </w:rPr>
        <w:t>)</w:t>
      </w:r>
      <w:r w:rsidRPr="0078103E">
        <w:rPr>
          <w:rFonts w:ascii="Arial" w:eastAsia="Arial" w:hAnsi="Arial" w:cs="Arial"/>
          <w:color w:val="000000"/>
          <w:sz w:val="22"/>
          <w:szCs w:val="22"/>
          <w:lang w:val="en-GB"/>
        </w:rPr>
        <w:t xml:space="preserve"> </w:t>
      </w:r>
      <w:r w:rsidRPr="0078103E">
        <w:rPr>
          <w:rFonts w:ascii="Arial" w:eastAsia="Arial" w:hAnsi="Arial" w:cs="Arial"/>
          <w:sz w:val="22"/>
          <w:szCs w:val="22"/>
          <w:lang w:val="en-GB"/>
        </w:rPr>
        <w:t>arising</w:t>
      </w:r>
      <w:r w:rsidRPr="0078103E">
        <w:rPr>
          <w:rFonts w:ascii="Arial" w:eastAsia="Arial" w:hAnsi="Arial" w:cs="Arial"/>
          <w:color w:val="000000"/>
          <w:sz w:val="22"/>
          <w:szCs w:val="22"/>
          <w:lang w:val="en-GB"/>
        </w:rPr>
        <w:t xml:space="preserve"> in light of the </w:t>
      </w:r>
      <w:r w:rsidR="009F1E16">
        <w:rPr>
          <w:rFonts w:ascii="Arial" w:eastAsia="Arial" w:hAnsi="Arial" w:cs="Arial"/>
          <w:color w:val="000000"/>
          <w:sz w:val="22"/>
          <w:szCs w:val="22"/>
          <w:lang w:val="en-GB"/>
        </w:rPr>
        <w:t>International Court of Justice (</w:t>
      </w:r>
      <w:r w:rsidRPr="0078103E">
        <w:rPr>
          <w:rFonts w:ascii="Arial" w:eastAsia="Arial" w:hAnsi="Arial" w:cs="Arial"/>
          <w:color w:val="000000"/>
          <w:sz w:val="22"/>
          <w:szCs w:val="22"/>
          <w:lang w:val="en-GB"/>
        </w:rPr>
        <w:t>ICJ</w:t>
      </w:r>
      <w:r w:rsidR="009F1E16">
        <w:rPr>
          <w:rFonts w:ascii="Arial" w:eastAsia="Arial" w:hAnsi="Arial" w:cs="Arial"/>
          <w:color w:val="000000"/>
          <w:sz w:val="22"/>
          <w:szCs w:val="22"/>
          <w:lang w:val="en-GB"/>
        </w:rPr>
        <w:t>)</w:t>
      </w:r>
      <w:r w:rsidRPr="0078103E">
        <w:rPr>
          <w:rFonts w:ascii="Arial" w:eastAsia="Arial" w:hAnsi="Arial" w:cs="Arial"/>
          <w:color w:val="000000"/>
          <w:sz w:val="22"/>
          <w:szCs w:val="22"/>
          <w:lang w:val="en-GB"/>
        </w:rPr>
        <w:t xml:space="preserve"> advisory opinion of 19 July 2024 on the</w:t>
      </w:r>
      <w:r w:rsidRPr="0078103E">
        <w:rPr>
          <w:rFonts w:ascii="Arial" w:eastAsia="Arial" w:hAnsi="Arial" w:cs="Arial"/>
          <w:i/>
          <w:color w:val="000000"/>
          <w:sz w:val="22"/>
          <w:szCs w:val="22"/>
          <w:lang w:val="en-GB"/>
        </w:rPr>
        <w:t> </w:t>
      </w:r>
      <w:hyperlink r:id="rId8">
        <w:r w:rsidRPr="0078103E">
          <w:rPr>
            <w:rFonts w:ascii="Arial" w:eastAsia="Arial" w:hAnsi="Arial" w:cs="Arial"/>
            <w:color w:val="000000"/>
            <w:sz w:val="22"/>
            <w:szCs w:val="22"/>
            <w:lang w:val="en-GB"/>
          </w:rPr>
          <w:t>Legal Consequences arising from the Policies and Practices of Israel in the Occupied Palestinian Territory, including East Jerusalem</w:t>
        </w:r>
      </w:hyperlink>
      <w:r w:rsidRPr="0078103E">
        <w:rPr>
          <w:rFonts w:ascii="Arial" w:eastAsia="Arial" w:hAnsi="Arial" w:cs="Arial"/>
          <w:color w:val="000000"/>
          <w:sz w:val="22"/>
          <w:szCs w:val="22"/>
          <w:lang w:val="en-GB"/>
        </w:rPr>
        <w:t>. The submission</w:t>
      </w:r>
      <w:r w:rsidRPr="0078103E">
        <w:rPr>
          <w:rFonts w:ascii="Arial" w:eastAsia="Arial" w:hAnsi="Arial" w:cs="Arial"/>
          <w:i/>
          <w:color w:val="000000"/>
          <w:sz w:val="22"/>
          <w:szCs w:val="22"/>
          <w:lang w:val="en-GB"/>
        </w:rPr>
        <w:t xml:space="preserve"> </w:t>
      </w:r>
      <w:r w:rsidRPr="0078103E">
        <w:rPr>
          <w:rFonts w:ascii="Arial" w:eastAsia="Arial" w:hAnsi="Arial" w:cs="Arial"/>
          <w:color w:val="000000"/>
          <w:sz w:val="22"/>
          <w:szCs w:val="22"/>
          <w:lang w:val="en-GB"/>
        </w:rPr>
        <w:t>does not address obligations arising under the Genocide Convention and Arms Trade Treaty</w:t>
      </w:r>
      <w:r w:rsidRPr="0078103E">
        <w:rPr>
          <w:rFonts w:ascii="Arial" w:eastAsia="Arial" w:hAnsi="Arial" w:cs="Arial"/>
          <w:i/>
          <w:color w:val="000000"/>
          <w:sz w:val="22"/>
          <w:szCs w:val="22"/>
          <w:lang w:val="en-GB"/>
        </w:rPr>
        <w:t xml:space="preserve">. </w:t>
      </w:r>
    </w:p>
    <w:p w14:paraId="00000008" w14:textId="77777777"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This submission focuses on the application of:</w:t>
      </w:r>
    </w:p>
    <w:p w14:paraId="00000009" w14:textId="7DB3D6EE"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 xml:space="preserve">a) obligations stemming from the </w:t>
      </w:r>
      <w:r w:rsidR="002A53AC">
        <w:rPr>
          <w:rFonts w:ascii="Arial" w:eastAsia="Arial" w:hAnsi="Arial" w:cs="Arial"/>
          <w:sz w:val="22"/>
          <w:szCs w:val="22"/>
          <w:lang w:val="en-GB"/>
        </w:rPr>
        <w:t xml:space="preserve">International </w:t>
      </w:r>
      <w:r w:rsidRPr="0078103E">
        <w:rPr>
          <w:rFonts w:ascii="Arial" w:eastAsia="Arial" w:hAnsi="Arial" w:cs="Arial"/>
          <w:sz w:val="22"/>
          <w:szCs w:val="22"/>
          <w:lang w:val="en-GB"/>
        </w:rPr>
        <w:t>Covenant on Economic, Social, Cultural Rights</w:t>
      </w:r>
      <w:r w:rsidR="002A53AC">
        <w:rPr>
          <w:rFonts w:ascii="Arial" w:eastAsia="Arial" w:hAnsi="Arial" w:cs="Arial"/>
          <w:sz w:val="22"/>
          <w:szCs w:val="22"/>
          <w:lang w:val="en-GB"/>
        </w:rPr>
        <w:t xml:space="preserve"> (ICESCR)</w:t>
      </w:r>
      <w:r w:rsidRPr="0078103E">
        <w:rPr>
          <w:rFonts w:ascii="Arial" w:eastAsia="Arial" w:hAnsi="Arial" w:cs="Arial"/>
          <w:sz w:val="22"/>
          <w:szCs w:val="22"/>
          <w:lang w:val="en-GB"/>
        </w:rPr>
        <w:t>, including</w:t>
      </w:r>
      <w:r w:rsidRPr="0078103E">
        <w:rPr>
          <w:rFonts w:ascii="Arial" w:eastAsia="Arial" w:hAnsi="Arial" w:cs="Arial"/>
          <w:i/>
          <w:sz w:val="22"/>
          <w:szCs w:val="22"/>
          <w:lang w:val="en-GB"/>
        </w:rPr>
        <w:t xml:space="preserve"> </w:t>
      </w:r>
      <w:r w:rsidRPr="002C2AFC">
        <w:rPr>
          <w:rFonts w:ascii="Arial" w:eastAsia="Arial" w:hAnsi="Arial" w:cs="Arial"/>
          <w:iCs/>
          <w:sz w:val="22"/>
          <w:szCs w:val="22"/>
          <w:lang w:val="en-GB"/>
        </w:rPr>
        <w:t>the systemic discrimination against the economic, social and cultural rights of the Palestinians contrary to Article 2(2) of the ICESCR</w:t>
      </w:r>
      <w:r w:rsidRPr="0078103E">
        <w:rPr>
          <w:rFonts w:ascii="Arial" w:eastAsia="Arial" w:hAnsi="Arial" w:cs="Arial"/>
          <w:i/>
          <w:sz w:val="22"/>
          <w:szCs w:val="22"/>
          <w:lang w:val="en-GB"/>
        </w:rPr>
        <w:t xml:space="preserve">, </w:t>
      </w:r>
      <w:r w:rsidRPr="0078103E">
        <w:rPr>
          <w:rFonts w:ascii="Arial" w:eastAsia="Arial" w:hAnsi="Arial" w:cs="Arial"/>
          <w:sz w:val="22"/>
          <w:szCs w:val="22"/>
          <w:lang w:val="en-GB"/>
        </w:rPr>
        <w:t xml:space="preserve">particularly as reviewed under General Comment 24; </w:t>
      </w:r>
    </w:p>
    <w:p w14:paraId="0000000A" w14:textId="7FA26E7A"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b) obligations stemming from the law of</w:t>
      </w:r>
      <w:r w:rsidR="002C2AFC">
        <w:rPr>
          <w:rFonts w:ascii="Arial" w:eastAsia="Arial" w:hAnsi="Arial" w:cs="Arial"/>
          <w:sz w:val="22"/>
          <w:szCs w:val="22"/>
          <w:lang w:val="en-GB"/>
        </w:rPr>
        <w:t xml:space="preserve"> States’</w:t>
      </w:r>
      <w:r w:rsidRPr="0078103E">
        <w:rPr>
          <w:rFonts w:ascii="Arial" w:eastAsia="Arial" w:hAnsi="Arial" w:cs="Arial"/>
          <w:sz w:val="22"/>
          <w:szCs w:val="22"/>
          <w:lang w:val="en-GB"/>
        </w:rPr>
        <w:t xml:space="preserve"> international responsibility as it relates to breach of the right to </w:t>
      </w:r>
      <w:r w:rsidR="00E37F1A" w:rsidRPr="0078103E">
        <w:rPr>
          <w:rFonts w:ascii="Arial" w:eastAsia="Arial" w:hAnsi="Arial" w:cs="Arial"/>
          <w:sz w:val="22"/>
          <w:szCs w:val="22"/>
          <w:lang w:val="en-GB"/>
        </w:rPr>
        <w:t>self-determination</w:t>
      </w:r>
      <w:r w:rsidRPr="0078103E">
        <w:rPr>
          <w:rFonts w:ascii="Arial" w:eastAsia="Arial" w:hAnsi="Arial" w:cs="Arial"/>
          <w:sz w:val="22"/>
          <w:szCs w:val="22"/>
          <w:lang w:val="en-GB"/>
        </w:rPr>
        <w:t>, which is the peremptory norm incorporated in Article 1(1) of the ICESCR, along with the systemic discrimination against the economic, social and cultural rights of the Palestinians contrary to Article 2(2) of the ICESCR.</w:t>
      </w:r>
    </w:p>
    <w:p w14:paraId="0000000B" w14:textId="7C59CBEC"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The submission reviews what this entails for the UK in relation to its obligations under the Covenant</w:t>
      </w:r>
      <w:r w:rsidR="00AF3341">
        <w:rPr>
          <w:rFonts w:ascii="Arial" w:eastAsia="Arial" w:hAnsi="Arial" w:cs="Arial"/>
          <w:sz w:val="22"/>
          <w:szCs w:val="22"/>
          <w:lang w:val="en-GB"/>
        </w:rPr>
        <w:t>,</w:t>
      </w:r>
      <w:r w:rsidRPr="0078103E">
        <w:rPr>
          <w:rFonts w:ascii="Arial" w:eastAsia="Arial" w:hAnsi="Arial" w:cs="Arial"/>
          <w:sz w:val="22"/>
          <w:szCs w:val="22"/>
          <w:lang w:val="en-GB"/>
        </w:rPr>
        <w:t xml:space="preserve"> particularly its obligations as a home State of companies involved with Israel and in the Occupied Palestinian Territory.   </w:t>
      </w:r>
    </w:p>
    <w:p w14:paraId="0000000C" w14:textId="77777777" w:rsidR="001776FF" w:rsidRPr="0078103E" w:rsidRDefault="001776FF">
      <w:pPr>
        <w:ind w:left="720"/>
        <w:jc w:val="both"/>
        <w:rPr>
          <w:rFonts w:ascii="Arial" w:eastAsia="Arial" w:hAnsi="Arial" w:cs="Arial"/>
          <w:i/>
          <w:sz w:val="22"/>
          <w:szCs w:val="22"/>
          <w:lang w:val="en-GB"/>
        </w:rPr>
      </w:pPr>
    </w:p>
    <w:p w14:paraId="0000000D" w14:textId="77777777" w:rsidR="001776FF" w:rsidRDefault="00000000">
      <w:pPr>
        <w:keepNext/>
        <w:keepLines/>
        <w:pBdr>
          <w:top w:val="nil"/>
          <w:left w:val="nil"/>
          <w:bottom w:val="nil"/>
          <w:right w:val="nil"/>
          <w:between w:val="nil"/>
        </w:pBdr>
        <w:ind w:left="90"/>
        <w:jc w:val="both"/>
        <w:rPr>
          <w:rFonts w:ascii="Arial" w:eastAsia="Arial" w:hAnsi="Arial" w:cs="Arial"/>
          <w:b/>
          <w:color w:val="000000"/>
          <w:sz w:val="22"/>
          <w:szCs w:val="22"/>
        </w:rPr>
      </w:pPr>
      <w:r>
        <w:rPr>
          <w:rFonts w:ascii="Arial" w:eastAsia="Arial" w:hAnsi="Arial" w:cs="Arial"/>
          <w:b/>
          <w:color w:val="000000"/>
          <w:sz w:val="22"/>
          <w:szCs w:val="22"/>
        </w:rPr>
        <w:t>Table of Contents</w:t>
      </w:r>
    </w:p>
    <w:p w14:paraId="0000000E" w14:textId="77777777" w:rsidR="001776FF" w:rsidRDefault="001776FF">
      <w:pPr>
        <w:keepNext/>
        <w:keepLines/>
        <w:pBdr>
          <w:top w:val="nil"/>
          <w:left w:val="nil"/>
          <w:bottom w:val="nil"/>
          <w:right w:val="nil"/>
          <w:between w:val="nil"/>
        </w:pBdr>
        <w:ind w:left="720"/>
        <w:jc w:val="both"/>
        <w:rPr>
          <w:rFonts w:ascii="Arial" w:eastAsia="Arial" w:hAnsi="Arial" w:cs="Arial"/>
          <w:b/>
          <w:sz w:val="22"/>
          <w:szCs w:val="22"/>
        </w:rPr>
      </w:pPr>
    </w:p>
    <w:sdt>
      <w:sdtPr>
        <w:id w:val="-1242937025"/>
        <w:docPartObj>
          <w:docPartGallery w:val="Table of Contents"/>
          <w:docPartUnique/>
        </w:docPartObj>
      </w:sdtPr>
      <w:sdtContent>
        <w:p w14:paraId="0000000F" w14:textId="77777777" w:rsidR="001776FF" w:rsidRDefault="00000000">
          <w:pPr>
            <w:widowControl w:val="0"/>
            <w:tabs>
              <w:tab w:val="right" w:leader="dot" w:pos="12000"/>
            </w:tabs>
            <w:spacing w:before="60"/>
            <w:ind w:left="90"/>
            <w:rPr>
              <w:rFonts w:ascii="Arial" w:eastAsia="Arial" w:hAnsi="Arial" w:cs="Arial"/>
              <w:b/>
              <w:color w:val="000000"/>
              <w:sz w:val="22"/>
              <w:szCs w:val="22"/>
            </w:rPr>
          </w:pPr>
          <w:r>
            <w:fldChar w:fldCharType="begin"/>
          </w:r>
          <w:r>
            <w:instrText xml:space="preserve"> TOC \h \u \z \t "Heading 1,1,Heading 2,2,Heading 3,3,"</w:instrText>
          </w:r>
          <w:r>
            <w:fldChar w:fldCharType="separate"/>
          </w:r>
          <w:hyperlink w:anchor="_heading=h.30j0zll">
            <w:r>
              <w:rPr>
                <w:rFonts w:ascii="Arial" w:eastAsia="Arial" w:hAnsi="Arial" w:cs="Arial"/>
                <w:b/>
                <w:color w:val="000000"/>
                <w:sz w:val="22"/>
                <w:szCs w:val="22"/>
              </w:rPr>
              <w:t>The ICJ advisory opinion on the illegality of Israel’s occupation and breach of human rights law</w:t>
            </w:r>
          </w:hyperlink>
          <w:hyperlink w:anchor="_heading=h.30j0zll">
            <w:r>
              <w:rPr>
                <w:rFonts w:ascii="Arial" w:eastAsia="Arial" w:hAnsi="Arial" w:cs="Arial"/>
                <w:color w:val="000000"/>
                <w:sz w:val="22"/>
                <w:szCs w:val="22"/>
              </w:rPr>
              <w:tab/>
              <w:t>2</w:t>
            </w:r>
          </w:hyperlink>
        </w:p>
        <w:p w14:paraId="00000010" w14:textId="77777777" w:rsidR="001776FF" w:rsidRDefault="00000000">
          <w:pPr>
            <w:widowControl w:val="0"/>
            <w:tabs>
              <w:tab w:val="right" w:leader="dot" w:pos="12000"/>
            </w:tabs>
            <w:spacing w:before="60"/>
            <w:ind w:left="90"/>
            <w:rPr>
              <w:rFonts w:ascii="Arial" w:eastAsia="Arial" w:hAnsi="Arial" w:cs="Arial"/>
              <w:b/>
              <w:color w:val="000000"/>
              <w:sz w:val="22"/>
              <w:szCs w:val="22"/>
            </w:rPr>
          </w:pPr>
          <w:hyperlink w:anchor="_heading=h.1fob9te">
            <w:r>
              <w:rPr>
                <w:rFonts w:ascii="Arial" w:eastAsia="Arial" w:hAnsi="Arial" w:cs="Arial"/>
                <w:b/>
                <w:color w:val="000000"/>
                <w:sz w:val="22"/>
                <w:szCs w:val="22"/>
              </w:rPr>
              <w:t>Third States’ obligations in light of the legal consequences triggered by Israel’s wrongful acts</w:t>
            </w:r>
          </w:hyperlink>
          <w:hyperlink w:anchor="_heading=h.1fob9te">
            <w:r>
              <w:rPr>
                <w:rFonts w:ascii="Arial" w:eastAsia="Arial" w:hAnsi="Arial" w:cs="Arial"/>
                <w:color w:val="000000"/>
                <w:sz w:val="22"/>
                <w:szCs w:val="22"/>
              </w:rPr>
              <w:tab/>
              <w:t>3</w:t>
            </w:r>
          </w:hyperlink>
        </w:p>
        <w:p w14:paraId="00000011" w14:textId="77777777" w:rsidR="001776FF" w:rsidRDefault="00000000">
          <w:pPr>
            <w:widowControl w:val="0"/>
            <w:tabs>
              <w:tab w:val="right" w:leader="dot" w:pos="12000"/>
            </w:tabs>
            <w:spacing w:before="60"/>
            <w:ind w:left="450"/>
            <w:rPr>
              <w:rFonts w:ascii="Arial" w:eastAsia="Arial" w:hAnsi="Arial" w:cs="Arial"/>
              <w:color w:val="000000"/>
              <w:sz w:val="22"/>
              <w:szCs w:val="22"/>
            </w:rPr>
          </w:pPr>
          <w:hyperlink w:anchor="_heading=h.2et92p0">
            <w:r>
              <w:rPr>
                <w:rFonts w:ascii="Arial" w:eastAsia="Arial" w:hAnsi="Arial" w:cs="Arial"/>
                <w:i/>
                <w:color w:val="000000"/>
                <w:sz w:val="22"/>
                <w:szCs w:val="22"/>
              </w:rPr>
              <w:t>The obligation to cooperate to bring an end to the breach and not to assist in maintaining the illegality</w:t>
            </w:r>
          </w:hyperlink>
          <w:hyperlink w:anchor="_heading=h.2et92p0">
            <w:r>
              <w:rPr>
                <w:rFonts w:ascii="Arial" w:eastAsia="Arial" w:hAnsi="Arial" w:cs="Arial"/>
                <w:color w:val="000000"/>
                <w:sz w:val="22"/>
                <w:szCs w:val="22"/>
              </w:rPr>
              <w:tab/>
              <w:t>3</w:t>
            </w:r>
          </w:hyperlink>
        </w:p>
        <w:p w14:paraId="00000012" w14:textId="77777777" w:rsidR="001776FF" w:rsidRDefault="00000000">
          <w:pPr>
            <w:widowControl w:val="0"/>
            <w:tabs>
              <w:tab w:val="right" w:leader="dot" w:pos="12000"/>
            </w:tabs>
            <w:spacing w:before="60"/>
            <w:ind w:left="450"/>
            <w:rPr>
              <w:rFonts w:ascii="Arial" w:eastAsia="Arial" w:hAnsi="Arial" w:cs="Arial"/>
              <w:color w:val="000000"/>
              <w:sz w:val="22"/>
              <w:szCs w:val="22"/>
            </w:rPr>
          </w:pPr>
          <w:hyperlink w:anchor="_heading=h.tyjcwt">
            <w:r>
              <w:rPr>
                <w:rFonts w:ascii="Arial" w:eastAsia="Arial" w:hAnsi="Arial" w:cs="Arial"/>
                <w:i/>
                <w:color w:val="000000"/>
                <w:sz w:val="22"/>
                <w:szCs w:val="22"/>
              </w:rPr>
              <w:t>Clarification of third States’ obligations after the ICJ advisory opinion</w:t>
            </w:r>
          </w:hyperlink>
          <w:hyperlink w:anchor="_heading=h.tyjcwt">
            <w:r>
              <w:rPr>
                <w:rFonts w:ascii="Arial" w:eastAsia="Arial" w:hAnsi="Arial" w:cs="Arial"/>
                <w:color w:val="000000"/>
                <w:sz w:val="22"/>
                <w:szCs w:val="22"/>
              </w:rPr>
              <w:tab/>
              <w:t>4</w:t>
            </w:r>
          </w:hyperlink>
        </w:p>
        <w:p w14:paraId="00000013" w14:textId="77777777" w:rsidR="001776FF" w:rsidRDefault="00000000">
          <w:pPr>
            <w:widowControl w:val="0"/>
            <w:tabs>
              <w:tab w:val="right" w:leader="dot" w:pos="12000"/>
            </w:tabs>
            <w:spacing w:before="60"/>
            <w:ind w:left="90"/>
            <w:rPr>
              <w:rFonts w:ascii="Arial" w:eastAsia="Arial" w:hAnsi="Arial" w:cs="Arial"/>
              <w:b/>
              <w:color w:val="000000"/>
              <w:sz w:val="22"/>
              <w:szCs w:val="22"/>
            </w:rPr>
          </w:pPr>
          <w:hyperlink w:anchor="_heading=h.1t3h5sf">
            <w:r>
              <w:rPr>
                <w:rFonts w:ascii="Arial" w:eastAsia="Arial" w:hAnsi="Arial" w:cs="Arial"/>
                <w:b/>
                <w:color w:val="000000"/>
                <w:sz w:val="22"/>
                <w:szCs w:val="22"/>
              </w:rPr>
              <w:t>Interaction between third States’ obligations arising under the law of international responsibility of States and obligations arising under the Covenant on Economic, Social and Cultural Rights, particularly in the relation to business activities</w:t>
            </w:r>
          </w:hyperlink>
          <w:hyperlink w:anchor="_heading=h.1t3h5sf">
            <w:r>
              <w:rPr>
                <w:rFonts w:ascii="Arial" w:eastAsia="Arial" w:hAnsi="Arial" w:cs="Arial"/>
                <w:color w:val="000000"/>
                <w:sz w:val="22"/>
                <w:szCs w:val="22"/>
              </w:rPr>
              <w:tab/>
              <w:t>5</w:t>
            </w:r>
          </w:hyperlink>
        </w:p>
        <w:p w14:paraId="00000014" w14:textId="77777777" w:rsidR="001776FF" w:rsidRDefault="00000000">
          <w:pPr>
            <w:widowControl w:val="0"/>
            <w:tabs>
              <w:tab w:val="right" w:leader="dot" w:pos="12000"/>
            </w:tabs>
            <w:spacing w:before="60"/>
            <w:ind w:left="450"/>
            <w:rPr>
              <w:rFonts w:ascii="Arial" w:eastAsia="Arial" w:hAnsi="Arial" w:cs="Arial"/>
              <w:color w:val="000000"/>
              <w:sz w:val="22"/>
              <w:szCs w:val="22"/>
            </w:rPr>
          </w:pPr>
          <w:hyperlink w:anchor="_heading=h.4d34og8">
            <w:r>
              <w:rPr>
                <w:rFonts w:ascii="Arial" w:eastAsia="Arial" w:hAnsi="Arial" w:cs="Arial"/>
                <w:i/>
                <w:color w:val="000000"/>
                <w:sz w:val="22"/>
                <w:szCs w:val="22"/>
              </w:rPr>
              <w:t>Obligations in relation to business activities, in light of CESCRs General Comment 24</w:t>
            </w:r>
          </w:hyperlink>
          <w:hyperlink w:anchor="_heading=h.4d34og8">
            <w:r>
              <w:rPr>
                <w:rFonts w:ascii="Arial" w:eastAsia="Arial" w:hAnsi="Arial" w:cs="Arial"/>
                <w:color w:val="000000"/>
                <w:sz w:val="22"/>
                <w:szCs w:val="22"/>
              </w:rPr>
              <w:tab/>
              <w:t>6</w:t>
            </w:r>
          </w:hyperlink>
        </w:p>
        <w:p w14:paraId="00000015" w14:textId="77777777" w:rsidR="001776FF" w:rsidRDefault="00000000">
          <w:pPr>
            <w:widowControl w:val="0"/>
            <w:tabs>
              <w:tab w:val="right" w:leader="dot" w:pos="12000"/>
            </w:tabs>
            <w:spacing w:before="60"/>
            <w:ind w:left="90"/>
            <w:rPr>
              <w:rFonts w:ascii="Arial" w:eastAsia="Arial" w:hAnsi="Arial" w:cs="Arial"/>
              <w:b/>
              <w:color w:val="000000"/>
              <w:sz w:val="22"/>
              <w:szCs w:val="22"/>
            </w:rPr>
          </w:pPr>
          <w:hyperlink w:anchor="_heading=h.2s8eyo1">
            <w:r>
              <w:rPr>
                <w:rFonts w:ascii="Arial" w:eastAsia="Arial" w:hAnsi="Arial" w:cs="Arial"/>
                <w:b/>
                <w:color w:val="000000"/>
                <w:sz w:val="22"/>
                <w:szCs w:val="22"/>
              </w:rPr>
              <w:t>Examples of UK companies’ involvements with Israe</w:t>
            </w:r>
          </w:hyperlink>
          <w:hyperlink w:anchor="_heading=h.2s8eyo1">
            <w:r>
              <w:rPr>
                <w:rFonts w:ascii="Arial" w:eastAsia="Arial" w:hAnsi="Arial" w:cs="Arial"/>
                <w:color w:val="000000"/>
                <w:sz w:val="22"/>
                <w:szCs w:val="22"/>
              </w:rPr>
              <w:t>l</w:t>
            </w:r>
            <w:r>
              <w:rPr>
                <w:rFonts w:ascii="Arial" w:eastAsia="Arial" w:hAnsi="Arial" w:cs="Arial"/>
                <w:color w:val="000000"/>
                <w:sz w:val="22"/>
                <w:szCs w:val="22"/>
              </w:rPr>
              <w:tab/>
              <w:t>7</w:t>
            </w:r>
          </w:hyperlink>
        </w:p>
        <w:p w14:paraId="00000016" w14:textId="77777777" w:rsidR="001776FF" w:rsidRDefault="00000000">
          <w:pPr>
            <w:widowControl w:val="0"/>
            <w:tabs>
              <w:tab w:val="right" w:leader="dot" w:pos="12000"/>
            </w:tabs>
            <w:spacing w:before="60"/>
            <w:ind w:left="450"/>
            <w:rPr>
              <w:rFonts w:ascii="Arial" w:eastAsia="Arial" w:hAnsi="Arial" w:cs="Arial"/>
              <w:color w:val="000000"/>
              <w:sz w:val="22"/>
              <w:szCs w:val="22"/>
            </w:rPr>
          </w:pPr>
          <w:hyperlink w:anchor="_heading=h.17dp8vu">
            <w:r>
              <w:rPr>
                <w:rFonts w:ascii="Arial" w:eastAsia="Arial" w:hAnsi="Arial" w:cs="Arial"/>
                <w:i/>
                <w:color w:val="000000"/>
                <w:sz w:val="22"/>
                <w:szCs w:val="22"/>
              </w:rPr>
              <w:t>UK arms companies</w:t>
            </w:r>
          </w:hyperlink>
          <w:hyperlink w:anchor="_heading=h.17dp8vu">
            <w:r>
              <w:rPr>
                <w:rFonts w:ascii="Arial" w:eastAsia="Arial" w:hAnsi="Arial" w:cs="Arial"/>
                <w:color w:val="000000"/>
                <w:sz w:val="22"/>
                <w:szCs w:val="22"/>
              </w:rPr>
              <w:tab/>
              <w:t>7</w:t>
            </w:r>
          </w:hyperlink>
        </w:p>
        <w:p w14:paraId="00000017" w14:textId="77777777" w:rsidR="001776FF" w:rsidRDefault="00000000">
          <w:pPr>
            <w:widowControl w:val="0"/>
            <w:tabs>
              <w:tab w:val="right" w:leader="dot" w:pos="12000"/>
            </w:tabs>
            <w:spacing w:before="60"/>
            <w:ind w:left="450"/>
            <w:rPr>
              <w:rFonts w:ascii="Arial" w:eastAsia="Arial" w:hAnsi="Arial" w:cs="Arial"/>
              <w:color w:val="000000"/>
              <w:sz w:val="22"/>
              <w:szCs w:val="22"/>
            </w:rPr>
          </w:pPr>
          <w:hyperlink w:anchor="_heading=h.3rdcrjn">
            <w:r>
              <w:rPr>
                <w:rFonts w:ascii="Arial" w:eastAsia="Arial" w:hAnsi="Arial" w:cs="Arial"/>
                <w:i/>
                <w:color w:val="000000"/>
                <w:sz w:val="22"/>
                <w:szCs w:val="22"/>
              </w:rPr>
              <w:t>UK companies involved in Israel’s illegal settlements</w:t>
            </w:r>
          </w:hyperlink>
          <w:hyperlink w:anchor="_heading=h.3rdcrjn">
            <w:r>
              <w:rPr>
                <w:rFonts w:ascii="Arial" w:eastAsia="Arial" w:hAnsi="Arial" w:cs="Arial"/>
                <w:color w:val="000000"/>
                <w:sz w:val="22"/>
                <w:szCs w:val="22"/>
              </w:rPr>
              <w:tab/>
              <w:t>8</w:t>
            </w:r>
          </w:hyperlink>
        </w:p>
        <w:p w14:paraId="00000018" w14:textId="50B13E18" w:rsidR="001776FF" w:rsidRDefault="00000000">
          <w:pPr>
            <w:widowControl w:val="0"/>
            <w:tabs>
              <w:tab w:val="right" w:leader="dot" w:pos="12000"/>
            </w:tabs>
            <w:spacing w:before="60"/>
            <w:ind w:left="90"/>
            <w:rPr>
              <w:rFonts w:ascii="Arial" w:eastAsia="Arial" w:hAnsi="Arial" w:cs="Arial"/>
              <w:b/>
              <w:color w:val="000000"/>
              <w:sz w:val="22"/>
              <w:szCs w:val="22"/>
            </w:rPr>
          </w:pPr>
          <w:hyperlink w:anchor="_heading=h.26in1rg">
            <w:r>
              <w:rPr>
                <w:rFonts w:ascii="Arial" w:eastAsia="Arial" w:hAnsi="Arial" w:cs="Arial"/>
                <w:b/>
                <w:color w:val="000000"/>
                <w:sz w:val="22"/>
                <w:szCs w:val="22"/>
              </w:rPr>
              <w:t xml:space="preserve">Actions required from the UK, under </w:t>
            </w:r>
            <w:r w:rsidR="009521D0">
              <w:rPr>
                <w:rFonts w:ascii="Arial" w:eastAsia="Arial" w:hAnsi="Arial" w:cs="Arial"/>
                <w:b/>
                <w:color w:val="000000"/>
                <w:sz w:val="22"/>
                <w:szCs w:val="22"/>
                <w:lang w:val="en-US"/>
              </w:rPr>
              <w:t>I</w:t>
            </w:r>
            <w:r>
              <w:rPr>
                <w:rFonts w:ascii="Arial" w:eastAsia="Arial" w:hAnsi="Arial" w:cs="Arial"/>
                <w:b/>
                <w:color w:val="000000"/>
                <w:sz w:val="22"/>
                <w:szCs w:val="22"/>
              </w:rPr>
              <w:t>CESCR, particularly in its capacity as home State of businesses involved with or in Israel</w:t>
            </w:r>
          </w:hyperlink>
          <w:hyperlink w:anchor="_heading=h.26in1rg">
            <w:r>
              <w:rPr>
                <w:rFonts w:ascii="Arial" w:eastAsia="Arial" w:hAnsi="Arial" w:cs="Arial"/>
                <w:color w:val="000000"/>
                <w:sz w:val="22"/>
                <w:szCs w:val="22"/>
              </w:rPr>
              <w:tab/>
              <w:t>9</w:t>
            </w:r>
          </w:hyperlink>
          <w:r>
            <w:fldChar w:fldCharType="end"/>
          </w:r>
        </w:p>
      </w:sdtContent>
    </w:sdt>
    <w:p w14:paraId="00000019" w14:textId="77777777" w:rsidR="001776FF" w:rsidRDefault="001776FF">
      <w:pPr>
        <w:ind w:left="720"/>
        <w:jc w:val="both"/>
        <w:rPr>
          <w:rFonts w:ascii="Arial" w:eastAsia="Arial" w:hAnsi="Arial" w:cs="Arial"/>
          <w:sz w:val="22"/>
          <w:szCs w:val="22"/>
        </w:rPr>
      </w:pPr>
    </w:p>
    <w:p w14:paraId="0000001A" w14:textId="2D3316BA" w:rsidR="001776FF" w:rsidRPr="0078103E" w:rsidRDefault="00000000">
      <w:pPr>
        <w:pStyle w:val="Heading1"/>
        <w:spacing w:before="0"/>
        <w:jc w:val="both"/>
        <w:rPr>
          <w:rFonts w:ascii="Arial" w:eastAsia="Arial" w:hAnsi="Arial" w:cs="Arial"/>
          <w:b/>
          <w:color w:val="000000"/>
          <w:sz w:val="22"/>
          <w:szCs w:val="22"/>
          <w:lang w:val="en-GB"/>
        </w:rPr>
      </w:pPr>
      <w:bookmarkStart w:id="6" w:name="_heading=h.30j0zll" w:colFirst="0" w:colLast="0"/>
      <w:bookmarkEnd w:id="6"/>
      <w:r w:rsidRPr="0078103E">
        <w:rPr>
          <w:rFonts w:ascii="Arial" w:eastAsia="Arial" w:hAnsi="Arial" w:cs="Arial"/>
          <w:b/>
          <w:color w:val="000000"/>
          <w:sz w:val="22"/>
          <w:szCs w:val="22"/>
          <w:lang w:val="en-GB"/>
        </w:rPr>
        <w:lastRenderedPageBreak/>
        <w:t>The I</w:t>
      </w:r>
      <w:r w:rsidR="005055D0">
        <w:rPr>
          <w:rFonts w:ascii="Arial" w:eastAsia="Arial" w:hAnsi="Arial" w:cs="Arial"/>
          <w:b/>
          <w:color w:val="000000"/>
          <w:sz w:val="22"/>
          <w:szCs w:val="22"/>
          <w:lang w:val="en-GB"/>
        </w:rPr>
        <w:t xml:space="preserve">nternational </w:t>
      </w:r>
      <w:r w:rsidRPr="0078103E">
        <w:rPr>
          <w:rFonts w:ascii="Arial" w:eastAsia="Arial" w:hAnsi="Arial" w:cs="Arial"/>
          <w:b/>
          <w:color w:val="000000"/>
          <w:sz w:val="22"/>
          <w:szCs w:val="22"/>
          <w:lang w:val="en-GB"/>
        </w:rPr>
        <w:t>C</w:t>
      </w:r>
      <w:r w:rsidR="005055D0">
        <w:rPr>
          <w:rFonts w:ascii="Arial" w:eastAsia="Arial" w:hAnsi="Arial" w:cs="Arial"/>
          <w:b/>
          <w:color w:val="000000"/>
          <w:sz w:val="22"/>
          <w:szCs w:val="22"/>
          <w:lang w:val="en-GB"/>
        </w:rPr>
        <w:t xml:space="preserve">ourt of </w:t>
      </w:r>
      <w:r w:rsidRPr="0078103E">
        <w:rPr>
          <w:rFonts w:ascii="Arial" w:eastAsia="Arial" w:hAnsi="Arial" w:cs="Arial"/>
          <w:b/>
          <w:color w:val="000000"/>
          <w:sz w:val="22"/>
          <w:szCs w:val="22"/>
          <w:lang w:val="en-GB"/>
        </w:rPr>
        <w:t>J</w:t>
      </w:r>
      <w:r w:rsidR="005055D0">
        <w:rPr>
          <w:rFonts w:ascii="Arial" w:eastAsia="Arial" w:hAnsi="Arial" w:cs="Arial"/>
          <w:b/>
          <w:color w:val="000000"/>
          <w:sz w:val="22"/>
          <w:szCs w:val="22"/>
          <w:lang w:val="en-GB"/>
        </w:rPr>
        <w:t>ustice</w:t>
      </w:r>
      <w:r w:rsidRPr="0078103E">
        <w:rPr>
          <w:rFonts w:ascii="Arial" w:eastAsia="Arial" w:hAnsi="Arial" w:cs="Arial"/>
          <w:b/>
          <w:color w:val="000000"/>
          <w:sz w:val="22"/>
          <w:szCs w:val="22"/>
          <w:lang w:val="en-GB"/>
        </w:rPr>
        <w:t xml:space="preserve"> advisory opinion on the illegality of Israel’s occupation and breach of human rights law</w:t>
      </w:r>
    </w:p>
    <w:p w14:paraId="0000001B" w14:textId="77777777" w:rsidR="001776FF" w:rsidRPr="0078103E" w:rsidRDefault="001776FF">
      <w:pPr>
        <w:ind w:left="720"/>
        <w:jc w:val="both"/>
        <w:rPr>
          <w:rFonts w:ascii="Arial" w:eastAsia="Arial" w:hAnsi="Arial" w:cs="Arial"/>
          <w:sz w:val="22"/>
          <w:szCs w:val="22"/>
          <w:lang w:val="en-GB"/>
        </w:rPr>
      </w:pPr>
    </w:p>
    <w:p w14:paraId="0000001C" w14:textId="21B6A66D" w:rsidR="001776FF" w:rsidRPr="0078103E" w:rsidRDefault="00000000">
      <w:pPr>
        <w:numPr>
          <w:ilvl w:val="0"/>
          <w:numId w:val="1"/>
        </w:numPr>
        <w:ind w:left="450"/>
        <w:jc w:val="both"/>
        <w:rPr>
          <w:color w:val="000000"/>
          <w:sz w:val="22"/>
          <w:szCs w:val="22"/>
          <w:lang w:val="en-GB"/>
        </w:rPr>
      </w:pPr>
      <w:r w:rsidRPr="0078103E">
        <w:rPr>
          <w:rFonts w:ascii="Arial" w:eastAsia="Arial" w:hAnsi="Arial" w:cs="Arial"/>
          <w:color w:val="000000"/>
          <w:sz w:val="22"/>
          <w:szCs w:val="22"/>
          <w:lang w:val="en-GB"/>
        </w:rPr>
        <w:t>The ICJ's advisory opinion (AO) of 19 July 2024 on the </w:t>
      </w:r>
      <w:hyperlink r:id="rId9">
        <w:r w:rsidRPr="0078103E">
          <w:rPr>
            <w:rFonts w:ascii="Arial" w:eastAsia="Arial" w:hAnsi="Arial" w:cs="Arial"/>
            <w:i/>
            <w:color w:val="000000"/>
            <w:sz w:val="22"/>
            <w:szCs w:val="22"/>
            <w:lang w:val="en-GB"/>
          </w:rPr>
          <w:t>Legal Consequences arising from the Policies and Practices of Israel in the Occupied Palestinian Territory, including East Jerusalem</w:t>
        </w:r>
      </w:hyperlink>
      <w:r w:rsidRPr="0078103E">
        <w:rPr>
          <w:rFonts w:ascii="Arial" w:eastAsia="Arial" w:hAnsi="Arial" w:cs="Arial"/>
          <w:color w:val="000000"/>
          <w:sz w:val="22"/>
          <w:szCs w:val="22"/>
          <w:lang w:val="en-GB"/>
        </w:rPr>
        <w:t xml:space="preserve"> (“the OPT case”),</w:t>
      </w:r>
      <w:r>
        <w:rPr>
          <w:rFonts w:ascii="Arial" w:eastAsia="Arial" w:hAnsi="Arial" w:cs="Arial"/>
          <w:color w:val="000000"/>
          <w:sz w:val="22"/>
          <w:szCs w:val="22"/>
          <w:vertAlign w:val="superscript"/>
        </w:rPr>
        <w:footnoteReference w:id="1"/>
      </w:r>
      <w:r w:rsidRPr="0078103E">
        <w:rPr>
          <w:rFonts w:ascii="Arial" w:eastAsia="Arial" w:hAnsi="Arial" w:cs="Arial"/>
          <w:color w:val="000000"/>
          <w:sz w:val="22"/>
          <w:szCs w:val="22"/>
          <w:lang w:val="en-GB"/>
        </w:rPr>
        <w:t xml:space="preserve">  established several foundational elements: </w:t>
      </w:r>
    </w:p>
    <w:p w14:paraId="0000001D" w14:textId="77777777" w:rsidR="001776FF" w:rsidRPr="0078103E" w:rsidRDefault="00000000">
      <w:pPr>
        <w:numPr>
          <w:ilvl w:val="0"/>
          <w:numId w:val="1"/>
        </w:numPr>
        <w:pBdr>
          <w:top w:val="nil"/>
          <w:left w:val="nil"/>
          <w:bottom w:val="nil"/>
          <w:right w:val="nil"/>
          <w:between w:val="nil"/>
        </w:pBdr>
        <w:ind w:left="450"/>
        <w:jc w:val="both"/>
        <w:rPr>
          <w:color w:val="000000"/>
          <w:sz w:val="22"/>
          <w:szCs w:val="22"/>
          <w:lang w:val="en-GB"/>
        </w:rPr>
      </w:pPr>
      <w:r w:rsidRPr="0078103E">
        <w:rPr>
          <w:rFonts w:ascii="Arial" w:eastAsia="Arial" w:hAnsi="Arial" w:cs="Arial"/>
          <w:sz w:val="22"/>
          <w:szCs w:val="22"/>
          <w:lang w:val="en-GB"/>
        </w:rPr>
        <w:t xml:space="preserve">a) </w:t>
      </w:r>
      <w:r w:rsidRPr="0078103E">
        <w:rPr>
          <w:rFonts w:ascii="Arial" w:eastAsia="Arial" w:hAnsi="Arial" w:cs="Arial"/>
          <w:color w:val="000000"/>
          <w:sz w:val="22"/>
          <w:szCs w:val="22"/>
          <w:lang w:val="en-GB"/>
        </w:rPr>
        <w:t>it determined that Israel's presence in the OPT is unlawful due to its sustained abuse as an occupying power, including through frustration of the Palestinian people’s right to self-determination;</w:t>
      </w:r>
    </w:p>
    <w:p w14:paraId="0000001E" w14:textId="77777777" w:rsidR="001776FF" w:rsidRPr="0078103E" w:rsidRDefault="00000000">
      <w:pPr>
        <w:numPr>
          <w:ilvl w:val="0"/>
          <w:numId w:val="1"/>
        </w:numPr>
        <w:pBdr>
          <w:top w:val="nil"/>
          <w:left w:val="nil"/>
          <w:bottom w:val="nil"/>
          <w:right w:val="nil"/>
          <w:between w:val="nil"/>
        </w:pBdr>
        <w:ind w:left="450"/>
        <w:jc w:val="both"/>
        <w:rPr>
          <w:color w:val="000000"/>
          <w:sz w:val="22"/>
          <w:szCs w:val="22"/>
          <w:lang w:val="en-GB"/>
        </w:rPr>
      </w:pPr>
      <w:r w:rsidRPr="0078103E">
        <w:rPr>
          <w:rFonts w:ascii="Arial" w:eastAsia="Arial" w:hAnsi="Arial" w:cs="Arial"/>
          <w:sz w:val="22"/>
          <w:szCs w:val="22"/>
          <w:lang w:val="en-GB"/>
        </w:rPr>
        <w:t xml:space="preserve">b) </w:t>
      </w:r>
      <w:r w:rsidRPr="0078103E">
        <w:rPr>
          <w:rFonts w:ascii="Arial" w:eastAsia="Arial" w:hAnsi="Arial" w:cs="Arial"/>
          <w:color w:val="000000"/>
          <w:sz w:val="22"/>
          <w:szCs w:val="22"/>
          <w:lang w:val="en-GB"/>
        </w:rPr>
        <w:t xml:space="preserve">it affirmed that self-determination constitutes a peremptory norm of international law in cases of foreign occupation and emphasized the </w:t>
      </w:r>
      <w:proofErr w:type="spellStart"/>
      <w:r w:rsidRPr="0078103E">
        <w:rPr>
          <w:rFonts w:ascii="Arial" w:eastAsia="Arial" w:hAnsi="Arial" w:cs="Arial"/>
          <w:color w:val="000000"/>
          <w:sz w:val="22"/>
          <w:szCs w:val="22"/>
          <w:lang w:val="en-GB"/>
        </w:rPr>
        <w:t>erga</w:t>
      </w:r>
      <w:proofErr w:type="spellEnd"/>
      <w:r w:rsidRPr="0078103E">
        <w:rPr>
          <w:rFonts w:ascii="Arial" w:eastAsia="Arial" w:hAnsi="Arial" w:cs="Arial"/>
          <w:color w:val="000000"/>
          <w:sz w:val="22"/>
          <w:szCs w:val="22"/>
          <w:lang w:val="en-GB"/>
        </w:rPr>
        <w:t xml:space="preserve"> omnes character of Israel's breached obligations – meaning these obligations are owed to the international community as a whole;</w:t>
      </w:r>
    </w:p>
    <w:p w14:paraId="0000001F" w14:textId="52CC109D" w:rsidR="001776FF" w:rsidRPr="0078103E" w:rsidRDefault="00000000">
      <w:pPr>
        <w:numPr>
          <w:ilvl w:val="0"/>
          <w:numId w:val="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color w:val="000000"/>
          <w:sz w:val="22"/>
          <w:szCs w:val="22"/>
          <w:lang w:val="en-GB"/>
        </w:rPr>
      </w:pPr>
      <w:r w:rsidRPr="0078103E">
        <w:rPr>
          <w:rFonts w:ascii="Arial" w:eastAsia="Arial" w:hAnsi="Arial" w:cs="Arial"/>
          <w:sz w:val="22"/>
          <w:szCs w:val="22"/>
          <w:lang w:val="en-GB"/>
        </w:rPr>
        <w:t xml:space="preserve">c) </w:t>
      </w:r>
      <w:r w:rsidRPr="0078103E">
        <w:rPr>
          <w:rFonts w:ascii="Arial" w:eastAsia="Arial" w:hAnsi="Arial" w:cs="Arial"/>
          <w:color w:val="000000"/>
          <w:sz w:val="22"/>
          <w:szCs w:val="22"/>
          <w:lang w:val="en-GB"/>
        </w:rPr>
        <w:t xml:space="preserve">it reviewed in detail </w:t>
      </w:r>
      <w:r w:rsidR="00BE62E7">
        <w:rPr>
          <w:rFonts w:ascii="Arial" w:eastAsia="Arial" w:hAnsi="Arial" w:cs="Arial"/>
          <w:color w:val="000000"/>
          <w:sz w:val="22"/>
          <w:szCs w:val="22"/>
          <w:lang w:val="en-GB"/>
        </w:rPr>
        <w:t xml:space="preserve">the </w:t>
      </w:r>
      <w:r w:rsidRPr="0078103E">
        <w:rPr>
          <w:rFonts w:ascii="Arial" w:eastAsia="Arial" w:hAnsi="Arial" w:cs="Arial"/>
          <w:color w:val="000000"/>
          <w:sz w:val="22"/>
          <w:szCs w:val="22"/>
          <w:lang w:val="en-GB"/>
        </w:rPr>
        <w:t>implications of the regime of policies and practices maintained by Israel on the Palestinian People’s civil, political, economic, social and cultural rights, basing its review on the reports of the independent international fact-finding mission to investigate the implications of the Israeli settlements on the civil, political, economic, social and cultural rights of the Palestinian people,</w:t>
      </w:r>
      <w:r>
        <w:rPr>
          <w:rFonts w:ascii="Arial" w:eastAsia="Arial" w:hAnsi="Arial" w:cs="Arial"/>
          <w:color w:val="000000"/>
          <w:sz w:val="22"/>
          <w:szCs w:val="22"/>
          <w:vertAlign w:val="superscript"/>
        </w:rPr>
        <w:footnoteReference w:id="2"/>
      </w:r>
      <w:r w:rsidRPr="0078103E">
        <w:rPr>
          <w:rFonts w:ascii="Arial" w:eastAsia="Arial" w:hAnsi="Arial" w:cs="Arial"/>
          <w:color w:val="000000"/>
          <w:sz w:val="22"/>
          <w:szCs w:val="22"/>
          <w:lang w:val="en-GB"/>
        </w:rPr>
        <w:t xml:space="preserve"> the reports of the Independent International Commission of Inquiry on the Occupied Palestinian Territory, including East Jerusalem, and Israel</w:t>
      </w:r>
      <w:r>
        <w:rPr>
          <w:rFonts w:ascii="Arial" w:eastAsia="Arial" w:hAnsi="Arial" w:cs="Arial"/>
          <w:color w:val="000000"/>
          <w:sz w:val="22"/>
          <w:szCs w:val="22"/>
          <w:vertAlign w:val="superscript"/>
        </w:rPr>
        <w:footnoteReference w:id="3"/>
      </w:r>
      <w:r w:rsidRPr="0078103E">
        <w:rPr>
          <w:rFonts w:ascii="Arial" w:eastAsia="Arial" w:hAnsi="Arial" w:cs="Arial"/>
          <w:color w:val="000000"/>
          <w:sz w:val="22"/>
          <w:szCs w:val="22"/>
          <w:lang w:val="en-GB"/>
        </w:rPr>
        <w:t xml:space="preserve">, the reports of UN Special Rapporteurs, and several treaty monitoring bodies, including the Human Rights Committee, the Committee on Economic, Social and Cultural Rights and the CERD Committee </w:t>
      </w:r>
      <w:sdt>
        <w:sdtPr>
          <w:tag w:val="goog_rdk_1"/>
          <w:id w:val="-2036269240"/>
        </w:sdtPr>
        <w:sdtContent/>
      </w:sdt>
      <w:r w:rsidRPr="0078103E">
        <w:rPr>
          <w:rFonts w:ascii="Arial" w:eastAsia="Arial" w:hAnsi="Arial" w:cs="Arial"/>
          <w:color w:val="000000"/>
          <w:sz w:val="22"/>
          <w:szCs w:val="22"/>
          <w:lang w:val="en-GB"/>
        </w:rPr>
        <w:t xml:space="preserve">(see for example paragraphs 113, 128 and 129 (in relation to access to water), 219, 233, 241, 242 of the Advisory Opinion). </w:t>
      </w:r>
    </w:p>
    <w:p w14:paraId="00000020" w14:textId="5145094A" w:rsidR="001776FF" w:rsidRPr="0078103E" w:rsidRDefault="00000000">
      <w:pPr>
        <w:numPr>
          <w:ilvl w:val="0"/>
          <w:numId w:val="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sz w:val="22"/>
          <w:szCs w:val="22"/>
          <w:lang w:val="en-GB"/>
        </w:rPr>
      </w:pPr>
      <w:r w:rsidRPr="0078103E">
        <w:rPr>
          <w:rFonts w:ascii="Arial" w:eastAsia="Arial" w:hAnsi="Arial" w:cs="Arial"/>
          <w:sz w:val="22"/>
          <w:szCs w:val="22"/>
          <w:lang w:val="en-GB"/>
        </w:rPr>
        <w:t xml:space="preserve">d) </w:t>
      </w:r>
      <w:r w:rsidR="002C2AFC">
        <w:rPr>
          <w:rFonts w:ascii="Arial" w:eastAsia="Arial" w:hAnsi="Arial" w:cs="Arial"/>
          <w:sz w:val="22"/>
          <w:szCs w:val="22"/>
          <w:lang w:val="en-GB"/>
        </w:rPr>
        <w:t>it</w:t>
      </w:r>
      <w:r w:rsidRPr="0078103E">
        <w:rPr>
          <w:rFonts w:ascii="Arial" w:eastAsia="Arial" w:hAnsi="Arial" w:cs="Arial"/>
          <w:sz w:val="22"/>
          <w:szCs w:val="22"/>
          <w:lang w:val="en-GB"/>
        </w:rPr>
        <w:t xml:space="preserve"> found that legislations adopted and measures taken by Israel, in particular, its residence permit policy (para.195 of the AO); policies restricting freedom of movement (para.206 of the AO); issuance of building permits (para.222 of the AO); punitive demolitions of Palestinian property (para.213 of the AO) amount to systemic discrimination against the Palestinians in the OPT in violation of Article 2(2) of the ICESCR.</w:t>
      </w:r>
    </w:p>
    <w:p w14:paraId="00000021" w14:textId="77777777" w:rsidR="001776FF" w:rsidRDefault="00000000">
      <w:pPr>
        <w:numPr>
          <w:ilvl w:val="0"/>
          <w:numId w:val="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color w:val="000000"/>
          <w:sz w:val="22"/>
          <w:szCs w:val="22"/>
        </w:rPr>
      </w:pPr>
      <w:r w:rsidRPr="0078103E">
        <w:rPr>
          <w:rFonts w:ascii="Arial" w:eastAsia="Arial" w:hAnsi="Arial" w:cs="Arial"/>
          <w:sz w:val="22"/>
          <w:szCs w:val="22"/>
          <w:lang w:val="en-GB"/>
        </w:rPr>
        <w:t xml:space="preserve">e) </w:t>
      </w:r>
      <w:r w:rsidRPr="0078103E">
        <w:rPr>
          <w:rFonts w:ascii="Arial" w:eastAsia="Arial" w:hAnsi="Arial" w:cs="Arial"/>
          <w:color w:val="000000"/>
          <w:sz w:val="22"/>
          <w:szCs w:val="22"/>
          <w:lang w:val="en-GB"/>
        </w:rPr>
        <w:t xml:space="preserve">it underlined that the centrality of the right to self-determination in international law is also reflected in its inclusion as common Article 1 of the ICESCR and the ICCPR, the first paragraph of which provides: “All peoples have the right of self-determination. By virtue of that right, they freely determine their political status and freely pursue their economic, social and cultural development” (para. </w:t>
      </w:r>
      <w:r>
        <w:rPr>
          <w:rFonts w:ascii="Arial" w:eastAsia="Arial" w:hAnsi="Arial" w:cs="Arial"/>
          <w:color w:val="000000"/>
          <w:sz w:val="22"/>
          <w:szCs w:val="22"/>
        </w:rPr>
        <w:t xml:space="preserve">233 of the AO). </w:t>
      </w:r>
    </w:p>
    <w:p w14:paraId="00000022" w14:textId="77777777" w:rsidR="001776FF" w:rsidRDefault="00000000">
      <w:pPr>
        <w:numPr>
          <w:ilvl w:val="0"/>
          <w:numId w:val="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color w:val="000000"/>
          <w:sz w:val="22"/>
          <w:szCs w:val="22"/>
        </w:rPr>
      </w:pPr>
      <w:r w:rsidRPr="0078103E">
        <w:rPr>
          <w:rFonts w:ascii="Arial" w:eastAsia="Arial" w:hAnsi="Arial" w:cs="Arial"/>
          <w:sz w:val="22"/>
          <w:szCs w:val="22"/>
          <w:lang w:val="en-GB"/>
        </w:rPr>
        <w:t xml:space="preserve">f) </w:t>
      </w:r>
      <w:r w:rsidRPr="0078103E">
        <w:rPr>
          <w:rFonts w:ascii="Arial" w:eastAsia="Arial" w:hAnsi="Arial" w:cs="Arial"/>
          <w:color w:val="000000"/>
          <w:sz w:val="22"/>
          <w:szCs w:val="22"/>
          <w:lang w:val="en-GB"/>
        </w:rPr>
        <w:t xml:space="preserve">it considered “that Israel’s policies and practices obstruct the right of the Palestinian people freely to determine its political status and to pursue its economic, social and cultural development” (para. </w:t>
      </w:r>
      <w:r>
        <w:rPr>
          <w:rFonts w:ascii="Arial" w:eastAsia="Arial" w:hAnsi="Arial" w:cs="Arial"/>
          <w:color w:val="000000"/>
          <w:sz w:val="22"/>
          <w:szCs w:val="22"/>
        </w:rPr>
        <w:t>242).</w:t>
      </w:r>
    </w:p>
    <w:p w14:paraId="00000023" w14:textId="77777777" w:rsidR="001776FF" w:rsidRPr="0078103E" w:rsidRDefault="00000000">
      <w:pPr>
        <w:numPr>
          <w:ilvl w:val="0"/>
          <w:numId w:val="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color w:val="000000"/>
          <w:sz w:val="22"/>
          <w:szCs w:val="22"/>
          <w:lang w:val="en-GB"/>
        </w:rPr>
      </w:pPr>
      <w:r w:rsidRPr="0078103E">
        <w:rPr>
          <w:rFonts w:ascii="Arial" w:eastAsia="Arial" w:hAnsi="Arial" w:cs="Arial"/>
          <w:sz w:val="22"/>
          <w:szCs w:val="22"/>
          <w:lang w:val="en-GB"/>
        </w:rPr>
        <w:t xml:space="preserve">g) </w:t>
      </w:r>
      <w:r w:rsidRPr="0078103E">
        <w:rPr>
          <w:rFonts w:ascii="Arial" w:eastAsia="Arial" w:hAnsi="Arial" w:cs="Arial"/>
          <w:color w:val="000000"/>
          <w:sz w:val="22"/>
          <w:szCs w:val="22"/>
          <w:lang w:val="en-GB"/>
        </w:rPr>
        <w:t>it stressed that Israel remains bound to comply with its obligation to respect the right of the Palestinian people to self-determination and with its obligations under international humanitarian law and international human rights law</w:t>
      </w:r>
      <w:r>
        <w:rPr>
          <w:rFonts w:ascii="Arial" w:eastAsia="Arial" w:hAnsi="Arial" w:cs="Arial"/>
          <w:color w:val="000000"/>
          <w:sz w:val="22"/>
          <w:szCs w:val="22"/>
          <w:vertAlign w:val="superscript"/>
        </w:rPr>
        <w:footnoteReference w:id="4"/>
      </w:r>
      <w:r w:rsidRPr="0078103E">
        <w:rPr>
          <w:rFonts w:ascii="Arial" w:eastAsia="Arial" w:hAnsi="Arial" w:cs="Arial"/>
          <w:color w:val="000000"/>
          <w:sz w:val="22"/>
          <w:szCs w:val="22"/>
          <w:lang w:val="en-GB"/>
        </w:rPr>
        <w:t xml:space="preserve"> and that all States must co-operate with the United Nations to put into effect modalities required to ensure an end to Israel’s illegal presence in the Occupied Palestinian Territory and the full realization of the right of the Palestinian people to self-determination (see page 6 summary of the AO).</w:t>
      </w:r>
    </w:p>
    <w:p w14:paraId="00000024" w14:textId="11A39D21" w:rsidR="001776FF" w:rsidRPr="0078103E" w:rsidRDefault="00000000">
      <w:pPr>
        <w:numPr>
          <w:ilvl w:val="0"/>
          <w:numId w:val="1"/>
        </w:numPr>
        <w:pBdr>
          <w:top w:val="nil"/>
          <w:left w:val="nil"/>
          <w:bottom w:val="nil"/>
          <w:right w:val="nil"/>
          <w:between w:val="nil"/>
        </w:pBdr>
        <w:ind w:left="450"/>
        <w:jc w:val="both"/>
        <w:rPr>
          <w:color w:val="000000"/>
          <w:sz w:val="22"/>
          <w:szCs w:val="22"/>
          <w:lang w:val="en-GB"/>
        </w:rPr>
      </w:pPr>
      <w:r w:rsidRPr="0078103E">
        <w:rPr>
          <w:rFonts w:ascii="Arial" w:eastAsia="Arial" w:hAnsi="Arial" w:cs="Arial"/>
          <w:sz w:val="22"/>
          <w:szCs w:val="22"/>
          <w:lang w:val="en-GB"/>
        </w:rPr>
        <w:t xml:space="preserve">h) </w:t>
      </w:r>
      <w:r w:rsidRPr="0078103E">
        <w:rPr>
          <w:rFonts w:ascii="Arial" w:eastAsia="Arial" w:hAnsi="Arial" w:cs="Arial"/>
          <w:color w:val="000000"/>
          <w:sz w:val="22"/>
          <w:szCs w:val="22"/>
          <w:lang w:val="en-GB"/>
        </w:rPr>
        <w:t xml:space="preserve">it stressed that all States should </w:t>
      </w:r>
      <w:r w:rsidRPr="0078103E">
        <w:rPr>
          <w:rFonts w:ascii="Arial" w:eastAsia="Arial" w:hAnsi="Arial" w:cs="Arial"/>
          <w:color w:val="000000"/>
          <w:sz w:val="22"/>
          <w:szCs w:val="22"/>
          <w:highlight w:val="white"/>
          <w:lang w:val="en-GB"/>
        </w:rPr>
        <w:t>ensure that any impediment</w:t>
      </w:r>
      <w:r w:rsidRPr="0078103E">
        <w:rPr>
          <w:rFonts w:ascii="Arial" w:eastAsia="Arial" w:hAnsi="Arial" w:cs="Arial"/>
          <w:sz w:val="22"/>
          <w:szCs w:val="22"/>
          <w:highlight w:val="white"/>
          <w:lang w:val="en-GB"/>
        </w:rPr>
        <w:t xml:space="preserve">, </w:t>
      </w:r>
      <w:r w:rsidRPr="0078103E">
        <w:rPr>
          <w:rFonts w:ascii="Arial" w:eastAsia="Arial" w:hAnsi="Arial" w:cs="Arial"/>
          <w:color w:val="000000"/>
          <w:sz w:val="22"/>
          <w:szCs w:val="22"/>
          <w:highlight w:val="white"/>
          <w:lang w:val="en-GB"/>
        </w:rPr>
        <w:t>resulting from Israel’s illegal presence in the OPT</w:t>
      </w:r>
      <w:r w:rsidRPr="0078103E">
        <w:rPr>
          <w:rFonts w:ascii="Arial" w:eastAsia="Arial" w:hAnsi="Arial" w:cs="Arial"/>
          <w:sz w:val="22"/>
          <w:szCs w:val="22"/>
          <w:highlight w:val="white"/>
          <w:lang w:val="en-GB"/>
        </w:rPr>
        <w:t>,</w:t>
      </w:r>
      <w:r w:rsidRPr="0078103E">
        <w:rPr>
          <w:rFonts w:ascii="Arial" w:eastAsia="Arial" w:hAnsi="Arial" w:cs="Arial"/>
          <w:color w:val="000000"/>
          <w:sz w:val="22"/>
          <w:szCs w:val="22"/>
          <w:highlight w:val="white"/>
          <w:lang w:val="en-GB"/>
        </w:rPr>
        <w:t xml:space="preserve"> to the exercise of the Palestinian people of their right to self-determination is brought to an end, and underlined the obligation not to render aid or assistance in maintaining the illegal situation created by Israel. </w:t>
      </w:r>
    </w:p>
    <w:p w14:paraId="00000025" w14:textId="77777777" w:rsidR="001776FF" w:rsidRPr="0078103E" w:rsidRDefault="001776FF">
      <w:pPr>
        <w:pStyle w:val="Heading1"/>
        <w:spacing w:before="0"/>
        <w:jc w:val="both"/>
        <w:rPr>
          <w:rFonts w:ascii="Arial" w:eastAsia="Arial" w:hAnsi="Arial" w:cs="Arial"/>
          <w:b/>
          <w:color w:val="000000"/>
          <w:sz w:val="22"/>
          <w:szCs w:val="22"/>
          <w:lang w:val="en-GB"/>
        </w:rPr>
      </w:pPr>
      <w:bookmarkStart w:id="7" w:name="_heading=h.gf4b6dpempr" w:colFirst="0" w:colLast="0"/>
      <w:bookmarkEnd w:id="7"/>
    </w:p>
    <w:p w14:paraId="00000026" w14:textId="77777777" w:rsidR="001776FF" w:rsidRPr="0078103E" w:rsidRDefault="00000000">
      <w:pPr>
        <w:pStyle w:val="Heading1"/>
        <w:spacing w:before="0"/>
        <w:jc w:val="both"/>
        <w:rPr>
          <w:rFonts w:ascii="Arial" w:eastAsia="Arial" w:hAnsi="Arial" w:cs="Arial"/>
          <w:b/>
          <w:color w:val="000000"/>
          <w:sz w:val="22"/>
          <w:szCs w:val="22"/>
          <w:lang w:val="en-GB"/>
        </w:rPr>
      </w:pPr>
      <w:bookmarkStart w:id="8" w:name="_heading=h.1fob9te" w:colFirst="0" w:colLast="0"/>
      <w:bookmarkEnd w:id="8"/>
      <w:r w:rsidRPr="0078103E">
        <w:rPr>
          <w:rFonts w:ascii="Arial" w:eastAsia="Arial" w:hAnsi="Arial" w:cs="Arial"/>
          <w:b/>
          <w:color w:val="000000"/>
          <w:sz w:val="22"/>
          <w:szCs w:val="22"/>
          <w:lang w:val="en-GB"/>
        </w:rPr>
        <w:t>Third States’ obligations in light of the legal consequences triggered by Israel’s wrongful acts</w:t>
      </w:r>
    </w:p>
    <w:p w14:paraId="00000027" w14:textId="77777777" w:rsidR="001776FF" w:rsidRPr="0078103E" w:rsidRDefault="001776FF">
      <w:pPr>
        <w:jc w:val="both"/>
        <w:rPr>
          <w:rFonts w:ascii="Arial" w:eastAsia="Arial" w:hAnsi="Arial" w:cs="Arial"/>
          <w:sz w:val="22"/>
          <w:szCs w:val="22"/>
          <w:lang w:val="en-GB"/>
        </w:rPr>
      </w:pPr>
    </w:p>
    <w:p w14:paraId="00000028" w14:textId="77777777" w:rsidR="001776FF" w:rsidRDefault="00000000">
      <w:pPr>
        <w:numPr>
          <w:ilvl w:val="0"/>
          <w:numId w:val="1"/>
        </w:numPr>
        <w:ind w:left="450"/>
        <w:jc w:val="both"/>
        <w:rPr>
          <w:color w:val="000000"/>
          <w:sz w:val="22"/>
          <w:szCs w:val="22"/>
        </w:rPr>
      </w:pPr>
      <w:r w:rsidRPr="0078103E">
        <w:rPr>
          <w:rFonts w:ascii="Arial" w:eastAsia="Arial" w:hAnsi="Arial" w:cs="Arial"/>
          <w:color w:val="000000"/>
          <w:sz w:val="22"/>
          <w:szCs w:val="22"/>
          <w:lang w:val="en-GB"/>
        </w:rPr>
        <w:t xml:space="preserve">In light of the ICJ’s determination of Israel’s serious breach of obligations under </w:t>
      </w:r>
      <w:proofErr w:type="spellStart"/>
      <w:r w:rsidRPr="0078103E">
        <w:rPr>
          <w:rFonts w:ascii="Arial" w:eastAsia="Arial" w:hAnsi="Arial" w:cs="Arial"/>
          <w:color w:val="000000"/>
          <w:sz w:val="22"/>
          <w:szCs w:val="22"/>
          <w:lang w:val="en-GB"/>
        </w:rPr>
        <w:t>erga</w:t>
      </w:r>
      <w:proofErr w:type="spellEnd"/>
      <w:r w:rsidRPr="0078103E">
        <w:rPr>
          <w:rFonts w:ascii="Arial" w:eastAsia="Arial" w:hAnsi="Arial" w:cs="Arial"/>
          <w:color w:val="000000"/>
          <w:sz w:val="22"/>
          <w:szCs w:val="22"/>
          <w:lang w:val="en-GB"/>
        </w:rPr>
        <w:t xml:space="preserve"> omnes and peremptory norms, including the right to self-determination of the Palestinian people,</w:t>
      </w:r>
      <w:r>
        <w:rPr>
          <w:rFonts w:ascii="Arial" w:eastAsia="Arial" w:hAnsi="Arial" w:cs="Arial"/>
          <w:color w:val="000000"/>
          <w:sz w:val="22"/>
          <w:szCs w:val="22"/>
          <w:vertAlign w:val="superscript"/>
        </w:rPr>
        <w:footnoteReference w:id="5"/>
      </w:r>
      <w:r w:rsidRPr="0078103E">
        <w:rPr>
          <w:rFonts w:ascii="Arial" w:eastAsia="Arial" w:hAnsi="Arial" w:cs="Arial"/>
          <w:color w:val="000000"/>
          <w:sz w:val="22"/>
          <w:szCs w:val="22"/>
          <w:lang w:val="en-GB"/>
        </w:rPr>
        <w:t xml:space="preserve"> </w:t>
      </w:r>
      <w:r w:rsidRPr="0078103E">
        <w:rPr>
          <w:rFonts w:ascii="Arial" w:eastAsia="Arial" w:hAnsi="Arial" w:cs="Arial"/>
          <w:sz w:val="22"/>
          <w:szCs w:val="22"/>
          <w:lang w:val="en-GB"/>
        </w:rPr>
        <w:t>Third</w:t>
      </w:r>
      <w:r w:rsidRPr="0078103E">
        <w:rPr>
          <w:rFonts w:ascii="Arial" w:eastAsia="Arial" w:hAnsi="Arial" w:cs="Arial"/>
          <w:color w:val="000000"/>
          <w:sz w:val="22"/>
          <w:szCs w:val="22"/>
          <w:lang w:val="en-GB"/>
        </w:rPr>
        <w:t xml:space="preserve"> States face legal obligations arising under the law of State international responsibility as reflected under the </w:t>
      </w:r>
      <w:r w:rsidRPr="0078103E">
        <w:rPr>
          <w:rFonts w:ascii="Arial" w:eastAsia="Arial" w:hAnsi="Arial" w:cs="Arial"/>
          <w:color w:val="000000"/>
          <w:sz w:val="22"/>
          <w:szCs w:val="22"/>
          <w:highlight w:val="white"/>
          <w:lang w:val="en-GB"/>
        </w:rPr>
        <w:t>Articles on Responsibility of States for Internationally Wrongful Acts (ARSIWA).</w:t>
      </w:r>
      <w:r w:rsidRPr="0078103E">
        <w:rPr>
          <w:rFonts w:ascii="Arial" w:eastAsia="Arial" w:hAnsi="Arial" w:cs="Arial"/>
          <w:color w:val="000000"/>
          <w:sz w:val="22"/>
          <w:szCs w:val="22"/>
          <w:lang w:val="en-GB"/>
        </w:rPr>
        <w:t xml:space="preserve"> </w:t>
      </w:r>
      <w:r>
        <w:rPr>
          <w:rFonts w:ascii="Arial" w:eastAsia="Arial" w:hAnsi="Arial" w:cs="Arial"/>
          <w:color w:val="000000"/>
          <w:sz w:val="22"/>
          <w:szCs w:val="22"/>
        </w:rPr>
        <w:t xml:space="preserve">Article 41 ARSIWA </w:t>
      </w:r>
      <w:r>
        <w:rPr>
          <w:rFonts w:ascii="Arial" w:eastAsia="Arial" w:hAnsi="Arial" w:cs="Arial"/>
          <w:color w:val="000000"/>
          <w:sz w:val="22"/>
          <w:szCs w:val="22"/>
          <w:highlight w:val="white"/>
        </w:rPr>
        <w:t>provides</w:t>
      </w:r>
      <w:r>
        <w:rPr>
          <w:rFonts w:ascii="Arial" w:eastAsia="Arial" w:hAnsi="Arial" w:cs="Arial"/>
          <w:color w:val="000000"/>
          <w:sz w:val="22"/>
          <w:szCs w:val="22"/>
        </w:rPr>
        <w:t xml:space="preserve"> that:</w:t>
      </w:r>
    </w:p>
    <w:p w14:paraId="00000029" w14:textId="77777777" w:rsidR="001776FF" w:rsidRDefault="001776FF">
      <w:pPr>
        <w:ind w:left="720"/>
        <w:jc w:val="both"/>
        <w:rPr>
          <w:rFonts w:ascii="Arial" w:eastAsia="Arial" w:hAnsi="Arial" w:cs="Arial"/>
          <w:sz w:val="22"/>
          <w:szCs w:val="22"/>
        </w:rPr>
      </w:pPr>
    </w:p>
    <w:p w14:paraId="0000002A" w14:textId="77777777" w:rsidR="001776FF" w:rsidRPr="0078103E" w:rsidRDefault="00000000">
      <w:pPr>
        <w:numPr>
          <w:ilvl w:val="0"/>
          <w:numId w:val="1"/>
        </w:numPr>
        <w:pBdr>
          <w:top w:val="nil"/>
          <w:left w:val="nil"/>
          <w:bottom w:val="nil"/>
          <w:right w:val="nil"/>
          <w:between w:val="nil"/>
        </w:pBdr>
        <w:ind w:left="900" w:hanging="810"/>
        <w:jc w:val="both"/>
        <w:rPr>
          <w:color w:val="000000"/>
          <w:sz w:val="22"/>
          <w:szCs w:val="22"/>
          <w:lang w:val="en-GB"/>
        </w:rPr>
      </w:pPr>
      <w:bookmarkStart w:id="9" w:name="_heading=h.3znysh7" w:colFirst="0" w:colLast="0"/>
      <w:bookmarkEnd w:id="9"/>
      <w:r w:rsidRPr="0078103E">
        <w:rPr>
          <w:rFonts w:ascii="Arial" w:eastAsia="Arial" w:hAnsi="Arial" w:cs="Arial"/>
          <w:color w:val="000000"/>
          <w:sz w:val="22"/>
          <w:szCs w:val="22"/>
          <w:lang w:val="en-GB"/>
        </w:rPr>
        <w:t xml:space="preserve">1. States </w:t>
      </w:r>
      <w:r w:rsidRPr="0078103E">
        <w:rPr>
          <w:rFonts w:ascii="Arial" w:eastAsia="Arial" w:hAnsi="Arial" w:cs="Arial"/>
          <w:i/>
          <w:color w:val="000000"/>
          <w:sz w:val="22"/>
          <w:szCs w:val="22"/>
          <w:lang w:val="en-GB"/>
        </w:rPr>
        <w:t>shall cooperate</w:t>
      </w:r>
      <w:r w:rsidRPr="0078103E">
        <w:rPr>
          <w:rFonts w:ascii="Arial" w:eastAsia="Arial" w:hAnsi="Arial" w:cs="Arial"/>
          <w:color w:val="000000"/>
          <w:sz w:val="22"/>
          <w:szCs w:val="22"/>
          <w:lang w:val="en-GB"/>
        </w:rPr>
        <w:t xml:space="preserve"> to bring to an end through lawful means any serious breach within the meaning of article 40</w:t>
      </w:r>
      <w:r w:rsidRPr="0078103E">
        <w:rPr>
          <w:rFonts w:ascii="Arial" w:eastAsia="Arial" w:hAnsi="Arial" w:cs="Arial"/>
          <w:sz w:val="22"/>
          <w:szCs w:val="22"/>
          <w:lang w:val="en-GB"/>
        </w:rPr>
        <w:t>.</w:t>
      </w:r>
    </w:p>
    <w:p w14:paraId="0000002C" w14:textId="216920B2" w:rsidR="001776FF" w:rsidRPr="0078103E" w:rsidRDefault="00000000" w:rsidP="00E37F1A">
      <w:pPr>
        <w:pBdr>
          <w:top w:val="nil"/>
          <w:left w:val="nil"/>
          <w:bottom w:val="nil"/>
          <w:right w:val="nil"/>
          <w:between w:val="nil"/>
        </w:pBdr>
        <w:ind w:left="900"/>
        <w:jc w:val="both"/>
        <w:rPr>
          <w:rFonts w:ascii="Arial" w:eastAsia="Arial" w:hAnsi="Arial" w:cs="Arial"/>
          <w:color w:val="000000"/>
          <w:sz w:val="22"/>
          <w:szCs w:val="22"/>
          <w:lang w:val="en-GB"/>
        </w:rPr>
      </w:pPr>
      <w:bookmarkStart w:id="10" w:name="_heading=h.47s4jcvlp034" w:colFirst="0" w:colLast="0"/>
      <w:bookmarkEnd w:id="10"/>
      <w:r w:rsidRPr="0078103E">
        <w:rPr>
          <w:rFonts w:ascii="Arial" w:eastAsia="Arial" w:hAnsi="Arial" w:cs="Arial"/>
          <w:color w:val="000000"/>
          <w:sz w:val="22"/>
          <w:szCs w:val="22"/>
          <w:lang w:val="en-GB"/>
        </w:rPr>
        <w:t xml:space="preserve">2. No State shall recognize as lawful a situation created by a serious breach within the meaning of article 40, nor </w:t>
      </w:r>
      <w:r w:rsidRPr="0078103E">
        <w:rPr>
          <w:rFonts w:ascii="Arial" w:eastAsia="Arial" w:hAnsi="Arial" w:cs="Arial"/>
          <w:i/>
          <w:color w:val="000000"/>
          <w:sz w:val="22"/>
          <w:szCs w:val="22"/>
          <w:lang w:val="en-GB"/>
        </w:rPr>
        <w:t>render aid or assistance</w:t>
      </w:r>
      <w:r w:rsidRPr="0078103E">
        <w:rPr>
          <w:rFonts w:ascii="Arial" w:eastAsia="Arial" w:hAnsi="Arial" w:cs="Arial"/>
          <w:color w:val="000000"/>
          <w:sz w:val="22"/>
          <w:szCs w:val="22"/>
          <w:lang w:val="en-GB"/>
        </w:rPr>
        <w:t xml:space="preserve"> in maintaining that situation.</w:t>
      </w:r>
      <w:r>
        <w:rPr>
          <w:rFonts w:ascii="Arial" w:eastAsia="Arial" w:hAnsi="Arial" w:cs="Arial"/>
          <w:color w:val="000000"/>
          <w:sz w:val="22"/>
          <w:szCs w:val="22"/>
          <w:vertAlign w:val="superscript"/>
        </w:rPr>
        <w:footnoteReference w:id="6"/>
      </w:r>
      <w:r w:rsidRPr="0078103E">
        <w:rPr>
          <w:rFonts w:ascii="Arial" w:eastAsia="Arial" w:hAnsi="Arial" w:cs="Arial"/>
          <w:color w:val="000000"/>
          <w:sz w:val="22"/>
          <w:szCs w:val="22"/>
          <w:lang w:val="en-GB"/>
        </w:rPr>
        <w:t xml:space="preserve"> </w:t>
      </w:r>
    </w:p>
    <w:p w14:paraId="0000002E" w14:textId="3D3EC9C0" w:rsidR="001776FF" w:rsidRPr="0078103E" w:rsidRDefault="00000000" w:rsidP="0078103E">
      <w:pPr>
        <w:pStyle w:val="Heading2"/>
        <w:spacing w:before="0" w:after="0"/>
        <w:jc w:val="both"/>
        <w:rPr>
          <w:rFonts w:ascii="Arial" w:eastAsia="Arial" w:hAnsi="Arial" w:cs="Arial"/>
          <w:i/>
          <w:color w:val="000000"/>
          <w:sz w:val="22"/>
          <w:szCs w:val="22"/>
          <w:lang w:val="en-GB"/>
        </w:rPr>
      </w:pPr>
      <w:bookmarkStart w:id="11" w:name="_heading=h.2et92p0" w:colFirst="0" w:colLast="0"/>
      <w:bookmarkEnd w:id="11"/>
      <w:r w:rsidRPr="0078103E">
        <w:rPr>
          <w:rFonts w:ascii="Arial" w:eastAsia="Arial" w:hAnsi="Arial" w:cs="Arial"/>
          <w:i/>
          <w:color w:val="000000"/>
          <w:sz w:val="22"/>
          <w:szCs w:val="22"/>
          <w:lang w:val="en-GB"/>
        </w:rPr>
        <w:t>The obligation to cooperate to bring an end to the breach and not to assist in maintaining the illegality</w:t>
      </w:r>
    </w:p>
    <w:p w14:paraId="0000002F" w14:textId="77777777" w:rsidR="001776FF" w:rsidRPr="0078103E" w:rsidRDefault="00000000">
      <w:pPr>
        <w:numPr>
          <w:ilvl w:val="0"/>
          <w:numId w:val="1"/>
        </w:numPr>
        <w:ind w:left="450"/>
        <w:jc w:val="both"/>
        <w:rPr>
          <w:color w:val="000000"/>
          <w:sz w:val="22"/>
          <w:szCs w:val="22"/>
          <w:lang w:val="en-GB"/>
        </w:rPr>
      </w:pPr>
      <w:r w:rsidRPr="0078103E">
        <w:rPr>
          <w:rFonts w:ascii="Arial" w:eastAsia="Arial" w:hAnsi="Arial" w:cs="Arial"/>
          <w:color w:val="000000"/>
          <w:sz w:val="22"/>
          <w:szCs w:val="22"/>
          <w:lang w:val="en-GB"/>
        </w:rPr>
        <w:t>The</w:t>
      </w:r>
      <w:r w:rsidRPr="0078103E">
        <w:rPr>
          <w:rFonts w:ascii="Arial" w:eastAsia="Arial" w:hAnsi="Arial" w:cs="Arial"/>
          <w:color w:val="000000"/>
          <w:sz w:val="22"/>
          <w:szCs w:val="22"/>
          <w:highlight w:val="white"/>
          <w:lang w:val="en-GB"/>
        </w:rPr>
        <w:t xml:space="preserve"> duty to cooperate as per Article 41 (1) ARSIWA sets a positive obligation on all States to take part in public action on behalf of the international community to protect common interests. </w:t>
      </w:r>
      <w:r w:rsidRPr="0078103E">
        <w:rPr>
          <w:rFonts w:ascii="Arial" w:eastAsia="Arial" w:hAnsi="Arial" w:cs="Arial"/>
          <w:color w:val="000000"/>
          <w:sz w:val="22"/>
          <w:szCs w:val="22"/>
          <w:lang w:val="en-GB"/>
        </w:rPr>
        <w:t xml:space="preserve">The International Law Commission’s (ILC’s) commentary on Article 41 </w:t>
      </w:r>
      <w:r w:rsidRPr="0078103E">
        <w:rPr>
          <w:rFonts w:ascii="Arial" w:eastAsia="Arial" w:hAnsi="Arial" w:cs="Arial"/>
          <w:color w:val="000000"/>
          <w:sz w:val="22"/>
          <w:szCs w:val="22"/>
          <w:highlight w:val="white"/>
          <w:lang w:val="en-GB"/>
        </w:rPr>
        <w:t>stresses that</w:t>
      </w:r>
      <w:r w:rsidRPr="0078103E">
        <w:rPr>
          <w:rFonts w:ascii="Arial" w:eastAsia="Arial" w:hAnsi="Arial" w:cs="Arial"/>
          <w:color w:val="000000"/>
          <w:sz w:val="22"/>
          <w:szCs w:val="22"/>
          <w:lang w:val="en-GB"/>
        </w:rPr>
        <w:t xml:space="preserve">: </w:t>
      </w:r>
    </w:p>
    <w:p w14:paraId="00000030" w14:textId="77777777" w:rsidR="001776FF" w:rsidRPr="0078103E" w:rsidRDefault="00000000">
      <w:pPr>
        <w:numPr>
          <w:ilvl w:val="0"/>
          <w:numId w:val="1"/>
        </w:numPr>
        <w:ind w:left="810" w:hanging="720"/>
        <w:jc w:val="both"/>
        <w:rPr>
          <w:color w:val="000000"/>
          <w:sz w:val="22"/>
          <w:szCs w:val="22"/>
          <w:lang w:val="en-GB"/>
        </w:rPr>
      </w:pPr>
      <w:r w:rsidRPr="0078103E">
        <w:rPr>
          <w:rFonts w:ascii="Arial" w:eastAsia="Arial" w:hAnsi="Arial" w:cs="Arial"/>
          <w:color w:val="000000"/>
          <w:sz w:val="22"/>
          <w:szCs w:val="22"/>
          <w:lang w:val="en-GB"/>
        </w:rPr>
        <w:t xml:space="preserve">(2) States are under a positive duty to cooperate in order to bring to an </w:t>
      </w:r>
      <w:proofErr w:type="gramStart"/>
      <w:r w:rsidRPr="0078103E">
        <w:rPr>
          <w:rFonts w:ascii="Arial" w:eastAsia="Arial" w:hAnsi="Arial" w:cs="Arial"/>
          <w:color w:val="000000"/>
          <w:sz w:val="22"/>
          <w:szCs w:val="22"/>
          <w:lang w:val="en-GB"/>
        </w:rPr>
        <w:t>end serious breaches</w:t>
      </w:r>
      <w:proofErr w:type="gramEnd"/>
      <w:r w:rsidRPr="0078103E">
        <w:rPr>
          <w:rFonts w:ascii="Arial" w:eastAsia="Arial" w:hAnsi="Arial" w:cs="Arial"/>
          <w:color w:val="000000"/>
          <w:sz w:val="22"/>
          <w:szCs w:val="22"/>
          <w:lang w:val="en-GB"/>
        </w:rPr>
        <w:t xml:space="preserve"> in the sense of article 40. </w:t>
      </w:r>
      <w:proofErr w:type="gramStart"/>
      <w:r w:rsidRPr="0078103E">
        <w:rPr>
          <w:rFonts w:ascii="Arial" w:eastAsia="Arial" w:hAnsi="Arial" w:cs="Arial"/>
          <w:sz w:val="22"/>
          <w:szCs w:val="22"/>
          <w:lang w:val="en-GB"/>
        </w:rPr>
        <w:t>[...]</w:t>
      </w:r>
      <w:r w:rsidRPr="0078103E">
        <w:rPr>
          <w:rFonts w:ascii="Arial" w:eastAsia="Arial" w:hAnsi="Arial" w:cs="Arial"/>
          <w:color w:val="000000"/>
          <w:sz w:val="22"/>
          <w:szCs w:val="22"/>
          <w:lang w:val="en-GB"/>
        </w:rPr>
        <w:t>“</w:t>
      </w:r>
      <w:proofErr w:type="gramEnd"/>
      <w:r w:rsidRPr="0078103E">
        <w:rPr>
          <w:rFonts w:ascii="Arial" w:eastAsia="Arial" w:hAnsi="Arial" w:cs="Arial"/>
          <w:color w:val="000000"/>
          <w:sz w:val="22"/>
          <w:szCs w:val="22"/>
          <w:lang w:val="en-GB"/>
        </w:rPr>
        <w:t>(3) …It is… made clear that the obligation to cooperate applies to States whether or not they are individually affected by the serious breach. What is called for in the face of serious breaches is a joint and coordinated effort by all States to counteract the effects of these breaches.</w:t>
      </w:r>
      <w:r>
        <w:rPr>
          <w:rFonts w:ascii="Arial" w:eastAsia="Arial" w:hAnsi="Arial" w:cs="Arial"/>
          <w:color w:val="000000"/>
          <w:sz w:val="22"/>
          <w:szCs w:val="22"/>
          <w:highlight w:val="white"/>
          <w:vertAlign w:val="superscript"/>
        </w:rPr>
        <w:footnoteReference w:id="7"/>
      </w:r>
      <w:r w:rsidRPr="0078103E">
        <w:rPr>
          <w:rFonts w:ascii="Arial" w:eastAsia="Arial" w:hAnsi="Arial" w:cs="Arial"/>
          <w:color w:val="000000"/>
          <w:sz w:val="22"/>
          <w:szCs w:val="22"/>
          <w:highlight w:val="white"/>
          <w:lang w:val="en-GB"/>
        </w:rPr>
        <w:t xml:space="preserve"> </w:t>
      </w:r>
    </w:p>
    <w:p w14:paraId="00000031" w14:textId="77777777" w:rsidR="001776FF" w:rsidRPr="0078103E" w:rsidRDefault="00000000">
      <w:pPr>
        <w:numPr>
          <w:ilvl w:val="0"/>
          <w:numId w:val="1"/>
        </w:numPr>
        <w:ind w:left="450"/>
        <w:jc w:val="both"/>
        <w:rPr>
          <w:color w:val="000000"/>
          <w:sz w:val="22"/>
          <w:szCs w:val="22"/>
          <w:lang w:val="en-GB"/>
        </w:rPr>
      </w:pPr>
      <w:r w:rsidRPr="0078103E">
        <w:rPr>
          <w:rFonts w:ascii="Arial" w:eastAsia="Arial" w:hAnsi="Arial" w:cs="Arial"/>
          <w:color w:val="000000"/>
          <w:sz w:val="22"/>
          <w:szCs w:val="22"/>
          <w:highlight w:val="white"/>
          <w:lang w:val="en-GB"/>
        </w:rPr>
        <w:t>This obligation entails some form of collective response through the organized international community (such as UN action), but also “ensure that States support measures that fall short of being obligatory by a decision of the Security Council”.</w:t>
      </w:r>
      <w:r>
        <w:rPr>
          <w:rFonts w:ascii="Arial" w:eastAsia="Arial" w:hAnsi="Arial" w:cs="Arial"/>
          <w:color w:val="000000"/>
          <w:sz w:val="22"/>
          <w:szCs w:val="22"/>
          <w:highlight w:val="white"/>
          <w:vertAlign w:val="superscript"/>
        </w:rPr>
        <w:footnoteReference w:id="8"/>
      </w:r>
      <w:r w:rsidRPr="0078103E">
        <w:rPr>
          <w:rFonts w:ascii="Arial" w:eastAsia="Arial" w:hAnsi="Arial" w:cs="Arial"/>
          <w:color w:val="000000"/>
          <w:sz w:val="22"/>
          <w:szCs w:val="22"/>
          <w:highlight w:val="white"/>
          <w:lang w:val="en-GB"/>
        </w:rPr>
        <w:t xml:space="preserve"> The duty also suggests that all States “are obliged to cooperate with individual States or regional groups employing ‘lawful means’” as per the Articles.</w:t>
      </w:r>
      <w:r>
        <w:rPr>
          <w:rFonts w:ascii="Arial" w:eastAsia="Arial" w:hAnsi="Arial" w:cs="Arial"/>
          <w:color w:val="000000"/>
          <w:sz w:val="22"/>
          <w:szCs w:val="22"/>
          <w:highlight w:val="white"/>
          <w:vertAlign w:val="superscript"/>
        </w:rPr>
        <w:footnoteReference w:id="9"/>
      </w:r>
      <w:r w:rsidRPr="0078103E">
        <w:rPr>
          <w:rFonts w:ascii="Arial" w:eastAsia="Arial" w:hAnsi="Arial" w:cs="Arial"/>
          <w:color w:val="000000"/>
          <w:sz w:val="22"/>
          <w:szCs w:val="22"/>
          <w:highlight w:val="white"/>
          <w:lang w:val="en-GB"/>
        </w:rPr>
        <w:t xml:space="preserve"> </w:t>
      </w:r>
    </w:p>
    <w:p w14:paraId="00000033" w14:textId="6DC571DD" w:rsidR="001776FF" w:rsidRPr="0078103E" w:rsidRDefault="00000000" w:rsidP="0078103E">
      <w:pPr>
        <w:numPr>
          <w:ilvl w:val="0"/>
          <w:numId w:val="1"/>
        </w:numPr>
        <w:ind w:left="450"/>
        <w:jc w:val="both"/>
        <w:rPr>
          <w:sz w:val="22"/>
          <w:szCs w:val="22"/>
          <w:lang w:val="en-GB"/>
        </w:rPr>
      </w:pPr>
      <w:r w:rsidRPr="0078103E">
        <w:rPr>
          <w:rFonts w:ascii="Arial" w:eastAsia="Arial" w:hAnsi="Arial" w:cs="Arial"/>
          <w:color w:val="000000"/>
          <w:sz w:val="22"/>
          <w:szCs w:val="22"/>
          <w:highlight w:val="white"/>
          <w:lang w:val="en-GB"/>
        </w:rPr>
        <w:t>The obligations not to render aid and assistance under Article 41(2) of the ARSIWA</w:t>
      </w:r>
      <w:r>
        <w:rPr>
          <w:rFonts w:ascii="Arial" w:eastAsia="Arial" w:hAnsi="Arial" w:cs="Arial"/>
          <w:color w:val="000000"/>
          <w:sz w:val="22"/>
          <w:szCs w:val="22"/>
          <w:highlight w:val="white"/>
          <w:vertAlign w:val="superscript"/>
        </w:rPr>
        <w:footnoteReference w:id="10"/>
      </w:r>
      <w:r w:rsidRPr="0078103E">
        <w:rPr>
          <w:rFonts w:ascii="Arial" w:eastAsia="Arial" w:hAnsi="Arial" w:cs="Arial"/>
          <w:color w:val="000000"/>
          <w:sz w:val="22"/>
          <w:szCs w:val="22"/>
          <w:lang w:val="en-GB"/>
        </w:rPr>
        <w:t xml:space="preserve"> </w:t>
      </w:r>
      <w:r w:rsidRPr="0078103E">
        <w:rPr>
          <w:rFonts w:ascii="Arial" w:eastAsia="Arial" w:hAnsi="Arial" w:cs="Arial"/>
          <w:color w:val="000000"/>
          <w:sz w:val="22"/>
          <w:szCs w:val="22"/>
          <w:highlight w:val="white"/>
          <w:lang w:val="en-GB"/>
        </w:rPr>
        <w:t>is a duty of abstention.</w:t>
      </w:r>
      <w:r>
        <w:rPr>
          <w:rFonts w:ascii="Arial" w:eastAsia="Arial" w:hAnsi="Arial" w:cs="Arial"/>
          <w:color w:val="000000"/>
          <w:sz w:val="22"/>
          <w:szCs w:val="22"/>
          <w:highlight w:val="white"/>
          <w:vertAlign w:val="superscript"/>
        </w:rPr>
        <w:footnoteReference w:id="11"/>
      </w:r>
      <w:r w:rsidRPr="0078103E">
        <w:rPr>
          <w:rFonts w:ascii="Arial" w:eastAsia="Arial" w:hAnsi="Arial" w:cs="Arial"/>
          <w:color w:val="000000"/>
          <w:sz w:val="22"/>
          <w:szCs w:val="22"/>
          <w:highlight w:val="white"/>
          <w:lang w:val="en-GB"/>
        </w:rPr>
        <w:t xml:space="preserve"> W</w:t>
      </w:r>
      <w:r w:rsidRPr="0078103E">
        <w:rPr>
          <w:rFonts w:ascii="Arial" w:eastAsia="Arial" w:hAnsi="Arial" w:cs="Arial"/>
          <w:sz w:val="22"/>
          <w:szCs w:val="22"/>
          <w:lang w:val="en-GB"/>
        </w:rPr>
        <w:t>hat is addressed under this article extends beyond aid and assistance in the commission of the serious breach itself to aid and assistance in the maintenance of the situation created by that breach.</w:t>
      </w:r>
      <w:r>
        <w:rPr>
          <w:rFonts w:ascii="Arial" w:eastAsia="Arial" w:hAnsi="Arial" w:cs="Arial"/>
          <w:sz w:val="22"/>
          <w:szCs w:val="22"/>
          <w:vertAlign w:val="superscript"/>
        </w:rPr>
        <w:footnoteReference w:id="12"/>
      </w:r>
      <w:r w:rsidRPr="0078103E">
        <w:rPr>
          <w:rFonts w:ascii="Arial" w:eastAsia="Arial" w:hAnsi="Arial" w:cs="Arial"/>
          <w:color w:val="000000"/>
          <w:sz w:val="22"/>
          <w:szCs w:val="22"/>
          <w:highlight w:val="white"/>
          <w:lang w:val="en-GB"/>
        </w:rPr>
        <w:t xml:space="preserve"> The obligation not to assist the State responsible for the breach concerns acts that would assist in preserving the </w:t>
      </w:r>
      <w:r w:rsidRPr="0078103E">
        <w:rPr>
          <w:rFonts w:ascii="Arial" w:eastAsia="Arial" w:hAnsi="Arial" w:cs="Arial"/>
          <w:color w:val="000000"/>
          <w:sz w:val="22"/>
          <w:szCs w:val="22"/>
          <w:highlight w:val="white"/>
          <w:lang w:val="en-GB"/>
        </w:rPr>
        <w:lastRenderedPageBreak/>
        <w:t>situation created by the breach. This provides basis for a State to legitimately avoid all types of international cooperation with the responsible State if it wishes to.</w:t>
      </w:r>
      <w:r>
        <w:rPr>
          <w:rFonts w:ascii="Arial" w:eastAsia="Arial" w:hAnsi="Arial" w:cs="Arial"/>
          <w:color w:val="000000"/>
          <w:sz w:val="22"/>
          <w:szCs w:val="22"/>
          <w:highlight w:val="white"/>
          <w:vertAlign w:val="superscript"/>
        </w:rPr>
        <w:footnoteReference w:id="13"/>
      </w:r>
    </w:p>
    <w:bookmarkStart w:id="12" w:name="_heading=h.tyjcwt" w:colFirst="0" w:colLast="0"/>
    <w:bookmarkEnd w:id="12"/>
    <w:p w14:paraId="00000035" w14:textId="2CCE97DA" w:rsidR="001776FF" w:rsidRPr="0078103E" w:rsidRDefault="00000000">
      <w:pPr>
        <w:pStyle w:val="Heading2"/>
        <w:spacing w:before="0" w:after="0"/>
        <w:jc w:val="both"/>
        <w:rPr>
          <w:rFonts w:ascii="Arial" w:eastAsia="Arial" w:hAnsi="Arial" w:cs="Arial"/>
          <w:i/>
          <w:sz w:val="22"/>
          <w:szCs w:val="22"/>
          <w:lang w:val="en-GB"/>
        </w:rPr>
      </w:pPr>
      <w:sdt>
        <w:sdtPr>
          <w:tag w:val="goog_rdk_2"/>
          <w:id w:val="322250284"/>
        </w:sdtPr>
        <w:sdtContent/>
      </w:sdt>
      <w:r w:rsidRPr="0078103E">
        <w:rPr>
          <w:rFonts w:ascii="Arial" w:eastAsia="Arial" w:hAnsi="Arial" w:cs="Arial"/>
          <w:i/>
          <w:sz w:val="22"/>
          <w:szCs w:val="22"/>
          <w:lang w:val="en-GB"/>
        </w:rPr>
        <w:t xml:space="preserve">Clarification of third States’ obligations after the ICJ advisory opinion </w:t>
      </w:r>
    </w:p>
    <w:p w14:paraId="00000036" w14:textId="31A269A6" w:rsidR="001776FF" w:rsidRPr="0078103E" w:rsidRDefault="00000000">
      <w:pPr>
        <w:numPr>
          <w:ilvl w:val="0"/>
          <w:numId w:val="1"/>
        </w:numPr>
        <w:pBdr>
          <w:top w:val="nil"/>
          <w:left w:val="nil"/>
          <w:bottom w:val="nil"/>
          <w:right w:val="nil"/>
          <w:between w:val="nil"/>
        </w:pBdr>
        <w:ind w:left="450"/>
        <w:jc w:val="both"/>
        <w:rPr>
          <w:color w:val="000000"/>
          <w:sz w:val="22"/>
          <w:szCs w:val="22"/>
          <w:lang w:val="en-GB"/>
        </w:rPr>
      </w:pPr>
      <w:bookmarkStart w:id="13" w:name="_heading=h.3dy6vkm" w:colFirst="0" w:colLast="0"/>
      <w:bookmarkEnd w:id="13"/>
      <w:r w:rsidRPr="0078103E">
        <w:rPr>
          <w:rFonts w:ascii="Arial" w:eastAsia="Arial" w:hAnsi="Arial" w:cs="Arial"/>
          <w:color w:val="000000"/>
          <w:sz w:val="22"/>
          <w:szCs w:val="22"/>
          <w:lang w:val="en-GB"/>
        </w:rPr>
        <w:t>The</w:t>
      </w:r>
      <w:r w:rsidRPr="0078103E">
        <w:rPr>
          <w:rFonts w:ascii="Arial" w:eastAsia="Arial" w:hAnsi="Arial" w:cs="Arial"/>
          <w:color w:val="000000"/>
          <w:sz w:val="22"/>
          <w:szCs w:val="22"/>
          <w:highlight w:val="white"/>
          <w:lang w:val="en-GB"/>
        </w:rPr>
        <w:t xml:space="preserve"> </w:t>
      </w:r>
      <w:r w:rsidRPr="0078103E">
        <w:rPr>
          <w:rFonts w:ascii="Arial" w:eastAsia="Arial" w:hAnsi="Arial" w:cs="Arial"/>
          <w:b/>
          <w:color w:val="000000"/>
          <w:sz w:val="22"/>
          <w:szCs w:val="22"/>
          <w:lang w:val="en-GB"/>
        </w:rPr>
        <w:t>UN General Assembly</w:t>
      </w:r>
      <w:r w:rsidR="002C2AFC">
        <w:rPr>
          <w:rFonts w:ascii="Arial" w:eastAsia="Arial" w:hAnsi="Arial" w:cs="Arial"/>
          <w:b/>
          <w:color w:val="000000"/>
          <w:sz w:val="22"/>
          <w:szCs w:val="22"/>
          <w:lang w:val="en-GB"/>
        </w:rPr>
        <w:t xml:space="preserve"> (GA)</w:t>
      </w:r>
      <w:r w:rsidRPr="0078103E">
        <w:rPr>
          <w:rFonts w:ascii="Arial" w:eastAsia="Arial" w:hAnsi="Arial" w:cs="Arial"/>
          <w:b/>
          <w:color w:val="000000"/>
          <w:sz w:val="22"/>
          <w:szCs w:val="22"/>
          <w:lang w:val="en-GB"/>
        </w:rPr>
        <w:t xml:space="preserve"> resolution on the “Illegal Israeli actions in Occupied East Jerusalem and the rest of the Occupied Palestinian Territory”</w:t>
      </w:r>
      <w:r>
        <w:rPr>
          <w:rFonts w:ascii="Arial" w:eastAsia="Arial" w:hAnsi="Arial" w:cs="Arial"/>
          <w:color w:val="000000"/>
          <w:sz w:val="22"/>
          <w:szCs w:val="22"/>
          <w:vertAlign w:val="superscript"/>
        </w:rPr>
        <w:footnoteReference w:id="14"/>
      </w:r>
      <w:r w:rsidRPr="0078103E">
        <w:rPr>
          <w:rFonts w:ascii="Arial" w:eastAsia="Arial" w:hAnsi="Arial" w:cs="Arial"/>
          <w:color w:val="000000"/>
          <w:sz w:val="22"/>
          <w:szCs w:val="22"/>
          <w:lang w:val="en-GB"/>
        </w:rPr>
        <w:t xml:space="preserve"> </w:t>
      </w:r>
      <w:r w:rsidRPr="0078103E">
        <w:rPr>
          <w:rFonts w:ascii="Arial" w:eastAsia="Arial" w:hAnsi="Arial" w:cs="Arial"/>
          <w:color w:val="000000"/>
          <w:sz w:val="22"/>
          <w:szCs w:val="22"/>
          <w:highlight w:val="white"/>
          <w:lang w:val="en-GB"/>
        </w:rPr>
        <w:t xml:space="preserve">resolution translated that into calling upon all States, among other measures, to </w:t>
      </w:r>
      <w:r w:rsidRPr="0078103E">
        <w:rPr>
          <w:rFonts w:ascii="Arial" w:eastAsia="Arial" w:hAnsi="Arial" w:cs="Arial"/>
          <w:color w:val="000000"/>
          <w:sz w:val="22"/>
          <w:szCs w:val="22"/>
          <w:lang w:val="en-GB"/>
        </w:rPr>
        <w:t>“</w:t>
      </w:r>
      <w:proofErr w:type="spellStart"/>
      <w:r w:rsidRPr="0078103E">
        <w:rPr>
          <w:rFonts w:ascii="Arial" w:eastAsia="Arial" w:hAnsi="Arial" w:cs="Arial"/>
          <w:color w:val="000000"/>
          <w:sz w:val="22"/>
          <w:szCs w:val="22"/>
          <w:lang w:val="en-GB"/>
        </w:rPr>
        <w:t>tak</w:t>
      </w:r>
      <w:proofErr w:type="spellEnd"/>
      <w:r w:rsidRPr="0078103E">
        <w:rPr>
          <w:rFonts w:ascii="Arial" w:eastAsia="Arial" w:hAnsi="Arial" w:cs="Arial"/>
          <w:color w:val="000000"/>
          <w:sz w:val="22"/>
          <w:szCs w:val="22"/>
          <w:lang w:val="en-GB"/>
        </w:rPr>
        <w:t xml:space="preserve">[e] steps to prevent trade or investment relations that assist in the maintenance of the illegal situation created by Israel in the Occupied Palestinian Territory, including with regard to the settlements and their associated regime;…”, </w:t>
      </w:r>
      <w:r w:rsidRPr="0078103E">
        <w:rPr>
          <w:rFonts w:ascii="Arial" w:eastAsia="Arial" w:hAnsi="Arial" w:cs="Arial"/>
          <w:color w:val="000000"/>
          <w:sz w:val="22"/>
          <w:szCs w:val="22"/>
          <w:highlight w:val="white"/>
          <w:lang w:val="en-GB"/>
        </w:rPr>
        <w:t>“take steps to ensure that their nationals, and companies and entities under their jurisdiction, as well as their authorities, do not act in any way that would entail recognition or provide aid or assistance in maintaining the situation created by Israel’s illegal presence in the Occupied Palestinian Territory;…” and in connection with that “[t]o implement sanctions, including travel bans and asset freezes, against natural and legal persons engaged in the maintenance of Israel’s unlawful presence in the Occupied Palestinian Territory, including in relation to settler violence;…”.</w:t>
      </w:r>
      <w:r w:rsidRPr="0078103E">
        <w:rPr>
          <w:rFonts w:ascii="Arial" w:eastAsia="Arial" w:hAnsi="Arial" w:cs="Arial"/>
          <w:color w:val="000000"/>
          <w:sz w:val="22"/>
          <w:szCs w:val="22"/>
          <w:vertAlign w:val="superscript"/>
          <w:lang w:val="en-GB"/>
        </w:rPr>
        <w:t xml:space="preserve"> </w:t>
      </w:r>
      <w:r>
        <w:rPr>
          <w:rFonts w:ascii="Arial" w:eastAsia="Arial" w:hAnsi="Arial" w:cs="Arial"/>
          <w:color w:val="000000"/>
          <w:sz w:val="22"/>
          <w:szCs w:val="22"/>
          <w:vertAlign w:val="superscript"/>
        </w:rPr>
        <w:footnoteReference w:id="15"/>
      </w:r>
      <w:r w:rsidRPr="0078103E">
        <w:rPr>
          <w:rFonts w:ascii="Arial" w:eastAsia="Arial" w:hAnsi="Arial" w:cs="Arial"/>
          <w:color w:val="000000"/>
          <w:sz w:val="22"/>
          <w:szCs w:val="22"/>
          <w:vertAlign w:val="superscript"/>
          <w:lang w:val="en-GB"/>
        </w:rPr>
        <w:t xml:space="preserve">  </w:t>
      </w:r>
      <w:r w:rsidRPr="0078103E">
        <w:rPr>
          <w:rFonts w:ascii="Arial" w:eastAsia="Arial" w:hAnsi="Arial" w:cs="Arial"/>
          <w:color w:val="000000"/>
          <w:sz w:val="22"/>
          <w:szCs w:val="22"/>
          <w:lang w:val="en-GB"/>
        </w:rPr>
        <w:t>(For more details, see paragraphs para. 4(d) and para. 5 of the Resolution)</w:t>
      </w:r>
    </w:p>
    <w:p w14:paraId="00000037" w14:textId="77777777" w:rsidR="001776FF" w:rsidRPr="0078103E" w:rsidRDefault="00000000">
      <w:pPr>
        <w:numPr>
          <w:ilvl w:val="0"/>
          <w:numId w:val="1"/>
        </w:numPr>
        <w:ind w:left="450"/>
        <w:jc w:val="both"/>
        <w:rPr>
          <w:sz w:val="22"/>
          <w:szCs w:val="22"/>
          <w:lang w:val="en-GB"/>
        </w:rPr>
      </w:pPr>
      <w:r w:rsidRPr="0078103E">
        <w:rPr>
          <w:rFonts w:ascii="Arial" w:eastAsia="Arial" w:hAnsi="Arial" w:cs="Arial"/>
          <w:color w:val="000000"/>
          <w:sz w:val="22"/>
          <w:szCs w:val="22"/>
          <w:highlight w:val="white"/>
          <w:lang w:val="en-GB"/>
        </w:rPr>
        <w:t>The</w:t>
      </w:r>
      <w:r w:rsidRPr="0078103E">
        <w:rPr>
          <w:rFonts w:ascii="Arial" w:eastAsia="Arial" w:hAnsi="Arial" w:cs="Arial"/>
          <w:sz w:val="22"/>
          <w:szCs w:val="22"/>
          <w:lang w:val="en-GB"/>
        </w:rPr>
        <w:t xml:space="preserve"> </w:t>
      </w:r>
      <w:r w:rsidRPr="0078103E">
        <w:rPr>
          <w:rFonts w:ascii="Arial" w:eastAsia="Arial" w:hAnsi="Arial" w:cs="Arial"/>
          <w:b/>
          <w:color w:val="000000"/>
          <w:sz w:val="22"/>
          <w:szCs w:val="22"/>
          <w:lang w:val="en-GB"/>
        </w:rPr>
        <w:t xml:space="preserve">United Nations Independent International Commission of Inquiry on the Occupied Palestinian Territory, including East Jerusalem, and Israel (hereafter Commission of Inquiry) </w:t>
      </w:r>
      <w:r w:rsidRPr="0078103E">
        <w:rPr>
          <w:rFonts w:ascii="Arial" w:eastAsia="Arial" w:hAnsi="Arial" w:cs="Arial"/>
          <w:sz w:val="22"/>
          <w:szCs w:val="22"/>
          <w:lang w:val="en-GB"/>
        </w:rPr>
        <w:t>interpreted the ICJ’s statement that States must “abstain from entering into economic or trade dealings with Israel concerning the Occupied Palestinian Territory or parts thereof which may entrench its unlawful presence in the territory” (para. 278 of the AO) to mean that States “must cease all financial, trade, investment and economic relations with Israel that maintain the unlawful occupation or contribute to maintaining it. States must review their trade and economic agreements with Israel that involve products and produce of the unlawful settlements. The burden is on Israel to establish that any product or produce does not originate in the settlements.”</w:t>
      </w:r>
      <w:r>
        <w:rPr>
          <w:rFonts w:ascii="Arial" w:eastAsia="Arial" w:hAnsi="Arial" w:cs="Arial"/>
          <w:sz w:val="22"/>
          <w:szCs w:val="22"/>
          <w:vertAlign w:val="superscript"/>
        </w:rPr>
        <w:footnoteReference w:id="16"/>
      </w:r>
      <w:r w:rsidRPr="0078103E">
        <w:rPr>
          <w:rFonts w:ascii="Arial" w:eastAsia="Arial" w:hAnsi="Arial" w:cs="Arial"/>
          <w:sz w:val="22"/>
          <w:szCs w:val="22"/>
          <w:lang w:val="en-GB"/>
        </w:rPr>
        <w:t xml:space="preserve"> Thus, the Commission of Inquiry envisages that “financial, trade, investment and economic relations with Israel that maintain the unlawful occupation or contribute to maintaining it” goes beyond “dealing with products and produce of the unlawful settlements” as it elaborates on further aspects of what this entails. </w:t>
      </w:r>
    </w:p>
    <w:p w14:paraId="00000038" w14:textId="77777777"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The Commission of Inquiry underlines that:</w:t>
      </w:r>
    </w:p>
    <w:p w14:paraId="00000039" w14:textId="77777777" w:rsidR="001776FF" w:rsidRPr="0078103E" w:rsidRDefault="00000000">
      <w:pPr>
        <w:numPr>
          <w:ilvl w:val="0"/>
          <w:numId w:val="1"/>
        </w:numPr>
        <w:ind w:hanging="630"/>
        <w:jc w:val="both"/>
        <w:rPr>
          <w:sz w:val="22"/>
          <w:szCs w:val="22"/>
          <w:lang w:val="en-GB"/>
        </w:rPr>
      </w:pPr>
      <w:r w:rsidRPr="0078103E">
        <w:rPr>
          <w:rFonts w:ascii="Arial" w:eastAsia="Arial" w:hAnsi="Arial" w:cs="Arial"/>
          <w:sz w:val="22"/>
          <w:szCs w:val="22"/>
          <w:lang w:val="en-GB"/>
        </w:rPr>
        <w:t xml:space="preserve">“State responsibility entails due diligence on the part of the State to examine private enterprises incorporated in the State and non-profit or non-governmental organizations registered in the State and their dealings with the State of Israel and the Occupied Palestinian Territory. These entities include trading firms, manufacturing enterprises, investment funds and banks facilitating money transfers. States must require thorough due diligence review of these entities and ensure that they are not engaging in any business, activity or financial support that maintains the unlawful occupation or contributes to maintaining it. If a State finds that such entities are engaging in activities </w:t>
      </w:r>
      <w:r w:rsidRPr="0078103E">
        <w:rPr>
          <w:rFonts w:ascii="Arial" w:eastAsia="Arial" w:hAnsi="Arial" w:cs="Arial"/>
          <w:sz w:val="22"/>
          <w:szCs w:val="22"/>
          <w:lang w:val="en-GB"/>
        </w:rPr>
        <w:lastRenderedPageBreak/>
        <w:t>that maintain the unlawful occupation, the State must take all reasonable measures to prevent the activities, such as revoking a corporation’s articles of incorporation or revoking a non-profit organization’s registration in that State”.</w:t>
      </w:r>
      <w:r>
        <w:rPr>
          <w:rFonts w:ascii="Arial" w:eastAsia="Arial" w:hAnsi="Arial" w:cs="Arial"/>
          <w:sz w:val="22"/>
          <w:szCs w:val="22"/>
          <w:vertAlign w:val="superscript"/>
        </w:rPr>
        <w:footnoteReference w:id="17"/>
      </w:r>
      <w:r w:rsidRPr="0078103E">
        <w:rPr>
          <w:rFonts w:ascii="Arial" w:eastAsia="Arial" w:hAnsi="Arial" w:cs="Arial"/>
          <w:sz w:val="22"/>
          <w:szCs w:val="22"/>
          <w:lang w:val="en-GB"/>
        </w:rPr>
        <w:t xml:space="preserve"> </w:t>
      </w:r>
    </w:p>
    <w:p w14:paraId="0000003A" w14:textId="6FA39AE0" w:rsidR="001776FF" w:rsidRPr="0078103E" w:rsidRDefault="00000000">
      <w:pPr>
        <w:numPr>
          <w:ilvl w:val="0"/>
          <w:numId w:val="1"/>
        </w:numPr>
        <w:ind w:left="450"/>
        <w:jc w:val="both"/>
        <w:rPr>
          <w:color w:val="000000"/>
          <w:sz w:val="22"/>
          <w:szCs w:val="22"/>
          <w:lang w:val="en-GB"/>
        </w:rPr>
      </w:pPr>
      <w:r w:rsidRPr="0078103E">
        <w:rPr>
          <w:rFonts w:ascii="Arial" w:eastAsia="Arial" w:hAnsi="Arial" w:cs="Arial"/>
          <w:color w:val="000000"/>
          <w:sz w:val="22"/>
          <w:szCs w:val="22"/>
          <w:lang w:val="en-GB"/>
        </w:rPr>
        <w:t xml:space="preserve">In light of the advisory opinion and the UNGA resolution, </w:t>
      </w:r>
      <w:r w:rsidRPr="0078103E">
        <w:rPr>
          <w:rFonts w:ascii="Arial" w:eastAsia="Arial" w:hAnsi="Arial" w:cs="Arial"/>
          <w:b/>
          <w:color w:val="000000"/>
          <w:sz w:val="22"/>
          <w:szCs w:val="22"/>
          <w:lang w:val="en-GB"/>
        </w:rPr>
        <w:t>UN special rapporteurs and other experts</w:t>
      </w:r>
      <w:r w:rsidRPr="0078103E">
        <w:rPr>
          <w:rFonts w:ascii="Arial" w:eastAsia="Arial" w:hAnsi="Arial" w:cs="Arial"/>
          <w:color w:val="000000"/>
          <w:sz w:val="22"/>
          <w:szCs w:val="22"/>
          <w:lang w:val="en-GB"/>
        </w:rPr>
        <w:t xml:space="preserve"> released a statement calling on States to take action in </w:t>
      </w:r>
      <w:r w:rsidR="002A53AC" w:rsidRPr="0078103E">
        <w:rPr>
          <w:rFonts w:ascii="Arial" w:eastAsia="Arial" w:hAnsi="Arial" w:cs="Arial"/>
          <w:color w:val="000000"/>
          <w:sz w:val="22"/>
          <w:szCs w:val="22"/>
          <w:lang w:val="en-GB"/>
        </w:rPr>
        <w:t>fulfilment</w:t>
      </w:r>
      <w:r w:rsidRPr="0078103E">
        <w:rPr>
          <w:rFonts w:ascii="Arial" w:eastAsia="Arial" w:hAnsi="Arial" w:cs="Arial"/>
          <w:color w:val="000000"/>
          <w:sz w:val="22"/>
          <w:szCs w:val="22"/>
          <w:lang w:val="en-GB"/>
        </w:rPr>
        <w:t xml:space="preserve"> of their obligations, clearly pointing to economic and trade measures to be undertaken in this context.</w:t>
      </w:r>
      <w:r>
        <w:rPr>
          <w:rFonts w:ascii="Arial" w:eastAsia="Arial" w:hAnsi="Arial" w:cs="Arial"/>
          <w:color w:val="000000"/>
          <w:sz w:val="22"/>
          <w:szCs w:val="22"/>
          <w:vertAlign w:val="superscript"/>
        </w:rPr>
        <w:footnoteReference w:id="18"/>
      </w:r>
      <w:r w:rsidRPr="0078103E">
        <w:rPr>
          <w:rFonts w:ascii="Arial" w:eastAsia="Arial" w:hAnsi="Arial" w:cs="Arial"/>
          <w:color w:val="000000"/>
          <w:sz w:val="22"/>
          <w:szCs w:val="22"/>
          <w:lang w:val="en-GB"/>
        </w:rPr>
        <w:t xml:space="preserve"> </w:t>
      </w:r>
    </w:p>
    <w:p w14:paraId="0000003B" w14:textId="77777777" w:rsidR="001776FF" w:rsidRPr="0078103E" w:rsidRDefault="00000000">
      <w:pPr>
        <w:numPr>
          <w:ilvl w:val="0"/>
          <w:numId w:val="1"/>
        </w:numPr>
        <w:ind w:left="450"/>
        <w:jc w:val="both"/>
        <w:rPr>
          <w:color w:val="000000"/>
          <w:sz w:val="22"/>
          <w:szCs w:val="22"/>
          <w:lang w:val="en-GB"/>
        </w:rPr>
      </w:pPr>
      <w:r w:rsidRPr="0078103E">
        <w:rPr>
          <w:rFonts w:ascii="Arial" w:eastAsia="Arial" w:hAnsi="Arial" w:cs="Arial"/>
          <w:color w:val="000000"/>
          <w:sz w:val="22"/>
          <w:szCs w:val="22"/>
          <w:lang w:val="en-GB"/>
        </w:rPr>
        <w:t>Experts noted that the ICJ provided unequivocal directions concerning the responsibilities of States and international organisations, with regard to Israel’s unlawful occupation. They stressed that “[b]y continuing to turn a blind eye to the horrific plight of the Palestinian people, the international community is furthering genocidal violence”.</w:t>
      </w:r>
    </w:p>
    <w:p w14:paraId="0000003C" w14:textId="77777777" w:rsidR="001776FF" w:rsidRDefault="00000000">
      <w:pPr>
        <w:numPr>
          <w:ilvl w:val="0"/>
          <w:numId w:val="1"/>
        </w:numPr>
        <w:ind w:left="450"/>
        <w:jc w:val="both"/>
        <w:rPr>
          <w:color w:val="000000"/>
          <w:sz w:val="22"/>
          <w:szCs w:val="22"/>
        </w:rPr>
      </w:pPr>
      <w:r>
        <w:rPr>
          <w:rFonts w:ascii="Arial" w:eastAsia="Arial" w:hAnsi="Arial" w:cs="Arial"/>
          <w:color w:val="000000"/>
          <w:sz w:val="22"/>
          <w:szCs w:val="22"/>
        </w:rPr>
        <w:t>Experts underlined that</w:t>
      </w:r>
      <w:r>
        <w:rPr>
          <w:rFonts w:ascii="Arial" w:eastAsia="Arial" w:hAnsi="Arial" w:cs="Arial"/>
          <w:sz w:val="22"/>
          <w:szCs w:val="22"/>
        </w:rPr>
        <w:t>:</w:t>
      </w:r>
    </w:p>
    <w:p w14:paraId="0000003D" w14:textId="77777777" w:rsidR="001776FF" w:rsidRDefault="00000000">
      <w:pPr>
        <w:numPr>
          <w:ilvl w:val="0"/>
          <w:numId w:val="1"/>
        </w:numPr>
        <w:ind w:hanging="630"/>
        <w:jc w:val="both"/>
        <w:rPr>
          <w:color w:val="000000"/>
          <w:sz w:val="22"/>
          <w:szCs w:val="22"/>
        </w:rPr>
      </w:pPr>
      <w:r w:rsidRPr="0078103E">
        <w:rPr>
          <w:rFonts w:ascii="Arial" w:eastAsia="Arial" w:hAnsi="Arial" w:cs="Arial"/>
          <w:color w:val="000000"/>
          <w:sz w:val="22"/>
          <w:szCs w:val="22"/>
          <w:lang w:val="en-GB"/>
        </w:rPr>
        <w:t>[a]</w:t>
      </w:r>
      <w:proofErr w:type="spellStart"/>
      <w:r w:rsidRPr="0078103E">
        <w:rPr>
          <w:rFonts w:ascii="Arial" w:eastAsia="Arial" w:hAnsi="Arial" w:cs="Arial"/>
          <w:color w:val="000000"/>
          <w:sz w:val="22"/>
          <w:szCs w:val="22"/>
          <w:lang w:val="en-GB"/>
        </w:rPr>
        <w:t>ll</w:t>
      </w:r>
      <w:proofErr w:type="spellEnd"/>
      <w:r w:rsidRPr="0078103E">
        <w:rPr>
          <w:rFonts w:ascii="Arial" w:eastAsia="Arial" w:hAnsi="Arial" w:cs="Arial"/>
          <w:color w:val="000000"/>
          <w:sz w:val="22"/>
          <w:szCs w:val="22"/>
          <w:lang w:val="en-GB"/>
        </w:rPr>
        <w:t xml:space="preserve"> States have a legal obligation to comply with the ICJ’s ruling and must promote adherence to norms that protect civilians. </w:t>
      </w:r>
      <w:r>
        <w:rPr>
          <w:rFonts w:ascii="Arial" w:eastAsia="Arial" w:hAnsi="Arial" w:cs="Arial"/>
          <w:color w:val="000000"/>
          <w:sz w:val="22"/>
          <w:szCs w:val="22"/>
        </w:rPr>
        <w:t>Therefore, States should:</w:t>
      </w:r>
    </w:p>
    <w:p w14:paraId="0000003E" w14:textId="77777777" w:rsidR="001776FF" w:rsidRPr="0078103E" w:rsidRDefault="00000000">
      <w:pPr>
        <w:numPr>
          <w:ilvl w:val="0"/>
          <w:numId w:val="1"/>
        </w:numPr>
        <w:pBdr>
          <w:top w:val="nil"/>
          <w:left w:val="nil"/>
          <w:bottom w:val="nil"/>
          <w:right w:val="nil"/>
          <w:between w:val="nil"/>
        </w:pBdr>
        <w:ind w:left="1080" w:hanging="990"/>
        <w:jc w:val="both"/>
        <w:rPr>
          <w:color w:val="000000"/>
          <w:sz w:val="22"/>
          <w:szCs w:val="22"/>
          <w:lang w:val="en-GB"/>
        </w:rPr>
      </w:pPr>
      <w:r w:rsidRPr="0078103E">
        <w:rPr>
          <w:rFonts w:ascii="Arial" w:eastAsia="Arial" w:hAnsi="Arial" w:cs="Arial"/>
          <w:sz w:val="22"/>
          <w:szCs w:val="22"/>
          <w:lang w:val="en-GB"/>
        </w:rPr>
        <w:t xml:space="preserve">a) </w:t>
      </w:r>
      <w:r w:rsidRPr="0078103E">
        <w:rPr>
          <w:rFonts w:ascii="Arial" w:eastAsia="Arial" w:hAnsi="Arial" w:cs="Arial"/>
          <w:color w:val="000000"/>
          <w:sz w:val="22"/>
          <w:szCs w:val="22"/>
          <w:lang w:val="en-GB"/>
        </w:rPr>
        <w:t>Immediately review all diplomatic, political, and economic interactions with Israel to ensure they do not support or provide aid or assistance to its unlawful presence in the occupied Palestinian territory…,</w:t>
      </w:r>
    </w:p>
    <w:p w14:paraId="0000003F" w14:textId="77777777" w:rsidR="001776FF" w:rsidRPr="0078103E" w:rsidRDefault="00000000">
      <w:pPr>
        <w:numPr>
          <w:ilvl w:val="0"/>
          <w:numId w:val="1"/>
        </w:numPr>
        <w:pBdr>
          <w:top w:val="nil"/>
          <w:left w:val="nil"/>
          <w:bottom w:val="nil"/>
          <w:right w:val="nil"/>
          <w:between w:val="nil"/>
        </w:pBdr>
        <w:ind w:left="1080" w:hanging="990"/>
        <w:jc w:val="both"/>
        <w:rPr>
          <w:color w:val="000000"/>
          <w:sz w:val="22"/>
          <w:szCs w:val="22"/>
          <w:lang w:val="en-GB"/>
        </w:rPr>
      </w:pPr>
      <w:r w:rsidRPr="0078103E">
        <w:rPr>
          <w:rFonts w:ascii="Arial" w:eastAsia="Arial" w:hAnsi="Arial" w:cs="Arial"/>
          <w:sz w:val="22"/>
          <w:szCs w:val="22"/>
          <w:lang w:val="en-GB"/>
        </w:rPr>
        <w:t xml:space="preserve">b) </w:t>
      </w:r>
      <w:r w:rsidRPr="0078103E">
        <w:rPr>
          <w:rFonts w:ascii="Arial" w:eastAsia="Arial" w:hAnsi="Arial" w:cs="Arial"/>
          <w:color w:val="000000"/>
          <w:sz w:val="22"/>
          <w:szCs w:val="22"/>
          <w:lang w:val="en-GB"/>
        </w:rPr>
        <w:t>Impose a full arms embargo on Israel, halting all arms agreements, imports, exports and transfers, including of dual-use items that could be used against the Palestinian population under occupation,</w:t>
      </w:r>
    </w:p>
    <w:p w14:paraId="00000040" w14:textId="77777777" w:rsidR="001776FF" w:rsidRPr="0078103E" w:rsidRDefault="00000000">
      <w:pPr>
        <w:numPr>
          <w:ilvl w:val="0"/>
          <w:numId w:val="1"/>
        </w:numPr>
        <w:pBdr>
          <w:top w:val="nil"/>
          <w:left w:val="nil"/>
          <w:bottom w:val="nil"/>
          <w:right w:val="nil"/>
          <w:between w:val="nil"/>
        </w:pBdr>
        <w:ind w:left="1080" w:hanging="990"/>
        <w:jc w:val="both"/>
        <w:rPr>
          <w:color w:val="000000"/>
          <w:sz w:val="22"/>
          <w:szCs w:val="22"/>
          <w:lang w:val="en-GB"/>
        </w:rPr>
      </w:pPr>
      <w:r w:rsidRPr="0078103E">
        <w:rPr>
          <w:rFonts w:ascii="Arial" w:eastAsia="Arial" w:hAnsi="Arial" w:cs="Arial"/>
          <w:sz w:val="22"/>
          <w:szCs w:val="22"/>
          <w:lang w:val="en-GB"/>
        </w:rPr>
        <w:t xml:space="preserve">c) </w:t>
      </w:r>
      <w:r w:rsidRPr="0078103E">
        <w:rPr>
          <w:rFonts w:ascii="Arial" w:eastAsia="Arial" w:hAnsi="Arial" w:cs="Arial"/>
          <w:color w:val="000000"/>
          <w:sz w:val="22"/>
          <w:szCs w:val="22"/>
          <w:lang w:val="en-GB"/>
        </w:rPr>
        <w:t>Ban goods and services emerging from both the colonisation of occupied Palestinian territory and other unlawful activities that may be detrimental to Palestinians' rights, from entering their territory and markets, and take measures to label and permit goods and services emerging from Palestinian individuals and entities in occupied territory;</w:t>
      </w:r>
    </w:p>
    <w:p w14:paraId="00000041" w14:textId="77777777" w:rsidR="001776FF" w:rsidRPr="0078103E" w:rsidRDefault="00000000">
      <w:pPr>
        <w:numPr>
          <w:ilvl w:val="0"/>
          <w:numId w:val="1"/>
        </w:numPr>
        <w:pBdr>
          <w:top w:val="nil"/>
          <w:left w:val="nil"/>
          <w:bottom w:val="nil"/>
          <w:right w:val="nil"/>
          <w:between w:val="nil"/>
        </w:pBdr>
        <w:ind w:left="1080" w:hanging="990"/>
        <w:jc w:val="both"/>
        <w:rPr>
          <w:color w:val="000000"/>
          <w:sz w:val="22"/>
          <w:szCs w:val="22"/>
          <w:lang w:val="en-GB"/>
        </w:rPr>
      </w:pPr>
      <w:r w:rsidRPr="0078103E">
        <w:rPr>
          <w:rFonts w:ascii="Arial" w:eastAsia="Arial" w:hAnsi="Arial" w:cs="Arial"/>
          <w:sz w:val="22"/>
          <w:szCs w:val="22"/>
          <w:lang w:val="en-GB"/>
        </w:rPr>
        <w:t xml:space="preserve">d) </w:t>
      </w:r>
      <w:r w:rsidRPr="0078103E">
        <w:rPr>
          <w:rFonts w:ascii="Arial" w:eastAsia="Arial" w:hAnsi="Arial" w:cs="Arial"/>
          <w:color w:val="000000"/>
          <w:sz w:val="22"/>
          <w:szCs w:val="22"/>
          <w:lang w:val="en-GB"/>
        </w:rPr>
        <w:t>Cancel or suspend economic relationships, trade agreements and academic relations with Israel that may contribute to its unlawful presence and apartheid regime in the occupied Palestinian territory;</w:t>
      </w:r>
    </w:p>
    <w:p w14:paraId="00000042" w14:textId="40AE7702" w:rsidR="001776FF" w:rsidRPr="0078103E" w:rsidRDefault="00000000">
      <w:pPr>
        <w:numPr>
          <w:ilvl w:val="0"/>
          <w:numId w:val="1"/>
        </w:numPr>
        <w:pBdr>
          <w:top w:val="nil"/>
          <w:left w:val="nil"/>
          <w:bottom w:val="nil"/>
          <w:right w:val="nil"/>
          <w:between w:val="nil"/>
        </w:pBdr>
        <w:ind w:left="1080" w:hanging="990"/>
        <w:jc w:val="both"/>
        <w:rPr>
          <w:color w:val="000000"/>
          <w:sz w:val="22"/>
          <w:szCs w:val="22"/>
          <w:lang w:val="en-GB"/>
        </w:rPr>
      </w:pPr>
      <w:r w:rsidRPr="0078103E">
        <w:rPr>
          <w:rFonts w:ascii="Arial" w:eastAsia="Arial" w:hAnsi="Arial" w:cs="Arial"/>
          <w:sz w:val="22"/>
          <w:szCs w:val="22"/>
          <w:lang w:val="en-GB"/>
        </w:rPr>
        <w:t xml:space="preserve">e) </w:t>
      </w:r>
      <w:r w:rsidRPr="0078103E">
        <w:rPr>
          <w:rFonts w:ascii="Arial" w:eastAsia="Arial" w:hAnsi="Arial" w:cs="Arial"/>
          <w:color w:val="000000"/>
          <w:sz w:val="22"/>
          <w:szCs w:val="22"/>
          <w:lang w:val="en-GB"/>
        </w:rPr>
        <w:t xml:space="preserve">Impose sanctions, including asset freezes, on Israeli individuals, entities including businesses, corporations and financial institutions, involved in the unlawful occupation and apartheid regime as well as on any foreign or domestic entities and individuals subject to their jurisdiction that supply goods and services that may aid, assist or enable occupation and </w:t>
      </w:r>
      <w:r w:rsidR="00E37F1A" w:rsidRPr="0078103E">
        <w:rPr>
          <w:rFonts w:ascii="Arial" w:eastAsia="Arial" w:hAnsi="Arial" w:cs="Arial"/>
          <w:color w:val="000000"/>
          <w:sz w:val="22"/>
          <w:szCs w:val="22"/>
          <w:lang w:val="en-GB"/>
        </w:rPr>
        <w:t>apartheid [</w:t>
      </w:r>
      <w:r w:rsidRPr="0078103E">
        <w:rPr>
          <w:rFonts w:ascii="Arial" w:eastAsia="Arial" w:hAnsi="Arial" w:cs="Arial"/>
          <w:color w:val="000000"/>
          <w:sz w:val="22"/>
          <w:szCs w:val="22"/>
          <w:lang w:val="en-GB"/>
        </w:rPr>
        <w:t>…]</w:t>
      </w:r>
    </w:p>
    <w:p w14:paraId="00000043" w14:textId="77777777" w:rsidR="001776FF" w:rsidRPr="0078103E" w:rsidRDefault="001776FF">
      <w:pPr>
        <w:pStyle w:val="Heading1"/>
        <w:spacing w:before="0"/>
        <w:ind w:left="720"/>
        <w:jc w:val="both"/>
        <w:rPr>
          <w:rFonts w:ascii="Arial" w:eastAsia="Arial" w:hAnsi="Arial" w:cs="Arial"/>
          <w:b/>
          <w:color w:val="000000"/>
          <w:sz w:val="22"/>
          <w:szCs w:val="22"/>
          <w:lang w:val="en-GB"/>
        </w:rPr>
      </w:pPr>
    </w:p>
    <w:p w14:paraId="00000044" w14:textId="77777777" w:rsidR="001776FF" w:rsidRPr="0078103E" w:rsidRDefault="00000000">
      <w:pPr>
        <w:pStyle w:val="Heading1"/>
        <w:spacing w:before="0"/>
        <w:jc w:val="both"/>
        <w:rPr>
          <w:rFonts w:ascii="Arial" w:eastAsia="Arial" w:hAnsi="Arial" w:cs="Arial"/>
          <w:b/>
          <w:color w:val="000000"/>
          <w:sz w:val="22"/>
          <w:szCs w:val="22"/>
          <w:lang w:val="en-GB"/>
        </w:rPr>
      </w:pPr>
      <w:bookmarkStart w:id="14" w:name="_heading=h.1t3h5sf" w:colFirst="0" w:colLast="0"/>
      <w:bookmarkEnd w:id="14"/>
      <w:r w:rsidRPr="0078103E">
        <w:rPr>
          <w:rFonts w:ascii="Arial" w:eastAsia="Arial" w:hAnsi="Arial" w:cs="Arial"/>
          <w:b/>
          <w:color w:val="000000"/>
          <w:sz w:val="22"/>
          <w:szCs w:val="22"/>
          <w:lang w:val="en-GB"/>
        </w:rPr>
        <w:t>Interaction between third States’ obligations arising under the law of international responsibility of States and obligations arising under the Covenant on Economic, Social and Cultural Rights, particularly in the relation to business activities</w:t>
      </w:r>
    </w:p>
    <w:p w14:paraId="00000045" w14:textId="77777777" w:rsidR="001776FF" w:rsidRPr="0078103E" w:rsidRDefault="001776FF">
      <w:pPr>
        <w:ind w:left="720"/>
        <w:jc w:val="both"/>
        <w:rPr>
          <w:rFonts w:ascii="Arial" w:eastAsia="Arial" w:hAnsi="Arial" w:cs="Arial"/>
          <w:color w:val="000000"/>
          <w:sz w:val="22"/>
          <w:szCs w:val="22"/>
          <w:lang w:val="en-GB"/>
        </w:rPr>
      </w:pPr>
    </w:p>
    <w:p w14:paraId="00000046" w14:textId="77777777" w:rsidR="001776FF" w:rsidRPr="0078103E" w:rsidRDefault="00000000">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color w:val="000000"/>
          <w:sz w:val="22"/>
          <w:szCs w:val="22"/>
          <w:lang w:val="en-GB"/>
        </w:rPr>
      </w:pPr>
      <w:r w:rsidRPr="0078103E">
        <w:rPr>
          <w:rFonts w:ascii="Arial" w:eastAsia="Arial" w:hAnsi="Arial" w:cs="Arial"/>
          <w:color w:val="000000"/>
          <w:sz w:val="22"/>
          <w:szCs w:val="22"/>
          <w:lang w:val="en-GB"/>
        </w:rPr>
        <w:t xml:space="preserve">The law of States’ International Responsibility, as explained above, entails the duty to cooperate to end the breach, and the obligation not to aid and assist in the maintenance of the breach. Israel’s breach entails breach of the peremptory norm of self-determination, which itself is part and parcel of the rights incorporated in international human rights law, including Article 1 of the ICESCR (see para. 233 of the AO). This Article provides that “All peoples have the right of self-determination. By virtue of that right, they freely determine their political status and freely pursue their economic, social and cultural development”. </w:t>
      </w:r>
    </w:p>
    <w:p w14:paraId="00000048" w14:textId="09006D92" w:rsidR="001776FF" w:rsidRPr="0078103E" w:rsidRDefault="00000000" w:rsidP="0078103E">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color w:val="000000"/>
          <w:sz w:val="22"/>
          <w:szCs w:val="22"/>
        </w:rPr>
      </w:pPr>
      <w:r w:rsidRPr="0078103E">
        <w:rPr>
          <w:rFonts w:ascii="Arial" w:eastAsia="Arial" w:hAnsi="Arial" w:cs="Arial"/>
          <w:color w:val="000000"/>
          <w:sz w:val="22"/>
          <w:szCs w:val="22"/>
          <w:lang w:val="en-GB"/>
        </w:rPr>
        <w:t xml:space="preserve">Thus, the duty of third States including the UK not to cooperate and not to aid and assist incorporates the duty not to assist in Israel’s policies and practices that obstruct the right of the Palestinian people freely to determine its political status and to pursue its economic, social and cultural development as well as the duty to cooperate to end these policies </w:t>
      </w:r>
      <w:r w:rsidRPr="0078103E">
        <w:rPr>
          <w:rFonts w:ascii="Arial" w:eastAsia="Arial" w:hAnsi="Arial" w:cs="Arial"/>
          <w:color w:val="000000"/>
          <w:sz w:val="22"/>
          <w:szCs w:val="22"/>
          <w:lang w:val="en-GB"/>
        </w:rPr>
        <w:lastRenderedPageBreak/>
        <w:t xml:space="preserve">and practices central to the overall illegality that Israel is involved in (see para. </w:t>
      </w:r>
      <w:r>
        <w:rPr>
          <w:rFonts w:ascii="Arial" w:eastAsia="Arial" w:hAnsi="Arial" w:cs="Arial"/>
          <w:color w:val="000000"/>
          <w:sz w:val="22"/>
          <w:szCs w:val="22"/>
        </w:rPr>
        <w:t>242 of the AO).</w:t>
      </w:r>
    </w:p>
    <w:p w14:paraId="0000004A" w14:textId="2D5D5DDA" w:rsidR="001776FF" w:rsidRPr="00E37F1A" w:rsidRDefault="00000000" w:rsidP="00E37F1A">
      <w:pPr>
        <w:pStyle w:val="Heading2"/>
        <w:spacing w:before="0" w:after="0"/>
        <w:jc w:val="both"/>
        <w:rPr>
          <w:rFonts w:ascii="Arial" w:eastAsia="Arial" w:hAnsi="Arial" w:cs="Arial"/>
          <w:i/>
          <w:sz w:val="22"/>
          <w:szCs w:val="22"/>
          <w:lang w:val="en-GB"/>
        </w:rPr>
      </w:pPr>
      <w:bookmarkStart w:id="15" w:name="_heading=h.4d34og8" w:colFirst="0" w:colLast="0"/>
      <w:bookmarkEnd w:id="15"/>
      <w:r w:rsidRPr="0078103E">
        <w:rPr>
          <w:rFonts w:ascii="Arial" w:eastAsia="Arial" w:hAnsi="Arial" w:cs="Arial"/>
          <w:i/>
          <w:sz w:val="22"/>
          <w:szCs w:val="22"/>
          <w:lang w:val="en-GB"/>
        </w:rPr>
        <w:t>Obligations in relation to business activities, in light of CESCRs General Comment 24</w:t>
      </w:r>
    </w:p>
    <w:p w14:paraId="0000004B" w14:textId="49CE0952" w:rsidR="001776FF" w:rsidRDefault="00000000">
      <w:pPr>
        <w:numPr>
          <w:ilvl w:val="0"/>
          <w:numId w:val="1"/>
        </w:numPr>
        <w:ind w:left="450"/>
        <w:jc w:val="both"/>
        <w:rPr>
          <w:sz w:val="22"/>
          <w:szCs w:val="22"/>
        </w:rPr>
      </w:pPr>
      <w:r w:rsidRPr="0078103E">
        <w:rPr>
          <w:rFonts w:ascii="Arial" w:eastAsia="Arial" w:hAnsi="Arial" w:cs="Arial"/>
          <w:color w:val="000000"/>
          <w:sz w:val="22"/>
          <w:szCs w:val="22"/>
          <w:lang w:val="en-GB"/>
        </w:rPr>
        <w:t>The realization of rights under the ICESCRs, part and parcel of which is the right to self-determination,</w:t>
      </w:r>
      <w:r>
        <w:rPr>
          <w:rFonts w:ascii="Arial" w:eastAsia="Arial" w:hAnsi="Arial" w:cs="Arial"/>
          <w:color w:val="000000"/>
          <w:sz w:val="22"/>
          <w:szCs w:val="22"/>
          <w:vertAlign w:val="superscript"/>
        </w:rPr>
        <w:footnoteReference w:id="19"/>
      </w:r>
      <w:r w:rsidRPr="0078103E">
        <w:rPr>
          <w:rFonts w:ascii="Arial" w:eastAsia="Arial" w:hAnsi="Arial" w:cs="Arial"/>
          <w:sz w:val="22"/>
          <w:szCs w:val="22"/>
          <w:lang w:val="en-GB"/>
        </w:rPr>
        <w:t xml:space="preserve"> </w:t>
      </w:r>
      <w:r w:rsidRPr="0078103E">
        <w:rPr>
          <w:rFonts w:ascii="Arial" w:eastAsia="Arial" w:hAnsi="Arial" w:cs="Arial"/>
          <w:color w:val="000000"/>
          <w:sz w:val="22"/>
          <w:szCs w:val="22"/>
          <w:lang w:val="en-GB"/>
        </w:rPr>
        <w:t xml:space="preserve">requires that </w:t>
      </w:r>
      <w:r w:rsidRPr="0078103E">
        <w:rPr>
          <w:rFonts w:ascii="Arial" w:eastAsia="Arial" w:hAnsi="Arial" w:cs="Arial"/>
          <w:sz w:val="22"/>
          <w:szCs w:val="22"/>
          <w:lang w:val="en-GB"/>
        </w:rPr>
        <w:t xml:space="preserve">States ensure compliance with internationally recognized human rights norms and standards, including in relation to corporate activities that may negatively affect economic, social and cultural rights. The State’s obligations to respect, to protect and to fulfil apply both with respect to situations on the State’s national territory, and outside the national territory in situations over which States parties may exercise control (General Comment 24 of the </w:t>
      </w:r>
      <w:r w:rsidR="002C2AFC">
        <w:rPr>
          <w:rFonts w:ascii="Arial" w:eastAsia="Arial" w:hAnsi="Arial" w:cs="Arial"/>
          <w:sz w:val="22"/>
          <w:szCs w:val="22"/>
          <w:lang w:val="en-GB"/>
        </w:rPr>
        <w:t xml:space="preserve">Committee </w:t>
      </w:r>
      <w:r w:rsidRPr="0078103E">
        <w:rPr>
          <w:rFonts w:ascii="Arial" w:eastAsia="Arial" w:hAnsi="Arial" w:cs="Arial"/>
          <w:sz w:val="22"/>
          <w:szCs w:val="22"/>
          <w:lang w:val="en-GB"/>
        </w:rPr>
        <w:t>ESCRs)</w:t>
      </w:r>
      <w:r>
        <w:rPr>
          <w:rFonts w:ascii="Arial" w:eastAsia="Arial" w:hAnsi="Arial" w:cs="Arial"/>
          <w:sz w:val="22"/>
          <w:szCs w:val="22"/>
          <w:vertAlign w:val="superscript"/>
        </w:rPr>
        <w:footnoteReference w:id="20"/>
      </w:r>
      <w:r w:rsidRPr="0078103E">
        <w:rPr>
          <w:rFonts w:ascii="Arial" w:eastAsia="Arial" w:hAnsi="Arial" w:cs="Arial"/>
          <w:sz w:val="22"/>
          <w:szCs w:val="22"/>
          <w:lang w:val="en-GB"/>
        </w:rPr>
        <w:t xml:space="preserve">. </w:t>
      </w:r>
      <w:r>
        <w:rPr>
          <w:rFonts w:ascii="Arial" w:eastAsia="Arial" w:hAnsi="Arial" w:cs="Arial"/>
          <w:sz w:val="22"/>
          <w:szCs w:val="22"/>
        </w:rPr>
        <w:t>The Committee on ESCRs</w:t>
      </w:r>
      <w:r w:rsidR="002C2AFC">
        <w:rPr>
          <w:rFonts w:ascii="Arial" w:eastAsia="Arial" w:hAnsi="Arial" w:cs="Arial"/>
          <w:sz w:val="22"/>
          <w:szCs w:val="22"/>
          <w:lang w:val="en-US"/>
        </w:rPr>
        <w:t xml:space="preserve"> (CESCRs)</w:t>
      </w:r>
      <w:r>
        <w:rPr>
          <w:rFonts w:ascii="Arial" w:eastAsia="Arial" w:hAnsi="Arial" w:cs="Arial"/>
          <w:sz w:val="22"/>
          <w:szCs w:val="22"/>
        </w:rPr>
        <w:t xml:space="preserve"> clearly stated that: </w:t>
      </w:r>
    </w:p>
    <w:p w14:paraId="0000004C" w14:textId="77777777" w:rsidR="001776FF" w:rsidRPr="0078103E" w:rsidRDefault="00000000">
      <w:pPr>
        <w:numPr>
          <w:ilvl w:val="0"/>
          <w:numId w:val="1"/>
        </w:numPr>
        <w:ind w:hanging="630"/>
        <w:jc w:val="both"/>
        <w:rPr>
          <w:sz w:val="22"/>
          <w:szCs w:val="22"/>
          <w:lang w:val="en-GB"/>
        </w:rPr>
      </w:pPr>
      <w:r w:rsidRPr="0078103E">
        <w:rPr>
          <w:rFonts w:ascii="Arial" w:eastAsia="Arial" w:hAnsi="Arial" w:cs="Arial"/>
          <w:sz w:val="22"/>
          <w:szCs w:val="22"/>
          <w:lang w:val="en-GB"/>
        </w:rPr>
        <w:t xml:space="preserve">Extraterritorial obligations arise when a </w:t>
      </w:r>
      <w:proofErr w:type="gramStart"/>
      <w:r w:rsidRPr="0078103E">
        <w:rPr>
          <w:rFonts w:ascii="Arial" w:eastAsia="Arial" w:hAnsi="Arial" w:cs="Arial"/>
          <w:sz w:val="22"/>
          <w:szCs w:val="22"/>
          <w:lang w:val="en-GB"/>
        </w:rPr>
        <w:t>State</w:t>
      </w:r>
      <w:proofErr w:type="gramEnd"/>
      <w:r w:rsidRPr="0078103E">
        <w:rPr>
          <w:rFonts w:ascii="Arial" w:eastAsia="Arial" w:hAnsi="Arial" w:cs="Arial"/>
          <w:sz w:val="22"/>
          <w:szCs w:val="22"/>
          <w:lang w:val="en-GB"/>
        </w:rPr>
        <w:t xml:space="preserve"> party may influence situations located outside its territory, consistent with the limits imposed by international law, by controlling the activities of corporations domiciled in its territory and/or under its jurisdiction, and thus may contribute to the effective enjoyment of economic, social and cultural rights outside its national territory.</w:t>
      </w:r>
      <w:r>
        <w:rPr>
          <w:rFonts w:ascii="Arial" w:eastAsia="Arial" w:hAnsi="Arial" w:cs="Arial"/>
          <w:sz w:val="22"/>
          <w:szCs w:val="22"/>
          <w:vertAlign w:val="superscript"/>
        </w:rPr>
        <w:footnoteReference w:id="21"/>
      </w:r>
    </w:p>
    <w:p w14:paraId="0000004D" w14:textId="77777777"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It has been well established in the work of the CESCRs that:</w:t>
      </w:r>
    </w:p>
    <w:p w14:paraId="0000004E" w14:textId="77777777" w:rsidR="001776FF" w:rsidRPr="0078103E" w:rsidRDefault="00000000">
      <w:pPr>
        <w:numPr>
          <w:ilvl w:val="0"/>
          <w:numId w:val="1"/>
        </w:numPr>
        <w:ind w:left="810" w:hanging="720"/>
        <w:jc w:val="both"/>
        <w:rPr>
          <w:sz w:val="22"/>
          <w:szCs w:val="22"/>
          <w:lang w:val="en-GB"/>
        </w:rPr>
      </w:pPr>
      <w:r w:rsidRPr="0078103E">
        <w:rPr>
          <w:rFonts w:ascii="Arial" w:eastAsia="Arial" w:hAnsi="Arial" w:cs="Arial"/>
          <w:sz w:val="22"/>
          <w:szCs w:val="22"/>
          <w:lang w:val="en-GB"/>
        </w:rPr>
        <w:t xml:space="preserve">States parties were required to take the steps necessary to prevent human rights violations abroad by corporations domiciled in their territory and/or jurisdiction (whether they were incorporated under their laws, or had their statutory seat, central administration or principal place of business on the national </w:t>
      </w:r>
      <w:proofErr w:type="gramStart"/>
      <w:r w:rsidRPr="0078103E">
        <w:rPr>
          <w:rFonts w:ascii="Arial" w:eastAsia="Arial" w:hAnsi="Arial" w:cs="Arial"/>
          <w:sz w:val="22"/>
          <w:szCs w:val="22"/>
          <w:lang w:val="en-GB"/>
        </w:rPr>
        <w:t>territory)[...]</w:t>
      </w:r>
      <w:proofErr w:type="gramEnd"/>
      <w:r>
        <w:rPr>
          <w:rFonts w:ascii="Arial" w:eastAsia="Arial" w:hAnsi="Arial" w:cs="Arial"/>
          <w:sz w:val="22"/>
          <w:szCs w:val="22"/>
          <w:vertAlign w:val="superscript"/>
        </w:rPr>
        <w:footnoteReference w:id="22"/>
      </w:r>
      <w:r w:rsidRPr="0078103E">
        <w:rPr>
          <w:rFonts w:ascii="Arial" w:eastAsia="Arial" w:hAnsi="Arial" w:cs="Arial"/>
          <w:sz w:val="22"/>
          <w:szCs w:val="22"/>
          <w:lang w:val="en-GB"/>
        </w:rPr>
        <w:t xml:space="preserve"> </w:t>
      </w:r>
    </w:p>
    <w:p w14:paraId="0000004F" w14:textId="77777777"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This, as pointed out by the CESCRs, is rooted in the pledge of Members of the United Nations “to take joint and separate action in cooperation with the Organization” to achieve the purposes set forth in article 55 of the Charter, including “universal respect for, and observance of, human rights and fundamental freedoms for all without distinction as to race, sex, language, or religion”.</w:t>
      </w:r>
      <w:r>
        <w:rPr>
          <w:rFonts w:ascii="Arial" w:eastAsia="Arial" w:hAnsi="Arial" w:cs="Arial"/>
          <w:sz w:val="22"/>
          <w:szCs w:val="22"/>
          <w:vertAlign w:val="superscript"/>
        </w:rPr>
        <w:footnoteReference w:id="23"/>
      </w:r>
      <w:r w:rsidRPr="0078103E">
        <w:rPr>
          <w:rFonts w:ascii="Arial" w:eastAsia="Arial" w:hAnsi="Arial" w:cs="Arial"/>
          <w:sz w:val="22"/>
          <w:szCs w:val="22"/>
          <w:lang w:val="en-GB"/>
        </w:rPr>
        <w:t xml:space="preserve"> The Committee recalls in General Comment 24 that, in line with the Charter, the International Court of Justice has acknowledged the extraterritorial scope of core human rights treaties, focusing on their object and purpose, their legislative history and the lack of territorial limitation provisions in the text.</w:t>
      </w:r>
      <w:r>
        <w:rPr>
          <w:rFonts w:ascii="Arial" w:eastAsia="Arial" w:hAnsi="Arial" w:cs="Arial"/>
          <w:sz w:val="22"/>
          <w:szCs w:val="22"/>
          <w:vertAlign w:val="superscript"/>
        </w:rPr>
        <w:footnoteReference w:id="24"/>
      </w:r>
      <w:r w:rsidRPr="0078103E">
        <w:rPr>
          <w:rFonts w:ascii="Arial" w:eastAsia="Arial" w:hAnsi="Arial" w:cs="Arial"/>
          <w:sz w:val="22"/>
          <w:szCs w:val="22"/>
          <w:lang w:val="en-GB"/>
        </w:rPr>
        <w:t xml:space="preserve"> </w:t>
      </w:r>
    </w:p>
    <w:p w14:paraId="00000050" w14:textId="77777777"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A State party would be in breach of its obligations under the Covenant where the violation reveals a failure by the State to take reasonable measures that could have prevented the occurrence of the event, even in circumstances where other causes have also contributed to the occurrence of the violation.</w:t>
      </w:r>
      <w:r>
        <w:rPr>
          <w:rFonts w:ascii="Arial" w:eastAsia="Arial" w:hAnsi="Arial" w:cs="Arial"/>
          <w:sz w:val="22"/>
          <w:szCs w:val="22"/>
          <w:vertAlign w:val="superscript"/>
        </w:rPr>
        <w:footnoteReference w:id="25"/>
      </w:r>
      <w:r w:rsidRPr="0078103E">
        <w:rPr>
          <w:rFonts w:ascii="Arial" w:eastAsia="Arial" w:hAnsi="Arial" w:cs="Arial"/>
          <w:sz w:val="22"/>
          <w:szCs w:val="22"/>
          <w:lang w:val="en-GB"/>
        </w:rPr>
        <w:t xml:space="preserve"> </w:t>
      </w:r>
    </w:p>
    <w:p w14:paraId="00000051" w14:textId="77777777" w:rsidR="001776FF" w:rsidRPr="0078103E" w:rsidRDefault="00000000">
      <w:pPr>
        <w:numPr>
          <w:ilvl w:val="0"/>
          <w:numId w:val="1"/>
        </w:numPr>
        <w:ind w:hanging="630"/>
        <w:jc w:val="both"/>
        <w:rPr>
          <w:sz w:val="22"/>
          <w:szCs w:val="22"/>
          <w:lang w:val="en-GB"/>
        </w:rPr>
      </w:pPr>
      <w:r w:rsidRPr="0078103E">
        <w:rPr>
          <w:rFonts w:ascii="Arial" w:eastAsia="Arial" w:hAnsi="Arial" w:cs="Arial"/>
          <w:sz w:val="22"/>
          <w:szCs w:val="22"/>
          <w:lang w:val="en-GB"/>
        </w:rPr>
        <w:t>In discharging their duty to protect, States parties should also require corporations to deploy their best efforts to ensure that entities whose conduct those corporations may influence, such as subsidiaries (including all business entities in which they have invested, whether registered under the State party’s laws or under the laws of another State) or business partners (including suppliers, franchisees and subcontractors), respect Covenant rights.</w:t>
      </w:r>
      <w:r>
        <w:rPr>
          <w:rFonts w:ascii="Arial" w:eastAsia="Arial" w:hAnsi="Arial" w:cs="Arial"/>
          <w:sz w:val="22"/>
          <w:szCs w:val="22"/>
          <w:vertAlign w:val="superscript"/>
        </w:rPr>
        <w:footnoteReference w:id="26"/>
      </w:r>
      <w:r w:rsidRPr="0078103E">
        <w:rPr>
          <w:rFonts w:ascii="Arial" w:eastAsia="Arial" w:hAnsi="Arial" w:cs="Arial"/>
          <w:sz w:val="22"/>
          <w:szCs w:val="22"/>
          <w:lang w:val="en-GB"/>
        </w:rPr>
        <w:t xml:space="preserve"> </w:t>
      </w:r>
    </w:p>
    <w:p w14:paraId="00000052" w14:textId="77777777"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lastRenderedPageBreak/>
        <w:t>The duty to cooperate to end a serious (gross or systemic)</w:t>
      </w:r>
      <w:r>
        <w:rPr>
          <w:rFonts w:ascii="Arial" w:eastAsia="Arial" w:hAnsi="Arial" w:cs="Arial"/>
          <w:sz w:val="22"/>
          <w:szCs w:val="22"/>
          <w:vertAlign w:val="superscript"/>
        </w:rPr>
        <w:footnoteReference w:id="27"/>
      </w:r>
      <w:r w:rsidRPr="0078103E">
        <w:rPr>
          <w:rFonts w:ascii="Arial" w:eastAsia="Arial" w:hAnsi="Arial" w:cs="Arial"/>
          <w:sz w:val="22"/>
          <w:szCs w:val="22"/>
          <w:lang w:val="en-GB"/>
        </w:rPr>
        <w:t xml:space="preserve"> breach by a State of an obligation arising under a peremptory norm of general international law, as stipulated under Article 41 of ARSIWA, interacts with the duty stipulated under Article 2 (1) of the Covenant, which sets out the expectation that States parties will take collective action, including through international cooperation, in order to help fulfil the economic, social and cultural rights of persons outside of their national territories.</w:t>
      </w:r>
      <w:r>
        <w:rPr>
          <w:rFonts w:ascii="Arial" w:eastAsia="Arial" w:hAnsi="Arial" w:cs="Arial"/>
          <w:sz w:val="22"/>
          <w:szCs w:val="22"/>
          <w:vertAlign w:val="superscript"/>
        </w:rPr>
        <w:footnoteReference w:id="28"/>
      </w:r>
      <w:r w:rsidRPr="0078103E">
        <w:rPr>
          <w:rFonts w:ascii="Arial" w:eastAsia="Arial" w:hAnsi="Arial" w:cs="Arial"/>
          <w:sz w:val="22"/>
          <w:szCs w:val="22"/>
          <w:lang w:val="en-GB"/>
        </w:rPr>
        <w:t xml:space="preserve"> </w:t>
      </w:r>
    </w:p>
    <w:p w14:paraId="00000053" w14:textId="77777777"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The General Comment 24, paragraph 37, provides that:</w:t>
      </w:r>
    </w:p>
    <w:p w14:paraId="00000054" w14:textId="77777777" w:rsidR="001776FF" w:rsidRPr="0078103E" w:rsidRDefault="00000000">
      <w:pPr>
        <w:numPr>
          <w:ilvl w:val="0"/>
          <w:numId w:val="1"/>
        </w:numPr>
        <w:ind w:hanging="630"/>
        <w:jc w:val="both"/>
        <w:rPr>
          <w:sz w:val="22"/>
          <w:szCs w:val="22"/>
          <w:lang w:val="en-GB"/>
        </w:rPr>
      </w:pPr>
      <w:r w:rsidRPr="0078103E">
        <w:rPr>
          <w:rFonts w:ascii="Arial" w:eastAsia="Arial" w:hAnsi="Arial" w:cs="Arial"/>
          <w:sz w:val="22"/>
          <w:szCs w:val="22"/>
          <w:lang w:val="en-GB"/>
        </w:rPr>
        <w:t>Consistent with article 28 of the Universal Declaration of Human Rights, this obligation to fulfil requires States parties to contribute to creating an international environment that enables the fulfilment of the Covenant rights. To that end, States parties must take the necessary steps in their legislation and policies, including diplomatic and foreign relations measures, to promote and help create such an environment. States parties should also encourage business actors whose conduct they are in a position to influence to ensure that they do not undermine the efforts of the States in which they operate to fully realize the Covenant rights[...]</w:t>
      </w:r>
    </w:p>
    <w:p w14:paraId="00000055" w14:textId="77777777" w:rsidR="001776FF" w:rsidRPr="0078103E" w:rsidRDefault="00000000">
      <w:pPr>
        <w:numPr>
          <w:ilvl w:val="0"/>
          <w:numId w:val="1"/>
        </w:numPr>
        <w:ind w:left="450"/>
        <w:jc w:val="both"/>
        <w:rPr>
          <w:sz w:val="22"/>
          <w:szCs w:val="22"/>
          <w:lang w:val="en-GB"/>
        </w:rPr>
      </w:pPr>
      <w:r w:rsidRPr="0078103E">
        <w:rPr>
          <w:rFonts w:ascii="Arial" w:eastAsia="Arial" w:hAnsi="Arial" w:cs="Arial"/>
          <w:sz w:val="22"/>
          <w:szCs w:val="22"/>
          <w:lang w:val="en-GB"/>
        </w:rPr>
        <w:t xml:space="preserve">This, read together with the obligations stemming from ARSIWA reviewed above, clarifies that States should cooperate in every relevant international </w:t>
      </w:r>
      <w:proofErr w:type="gramStart"/>
      <w:r w:rsidRPr="0078103E">
        <w:rPr>
          <w:rFonts w:ascii="Arial" w:eastAsia="Arial" w:hAnsi="Arial" w:cs="Arial"/>
          <w:sz w:val="22"/>
          <w:szCs w:val="22"/>
          <w:lang w:val="en-GB"/>
        </w:rPr>
        <w:t>fora</w:t>
      </w:r>
      <w:proofErr w:type="gramEnd"/>
      <w:r w:rsidRPr="0078103E">
        <w:rPr>
          <w:rFonts w:ascii="Arial" w:eastAsia="Arial" w:hAnsi="Arial" w:cs="Arial"/>
          <w:sz w:val="22"/>
          <w:szCs w:val="22"/>
          <w:lang w:val="en-GB"/>
        </w:rPr>
        <w:t xml:space="preserve"> to contribute towards ending the illegality propagated by </w:t>
      </w:r>
      <w:sdt>
        <w:sdtPr>
          <w:tag w:val="goog_rdk_3"/>
          <w:id w:val="-541901974"/>
        </w:sdtPr>
        <w:sdtContent/>
      </w:sdt>
      <w:r w:rsidRPr="0078103E">
        <w:rPr>
          <w:rFonts w:ascii="Arial" w:eastAsia="Arial" w:hAnsi="Arial" w:cs="Arial"/>
          <w:sz w:val="22"/>
          <w:szCs w:val="22"/>
          <w:lang w:val="en-GB"/>
        </w:rPr>
        <w:t xml:space="preserve">Israel. </w:t>
      </w:r>
    </w:p>
    <w:p w14:paraId="00000056" w14:textId="77777777" w:rsidR="001776FF" w:rsidRPr="0078103E" w:rsidRDefault="001776FF">
      <w:pPr>
        <w:ind w:left="720"/>
        <w:jc w:val="both"/>
        <w:rPr>
          <w:rFonts w:ascii="Arial" w:eastAsia="Arial" w:hAnsi="Arial" w:cs="Arial"/>
          <w:sz w:val="22"/>
          <w:szCs w:val="22"/>
          <w:lang w:val="en-GB"/>
        </w:rPr>
      </w:pPr>
    </w:p>
    <w:p w14:paraId="00000058" w14:textId="597A0CCA" w:rsidR="001776FF" w:rsidRPr="0078103E" w:rsidRDefault="00000000" w:rsidP="0078103E">
      <w:pPr>
        <w:pStyle w:val="Heading1"/>
        <w:spacing w:before="0"/>
        <w:jc w:val="both"/>
        <w:rPr>
          <w:rFonts w:ascii="Arial" w:eastAsia="Arial" w:hAnsi="Arial" w:cs="Arial"/>
          <w:b/>
          <w:color w:val="000000"/>
          <w:sz w:val="22"/>
          <w:szCs w:val="22"/>
          <w:lang w:val="en-GB"/>
        </w:rPr>
      </w:pPr>
      <w:bookmarkStart w:id="16" w:name="_heading=h.2s8eyo1" w:colFirst="0" w:colLast="0"/>
      <w:bookmarkEnd w:id="16"/>
      <w:r w:rsidRPr="0078103E">
        <w:rPr>
          <w:rFonts w:ascii="Arial" w:eastAsia="Arial" w:hAnsi="Arial" w:cs="Arial"/>
          <w:b/>
          <w:color w:val="000000"/>
          <w:sz w:val="22"/>
          <w:szCs w:val="22"/>
          <w:lang w:val="en-GB"/>
        </w:rPr>
        <w:t xml:space="preserve">Examples of UK companies’ </w:t>
      </w:r>
      <w:r w:rsidR="0078103E">
        <w:rPr>
          <w:rFonts w:ascii="Arial" w:eastAsia="Arial" w:hAnsi="Arial" w:cs="Arial"/>
          <w:b/>
          <w:color w:val="000000"/>
          <w:sz w:val="22"/>
          <w:szCs w:val="22"/>
          <w:lang w:val="en-GB"/>
        </w:rPr>
        <w:t>involvement</w:t>
      </w:r>
      <w:r w:rsidRPr="0078103E">
        <w:rPr>
          <w:rFonts w:ascii="Arial" w:eastAsia="Arial" w:hAnsi="Arial" w:cs="Arial"/>
          <w:b/>
          <w:color w:val="000000"/>
          <w:sz w:val="22"/>
          <w:szCs w:val="22"/>
          <w:lang w:val="en-GB"/>
        </w:rPr>
        <w:t xml:space="preserve"> with Israel </w:t>
      </w:r>
    </w:p>
    <w:p w14:paraId="0000005A" w14:textId="3A49808B" w:rsidR="001776FF" w:rsidRPr="0078103E" w:rsidRDefault="00000000" w:rsidP="0078103E">
      <w:pPr>
        <w:pStyle w:val="Heading2"/>
        <w:spacing w:before="0" w:after="0"/>
        <w:jc w:val="both"/>
        <w:rPr>
          <w:rFonts w:ascii="Arial" w:eastAsia="Arial" w:hAnsi="Arial" w:cs="Arial"/>
          <w:i/>
          <w:sz w:val="22"/>
          <w:szCs w:val="22"/>
          <w:lang w:val="en-US"/>
        </w:rPr>
      </w:pPr>
      <w:bookmarkStart w:id="17" w:name="_heading=h.17dp8vu" w:colFirst="0" w:colLast="0"/>
      <w:bookmarkEnd w:id="17"/>
      <w:r>
        <w:rPr>
          <w:rFonts w:ascii="Arial" w:eastAsia="Arial" w:hAnsi="Arial" w:cs="Arial"/>
          <w:i/>
          <w:sz w:val="22"/>
          <w:szCs w:val="22"/>
        </w:rPr>
        <w:t>UK arms companies</w:t>
      </w:r>
    </w:p>
    <w:p w14:paraId="0000005B" w14:textId="77777777" w:rsidR="001776FF" w:rsidRPr="0078103E" w:rsidRDefault="00000000">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sz w:val="22"/>
          <w:szCs w:val="22"/>
          <w:lang w:val="en-GB"/>
        </w:rPr>
      </w:pPr>
      <w:r w:rsidRPr="0078103E">
        <w:rPr>
          <w:rFonts w:ascii="Arial" w:eastAsia="Arial" w:hAnsi="Arial" w:cs="Arial"/>
          <w:color w:val="000000"/>
          <w:sz w:val="22"/>
          <w:szCs w:val="22"/>
          <w:lang w:val="en-GB"/>
        </w:rPr>
        <w:t>Since May 20</w:t>
      </w:r>
      <w:r w:rsidRPr="0078103E">
        <w:rPr>
          <w:rFonts w:ascii="Arial" w:eastAsia="Arial" w:hAnsi="Arial" w:cs="Arial"/>
          <w:sz w:val="22"/>
          <w:szCs w:val="22"/>
          <w:lang w:val="en-GB"/>
        </w:rPr>
        <w:t>15</w:t>
      </w:r>
      <w:r w:rsidRPr="0078103E">
        <w:rPr>
          <w:rFonts w:ascii="Arial" w:eastAsia="Arial" w:hAnsi="Arial" w:cs="Arial"/>
          <w:color w:val="000000"/>
          <w:sz w:val="22"/>
          <w:szCs w:val="22"/>
          <w:lang w:val="en-GB"/>
        </w:rPr>
        <w:t xml:space="preserve">, the </w:t>
      </w:r>
      <w:r w:rsidRPr="0078103E">
        <w:rPr>
          <w:rFonts w:ascii="Arial" w:eastAsia="Arial" w:hAnsi="Arial" w:cs="Arial"/>
          <w:color w:val="202020"/>
          <w:sz w:val="22"/>
          <w:szCs w:val="22"/>
          <w:lang w:val="en-GB"/>
        </w:rPr>
        <w:t>UK export licences approved for military goods to Israel amounted to 492 million pounds</w:t>
      </w:r>
      <w:r>
        <w:rPr>
          <w:rFonts w:ascii="Arial" w:eastAsia="Arial" w:hAnsi="Arial" w:cs="Arial"/>
          <w:color w:val="202020"/>
          <w:sz w:val="22"/>
          <w:szCs w:val="22"/>
          <w:vertAlign w:val="superscript"/>
        </w:rPr>
        <w:footnoteReference w:id="29"/>
      </w:r>
      <w:r w:rsidRPr="0078103E">
        <w:rPr>
          <w:rFonts w:ascii="Arial" w:eastAsia="Arial" w:hAnsi="Arial" w:cs="Arial"/>
          <w:color w:val="202020"/>
          <w:sz w:val="22"/>
          <w:szCs w:val="22"/>
          <w:lang w:val="en-GB"/>
        </w:rPr>
        <w:t xml:space="preserve">. </w:t>
      </w:r>
      <w:r w:rsidRPr="0078103E">
        <w:rPr>
          <w:rFonts w:ascii="Arial" w:eastAsia="Arial" w:hAnsi="Arial" w:cs="Arial"/>
          <w:color w:val="000000"/>
          <w:sz w:val="22"/>
          <w:szCs w:val="22"/>
          <w:lang w:val="en-GB"/>
        </w:rPr>
        <w:t>The UK supplies approximately 15% of the components for the F-35s used in Israel’s bombardments of Gaza.</w:t>
      </w:r>
      <w:r>
        <w:rPr>
          <w:rFonts w:ascii="Arial" w:eastAsia="Arial" w:hAnsi="Arial" w:cs="Arial"/>
          <w:color w:val="000000"/>
          <w:sz w:val="22"/>
          <w:szCs w:val="22"/>
          <w:vertAlign w:val="superscript"/>
        </w:rPr>
        <w:footnoteReference w:id="30"/>
      </w:r>
      <w:r w:rsidRPr="0078103E">
        <w:rPr>
          <w:rFonts w:ascii="Arial" w:eastAsia="Arial" w:hAnsi="Arial" w:cs="Arial"/>
          <w:color w:val="000000"/>
          <w:sz w:val="22"/>
          <w:szCs w:val="22"/>
          <w:lang w:val="en-GB"/>
        </w:rPr>
        <w:t xml:space="preserve"> </w:t>
      </w:r>
      <w:r w:rsidRPr="0078103E">
        <w:rPr>
          <w:rFonts w:ascii="Arial" w:eastAsia="Arial" w:hAnsi="Arial" w:cs="Arial"/>
          <w:color w:val="202020"/>
          <w:sz w:val="22"/>
          <w:szCs w:val="22"/>
          <w:lang w:val="en-GB"/>
        </w:rPr>
        <w:t xml:space="preserve">According to a parliamentary briefing, </w:t>
      </w:r>
      <w:r w:rsidRPr="0078103E">
        <w:rPr>
          <w:rFonts w:ascii="Arial" w:eastAsia="Arial" w:hAnsi="Arial" w:cs="Arial"/>
          <w:sz w:val="22"/>
          <w:szCs w:val="22"/>
          <w:lang w:val="en-GB"/>
        </w:rPr>
        <w:t>the UK Government </w:t>
      </w:r>
      <w:hyperlink r:id="rId10" w:anchor="contribution-099784F8-6206-4AAA-B2E0-8FC129687A2E">
        <w:r w:rsidRPr="0078103E">
          <w:rPr>
            <w:rFonts w:ascii="Arial" w:eastAsia="Arial" w:hAnsi="Arial" w:cs="Arial"/>
            <w:color w:val="2B57AB"/>
            <w:sz w:val="22"/>
            <w:szCs w:val="22"/>
            <w:u w:val="single"/>
            <w:lang w:val="en-GB"/>
          </w:rPr>
          <w:t>granted licences valued at £42 million</w:t>
        </w:r>
      </w:hyperlink>
      <w:r w:rsidRPr="0078103E">
        <w:rPr>
          <w:rFonts w:ascii="Arial" w:eastAsia="Arial" w:hAnsi="Arial" w:cs="Arial"/>
          <w:sz w:val="22"/>
          <w:szCs w:val="22"/>
          <w:lang w:val="en-GB"/>
        </w:rPr>
        <w:t> in 2022.</w:t>
      </w:r>
      <w:r>
        <w:rPr>
          <w:rFonts w:ascii="Arial" w:eastAsia="Arial" w:hAnsi="Arial" w:cs="Arial"/>
          <w:sz w:val="22"/>
          <w:szCs w:val="22"/>
          <w:vertAlign w:val="superscript"/>
        </w:rPr>
        <w:footnoteReference w:id="31"/>
      </w:r>
      <w:r w:rsidRPr="0078103E">
        <w:rPr>
          <w:rFonts w:ascii="Arial" w:eastAsia="Arial" w:hAnsi="Arial" w:cs="Arial"/>
          <w:sz w:val="22"/>
          <w:szCs w:val="22"/>
          <w:lang w:val="en-GB"/>
        </w:rPr>
        <w:t xml:space="preserve"> The UK government granted 108 licences for military and non-military controlled goods to Israel between 7 October 2023 and 31 May 2024, according to </w:t>
      </w:r>
      <w:hyperlink r:id="rId11">
        <w:r w:rsidRPr="0078103E">
          <w:rPr>
            <w:rFonts w:ascii="Arial" w:eastAsia="Arial" w:hAnsi="Arial" w:cs="Arial"/>
            <w:color w:val="2B57AB"/>
            <w:sz w:val="22"/>
            <w:szCs w:val="22"/>
            <w:u w:val="single"/>
            <w:lang w:val="en-GB"/>
          </w:rPr>
          <w:t>data released in June 2024</w:t>
        </w:r>
      </w:hyperlink>
      <w:r w:rsidRPr="0078103E">
        <w:rPr>
          <w:rFonts w:ascii="Arial" w:eastAsia="Arial" w:hAnsi="Arial" w:cs="Arial"/>
          <w:sz w:val="22"/>
          <w:szCs w:val="22"/>
          <w:lang w:val="en-GB"/>
        </w:rPr>
        <w:t>.</w:t>
      </w:r>
      <w:r>
        <w:rPr>
          <w:rFonts w:ascii="Arial" w:eastAsia="Arial" w:hAnsi="Arial" w:cs="Arial"/>
          <w:sz w:val="22"/>
          <w:szCs w:val="22"/>
          <w:vertAlign w:val="superscript"/>
        </w:rPr>
        <w:footnoteReference w:id="32"/>
      </w:r>
    </w:p>
    <w:p w14:paraId="0000005C" w14:textId="45B46873" w:rsidR="001776FF" w:rsidRPr="0078103E" w:rsidRDefault="00000000">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sz w:val="22"/>
          <w:szCs w:val="22"/>
          <w:lang w:val="en-GB"/>
        </w:rPr>
      </w:pPr>
      <w:r w:rsidRPr="0078103E">
        <w:rPr>
          <w:rFonts w:ascii="Arial" w:eastAsia="Arial" w:hAnsi="Arial" w:cs="Arial"/>
          <w:color w:val="202020"/>
          <w:sz w:val="22"/>
          <w:szCs w:val="22"/>
          <w:lang w:val="en-GB"/>
        </w:rPr>
        <w:t xml:space="preserve">In September 2024, </w:t>
      </w:r>
      <w:r w:rsidRPr="0078103E">
        <w:rPr>
          <w:rFonts w:ascii="Arial" w:eastAsia="Arial" w:hAnsi="Arial" w:cs="Arial"/>
          <w:color w:val="000000"/>
          <w:sz w:val="22"/>
          <w:szCs w:val="22"/>
          <w:lang w:val="en-GB"/>
        </w:rPr>
        <w:t xml:space="preserve">the British government suspended </w:t>
      </w:r>
      <w:r w:rsidRPr="0078103E">
        <w:rPr>
          <w:rFonts w:ascii="Arial" w:eastAsia="Arial" w:hAnsi="Arial" w:cs="Arial"/>
          <w:sz w:val="22"/>
          <w:szCs w:val="22"/>
          <w:lang w:val="en-GB"/>
        </w:rPr>
        <w:t>around 30 licences, out of about 350, to Israel,</w:t>
      </w:r>
      <w:r>
        <w:rPr>
          <w:rFonts w:ascii="Arial" w:eastAsia="Arial" w:hAnsi="Arial" w:cs="Arial"/>
          <w:sz w:val="22"/>
          <w:szCs w:val="22"/>
          <w:vertAlign w:val="superscript"/>
        </w:rPr>
        <w:footnoteReference w:id="33"/>
      </w:r>
      <w:r w:rsidRPr="0078103E">
        <w:rPr>
          <w:rFonts w:ascii="Arial" w:eastAsia="Arial" w:hAnsi="Arial" w:cs="Arial"/>
          <w:color w:val="000000"/>
          <w:sz w:val="22"/>
          <w:szCs w:val="22"/>
          <w:lang w:val="en-GB"/>
        </w:rPr>
        <w:t xml:space="preserve"> saying the weapons could be used to commit violations of international humanitarian law. This step was criticized for being selective, not fulfilling the criteria set by the British export licensing criteria and failing justice.</w:t>
      </w:r>
      <w:r>
        <w:rPr>
          <w:rFonts w:ascii="Arial" w:eastAsia="Arial" w:hAnsi="Arial" w:cs="Arial"/>
          <w:color w:val="000000"/>
          <w:sz w:val="22"/>
          <w:szCs w:val="22"/>
          <w:vertAlign w:val="superscript"/>
        </w:rPr>
        <w:footnoteReference w:id="34"/>
      </w:r>
      <w:r w:rsidRPr="0078103E">
        <w:rPr>
          <w:rFonts w:ascii="Arial" w:eastAsia="Arial" w:hAnsi="Arial" w:cs="Arial"/>
          <w:color w:val="000000"/>
          <w:sz w:val="22"/>
          <w:szCs w:val="22"/>
          <w:lang w:val="en-GB"/>
        </w:rPr>
        <w:t xml:space="preserve"> </w:t>
      </w:r>
    </w:p>
    <w:p w14:paraId="0000005E" w14:textId="1D0F9F57" w:rsidR="001776FF" w:rsidRPr="0078103E" w:rsidRDefault="00000000" w:rsidP="0078103E">
      <w:pPr>
        <w:numPr>
          <w:ilvl w:val="0"/>
          <w:numId w:val="1"/>
        </w:numPr>
        <w:pBdr>
          <w:top w:val="nil"/>
          <w:left w:val="nil"/>
          <w:bottom w:val="nil"/>
          <w:right w:val="nil"/>
          <w:between w:val="nil"/>
        </w:pBdr>
        <w:shd w:val="clear" w:color="auto" w:fill="FFFFFF"/>
        <w:ind w:left="450"/>
        <w:jc w:val="both"/>
        <w:rPr>
          <w:sz w:val="22"/>
          <w:szCs w:val="22"/>
          <w:lang w:val="en-GB"/>
        </w:rPr>
      </w:pPr>
      <w:r w:rsidRPr="0078103E">
        <w:rPr>
          <w:rFonts w:ascii="Arial" w:eastAsia="Arial" w:hAnsi="Arial" w:cs="Arial"/>
          <w:color w:val="000000"/>
          <w:sz w:val="22"/>
          <w:szCs w:val="22"/>
          <w:lang w:val="en-GB"/>
        </w:rPr>
        <w:t xml:space="preserve">The UK has a sophisticated </w:t>
      </w:r>
      <w:r w:rsidRPr="0078103E">
        <w:rPr>
          <w:rFonts w:ascii="Arial" w:eastAsia="Arial" w:hAnsi="Arial" w:cs="Arial"/>
          <w:sz w:val="22"/>
          <w:szCs w:val="22"/>
          <w:lang w:val="en-GB"/>
        </w:rPr>
        <w:t>licensing</w:t>
      </w:r>
      <w:r w:rsidRPr="0078103E">
        <w:rPr>
          <w:rFonts w:ascii="Arial" w:eastAsia="Arial" w:hAnsi="Arial" w:cs="Arial"/>
          <w:color w:val="000000"/>
          <w:sz w:val="22"/>
          <w:szCs w:val="22"/>
          <w:lang w:val="en-GB"/>
        </w:rPr>
        <w:t xml:space="preserve"> regime through which it controls the exports of military or dual-use goods, thus in effect could instruct businesses to go forward</w:t>
      </w:r>
      <w:r w:rsidR="008523EF">
        <w:rPr>
          <w:rFonts w:ascii="Arial" w:eastAsia="Arial" w:hAnsi="Arial" w:cs="Arial"/>
          <w:color w:val="000000"/>
          <w:sz w:val="22"/>
          <w:szCs w:val="22"/>
          <w:lang w:val="en-GB"/>
        </w:rPr>
        <w:t>,</w:t>
      </w:r>
      <w:r w:rsidRPr="0078103E">
        <w:rPr>
          <w:rFonts w:ascii="Arial" w:eastAsia="Arial" w:hAnsi="Arial" w:cs="Arial"/>
          <w:color w:val="000000"/>
          <w:sz w:val="22"/>
          <w:szCs w:val="22"/>
          <w:lang w:val="en-GB"/>
        </w:rPr>
        <w:t xml:space="preserve"> or not</w:t>
      </w:r>
      <w:r w:rsidR="008523EF">
        <w:rPr>
          <w:rFonts w:ascii="Arial" w:eastAsia="Arial" w:hAnsi="Arial" w:cs="Arial"/>
          <w:color w:val="000000"/>
          <w:sz w:val="22"/>
          <w:szCs w:val="22"/>
          <w:lang w:val="en-GB"/>
        </w:rPr>
        <w:t>,</w:t>
      </w:r>
      <w:r w:rsidRPr="0078103E">
        <w:rPr>
          <w:rFonts w:ascii="Arial" w:eastAsia="Arial" w:hAnsi="Arial" w:cs="Arial"/>
          <w:color w:val="000000"/>
          <w:sz w:val="22"/>
          <w:szCs w:val="22"/>
          <w:lang w:val="en-GB"/>
        </w:rPr>
        <w:t xml:space="preserve"> with such exports. Any UK company wanting to export military or dual-use (that could have military or civilian use) goods to other states must apply for a licence from the </w:t>
      </w:r>
      <w:r w:rsidRPr="0078103E">
        <w:rPr>
          <w:rFonts w:ascii="Arial" w:eastAsia="Arial" w:hAnsi="Arial" w:cs="Arial"/>
          <w:color w:val="000000"/>
          <w:sz w:val="22"/>
          <w:szCs w:val="22"/>
          <w:lang w:val="en-GB"/>
        </w:rPr>
        <w:lastRenderedPageBreak/>
        <w:t>government to do so.</w:t>
      </w:r>
      <w:r>
        <w:rPr>
          <w:rFonts w:ascii="Arial" w:eastAsia="Arial" w:hAnsi="Arial" w:cs="Arial"/>
          <w:color w:val="000000"/>
          <w:sz w:val="22"/>
          <w:szCs w:val="22"/>
          <w:vertAlign w:val="superscript"/>
        </w:rPr>
        <w:footnoteReference w:id="35"/>
      </w:r>
      <w:r w:rsidRPr="0078103E">
        <w:rPr>
          <w:rFonts w:ascii="Arial" w:eastAsia="Arial" w:hAnsi="Arial" w:cs="Arial"/>
          <w:color w:val="000000"/>
          <w:sz w:val="22"/>
          <w:szCs w:val="22"/>
          <w:lang w:val="en-GB"/>
        </w:rPr>
        <w:t>. Criteria 2 of the UK Strategic Export Licencing Criteria requires the UK government to refuse to licence military equipment for export where there ‘is a clear risk that the items might be used to commit or facilitate a serious violation of international humanitarian law’.</w:t>
      </w:r>
      <w:r>
        <w:rPr>
          <w:rFonts w:ascii="Arial" w:eastAsia="Arial" w:hAnsi="Arial" w:cs="Arial"/>
          <w:color w:val="000000"/>
          <w:sz w:val="22"/>
          <w:szCs w:val="22"/>
          <w:vertAlign w:val="superscript"/>
        </w:rPr>
        <w:footnoteReference w:id="36"/>
      </w:r>
      <w:r w:rsidRPr="0078103E">
        <w:rPr>
          <w:rFonts w:ascii="Arial" w:eastAsia="Arial" w:hAnsi="Arial" w:cs="Arial"/>
          <w:color w:val="000000"/>
          <w:sz w:val="22"/>
          <w:szCs w:val="22"/>
          <w:lang w:val="en-GB"/>
        </w:rPr>
        <w:t xml:space="preserve"> The Export Control Joint Unit (ECJU) is responsible for processing licence applications. The unit sits within the Department for Business and Trade, and it draws together expertise from the Foreign, Commonwealth and Development Office (FCDO) and the Ministry of Defence. The Secretary of State for Business and Trade is responsible for arms export controls.</w:t>
      </w:r>
      <w:r>
        <w:rPr>
          <w:rFonts w:ascii="Arial" w:eastAsia="Arial" w:hAnsi="Arial" w:cs="Arial"/>
          <w:color w:val="000000"/>
          <w:sz w:val="22"/>
          <w:szCs w:val="22"/>
          <w:vertAlign w:val="superscript"/>
        </w:rPr>
        <w:footnoteReference w:id="37"/>
      </w:r>
      <w:r w:rsidRPr="0078103E">
        <w:rPr>
          <w:rFonts w:ascii="Arial" w:eastAsia="Arial" w:hAnsi="Arial" w:cs="Arial"/>
          <w:color w:val="000000"/>
          <w:sz w:val="22"/>
          <w:szCs w:val="22"/>
          <w:lang w:val="en-GB"/>
        </w:rPr>
        <w:t xml:space="preserve"> </w:t>
      </w:r>
    </w:p>
    <w:p w14:paraId="00000060" w14:textId="78FBC211" w:rsidR="001776FF" w:rsidRPr="0078103E" w:rsidRDefault="00000000" w:rsidP="0078103E">
      <w:pPr>
        <w:pStyle w:val="Heading2"/>
        <w:spacing w:before="0" w:after="0"/>
        <w:jc w:val="both"/>
        <w:rPr>
          <w:rFonts w:ascii="Arial" w:eastAsia="Arial" w:hAnsi="Arial" w:cs="Arial"/>
          <w:i/>
          <w:sz w:val="22"/>
          <w:szCs w:val="22"/>
          <w:lang w:val="en-GB"/>
        </w:rPr>
      </w:pPr>
      <w:bookmarkStart w:id="18" w:name="_heading=h.3rdcrjn" w:colFirst="0" w:colLast="0"/>
      <w:bookmarkEnd w:id="18"/>
      <w:r w:rsidRPr="0078103E">
        <w:rPr>
          <w:rFonts w:ascii="Arial" w:eastAsia="Arial" w:hAnsi="Arial" w:cs="Arial"/>
          <w:i/>
          <w:sz w:val="22"/>
          <w:szCs w:val="22"/>
          <w:lang w:val="en-GB"/>
        </w:rPr>
        <w:t>UK companies involved in Israel’s illegal settlements</w:t>
      </w:r>
    </w:p>
    <w:p w14:paraId="00000061" w14:textId="77777777" w:rsidR="001776FF" w:rsidRPr="0078103E" w:rsidRDefault="00000000">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sz w:val="22"/>
          <w:szCs w:val="22"/>
          <w:lang w:val="en-GB"/>
        </w:rPr>
      </w:pPr>
      <w:r w:rsidRPr="0078103E">
        <w:rPr>
          <w:rFonts w:ascii="Arial" w:eastAsia="Arial" w:hAnsi="Arial" w:cs="Arial"/>
          <w:sz w:val="22"/>
          <w:szCs w:val="22"/>
          <w:lang w:val="en-GB"/>
        </w:rPr>
        <w:t xml:space="preserve">Several companies domiciled in the United Kingdom and Northern Ireland are involved in Israel’s illegal settlement enterprises, and in varying ways. The UK fails to take necessary steps, using its policy, regulatory and other legislative tools, to ensure </w:t>
      </w:r>
      <w:r w:rsidRPr="0078103E">
        <w:rPr>
          <w:rFonts w:ascii="Arial" w:eastAsia="Arial" w:hAnsi="Arial" w:cs="Arial"/>
          <w:color w:val="000000"/>
          <w:sz w:val="22"/>
          <w:szCs w:val="22"/>
          <w:lang w:val="en-GB"/>
        </w:rPr>
        <w:t xml:space="preserve">protection and respect for human rights, including by ensuring that all business enterprises domiciled in its territory and/or jurisdiction are not involved in the illegal Israeli settlements. The UK does not clarify how it will ensure that those </w:t>
      </w:r>
      <w:r w:rsidRPr="0078103E">
        <w:rPr>
          <w:rFonts w:ascii="Arial" w:eastAsia="Arial" w:hAnsi="Arial" w:cs="Arial"/>
          <w:sz w:val="22"/>
          <w:szCs w:val="22"/>
          <w:lang w:val="en-GB"/>
        </w:rPr>
        <w:t>affected</w:t>
      </w:r>
      <w:r w:rsidRPr="0078103E">
        <w:rPr>
          <w:rFonts w:ascii="Arial" w:eastAsia="Arial" w:hAnsi="Arial" w:cs="Arial"/>
          <w:color w:val="000000"/>
          <w:sz w:val="22"/>
          <w:szCs w:val="22"/>
          <w:lang w:val="en-GB"/>
        </w:rPr>
        <w:t xml:space="preserve"> by human rights violations and abuses in which its companies (i.e. domiciled in its territory and/or jurisdiction) are directly or indirectly involved, in the illegal Israeli settlements. </w:t>
      </w:r>
    </w:p>
    <w:p w14:paraId="00000062" w14:textId="77777777" w:rsidR="001776FF" w:rsidRPr="0078103E" w:rsidRDefault="00000000">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color w:val="000000"/>
          <w:sz w:val="22"/>
          <w:szCs w:val="22"/>
          <w:lang w:val="en-GB"/>
        </w:rPr>
      </w:pPr>
      <w:r w:rsidRPr="0078103E">
        <w:rPr>
          <w:rFonts w:ascii="Arial" w:eastAsia="Arial" w:hAnsi="Arial" w:cs="Arial"/>
          <w:color w:val="000000"/>
          <w:sz w:val="22"/>
          <w:szCs w:val="22"/>
          <w:lang w:val="en-GB"/>
        </w:rPr>
        <w:t>For example, several companies domiciled in the UK territory and/or jurisdiction are listed in the UN database of business enterprises involved in the illegal Israeli settlements. The database lists companies involved in activities detailed in paragraph 96 of the report of the independent international fact-finding mission to investigate the implications of the Israeli settlements on the civil, political, economic, social and cultural rights of the Palestinian people throughout the Occupied Palestinian Territory, including East Jerusalem.</w:t>
      </w:r>
      <w:r>
        <w:rPr>
          <w:rFonts w:ascii="Arial" w:eastAsia="Arial" w:hAnsi="Arial" w:cs="Arial"/>
          <w:color w:val="000000"/>
          <w:sz w:val="22"/>
          <w:szCs w:val="22"/>
          <w:vertAlign w:val="superscript"/>
        </w:rPr>
        <w:footnoteReference w:id="38"/>
      </w:r>
    </w:p>
    <w:p w14:paraId="00000063" w14:textId="1B224925" w:rsidR="001776FF" w:rsidRPr="0078103E" w:rsidRDefault="00000000">
      <w:pPr>
        <w:numPr>
          <w:ilvl w:val="0"/>
          <w:numId w:val="1"/>
        </w:numPr>
        <w:pBdr>
          <w:top w:val="nil"/>
          <w:left w:val="nil"/>
          <w:bottom w:val="nil"/>
          <w:right w:val="nil"/>
          <w:between w:val="nil"/>
        </w:pBdr>
        <w:ind w:left="450"/>
        <w:jc w:val="both"/>
        <w:rPr>
          <w:sz w:val="22"/>
          <w:szCs w:val="22"/>
          <w:lang w:val="en-GB"/>
        </w:rPr>
      </w:pPr>
      <w:r w:rsidRPr="0078103E">
        <w:rPr>
          <w:rFonts w:ascii="Arial" w:eastAsia="Arial" w:hAnsi="Arial" w:cs="Arial"/>
          <w:color w:val="000000"/>
          <w:sz w:val="22"/>
          <w:szCs w:val="22"/>
          <w:lang w:val="en-GB"/>
        </w:rPr>
        <w:t xml:space="preserve">J.C. Bamford Excavators Ltd. is listed in the UN </w:t>
      </w:r>
      <w:r w:rsidRPr="0078103E">
        <w:rPr>
          <w:rFonts w:ascii="Arial" w:eastAsia="Arial" w:hAnsi="Arial" w:cs="Arial"/>
          <w:sz w:val="22"/>
          <w:szCs w:val="22"/>
          <w:lang w:val="en-GB"/>
        </w:rPr>
        <w:t>database</w:t>
      </w:r>
      <w:r w:rsidRPr="0078103E">
        <w:rPr>
          <w:rFonts w:ascii="Arial" w:eastAsia="Arial" w:hAnsi="Arial" w:cs="Arial"/>
          <w:color w:val="000000"/>
          <w:sz w:val="22"/>
          <w:szCs w:val="22"/>
          <w:lang w:val="en-GB"/>
        </w:rPr>
        <w:t xml:space="preserve"> of companies involved in the Israeli illegal settlements as involved in activities related to the supply of equipment and materials facilitating the construction and the expansion of settlements and the wall, and associated infrastructure. </w:t>
      </w:r>
      <w:proofErr w:type="spellStart"/>
      <w:r w:rsidRPr="0078103E">
        <w:rPr>
          <w:rFonts w:ascii="Arial" w:eastAsia="Arial" w:hAnsi="Arial" w:cs="Arial"/>
          <w:color w:val="000000"/>
          <w:sz w:val="22"/>
          <w:szCs w:val="22"/>
          <w:lang w:val="en-GB"/>
        </w:rPr>
        <w:t>Opodo</w:t>
      </w:r>
      <w:proofErr w:type="spellEnd"/>
      <w:r w:rsidRPr="0078103E">
        <w:rPr>
          <w:rFonts w:ascii="Arial" w:eastAsia="Arial" w:hAnsi="Arial" w:cs="Arial"/>
          <w:color w:val="000000"/>
          <w:sz w:val="22"/>
          <w:szCs w:val="22"/>
          <w:lang w:val="en-GB"/>
        </w:rPr>
        <w:t xml:space="preserve"> Ltd is listed </w:t>
      </w:r>
      <w:r w:rsidR="008523EF">
        <w:rPr>
          <w:rFonts w:ascii="Arial" w:eastAsia="Arial" w:hAnsi="Arial" w:cs="Arial"/>
          <w:color w:val="000000"/>
          <w:sz w:val="22"/>
          <w:szCs w:val="22"/>
          <w:lang w:val="en-GB"/>
        </w:rPr>
        <w:t xml:space="preserve">in the database </w:t>
      </w:r>
      <w:r w:rsidRPr="0078103E">
        <w:rPr>
          <w:rFonts w:ascii="Arial" w:eastAsia="Arial" w:hAnsi="Arial" w:cs="Arial"/>
          <w:color w:val="000000"/>
          <w:sz w:val="22"/>
          <w:szCs w:val="22"/>
          <w:lang w:val="en-GB"/>
        </w:rPr>
        <w:t xml:space="preserve">as involved in activities related to the provision of services and utilities supporting the maintenance and existence of settlements, including transport. </w:t>
      </w:r>
      <w:proofErr w:type="spellStart"/>
      <w:r w:rsidRPr="0078103E">
        <w:rPr>
          <w:rFonts w:ascii="Arial" w:eastAsia="Arial" w:hAnsi="Arial" w:cs="Arial"/>
          <w:color w:val="000000"/>
          <w:sz w:val="22"/>
          <w:szCs w:val="22"/>
          <w:lang w:val="en-GB"/>
        </w:rPr>
        <w:t>Greenkote</w:t>
      </w:r>
      <w:proofErr w:type="spellEnd"/>
      <w:r w:rsidRPr="0078103E">
        <w:rPr>
          <w:rFonts w:ascii="Arial" w:eastAsia="Arial" w:hAnsi="Arial" w:cs="Arial"/>
          <w:color w:val="000000"/>
          <w:sz w:val="22"/>
          <w:szCs w:val="22"/>
          <w:lang w:val="en-GB"/>
        </w:rPr>
        <w:t xml:space="preserve"> P.L.C. is listed </w:t>
      </w:r>
      <w:r w:rsidR="008523EF">
        <w:rPr>
          <w:rFonts w:ascii="Arial" w:eastAsia="Arial" w:hAnsi="Arial" w:cs="Arial"/>
          <w:color w:val="000000"/>
          <w:sz w:val="22"/>
          <w:szCs w:val="22"/>
          <w:lang w:val="en-GB"/>
        </w:rPr>
        <w:t xml:space="preserve">in the database </w:t>
      </w:r>
      <w:r w:rsidRPr="0078103E">
        <w:rPr>
          <w:rFonts w:ascii="Arial" w:eastAsia="Arial" w:hAnsi="Arial" w:cs="Arial"/>
          <w:color w:val="000000"/>
          <w:sz w:val="22"/>
          <w:szCs w:val="22"/>
          <w:lang w:val="en-GB"/>
        </w:rPr>
        <w:t xml:space="preserve">as licensors or franchisors of activities related to the use of natural resources, in particular water and land, for business purposes. </w:t>
      </w:r>
    </w:p>
    <w:p w14:paraId="00000064" w14:textId="77777777" w:rsidR="001776FF" w:rsidRPr="0078103E" w:rsidRDefault="00000000">
      <w:pPr>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color w:val="000000"/>
          <w:sz w:val="22"/>
          <w:szCs w:val="22"/>
          <w:lang w:val="en-GB"/>
        </w:rPr>
      </w:pPr>
      <w:r w:rsidRPr="0078103E">
        <w:rPr>
          <w:rFonts w:ascii="Arial" w:eastAsia="Arial" w:hAnsi="Arial" w:cs="Arial"/>
          <w:color w:val="000000"/>
          <w:sz w:val="22"/>
          <w:szCs w:val="22"/>
          <w:lang w:val="en-GB"/>
        </w:rPr>
        <w:t>These companies were listed in the database in a report released in 2020.</w:t>
      </w:r>
      <w:r>
        <w:rPr>
          <w:rFonts w:ascii="Arial" w:eastAsia="Arial" w:hAnsi="Arial" w:cs="Arial"/>
          <w:color w:val="000000"/>
          <w:sz w:val="22"/>
          <w:szCs w:val="22"/>
          <w:vertAlign w:val="superscript"/>
        </w:rPr>
        <w:footnoteReference w:id="39"/>
      </w:r>
      <w:r w:rsidRPr="0078103E">
        <w:rPr>
          <w:rFonts w:ascii="Arial" w:eastAsia="Arial" w:hAnsi="Arial" w:cs="Arial"/>
          <w:color w:val="000000"/>
          <w:sz w:val="22"/>
          <w:szCs w:val="22"/>
          <w:lang w:val="en-GB"/>
        </w:rPr>
        <w:t xml:space="preserve"> None of the UK companies listed in the 2020 OHCHR report as involved in the settlements were removed from this list in the update to the report released in 2023. This indicates that required steps from both the Home States and the business itself were not fulfilled. The standard of proof for removal from the database, according to the OHCHR, requires a business enterprise to provide information proving that it is no longer involved in a listed activity. </w:t>
      </w:r>
    </w:p>
    <w:p w14:paraId="00000065" w14:textId="77777777" w:rsidR="001776FF" w:rsidRPr="0078103E" w:rsidRDefault="001776F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jc w:val="both"/>
        <w:rPr>
          <w:rFonts w:ascii="Arial" w:eastAsia="Arial" w:hAnsi="Arial" w:cs="Arial"/>
          <w:sz w:val="22"/>
          <w:szCs w:val="22"/>
          <w:lang w:val="en-GB"/>
        </w:rPr>
      </w:pPr>
    </w:p>
    <w:p w14:paraId="00000066" w14:textId="673D6833" w:rsidR="001776FF" w:rsidRPr="00E37F1A" w:rsidRDefault="00000000">
      <w:pPr>
        <w:pStyle w:val="Heading1"/>
        <w:spacing w:before="0"/>
        <w:jc w:val="both"/>
        <w:rPr>
          <w:rFonts w:ascii="Arial" w:eastAsia="Arial" w:hAnsi="Arial" w:cs="Arial"/>
          <w:b/>
          <w:color w:val="000000"/>
          <w:sz w:val="22"/>
          <w:szCs w:val="22"/>
          <w:lang w:val="en-GB"/>
        </w:rPr>
      </w:pPr>
      <w:bookmarkStart w:id="19" w:name="_heading=h.26in1rg" w:colFirst="0" w:colLast="0"/>
      <w:bookmarkEnd w:id="19"/>
      <w:r w:rsidRPr="0078103E">
        <w:rPr>
          <w:rFonts w:ascii="Arial" w:eastAsia="Arial" w:hAnsi="Arial" w:cs="Arial"/>
          <w:b/>
          <w:color w:val="000000"/>
          <w:sz w:val="22"/>
          <w:szCs w:val="22"/>
          <w:lang w:val="en-GB"/>
        </w:rPr>
        <w:t>Actions required from the UK</w:t>
      </w:r>
      <w:r w:rsidRPr="00E37F1A">
        <w:rPr>
          <w:rFonts w:ascii="Arial" w:eastAsia="Arial" w:hAnsi="Arial" w:cs="Arial"/>
          <w:b/>
          <w:color w:val="000000"/>
          <w:sz w:val="22"/>
          <w:szCs w:val="22"/>
          <w:lang w:val="en-GB"/>
        </w:rPr>
        <w:t xml:space="preserve">, under </w:t>
      </w:r>
      <w:r w:rsidR="009521D0">
        <w:rPr>
          <w:rFonts w:ascii="Arial" w:eastAsia="Arial" w:hAnsi="Arial" w:cs="Arial"/>
          <w:b/>
          <w:color w:val="000000"/>
          <w:sz w:val="22"/>
          <w:szCs w:val="22"/>
          <w:lang w:val="en-GB"/>
        </w:rPr>
        <w:t>the I</w:t>
      </w:r>
      <w:r w:rsidRPr="00E37F1A">
        <w:rPr>
          <w:rFonts w:ascii="Arial" w:eastAsia="Arial" w:hAnsi="Arial" w:cs="Arial"/>
          <w:b/>
          <w:color w:val="000000"/>
          <w:sz w:val="22"/>
          <w:szCs w:val="22"/>
          <w:lang w:val="en-GB"/>
        </w:rPr>
        <w:t>CESCR, particularly in its capacity as home State of businesses involved with or in Israel</w:t>
      </w:r>
    </w:p>
    <w:p w14:paraId="00000067" w14:textId="77777777" w:rsidR="001776FF" w:rsidRPr="00E37F1A" w:rsidRDefault="001776FF">
      <w:pPr>
        <w:jc w:val="both"/>
        <w:rPr>
          <w:rFonts w:ascii="Arial" w:eastAsia="Arial" w:hAnsi="Arial" w:cs="Arial"/>
          <w:sz w:val="22"/>
          <w:szCs w:val="22"/>
          <w:lang w:val="en-GB"/>
        </w:rPr>
      </w:pPr>
    </w:p>
    <w:p w14:paraId="00000068" w14:textId="6CE2823D" w:rsidR="001776FF" w:rsidRPr="00E37F1A" w:rsidRDefault="00000000">
      <w:pPr>
        <w:numPr>
          <w:ilvl w:val="0"/>
          <w:numId w:val="1"/>
        </w:numPr>
        <w:ind w:left="450"/>
        <w:jc w:val="both"/>
        <w:rPr>
          <w:sz w:val="22"/>
          <w:szCs w:val="22"/>
          <w:lang w:val="en-GB"/>
        </w:rPr>
      </w:pPr>
      <w:r w:rsidRPr="00E37F1A">
        <w:rPr>
          <w:rFonts w:ascii="Arial" w:eastAsia="Arial" w:hAnsi="Arial" w:cs="Arial"/>
          <w:color w:val="000000"/>
          <w:sz w:val="22"/>
          <w:szCs w:val="22"/>
          <w:lang w:val="en-GB"/>
        </w:rPr>
        <w:t xml:space="preserve">From an operational approach, the following is a non-exhaustive list of actions that the UK should undertake in </w:t>
      </w:r>
      <w:r w:rsidR="002A53AC" w:rsidRPr="00E37F1A">
        <w:rPr>
          <w:rFonts w:ascii="Arial" w:eastAsia="Arial" w:hAnsi="Arial" w:cs="Arial"/>
          <w:color w:val="000000"/>
          <w:sz w:val="22"/>
          <w:szCs w:val="22"/>
          <w:lang w:val="en-GB"/>
        </w:rPr>
        <w:t>fulfilment</w:t>
      </w:r>
      <w:r w:rsidRPr="00E37F1A">
        <w:rPr>
          <w:rFonts w:ascii="Arial" w:eastAsia="Arial" w:hAnsi="Arial" w:cs="Arial"/>
          <w:color w:val="000000"/>
          <w:sz w:val="22"/>
          <w:szCs w:val="22"/>
          <w:lang w:val="en-GB"/>
        </w:rPr>
        <w:t xml:space="preserve"> of its obligation</w:t>
      </w:r>
      <w:r w:rsidRPr="00E37F1A">
        <w:rPr>
          <w:rFonts w:ascii="Arial" w:eastAsia="Arial" w:hAnsi="Arial" w:cs="Arial"/>
          <w:sz w:val="22"/>
          <w:szCs w:val="22"/>
          <w:lang w:val="en-GB"/>
        </w:rPr>
        <w:t>s</w:t>
      </w:r>
      <w:r w:rsidRPr="00E37F1A">
        <w:rPr>
          <w:rFonts w:ascii="Arial" w:eastAsia="Arial" w:hAnsi="Arial" w:cs="Arial"/>
          <w:color w:val="000000"/>
          <w:sz w:val="22"/>
          <w:szCs w:val="22"/>
          <w:lang w:val="en-GB"/>
        </w:rPr>
        <w:t>:</w:t>
      </w:r>
    </w:p>
    <w:p w14:paraId="00000069" w14:textId="77777777" w:rsidR="001776FF" w:rsidRPr="00E37F1A" w:rsidRDefault="00000000">
      <w:pPr>
        <w:numPr>
          <w:ilvl w:val="0"/>
          <w:numId w:val="1"/>
        </w:numPr>
        <w:pBdr>
          <w:top w:val="nil"/>
          <w:left w:val="nil"/>
          <w:bottom w:val="nil"/>
          <w:right w:val="nil"/>
          <w:between w:val="nil"/>
        </w:pBdr>
        <w:ind w:left="450"/>
        <w:jc w:val="both"/>
        <w:rPr>
          <w:sz w:val="22"/>
          <w:szCs w:val="22"/>
          <w:lang w:val="en-GB"/>
        </w:rPr>
      </w:pPr>
      <w:r w:rsidRPr="00E37F1A">
        <w:rPr>
          <w:rFonts w:ascii="Arial" w:eastAsia="Arial" w:hAnsi="Arial" w:cs="Arial"/>
          <w:color w:val="000000"/>
          <w:sz w:val="22"/>
          <w:szCs w:val="22"/>
          <w:lang w:val="en-GB"/>
        </w:rPr>
        <w:t xml:space="preserve">In relation to </w:t>
      </w:r>
      <w:r w:rsidRPr="00E37F1A">
        <w:rPr>
          <w:rFonts w:ascii="Arial" w:eastAsia="Arial" w:hAnsi="Arial" w:cs="Arial"/>
          <w:sz w:val="22"/>
          <w:szCs w:val="22"/>
          <w:lang w:val="en-GB"/>
        </w:rPr>
        <w:t>its</w:t>
      </w:r>
      <w:r w:rsidRPr="00E37F1A">
        <w:rPr>
          <w:rFonts w:ascii="Arial" w:eastAsia="Arial" w:hAnsi="Arial" w:cs="Arial"/>
          <w:color w:val="000000"/>
          <w:sz w:val="22"/>
          <w:szCs w:val="22"/>
          <w:lang w:val="en-GB"/>
        </w:rPr>
        <w:t xml:space="preserve"> own dealings:</w:t>
      </w:r>
    </w:p>
    <w:p w14:paraId="0000006A" w14:textId="77777777" w:rsidR="001776FF" w:rsidRPr="00E37F1A" w:rsidRDefault="00000000">
      <w:pPr>
        <w:numPr>
          <w:ilvl w:val="0"/>
          <w:numId w:val="1"/>
        </w:numPr>
        <w:pBdr>
          <w:top w:val="nil"/>
          <w:left w:val="nil"/>
          <w:bottom w:val="nil"/>
          <w:right w:val="nil"/>
          <w:between w:val="nil"/>
        </w:pBdr>
        <w:ind w:left="450"/>
        <w:jc w:val="both"/>
        <w:rPr>
          <w:sz w:val="22"/>
          <w:szCs w:val="22"/>
          <w:lang w:val="en-GB"/>
        </w:rPr>
      </w:pPr>
      <w:r w:rsidRPr="00E37F1A">
        <w:rPr>
          <w:rFonts w:ascii="Arial" w:eastAsia="Arial" w:hAnsi="Arial" w:cs="Arial"/>
          <w:sz w:val="22"/>
          <w:szCs w:val="22"/>
          <w:lang w:val="en-GB"/>
        </w:rPr>
        <w:t>a) The UK must not recognize any territorial or sovereignty claims made by Israel over the occupied Palestinian Territory or any parts of it;</w:t>
      </w:r>
    </w:p>
    <w:p w14:paraId="0000006B" w14:textId="77777777" w:rsidR="001776FF" w:rsidRPr="00E37F1A" w:rsidRDefault="00000000">
      <w:pPr>
        <w:numPr>
          <w:ilvl w:val="0"/>
          <w:numId w:val="1"/>
        </w:numPr>
        <w:pBdr>
          <w:top w:val="nil"/>
          <w:left w:val="nil"/>
          <w:bottom w:val="nil"/>
          <w:right w:val="nil"/>
          <w:between w:val="nil"/>
        </w:pBdr>
        <w:ind w:left="450"/>
        <w:jc w:val="both"/>
        <w:rPr>
          <w:sz w:val="22"/>
          <w:szCs w:val="22"/>
          <w:lang w:val="en-GB"/>
        </w:rPr>
      </w:pPr>
      <w:r w:rsidRPr="00E37F1A">
        <w:rPr>
          <w:rFonts w:ascii="Arial" w:eastAsia="Arial" w:hAnsi="Arial" w:cs="Arial"/>
          <w:sz w:val="22"/>
          <w:szCs w:val="22"/>
          <w:lang w:val="en-GB"/>
        </w:rPr>
        <w:t>b) The UK should impose an arms embargo on Israel until Palestinian human rights are respected and Israel ends its illegal occupation of the Palestinian territories. Until then, the UK must not provide Israel with weapons, military technology or dual-use items. The UK should not purchase military goods from Israel. Further, the UK should work closely with Western allies to impose an arms embargo;</w:t>
      </w:r>
    </w:p>
    <w:p w14:paraId="0000006C" w14:textId="77777777" w:rsidR="001776FF" w:rsidRPr="0078103E" w:rsidRDefault="00000000">
      <w:pPr>
        <w:numPr>
          <w:ilvl w:val="0"/>
          <w:numId w:val="1"/>
        </w:numPr>
        <w:pBdr>
          <w:top w:val="nil"/>
          <w:left w:val="nil"/>
          <w:bottom w:val="nil"/>
          <w:right w:val="nil"/>
          <w:between w:val="nil"/>
        </w:pBdr>
        <w:ind w:left="450"/>
        <w:jc w:val="both"/>
        <w:rPr>
          <w:sz w:val="22"/>
          <w:szCs w:val="22"/>
          <w:lang w:val="en-GB"/>
        </w:rPr>
      </w:pPr>
      <w:r w:rsidRPr="00E37F1A">
        <w:rPr>
          <w:rFonts w:ascii="Arial" w:eastAsia="Arial" w:hAnsi="Arial" w:cs="Arial"/>
          <w:sz w:val="22"/>
          <w:szCs w:val="22"/>
          <w:lang w:val="en-GB"/>
        </w:rPr>
        <w:t>c) The UK must s</w:t>
      </w:r>
      <w:r w:rsidRPr="00E37F1A">
        <w:rPr>
          <w:rFonts w:ascii="Arial" w:eastAsia="Arial" w:hAnsi="Arial" w:cs="Arial"/>
          <w:color w:val="000000"/>
          <w:sz w:val="22"/>
          <w:szCs w:val="22"/>
          <w:lang w:val="en-GB"/>
        </w:rPr>
        <w:t>et up a mechanism (or, where available, utilize existing review mechanisms such as under trade, investment</w:t>
      </w:r>
      <w:r w:rsidRPr="0078103E">
        <w:rPr>
          <w:rFonts w:ascii="Arial" w:eastAsia="Arial" w:hAnsi="Arial" w:cs="Arial"/>
          <w:color w:val="000000"/>
          <w:sz w:val="22"/>
          <w:szCs w:val="22"/>
          <w:lang w:val="en-GB"/>
        </w:rPr>
        <w:t xml:space="preserve"> or other agreements) to review their own trade, investment and other business dealings with Israel (such as through public procurement contracts, as shareholders, or through public pension funds and other investments), with companies incorporated in Israel, and with companies implicated or potentially implicated in the illegality through their own business relations with Israel or companies incorporated in Israel. These include but are not limited to relations related to the illegal settlements. </w:t>
      </w:r>
    </w:p>
    <w:p w14:paraId="0000006D" w14:textId="77777777" w:rsidR="001776FF" w:rsidRPr="0078103E" w:rsidRDefault="00000000">
      <w:pPr>
        <w:numPr>
          <w:ilvl w:val="0"/>
          <w:numId w:val="1"/>
        </w:numPr>
        <w:pBdr>
          <w:top w:val="nil"/>
          <w:left w:val="nil"/>
          <w:bottom w:val="nil"/>
          <w:right w:val="nil"/>
          <w:between w:val="nil"/>
        </w:pBdr>
        <w:ind w:left="450"/>
        <w:jc w:val="both"/>
        <w:rPr>
          <w:sz w:val="22"/>
          <w:szCs w:val="22"/>
          <w:lang w:val="en-GB"/>
        </w:rPr>
      </w:pPr>
      <w:r w:rsidRPr="0078103E">
        <w:rPr>
          <w:rFonts w:ascii="Arial" w:eastAsia="Arial" w:hAnsi="Arial" w:cs="Arial"/>
          <w:sz w:val="22"/>
          <w:szCs w:val="22"/>
          <w:lang w:val="en-GB"/>
        </w:rPr>
        <w:t>d) The UK must t</w:t>
      </w:r>
      <w:sdt>
        <w:sdtPr>
          <w:tag w:val="goog_rdk_4"/>
          <w:id w:val="-1266066565"/>
        </w:sdtPr>
        <w:sdtContent/>
      </w:sdt>
      <w:r w:rsidRPr="0078103E">
        <w:rPr>
          <w:rFonts w:ascii="Arial" w:eastAsia="Arial" w:hAnsi="Arial" w:cs="Arial"/>
          <w:color w:val="000000"/>
          <w:sz w:val="22"/>
          <w:szCs w:val="22"/>
          <w:lang w:val="en-GB"/>
        </w:rPr>
        <w:t>erminate or suspend such relations that may contribute to assisting in the maintenance of the illegal situation. The assessment ought to undertake a precautionary approach, thus should not necessarily be based on a positive determination of assistance in maintaining the illegal situation, but rather on assessing the risk entailed in relation to assistance in maintaining the illegal situation. For example, the threshold of assessment ought to consider the extent to which these relations legitimize the regime underpinning the prolonged illegality.</w:t>
      </w:r>
    </w:p>
    <w:p w14:paraId="0000006E" w14:textId="77777777" w:rsidR="001776FF" w:rsidRPr="0078103E" w:rsidRDefault="00000000">
      <w:pPr>
        <w:numPr>
          <w:ilvl w:val="0"/>
          <w:numId w:val="1"/>
        </w:numPr>
        <w:pBdr>
          <w:top w:val="nil"/>
          <w:left w:val="nil"/>
          <w:bottom w:val="nil"/>
          <w:right w:val="nil"/>
          <w:between w:val="nil"/>
        </w:pBdr>
        <w:ind w:left="450"/>
        <w:jc w:val="both"/>
        <w:rPr>
          <w:color w:val="000000"/>
          <w:sz w:val="22"/>
          <w:szCs w:val="22"/>
          <w:lang w:val="en-GB"/>
        </w:rPr>
      </w:pPr>
      <w:r w:rsidRPr="0078103E">
        <w:rPr>
          <w:rFonts w:ascii="Arial" w:eastAsia="Arial" w:hAnsi="Arial" w:cs="Arial"/>
          <w:color w:val="000000"/>
          <w:sz w:val="22"/>
          <w:szCs w:val="22"/>
          <w:lang w:val="en-GB"/>
        </w:rPr>
        <w:t xml:space="preserve">As home State of companies that </w:t>
      </w:r>
      <w:sdt>
        <w:sdtPr>
          <w:tag w:val="goog_rdk_5"/>
          <w:id w:val="1747918961"/>
        </w:sdtPr>
        <w:sdtContent/>
      </w:sdt>
      <w:r w:rsidRPr="0078103E">
        <w:rPr>
          <w:rFonts w:ascii="Arial" w:eastAsia="Arial" w:hAnsi="Arial" w:cs="Arial"/>
          <w:color w:val="000000"/>
          <w:sz w:val="22"/>
          <w:szCs w:val="22"/>
          <w:lang w:val="en-GB"/>
        </w:rPr>
        <w:t>have dealings with Israel or have business relations in Israel (</w:t>
      </w:r>
      <w:proofErr w:type="gramStart"/>
      <w:r w:rsidRPr="0078103E">
        <w:rPr>
          <w:rFonts w:ascii="Arial" w:eastAsia="Arial" w:hAnsi="Arial" w:cs="Arial"/>
          <w:color w:val="000000"/>
          <w:sz w:val="22"/>
          <w:szCs w:val="22"/>
          <w:lang w:val="en-GB"/>
        </w:rPr>
        <w:t>e.g.</w:t>
      </w:r>
      <w:proofErr w:type="gramEnd"/>
      <w:r w:rsidRPr="0078103E">
        <w:rPr>
          <w:rFonts w:ascii="Arial" w:eastAsia="Arial" w:hAnsi="Arial" w:cs="Arial"/>
          <w:color w:val="000000"/>
          <w:sz w:val="22"/>
          <w:szCs w:val="22"/>
          <w:lang w:val="en-GB"/>
        </w:rPr>
        <w:t xml:space="preserve"> in the form of direct investments or business relations with natural or legal persons domiciled/incorporated in Israel), the UK must:</w:t>
      </w:r>
    </w:p>
    <w:p w14:paraId="0000006F" w14:textId="77777777" w:rsidR="001776FF" w:rsidRPr="0078103E" w:rsidRDefault="00000000">
      <w:pPr>
        <w:numPr>
          <w:ilvl w:val="0"/>
          <w:numId w:val="1"/>
        </w:numPr>
        <w:pBdr>
          <w:top w:val="nil"/>
          <w:left w:val="nil"/>
          <w:bottom w:val="nil"/>
          <w:right w:val="nil"/>
          <w:between w:val="nil"/>
        </w:pBdr>
        <w:ind w:left="450"/>
        <w:jc w:val="both"/>
        <w:rPr>
          <w:sz w:val="22"/>
          <w:szCs w:val="22"/>
          <w:lang w:val="en-GB"/>
        </w:rPr>
      </w:pPr>
      <w:r w:rsidRPr="0078103E">
        <w:rPr>
          <w:rFonts w:ascii="Arial" w:eastAsia="Arial" w:hAnsi="Arial" w:cs="Arial"/>
          <w:sz w:val="22"/>
          <w:szCs w:val="22"/>
          <w:lang w:val="en-GB"/>
        </w:rPr>
        <w:t>a) c</w:t>
      </w:r>
      <w:r w:rsidRPr="0078103E">
        <w:rPr>
          <w:rFonts w:ascii="Arial" w:eastAsia="Arial" w:hAnsi="Arial" w:cs="Arial"/>
          <w:color w:val="000000"/>
          <w:sz w:val="22"/>
          <w:szCs w:val="22"/>
          <w:lang w:val="en-GB"/>
        </w:rPr>
        <w:t xml:space="preserve">learly communicate with businesses domiciled or operating in its territory and/or jurisdiction or are otherwise under the UK’s control (such as through shareholding) what is required to ensure that business conduct does not contradict or undermine the State’s efforts in fulfilling its own obligations in this context, and that this conduct does not contribute to assisting in the maintenance of the illegal situation. This should also cover the conduct of natural persons domiciled in its territory (or carrying their nationality) and have business relations with Israel, or with entities domiciled in Israel, or entities that are engaged in relations with Israel and face the risk of complicity. </w:t>
      </w:r>
    </w:p>
    <w:p w14:paraId="00000070" w14:textId="77777777" w:rsidR="001776FF" w:rsidRPr="0078103E" w:rsidRDefault="00000000">
      <w:pPr>
        <w:numPr>
          <w:ilvl w:val="0"/>
          <w:numId w:val="1"/>
        </w:numPr>
        <w:pBdr>
          <w:top w:val="nil"/>
          <w:left w:val="nil"/>
          <w:bottom w:val="nil"/>
          <w:right w:val="nil"/>
          <w:between w:val="nil"/>
        </w:pBdr>
        <w:ind w:left="450"/>
        <w:jc w:val="both"/>
        <w:rPr>
          <w:sz w:val="22"/>
          <w:szCs w:val="22"/>
          <w:lang w:val="en-GB"/>
        </w:rPr>
      </w:pPr>
      <w:r w:rsidRPr="0078103E">
        <w:rPr>
          <w:rFonts w:ascii="Arial" w:eastAsia="Arial" w:hAnsi="Arial" w:cs="Arial"/>
          <w:sz w:val="22"/>
          <w:szCs w:val="22"/>
          <w:lang w:val="en-GB"/>
        </w:rPr>
        <w:t>b) e</w:t>
      </w:r>
      <w:r w:rsidRPr="0078103E">
        <w:rPr>
          <w:rFonts w:ascii="Arial" w:eastAsia="Arial" w:hAnsi="Arial" w:cs="Arial"/>
          <w:color w:val="000000"/>
          <w:sz w:val="22"/>
          <w:szCs w:val="22"/>
          <w:lang w:val="en-GB"/>
        </w:rPr>
        <w:t xml:space="preserve">nact legislation or undertake executive, administrative or other measures to ensure that the requirements from businesses are clearly established and attached to a clear liability regime in case of breach.  </w:t>
      </w:r>
    </w:p>
    <w:p w14:paraId="00000071" w14:textId="77777777" w:rsidR="001776FF" w:rsidRPr="0078103E" w:rsidRDefault="00000000">
      <w:pPr>
        <w:numPr>
          <w:ilvl w:val="0"/>
          <w:numId w:val="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sz w:val="22"/>
          <w:szCs w:val="22"/>
          <w:lang w:val="en-GB"/>
        </w:rPr>
      </w:pPr>
      <w:r w:rsidRPr="0078103E">
        <w:rPr>
          <w:rFonts w:ascii="Arial" w:eastAsia="Arial" w:hAnsi="Arial" w:cs="Arial"/>
          <w:sz w:val="22"/>
          <w:szCs w:val="22"/>
          <w:lang w:val="en-GB"/>
        </w:rPr>
        <w:t>c) i</w:t>
      </w:r>
      <w:r w:rsidRPr="0078103E">
        <w:rPr>
          <w:rFonts w:ascii="Arial" w:eastAsia="Arial" w:hAnsi="Arial" w:cs="Arial"/>
          <w:color w:val="000000"/>
          <w:sz w:val="22"/>
          <w:szCs w:val="22"/>
          <w:lang w:val="en-GB"/>
        </w:rPr>
        <w:t xml:space="preserve">nvestigate, and take necessary follow-up action, in relation to cases of potential or ongoing engagement by businesses domiciled or operating in the UK territory and/or jurisdiction in human rights violations and abuses, such as those in the context of illegal Israeli settlements, among others. </w:t>
      </w:r>
    </w:p>
    <w:p w14:paraId="00000072" w14:textId="77777777" w:rsidR="001776FF" w:rsidRPr="0078103E" w:rsidRDefault="00000000">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450"/>
        <w:jc w:val="both"/>
        <w:rPr>
          <w:rFonts w:ascii="Arial" w:eastAsia="Arial" w:hAnsi="Arial" w:cs="Arial"/>
          <w:color w:val="000000"/>
          <w:sz w:val="22"/>
          <w:szCs w:val="22"/>
          <w:lang w:val="en-GB"/>
        </w:rPr>
      </w:pPr>
      <w:r w:rsidRPr="0078103E">
        <w:rPr>
          <w:rFonts w:ascii="Arial" w:eastAsia="Arial" w:hAnsi="Arial" w:cs="Arial"/>
          <w:color w:val="000000"/>
          <w:sz w:val="22"/>
          <w:szCs w:val="22"/>
          <w:lang w:val="en-GB"/>
        </w:rPr>
        <w:t xml:space="preserve">For example, the UK Government has at its disposal powers to impose financial sanctions on designated persons for purposes including the interests of international peace and security and to promote the resolution of armed conflicts or the protection of civilians in conflict zones. The UK Department of International Trade has recognised the role that trade sanctions can have ‘to fulfil a range of purposes, including supporting foreign policy </w:t>
      </w:r>
      <w:r w:rsidRPr="0078103E">
        <w:rPr>
          <w:rFonts w:ascii="Arial" w:eastAsia="Arial" w:hAnsi="Arial" w:cs="Arial"/>
          <w:color w:val="000000"/>
          <w:sz w:val="22"/>
          <w:szCs w:val="22"/>
          <w:lang w:val="en-GB"/>
        </w:rPr>
        <w:lastRenderedPageBreak/>
        <w:t>and national security objectives, as well as maintaining international peace and security, and preventing terrorism’.</w:t>
      </w:r>
      <w:r>
        <w:rPr>
          <w:rFonts w:ascii="Arial" w:eastAsia="Arial" w:hAnsi="Arial" w:cs="Arial"/>
          <w:color w:val="000000"/>
          <w:sz w:val="22"/>
          <w:szCs w:val="22"/>
          <w:vertAlign w:val="superscript"/>
        </w:rPr>
        <w:footnoteReference w:id="40"/>
      </w:r>
    </w:p>
    <w:p w14:paraId="00000073" w14:textId="77777777" w:rsidR="001776FF" w:rsidRPr="0078103E" w:rsidRDefault="00000000">
      <w:pPr>
        <w:numPr>
          <w:ilvl w:val="0"/>
          <w:numId w:val="1"/>
        </w:numPr>
        <w:pBdr>
          <w:top w:val="nil"/>
          <w:left w:val="nil"/>
          <w:bottom w:val="nil"/>
          <w:right w:val="nil"/>
          <w:between w:val="nil"/>
        </w:pBdr>
        <w:ind w:left="450"/>
        <w:jc w:val="both"/>
        <w:rPr>
          <w:sz w:val="22"/>
          <w:szCs w:val="22"/>
          <w:lang w:val="en-GB"/>
        </w:rPr>
      </w:pPr>
      <w:r w:rsidRPr="0078103E">
        <w:rPr>
          <w:rFonts w:ascii="Arial" w:eastAsia="Arial" w:hAnsi="Arial" w:cs="Arial"/>
          <w:sz w:val="22"/>
          <w:szCs w:val="22"/>
          <w:lang w:val="en-GB"/>
        </w:rPr>
        <w:t>d) e</w:t>
      </w:r>
      <w:r w:rsidRPr="0078103E">
        <w:rPr>
          <w:rFonts w:ascii="Arial" w:eastAsia="Arial" w:hAnsi="Arial" w:cs="Arial"/>
          <w:color w:val="000000"/>
          <w:sz w:val="22"/>
          <w:szCs w:val="22"/>
          <w:lang w:val="en-GB"/>
        </w:rPr>
        <w:t>nsure that all relevant governmental authorities, especially those engaging directly with business enterprises such as trade and investment ministries and investment and export promotion authorities, are well-informed of the requirements and able to effectively communicate it to business entities. The relevant governmental apparatus should be mobilized and well-coordinated to act in a coherent way. This issue is addressed by the Guiding Principles on Business and Human Rights (GPs).</w:t>
      </w:r>
      <w:r>
        <w:rPr>
          <w:rFonts w:ascii="Arial" w:eastAsia="Arial" w:hAnsi="Arial" w:cs="Arial"/>
          <w:color w:val="000000"/>
          <w:sz w:val="22"/>
          <w:szCs w:val="22"/>
          <w:vertAlign w:val="superscript"/>
        </w:rPr>
        <w:footnoteReference w:id="41"/>
      </w:r>
    </w:p>
    <w:p w14:paraId="00000074" w14:textId="77777777" w:rsidR="001776FF" w:rsidRPr="0078103E" w:rsidRDefault="00000000">
      <w:pPr>
        <w:pBdr>
          <w:top w:val="nil"/>
          <w:left w:val="nil"/>
          <w:bottom w:val="nil"/>
          <w:right w:val="nil"/>
          <w:between w:val="nil"/>
        </w:pBdr>
        <w:ind w:left="450"/>
        <w:jc w:val="both"/>
        <w:rPr>
          <w:rFonts w:ascii="Arial" w:eastAsia="Arial" w:hAnsi="Arial" w:cs="Arial"/>
          <w:color w:val="000000"/>
          <w:sz w:val="22"/>
          <w:szCs w:val="22"/>
          <w:lang w:val="en-GB"/>
        </w:rPr>
      </w:pPr>
      <w:r w:rsidRPr="0078103E">
        <w:rPr>
          <w:rFonts w:ascii="Arial" w:eastAsia="Arial" w:hAnsi="Arial" w:cs="Arial"/>
          <w:color w:val="000000"/>
          <w:sz w:val="22"/>
          <w:szCs w:val="22"/>
          <w:lang w:val="en-GB"/>
        </w:rPr>
        <w:t>This is in line with the GPs’ approach that provide under principle 7 that States should “</w:t>
      </w:r>
      <w:proofErr w:type="spellStart"/>
      <w:r w:rsidRPr="0078103E">
        <w:rPr>
          <w:rFonts w:ascii="Arial" w:eastAsia="Arial" w:hAnsi="Arial" w:cs="Arial"/>
          <w:color w:val="000000"/>
          <w:sz w:val="22"/>
          <w:szCs w:val="22"/>
          <w:lang w:val="en-GB"/>
        </w:rPr>
        <w:t>ensur</w:t>
      </w:r>
      <w:proofErr w:type="spellEnd"/>
      <w:r w:rsidRPr="0078103E">
        <w:rPr>
          <w:rFonts w:ascii="Arial" w:eastAsia="Arial" w:hAnsi="Arial" w:cs="Arial"/>
          <w:color w:val="000000"/>
          <w:sz w:val="22"/>
          <w:szCs w:val="22"/>
          <w:lang w:val="en-GB"/>
        </w:rPr>
        <w:t>[e] that their current policies, legislation, regulations and enforcement measures are effective in addressing the risk of business involvement in gross human rights abuses”, and should “</w:t>
      </w:r>
      <w:proofErr w:type="spellStart"/>
      <w:r w:rsidRPr="0078103E">
        <w:rPr>
          <w:rFonts w:ascii="Arial" w:eastAsia="Arial" w:hAnsi="Arial" w:cs="Arial"/>
          <w:color w:val="000000"/>
          <w:sz w:val="22"/>
          <w:szCs w:val="22"/>
          <w:lang w:val="en-GB"/>
        </w:rPr>
        <w:t>explor</w:t>
      </w:r>
      <w:proofErr w:type="spellEnd"/>
      <w:r w:rsidRPr="0078103E">
        <w:rPr>
          <w:rFonts w:ascii="Arial" w:eastAsia="Arial" w:hAnsi="Arial" w:cs="Arial"/>
          <w:color w:val="000000"/>
          <w:sz w:val="22"/>
          <w:szCs w:val="22"/>
          <w:lang w:val="en-GB"/>
        </w:rPr>
        <w:t xml:space="preserve">[e] civil, administrative or criminal liability for enterprises domiciled or operating in their territory and/or jurisdiction that commit or contribute to gross human rights abuses” (commentary of GP 7). GP 7 also provides that one action States should undertake </w:t>
      </w:r>
      <w:r w:rsidRPr="0078103E">
        <w:rPr>
          <w:rFonts w:ascii="Arial" w:eastAsia="Arial" w:hAnsi="Arial" w:cs="Arial"/>
          <w:sz w:val="22"/>
          <w:szCs w:val="22"/>
          <w:lang w:val="en-GB"/>
        </w:rPr>
        <w:t>is to</w:t>
      </w:r>
      <w:r w:rsidRPr="0078103E">
        <w:rPr>
          <w:rFonts w:ascii="Arial" w:eastAsia="Arial" w:hAnsi="Arial" w:cs="Arial"/>
          <w:color w:val="000000"/>
          <w:sz w:val="22"/>
          <w:szCs w:val="22"/>
          <w:lang w:val="en-GB"/>
        </w:rPr>
        <w:t xml:space="preserve"> “den[y] access to public support and services for a business enterprise that is involved with gross human rights abuses and refuses to cooperate in addressing the situation”.</w:t>
      </w:r>
    </w:p>
    <w:p w14:paraId="00000075" w14:textId="77777777" w:rsidR="001776FF" w:rsidRPr="0078103E" w:rsidRDefault="00000000">
      <w:pPr>
        <w:numPr>
          <w:ilvl w:val="0"/>
          <w:numId w:val="1"/>
        </w:numPr>
        <w:pBdr>
          <w:top w:val="nil"/>
          <w:left w:val="nil"/>
          <w:bottom w:val="nil"/>
          <w:right w:val="nil"/>
          <w:between w:val="nil"/>
        </w:pBdr>
        <w:ind w:left="450"/>
        <w:jc w:val="both"/>
        <w:rPr>
          <w:color w:val="000000"/>
          <w:sz w:val="22"/>
          <w:szCs w:val="22"/>
          <w:lang w:val="en-GB"/>
        </w:rPr>
      </w:pPr>
      <w:bookmarkStart w:id="20" w:name="_heading=h.lnxbz9" w:colFirst="0" w:colLast="0"/>
      <w:bookmarkEnd w:id="20"/>
      <w:r w:rsidRPr="0078103E">
        <w:rPr>
          <w:rFonts w:ascii="Arial" w:eastAsia="Arial" w:hAnsi="Arial" w:cs="Arial"/>
          <w:sz w:val="22"/>
          <w:szCs w:val="22"/>
          <w:lang w:val="en-GB"/>
        </w:rPr>
        <w:t xml:space="preserve">e) </w:t>
      </w:r>
      <w:r w:rsidRPr="0078103E">
        <w:rPr>
          <w:rFonts w:ascii="Arial" w:eastAsia="Arial" w:hAnsi="Arial" w:cs="Arial"/>
          <w:color w:val="000000"/>
          <w:sz w:val="22"/>
          <w:szCs w:val="22"/>
          <w:lang w:val="en-GB"/>
        </w:rPr>
        <w:t>The UK should cooperate with other UN Member States in the context of various relevant fora, such as the Human Rights Council and the General Assembly, to collectively address the role of businesses in the context of Israel’s illegal practices confirmed by the ICJ advisory opinion, and agree further guidance in this regard.</w:t>
      </w:r>
    </w:p>
    <w:p w14:paraId="00000076" w14:textId="77777777" w:rsidR="001776FF" w:rsidRPr="0078103E" w:rsidRDefault="001776FF">
      <w:pPr>
        <w:jc w:val="both"/>
        <w:rPr>
          <w:rFonts w:ascii="Arial" w:eastAsia="Arial" w:hAnsi="Arial" w:cs="Arial"/>
          <w:sz w:val="22"/>
          <w:szCs w:val="22"/>
          <w:lang w:val="en-GB"/>
        </w:rPr>
      </w:pPr>
    </w:p>
    <w:sectPr w:rsidR="001776FF" w:rsidRPr="0078103E">
      <w:headerReference w:type="default" r:id="rId12"/>
      <w:footerReference w:type="even" r:id="rId13"/>
      <w:foot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DDA1E" w14:textId="77777777" w:rsidR="009779FD" w:rsidRDefault="009779FD">
      <w:r>
        <w:separator/>
      </w:r>
    </w:p>
  </w:endnote>
  <w:endnote w:type="continuationSeparator" w:id="0">
    <w:p w14:paraId="68872C8A" w14:textId="77777777" w:rsidR="009779FD" w:rsidRDefault="00977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6" w14:textId="77777777" w:rsidR="001776FF" w:rsidRDefault="00000000">
    <w:pPr>
      <w:pBdr>
        <w:top w:val="nil"/>
        <w:left w:val="nil"/>
        <w:bottom w:val="nil"/>
        <w:right w:val="nil"/>
        <w:between w:val="nil"/>
      </w:pBdr>
      <w:tabs>
        <w:tab w:val="center" w:pos="4513"/>
        <w:tab w:val="right" w:pos="9026"/>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Pr>
        <w:rFonts w:ascii="Calibri" w:eastAsia="Calibri" w:hAnsi="Calibri" w:cs="Calibri"/>
        <w:color w:val="000000"/>
      </w:rPr>
      <w:fldChar w:fldCharType="end"/>
    </w:r>
  </w:p>
  <w:p w14:paraId="000000A7" w14:textId="77777777" w:rsidR="001776FF" w:rsidRDefault="001776FF">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4" w14:textId="3BF2BEBC" w:rsidR="001776FF" w:rsidRDefault="00000000">
    <w:pPr>
      <w:pBdr>
        <w:top w:val="nil"/>
        <w:left w:val="nil"/>
        <w:bottom w:val="nil"/>
        <w:right w:val="nil"/>
        <w:between w:val="nil"/>
      </w:pBdr>
      <w:tabs>
        <w:tab w:val="center" w:pos="4513"/>
        <w:tab w:val="right" w:pos="9026"/>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78103E">
      <w:rPr>
        <w:rFonts w:ascii="Calibri" w:eastAsia="Calibri" w:hAnsi="Calibri" w:cs="Calibri"/>
        <w:noProof/>
        <w:color w:val="000000"/>
      </w:rPr>
      <w:t>1</w:t>
    </w:r>
    <w:r>
      <w:rPr>
        <w:rFonts w:ascii="Calibri" w:eastAsia="Calibri" w:hAnsi="Calibri" w:cs="Calibri"/>
        <w:color w:val="000000"/>
      </w:rPr>
      <w:fldChar w:fldCharType="end"/>
    </w:r>
  </w:p>
  <w:p w14:paraId="000000A5" w14:textId="77777777" w:rsidR="001776FF" w:rsidRDefault="001776FF">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48908" w14:textId="77777777" w:rsidR="009779FD" w:rsidRDefault="009779FD">
      <w:r>
        <w:separator/>
      </w:r>
    </w:p>
  </w:footnote>
  <w:footnote w:type="continuationSeparator" w:id="0">
    <w:p w14:paraId="0993D545" w14:textId="77777777" w:rsidR="009779FD" w:rsidRDefault="009779FD">
      <w:r>
        <w:continuationSeparator/>
      </w:r>
    </w:p>
  </w:footnote>
  <w:footnote w:id="1">
    <w:p w14:paraId="00000077"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Available at: </w:t>
      </w:r>
      <w:hyperlink r:id="rId1">
        <w:r w:rsidRPr="00E37F1A">
          <w:rPr>
            <w:rFonts w:asciiTheme="minorBidi" w:eastAsia="Arial" w:hAnsiTheme="minorBidi"/>
            <w:color w:val="0000FF"/>
            <w:sz w:val="18"/>
            <w:szCs w:val="18"/>
            <w:u w:val="single"/>
            <w:lang w:val="en-GB"/>
          </w:rPr>
          <w:t>https://www.icj-cij.org/sites/default/files/case-related/186/186-20240719-adv-01-00-en.pdf</w:t>
        </w:r>
      </w:hyperlink>
      <w:r w:rsidRPr="00E37F1A">
        <w:rPr>
          <w:rFonts w:asciiTheme="minorBidi" w:eastAsia="Arial" w:hAnsiTheme="minorBidi"/>
          <w:color w:val="000000"/>
          <w:sz w:val="18"/>
          <w:szCs w:val="18"/>
          <w:lang w:val="en-GB"/>
        </w:rPr>
        <w:t xml:space="preserve"> </w:t>
      </w:r>
    </w:p>
  </w:footnote>
  <w:footnote w:id="2">
    <w:p w14:paraId="00000078"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https://www.ohchr.org/en/hr-bodies/hrc/regular-sessions/session19/israeli-settlements-in-the-opt</w:t>
      </w:r>
    </w:p>
  </w:footnote>
  <w:footnote w:id="3">
    <w:p w14:paraId="00000079"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https://www.ohchr.org/en/hr-bodies/hrc/co-israel/index</w:t>
      </w:r>
    </w:p>
  </w:footnote>
  <w:footnote w:id="4">
    <w:p w14:paraId="0000007A" w14:textId="77777777" w:rsidR="001776FF" w:rsidRPr="00E37F1A"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sz w:val="18"/>
          <w:szCs w:val="18"/>
          <w:lang w:val="en-GB"/>
        </w:rPr>
        <w:t xml:space="preserve"> The Court </w:t>
      </w:r>
      <w:r w:rsidRPr="00E37F1A">
        <w:rPr>
          <w:rFonts w:asciiTheme="minorBidi" w:eastAsia="Arial" w:hAnsiTheme="minorBidi"/>
          <w:color w:val="000000"/>
          <w:sz w:val="18"/>
          <w:szCs w:val="18"/>
          <w:lang w:val="en-GB"/>
        </w:rPr>
        <w:t>recalled that the protection offered by human rights conventions does not cease in case of armed conflict or of occupation (</w:t>
      </w:r>
      <w:r w:rsidRPr="00E37F1A">
        <w:rPr>
          <w:rFonts w:asciiTheme="minorBidi" w:eastAsia="Arial" w:hAnsiTheme="minorBidi"/>
          <w:i/>
          <w:color w:val="000000"/>
          <w:sz w:val="18"/>
          <w:szCs w:val="18"/>
          <w:lang w:val="en-GB"/>
        </w:rPr>
        <w:t>Legal</w:t>
      </w:r>
      <w:r w:rsidRPr="00E37F1A">
        <w:rPr>
          <w:rFonts w:asciiTheme="minorBidi" w:eastAsia="Arial" w:hAnsiTheme="minorBidi"/>
          <w:color w:val="000000"/>
          <w:sz w:val="18"/>
          <w:szCs w:val="18"/>
          <w:lang w:val="en-GB"/>
        </w:rPr>
        <w:t xml:space="preserve"> </w:t>
      </w:r>
      <w:r w:rsidRPr="00E37F1A">
        <w:rPr>
          <w:rFonts w:asciiTheme="minorBidi" w:eastAsia="Arial" w:hAnsiTheme="minorBidi"/>
          <w:i/>
          <w:color w:val="000000"/>
          <w:sz w:val="18"/>
          <w:szCs w:val="18"/>
          <w:lang w:val="en-GB"/>
        </w:rPr>
        <w:t>Consequences of the Construction of a Wall in the Occupied Palestinian Territory, Advisory Opinion</w:t>
      </w:r>
      <w:r w:rsidRPr="00E37F1A">
        <w:rPr>
          <w:rFonts w:asciiTheme="minorBidi" w:eastAsia="Arial" w:hAnsiTheme="minorBidi"/>
          <w:color w:val="000000"/>
          <w:sz w:val="18"/>
          <w:szCs w:val="18"/>
          <w:lang w:val="en-GB"/>
        </w:rPr>
        <w:t xml:space="preserve">, </w:t>
      </w:r>
      <w:r w:rsidRPr="00E37F1A">
        <w:rPr>
          <w:rFonts w:asciiTheme="minorBidi" w:eastAsia="Arial" w:hAnsiTheme="minorBidi"/>
          <w:i/>
          <w:color w:val="000000"/>
          <w:sz w:val="18"/>
          <w:szCs w:val="18"/>
          <w:lang w:val="en-GB"/>
        </w:rPr>
        <w:t>I.C.J. Reports 2004 (I)</w:t>
      </w:r>
      <w:r w:rsidRPr="00E37F1A">
        <w:rPr>
          <w:rFonts w:asciiTheme="minorBidi" w:eastAsia="Arial" w:hAnsiTheme="minorBidi"/>
          <w:color w:val="000000"/>
          <w:sz w:val="18"/>
          <w:szCs w:val="18"/>
          <w:lang w:val="en-GB"/>
        </w:rPr>
        <w:t>, p. 178, para. 106). Some rights may be exclusively matters of international humanitarian law; others may be exclusively matters of human rights law; yet others may concern both these branches of international law (</w:t>
      </w:r>
      <w:r w:rsidRPr="00E37F1A">
        <w:rPr>
          <w:rFonts w:asciiTheme="minorBidi" w:eastAsia="Arial" w:hAnsiTheme="minorBidi"/>
          <w:i/>
          <w:color w:val="000000"/>
          <w:sz w:val="18"/>
          <w:szCs w:val="18"/>
          <w:lang w:val="en-GB"/>
        </w:rPr>
        <w:t>ibid.</w:t>
      </w:r>
      <w:r w:rsidRPr="00E37F1A">
        <w:rPr>
          <w:rFonts w:asciiTheme="minorBidi" w:eastAsia="Arial" w:hAnsiTheme="minorBidi"/>
          <w:color w:val="000000"/>
          <w:sz w:val="18"/>
          <w:szCs w:val="18"/>
          <w:lang w:val="en-GB"/>
        </w:rPr>
        <w:t>). See para. 99 of the A</w:t>
      </w:r>
      <w:r w:rsidRPr="00E37F1A">
        <w:rPr>
          <w:rFonts w:asciiTheme="minorBidi" w:eastAsia="Arial" w:hAnsiTheme="minorBidi"/>
          <w:sz w:val="18"/>
          <w:szCs w:val="18"/>
          <w:lang w:val="en-GB"/>
        </w:rPr>
        <w:t>dvisory Opinion.</w:t>
      </w:r>
    </w:p>
  </w:footnote>
  <w:footnote w:id="5">
    <w:p w14:paraId="0000007B" w14:textId="77777777" w:rsidR="001776FF" w:rsidRPr="00E37F1A" w:rsidRDefault="00000000">
      <w:pPr>
        <w:pBdr>
          <w:top w:val="nil"/>
          <w:left w:val="nil"/>
          <w:bottom w:val="nil"/>
          <w:right w:val="nil"/>
          <w:between w:val="nil"/>
        </w:pBdr>
        <w:jc w:val="both"/>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See paragraphs</w:t>
      </w:r>
      <w:r w:rsidRPr="00E37F1A">
        <w:rPr>
          <w:rFonts w:asciiTheme="minorBidi" w:eastAsia="Arial" w:hAnsiTheme="minorBidi"/>
          <w:color w:val="000000"/>
          <w:sz w:val="18"/>
          <w:szCs w:val="18"/>
          <w:highlight w:val="white"/>
          <w:lang w:val="en-GB"/>
        </w:rPr>
        <w:t xml:space="preserve"> 233, 274, 278 and 279 of the ICJ Advisory Opinion.</w:t>
      </w:r>
    </w:p>
  </w:footnote>
  <w:footnote w:id="6">
    <w:p w14:paraId="0000007C"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Restated in </w:t>
      </w:r>
      <w:r w:rsidRPr="00E37F1A">
        <w:rPr>
          <w:rFonts w:asciiTheme="minorBidi" w:eastAsia="Arial" w:hAnsiTheme="minorBidi"/>
          <w:color w:val="001E3C"/>
          <w:sz w:val="18"/>
          <w:szCs w:val="18"/>
          <w:highlight w:val="white"/>
          <w:lang w:val="en-GB"/>
        </w:rPr>
        <w:t>ILC’s 2022 </w:t>
      </w:r>
      <w:hyperlink r:id="rId2">
        <w:r w:rsidRPr="00E37F1A">
          <w:rPr>
            <w:rFonts w:asciiTheme="minorBidi" w:eastAsia="Arial" w:hAnsiTheme="minorBidi"/>
            <w:color w:val="000000"/>
            <w:sz w:val="18"/>
            <w:szCs w:val="18"/>
            <w:highlight w:val="white"/>
            <w:lang w:val="en-GB"/>
          </w:rPr>
          <w:t>Draft conclusions</w:t>
        </w:r>
      </w:hyperlink>
      <w:r w:rsidRPr="00E37F1A">
        <w:rPr>
          <w:rFonts w:asciiTheme="minorBidi" w:eastAsia="Arial" w:hAnsiTheme="minorBidi"/>
          <w:color w:val="000000"/>
          <w:sz w:val="18"/>
          <w:szCs w:val="18"/>
          <w:highlight w:val="white"/>
          <w:lang w:val="en-GB"/>
        </w:rPr>
        <w:t xml:space="preserve"> on </w:t>
      </w:r>
      <w:r w:rsidRPr="00E37F1A">
        <w:rPr>
          <w:rFonts w:asciiTheme="minorBidi" w:eastAsia="Arial" w:hAnsiTheme="minorBidi"/>
          <w:color w:val="001E3C"/>
          <w:sz w:val="18"/>
          <w:szCs w:val="18"/>
          <w:highlight w:val="white"/>
          <w:lang w:val="en-GB"/>
        </w:rPr>
        <w:t xml:space="preserve">identification and legal consequences of peremptory norms of general international law (jus cogens), available at: </w:t>
      </w:r>
      <w:hyperlink r:id="rId3">
        <w:r w:rsidRPr="00E37F1A">
          <w:rPr>
            <w:rFonts w:asciiTheme="minorBidi" w:eastAsia="Arial" w:hAnsiTheme="minorBidi"/>
            <w:color w:val="0000FF"/>
            <w:sz w:val="18"/>
            <w:szCs w:val="18"/>
            <w:highlight w:val="white"/>
            <w:u w:val="single"/>
            <w:lang w:val="en-GB"/>
          </w:rPr>
          <w:t>https://legal.un.org/ilc/texts/instruments/english/draft_articles/1_14_2022.pdf</w:t>
        </w:r>
      </w:hyperlink>
      <w:r w:rsidRPr="00E37F1A">
        <w:rPr>
          <w:rFonts w:asciiTheme="minorBidi" w:eastAsia="Arial" w:hAnsiTheme="minorBidi"/>
          <w:color w:val="001E3C"/>
          <w:sz w:val="18"/>
          <w:szCs w:val="18"/>
          <w:highlight w:val="white"/>
          <w:lang w:val="en-GB"/>
        </w:rPr>
        <w:t xml:space="preserve"> </w:t>
      </w:r>
    </w:p>
  </w:footnote>
  <w:footnote w:id="7">
    <w:p w14:paraId="0000007D" w14:textId="77777777" w:rsidR="001776FF" w:rsidRPr="00E37F1A" w:rsidRDefault="00000000">
      <w:pPr>
        <w:pBdr>
          <w:top w:val="nil"/>
          <w:left w:val="nil"/>
          <w:bottom w:val="nil"/>
          <w:right w:val="nil"/>
          <w:between w:val="nil"/>
        </w:pBdr>
        <w:shd w:val="clear" w:color="auto" w:fill="FFFFFF"/>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The commentary available at: </w:t>
      </w:r>
      <w:hyperlink r:id="rId4">
        <w:r w:rsidRPr="00E37F1A">
          <w:rPr>
            <w:rFonts w:asciiTheme="minorBidi" w:eastAsia="Arial" w:hAnsiTheme="minorBidi"/>
            <w:color w:val="0000FF"/>
            <w:sz w:val="18"/>
            <w:szCs w:val="18"/>
            <w:highlight w:val="white"/>
            <w:u w:val="single"/>
            <w:lang w:val="en-GB"/>
          </w:rPr>
          <w:t>https://legal.un.org/ilc/texts/instruments/english/commentaries/9_6_2001.pdf</w:t>
        </w:r>
      </w:hyperlink>
    </w:p>
  </w:footnote>
  <w:footnote w:id="8">
    <w:p w14:paraId="0000007E"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sz w:val="18"/>
          <w:szCs w:val="18"/>
          <w:lang w:val="en-GB"/>
        </w:rPr>
        <w:t>The Law of International Responsibility, edited by James Crawford, Alain Pellet, and Simon Olleson, Oxford Commentaries on International Law, 2010, Oxford University Press</w:t>
      </w:r>
      <w:r w:rsidRPr="00E37F1A">
        <w:rPr>
          <w:rFonts w:asciiTheme="minorBidi" w:eastAsia="Arial" w:hAnsiTheme="minorBidi"/>
          <w:color w:val="000000"/>
          <w:sz w:val="18"/>
          <w:szCs w:val="18"/>
          <w:lang w:val="en-GB"/>
        </w:rPr>
        <w:t>, page 697.</w:t>
      </w:r>
    </w:p>
  </w:footnote>
  <w:footnote w:id="9">
    <w:p w14:paraId="0000007F"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w:t>
      </w:r>
      <w:r w:rsidRPr="00E37F1A">
        <w:rPr>
          <w:rFonts w:asciiTheme="minorBidi" w:eastAsia="Arial" w:hAnsiTheme="minorBidi"/>
          <w:sz w:val="18"/>
          <w:szCs w:val="18"/>
          <w:lang w:val="en-GB"/>
        </w:rPr>
        <w:t>Ibid,</w:t>
      </w:r>
      <w:r w:rsidRPr="00E37F1A">
        <w:rPr>
          <w:rFonts w:asciiTheme="minorBidi" w:eastAsia="Arial" w:hAnsiTheme="minorBidi"/>
          <w:color w:val="000000"/>
          <w:sz w:val="18"/>
          <w:szCs w:val="18"/>
          <w:lang w:val="en-GB"/>
        </w:rPr>
        <w:t xml:space="preserve"> The Law of International Responsibility.</w:t>
      </w:r>
    </w:p>
  </w:footnote>
  <w:footnote w:id="10">
    <w:p w14:paraId="00000080" w14:textId="77777777" w:rsidR="001776FF" w:rsidRPr="00E37F1A" w:rsidRDefault="00000000">
      <w:pPr>
        <w:pBdr>
          <w:top w:val="nil"/>
          <w:left w:val="nil"/>
          <w:bottom w:val="nil"/>
          <w:right w:val="nil"/>
          <w:between w:val="nil"/>
        </w:pBdr>
        <w:jc w:val="both"/>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 xml:space="preserve">Nina HB Jorgensen, Chapter 48 “The Obligation of Cooperation’, in The Law of International Responsibility, edited by James Crawford, Alain Pellet, and Simon Olleson, Oxford Commentaries on International Law, 2010, Oxford University Press. See: The Declaration on Principles of International Law Concerning Friendly Relations and Co-operation among States in accordance with the Charter of the United Nations (Annex to GA Resolution 2625 (XXV), 24 October 1970, which provides evidence of the consensus among UN Member States on the meaning and elaboration of the principles of the Charter, among which is the principle on the duty of States to cooperate with one another in accordance to the Charter. </w:t>
      </w:r>
    </w:p>
  </w:footnote>
  <w:footnote w:id="11">
    <w:p w14:paraId="00000081"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w:t>
      </w:r>
      <w:r w:rsidRPr="00E37F1A">
        <w:rPr>
          <w:rFonts w:asciiTheme="minorBidi" w:eastAsia="Arial" w:hAnsiTheme="minorBidi"/>
          <w:color w:val="000000"/>
          <w:sz w:val="18"/>
          <w:szCs w:val="18"/>
          <w:highlight w:val="white"/>
          <w:lang w:val="en-GB"/>
        </w:rPr>
        <w:t xml:space="preserve">See para. 4 of commentary of the ILC on Article 41(2) ARSIWA, available at: </w:t>
      </w:r>
      <w:hyperlink r:id="rId5">
        <w:r w:rsidRPr="00E37F1A">
          <w:rPr>
            <w:rFonts w:asciiTheme="minorBidi" w:eastAsia="Arial" w:hAnsiTheme="minorBidi"/>
            <w:color w:val="0000FF"/>
            <w:sz w:val="18"/>
            <w:szCs w:val="18"/>
            <w:u w:val="single"/>
            <w:lang w:val="en-GB"/>
          </w:rPr>
          <w:t>https://legal.un.org/ilc/texts/instruments/english/commentaries/9_6_2001.pdf</w:t>
        </w:r>
      </w:hyperlink>
      <w:r w:rsidRPr="00E37F1A">
        <w:rPr>
          <w:rFonts w:asciiTheme="minorBidi" w:eastAsia="Arial" w:hAnsiTheme="minorBidi"/>
          <w:color w:val="000000"/>
          <w:sz w:val="18"/>
          <w:szCs w:val="18"/>
          <w:lang w:val="en-GB"/>
        </w:rPr>
        <w:t>.</w:t>
      </w:r>
    </w:p>
  </w:footnote>
  <w:footnote w:id="12">
    <w:p w14:paraId="00000082"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Ibid, para. 11.</w:t>
      </w:r>
    </w:p>
  </w:footnote>
  <w:footnote w:id="13">
    <w:p w14:paraId="000000A8" w14:textId="77777777" w:rsidR="001776FF" w:rsidRPr="00E37F1A" w:rsidRDefault="00000000">
      <w:pPr>
        <w:rPr>
          <w:rFonts w:asciiTheme="minorBidi" w:eastAsia="Arial" w:hAnsiTheme="minorBidi"/>
          <w:sz w:val="18"/>
          <w:szCs w:val="18"/>
          <w:lang w:val="en-GB"/>
        </w:rPr>
      </w:pPr>
      <w:r w:rsidRPr="00E37F1A">
        <w:rPr>
          <w:rFonts w:asciiTheme="minorBidi" w:hAnsiTheme="minorBidi"/>
          <w:sz w:val="18"/>
          <w:szCs w:val="18"/>
          <w:vertAlign w:val="superscript"/>
        </w:rPr>
        <w:footnoteRef/>
      </w:r>
      <w:r w:rsidRPr="00E37F1A">
        <w:rPr>
          <w:rFonts w:asciiTheme="minorBidi" w:hAnsiTheme="minorBidi"/>
          <w:sz w:val="18"/>
          <w:szCs w:val="18"/>
          <w:lang w:val="en-GB"/>
        </w:rPr>
        <w:t xml:space="preserve"> </w:t>
      </w:r>
      <w:r w:rsidRPr="00E37F1A">
        <w:rPr>
          <w:rFonts w:asciiTheme="minorBidi" w:eastAsia="Arial" w:hAnsiTheme="minorBidi"/>
          <w:sz w:val="18"/>
          <w:szCs w:val="18"/>
          <w:lang w:val="en-GB"/>
        </w:rPr>
        <w:t>Nina HB Jorgensen, Chapter 47 “The Obligation of Non-Assistance to the Responsible State”, in The Law of International Responsibility, edited by James Crawford, Alain Pellet, and Simon Olleson, Oxford Commentaries on International Law, 2010, Oxford University Press, page 691.</w:t>
      </w:r>
    </w:p>
  </w:footnote>
  <w:footnote w:id="14">
    <w:p w14:paraId="00000083" w14:textId="77777777" w:rsidR="001776FF" w:rsidRPr="00E37F1A"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Bidi" w:eastAsia="Arial" w:hAnsiTheme="minorBidi"/>
          <w:b/>
          <w:color w:val="000000"/>
          <w:sz w:val="18"/>
          <w:szCs w:val="18"/>
          <w:lang w:val="en-GB"/>
        </w:rPr>
      </w:pPr>
      <w:r w:rsidRPr="00E37F1A">
        <w:rPr>
          <w:rFonts w:asciiTheme="minorBidi" w:hAnsiTheme="minorBidi"/>
          <w:sz w:val="18"/>
          <w:szCs w:val="18"/>
          <w:vertAlign w:val="superscript"/>
        </w:rPr>
        <w:footnoteRef/>
      </w:r>
      <w:r w:rsidRPr="00E37F1A">
        <w:rPr>
          <w:rFonts w:asciiTheme="minorBidi" w:hAnsiTheme="minorBidi"/>
          <w:sz w:val="18"/>
          <w:szCs w:val="18"/>
          <w:lang w:val="en-GB"/>
        </w:rPr>
        <w:t xml:space="preserve"> </w:t>
      </w:r>
      <w:r w:rsidRPr="00E37F1A">
        <w:rPr>
          <w:rFonts w:asciiTheme="minorBidi" w:eastAsia="Arial" w:hAnsiTheme="minorBidi"/>
          <w:sz w:val="18"/>
          <w:szCs w:val="18"/>
          <w:lang w:val="en-GB"/>
        </w:rPr>
        <w:t>GA Resolution entitled ‘</w:t>
      </w:r>
      <w:r w:rsidRPr="00E37F1A">
        <w:rPr>
          <w:rFonts w:asciiTheme="minorBidi" w:eastAsia="Arial" w:hAnsiTheme="minorBidi"/>
          <w:color w:val="000000"/>
          <w:sz w:val="18"/>
          <w:szCs w:val="18"/>
          <w:lang w:val="en-GB"/>
        </w:rPr>
        <w:t>Advisory opinion of the International Court of Justice on the legal consequences arising from Israel’s policies and practices in the Occupied Palestinian Territory, including East Jerusalem, and from the illegality of Israel’s continued presence in the Occupied Palestinian Territory’,</w:t>
      </w:r>
      <w:r w:rsidRPr="00E37F1A">
        <w:rPr>
          <w:rFonts w:asciiTheme="minorBidi" w:eastAsia="Arial" w:hAnsiTheme="minorBidi"/>
          <w:b/>
          <w:color w:val="000000"/>
          <w:sz w:val="18"/>
          <w:szCs w:val="18"/>
          <w:lang w:val="en-GB"/>
        </w:rPr>
        <w:t xml:space="preserve"> </w:t>
      </w:r>
      <w:r w:rsidRPr="00E37F1A">
        <w:rPr>
          <w:rFonts w:asciiTheme="minorBidi" w:eastAsia="Arial" w:hAnsiTheme="minorBidi"/>
          <w:color w:val="000000"/>
          <w:sz w:val="18"/>
          <w:szCs w:val="18"/>
          <w:lang w:val="en-GB"/>
        </w:rPr>
        <w:t xml:space="preserve">A/ES-10/L.31/Rev.1, 13 September 2024, available at: </w:t>
      </w:r>
      <w:hyperlink r:id="rId6">
        <w:r w:rsidRPr="00E37F1A">
          <w:rPr>
            <w:rFonts w:asciiTheme="minorBidi" w:eastAsia="Arial" w:hAnsiTheme="minorBidi"/>
            <w:color w:val="0000FF"/>
            <w:sz w:val="18"/>
            <w:szCs w:val="18"/>
            <w:u w:val="single"/>
            <w:lang w:val="en-GB"/>
          </w:rPr>
          <w:t>https://documents.un.org/doc/undoc/ltd/n24/266/48/pdf/n2426648.pdf</w:t>
        </w:r>
      </w:hyperlink>
      <w:r w:rsidRPr="00E37F1A">
        <w:rPr>
          <w:rFonts w:asciiTheme="minorBidi" w:eastAsia="Arial" w:hAnsiTheme="minorBidi"/>
          <w:color w:val="000000"/>
          <w:sz w:val="18"/>
          <w:szCs w:val="18"/>
          <w:lang w:val="en-GB"/>
        </w:rPr>
        <w:t xml:space="preserve"> </w:t>
      </w:r>
    </w:p>
  </w:footnote>
  <w:footnote w:id="15">
    <w:p w14:paraId="00000084" w14:textId="77777777" w:rsidR="001776FF" w:rsidRPr="00E37F1A"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Bidi" w:eastAsia="Arial" w:hAnsiTheme="minorBidi"/>
          <w:b/>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sz w:val="18"/>
          <w:szCs w:val="18"/>
          <w:lang w:val="en-GB"/>
        </w:rPr>
        <w:t xml:space="preserve"> Ibid, GA Resolution </w:t>
      </w:r>
      <w:r w:rsidRPr="00E37F1A">
        <w:rPr>
          <w:rFonts w:asciiTheme="minorBidi" w:eastAsia="Arial" w:hAnsiTheme="minorBidi"/>
          <w:color w:val="000000"/>
          <w:sz w:val="18"/>
          <w:szCs w:val="18"/>
          <w:lang w:val="en-GB"/>
        </w:rPr>
        <w:t>A/ES-10/L.31/Rev.1</w:t>
      </w:r>
      <w:r w:rsidRPr="00E37F1A">
        <w:rPr>
          <w:rFonts w:asciiTheme="minorBidi" w:eastAsia="Arial" w:hAnsiTheme="minorBidi"/>
          <w:sz w:val="18"/>
          <w:szCs w:val="18"/>
          <w:lang w:val="en-GB"/>
        </w:rPr>
        <w:t>.</w:t>
      </w:r>
    </w:p>
  </w:footnote>
  <w:footnote w:id="16">
    <w:p w14:paraId="00000085" w14:textId="77777777" w:rsidR="001776FF" w:rsidRPr="00E37F1A" w:rsidRDefault="00000000">
      <w:pPr>
        <w:pBdr>
          <w:top w:val="nil"/>
          <w:left w:val="nil"/>
          <w:bottom w:val="nil"/>
          <w:right w:val="nil"/>
          <w:between w:val="nil"/>
        </w:pBdr>
        <w:rPr>
          <w:rFonts w:asciiTheme="minorBidi" w:eastAsia="Calibri"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UN Independent International Commission of Inquiry on the Occupied Palestinian Territory, including East Jerusalem, and Israel,</w:t>
      </w:r>
      <w:r w:rsidRPr="00E37F1A">
        <w:rPr>
          <w:rFonts w:asciiTheme="minorBidi" w:eastAsia="Arial" w:hAnsiTheme="minorBidi"/>
          <w:b/>
          <w:i/>
          <w:color w:val="000000"/>
          <w:sz w:val="18"/>
          <w:szCs w:val="18"/>
          <w:lang w:val="en-GB"/>
        </w:rPr>
        <w:t xml:space="preserve"> </w:t>
      </w:r>
      <w:r w:rsidRPr="00E37F1A">
        <w:rPr>
          <w:rFonts w:asciiTheme="minorBidi" w:eastAsia="Arial" w:hAnsiTheme="minorBidi"/>
          <w:color w:val="000000"/>
          <w:sz w:val="18"/>
          <w:szCs w:val="18"/>
          <w:lang w:val="en-GB"/>
        </w:rPr>
        <w:t xml:space="preserve">Legal analysis and recommendations on implementation of the International Court of Justice, Advisory Opinion, Legal Consequences arising from the Policies and Practices of Israel in the Occupied Palestinian Territory, including East Jerusalem (18 October 2024), para. 29. Available at: </w:t>
      </w:r>
      <w:hyperlink r:id="rId7">
        <w:r w:rsidRPr="00E37F1A">
          <w:rPr>
            <w:rFonts w:asciiTheme="minorBidi" w:eastAsia="Arial" w:hAnsiTheme="minorBidi"/>
            <w:color w:val="0000FF"/>
            <w:sz w:val="18"/>
            <w:szCs w:val="18"/>
            <w:u w:val="single"/>
            <w:lang w:val="en-GB"/>
          </w:rPr>
          <w:t>https://www.ohchr.org/sites/default/files/documents/hrbodies/hrcouncil/coiopt/2024-10-18-COI-position-paper_co-israel.pdf</w:t>
        </w:r>
      </w:hyperlink>
      <w:r w:rsidRPr="00E37F1A">
        <w:rPr>
          <w:rFonts w:asciiTheme="minorBidi" w:eastAsia="Calibri" w:hAnsiTheme="minorBidi"/>
          <w:color w:val="000000"/>
          <w:sz w:val="18"/>
          <w:szCs w:val="18"/>
          <w:lang w:val="en-GB"/>
        </w:rPr>
        <w:t xml:space="preserve"> </w:t>
      </w:r>
    </w:p>
  </w:footnote>
  <w:footnote w:id="17">
    <w:p w14:paraId="00000086"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Ibid, Commission of Inquiry, para. 30.</w:t>
      </w:r>
    </w:p>
  </w:footnote>
  <w:footnote w:id="18">
    <w:p w14:paraId="00000087"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See: UN experts warn international order on a knife’s edge, urge States to comply with ICJ advisory opinion, available at: </w:t>
      </w:r>
      <w:hyperlink r:id="rId8">
        <w:r w:rsidRPr="00E37F1A">
          <w:rPr>
            <w:rFonts w:asciiTheme="minorBidi" w:eastAsia="Arial" w:hAnsiTheme="minorBidi"/>
            <w:color w:val="0000FF"/>
            <w:sz w:val="18"/>
            <w:szCs w:val="18"/>
            <w:u w:val="single"/>
            <w:lang w:val="en-GB"/>
          </w:rPr>
          <w:t>https://www.ohchr.org/en/statements/2024/09/un-experts-warn-international-order-knifes-edge-urge-states-comply-icj-advisory</w:t>
        </w:r>
      </w:hyperlink>
    </w:p>
  </w:footnote>
  <w:footnote w:id="19">
    <w:p w14:paraId="00000088"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Self determination as integral to basic human rights, </w:t>
      </w:r>
      <w:hyperlink r:id="rId9">
        <w:r w:rsidRPr="00E37F1A">
          <w:rPr>
            <w:rFonts w:asciiTheme="minorBidi" w:eastAsia="Arial" w:hAnsiTheme="minorBidi"/>
            <w:color w:val="1155CC"/>
            <w:sz w:val="18"/>
            <w:szCs w:val="18"/>
            <w:u w:val="single"/>
            <w:lang w:val="en-GB"/>
          </w:rPr>
          <w:t>https://press.un.org/en/2013/gashc4085.doc.htm</w:t>
        </w:r>
      </w:hyperlink>
      <w:r w:rsidRPr="00E37F1A">
        <w:rPr>
          <w:rFonts w:asciiTheme="minorBidi" w:eastAsia="Arial" w:hAnsiTheme="minorBidi"/>
          <w:color w:val="000000"/>
          <w:sz w:val="18"/>
          <w:szCs w:val="18"/>
          <w:lang w:val="en-GB"/>
        </w:rPr>
        <w:t xml:space="preserve"> </w:t>
      </w:r>
    </w:p>
  </w:footnote>
  <w:footnote w:id="20">
    <w:p w14:paraId="00000089"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de-CH"/>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de-CH"/>
        </w:rPr>
        <w:t xml:space="preserve"> E/C.12/GC/24, </w:t>
      </w:r>
      <w:hyperlink r:id="rId10">
        <w:r w:rsidRPr="00E37F1A">
          <w:rPr>
            <w:rFonts w:asciiTheme="minorBidi" w:eastAsia="Arial" w:hAnsiTheme="minorBidi"/>
            <w:color w:val="1155CC"/>
            <w:sz w:val="18"/>
            <w:szCs w:val="18"/>
            <w:u w:val="single"/>
            <w:lang w:val="de-CH"/>
          </w:rPr>
          <w:t>https://documents.un.org/doc/undoc/gen/g17/237/17/pdf/g1723717.pdf</w:t>
        </w:r>
      </w:hyperlink>
      <w:r w:rsidRPr="00E37F1A">
        <w:rPr>
          <w:rFonts w:asciiTheme="minorBidi" w:eastAsia="Arial" w:hAnsiTheme="minorBidi"/>
          <w:color w:val="000000"/>
          <w:sz w:val="18"/>
          <w:szCs w:val="18"/>
          <w:lang w:val="de-CH"/>
        </w:rPr>
        <w:t xml:space="preserve"> </w:t>
      </w:r>
    </w:p>
  </w:footnote>
  <w:footnote w:id="21">
    <w:p w14:paraId="0000008A"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Para. 28 of General Comment 24, </w:t>
      </w:r>
      <w:r w:rsidRPr="00E37F1A">
        <w:rPr>
          <w:rFonts w:asciiTheme="minorBidi" w:eastAsia="Arial" w:hAnsiTheme="minorBidi"/>
          <w:sz w:val="18"/>
          <w:szCs w:val="18"/>
          <w:lang w:val="en-GB"/>
        </w:rPr>
        <w:t xml:space="preserve">Committee on Economic, Social and Cultural Rights (2017), E/C.12/GC/24, available at: </w:t>
      </w:r>
      <w:hyperlink r:id="rId11">
        <w:r w:rsidRPr="00E37F1A">
          <w:rPr>
            <w:rFonts w:asciiTheme="minorBidi" w:eastAsia="Arial" w:hAnsiTheme="minorBidi"/>
            <w:color w:val="1155CC"/>
            <w:sz w:val="18"/>
            <w:szCs w:val="18"/>
            <w:u w:val="single"/>
            <w:lang w:val="en-GB"/>
          </w:rPr>
          <w:t>https://documents.un.org/doc/undoc/gen/g17/237/17/pdf/g1723717.pdf</w:t>
        </w:r>
      </w:hyperlink>
      <w:r w:rsidRPr="00E37F1A">
        <w:rPr>
          <w:rFonts w:asciiTheme="minorBidi" w:eastAsia="Arial" w:hAnsiTheme="minorBidi"/>
          <w:sz w:val="18"/>
          <w:szCs w:val="18"/>
          <w:lang w:val="en-GB"/>
        </w:rPr>
        <w:t xml:space="preserve"> </w:t>
      </w:r>
      <w:r w:rsidRPr="00E37F1A">
        <w:rPr>
          <w:rFonts w:asciiTheme="minorBidi" w:eastAsia="Arial" w:hAnsiTheme="minorBidi"/>
          <w:color w:val="000000"/>
          <w:sz w:val="18"/>
          <w:szCs w:val="18"/>
          <w:lang w:val="en-GB"/>
        </w:rPr>
        <w:t>.</w:t>
      </w:r>
    </w:p>
  </w:footnote>
  <w:footnote w:id="22">
    <w:p w14:paraId="0000008B"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Para. 26 of General Comment 24. The Committee affirmed that “extraterritorial obligations of States under the Covenant follow from the fact that the obligations of the Covenant are expressed without any restriction linked to territory or jurisdiction” (see para. 27 of the General Comment)</w:t>
      </w:r>
    </w:p>
  </w:footnote>
  <w:footnote w:id="23">
    <w:p w14:paraId="0000008C"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Charter of the United Nations, Article 56</w:t>
      </w:r>
    </w:p>
  </w:footnote>
  <w:footnote w:id="24">
    <w:p w14:paraId="0000008D"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Para. 27 of the General Comment 24, referencing Legal Consequences of the Construction of a Wall in the Occupied Palestinian Territory, Advisory Opinion, I.C.J. Reports (2004), paras. 109-112. </w:t>
      </w:r>
    </w:p>
  </w:footnote>
  <w:footnote w:id="25">
    <w:p w14:paraId="0000008E"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Para. 32 of the General Comment 24. Reference made to the International Court of Justice, Case concerning application of the Convention on the Prevention and Punishment of the Crime of Genocide (Bosnia and Herzegovina v. Serbia and Montenegro) (judgment of 26 February 2007), I.C.J. Reports, paras. 430 and 461.</w:t>
      </w:r>
    </w:p>
  </w:footnote>
  <w:footnote w:id="26">
    <w:p w14:paraId="0000008F"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Para. 33 of General Comment 24. See also Guiding Principles on Business and Human Rights, principle 13.</w:t>
      </w:r>
    </w:p>
  </w:footnote>
  <w:footnote w:id="27">
    <w:p w14:paraId="00000090"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See Article 40 ARSIWA, </w:t>
      </w:r>
      <w:hyperlink r:id="rId12">
        <w:r w:rsidRPr="00E37F1A">
          <w:rPr>
            <w:rFonts w:asciiTheme="minorBidi" w:eastAsia="Arial" w:hAnsiTheme="minorBidi"/>
            <w:color w:val="1155CC"/>
            <w:sz w:val="18"/>
            <w:szCs w:val="18"/>
            <w:u w:val="single"/>
            <w:lang w:val="en-GB"/>
          </w:rPr>
          <w:t>https://legal.un.org/ilc/texts/instruments/english/draft_articles/9_6_2001.pdf</w:t>
        </w:r>
      </w:hyperlink>
      <w:r w:rsidRPr="00E37F1A">
        <w:rPr>
          <w:rFonts w:asciiTheme="minorBidi" w:eastAsia="Arial" w:hAnsiTheme="minorBidi"/>
          <w:color w:val="000000"/>
          <w:sz w:val="18"/>
          <w:szCs w:val="18"/>
          <w:lang w:val="en-GB"/>
        </w:rPr>
        <w:t xml:space="preserve"> </w:t>
      </w:r>
    </w:p>
  </w:footnote>
  <w:footnote w:id="28">
    <w:p w14:paraId="00000091"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Para. 36 of the General Comment 24, referencing Olivier De Schutter and others, “Commentary to the Maastricht Principles on Extraterritorial Obligations of States in the area of Economic, Social and Cultural Rights”.</w:t>
      </w:r>
    </w:p>
  </w:footnote>
  <w:footnote w:id="29">
    <w:p w14:paraId="00000092"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 xml:space="preserve">See </w:t>
      </w:r>
      <w:r w:rsidRPr="00E37F1A">
        <w:rPr>
          <w:rFonts w:asciiTheme="minorBidi" w:eastAsia="Arial" w:hAnsiTheme="minorBidi"/>
          <w:sz w:val="18"/>
          <w:szCs w:val="18"/>
          <w:lang w:val="en-GB"/>
        </w:rPr>
        <w:t xml:space="preserve">Campaign against Arms Trade </w:t>
      </w:r>
      <w:r w:rsidRPr="00E37F1A">
        <w:rPr>
          <w:rFonts w:asciiTheme="minorBidi" w:eastAsia="Arial" w:hAnsiTheme="minorBidi"/>
          <w:color w:val="000000"/>
          <w:sz w:val="18"/>
          <w:szCs w:val="18"/>
          <w:lang w:val="en-GB"/>
        </w:rPr>
        <w:t>https://caat.org.uk/data/exports-uk/overview?region=Israel&amp;date_from=2015-05-08</w:t>
      </w:r>
    </w:p>
  </w:footnote>
  <w:footnote w:id="30">
    <w:p w14:paraId="00000093"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 xml:space="preserve">Campaign against Arms Trade, </w:t>
      </w:r>
      <w:hyperlink r:id="rId13" w:anchor=":~:text=15%25%20of%20every%20F35%20that,least%20%C2%A3360m%20since%202016">
        <w:r w:rsidRPr="00E37F1A">
          <w:rPr>
            <w:rFonts w:asciiTheme="minorBidi" w:eastAsia="Arial" w:hAnsiTheme="minorBidi"/>
            <w:color w:val="0000FF"/>
            <w:sz w:val="18"/>
            <w:szCs w:val="18"/>
            <w:u w:val="single"/>
            <w:lang w:val="en-GB"/>
          </w:rPr>
          <w:t>https://caat.org.uk/data/countries/israel/mapped-all-the-uk-companies-manufacturing-components-for-israels-f35-combat-aircraft/#:~:text=15%25%20of%20every%20F35%20that,least%20%C2%A3360m%20since%202016</w:t>
        </w:r>
      </w:hyperlink>
      <w:r w:rsidRPr="00E37F1A">
        <w:rPr>
          <w:rFonts w:asciiTheme="minorBidi" w:eastAsia="Arial" w:hAnsiTheme="minorBidi"/>
          <w:color w:val="000000"/>
          <w:sz w:val="18"/>
          <w:szCs w:val="18"/>
          <w:lang w:val="en-GB"/>
        </w:rPr>
        <w:t xml:space="preserve">. </w:t>
      </w:r>
    </w:p>
  </w:footnote>
  <w:footnote w:id="31">
    <w:p w14:paraId="00000094"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See US Arms Exports to Israel (January 2025), Research Briefing,</w:t>
      </w:r>
      <w:r w:rsidRPr="00E37F1A">
        <w:rPr>
          <w:rFonts w:asciiTheme="minorBidi" w:eastAsia="Arial" w:hAnsiTheme="minorBidi"/>
          <w:sz w:val="18"/>
          <w:szCs w:val="18"/>
          <w:lang w:val="en-GB"/>
        </w:rPr>
        <w:t xml:space="preserve"> available at: </w:t>
      </w:r>
      <w:hyperlink r:id="rId14">
        <w:r w:rsidRPr="00E37F1A">
          <w:rPr>
            <w:rFonts w:asciiTheme="minorBidi" w:eastAsia="Arial" w:hAnsiTheme="minorBidi"/>
            <w:color w:val="000000"/>
            <w:sz w:val="18"/>
            <w:szCs w:val="18"/>
            <w:lang w:val="en-GB"/>
          </w:rPr>
          <w:t>https://commonslibrary.parliament.uk/research-briefings/cbp-9964/</w:t>
        </w:r>
      </w:hyperlink>
    </w:p>
  </w:footnote>
  <w:footnote w:id="32">
    <w:p w14:paraId="00000095"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 xml:space="preserve">Ibid. </w:t>
      </w:r>
    </w:p>
  </w:footnote>
  <w:footnote w:id="33">
    <w:p w14:paraId="00000096"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See US Arms Exports to Israel (January 2025), Research Briefing, </w:t>
      </w:r>
      <w:hyperlink r:id="rId15">
        <w:r w:rsidRPr="00E37F1A">
          <w:rPr>
            <w:rFonts w:asciiTheme="minorBidi" w:eastAsia="Arial" w:hAnsiTheme="minorBidi"/>
            <w:color w:val="000000"/>
            <w:sz w:val="18"/>
            <w:szCs w:val="18"/>
            <w:lang w:val="en-GB"/>
          </w:rPr>
          <w:t>https://commonslibrary.parliament.uk/research-briefings/cbp-9964/</w:t>
        </w:r>
      </w:hyperlink>
      <w:r w:rsidRPr="00E37F1A">
        <w:rPr>
          <w:rFonts w:asciiTheme="minorBidi" w:eastAsia="Arial" w:hAnsiTheme="minorBidi"/>
          <w:color w:val="000000"/>
          <w:sz w:val="18"/>
          <w:szCs w:val="18"/>
          <w:lang w:val="en-GB"/>
        </w:rPr>
        <w:t xml:space="preserve"> </w:t>
      </w:r>
      <w:r w:rsidRPr="00E37F1A">
        <w:rPr>
          <w:rFonts w:asciiTheme="minorBidi" w:eastAsia="Arial" w:hAnsiTheme="minorBidi"/>
          <w:color w:val="000000"/>
          <w:sz w:val="18"/>
          <w:szCs w:val="18"/>
          <w:lang w:val="en-GB"/>
        </w:rPr>
        <w:t>and  https://www.aljazeera.com/news/2024/9/2/uk-announces-partial-suspension-of-arms-exports-to-israel</w:t>
      </w:r>
    </w:p>
  </w:footnote>
  <w:footnote w:id="34">
    <w:p w14:paraId="00000097" w14:textId="77777777" w:rsidR="001776FF" w:rsidRPr="00E37F1A" w:rsidRDefault="00000000">
      <w:pPr>
        <w:pBdr>
          <w:top w:val="nil"/>
          <w:left w:val="nil"/>
          <w:bottom w:val="nil"/>
          <w:right w:val="nil"/>
          <w:between w:val="nil"/>
        </w:pBdr>
        <w:shd w:val="clear" w:color="auto" w:fill="FFFFFF"/>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Times New Roman" w:hAnsiTheme="minorBidi"/>
          <w:color w:val="000000"/>
          <w:sz w:val="18"/>
          <w:szCs w:val="18"/>
          <w:lang w:val="en-GB"/>
        </w:rPr>
        <w:t xml:space="preserve"> </w:t>
      </w:r>
      <w:r w:rsidRPr="00E37F1A">
        <w:rPr>
          <w:rFonts w:asciiTheme="minorBidi" w:eastAsia="Arial" w:hAnsiTheme="minorBidi"/>
          <w:color w:val="000000"/>
          <w:sz w:val="18"/>
          <w:szCs w:val="18"/>
          <w:lang w:val="en-GB"/>
        </w:rPr>
        <w:t xml:space="preserve">Amnesty International said the decision announced by Lammy was “filled with loopholes and does not go far enough”. Continuing to supply Israel with F-35 components “is a catastrophic failure for arms control and justice,” it said. Reference: </w:t>
      </w:r>
      <w:hyperlink r:id="rId16">
        <w:r w:rsidRPr="00E37F1A">
          <w:rPr>
            <w:rFonts w:asciiTheme="minorBidi" w:eastAsia="Arial" w:hAnsiTheme="minorBidi"/>
            <w:color w:val="0000FF"/>
            <w:sz w:val="18"/>
            <w:szCs w:val="18"/>
            <w:u w:val="single"/>
            <w:lang w:val="en-GB"/>
          </w:rPr>
          <w:t>https://www.aljazeera.com/news/2024/9/3/what-does-the-uks-partial-stop-on-arms-exports-to-israel-really-mean</w:t>
        </w:r>
      </w:hyperlink>
      <w:r w:rsidRPr="00E37F1A">
        <w:rPr>
          <w:rFonts w:asciiTheme="minorBidi" w:eastAsia="Arial" w:hAnsiTheme="minorBidi"/>
          <w:color w:val="000000"/>
          <w:sz w:val="18"/>
          <w:szCs w:val="18"/>
          <w:lang w:val="en-GB"/>
        </w:rPr>
        <w:t xml:space="preserve"> </w:t>
      </w:r>
    </w:p>
  </w:footnote>
  <w:footnote w:id="35">
    <w:p w14:paraId="00000098"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 xml:space="preserve">House of Commons Library, US Arms Exports to Israel (January 2025), Research Briefing, available at:  </w:t>
      </w:r>
      <w:hyperlink r:id="rId17">
        <w:r w:rsidRPr="00E37F1A">
          <w:rPr>
            <w:rFonts w:asciiTheme="minorBidi" w:eastAsia="Arial" w:hAnsiTheme="minorBidi"/>
            <w:color w:val="0000FF"/>
            <w:sz w:val="18"/>
            <w:szCs w:val="18"/>
            <w:u w:val="single"/>
            <w:lang w:val="en-GB"/>
          </w:rPr>
          <w:t>https://researchbriefings.files.parliament.uk/documents/CBP-9964/CBP-9964.pdf</w:t>
        </w:r>
      </w:hyperlink>
      <w:r w:rsidRPr="00E37F1A">
        <w:rPr>
          <w:rFonts w:asciiTheme="minorBidi" w:eastAsia="Arial" w:hAnsiTheme="minorBidi"/>
          <w:color w:val="000000"/>
          <w:sz w:val="18"/>
          <w:szCs w:val="18"/>
          <w:lang w:val="en-GB"/>
        </w:rPr>
        <w:t xml:space="preserve"> . A list of items which require a licence for export is set out in the UK Strategic Export Control Lists (also known as the consolidated list). This list includes equipment, software and technology.</w:t>
      </w:r>
    </w:p>
  </w:footnote>
  <w:footnote w:id="36">
    <w:p w14:paraId="00000099"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Calibri" w:hAnsiTheme="minorBidi"/>
          <w:color w:val="000000"/>
          <w:sz w:val="18"/>
          <w:szCs w:val="18"/>
          <w:lang w:val="en-GB"/>
        </w:rPr>
        <w:t xml:space="preserve"> </w:t>
      </w:r>
      <w:r w:rsidRPr="00E37F1A">
        <w:rPr>
          <w:rFonts w:asciiTheme="minorBidi" w:eastAsia="Arial" w:hAnsiTheme="minorBidi"/>
          <w:color w:val="000000"/>
          <w:sz w:val="18"/>
          <w:szCs w:val="18"/>
          <w:lang w:val="en-GB"/>
        </w:rPr>
        <w:t>89 NTE 2021/14: updates to the export control regime - GOV.UK (www.gov.uk)</w:t>
      </w:r>
    </w:p>
  </w:footnote>
  <w:footnote w:id="37">
    <w:p w14:paraId="0000009A"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House of Commons Library, US Arms Exports to Israel (January 2025), Research Briefing</w:t>
      </w:r>
    </w:p>
  </w:footnote>
  <w:footnote w:id="38">
    <w:p w14:paraId="0000009B"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eastAsia="Arial" w:hAnsiTheme="minorBidi"/>
          <w:color w:val="000000"/>
          <w:sz w:val="18"/>
          <w:szCs w:val="18"/>
          <w:lang w:val="en-GB"/>
        </w:rPr>
        <w:t xml:space="preserve"> Information and report pertaining to the database are available here: </w:t>
      </w:r>
      <w:hyperlink r:id="rId18">
        <w:r w:rsidRPr="00E37F1A">
          <w:rPr>
            <w:rFonts w:asciiTheme="minorBidi" w:eastAsia="Arial" w:hAnsiTheme="minorBidi"/>
            <w:color w:val="0000FF"/>
            <w:sz w:val="18"/>
            <w:szCs w:val="18"/>
            <w:u w:val="single"/>
            <w:lang w:val="en-GB"/>
          </w:rPr>
          <w:t>https://www.ohchr.org/en/hr-bodies/hrc/regular-sessions/session31/database-hrc3136</w:t>
        </w:r>
      </w:hyperlink>
      <w:r w:rsidRPr="00E37F1A">
        <w:rPr>
          <w:rFonts w:asciiTheme="minorBidi" w:eastAsia="Arial" w:hAnsiTheme="minorBidi"/>
          <w:color w:val="000000"/>
          <w:sz w:val="18"/>
          <w:szCs w:val="18"/>
          <w:lang w:val="en-GB"/>
        </w:rPr>
        <w:t xml:space="preserve"> </w:t>
      </w:r>
    </w:p>
  </w:footnote>
  <w:footnote w:id="39">
    <w:p w14:paraId="0000009C" w14:textId="77777777" w:rsidR="001776FF" w:rsidRPr="00E37F1A"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hAnsiTheme="minorBidi"/>
          <w:sz w:val="18"/>
          <w:szCs w:val="18"/>
          <w:lang w:val="en-GB"/>
        </w:rPr>
        <w:t xml:space="preserve"> </w:t>
      </w:r>
      <w:r w:rsidRPr="00E37F1A">
        <w:rPr>
          <w:rFonts w:asciiTheme="minorBidi" w:eastAsia="Arial" w:hAnsiTheme="minorBidi"/>
          <w:sz w:val="18"/>
          <w:szCs w:val="18"/>
          <w:lang w:val="en-GB"/>
        </w:rPr>
        <w:t>A/HRC/43/71, available at:</w:t>
      </w:r>
      <w:r w:rsidRPr="00E37F1A">
        <w:rPr>
          <w:rFonts w:asciiTheme="minorBidi" w:eastAsia="Arial" w:hAnsiTheme="minorBidi"/>
          <w:color w:val="0000FF"/>
          <w:sz w:val="18"/>
          <w:szCs w:val="18"/>
          <w:lang w:val="en-GB"/>
        </w:rPr>
        <w:t xml:space="preserve"> https://www.ohchr.org/en/hr-bodies/hrc/regular-sessions/session31/database</w:t>
      </w:r>
      <w:r w:rsidRPr="00E37F1A">
        <w:rPr>
          <w:rFonts w:asciiTheme="minorBidi" w:eastAsia="Arial" w:hAnsiTheme="minorBidi"/>
          <w:color w:val="000000"/>
          <w:sz w:val="18"/>
          <w:szCs w:val="18"/>
          <w:lang w:val="en-GB"/>
        </w:rPr>
        <w:t>. See also OHCHR, “OHCHR update of database of all business enterprises involved in the activities detailed in paragraph 96 of the report of the independent international fact- finding mission to investigate the implications of the Israeli settlements on the civil, political, economic, social and cultural rights of the Palestinian people throughout the Occupied Palestinian Territory, including East Jerusalem” (2023), available at:</w:t>
      </w:r>
    </w:p>
    <w:p w14:paraId="0000009D" w14:textId="77777777" w:rsidR="001776FF" w:rsidRPr="00E37F1A"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Bidi" w:eastAsia="Arial" w:hAnsiTheme="minorBidi"/>
          <w:color w:val="000000"/>
          <w:sz w:val="18"/>
          <w:szCs w:val="18"/>
          <w:lang w:val="en-GB"/>
        </w:rPr>
      </w:pPr>
      <w:r w:rsidRPr="00E37F1A">
        <w:rPr>
          <w:rFonts w:asciiTheme="minorBidi" w:eastAsia="Arial" w:hAnsiTheme="minorBidi"/>
          <w:color w:val="000000"/>
          <w:sz w:val="18"/>
          <w:szCs w:val="18"/>
          <w:lang w:val="en-GB"/>
        </w:rPr>
        <w:t>www.ohchr.org/sites/default/files/documents/hrbodies/hrcouncil/sessions-regular/session31/database-</w:t>
      </w:r>
    </w:p>
    <w:p w14:paraId="0000009E" w14:textId="77777777" w:rsidR="001776FF" w:rsidRPr="00E37F1A" w:rsidRDefault="00000000">
      <w:pPr>
        <w:pBdr>
          <w:top w:val="nil"/>
          <w:left w:val="nil"/>
          <w:bottom w:val="nil"/>
          <w:right w:val="nil"/>
          <w:between w:val="nil"/>
        </w:pBdr>
        <w:rPr>
          <w:rFonts w:asciiTheme="minorBidi" w:eastAsia="Arial" w:hAnsiTheme="minorBidi"/>
          <w:color w:val="000000"/>
          <w:sz w:val="18"/>
          <w:szCs w:val="18"/>
          <w:lang w:val="en-GB"/>
        </w:rPr>
      </w:pPr>
      <w:r w:rsidRPr="00E37F1A">
        <w:rPr>
          <w:rFonts w:asciiTheme="minorBidi" w:eastAsia="Arial" w:hAnsiTheme="minorBidi"/>
          <w:color w:val="000000"/>
          <w:sz w:val="18"/>
          <w:szCs w:val="18"/>
          <w:lang w:val="en-GB"/>
        </w:rPr>
        <w:t>hrc3136/23-06-30-Update-israeli-settlement-opt-database-hrc3136.pdf.</w:t>
      </w:r>
    </w:p>
  </w:footnote>
  <w:footnote w:id="40">
    <w:p w14:paraId="0000009F" w14:textId="77777777" w:rsidR="001776FF" w:rsidRPr="00E37F1A"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hAnsiTheme="minorBidi"/>
          <w:color w:val="000000"/>
          <w:sz w:val="18"/>
          <w:szCs w:val="18"/>
          <w:lang w:val="en-GB"/>
        </w:rPr>
        <w:t xml:space="preserve"> </w:t>
      </w:r>
      <w:r w:rsidRPr="00E37F1A">
        <w:rPr>
          <w:rFonts w:asciiTheme="minorBidi" w:eastAsia="Arial" w:hAnsiTheme="minorBidi"/>
          <w:color w:val="000000"/>
          <w:sz w:val="18"/>
          <w:szCs w:val="18"/>
          <w:lang w:val="en-GB"/>
        </w:rPr>
        <w:t>Department of International Trade Guidance: Trade sanctions, arms embargoes, and other trade restrictions, October 2021. References made in: Irene Pietropaoli (June 2024), “Obligations of Third States and</w:t>
      </w:r>
    </w:p>
    <w:p w14:paraId="000000A0" w14:textId="77777777" w:rsidR="001776FF" w:rsidRPr="00E37F1A"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Bidi" w:eastAsia="Arial" w:hAnsiTheme="minorBidi"/>
          <w:color w:val="000000"/>
          <w:sz w:val="18"/>
          <w:szCs w:val="18"/>
          <w:lang w:val="en-GB"/>
        </w:rPr>
      </w:pPr>
      <w:r w:rsidRPr="00E37F1A">
        <w:rPr>
          <w:rFonts w:asciiTheme="minorBidi" w:eastAsia="Arial" w:hAnsiTheme="minorBidi"/>
          <w:color w:val="000000"/>
          <w:sz w:val="18"/>
          <w:szCs w:val="18"/>
          <w:lang w:val="en-GB"/>
        </w:rPr>
        <w:t>Corporations to Prevent and Punish Genocide in Gaza”.</w:t>
      </w:r>
    </w:p>
  </w:footnote>
  <w:footnote w:id="41">
    <w:p w14:paraId="000000A1" w14:textId="77777777" w:rsidR="001776FF" w:rsidRPr="00E37F1A" w:rsidRDefault="00000000">
      <w:pPr>
        <w:jc w:val="both"/>
        <w:rPr>
          <w:rFonts w:asciiTheme="minorBidi" w:eastAsia="Arial" w:hAnsiTheme="minorBidi"/>
          <w:color w:val="000000"/>
          <w:sz w:val="18"/>
          <w:szCs w:val="18"/>
          <w:lang w:val="en-GB"/>
        </w:rPr>
      </w:pPr>
      <w:r w:rsidRPr="00E37F1A">
        <w:rPr>
          <w:rFonts w:asciiTheme="minorBidi" w:hAnsiTheme="minorBidi"/>
          <w:sz w:val="18"/>
          <w:szCs w:val="18"/>
          <w:vertAlign w:val="superscript"/>
        </w:rPr>
        <w:footnoteRef/>
      </w:r>
      <w:r w:rsidRPr="00E37F1A">
        <w:rPr>
          <w:rFonts w:asciiTheme="minorBidi" w:hAnsiTheme="minorBidi"/>
          <w:color w:val="000000"/>
          <w:sz w:val="18"/>
          <w:szCs w:val="18"/>
          <w:lang w:val="en-GB"/>
        </w:rPr>
        <w:t xml:space="preserve"> </w:t>
      </w:r>
      <w:r w:rsidRPr="00E37F1A">
        <w:rPr>
          <w:rFonts w:asciiTheme="minorBidi" w:eastAsia="Arial" w:hAnsiTheme="minorBidi"/>
          <w:color w:val="000000"/>
          <w:sz w:val="18"/>
          <w:szCs w:val="18"/>
          <w:lang w:val="en-GB"/>
        </w:rPr>
        <w:t xml:space="preserve">The </w:t>
      </w:r>
      <w:r w:rsidRPr="00E37F1A">
        <w:rPr>
          <w:rFonts w:asciiTheme="minorBidi" w:eastAsia="Arial" w:hAnsiTheme="minorBidi"/>
          <w:sz w:val="18"/>
          <w:szCs w:val="18"/>
          <w:lang w:val="en-GB"/>
        </w:rPr>
        <w:t>Guiding Principles</w:t>
      </w:r>
      <w:r w:rsidRPr="00E37F1A">
        <w:rPr>
          <w:rFonts w:asciiTheme="minorBidi" w:eastAsia="Arial" w:hAnsiTheme="minorBidi"/>
          <w:color w:val="000000"/>
          <w:sz w:val="18"/>
          <w:szCs w:val="18"/>
          <w:lang w:val="en-GB"/>
        </w:rPr>
        <w:t xml:space="preserve"> note that “To achieve greater policy coherence and assist business enterprises adequately in such situations, home States should foster closer cooperation among their development assistance agencies, foreign and trade ministries, and export finance institutions in their capitals and within their embassies, as well as between these agencies and host Government actors; develop early-warning indicators to alert government agencies and business enterprises to problems; and attach appropriate consequences to any failure by enterprises to cooperate in these contexts, including by denying or withdrawing existing public support or services, or where that is not possible, denying their future provision”. See GPs commentary to Principle 7, available at: </w:t>
      </w:r>
    </w:p>
    <w:p w14:paraId="000000A2" w14:textId="77777777" w:rsidR="001776FF" w:rsidRPr="00E37F1A" w:rsidRDefault="00000000">
      <w:pPr>
        <w:jc w:val="both"/>
        <w:rPr>
          <w:rFonts w:asciiTheme="minorBidi" w:eastAsia="Arial" w:hAnsiTheme="minorBidi"/>
          <w:color w:val="000000"/>
          <w:sz w:val="18"/>
          <w:szCs w:val="18"/>
          <w:highlight w:val="yellow"/>
          <w:lang w:val="en-GB"/>
        </w:rPr>
      </w:pPr>
      <w:hyperlink r:id="rId19">
        <w:r w:rsidRPr="00E37F1A">
          <w:rPr>
            <w:rFonts w:asciiTheme="minorBidi" w:eastAsia="Arial" w:hAnsiTheme="minorBidi"/>
            <w:color w:val="1155CC"/>
            <w:sz w:val="18"/>
            <w:szCs w:val="18"/>
            <w:u w:val="single"/>
            <w:lang w:val="en-GB"/>
          </w:rPr>
          <w:t>https://www.ohchr.org/sites/default/files/documents/publications/guidingprinciplesbusinesshr_en.pdf</w:t>
        </w:r>
      </w:hyperlink>
      <w:r w:rsidRPr="00E37F1A">
        <w:rPr>
          <w:rFonts w:asciiTheme="minorBidi" w:eastAsia="Arial" w:hAnsiTheme="minorBidi"/>
          <w:color w:val="000000"/>
          <w:sz w:val="18"/>
          <w:szCs w:val="18"/>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3" w14:textId="77777777" w:rsidR="001776FF" w:rsidRDefault="001776FF">
    <w:pPr>
      <w:pBdr>
        <w:top w:val="nil"/>
        <w:left w:val="nil"/>
        <w:bottom w:val="nil"/>
        <w:right w:val="nil"/>
        <w:between w:val="nil"/>
      </w:pBdr>
      <w:tabs>
        <w:tab w:val="center" w:pos="4513"/>
        <w:tab w:val="right" w:pos="9026"/>
      </w:tabs>
      <w:rPr>
        <w:rFonts w:ascii="Calibri" w:eastAsia="Calibri" w:hAnsi="Calibri" w:cs="Calibri"/>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64E0A"/>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83118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6FF"/>
    <w:rsid w:val="000A2082"/>
    <w:rsid w:val="000E4C20"/>
    <w:rsid w:val="001776FF"/>
    <w:rsid w:val="002A53AC"/>
    <w:rsid w:val="002C2AFC"/>
    <w:rsid w:val="005055D0"/>
    <w:rsid w:val="005A01A2"/>
    <w:rsid w:val="0078103E"/>
    <w:rsid w:val="008043DF"/>
    <w:rsid w:val="008523EF"/>
    <w:rsid w:val="008C02ED"/>
    <w:rsid w:val="009521D0"/>
    <w:rsid w:val="009779FD"/>
    <w:rsid w:val="009F1E16"/>
    <w:rsid w:val="00AF3341"/>
    <w:rsid w:val="00BE62E7"/>
    <w:rsid w:val="00DE03D4"/>
    <w:rsid w:val="00E37F1A"/>
    <w:rsid w:val="00E5763D"/>
    <w:rsid w:val="00F65B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1560B"/>
  <w15:docId w15:val="{4C347DB9-4CC3-4A1E-A692-72B6D2EF9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Calibr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kern w:val="2"/>
      <w:lang w:val="zh-CN" w:eastAsia="en-US"/>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pPr>
      <w:spacing w:before="100" w:beforeAutospacing="1" w:after="100" w:afterAutospacing="1"/>
      <w:outlineLvl w:val="1"/>
    </w:pPr>
    <w:rPr>
      <w:rFonts w:ascii="Times New Roman" w:eastAsia="Times New Roman" w:hAnsi="Times New Roman" w:cs="Times New Roman"/>
      <w:b/>
      <w:bCs/>
      <w:kern w:val="0"/>
      <w:sz w:val="36"/>
      <w:szCs w:val="36"/>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pPr>
      <w:tabs>
        <w:tab w:val="center" w:pos="4513"/>
        <w:tab w:val="right" w:pos="9026"/>
      </w:tabs>
    </w:p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unhideWhenUsed/>
    <w:rPr>
      <w:sz w:val="20"/>
      <w:szCs w:val="20"/>
    </w:r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kern w:val="0"/>
      <w:lang w:eastAsia="en-GB"/>
    </w:rPr>
  </w:style>
  <w:style w:type="character" w:styleId="PageNumber">
    <w:name w:val="page number"/>
    <w:basedOn w:val="DefaultParagraphFont"/>
    <w:uiPriority w:val="99"/>
    <w:semiHidden/>
    <w:unhideWhenUsed/>
  </w:style>
  <w:style w:type="character" w:styleId="Strong">
    <w:name w:val="Strong"/>
    <w:basedOn w:val="DefaultParagraphFont"/>
    <w:uiPriority w:val="22"/>
    <w:qFormat/>
    <w:rPr>
      <w:b/>
      <w:bCs/>
    </w:rPr>
  </w:style>
  <w:style w:type="paragraph" w:styleId="TOC1">
    <w:name w:val="toc 1"/>
    <w:basedOn w:val="Normal"/>
    <w:next w:val="Normal"/>
    <w:autoRedefine/>
    <w:uiPriority w:val="39"/>
    <w:unhideWhenUsed/>
    <w:pPr>
      <w:tabs>
        <w:tab w:val="right" w:leader="dot" w:pos="9016"/>
      </w:tabs>
      <w:spacing w:before="120"/>
      <w:jc w:val="both"/>
    </w:pPr>
    <w:rPr>
      <w:rFonts w:asciiTheme="majorBidi" w:hAnsiTheme="majorBidi" w:cstheme="majorBidi"/>
      <w:lang w:val="en-US"/>
    </w:rPr>
  </w:style>
  <w:style w:type="paragraph" w:styleId="TOC2">
    <w:name w:val="toc 2"/>
    <w:basedOn w:val="Normal"/>
    <w:next w:val="Normal"/>
    <w:autoRedefine/>
    <w:uiPriority w:val="39"/>
    <w:unhideWhenUsed/>
    <w:pPr>
      <w:spacing w:before="120"/>
      <w:ind w:left="240"/>
    </w:pPr>
    <w:rPr>
      <w:rFonts w:cstheme="minorHAnsi"/>
      <w:b/>
      <w:bCs/>
      <w:sz w:val="22"/>
      <w:szCs w:val="26"/>
    </w:rPr>
  </w:style>
  <w:style w:type="paragraph" w:styleId="TOC3">
    <w:name w:val="toc 3"/>
    <w:basedOn w:val="Normal"/>
    <w:next w:val="Normal"/>
    <w:autoRedefine/>
    <w:uiPriority w:val="39"/>
    <w:semiHidden/>
    <w:unhideWhenUsed/>
    <w:pPr>
      <w:ind w:left="480"/>
    </w:pPr>
    <w:rPr>
      <w:rFonts w:cstheme="minorHAnsi"/>
      <w:sz w:val="20"/>
    </w:rPr>
  </w:style>
  <w:style w:type="paragraph" w:styleId="TOC4">
    <w:name w:val="toc 4"/>
    <w:basedOn w:val="Normal"/>
    <w:next w:val="Normal"/>
    <w:autoRedefine/>
    <w:uiPriority w:val="39"/>
    <w:semiHidden/>
    <w:unhideWhenUsed/>
    <w:qFormat/>
    <w:pPr>
      <w:ind w:left="720"/>
    </w:pPr>
    <w:rPr>
      <w:rFonts w:cstheme="minorHAnsi"/>
      <w:sz w:val="20"/>
    </w:rPr>
  </w:style>
  <w:style w:type="paragraph" w:styleId="TOC5">
    <w:name w:val="toc 5"/>
    <w:basedOn w:val="Normal"/>
    <w:next w:val="Normal"/>
    <w:autoRedefine/>
    <w:uiPriority w:val="39"/>
    <w:semiHidden/>
    <w:unhideWhenUsed/>
    <w:qFormat/>
    <w:pPr>
      <w:ind w:left="960"/>
    </w:pPr>
    <w:rPr>
      <w:rFonts w:cstheme="minorHAnsi"/>
      <w:sz w:val="20"/>
    </w:rPr>
  </w:style>
  <w:style w:type="paragraph" w:styleId="TOC6">
    <w:name w:val="toc 6"/>
    <w:basedOn w:val="Normal"/>
    <w:next w:val="Normal"/>
    <w:autoRedefine/>
    <w:uiPriority w:val="39"/>
    <w:semiHidden/>
    <w:unhideWhenUsed/>
    <w:qFormat/>
    <w:pPr>
      <w:ind w:left="1200"/>
    </w:pPr>
    <w:rPr>
      <w:rFonts w:cstheme="minorHAnsi"/>
      <w:sz w:val="20"/>
    </w:rPr>
  </w:style>
  <w:style w:type="paragraph" w:styleId="TOC7">
    <w:name w:val="toc 7"/>
    <w:basedOn w:val="Normal"/>
    <w:next w:val="Normal"/>
    <w:autoRedefine/>
    <w:uiPriority w:val="39"/>
    <w:semiHidden/>
    <w:unhideWhenUsed/>
    <w:qFormat/>
    <w:pPr>
      <w:ind w:left="1440"/>
    </w:pPr>
    <w:rPr>
      <w:rFonts w:cstheme="minorHAnsi"/>
      <w:sz w:val="20"/>
    </w:rPr>
  </w:style>
  <w:style w:type="paragraph" w:styleId="TOC8">
    <w:name w:val="toc 8"/>
    <w:basedOn w:val="Normal"/>
    <w:next w:val="Normal"/>
    <w:autoRedefine/>
    <w:uiPriority w:val="39"/>
    <w:semiHidden/>
    <w:unhideWhenUsed/>
    <w:qFormat/>
    <w:pPr>
      <w:ind w:left="1680"/>
    </w:pPr>
    <w:rPr>
      <w:rFonts w:cstheme="minorHAnsi"/>
      <w:sz w:val="20"/>
    </w:rPr>
  </w:style>
  <w:style w:type="paragraph" w:styleId="TOC9">
    <w:name w:val="toc 9"/>
    <w:basedOn w:val="Normal"/>
    <w:next w:val="Normal"/>
    <w:autoRedefine/>
    <w:uiPriority w:val="39"/>
    <w:semiHidden/>
    <w:unhideWhenUsed/>
    <w:qFormat/>
    <w:pPr>
      <w:ind w:left="1920"/>
    </w:pPr>
    <w:rPr>
      <w:rFonts w:cstheme="minorHAnsi"/>
      <w:sz w:val="20"/>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imes New Roman" w:eastAsia="Times New Roman" w:hAnsi="Times New Roman" w:cs="Times New Roman"/>
      <w:b/>
      <w:bCs/>
      <w:kern w:val="0"/>
      <w:sz w:val="36"/>
      <w:szCs w:val="36"/>
      <w:lang w:eastAsia="en-GB"/>
    </w:rPr>
  </w:style>
  <w:style w:type="paragraph" w:styleId="ListParagraph">
    <w:name w:val="List Paragraph"/>
    <w:basedOn w:val="Normal"/>
    <w:uiPriority w:val="34"/>
    <w:qFormat/>
    <w:pPr>
      <w:ind w:left="720"/>
      <w:contextualSpacing/>
    </w:pPr>
  </w:style>
  <w:style w:type="character" w:customStyle="1" w:styleId="FootnoteTextChar">
    <w:name w:val="Footnote Text Char"/>
    <w:basedOn w:val="DefaultParagraphFont"/>
    <w:link w:val="FootnoteText"/>
    <w:uiPriority w:val="99"/>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FooterChar">
    <w:name w:val="Footer Char"/>
    <w:basedOn w:val="DefaultParagraphFont"/>
    <w:link w:val="Footer"/>
    <w:uiPriority w:val="99"/>
  </w:style>
  <w:style w:type="character" w:customStyle="1" w:styleId="apple-converted-space">
    <w:name w:val="apple-converted-space"/>
    <w:basedOn w:val="DefaultParagraphFont"/>
  </w:style>
  <w:style w:type="paragraph" w:customStyle="1" w:styleId="TOCHeading1">
    <w:name w:val="TOC Heading1"/>
    <w:basedOn w:val="Heading1"/>
    <w:next w:val="Normal"/>
    <w:uiPriority w:val="39"/>
    <w:unhideWhenUsed/>
    <w:qFormat/>
    <w:pPr>
      <w:spacing w:before="480" w:line="276" w:lineRule="auto"/>
      <w:outlineLvl w:val="9"/>
    </w:pPr>
    <w:rPr>
      <w:b/>
      <w:bCs/>
      <w:kern w:val="0"/>
      <w:sz w:val="28"/>
      <w:szCs w:val="28"/>
      <w:lang w:val="en-US"/>
    </w:rPr>
  </w:style>
  <w:style w:type="character" w:customStyle="1" w:styleId="HeaderChar">
    <w:name w:val="Header Char"/>
    <w:basedOn w:val="DefaultParagraphFont"/>
    <w:link w:val="Header"/>
    <w:uiPriority w:val="99"/>
    <w:qForma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cj-cij.org/sites/default/files/case-related/186/186-20240719-adv-01-00-en.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xport-control-licensing-management-information-for-israel/export-control-licensing-data-31-may-202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hansard.parliament.uk/Commons/2023-11-30/debates/C88EDD82-AFBB-4394-88F8-44E312534A5D/ArmsExportLicencesIsrael" TargetMode="External"/><Relationship Id="rId4" Type="http://schemas.openxmlformats.org/officeDocument/2006/relationships/settings" Target="settings.xml"/><Relationship Id="rId9" Type="http://schemas.openxmlformats.org/officeDocument/2006/relationships/hyperlink" Target="https://www.icj-cij.org/sites/default/files/case-related/186/186-20240719-adv-01-00-en.pdf"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statements/2024/09/un-experts-warn-international-order-knifes-edge-urge-states-comply-icj-advisory" TargetMode="External"/><Relationship Id="rId13" Type="http://schemas.openxmlformats.org/officeDocument/2006/relationships/hyperlink" Target="https://caat.org.uk/data/countries/israel/mapped-all-the-uk-companies-manufacturing-components-for-israels-f35-combat-aircraft/" TargetMode="External"/><Relationship Id="rId18" Type="http://schemas.openxmlformats.org/officeDocument/2006/relationships/hyperlink" Target="https://www.ohchr.org/en/hr-bodies/hrc/regular-sessions/session31/database-hrc3136" TargetMode="External"/><Relationship Id="rId3" Type="http://schemas.openxmlformats.org/officeDocument/2006/relationships/hyperlink" Target="https://legal.un.org/ilc/texts/instruments/english/draft_articles/1_14_2022.pdf" TargetMode="External"/><Relationship Id="rId7" Type="http://schemas.openxmlformats.org/officeDocument/2006/relationships/hyperlink" Target="https://www.ohchr.org/sites/default/files/documents/hrbodies/hrcouncil/coiopt/2024-10-18-COI-position-paper_co-israel.pdf" TargetMode="External"/><Relationship Id="rId12" Type="http://schemas.openxmlformats.org/officeDocument/2006/relationships/hyperlink" Target="https://legal.un.org/ilc/texts/instruments/english/draft_articles/9_6_2001.pdf" TargetMode="External"/><Relationship Id="rId17" Type="http://schemas.openxmlformats.org/officeDocument/2006/relationships/hyperlink" Target="https://researchbriefings.files.parliament.uk/documents/CBP-9964/CBP-9964.pdf" TargetMode="External"/><Relationship Id="rId2" Type="http://schemas.openxmlformats.org/officeDocument/2006/relationships/hyperlink" Target="https://legal.un.org/ilc/texts/instruments/english/draft_articles/1_14_2022.pdf" TargetMode="External"/><Relationship Id="rId16" Type="http://schemas.openxmlformats.org/officeDocument/2006/relationships/hyperlink" Target="https://www.aljazeera.com/news/2024/9/3/what-does-the-uks-partial-stop-on-arms-exports-to-israel-really-mean" TargetMode="External"/><Relationship Id="rId1" Type="http://schemas.openxmlformats.org/officeDocument/2006/relationships/hyperlink" Target="https://www.icj-cij.org/sites/default/files/case-related/186/186-20240719-adv-01-00-en.pdf" TargetMode="External"/><Relationship Id="rId6" Type="http://schemas.openxmlformats.org/officeDocument/2006/relationships/hyperlink" Target="https://documents.un.org/doc/undoc/ltd/n24/266/48/pdf/n2426648.pdf" TargetMode="External"/><Relationship Id="rId11" Type="http://schemas.openxmlformats.org/officeDocument/2006/relationships/hyperlink" Target="https://documents.un.org/doc/undoc/gen/g17/237/17/pdf/g1723717.pdf" TargetMode="External"/><Relationship Id="rId5" Type="http://schemas.openxmlformats.org/officeDocument/2006/relationships/hyperlink" Target="https://legal.un.org/ilc/texts/instruments/english/commentaries/9_6_2001.pdf" TargetMode="External"/><Relationship Id="rId15" Type="http://schemas.openxmlformats.org/officeDocument/2006/relationships/hyperlink" Target="https://commonslibrary.parliament.uk/research-briefings/cbp-9964/" TargetMode="External"/><Relationship Id="rId10" Type="http://schemas.openxmlformats.org/officeDocument/2006/relationships/hyperlink" Target="https://documents.un.org/doc/undoc/gen/g17/237/17/pdf/g1723717.pdf" TargetMode="External"/><Relationship Id="rId19" Type="http://schemas.openxmlformats.org/officeDocument/2006/relationships/hyperlink" Target="https://www.ohchr.org/sites/default/files/documents/publications/guidingprinciplesbusinesshr_en.pdf" TargetMode="External"/><Relationship Id="rId4" Type="http://schemas.openxmlformats.org/officeDocument/2006/relationships/hyperlink" Target="https://legal.un.org/ilc/texts/instruments/english/commentaries/9_6_2001.pdf" TargetMode="External"/><Relationship Id="rId9" Type="http://schemas.openxmlformats.org/officeDocument/2006/relationships/hyperlink" Target="https://press.un.org/en/2013/gashc4085.doc.htm" TargetMode="External"/><Relationship Id="rId14" Type="http://schemas.openxmlformats.org/officeDocument/2006/relationships/hyperlink" Target="https://commonslibrary.parliament.uk/research-briefings/cbp-99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l2S6Krt5AfKlJhbdRU7QIaBrLg==">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4748</Words>
  <Characters>27067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kinda Mohamadieh</dc:creator>
  <cp:lastModifiedBy>kinda Mohamadieh</cp:lastModifiedBy>
  <cp:revision>16</cp:revision>
  <dcterms:created xsi:type="dcterms:W3CDTF">2025-01-17T14:16:00Z</dcterms:created>
  <dcterms:modified xsi:type="dcterms:W3CDTF">2025-01-17T14:54:00Z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07CBDE0D757E49BD9D2C85E67B1007D6_13</vt:lpwstr>
  </property>
  <property fmtid="{D5CDD505-2E9C-101B-9397-08002B2CF9AE}" pid="4" name="GrammarlyDocumentId">
    <vt:lpwstr>9180e5ee94b7b4e579075e31b42f5b221f530face3c0449d2dbadd4fcbde7c0c</vt:lpwstr>
  </property>
</Properties>
</file>