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C0D32" w14:textId="166BB1AF" w:rsidR="00421B50" w:rsidRPr="00421B50" w:rsidRDefault="005929C4" w:rsidP="00B6486C">
      <w:pPr>
        <w:jc w:val="center"/>
        <w:rPr>
          <w:lang w:val="en-US"/>
        </w:rPr>
      </w:pPr>
      <w:r>
        <w:rPr>
          <w:noProof/>
          <w:lang w:val="en-US"/>
        </w:rPr>
        <w:drawing>
          <wp:inline distT="0" distB="0" distL="0" distR="0" wp14:anchorId="3C8C5480" wp14:editId="62C4E026">
            <wp:extent cx="3132083" cy="1044143"/>
            <wp:effectExtent l="0" t="0" r="5080" b="0"/>
            <wp:docPr id="623054906"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54906" name="Picture 1" descr="Blue text on a white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8245" cy="1059532"/>
                    </a:xfrm>
                    <a:prstGeom prst="rect">
                      <a:avLst/>
                    </a:prstGeom>
                  </pic:spPr>
                </pic:pic>
              </a:graphicData>
            </a:graphic>
          </wp:inline>
        </w:drawing>
      </w:r>
    </w:p>
    <w:p w14:paraId="7819BFF9" w14:textId="77777777" w:rsidR="005929C4" w:rsidRPr="00B6486C" w:rsidRDefault="005929C4" w:rsidP="00B6486C">
      <w:pPr>
        <w:rPr>
          <w:b/>
          <w:bCs/>
        </w:rPr>
      </w:pPr>
      <w:r w:rsidRPr="00B6486C">
        <w:rPr>
          <w:b/>
          <w:bCs/>
        </w:rPr>
        <w:t>Mr. Jorge Araya</w:t>
      </w:r>
    </w:p>
    <w:p w14:paraId="0EE6BDEE" w14:textId="77777777" w:rsidR="005929C4" w:rsidRDefault="005929C4" w:rsidP="00B6486C">
      <w:r>
        <w:t>Secretariat, Committee on the Rights of Persons with Disabilities</w:t>
      </w:r>
    </w:p>
    <w:p w14:paraId="4510FA59" w14:textId="77777777" w:rsidR="005929C4" w:rsidRDefault="005929C4" w:rsidP="00B6486C">
      <w:r>
        <w:t>Office of the United Nations High Commissioner for Human Rights (OHCHR)</w:t>
      </w:r>
    </w:p>
    <w:p w14:paraId="37610C96" w14:textId="77777777" w:rsidR="005929C4" w:rsidRDefault="005929C4" w:rsidP="00B6486C">
      <w:r>
        <w:t>8 - 14 Avenue de la Paix</w:t>
      </w:r>
    </w:p>
    <w:p w14:paraId="212CB1AF" w14:textId="77777777" w:rsidR="005929C4" w:rsidRDefault="005929C4" w:rsidP="00B6486C">
      <w:r>
        <w:t>CH-1211 Geneva (Switzerland)</w:t>
      </w:r>
    </w:p>
    <w:p w14:paraId="4AA93C39" w14:textId="52DCB1CB" w:rsidR="005929C4" w:rsidRDefault="005929C4" w:rsidP="00B6486C">
      <w:r>
        <w:t xml:space="preserve">Via E-mail: </w:t>
      </w:r>
      <w:hyperlink r:id="rId9" w:history="1">
        <w:r w:rsidRPr="005F2887">
          <w:rPr>
            <w:rStyle w:val="Hyperlink"/>
          </w:rPr>
          <w:t>ohchr-crpd@un.org</w:t>
        </w:r>
      </w:hyperlink>
      <w:r>
        <w:t xml:space="preserve">; </w:t>
      </w:r>
      <w:hyperlink r:id="rId10" w:history="1">
        <w:r w:rsidRPr="005F2887">
          <w:rPr>
            <w:rStyle w:val="Hyperlink"/>
          </w:rPr>
          <w:t>jorge.araya@un.org</w:t>
        </w:r>
      </w:hyperlink>
      <w:r>
        <w:t xml:space="preserve"> </w:t>
      </w:r>
    </w:p>
    <w:p w14:paraId="73A2AD01" w14:textId="12872E9F" w:rsidR="00421B50" w:rsidRDefault="005929C4" w:rsidP="00B6486C">
      <w:pPr>
        <w:jc w:val="right"/>
      </w:pPr>
      <w:r>
        <w:t>01 July 2025</w:t>
      </w:r>
    </w:p>
    <w:p w14:paraId="107AE7F2" w14:textId="77777777" w:rsidR="005929C4" w:rsidRPr="00421B50" w:rsidRDefault="005929C4" w:rsidP="00B6486C">
      <w:pPr>
        <w:rPr>
          <w:lang w:val="en-US"/>
        </w:rPr>
      </w:pPr>
    </w:p>
    <w:p w14:paraId="07A06B06" w14:textId="2F5BF076" w:rsidR="0083325E" w:rsidRPr="007A6C7E" w:rsidRDefault="00421B50" w:rsidP="007A6C7E">
      <w:pPr>
        <w:jc w:val="center"/>
        <w:rPr>
          <w:b/>
          <w:bCs/>
          <w:sz w:val="30"/>
          <w:szCs w:val="30"/>
          <w:u w:val="single"/>
          <w:lang w:val="fr-FR"/>
        </w:rPr>
      </w:pPr>
      <w:r w:rsidRPr="00611740">
        <w:rPr>
          <w:b/>
          <w:bCs/>
          <w:sz w:val="30"/>
          <w:szCs w:val="30"/>
          <w:u w:val="single"/>
          <w:lang w:val="fr-FR"/>
        </w:rPr>
        <w:t xml:space="preserve">NGO Report on </w:t>
      </w:r>
      <w:r w:rsidR="005929C4" w:rsidRPr="00611740">
        <w:rPr>
          <w:b/>
          <w:bCs/>
          <w:sz w:val="30"/>
          <w:szCs w:val="30"/>
          <w:u w:val="single"/>
          <w:lang w:val="fr-FR"/>
        </w:rPr>
        <w:t>Kiribati for the 33rd Session of the Committee on the Rights of Persons with Disabilities</w:t>
      </w:r>
      <w:r w:rsidRPr="00611740">
        <w:rPr>
          <w:b/>
          <w:bCs/>
          <w:sz w:val="30"/>
          <w:szCs w:val="30"/>
          <w:u w:val="single"/>
          <w:lang w:val="fr-FR"/>
        </w:rPr>
        <w:t xml:space="preserve"> / </w:t>
      </w:r>
      <w:r w:rsidR="00E226B4" w:rsidRPr="00611740">
        <w:rPr>
          <w:b/>
          <w:bCs/>
          <w:sz w:val="30"/>
          <w:szCs w:val="30"/>
          <w:u w:val="single"/>
          <w:lang w:val="fr-FR"/>
        </w:rPr>
        <w:t>Rapport des ONG sur Kiribati pour la 33ème session du Comité des droits des personnes handicapées</w:t>
      </w:r>
    </w:p>
    <w:p w14:paraId="7A753F9A" w14:textId="77777777" w:rsidR="0083325E" w:rsidRPr="007669A6" w:rsidRDefault="0083325E" w:rsidP="007669A6">
      <w:pPr>
        <w:jc w:val="center"/>
        <w:rPr>
          <w:b/>
          <w:bCs/>
          <w:sz w:val="30"/>
          <w:szCs w:val="30"/>
          <w:u w:val="single"/>
        </w:rPr>
      </w:pPr>
    </w:p>
    <w:sdt>
      <w:sdtPr>
        <w:rPr>
          <w:rFonts w:eastAsia="Calibri" w:cs="Calibri"/>
          <w:b w:val="0"/>
          <w:bCs w:val="0"/>
          <w:color w:val="auto"/>
          <w:sz w:val="24"/>
          <w:szCs w:val="24"/>
          <w:lang w:val="en-GB" w:eastAsia="ja-JP"/>
        </w:rPr>
        <w:id w:val="1403100838"/>
        <w:docPartObj>
          <w:docPartGallery w:val="Table of Contents"/>
          <w:docPartUnique/>
        </w:docPartObj>
      </w:sdtPr>
      <w:sdtEndPr>
        <w:rPr>
          <w:i/>
          <w:iCs/>
          <w:sz w:val="22"/>
          <w:szCs w:val="22"/>
        </w:rPr>
      </w:sdtEndPr>
      <w:sdtContent>
        <w:p w14:paraId="5D1ED4F3" w14:textId="38E44FAA" w:rsidR="003F3258" w:rsidRPr="00385B77" w:rsidRDefault="003F3258" w:rsidP="008843FA">
          <w:pPr>
            <w:pStyle w:val="TOCHeading"/>
            <w:spacing w:before="0"/>
            <w:rPr>
              <w:rFonts w:cs="Calibri"/>
              <w:color w:val="1C4E80"/>
            </w:rPr>
          </w:pPr>
          <w:r w:rsidRPr="00385B77">
            <w:rPr>
              <w:rFonts w:cs="Calibri"/>
              <w:color w:val="1C4E80"/>
            </w:rPr>
            <w:t>Table of Contents</w:t>
          </w:r>
        </w:p>
        <w:p w14:paraId="285CBA79" w14:textId="12240139" w:rsidR="00385B77" w:rsidRPr="00385B77" w:rsidRDefault="003F3258">
          <w:pPr>
            <w:pStyle w:val="TOC1"/>
            <w:tabs>
              <w:tab w:val="right" w:leader="dot" w:pos="9016"/>
            </w:tabs>
            <w:rPr>
              <w:rFonts w:eastAsiaTheme="minorEastAsia"/>
              <w:b w:val="0"/>
              <w:bCs w:val="0"/>
              <w:i w:val="0"/>
              <w:iCs w:val="0"/>
              <w:noProof/>
              <w:kern w:val="2"/>
              <w:sz w:val="22"/>
              <w:szCs w:val="22"/>
              <w:lang w:eastAsia="en-GB"/>
              <w14:ligatures w14:val="standardContextual"/>
            </w:rPr>
          </w:pPr>
          <w:r w:rsidRPr="00385B77">
            <w:rPr>
              <w:b w:val="0"/>
              <w:bCs w:val="0"/>
              <w:sz w:val="22"/>
              <w:szCs w:val="22"/>
            </w:rPr>
            <w:fldChar w:fldCharType="begin"/>
          </w:r>
          <w:r w:rsidRPr="00385B77">
            <w:rPr>
              <w:b w:val="0"/>
              <w:bCs w:val="0"/>
              <w:sz w:val="22"/>
              <w:szCs w:val="22"/>
            </w:rPr>
            <w:instrText xml:space="preserve"> TOC \o "1-3" \h \z \u </w:instrText>
          </w:r>
          <w:r w:rsidRPr="00385B77">
            <w:rPr>
              <w:b w:val="0"/>
              <w:bCs w:val="0"/>
              <w:sz w:val="22"/>
              <w:szCs w:val="22"/>
            </w:rPr>
            <w:fldChar w:fldCharType="separate"/>
          </w:r>
          <w:hyperlink w:anchor="_Toc201940559" w:history="1">
            <w:r w:rsidR="00385B77" w:rsidRPr="00385B77">
              <w:rPr>
                <w:rStyle w:val="Hyperlink"/>
                <w:b w:val="0"/>
                <w:bCs w:val="0"/>
                <w:noProof/>
                <w:sz w:val="22"/>
                <w:szCs w:val="22"/>
              </w:rPr>
              <w:t>Introduction</w:t>
            </w:r>
            <w:r w:rsidR="00385B77" w:rsidRPr="00385B77">
              <w:rPr>
                <w:b w:val="0"/>
                <w:bCs w:val="0"/>
                <w:noProof/>
                <w:webHidden/>
                <w:sz w:val="22"/>
                <w:szCs w:val="22"/>
              </w:rPr>
              <w:tab/>
            </w:r>
            <w:r w:rsidR="00385B77" w:rsidRPr="00385B77">
              <w:rPr>
                <w:b w:val="0"/>
                <w:bCs w:val="0"/>
                <w:noProof/>
                <w:webHidden/>
                <w:sz w:val="22"/>
                <w:szCs w:val="22"/>
              </w:rPr>
              <w:fldChar w:fldCharType="begin"/>
            </w:r>
            <w:r w:rsidR="00385B77" w:rsidRPr="00385B77">
              <w:rPr>
                <w:b w:val="0"/>
                <w:bCs w:val="0"/>
                <w:noProof/>
                <w:webHidden/>
                <w:sz w:val="22"/>
                <w:szCs w:val="22"/>
              </w:rPr>
              <w:instrText xml:space="preserve"> PAGEREF _Toc201940559 \h </w:instrText>
            </w:r>
            <w:r w:rsidR="00385B77" w:rsidRPr="00385B77">
              <w:rPr>
                <w:b w:val="0"/>
                <w:bCs w:val="0"/>
                <w:noProof/>
                <w:webHidden/>
                <w:sz w:val="22"/>
                <w:szCs w:val="22"/>
              </w:rPr>
            </w:r>
            <w:r w:rsidR="00385B77" w:rsidRPr="00385B77">
              <w:rPr>
                <w:b w:val="0"/>
                <w:bCs w:val="0"/>
                <w:noProof/>
                <w:webHidden/>
                <w:sz w:val="22"/>
                <w:szCs w:val="22"/>
              </w:rPr>
              <w:fldChar w:fldCharType="separate"/>
            </w:r>
            <w:r w:rsidR="00C833CC">
              <w:rPr>
                <w:b w:val="0"/>
                <w:bCs w:val="0"/>
                <w:noProof/>
                <w:webHidden/>
                <w:sz w:val="22"/>
                <w:szCs w:val="22"/>
              </w:rPr>
              <w:t>1</w:t>
            </w:r>
            <w:r w:rsidR="00385B77" w:rsidRPr="00385B77">
              <w:rPr>
                <w:b w:val="0"/>
                <w:bCs w:val="0"/>
                <w:noProof/>
                <w:webHidden/>
                <w:sz w:val="22"/>
                <w:szCs w:val="22"/>
              </w:rPr>
              <w:fldChar w:fldCharType="end"/>
            </w:r>
          </w:hyperlink>
        </w:p>
        <w:p w14:paraId="086A6AE2" w14:textId="2B9C64C4" w:rsidR="00385B77" w:rsidRPr="00385B77" w:rsidRDefault="00385B77">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201940560" w:history="1">
            <w:r w:rsidRPr="00385B77">
              <w:rPr>
                <w:rStyle w:val="Hyperlink"/>
                <w:b w:val="0"/>
                <w:bCs w:val="0"/>
                <w:noProof/>
                <w:sz w:val="22"/>
                <w:szCs w:val="22"/>
              </w:rPr>
              <w:t>Legal Frameworks Facilitating the Denial of Suffrage</w:t>
            </w:r>
            <w:r w:rsidRPr="00385B77">
              <w:rPr>
                <w:b w:val="0"/>
                <w:bCs w:val="0"/>
                <w:noProof/>
                <w:webHidden/>
                <w:sz w:val="22"/>
                <w:szCs w:val="22"/>
              </w:rPr>
              <w:tab/>
            </w:r>
            <w:r w:rsidRPr="00385B77">
              <w:rPr>
                <w:b w:val="0"/>
                <w:bCs w:val="0"/>
                <w:noProof/>
                <w:webHidden/>
                <w:sz w:val="22"/>
                <w:szCs w:val="22"/>
              </w:rPr>
              <w:fldChar w:fldCharType="begin"/>
            </w:r>
            <w:r w:rsidRPr="00385B77">
              <w:rPr>
                <w:b w:val="0"/>
                <w:bCs w:val="0"/>
                <w:noProof/>
                <w:webHidden/>
                <w:sz w:val="22"/>
                <w:szCs w:val="22"/>
              </w:rPr>
              <w:instrText xml:space="preserve"> PAGEREF _Toc201940560 \h </w:instrText>
            </w:r>
            <w:r w:rsidRPr="00385B77">
              <w:rPr>
                <w:b w:val="0"/>
                <w:bCs w:val="0"/>
                <w:noProof/>
                <w:webHidden/>
                <w:sz w:val="22"/>
                <w:szCs w:val="22"/>
              </w:rPr>
            </w:r>
            <w:r w:rsidRPr="00385B77">
              <w:rPr>
                <w:b w:val="0"/>
                <w:bCs w:val="0"/>
                <w:noProof/>
                <w:webHidden/>
                <w:sz w:val="22"/>
                <w:szCs w:val="22"/>
              </w:rPr>
              <w:fldChar w:fldCharType="separate"/>
            </w:r>
            <w:r w:rsidR="00C833CC">
              <w:rPr>
                <w:b w:val="0"/>
                <w:bCs w:val="0"/>
                <w:noProof/>
                <w:webHidden/>
                <w:sz w:val="22"/>
                <w:szCs w:val="22"/>
              </w:rPr>
              <w:t>2</w:t>
            </w:r>
            <w:r w:rsidRPr="00385B77">
              <w:rPr>
                <w:b w:val="0"/>
                <w:bCs w:val="0"/>
                <w:noProof/>
                <w:webHidden/>
                <w:sz w:val="22"/>
                <w:szCs w:val="22"/>
              </w:rPr>
              <w:fldChar w:fldCharType="end"/>
            </w:r>
          </w:hyperlink>
        </w:p>
        <w:p w14:paraId="7593190B" w14:textId="08CDE679" w:rsidR="00385B77" w:rsidRPr="00385B77" w:rsidRDefault="00385B77">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201940561" w:history="1">
            <w:r w:rsidRPr="00385B77">
              <w:rPr>
                <w:rStyle w:val="Hyperlink"/>
                <w:b w:val="0"/>
                <w:bCs w:val="0"/>
                <w:noProof/>
                <w:sz w:val="22"/>
                <w:szCs w:val="22"/>
              </w:rPr>
              <w:t>Inaccessible Infrastructure Undermining Electoral Participation</w:t>
            </w:r>
            <w:r w:rsidRPr="00385B77">
              <w:rPr>
                <w:b w:val="0"/>
                <w:bCs w:val="0"/>
                <w:noProof/>
                <w:webHidden/>
                <w:sz w:val="22"/>
                <w:szCs w:val="22"/>
              </w:rPr>
              <w:tab/>
            </w:r>
            <w:r w:rsidRPr="00385B77">
              <w:rPr>
                <w:b w:val="0"/>
                <w:bCs w:val="0"/>
                <w:noProof/>
                <w:webHidden/>
                <w:sz w:val="22"/>
                <w:szCs w:val="22"/>
              </w:rPr>
              <w:fldChar w:fldCharType="begin"/>
            </w:r>
            <w:r w:rsidRPr="00385B77">
              <w:rPr>
                <w:b w:val="0"/>
                <w:bCs w:val="0"/>
                <w:noProof/>
                <w:webHidden/>
                <w:sz w:val="22"/>
                <w:szCs w:val="22"/>
              </w:rPr>
              <w:instrText xml:space="preserve"> PAGEREF _Toc201940561 \h </w:instrText>
            </w:r>
            <w:r w:rsidRPr="00385B77">
              <w:rPr>
                <w:b w:val="0"/>
                <w:bCs w:val="0"/>
                <w:noProof/>
                <w:webHidden/>
                <w:sz w:val="22"/>
                <w:szCs w:val="22"/>
              </w:rPr>
            </w:r>
            <w:r w:rsidRPr="00385B77">
              <w:rPr>
                <w:b w:val="0"/>
                <w:bCs w:val="0"/>
                <w:noProof/>
                <w:webHidden/>
                <w:sz w:val="22"/>
                <w:szCs w:val="22"/>
              </w:rPr>
              <w:fldChar w:fldCharType="separate"/>
            </w:r>
            <w:r w:rsidR="00C833CC">
              <w:rPr>
                <w:b w:val="0"/>
                <w:bCs w:val="0"/>
                <w:noProof/>
                <w:webHidden/>
                <w:sz w:val="22"/>
                <w:szCs w:val="22"/>
              </w:rPr>
              <w:t>4</w:t>
            </w:r>
            <w:r w:rsidRPr="00385B77">
              <w:rPr>
                <w:b w:val="0"/>
                <w:bCs w:val="0"/>
                <w:noProof/>
                <w:webHidden/>
                <w:sz w:val="22"/>
                <w:szCs w:val="22"/>
              </w:rPr>
              <w:fldChar w:fldCharType="end"/>
            </w:r>
          </w:hyperlink>
        </w:p>
        <w:p w14:paraId="2734BD00" w14:textId="0D894078" w:rsidR="00385B77" w:rsidRPr="00385B77" w:rsidRDefault="00385B77">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201940562" w:history="1">
            <w:r w:rsidRPr="00385B77">
              <w:rPr>
                <w:rStyle w:val="Hyperlink"/>
                <w:b w:val="0"/>
                <w:bCs w:val="0"/>
                <w:noProof/>
                <w:sz w:val="22"/>
                <w:szCs w:val="22"/>
              </w:rPr>
              <w:t>Incompliance with Legal Standards for Accessible Education</w:t>
            </w:r>
            <w:r w:rsidRPr="00385B77">
              <w:rPr>
                <w:b w:val="0"/>
                <w:bCs w:val="0"/>
                <w:noProof/>
                <w:webHidden/>
                <w:sz w:val="22"/>
                <w:szCs w:val="22"/>
              </w:rPr>
              <w:tab/>
            </w:r>
            <w:r w:rsidRPr="00385B77">
              <w:rPr>
                <w:b w:val="0"/>
                <w:bCs w:val="0"/>
                <w:noProof/>
                <w:webHidden/>
                <w:sz w:val="22"/>
                <w:szCs w:val="22"/>
              </w:rPr>
              <w:fldChar w:fldCharType="begin"/>
            </w:r>
            <w:r w:rsidRPr="00385B77">
              <w:rPr>
                <w:b w:val="0"/>
                <w:bCs w:val="0"/>
                <w:noProof/>
                <w:webHidden/>
                <w:sz w:val="22"/>
                <w:szCs w:val="22"/>
              </w:rPr>
              <w:instrText xml:space="preserve"> PAGEREF _Toc201940562 \h </w:instrText>
            </w:r>
            <w:r w:rsidRPr="00385B77">
              <w:rPr>
                <w:b w:val="0"/>
                <w:bCs w:val="0"/>
                <w:noProof/>
                <w:webHidden/>
                <w:sz w:val="22"/>
                <w:szCs w:val="22"/>
              </w:rPr>
            </w:r>
            <w:r w:rsidRPr="00385B77">
              <w:rPr>
                <w:b w:val="0"/>
                <w:bCs w:val="0"/>
                <w:noProof/>
                <w:webHidden/>
                <w:sz w:val="22"/>
                <w:szCs w:val="22"/>
              </w:rPr>
              <w:fldChar w:fldCharType="separate"/>
            </w:r>
            <w:r w:rsidR="00C833CC">
              <w:rPr>
                <w:b w:val="0"/>
                <w:bCs w:val="0"/>
                <w:noProof/>
                <w:webHidden/>
                <w:sz w:val="22"/>
                <w:szCs w:val="22"/>
              </w:rPr>
              <w:t>5</w:t>
            </w:r>
            <w:r w:rsidRPr="00385B77">
              <w:rPr>
                <w:b w:val="0"/>
                <w:bCs w:val="0"/>
                <w:noProof/>
                <w:webHidden/>
                <w:sz w:val="22"/>
                <w:szCs w:val="22"/>
              </w:rPr>
              <w:fldChar w:fldCharType="end"/>
            </w:r>
          </w:hyperlink>
        </w:p>
        <w:p w14:paraId="2D43622C" w14:textId="3729E31C" w:rsidR="00385B77" w:rsidRPr="00385B77" w:rsidRDefault="00385B77">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201940563" w:history="1">
            <w:r w:rsidRPr="00385B77">
              <w:rPr>
                <w:rStyle w:val="Hyperlink"/>
                <w:b w:val="0"/>
                <w:bCs w:val="0"/>
                <w:noProof/>
                <w:sz w:val="22"/>
                <w:szCs w:val="22"/>
              </w:rPr>
              <w:t>Physical Limitations Preventing Autonomous Voting</w:t>
            </w:r>
            <w:r w:rsidRPr="00385B77">
              <w:rPr>
                <w:b w:val="0"/>
                <w:bCs w:val="0"/>
                <w:noProof/>
                <w:webHidden/>
                <w:sz w:val="22"/>
                <w:szCs w:val="22"/>
              </w:rPr>
              <w:tab/>
            </w:r>
            <w:r w:rsidRPr="00385B77">
              <w:rPr>
                <w:b w:val="0"/>
                <w:bCs w:val="0"/>
                <w:noProof/>
                <w:webHidden/>
                <w:sz w:val="22"/>
                <w:szCs w:val="22"/>
              </w:rPr>
              <w:fldChar w:fldCharType="begin"/>
            </w:r>
            <w:r w:rsidRPr="00385B77">
              <w:rPr>
                <w:b w:val="0"/>
                <w:bCs w:val="0"/>
                <w:noProof/>
                <w:webHidden/>
                <w:sz w:val="22"/>
                <w:szCs w:val="22"/>
              </w:rPr>
              <w:instrText xml:space="preserve"> PAGEREF _Toc201940563 \h </w:instrText>
            </w:r>
            <w:r w:rsidRPr="00385B77">
              <w:rPr>
                <w:b w:val="0"/>
                <w:bCs w:val="0"/>
                <w:noProof/>
                <w:webHidden/>
                <w:sz w:val="22"/>
                <w:szCs w:val="22"/>
              </w:rPr>
            </w:r>
            <w:r w:rsidRPr="00385B77">
              <w:rPr>
                <w:b w:val="0"/>
                <w:bCs w:val="0"/>
                <w:noProof/>
                <w:webHidden/>
                <w:sz w:val="22"/>
                <w:szCs w:val="22"/>
              </w:rPr>
              <w:fldChar w:fldCharType="separate"/>
            </w:r>
            <w:r w:rsidR="00C833CC">
              <w:rPr>
                <w:b w:val="0"/>
                <w:bCs w:val="0"/>
                <w:noProof/>
                <w:webHidden/>
                <w:sz w:val="22"/>
                <w:szCs w:val="22"/>
              </w:rPr>
              <w:t>6</w:t>
            </w:r>
            <w:r w:rsidRPr="00385B77">
              <w:rPr>
                <w:b w:val="0"/>
                <w:bCs w:val="0"/>
                <w:noProof/>
                <w:webHidden/>
                <w:sz w:val="22"/>
                <w:szCs w:val="22"/>
              </w:rPr>
              <w:fldChar w:fldCharType="end"/>
            </w:r>
          </w:hyperlink>
        </w:p>
        <w:p w14:paraId="0D19FC2B" w14:textId="10C3244D" w:rsidR="00385B77" w:rsidRPr="00385B77" w:rsidRDefault="00385B77">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201940564" w:history="1">
            <w:r w:rsidRPr="00385B77">
              <w:rPr>
                <w:rStyle w:val="Hyperlink"/>
                <w:b w:val="0"/>
                <w:bCs w:val="0"/>
                <w:noProof/>
                <w:sz w:val="22"/>
                <w:szCs w:val="22"/>
              </w:rPr>
              <w:t>Lack of Access to Civic Education</w:t>
            </w:r>
            <w:r w:rsidRPr="00385B77">
              <w:rPr>
                <w:b w:val="0"/>
                <w:bCs w:val="0"/>
                <w:noProof/>
                <w:webHidden/>
                <w:sz w:val="22"/>
                <w:szCs w:val="22"/>
              </w:rPr>
              <w:tab/>
            </w:r>
            <w:r w:rsidRPr="00385B77">
              <w:rPr>
                <w:b w:val="0"/>
                <w:bCs w:val="0"/>
                <w:noProof/>
                <w:webHidden/>
                <w:sz w:val="22"/>
                <w:szCs w:val="22"/>
              </w:rPr>
              <w:fldChar w:fldCharType="begin"/>
            </w:r>
            <w:r w:rsidRPr="00385B77">
              <w:rPr>
                <w:b w:val="0"/>
                <w:bCs w:val="0"/>
                <w:noProof/>
                <w:webHidden/>
                <w:sz w:val="22"/>
                <w:szCs w:val="22"/>
              </w:rPr>
              <w:instrText xml:space="preserve"> PAGEREF _Toc201940564 \h </w:instrText>
            </w:r>
            <w:r w:rsidRPr="00385B77">
              <w:rPr>
                <w:b w:val="0"/>
                <w:bCs w:val="0"/>
                <w:noProof/>
                <w:webHidden/>
                <w:sz w:val="22"/>
                <w:szCs w:val="22"/>
              </w:rPr>
            </w:r>
            <w:r w:rsidRPr="00385B77">
              <w:rPr>
                <w:b w:val="0"/>
                <w:bCs w:val="0"/>
                <w:noProof/>
                <w:webHidden/>
                <w:sz w:val="22"/>
                <w:szCs w:val="22"/>
              </w:rPr>
              <w:fldChar w:fldCharType="separate"/>
            </w:r>
            <w:r w:rsidR="00C833CC">
              <w:rPr>
                <w:b w:val="0"/>
                <w:bCs w:val="0"/>
                <w:noProof/>
                <w:webHidden/>
                <w:sz w:val="22"/>
                <w:szCs w:val="22"/>
              </w:rPr>
              <w:t>7</w:t>
            </w:r>
            <w:r w:rsidRPr="00385B77">
              <w:rPr>
                <w:b w:val="0"/>
                <w:bCs w:val="0"/>
                <w:noProof/>
                <w:webHidden/>
                <w:sz w:val="22"/>
                <w:szCs w:val="22"/>
              </w:rPr>
              <w:fldChar w:fldCharType="end"/>
            </w:r>
          </w:hyperlink>
        </w:p>
        <w:p w14:paraId="38EBAA5B" w14:textId="23387547" w:rsidR="00385B77" w:rsidRPr="00385B77" w:rsidRDefault="00385B77">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201940565" w:history="1">
            <w:r w:rsidRPr="00385B77">
              <w:rPr>
                <w:rStyle w:val="Hyperlink"/>
                <w:b w:val="0"/>
                <w:bCs w:val="0"/>
                <w:noProof/>
                <w:sz w:val="22"/>
                <w:szCs w:val="22"/>
              </w:rPr>
              <w:t>Conclusion</w:t>
            </w:r>
            <w:r w:rsidRPr="00385B77">
              <w:rPr>
                <w:b w:val="0"/>
                <w:bCs w:val="0"/>
                <w:noProof/>
                <w:webHidden/>
                <w:sz w:val="22"/>
                <w:szCs w:val="22"/>
              </w:rPr>
              <w:tab/>
            </w:r>
            <w:r w:rsidRPr="00385B77">
              <w:rPr>
                <w:b w:val="0"/>
                <w:bCs w:val="0"/>
                <w:noProof/>
                <w:webHidden/>
                <w:sz w:val="22"/>
                <w:szCs w:val="22"/>
              </w:rPr>
              <w:fldChar w:fldCharType="begin"/>
            </w:r>
            <w:r w:rsidRPr="00385B77">
              <w:rPr>
                <w:b w:val="0"/>
                <w:bCs w:val="0"/>
                <w:noProof/>
                <w:webHidden/>
                <w:sz w:val="22"/>
                <w:szCs w:val="22"/>
              </w:rPr>
              <w:instrText xml:space="preserve"> PAGEREF _Toc201940565 \h </w:instrText>
            </w:r>
            <w:r w:rsidRPr="00385B77">
              <w:rPr>
                <w:b w:val="0"/>
                <w:bCs w:val="0"/>
                <w:noProof/>
                <w:webHidden/>
                <w:sz w:val="22"/>
                <w:szCs w:val="22"/>
              </w:rPr>
            </w:r>
            <w:r w:rsidRPr="00385B77">
              <w:rPr>
                <w:b w:val="0"/>
                <w:bCs w:val="0"/>
                <w:noProof/>
                <w:webHidden/>
                <w:sz w:val="22"/>
                <w:szCs w:val="22"/>
              </w:rPr>
              <w:fldChar w:fldCharType="separate"/>
            </w:r>
            <w:r w:rsidR="00C833CC">
              <w:rPr>
                <w:b w:val="0"/>
                <w:bCs w:val="0"/>
                <w:noProof/>
                <w:webHidden/>
                <w:sz w:val="22"/>
                <w:szCs w:val="22"/>
              </w:rPr>
              <w:t>8</w:t>
            </w:r>
            <w:r w:rsidRPr="00385B77">
              <w:rPr>
                <w:b w:val="0"/>
                <w:bCs w:val="0"/>
                <w:noProof/>
                <w:webHidden/>
                <w:sz w:val="22"/>
                <w:szCs w:val="22"/>
              </w:rPr>
              <w:fldChar w:fldCharType="end"/>
            </w:r>
          </w:hyperlink>
        </w:p>
        <w:p w14:paraId="02DC620C" w14:textId="43F32965" w:rsidR="003F3258" w:rsidRPr="00385B77" w:rsidRDefault="003F3258" w:rsidP="0062281A">
          <w:pPr>
            <w:rPr>
              <w:i/>
              <w:iCs/>
              <w:sz w:val="22"/>
              <w:szCs w:val="22"/>
            </w:rPr>
          </w:pPr>
          <w:r w:rsidRPr="00385B77">
            <w:rPr>
              <w:i/>
              <w:iCs/>
              <w:noProof/>
              <w:sz w:val="22"/>
              <w:szCs w:val="22"/>
            </w:rPr>
            <w:fldChar w:fldCharType="end"/>
          </w:r>
        </w:p>
      </w:sdtContent>
    </w:sdt>
    <w:p w14:paraId="2A912AEE" w14:textId="2FDF2445" w:rsidR="00E226B4" w:rsidRPr="008843FA" w:rsidRDefault="00217285" w:rsidP="008843FA">
      <w:pPr>
        <w:pStyle w:val="Heading1"/>
      </w:pPr>
      <w:bookmarkStart w:id="0" w:name="_Toc201940559"/>
      <w:r w:rsidRPr="008843FA">
        <w:t>Introduction</w:t>
      </w:r>
      <w:bookmarkEnd w:id="0"/>
    </w:p>
    <w:p w14:paraId="6FBAA4F0" w14:textId="135A8F2F" w:rsidR="00E226B4" w:rsidRDefault="00E226B4" w:rsidP="00B6486C">
      <w:pPr>
        <w:pStyle w:val="ListParagraph"/>
        <w:numPr>
          <w:ilvl w:val="0"/>
          <w:numId w:val="2"/>
        </w:numPr>
      </w:pPr>
      <w:r>
        <w:t>The Centre for Voters Initiative &amp; Action presents this report to the United Nations Committee on the Rights of Persons with Disabilities ahead of the 33</w:t>
      </w:r>
      <w:r w:rsidRPr="00E226B4">
        <w:rPr>
          <w:vertAlign w:val="superscript"/>
        </w:rPr>
        <w:t>rd</w:t>
      </w:r>
      <w:r>
        <w:t xml:space="preserve"> session for the review of Kiribati. The Centre is a non-governmental organisation based in the Americas with an international focus. </w:t>
      </w:r>
    </w:p>
    <w:p w14:paraId="215C4B02" w14:textId="77777777" w:rsidR="00E226B4" w:rsidRDefault="00E226B4" w:rsidP="00B6486C"/>
    <w:p w14:paraId="7D8C37EA" w14:textId="1A503DAB" w:rsidR="00E226B4" w:rsidRDefault="00E226B4" w:rsidP="00B6486C">
      <w:pPr>
        <w:pStyle w:val="ListParagraph"/>
        <w:numPr>
          <w:ilvl w:val="0"/>
          <w:numId w:val="2"/>
        </w:numPr>
      </w:pPr>
      <w:r>
        <w:t>The Centre works with multiple international mechanisms to convey dialogue, conduct research, and bring awareness to the thematic issues of electoral engagement around the world. We closely follow and participate in the United Nations human rights mechanisms in Geneva and abroad to promote civil society participation in the public affairs process</w:t>
      </w:r>
      <w:r w:rsidR="00E154D2">
        <w:t>.</w:t>
      </w:r>
    </w:p>
    <w:p w14:paraId="13744E7D" w14:textId="77777777" w:rsidR="00E226B4" w:rsidRDefault="00E226B4" w:rsidP="00B6486C"/>
    <w:p w14:paraId="0E82C77C" w14:textId="6CB0908E" w:rsidR="00A82547" w:rsidRDefault="00E226B4" w:rsidP="00A82547">
      <w:pPr>
        <w:pStyle w:val="ListParagraph"/>
        <w:numPr>
          <w:ilvl w:val="0"/>
          <w:numId w:val="2"/>
        </w:numPr>
      </w:pPr>
      <w:r>
        <w:t>Recognising the complex nature of the recent challenges Kiribati faces, the Centre hopes to provide valuable information to the Committee regarding the State’s compliance with issues exacerbating incompliance under Article 29.</w:t>
      </w:r>
      <w:r w:rsidR="003913E8">
        <w:t xml:space="preserve"> </w:t>
      </w:r>
    </w:p>
    <w:p w14:paraId="7B9672AE" w14:textId="025D7546" w:rsidR="00E226B4" w:rsidRDefault="00E226B4" w:rsidP="00B6486C">
      <w:pPr>
        <w:pStyle w:val="ListParagraph"/>
        <w:numPr>
          <w:ilvl w:val="0"/>
          <w:numId w:val="2"/>
        </w:numPr>
      </w:pPr>
      <w:r>
        <w:lastRenderedPageBreak/>
        <w:t>Indeed, this report is focused on the scope of Article 29, and we encourage Committee members to understand the nature of civic education as a tool to combat this contemporary turmoil; hopefully, the Committee will find this report valuable.</w:t>
      </w:r>
    </w:p>
    <w:p w14:paraId="5D53E1F4" w14:textId="4A5E920E" w:rsidR="00E226B4" w:rsidRDefault="00E226B4" w:rsidP="00B6486C"/>
    <w:p w14:paraId="37A9EFC6" w14:textId="6D8FD671" w:rsidR="0000683D" w:rsidRDefault="00E226B4" w:rsidP="0000683D">
      <w:pPr>
        <w:pStyle w:val="ListParagraph"/>
        <w:numPr>
          <w:ilvl w:val="0"/>
          <w:numId w:val="2"/>
        </w:numPr>
      </w:pPr>
      <w:r>
        <w:t xml:space="preserve">This report focuses on </w:t>
      </w:r>
      <w:r w:rsidR="00AC5D14">
        <w:t>four</w:t>
      </w:r>
      <w:r>
        <w:t xml:space="preserve"> specific violations that hinder the rights of persons with</w:t>
      </w:r>
      <w:r w:rsidR="00DD0D44">
        <w:t xml:space="preserve"> </w:t>
      </w:r>
      <w:r>
        <w:t xml:space="preserve">disabilities on their participation in political life in Kiribati: (1) </w:t>
      </w:r>
      <w:r w:rsidR="00A00C07">
        <w:t xml:space="preserve">legal frameworks </w:t>
      </w:r>
      <w:r w:rsidR="001454D1">
        <w:t>facilitating the denial of suffrage</w:t>
      </w:r>
      <w:r w:rsidR="00A00C07">
        <w:t xml:space="preserve">; (2) </w:t>
      </w:r>
      <w:r w:rsidR="00F94861">
        <w:t xml:space="preserve">inaccessible infrastructure </w:t>
      </w:r>
      <w:r w:rsidR="001454D1">
        <w:t>undermining electoral participation; (3) physical limitations preventing autonomous voting; and (4)</w:t>
      </w:r>
      <w:r w:rsidR="0028623A">
        <w:t xml:space="preserve"> a</w:t>
      </w:r>
      <w:r w:rsidR="00AC5D14">
        <w:t xml:space="preserve"> </w:t>
      </w:r>
      <w:r w:rsidR="001454D1">
        <w:t xml:space="preserve">lack of access to civic education. </w:t>
      </w:r>
      <w:r w:rsidR="0028623A">
        <w:t>Combined,</w:t>
      </w:r>
      <w:r w:rsidR="001454D1" w:rsidRPr="001454D1">
        <w:t xml:space="preserve"> these issues, contribute to an undermining of the rights of persons with disabilities in </w:t>
      </w:r>
      <w:r w:rsidR="001454D1">
        <w:t>Kiribati</w:t>
      </w:r>
      <w:r w:rsidR="001454D1" w:rsidRPr="001454D1">
        <w:t xml:space="preserve"> under Article 29.</w:t>
      </w:r>
    </w:p>
    <w:p w14:paraId="7313D78F" w14:textId="77777777" w:rsidR="0000683D" w:rsidRDefault="0000683D" w:rsidP="0000683D"/>
    <w:p w14:paraId="7AD722AA" w14:textId="2CF9DEA7" w:rsidR="003F3258" w:rsidRPr="0000683D" w:rsidRDefault="001244B6" w:rsidP="008843FA">
      <w:pPr>
        <w:pStyle w:val="Heading1"/>
      </w:pPr>
      <w:bookmarkStart w:id="1" w:name="_Toc201940560"/>
      <w:r>
        <w:t>Legal</w:t>
      </w:r>
      <w:r w:rsidR="001454D1">
        <w:t xml:space="preserve"> Frameworks Facilitating the </w:t>
      </w:r>
      <w:r w:rsidR="00F94861">
        <w:t>Denial of Suffrage</w:t>
      </w:r>
      <w:bookmarkEnd w:id="1"/>
    </w:p>
    <w:p w14:paraId="397D80FE" w14:textId="32EAB6A5" w:rsidR="00136852" w:rsidRDefault="00136852" w:rsidP="0000683D">
      <w:pPr>
        <w:pStyle w:val="ListParagraph"/>
        <w:numPr>
          <w:ilvl w:val="0"/>
          <w:numId w:val="2"/>
        </w:numPr>
      </w:pPr>
      <w:r w:rsidRPr="00136852">
        <w:t>Under Article 64(2) in Kiribati</w:t>
      </w:r>
      <w:r w:rsidR="00D41B0C">
        <w:t>’</w:t>
      </w:r>
      <w:r w:rsidRPr="00136852">
        <w:t xml:space="preserve">s Constitution, </w:t>
      </w:r>
      <w:r w:rsidR="00891793">
        <w:t>one notable</w:t>
      </w:r>
      <w:r w:rsidRPr="00136852">
        <w:t xml:space="preserve"> restriction on both voter registration and voting itself is for persons who are, as declared in section (b), </w:t>
      </w:r>
      <w:r w:rsidR="00F451F1">
        <w:t>“</w:t>
      </w:r>
      <w:r w:rsidRPr="00136852">
        <w:t>certified to be insane or otherwise adjudged to be of unsound mind under any law in force in Kiribati</w:t>
      </w:r>
      <w:r w:rsidR="00D85CCF">
        <w:t>”</w:t>
      </w:r>
      <w:r w:rsidRPr="00136852">
        <w:t>.</w:t>
      </w:r>
      <w:r w:rsidR="00F451F1">
        <w:rPr>
          <w:rStyle w:val="FootnoteReference"/>
        </w:rPr>
        <w:footnoteReference w:id="1"/>
      </w:r>
    </w:p>
    <w:p w14:paraId="53C369D2" w14:textId="77777777" w:rsidR="00136852" w:rsidRDefault="00136852" w:rsidP="003F3258"/>
    <w:p w14:paraId="57F07874" w14:textId="3CA6262A" w:rsidR="00F451F1" w:rsidRDefault="00596606" w:rsidP="0000683D">
      <w:pPr>
        <w:pStyle w:val="ListParagraph"/>
        <w:numPr>
          <w:ilvl w:val="0"/>
          <w:numId w:val="2"/>
        </w:numPr>
      </w:pPr>
      <w:r w:rsidRPr="00596606">
        <w:t xml:space="preserve">Article 29 guarantees that persons with </w:t>
      </w:r>
      <w:r w:rsidR="00F451F1" w:rsidRPr="00596606">
        <w:t>disabilities</w:t>
      </w:r>
      <w:r w:rsidRPr="00596606">
        <w:t xml:space="preserve"> enjoy political rights on an equal basis as others; as such, the disqualification ordained under Kiribati</w:t>
      </w:r>
      <w:r w:rsidR="00D41B0C">
        <w:t>’</w:t>
      </w:r>
      <w:r w:rsidRPr="00596606">
        <w:t xml:space="preserve">s Constitution indeed undermines certain political rights. </w:t>
      </w:r>
      <w:r w:rsidR="00F451F1">
        <w:t xml:space="preserve">The provision leaves an avenue for many persons with disabilities to be denied their right to participate in the political life, often without strict scrutiny or opportunities for relief. </w:t>
      </w:r>
    </w:p>
    <w:p w14:paraId="0DBDBCB7" w14:textId="77777777" w:rsidR="00F451F1" w:rsidRDefault="00F451F1" w:rsidP="003F3258"/>
    <w:p w14:paraId="2306AC0C" w14:textId="731A19A4" w:rsidR="00F451F1" w:rsidRDefault="00F451F1" w:rsidP="0000683D">
      <w:pPr>
        <w:pStyle w:val="ListParagraph"/>
        <w:numPr>
          <w:ilvl w:val="0"/>
          <w:numId w:val="2"/>
        </w:numPr>
      </w:pPr>
      <w:r>
        <w:t>Notably, t</w:t>
      </w:r>
      <w:r w:rsidRPr="00587F6D">
        <w:t xml:space="preserve">he term </w:t>
      </w:r>
      <w:r>
        <w:t>“</w:t>
      </w:r>
      <w:r w:rsidRPr="00587F6D">
        <w:t>unsound mind</w:t>
      </w:r>
      <w:r>
        <w:t>”</w:t>
      </w:r>
      <w:r w:rsidRPr="00587F6D">
        <w:t xml:space="preserve"> in and of itself is vague and archaic. It lacks a clear, rights-based definition and is often based on a court ruling or medical opinion, rather than a functional assessment. Furthermore, the language equates mental / intellectual disabilities with incompetence, hinting towards discrimination. </w:t>
      </w:r>
    </w:p>
    <w:p w14:paraId="3D403F0D" w14:textId="77777777" w:rsidR="001454D1" w:rsidRDefault="001454D1" w:rsidP="001454D1">
      <w:pPr>
        <w:pStyle w:val="ListParagraph"/>
      </w:pPr>
    </w:p>
    <w:p w14:paraId="54CFA6D6" w14:textId="3996EFB6" w:rsidR="001454D1" w:rsidRDefault="00AC5D14" w:rsidP="0000683D">
      <w:pPr>
        <w:pStyle w:val="ListParagraph"/>
        <w:numPr>
          <w:ilvl w:val="0"/>
          <w:numId w:val="2"/>
        </w:numPr>
      </w:pPr>
      <w:r w:rsidRPr="00AC5D14">
        <w:t xml:space="preserve">In 2021, the Committee was concerned that persons with disabilities deemed </w:t>
      </w:r>
      <w:r w:rsidR="00083CE2">
        <w:t>‘</w:t>
      </w:r>
      <w:r w:rsidRPr="00AC5D14">
        <w:t>crazy persons</w:t>
      </w:r>
      <w:r w:rsidR="00083CE2">
        <w:t>’</w:t>
      </w:r>
      <w:r w:rsidRPr="00AC5D14">
        <w:t xml:space="preserve"> or </w:t>
      </w:r>
      <w:r w:rsidR="00083CE2">
        <w:t>‘</w:t>
      </w:r>
      <w:r w:rsidRPr="00AC5D14">
        <w:t>persons who lost mind</w:t>
      </w:r>
      <w:r w:rsidR="00083CE2">
        <w:t xml:space="preserve">’ </w:t>
      </w:r>
      <w:r w:rsidRPr="00AC5D14">
        <w:t xml:space="preserve">were excluded from suffrage under </w:t>
      </w:r>
      <w:r w:rsidR="00083CE2">
        <w:t xml:space="preserve">the </w:t>
      </w:r>
      <w:r w:rsidRPr="00AC5D14">
        <w:t>Constitution</w:t>
      </w:r>
      <w:r w:rsidR="00083CE2">
        <w:t xml:space="preserve"> of Laos</w:t>
      </w:r>
      <w:r w:rsidRPr="00AC5D14">
        <w:t>.</w:t>
      </w:r>
      <w:r>
        <w:rPr>
          <w:rStyle w:val="FootnoteReference"/>
        </w:rPr>
        <w:footnoteReference w:id="2"/>
      </w:r>
      <w:r w:rsidRPr="00AC5D14">
        <w:t xml:space="preserve"> During the 2012 review of China and, the Committee flagged the exclusion of citizens with intellectual impairments from voting.</w:t>
      </w:r>
      <w:r>
        <w:rPr>
          <w:rStyle w:val="FootnoteReference"/>
        </w:rPr>
        <w:footnoteReference w:id="3"/>
      </w:r>
      <w:r w:rsidR="00E50EF6" w:rsidRPr="00AC5D14">
        <w:t xml:space="preserve"> </w:t>
      </w:r>
      <w:r w:rsidRPr="00AC5D14">
        <w:t xml:space="preserve">In all such cases, it has been consistent that any legal disqualification based solely on mental capacity violates Article 29 and must be repealed or reformed. </w:t>
      </w:r>
      <w:r>
        <w:t>The Committee should reach the same conclusion in the instance of Kiribati.</w:t>
      </w:r>
    </w:p>
    <w:p w14:paraId="0551AC52" w14:textId="77777777" w:rsidR="00810871" w:rsidRDefault="00810871" w:rsidP="003F3258"/>
    <w:tbl>
      <w:tblPr>
        <w:tblStyle w:val="TableGrid"/>
        <w:tblW w:w="0" w:type="auto"/>
        <w:tblLook w:val="04A0" w:firstRow="1" w:lastRow="0" w:firstColumn="1" w:lastColumn="0" w:noHBand="0" w:noVBand="1"/>
      </w:tblPr>
      <w:tblGrid>
        <w:gridCol w:w="9016"/>
      </w:tblGrid>
      <w:tr w:rsidR="00F451F1" w14:paraId="6523704A" w14:textId="77777777">
        <w:tc>
          <w:tcPr>
            <w:tcW w:w="9016" w:type="dxa"/>
          </w:tcPr>
          <w:p w14:paraId="4AEF9B3E" w14:textId="22DB85C6" w:rsidR="00F451F1" w:rsidRPr="00F451F1" w:rsidRDefault="00F451F1" w:rsidP="003F3258">
            <w:pPr>
              <w:rPr>
                <w:b/>
                <w:bCs/>
              </w:rPr>
            </w:pPr>
            <w:r w:rsidRPr="00F451F1">
              <w:rPr>
                <w:b/>
                <w:bCs/>
              </w:rPr>
              <w:t>Considering this information, the Committee should note that legal provisions denying suffrage on the basis of mental capacity severely undermine the political rights of persons with disabilities. The Centre hopes the Committee will urge Kiribati to reform, if not repeal, the unsound mind provision of Article 64(2) of Kiribati</w:t>
            </w:r>
            <w:r w:rsidR="00027394">
              <w:rPr>
                <w:b/>
                <w:bCs/>
              </w:rPr>
              <w:t>’</w:t>
            </w:r>
            <w:r w:rsidRPr="00F451F1">
              <w:rPr>
                <w:b/>
                <w:bCs/>
              </w:rPr>
              <w:t xml:space="preserve">s Constitution. </w:t>
            </w:r>
          </w:p>
        </w:tc>
      </w:tr>
    </w:tbl>
    <w:p w14:paraId="443DA31D" w14:textId="706E7246" w:rsidR="00F451F1" w:rsidRDefault="00F451F1" w:rsidP="00951003">
      <w:pPr>
        <w:pStyle w:val="ListParagraph"/>
        <w:numPr>
          <w:ilvl w:val="0"/>
          <w:numId w:val="2"/>
        </w:numPr>
      </w:pPr>
      <w:r>
        <w:lastRenderedPageBreak/>
        <w:t>Furthermore, l</w:t>
      </w:r>
      <w:r w:rsidRPr="00596606">
        <w:t xml:space="preserve">imited data shows how and when this </w:t>
      </w:r>
      <w:r>
        <w:t xml:space="preserve">provision </w:t>
      </w:r>
      <w:r w:rsidRPr="00596606">
        <w:t xml:space="preserve">is applied, </w:t>
      </w:r>
      <w:r>
        <w:t>yet</w:t>
      </w:r>
      <w:r w:rsidRPr="00596606">
        <w:t xml:space="preserve"> it </w:t>
      </w:r>
      <w:r>
        <w:t>remains</w:t>
      </w:r>
      <w:r w:rsidRPr="00596606">
        <w:t xml:space="preserve"> an area </w:t>
      </w:r>
      <w:r>
        <w:t>of</w:t>
      </w:r>
      <w:r w:rsidRPr="00596606">
        <w:t xml:space="preserve"> concern for the free political participation of persons with mental disabilities.</w:t>
      </w:r>
      <w:r>
        <w:t xml:space="preserve"> </w:t>
      </w:r>
      <w:r w:rsidRPr="00596606">
        <w:t xml:space="preserve">Limited information also surrounds the process itself in deeming one mentally incompetent in Kiribati; remedies and appeals are not explicitly declared, raising concern that certain persons are simply denied the right to vote on unreasonable grounds. </w:t>
      </w:r>
    </w:p>
    <w:p w14:paraId="76375826" w14:textId="77777777" w:rsidR="00F451F1" w:rsidRDefault="00F451F1" w:rsidP="003F3258"/>
    <w:tbl>
      <w:tblPr>
        <w:tblStyle w:val="TableGrid"/>
        <w:tblW w:w="0" w:type="auto"/>
        <w:tblLook w:val="04A0" w:firstRow="1" w:lastRow="0" w:firstColumn="1" w:lastColumn="0" w:noHBand="0" w:noVBand="1"/>
      </w:tblPr>
      <w:tblGrid>
        <w:gridCol w:w="9016"/>
      </w:tblGrid>
      <w:tr w:rsidR="00F451F1" w14:paraId="4EE5BB91" w14:textId="77777777">
        <w:tc>
          <w:tcPr>
            <w:tcW w:w="9016" w:type="dxa"/>
          </w:tcPr>
          <w:p w14:paraId="29FC6520" w14:textId="77777777" w:rsidR="00E7464B" w:rsidRDefault="00027394" w:rsidP="003F3258">
            <w:pPr>
              <w:rPr>
                <w:b/>
                <w:bCs/>
              </w:rPr>
            </w:pPr>
            <w:r>
              <w:rPr>
                <w:b/>
                <w:bCs/>
              </w:rPr>
              <w:t>Noting the lack of information on the implementation of Kiribati’s incompetence clause, the Committee should ask the State party what legal methods exist for persons with disabilities who want to restore their rights to vote after being declared incompetent.</w:t>
            </w:r>
            <w:r w:rsidR="001244B6">
              <w:rPr>
                <w:b/>
                <w:bCs/>
              </w:rPr>
              <w:t xml:space="preserve"> </w:t>
            </w:r>
          </w:p>
          <w:p w14:paraId="3806E1CD" w14:textId="77777777" w:rsidR="00E7464B" w:rsidRDefault="00E7464B" w:rsidP="003F3258">
            <w:pPr>
              <w:rPr>
                <w:b/>
                <w:bCs/>
              </w:rPr>
            </w:pPr>
          </w:p>
          <w:p w14:paraId="1420F1B7" w14:textId="52C05843" w:rsidR="00027394" w:rsidRPr="00027394" w:rsidRDefault="00027394" w:rsidP="003F3258">
            <w:pPr>
              <w:rPr>
                <w:b/>
                <w:bCs/>
              </w:rPr>
            </w:pPr>
            <w:r>
              <w:rPr>
                <w:b/>
                <w:bCs/>
              </w:rPr>
              <w:t>In particular, the Centre takes special interest i</w:t>
            </w:r>
            <w:r w:rsidR="00126B55">
              <w:rPr>
                <w:b/>
                <w:bCs/>
              </w:rPr>
              <w:t xml:space="preserve">n the number of persons who have been denied electoral rights under this </w:t>
            </w:r>
            <w:r w:rsidR="00F50086">
              <w:rPr>
                <w:b/>
                <w:bCs/>
              </w:rPr>
              <w:t>provision and</w:t>
            </w:r>
            <w:r w:rsidR="00126B55">
              <w:rPr>
                <w:b/>
                <w:bCs/>
              </w:rPr>
              <w:t xml:space="preserve"> hopes the Committee will request that information from the State party during the interactive dialogue.</w:t>
            </w:r>
          </w:p>
        </w:tc>
      </w:tr>
    </w:tbl>
    <w:p w14:paraId="66DBCBB1" w14:textId="0E304EDF" w:rsidR="00810871" w:rsidRDefault="00810871" w:rsidP="003F3258"/>
    <w:p w14:paraId="50371F9C" w14:textId="06131841" w:rsidR="00064389" w:rsidRDefault="00774BB7" w:rsidP="00064389">
      <w:pPr>
        <w:pStyle w:val="ListParagraph"/>
        <w:numPr>
          <w:ilvl w:val="0"/>
          <w:numId w:val="2"/>
        </w:numPr>
      </w:pPr>
      <w:r>
        <w:t xml:space="preserve">Unfortunately, the “unsound mind” provision goes beyond civil society as well, also implicating the election of members of Parliament. </w:t>
      </w:r>
      <w:r w:rsidR="00DA28B5" w:rsidRPr="00DA28B5">
        <w:t>According to Article (56)1 of Kiribati</w:t>
      </w:r>
      <w:r w:rsidR="00D41B0C">
        <w:t>’</w:t>
      </w:r>
      <w:r w:rsidR="00DA28B5" w:rsidRPr="00DA28B5">
        <w:t xml:space="preserve">s Constitution, specifically sub-section (b), no person shall be qualified to be elected as a member of the Maneaba ni Maungatabu who has </w:t>
      </w:r>
      <w:r w:rsidR="00DA28B5">
        <w:t>“</w:t>
      </w:r>
      <w:r w:rsidR="00DA28B5" w:rsidRPr="00DA28B5">
        <w:t>been certified to be insane or otherwise adjudged to be of unsound mind under any law in force</w:t>
      </w:r>
      <w:r w:rsidR="00DA28B5">
        <w:t>”.</w:t>
      </w:r>
      <w:r w:rsidR="00EE1CCD">
        <w:rPr>
          <w:rStyle w:val="FootnoteReference"/>
        </w:rPr>
        <w:footnoteReference w:id="4"/>
      </w:r>
    </w:p>
    <w:p w14:paraId="33A9ED88" w14:textId="77777777" w:rsidR="00DA28B5" w:rsidRDefault="00DA28B5" w:rsidP="00DA28B5"/>
    <w:p w14:paraId="0FD96CD3" w14:textId="23B38E04" w:rsidR="00DA28B5" w:rsidRDefault="00DA28B5" w:rsidP="00DA28B5">
      <w:pPr>
        <w:pStyle w:val="ListParagraph"/>
        <w:numPr>
          <w:ilvl w:val="0"/>
          <w:numId w:val="2"/>
        </w:numPr>
      </w:pPr>
      <w:r>
        <w:t xml:space="preserve">The Centre is deeply concerned by the notion that </w:t>
      </w:r>
      <w:r w:rsidR="00BD1A64">
        <w:t>disabled</w:t>
      </w:r>
      <w:r>
        <w:t xml:space="preserve"> persons – albeit those designated under </w:t>
      </w:r>
      <w:r w:rsidR="00BD1A64">
        <w:t>a</w:t>
      </w:r>
      <w:r>
        <w:t xml:space="preserve"> </w:t>
      </w:r>
      <w:r w:rsidR="00BD1A64">
        <w:t>provision</w:t>
      </w:r>
      <w:r>
        <w:t xml:space="preserve"> that does not fully encompass an empathy towards persons with disabilities – may not only vote, but also not serve in legislature. Disabled representation is critical for advancing accessibility policies, yet they remain impossible if one deemed ‘incompetent’ cannot even qualify to serve as a lawmaker.</w:t>
      </w:r>
    </w:p>
    <w:p w14:paraId="3F644B9D" w14:textId="77777777" w:rsidR="00DA28B5" w:rsidRDefault="00DA28B5" w:rsidP="00A71475"/>
    <w:tbl>
      <w:tblPr>
        <w:tblStyle w:val="TableGrid"/>
        <w:tblW w:w="0" w:type="auto"/>
        <w:tblLook w:val="04A0" w:firstRow="1" w:lastRow="0" w:firstColumn="1" w:lastColumn="0" w:noHBand="0" w:noVBand="1"/>
      </w:tblPr>
      <w:tblGrid>
        <w:gridCol w:w="9016"/>
      </w:tblGrid>
      <w:tr w:rsidR="00A71475" w14:paraId="33C2369C" w14:textId="77777777">
        <w:tc>
          <w:tcPr>
            <w:tcW w:w="9016" w:type="dxa"/>
          </w:tcPr>
          <w:p w14:paraId="1D4323D4" w14:textId="51A62722" w:rsidR="00A71475" w:rsidRPr="00A71475" w:rsidRDefault="00A71475" w:rsidP="00A71475">
            <w:pPr>
              <w:rPr>
                <w:b/>
                <w:bCs/>
              </w:rPr>
            </w:pPr>
            <w:r>
              <w:rPr>
                <w:b/>
                <w:bCs/>
              </w:rPr>
              <w:t xml:space="preserve">Referring once again to the presence of persons with an “unsound mind” being denied not only the right to vote, but also serve in legislature, the Centre hopes the Committee will condemn this language and ask for it to be either modified or reformed to limit exclusion of persons with disabilities from the </w:t>
            </w:r>
            <w:r w:rsidR="00EE1CCD">
              <w:rPr>
                <w:b/>
                <w:bCs/>
              </w:rPr>
              <w:t>political life.</w:t>
            </w:r>
            <w:r>
              <w:rPr>
                <w:b/>
                <w:bCs/>
              </w:rPr>
              <w:t xml:space="preserve"> </w:t>
            </w:r>
          </w:p>
        </w:tc>
      </w:tr>
    </w:tbl>
    <w:p w14:paraId="01F0DD88" w14:textId="77777777" w:rsidR="001244B6" w:rsidRDefault="001244B6" w:rsidP="00A71475"/>
    <w:p w14:paraId="59F7A123" w14:textId="373A6B0C" w:rsidR="004F6E18" w:rsidRDefault="00F85E7E" w:rsidP="00BD1A64">
      <w:pPr>
        <w:pStyle w:val="ListParagraph"/>
        <w:numPr>
          <w:ilvl w:val="0"/>
          <w:numId w:val="2"/>
        </w:numPr>
      </w:pPr>
      <w:r w:rsidRPr="00F85E7E">
        <w:t>Whilst Kiribati</w:t>
      </w:r>
      <w:r w:rsidR="00D41B0C">
        <w:t>’</w:t>
      </w:r>
      <w:r w:rsidRPr="00F85E7E">
        <w:t>s Constitution is an area for concern, the national laws are as well. In 1979, Kiribati passed the fundamental Elections Ordinance, creating a two-round voting system.</w:t>
      </w:r>
      <w:r w:rsidR="004F6E18">
        <w:rPr>
          <w:rStyle w:val="FootnoteReference"/>
        </w:rPr>
        <w:footnoteReference w:id="5"/>
      </w:r>
      <w:r w:rsidRPr="00F85E7E">
        <w:t xml:space="preserve"> The ordinance essentially encompasses all the laws which govern the elections in Kiribati.</w:t>
      </w:r>
      <w:r w:rsidR="004F6E18">
        <w:rPr>
          <w:rStyle w:val="FootnoteReference"/>
        </w:rPr>
        <w:footnoteReference w:id="6"/>
      </w:r>
      <w:r w:rsidR="00BD1A64">
        <w:t xml:space="preserve"> </w:t>
      </w:r>
      <w:r w:rsidR="00BD1A64">
        <w:br/>
      </w:r>
    </w:p>
    <w:p w14:paraId="4D10BAFD" w14:textId="0CA4046C" w:rsidR="004F6E18" w:rsidRDefault="00F85E7E" w:rsidP="004F6E18">
      <w:pPr>
        <w:pStyle w:val="ListParagraph"/>
        <w:numPr>
          <w:ilvl w:val="0"/>
          <w:numId w:val="2"/>
        </w:numPr>
      </w:pPr>
      <w:r w:rsidRPr="00F85E7E">
        <w:t xml:space="preserve">However, the Ordinance does not </w:t>
      </w:r>
      <w:r w:rsidR="004F6E18" w:rsidRPr="00F85E7E">
        <w:t>include</w:t>
      </w:r>
      <w:r w:rsidRPr="00F85E7E">
        <w:t xml:space="preserve"> any policies which govern the participation of persons with disabilities in elections. Thus, there is no requirement of reasonable </w:t>
      </w:r>
      <w:r w:rsidR="004F6E18" w:rsidRPr="00F85E7E">
        <w:t>accommodations</w:t>
      </w:r>
      <w:r w:rsidRPr="00F85E7E">
        <w:t xml:space="preserve"> (ramps, tactile ballots, accessible voting machines, poll worker training, etc.) to assist voters with disabilities due to a gap in law. </w:t>
      </w:r>
    </w:p>
    <w:p w14:paraId="787A183A" w14:textId="2C08D1B4" w:rsidR="004F6E18" w:rsidRDefault="00F85E7E" w:rsidP="001347F3">
      <w:pPr>
        <w:pStyle w:val="ListParagraph"/>
        <w:numPr>
          <w:ilvl w:val="0"/>
          <w:numId w:val="2"/>
        </w:numPr>
      </w:pPr>
      <w:r w:rsidRPr="00F85E7E">
        <w:lastRenderedPageBreak/>
        <w:t>In the daily life, polling places may be physically inaccessible, and there are no legal obligations for officials to adapt voting methods or venues.</w:t>
      </w:r>
      <w:r w:rsidR="004F6E18">
        <w:t xml:space="preserve"> </w:t>
      </w:r>
      <w:r w:rsidR="004F6E18" w:rsidRPr="004F6E18">
        <w:t>Kiribati</w:t>
      </w:r>
      <w:r w:rsidR="00D41B0C">
        <w:t>’</w:t>
      </w:r>
      <w:r w:rsidR="004F6E18" w:rsidRPr="004F6E18">
        <w:t xml:space="preserve">s National Disability Policy &amp; Action Plan, which will certainly be mentioned extensively in other instances, describes disability inclusion as a </w:t>
      </w:r>
      <w:r w:rsidR="00081EE1">
        <w:t>“</w:t>
      </w:r>
      <w:r w:rsidR="004F6E18" w:rsidRPr="004F6E18">
        <w:t>cross-sector priority</w:t>
      </w:r>
      <w:r w:rsidR="00081EE1">
        <w:t>”</w:t>
      </w:r>
      <w:r w:rsidR="004F6E18" w:rsidRPr="004F6E18">
        <w:t>, including civic engagement.</w:t>
      </w:r>
      <w:r w:rsidR="00B3057C">
        <w:rPr>
          <w:rStyle w:val="FootnoteReference"/>
        </w:rPr>
        <w:footnoteReference w:id="7"/>
      </w:r>
      <w:r w:rsidR="004F6E18" w:rsidRPr="004F6E18">
        <w:t xml:space="preserve"> However, this is only a policy; not legislation. Indeed, disability inclusion is aspirational, but it lacks legal teeth in electoral law.</w:t>
      </w:r>
    </w:p>
    <w:p w14:paraId="0705D798" w14:textId="77777777" w:rsidR="00B46C5B" w:rsidRPr="003F5131" w:rsidRDefault="00B46C5B" w:rsidP="00B46C5B"/>
    <w:tbl>
      <w:tblPr>
        <w:tblStyle w:val="TableGrid"/>
        <w:tblW w:w="0" w:type="auto"/>
        <w:tblLook w:val="04A0" w:firstRow="1" w:lastRow="0" w:firstColumn="1" w:lastColumn="0" w:noHBand="0" w:noVBand="1"/>
      </w:tblPr>
      <w:tblGrid>
        <w:gridCol w:w="9016"/>
      </w:tblGrid>
      <w:tr w:rsidR="001347F3" w14:paraId="6015389B" w14:textId="77777777">
        <w:tc>
          <w:tcPr>
            <w:tcW w:w="9016" w:type="dxa"/>
          </w:tcPr>
          <w:p w14:paraId="20B87961" w14:textId="09861FD1" w:rsidR="001347F3" w:rsidRPr="000D47D7" w:rsidRDefault="000D47D7" w:rsidP="001347F3">
            <w:pPr>
              <w:rPr>
                <w:b/>
                <w:bCs/>
              </w:rPr>
            </w:pPr>
            <w:r w:rsidRPr="000D47D7">
              <w:rPr>
                <w:b/>
                <w:bCs/>
              </w:rPr>
              <w:t xml:space="preserve">The Committee should ask the Kiribati government to include explicit provisions ensuring the right of persons with disabilities to vote </w:t>
            </w:r>
            <w:r>
              <w:rPr>
                <w:b/>
                <w:bCs/>
              </w:rPr>
              <w:t>with ac</w:t>
            </w:r>
            <w:r w:rsidR="00AF6B4A">
              <w:rPr>
                <w:b/>
                <w:bCs/>
              </w:rPr>
              <w:t>cessible measures under the Elections Ordinance</w:t>
            </w:r>
            <w:r w:rsidRPr="000D47D7">
              <w:rPr>
                <w:b/>
                <w:bCs/>
              </w:rPr>
              <w:t xml:space="preserve">. </w:t>
            </w:r>
            <w:r w:rsidR="00AF6B4A">
              <w:rPr>
                <w:b/>
                <w:bCs/>
              </w:rPr>
              <w:t xml:space="preserve">In particular, these provisions should seek to implement </w:t>
            </w:r>
            <w:r w:rsidR="00C247A6">
              <w:rPr>
                <w:b/>
                <w:bCs/>
              </w:rPr>
              <w:t>binding accessibility standards</w:t>
            </w:r>
            <w:r w:rsidR="00895FE5">
              <w:rPr>
                <w:b/>
                <w:bCs/>
              </w:rPr>
              <w:t>,</w:t>
            </w:r>
            <w:r w:rsidR="00AF6B4A">
              <w:rPr>
                <w:b/>
                <w:bCs/>
              </w:rPr>
              <w:t xml:space="preserve"> </w:t>
            </w:r>
            <w:r w:rsidR="00B74A50" w:rsidRPr="00B74A50">
              <w:rPr>
                <w:b/>
                <w:bCs/>
              </w:rPr>
              <w:t>such as ramps, tactile ballots, accessible voting machines, poll worker training, etc. for disabled persons.</w:t>
            </w:r>
          </w:p>
        </w:tc>
      </w:tr>
    </w:tbl>
    <w:p w14:paraId="357FB186" w14:textId="77777777" w:rsidR="007E2495" w:rsidRPr="003F3258" w:rsidRDefault="007E2495" w:rsidP="004F6E18"/>
    <w:p w14:paraId="31912EA0" w14:textId="788F135F" w:rsidR="003F3258" w:rsidRDefault="003F3258" w:rsidP="008843FA">
      <w:pPr>
        <w:pStyle w:val="Heading1"/>
      </w:pPr>
      <w:bookmarkStart w:id="2" w:name="_Toc201940561"/>
      <w:r w:rsidRPr="0000683D">
        <w:t xml:space="preserve">Inaccessible Infrastructure Undermining Electoral </w:t>
      </w:r>
      <w:r w:rsidR="00F94861">
        <w:t>Participation</w:t>
      </w:r>
      <w:bookmarkEnd w:id="2"/>
    </w:p>
    <w:p w14:paraId="10463F84" w14:textId="6AA29517" w:rsidR="001529C6" w:rsidRDefault="00EB048E" w:rsidP="001529C6">
      <w:pPr>
        <w:pStyle w:val="ListParagraph"/>
        <w:numPr>
          <w:ilvl w:val="0"/>
          <w:numId w:val="2"/>
        </w:numPr>
      </w:pPr>
      <w:r>
        <w:t>According to a 2017 report conducted by the Australian government</w:t>
      </w:r>
      <w:r w:rsidR="00C72957">
        <w:t xml:space="preserve">, </w:t>
      </w:r>
      <w:r w:rsidR="006D05E2">
        <w:t>there has been no systematic provision of accommodations in Kiribati voting centres, such as assistive voting booths, tactile ballots, or poll-worker assistance.</w:t>
      </w:r>
      <w:r w:rsidR="006D05E2">
        <w:rPr>
          <w:rStyle w:val="FootnoteReference"/>
        </w:rPr>
        <w:footnoteReference w:id="8"/>
      </w:r>
      <w:r w:rsidR="006D05E2">
        <w:t xml:space="preserve"> Accessibility issues were referenced in the report; however, they were noted only as a barrier, without clarification for solutions in practice.</w:t>
      </w:r>
    </w:p>
    <w:p w14:paraId="52617E77" w14:textId="77777777" w:rsidR="001529C6" w:rsidRDefault="001529C6" w:rsidP="001529C6"/>
    <w:p w14:paraId="0DF55DD5" w14:textId="060C820D" w:rsidR="006D05E2" w:rsidRDefault="001529C6" w:rsidP="001529C6">
      <w:pPr>
        <w:pStyle w:val="ListParagraph"/>
        <w:numPr>
          <w:ilvl w:val="0"/>
          <w:numId w:val="2"/>
        </w:numPr>
      </w:pPr>
      <w:r>
        <w:t>In 2020, Kiribati</w:t>
      </w:r>
      <w:r w:rsidR="00D41B0C">
        <w:t>’</w:t>
      </w:r>
      <w:r>
        <w:t>s Disability Monograph reported significant mobility challenges: polling centres are informal community structures – such as schools, churches, village halls – that often have no ramps, narrows doors, or uneven surfaces, effectively barring wheelchair users from entry.</w:t>
      </w:r>
      <w:r>
        <w:rPr>
          <w:rStyle w:val="FootnoteReference"/>
        </w:rPr>
        <w:footnoteReference w:id="9"/>
      </w:r>
    </w:p>
    <w:p w14:paraId="5865850D" w14:textId="77777777" w:rsidR="006D05E2" w:rsidRDefault="006D05E2" w:rsidP="006D05E2"/>
    <w:p w14:paraId="36130D4A" w14:textId="3A6A8F92" w:rsidR="00E405A5" w:rsidRDefault="006D05E2" w:rsidP="00E405A5">
      <w:pPr>
        <w:pStyle w:val="ListParagraph"/>
        <w:numPr>
          <w:ilvl w:val="0"/>
          <w:numId w:val="2"/>
        </w:numPr>
      </w:pPr>
      <w:r>
        <w:t>In 2019, the Pacific Disability Forum summarised that “access to voting information [and] physical accessibility of polling venues” is critically lacking.</w:t>
      </w:r>
      <w:r>
        <w:rPr>
          <w:rStyle w:val="FootnoteReference"/>
        </w:rPr>
        <w:footnoteReference w:id="10"/>
      </w:r>
      <w:r>
        <w:t xml:space="preserve"> Indeed, this is illustrated in the nature of Kiribati</w:t>
      </w:r>
      <w:r w:rsidR="00D41B0C">
        <w:t>’</w:t>
      </w:r>
      <w:r>
        <w:t xml:space="preserve">s geography: as a remote string of 20 inhabited islands, it is difficult for those who are remotely located to receive information. </w:t>
      </w:r>
    </w:p>
    <w:p w14:paraId="13F1A3F5" w14:textId="77777777" w:rsidR="00E405A5" w:rsidRDefault="00E405A5" w:rsidP="00E405A5">
      <w:pPr>
        <w:pStyle w:val="ListParagraph"/>
      </w:pPr>
    </w:p>
    <w:p w14:paraId="458A8402" w14:textId="3D7E2959" w:rsidR="00985898" w:rsidRDefault="006C5ABE" w:rsidP="00985898">
      <w:pPr>
        <w:pStyle w:val="ListParagraph"/>
        <w:numPr>
          <w:ilvl w:val="0"/>
          <w:numId w:val="2"/>
        </w:numPr>
      </w:pPr>
      <w:r w:rsidRPr="006C5ABE">
        <w:t xml:space="preserve">Nearly two-thirds of </w:t>
      </w:r>
      <w:r w:rsidR="00351490">
        <w:t>those</w:t>
      </w:r>
      <w:r w:rsidRPr="006C5ABE">
        <w:t xml:space="preserve"> with disabilities in Kiribati live on remote atolls with poor transportation and infrastructure. As a result, many are unable to reach electoral</w:t>
      </w:r>
      <w:r>
        <w:t xml:space="preserve"> centres. Even if </w:t>
      </w:r>
      <w:r w:rsidRPr="006C5ABE">
        <w:t xml:space="preserve">they do, those </w:t>
      </w:r>
      <w:r>
        <w:t>centres</w:t>
      </w:r>
      <w:r w:rsidRPr="006C5ABE">
        <w:t xml:space="preserve"> are often physically inaccessible. T</w:t>
      </w:r>
      <w:r w:rsidR="00985898">
        <w:t>hus, disabled voters face a dual barrier: reaching the election site</w:t>
      </w:r>
      <w:r w:rsidR="0059502B">
        <w:t>, then getting inside.</w:t>
      </w:r>
      <w:r w:rsidR="00985898">
        <w:br/>
      </w:r>
    </w:p>
    <w:tbl>
      <w:tblPr>
        <w:tblStyle w:val="TableGrid"/>
        <w:tblW w:w="0" w:type="auto"/>
        <w:tblLook w:val="04A0" w:firstRow="1" w:lastRow="0" w:firstColumn="1" w:lastColumn="0" w:noHBand="0" w:noVBand="1"/>
      </w:tblPr>
      <w:tblGrid>
        <w:gridCol w:w="9016"/>
      </w:tblGrid>
      <w:tr w:rsidR="001529C6" w14:paraId="4EBDE9AF" w14:textId="77777777">
        <w:tc>
          <w:tcPr>
            <w:tcW w:w="9016" w:type="dxa"/>
          </w:tcPr>
          <w:p w14:paraId="2345A5A1" w14:textId="77777777" w:rsidR="00E7464B" w:rsidRDefault="00192867" w:rsidP="00E7464B">
            <w:pPr>
              <w:rPr>
                <w:b/>
                <w:bCs/>
              </w:rPr>
            </w:pPr>
            <w:r>
              <w:rPr>
                <w:b/>
                <w:bCs/>
              </w:rPr>
              <w:t>We urge the Committee to press the State party on what measures they are taking to</w:t>
            </w:r>
            <w:r w:rsidR="004265B2">
              <w:rPr>
                <w:b/>
                <w:bCs/>
              </w:rPr>
              <w:t xml:space="preserve">: </w:t>
            </w:r>
          </w:p>
          <w:p w14:paraId="0FD67802" w14:textId="19753D1D" w:rsidR="004265B2" w:rsidRPr="00E7464B" w:rsidRDefault="00E7464B" w:rsidP="00E7464B">
            <w:pPr>
              <w:rPr>
                <w:b/>
                <w:bCs/>
              </w:rPr>
            </w:pPr>
            <w:r w:rsidRPr="00E7464B">
              <w:rPr>
                <w:b/>
                <w:bCs/>
                <w:color w:val="FFFFFF" w:themeColor="background1"/>
                <w:sz w:val="4"/>
                <w:szCs w:val="4"/>
              </w:rPr>
              <w:t>*</w:t>
            </w:r>
            <w:r w:rsidR="004265B2">
              <w:rPr>
                <w:b/>
                <w:bCs/>
              </w:rPr>
              <w:br/>
              <w:t xml:space="preserve">      </w:t>
            </w:r>
            <w:r w:rsidR="008038F5">
              <w:rPr>
                <w:b/>
                <w:bCs/>
              </w:rPr>
              <w:t xml:space="preserve">(1) </w:t>
            </w:r>
            <w:r w:rsidR="00192867" w:rsidRPr="004265B2">
              <w:t xml:space="preserve">facilitate the ability of disabled voters to </w:t>
            </w:r>
            <w:r w:rsidR="008038F5" w:rsidRPr="004265B2">
              <w:t xml:space="preserve">arrive at the polling centres, and </w:t>
            </w:r>
          </w:p>
          <w:p w14:paraId="16CCED72" w14:textId="616239EA" w:rsidR="001370C4" w:rsidRPr="00192867" w:rsidRDefault="004265B2" w:rsidP="00E7464B">
            <w:pPr>
              <w:rPr>
                <w:b/>
                <w:bCs/>
              </w:rPr>
            </w:pPr>
            <w:r>
              <w:rPr>
                <w:b/>
                <w:bCs/>
              </w:rPr>
              <w:t xml:space="preserve">      </w:t>
            </w:r>
            <w:r w:rsidR="008038F5">
              <w:rPr>
                <w:b/>
                <w:bCs/>
              </w:rPr>
              <w:t xml:space="preserve">(2) </w:t>
            </w:r>
            <w:r w:rsidRPr="004265B2">
              <w:t>implement</w:t>
            </w:r>
            <w:r w:rsidR="00013A7E" w:rsidRPr="004265B2">
              <w:t xml:space="preserve"> </w:t>
            </w:r>
            <w:r w:rsidRPr="004265B2">
              <w:t>accommodations</w:t>
            </w:r>
            <w:r w:rsidR="00013A7E" w:rsidRPr="004265B2">
              <w:t xml:space="preserve"> </w:t>
            </w:r>
            <w:r w:rsidRPr="004265B2">
              <w:t>at all</w:t>
            </w:r>
            <w:r w:rsidR="00013A7E" w:rsidRPr="004265B2">
              <w:t xml:space="preserve"> polling centres</w:t>
            </w:r>
            <w:r w:rsidR="00A94529">
              <w:t xml:space="preserve">, such as ramps and entryways. </w:t>
            </w:r>
          </w:p>
        </w:tc>
      </w:tr>
    </w:tbl>
    <w:p w14:paraId="5FDFF46D" w14:textId="77777777" w:rsidR="00A35DF2" w:rsidRDefault="00A35DF2" w:rsidP="00A35DF2">
      <w:pPr>
        <w:pStyle w:val="Heading1"/>
      </w:pPr>
      <w:bookmarkStart w:id="3" w:name="_Toc201940562"/>
      <w:r>
        <w:lastRenderedPageBreak/>
        <w:t>Incompliance with Legal Standards for Accessible Education</w:t>
      </w:r>
      <w:bookmarkEnd w:id="3"/>
    </w:p>
    <w:p w14:paraId="2DB0E605" w14:textId="7B5FF70D" w:rsidR="00A35DF2" w:rsidRDefault="00A35DF2" w:rsidP="00C41364">
      <w:pPr>
        <w:pStyle w:val="ListParagraph"/>
        <w:numPr>
          <w:ilvl w:val="0"/>
          <w:numId w:val="2"/>
        </w:numPr>
      </w:pPr>
      <w:r>
        <w:t>Kiribati has not yet ratified the 1960 UNESCO Convention Against Discrimination in Education.</w:t>
      </w:r>
      <w:r w:rsidRPr="48660984">
        <w:rPr>
          <w:rStyle w:val="FootnoteReference"/>
        </w:rPr>
        <w:footnoteReference w:id="11"/>
      </w:r>
      <w:r>
        <w:t xml:space="preserve"> However, Article 19 of the 2013 Kiribati Education Act states that children with disabilities and of mandatory school age “must, where practical, be enrolled in and attend a school, and be given the opportunity to participate together with the other students of the school in the education and extra-curricular activities offered by the school”.</w:t>
      </w:r>
      <w:r w:rsidRPr="48660984">
        <w:rPr>
          <w:rStyle w:val="FootnoteReference"/>
        </w:rPr>
        <w:footnoteReference w:id="12"/>
      </w:r>
    </w:p>
    <w:p w14:paraId="76752149" w14:textId="77777777" w:rsidR="00A35DF2" w:rsidRDefault="00A35DF2" w:rsidP="00A35DF2">
      <w:pPr>
        <w:pStyle w:val="ListParagraph"/>
      </w:pPr>
    </w:p>
    <w:p w14:paraId="068AD4B3" w14:textId="77777777" w:rsidR="00A35DF2" w:rsidRDefault="00A35DF2" w:rsidP="00C41364">
      <w:pPr>
        <w:pStyle w:val="ListParagraph"/>
        <w:numPr>
          <w:ilvl w:val="0"/>
          <w:numId w:val="2"/>
        </w:numPr>
      </w:pPr>
      <w:r>
        <w:t xml:space="preserve">Currently, there is one specialised school in Kiribati that caters to children with disabilities, the Kiribati School and Centre for Children with Special Needs (KSCCSN). The school relies on grants, donations, and family contributions to operate. </w:t>
      </w:r>
    </w:p>
    <w:p w14:paraId="170E8F27" w14:textId="77777777" w:rsidR="00A35DF2" w:rsidRDefault="00A35DF2" w:rsidP="00A35DF2">
      <w:pPr>
        <w:pStyle w:val="ListParagraph"/>
      </w:pPr>
    </w:p>
    <w:p w14:paraId="24968085" w14:textId="20086BA1" w:rsidR="00A35DF2" w:rsidRDefault="00A35DF2" w:rsidP="00C41364">
      <w:pPr>
        <w:pStyle w:val="ListParagraph"/>
        <w:numPr>
          <w:ilvl w:val="0"/>
          <w:numId w:val="2"/>
        </w:numPr>
      </w:pPr>
      <w:r>
        <w:t xml:space="preserve">KSCCSN has reported that most of the school's classrooms exist in incredibly poor conditions, and the school faces difficulties acquiring the land and teaching staff they require to provide students with a quality education. Presently, the government of Kiribati provides training to two KSCCSN teachers at the Kiribati Teachers College each year, however, this training program focuses on mainstream education instead of </w:t>
      </w:r>
      <w:r w:rsidR="008618A5">
        <w:t>specialisation</w:t>
      </w:r>
      <w:r>
        <w:t xml:space="preserve"> in teaching disabled students.</w:t>
      </w:r>
      <w:r w:rsidRPr="48660984">
        <w:rPr>
          <w:rStyle w:val="FootnoteReference"/>
        </w:rPr>
        <w:footnoteReference w:id="13"/>
      </w:r>
    </w:p>
    <w:p w14:paraId="3CCD2E61" w14:textId="77777777" w:rsidR="00A35DF2" w:rsidRDefault="00A35DF2" w:rsidP="00A35DF2">
      <w:pPr>
        <w:pStyle w:val="ListParagraph"/>
      </w:pPr>
    </w:p>
    <w:p w14:paraId="267924B1" w14:textId="77777777" w:rsidR="00A35DF2" w:rsidRDefault="00A35DF2" w:rsidP="00C41364">
      <w:pPr>
        <w:pStyle w:val="ListParagraph"/>
        <w:numPr>
          <w:ilvl w:val="0"/>
          <w:numId w:val="2"/>
        </w:numPr>
      </w:pPr>
      <w:r>
        <w:t>Indeed, more support for youths with disabilities in the school level could further the overall well-being of persons with disabilities in Kiribati as a whole. Education is a gateway for prosperity, and the lack thereof could hinder one’s ability to contribute to their fullest extent. It is necessary to emphasise a steadfast commitment to education to secure a pathway for future generations’ journeys to destiny.</w:t>
      </w:r>
    </w:p>
    <w:p w14:paraId="108171E5" w14:textId="77777777" w:rsidR="00A35DF2" w:rsidRDefault="00A35DF2" w:rsidP="00A35DF2">
      <w:pPr>
        <w:pStyle w:val="ListParagraph"/>
      </w:pPr>
    </w:p>
    <w:p w14:paraId="50FB1EA1" w14:textId="77777777" w:rsidR="00A35DF2" w:rsidRDefault="00A35DF2" w:rsidP="00A35DF2">
      <w:pPr>
        <w:pBdr>
          <w:top w:val="single" w:sz="4" w:space="4" w:color="000000"/>
          <w:left w:val="single" w:sz="4" w:space="4" w:color="000000"/>
          <w:bottom w:val="single" w:sz="4" w:space="4" w:color="000000"/>
          <w:right w:val="single" w:sz="4" w:space="4" w:color="000000"/>
        </w:pBdr>
        <w:rPr>
          <w:b/>
          <w:bCs/>
        </w:rPr>
      </w:pPr>
      <w:r w:rsidRPr="48660984">
        <w:rPr>
          <w:b/>
          <w:bCs/>
        </w:rPr>
        <w:t xml:space="preserve">The Centre asks that the Committee </w:t>
      </w:r>
      <w:r>
        <w:rPr>
          <w:b/>
          <w:bCs/>
        </w:rPr>
        <w:t xml:space="preserve">recommends Kiribati to ratify the 1960 UNESCO </w:t>
      </w:r>
      <w:r w:rsidRPr="00142C84">
        <w:rPr>
          <w:b/>
          <w:bCs/>
        </w:rPr>
        <w:t>Convention Against Discrimination in Education</w:t>
      </w:r>
      <w:r>
        <w:rPr>
          <w:b/>
          <w:bCs/>
        </w:rPr>
        <w:t xml:space="preserve"> to comply with international standards, affirming their commitment to promoting accessibility in education, particularly for youths with disabilities.</w:t>
      </w:r>
    </w:p>
    <w:p w14:paraId="4CD2E86B" w14:textId="77777777" w:rsidR="00A35DF2" w:rsidRDefault="00A35DF2" w:rsidP="00A35DF2">
      <w:pPr>
        <w:pBdr>
          <w:top w:val="single" w:sz="4" w:space="4" w:color="000000"/>
          <w:left w:val="single" w:sz="4" w:space="4" w:color="000000"/>
          <w:bottom w:val="single" w:sz="4" w:space="4" w:color="000000"/>
          <w:right w:val="single" w:sz="4" w:space="4" w:color="000000"/>
        </w:pBdr>
        <w:rPr>
          <w:b/>
          <w:bCs/>
        </w:rPr>
      </w:pPr>
    </w:p>
    <w:p w14:paraId="522B3A38" w14:textId="77777777" w:rsidR="00A35DF2" w:rsidRDefault="00A35DF2" w:rsidP="00A35DF2">
      <w:pPr>
        <w:pBdr>
          <w:top w:val="single" w:sz="4" w:space="4" w:color="000000"/>
          <w:left w:val="single" w:sz="4" w:space="4" w:color="000000"/>
          <w:bottom w:val="single" w:sz="4" w:space="4" w:color="000000"/>
          <w:right w:val="single" w:sz="4" w:space="4" w:color="000000"/>
        </w:pBdr>
        <w:rPr>
          <w:b/>
          <w:bCs/>
        </w:rPr>
      </w:pPr>
      <w:r>
        <w:rPr>
          <w:b/>
          <w:bCs/>
        </w:rPr>
        <w:t>On the State level, the Committee should press the State to work in</w:t>
      </w:r>
      <w:r w:rsidRPr="48660984">
        <w:rPr>
          <w:b/>
          <w:bCs/>
        </w:rPr>
        <w:t xml:space="preserve"> increasing its financial support to the Kiribati School and Centre for Children with Special Need</w:t>
      </w:r>
      <w:r>
        <w:rPr>
          <w:b/>
          <w:bCs/>
        </w:rPr>
        <w:t xml:space="preserve">s. In particular, Kiribati should make </w:t>
      </w:r>
      <w:r w:rsidRPr="48660984">
        <w:rPr>
          <w:b/>
          <w:bCs/>
        </w:rPr>
        <w:t>school infrastructure accessible</w:t>
      </w:r>
      <w:r>
        <w:rPr>
          <w:b/>
          <w:bCs/>
        </w:rPr>
        <w:t xml:space="preserve"> and </w:t>
      </w:r>
      <w:r w:rsidRPr="48660984">
        <w:rPr>
          <w:b/>
          <w:bCs/>
        </w:rPr>
        <w:t xml:space="preserve">safe for </w:t>
      </w:r>
      <w:r>
        <w:rPr>
          <w:b/>
          <w:bCs/>
        </w:rPr>
        <w:t>those</w:t>
      </w:r>
      <w:r w:rsidRPr="48660984">
        <w:rPr>
          <w:b/>
          <w:bCs/>
        </w:rPr>
        <w:t xml:space="preserve"> with disabilities</w:t>
      </w:r>
      <w:r>
        <w:rPr>
          <w:b/>
          <w:bCs/>
        </w:rPr>
        <w:t>.</w:t>
      </w:r>
    </w:p>
    <w:p w14:paraId="254EECD2" w14:textId="77777777" w:rsidR="00A35DF2" w:rsidRDefault="00A35DF2" w:rsidP="008843FA">
      <w:pPr>
        <w:pStyle w:val="Heading1"/>
      </w:pPr>
    </w:p>
    <w:p w14:paraId="03BC316D" w14:textId="77777777" w:rsidR="00FD509D" w:rsidRDefault="00FD509D">
      <w:pPr>
        <w:spacing w:after="160" w:line="279" w:lineRule="auto"/>
        <w:rPr>
          <w:b/>
          <w:bCs/>
          <w:color w:val="1C4E80"/>
        </w:rPr>
      </w:pPr>
      <w:bookmarkStart w:id="4" w:name="_Toc201940563"/>
      <w:r>
        <w:br w:type="page"/>
      </w:r>
    </w:p>
    <w:p w14:paraId="5FD625FD" w14:textId="55BE61D6" w:rsidR="003F3258" w:rsidRDefault="003F3258" w:rsidP="008843FA">
      <w:pPr>
        <w:pStyle w:val="Heading1"/>
      </w:pPr>
      <w:r w:rsidRPr="0000683D">
        <w:lastRenderedPageBreak/>
        <w:t>Physical Limitations Preventing Autonomous Voting</w:t>
      </w:r>
      <w:bookmarkEnd w:id="4"/>
    </w:p>
    <w:p w14:paraId="5EF0EE77" w14:textId="354CB2C8" w:rsidR="00A65BA4" w:rsidRDefault="008423B8" w:rsidP="00C41364">
      <w:pPr>
        <w:pStyle w:val="ListParagraph"/>
        <w:numPr>
          <w:ilvl w:val="0"/>
          <w:numId w:val="2"/>
        </w:numPr>
      </w:pPr>
      <w:r>
        <w:t xml:space="preserve">Whilst this report has already discussed the limitations in </w:t>
      </w:r>
      <w:r w:rsidR="003354DC">
        <w:t xml:space="preserve">Kiribati’s infrastructure on a macro scale, there exist numerous micro-issues which stifle the ability for disabled persons in Kiribati to properly vote. </w:t>
      </w:r>
      <w:r w:rsidR="00A65BA4">
        <w:t>Whatsmore, Kiribati’s civil</w:t>
      </w:r>
      <w:r w:rsidR="00A65BA4" w:rsidRPr="000C47B4">
        <w:t xml:space="preserve"> society groups have raised concerns for years about disabled persons being “invisible” during elections, but there are no reporting or complaint channels for disenfranchised voters.</w:t>
      </w:r>
      <w:r w:rsidR="00EA443C">
        <w:rPr>
          <w:rStyle w:val="FootnoteReference"/>
        </w:rPr>
        <w:footnoteReference w:id="14"/>
      </w:r>
      <w:r w:rsidR="00E90127" w:rsidRPr="00E90127">
        <w:rPr>
          <w:noProof/>
        </w:rPr>
        <w:t xml:space="preserve"> </w:t>
      </w:r>
    </w:p>
    <w:p w14:paraId="3865EC0C" w14:textId="1A9FA5C3" w:rsidR="00A65BA4" w:rsidRDefault="0089190C" w:rsidP="00A65BA4">
      <w:r>
        <w:rPr>
          <w:noProof/>
        </w:rPr>
        <w:drawing>
          <wp:anchor distT="0" distB="0" distL="114300" distR="114300" simplePos="0" relativeHeight="251658240" behindDoc="0" locked="0" layoutInCell="1" allowOverlap="1" wp14:anchorId="70F22D49" wp14:editId="723FC97B">
            <wp:simplePos x="0" y="0"/>
            <wp:positionH relativeFrom="column">
              <wp:posOffset>666416</wp:posOffset>
            </wp:positionH>
            <wp:positionV relativeFrom="paragraph">
              <wp:posOffset>174625</wp:posOffset>
            </wp:positionV>
            <wp:extent cx="2266950" cy="1439545"/>
            <wp:effectExtent l="12700" t="12700" r="19050" b="8255"/>
            <wp:wrapThrough wrapText="bothSides">
              <wp:wrapPolygon edited="0">
                <wp:start x="-121" y="-191"/>
                <wp:lineTo x="-121" y="21533"/>
                <wp:lineTo x="21661" y="21533"/>
                <wp:lineTo x="21661" y="-191"/>
                <wp:lineTo x="-121" y="-191"/>
              </wp:wrapPolygon>
            </wp:wrapThrough>
            <wp:docPr id="1707380063" name="Picture 2"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80063" name="Picture 2" descr="A group of people in a room&#10;&#10;AI-generated content may be incorrect."/>
                    <pic:cNvPicPr/>
                  </pic:nvPicPr>
                  <pic:blipFill rotWithShape="1">
                    <a:blip r:embed="rId11" cstate="print">
                      <a:extLst>
                        <a:ext uri="{28A0092B-C50C-407E-A947-70E740481C1C}">
                          <a14:useLocalDpi xmlns:a14="http://schemas.microsoft.com/office/drawing/2010/main" val="0"/>
                        </a:ext>
                      </a:extLst>
                    </a:blip>
                    <a:srcRect l="12714" t="26074"/>
                    <a:stretch>
                      <a:fillRect/>
                    </a:stretch>
                  </pic:blipFill>
                  <pic:spPr bwMode="auto">
                    <a:xfrm>
                      <a:off x="0" y="0"/>
                      <a:ext cx="2266950" cy="143954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6EF1">
        <w:rPr>
          <w:noProof/>
        </w:rPr>
        <w:drawing>
          <wp:anchor distT="0" distB="0" distL="114300" distR="114300" simplePos="0" relativeHeight="251658241" behindDoc="0" locked="0" layoutInCell="1" allowOverlap="1" wp14:anchorId="0EF147C7" wp14:editId="79A6D9B7">
            <wp:simplePos x="0" y="0"/>
            <wp:positionH relativeFrom="column">
              <wp:posOffset>3004820</wp:posOffset>
            </wp:positionH>
            <wp:positionV relativeFrom="paragraph">
              <wp:posOffset>176530</wp:posOffset>
            </wp:positionV>
            <wp:extent cx="2058670" cy="1439545"/>
            <wp:effectExtent l="12700" t="12700" r="11430" b="8255"/>
            <wp:wrapThrough wrapText="bothSides">
              <wp:wrapPolygon edited="0">
                <wp:start x="-133" y="-191"/>
                <wp:lineTo x="-133" y="21533"/>
                <wp:lineTo x="21587" y="21533"/>
                <wp:lineTo x="21587" y="-191"/>
                <wp:lineTo x="-133" y="-191"/>
              </wp:wrapPolygon>
            </wp:wrapThrough>
            <wp:docPr id="744041465" name="Picture 3" descr="A group of people sitting in chair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41465" name="Picture 3" descr="A group of people sitting in chairs in a room&#10;&#10;AI-generated content may be incorrect."/>
                    <pic:cNvPicPr/>
                  </pic:nvPicPr>
                  <pic:blipFill rotWithShape="1">
                    <a:blip r:embed="rId12" cstate="print">
                      <a:extLst>
                        <a:ext uri="{28A0092B-C50C-407E-A947-70E740481C1C}">
                          <a14:useLocalDpi xmlns:a14="http://schemas.microsoft.com/office/drawing/2010/main" val="0"/>
                        </a:ext>
                      </a:extLst>
                    </a:blip>
                    <a:srcRect l="19184" t="31183" r="7014"/>
                    <a:stretch>
                      <a:fillRect/>
                    </a:stretch>
                  </pic:blipFill>
                  <pic:spPr bwMode="auto">
                    <a:xfrm>
                      <a:off x="0" y="0"/>
                      <a:ext cx="2058670" cy="143954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F14EEC" w14:textId="62D99B9D" w:rsidR="00E62FC7" w:rsidRDefault="00E62FC7" w:rsidP="00E62FC7">
      <w:pPr>
        <w:keepNext/>
        <w:jc w:val="center"/>
      </w:pPr>
    </w:p>
    <w:p w14:paraId="7779089B" w14:textId="3F284108" w:rsidR="00E62FC7" w:rsidRDefault="001C6EF1" w:rsidP="001C6EF1">
      <w:pPr>
        <w:keepNext/>
        <w:jc w:val="center"/>
        <w:rPr>
          <w:sz w:val="14"/>
          <w:szCs w:val="14"/>
        </w:rPr>
      </w:pPr>
      <w:r>
        <w:rPr>
          <w:sz w:val="14"/>
          <w:szCs w:val="14"/>
        </w:rPr>
        <w:br/>
      </w:r>
    </w:p>
    <w:p w14:paraId="547860FA" w14:textId="77777777" w:rsidR="001C6EF1" w:rsidRDefault="001C6EF1" w:rsidP="001C6EF1">
      <w:pPr>
        <w:keepNext/>
        <w:jc w:val="center"/>
        <w:rPr>
          <w:sz w:val="14"/>
          <w:szCs w:val="14"/>
        </w:rPr>
      </w:pPr>
    </w:p>
    <w:p w14:paraId="4870D562" w14:textId="77777777" w:rsidR="001C6EF1" w:rsidRDefault="001C6EF1" w:rsidP="001C6EF1">
      <w:pPr>
        <w:keepNext/>
        <w:jc w:val="center"/>
        <w:rPr>
          <w:sz w:val="14"/>
          <w:szCs w:val="14"/>
        </w:rPr>
      </w:pPr>
    </w:p>
    <w:p w14:paraId="2166F895" w14:textId="77777777" w:rsidR="001C6EF1" w:rsidRDefault="001C6EF1" w:rsidP="001C6EF1">
      <w:pPr>
        <w:keepNext/>
        <w:jc w:val="center"/>
        <w:rPr>
          <w:sz w:val="14"/>
          <w:szCs w:val="14"/>
        </w:rPr>
      </w:pPr>
    </w:p>
    <w:p w14:paraId="71AA2589" w14:textId="77777777" w:rsidR="001C6EF1" w:rsidRDefault="001C6EF1" w:rsidP="001C6EF1">
      <w:pPr>
        <w:keepNext/>
        <w:jc w:val="center"/>
        <w:rPr>
          <w:sz w:val="14"/>
          <w:szCs w:val="14"/>
        </w:rPr>
      </w:pPr>
    </w:p>
    <w:p w14:paraId="6829D06D" w14:textId="77777777" w:rsidR="001C6EF1" w:rsidRDefault="001C6EF1" w:rsidP="001C6EF1">
      <w:pPr>
        <w:keepNext/>
        <w:jc w:val="center"/>
        <w:rPr>
          <w:sz w:val="14"/>
          <w:szCs w:val="14"/>
        </w:rPr>
      </w:pPr>
    </w:p>
    <w:p w14:paraId="26711FAC" w14:textId="77777777" w:rsidR="001C6EF1" w:rsidRDefault="001C6EF1" w:rsidP="00E62FC7">
      <w:pPr>
        <w:keepNext/>
        <w:rPr>
          <w:sz w:val="14"/>
          <w:szCs w:val="14"/>
        </w:rPr>
      </w:pPr>
    </w:p>
    <w:p w14:paraId="0622E983" w14:textId="77777777" w:rsidR="001C6EF1" w:rsidRDefault="001C6EF1" w:rsidP="00E62FC7">
      <w:pPr>
        <w:keepNext/>
        <w:rPr>
          <w:sz w:val="14"/>
          <w:szCs w:val="14"/>
        </w:rPr>
      </w:pPr>
    </w:p>
    <w:p w14:paraId="2FF71A11" w14:textId="77777777" w:rsidR="001C6EF1" w:rsidRDefault="001C6EF1" w:rsidP="00E62FC7">
      <w:pPr>
        <w:keepNext/>
        <w:rPr>
          <w:sz w:val="14"/>
          <w:szCs w:val="14"/>
        </w:rPr>
      </w:pPr>
    </w:p>
    <w:p w14:paraId="32F9A5EA" w14:textId="77777777" w:rsidR="001C6EF1" w:rsidRDefault="001C6EF1" w:rsidP="00E62FC7">
      <w:pPr>
        <w:keepNext/>
        <w:rPr>
          <w:sz w:val="14"/>
          <w:szCs w:val="14"/>
        </w:rPr>
      </w:pPr>
    </w:p>
    <w:p w14:paraId="077B4D23" w14:textId="77777777" w:rsidR="001C6EF1" w:rsidRDefault="001C6EF1" w:rsidP="00E62FC7">
      <w:pPr>
        <w:keepNext/>
        <w:rPr>
          <w:sz w:val="14"/>
          <w:szCs w:val="14"/>
        </w:rPr>
      </w:pPr>
    </w:p>
    <w:p w14:paraId="770D92DF" w14:textId="77777777" w:rsidR="001C6EF1" w:rsidRPr="00E62FC7" w:rsidRDefault="001C6EF1" w:rsidP="00E62FC7">
      <w:pPr>
        <w:keepNext/>
        <w:rPr>
          <w:sz w:val="14"/>
          <w:szCs w:val="14"/>
        </w:rPr>
      </w:pPr>
    </w:p>
    <w:tbl>
      <w:tblPr>
        <w:tblStyle w:val="TableGrid"/>
        <w:tblW w:w="0" w:type="auto"/>
        <w:jc w:val="center"/>
        <w:tblLook w:val="04A0" w:firstRow="1" w:lastRow="0" w:firstColumn="1" w:lastColumn="0" w:noHBand="0" w:noVBand="1"/>
      </w:tblPr>
      <w:tblGrid>
        <w:gridCol w:w="6941"/>
      </w:tblGrid>
      <w:tr w:rsidR="00E62FC7" w14:paraId="555A06C5" w14:textId="77777777" w:rsidTr="008D2F83">
        <w:trPr>
          <w:trHeight w:val="618"/>
          <w:jc w:val="center"/>
        </w:trPr>
        <w:tc>
          <w:tcPr>
            <w:tcW w:w="6941" w:type="dxa"/>
            <w:vAlign w:val="center"/>
          </w:tcPr>
          <w:p w14:paraId="57B4FCFB" w14:textId="6E2181EC" w:rsidR="00E62FC7" w:rsidRDefault="00E62FC7" w:rsidP="00E62FC7">
            <w:pPr>
              <w:pStyle w:val="Caption"/>
              <w:spacing w:after="0"/>
              <w:jc w:val="center"/>
            </w:pPr>
            <w:r>
              <w:t xml:space="preserve">A local gathering of persons with disabilities in Kiribati, learning about the political process. </w:t>
            </w:r>
            <w:r w:rsidR="00EB4E97">
              <w:t>Dialogues such as this could help Kiribati citizens further realise their Article 29 rights.</w:t>
            </w:r>
          </w:p>
        </w:tc>
      </w:tr>
    </w:tbl>
    <w:p w14:paraId="7656AA0B" w14:textId="48425005" w:rsidR="00E62FC7" w:rsidRDefault="00E62FC7" w:rsidP="008D2F83">
      <w:pPr>
        <w:keepNext/>
      </w:pPr>
    </w:p>
    <w:p w14:paraId="35BA67F2" w14:textId="492B327A" w:rsidR="000C47B4" w:rsidRDefault="00E47AAF" w:rsidP="00C41364">
      <w:pPr>
        <w:pStyle w:val="ListParagraph"/>
        <w:numPr>
          <w:ilvl w:val="0"/>
          <w:numId w:val="2"/>
        </w:numPr>
      </w:pPr>
      <w:r>
        <w:t xml:space="preserve">In 2020, </w:t>
      </w:r>
      <w:r w:rsidR="003354DC">
        <w:t>a</w:t>
      </w:r>
      <w:r w:rsidR="006C5ABE">
        <w:t xml:space="preserve"> woman </w:t>
      </w:r>
      <w:r w:rsidR="003354DC">
        <w:t xml:space="preserve">who was </w:t>
      </w:r>
      <w:r w:rsidR="006C5ABE">
        <w:t xml:space="preserve">using a wheelchair in South Tarawa could not vote </w:t>
      </w:r>
      <w:r>
        <w:t xml:space="preserve">because </w:t>
      </w:r>
      <w:r w:rsidR="006C5ABE">
        <w:t>the maneaba was only accessible by stairs.</w:t>
      </w:r>
      <w:r w:rsidR="00EA443C">
        <w:rPr>
          <w:rStyle w:val="FootnoteReference"/>
        </w:rPr>
        <w:footnoteReference w:id="15"/>
      </w:r>
      <w:r w:rsidR="00A65BA4">
        <w:t xml:space="preserve"> </w:t>
      </w:r>
      <w:r>
        <w:t>In another instance</w:t>
      </w:r>
      <w:r w:rsidR="00A65BA4">
        <w:t>, a</w:t>
      </w:r>
      <w:r w:rsidR="00A65BA4" w:rsidRPr="00A65BA4">
        <w:t xml:space="preserve"> man with low vision </w:t>
      </w:r>
      <w:r>
        <w:t>was</w:t>
      </w:r>
      <w:r w:rsidR="00A65BA4" w:rsidRPr="00A65BA4">
        <w:t xml:space="preserve"> unable to vote independently due to lack of ballot magnification or large print, forcing him to rely on family to complete his vote.</w:t>
      </w:r>
      <w:r w:rsidR="00EA443C">
        <w:rPr>
          <w:rStyle w:val="FootnoteReference"/>
        </w:rPr>
        <w:footnoteReference w:id="16"/>
      </w:r>
    </w:p>
    <w:p w14:paraId="13CD69D4" w14:textId="77777777" w:rsidR="000C47B4" w:rsidRDefault="000C47B4" w:rsidP="000C47B4">
      <w:pPr>
        <w:pStyle w:val="ListParagraph"/>
      </w:pPr>
    </w:p>
    <w:p w14:paraId="6562A128" w14:textId="7B20770A" w:rsidR="000C47B4" w:rsidRDefault="000124F5" w:rsidP="00C41364">
      <w:pPr>
        <w:pStyle w:val="ListParagraph"/>
        <w:numPr>
          <w:ilvl w:val="0"/>
          <w:numId w:val="2"/>
        </w:numPr>
      </w:pPr>
      <w:r>
        <w:t>Indeed, the situation for disabled persons’ political participation in Kiribati is stuck in a loop of cyclical marginalisation: disabled persons ca</w:t>
      </w:r>
      <w:r w:rsidR="00AD74B4">
        <w:t>nnot initially reach the electoral centre nor</w:t>
      </w:r>
      <w:r w:rsidR="00292DDD">
        <w:t xml:space="preserve"> get inside due to a lack of reasonable accommodations. Hence, </w:t>
      </w:r>
      <w:r w:rsidR="00A65BA4">
        <w:t>they are unable to express concern through the political system, reverberating the status quo and hindering any prospects of change through policy.</w:t>
      </w:r>
    </w:p>
    <w:p w14:paraId="70167451" w14:textId="77777777" w:rsidR="0034799F" w:rsidRDefault="0034799F" w:rsidP="00EB4E97"/>
    <w:p w14:paraId="04E106F8" w14:textId="3C7E06C0" w:rsidR="006C5ABE" w:rsidRDefault="001669EC" w:rsidP="00C41364">
      <w:pPr>
        <w:pStyle w:val="ListParagraph"/>
        <w:numPr>
          <w:ilvl w:val="0"/>
          <w:numId w:val="2"/>
        </w:numPr>
      </w:pPr>
      <w:r>
        <w:t>T</w:t>
      </w:r>
      <w:r w:rsidR="0034799F">
        <w:t xml:space="preserve">he best way of eliminating a lack of reforming policies for disabled persons is by </w:t>
      </w:r>
      <w:r w:rsidR="00DD40DF">
        <w:t xml:space="preserve">including them in the process of changemaking. </w:t>
      </w:r>
      <w:r w:rsidR="00961E26" w:rsidRPr="00961E26">
        <w:t>The creation and integration of procedural remedies, such as a voter complaint and feedback mechanism, could help establish an accessible system by giving disenfranchised voters a centre to report barriers or discrimination during the electoral process.</w:t>
      </w:r>
    </w:p>
    <w:p w14:paraId="2BF4B7BE" w14:textId="77777777" w:rsidR="00DF0EB4" w:rsidRDefault="00DF0EB4" w:rsidP="00DF0EB4"/>
    <w:tbl>
      <w:tblPr>
        <w:tblStyle w:val="TableGrid"/>
        <w:tblW w:w="0" w:type="auto"/>
        <w:tblLook w:val="04A0" w:firstRow="1" w:lastRow="0" w:firstColumn="1" w:lastColumn="0" w:noHBand="0" w:noVBand="1"/>
      </w:tblPr>
      <w:tblGrid>
        <w:gridCol w:w="9016"/>
      </w:tblGrid>
      <w:tr w:rsidR="00DF4A15" w14:paraId="41BA1200" w14:textId="77777777">
        <w:tc>
          <w:tcPr>
            <w:tcW w:w="9016" w:type="dxa"/>
          </w:tcPr>
          <w:p w14:paraId="7391F6E8" w14:textId="022AE6BB" w:rsidR="00DF4A15" w:rsidRPr="001B16A9" w:rsidRDefault="001B16A9" w:rsidP="006C5ABE">
            <w:pPr>
              <w:rPr>
                <w:b/>
                <w:bCs/>
              </w:rPr>
            </w:pPr>
            <w:r>
              <w:rPr>
                <w:b/>
                <w:bCs/>
              </w:rPr>
              <w:t xml:space="preserve">In light of the feelings of marginalisation and voicelessness from civil society groups, the Committee should press the State party to develop an institutionalised system to hear complaints from persons with disabilities. In particular, this system should </w:t>
            </w:r>
            <w:r w:rsidR="004614BC">
              <w:rPr>
                <w:b/>
                <w:bCs/>
              </w:rPr>
              <w:t xml:space="preserve">be accessible to hear </w:t>
            </w:r>
            <w:r w:rsidR="006533C6">
              <w:rPr>
                <w:b/>
                <w:bCs/>
              </w:rPr>
              <w:t>feedback</w:t>
            </w:r>
            <w:r w:rsidR="004614BC">
              <w:rPr>
                <w:b/>
                <w:bCs/>
              </w:rPr>
              <w:t xml:space="preserve"> </w:t>
            </w:r>
            <w:r w:rsidR="006533C6">
              <w:rPr>
                <w:b/>
                <w:bCs/>
              </w:rPr>
              <w:t>regularly to effectively identify areas for improvement.</w:t>
            </w:r>
          </w:p>
        </w:tc>
      </w:tr>
    </w:tbl>
    <w:p w14:paraId="4D5E8C80" w14:textId="363F9A23" w:rsidR="003F3258" w:rsidRPr="0000683D" w:rsidRDefault="003F3258" w:rsidP="008843FA">
      <w:pPr>
        <w:pStyle w:val="Heading1"/>
      </w:pPr>
      <w:bookmarkStart w:id="5" w:name="_Toc201940564"/>
      <w:r w:rsidRPr="0000683D">
        <w:lastRenderedPageBreak/>
        <w:t>Lack of Access to Civic Education</w:t>
      </w:r>
      <w:bookmarkEnd w:id="5"/>
    </w:p>
    <w:p w14:paraId="571DD863" w14:textId="784A0AF5" w:rsidR="003F3258" w:rsidRPr="003F3258" w:rsidRDefault="39ED032E" w:rsidP="00C41364">
      <w:pPr>
        <w:pStyle w:val="ListParagraph"/>
        <w:numPr>
          <w:ilvl w:val="0"/>
          <w:numId w:val="2"/>
        </w:numPr>
      </w:pPr>
      <w:r>
        <w:t>According to a 202</w:t>
      </w:r>
      <w:r w:rsidR="48F2932D">
        <w:t xml:space="preserve">2 report from the United States Department of State, </w:t>
      </w:r>
      <w:r w:rsidR="2CE692F2">
        <w:t>most</w:t>
      </w:r>
      <w:r w:rsidR="48F2932D">
        <w:t xml:space="preserve"> children with disabilities in Kiribati </w:t>
      </w:r>
      <w:r w:rsidR="56B7A29B">
        <w:t>lack</w:t>
      </w:r>
      <w:r w:rsidR="48F2932D">
        <w:t xml:space="preserve"> access to </w:t>
      </w:r>
      <w:r w:rsidR="00D64A82">
        <w:t xml:space="preserve">fundamental civics </w:t>
      </w:r>
      <w:r w:rsidR="48F2932D">
        <w:t>education</w:t>
      </w:r>
      <w:r w:rsidR="75247A3B">
        <w:t xml:space="preserve">. The report </w:t>
      </w:r>
      <w:r w:rsidR="5DD0016F">
        <w:t>specifically notes</w:t>
      </w:r>
      <w:r w:rsidR="00D64A82">
        <w:t xml:space="preserve"> </w:t>
      </w:r>
      <w:r w:rsidR="48F2932D">
        <w:t xml:space="preserve">only seven schools in the outer islands </w:t>
      </w:r>
      <w:r w:rsidR="095024E9">
        <w:t>were</w:t>
      </w:r>
      <w:r w:rsidR="0C24FCDB">
        <w:t xml:space="preserve"> </w:t>
      </w:r>
      <w:r w:rsidR="250691DC">
        <w:t>accessible to children with disabilities.</w:t>
      </w:r>
      <w:r w:rsidR="3AF38326" w:rsidRPr="3D109B59">
        <w:rPr>
          <w:rStyle w:val="FootnoteReference"/>
        </w:rPr>
        <w:footnoteReference w:id="17"/>
      </w:r>
      <w:r w:rsidR="47E3E9ED">
        <w:t xml:space="preserve"> </w:t>
      </w:r>
      <w:r w:rsidR="00D64A82">
        <w:t>Whatsmore</w:t>
      </w:r>
      <w:r w:rsidR="47E3E9ED">
        <w:t>, Kiribati</w:t>
      </w:r>
      <w:r w:rsidR="00351490">
        <w:t>’s</w:t>
      </w:r>
      <w:r w:rsidR="47E3E9ED">
        <w:t xml:space="preserve"> National Disability Policy </w:t>
      </w:r>
      <w:r w:rsidR="00351490">
        <w:t xml:space="preserve">&amp; </w:t>
      </w:r>
      <w:r w:rsidR="47E3E9ED">
        <w:t xml:space="preserve">Action Plan </w:t>
      </w:r>
      <w:r w:rsidR="00351490">
        <w:t>notes many</w:t>
      </w:r>
      <w:r w:rsidR="47E3E9ED">
        <w:t xml:space="preserve"> </w:t>
      </w:r>
      <w:r w:rsidR="00351490">
        <w:t>persons</w:t>
      </w:r>
      <w:r w:rsidR="47E3E9ED">
        <w:t xml:space="preserve"> with disabilities </w:t>
      </w:r>
      <w:r w:rsidR="00351490">
        <w:t>do not</w:t>
      </w:r>
      <w:r w:rsidR="47E3E9ED">
        <w:t xml:space="preserve"> </w:t>
      </w:r>
      <w:r w:rsidR="00351490">
        <w:t>get</w:t>
      </w:r>
      <w:r w:rsidR="47E3E9ED">
        <w:t xml:space="preserve"> basic education service</w:t>
      </w:r>
      <w:r w:rsidR="00351490">
        <w:t>s</w:t>
      </w:r>
      <w:r w:rsidR="47E3E9ED">
        <w:t>.</w:t>
      </w:r>
      <w:r w:rsidRPr="48660984">
        <w:rPr>
          <w:rStyle w:val="FootnoteReference"/>
        </w:rPr>
        <w:footnoteReference w:id="18"/>
      </w:r>
    </w:p>
    <w:p w14:paraId="46CA35A4" w14:textId="2161456B" w:rsidR="3E54A531" w:rsidRDefault="3E54A531" w:rsidP="48660984">
      <w:pPr>
        <w:ind w:left="720"/>
      </w:pPr>
    </w:p>
    <w:p w14:paraId="2695C676" w14:textId="236DA742" w:rsidR="003F3258" w:rsidRPr="003F3258" w:rsidRDefault="090A30AC" w:rsidP="00C41364">
      <w:pPr>
        <w:pStyle w:val="ListParagraph"/>
        <w:numPr>
          <w:ilvl w:val="0"/>
          <w:numId w:val="2"/>
        </w:numPr>
      </w:pPr>
      <w:r>
        <w:t>As a result of limited educational opportunities, children with disabilities are often excluded from learning environments where civic knowledge is typically taught and reinforced. T</w:t>
      </w:r>
      <w:r w:rsidR="1B1C8A5C">
        <w:t>hus, disabled citizens in Kiribati are less likely to be equipped with the knowledge and skills to actively participate in civi</w:t>
      </w:r>
      <w:r w:rsidR="167554BF">
        <w:t>c processes.</w:t>
      </w:r>
      <w:r w:rsidR="47A153E1">
        <w:t xml:space="preserve"> This </w:t>
      </w:r>
      <w:r w:rsidR="3395D80E">
        <w:t>only</w:t>
      </w:r>
      <w:r w:rsidR="47A153E1">
        <w:t xml:space="preserve"> exacerbate</w:t>
      </w:r>
      <w:r w:rsidR="498D1729">
        <w:t>s</w:t>
      </w:r>
      <w:r w:rsidR="47A153E1">
        <w:t xml:space="preserve"> the concern of </w:t>
      </w:r>
      <w:r w:rsidR="07E9C903">
        <w:t>long-term civic exclusion for persons with disabilities.</w:t>
      </w:r>
    </w:p>
    <w:p w14:paraId="63131B36" w14:textId="5A132AAB" w:rsidR="48660984" w:rsidRDefault="48660984" w:rsidP="48660984">
      <w:pPr>
        <w:pStyle w:val="ListParagraph"/>
      </w:pPr>
    </w:p>
    <w:p w14:paraId="0E2A6428" w14:textId="77777777" w:rsidR="00351490" w:rsidRDefault="39B1BEDF" w:rsidP="00C41364">
      <w:pPr>
        <w:pStyle w:val="ListParagraph"/>
        <w:numPr>
          <w:ilvl w:val="0"/>
          <w:numId w:val="2"/>
        </w:numPr>
      </w:pPr>
      <w:r>
        <w:t xml:space="preserve">In Kiribati, there is a stark contrast between educational outcomes for disabled and non-disabled </w:t>
      </w:r>
      <w:r w:rsidR="00351490">
        <w:t>persons</w:t>
      </w:r>
      <w:r>
        <w:t xml:space="preserve">. The Kiribati National Statistics Office found in a 2025 report that 18.7% of disabled children and youth between the ages of 5-24 have never attended a school, whilst the rate for non-disabled peers is less than 1%. </w:t>
      </w:r>
    </w:p>
    <w:p w14:paraId="0B511C6A" w14:textId="77777777" w:rsidR="00351490" w:rsidRDefault="00351490" w:rsidP="00351490">
      <w:pPr>
        <w:pStyle w:val="ListParagraph"/>
      </w:pPr>
    </w:p>
    <w:p w14:paraId="3B3D107A" w14:textId="36D46B6F" w:rsidR="39B1BEDF" w:rsidRDefault="39B1BEDF" w:rsidP="00C41364">
      <w:pPr>
        <w:pStyle w:val="ListParagraph"/>
        <w:numPr>
          <w:ilvl w:val="0"/>
          <w:numId w:val="2"/>
        </w:numPr>
      </w:pPr>
      <w:r>
        <w:t xml:space="preserve">Consequently, the literacy rate for </w:t>
      </w:r>
      <w:r w:rsidR="00351490">
        <w:t>persons</w:t>
      </w:r>
      <w:r>
        <w:t xml:space="preserve"> with disabilities in Kiribati is </w:t>
      </w:r>
      <w:r w:rsidRPr="48660984">
        <w:t>73.1% compared to 95.6% for those without disabilities.</w:t>
      </w:r>
      <w:r w:rsidRPr="48660984">
        <w:rPr>
          <w:rStyle w:val="FootnoteReference"/>
        </w:rPr>
        <w:footnoteReference w:id="19"/>
      </w:r>
      <w:r w:rsidRPr="48660984">
        <w:t xml:space="preserve"> While illiteracy is not a disqualification for voting in Kiribati, it presents a significant challenge in the voting process</w:t>
      </w:r>
      <w:r w:rsidR="2EA55F1E" w:rsidRPr="48660984">
        <w:t xml:space="preserve"> and in overall civic participation.</w:t>
      </w:r>
    </w:p>
    <w:p w14:paraId="678D45CC" w14:textId="77777777" w:rsidR="00351490" w:rsidRDefault="00351490" w:rsidP="00351490">
      <w:pPr>
        <w:pStyle w:val="ListParagraph"/>
      </w:pPr>
    </w:p>
    <w:tbl>
      <w:tblPr>
        <w:tblStyle w:val="TableGrid"/>
        <w:tblW w:w="0" w:type="auto"/>
        <w:tblLook w:val="04A0" w:firstRow="1" w:lastRow="0" w:firstColumn="1" w:lastColumn="0" w:noHBand="0" w:noVBand="1"/>
      </w:tblPr>
      <w:tblGrid>
        <w:gridCol w:w="9016"/>
      </w:tblGrid>
      <w:tr w:rsidR="00351490" w14:paraId="0842E949" w14:textId="77777777">
        <w:tc>
          <w:tcPr>
            <w:tcW w:w="9016" w:type="dxa"/>
          </w:tcPr>
          <w:p w14:paraId="3A0054E9" w14:textId="77777777" w:rsidR="00351490" w:rsidRDefault="00C41364" w:rsidP="00351490">
            <w:pPr>
              <w:rPr>
                <w:b/>
                <w:bCs/>
              </w:rPr>
            </w:pPr>
            <w:r>
              <w:rPr>
                <w:b/>
                <w:bCs/>
              </w:rPr>
              <w:t xml:space="preserve">The Centre strongly emphasises the importance of civics education and voter awareness in playing a central role to </w:t>
            </w:r>
            <w:r w:rsidR="00343C5A">
              <w:rPr>
                <w:b/>
                <w:bCs/>
              </w:rPr>
              <w:t>future generations. For persons with disabilities, civics education can pave a road to an ability to improve their lives through the political life.</w:t>
            </w:r>
          </w:p>
          <w:p w14:paraId="0575FEA1" w14:textId="77777777" w:rsidR="00343C5A" w:rsidRDefault="00343C5A" w:rsidP="00351490">
            <w:pPr>
              <w:rPr>
                <w:b/>
                <w:bCs/>
              </w:rPr>
            </w:pPr>
          </w:p>
          <w:p w14:paraId="1CF04A2A" w14:textId="77777777" w:rsidR="00343C5A" w:rsidRDefault="00343C5A" w:rsidP="00351490">
            <w:pPr>
              <w:rPr>
                <w:b/>
                <w:bCs/>
              </w:rPr>
            </w:pPr>
            <w:r>
              <w:rPr>
                <w:b/>
                <w:bCs/>
              </w:rPr>
              <w:t>Thus, the Centre politely pushes the Committee to:</w:t>
            </w:r>
          </w:p>
          <w:p w14:paraId="1A9620DF" w14:textId="77777777" w:rsidR="00343C5A" w:rsidRPr="0045416C" w:rsidRDefault="00343C5A" w:rsidP="00351490">
            <w:pPr>
              <w:rPr>
                <w:b/>
                <w:bCs/>
                <w:sz w:val="12"/>
                <w:szCs w:val="12"/>
              </w:rPr>
            </w:pPr>
          </w:p>
          <w:p w14:paraId="372676BC" w14:textId="77777777" w:rsidR="00343C5A" w:rsidRPr="00343C5A" w:rsidRDefault="00343C5A" w:rsidP="00343C5A">
            <w:pPr>
              <w:pStyle w:val="ListParagraph"/>
              <w:numPr>
                <w:ilvl w:val="0"/>
                <w:numId w:val="7"/>
              </w:numPr>
              <w:rPr>
                <w:b/>
                <w:bCs/>
              </w:rPr>
            </w:pPr>
            <w:r>
              <w:t>Ask, during the interactive dialogue, the measures currently taken and/or planned to promote civic education amongst young boys and girls with disabilities; and</w:t>
            </w:r>
          </w:p>
          <w:p w14:paraId="3F24F7CA" w14:textId="78C56325" w:rsidR="00343C5A" w:rsidRPr="00343C5A" w:rsidRDefault="00343C5A" w:rsidP="00343C5A">
            <w:pPr>
              <w:pStyle w:val="ListParagraph"/>
              <w:numPr>
                <w:ilvl w:val="0"/>
                <w:numId w:val="7"/>
              </w:numPr>
              <w:rPr>
                <w:b/>
                <w:bCs/>
              </w:rPr>
            </w:pPr>
            <w:r>
              <w:t xml:space="preserve">Emphasise, in its concluding observations, the strong need for the State party to pursue civic education measures in </w:t>
            </w:r>
            <w:r w:rsidRPr="00343C5A">
              <w:t>order to foster political engagement and contribute to the country’s future development.</w:t>
            </w:r>
          </w:p>
        </w:tc>
      </w:tr>
    </w:tbl>
    <w:p w14:paraId="3243A13C" w14:textId="77777777" w:rsidR="00351490" w:rsidRDefault="00351490" w:rsidP="00351490"/>
    <w:p w14:paraId="5D2E357D" w14:textId="0F1F2915" w:rsidR="00897843" w:rsidRDefault="00897843">
      <w:pPr>
        <w:spacing w:after="160" w:line="279" w:lineRule="auto"/>
      </w:pPr>
      <w:r>
        <w:br w:type="page"/>
      </w:r>
    </w:p>
    <w:p w14:paraId="3977C633" w14:textId="20D8D2A3" w:rsidR="00351490" w:rsidRDefault="00897843" w:rsidP="00897843">
      <w:pPr>
        <w:pStyle w:val="Heading1"/>
      </w:pPr>
      <w:bookmarkStart w:id="6" w:name="_Toc201940565"/>
      <w:r>
        <w:lastRenderedPageBreak/>
        <w:t>Conclusion</w:t>
      </w:r>
      <w:bookmarkEnd w:id="6"/>
    </w:p>
    <w:p w14:paraId="0A9E80F2" w14:textId="688B4747" w:rsidR="00897843" w:rsidRDefault="00720B45" w:rsidP="00720B45">
      <w:pPr>
        <w:pStyle w:val="ListParagraph"/>
        <w:numPr>
          <w:ilvl w:val="0"/>
          <w:numId w:val="2"/>
        </w:numPr>
      </w:pPr>
      <w:r>
        <w:t xml:space="preserve">In closing, </w:t>
      </w:r>
      <w:r w:rsidRPr="00720B45">
        <w:t xml:space="preserve">the human rights situation in </w:t>
      </w:r>
      <w:r>
        <w:t>Kiribati</w:t>
      </w:r>
      <w:r w:rsidRPr="00720B45">
        <w:t xml:space="preserve"> regarding civic participation for persons with disabilities remains a significant concern. The Centre hopes the Committee has found this information useful and will incorporate these findings into its concluding observations. As outlined in this report, the Centre strongly advocates for comprehensive reforms aimed at ensuring equal access to voting, improving civic education, and fostering inclusive political engagement for persons with disabilities</w:t>
      </w:r>
      <w:r>
        <w:t>.</w:t>
      </w:r>
    </w:p>
    <w:p w14:paraId="2F8DE845" w14:textId="77777777" w:rsidR="00720B45" w:rsidRDefault="00720B45" w:rsidP="00720B45"/>
    <w:p w14:paraId="5511DF58" w14:textId="2044BEEE" w:rsidR="00720B45" w:rsidRDefault="00D3197E" w:rsidP="00720B45">
      <w:pPr>
        <w:pStyle w:val="ListParagraph"/>
        <w:numPr>
          <w:ilvl w:val="0"/>
          <w:numId w:val="2"/>
        </w:numPr>
      </w:pPr>
      <w:r w:rsidRPr="00D3197E">
        <w:t>In particular, the Committee should focus its dialogue with Kiribati on the Constitutional limitations surrounding mentally ill persons, accessibility of their polling centres, and civic education measures for youths with disabilities. Indeed, these combined factors reveal Kiribati to be struggling in fulfilling its obligations under Article 29 of the Convention.</w:t>
      </w:r>
    </w:p>
    <w:p w14:paraId="12815D94" w14:textId="77777777" w:rsidR="00D3197E" w:rsidRDefault="00D3197E" w:rsidP="00D3197E">
      <w:pPr>
        <w:pStyle w:val="ListParagraph"/>
      </w:pPr>
    </w:p>
    <w:p w14:paraId="3A51FBDC" w14:textId="3A3F2995" w:rsidR="48660984" w:rsidRDefault="00D3197E" w:rsidP="00D3197E">
      <w:pPr>
        <w:pStyle w:val="ListParagraph"/>
        <w:numPr>
          <w:ilvl w:val="0"/>
          <w:numId w:val="2"/>
        </w:numPr>
      </w:pPr>
      <w:r>
        <w:t xml:space="preserve">The aforementioned issues in this report </w:t>
      </w:r>
      <w:r w:rsidRPr="00D3197E">
        <w:t xml:space="preserve">undermine the core of Article 29 rights for </w:t>
      </w:r>
      <w:r>
        <w:t>Kiribati’s</w:t>
      </w:r>
      <w:r w:rsidRPr="00D3197E">
        <w:t xml:space="preserve"> civil society and pose a substantial obstacle to inclusive democracy. Addressing them is crucial to ensuring that persons with disabilities can fully exercise their political rights and contribute to the democratic process. We hope these concerns will be addressed to build a more inclusive and equitable future for all.</w:t>
      </w:r>
    </w:p>
    <w:p w14:paraId="4B448E54" w14:textId="77777777" w:rsidR="00D3197E" w:rsidRDefault="00D3197E" w:rsidP="00D3197E">
      <w:pPr>
        <w:pStyle w:val="ListParagraph"/>
      </w:pPr>
    </w:p>
    <w:p w14:paraId="1FBDB139" w14:textId="7585D9FB" w:rsidR="00D3197E" w:rsidRDefault="00D3197E" w:rsidP="00D3197E">
      <w:pPr>
        <w:pStyle w:val="ListParagraph"/>
        <w:numPr>
          <w:ilvl w:val="0"/>
          <w:numId w:val="2"/>
        </w:numPr>
      </w:pPr>
      <w:r w:rsidRPr="00D3197E">
        <w:t xml:space="preserve">This submission may be published on the OHCHR website or any other places necessary. For any enquiries regarding this submission, please contact </w:t>
      </w:r>
      <w:r>
        <w:t xml:space="preserve">the primary contributors of this report: </w:t>
      </w:r>
    </w:p>
    <w:p w14:paraId="35264CA4" w14:textId="3765D6ED" w:rsidR="00A82547" w:rsidRDefault="00A82547" w:rsidP="00A82547">
      <w:r>
        <w:br/>
      </w:r>
    </w:p>
    <w:p w14:paraId="1EC6BB33" w14:textId="77777777" w:rsidR="00A82547" w:rsidRDefault="00752284" w:rsidP="00A82547">
      <w:pPr>
        <w:jc w:val="center"/>
      </w:pPr>
      <w:r w:rsidRPr="00A82547">
        <w:rPr>
          <w:b/>
          <w:bCs/>
        </w:rPr>
        <w:t>Samad QURAISHI</w:t>
      </w:r>
      <w:r w:rsidRPr="00A82547">
        <w:t xml:space="preserve"> </w:t>
      </w:r>
      <w:r w:rsidR="00A82547">
        <w:t xml:space="preserve">/ </w:t>
      </w:r>
      <w:r w:rsidRPr="00A82547">
        <w:t>Executive Director</w:t>
      </w:r>
    </w:p>
    <w:p w14:paraId="3439FBCC" w14:textId="1BAC4E6D" w:rsidR="00752284" w:rsidRDefault="00A82547" w:rsidP="00A82547">
      <w:pPr>
        <w:jc w:val="center"/>
      </w:pPr>
      <w:hyperlink r:id="rId13" w:history="1">
        <w:r w:rsidRPr="005F2887">
          <w:rPr>
            <w:rStyle w:val="Hyperlink"/>
          </w:rPr>
          <w:t>squraishi@cvia.ch</w:t>
        </w:r>
      </w:hyperlink>
    </w:p>
    <w:p w14:paraId="590BB2AA" w14:textId="77777777" w:rsidR="00752284" w:rsidRDefault="00752284" w:rsidP="00A82547"/>
    <w:p w14:paraId="04DAB2A9" w14:textId="6B43CCED" w:rsidR="00752284" w:rsidRPr="00A82547" w:rsidRDefault="00752284" w:rsidP="00A82547">
      <w:pPr>
        <w:jc w:val="center"/>
      </w:pPr>
      <w:r w:rsidRPr="00A82547">
        <w:rPr>
          <w:b/>
          <w:bCs/>
        </w:rPr>
        <w:t>Josselyn GOULD</w:t>
      </w:r>
      <w:r w:rsidRPr="00A82547">
        <w:t xml:space="preserve"> </w:t>
      </w:r>
      <w:r w:rsidR="00A82547">
        <w:t xml:space="preserve">/ </w:t>
      </w:r>
      <w:r w:rsidRPr="00A82547">
        <w:t>Executive Assistant</w:t>
      </w:r>
    </w:p>
    <w:p w14:paraId="2CCB3DFC" w14:textId="23842C59" w:rsidR="00A82547" w:rsidRDefault="00A82547" w:rsidP="00A82547">
      <w:pPr>
        <w:jc w:val="center"/>
      </w:pPr>
      <w:hyperlink r:id="rId14" w:history="1">
        <w:r w:rsidRPr="005F2887">
          <w:rPr>
            <w:rStyle w:val="Hyperlink"/>
          </w:rPr>
          <w:t>jgould@cvia.ch</w:t>
        </w:r>
      </w:hyperlink>
    </w:p>
    <w:p w14:paraId="142D5F4D" w14:textId="77777777" w:rsidR="00FE5F34" w:rsidRDefault="00FE5F34" w:rsidP="00FE5F34"/>
    <w:p w14:paraId="437AAB89" w14:textId="77777777" w:rsidR="00FE5F34" w:rsidRDefault="00FE5F34" w:rsidP="00FE5F34"/>
    <w:tbl>
      <w:tblPr>
        <w:tblStyle w:val="TableGrid"/>
        <w:tblW w:w="0" w:type="auto"/>
        <w:jc w:val="center"/>
        <w:tblLook w:val="04A0" w:firstRow="1" w:lastRow="0" w:firstColumn="1" w:lastColumn="0" w:noHBand="0" w:noVBand="1"/>
      </w:tblPr>
      <w:tblGrid>
        <w:gridCol w:w="7225"/>
      </w:tblGrid>
      <w:tr w:rsidR="00785427" w14:paraId="5FB2620D" w14:textId="77777777" w:rsidTr="00095838">
        <w:trPr>
          <w:trHeight w:val="1877"/>
          <w:jc w:val="center"/>
        </w:trPr>
        <w:tc>
          <w:tcPr>
            <w:tcW w:w="7225" w:type="dxa"/>
            <w:vAlign w:val="center"/>
          </w:tcPr>
          <w:p w14:paraId="01599C85" w14:textId="77777777" w:rsidR="00785427" w:rsidRDefault="00785427" w:rsidP="00785427">
            <w:pPr>
              <w:jc w:val="center"/>
            </w:pPr>
            <w:r>
              <w:t>Centre for Voters Initiative &amp; Action Inc.</w:t>
            </w:r>
          </w:p>
          <w:p w14:paraId="65D65CC7" w14:textId="77777777" w:rsidR="00785427" w:rsidRDefault="00785427" w:rsidP="00785427">
            <w:pPr>
              <w:jc w:val="center"/>
            </w:pPr>
            <w:r>
              <w:t>1200 Pennsylvania Avenue NW, P.O. 294</w:t>
            </w:r>
          </w:p>
          <w:p w14:paraId="3FA95F1B" w14:textId="231362FB" w:rsidR="00785427" w:rsidRDefault="00785427" w:rsidP="00095838">
            <w:pPr>
              <w:jc w:val="center"/>
            </w:pPr>
            <w:r>
              <w:t>Washington, D.C. 20004</w:t>
            </w:r>
          </w:p>
        </w:tc>
      </w:tr>
    </w:tbl>
    <w:p w14:paraId="0CDD7E7B" w14:textId="77777777" w:rsidR="00FE5F34" w:rsidRDefault="00FE5F34" w:rsidP="00FE5F34"/>
    <w:sectPr w:rsidR="00FE5F34">
      <w:headerReference w:type="even" r:id="rId15"/>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70098" w14:textId="77777777" w:rsidR="009A79F9" w:rsidRDefault="009A79F9" w:rsidP="00B6486C">
      <w:r>
        <w:separator/>
      </w:r>
    </w:p>
  </w:endnote>
  <w:endnote w:type="continuationSeparator" w:id="0">
    <w:p w14:paraId="05987866" w14:textId="77777777" w:rsidR="009A79F9" w:rsidRDefault="009A79F9" w:rsidP="00B64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F4B50" w14:textId="77777777" w:rsidR="009A79F9" w:rsidRDefault="009A79F9" w:rsidP="00B6486C">
      <w:r>
        <w:separator/>
      </w:r>
    </w:p>
  </w:footnote>
  <w:footnote w:type="continuationSeparator" w:id="0">
    <w:p w14:paraId="5421CE26" w14:textId="77777777" w:rsidR="009A79F9" w:rsidRDefault="009A79F9" w:rsidP="00B6486C">
      <w:r>
        <w:continuationSeparator/>
      </w:r>
    </w:p>
  </w:footnote>
  <w:footnote w:id="1">
    <w:p w14:paraId="64841B82" w14:textId="70FB4317" w:rsidR="00F451F1" w:rsidRPr="00F451F1" w:rsidRDefault="00F451F1">
      <w:pPr>
        <w:pStyle w:val="FootnoteText"/>
        <w:rPr>
          <w:lang w:val="en-US"/>
        </w:rPr>
      </w:pPr>
      <w:r>
        <w:rPr>
          <w:rStyle w:val="FootnoteReference"/>
        </w:rPr>
        <w:footnoteRef/>
      </w:r>
      <w:r>
        <w:t xml:space="preserve"> </w:t>
      </w:r>
      <w:r w:rsidR="00083CE2" w:rsidRPr="00083CE2">
        <w:t>Constitution of Kiribati, Article 64(2)</w:t>
      </w:r>
      <w:r w:rsidR="00083CE2">
        <w:t>,</w:t>
      </w:r>
      <w:r w:rsidR="00083CE2" w:rsidRPr="00083CE2">
        <w:t xml:space="preserve"> </w:t>
      </w:r>
      <w:r w:rsidR="00674835" w:rsidRPr="009D5388">
        <w:rPr>
          <w:i/>
          <w:iCs/>
        </w:rPr>
        <w:t>The franchise</w:t>
      </w:r>
      <w:r w:rsidR="00674835">
        <w:t>. A</w:t>
      </w:r>
      <w:r w:rsidR="00083CE2" w:rsidRPr="00674835">
        <w:t>dopted</w:t>
      </w:r>
      <w:r w:rsidR="001F49F6">
        <w:t xml:space="preserve"> July </w:t>
      </w:r>
      <w:r w:rsidR="00083CE2" w:rsidRPr="00083CE2">
        <w:t xml:space="preserve">1979, </w:t>
      </w:r>
      <w:r w:rsidR="001F49F6">
        <w:t>rev.</w:t>
      </w:r>
      <w:r w:rsidR="00083CE2" w:rsidRPr="00083CE2">
        <w:t xml:space="preserve"> 2013.</w:t>
      </w:r>
      <w:r w:rsidR="00FA7AEB">
        <w:t xml:space="preserve"> </w:t>
      </w:r>
    </w:p>
  </w:footnote>
  <w:footnote w:id="2">
    <w:p w14:paraId="745C0481" w14:textId="7F56D89A" w:rsidR="00AC5D14" w:rsidRPr="00AC5D14" w:rsidRDefault="00AC5D14">
      <w:pPr>
        <w:pStyle w:val="FootnoteText"/>
        <w:rPr>
          <w:lang w:val="en-US"/>
        </w:rPr>
      </w:pPr>
      <w:r>
        <w:rPr>
          <w:rStyle w:val="FootnoteReference"/>
        </w:rPr>
        <w:footnoteRef/>
      </w:r>
      <w:r>
        <w:t xml:space="preserve"> </w:t>
      </w:r>
      <w:r w:rsidR="008D5AAD" w:rsidRPr="008D5AAD">
        <w:t xml:space="preserve">Committee on the Rights of Persons with Disabilities, </w:t>
      </w:r>
      <w:r w:rsidR="008D5AAD" w:rsidRPr="008D5AAD">
        <w:rPr>
          <w:i/>
          <w:iCs/>
        </w:rPr>
        <w:t xml:space="preserve">Concluding observations on the initial report of </w:t>
      </w:r>
      <w:r w:rsidR="008D5AAD">
        <w:rPr>
          <w:i/>
          <w:iCs/>
        </w:rPr>
        <w:t>Laos</w:t>
      </w:r>
      <w:r w:rsidR="008D5AAD" w:rsidRPr="008D5AAD">
        <w:t xml:space="preserve">, (30 September 2022), U.N. Doc. CRPD/C/LAO/CO/1, ¶ 6(a). </w:t>
      </w:r>
      <w:hyperlink r:id="rId1" w:history="1">
        <w:r w:rsidR="008D5AAD" w:rsidRPr="005F2887">
          <w:rPr>
            <w:rStyle w:val="Hyperlink"/>
          </w:rPr>
          <w:t>https://docs.un.org/en/CRPD/C/LAO/CO/1</w:t>
        </w:r>
      </w:hyperlink>
      <w:r w:rsidR="008D5AAD" w:rsidRPr="008D5AAD">
        <w:t>.</w:t>
      </w:r>
      <w:r w:rsidR="008D5AAD">
        <w:t xml:space="preserve"> </w:t>
      </w:r>
    </w:p>
  </w:footnote>
  <w:footnote w:id="3">
    <w:p w14:paraId="37CBD44E" w14:textId="39E70FFE" w:rsidR="007203AE" w:rsidRPr="007203AE" w:rsidRDefault="00AC5D14">
      <w:pPr>
        <w:pStyle w:val="FootnoteText"/>
      </w:pPr>
      <w:r>
        <w:rPr>
          <w:rStyle w:val="FootnoteReference"/>
        </w:rPr>
        <w:footnoteRef/>
      </w:r>
      <w:r>
        <w:t xml:space="preserve"> </w:t>
      </w:r>
      <w:r w:rsidR="008F6C41">
        <w:t xml:space="preserve">Committee on the Rights of Persons with Disabilities, </w:t>
      </w:r>
      <w:r w:rsidR="008F6C41" w:rsidRPr="00064389">
        <w:rPr>
          <w:i/>
          <w:iCs/>
        </w:rPr>
        <w:t>Concluding observations on the initial report of China</w:t>
      </w:r>
      <w:r w:rsidR="008F6C41">
        <w:t>, (</w:t>
      </w:r>
      <w:r w:rsidR="006E51D5" w:rsidRPr="006E51D5">
        <w:t>15 October 2012</w:t>
      </w:r>
      <w:r w:rsidR="006E51D5">
        <w:t xml:space="preserve">), U.N. Doc. </w:t>
      </w:r>
      <w:r w:rsidR="006E51D5" w:rsidRPr="006E51D5">
        <w:t>CRPD/C/CHN/CO/1</w:t>
      </w:r>
      <w:r w:rsidR="006E51D5">
        <w:t xml:space="preserve">, </w:t>
      </w:r>
      <w:r w:rsidR="007203AE">
        <w:t xml:space="preserve">¶ 45. </w:t>
      </w:r>
      <w:hyperlink r:id="rId2" w:history="1">
        <w:r w:rsidR="007203AE" w:rsidRPr="005F2887">
          <w:rPr>
            <w:rStyle w:val="Hyperlink"/>
          </w:rPr>
          <w:t>https://docs.un.org/en/CRPD/C/CHN/CO/1</w:t>
        </w:r>
      </w:hyperlink>
      <w:r w:rsidR="007203AE">
        <w:t xml:space="preserve">. </w:t>
      </w:r>
    </w:p>
  </w:footnote>
  <w:footnote w:id="4">
    <w:p w14:paraId="3C675D8C" w14:textId="274A5E84" w:rsidR="00EE1CCD" w:rsidRPr="00EE1CCD" w:rsidRDefault="00EE1CCD">
      <w:pPr>
        <w:pStyle w:val="FootnoteText"/>
        <w:rPr>
          <w:lang w:val="en-US"/>
        </w:rPr>
      </w:pPr>
      <w:r>
        <w:rPr>
          <w:rStyle w:val="FootnoteReference"/>
        </w:rPr>
        <w:footnoteRef/>
      </w:r>
      <w:r>
        <w:t xml:space="preserve"> </w:t>
      </w:r>
      <w:r w:rsidRPr="00083CE2">
        <w:t xml:space="preserve">Constitution of Kiribati, Article </w:t>
      </w:r>
      <w:r>
        <w:t>56</w:t>
      </w:r>
      <w:r w:rsidRPr="00083CE2">
        <w:t>(</w:t>
      </w:r>
      <w:r>
        <w:t>1</w:t>
      </w:r>
      <w:r w:rsidRPr="00083CE2">
        <w:t>)</w:t>
      </w:r>
      <w:r>
        <w:t>,</w:t>
      </w:r>
      <w:r w:rsidR="008506C4">
        <w:t xml:space="preserve"> </w:t>
      </w:r>
      <w:r w:rsidR="008506C4" w:rsidRPr="008506C4">
        <w:rPr>
          <w:i/>
          <w:iCs/>
        </w:rPr>
        <w:t>Disqualifications for elected membership</w:t>
      </w:r>
      <w:r w:rsidR="008506C4">
        <w:t>. Adopted July 1979, rev. 2013.</w:t>
      </w:r>
    </w:p>
  </w:footnote>
  <w:footnote w:id="5">
    <w:p w14:paraId="449EE58B" w14:textId="1C9B0DE3" w:rsidR="004F6E18" w:rsidRPr="004F6E18" w:rsidRDefault="004F6E18">
      <w:pPr>
        <w:pStyle w:val="FootnoteText"/>
        <w:rPr>
          <w:lang w:val="en-US"/>
        </w:rPr>
      </w:pPr>
      <w:r>
        <w:rPr>
          <w:rStyle w:val="FootnoteReference"/>
        </w:rPr>
        <w:footnoteRef/>
      </w:r>
      <w:r>
        <w:t xml:space="preserve"> </w:t>
      </w:r>
      <w:r w:rsidR="007F4042">
        <w:t xml:space="preserve">Laws of Kiribati, </w:t>
      </w:r>
      <w:r w:rsidR="007F4042" w:rsidRPr="007F4042">
        <w:rPr>
          <w:i/>
          <w:iCs/>
        </w:rPr>
        <w:t>Elections Ordinance</w:t>
      </w:r>
      <w:r w:rsidR="007F4042" w:rsidRPr="007F4042">
        <w:t>, CAP. 29B</w:t>
      </w:r>
      <w:r w:rsidR="007F4042">
        <w:t xml:space="preserve">, 1979. </w:t>
      </w:r>
      <w:hyperlink r:id="rId3" w:history="1">
        <w:r w:rsidR="007F4042" w:rsidRPr="005F2887">
          <w:rPr>
            <w:rStyle w:val="Hyperlink"/>
          </w:rPr>
          <w:t>http://www.paclii.org/ki/legis/consol_act/eo167.pdf</w:t>
        </w:r>
      </w:hyperlink>
      <w:r w:rsidR="007F4042">
        <w:t xml:space="preserve">. </w:t>
      </w:r>
    </w:p>
  </w:footnote>
  <w:footnote w:id="6">
    <w:p w14:paraId="47E26CC3" w14:textId="57EBB4A2" w:rsidR="004F6E18" w:rsidRPr="004F6E18" w:rsidRDefault="004F6E18">
      <w:pPr>
        <w:pStyle w:val="FootnoteText"/>
        <w:rPr>
          <w:lang w:val="en-US"/>
        </w:rPr>
      </w:pPr>
      <w:r>
        <w:rPr>
          <w:rStyle w:val="FootnoteReference"/>
        </w:rPr>
        <w:footnoteRef/>
      </w:r>
      <w:r>
        <w:t xml:space="preserve"> </w:t>
      </w:r>
      <w:r w:rsidR="00643FC6" w:rsidRPr="00643FC6">
        <w:t xml:space="preserve">International Institute for Democracy and Electoral Assistance, </w:t>
      </w:r>
      <w:r w:rsidR="00643FC6" w:rsidRPr="007E4FC7">
        <w:rPr>
          <w:i/>
          <w:iCs/>
        </w:rPr>
        <w:t>Kiribati Voting Method</w:t>
      </w:r>
      <w:r w:rsidR="00643FC6" w:rsidRPr="00643FC6">
        <w:t xml:space="preserve">, </w:t>
      </w:r>
      <w:hyperlink r:id="rId4" w:history="1">
        <w:r w:rsidR="00643FC6" w:rsidRPr="005F2887">
          <w:rPr>
            <w:rStyle w:val="Hyperlink"/>
          </w:rPr>
          <w:t>https://www.idea.int/answer/ans9377335574314</w:t>
        </w:r>
      </w:hyperlink>
      <w:r w:rsidR="00643FC6" w:rsidRPr="00643FC6">
        <w:t>.</w:t>
      </w:r>
      <w:r w:rsidR="00643FC6">
        <w:t xml:space="preserve"> </w:t>
      </w:r>
    </w:p>
  </w:footnote>
  <w:footnote w:id="7">
    <w:p w14:paraId="1534A551" w14:textId="5D89D94A" w:rsidR="00B3057C" w:rsidRPr="00B3057C" w:rsidRDefault="00B3057C">
      <w:pPr>
        <w:pStyle w:val="FootnoteText"/>
        <w:rPr>
          <w:lang w:val="en-US"/>
        </w:rPr>
      </w:pPr>
      <w:r>
        <w:rPr>
          <w:rStyle w:val="FootnoteReference"/>
        </w:rPr>
        <w:footnoteRef/>
      </w:r>
      <w:r>
        <w:t xml:space="preserve"> </w:t>
      </w:r>
      <w:r w:rsidR="00EE09D9" w:rsidRPr="00EE09D9">
        <w:t xml:space="preserve">Government of Kiribati, </w:t>
      </w:r>
      <w:r w:rsidR="00EE09D9" w:rsidRPr="00EE09D9">
        <w:rPr>
          <w:i/>
          <w:iCs/>
        </w:rPr>
        <w:t>Kiribati National Disability Policy and Action</w:t>
      </w:r>
      <w:r w:rsidR="00EE09D9" w:rsidRPr="00EE09D9">
        <w:t xml:space="preserve">, (24 September 2018), </w:t>
      </w:r>
      <w:hyperlink r:id="rId5" w:history="1">
        <w:r w:rsidR="00EE09D9" w:rsidRPr="005F2887">
          <w:rPr>
            <w:rStyle w:val="Hyperlink"/>
          </w:rPr>
          <w:t>https://extranet.who.int/mindbank/item/7325</w:t>
        </w:r>
      </w:hyperlink>
      <w:r w:rsidR="00EE09D9">
        <w:t>. F</w:t>
      </w:r>
      <w:r w:rsidR="00EE09D9" w:rsidRPr="00EE09D9">
        <w:t>or the effective period 2018 – 2021.</w:t>
      </w:r>
    </w:p>
  </w:footnote>
  <w:footnote w:id="8">
    <w:p w14:paraId="328ABA04" w14:textId="0B3D6898" w:rsidR="006D05E2" w:rsidRPr="006D05E2" w:rsidRDefault="006D05E2">
      <w:pPr>
        <w:pStyle w:val="FootnoteText"/>
        <w:rPr>
          <w:lang w:val="en-US"/>
        </w:rPr>
      </w:pPr>
      <w:r>
        <w:rPr>
          <w:rStyle w:val="FootnoteReference"/>
        </w:rPr>
        <w:footnoteRef/>
      </w:r>
      <w:r>
        <w:t xml:space="preserve"> </w:t>
      </w:r>
      <w:r w:rsidR="003A4339" w:rsidRPr="003A4339">
        <w:t xml:space="preserve">Australian Government Department of Foreign Affairs and Trade, </w:t>
      </w:r>
      <w:r w:rsidR="003A4339" w:rsidRPr="003A4339">
        <w:rPr>
          <w:i/>
          <w:iCs/>
        </w:rPr>
        <w:t>Report of the Independent Review of the Kiribati Disability Inclusive Development Program</w:t>
      </w:r>
      <w:r w:rsidR="003A4339" w:rsidRPr="003A4339">
        <w:t xml:space="preserve">, (May 2017), </w:t>
      </w:r>
      <w:hyperlink r:id="rId6" w:history="1">
        <w:r w:rsidR="003A4339" w:rsidRPr="005F2887">
          <w:rPr>
            <w:rStyle w:val="Hyperlink"/>
          </w:rPr>
          <w:t>https://dfat.gov.au/sites/default/files/kiribati-disability-inclusiveness-program-eval-report-man-resp.pdf</w:t>
        </w:r>
      </w:hyperlink>
      <w:r w:rsidR="003A4339" w:rsidRPr="003A4339">
        <w:t>.</w:t>
      </w:r>
      <w:r w:rsidR="003A4339">
        <w:t xml:space="preserve"> </w:t>
      </w:r>
    </w:p>
  </w:footnote>
  <w:footnote w:id="9">
    <w:p w14:paraId="4A7F239F" w14:textId="032FBAE2" w:rsidR="001529C6" w:rsidRPr="006D05E2" w:rsidRDefault="001529C6" w:rsidP="001529C6">
      <w:pPr>
        <w:pStyle w:val="FootnoteText"/>
        <w:rPr>
          <w:lang w:val="en-US"/>
        </w:rPr>
      </w:pPr>
      <w:r>
        <w:rPr>
          <w:rStyle w:val="FootnoteReference"/>
        </w:rPr>
        <w:footnoteRef/>
      </w:r>
      <w:r>
        <w:t xml:space="preserve"> </w:t>
      </w:r>
      <w:r w:rsidR="007735C6" w:rsidRPr="007735C6">
        <w:t xml:space="preserve">Kiribati National Statistics Office &amp; Pacific Community, </w:t>
      </w:r>
      <w:r w:rsidR="007735C6" w:rsidRPr="007735C6">
        <w:rPr>
          <w:i/>
          <w:iCs/>
        </w:rPr>
        <w:t>Kiribati Disability Monograph</w:t>
      </w:r>
      <w:r w:rsidR="007735C6" w:rsidRPr="007735C6">
        <w:t>, (2020)</w:t>
      </w:r>
      <w:r w:rsidR="007735C6">
        <w:t>.</w:t>
      </w:r>
    </w:p>
  </w:footnote>
  <w:footnote w:id="10">
    <w:p w14:paraId="5CEFB546" w14:textId="163AFF9A" w:rsidR="006D05E2" w:rsidRPr="006D05E2" w:rsidRDefault="006D05E2">
      <w:pPr>
        <w:pStyle w:val="FootnoteText"/>
        <w:rPr>
          <w:lang w:val="en-US"/>
        </w:rPr>
      </w:pPr>
      <w:r>
        <w:rPr>
          <w:rStyle w:val="FootnoteReference"/>
        </w:rPr>
        <w:footnoteRef/>
      </w:r>
      <w:r>
        <w:t xml:space="preserve"> </w:t>
      </w:r>
      <w:r w:rsidR="004F4E83" w:rsidRPr="004F4E83">
        <w:t>Pacific Disability Forum,</w:t>
      </w:r>
      <w:r w:rsidR="003F5131" w:rsidRPr="003F5131">
        <w:t xml:space="preserve"> </w:t>
      </w:r>
      <w:hyperlink r:id="rId7" w:history="1">
        <w:r w:rsidR="003F5131" w:rsidRPr="003F5131">
          <w:rPr>
            <w:rStyle w:val="Hyperlink"/>
          </w:rPr>
          <w:t>https://facebook.com/100064643441211</w:t>
        </w:r>
      </w:hyperlink>
      <w:r w:rsidR="003F5131" w:rsidRPr="003F5131">
        <w:t>.</w:t>
      </w:r>
    </w:p>
  </w:footnote>
  <w:footnote w:id="11">
    <w:p w14:paraId="111A1B21" w14:textId="28D4A27A" w:rsidR="00A35DF2" w:rsidRDefault="00A35DF2" w:rsidP="00A35DF2">
      <w:pPr>
        <w:pStyle w:val="FootnoteText"/>
      </w:pPr>
      <w:r w:rsidRPr="48660984">
        <w:rPr>
          <w:rStyle w:val="FootnoteReference"/>
        </w:rPr>
        <w:footnoteRef/>
      </w:r>
      <w:r>
        <w:t xml:space="preserve"> </w:t>
      </w:r>
      <w:r w:rsidR="006E1A09" w:rsidRPr="006E1A09">
        <w:t xml:space="preserve">Human Rights Council, </w:t>
      </w:r>
      <w:r w:rsidR="006E1A09" w:rsidRPr="007C358E">
        <w:rPr>
          <w:i/>
          <w:iCs/>
        </w:rPr>
        <w:t>Compilation of Kiribati's Universal Periodic Review</w:t>
      </w:r>
      <w:r w:rsidR="006E1A09" w:rsidRPr="006E1A09">
        <w:t xml:space="preserve">, (12 November 2014), U.N. Doc. A/HRC/WG.6/21/KIR/2, ¶ 5. </w:t>
      </w:r>
      <w:hyperlink r:id="rId8" w:history="1">
        <w:r w:rsidR="006E1A09" w:rsidRPr="005F2887">
          <w:rPr>
            <w:rStyle w:val="Hyperlink"/>
          </w:rPr>
          <w:t>https://upr-info.org/sites/default/files/documents/2015-01/a_hrc_wg.6_21_kir_2_e.pdf</w:t>
        </w:r>
      </w:hyperlink>
      <w:r w:rsidR="006E1A09">
        <w:t>.</w:t>
      </w:r>
    </w:p>
  </w:footnote>
  <w:footnote w:id="12">
    <w:p w14:paraId="318F8CAB" w14:textId="32C2F282" w:rsidR="00A35DF2" w:rsidRDefault="00A35DF2" w:rsidP="00A35DF2">
      <w:pPr>
        <w:pStyle w:val="FootnoteText"/>
      </w:pPr>
      <w:r w:rsidRPr="48660984">
        <w:rPr>
          <w:rStyle w:val="FootnoteReference"/>
        </w:rPr>
        <w:footnoteRef/>
      </w:r>
      <w:r>
        <w:t xml:space="preserve"> </w:t>
      </w:r>
      <w:r w:rsidR="006E1A09" w:rsidRPr="006E1A09">
        <w:t>United Nations Educational, Scientific and Cultural Organization</w:t>
      </w:r>
      <w:r>
        <w:t xml:space="preserve">, </w:t>
      </w:r>
      <w:r w:rsidRPr="48660984">
        <w:rPr>
          <w:i/>
          <w:iCs/>
        </w:rPr>
        <w:t>Kiribati</w:t>
      </w:r>
      <w:r w:rsidR="006E1A09">
        <w:rPr>
          <w:i/>
          <w:iCs/>
        </w:rPr>
        <w:t xml:space="preserve"> Education Profile</w:t>
      </w:r>
      <w:r w:rsidRPr="48660984">
        <w:rPr>
          <w:i/>
          <w:iCs/>
        </w:rPr>
        <w:t xml:space="preserve">, </w:t>
      </w:r>
      <w:r w:rsidRPr="48660984">
        <w:t xml:space="preserve">(28 July 2021), </w:t>
      </w:r>
      <w:r w:rsidR="00B6120A">
        <w:t xml:space="preserve">§2, </w:t>
      </w:r>
      <w:hyperlink r:id="rId9" w:history="1">
        <w:r w:rsidR="00B6120A" w:rsidRPr="005F2887">
          <w:rPr>
            <w:rStyle w:val="Hyperlink"/>
          </w:rPr>
          <w:t>https://education-profiles.org/oceania/kiribati</w:t>
        </w:r>
      </w:hyperlink>
      <w:r w:rsidR="00B6120A" w:rsidRPr="00B6120A">
        <w:t>.</w:t>
      </w:r>
      <w:r w:rsidR="00B6120A">
        <w:t xml:space="preserve"> </w:t>
      </w:r>
    </w:p>
  </w:footnote>
  <w:footnote w:id="13">
    <w:p w14:paraId="031373FF" w14:textId="6D6DB457" w:rsidR="00A35DF2" w:rsidRDefault="00A35DF2" w:rsidP="00A35DF2">
      <w:pPr>
        <w:pStyle w:val="FootnoteText"/>
      </w:pPr>
      <w:r w:rsidRPr="48660984">
        <w:rPr>
          <w:rStyle w:val="FootnoteReference"/>
        </w:rPr>
        <w:footnoteRef/>
      </w:r>
      <w:r w:rsidRPr="48660984">
        <w:rPr>
          <w:i/>
          <w:iCs/>
        </w:rPr>
        <w:t xml:space="preserve"> </w:t>
      </w:r>
      <w:r w:rsidRPr="48660984">
        <w:t xml:space="preserve">Kiribati School &amp; </w:t>
      </w:r>
      <w:r w:rsidR="00B6120A" w:rsidRPr="48660984">
        <w:t>Centre</w:t>
      </w:r>
      <w:r w:rsidRPr="48660984">
        <w:t xml:space="preserve"> for Children with Special Needs</w:t>
      </w:r>
      <w:r w:rsidRPr="48660984">
        <w:rPr>
          <w:i/>
          <w:iCs/>
        </w:rPr>
        <w:t xml:space="preserve">, UPR Stakeholder’s Report for the Review of Kiribati, </w:t>
      </w:r>
      <w:hyperlink r:id="rId10">
        <w:r w:rsidRPr="48660984">
          <w:rPr>
            <w:rStyle w:val="Hyperlink"/>
          </w:rPr>
          <w:t>https://upr-info.org/sites/default/files/documents/2019-12/ngo_upr35_kir_e_main.pdf</w:t>
        </w:r>
      </w:hyperlink>
      <w:r w:rsidR="00AF671F">
        <w:t>.</w:t>
      </w:r>
    </w:p>
  </w:footnote>
  <w:footnote w:id="14">
    <w:p w14:paraId="203C9C21" w14:textId="43109A1E" w:rsidR="00EA443C" w:rsidRPr="00EA443C" w:rsidRDefault="00EA443C">
      <w:pPr>
        <w:pStyle w:val="FootnoteText"/>
        <w:rPr>
          <w:lang w:val="en-US"/>
        </w:rPr>
      </w:pPr>
      <w:r>
        <w:rPr>
          <w:rStyle w:val="FootnoteReference"/>
        </w:rPr>
        <w:footnoteRef/>
      </w:r>
      <w:r>
        <w:t xml:space="preserve"> </w:t>
      </w:r>
      <w:r w:rsidR="00340A2B" w:rsidRPr="00340A2B">
        <w:t xml:space="preserve">Pacific Disability Forum, (20 September 2017), </w:t>
      </w:r>
      <w:hyperlink r:id="rId11" w:history="1">
        <w:r w:rsidR="00340A2B" w:rsidRPr="005F2887">
          <w:rPr>
            <w:rStyle w:val="Hyperlink"/>
          </w:rPr>
          <w:t>https://lists.pacificdisability.org/pipermail/dpo-officemanagers_lists.pacificdisability.org/2017-October.txt</w:t>
        </w:r>
      </w:hyperlink>
      <w:r w:rsidR="00340A2B" w:rsidRPr="00340A2B">
        <w:t>.</w:t>
      </w:r>
      <w:r w:rsidR="00340A2B">
        <w:t xml:space="preserve"> </w:t>
      </w:r>
    </w:p>
  </w:footnote>
  <w:footnote w:id="15">
    <w:p w14:paraId="4D4779F7" w14:textId="59A7E84C" w:rsidR="00EA443C" w:rsidRPr="00EA443C" w:rsidRDefault="00EA443C">
      <w:pPr>
        <w:pStyle w:val="FootnoteText"/>
        <w:rPr>
          <w:lang w:val="en-US"/>
        </w:rPr>
      </w:pPr>
      <w:r>
        <w:rPr>
          <w:rStyle w:val="FootnoteReference"/>
        </w:rPr>
        <w:footnoteRef/>
      </w:r>
      <w:r>
        <w:t xml:space="preserve"> </w:t>
      </w:r>
      <w:r w:rsidR="00E153E1" w:rsidRPr="00E153E1">
        <w:t xml:space="preserve">United Nations Population Fund and Australian Agency of International Development, </w:t>
      </w:r>
      <w:r w:rsidR="00E153E1" w:rsidRPr="00E153E1">
        <w:rPr>
          <w:i/>
          <w:iCs/>
        </w:rPr>
        <w:t>A Deeper Silence</w:t>
      </w:r>
      <w:r w:rsidR="00E153E1" w:rsidRPr="00E153E1">
        <w:t xml:space="preserve">, (March 2013), </w:t>
      </w:r>
      <w:hyperlink r:id="rId12" w:history="1">
        <w:r w:rsidR="00E153E1" w:rsidRPr="005F2887">
          <w:rPr>
            <w:rStyle w:val="Hyperlink"/>
          </w:rPr>
          <w:t>https://pacific.unfpa.org/sites/default/files/pub-pdf/UNFPAReport-ADeeperSilenceA4PublicationLR3%283%29.pdf</w:t>
        </w:r>
      </w:hyperlink>
      <w:r w:rsidR="00E153E1">
        <w:t xml:space="preserve">. </w:t>
      </w:r>
    </w:p>
  </w:footnote>
  <w:footnote w:id="16">
    <w:p w14:paraId="7AE54B53" w14:textId="4BE87886" w:rsidR="00EA443C" w:rsidRPr="00EA443C" w:rsidRDefault="00EA443C">
      <w:pPr>
        <w:pStyle w:val="FootnoteText"/>
        <w:rPr>
          <w:lang w:val="en-US"/>
        </w:rPr>
      </w:pPr>
      <w:r>
        <w:rPr>
          <w:rStyle w:val="FootnoteReference"/>
        </w:rPr>
        <w:footnoteRef/>
      </w:r>
      <w:r>
        <w:t xml:space="preserve"> </w:t>
      </w:r>
      <w:r w:rsidR="00E93471">
        <w:t>Ibid.</w:t>
      </w:r>
    </w:p>
  </w:footnote>
  <w:footnote w:id="17">
    <w:p w14:paraId="1FE2281C" w14:textId="3584E427" w:rsidR="3D109B59" w:rsidRDefault="3D109B59" w:rsidP="007F3153">
      <w:pPr>
        <w:pStyle w:val="FootnoteText"/>
      </w:pPr>
      <w:r w:rsidRPr="3D109B59">
        <w:rPr>
          <w:rStyle w:val="FootnoteReference"/>
        </w:rPr>
        <w:footnoteRef/>
      </w:r>
      <w:r w:rsidR="48660984">
        <w:t xml:space="preserve"> U.S. Department of State, </w:t>
      </w:r>
      <w:r w:rsidR="48660984" w:rsidRPr="48660984">
        <w:rPr>
          <w:i/>
          <w:iCs/>
        </w:rPr>
        <w:t xml:space="preserve">2022 Country Reports on Human Rights Practices: Kiribati, </w:t>
      </w:r>
      <w:r w:rsidR="48660984" w:rsidRPr="3D109B59">
        <w:t>﷟</w:t>
      </w:r>
      <w:r w:rsidR="48660984" w:rsidRPr="48660984">
        <w:rPr>
          <w:rStyle w:val="Hyperlink"/>
        </w:rPr>
        <w:t>https://www.state.gov/reports/2022-country-reports-on-human-rights-practices/kiribati/</w:t>
      </w:r>
      <w:r w:rsidR="000B74DA">
        <w:rPr>
          <w:rStyle w:val="Hyperlink"/>
        </w:rPr>
        <w:t>.</w:t>
      </w:r>
    </w:p>
  </w:footnote>
  <w:footnote w:id="18">
    <w:p w14:paraId="3C810808" w14:textId="3827B85F" w:rsidR="48660984" w:rsidRDefault="48660984" w:rsidP="007F3153">
      <w:pPr>
        <w:pStyle w:val="FootnoteText"/>
      </w:pPr>
      <w:r w:rsidRPr="48660984">
        <w:rPr>
          <w:rStyle w:val="FootnoteReference"/>
        </w:rPr>
        <w:footnoteRef/>
      </w:r>
      <w:r w:rsidRPr="48660984">
        <w:rPr>
          <w:i/>
          <w:iCs/>
        </w:rPr>
        <w:t xml:space="preserve"> </w:t>
      </w:r>
      <w:r w:rsidR="00FF60A8">
        <w:t>Government of Kiribati.</w:t>
      </w:r>
    </w:p>
  </w:footnote>
  <w:footnote w:id="19">
    <w:p w14:paraId="08BAF7F9" w14:textId="618A41B0" w:rsidR="48660984" w:rsidRDefault="48660984" w:rsidP="007F3153">
      <w:pPr>
        <w:pStyle w:val="FootnoteText"/>
      </w:pPr>
      <w:r w:rsidRPr="48660984">
        <w:rPr>
          <w:rStyle w:val="FootnoteReference"/>
        </w:rPr>
        <w:footnoteRef/>
      </w:r>
      <w:r w:rsidRPr="48660984">
        <w:rPr>
          <w:i/>
          <w:iCs/>
        </w:rPr>
        <w:t xml:space="preserve"> </w:t>
      </w:r>
      <w:r w:rsidRPr="48660984">
        <w:t>Kiribati National Statistics Office</w:t>
      </w:r>
      <w:r w:rsidRPr="48660984">
        <w:rPr>
          <w:i/>
          <w:iCs/>
        </w:rPr>
        <w:t>, Kiribati Power of Data</w:t>
      </w:r>
      <w:r w:rsidR="00D11933">
        <w:rPr>
          <w:i/>
          <w:iCs/>
        </w:rPr>
        <w:t xml:space="preserve"> –</w:t>
      </w:r>
      <w:r w:rsidRPr="48660984">
        <w:rPr>
          <w:i/>
          <w:iCs/>
        </w:rPr>
        <w:t xml:space="preserve"> Empowering Kiribati disability inclusion: Report shows progress and gaps, </w:t>
      </w:r>
      <w:r w:rsidRPr="48660984">
        <w:t>(24 June 2025),</w:t>
      </w:r>
      <w:r w:rsidRPr="48660984">
        <w:rPr>
          <w:i/>
          <w:iCs/>
        </w:rPr>
        <w:t xml:space="preserve"> </w:t>
      </w:r>
      <w:hyperlink r:id="rId13">
        <w:r w:rsidRPr="48660984">
          <w:rPr>
            <w:rStyle w:val="Hyperlink"/>
          </w:rPr>
          <w:t>https://nso.gov.ki/news/kiribati-power-of-data-empowering-kiribati-disability-inclusion-report-shows-progress-and-gaps/</w:t>
        </w:r>
      </w:hyperlink>
      <w:r w:rsidR="00D1193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936235"/>
      <w:docPartObj>
        <w:docPartGallery w:val="Page Numbers (Top of Page)"/>
        <w:docPartUnique/>
      </w:docPartObj>
    </w:sdtPr>
    <w:sdtEndPr>
      <w:rPr>
        <w:rStyle w:val="PageNumber"/>
      </w:rPr>
    </w:sdtEndPr>
    <w:sdtContent>
      <w:p w14:paraId="6C060ED8" w14:textId="70622B07" w:rsidR="005929C4" w:rsidRDefault="005929C4" w:rsidP="00B6486C">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5A44B3" w14:textId="77777777" w:rsidR="005929C4" w:rsidRDefault="005929C4" w:rsidP="00B648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2125E" w14:textId="6E79BDB5" w:rsidR="005929C4" w:rsidRPr="005929C4" w:rsidRDefault="005929C4" w:rsidP="00B6486C">
    <w:pPr>
      <w:pStyle w:val="Header"/>
    </w:pPr>
    <w:r w:rsidRPr="005929C4">
      <w:t>3</w:t>
    </w:r>
    <w:r>
      <w:t>3</w:t>
    </w:r>
    <w:r w:rsidRPr="005929C4">
      <w:rPr>
        <w:vertAlign w:val="superscript"/>
      </w:rPr>
      <w:t>rd</w:t>
    </w:r>
    <w:r>
      <w:t xml:space="preserve"> </w:t>
    </w:r>
    <w:r w:rsidRPr="005929C4">
      <w:t xml:space="preserve">Session of the UN Committee on the Rights of Persons with Disabilities </w:t>
    </w:r>
    <w:r w:rsidRPr="005929C4">
      <w:br/>
      <w:t xml:space="preserve">Report on Kiribati | Centre for Voters Initiative &amp; Action | </w:t>
    </w:r>
    <w:hyperlink r:id="rId1" w:history="1">
      <w:r w:rsidRPr="005929C4">
        <w:rPr>
          <w:rStyle w:val="Hyperlink"/>
        </w:rPr>
        <w:t>cvia.ch</w:t>
      </w:r>
    </w:hyperlink>
  </w:p>
  <w:p w14:paraId="5D27CB34" w14:textId="142B875B" w:rsidR="005929C4" w:rsidRPr="00D467F4" w:rsidRDefault="005929C4" w:rsidP="00B6486C">
    <w:pPr>
      <w:pStyle w:val="Header"/>
      <w:rPr>
        <w:sz w:val="22"/>
        <w:szCs w:val="22"/>
      </w:rPr>
    </w:pPr>
    <w:r w:rsidRPr="00D467F4">
      <w:rPr>
        <w:sz w:val="22"/>
        <w:szCs w:val="22"/>
      </w:rPr>
      <w:t xml:space="preserve">Page </w:t>
    </w:r>
    <w:sdt>
      <w:sdtPr>
        <w:rPr>
          <w:rStyle w:val="PageNumber"/>
          <w:sz w:val="22"/>
          <w:szCs w:val="22"/>
        </w:rPr>
        <w:id w:val="554829515"/>
        <w:docPartObj>
          <w:docPartGallery w:val="Page Numbers (Top of Page)"/>
          <w:docPartUnique/>
        </w:docPartObj>
      </w:sdtPr>
      <w:sdtEndPr>
        <w:rPr>
          <w:rStyle w:val="PageNumber"/>
        </w:rPr>
      </w:sdtEndPr>
      <w:sdtContent>
        <w:r w:rsidRPr="00D467F4">
          <w:rPr>
            <w:rStyle w:val="PageNumber"/>
            <w:sz w:val="22"/>
            <w:szCs w:val="22"/>
          </w:rPr>
          <w:fldChar w:fldCharType="begin"/>
        </w:r>
        <w:r w:rsidRPr="00D467F4">
          <w:rPr>
            <w:rStyle w:val="PageNumber"/>
            <w:sz w:val="22"/>
            <w:szCs w:val="22"/>
          </w:rPr>
          <w:instrText xml:space="preserve"> PAGE </w:instrText>
        </w:r>
        <w:r w:rsidRPr="00D467F4">
          <w:rPr>
            <w:rStyle w:val="PageNumber"/>
            <w:sz w:val="22"/>
            <w:szCs w:val="22"/>
          </w:rPr>
          <w:fldChar w:fldCharType="separate"/>
        </w:r>
        <w:r w:rsidRPr="00D467F4">
          <w:rPr>
            <w:rStyle w:val="PageNumber"/>
            <w:sz w:val="22"/>
            <w:szCs w:val="22"/>
          </w:rPr>
          <w:t>1</w:t>
        </w:r>
        <w:r w:rsidRPr="00D467F4">
          <w:rPr>
            <w:rStyle w:val="PageNumber"/>
            <w:sz w:val="22"/>
            <w:szCs w:val="22"/>
          </w:rPr>
          <w:fldChar w:fldCharType="end"/>
        </w:r>
      </w:sdtContent>
    </w:sdt>
    <w:r w:rsidRPr="00D467F4">
      <w:rPr>
        <w:rStyle w:val="PageNumber"/>
        <w:sz w:val="22"/>
        <w:szCs w:val="22"/>
      </w:rPr>
      <w:br/>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06A40"/>
    <w:multiLevelType w:val="hybridMultilevel"/>
    <w:tmpl w:val="00F063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1B71324"/>
    <w:multiLevelType w:val="hybridMultilevel"/>
    <w:tmpl w:val="00F063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784C66"/>
    <w:multiLevelType w:val="hybridMultilevel"/>
    <w:tmpl w:val="00F06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965F7"/>
    <w:multiLevelType w:val="hybridMultilevel"/>
    <w:tmpl w:val="7AC8BDF4"/>
    <w:lvl w:ilvl="0" w:tplc="6A8CE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C2B336"/>
    <w:multiLevelType w:val="hybridMultilevel"/>
    <w:tmpl w:val="FFFFFFFF"/>
    <w:lvl w:ilvl="0" w:tplc="E1725312">
      <w:start w:val="1"/>
      <w:numFmt w:val="decimal"/>
      <w:lvlText w:val="%1."/>
      <w:lvlJc w:val="left"/>
      <w:pPr>
        <w:ind w:left="720" w:hanging="360"/>
      </w:pPr>
    </w:lvl>
    <w:lvl w:ilvl="1" w:tplc="6E2ADC1E">
      <w:start w:val="1"/>
      <w:numFmt w:val="lowerLetter"/>
      <w:lvlText w:val="%2."/>
      <w:lvlJc w:val="left"/>
      <w:pPr>
        <w:ind w:left="1440" w:hanging="360"/>
      </w:pPr>
    </w:lvl>
    <w:lvl w:ilvl="2" w:tplc="EFECF0FA">
      <w:start w:val="1"/>
      <w:numFmt w:val="lowerRoman"/>
      <w:lvlText w:val="%3."/>
      <w:lvlJc w:val="right"/>
      <w:pPr>
        <w:ind w:left="2160" w:hanging="180"/>
      </w:pPr>
    </w:lvl>
    <w:lvl w:ilvl="3" w:tplc="633C8E0C">
      <w:start w:val="1"/>
      <w:numFmt w:val="decimal"/>
      <w:lvlText w:val="%4."/>
      <w:lvlJc w:val="left"/>
      <w:pPr>
        <w:ind w:left="2880" w:hanging="360"/>
      </w:pPr>
    </w:lvl>
    <w:lvl w:ilvl="4" w:tplc="FDD0BBEA">
      <w:start w:val="1"/>
      <w:numFmt w:val="lowerLetter"/>
      <w:lvlText w:val="%5."/>
      <w:lvlJc w:val="left"/>
      <w:pPr>
        <w:ind w:left="3600" w:hanging="360"/>
      </w:pPr>
    </w:lvl>
    <w:lvl w:ilvl="5" w:tplc="8AB84598">
      <w:start w:val="1"/>
      <w:numFmt w:val="lowerRoman"/>
      <w:lvlText w:val="%6."/>
      <w:lvlJc w:val="right"/>
      <w:pPr>
        <w:ind w:left="4320" w:hanging="180"/>
      </w:pPr>
    </w:lvl>
    <w:lvl w:ilvl="6" w:tplc="5E705B66">
      <w:start w:val="1"/>
      <w:numFmt w:val="decimal"/>
      <w:lvlText w:val="%7."/>
      <w:lvlJc w:val="left"/>
      <w:pPr>
        <w:ind w:left="5040" w:hanging="360"/>
      </w:pPr>
    </w:lvl>
    <w:lvl w:ilvl="7" w:tplc="DEE22A8E">
      <w:start w:val="1"/>
      <w:numFmt w:val="lowerLetter"/>
      <w:lvlText w:val="%8."/>
      <w:lvlJc w:val="left"/>
      <w:pPr>
        <w:ind w:left="5760" w:hanging="360"/>
      </w:pPr>
    </w:lvl>
    <w:lvl w:ilvl="8" w:tplc="02E0B648">
      <w:start w:val="1"/>
      <w:numFmt w:val="lowerRoman"/>
      <w:lvlText w:val="%9."/>
      <w:lvlJc w:val="right"/>
      <w:pPr>
        <w:ind w:left="6480" w:hanging="180"/>
      </w:pPr>
    </w:lvl>
  </w:abstractNum>
  <w:abstractNum w:abstractNumId="5" w15:restartNumberingAfterBreak="0">
    <w:nsid w:val="71076CB8"/>
    <w:multiLevelType w:val="hybridMultilevel"/>
    <w:tmpl w:val="00F063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AAF2A60"/>
    <w:multiLevelType w:val="hybridMultilevel"/>
    <w:tmpl w:val="6C00AAE8"/>
    <w:lvl w:ilvl="0" w:tplc="37E22BCC">
      <w:start w:val="1"/>
      <w:numFmt w:val="decimal"/>
      <w:lvlText w:val="(%1)"/>
      <w:lvlJc w:val="left"/>
      <w:pPr>
        <w:ind w:left="720" w:hanging="360"/>
      </w:pPr>
    </w:lvl>
    <w:lvl w:ilvl="1" w:tplc="7F0A2062">
      <w:start w:val="1"/>
      <w:numFmt w:val="lowerLetter"/>
      <w:lvlText w:val="%2."/>
      <w:lvlJc w:val="left"/>
      <w:pPr>
        <w:ind w:left="1440" w:hanging="360"/>
      </w:pPr>
    </w:lvl>
    <w:lvl w:ilvl="2" w:tplc="9FD05840">
      <w:start w:val="1"/>
      <w:numFmt w:val="lowerRoman"/>
      <w:lvlText w:val="%3."/>
      <w:lvlJc w:val="right"/>
      <w:pPr>
        <w:ind w:left="2160" w:hanging="180"/>
      </w:pPr>
    </w:lvl>
    <w:lvl w:ilvl="3" w:tplc="EF9E230C">
      <w:start w:val="1"/>
      <w:numFmt w:val="decimal"/>
      <w:lvlText w:val="%4."/>
      <w:lvlJc w:val="left"/>
      <w:pPr>
        <w:ind w:left="2880" w:hanging="360"/>
      </w:pPr>
    </w:lvl>
    <w:lvl w:ilvl="4" w:tplc="EC30A940">
      <w:start w:val="1"/>
      <w:numFmt w:val="lowerLetter"/>
      <w:lvlText w:val="%5."/>
      <w:lvlJc w:val="left"/>
      <w:pPr>
        <w:ind w:left="3600" w:hanging="360"/>
      </w:pPr>
    </w:lvl>
    <w:lvl w:ilvl="5" w:tplc="A2EA7156">
      <w:start w:val="1"/>
      <w:numFmt w:val="lowerRoman"/>
      <w:lvlText w:val="%6."/>
      <w:lvlJc w:val="right"/>
      <w:pPr>
        <w:ind w:left="4320" w:hanging="180"/>
      </w:pPr>
    </w:lvl>
    <w:lvl w:ilvl="6" w:tplc="7FE88EB2">
      <w:start w:val="1"/>
      <w:numFmt w:val="decimal"/>
      <w:lvlText w:val="%7."/>
      <w:lvlJc w:val="left"/>
      <w:pPr>
        <w:ind w:left="5040" w:hanging="360"/>
      </w:pPr>
    </w:lvl>
    <w:lvl w:ilvl="7" w:tplc="EC1A28A6">
      <w:start w:val="1"/>
      <w:numFmt w:val="lowerLetter"/>
      <w:lvlText w:val="%8."/>
      <w:lvlJc w:val="left"/>
      <w:pPr>
        <w:ind w:left="5760" w:hanging="360"/>
      </w:pPr>
    </w:lvl>
    <w:lvl w:ilvl="8" w:tplc="E4F2A1E8">
      <w:start w:val="1"/>
      <w:numFmt w:val="lowerRoman"/>
      <w:lvlText w:val="%9."/>
      <w:lvlJc w:val="right"/>
      <w:pPr>
        <w:ind w:left="6480" w:hanging="180"/>
      </w:pPr>
    </w:lvl>
  </w:abstractNum>
  <w:num w:numId="1" w16cid:durableId="1800755706">
    <w:abstractNumId w:val="6"/>
  </w:num>
  <w:num w:numId="2" w16cid:durableId="8799749">
    <w:abstractNumId w:val="2"/>
  </w:num>
  <w:num w:numId="3" w16cid:durableId="14961140">
    <w:abstractNumId w:val="1"/>
  </w:num>
  <w:num w:numId="4" w16cid:durableId="476803343">
    <w:abstractNumId w:val="5"/>
  </w:num>
  <w:num w:numId="5" w16cid:durableId="159736176">
    <w:abstractNumId w:val="4"/>
  </w:num>
  <w:num w:numId="6" w16cid:durableId="1650402844">
    <w:abstractNumId w:val="0"/>
  </w:num>
  <w:num w:numId="7" w16cid:durableId="3987930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EF237F"/>
    <w:rsid w:val="0000683D"/>
    <w:rsid w:val="000124F5"/>
    <w:rsid w:val="00013A7E"/>
    <w:rsid w:val="00027394"/>
    <w:rsid w:val="00031FED"/>
    <w:rsid w:val="000617C6"/>
    <w:rsid w:val="00064389"/>
    <w:rsid w:val="000671FC"/>
    <w:rsid w:val="00067F74"/>
    <w:rsid w:val="00076786"/>
    <w:rsid w:val="00081EE1"/>
    <w:rsid w:val="00083CE2"/>
    <w:rsid w:val="00095838"/>
    <w:rsid w:val="00096117"/>
    <w:rsid w:val="000A0235"/>
    <w:rsid w:val="000A52AE"/>
    <w:rsid w:val="000A57F4"/>
    <w:rsid w:val="000B74DA"/>
    <w:rsid w:val="000C2333"/>
    <w:rsid w:val="000C3BD8"/>
    <w:rsid w:val="000C47B4"/>
    <w:rsid w:val="000C66AF"/>
    <w:rsid w:val="000D027E"/>
    <w:rsid w:val="000D47D7"/>
    <w:rsid w:val="000D54DD"/>
    <w:rsid w:val="000D7D93"/>
    <w:rsid w:val="000F3643"/>
    <w:rsid w:val="000F4E63"/>
    <w:rsid w:val="000F5FB8"/>
    <w:rsid w:val="0010250F"/>
    <w:rsid w:val="00103E72"/>
    <w:rsid w:val="00114775"/>
    <w:rsid w:val="00114B4F"/>
    <w:rsid w:val="00122CAA"/>
    <w:rsid w:val="001237FD"/>
    <w:rsid w:val="001244B6"/>
    <w:rsid w:val="00126B55"/>
    <w:rsid w:val="00126E9E"/>
    <w:rsid w:val="001347F3"/>
    <w:rsid w:val="00136852"/>
    <w:rsid w:val="001370C4"/>
    <w:rsid w:val="00142C84"/>
    <w:rsid w:val="00143554"/>
    <w:rsid w:val="001454D1"/>
    <w:rsid w:val="001529C6"/>
    <w:rsid w:val="001669EC"/>
    <w:rsid w:val="001743FB"/>
    <w:rsid w:val="00192867"/>
    <w:rsid w:val="00194A4D"/>
    <w:rsid w:val="001A07A3"/>
    <w:rsid w:val="001B16A9"/>
    <w:rsid w:val="001C04F7"/>
    <w:rsid w:val="001C0B48"/>
    <w:rsid w:val="001C576C"/>
    <w:rsid w:val="001C5C9C"/>
    <w:rsid w:val="001C6EF1"/>
    <w:rsid w:val="001D3801"/>
    <w:rsid w:val="001D79BD"/>
    <w:rsid w:val="001E313A"/>
    <w:rsid w:val="001F49F6"/>
    <w:rsid w:val="00211F23"/>
    <w:rsid w:val="00213C03"/>
    <w:rsid w:val="00217285"/>
    <w:rsid w:val="00222716"/>
    <w:rsid w:val="00237693"/>
    <w:rsid w:val="00250162"/>
    <w:rsid w:val="00252CDE"/>
    <w:rsid w:val="0025704A"/>
    <w:rsid w:val="002574A1"/>
    <w:rsid w:val="00263750"/>
    <w:rsid w:val="002644AF"/>
    <w:rsid w:val="0026485A"/>
    <w:rsid w:val="002723BE"/>
    <w:rsid w:val="0028623A"/>
    <w:rsid w:val="002924A2"/>
    <w:rsid w:val="00292DDD"/>
    <w:rsid w:val="00293684"/>
    <w:rsid w:val="002B0048"/>
    <w:rsid w:val="002B0FD7"/>
    <w:rsid w:val="002B4AAF"/>
    <w:rsid w:val="002D6883"/>
    <w:rsid w:val="002F1BFE"/>
    <w:rsid w:val="003105A7"/>
    <w:rsid w:val="00321DB3"/>
    <w:rsid w:val="00331BAA"/>
    <w:rsid w:val="003354DC"/>
    <w:rsid w:val="003409C7"/>
    <w:rsid w:val="00340A2B"/>
    <w:rsid w:val="00343C5A"/>
    <w:rsid w:val="0034799F"/>
    <w:rsid w:val="00351490"/>
    <w:rsid w:val="003552C0"/>
    <w:rsid w:val="0036260A"/>
    <w:rsid w:val="00367701"/>
    <w:rsid w:val="00374169"/>
    <w:rsid w:val="00385B77"/>
    <w:rsid w:val="003913E8"/>
    <w:rsid w:val="003A143F"/>
    <w:rsid w:val="003A4339"/>
    <w:rsid w:val="003C589F"/>
    <w:rsid w:val="003D4488"/>
    <w:rsid w:val="003F3258"/>
    <w:rsid w:val="003F3405"/>
    <w:rsid w:val="003F5131"/>
    <w:rsid w:val="004070F2"/>
    <w:rsid w:val="00414D3D"/>
    <w:rsid w:val="004153F3"/>
    <w:rsid w:val="00421B50"/>
    <w:rsid w:val="00424553"/>
    <w:rsid w:val="00426303"/>
    <w:rsid w:val="004265B2"/>
    <w:rsid w:val="00431941"/>
    <w:rsid w:val="004470E0"/>
    <w:rsid w:val="0045416C"/>
    <w:rsid w:val="004614BC"/>
    <w:rsid w:val="00466C0F"/>
    <w:rsid w:val="00470752"/>
    <w:rsid w:val="00473F9F"/>
    <w:rsid w:val="0048160B"/>
    <w:rsid w:val="0048472D"/>
    <w:rsid w:val="00495518"/>
    <w:rsid w:val="0049756E"/>
    <w:rsid w:val="00497A1B"/>
    <w:rsid w:val="004A25F7"/>
    <w:rsid w:val="004B555E"/>
    <w:rsid w:val="004C310B"/>
    <w:rsid w:val="004D72AD"/>
    <w:rsid w:val="004D769A"/>
    <w:rsid w:val="004E4819"/>
    <w:rsid w:val="004F4E83"/>
    <w:rsid w:val="004F6E18"/>
    <w:rsid w:val="004F774D"/>
    <w:rsid w:val="00535DFE"/>
    <w:rsid w:val="00545C89"/>
    <w:rsid w:val="005574EA"/>
    <w:rsid w:val="00586576"/>
    <w:rsid w:val="00587F6D"/>
    <w:rsid w:val="005929C4"/>
    <w:rsid w:val="0059502B"/>
    <w:rsid w:val="00596606"/>
    <w:rsid w:val="005971A8"/>
    <w:rsid w:val="005D1B49"/>
    <w:rsid w:val="005D21EC"/>
    <w:rsid w:val="005D2784"/>
    <w:rsid w:val="005D54DA"/>
    <w:rsid w:val="005E34AD"/>
    <w:rsid w:val="00605527"/>
    <w:rsid w:val="006066FE"/>
    <w:rsid w:val="00611740"/>
    <w:rsid w:val="00616EFA"/>
    <w:rsid w:val="0062281A"/>
    <w:rsid w:val="00631CC1"/>
    <w:rsid w:val="00633AD3"/>
    <w:rsid w:val="00643FC6"/>
    <w:rsid w:val="006533C6"/>
    <w:rsid w:val="00667E8A"/>
    <w:rsid w:val="006737C3"/>
    <w:rsid w:val="00674835"/>
    <w:rsid w:val="00675D65"/>
    <w:rsid w:val="00676164"/>
    <w:rsid w:val="00684BEA"/>
    <w:rsid w:val="006A431C"/>
    <w:rsid w:val="006B0705"/>
    <w:rsid w:val="006C5ABE"/>
    <w:rsid w:val="006D05E2"/>
    <w:rsid w:val="006D1C62"/>
    <w:rsid w:val="006E1A09"/>
    <w:rsid w:val="006E26E9"/>
    <w:rsid w:val="006E51D5"/>
    <w:rsid w:val="006E56E3"/>
    <w:rsid w:val="006F41D2"/>
    <w:rsid w:val="006F5792"/>
    <w:rsid w:val="00705FE5"/>
    <w:rsid w:val="007203AE"/>
    <w:rsid w:val="00720B45"/>
    <w:rsid w:val="00726CC9"/>
    <w:rsid w:val="007372CF"/>
    <w:rsid w:val="00744361"/>
    <w:rsid w:val="00752284"/>
    <w:rsid w:val="007556D8"/>
    <w:rsid w:val="007669A6"/>
    <w:rsid w:val="00767182"/>
    <w:rsid w:val="00773062"/>
    <w:rsid w:val="007735C6"/>
    <w:rsid w:val="00774BB7"/>
    <w:rsid w:val="00785427"/>
    <w:rsid w:val="007854D1"/>
    <w:rsid w:val="00792FA1"/>
    <w:rsid w:val="007A6C7E"/>
    <w:rsid w:val="007C08EE"/>
    <w:rsid w:val="007C358E"/>
    <w:rsid w:val="007D0388"/>
    <w:rsid w:val="007E2495"/>
    <w:rsid w:val="007E4FC7"/>
    <w:rsid w:val="007E6FD4"/>
    <w:rsid w:val="007E787A"/>
    <w:rsid w:val="007F3153"/>
    <w:rsid w:val="007F4042"/>
    <w:rsid w:val="008003EF"/>
    <w:rsid w:val="008038F5"/>
    <w:rsid w:val="00810871"/>
    <w:rsid w:val="008148E7"/>
    <w:rsid w:val="0083325E"/>
    <w:rsid w:val="008423B8"/>
    <w:rsid w:val="00845E84"/>
    <w:rsid w:val="008506C4"/>
    <w:rsid w:val="00852D24"/>
    <w:rsid w:val="008618A5"/>
    <w:rsid w:val="00863F14"/>
    <w:rsid w:val="008749AA"/>
    <w:rsid w:val="008833C0"/>
    <w:rsid w:val="008843FA"/>
    <w:rsid w:val="00884AAB"/>
    <w:rsid w:val="00891793"/>
    <w:rsid w:val="0089190C"/>
    <w:rsid w:val="00895FE5"/>
    <w:rsid w:val="00897843"/>
    <w:rsid w:val="008A4C5B"/>
    <w:rsid w:val="008B08F7"/>
    <w:rsid w:val="008B369A"/>
    <w:rsid w:val="008C3BD3"/>
    <w:rsid w:val="008C7473"/>
    <w:rsid w:val="008D2F83"/>
    <w:rsid w:val="008D5AAD"/>
    <w:rsid w:val="008D5F8D"/>
    <w:rsid w:val="008F3301"/>
    <w:rsid w:val="008F37DC"/>
    <w:rsid w:val="008F6C41"/>
    <w:rsid w:val="00905839"/>
    <w:rsid w:val="00911ADD"/>
    <w:rsid w:val="00916C88"/>
    <w:rsid w:val="00920F41"/>
    <w:rsid w:val="0092271F"/>
    <w:rsid w:val="00940A23"/>
    <w:rsid w:val="00951003"/>
    <w:rsid w:val="009600E7"/>
    <w:rsid w:val="00961E26"/>
    <w:rsid w:val="009649C9"/>
    <w:rsid w:val="00967E42"/>
    <w:rsid w:val="00973C1D"/>
    <w:rsid w:val="009740C1"/>
    <w:rsid w:val="00983BDB"/>
    <w:rsid w:val="00985898"/>
    <w:rsid w:val="009944E6"/>
    <w:rsid w:val="009969BA"/>
    <w:rsid w:val="009A3638"/>
    <w:rsid w:val="009A4184"/>
    <w:rsid w:val="009A4BEE"/>
    <w:rsid w:val="009A79F9"/>
    <w:rsid w:val="009C2C6F"/>
    <w:rsid w:val="009D5388"/>
    <w:rsid w:val="009E6609"/>
    <w:rsid w:val="00A00C07"/>
    <w:rsid w:val="00A20C5F"/>
    <w:rsid w:val="00A232BA"/>
    <w:rsid w:val="00A35DF2"/>
    <w:rsid w:val="00A477D7"/>
    <w:rsid w:val="00A56968"/>
    <w:rsid w:val="00A65BA4"/>
    <w:rsid w:val="00A67671"/>
    <w:rsid w:val="00A67CE8"/>
    <w:rsid w:val="00A71475"/>
    <w:rsid w:val="00A7249C"/>
    <w:rsid w:val="00A77DF5"/>
    <w:rsid w:val="00A82547"/>
    <w:rsid w:val="00A842B9"/>
    <w:rsid w:val="00A91E2C"/>
    <w:rsid w:val="00A94529"/>
    <w:rsid w:val="00AA249D"/>
    <w:rsid w:val="00AA3EA3"/>
    <w:rsid w:val="00AA5B41"/>
    <w:rsid w:val="00AB40F1"/>
    <w:rsid w:val="00AC5D14"/>
    <w:rsid w:val="00AC6491"/>
    <w:rsid w:val="00AD74B4"/>
    <w:rsid w:val="00AD77C1"/>
    <w:rsid w:val="00AE6A8F"/>
    <w:rsid w:val="00AF151E"/>
    <w:rsid w:val="00AF671F"/>
    <w:rsid w:val="00AF6B4A"/>
    <w:rsid w:val="00AF7485"/>
    <w:rsid w:val="00B00770"/>
    <w:rsid w:val="00B079BF"/>
    <w:rsid w:val="00B3057C"/>
    <w:rsid w:val="00B3798E"/>
    <w:rsid w:val="00B402ED"/>
    <w:rsid w:val="00B4058A"/>
    <w:rsid w:val="00B4174D"/>
    <w:rsid w:val="00B42000"/>
    <w:rsid w:val="00B46C5B"/>
    <w:rsid w:val="00B603D5"/>
    <w:rsid w:val="00B6120A"/>
    <w:rsid w:val="00B6486C"/>
    <w:rsid w:val="00B671B6"/>
    <w:rsid w:val="00B74A50"/>
    <w:rsid w:val="00B8568F"/>
    <w:rsid w:val="00B85AC0"/>
    <w:rsid w:val="00B86CE7"/>
    <w:rsid w:val="00BB7EB9"/>
    <w:rsid w:val="00BC6FE5"/>
    <w:rsid w:val="00BD1A64"/>
    <w:rsid w:val="00BD63FF"/>
    <w:rsid w:val="00BD7E58"/>
    <w:rsid w:val="00C14CA7"/>
    <w:rsid w:val="00C247A6"/>
    <w:rsid w:val="00C302E8"/>
    <w:rsid w:val="00C411B4"/>
    <w:rsid w:val="00C41364"/>
    <w:rsid w:val="00C42552"/>
    <w:rsid w:val="00C522A3"/>
    <w:rsid w:val="00C567AF"/>
    <w:rsid w:val="00C62341"/>
    <w:rsid w:val="00C62A41"/>
    <w:rsid w:val="00C7024E"/>
    <w:rsid w:val="00C72957"/>
    <w:rsid w:val="00C8035A"/>
    <w:rsid w:val="00C80365"/>
    <w:rsid w:val="00C833CC"/>
    <w:rsid w:val="00C847C1"/>
    <w:rsid w:val="00C929C9"/>
    <w:rsid w:val="00C97DB1"/>
    <w:rsid w:val="00CA5977"/>
    <w:rsid w:val="00CB0B87"/>
    <w:rsid w:val="00CB6F6D"/>
    <w:rsid w:val="00CD59EC"/>
    <w:rsid w:val="00CF58A1"/>
    <w:rsid w:val="00D11933"/>
    <w:rsid w:val="00D16C97"/>
    <w:rsid w:val="00D27828"/>
    <w:rsid w:val="00D30C44"/>
    <w:rsid w:val="00D3197E"/>
    <w:rsid w:val="00D337E4"/>
    <w:rsid w:val="00D33815"/>
    <w:rsid w:val="00D36674"/>
    <w:rsid w:val="00D41B0C"/>
    <w:rsid w:val="00D467F4"/>
    <w:rsid w:val="00D55EFF"/>
    <w:rsid w:val="00D6005E"/>
    <w:rsid w:val="00D64A82"/>
    <w:rsid w:val="00D85CCF"/>
    <w:rsid w:val="00DA28B5"/>
    <w:rsid w:val="00DA5B2C"/>
    <w:rsid w:val="00DC2DC9"/>
    <w:rsid w:val="00DC3559"/>
    <w:rsid w:val="00DC70E4"/>
    <w:rsid w:val="00DD0D44"/>
    <w:rsid w:val="00DD40DF"/>
    <w:rsid w:val="00DE3070"/>
    <w:rsid w:val="00DF0EB4"/>
    <w:rsid w:val="00DF4A15"/>
    <w:rsid w:val="00DF6A84"/>
    <w:rsid w:val="00DF7FBB"/>
    <w:rsid w:val="00E02B4C"/>
    <w:rsid w:val="00E06C50"/>
    <w:rsid w:val="00E1166F"/>
    <w:rsid w:val="00E14670"/>
    <w:rsid w:val="00E153E1"/>
    <w:rsid w:val="00E154D2"/>
    <w:rsid w:val="00E169D9"/>
    <w:rsid w:val="00E16E5B"/>
    <w:rsid w:val="00E226B4"/>
    <w:rsid w:val="00E405A5"/>
    <w:rsid w:val="00E464C1"/>
    <w:rsid w:val="00E47AAF"/>
    <w:rsid w:val="00E50EF6"/>
    <w:rsid w:val="00E51899"/>
    <w:rsid w:val="00E62FC7"/>
    <w:rsid w:val="00E7464B"/>
    <w:rsid w:val="00E8252C"/>
    <w:rsid w:val="00E85977"/>
    <w:rsid w:val="00E90127"/>
    <w:rsid w:val="00E93471"/>
    <w:rsid w:val="00E97D84"/>
    <w:rsid w:val="00EA443C"/>
    <w:rsid w:val="00EB048E"/>
    <w:rsid w:val="00EB415C"/>
    <w:rsid w:val="00EB4E97"/>
    <w:rsid w:val="00EB5B65"/>
    <w:rsid w:val="00EC184A"/>
    <w:rsid w:val="00ED7446"/>
    <w:rsid w:val="00EE09D9"/>
    <w:rsid w:val="00EE1CCD"/>
    <w:rsid w:val="00EF6D34"/>
    <w:rsid w:val="00EF73C1"/>
    <w:rsid w:val="00F10521"/>
    <w:rsid w:val="00F2041B"/>
    <w:rsid w:val="00F22889"/>
    <w:rsid w:val="00F451F1"/>
    <w:rsid w:val="00F50086"/>
    <w:rsid w:val="00F750E3"/>
    <w:rsid w:val="00F85E7E"/>
    <w:rsid w:val="00F8624E"/>
    <w:rsid w:val="00F94861"/>
    <w:rsid w:val="00F94CF3"/>
    <w:rsid w:val="00FA7857"/>
    <w:rsid w:val="00FA7AEB"/>
    <w:rsid w:val="00FB4889"/>
    <w:rsid w:val="00FB500B"/>
    <w:rsid w:val="00FC4CC7"/>
    <w:rsid w:val="00FC4FAE"/>
    <w:rsid w:val="00FC563D"/>
    <w:rsid w:val="00FD509D"/>
    <w:rsid w:val="00FE5F34"/>
    <w:rsid w:val="00FF1465"/>
    <w:rsid w:val="00FF60A8"/>
    <w:rsid w:val="010344B6"/>
    <w:rsid w:val="02707D64"/>
    <w:rsid w:val="041FD216"/>
    <w:rsid w:val="04A222E8"/>
    <w:rsid w:val="05FCF619"/>
    <w:rsid w:val="06DBBA38"/>
    <w:rsid w:val="06F796E8"/>
    <w:rsid w:val="06F7BB87"/>
    <w:rsid w:val="07AF4F77"/>
    <w:rsid w:val="07E9C903"/>
    <w:rsid w:val="090A30AC"/>
    <w:rsid w:val="095024E9"/>
    <w:rsid w:val="0AED8045"/>
    <w:rsid w:val="0AFE9AA2"/>
    <w:rsid w:val="0B09D7B1"/>
    <w:rsid w:val="0BB880D7"/>
    <w:rsid w:val="0C24FCDB"/>
    <w:rsid w:val="0C96C39A"/>
    <w:rsid w:val="0CEA65F6"/>
    <w:rsid w:val="0D8E1038"/>
    <w:rsid w:val="0ECE61F6"/>
    <w:rsid w:val="1215364B"/>
    <w:rsid w:val="12FA3AA4"/>
    <w:rsid w:val="15015177"/>
    <w:rsid w:val="155A82E3"/>
    <w:rsid w:val="15A48EDA"/>
    <w:rsid w:val="167554BF"/>
    <w:rsid w:val="172A8E93"/>
    <w:rsid w:val="19C45742"/>
    <w:rsid w:val="1A642719"/>
    <w:rsid w:val="1AFDE7F7"/>
    <w:rsid w:val="1B01F6FA"/>
    <w:rsid w:val="1B1C8A5C"/>
    <w:rsid w:val="1EEF237F"/>
    <w:rsid w:val="2013C93C"/>
    <w:rsid w:val="21389136"/>
    <w:rsid w:val="250691DC"/>
    <w:rsid w:val="25CD0A27"/>
    <w:rsid w:val="27306C74"/>
    <w:rsid w:val="276EC3D9"/>
    <w:rsid w:val="2CD3A235"/>
    <w:rsid w:val="2CDD3257"/>
    <w:rsid w:val="2CE692F2"/>
    <w:rsid w:val="2DC29828"/>
    <w:rsid w:val="2EA55F1E"/>
    <w:rsid w:val="30311D39"/>
    <w:rsid w:val="30927BDA"/>
    <w:rsid w:val="30F458EA"/>
    <w:rsid w:val="31303B10"/>
    <w:rsid w:val="3395D80E"/>
    <w:rsid w:val="347E66FF"/>
    <w:rsid w:val="374465A5"/>
    <w:rsid w:val="37F3D0F8"/>
    <w:rsid w:val="39082382"/>
    <w:rsid w:val="392DA0E1"/>
    <w:rsid w:val="39B1BEDF"/>
    <w:rsid w:val="39ED032E"/>
    <w:rsid w:val="3AF38326"/>
    <w:rsid w:val="3B78505B"/>
    <w:rsid w:val="3CBA1C38"/>
    <w:rsid w:val="3D109B59"/>
    <w:rsid w:val="3E54A531"/>
    <w:rsid w:val="3EFD8061"/>
    <w:rsid w:val="3F987CBF"/>
    <w:rsid w:val="403746F2"/>
    <w:rsid w:val="4086E6AF"/>
    <w:rsid w:val="416116C1"/>
    <w:rsid w:val="41731EDD"/>
    <w:rsid w:val="41DD571E"/>
    <w:rsid w:val="43082BD3"/>
    <w:rsid w:val="43F43E55"/>
    <w:rsid w:val="45171993"/>
    <w:rsid w:val="451C685F"/>
    <w:rsid w:val="452FB00B"/>
    <w:rsid w:val="456B7D89"/>
    <w:rsid w:val="46115F1D"/>
    <w:rsid w:val="478709B6"/>
    <w:rsid w:val="47A153E1"/>
    <w:rsid w:val="47E3E9ED"/>
    <w:rsid w:val="48660984"/>
    <w:rsid w:val="48F2932D"/>
    <w:rsid w:val="498D1729"/>
    <w:rsid w:val="4ABC5008"/>
    <w:rsid w:val="4B936297"/>
    <w:rsid w:val="4BD1CFAF"/>
    <w:rsid w:val="4D6D4F6B"/>
    <w:rsid w:val="4D7CA54B"/>
    <w:rsid w:val="506A49F4"/>
    <w:rsid w:val="55E6B808"/>
    <w:rsid w:val="56B7A29B"/>
    <w:rsid w:val="580F46C2"/>
    <w:rsid w:val="599C4DFD"/>
    <w:rsid w:val="5A8EB2ED"/>
    <w:rsid w:val="5DD0016F"/>
    <w:rsid w:val="60E52909"/>
    <w:rsid w:val="63B2B518"/>
    <w:rsid w:val="648DDDA1"/>
    <w:rsid w:val="69BEC655"/>
    <w:rsid w:val="6C1CA95D"/>
    <w:rsid w:val="6C6961A4"/>
    <w:rsid w:val="6C826515"/>
    <w:rsid w:val="6E201F64"/>
    <w:rsid w:val="6F832F77"/>
    <w:rsid w:val="6FAD1BEC"/>
    <w:rsid w:val="71FA2EAE"/>
    <w:rsid w:val="72F3E3EE"/>
    <w:rsid w:val="745E12E3"/>
    <w:rsid w:val="75247A3B"/>
    <w:rsid w:val="75523C69"/>
    <w:rsid w:val="76494072"/>
    <w:rsid w:val="76A14AF8"/>
    <w:rsid w:val="7A11E6DC"/>
    <w:rsid w:val="7DF4E0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C7637"/>
  <w15:chartTrackingRefBased/>
  <w15:docId w15:val="{64C8D0B9-79FB-4F0E-AF9E-9F65E68B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86C"/>
    <w:pPr>
      <w:spacing w:after="0" w:line="240" w:lineRule="auto"/>
    </w:pPr>
    <w:rPr>
      <w:rFonts w:ascii="Calibri" w:eastAsia="Calibri" w:hAnsi="Calibri" w:cs="Calibri"/>
    </w:rPr>
  </w:style>
  <w:style w:type="paragraph" w:styleId="Heading1">
    <w:name w:val="heading 1"/>
    <w:basedOn w:val="Normal"/>
    <w:next w:val="Normal"/>
    <w:link w:val="Heading1Char"/>
    <w:uiPriority w:val="9"/>
    <w:qFormat/>
    <w:rsid w:val="008843FA"/>
    <w:pPr>
      <w:spacing w:after="240"/>
      <w:outlineLvl w:val="0"/>
    </w:pPr>
    <w:rPr>
      <w:b/>
      <w:bCs/>
      <w:color w:val="1C4E80"/>
    </w:rPr>
  </w:style>
  <w:style w:type="paragraph" w:styleId="Heading2">
    <w:name w:val="heading 2"/>
    <w:basedOn w:val="Normal"/>
    <w:next w:val="Normal"/>
    <w:link w:val="Heading2Char"/>
    <w:uiPriority w:val="9"/>
    <w:unhideWhenUsed/>
    <w:qFormat/>
    <w:rsid w:val="00611740"/>
    <w:pPr>
      <w:outlineLvl w:val="1"/>
    </w:pPr>
    <w:rPr>
      <w:u w:val="single"/>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3FA"/>
    <w:rPr>
      <w:rFonts w:ascii="Calibri" w:eastAsia="Calibri" w:hAnsi="Calibri" w:cs="Calibri"/>
      <w:b/>
      <w:bCs/>
      <w:color w:val="1C4E80"/>
    </w:rPr>
  </w:style>
  <w:style w:type="character" w:customStyle="1" w:styleId="Heading2Char">
    <w:name w:val="Heading 2 Char"/>
    <w:basedOn w:val="DefaultParagraphFont"/>
    <w:link w:val="Heading2"/>
    <w:uiPriority w:val="9"/>
    <w:rsid w:val="00611740"/>
    <w:rPr>
      <w:rFonts w:ascii="Calibri" w:eastAsia="Calibri" w:hAnsi="Calibri" w:cs="Calibri"/>
      <w:u w:val="single"/>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ascii="Calibri" w:eastAsiaTheme="majorEastAsia" w:hAnsi="Calibri" w:cstheme="majorBidi"/>
      <w:i/>
      <w:iCs/>
      <w:color w:val="595959" w:themeColor="text1" w:themeTint="A6"/>
    </w:rPr>
  </w:style>
  <w:style w:type="character" w:customStyle="1" w:styleId="Heading7Char">
    <w:name w:val="Heading 7 Char"/>
    <w:basedOn w:val="DefaultParagraphFont"/>
    <w:link w:val="Heading7"/>
    <w:uiPriority w:val="9"/>
    <w:rPr>
      <w:rFonts w:ascii="Calibri" w:eastAsiaTheme="majorEastAsia" w:hAnsi="Calibri" w:cstheme="majorBidi"/>
      <w:color w:val="595959" w:themeColor="text1" w:themeTint="A6"/>
    </w:rPr>
  </w:style>
  <w:style w:type="character" w:customStyle="1" w:styleId="Heading8Char">
    <w:name w:val="Heading 8 Char"/>
    <w:basedOn w:val="DefaultParagraphFont"/>
    <w:link w:val="Heading8"/>
    <w:uiPriority w:val="9"/>
    <w:rPr>
      <w:rFonts w:ascii="Calibri" w:eastAsiaTheme="majorEastAsia" w:hAnsi="Calibri" w:cstheme="majorBidi"/>
      <w:i/>
      <w:iCs/>
      <w:color w:val="272727" w:themeColor="text1" w:themeTint="D8"/>
    </w:rPr>
  </w:style>
  <w:style w:type="character" w:customStyle="1" w:styleId="Heading9Char">
    <w:name w:val="Heading 9 Char"/>
    <w:basedOn w:val="DefaultParagraphFont"/>
    <w:link w:val="Heading9"/>
    <w:uiPriority w:val="9"/>
    <w:rPr>
      <w:rFonts w:ascii="Calibri" w:eastAsiaTheme="majorEastAsia" w:hAnsi="Calibri"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sid w:val="001D3801"/>
    <w:rPr>
      <w:rFonts w:ascii="Calibri" w:hAnsi="Calibri"/>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sid w:val="001D3801"/>
    <w:rPr>
      <w:rFonts w:ascii="Calibri" w:hAnsi="Calibri"/>
      <w:b/>
      <w:bCs/>
      <w:smallCaps/>
      <w:color w:val="0F4761" w:themeColor="accent1" w:themeShade="BF"/>
      <w:spacing w:val="5"/>
    </w:rPr>
  </w:style>
  <w:style w:type="paragraph" w:styleId="ListParagraph">
    <w:name w:val="List Paragraph"/>
    <w:basedOn w:val="Normal"/>
    <w:uiPriority w:val="34"/>
    <w:qFormat/>
    <w:rsid w:val="3CBA1C38"/>
    <w:pPr>
      <w:ind w:left="720"/>
      <w:contextualSpacing/>
    </w:pPr>
  </w:style>
  <w:style w:type="character" w:styleId="Hyperlink">
    <w:name w:val="Hyperlink"/>
    <w:uiPriority w:val="99"/>
    <w:unhideWhenUsed/>
    <w:rsid w:val="001D3801"/>
    <w:rPr>
      <w:rFonts w:ascii="Calibri" w:hAnsi="Calibri"/>
      <w:color w:val="0432FF"/>
      <w:u w:val="single"/>
    </w:rPr>
  </w:style>
  <w:style w:type="character" w:styleId="UnresolvedMention">
    <w:name w:val="Unresolved Mention"/>
    <w:basedOn w:val="DefaultParagraphFont"/>
    <w:uiPriority w:val="99"/>
    <w:semiHidden/>
    <w:unhideWhenUsed/>
    <w:rsid w:val="00421B50"/>
    <w:rPr>
      <w:color w:val="605E5C"/>
      <w:shd w:val="clear" w:color="auto" w:fill="E1DFDD"/>
    </w:rPr>
  </w:style>
  <w:style w:type="paragraph" w:styleId="Header">
    <w:name w:val="header"/>
    <w:basedOn w:val="Normal"/>
    <w:link w:val="HeaderChar"/>
    <w:uiPriority w:val="99"/>
    <w:unhideWhenUsed/>
    <w:rsid w:val="005929C4"/>
    <w:pPr>
      <w:tabs>
        <w:tab w:val="center" w:pos="4513"/>
        <w:tab w:val="right" w:pos="9026"/>
      </w:tabs>
    </w:pPr>
  </w:style>
  <w:style w:type="character" w:customStyle="1" w:styleId="HeaderChar">
    <w:name w:val="Header Char"/>
    <w:basedOn w:val="DefaultParagraphFont"/>
    <w:link w:val="Header"/>
    <w:uiPriority w:val="99"/>
    <w:rsid w:val="005929C4"/>
    <w:rPr>
      <w:rFonts w:ascii="Calibri" w:eastAsia="Calibri" w:hAnsi="Calibri" w:cs="Calibri"/>
    </w:rPr>
  </w:style>
  <w:style w:type="paragraph" w:styleId="Footer">
    <w:name w:val="footer"/>
    <w:basedOn w:val="Normal"/>
    <w:link w:val="FooterChar"/>
    <w:uiPriority w:val="99"/>
    <w:unhideWhenUsed/>
    <w:rsid w:val="005929C4"/>
    <w:pPr>
      <w:tabs>
        <w:tab w:val="center" w:pos="4513"/>
        <w:tab w:val="right" w:pos="9026"/>
      </w:tabs>
    </w:pPr>
  </w:style>
  <w:style w:type="character" w:customStyle="1" w:styleId="FooterChar">
    <w:name w:val="Footer Char"/>
    <w:basedOn w:val="DefaultParagraphFont"/>
    <w:link w:val="Footer"/>
    <w:uiPriority w:val="99"/>
    <w:rsid w:val="005929C4"/>
    <w:rPr>
      <w:rFonts w:ascii="Calibri" w:eastAsia="Calibri" w:hAnsi="Calibri" w:cs="Calibri"/>
    </w:rPr>
  </w:style>
  <w:style w:type="character" w:styleId="PageNumber">
    <w:name w:val="page number"/>
    <w:basedOn w:val="DefaultParagraphFont"/>
    <w:uiPriority w:val="99"/>
    <w:semiHidden/>
    <w:unhideWhenUsed/>
    <w:rsid w:val="005929C4"/>
  </w:style>
  <w:style w:type="paragraph" w:styleId="TOCHeading">
    <w:name w:val="TOC Heading"/>
    <w:basedOn w:val="Heading1"/>
    <w:next w:val="Normal"/>
    <w:uiPriority w:val="39"/>
    <w:unhideWhenUsed/>
    <w:qFormat/>
    <w:rsid w:val="001D3801"/>
    <w:pPr>
      <w:keepNext/>
      <w:keepLines/>
      <w:spacing w:before="480" w:after="0" w:line="276" w:lineRule="auto"/>
      <w:outlineLvl w:val="9"/>
    </w:pPr>
    <w:rPr>
      <w:rFonts w:eastAsiaTheme="majorEastAsia" w:cstheme="majorBidi"/>
      <w:color w:val="0F4761" w:themeColor="accent1" w:themeShade="BF"/>
      <w:sz w:val="28"/>
      <w:szCs w:val="28"/>
      <w:lang w:val="en-US" w:eastAsia="en-US"/>
    </w:rPr>
  </w:style>
  <w:style w:type="paragraph" w:styleId="TOC1">
    <w:name w:val="toc 1"/>
    <w:basedOn w:val="Normal"/>
    <w:next w:val="Normal"/>
    <w:autoRedefine/>
    <w:uiPriority w:val="39"/>
    <w:unhideWhenUsed/>
    <w:rsid w:val="001D3801"/>
    <w:pPr>
      <w:spacing w:before="120"/>
    </w:pPr>
    <w:rPr>
      <w:b/>
      <w:bCs/>
      <w:i/>
      <w:iCs/>
    </w:rPr>
  </w:style>
  <w:style w:type="paragraph" w:styleId="TOC2">
    <w:name w:val="toc 2"/>
    <w:basedOn w:val="Normal"/>
    <w:next w:val="Normal"/>
    <w:autoRedefine/>
    <w:uiPriority w:val="39"/>
    <w:semiHidden/>
    <w:unhideWhenUsed/>
    <w:rsid w:val="003F3258"/>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3F325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3F325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F325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F325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F325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F325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F3258"/>
    <w:pPr>
      <w:ind w:left="1920"/>
    </w:pPr>
    <w:rPr>
      <w:rFonts w:asciiTheme="minorHAnsi" w:hAnsiTheme="minorHAnsi"/>
      <w:sz w:val="20"/>
      <w:szCs w:val="20"/>
    </w:rPr>
  </w:style>
  <w:style w:type="table" w:styleId="TableGrid">
    <w:name w:val="Table Grid"/>
    <w:basedOn w:val="TableNormal"/>
    <w:uiPriority w:val="39"/>
    <w:rsid w:val="00F45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451F1"/>
    <w:rPr>
      <w:sz w:val="20"/>
      <w:szCs w:val="20"/>
    </w:rPr>
  </w:style>
  <w:style w:type="character" w:customStyle="1" w:styleId="FootnoteTextChar">
    <w:name w:val="Footnote Text Char"/>
    <w:basedOn w:val="DefaultParagraphFont"/>
    <w:link w:val="FootnoteText"/>
    <w:uiPriority w:val="99"/>
    <w:semiHidden/>
    <w:rsid w:val="00F451F1"/>
    <w:rPr>
      <w:rFonts w:ascii="Calibri" w:eastAsia="Calibri" w:hAnsi="Calibri" w:cs="Calibri"/>
      <w:sz w:val="20"/>
      <w:szCs w:val="20"/>
    </w:rPr>
  </w:style>
  <w:style w:type="character" w:styleId="FootnoteReference">
    <w:name w:val="footnote reference"/>
    <w:basedOn w:val="DefaultParagraphFont"/>
    <w:uiPriority w:val="99"/>
    <w:semiHidden/>
    <w:unhideWhenUsed/>
    <w:rsid w:val="00F451F1"/>
    <w:rPr>
      <w:vertAlign w:val="superscript"/>
    </w:rPr>
  </w:style>
  <w:style w:type="paragraph" w:styleId="Caption">
    <w:name w:val="caption"/>
    <w:basedOn w:val="Normal"/>
    <w:next w:val="Normal"/>
    <w:uiPriority w:val="35"/>
    <w:unhideWhenUsed/>
    <w:qFormat/>
    <w:rsid w:val="00792FA1"/>
    <w:pPr>
      <w:spacing w:after="200"/>
    </w:pPr>
    <w:rPr>
      <w:i/>
      <w:iCs/>
      <w:color w:val="0E2841" w:themeColor="text2"/>
      <w:sz w:val="18"/>
      <w:szCs w:val="18"/>
    </w:rPr>
  </w:style>
  <w:style w:type="character" w:styleId="FollowedHyperlink">
    <w:name w:val="FollowedHyperlink"/>
    <w:basedOn w:val="DefaultParagraphFont"/>
    <w:uiPriority w:val="99"/>
    <w:semiHidden/>
    <w:unhideWhenUsed/>
    <w:rsid w:val="00B603D5"/>
    <w:rPr>
      <w:color w:val="96607D" w:themeColor="followedHyperlink"/>
      <w:u w:val="single"/>
    </w:rPr>
  </w:style>
  <w:style w:type="character" w:styleId="SubtleEmphasis">
    <w:name w:val="Subtle Emphasis"/>
    <w:basedOn w:val="DefaultParagraphFont"/>
    <w:uiPriority w:val="19"/>
    <w:qFormat/>
    <w:rsid w:val="001D3801"/>
    <w:rPr>
      <w:rFonts w:ascii="Calibri" w:hAnsi="Calibri"/>
      <w:i/>
      <w:iCs/>
      <w:color w:val="404040" w:themeColor="text1" w:themeTint="BF"/>
    </w:rPr>
  </w:style>
  <w:style w:type="character" w:styleId="Emphasis">
    <w:name w:val="Emphasis"/>
    <w:basedOn w:val="DefaultParagraphFont"/>
    <w:uiPriority w:val="20"/>
    <w:qFormat/>
    <w:rsid w:val="001D3801"/>
    <w:rPr>
      <w:rFonts w:ascii="Calibri" w:hAnsi="Calibri"/>
      <w:i/>
      <w:iCs/>
    </w:rPr>
  </w:style>
  <w:style w:type="character" w:styleId="Strong">
    <w:name w:val="Strong"/>
    <w:basedOn w:val="DefaultParagraphFont"/>
    <w:uiPriority w:val="22"/>
    <w:qFormat/>
    <w:rsid w:val="001D3801"/>
    <w:rPr>
      <w:rFonts w:ascii="Calibri" w:hAnsi="Calibri"/>
      <w:b/>
      <w:bCs/>
    </w:rPr>
  </w:style>
  <w:style w:type="character" w:styleId="SubtleReference">
    <w:name w:val="Subtle Reference"/>
    <w:basedOn w:val="DefaultParagraphFont"/>
    <w:uiPriority w:val="31"/>
    <w:qFormat/>
    <w:rsid w:val="001D3801"/>
    <w:rPr>
      <w:rFonts w:ascii="Calibri" w:hAnsi="Calibri"/>
      <w:smallCaps/>
      <w:color w:val="5A5A5A" w:themeColor="text1" w:themeTint="A5"/>
    </w:rPr>
  </w:style>
  <w:style w:type="character" w:styleId="BookTitle">
    <w:name w:val="Book Title"/>
    <w:basedOn w:val="DefaultParagraphFont"/>
    <w:uiPriority w:val="33"/>
    <w:qFormat/>
    <w:rsid w:val="001D3801"/>
    <w:rPr>
      <w:rFonts w:ascii="Calibri" w:hAnsi="Calibri"/>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60009">
      <w:bodyDiv w:val="1"/>
      <w:marLeft w:val="0"/>
      <w:marRight w:val="0"/>
      <w:marTop w:val="0"/>
      <w:marBottom w:val="0"/>
      <w:divBdr>
        <w:top w:val="none" w:sz="0" w:space="0" w:color="auto"/>
        <w:left w:val="none" w:sz="0" w:space="0" w:color="auto"/>
        <w:bottom w:val="none" w:sz="0" w:space="0" w:color="auto"/>
        <w:right w:val="none" w:sz="0" w:space="0" w:color="auto"/>
      </w:divBdr>
    </w:div>
    <w:div w:id="777681297">
      <w:bodyDiv w:val="1"/>
      <w:marLeft w:val="0"/>
      <w:marRight w:val="0"/>
      <w:marTop w:val="0"/>
      <w:marBottom w:val="0"/>
      <w:divBdr>
        <w:top w:val="none" w:sz="0" w:space="0" w:color="auto"/>
        <w:left w:val="none" w:sz="0" w:space="0" w:color="auto"/>
        <w:bottom w:val="none" w:sz="0" w:space="0" w:color="auto"/>
        <w:right w:val="none" w:sz="0" w:space="0" w:color="auto"/>
      </w:divBdr>
    </w:div>
    <w:div w:id="819149988">
      <w:bodyDiv w:val="1"/>
      <w:marLeft w:val="0"/>
      <w:marRight w:val="0"/>
      <w:marTop w:val="0"/>
      <w:marBottom w:val="0"/>
      <w:divBdr>
        <w:top w:val="none" w:sz="0" w:space="0" w:color="auto"/>
        <w:left w:val="none" w:sz="0" w:space="0" w:color="auto"/>
        <w:bottom w:val="none" w:sz="0" w:space="0" w:color="auto"/>
        <w:right w:val="none" w:sz="0" w:space="0" w:color="auto"/>
      </w:divBdr>
    </w:div>
    <w:div w:id="181444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quraishi@cvia.ch"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orge.araya@un.org"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mailto:ohchr-crpd@un.org" TargetMode="External"/><Relationship Id="rId14" Type="http://schemas.openxmlformats.org/officeDocument/2006/relationships/hyperlink" Target="mailto:jgould@cvia.ch"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upr-info.org/sites/default/files/documents/2015-01/a_hrc_wg.6_21_kir_2_e.pdf" TargetMode="External"/><Relationship Id="rId13" Type="http://schemas.openxmlformats.org/officeDocument/2006/relationships/hyperlink" Target="https://nso.gov.ki/news/kiribati-power-of-data-empowering-kiribati-disability-inclusion-report-shows-progress-and-gaps/" TargetMode="External"/><Relationship Id="rId3" Type="http://schemas.openxmlformats.org/officeDocument/2006/relationships/hyperlink" Target="http://www.paclii.org/ki/legis/consol_act/eo167.pdf" TargetMode="External"/><Relationship Id="rId7" Type="http://schemas.openxmlformats.org/officeDocument/2006/relationships/hyperlink" Target="https://facebook.com/story.php/?id=100064643441211&amp;story_fbid=923791026452337" TargetMode="External"/><Relationship Id="rId12" Type="http://schemas.openxmlformats.org/officeDocument/2006/relationships/hyperlink" Target="https://pacific.unfpa.org/sites/default/files/pub-pdf/UNFPAReport-ADeeperSilenceA4PublicationLR3%283%29.pdf" TargetMode="External"/><Relationship Id="rId2" Type="http://schemas.openxmlformats.org/officeDocument/2006/relationships/hyperlink" Target="https://docs.un.org/en/CRPD/C/CHN/CO/1" TargetMode="External"/><Relationship Id="rId1" Type="http://schemas.openxmlformats.org/officeDocument/2006/relationships/hyperlink" Target="https://docs.un.org/en/CRPD/C/LAO/CO/1" TargetMode="External"/><Relationship Id="rId6" Type="http://schemas.openxmlformats.org/officeDocument/2006/relationships/hyperlink" Target="https://dfat.gov.au/sites/default/files/kiribati-disability-inclusiveness-program-eval-report-man-resp.pdf" TargetMode="External"/><Relationship Id="rId11" Type="http://schemas.openxmlformats.org/officeDocument/2006/relationships/hyperlink" Target="https://lists.pacificdisability.org/pipermail/dpo-officemanagers_lists.pacificdisability.org/2017-October.txt" TargetMode="External"/><Relationship Id="rId5" Type="http://schemas.openxmlformats.org/officeDocument/2006/relationships/hyperlink" Target="https://extranet.who.int/mindbank/item/7325" TargetMode="External"/><Relationship Id="rId10" Type="http://schemas.openxmlformats.org/officeDocument/2006/relationships/hyperlink" Target="https://upr-info.org/sites/default/files/documents/2019-12/ngo_upr35_kir_e_main.pdf" TargetMode="External"/><Relationship Id="rId4" Type="http://schemas.openxmlformats.org/officeDocument/2006/relationships/hyperlink" Target="https://www.idea.int/answer/ans9377335574314" TargetMode="External"/><Relationship Id="rId9" Type="http://schemas.openxmlformats.org/officeDocument/2006/relationships/hyperlink" Target="https://education-profiles.org/oceania/kiribati"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infocvia-my.sharepoint.com/personal/squraishi_cvia_ch/Documents/cvi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2025-07-07T10:08:41+00:00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6A24C14-1FE9-1344-8E0C-96A62613E2F8}">
  <ds:schemaRefs>
    <ds:schemaRef ds:uri="http://schemas.openxmlformats.org/officeDocument/2006/bibliography"/>
  </ds:schemaRefs>
</ds:datastoreItem>
</file>

<file path=customXml/itemProps2.xml><?xml version="1.0" encoding="utf-8"?>
<ds:datastoreItem xmlns:ds="http://schemas.openxmlformats.org/officeDocument/2006/customXml" ds:itemID="{D59095CB-C71F-42E9-B647-6BF6788505D4}"/>
</file>

<file path=customXml/itemProps3.xml><?xml version="1.0" encoding="utf-8"?>
<ds:datastoreItem xmlns:ds="http://schemas.openxmlformats.org/officeDocument/2006/customXml" ds:itemID="{1A928B55-E17C-4A74-95AC-77408FA74B3F}"/>
</file>

<file path=customXml/itemProps4.xml><?xml version="1.0" encoding="utf-8"?>
<ds:datastoreItem xmlns:ds="http://schemas.openxmlformats.org/officeDocument/2006/customXml" ds:itemID="{07C53F41-E3C9-4C93-B9C5-C6115CB53433}"/>
</file>

<file path=docProps/app.xml><?xml version="1.0" encoding="utf-8"?>
<Properties xmlns="http://schemas.openxmlformats.org/officeDocument/2006/extended-properties" xmlns:vt="http://schemas.openxmlformats.org/officeDocument/2006/docPropsVTypes">
  <Template>Normal</Template>
  <TotalTime>1</TotalTime>
  <Pages>8</Pages>
  <Words>2759</Words>
  <Characters>15729</Characters>
  <Application>Microsoft Office Word</Application>
  <DocSecurity>4</DocSecurity>
  <Lines>131</Lines>
  <Paragraphs>36</Paragraphs>
  <ScaleCrop>false</ScaleCrop>
  <Company/>
  <LinksUpToDate>false</LinksUpToDate>
  <CharactersWithSpaces>18452</CharactersWithSpaces>
  <SharedDoc>false</SharedDoc>
  <HLinks>
    <vt:vector size="90" baseType="variant">
      <vt:variant>
        <vt:i4>3211382</vt:i4>
      </vt:variant>
      <vt:variant>
        <vt:i4>39</vt:i4>
      </vt:variant>
      <vt:variant>
        <vt:i4>0</vt:i4>
      </vt:variant>
      <vt:variant>
        <vt:i4>5</vt:i4>
      </vt:variant>
      <vt:variant>
        <vt:lpwstr>https://www.state.gov/reports/2022-country-reports-on-human-rights-practices/kiribati/</vt:lpwstr>
      </vt:variant>
      <vt:variant>
        <vt:lpwstr/>
      </vt:variant>
      <vt:variant>
        <vt:i4>2686990</vt:i4>
      </vt:variant>
      <vt:variant>
        <vt:i4>36</vt:i4>
      </vt:variant>
      <vt:variant>
        <vt:i4>0</vt:i4>
      </vt:variant>
      <vt:variant>
        <vt:i4>5</vt:i4>
      </vt:variant>
      <vt:variant>
        <vt:lpwstr>https://aceproject.org/electoral-advice/archive/questions/CDTable?question=VO006&amp;view=country&amp;set_language=en</vt:lpwstr>
      </vt:variant>
      <vt:variant>
        <vt:lpwstr/>
      </vt:variant>
      <vt:variant>
        <vt:i4>6750280</vt:i4>
      </vt:variant>
      <vt:variant>
        <vt:i4>33</vt:i4>
      </vt:variant>
      <vt:variant>
        <vt:i4>0</vt:i4>
      </vt:variant>
      <vt:variant>
        <vt:i4>5</vt:i4>
      </vt:variant>
      <vt:variant>
        <vt:lpwstr>https://www.un.org/development/desa/disabilities/wp-content/uploads/sites/15/2019/10/Kiribati_Kiribati-National-Disability-Policy-and-Action-Plan-2018-%E2%80%93-2021.pdf</vt:lpwstr>
      </vt:variant>
      <vt:variant>
        <vt:lpwstr/>
      </vt:variant>
      <vt:variant>
        <vt:i4>1376316</vt:i4>
      </vt:variant>
      <vt:variant>
        <vt:i4>26</vt:i4>
      </vt:variant>
      <vt:variant>
        <vt:i4>0</vt:i4>
      </vt:variant>
      <vt:variant>
        <vt:i4>5</vt:i4>
      </vt:variant>
      <vt:variant>
        <vt:lpwstr/>
      </vt:variant>
      <vt:variant>
        <vt:lpwstr>_Toc201571861</vt:lpwstr>
      </vt:variant>
      <vt:variant>
        <vt:i4>1376316</vt:i4>
      </vt:variant>
      <vt:variant>
        <vt:i4>20</vt:i4>
      </vt:variant>
      <vt:variant>
        <vt:i4>0</vt:i4>
      </vt:variant>
      <vt:variant>
        <vt:i4>5</vt:i4>
      </vt:variant>
      <vt:variant>
        <vt:lpwstr/>
      </vt:variant>
      <vt:variant>
        <vt:lpwstr>_Toc201571860</vt:lpwstr>
      </vt:variant>
      <vt:variant>
        <vt:i4>1441852</vt:i4>
      </vt:variant>
      <vt:variant>
        <vt:i4>14</vt:i4>
      </vt:variant>
      <vt:variant>
        <vt:i4>0</vt:i4>
      </vt:variant>
      <vt:variant>
        <vt:i4>5</vt:i4>
      </vt:variant>
      <vt:variant>
        <vt:lpwstr/>
      </vt:variant>
      <vt:variant>
        <vt:lpwstr>_Toc201571859</vt:lpwstr>
      </vt:variant>
      <vt:variant>
        <vt:i4>1441852</vt:i4>
      </vt:variant>
      <vt:variant>
        <vt:i4>8</vt:i4>
      </vt:variant>
      <vt:variant>
        <vt:i4>0</vt:i4>
      </vt:variant>
      <vt:variant>
        <vt:i4>5</vt:i4>
      </vt:variant>
      <vt:variant>
        <vt:lpwstr/>
      </vt:variant>
      <vt:variant>
        <vt:lpwstr>_Toc201571858</vt:lpwstr>
      </vt:variant>
      <vt:variant>
        <vt:i4>5701670</vt:i4>
      </vt:variant>
      <vt:variant>
        <vt:i4>3</vt:i4>
      </vt:variant>
      <vt:variant>
        <vt:i4>0</vt:i4>
      </vt:variant>
      <vt:variant>
        <vt:i4>5</vt:i4>
      </vt:variant>
      <vt:variant>
        <vt:lpwstr>mailto:jorge.araya@un.org</vt:lpwstr>
      </vt:variant>
      <vt:variant>
        <vt:lpwstr/>
      </vt:variant>
      <vt:variant>
        <vt:i4>2687064</vt:i4>
      </vt:variant>
      <vt:variant>
        <vt:i4>0</vt:i4>
      </vt:variant>
      <vt:variant>
        <vt:i4>0</vt:i4>
      </vt:variant>
      <vt:variant>
        <vt:i4>5</vt:i4>
      </vt:variant>
      <vt:variant>
        <vt:lpwstr>mailto:ohchr-crpd@un.org</vt:lpwstr>
      </vt:variant>
      <vt:variant>
        <vt:lpwstr/>
      </vt:variant>
      <vt:variant>
        <vt:i4>3670123</vt:i4>
      </vt:variant>
      <vt:variant>
        <vt:i4>12</vt:i4>
      </vt:variant>
      <vt:variant>
        <vt:i4>0</vt:i4>
      </vt:variant>
      <vt:variant>
        <vt:i4>5</vt:i4>
      </vt:variant>
      <vt:variant>
        <vt:lpwstr>https://extranet.who.int/mindbank/item/7325</vt:lpwstr>
      </vt:variant>
      <vt:variant>
        <vt:lpwstr/>
      </vt:variant>
      <vt:variant>
        <vt:i4>6160477</vt:i4>
      </vt:variant>
      <vt:variant>
        <vt:i4>9</vt:i4>
      </vt:variant>
      <vt:variant>
        <vt:i4>0</vt:i4>
      </vt:variant>
      <vt:variant>
        <vt:i4>5</vt:i4>
      </vt:variant>
      <vt:variant>
        <vt:lpwstr>https://www.idea.int/answer/ans9377335574314</vt:lpwstr>
      </vt:variant>
      <vt:variant>
        <vt:lpwstr/>
      </vt:variant>
      <vt:variant>
        <vt:i4>5308461</vt:i4>
      </vt:variant>
      <vt:variant>
        <vt:i4>6</vt:i4>
      </vt:variant>
      <vt:variant>
        <vt:i4>0</vt:i4>
      </vt:variant>
      <vt:variant>
        <vt:i4>5</vt:i4>
      </vt:variant>
      <vt:variant>
        <vt:lpwstr>http://www.paclii.org/ki/legis/consol_act/eo167.pdf</vt:lpwstr>
      </vt:variant>
      <vt:variant>
        <vt:lpwstr/>
      </vt:variant>
      <vt:variant>
        <vt:i4>7274609</vt:i4>
      </vt:variant>
      <vt:variant>
        <vt:i4>3</vt:i4>
      </vt:variant>
      <vt:variant>
        <vt:i4>0</vt:i4>
      </vt:variant>
      <vt:variant>
        <vt:i4>5</vt:i4>
      </vt:variant>
      <vt:variant>
        <vt:lpwstr>https://docs.un.org/en/CRPD/C/CHN/CO/1</vt:lpwstr>
      </vt:variant>
      <vt:variant>
        <vt:lpwstr/>
      </vt:variant>
      <vt:variant>
        <vt:i4>6684799</vt:i4>
      </vt:variant>
      <vt:variant>
        <vt:i4>0</vt:i4>
      </vt:variant>
      <vt:variant>
        <vt:i4>0</vt:i4>
      </vt:variant>
      <vt:variant>
        <vt:i4>5</vt:i4>
      </vt:variant>
      <vt:variant>
        <vt:lpwstr>https://docs.un.org/en/CRPD/C/LAO/CO/1</vt:lpwstr>
      </vt:variant>
      <vt:variant>
        <vt:lpwstr/>
      </vt:variant>
      <vt:variant>
        <vt:i4>7602212</vt:i4>
      </vt:variant>
      <vt:variant>
        <vt:i4>3</vt:i4>
      </vt:variant>
      <vt:variant>
        <vt:i4>0</vt:i4>
      </vt:variant>
      <vt:variant>
        <vt:i4>5</vt:i4>
      </vt:variant>
      <vt:variant>
        <vt:lpwstr>cvia.ch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Quraishi</dc:creator>
  <cp:keywords/>
  <dc:description/>
  <cp:lastModifiedBy>Jorge Araya</cp:lastModifiedBy>
  <cp:revision>2</cp:revision>
  <dcterms:created xsi:type="dcterms:W3CDTF">2025-07-07T10:08:00Z</dcterms:created>
  <dcterms:modified xsi:type="dcterms:W3CDTF">2025-07-07T10:08:00Z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