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1F18" w:rsidRDefault="00105542" w:rsidP="00B71F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imes New Roman"/>
          <w:b/>
          <w:bCs/>
          <w:sz w:val="28"/>
          <w:lang w:eastAsia="en-US"/>
        </w:rPr>
      </w:pPr>
      <w:r>
        <w:rPr>
          <w:b/>
          <w:i/>
          <w:noProof/>
          <w:lang w:eastAsia="en-US"/>
        </w:rPr>
        <w:drawing>
          <wp:inline distT="0" distB="0" distL="0" distR="0">
            <wp:extent cx="5486400" cy="1028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1028700"/>
                    </a:xfrm>
                    <a:prstGeom prst="rect">
                      <a:avLst/>
                    </a:prstGeom>
                    <a:noFill/>
                    <a:ln>
                      <a:noFill/>
                    </a:ln>
                  </pic:spPr>
                </pic:pic>
              </a:graphicData>
            </a:graphic>
          </wp:inline>
        </w:drawing>
      </w:r>
    </w:p>
    <w:p w:rsidR="00B71F18" w:rsidRDefault="00B71F18" w:rsidP="00B71F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imes New Roman"/>
          <w:b/>
          <w:bCs/>
          <w:sz w:val="28"/>
          <w:lang w:eastAsia="en-US"/>
        </w:rPr>
      </w:pPr>
    </w:p>
    <w:p w:rsidR="00B71F18" w:rsidRDefault="00B71F18" w:rsidP="00B71F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imes New Roman"/>
          <w:b/>
          <w:bCs/>
          <w:sz w:val="28"/>
          <w:lang w:eastAsia="en-US"/>
        </w:rPr>
      </w:pPr>
    </w:p>
    <w:p w:rsidR="00B71F18" w:rsidRPr="00606257" w:rsidRDefault="00B71F18" w:rsidP="00B71F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Helvetica"/>
          <w:sz w:val="28"/>
          <w:lang w:eastAsia="en-US"/>
        </w:rPr>
      </w:pPr>
      <w:r>
        <w:rPr>
          <w:rFonts w:cs="Times New Roman"/>
          <w:b/>
          <w:bCs/>
          <w:sz w:val="28"/>
          <w:lang w:eastAsia="en-US"/>
        </w:rPr>
        <w:t xml:space="preserve">Report on the </w:t>
      </w:r>
      <w:r w:rsidRPr="00606257">
        <w:rPr>
          <w:rFonts w:cs="Times New Roman"/>
          <w:b/>
          <w:bCs/>
          <w:sz w:val="28"/>
          <w:lang w:eastAsia="en-US"/>
        </w:rPr>
        <w:t>United States’ Compliance with the</w:t>
      </w:r>
    </w:p>
    <w:p w:rsidR="00B71F18" w:rsidRPr="00606257" w:rsidRDefault="00B71F18" w:rsidP="00B71F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Times New Roman"/>
          <w:b/>
          <w:bCs/>
          <w:sz w:val="28"/>
          <w:lang w:eastAsia="en-US"/>
        </w:rPr>
      </w:pPr>
      <w:r w:rsidRPr="00606257">
        <w:rPr>
          <w:rFonts w:cs="Times New Roman"/>
          <w:b/>
          <w:bCs/>
          <w:sz w:val="28"/>
          <w:lang w:eastAsia="en-US"/>
        </w:rPr>
        <w:t>International Covenant on Civil and Political Rights</w:t>
      </w:r>
    </w:p>
    <w:p w:rsidR="00B71F18" w:rsidRPr="00606257" w:rsidRDefault="00B71F18" w:rsidP="00B71F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Helvetica"/>
          <w:sz w:val="28"/>
          <w:lang w:eastAsia="en-US"/>
        </w:rPr>
      </w:pPr>
    </w:p>
    <w:p w:rsidR="00B71F18" w:rsidRPr="00606257" w:rsidRDefault="00B71F18" w:rsidP="00B71F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Helvetica"/>
          <w:sz w:val="28"/>
          <w:lang w:eastAsia="en-US"/>
        </w:rPr>
      </w:pPr>
    </w:p>
    <w:p w:rsidR="00B71F18" w:rsidRPr="00606257" w:rsidRDefault="00B71F18" w:rsidP="00B71F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Helvetica"/>
          <w:sz w:val="28"/>
          <w:lang w:eastAsia="en-US"/>
        </w:rPr>
      </w:pPr>
    </w:p>
    <w:p w:rsidR="00B71F18" w:rsidRPr="00606257" w:rsidRDefault="00B71F18" w:rsidP="00B71F18">
      <w:pPr>
        <w:jc w:val="center"/>
        <w:rPr>
          <w:rFonts w:cs="Times New Roman"/>
          <w:sz w:val="28"/>
          <w:szCs w:val="16"/>
          <w:lang w:eastAsia="en-US"/>
        </w:rPr>
      </w:pPr>
      <w:r>
        <w:rPr>
          <w:rFonts w:cs="Times New Roman"/>
          <w:b/>
          <w:bCs/>
          <w:sz w:val="28"/>
          <w:lang w:eastAsia="en-US"/>
        </w:rPr>
        <w:t>109</w:t>
      </w:r>
      <w:r w:rsidRPr="00606257">
        <w:rPr>
          <w:rFonts w:cs="Times New Roman"/>
          <w:b/>
          <w:bCs/>
          <w:sz w:val="28"/>
          <w:szCs w:val="16"/>
          <w:lang w:eastAsia="en-US"/>
        </w:rPr>
        <w:t>th</w:t>
      </w:r>
      <w:r w:rsidRPr="00606257">
        <w:rPr>
          <w:rFonts w:cs="Times New Roman"/>
          <w:b/>
          <w:bCs/>
          <w:sz w:val="28"/>
          <w:lang w:eastAsia="en-US"/>
        </w:rPr>
        <w:t xml:space="preserve"> Session of the Human Rights Committee, Geneva</w:t>
      </w:r>
    </w:p>
    <w:p w:rsidR="00B71F18" w:rsidRPr="00606257" w:rsidRDefault="00B71F18" w:rsidP="00B71F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cs="Helvetica"/>
          <w:sz w:val="28"/>
          <w:lang w:eastAsia="en-US"/>
        </w:rPr>
      </w:pPr>
      <w:r>
        <w:rPr>
          <w:rFonts w:cs="Times New Roman"/>
          <w:b/>
          <w:bCs/>
          <w:sz w:val="28"/>
          <w:lang w:eastAsia="en-US"/>
        </w:rPr>
        <w:t>14 October – 1 November 2013</w:t>
      </w:r>
    </w:p>
    <w:p w:rsidR="00B71F18" w:rsidRPr="00606257" w:rsidRDefault="00B71F18" w:rsidP="00B71F18">
      <w:pPr>
        <w:jc w:val="center"/>
        <w:rPr>
          <w:rFonts w:cs="Times New Roman"/>
          <w:b/>
          <w:szCs w:val="22"/>
        </w:rPr>
      </w:pPr>
    </w:p>
    <w:p w:rsidR="00B71F18" w:rsidRPr="00606257" w:rsidRDefault="00B71F18" w:rsidP="00B71F18">
      <w:pPr>
        <w:jc w:val="center"/>
        <w:rPr>
          <w:rFonts w:cs="Times New Roman"/>
          <w:b/>
          <w:szCs w:val="22"/>
        </w:rPr>
      </w:pPr>
    </w:p>
    <w:p w:rsidR="00B71F18" w:rsidRPr="00606257" w:rsidRDefault="00B71F18" w:rsidP="00B71F18">
      <w:pPr>
        <w:jc w:val="center"/>
        <w:rPr>
          <w:rFonts w:cs="Times New Roman"/>
          <w:b/>
          <w:szCs w:val="22"/>
        </w:rPr>
      </w:pPr>
    </w:p>
    <w:p w:rsidR="00B71F18" w:rsidRPr="00606257" w:rsidRDefault="00B71F18" w:rsidP="00B71F18">
      <w:pPr>
        <w:jc w:val="center"/>
        <w:rPr>
          <w:rFonts w:cs="Times New Roman"/>
          <w:b/>
          <w:szCs w:val="22"/>
        </w:rPr>
      </w:pPr>
    </w:p>
    <w:p w:rsidR="00B71F18" w:rsidRDefault="00B71F18" w:rsidP="00B71F18">
      <w:pPr>
        <w:jc w:val="center"/>
        <w:rPr>
          <w:rFonts w:cs="Times New Roman"/>
          <w:b/>
          <w:szCs w:val="22"/>
        </w:rPr>
      </w:pPr>
    </w:p>
    <w:p w:rsidR="00B71F18" w:rsidRDefault="00B71F18" w:rsidP="00B71F18">
      <w:pPr>
        <w:jc w:val="center"/>
        <w:rPr>
          <w:rFonts w:cs="Times New Roman"/>
          <w:b/>
          <w:szCs w:val="22"/>
        </w:rPr>
      </w:pPr>
    </w:p>
    <w:p w:rsidR="00B71F18" w:rsidRDefault="00B71F18" w:rsidP="00B71F18">
      <w:pPr>
        <w:jc w:val="center"/>
        <w:rPr>
          <w:rFonts w:cs="Times New Roman"/>
          <w:b/>
          <w:szCs w:val="22"/>
        </w:rPr>
      </w:pPr>
    </w:p>
    <w:p w:rsidR="00B71F18" w:rsidRDefault="00B71F18" w:rsidP="00B71F18">
      <w:pPr>
        <w:jc w:val="center"/>
        <w:rPr>
          <w:rFonts w:cs="Times New Roman"/>
          <w:b/>
          <w:szCs w:val="22"/>
        </w:rPr>
      </w:pPr>
    </w:p>
    <w:p w:rsidR="00B71F18" w:rsidRDefault="00B71F18" w:rsidP="00B71F18">
      <w:pPr>
        <w:jc w:val="center"/>
        <w:rPr>
          <w:rFonts w:cs="Times New Roman"/>
          <w:b/>
          <w:szCs w:val="22"/>
        </w:rPr>
      </w:pPr>
    </w:p>
    <w:p w:rsidR="00B71F18" w:rsidRDefault="00B71F18" w:rsidP="00B71F18">
      <w:pPr>
        <w:jc w:val="center"/>
        <w:rPr>
          <w:rFonts w:cs="Times New Roman"/>
          <w:b/>
          <w:szCs w:val="22"/>
        </w:rPr>
      </w:pPr>
    </w:p>
    <w:p w:rsidR="00B71F18" w:rsidRDefault="00B71F18" w:rsidP="00B71F18">
      <w:pPr>
        <w:jc w:val="center"/>
        <w:rPr>
          <w:rFonts w:cs="Times New Roman"/>
          <w:b/>
          <w:szCs w:val="22"/>
        </w:rPr>
      </w:pPr>
    </w:p>
    <w:p w:rsidR="00B71F18" w:rsidRDefault="00B71F18" w:rsidP="00B71F18">
      <w:pPr>
        <w:jc w:val="center"/>
        <w:rPr>
          <w:rFonts w:cs="Times New Roman"/>
          <w:b/>
          <w:szCs w:val="22"/>
        </w:rPr>
      </w:pPr>
    </w:p>
    <w:p w:rsidR="00B71F18" w:rsidRDefault="00B71F18" w:rsidP="00B71F18">
      <w:pPr>
        <w:jc w:val="center"/>
        <w:rPr>
          <w:rFonts w:cs="Times New Roman"/>
          <w:b/>
          <w:szCs w:val="22"/>
        </w:rPr>
      </w:pPr>
    </w:p>
    <w:p w:rsidR="00B71F18" w:rsidRDefault="00B71F18" w:rsidP="00B71F18">
      <w:pPr>
        <w:jc w:val="center"/>
        <w:rPr>
          <w:rFonts w:cs="Times New Roman"/>
          <w:b/>
          <w:szCs w:val="22"/>
        </w:rPr>
      </w:pPr>
    </w:p>
    <w:p w:rsidR="00B71F18" w:rsidRDefault="00B71F18" w:rsidP="00B71F18">
      <w:pPr>
        <w:jc w:val="center"/>
        <w:rPr>
          <w:rFonts w:cs="Times New Roman"/>
          <w:b/>
          <w:szCs w:val="22"/>
        </w:rPr>
      </w:pPr>
    </w:p>
    <w:p w:rsidR="00B71F18" w:rsidRDefault="00B71F18" w:rsidP="00B71F18">
      <w:pPr>
        <w:jc w:val="center"/>
        <w:rPr>
          <w:rFonts w:cs="Times New Roman"/>
          <w:b/>
          <w:szCs w:val="22"/>
        </w:rPr>
      </w:pPr>
      <w:r>
        <w:rPr>
          <w:rFonts w:cs="Times New Roman"/>
          <w:b/>
          <w:szCs w:val="22"/>
        </w:rPr>
        <w:t>Human Rights Advocates</w:t>
      </w:r>
    </w:p>
    <w:p w:rsidR="00B71F18" w:rsidRDefault="00B71F18" w:rsidP="00B71F18">
      <w:pPr>
        <w:jc w:val="center"/>
        <w:rPr>
          <w:rFonts w:cs="Times New Roman"/>
          <w:szCs w:val="22"/>
        </w:rPr>
      </w:pPr>
      <w:r>
        <w:rPr>
          <w:rFonts w:cs="Times New Roman"/>
          <w:szCs w:val="22"/>
        </w:rPr>
        <w:t>P.O. Box 5675</w:t>
      </w:r>
    </w:p>
    <w:p w:rsidR="00B71F18" w:rsidRDefault="00B71F18" w:rsidP="00B71F18">
      <w:pPr>
        <w:jc w:val="center"/>
        <w:rPr>
          <w:rFonts w:cs="Times New Roman"/>
          <w:szCs w:val="22"/>
        </w:rPr>
      </w:pPr>
      <w:r>
        <w:rPr>
          <w:rFonts w:cs="Times New Roman"/>
          <w:szCs w:val="22"/>
        </w:rPr>
        <w:t>Berkeley, CA 94705</w:t>
      </w:r>
    </w:p>
    <w:p w:rsidR="00B71F18" w:rsidRPr="007B4F9B" w:rsidRDefault="00B71F18" w:rsidP="00B71F18">
      <w:pPr>
        <w:jc w:val="center"/>
        <w:rPr>
          <w:rFonts w:cs="Times New Roman"/>
          <w:szCs w:val="22"/>
        </w:rPr>
      </w:pPr>
      <w:r>
        <w:rPr>
          <w:rFonts w:cs="Times New Roman"/>
          <w:szCs w:val="22"/>
        </w:rPr>
        <w:t>Connie de la Vega</w:t>
      </w:r>
    </w:p>
    <w:p w:rsidR="00B71F18" w:rsidRDefault="00105542" w:rsidP="00B71F18">
      <w:pPr>
        <w:jc w:val="center"/>
        <w:rPr>
          <w:rFonts w:cs="Times New Roman"/>
          <w:b/>
          <w:szCs w:val="22"/>
        </w:rPr>
      </w:pPr>
      <w:hyperlink r:id="rId9" w:history="1">
        <w:r w:rsidR="00B71F18" w:rsidRPr="00F43902">
          <w:rPr>
            <w:rStyle w:val="Hyperlink"/>
            <w:rFonts w:cs="Times New Roman"/>
            <w:szCs w:val="22"/>
          </w:rPr>
          <w:t>delavega@usfca.edu</w:t>
        </w:r>
      </w:hyperlink>
    </w:p>
    <w:p w:rsidR="00B71F18" w:rsidRDefault="00B71F18" w:rsidP="00B71F18">
      <w:pPr>
        <w:jc w:val="center"/>
        <w:rPr>
          <w:rFonts w:cs="Times New Roman"/>
          <w:b/>
          <w:szCs w:val="22"/>
        </w:rPr>
      </w:pPr>
    </w:p>
    <w:p w:rsidR="00B71F18" w:rsidRDefault="00B71F18" w:rsidP="00B71F18">
      <w:pPr>
        <w:jc w:val="center"/>
        <w:rPr>
          <w:rFonts w:cs="Times New Roman"/>
          <w:b/>
          <w:szCs w:val="22"/>
        </w:rPr>
      </w:pPr>
      <w:r>
        <w:rPr>
          <w:rFonts w:cs="Times New Roman"/>
          <w:b/>
          <w:szCs w:val="22"/>
        </w:rPr>
        <w:t>University of San Francisco School of Law Center for Law and Global Justice</w:t>
      </w:r>
    </w:p>
    <w:p w:rsidR="00B71F18" w:rsidRDefault="00B71F18" w:rsidP="00B71F18">
      <w:pPr>
        <w:jc w:val="center"/>
        <w:rPr>
          <w:rFonts w:cs="Times New Roman"/>
          <w:b/>
          <w:szCs w:val="22"/>
        </w:rPr>
      </w:pPr>
      <w:r>
        <w:rPr>
          <w:rFonts w:cs="Times New Roman"/>
          <w:b/>
          <w:szCs w:val="22"/>
        </w:rPr>
        <w:t>Human Rights in Criminal Sentencing Project</w:t>
      </w:r>
    </w:p>
    <w:p w:rsidR="00B71F18" w:rsidRDefault="00B71F18" w:rsidP="00B71F18">
      <w:pPr>
        <w:jc w:val="center"/>
        <w:rPr>
          <w:rFonts w:cs="Times New Roman"/>
          <w:b/>
          <w:szCs w:val="22"/>
        </w:rPr>
      </w:pPr>
      <w:r>
        <w:rPr>
          <w:rFonts w:cs="Times New Roman"/>
          <w:b/>
          <w:szCs w:val="22"/>
        </w:rPr>
        <w:t>Project to End Juvenile Life Without Parole</w:t>
      </w:r>
    </w:p>
    <w:p w:rsidR="00B71F18" w:rsidRPr="007B4F9B" w:rsidRDefault="00B71F18" w:rsidP="00B71F18">
      <w:pPr>
        <w:jc w:val="center"/>
        <w:rPr>
          <w:rFonts w:cs="Times New Roman"/>
          <w:szCs w:val="22"/>
        </w:rPr>
      </w:pPr>
      <w:r w:rsidRPr="007B4F9B">
        <w:rPr>
          <w:rFonts w:cs="Times New Roman"/>
          <w:szCs w:val="22"/>
        </w:rPr>
        <w:t>2130 Fulton Street</w:t>
      </w:r>
    </w:p>
    <w:p w:rsidR="00B71F18" w:rsidRPr="007B4F9B" w:rsidRDefault="00B71F18" w:rsidP="00B71F18">
      <w:pPr>
        <w:jc w:val="center"/>
        <w:rPr>
          <w:rFonts w:cs="Times New Roman"/>
          <w:szCs w:val="22"/>
        </w:rPr>
      </w:pPr>
      <w:r w:rsidRPr="007B4F9B">
        <w:rPr>
          <w:rFonts w:cs="Times New Roman"/>
          <w:szCs w:val="22"/>
        </w:rPr>
        <w:t>San Francisco, CA 94117</w:t>
      </w:r>
    </w:p>
    <w:p w:rsidR="00B71F18" w:rsidRDefault="00B71F18" w:rsidP="00B71F18"/>
    <w:p w:rsidR="00B71F18" w:rsidRDefault="00B71F18" w:rsidP="00B71F18"/>
    <w:p w:rsidR="00B71F18" w:rsidRDefault="00B71F18" w:rsidP="00B71F18"/>
    <w:p w:rsidR="00B71F18" w:rsidRDefault="00B71F18" w:rsidP="00B71F18"/>
    <w:p w:rsidR="00B71F18" w:rsidRDefault="00B71F18" w:rsidP="00B71F18"/>
    <w:p w:rsidR="00B71F18" w:rsidRDefault="00B71F18" w:rsidP="00B71F18"/>
    <w:p w:rsidR="00B71F18" w:rsidRDefault="00B71F18" w:rsidP="00B71F18"/>
    <w:p w:rsidR="00B71F18" w:rsidRDefault="00B71F18" w:rsidP="00B71F18"/>
    <w:p w:rsidR="00B71F18" w:rsidRDefault="00B71F18" w:rsidP="00B71F18"/>
    <w:p w:rsidR="00B71F18" w:rsidRDefault="00B71F18" w:rsidP="00B71F18"/>
    <w:p w:rsidR="00B71F18" w:rsidRDefault="00B71F18" w:rsidP="00B71F18"/>
    <w:p w:rsidR="00B71F18" w:rsidRDefault="00B71F18" w:rsidP="00B71F18"/>
    <w:p w:rsidR="00B71F18" w:rsidRDefault="00B71F18" w:rsidP="00B71F18">
      <w:pPr>
        <w:pStyle w:val="TOCHeading"/>
        <w:jc w:val="center"/>
        <w:rPr>
          <w:rFonts w:ascii="Times New Roman" w:eastAsia="MS Mincho" w:hAnsi="Times New Roman"/>
          <w:bCs w:val="0"/>
          <w:color w:val="auto"/>
          <w:sz w:val="24"/>
          <w:szCs w:val="22"/>
          <w:lang w:eastAsia="ja-JP"/>
        </w:rPr>
      </w:pPr>
      <w:r>
        <w:rPr>
          <w:rFonts w:ascii="Times New Roman" w:eastAsia="MS Mincho" w:hAnsi="Times New Roman"/>
          <w:bCs w:val="0"/>
          <w:color w:val="auto"/>
          <w:sz w:val="24"/>
          <w:szCs w:val="22"/>
          <w:lang w:eastAsia="ja-JP"/>
        </w:rPr>
        <w:t>Table of Contents</w:t>
      </w:r>
    </w:p>
    <w:p w:rsidR="00B71F18" w:rsidRPr="0018475F" w:rsidRDefault="00B71F18" w:rsidP="00B71F18"/>
    <w:p w:rsidR="00B71F18" w:rsidRPr="0018475F" w:rsidRDefault="00B71F18" w:rsidP="00B71F18">
      <w:pPr>
        <w:rPr>
          <w:rFonts w:cs="Times New Roman"/>
          <w:b/>
          <w:szCs w:val="22"/>
        </w:rPr>
      </w:pPr>
      <w:r w:rsidRPr="00606257">
        <w:rPr>
          <w:rFonts w:cs="Times New Roman"/>
          <w:b/>
          <w:szCs w:val="22"/>
        </w:rPr>
        <w:t>Reporting Organizations</w:t>
      </w:r>
      <w:r>
        <w:rPr>
          <w:rFonts w:cs="Times New Roman"/>
          <w:b/>
          <w:szCs w:val="22"/>
        </w:rPr>
        <w:t>………………………………………………………………………... 3</w:t>
      </w:r>
    </w:p>
    <w:p w:rsidR="00B71F18" w:rsidRPr="00606257" w:rsidRDefault="00B71F18" w:rsidP="00B71F18">
      <w:pPr>
        <w:ind w:left="360"/>
        <w:rPr>
          <w:rFonts w:cs="Times New Roman"/>
          <w:b/>
          <w:szCs w:val="22"/>
        </w:rPr>
      </w:pPr>
    </w:p>
    <w:p w:rsidR="00B71F18" w:rsidRDefault="004638D2" w:rsidP="00B71F18">
      <w:pPr>
        <w:numPr>
          <w:ilvl w:val="0"/>
          <w:numId w:val="6"/>
        </w:numPr>
        <w:rPr>
          <w:rFonts w:cs="Times New Roman"/>
          <w:b/>
          <w:szCs w:val="22"/>
        </w:rPr>
      </w:pPr>
      <w:r>
        <w:rPr>
          <w:rFonts w:cs="Times New Roman"/>
          <w:b/>
          <w:szCs w:val="22"/>
        </w:rPr>
        <w:t>Executive Summary…………………………………………………………  4</w:t>
      </w:r>
    </w:p>
    <w:p w:rsidR="00B71F18" w:rsidRDefault="00B71F18" w:rsidP="00B71F18">
      <w:pPr>
        <w:ind w:left="360"/>
        <w:rPr>
          <w:rFonts w:cs="Times New Roman"/>
          <w:b/>
          <w:szCs w:val="22"/>
        </w:rPr>
      </w:pPr>
    </w:p>
    <w:p w:rsidR="00B71F18" w:rsidRPr="00CF099C" w:rsidRDefault="00B71F18" w:rsidP="00B71F18">
      <w:pPr>
        <w:numPr>
          <w:ilvl w:val="0"/>
          <w:numId w:val="6"/>
        </w:numPr>
        <w:rPr>
          <w:rFonts w:cs="Times New Roman"/>
          <w:b/>
          <w:szCs w:val="22"/>
        </w:rPr>
      </w:pPr>
      <w:r w:rsidRPr="00CF099C">
        <w:rPr>
          <w:rFonts w:cs="Times New Roman"/>
          <w:b/>
          <w:szCs w:val="22"/>
        </w:rPr>
        <w:t>Private Prisons (Article 7, 9, 10)……………………………………………</w:t>
      </w:r>
      <w:r w:rsidR="004638D2">
        <w:rPr>
          <w:rFonts w:cs="Times New Roman"/>
          <w:b/>
          <w:szCs w:val="22"/>
        </w:rPr>
        <w:t xml:space="preserve">  4</w:t>
      </w:r>
    </w:p>
    <w:p w:rsidR="00B71F18" w:rsidRDefault="00B71F18" w:rsidP="00B71F18">
      <w:pPr>
        <w:ind w:left="360"/>
        <w:rPr>
          <w:rFonts w:cs="Times New Roman"/>
          <w:b/>
          <w:szCs w:val="22"/>
        </w:rPr>
      </w:pPr>
    </w:p>
    <w:p w:rsidR="00B71F18" w:rsidRPr="00E4683C" w:rsidRDefault="00B71F18" w:rsidP="00B71F18">
      <w:pPr>
        <w:pStyle w:val="ListParagraph"/>
        <w:numPr>
          <w:ilvl w:val="0"/>
          <w:numId w:val="6"/>
        </w:numPr>
        <w:rPr>
          <w:rFonts w:cs="Times New Roman"/>
          <w:b/>
          <w:szCs w:val="22"/>
        </w:rPr>
      </w:pPr>
      <w:r w:rsidRPr="009214F0">
        <w:rPr>
          <w:rFonts w:cs="Times New Roman"/>
          <w:b/>
          <w:szCs w:val="22"/>
        </w:rPr>
        <w:t>The Death Penalty: Death Row Phenomenon and the Right to Retroactive Application of Beneficial Law</w:t>
      </w:r>
      <w:r>
        <w:rPr>
          <w:rFonts w:cs="Times New Roman"/>
          <w:b/>
          <w:szCs w:val="22"/>
        </w:rPr>
        <w:t xml:space="preserve"> (Article 7, 9, 10, 15)……………………….</w:t>
      </w:r>
      <w:r w:rsidR="004638D2">
        <w:rPr>
          <w:rFonts w:cs="Times New Roman"/>
          <w:b/>
          <w:szCs w:val="22"/>
        </w:rPr>
        <w:t xml:space="preserve">  5</w:t>
      </w:r>
    </w:p>
    <w:p w:rsidR="00B71F18" w:rsidRPr="009214F0" w:rsidRDefault="00B71F18" w:rsidP="00B71F18">
      <w:pPr>
        <w:rPr>
          <w:rFonts w:cs="Times New Roman"/>
          <w:b/>
          <w:szCs w:val="22"/>
        </w:rPr>
      </w:pPr>
    </w:p>
    <w:p w:rsidR="00B71F18" w:rsidRPr="0045523B" w:rsidRDefault="00B71F18" w:rsidP="00B71F18">
      <w:pPr>
        <w:pStyle w:val="ListParagraph"/>
        <w:numPr>
          <w:ilvl w:val="0"/>
          <w:numId w:val="6"/>
        </w:numPr>
        <w:rPr>
          <w:rFonts w:cs="Times New Roman"/>
          <w:b/>
          <w:szCs w:val="22"/>
        </w:rPr>
      </w:pPr>
      <w:r w:rsidRPr="0045523B">
        <w:rPr>
          <w:rFonts w:cs="Times New Roman"/>
          <w:b/>
          <w:szCs w:val="22"/>
        </w:rPr>
        <w:t xml:space="preserve">Juvenile </w:t>
      </w:r>
      <w:r>
        <w:rPr>
          <w:rFonts w:cs="Times New Roman"/>
          <w:b/>
          <w:szCs w:val="22"/>
        </w:rPr>
        <w:t xml:space="preserve">Life </w:t>
      </w:r>
      <w:proofErr w:type="gramStart"/>
      <w:r>
        <w:rPr>
          <w:rFonts w:cs="Times New Roman"/>
          <w:b/>
          <w:szCs w:val="22"/>
        </w:rPr>
        <w:t>Without</w:t>
      </w:r>
      <w:proofErr w:type="gramEnd"/>
      <w:r>
        <w:rPr>
          <w:rFonts w:cs="Times New Roman"/>
          <w:b/>
          <w:szCs w:val="22"/>
        </w:rPr>
        <w:t xml:space="preserve"> Parole (Article 7, 10, 14(4), </w:t>
      </w:r>
      <w:r w:rsidRPr="0045523B">
        <w:rPr>
          <w:rFonts w:cs="Times New Roman"/>
          <w:b/>
          <w:szCs w:val="22"/>
        </w:rPr>
        <w:t>15)</w:t>
      </w:r>
      <w:r>
        <w:rPr>
          <w:rFonts w:cs="Times New Roman"/>
          <w:b/>
          <w:szCs w:val="22"/>
        </w:rPr>
        <w:t xml:space="preserve"> </w:t>
      </w:r>
      <w:r w:rsidRPr="0045523B">
        <w:rPr>
          <w:rFonts w:cs="Times New Roman"/>
          <w:b/>
          <w:szCs w:val="22"/>
        </w:rPr>
        <w:t>………</w:t>
      </w:r>
      <w:r w:rsidR="004638D2">
        <w:rPr>
          <w:rFonts w:cs="Times New Roman"/>
          <w:b/>
          <w:szCs w:val="22"/>
        </w:rPr>
        <w:t>…………..   8</w:t>
      </w:r>
    </w:p>
    <w:p w:rsidR="00B71F18" w:rsidRDefault="00B71F18" w:rsidP="00B71F18">
      <w:pPr>
        <w:rPr>
          <w:rFonts w:cs="Times New Roman"/>
          <w:b/>
          <w:szCs w:val="22"/>
        </w:rPr>
      </w:pPr>
    </w:p>
    <w:p w:rsidR="00B71F18" w:rsidRPr="009214F0" w:rsidRDefault="00B71F18" w:rsidP="00B71F18">
      <w:pPr>
        <w:numPr>
          <w:ilvl w:val="0"/>
          <w:numId w:val="6"/>
        </w:numPr>
        <w:rPr>
          <w:rFonts w:cs="Times New Roman"/>
          <w:b/>
          <w:szCs w:val="22"/>
        </w:rPr>
      </w:pPr>
      <w:r w:rsidRPr="009214F0">
        <w:rPr>
          <w:rFonts w:cs="Times New Roman"/>
          <w:b/>
          <w:szCs w:val="22"/>
        </w:rPr>
        <w:t xml:space="preserve">Juveniles Transferred to Adult Court (Article 14(4)) </w:t>
      </w:r>
      <w:r>
        <w:rPr>
          <w:rFonts w:cs="Times New Roman"/>
          <w:b/>
          <w:szCs w:val="22"/>
        </w:rPr>
        <w:t>……</w:t>
      </w:r>
      <w:r w:rsidR="004638D2">
        <w:rPr>
          <w:rFonts w:cs="Times New Roman"/>
          <w:b/>
          <w:szCs w:val="22"/>
        </w:rPr>
        <w:t>………………  9</w:t>
      </w:r>
    </w:p>
    <w:p w:rsidR="00B71F18" w:rsidRPr="00606257" w:rsidRDefault="00B71F18" w:rsidP="00B71F18">
      <w:pPr>
        <w:rPr>
          <w:rFonts w:cs="Times New Roman"/>
          <w:b/>
          <w:szCs w:val="22"/>
        </w:rPr>
      </w:pPr>
    </w:p>
    <w:p w:rsidR="00B71F18" w:rsidRDefault="00B71F18" w:rsidP="00B71F18">
      <w:pPr>
        <w:numPr>
          <w:ilvl w:val="0"/>
          <w:numId w:val="6"/>
        </w:numPr>
        <w:rPr>
          <w:rFonts w:cs="Times New Roman"/>
          <w:b/>
          <w:szCs w:val="22"/>
        </w:rPr>
      </w:pPr>
      <w:r w:rsidRPr="009214F0">
        <w:rPr>
          <w:rFonts w:cs="Times New Roman"/>
          <w:b/>
          <w:szCs w:val="22"/>
        </w:rPr>
        <w:t>Life Without Parole (Article 10(3)) …………………</w:t>
      </w:r>
      <w:r w:rsidR="004638D2">
        <w:rPr>
          <w:rFonts w:cs="Times New Roman"/>
          <w:b/>
          <w:szCs w:val="22"/>
        </w:rPr>
        <w:t>…………………….  11</w:t>
      </w:r>
    </w:p>
    <w:p w:rsidR="00B71F18" w:rsidRDefault="00B71F18" w:rsidP="00B71F18">
      <w:pPr>
        <w:rPr>
          <w:rFonts w:cs="Times New Roman"/>
          <w:b/>
          <w:szCs w:val="22"/>
        </w:rPr>
      </w:pPr>
    </w:p>
    <w:p w:rsidR="00B71F18" w:rsidRPr="00606257" w:rsidRDefault="00B71F18" w:rsidP="00B71F18">
      <w:pPr>
        <w:numPr>
          <w:ilvl w:val="0"/>
          <w:numId w:val="6"/>
        </w:numPr>
        <w:rPr>
          <w:rFonts w:cs="Times New Roman"/>
          <w:b/>
          <w:szCs w:val="22"/>
        </w:rPr>
      </w:pPr>
      <w:r>
        <w:rPr>
          <w:rFonts w:cs="Times New Roman"/>
          <w:b/>
          <w:szCs w:val="22"/>
        </w:rPr>
        <w:t>Affirmative Action……………………………………………………………</w:t>
      </w:r>
      <w:r w:rsidR="004638D2">
        <w:rPr>
          <w:rFonts w:cs="Times New Roman"/>
          <w:b/>
          <w:szCs w:val="22"/>
        </w:rPr>
        <w:t>12</w:t>
      </w:r>
    </w:p>
    <w:p w:rsidR="00B71F18" w:rsidRDefault="00B71F18" w:rsidP="00B71F18"/>
    <w:p w:rsidR="00B71F18" w:rsidRDefault="00B71F18" w:rsidP="00B71F18"/>
    <w:p w:rsidR="00B71F18" w:rsidRDefault="00B71F18" w:rsidP="00B71F18"/>
    <w:p w:rsidR="00B71F18" w:rsidRDefault="00B71F18" w:rsidP="00B71F18"/>
    <w:p w:rsidR="00B71F18" w:rsidRDefault="00B71F18" w:rsidP="00B71F18"/>
    <w:p w:rsidR="00B71F18" w:rsidRDefault="00B71F18" w:rsidP="00B71F18"/>
    <w:p w:rsidR="00B71F18" w:rsidRDefault="00B71F18" w:rsidP="00B71F18"/>
    <w:p w:rsidR="00B71F18" w:rsidRDefault="00B71F18" w:rsidP="00B71F18">
      <w:pPr>
        <w:jc w:val="center"/>
        <w:rPr>
          <w:rFonts w:cs="Times New Roman"/>
          <w:b/>
          <w:szCs w:val="22"/>
        </w:rPr>
      </w:pPr>
    </w:p>
    <w:p w:rsidR="00B71F18" w:rsidRDefault="00B71F18" w:rsidP="00B71F18">
      <w:pPr>
        <w:jc w:val="center"/>
        <w:rPr>
          <w:rFonts w:cs="Times New Roman"/>
          <w:b/>
          <w:szCs w:val="22"/>
        </w:rPr>
      </w:pPr>
    </w:p>
    <w:p w:rsidR="00B71F18" w:rsidRDefault="00B71F18" w:rsidP="00B71F18">
      <w:pPr>
        <w:jc w:val="center"/>
        <w:rPr>
          <w:rFonts w:cs="Times New Roman"/>
          <w:b/>
          <w:szCs w:val="22"/>
        </w:rPr>
      </w:pPr>
    </w:p>
    <w:p w:rsidR="00B71F18" w:rsidRDefault="00B71F18" w:rsidP="00B71F18">
      <w:pPr>
        <w:jc w:val="center"/>
        <w:rPr>
          <w:rFonts w:cs="Times New Roman"/>
          <w:b/>
          <w:szCs w:val="22"/>
        </w:rPr>
      </w:pPr>
    </w:p>
    <w:p w:rsidR="00B71F18" w:rsidRDefault="00B71F18" w:rsidP="00B71F18">
      <w:pPr>
        <w:jc w:val="center"/>
        <w:rPr>
          <w:rFonts w:cs="Times New Roman"/>
          <w:b/>
          <w:szCs w:val="22"/>
        </w:rPr>
      </w:pPr>
    </w:p>
    <w:p w:rsidR="00B71F18" w:rsidRDefault="00B71F18" w:rsidP="00B71F18">
      <w:pPr>
        <w:jc w:val="center"/>
        <w:rPr>
          <w:rFonts w:cs="Times New Roman"/>
          <w:b/>
          <w:szCs w:val="22"/>
        </w:rPr>
      </w:pPr>
    </w:p>
    <w:p w:rsidR="00B71F18" w:rsidRDefault="00B71F18" w:rsidP="00B71F18">
      <w:pPr>
        <w:jc w:val="center"/>
        <w:rPr>
          <w:rFonts w:cs="Times New Roman"/>
          <w:b/>
          <w:szCs w:val="22"/>
        </w:rPr>
      </w:pPr>
    </w:p>
    <w:p w:rsidR="00B71F18" w:rsidRDefault="00B71F18" w:rsidP="00B71F18">
      <w:pPr>
        <w:jc w:val="center"/>
        <w:rPr>
          <w:rFonts w:cs="Times New Roman"/>
          <w:b/>
          <w:szCs w:val="22"/>
        </w:rPr>
      </w:pPr>
    </w:p>
    <w:p w:rsidR="00B71F18" w:rsidRDefault="00B71F18" w:rsidP="00B71F18">
      <w:pPr>
        <w:jc w:val="center"/>
        <w:rPr>
          <w:rFonts w:cs="Times New Roman"/>
          <w:b/>
          <w:szCs w:val="22"/>
        </w:rPr>
      </w:pPr>
    </w:p>
    <w:p w:rsidR="00B71F18" w:rsidRDefault="00B71F18" w:rsidP="00B71F18">
      <w:pPr>
        <w:jc w:val="center"/>
        <w:rPr>
          <w:rFonts w:cs="Times New Roman"/>
          <w:b/>
          <w:szCs w:val="22"/>
        </w:rPr>
      </w:pPr>
    </w:p>
    <w:p w:rsidR="00B71F18" w:rsidRDefault="00B71F18" w:rsidP="00B71F18">
      <w:pPr>
        <w:jc w:val="center"/>
        <w:rPr>
          <w:rFonts w:cs="Times New Roman"/>
          <w:b/>
          <w:szCs w:val="22"/>
        </w:rPr>
      </w:pPr>
    </w:p>
    <w:p w:rsidR="00105542" w:rsidRDefault="00105542" w:rsidP="00B71F18">
      <w:pPr>
        <w:jc w:val="center"/>
        <w:rPr>
          <w:rFonts w:cs="Times New Roman"/>
          <w:b/>
          <w:szCs w:val="22"/>
        </w:rPr>
      </w:pPr>
    </w:p>
    <w:p w:rsidR="00105542" w:rsidRDefault="00105542" w:rsidP="00B71F18">
      <w:pPr>
        <w:jc w:val="center"/>
        <w:rPr>
          <w:rFonts w:cs="Times New Roman"/>
          <w:b/>
          <w:szCs w:val="22"/>
        </w:rPr>
      </w:pPr>
    </w:p>
    <w:p w:rsidR="00B71F18" w:rsidRDefault="00B71F18" w:rsidP="00B71F18">
      <w:pPr>
        <w:jc w:val="center"/>
        <w:rPr>
          <w:rFonts w:cs="Times New Roman"/>
          <w:b/>
          <w:szCs w:val="22"/>
        </w:rPr>
      </w:pPr>
      <w:r w:rsidRPr="00606257">
        <w:rPr>
          <w:rFonts w:cs="Times New Roman"/>
          <w:b/>
          <w:szCs w:val="22"/>
        </w:rPr>
        <w:t>Reporting Organization</w:t>
      </w:r>
      <w:r>
        <w:rPr>
          <w:rFonts w:cs="Times New Roman"/>
          <w:b/>
          <w:szCs w:val="22"/>
        </w:rPr>
        <w:t>s</w:t>
      </w:r>
    </w:p>
    <w:p w:rsidR="00B71F18" w:rsidRPr="00606257" w:rsidRDefault="00B71F18" w:rsidP="00B71F18">
      <w:pPr>
        <w:jc w:val="center"/>
        <w:rPr>
          <w:rFonts w:cs="Times New Roman"/>
          <w:b/>
          <w:i/>
          <w:szCs w:val="22"/>
        </w:rPr>
      </w:pPr>
    </w:p>
    <w:p w:rsidR="00B71F18" w:rsidRDefault="00B71F18" w:rsidP="00B71F18">
      <w:pPr>
        <w:tabs>
          <w:tab w:val="left" w:pos="0"/>
        </w:tabs>
        <w:rPr>
          <w:rFonts w:cs="Times New Roman"/>
          <w:szCs w:val="22"/>
        </w:rPr>
      </w:pPr>
    </w:p>
    <w:p w:rsidR="00B71F18" w:rsidRPr="006406D6" w:rsidRDefault="00B71F18" w:rsidP="00B71F18">
      <w:pPr>
        <w:contextualSpacing/>
        <w:rPr>
          <w:rFonts w:eastAsia="Times New Roman" w:cs="Times New Roman"/>
          <w:i/>
          <w:szCs w:val="22"/>
          <w:lang w:eastAsia="en-US"/>
        </w:rPr>
      </w:pPr>
      <w:r w:rsidRPr="006406D6">
        <w:rPr>
          <w:rFonts w:eastAsia="Times New Roman" w:cs="Times New Roman"/>
          <w:i/>
          <w:color w:val="000000"/>
          <w:szCs w:val="22"/>
          <w:shd w:val="clear" w:color="auto" w:fill="FFFFFF"/>
          <w:lang w:eastAsia="en-US"/>
        </w:rPr>
        <w:t>Human Rights Advocates -</w:t>
      </w:r>
      <w:r w:rsidRPr="006406D6">
        <w:rPr>
          <w:spacing w:val="-3"/>
        </w:rPr>
        <w:t xml:space="preserve"> </w:t>
      </w:r>
      <w:r w:rsidRPr="006406D6">
        <w:rPr>
          <w:rFonts w:cs="Times New Roman"/>
          <w:spacing w:val="-3"/>
          <w:szCs w:val="22"/>
        </w:rPr>
        <w:t xml:space="preserve">Human Rights Advocates (HRA), a California non-profit corporation, was founded in 1978 and has national and international membership.  It endeavors to advance the cause of human rights to ensure that the most basic rights are afforded to everyone.  HRA has Special Consultative Status in the United Nations and has participated in meetings of its human rights bodies for almost thirty years.  HRA has raised criminal justice </w:t>
      </w:r>
      <w:r>
        <w:rPr>
          <w:rFonts w:cs="Times New Roman"/>
          <w:spacing w:val="-3"/>
          <w:szCs w:val="22"/>
        </w:rPr>
        <w:t xml:space="preserve">and racial equality issues at the </w:t>
      </w:r>
      <w:r w:rsidRPr="006406D6">
        <w:rPr>
          <w:rFonts w:cs="Times New Roman"/>
          <w:spacing w:val="-3"/>
          <w:szCs w:val="22"/>
        </w:rPr>
        <w:t xml:space="preserve">international </w:t>
      </w:r>
      <w:r>
        <w:rPr>
          <w:rFonts w:cs="Times New Roman"/>
          <w:spacing w:val="-3"/>
          <w:szCs w:val="22"/>
        </w:rPr>
        <w:t xml:space="preserve">level </w:t>
      </w:r>
      <w:r w:rsidRPr="006406D6">
        <w:rPr>
          <w:rFonts w:cs="Times New Roman"/>
          <w:spacing w:val="-3"/>
          <w:szCs w:val="22"/>
        </w:rPr>
        <w:t xml:space="preserve">and </w:t>
      </w:r>
      <w:r>
        <w:rPr>
          <w:rFonts w:cs="Times New Roman"/>
          <w:spacing w:val="-3"/>
          <w:szCs w:val="22"/>
        </w:rPr>
        <w:t>in the United States for over twenty years</w:t>
      </w:r>
      <w:r w:rsidRPr="006406D6">
        <w:rPr>
          <w:rFonts w:cs="Times New Roman"/>
          <w:spacing w:val="-3"/>
          <w:szCs w:val="22"/>
        </w:rPr>
        <w:t>.</w:t>
      </w:r>
      <w:r w:rsidRPr="00606257">
        <w:rPr>
          <w:rFonts w:cs="Times New Roman"/>
          <w:szCs w:val="22"/>
        </w:rPr>
        <w:t xml:space="preserve"> </w:t>
      </w:r>
    </w:p>
    <w:p w:rsidR="00B71F18" w:rsidRDefault="00B71F18" w:rsidP="00B71F18">
      <w:pPr>
        <w:tabs>
          <w:tab w:val="left" w:pos="0"/>
        </w:tabs>
        <w:rPr>
          <w:rFonts w:cs="Times New Roman"/>
          <w:szCs w:val="22"/>
        </w:rPr>
      </w:pPr>
    </w:p>
    <w:p w:rsidR="00B71F18" w:rsidRDefault="00B71F18" w:rsidP="00B71F18">
      <w:pPr>
        <w:tabs>
          <w:tab w:val="left" w:pos="0"/>
        </w:tabs>
        <w:rPr>
          <w:rFonts w:cs="Times New Roman"/>
          <w:szCs w:val="22"/>
        </w:rPr>
      </w:pPr>
    </w:p>
    <w:p w:rsidR="00B71F18" w:rsidRDefault="00B71F18" w:rsidP="00B71F18">
      <w:pPr>
        <w:tabs>
          <w:tab w:val="left" w:pos="0"/>
        </w:tabs>
        <w:rPr>
          <w:rFonts w:cs="Times New Roman"/>
          <w:spacing w:val="-3"/>
          <w:szCs w:val="22"/>
        </w:rPr>
      </w:pPr>
      <w:r w:rsidRPr="006406D6">
        <w:rPr>
          <w:rFonts w:eastAsia="Times New Roman" w:cs="Times New Roman"/>
          <w:i/>
          <w:color w:val="000000"/>
          <w:szCs w:val="22"/>
          <w:shd w:val="clear" w:color="auto" w:fill="FFFFFF"/>
          <w:lang w:eastAsia="en-US"/>
        </w:rPr>
        <w:t>University of San Francisco School of Law, Center for Law and Global Justice, Human Rights in Criminal Sentencing Project</w:t>
      </w:r>
      <w:r>
        <w:rPr>
          <w:rFonts w:eastAsia="Times New Roman" w:cs="Times New Roman"/>
          <w:i/>
          <w:color w:val="000000"/>
          <w:szCs w:val="22"/>
          <w:shd w:val="clear" w:color="auto" w:fill="FFFFFF"/>
          <w:lang w:eastAsia="en-US"/>
        </w:rPr>
        <w:t xml:space="preserve"> and the Project to End Juvenile Life Without Parole</w:t>
      </w:r>
      <w:r w:rsidRPr="006406D6">
        <w:rPr>
          <w:rFonts w:eastAsia="Times New Roman" w:cs="Times New Roman"/>
          <w:i/>
          <w:color w:val="000000"/>
          <w:szCs w:val="22"/>
          <w:shd w:val="clear" w:color="auto" w:fill="FFFFFF"/>
          <w:lang w:eastAsia="en-US"/>
        </w:rPr>
        <w:t xml:space="preserve"> - </w:t>
      </w:r>
      <w:r w:rsidRPr="006406D6">
        <w:rPr>
          <w:rFonts w:cs="Times New Roman"/>
          <w:spacing w:val="-3"/>
          <w:szCs w:val="22"/>
        </w:rPr>
        <w:t>The University of San Francisco (USF) Center for Law and Global Justice is a focal point for USF School of Law's commitment to international justice and legal education with a global perspective.  The Center generates student externships around the globe, protects and enforces human rights through litigation and advocacy, manages and participates in international rule of law programs in developing nations, develops partnerships with world-class foreign law schools, provides a forum for student scholarship, and nurtures an environment where student-organized conferences and international speakers explore topi</w:t>
      </w:r>
      <w:r>
        <w:rPr>
          <w:rFonts w:cs="Times New Roman"/>
          <w:spacing w:val="-3"/>
          <w:szCs w:val="22"/>
        </w:rPr>
        <w:t xml:space="preserve">cs relating to global justice. </w:t>
      </w:r>
    </w:p>
    <w:p w:rsidR="00B71F18" w:rsidRDefault="00B71F18" w:rsidP="00B71F18">
      <w:pPr>
        <w:numPr>
          <w:ilvl w:val="0"/>
          <w:numId w:val="1"/>
        </w:numPr>
        <w:tabs>
          <w:tab w:val="left" w:pos="0"/>
        </w:tabs>
        <w:contextualSpacing/>
        <w:rPr>
          <w:rFonts w:cs="Times New Roman"/>
          <w:szCs w:val="22"/>
        </w:rPr>
      </w:pPr>
      <w:r>
        <w:rPr>
          <w:rFonts w:cs="Times New Roman"/>
          <w:spacing w:val="-3"/>
          <w:szCs w:val="22"/>
        </w:rPr>
        <w:t>Housed under the Center, t</w:t>
      </w:r>
      <w:r w:rsidRPr="006406D6">
        <w:rPr>
          <w:rFonts w:cs="Times New Roman"/>
          <w:spacing w:val="-3"/>
          <w:szCs w:val="22"/>
        </w:rPr>
        <w:t xml:space="preserve">he Human Rights in Criminal Sentencing Project conducts research into criminal sentencing practices from a human rights perspective.  Most recently the Project completed a report entitled “Cruel and Unusual: U.S. Sentencing Practices in a Global Context” available at </w:t>
      </w:r>
      <w:hyperlink r:id="rId10" w:history="1">
        <w:r w:rsidRPr="00F43902">
          <w:rPr>
            <w:rStyle w:val="Hyperlink"/>
            <w:rFonts w:cs="Times New Roman"/>
            <w:spacing w:val="-3"/>
            <w:szCs w:val="22"/>
          </w:rPr>
          <w:t>http://www.usfca.edu/law/clgj/criminalsentencing/</w:t>
        </w:r>
      </w:hyperlink>
    </w:p>
    <w:p w:rsidR="00B71F18" w:rsidRPr="00606257" w:rsidRDefault="00B71F18" w:rsidP="00B71F18">
      <w:pPr>
        <w:numPr>
          <w:ilvl w:val="0"/>
          <w:numId w:val="1"/>
        </w:numPr>
        <w:tabs>
          <w:tab w:val="left" w:pos="0"/>
        </w:tabs>
        <w:contextualSpacing/>
        <w:rPr>
          <w:rFonts w:cs="Times New Roman"/>
          <w:szCs w:val="22"/>
        </w:rPr>
      </w:pPr>
      <w:r w:rsidRPr="00606257">
        <w:rPr>
          <w:rFonts w:cs="Times New Roman"/>
          <w:szCs w:val="22"/>
        </w:rPr>
        <w:t>The Center has advocated for juvenile justice reform through its Project to End Juvenile Life Without Parole, which assists juvenile defenders and justice advocates challenging juvenile life without parole sentence.</w:t>
      </w:r>
      <w:r>
        <w:rPr>
          <w:rStyle w:val="FootnoteReference"/>
          <w:szCs w:val="22"/>
        </w:rPr>
        <w:footnoteReference w:id="1"/>
      </w:r>
    </w:p>
    <w:p w:rsidR="00B71F18" w:rsidRPr="00606257" w:rsidRDefault="00B71F18" w:rsidP="00B71F18">
      <w:pPr>
        <w:tabs>
          <w:tab w:val="left" w:pos="0"/>
        </w:tabs>
        <w:rPr>
          <w:rFonts w:cs="Times New Roman"/>
          <w:szCs w:val="22"/>
        </w:rPr>
      </w:pPr>
    </w:p>
    <w:p w:rsidR="00B71F18" w:rsidRPr="00606257" w:rsidRDefault="00B71F18" w:rsidP="00B71F18">
      <w:pPr>
        <w:rPr>
          <w:rFonts w:cs="Times New Roman"/>
          <w:i/>
          <w:szCs w:val="22"/>
        </w:rPr>
      </w:pPr>
    </w:p>
    <w:p w:rsidR="00B71F18" w:rsidRDefault="00B71F18" w:rsidP="00B71F18"/>
    <w:p w:rsidR="00B71F18" w:rsidRDefault="00B71F18" w:rsidP="00B71F18"/>
    <w:p w:rsidR="00B71F18" w:rsidRDefault="00B71F18" w:rsidP="00B71F18"/>
    <w:p w:rsidR="00B71F18" w:rsidRDefault="00B71F18" w:rsidP="00B71F18"/>
    <w:p w:rsidR="00B71F18" w:rsidRDefault="00B71F18" w:rsidP="00B71F18"/>
    <w:p w:rsidR="00B71F18" w:rsidRDefault="00B71F18" w:rsidP="00B71F18"/>
    <w:p w:rsidR="00B71F18" w:rsidRDefault="00B71F18" w:rsidP="00B71F18"/>
    <w:p w:rsidR="00B71F18" w:rsidRDefault="00B71F18" w:rsidP="00B71F18">
      <w:pPr>
        <w:pStyle w:val="ListParagraph"/>
        <w:numPr>
          <w:ilvl w:val="0"/>
          <w:numId w:val="5"/>
        </w:numPr>
        <w:rPr>
          <w:b/>
        </w:rPr>
      </w:pPr>
      <w:r>
        <w:rPr>
          <w:b/>
        </w:rPr>
        <w:lastRenderedPageBreak/>
        <w:t>Executive Summary</w:t>
      </w:r>
    </w:p>
    <w:p w:rsidR="00B71F18" w:rsidRDefault="00B71F18" w:rsidP="00B71F18">
      <w:pPr>
        <w:rPr>
          <w:b/>
        </w:rPr>
      </w:pPr>
    </w:p>
    <w:p w:rsidR="00B71F18" w:rsidRPr="002E3C37" w:rsidRDefault="00B71F18" w:rsidP="00B71F18">
      <w:r>
        <w:t>This report follows the submission made to the Human Rights Committee on suggested issues for review of the United States of America.  The report covers the issues of private prisons, the death row phenomenon, the right to retroactive application of beneficial law as applied to the death penalty, juvenile life without parole sentences, the transfer of juveniles to adult court, life without parole sentences, and affirmative action in education.</w:t>
      </w:r>
    </w:p>
    <w:p w:rsidR="00B71F18" w:rsidRDefault="00B71F18" w:rsidP="00B71F18">
      <w:pPr>
        <w:pStyle w:val="ListParagraph"/>
        <w:ind w:left="1080"/>
        <w:rPr>
          <w:b/>
        </w:rPr>
      </w:pPr>
    </w:p>
    <w:p w:rsidR="00B71F18" w:rsidRPr="00124628" w:rsidRDefault="00B71F18" w:rsidP="00B71F18">
      <w:pPr>
        <w:pStyle w:val="ListParagraph"/>
        <w:numPr>
          <w:ilvl w:val="0"/>
          <w:numId w:val="5"/>
        </w:numPr>
        <w:rPr>
          <w:b/>
        </w:rPr>
      </w:pPr>
      <w:r w:rsidRPr="00124628">
        <w:rPr>
          <w:b/>
        </w:rPr>
        <w:t>Private Prisons</w:t>
      </w:r>
    </w:p>
    <w:p w:rsidR="00B71F18" w:rsidRDefault="00B71F18" w:rsidP="00B71F18"/>
    <w:p w:rsidR="00B71F18" w:rsidRPr="0020495F" w:rsidRDefault="00B71F18" w:rsidP="00B71F18">
      <w:pPr>
        <w:pStyle w:val="ListParagraph"/>
        <w:numPr>
          <w:ilvl w:val="0"/>
          <w:numId w:val="7"/>
        </w:numPr>
        <w:rPr>
          <w:b/>
        </w:rPr>
      </w:pPr>
      <w:r w:rsidRPr="0020495F">
        <w:rPr>
          <w:b/>
        </w:rPr>
        <w:t>Relevant Question in List of Issues</w:t>
      </w:r>
    </w:p>
    <w:p w:rsidR="00B71F18" w:rsidRDefault="00B71F18" w:rsidP="00B71F18"/>
    <w:p w:rsidR="00B71F18" w:rsidRDefault="00B71F18" w:rsidP="00B71F18">
      <w:r>
        <w:t>The Committee raised the problem of private prisons in issue number 16 and asked that the United States “provide information on steps taken to ensure monitoring of conditions in private detention facilities.”</w:t>
      </w:r>
    </w:p>
    <w:p w:rsidR="00B71F18" w:rsidRPr="0020495F" w:rsidRDefault="00B71F18" w:rsidP="00B71F18"/>
    <w:p w:rsidR="00B71F18" w:rsidRPr="000C1713" w:rsidRDefault="00B71F18" w:rsidP="00B71F18">
      <w:pPr>
        <w:pStyle w:val="ListParagraph"/>
        <w:numPr>
          <w:ilvl w:val="0"/>
          <w:numId w:val="7"/>
        </w:numPr>
        <w:rPr>
          <w:b/>
        </w:rPr>
      </w:pPr>
      <w:r w:rsidRPr="000C1713">
        <w:rPr>
          <w:b/>
        </w:rPr>
        <w:t>Issue Summary</w:t>
      </w:r>
    </w:p>
    <w:p w:rsidR="00B71F18" w:rsidRDefault="00B71F18" w:rsidP="00B71F18"/>
    <w:p w:rsidR="00B71F18" w:rsidRDefault="00B71F18" w:rsidP="00B71F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s="Times New Roman"/>
          <w:lang w:eastAsia="en-US"/>
        </w:rPr>
      </w:pPr>
      <w:r>
        <w:t xml:space="preserve">The fact that private companies are profiting from imprisonment creates a need for greater government transparency and vigilance against potential abuses.  Private companies have an incentive for higher rates of imprisonment in order to maximize profit.  In turn the facilities cut costs in order to create a greater profit margin at the expense of those held in detention. </w:t>
      </w:r>
    </w:p>
    <w:p w:rsidR="00B71F18" w:rsidRDefault="00B71F18" w:rsidP="00B71F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s="Times New Roman"/>
          <w:lang w:eastAsia="en-US"/>
        </w:rPr>
      </w:pPr>
    </w:p>
    <w:p w:rsidR="00B71F18" w:rsidRDefault="00B71F18" w:rsidP="00B71F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r>
        <w:rPr>
          <w:rFonts w:eastAsiaTheme="minorHAnsi" w:cs="Times New Roman"/>
          <w:lang w:eastAsia="en-US"/>
        </w:rPr>
        <w:t xml:space="preserve">The lobbying strategy of the private prison companies is an example of their efforts to maximize their profits. In February 2011, Pennsylvania Juvenile Court Judge </w:t>
      </w:r>
      <w:proofErr w:type="spellStart"/>
      <w:r>
        <w:rPr>
          <w:rFonts w:eastAsiaTheme="minorHAnsi" w:cs="Times New Roman"/>
          <w:lang w:eastAsia="en-US"/>
        </w:rPr>
        <w:t>Ciaverella</w:t>
      </w:r>
      <w:proofErr w:type="spellEnd"/>
      <w:r>
        <w:rPr>
          <w:rFonts w:eastAsiaTheme="minorHAnsi" w:cs="Times New Roman"/>
          <w:lang w:eastAsia="en-US"/>
        </w:rPr>
        <w:t xml:space="preserve"> was convicted of racketeering in a “cash for kids” jail scheme. The judge was paid by </w:t>
      </w:r>
      <w:r w:rsidR="00A609F8">
        <w:rPr>
          <w:rFonts w:eastAsiaTheme="minorHAnsi" w:cs="Times New Roman"/>
          <w:lang w:eastAsia="en-US"/>
        </w:rPr>
        <w:t xml:space="preserve">the </w:t>
      </w:r>
      <w:r>
        <w:rPr>
          <w:rFonts w:eastAsiaTheme="minorHAnsi" w:cs="Times New Roman"/>
          <w:lang w:eastAsia="en-US"/>
        </w:rPr>
        <w:t>builder of two private, for profit juvenile facilities to sentence kids to harsher punishments in order to keep the company’s private</w:t>
      </w:r>
      <w:r>
        <w:rPr>
          <w:rFonts w:ascii="Helvetica" w:eastAsiaTheme="minorHAnsi" w:hAnsi="Helvetica" w:cs="Helvetica"/>
          <w:lang w:eastAsia="en-US"/>
        </w:rPr>
        <w:t xml:space="preserve"> </w:t>
      </w:r>
      <w:r w:rsidR="00A609F8">
        <w:rPr>
          <w:rFonts w:eastAsiaTheme="minorHAnsi" w:cs="Times New Roman"/>
          <w:lang w:eastAsia="en-US"/>
        </w:rPr>
        <w:t>facility filled</w:t>
      </w:r>
      <w:r>
        <w:rPr>
          <w:rFonts w:eastAsiaTheme="minorHAnsi" w:cs="Times New Roman"/>
          <w:lang w:eastAsia="en-US"/>
        </w:rPr>
        <w:t>.</w:t>
      </w:r>
      <w:r>
        <w:rPr>
          <w:rStyle w:val="FootnoteReference"/>
          <w:rFonts w:eastAsiaTheme="minorHAnsi"/>
          <w:lang w:eastAsia="en-US"/>
        </w:rPr>
        <w:footnoteReference w:id="2"/>
      </w:r>
    </w:p>
    <w:p w:rsidR="00B71F18" w:rsidRDefault="00B71F18" w:rsidP="00B71F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s="Times New Roman"/>
          <w:lang w:eastAsia="en-US"/>
        </w:rPr>
      </w:pPr>
    </w:p>
    <w:p w:rsidR="00B71F18" w:rsidRDefault="00665CDD" w:rsidP="00B71F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s="Times New Roman"/>
          <w:lang w:eastAsia="en-US"/>
        </w:rPr>
      </w:pPr>
      <w:r>
        <w:rPr>
          <w:rFonts w:eastAsiaTheme="minorHAnsi" w:cs="Times New Roman"/>
          <w:lang w:eastAsia="en-US"/>
        </w:rPr>
        <w:t>Private prisons often lack rehabilitative programming.  For instance,</w:t>
      </w:r>
      <w:r w:rsidR="00B71F18">
        <w:rPr>
          <w:rFonts w:eastAsiaTheme="minorHAnsi" w:cs="Times New Roman"/>
          <w:lang w:eastAsia="en-US"/>
        </w:rPr>
        <w:t xml:space="preserve"> Lake Erie Correctional Institute and North Coast Correctional Treatment Facility, both private facilities, have no trauma recovery programs, no contract or grant-funded job training programs, and no program addressing mental illness, disease management, or general health, or sex off</w:t>
      </w:r>
      <w:r w:rsidR="00A609F8">
        <w:rPr>
          <w:rFonts w:eastAsiaTheme="minorHAnsi" w:cs="Times New Roman"/>
          <w:lang w:eastAsia="en-US"/>
        </w:rPr>
        <w:t xml:space="preserve">ender issues. </w:t>
      </w:r>
    </w:p>
    <w:p w:rsidR="00B71F18" w:rsidRDefault="00B71F18" w:rsidP="00B71F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s="Times New Roman"/>
          <w:lang w:eastAsia="en-US"/>
        </w:rPr>
      </w:pPr>
    </w:p>
    <w:p w:rsidR="00B71F18" w:rsidRDefault="00B71F18" w:rsidP="00B71F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s="Times New Roman"/>
          <w:lang w:eastAsia="en-US"/>
        </w:rPr>
      </w:pPr>
      <w:r>
        <w:rPr>
          <w:rFonts w:eastAsiaTheme="minorHAnsi" w:cs="Times New Roman"/>
          <w:lang w:eastAsia="en-US"/>
        </w:rPr>
        <w:t>Private prisons nationwide suffer from untrained and undisciplined staff that is ill equipped to cope with the problems that occur in most prisons which in turn creates dangerous conditions for prisoners. In order to increase profits, private prisons pay staff less than public workers, with little or no benefits, which lead to high staff turnover rates. The private prison industry’s own statistics</w:t>
      </w:r>
      <w:r w:rsidRPr="009F052E">
        <w:rPr>
          <w:rFonts w:eastAsiaTheme="minorHAnsi" w:cs="Times New Roman"/>
          <w:lang w:eastAsia="en-US"/>
        </w:rPr>
        <w:t xml:space="preserve"> </w:t>
      </w:r>
      <w:r>
        <w:rPr>
          <w:rFonts w:eastAsiaTheme="minorHAnsi" w:cs="Times New Roman"/>
          <w:lang w:eastAsia="en-US"/>
        </w:rPr>
        <w:t>show that at private prisons the turn-over rate was 53 percent, while at public prisons it was a mere 16 percent.</w:t>
      </w:r>
      <w:r>
        <w:rPr>
          <w:rStyle w:val="FootnoteReference"/>
          <w:rFonts w:eastAsiaTheme="minorHAnsi"/>
          <w:lang w:eastAsia="en-US"/>
        </w:rPr>
        <w:footnoteReference w:id="3"/>
      </w:r>
    </w:p>
    <w:p w:rsidR="00B71F18" w:rsidRDefault="00B71F18" w:rsidP="00B71F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s="Times New Roman"/>
          <w:lang w:eastAsia="en-US"/>
        </w:rPr>
      </w:pPr>
      <w:r>
        <w:rPr>
          <w:rFonts w:eastAsiaTheme="minorHAnsi" w:cs="Times New Roman"/>
          <w:lang w:eastAsia="en-US"/>
        </w:rPr>
        <w:lastRenderedPageBreak/>
        <w:t>Prison safety depends on a stable workforce. High turnover rates mean the staff is fewer in number and less experienced.  Workforce instability has resulted in riots, rapes, assaults, and escapes.  A 2004 report by the Federal Probation Journal found that private prisons had 50 percent more inmate on inmate assaults, and almost 50 percent more inmate on staff assaults.</w:t>
      </w:r>
      <w:r>
        <w:rPr>
          <w:rStyle w:val="FootnoteReference"/>
          <w:rFonts w:eastAsiaTheme="minorHAnsi"/>
          <w:lang w:eastAsia="en-US"/>
        </w:rPr>
        <w:footnoteReference w:id="4"/>
      </w:r>
    </w:p>
    <w:p w:rsidR="00B71F18" w:rsidRDefault="00B71F18" w:rsidP="00B71F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s="Times New Roman"/>
          <w:lang w:eastAsia="en-US"/>
        </w:rPr>
      </w:pPr>
    </w:p>
    <w:p w:rsidR="00B71F18" w:rsidRDefault="00B71F18" w:rsidP="00B71F18">
      <w:pPr>
        <w:pStyle w:val="ListParagraph"/>
        <w:numPr>
          <w:ilvl w:val="0"/>
          <w:numId w:val="7"/>
        </w:numPr>
        <w:rPr>
          <w:b/>
        </w:rPr>
      </w:pPr>
      <w:r>
        <w:rPr>
          <w:b/>
        </w:rPr>
        <w:t>U.S. Government Response</w:t>
      </w:r>
    </w:p>
    <w:p w:rsidR="00B71F18" w:rsidRDefault="00B71F18" w:rsidP="00B71F18">
      <w:pPr>
        <w:rPr>
          <w:b/>
        </w:rPr>
      </w:pPr>
    </w:p>
    <w:p w:rsidR="00B71F18" w:rsidRPr="004E1F37" w:rsidRDefault="00B71F18" w:rsidP="00B71F18">
      <w:pPr>
        <w:rPr>
          <w:rFonts w:cs="Times New Roman"/>
        </w:rPr>
      </w:pPr>
      <w:r>
        <w:rPr>
          <w:rFonts w:cs="Times New Roman"/>
        </w:rPr>
        <w:t xml:space="preserve">The U.S. addressed the issue of private prisons in section 84 of their response. </w:t>
      </w:r>
    </w:p>
    <w:p w:rsidR="00B71F18" w:rsidRDefault="00B71F18" w:rsidP="00B71F18">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s="Times New Roman"/>
          <w:lang w:eastAsia="en-US"/>
        </w:rPr>
      </w:pPr>
    </w:p>
    <w:p w:rsidR="00B71F18" w:rsidRPr="0020495F" w:rsidRDefault="00B71F18" w:rsidP="00B71F18">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s="Times New Roman"/>
          <w:b/>
          <w:lang w:eastAsia="en-US"/>
        </w:rPr>
      </w:pPr>
      <w:r w:rsidRPr="0020495F">
        <w:rPr>
          <w:rFonts w:eastAsiaTheme="minorHAnsi" w:cs="Times New Roman"/>
          <w:b/>
          <w:lang w:eastAsia="en-US"/>
        </w:rPr>
        <w:t>Recommended Questions</w:t>
      </w:r>
    </w:p>
    <w:p w:rsidR="00B71F18" w:rsidRPr="007F2D73" w:rsidRDefault="00B71F18" w:rsidP="007F2D73">
      <w:pPr>
        <w:pStyle w:val="ListParagraph"/>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s="Times New Roman"/>
          <w:lang w:eastAsia="en-US"/>
        </w:rPr>
      </w:pPr>
      <w:r w:rsidRPr="007F2D73">
        <w:rPr>
          <w:rFonts w:eastAsiaTheme="minorHAnsi" w:cs="Times New Roman"/>
          <w:lang w:eastAsia="en-US"/>
        </w:rPr>
        <w:t>In what ways are private prisons being held to international standards regarding the treatment of inmates?</w:t>
      </w:r>
    </w:p>
    <w:p w:rsidR="00B71F18" w:rsidRDefault="00B71F18" w:rsidP="00B71F18">
      <w:pPr>
        <w:pStyle w:val="ListParagraph"/>
        <w:widowControl w:val="0"/>
        <w:numPr>
          <w:ilvl w:val="0"/>
          <w:numId w:val="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s="Times New Roman"/>
          <w:lang w:eastAsia="en-US"/>
        </w:rPr>
      </w:pPr>
      <w:r>
        <w:rPr>
          <w:rFonts w:eastAsiaTheme="minorHAnsi" w:cs="Times New Roman"/>
          <w:lang w:eastAsia="en-US"/>
        </w:rPr>
        <w:t>What oversight body monitors compliance with international standards regarding the treatment of inmates in private prisons?</w:t>
      </w:r>
    </w:p>
    <w:p w:rsidR="00B71F18" w:rsidRPr="001F57D3" w:rsidRDefault="00B71F18" w:rsidP="00B71F18">
      <w:pPr>
        <w:pStyle w:val="ListParagraph"/>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left="1080"/>
        <w:rPr>
          <w:rFonts w:eastAsiaTheme="minorHAnsi" w:cs="Times New Roman"/>
          <w:lang w:eastAsia="en-US"/>
        </w:rPr>
      </w:pPr>
    </w:p>
    <w:p w:rsidR="00B71F18" w:rsidRPr="0020495F" w:rsidRDefault="00B71F18" w:rsidP="00B71F18">
      <w:pPr>
        <w:pStyle w:val="ListParagraph"/>
        <w:widowControl w:val="0"/>
        <w:numPr>
          <w:ilvl w:val="0"/>
          <w:numId w:val="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s="Times New Roman"/>
          <w:b/>
          <w:lang w:eastAsia="en-US"/>
        </w:rPr>
      </w:pPr>
      <w:r w:rsidRPr="0020495F">
        <w:rPr>
          <w:rFonts w:eastAsiaTheme="minorHAnsi" w:cs="Times New Roman"/>
          <w:b/>
          <w:lang w:eastAsia="en-US"/>
        </w:rPr>
        <w:t>Suggested Recommendations</w:t>
      </w:r>
    </w:p>
    <w:p w:rsidR="00B71F18" w:rsidRDefault="00B71F18" w:rsidP="00B71F18">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s="Times New Roman"/>
          <w:lang w:eastAsia="en-US"/>
        </w:rPr>
      </w:pPr>
      <w:r>
        <w:rPr>
          <w:rFonts w:eastAsiaTheme="minorHAnsi" w:cs="Times New Roman"/>
          <w:lang w:eastAsia="en-US"/>
        </w:rPr>
        <w:t>The Federal Government should cease contracting with private companies to run prisons and immigration detention facilities.</w:t>
      </w:r>
    </w:p>
    <w:p w:rsidR="00B71F18" w:rsidRPr="001F57D3" w:rsidRDefault="00B71F18" w:rsidP="00B71F18">
      <w:pPr>
        <w:pStyle w:val="ListParagraph"/>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s="Times New Roman"/>
          <w:lang w:eastAsia="en-US"/>
        </w:rPr>
      </w:pPr>
      <w:r>
        <w:rPr>
          <w:rFonts w:eastAsiaTheme="minorHAnsi" w:cs="Times New Roman"/>
          <w:lang w:eastAsia="en-US"/>
        </w:rPr>
        <w:t>The Federal Government should encourage States to cease contracting with private companies to run prisons and immigration detention facilities.</w:t>
      </w:r>
    </w:p>
    <w:p w:rsidR="00B71F18" w:rsidRPr="00B5329A" w:rsidRDefault="00B71F18" w:rsidP="00B71F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eastAsiaTheme="minorHAnsi" w:hAnsi="Helvetica" w:cs="Helvetica"/>
          <w:lang w:eastAsia="en-US"/>
        </w:rPr>
      </w:pPr>
    </w:p>
    <w:p w:rsidR="00B71F18" w:rsidRDefault="00B71F18" w:rsidP="00B71F18"/>
    <w:p w:rsidR="00B71F18" w:rsidRPr="0058266A" w:rsidRDefault="00B71F18" w:rsidP="00B71F18">
      <w:pPr>
        <w:contextualSpacing/>
        <w:rPr>
          <w:rFonts w:cs="Times New Roman"/>
          <w:b/>
          <w:szCs w:val="22"/>
        </w:rPr>
      </w:pPr>
      <w:r>
        <w:rPr>
          <w:rFonts w:cs="Times New Roman"/>
          <w:b/>
          <w:szCs w:val="22"/>
        </w:rPr>
        <w:t xml:space="preserve">III. </w:t>
      </w:r>
      <w:r w:rsidRPr="00492D81">
        <w:rPr>
          <w:rFonts w:cs="Times New Roman"/>
          <w:b/>
          <w:szCs w:val="22"/>
        </w:rPr>
        <w:t>The Death Penalty: Death Row Phenomenon and t</w:t>
      </w:r>
      <w:r w:rsidRPr="0058266A">
        <w:rPr>
          <w:rFonts w:cs="Times New Roman"/>
          <w:b/>
          <w:szCs w:val="22"/>
        </w:rPr>
        <w:t>he Right to Retroactive Application of Beneficial Law</w:t>
      </w:r>
    </w:p>
    <w:p w:rsidR="00B71F18" w:rsidRDefault="00B71F18" w:rsidP="00B71F18">
      <w:pPr>
        <w:rPr>
          <w:rFonts w:cs="Times New Roman"/>
          <w:szCs w:val="22"/>
        </w:rPr>
      </w:pPr>
    </w:p>
    <w:p w:rsidR="00B71F18" w:rsidRPr="00AE792E" w:rsidRDefault="00B71F18" w:rsidP="00B71F18">
      <w:pPr>
        <w:rPr>
          <w:rFonts w:cs="Times New Roman"/>
          <w:b/>
          <w:szCs w:val="22"/>
          <w:u w:val="single"/>
        </w:rPr>
      </w:pPr>
      <w:r w:rsidRPr="00AE792E">
        <w:rPr>
          <w:rFonts w:cs="Times New Roman"/>
          <w:b/>
          <w:szCs w:val="22"/>
          <w:u w:val="single"/>
        </w:rPr>
        <w:t>Death Row Phenomenon</w:t>
      </w:r>
    </w:p>
    <w:p w:rsidR="00B71F18" w:rsidRDefault="00B71F18" w:rsidP="00B71F18">
      <w:pPr>
        <w:rPr>
          <w:rFonts w:cs="Arial"/>
          <w:color w:val="000000"/>
        </w:rPr>
      </w:pPr>
    </w:p>
    <w:p w:rsidR="00B71F18" w:rsidRDefault="00B71F18" w:rsidP="00B71F18">
      <w:pPr>
        <w:rPr>
          <w:rFonts w:cs="Arial"/>
          <w:color w:val="000000"/>
        </w:rPr>
      </w:pPr>
    </w:p>
    <w:p w:rsidR="00B71F18" w:rsidRPr="00AE792E" w:rsidRDefault="00B71F18" w:rsidP="00B71F18">
      <w:pPr>
        <w:pStyle w:val="ListParagraph"/>
        <w:numPr>
          <w:ilvl w:val="0"/>
          <w:numId w:val="10"/>
        </w:numPr>
        <w:rPr>
          <w:rFonts w:cs="Arial"/>
          <w:b/>
          <w:color w:val="000000"/>
        </w:rPr>
      </w:pPr>
      <w:r w:rsidRPr="00AE792E">
        <w:rPr>
          <w:rFonts w:cs="Arial"/>
          <w:b/>
          <w:color w:val="000000"/>
        </w:rPr>
        <w:t>Relevant Question in List of Issues</w:t>
      </w:r>
    </w:p>
    <w:p w:rsidR="00B71F18" w:rsidRPr="0058266A" w:rsidRDefault="00B71F18" w:rsidP="00B71F18">
      <w:pPr>
        <w:rPr>
          <w:rFonts w:cs="Arial"/>
          <w:color w:val="000000"/>
        </w:rPr>
      </w:pPr>
    </w:p>
    <w:p w:rsidR="00B71F18" w:rsidRDefault="00B71F18" w:rsidP="00B71F18">
      <w:pPr>
        <w:widowControl w:val="0"/>
        <w:autoSpaceDE w:val="0"/>
        <w:autoSpaceDN w:val="0"/>
        <w:adjustRightInd w:val="0"/>
      </w:pPr>
      <w:r>
        <w:rPr>
          <w:rFonts w:ascii="TimesNewRomanPSMT" w:eastAsia="Times New Roman" w:hAnsi="TimesNewRomanPSMT" w:cs="TimesNewRomanPSMT"/>
          <w:lang w:eastAsia="en-US" w:bidi="en-US"/>
        </w:rPr>
        <w:t xml:space="preserve">The Committee raised an aspect of the death row phenomenon in issue number 16 when it asked that the United States </w:t>
      </w:r>
      <w:r>
        <w:t xml:space="preserve">provide information on steps taken </w:t>
      </w:r>
      <w:r w:rsidR="00CF2B04">
        <w:t xml:space="preserve">to </w:t>
      </w:r>
      <w:r>
        <w:t>“improve detention conditions of death row facilities.”</w:t>
      </w:r>
    </w:p>
    <w:p w:rsidR="00B71F18" w:rsidRDefault="00B71F18" w:rsidP="00B71F18">
      <w:pPr>
        <w:widowControl w:val="0"/>
        <w:autoSpaceDE w:val="0"/>
        <w:autoSpaceDN w:val="0"/>
        <w:adjustRightInd w:val="0"/>
      </w:pPr>
    </w:p>
    <w:p w:rsidR="00B71F18" w:rsidRPr="00AE792E" w:rsidRDefault="00B71F18" w:rsidP="00B71F18">
      <w:pPr>
        <w:pStyle w:val="ListParagraph"/>
        <w:widowControl w:val="0"/>
        <w:numPr>
          <w:ilvl w:val="0"/>
          <w:numId w:val="10"/>
        </w:numPr>
        <w:autoSpaceDE w:val="0"/>
        <w:autoSpaceDN w:val="0"/>
        <w:adjustRightInd w:val="0"/>
        <w:rPr>
          <w:b/>
        </w:rPr>
      </w:pPr>
      <w:r w:rsidRPr="00AE792E">
        <w:rPr>
          <w:b/>
        </w:rPr>
        <w:t>Issue Summary</w:t>
      </w:r>
    </w:p>
    <w:p w:rsidR="00B71F18" w:rsidRDefault="00B71F18" w:rsidP="00B71F18">
      <w:pPr>
        <w:widowControl w:val="0"/>
        <w:autoSpaceDE w:val="0"/>
        <w:autoSpaceDN w:val="0"/>
        <w:adjustRightInd w:val="0"/>
      </w:pPr>
    </w:p>
    <w:p w:rsidR="00B71F18" w:rsidRDefault="00B71F18" w:rsidP="00B71F18">
      <w:pPr>
        <w:widowControl w:val="0"/>
        <w:autoSpaceDE w:val="0"/>
        <w:autoSpaceDN w:val="0"/>
        <w:adjustRightInd w:val="0"/>
        <w:rPr>
          <w:rFonts w:ascii="TimesNewRomanPSMT" w:eastAsia="Times New Roman" w:hAnsi="TimesNewRomanPSMT" w:cs="TimesNewRomanPSMT"/>
          <w:lang w:eastAsia="en-US" w:bidi="en-US"/>
        </w:rPr>
      </w:pPr>
      <w:r w:rsidRPr="00452574">
        <w:rPr>
          <w:rFonts w:ascii="TimesNewRomanPSMT" w:eastAsia="Times New Roman" w:hAnsi="TimesNewRomanPSMT" w:cs="TimesNewRomanPSMT"/>
          <w:lang w:eastAsia="en-US" w:bidi="en-US"/>
        </w:rPr>
        <w:t>The death row phenomenon occurs when people are sentenced to death and consequen</w:t>
      </w:r>
      <w:r>
        <w:rPr>
          <w:rFonts w:ascii="TimesNewRomanPSMT" w:eastAsia="Times New Roman" w:hAnsi="TimesNewRomanPSMT" w:cs="TimesNewRomanPSMT"/>
          <w:lang w:eastAsia="en-US" w:bidi="en-US"/>
        </w:rPr>
        <w:t xml:space="preserve">tly </w:t>
      </w:r>
      <w:r w:rsidRPr="00452574">
        <w:rPr>
          <w:rFonts w:ascii="TimesNewRomanPSMT" w:eastAsia="Times New Roman" w:hAnsi="TimesNewRomanPSMT" w:cs="TimesNewRomanPSMT"/>
          <w:lang w:eastAsia="en-US" w:bidi="en-US"/>
        </w:rPr>
        <w:t>spend long periods of time awaiting execution. Consequently, the permanent stress and rising</w:t>
      </w:r>
      <w:r>
        <w:rPr>
          <w:rFonts w:ascii="TimesNewRomanPSMT" w:eastAsia="Times New Roman" w:hAnsi="TimesNewRomanPSMT" w:cs="TimesNewRomanPSMT"/>
          <w:lang w:eastAsia="en-US" w:bidi="en-US"/>
        </w:rPr>
        <w:t xml:space="preserve"> </w:t>
      </w:r>
      <w:r w:rsidRPr="00452574">
        <w:rPr>
          <w:rFonts w:ascii="TimesNewRomanPSMT" w:eastAsia="Times New Roman" w:hAnsi="TimesNewRomanPSMT" w:cs="TimesNewRomanPSMT"/>
          <w:lang w:eastAsia="en-US" w:bidi="en-US"/>
        </w:rPr>
        <w:t>fear leads to extreme psychological and physical harm, amounting to cruel, inhuman and</w:t>
      </w:r>
      <w:r>
        <w:rPr>
          <w:rFonts w:ascii="TimesNewRomanPSMT" w:eastAsia="Times New Roman" w:hAnsi="TimesNewRomanPSMT" w:cs="TimesNewRomanPSMT"/>
          <w:lang w:eastAsia="en-US" w:bidi="en-US"/>
        </w:rPr>
        <w:t xml:space="preserve"> </w:t>
      </w:r>
      <w:r w:rsidRPr="00452574">
        <w:rPr>
          <w:rFonts w:ascii="TimesNewRomanPSMT" w:eastAsia="Times New Roman" w:hAnsi="TimesNewRomanPSMT" w:cs="TimesNewRomanPSMT"/>
          <w:lang w:eastAsia="en-US" w:bidi="en-US"/>
        </w:rPr>
        <w:t>degrading treatment. This is aggravated by poor and dehumanizing conditions</w:t>
      </w:r>
      <w:r>
        <w:rPr>
          <w:rStyle w:val="FootnoteReference"/>
          <w:rFonts w:ascii="TimesNewRomanPSMT" w:eastAsia="Times New Roman" w:hAnsi="TimesNewRomanPSMT" w:cs="TimesNewRomanPSMT"/>
          <w:lang w:eastAsia="en-US" w:bidi="en-US"/>
        </w:rPr>
        <w:footnoteReference w:id="5"/>
      </w:r>
      <w:r w:rsidRPr="00452574">
        <w:rPr>
          <w:rFonts w:ascii="TimesNewRomanPSMT" w:eastAsia="Times New Roman" w:hAnsi="TimesNewRomanPSMT" w:cs="TimesNewRomanPSMT"/>
          <w:sz w:val="16"/>
          <w:szCs w:val="16"/>
          <w:lang w:eastAsia="en-US" w:bidi="en-US"/>
        </w:rPr>
        <w:t xml:space="preserve"> </w:t>
      </w:r>
      <w:r w:rsidRPr="00452574">
        <w:rPr>
          <w:rFonts w:ascii="TimesNewRomanPSMT" w:eastAsia="Times New Roman" w:hAnsi="TimesNewRomanPSMT" w:cs="TimesNewRomanPSMT"/>
          <w:lang w:eastAsia="en-US" w:bidi="en-US"/>
        </w:rPr>
        <w:t>and inhumane</w:t>
      </w:r>
      <w:r>
        <w:rPr>
          <w:rFonts w:ascii="TimesNewRomanPSMT" w:eastAsia="Times New Roman" w:hAnsi="TimesNewRomanPSMT" w:cs="TimesNewRomanPSMT"/>
          <w:lang w:eastAsia="en-US" w:bidi="en-US"/>
        </w:rPr>
        <w:t xml:space="preserve"> </w:t>
      </w:r>
      <w:r w:rsidRPr="00452574">
        <w:rPr>
          <w:rFonts w:ascii="TimesNewRomanPSMT" w:eastAsia="Times New Roman" w:hAnsi="TimesNewRomanPSMT" w:cs="TimesNewRomanPSMT"/>
          <w:lang w:eastAsia="en-US" w:bidi="en-US"/>
        </w:rPr>
        <w:t>methods of executions used today.</w:t>
      </w:r>
      <w:r>
        <w:rPr>
          <w:rStyle w:val="FootnoteReference"/>
          <w:rFonts w:ascii="TimesNewRomanPSMT" w:eastAsia="Times New Roman" w:hAnsi="TimesNewRomanPSMT" w:cs="TimesNewRomanPSMT"/>
          <w:lang w:eastAsia="en-US" w:bidi="en-US"/>
        </w:rPr>
        <w:footnoteReference w:id="6"/>
      </w:r>
      <w:r w:rsidRPr="00452574">
        <w:rPr>
          <w:rFonts w:ascii="TimesNewRomanPSMT" w:eastAsia="Times New Roman" w:hAnsi="TimesNewRomanPSMT" w:cs="TimesNewRomanPSMT"/>
          <w:sz w:val="16"/>
          <w:szCs w:val="16"/>
          <w:lang w:eastAsia="en-US" w:bidi="en-US"/>
        </w:rPr>
        <w:t xml:space="preserve"> </w:t>
      </w:r>
      <w:r>
        <w:rPr>
          <w:rFonts w:ascii="TimesNewRomanPSMT" w:eastAsia="Times New Roman" w:hAnsi="TimesNewRomanPSMT" w:cs="TimesNewRomanPSMT"/>
          <w:szCs w:val="16"/>
          <w:lang w:eastAsia="en-US" w:bidi="en-US"/>
        </w:rPr>
        <w:t xml:space="preserve">The Special Rapporteur on </w:t>
      </w:r>
      <w:r>
        <w:rPr>
          <w:rFonts w:ascii="TimesNewRomanPSMT" w:eastAsia="Times New Roman" w:hAnsi="TimesNewRomanPSMT" w:cs="TimesNewRomanPSMT"/>
          <w:szCs w:val="16"/>
          <w:lang w:eastAsia="en-US" w:bidi="en-US"/>
        </w:rPr>
        <w:lastRenderedPageBreak/>
        <w:t>Torture’s August 2012 report notes: “Those circumstances i</w:t>
      </w:r>
      <w:r w:rsidRPr="00452574">
        <w:rPr>
          <w:rFonts w:ascii="TimesNewRomanPSMT" w:eastAsia="Times New Roman" w:hAnsi="TimesNewRomanPSMT" w:cs="TimesNewRomanPSMT"/>
          <w:lang w:eastAsia="en-US" w:bidi="en-US"/>
        </w:rPr>
        <w:t>nclude the lengthy and anxiety-ridden wait for uncertain outcomes,</w:t>
      </w:r>
      <w:r>
        <w:rPr>
          <w:rFonts w:ascii="TimesNewRomanPSMT" w:eastAsia="Times New Roman" w:hAnsi="TimesNewRomanPSMT" w:cs="TimesNewRomanPSMT"/>
          <w:lang w:eastAsia="en-US" w:bidi="en-US"/>
        </w:rPr>
        <w:t xml:space="preserve"> </w:t>
      </w:r>
      <w:r w:rsidRPr="00452574">
        <w:rPr>
          <w:rFonts w:ascii="TimesNewRomanPSMT" w:eastAsia="Times New Roman" w:hAnsi="TimesNewRomanPSMT" w:cs="TimesNewRomanPSMT"/>
          <w:lang w:eastAsia="en-US" w:bidi="en-US"/>
        </w:rPr>
        <w:t>isolation, drastically reduced human contact and even the physical conditions in which some</w:t>
      </w:r>
      <w:r>
        <w:rPr>
          <w:rFonts w:ascii="TimesNewRomanPSMT" w:eastAsia="Times New Roman" w:hAnsi="TimesNewRomanPSMT" w:cs="TimesNewRomanPSMT"/>
          <w:lang w:eastAsia="en-US" w:bidi="en-US"/>
        </w:rPr>
        <w:t xml:space="preserve"> inmates are held.”</w:t>
      </w:r>
      <w:r>
        <w:rPr>
          <w:rStyle w:val="FootnoteReference"/>
          <w:rFonts w:ascii="TimesNewRomanPSMT" w:eastAsia="Times New Roman" w:hAnsi="TimesNewRomanPSMT" w:cs="TimesNewRomanPSMT"/>
          <w:lang w:eastAsia="en-US" w:bidi="en-US"/>
        </w:rPr>
        <w:footnoteReference w:id="7"/>
      </w:r>
    </w:p>
    <w:p w:rsidR="00B71F18" w:rsidRDefault="00B71F18" w:rsidP="00B71F18">
      <w:pPr>
        <w:widowControl w:val="0"/>
        <w:autoSpaceDE w:val="0"/>
        <w:autoSpaceDN w:val="0"/>
        <w:adjustRightInd w:val="0"/>
        <w:rPr>
          <w:rFonts w:ascii="TimesNewRomanPSMT" w:eastAsia="Times New Roman" w:hAnsi="TimesNewRomanPSMT" w:cs="TimesNewRomanPSMT"/>
          <w:lang w:eastAsia="en-US" w:bidi="en-US"/>
        </w:rPr>
      </w:pPr>
    </w:p>
    <w:p w:rsidR="00B71F18" w:rsidRDefault="00B71F18" w:rsidP="00B71F18">
      <w:pPr>
        <w:widowControl w:val="0"/>
        <w:autoSpaceDE w:val="0"/>
        <w:autoSpaceDN w:val="0"/>
        <w:adjustRightInd w:val="0"/>
        <w:rPr>
          <w:rFonts w:ascii="TimesNewRomanPSMT" w:eastAsia="Times New Roman" w:hAnsi="TimesNewRomanPSMT" w:cs="TimesNewRomanPSMT"/>
          <w:lang w:eastAsia="en-US" w:bidi="en-US"/>
        </w:rPr>
      </w:pPr>
      <w:r w:rsidRPr="009052AC">
        <w:rPr>
          <w:rFonts w:ascii="TimesNewRomanPSMT" w:eastAsia="Times New Roman" w:hAnsi="TimesNewRomanPSMT" w:cs="TimesNewRomanPSMT"/>
          <w:lang w:eastAsia="en-US" w:bidi="en-US"/>
        </w:rPr>
        <w:t xml:space="preserve">An egregious example is that of N.I. Sequoyah, an inmate at </w:t>
      </w:r>
      <w:r>
        <w:rPr>
          <w:rFonts w:ascii="TimesNewRomanPSMT" w:eastAsia="Times New Roman" w:hAnsi="TimesNewRomanPSMT" w:cs="TimesNewRomanPSMT"/>
          <w:lang w:eastAsia="en-US" w:bidi="en-US"/>
        </w:rPr>
        <w:t xml:space="preserve">California’s </w:t>
      </w:r>
      <w:r w:rsidRPr="009052AC">
        <w:rPr>
          <w:rFonts w:ascii="TimesNewRomanPSMT" w:eastAsia="Times New Roman" w:hAnsi="TimesNewRomanPSMT" w:cs="TimesNewRomanPSMT"/>
          <w:lang w:eastAsia="en-US" w:bidi="en-US"/>
        </w:rPr>
        <w:t>San</w:t>
      </w:r>
      <w:r>
        <w:rPr>
          <w:rFonts w:ascii="TimesNewRomanPSMT" w:eastAsia="Times New Roman" w:hAnsi="TimesNewRomanPSMT" w:cs="TimesNewRomanPSMT"/>
          <w:lang w:eastAsia="en-US" w:bidi="en-US"/>
        </w:rPr>
        <w:t xml:space="preserve"> Quentin State Prison</w:t>
      </w:r>
      <w:r w:rsidRPr="009052AC">
        <w:rPr>
          <w:rFonts w:ascii="TimesNewRomanPSMT" w:eastAsia="Times New Roman" w:hAnsi="TimesNewRomanPSMT" w:cs="TimesNewRomanPSMT"/>
          <w:lang w:eastAsia="en-US" w:bidi="en-US"/>
        </w:rPr>
        <w:t>. He was convicted on November 18, 1991, and sentenced to death on March 2, 1992.  Since then, it took the state about 5 years to appoint counsel, and another 10 years to put in order transcripts of his initial trial, due to the fact that the trial court had lost many of the transcripts of his trial.  These facts have been acknowledged in an admissibility decision by the Inter-American Commission on March 2012, ruling that Mr. Sequoyah does not have to exhaust</w:t>
      </w:r>
      <w:r>
        <w:rPr>
          <w:rFonts w:ascii="TimesNewRomanPSMT" w:eastAsia="Times New Roman" w:hAnsi="TimesNewRomanPSMT" w:cs="TimesNewRomanPSMT"/>
          <w:lang w:eastAsia="en-US" w:bidi="en-US"/>
        </w:rPr>
        <w:t xml:space="preserve"> his domestic remedies.</w:t>
      </w:r>
      <w:r>
        <w:rPr>
          <w:rStyle w:val="FootnoteReference"/>
          <w:rFonts w:ascii="TimesNewRomanPSMT" w:eastAsia="Times New Roman" w:hAnsi="TimesNewRomanPSMT" w:cs="TimesNewRomanPSMT"/>
          <w:lang w:eastAsia="en-US" w:bidi="en-US"/>
        </w:rPr>
        <w:footnoteReference w:id="8"/>
      </w:r>
      <w:r>
        <w:rPr>
          <w:rFonts w:ascii="TimesNewRomanPSMT" w:eastAsia="Times New Roman" w:hAnsi="TimesNewRomanPSMT" w:cs="TimesNewRomanPSMT"/>
          <w:lang w:eastAsia="en-US" w:bidi="en-US"/>
        </w:rPr>
        <w:t xml:space="preserve"> </w:t>
      </w:r>
      <w:r w:rsidRPr="009052AC">
        <w:rPr>
          <w:rFonts w:ascii="TimesNewRomanPSMT" w:eastAsia="Times New Roman" w:hAnsi="TimesNewRomanPSMT" w:cs="TimesNewRomanPSMT"/>
          <w:lang w:eastAsia="en-US" w:bidi="en-US"/>
        </w:rPr>
        <w:t>This will allow the Inter-American Commission to address whether the delay in the national proceedings to go forward, despite the current delay that is expected before the California Supreme Court decides the case.  Spending more than 20 years on death row has</w:t>
      </w:r>
      <w:r w:rsidRPr="007D0FF6">
        <w:t xml:space="preserve"> </w:t>
      </w:r>
      <w:r w:rsidRPr="007D0FF6">
        <w:rPr>
          <w:rFonts w:ascii="TimesNewRomanPSMT" w:eastAsia="Times New Roman" w:hAnsi="TimesNewRomanPSMT" w:cs="TimesNewRomanPSMT"/>
          <w:lang w:eastAsia="en-US" w:bidi="en-US"/>
        </w:rPr>
        <w:t>led N.I. Sequoyah to suffer both physical and mental anguish.</w:t>
      </w:r>
    </w:p>
    <w:p w:rsidR="00B71F18" w:rsidRDefault="00B71F18" w:rsidP="00B71F18">
      <w:pPr>
        <w:widowControl w:val="0"/>
        <w:autoSpaceDE w:val="0"/>
        <w:autoSpaceDN w:val="0"/>
        <w:adjustRightInd w:val="0"/>
        <w:rPr>
          <w:rFonts w:ascii="TimesNewRomanPSMT" w:eastAsia="Times New Roman" w:hAnsi="TimesNewRomanPSMT" w:cs="TimesNewRomanPSMT"/>
          <w:lang w:eastAsia="en-US" w:bidi="en-US"/>
        </w:rPr>
      </w:pPr>
    </w:p>
    <w:p w:rsidR="00B71F18" w:rsidRDefault="00B71F18" w:rsidP="00B71F18">
      <w:pPr>
        <w:pStyle w:val="ListParagraph"/>
        <w:widowControl w:val="0"/>
        <w:numPr>
          <w:ilvl w:val="0"/>
          <w:numId w:val="10"/>
        </w:numPr>
        <w:autoSpaceDE w:val="0"/>
        <w:autoSpaceDN w:val="0"/>
        <w:adjustRightInd w:val="0"/>
        <w:rPr>
          <w:rFonts w:ascii="TimesNewRomanPSMT" w:eastAsia="Times New Roman" w:hAnsi="TimesNewRomanPSMT" w:cs="TimesNewRomanPSMT"/>
          <w:b/>
          <w:lang w:eastAsia="en-US" w:bidi="en-US"/>
        </w:rPr>
      </w:pPr>
      <w:r w:rsidRPr="00326604">
        <w:rPr>
          <w:rFonts w:ascii="TimesNewRomanPSMT" w:eastAsia="Times New Roman" w:hAnsi="TimesNewRomanPSMT" w:cs="TimesNewRomanPSMT"/>
          <w:b/>
          <w:lang w:eastAsia="en-US" w:bidi="en-US"/>
        </w:rPr>
        <w:t>U.S. Government Response</w:t>
      </w:r>
    </w:p>
    <w:p w:rsidR="00B71F18" w:rsidRDefault="00B71F18" w:rsidP="00B71F18">
      <w:pPr>
        <w:widowControl w:val="0"/>
        <w:autoSpaceDE w:val="0"/>
        <w:autoSpaceDN w:val="0"/>
        <w:adjustRightInd w:val="0"/>
        <w:rPr>
          <w:rFonts w:ascii="TimesNewRomanPSMT" w:eastAsia="Times New Roman" w:hAnsi="TimesNewRomanPSMT" w:cs="TimesNewRomanPSMT"/>
          <w:b/>
          <w:lang w:eastAsia="en-US" w:bidi="en-US"/>
        </w:rPr>
      </w:pPr>
    </w:p>
    <w:p w:rsidR="00B71F18" w:rsidRPr="00677AA8" w:rsidRDefault="00B71F18" w:rsidP="00B71F18">
      <w:pPr>
        <w:rPr>
          <w:rFonts w:cs="Times New Roman"/>
        </w:rPr>
      </w:pPr>
      <w:r>
        <w:rPr>
          <w:rFonts w:ascii="TimesNewRomanPSMT" w:eastAsia="Times New Roman" w:hAnsi="TimesNewRomanPSMT" w:cs="TimesNewRomanPSMT"/>
          <w:lang w:eastAsia="en-US" w:bidi="en-US"/>
        </w:rPr>
        <w:t xml:space="preserve">The U.S. response regarding the conditions of death row facilities was limited.  They stated in section </w:t>
      </w:r>
      <w:r>
        <w:rPr>
          <w:rFonts w:cs="Times New Roman"/>
        </w:rPr>
        <w:t xml:space="preserve">83 that “the U.S. Constitution and federal and state statutes establish standards of care to which all inmates are entitled, and the BOP meets these constitutional and statutory mandates.” </w:t>
      </w:r>
    </w:p>
    <w:p w:rsidR="00B71F18" w:rsidRPr="00B71F18" w:rsidRDefault="00B71F18" w:rsidP="00B71F18">
      <w:pPr>
        <w:widowControl w:val="0"/>
        <w:autoSpaceDE w:val="0"/>
        <w:autoSpaceDN w:val="0"/>
        <w:adjustRightInd w:val="0"/>
        <w:rPr>
          <w:rFonts w:ascii="TimesNewRomanPSMT" w:eastAsia="Times New Roman" w:hAnsi="TimesNewRomanPSMT" w:cs="TimesNewRomanPSMT"/>
          <w:b/>
          <w:lang w:eastAsia="en-US" w:bidi="en-US"/>
        </w:rPr>
      </w:pPr>
    </w:p>
    <w:p w:rsidR="00B71F18" w:rsidRPr="00AF2B3B" w:rsidRDefault="00B71F18" w:rsidP="00B71F18">
      <w:pPr>
        <w:pStyle w:val="ListParagraph"/>
        <w:widowControl w:val="0"/>
        <w:numPr>
          <w:ilvl w:val="0"/>
          <w:numId w:val="10"/>
        </w:numPr>
        <w:autoSpaceDE w:val="0"/>
        <w:autoSpaceDN w:val="0"/>
        <w:adjustRightInd w:val="0"/>
        <w:rPr>
          <w:rFonts w:ascii="TimesNewRomanPSMT" w:eastAsia="Times New Roman" w:hAnsi="TimesNewRomanPSMT" w:cs="TimesNewRomanPSMT"/>
          <w:b/>
          <w:lang w:eastAsia="en-US" w:bidi="en-US"/>
        </w:rPr>
      </w:pPr>
      <w:r w:rsidRPr="00AF2B3B">
        <w:rPr>
          <w:rFonts w:ascii="TimesNewRomanPSMT" w:eastAsia="Times New Roman" w:hAnsi="TimesNewRomanPSMT" w:cs="TimesNewRomanPSMT"/>
          <w:b/>
          <w:lang w:eastAsia="en-US" w:bidi="en-US"/>
        </w:rPr>
        <w:t>Recommended Questions</w:t>
      </w:r>
    </w:p>
    <w:p w:rsidR="00CF2B04" w:rsidRDefault="00B71F18" w:rsidP="007F2D73">
      <w:pPr>
        <w:pStyle w:val="ListParagraph"/>
        <w:widowControl w:val="0"/>
        <w:autoSpaceDE w:val="0"/>
        <w:autoSpaceDN w:val="0"/>
        <w:adjustRightInd w:val="0"/>
        <w:ind w:left="0"/>
        <w:rPr>
          <w:rFonts w:ascii="TimesNewRomanPSMT" w:eastAsia="Times New Roman" w:hAnsi="TimesNewRomanPSMT" w:cs="TimesNewRomanPSMT"/>
          <w:lang w:eastAsia="en-US" w:bidi="en-US"/>
        </w:rPr>
      </w:pPr>
      <w:r>
        <w:rPr>
          <w:rFonts w:ascii="TimesNewRomanPSMT" w:eastAsia="Times New Roman" w:hAnsi="TimesNewRomanPSMT" w:cs="TimesNewRomanPSMT"/>
          <w:lang w:eastAsia="en-US" w:bidi="en-US"/>
        </w:rPr>
        <w:t xml:space="preserve">1. </w:t>
      </w:r>
      <w:r w:rsidR="00CF2B04">
        <w:rPr>
          <w:rFonts w:ascii="TimesNewRomanPSMT" w:eastAsia="Times New Roman" w:hAnsi="TimesNewRomanPSMT" w:cs="TimesNewRomanPSMT"/>
          <w:lang w:eastAsia="en-US" w:bidi="en-US"/>
        </w:rPr>
        <w:t xml:space="preserve">  What steps has the U.S. taken to address the violations resulting from lengthy stays on death row.</w:t>
      </w:r>
    </w:p>
    <w:p w:rsidR="00B71F18" w:rsidRPr="00AE792E" w:rsidRDefault="00B71F18" w:rsidP="00B71F18">
      <w:pPr>
        <w:pStyle w:val="ListParagraph"/>
        <w:widowControl w:val="0"/>
        <w:autoSpaceDE w:val="0"/>
        <w:autoSpaceDN w:val="0"/>
        <w:adjustRightInd w:val="0"/>
        <w:rPr>
          <w:rFonts w:ascii="TimesNewRomanPSMT" w:eastAsia="Times New Roman" w:hAnsi="TimesNewRomanPSMT" w:cs="TimesNewRomanPSMT"/>
          <w:lang w:eastAsia="en-US" w:bidi="en-US"/>
        </w:rPr>
      </w:pPr>
    </w:p>
    <w:p w:rsidR="00B71F18" w:rsidRPr="00AF2B3B" w:rsidRDefault="00B71F18" w:rsidP="00B71F18">
      <w:pPr>
        <w:pStyle w:val="ListParagraph"/>
        <w:widowControl w:val="0"/>
        <w:numPr>
          <w:ilvl w:val="0"/>
          <w:numId w:val="10"/>
        </w:numPr>
        <w:autoSpaceDE w:val="0"/>
        <w:autoSpaceDN w:val="0"/>
        <w:adjustRightInd w:val="0"/>
        <w:rPr>
          <w:rFonts w:ascii="TimesNewRomanPSMT" w:eastAsia="Times New Roman" w:hAnsi="TimesNewRomanPSMT" w:cs="TimesNewRomanPSMT"/>
          <w:b/>
          <w:lang w:eastAsia="en-US" w:bidi="en-US"/>
        </w:rPr>
      </w:pPr>
      <w:r w:rsidRPr="00AF2B3B">
        <w:rPr>
          <w:rFonts w:ascii="TimesNewRomanPSMT" w:eastAsia="Times New Roman" w:hAnsi="TimesNewRomanPSMT" w:cs="TimesNewRomanPSMT"/>
          <w:b/>
          <w:lang w:eastAsia="en-US" w:bidi="en-US"/>
        </w:rPr>
        <w:t>Suggested Recommendations</w:t>
      </w:r>
    </w:p>
    <w:p w:rsidR="00B71F18" w:rsidRDefault="00B71F18" w:rsidP="00B71F18">
      <w:pPr>
        <w:pStyle w:val="ListParagraph"/>
        <w:widowControl w:val="0"/>
        <w:numPr>
          <w:ilvl w:val="0"/>
          <w:numId w:val="14"/>
        </w:numPr>
        <w:autoSpaceDE w:val="0"/>
        <w:autoSpaceDN w:val="0"/>
        <w:adjustRightInd w:val="0"/>
        <w:rPr>
          <w:rFonts w:ascii="TimesNewRomanPSMT" w:eastAsia="Times New Roman" w:hAnsi="TimesNewRomanPSMT" w:cs="TimesNewRomanPSMT"/>
          <w:lang w:eastAsia="en-US" w:bidi="en-US"/>
        </w:rPr>
      </w:pPr>
      <w:r>
        <w:rPr>
          <w:rFonts w:ascii="TimesNewRomanPSMT" w:eastAsia="Times New Roman" w:hAnsi="TimesNewRomanPSMT" w:cs="TimesNewRomanPSMT"/>
          <w:lang w:eastAsia="en-US" w:bidi="en-US"/>
        </w:rPr>
        <w:t>The United States should institute a moratorium on sentencing as well as on executions, with a view to abolishing the death penalty.</w:t>
      </w:r>
    </w:p>
    <w:p w:rsidR="004638D2" w:rsidRPr="006E773C" w:rsidRDefault="00B71F18" w:rsidP="00B71F18">
      <w:pPr>
        <w:pStyle w:val="ListParagraph"/>
        <w:widowControl w:val="0"/>
        <w:numPr>
          <w:ilvl w:val="0"/>
          <w:numId w:val="14"/>
        </w:numPr>
        <w:autoSpaceDE w:val="0"/>
        <w:autoSpaceDN w:val="0"/>
        <w:adjustRightInd w:val="0"/>
        <w:rPr>
          <w:rFonts w:cs="Arial"/>
          <w:b/>
          <w:color w:val="000000"/>
          <w:u w:val="single"/>
        </w:rPr>
      </w:pPr>
      <w:r w:rsidRPr="006E773C">
        <w:rPr>
          <w:rFonts w:ascii="TimesNewRomanPSMT" w:eastAsia="Times New Roman" w:hAnsi="TimesNewRomanPSMT" w:cs="TimesNewRomanPSMT"/>
          <w:lang w:eastAsia="en-US" w:bidi="en-US"/>
        </w:rPr>
        <w:t>The government should encourage the States to do the same.</w:t>
      </w:r>
    </w:p>
    <w:p w:rsidR="004638D2" w:rsidRDefault="004638D2" w:rsidP="00B71F18">
      <w:pPr>
        <w:rPr>
          <w:rFonts w:cs="Arial"/>
          <w:b/>
          <w:color w:val="000000"/>
          <w:u w:val="single"/>
        </w:rPr>
      </w:pPr>
    </w:p>
    <w:p w:rsidR="00B71F18" w:rsidRPr="00AE792E" w:rsidRDefault="00B71F18" w:rsidP="00B71F18">
      <w:pPr>
        <w:rPr>
          <w:rFonts w:cs="Arial"/>
          <w:b/>
          <w:color w:val="000000"/>
          <w:u w:val="single"/>
        </w:rPr>
      </w:pPr>
      <w:r w:rsidRPr="00AE792E">
        <w:rPr>
          <w:rFonts w:cs="Arial"/>
          <w:b/>
          <w:color w:val="000000"/>
          <w:u w:val="single"/>
        </w:rPr>
        <w:t>Retroactive Application of Beneficial Law: Death Penalty</w:t>
      </w:r>
    </w:p>
    <w:p w:rsidR="00B71F18" w:rsidRPr="001F57D3" w:rsidRDefault="00B71F18" w:rsidP="00B71F18">
      <w:pPr>
        <w:ind w:left="1080"/>
        <w:rPr>
          <w:rFonts w:cs="Arial"/>
          <w:color w:val="000000"/>
        </w:rPr>
      </w:pPr>
      <w:r w:rsidRPr="0058266A">
        <w:rPr>
          <w:rFonts w:cs="Arial"/>
          <w:color w:val="000000"/>
        </w:rPr>
        <w:t xml:space="preserve"> </w:t>
      </w:r>
    </w:p>
    <w:p w:rsidR="00B71F18" w:rsidRPr="00AE792E" w:rsidRDefault="00B71F18" w:rsidP="00B71F18">
      <w:pPr>
        <w:pStyle w:val="ListParagraph"/>
        <w:numPr>
          <w:ilvl w:val="0"/>
          <w:numId w:val="11"/>
        </w:numPr>
        <w:rPr>
          <w:b/>
        </w:rPr>
      </w:pPr>
      <w:r w:rsidRPr="00AE792E">
        <w:rPr>
          <w:rFonts w:cs="Arial"/>
          <w:b/>
          <w:color w:val="000000"/>
        </w:rPr>
        <w:t>Issue Summary</w:t>
      </w:r>
    </w:p>
    <w:p w:rsidR="00B71F18" w:rsidRDefault="00B71F18" w:rsidP="00B71F18">
      <w:pPr>
        <w:rPr>
          <w:rFonts w:cs="Arial"/>
          <w:color w:val="000000"/>
        </w:rPr>
      </w:pPr>
    </w:p>
    <w:p w:rsidR="00B71F18" w:rsidRDefault="00B71F18" w:rsidP="00B71F18">
      <w:r w:rsidRPr="001F57D3">
        <w:rPr>
          <w:rFonts w:cs="Arial"/>
          <w:color w:val="000000"/>
        </w:rPr>
        <w:t>Currently the law in the United States does not enshrine the right to retroactive application of a lighter penalty.</w:t>
      </w:r>
      <w:r w:rsidRPr="001F57D3">
        <w:rPr>
          <w:rFonts w:cs="Times New Roman"/>
          <w:b/>
          <w:szCs w:val="22"/>
        </w:rPr>
        <w:t xml:space="preserve"> </w:t>
      </w:r>
      <w:r w:rsidRPr="001F57D3">
        <w:rPr>
          <w:rStyle w:val="groupheading"/>
          <w:rFonts w:cs="Calibri"/>
        </w:rPr>
        <w:t xml:space="preserve">Federal law prevents retroactive application of a law </w:t>
      </w:r>
      <w:r w:rsidRPr="001F57D3">
        <w:rPr>
          <w:rStyle w:val="groupheading"/>
          <w:rFonts w:cs="Calibri"/>
        </w:rPr>
        <w:lastRenderedPageBreak/>
        <w:t>unless specifically mandated by the legislature.</w:t>
      </w:r>
      <w:r>
        <w:rPr>
          <w:rStyle w:val="FootnoteCharacters"/>
          <w:rFonts w:cs="Calibri"/>
        </w:rPr>
        <w:footnoteReference w:id="9"/>
      </w:r>
      <w:r w:rsidRPr="00753F02">
        <w:t xml:space="preserve"> </w:t>
      </w:r>
      <w:r>
        <w:t>States have different approaches to retroactivity. Some have statutes that provide for retroactive amelioration, while others leave it to the discretion of the legislature.</w:t>
      </w:r>
      <w:r w:rsidRPr="00753F02">
        <w:t xml:space="preserve"> </w:t>
      </w:r>
    </w:p>
    <w:p w:rsidR="00B71F18" w:rsidRDefault="00B71F18" w:rsidP="00B71F18"/>
    <w:p w:rsidR="00B71F18" w:rsidRDefault="00B71F18" w:rsidP="00B71F18">
      <w:r>
        <w:t>In 2006, the Colorado Legislature repealed a 1991 law that created life sentences without parole for juveniles.</w:t>
      </w:r>
      <w:r>
        <w:rPr>
          <w:rStyle w:val="FootnoteCharacters"/>
        </w:rPr>
        <w:footnoteReference w:id="10"/>
      </w:r>
      <w:r>
        <w:t xml:space="preserve"> The Legislature, however, explicitly did not make it retroactive for the 48 people in Colorado who are serving sentences of more than 40 years or life in prison without parole for crimes committed during the 15-year window before the change in laws.</w:t>
      </w:r>
      <w:r>
        <w:rPr>
          <w:rStyle w:val="FootnoteCharacters"/>
        </w:rPr>
        <w:footnoteReference w:id="11"/>
      </w:r>
      <w:r>
        <w:t xml:space="preserve"> This results in arbitrary outcomes for the 48 juvenile offenders who had the bad luck to commit their crimes during the 15-year window. They will remain ineligible for parole, even though the Colorado Legislature has decided that a life without parole sentence for a juvenile offender is too harsh.  </w:t>
      </w:r>
    </w:p>
    <w:p w:rsidR="00B71F18" w:rsidRDefault="00B71F18" w:rsidP="00B71F18"/>
    <w:p w:rsidR="00B71F18" w:rsidRDefault="00B71F18" w:rsidP="00B71F18">
      <w:r>
        <w:t xml:space="preserve">Even more egregiously, this occurs in the death penalty context.  In New Mexico and Connecticut the legislature recently abolished the death penalty but refused to apply the prohibition retroactively to those on death row.  </w:t>
      </w:r>
      <w:r w:rsidR="004638D2">
        <w:t>Cases</w:t>
      </w:r>
      <w:r>
        <w:t xml:space="preserve"> are currently </w:t>
      </w:r>
      <w:r w:rsidR="004638D2">
        <w:t>on appeal in those states</w:t>
      </w:r>
      <w:r>
        <w:t xml:space="preserve">.  </w:t>
      </w:r>
    </w:p>
    <w:p w:rsidR="00B71F18" w:rsidRDefault="00B71F18" w:rsidP="00B71F18"/>
    <w:p w:rsidR="00B71F18" w:rsidRPr="00AE792E" w:rsidRDefault="00B71F18" w:rsidP="00B71F18">
      <w:pPr>
        <w:pStyle w:val="ListParagraph"/>
        <w:numPr>
          <w:ilvl w:val="0"/>
          <w:numId w:val="11"/>
        </w:numPr>
        <w:rPr>
          <w:rFonts w:cs="Times New Roman"/>
          <w:b/>
          <w:szCs w:val="22"/>
        </w:rPr>
      </w:pPr>
      <w:r w:rsidRPr="00AE792E">
        <w:rPr>
          <w:rFonts w:cs="Times New Roman"/>
          <w:b/>
          <w:szCs w:val="22"/>
        </w:rPr>
        <w:t>U.S. Government Response</w:t>
      </w:r>
    </w:p>
    <w:p w:rsidR="00B71F18" w:rsidRDefault="00B71F18" w:rsidP="00B71F18">
      <w:pPr>
        <w:rPr>
          <w:rFonts w:cs="Times New Roman"/>
          <w:b/>
          <w:szCs w:val="22"/>
        </w:rPr>
      </w:pPr>
    </w:p>
    <w:p w:rsidR="00B71F18" w:rsidRPr="00F43961" w:rsidRDefault="00B71F18" w:rsidP="00B71F18">
      <w:pPr>
        <w:rPr>
          <w:rFonts w:cs="Times New Roman"/>
          <w:lang w:eastAsia="en-US"/>
        </w:rPr>
      </w:pPr>
      <w:r w:rsidRPr="00E33BE3">
        <w:rPr>
          <w:rFonts w:cs="Times New Roman"/>
          <w:lang w:eastAsia="en-US"/>
        </w:rPr>
        <w:t xml:space="preserve">The United States did not mention retroactivity in its </w:t>
      </w:r>
      <w:r w:rsidRPr="00F43961">
        <w:rPr>
          <w:rFonts w:cs="Times New Roman"/>
          <w:lang w:eastAsia="en-US"/>
        </w:rPr>
        <w:t xml:space="preserve">fourth periodic report </w:t>
      </w:r>
      <w:r>
        <w:rPr>
          <w:rFonts w:cs="Times New Roman"/>
          <w:lang w:eastAsia="en-US"/>
        </w:rPr>
        <w:t xml:space="preserve">or in its response to the list of issues. </w:t>
      </w:r>
    </w:p>
    <w:p w:rsidR="00B71F18" w:rsidRPr="00AE792E" w:rsidRDefault="00B71F18" w:rsidP="00B71F18">
      <w:pPr>
        <w:ind w:left="1440"/>
        <w:rPr>
          <w:rFonts w:cs="Times New Roman"/>
          <w:szCs w:val="22"/>
        </w:rPr>
      </w:pPr>
    </w:p>
    <w:p w:rsidR="00B71F18" w:rsidRPr="00AE792E" w:rsidRDefault="00B71F18" w:rsidP="00B71F18">
      <w:pPr>
        <w:pStyle w:val="ListParagraph"/>
        <w:numPr>
          <w:ilvl w:val="0"/>
          <w:numId w:val="11"/>
        </w:numPr>
        <w:rPr>
          <w:rFonts w:cs="Times New Roman"/>
          <w:b/>
          <w:szCs w:val="22"/>
        </w:rPr>
      </w:pPr>
      <w:r w:rsidRPr="00AE792E">
        <w:rPr>
          <w:rFonts w:cs="Times New Roman"/>
          <w:b/>
          <w:szCs w:val="22"/>
        </w:rPr>
        <w:t xml:space="preserve">Recommended Questions </w:t>
      </w:r>
    </w:p>
    <w:p w:rsidR="00B71F18" w:rsidRPr="00E33BE3" w:rsidRDefault="00B71F18" w:rsidP="00B71F18">
      <w:pPr>
        <w:numPr>
          <w:ilvl w:val="0"/>
          <w:numId w:val="3"/>
        </w:numPr>
        <w:contextualSpacing/>
        <w:rPr>
          <w:rFonts w:cs="Times New Roman"/>
          <w:szCs w:val="22"/>
        </w:rPr>
      </w:pPr>
      <w:r w:rsidRPr="00E33BE3">
        <w:rPr>
          <w:rFonts w:cs="Times New Roman"/>
          <w:szCs w:val="22"/>
        </w:rPr>
        <w:t>An offender who commits his or her crime prior to a beneficial change in law that reduces a given penalty is left in legal limbo as to whether they will benefit from that change.  What are the concerns around the logistics of resentencing and should these take precedent over an individual’s life and freedom?</w:t>
      </w:r>
    </w:p>
    <w:p w:rsidR="00B71F18" w:rsidRPr="00AE792E" w:rsidRDefault="00B71F18" w:rsidP="00B71F18">
      <w:pPr>
        <w:contextualSpacing/>
        <w:rPr>
          <w:rFonts w:cs="Times New Roman"/>
          <w:b/>
          <w:szCs w:val="22"/>
        </w:rPr>
      </w:pPr>
    </w:p>
    <w:p w:rsidR="00B71F18" w:rsidRPr="00AE792E" w:rsidRDefault="00B71F18" w:rsidP="00B71F18">
      <w:pPr>
        <w:pStyle w:val="ListParagraph"/>
        <w:numPr>
          <w:ilvl w:val="0"/>
          <w:numId w:val="11"/>
        </w:numPr>
        <w:rPr>
          <w:rFonts w:cs="Times New Roman"/>
          <w:b/>
          <w:szCs w:val="22"/>
        </w:rPr>
      </w:pPr>
      <w:r w:rsidRPr="00AE792E">
        <w:rPr>
          <w:rFonts w:cs="Times New Roman"/>
          <w:b/>
          <w:szCs w:val="22"/>
        </w:rPr>
        <w:t>Suggested Recommendations</w:t>
      </w:r>
    </w:p>
    <w:p w:rsidR="00B71F18" w:rsidRPr="00E33BE3" w:rsidRDefault="00B71F18" w:rsidP="00B71F18">
      <w:pPr>
        <w:numPr>
          <w:ilvl w:val="0"/>
          <w:numId w:val="4"/>
        </w:numPr>
        <w:contextualSpacing/>
        <w:rPr>
          <w:rFonts w:cs="Times New Roman"/>
          <w:szCs w:val="22"/>
        </w:rPr>
      </w:pPr>
      <w:r w:rsidRPr="00E33BE3">
        <w:rPr>
          <w:rFonts w:cs="Times New Roman"/>
          <w:szCs w:val="22"/>
        </w:rPr>
        <w:t>The United States should remove its reservation to Article 15 of the ICCPR.</w:t>
      </w:r>
    </w:p>
    <w:p w:rsidR="00B71F18" w:rsidRPr="00E33BE3" w:rsidRDefault="00B71F18" w:rsidP="00B71F18">
      <w:pPr>
        <w:numPr>
          <w:ilvl w:val="0"/>
          <w:numId w:val="4"/>
        </w:numPr>
        <w:contextualSpacing/>
        <w:rPr>
          <w:rFonts w:cs="Times New Roman"/>
          <w:szCs w:val="22"/>
        </w:rPr>
      </w:pPr>
      <w:r w:rsidRPr="00E33BE3">
        <w:rPr>
          <w:rFonts w:cs="Times New Roman"/>
          <w:szCs w:val="22"/>
        </w:rPr>
        <w:t xml:space="preserve">The federal government should change the law to allow for legislation that will lighten a given penalty to be automatically retroactive for people in all stages of sentencing including those that are already serving their sentences.  </w:t>
      </w:r>
    </w:p>
    <w:p w:rsidR="00B71F18" w:rsidRPr="00E33BE3" w:rsidRDefault="00B71F18" w:rsidP="00B71F18">
      <w:pPr>
        <w:numPr>
          <w:ilvl w:val="0"/>
          <w:numId w:val="4"/>
        </w:numPr>
        <w:contextualSpacing/>
        <w:rPr>
          <w:rFonts w:cs="Times New Roman"/>
          <w:szCs w:val="22"/>
        </w:rPr>
      </w:pPr>
      <w:r w:rsidRPr="00E33BE3">
        <w:rPr>
          <w:rFonts w:cs="Times New Roman"/>
          <w:szCs w:val="22"/>
        </w:rPr>
        <w:lastRenderedPageBreak/>
        <w:t xml:space="preserve">The government should encourage states to pass the same type of law regarding retroactivity as mentioned above.  </w:t>
      </w:r>
    </w:p>
    <w:p w:rsidR="00B71F18" w:rsidRDefault="00B71F18" w:rsidP="00B71F18">
      <w:pPr>
        <w:numPr>
          <w:ilvl w:val="0"/>
          <w:numId w:val="4"/>
        </w:numPr>
        <w:contextualSpacing/>
        <w:rPr>
          <w:rFonts w:cs="Times New Roman"/>
          <w:szCs w:val="22"/>
        </w:rPr>
      </w:pPr>
      <w:r w:rsidRPr="00E33BE3">
        <w:rPr>
          <w:rFonts w:cs="Times New Roman"/>
          <w:szCs w:val="22"/>
        </w:rPr>
        <w:t>The federal government and the states should establish a clear mechanism to facilitate resentencing in light of retroactive application of beneficial law.</w:t>
      </w:r>
    </w:p>
    <w:p w:rsidR="00B71F18" w:rsidRDefault="00B71F18" w:rsidP="00B71F18">
      <w:pPr>
        <w:ind w:left="720"/>
        <w:contextualSpacing/>
        <w:rPr>
          <w:rFonts w:cs="Times New Roman"/>
          <w:szCs w:val="22"/>
        </w:rPr>
      </w:pPr>
    </w:p>
    <w:p w:rsidR="00B71F18" w:rsidRDefault="00B71F18" w:rsidP="00B71F18">
      <w:pPr>
        <w:pStyle w:val="ListParagraph"/>
        <w:numPr>
          <w:ilvl w:val="0"/>
          <w:numId w:val="15"/>
        </w:numPr>
        <w:rPr>
          <w:rFonts w:cs="Times New Roman"/>
          <w:b/>
          <w:szCs w:val="22"/>
        </w:rPr>
      </w:pPr>
      <w:r w:rsidRPr="00AF2B3B">
        <w:rPr>
          <w:rFonts w:cs="Times New Roman"/>
          <w:b/>
          <w:szCs w:val="22"/>
        </w:rPr>
        <w:t>Juvenile Life Without Parole</w:t>
      </w:r>
    </w:p>
    <w:p w:rsidR="00B71F18" w:rsidRPr="00B71F18" w:rsidRDefault="00B71F18" w:rsidP="00B71F18">
      <w:pPr>
        <w:rPr>
          <w:b/>
        </w:rPr>
      </w:pPr>
    </w:p>
    <w:p w:rsidR="00B71F18" w:rsidRDefault="00B71F18" w:rsidP="00B71F18">
      <w:pPr>
        <w:pStyle w:val="ListParagraph"/>
        <w:numPr>
          <w:ilvl w:val="0"/>
          <w:numId w:val="16"/>
        </w:numPr>
        <w:rPr>
          <w:b/>
        </w:rPr>
      </w:pPr>
      <w:r>
        <w:rPr>
          <w:b/>
        </w:rPr>
        <w:t>Relevant Question in List of Issues</w:t>
      </w:r>
    </w:p>
    <w:p w:rsidR="00B71F18" w:rsidRPr="00CD6259" w:rsidRDefault="00B71F18" w:rsidP="00B71F18">
      <w:pPr>
        <w:rPr>
          <w:b/>
        </w:rPr>
      </w:pPr>
    </w:p>
    <w:p w:rsidR="00A609F8" w:rsidRDefault="00A609F8" w:rsidP="00A609F8">
      <w:r>
        <w:t xml:space="preserve">This issue was raised in question </w:t>
      </w:r>
      <w:r w:rsidR="00B71F18" w:rsidRPr="00CD6259">
        <w:t xml:space="preserve">24. </w:t>
      </w:r>
    </w:p>
    <w:p w:rsidR="00A609F8" w:rsidRDefault="00A609F8" w:rsidP="00A609F8"/>
    <w:p w:rsidR="00A609F8" w:rsidRPr="00A609F8" w:rsidRDefault="00B71F18" w:rsidP="00A609F8">
      <w:pPr>
        <w:pStyle w:val="ListParagraph"/>
        <w:numPr>
          <w:ilvl w:val="0"/>
          <w:numId w:val="16"/>
        </w:numPr>
        <w:rPr>
          <w:b/>
        </w:rPr>
      </w:pPr>
      <w:r w:rsidRPr="00A609F8">
        <w:rPr>
          <w:b/>
        </w:rPr>
        <w:t>Issue Summary</w:t>
      </w:r>
    </w:p>
    <w:p w:rsidR="00B71F18" w:rsidRDefault="00B71F18" w:rsidP="00B71F18">
      <w:pPr>
        <w:rPr>
          <w:color w:val="000000"/>
          <w:szCs w:val="22"/>
          <w:shd w:val="clear" w:color="auto" w:fill="FFFFFF"/>
          <w:lang w:eastAsia="en-US"/>
        </w:rPr>
      </w:pPr>
    </w:p>
    <w:p w:rsidR="00B71F18" w:rsidRDefault="00B71F18" w:rsidP="00B71F18">
      <w:pPr>
        <w:rPr>
          <w:color w:val="000000"/>
          <w:szCs w:val="22"/>
          <w:shd w:val="clear" w:color="auto" w:fill="FFFFFF"/>
          <w:lang w:eastAsia="en-US"/>
        </w:rPr>
      </w:pPr>
      <w:r w:rsidRPr="00606257">
        <w:rPr>
          <w:color w:val="000000"/>
          <w:szCs w:val="22"/>
          <w:shd w:val="clear" w:color="auto" w:fill="FFFFFF"/>
          <w:lang w:eastAsia="en-US"/>
        </w:rPr>
        <w:t>The United States is the only country in the world that sentences juveniles to life without parole in practice</w:t>
      </w:r>
      <w:r w:rsidRPr="00606257">
        <w:rPr>
          <w:rStyle w:val="FootnoteReference"/>
          <w:color w:val="000000"/>
          <w:szCs w:val="22"/>
          <w:shd w:val="clear" w:color="auto" w:fill="FFFFFF"/>
          <w:lang w:eastAsia="en-US"/>
        </w:rPr>
        <w:footnoteReference w:id="12"/>
      </w:r>
      <w:r w:rsidRPr="00606257">
        <w:rPr>
          <w:color w:val="000000"/>
          <w:szCs w:val="22"/>
          <w:shd w:val="clear" w:color="auto" w:fill="FFFFFF"/>
          <w:lang w:eastAsia="en-US"/>
        </w:rPr>
        <w:t xml:space="preserve"> and does so at a staggering rate: as of April, 2011, an estimated 2,594 juveniles were serving life without parole sentences across the country.</w:t>
      </w:r>
      <w:r w:rsidRPr="00606257">
        <w:rPr>
          <w:rStyle w:val="FootnoteReference"/>
          <w:color w:val="000000"/>
          <w:szCs w:val="22"/>
          <w:shd w:val="clear" w:color="auto" w:fill="FFFFFF"/>
          <w:lang w:eastAsia="en-US"/>
        </w:rPr>
        <w:footnoteReference w:id="13"/>
      </w:r>
      <w:r w:rsidRPr="00606257">
        <w:rPr>
          <w:color w:val="000000"/>
          <w:szCs w:val="22"/>
          <w:shd w:val="clear" w:color="auto" w:fill="FFFFFF"/>
          <w:lang w:eastAsia="en-US"/>
        </w:rPr>
        <w:t xml:space="preserve"> Forty-two States in the U.S. allow juvenile life without parole sentences.</w:t>
      </w:r>
      <w:r w:rsidRPr="00606257">
        <w:rPr>
          <w:rStyle w:val="FootnoteReference"/>
          <w:color w:val="000000"/>
          <w:szCs w:val="22"/>
          <w:shd w:val="clear" w:color="auto" w:fill="FFFFFF"/>
          <w:lang w:eastAsia="en-US"/>
        </w:rPr>
        <w:footnoteReference w:id="14"/>
      </w:r>
      <w:r w:rsidRPr="00606257">
        <w:rPr>
          <w:color w:val="000000"/>
          <w:szCs w:val="22"/>
          <w:shd w:val="clear" w:color="auto" w:fill="FFFFFF"/>
          <w:lang w:eastAsia="en-US"/>
        </w:rPr>
        <w:t xml:space="preserve"> Be</w:t>
      </w:r>
      <w:r>
        <w:rPr>
          <w:color w:val="000000"/>
          <w:szCs w:val="22"/>
          <w:shd w:val="clear" w:color="auto" w:fill="FFFFFF"/>
          <w:lang w:eastAsia="en-US"/>
        </w:rPr>
        <w:t>fore last</w:t>
      </w:r>
      <w:r w:rsidRPr="00606257">
        <w:rPr>
          <w:color w:val="000000"/>
          <w:szCs w:val="22"/>
          <w:shd w:val="clear" w:color="auto" w:fill="FFFFFF"/>
          <w:lang w:eastAsia="en-US"/>
        </w:rPr>
        <w:t xml:space="preserve"> year’s Supreme Court decision in </w:t>
      </w:r>
      <w:r w:rsidRPr="00606257">
        <w:rPr>
          <w:i/>
          <w:color w:val="000000"/>
          <w:szCs w:val="22"/>
          <w:shd w:val="clear" w:color="auto" w:fill="FFFFFF"/>
          <w:lang w:eastAsia="en-US"/>
        </w:rPr>
        <w:t>Miller v. Alabama</w:t>
      </w:r>
      <w:r w:rsidRPr="00606257">
        <w:rPr>
          <w:color w:val="000000"/>
          <w:szCs w:val="22"/>
          <w:shd w:val="clear" w:color="auto" w:fill="FFFFFF"/>
          <w:lang w:eastAsia="en-US"/>
        </w:rPr>
        <w:t>, which held that mandatory juvenile life without parole sentences are unconstitutional cruel and unusual punishment, 26 of these States had mandatory juvenile life without parole for certain crimes.</w:t>
      </w:r>
      <w:r w:rsidRPr="00606257">
        <w:rPr>
          <w:rStyle w:val="FootnoteReference"/>
          <w:color w:val="000000"/>
          <w:szCs w:val="22"/>
          <w:shd w:val="clear" w:color="auto" w:fill="FFFFFF"/>
          <w:lang w:eastAsia="en-US"/>
        </w:rPr>
        <w:footnoteReference w:id="15"/>
      </w:r>
      <w:r w:rsidRPr="00606257">
        <w:rPr>
          <w:color w:val="000000"/>
          <w:szCs w:val="22"/>
          <w:shd w:val="clear" w:color="auto" w:fill="FFFFFF"/>
          <w:lang w:eastAsia="en-US"/>
        </w:rPr>
        <w:t xml:space="preserve"> </w:t>
      </w:r>
    </w:p>
    <w:p w:rsidR="00B71F18" w:rsidRPr="00606257" w:rsidRDefault="00B71F18" w:rsidP="00B71F18">
      <w:pPr>
        <w:rPr>
          <w:color w:val="000000"/>
          <w:szCs w:val="22"/>
          <w:shd w:val="clear" w:color="auto" w:fill="FFFFFF"/>
          <w:lang w:eastAsia="en-US"/>
        </w:rPr>
      </w:pPr>
    </w:p>
    <w:p w:rsidR="00B71F18" w:rsidRPr="00606257" w:rsidRDefault="00B71F18" w:rsidP="00B71F18">
      <w:pPr>
        <w:rPr>
          <w:color w:val="000000"/>
          <w:szCs w:val="22"/>
          <w:shd w:val="clear" w:color="auto" w:fill="FFFFFF"/>
          <w:lang w:eastAsia="en-US"/>
        </w:rPr>
      </w:pPr>
      <w:r w:rsidRPr="00606257">
        <w:rPr>
          <w:color w:val="000000"/>
          <w:szCs w:val="22"/>
          <w:shd w:val="clear" w:color="auto" w:fill="FFFFFF"/>
          <w:lang w:eastAsia="en-US"/>
        </w:rPr>
        <w:t xml:space="preserve">While </w:t>
      </w:r>
      <w:r w:rsidRPr="00606257">
        <w:rPr>
          <w:i/>
          <w:color w:val="000000"/>
          <w:szCs w:val="22"/>
          <w:shd w:val="clear" w:color="auto" w:fill="FFFFFF"/>
          <w:lang w:eastAsia="en-US"/>
        </w:rPr>
        <w:t>Miller</w:t>
      </w:r>
      <w:r w:rsidRPr="00606257">
        <w:rPr>
          <w:color w:val="000000"/>
          <w:szCs w:val="22"/>
          <w:shd w:val="clear" w:color="auto" w:fill="FFFFFF"/>
          <w:lang w:eastAsia="en-US"/>
        </w:rPr>
        <w:t xml:space="preserve"> abolishes mandatory juvenile life without parole sentences, it does not touch on discretionary juvenile life without parole.  Thus, so long as States rewrite their statutes to require individualized consideration of a number of enumerated factors during the sentencing period, they may continue to sentence youth to life without parole.</w:t>
      </w:r>
      <w:r w:rsidRPr="00606257">
        <w:rPr>
          <w:rStyle w:val="FootnoteReference"/>
          <w:color w:val="000000"/>
          <w:szCs w:val="22"/>
          <w:shd w:val="clear" w:color="auto" w:fill="FFFFFF"/>
          <w:lang w:eastAsia="en-US"/>
        </w:rPr>
        <w:footnoteReference w:id="16"/>
      </w:r>
      <w:r w:rsidRPr="00606257">
        <w:rPr>
          <w:color w:val="000000"/>
          <w:szCs w:val="22"/>
          <w:shd w:val="clear" w:color="auto" w:fill="FFFFFF"/>
          <w:lang w:eastAsia="en-US"/>
        </w:rPr>
        <w:t xml:space="preserve"> Nor does the decision in </w:t>
      </w:r>
      <w:r w:rsidRPr="00606257">
        <w:rPr>
          <w:i/>
          <w:color w:val="000000"/>
          <w:szCs w:val="22"/>
          <w:shd w:val="clear" w:color="auto" w:fill="FFFFFF"/>
          <w:lang w:eastAsia="en-US"/>
        </w:rPr>
        <w:t>Miller</w:t>
      </w:r>
      <w:r w:rsidRPr="00606257">
        <w:rPr>
          <w:color w:val="000000"/>
          <w:szCs w:val="22"/>
          <w:shd w:val="clear" w:color="auto" w:fill="FFFFFF"/>
          <w:lang w:eastAsia="en-US"/>
        </w:rPr>
        <w:t xml:space="preserve"> provide any guidance as to how it should affect those already serving mandatory juvenile life without parole sentences.  Thus States can decide whether or not the </w:t>
      </w:r>
      <w:r w:rsidRPr="00606257">
        <w:rPr>
          <w:i/>
          <w:color w:val="000000"/>
          <w:szCs w:val="22"/>
          <w:shd w:val="clear" w:color="auto" w:fill="FFFFFF"/>
          <w:lang w:eastAsia="en-US"/>
        </w:rPr>
        <w:t>Miller</w:t>
      </w:r>
      <w:r w:rsidRPr="00606257">
        <w:rPr>
          <w:color w:val="000000"/>
          <w:szCs w:val="22"/>
          <w:shd w:val="clear" w:color="auto" w:fill="FFFFFF"/>
          <w:lang w:eastAsia="en-US"/>
        </w:rPr>
        <w:t xml:space="preserve"> holding should apply retroactively to the thousands of individuals already serving juvenile life without parole sentences.</w:t>
      </w:r>
      <w:r w:rsidRPr="00606257">
        <w:rPr>
          <w:rStyle w:val="FootnoteReference"/>
          <w:color w:val="000000"/>
          <w:szCs w:val="22"/>
          <w:shd w:val="clear" w:color="auto" w:fill="FFFFFF"/>
          <w:lang w:eastAsia="en-US"/>
        </w:rPr>
        <w:footnoteReference w:id="17"/>
      </w:r>
      <w:r w:rsidRPr="00606257" w:rsidDel="00503007">
        <w:rPr>
          <w:rStyle w:val="EndnoteReference"/>
          <w:color w:val="000000"/>
          <w:szCs w:val="22"/>
          <w:shd w:val="clear" w:color="auto" w:fill="FFFFFF"/>
          <w:lang w:eastAsia="en-US"/>
        </w:rPr>
        <w:t xml:space="preserve"> </w:t>
      </w:r>
    </w:p>
    <w:p w:rsidR="00B71F18" w:rsidRDefault="00B71F18" w:rsidP="00B71F18">
      <w:pPr>
        <w:rPr>
          <w:color w:val="000000"/>
          <w:szCs w:val="22"/>
          <w:shd w:val="clear" w:color="auto" w:fill="FFFFFF"/>
          <w:lang w:eastAsia="en-US"/>
        </w:rPr>
      </w:pPr>
    </w:p>
    <w:p w:rsidR="00B71F18" w:rsidRDefault="00B71F18" w:rsidP="00B71F18">
      <w:pPr>
        <w:rPr>
          <w:color w:val="000000"/>
          <w:szCs w:val="22"/>
          <w:shd w:val="clear" w:color="auto" w:fill="FFFFFF"/>
          <w:lang w:eastAsia="en-US"/>
        </w:rPr>
      </w:pPr>
      <w:r w:rsidRPr="00606257">
        <w:rPr>
          <w:color w:val="000000"/>
          <w:szCs w:val="22"/>
          <w:shd w:val="clear" w:color="auto" w:fill="FFFFFF"/>
          <w:lang w:eastAsia="en-US"/>
        </w:rPr>
        <w:t xml:space="preserve">Finally, </w:t>
      </w:r>
      <w:r w:rsidRPr="00606257">
        <w:rPr>
          <w:i/>
          <w:color w:val="000000"/>
          <w:szCs w:val="22"/>
          <w:shd w:val="clear" w:color="auto" w:fill="FFFFFF"/>
          <w:lang w:eastAsia="en-US"/>
        </w:rPr>
        <w:t xml:space="preserve">Miller’s </w:t>
      </w:r>
      <w:r w:rsidRPr="00606257">
        <w:rPr>
          <w:color w:val="000000"/>
          <w:szCs w:val="22"/>
          <w:shd w:val="clear" w:color="auto" w:fill="FFFFFF"/>
          <w:lang w:eastAsia="en-US"/>
        </w:rPr>
        <w:t xml:space="preserve">narrowly tailored holding applies only to those limited range of sentences that are actually called “juvenile life without parole” and does not take into account other sentencing schemes which operate as </w:t>
      </w:r>
      <w:r w:rsidRPr="00606257">
        <w:rPr>
          <w:i/>
          <w:color w:val="000000"/>
          <w:szCs w:val="22"/>
          <w:shd w:val="clear" w:color="auto" w:fill="FFFFFF"/>
          <w:lang w:eastAsia="en-US"/>
        </w:rPr>
        <w:t>de facto</w:t>
      </w:r>
      <w:r w:rsidRPr="00606257">
        <w:rPr>
          <w:color w:val="000000"/>
          <w:szCs w:val="22"/>
          <w:shd w:val="clear" w:color="auto" w:fill="FFFFFF"/>
          <w:lang w:eastAsia="en-US"/>
        </w:rPr>
        <w:t xml:space="preserve"> life without parole sentences for minors.  Accordingly, Judges may sentence juveniles to consecutive sentences for each component part of a crime, resulting in a sentence that is equivalent to life without </w:t>
      </w:r>
      <w:r w:rsidRPr="00606257">
        <w:rPr>
          <w:color w:val="000000"/>
          <w:szCs w:val="22"/>
          <w:shd w:val="clear" w:color="auto" w:fill="FFFFFF"/>
          <w:lang w:eastAsia="en-US"/>
        </w:rPr>
        <w:lastRenderedPageBreak/>
        <w:t xml:space="preserve">parole but is unaffected by the decision in </w:t>
      </w:r>
      <w:r w:rsidRPr="00606257">
        <w:rPr>
          <w:i/>
          <w:color w:val="000000"/>
          <w:szCs w:val="22"/>
          <w:shd w:val="clear" w:color="auto" w:fill="FFFFFF"/>
          <w:lang w:eastAsia="en-US"/>
        </w:rPr>
        <w:t>Miller</w:t>
      </w:r>
      <w:r w:rsidRPr="00606257">
        <w:rPr>
          <w:color w:val="000000"/>
          <w:szCs w:val="22"/>
          <w:shd w:val="clear" w:color="auto" w:fill="FFFFFF"/>
          <w:lang w:eastAsia="en-US"/>
        </w:rPr>
        <w:t>.</w:t>
      </w:r>
      <w:r w:rsidRPr="00606257">
        <w:rPr>
          <w:rStyle w:val="FootnoteReference"/>
          <w:color w:val="000000"/>
          <w:szCs w:val="22"/>
          <w:shd w:val="clear" w:color="auto" w:fill="FFFFFF"/>
          <w:lang w:eastAsia="en-US"/>
        </w:rPr>
        <w:footnoteReference w:id="18"/>
      </w:r>
      <w:r w:rsidRPr="00606257">
        <w:rPr>
          <w:color w:val="000000"/>
          <w:szCs w:val="22"/>
          <w:shd w:val="clear" w:color="auto" w:fill="FFFFFF"/>
          <w:lang w:eastAsia="en-US"/>
        </w:rPr>
        <w:t xml:space="preserve"> Nor does </w:t>
      </w:r>
      <w:r w:rsidRPr="00606257">
        <w:rPr>
          <w:i/>
          <w:color w:val="000000"/>
          <w:szCs w:val="22"/>
          <w:shd w:val="clear" w:color="auto" w:fill="FFFFFF"/>
          <w:lang w:eastAsia="en-US"/>
        </w:rPr>
        <w:t>Miller</w:t>
      </w:r>
      <w:r w:rsidRPr="00606257">
        <w:rPr>
          <w:color w:val="000000"/>
          <w:szCs w:val="22"/>
          <w:shd w:val="clear" w:color="auto" w:fill="FFFFFF"/>
          <w:lang w:eastAsia="en-US"/>
        </w:rPr>
        <w:t xml:space="preserve"> foreclose the possibility of sentencing a juvenile to extremely long sentences, such as 90 years, which amount to life sentences without meaningful review.</w:t>
      </w:r>
      <w:r w:rsidRPr="00606257">
        <w:rPr>
          <w:rStyle w:val="FootnoteReference"/>
          <w:color w:val="000000"/>
          <w:szCs w:val="22"/>
          <w:shd w:val="clear" w:color="auto" w:fill="FFFFFF"/>
          <w:lang w:eastAsia="en-US"/>
        </w:rPr>
        <w:footnoteReference w:id="19"/>
      </w:r>
    </w:p>
    <w:p w:rsidR="00B71F18" w:rsidRDefault="00B71F18" w:rsidP="00B71F18">
      <w:pPr>
        <w:rPr>
          <w:color w:val="000000"/>
          <w:szCs w:val="22"/>
          <w:shd w:val="clear" w:color="auto" w:fill="FFFFFF"/>
          <w:lang w:eastAsia="en-US"/>
        </w:rPr>
      </w:pPr>
    </w:p>
    <w:p w:rsidR="00B71F18" w:rsidRDefault="00B71F18" w:rsidP="00B71F18">
      <w:pPr>
        <w:pStyle w:val="ListParagraph"/>
        <w:numPr>
          <w:ilvl w:val="0"/>
          <w:numId w:val="16"/>
        </w:numPr>
        <w:rPr>
          <w:b/>
          <w:color w:val="000000"/>
          <w:szCs w:val="22"/>
          <w:shd w:val="clear" w:color="auto" w:fill="FFFFFF"/>
          <w:lang w:eastAsia="en-US"/>
        </w:rPr>
      </w:pPr>
      <w:r>
        <w:rPr>
          <w:b/>
          <w:color w:val="000000"/>
          <w:szCs w:val="22"/>
          <w:shd w:val="clear" w:color="auto" w:fill="FFFFFF"/>
          <w:lang w:eastAsia="en-US"/>
        </w:rPr>
        <w:t>U.S. Government Response</w:t>
      </w:r>
    </w:p>
    <w:p w:rsidR="00B71F18" w:rsidRDefault="00B71F18" w:rsidP="00B71F18">
      <w:pPr>
        <w:rPr>
          <w:rFonts w:cs="Times New Roman"/>
        </w:rPr>
      </w:pPr>
    </w:p>
    <w:p w:rsidR="00B71F18" w:rsidRDefault="00B71F18" w:rsidP="00B71F18">
      <w:pPr>
        <w:rPr>
          <w:rFonts w:cs="Times New Roman"/>
        </w:rPr>
      </w:pPr>
      <w:r>
        <w:rPr>
          <w:rFonts w:cs="Times New Roman"/>
        </w:rPr>
        <w:t>The U.S. addressed JLWOP in section 125 of their responses. They stated that the government was taking steps to review the impact of the Supreme Court decisions</w:t>
      </w:r>
      <w:r w:rsidR="007F2D73">
        <w:rPr>
          <w:rFonts w:cs="Times New Roman"/>
        </w:rPr>
        <w:t xml:space="preserve"> at the federal level. While this </w:t>
      </w:r>
      <w:r>
        <w:rPr>
          <w:rFonts w:cs="Times New Roman"/>
        </w:rPr>
        <w:t xml:space="preserve">is encouraging their response did not address discretionary sentences, </w:t>
      </w:r>
      <w:r w:rsidRPr="00CD6259">
        <w:t>uncapped consecutive sentences and long minimum sentences likely to exceed the offender’s life</w:t>
      </w:r>
      <w:r>
        <w:t>.  There is also no indication that they will limit the use of</w:t>
      </w:r>
      <w:r w:rsidR="007F2D73">
        <w:t xml:space="preserve"> JLWOP sentences outside of </w:t>
      </w:r>
      <w:r>
        <w:t>the Supreme Court</w:t>
      </w:r>
      <w:r w:rsidR="007F2D73">
        <w:t xml:space="preserve"> decisions</w:t>
      </w:r>
      <w:r>
        <w:t>.</w:t>
      </w:r>
    </w:p>
    <w:p w:rsidR="00B71F18" w:rsidRPr="00107CEA" w:rsidRDefault="00B71F18" w:rsidP="00B71F18">
      <w:pPr>
        <w:rPr>
          <w:b/>
          <w:color w:val="000000"/>
          <w:szCs w:val="22"/>
          <w:shd w:val="clear" w:color="auto" w:fill="FFFFFF"/>
          <w:lang w:eastAsia="en-US"/>
        </w:rPr>
      </w:pPr>
    </w:p>
    <w:p w:rsidR="00B71F18" w:rsidRPr="00CD6259" w:rsidRDefault="00B71F18" w:rsidP="00B71F18">
      <w:pPr>
        <w:pStyle w:val="ListParagraph"/>
        <w:numPr>
          <w:ilvl w:val="0"/>
          <w:numId w:val="16"/>
        </w:numPr>
        <w:rPr>
          <w:b/>
          <w:color w:val="000000"/>
          <w:szCs w:val="22"/>
          <w:shd w:val="clear" w:color="auto" w:fill="FFFFFF"/>
          <w:lang w:eastAsia="en-US"/>
        </w:rPr>
      </w:pPr>
      <w:r w:rsidRPr="00CD6259">
        <w:rPr>
          <w:b/>
          <w:color w:val="000000"/>
          <w:szCs w:val="22"/>
          <w:shd w:val="clear" w:color="auto" w:fill="FFFFFF"/>
          <w:lang w:eastAsia="en-US"/>
        </w:rPr>
        <w:t>Recommended Questions</w:t>
      </w:r>
    </w:p>
    <w:p w:rsidR="00B71F18" w:rsidRPr="00CD6259" w:rsidRDefault="00B71F18" w:rsidP="00B71F18">
      <w:pPr>
        <w:pStyle w:val="ListParagraph"/>
        <w:numPr>
          <w:ilvl w:val="0"/>
          <w:numId w:val="19"/>
        </w:numPr>
        <w:rPr>
          <w:color w:val="000000"/>
          <w:szCs w:val="22"/>
          <w:shd w:val="clear" w:color="auto" w:fill="FFFFFF"/>
          <w:lang w:eastAsia="en-US"/>
        </w:rPr>
      </w:pPr>
      <w:r w:rsidRPr="00CD6259">
        <w:rPr>
          <w:rFonts w:cs="Times New Roman"/>
          <w:szCs w:val="22"/>
        </w:rPr>
        <w:t xml:space="preserve">Does the Federal Government of the United States intend to provide the States with any direction as to the retroactive application of </w:t>
      </w:r>
      <w:r w:rsidRPr="00CD6259">
        <w:rPr>
          <w:rFonts w:cs="Times New Roman"/>
          <w:i/>
          <w:szCs w:val="22"/>
        </w:rPr>
        <w:t>Miller</w:t>
      </w:r>
      <w:r w:rsidRPr="00CD6259">
        <w:rPr>
          <w:rFonts w:cs="Times New Roman"/>
          <w:szCs w:val="22"/>
        </w:rPr>
        <w:t xml:space="preserve"> and how the holding applies to all de facto juvenile life without sentences?</w:t>
      </w:r>
    </w:p>
    <w:p w:rsidR="00B71F18" w:rsidRDefault="00B71F18" w:rsidP="00B71F18">
      <w:pPr>
        <w:rPr>
          <w:color w:val="000000"/>
          <w:szCs w:val="22"/>
          <w:shd w:val="clear" w:color="auto" w:fill="FFFFFF"/>
          <w:lang w:eastAsia="en-US"/>
        </w:rPr>
      </w:pPr>
    </w:p>
    <w:p w:rsidR="00B71F18" w:rsidRPr="008733F3" w:rsidRDefault="00B71F18" w:rsidP="00B71F18">
      <w:pPr>
        <w:pStyle w:val="ListParagraph"/>
        <w:numPr>
          <w:ilvl w:val="0"/>
          <w:numId w:val="16"/>
        </w:numPr>
        <w:rPr>
          <w:b/>
          <w:color w:val="000000"/>
          <w:szCs w:val="22"/>
          <w:shd w:val="clear" w:color="auto" w:fill="FFFFFF"/>
          <w:lang w:eastAsia="en-US"/>
        </w:rPr>
      </w:pPr>
      <w:r w:rsidRPr="008733F3">
        <w:rPr>
          <w:b/>
          <w:color w:val="000000"/>
          <w:szCs w:val="22"/>
          <w:shd w:val="clear" w:color="auto" w:fill="FFFFFF"/>
          <w:lang w:eastAsia="en-US"/>
        </w:rPr>
        <w:t>Suggested Recommendations</w:t>
      </w:r>
    </w:p>
    <w:p w:rsidR="00B71F18" w:rsidRPr="008733F3" w:rsidRDefault="00B71F18" w:rsidP="00B71F18">
      <w:pPr>
        <w:pStyle w:val="ListParagraph"/>
        <w:numPr>
          <w:ilvl w:val="0"/>
          <w:numId w:val="20"/>
        </w:numPr>
        <w:rPr>
          <w:color w:val="000000"/>
          <w:szCs w:val="22"/>
          <w:shd w:val="clear" w:color="auto" w:fill="FFFFFF"/>
          <w:lang w:eastAsia="en-US"/>
        </w:rPr>
      </w:pPr>
      <w:r w:rsidRPr="008733F3">
        <w:rPr>
          <w:rFonts w:cs="Times New Roman"/>
          <w:szCs w:val="22"/>
        </w:rPr>
        <w:t>The United States of Amer</w:t>
      </w:r>
      <w:r>
        <w:rPr>
          <w:rFonts w:cs="Times New Roman"/>
          <w:szCs w:val="22"/>
        </w:rPr>
        <w:t xml:space="preserve">ica should abolish all </w:t>
      </w:r>
      <w:r w:rsidRPr="008733F3">
        <w:rPr>
          <w:rFonts w:cs="Times New Roman"/>
          <w:szCs w:val="22"/>
        </w:rPr>
        <w:t xml:space="preserve">juvenile life without parole sentences, </w:t>
      </w:r>
      <w:r>
        <w:rPr>
          <w:rFonts w:cs="Times New Roman"/>
          <w:szCs w:val="22"/>
        </w:rPr>
        <w:t xml:space="preserve">and de facto juvenile life without parole sentences </w:t>
      </w:r>
      <w:r w:rsidRPr="008733F3">
        <w:rPr>
          <w:rFonts w:cs="Times New Roman"/>
          <w:szCs w:val="22"/>
        </w:rPr>
        <w:t xml:space="preserve">including discretionary sentences, uncapped consecutive sentences and long minimum sentences that are likely to exceed the offender’s life. </w:t>
      </w:r>
    </w:p>
    <w:p w:rsidR="00B71F18" w:rsidRPr="008779A0" w:rsidRDefault="00B71F18" w:rsidP="00B71F18">
      <w:pPr>
        <w:pStyle w:val="ListParagraph"/>
        <w:numPr>
          <w:ilvl w:val="0"/>
          <w:numId w:val="20"/>
        </w:numPr>
        <w:rPr>
          <w:color w:val="000000"/>
          <w:szCs w:val="22"/>
          <w:shd w:val="clear" w:color="auto" w:fill="FFFFFF"/>
          <w:lang w:eastAsia="en-US"/>
        </w:rPr>
      </w:pPr>
      <w:r w:rsidRPr="008733F3">
        <w:rPr>
          <w:rFonts w:cs="Times New Roman"/>
          <w:szCs w:val="22"/>
        </w:rPr>
        <w:t xml:space="preserve">The decision in </w:t>
      </w:r>
      <w:r w:rsidRPr="008733F3">
        <w:rPr>
          <w:rFonts w:cs="Times New Roman"/>
          <w:i/>
          <w:szCs w:val="22"/>
        </w:rPr>
        <w:t>Miller</w:t>
      </w:r>
      <w:r w:rsidRPr="008733F3">
        <w:rPr>
          <w:rFonts w:cs="Times New Roman"/>
          <w:szCs w:val="22"/>
        </w:rPr>
        <w:t xml:space="preserve"> and any other Supreme Court decisions that affect juvenile life without parole sentencing schemes should be applied retroactively to all offenders currently serving such sentences.</w:t>
      </w:r>
    </w:p>
    <w:p w:rsidR="00B71F18" w:rsidRDefault="00B71F18" w:rsidP="00B71F18">
      <w:pPr>
        <w:rPr>
          <w:b/>
        </w:rPr>
      </w:pPr>
    </w:p>
    <w:p w:rsidR="00B71F18" w:rsidRPr="00AF2B3B" w:rsidRDefault="00B71F18" w:rsidP="00B71F18">
      <w:pPr>
        <w:rPr>
          <w:b/>
        </w:rPr>
      </w:pPr>
    </w:p>
    <w:p w:rsidR="00B71F18" w:rsidRDefault="00B71F18" w:rsidP="00B71F18">
      <w:pPr>
        <w:pStyle w:val="ListParagraph"/>
        <w:numPr>
          <w:ilvl w:val="0"/>
          <w:numId w:val="15"/>
        </w:numPr>
        <w:rPr>
          <w:rFonts w:cs="Times New Roman"/>
          <w:b/>
          <w:szCs w:val="22"/>
        </w:rPr>
      </w:pPr>
      <w:r w:rsidRPr="00AF2B3B">
        <w:rPr>
          <w:rFonts w:cs="Times New Roman"/>
          <w:b/>
          <w:szCs w:val="22"/>
        </w:rPr>
        <w:t>Juveniles Transferred to Adult Court</w:t>
      </w:r>
    </w:p>
    <w:p w:rsidR="00B71F18" w:rsidRPr="00B24737" w:rsidRDefault="00B71F18" w:rsidP="00B71F18">
      <w:pPr>
        <w:rPr>
          <w:b/>
        </w:rPr>
      </w:pPr>
    </w:p>
    <w:p w:rsidR="00B71F18" w:rsidRPr="00B24737" w:rsidRDefault="00B71F18" w:rsidP="00B71F18">
      <w:pPr>
        <w:pStyle w:val="ListParagraph"/>
        <w:numPr>
          <w:ilvl w:val="0"/>
          <w:numId w:val="17"/>
        </w:numPr>
        <w:rPr>
          <w:b/>
        </w:rPr>
      </w:pPr>
      <w:r>
        <w:rPr>
          <w:b/>
        </w:rPr>
        <w:t>Relevant Question in List of Issues</w:t>
      </w:r>
    </w:p>
    <w:p w:rsidR="00B71F18" w:rsidRDefault="00B71F18" w:rsidP="00B71F18"/>
    <w:p w:rsidR="00B71F18" w:rsidRDefault="00B71F18" w:rsidP="00B71F18">
      <w:r>
        <w:t>The Committee addressed this issue in section 18 when they asked that the U.S. “</w:t>
      </w:r>
      <w:r w:rsidRPr="00B24737">
        <w:t>clarify whether the State party will take steps to ensure that juveniles are not transferred to adult courts but are tried in juvenile courts with specific juvenile protections.</w:t>
      </w:r>
      <w:r>
        <w:t>”</w:t>
      </w:r>
    </w:p>
    <w:p w:rsidR="00B71F18" w:rsidRDefault="00B71F18" w:rsidP="00B71F18"/>
    <w:p w:rsidR="00B71F18" w:rsidRDefault="00B71F18" w:rsidP="00B71F18">
      <w:pPr>
        <w:pStyle w:val="ListParagraph"/>
        <w:numPr>
          <w:ilvl w:val="0"/>
          <w:numId w:val="17"/>
        </w:numPr>
        <w:rPr>
          <w:b/>
        </w:rPr>
      </w:pPr>
      <w:r w:rsidRPr="003F52DA">
        <w:rPr>
          <w:b/>
        </w:rPr>
        <w:t>Issue Summary</w:t>
      </w:r>
    </w:p>
    <w:p w:rsidR="00B71F18" w:rsidRDefault="00B71F18" w:rsidP="00B71F18">
      <w:pPr>
        <w:rPr>
          <w:b/>
        </w:rPr>
      </w:pPr>
    </w:p>
    <w:p w:rsidR="00B71F18" w:rsidRDefault="00B71F18" w:rsidP="00B71F18">
      <w:pPr>
        <w:rPr>
          <w:szCs w:val="22"/>
        </w:rPr>
      </w:pPr>
      <w:r>
        <w:rPr>
          <w:szCs w:val="22"/>
        </w:rPr>
        <w:t xml:space="preserve">This issue was covered in greater detail in our issue submission report. To summarize, </w:t>
      </w:r>
      <w:r w:rsidR="00A609F8">
        <w:rPr>
          <w:szCs w:val="22"/>
        </w:rPr>
        <w:t xml:space="preserve">by </w:t>
      </w:r>
      <w:r w:rsidRPr="00606257">
        <w:rPr>
          <w:szCs w:val="22"/>
        </w:rPr>
        <w:t xml:space="preserve">virtue of the transfer to adult court, juveniles are subject to adult punishments and in </w:t>
      </w:r>
      <w:r w:rsidRPr="00606257">
        <w:rPr>
          <w:szCs w:val="22"/>
        </w:rPr>
        <w:lastRenderedPageBreak/>
        <w:t>nearly all states are incarcerated in adult institutions.</w:t>
      </w:r>
      <w:r w:rsidRPr="00606257">
        <w:rPr>
          <w:rStyle w:val="FootnoteReference"/>
          <w:szCs w:val="22"/>
        </w:rPr>
        <w:footnoteReference w:id="20"/>
      </w:r>
      <w:r w:rsidRPr="00606257">
        <w:rPr>
          <w:szCs w:val="22"/>
        </w:rPr>
        <w:t xml:space="preserve">  </w:t>
      </w:r>
      <w:r w:rsidR="004E5305">
        <w:rPr>
          <w:szCs w:val="22"/>
        </w:rPr>
        <w:t>In some states juveniles may be transferred to an adult court</w:t>
      </w:r>
      <w:r w:rsidRPr="00606257">
        <w:rPr>
          <w:szCs w:val="22"/>
        </w:rPr>
        <w:t xml:space="preserve"> through judicial waiver, where a judge makes the determination that the child should be tried in adult court.</w:t>
      </w:r>
      <w:r w:rsidRPr="00606257">
        <w:rPr>
          <w:rStyle w:val="FootnoteReference"/>
          <w:szCs w:val="22"/>
        </w:rPr>
        <w:footnoteReference w:id="21"/>
      </w:r>
      <w:r w:rsidRPr="00B71F18">
        <w:rPr>
          <w:szCs w:val="22"/>
        </w:rPr>
        <w:t xml:space="preserve"> </w:t>
      </w:r>
      <w:r w:rsidRPr="00606257">
        <w:rPr>
          <w:szCs w:val="22"/>
        </w:rPr>
        <w:t xml:space="preserve">The second mechanism </w:t>
      </w:r>
      <w:r w:rsidR="004E5305">
        <w:rPr>
          <w:szCs w:val="22"/>
        </w:rPr>
        <w:t xml:space="preserve">is </w:t>
      </w:r>
      <w:r w:rsidRPr="00606257">
        <w:rPr>
          <w:szCs w:val="22"/>
        </w:rPr>
        <w:t xml:space="preserve">a prosecutorial waiver, where a state prosecutor can file the case directly in criminal court, </w:t>
      </w:r>
      <w:r w:rsidRPr="00606257">
        <w:rPr>
          <w:i/>
          <w:szCs w:val="22"/>
        </w:rPr>
        <w:t>without</w:t>
      </w:r>
      <w:r w:rsidRPr="00606257">
        <w:rPr>
          <w:szCs w:val="22"/>
        </w:rPr>
        <w:t xml:space="preserve"> the case ever being seen in juvenile court.</w:t>
      </w:r>
      <w:r w:rsidRPr="00606257">
        <w:rPr>
          <w:rStyle w:val="FootnoteReference"/>
          <w:szCs w:val="22"/>
        </w:rPr>
        <w:footnoteReference w:id="22"/>
      </w:r>
      <w:r>
        <w:rPr>
          <w:szCs w:val="22"/>
        </w:rPr>
        <w:t xml:space="preserve"> </w:t>
      </w:r>
      <w:r w:rsidRPr="00606257">
        <w:rPr>
          <w:szCs w:val="22"/>
        </w:rPr>
        <w:t>The third way that juveniles are tried in adult court is through a legislative waiver. Under this transfer mechanism, the state legislature has codified the charges that require a prosecutor to charge a juvenile in adult court.</w:t>
      </w:r>
      <w:r w:rsidRPr="00606257">
        <w:rPr>
          <w:rStyle w:val="FootnoteReference"/>
          <w:szCs w:val="22"/>
        </w:rPr>
        <w:footnoteReference w:id="23"/>
      </w:r>
      <w:r w:rsidRPr="00606257">
        <w:rPr>
          <w:szCs w:val="22"/>
        </w:rPr>
        <w:t xml:space="preserve"> </w:t>
      </w:r>
    </w:p>
    <w:p w:rsidR="00B71F18" w:rsidRDefault="00B71F18" w:rsidP="00B71F18">
      <w:pPr>
        <w:rPr>
          <w:szCs w:val="22"/>
        </w:rPr>
      </w:pPr>
    </w:p>
    <w:p w:rsidR="00B71F18" w:rsidRPr="00606257" w:rsidRDefault="00B71F18" w:rsidP="00B71F18">
      <w:pPr>
        <w:rPr>
          <w:szCs w:val="22"/>
        </w:rPr>
      </w:pPr>
      <w:r w:rsidRPr="00606257">
        <w:rPr>
          <w:szCs w:val="22"/>
        </w:rPr>
        <w:t>It is important to note that in the Unites States, transfer to an adult court brings an adult sentence, which can include a sentence of life without parole in many states.</w:t>
      </w:r>
      <w:r w:rsidRPr="00606257">
        <w:rPr>
          <w:rStyle w:val="FootnoteReference"/>
          <w:szCs w:val="22"/>
        </w:rPr>
        <w:footnoteReference w:id="24"/>
      </w:r>
      <w:r w:rsidRPr="00606257">
        <w:rPr>
          <w:szCs w:val="22"/>
        </w:rPr>
        <w:t xml:space="preserve"> This means that the age of the offender is also not considered at sentencing, and that a juvenile is </w:t>
      </w:r>
      <w:r w:rsidRPr="00606257">
        <w:rPr>
          <w:i/>
          <w:szCs w:val="22"/>
        </w:rPr>
        <w:t xml:space="preserve">de facto </w:t>
      </w:r>
      <w:r w:rsidRPr="00606257">
        <w:rPr>
          <w:szCs w:val="22"/>
        </w:rPr>
        <w:t>treated as an adult throughout the entire trial and sentencing process.</w:t>
      </w:r>
      <w:r w:rsidRPr="00606257">
        <w:rPr>
          <w:rStyle w:val="FootnoteReference"/>
          <w:szCs w:val="22"/>
        </w:rPr>
        <w:footnoteReference w:id="25"/>
      </w:r>
      <w:r w:rsidRPr="00606257">
        <w:rPr>
          <w:szCs w:val="22"/>
        </w:rPr>
        <w:t xml:space="preserve"> The United States remains one of only a handful of countries in the world where a juvenile remains a minor for all other legal purposes, but is treated as an adult in the criminal justice system.</w:t>
      </w:r>
    </w:p>
    <w:p w:rsidR="00B71F18" w:rsidRPr="007F2D73" w:rsidRDefault="00B71F18" w:rsidP="007F2D73">
      <w:pPr>
        <w:rPr>
          <w:b/>
        </w:rPr>
      </w:pPr>
    </w:p>
    <w:p w:rsidR="00B71F18" w:rsidRDefault="00B71F18" w:rsidP="00B71F18">
      <w:pPr>
        <w:pStyle w:val="ListParagraph"/>
        <w:numPr>
          <w:ilvl w:val="0"/>
          <w:numId w:val="17"/>
        </w:numPr>
        <w:rPr>
          <w:b/>
        </w:rPr>
      </w:pPr>
      <w:r>
        <w:rPr>
          <w:b/>
        </w:rPr>
        <w:t>U.S. Government Response</w:t>
      </w:r>
    </w:p>
    <w:p w:rsidR="00B71F18" w:rsidRPr="003F52DA" w:rsidRDefault="00B71F18" w:rsidP="00B71F18">
      <w:pPr>
        <w:rPr>
          <w:b/>
        </w:rPr>
      </w:pPr>
    </w:p>
    <w:p w:rsidR="00B71F18" w:rsidRDefault="00B71F18" w:rsidP="00B71F18">
      <w:r>
        <w:t>In section 95 of their response the U.S. stated that they had produced reports that outlined some of the negative effects of transfer of juveniles.  Their response failed to address the issue directly of what steps they will take</w:t>
      </w:r>
      <w:r w:rsidRPr="00B24737">
        <w:t xml:space="preserve"> to ensure that juveniles are not transferred to adult courts but are tried in juvenile courts with specific juvenile protections.</w:t>
      </w:r>
    </w:p>
    <w:p w:rsidR="00B71F18" w:rsidRDefault="00B71F18" w:rsidP="00B71F18"/>
    <w:p w:rsidR="00B71F18" w:rsidRDefault="00B71F18" w:rsidP="00B71F18">
      <w:pPr>
        <w:pStyle w:val="ListParagraph"/>
        <w:numPr>
          <w:ilvl w:val="0"/>
          <w:numId w:val="17"/>
        </w:numPr>
        <w:rPr>
          <w:b/>
        </w:rPr>
      </w:pPr>
      <w:r w:rsidRPr="006D01C4">
        <w:rPr>
          <w:b/>
        </w:rPr>
        <w:t>Recommended Questions</w:t>
      </w:r>
    </w:p>
    <w:p w:rsidR="00B71F18" w:rsidRPr="006D01C4" w:rsidRDefault="00B71F18" w:rsidP="00B71F18">
      <w:pPr>
        <w:pStyle w:val="ListParagraph"/>
        <w:numPr>
          <w:ilvl w:val="0"/>
          <w:numId w:val="24"/>
        </w:numPr>
        <w:rPr>
          <w:rFonts w:cs="Times New Roman"/>
          <w:szCs w:val="22"/>
        </w:rPr>
      </w:pPr>
      <w:r w:rsidRPr="006D01C4">
        <w:rPr>
          <w:rFonts w:cs="Times New Roman"/>
          <w:szCs w:val="22"/>
        </w:rPr>
        <w:t>Despite the fact that the United States treats juveniles differently from adults under every area of the law (cannot contract, cannot drive, cannot drink</w:t>
      </w:r>
      <w:r w:rsidR="00CF2B04">
        <w:rPr>
          <w:rFonts w:cs="Times New Roman"/>
          <w:szCs w:val="22"/>
        </w:rPr>
        <w:t xml:space="preserve"> until they are 21 years </w:t>
      </w:r>
      <w:proofErr w:type="spellStart"/>
      <w:r w:rsidR="00CF2B04">
        <w:rPr>
          <w:rFonts w:cs="Times New Roman"/>
          <w:szCs w:val="22"/>
        </w:rPr>
        <w:t>olf</w:t>
      </w:r>
      <w:proofErr w:type="spellEnd"/>
      <w:r w:rsidRPr="006D01C4">
        <w:rPr>
          <w:rFonts w:cs="Times New Roman"/>
          <w:szCs w:val="22"/>
        </w:rPr>
        <w:t>, cannot serve in the military, etc…), why does the United States continue to allow children to be prosecuted criminally as adults?</w:t>
      </w:r>
    </w:p>
    <w:p w:rsidR="00B71F18" w:rsidRPr="00606257" w:rsidRDefault="00B71F18" w:rsidP="00B71F18">
      <w:pPr>
        <w:numPr>
          <w:ilvl w:val="0"/>
          <w:numId w:val="24"/>
        </w:numPr>
        <w:contextualSpacing/>
        <w:rPr>
          <w:rFonts w:cs="Times New Roman"/>
          <w:szCs w:val="22"/>
        </w:rPr>
      </w:pPr>
      <w:r w:rsidRPr="00606257">
        <w:rPr>
          <w:rFonts w:cs="Times New Roman"/>
          <w:szCs w:val="22"/>
        </w:rPr>
        <w:t>In Miller v. Alabama, the United States Supreme Court determined that a mandatory sentence of life without parole was unconstitutional for those who were under 18 when they received the sentence. This adult sentence was often received once the juvenile had been transferred to adult court and was therefore eligible for an adult sentence. Following this ruling, will the United States amend its transfer provisions so that mandatory adult sentences are not given to children?</w:t>
      </w:r>
    </w:p>
    <w:p w:rsidR="00B71F18" w:rsidRPr="006D01C4" w:rsidRDefault="00B71F18" w:rsidP="00B71F18">
      <w:pPr>
        <w:rPr>
          <w:b/>
        </w:rPr>
      </w:pPr>
    </w:p>
    <w:p w:rsidR="00B71F18" w:rsidRDefault="00B71F18" w:rsidP="00B71F18">
      <w:pPr>
        <w:pStyle w:val="ListParagraph"/>
        <w:numPr>
          <w:ilvl w:val="0"/>
          <w:numId w:val="17"/>
        </w:numPr>
        <w:rPr>
          <w:b/>
        </w:rPr>
      </w:pPr>
      <w:r w:rsidRPr="006D01C4">
        <w:rPr>
          <w:b/>
        </w:rPr>
        <w:lastRenderedPageBreak/>
        <w:t>Suggested Recommendations</w:t>
      </w:r>
    </w:p>
    <w:p w:rsidR="00B71F18" w:rsidRPr="006D01C4" w:rsidRDefault="00B71F18" w:rsidP="00B71F18">
      <w:pPr>
        <w:pStyle w:val="ListParagraph"/>
        <w:numPr>
          <w:ilvl w:val="0"/>
          <w:numId w:val="26"/>
        </w:numPr>
        <w:rPr>
          <w:rFonts w:cs="Times New Roman"/>
          <w:szCs w:val="22"/>
        </w:rPr>
      </w:pPr>
      <w:r w:rsidRPr="006D01C4">
        <w:rPr>
          <w:rFonts w:cs="Times New Roman"/>
          <w:szCs w:val="22"/>
        </w:rPr>
        <w:t xml:space="preserve">The federal government and the states should eliminate the transfer provisions, ensuring that juveniles are tried in juvenile court with specific juvenile protections. </w:t>
      </w:r>
    </w:p>
    <w:p w:rsidR="00B71F18" w:rsidRPr="00606257" w:rsidRDefault="00B71F18" w:rsidP="00B71F18">
      <w:pPr>
        <w:numPr>
          <w:ilvl w:val="0"/>
          <w:numId w:val="26"/>
        </w:numPr>
        <w:contextualSpacing/>
        <w:rPr>
          <w:rFonts w:cs="Times New Roman"/>
          <w:szCs w:val="22"/>
        </w:rPr>
      </w:pPr>
      <w:r w:rsidRPr="00606257">
        <w:rPr>
          <w:rFonts w:cs="Times New Roman"/>
          <w:szCs w:val="22"/>
        </w:rPr>
        <w:t xml:space="preserve">If the transfer provisions are not eliminated, states and the federal government should allow the age of the offender to be mentioned in adult court as mitigation. </w:t>
      </w:r>
    </w:p>
    <w:p w:rsidR="00B71F18" w:rsidRDefault="00B71F18" w:rsidP="00B71F18">
      <w:pPr>
        <w:numPr>
          <w:ilvl w:val="0"/>
          <w:numId w:val="26"/>
        </w:numPr>
        <w:contextualSpacing/>
        <w:rPr>
          <w:rFonts w:cs="Times New Roman"/>
          <w:szCs w:val="22"/>
        </w:rPr>
      </w:pPr>
      <w:r w:rsidRPr="00606257">
        <w:rPr>
          <w:rFonts w:cs="Times New Roman"/>
          <w:szCs w:val="22"/>
        </w:rPr>
        <w:t xml:space="preserve">Accurate numbers should be kept on the number of juveniles transferred to adult court as a tool for policy makers and advocates. This would allow civil society to see just how many children are treated as adults in the court system. </w:t>
      </w:r>
    </w:p>
    <w:p w:rsidR="00B71F18" w:rsidRDefault="00B71F18" w:rsidP="00B71F18">
      <w:pPr>
        <w:rPr>
          <w:rFonts w:cs="Times New Roman"/>
          <w:b/>
          <w:szCs w:val="22"/>
        </w:rPr>
      </w:pPr>
    </w:p>
    <w:p w:rsidR="00B71F18" w:rsidRPr="00AF2B3B" w:rsidRDefault="00B71F18" w:rsidP="00B71F18">
      <w:pPr>
        <w:rPr>
          <w:rFonts w:cs="Times New Roman"/>
          <w:b/>
          <w:szCs w:val="22"/>
        </w:rPr>
      </w:pPr>
    </w:p>
    <w:p w:rsidR="00B71F18" w:rsidRDefault="00B71F18" w:rsidP="00B71F18">
      <w:pPr>
        <w:pStyle w:val="ListParagraph"/>
        <w:numPr>
          <w:ilvl w:val="0"/>
          <w:numId w:val="15"/>
        </w:numPr>
        <w:rPr>
          <w:rFonts w:cs="Times New Roman"/>
          <w:b/>
          <w:szCs w:val="22"/>
        </w:rPr>
      </w:pPr>
      <w:r w:rsidRPr="00AF2B3B">
        <w:rPr>
          <w:rFonts w:cs="Times New Roman"/>
          <w:b/>
          <w:szCs w:val="22"/>
        </w:rPr>
        <w:t>Life Without Parole</w:t>
      </w:r>
    </w:p>
    <w:p w:rsidR="00B71F18" w:rsidRPr="000C1713" w:rsidRDefault="00B71F18" w:rsidP="00B71F18">
      <w:pPr>
        <w:rPr>
          <w:b/>
        </w:rPr>
      </w:pPr>
    </w:p>
    <w:p w:rsidR="00B71F18" w:rsidRDefault="00B71F18" w:rsidP="00B71F18">
      <w:pPr>
        <w:pStyle w:val="ListParagraph"/>
        <w:numPr>
          <w:ilvl w:val="0"/>
          <w:numId w:val="21"/>
        </w:numPr>
        <w:rPr>
          <w:b/>
        </w:rPr>
      </w:pPr>
      <w:r>
        <w:rPr>
          <w:b/>
        </w:rPr>
        <w:t>Issue Summary</w:t>
      </w:r>
    </w:p>
    <w:p w:rsidR="00B71F18" w:rsidRDefault="00B71F18" w:rsidP="00B71F18">
      <w:pPr>
        <w:rPr>
          <w:b/>
        </w:rPr>
      </w:pPr>
    </w:p>
    <w:p w:rsidR="00B71F18" w:rsidRDefault="004E5305" w:rsidP="00B71F18">
      <w:r>
        <w:t xml:space="preserve">This issue was not raised in the list of issues and </w:t>
      </w:r>
      <w:r>
        <w:rPr>
          <w:szCs w:val="22"/>
        </w:rPr>
        <w:t xml:space="preserve">was covered in greater detail in our issue submission report. </w:t>
      </w:r>
      <w:r w:rsidR="00B71F18" w:rsidRPr="006406D6">
        <w:t xml:space="preserve">The United States is one of only a handful of countries that uses </w:t>
      </w:r>
      <w:r w:rsidR="00B71F18">
        <w:t xml:space="preserve">life without parole (LWOP) sentences, </w:t>
      </w:r>
      <w:r w:rsidR="00B71F18" w:rsidRPr="006406D6">
        <w:t>and is by far the world’s leader in the number of persons serving such a sentence.</w:t>
      </w:r>
      <w:r w:rsidR="00B71F18" w:rsidRPr="006406D6">
        <w:rPr>
          <w:rStyle w:val="FootnoteCharacters"/>
        </w:rPr>
        <w:footnoteReference w:id="26"/>
      </w:r>
      <w:r w:rsidR="00B71F18" w:rsidRPr="006406D6">
        <w:t xml:space="preserve"> There are approximately 41,000 prisoners serving life without parole sentences in the U.S.</w:t>
      </w:r>
      <w:r w:rsidR="00B71F18" w:rsidRPr="006406D6">
        <w:rPr>
          <w:rStyle w:val="FootnoteCharacters"/>
        </w:rPr>
        <w:footnoteReference w:id="27"/>
      </w:r>
      <w:r w:rsidR="00B71F18" w:rsidRPr="006406D6">
        <w:t xml:space="preserve"> LWOP is mandatory upon conviction for at least one specified offense in 27 states.</w:t>
      </w:r>
      <w:r w:rsidR="00B71F18" w:rsidRPr="006406D6">
        <w:rPr>
          <w:rStyle w:val="FootnoteCharacters"/>
        </w:rPr>
        <w:footnoteReference w:id="28"/>
      </w:r>
      <w:r w:rsidR="00B71F18" w:rsidRPr="006406D6">
        <w:t xml:space="preserve"> The mandatory nature of LWOP in these states removes any discretion for judges or juries and deprives the defendant of any possibility to put any mitigating factors or special circumstances before the sentencing court. </w:t>
      </w:r>
    </w:p>
    <w:p w:rsidR="00B71F18" w:rsidRDefault="00B71F18" w:rsidP="00B71F18"/>
    <w:p w:rsidR="00B71F18" w:rsidRPr="006406D6" w:rsidRDefault="00B71F18" w:rsidP="00B71F18">
      <w:r w:rsidRPr="006406D6">
        <w:t>The use of LWOP is widespread in the United States and available for non-homicide offenses</w:t>
      </w:r>
      <w:r w:rsidR="004E5305">
        <w:t xml:space="preserve"> </w:t>
      </w:r>
      <w:r w:rsidRPr="006406D6">
        <w:t>such as for conviction of kidnapping, armed robbery, drug crimes, and other crimes, including shoplifting.</w:t>
      </w:r>
      <w:r w:rsidRPr="006406D6">
        <w:rPr>
          <w:rStyle w:val="FootnoteCharacters"/>
        </w:rPr>
        <w:footnoteReference w:id="29"/>
      </w:r>
      <w:r w:rsidRPr="006406D6">
        <w:t xml:space="preserve"> Thirty-seven states make LWOP available for non-homicide offenses.</w:t>
      </w:r>
      <w:r w:rsidRPr="006406D6">
        <w:rPr>
          <w:rStyle w:val="FootnoteCharacters"/>
        </w:rPr>
        <w:footnoteReference w:id="30"/>
      </w:r>
      <w:r w:rsidRPr="006406D6">
        <w:t xml:space="preserve"> </w:t>
      </w:r>
    </w:p>
    <w:p w:rsidR="00B71F18" w:rsidRDefault="00B71F18" w:rsidP="00B71F18"/>
    <w:p w:rsidR="00B71F18" w:rsidRDefault="00B71F18" w:rsidP="00B71F18">
      <w:r>
        <w:t>Most prison systems allow for review by a parole board or a judiciary to assess a prisoner’s possibility for release, usually on the basis of demonstrating reformation or good behavior. However, a life without parole sentence removes this possibility of review, and often restricts access to rehabilitative services such as education or training.</w:t>
      </w:r>
      <w:r w:rsidRPr="006406D6">
        <w:t xml:space="preserve"> </w:t>
      </w:r>
    </w:p>
    <w:p w:rsidR="00B71F18" w:rsidRPr="006D01C4" w:rsidRDefault="00B71F18" w:rsidP="00B71F18">
      <w:pPr>
        <w:rPr>
          <w:b/>
        </w:rPr>
      </w:pPr>
    </w:p>
    <w:p w:rsidR="00B71F18" w:rsidRPr="007F2D73" w:rsidRDefault="00B71F18" w:rsidP="00B71F18">
      <w:pPr>
        <w:pStyle w:val="ListParagraph"/>
        <w:numPr>
          <w:ilvl w:val="0"/>
          <w:numId w:val="21"/>
        </w:numPr>
        <w:rPr>
          <w:b/>
        </w:rPr>
      </w:pPr>
      <w:r w:rsidRPr="006D01C4">
        <w:rPr>
          <w:b/>
        </w:rPr>
        <w:t>Recommended Questions</w:t>
      </w:r>
    </w:p>
    <w:p w:rsidR="00B71F18" w:rsidRPr="00A25ED2" w:rsidRDefault="00B71F18" w:rsidP="00B71F18">
      <w:pPr>
        <w:pStyle w:val="ListParagraph"/>
        <w:numPr>
          <w:ilvl w:val="0"/>
          <w:numId w:val="28"/>
        </w:numPr>
        <w:rPr>
          <w:b/>
        </w:rPr>
      </w:pPr>
      <w:r w:rsidRPr="006406D6">
        <w:t>A request to do away with LWOP is not a request that all prisoners serving life sentences be eventually released, but rather that their cases be reviewed after sentencing with some regularity to assess whether continued detention can be justified.</w:t>
      </w:r>
      <w:r>
        <w:t xml:space="preserve">  Why not provide parole review in order to ensure the proportional and individualized nature of the punishment?</w:t>
      </w:r>
    </w:p>
    <w:p w:rsidR="00B71F18" w:rsidRPr="006D01C4" w:rsidRDefault="00B71F18" w:rsidP="00B71F18">
      <w:pPr>
        <w:pStyle w:val="ListParagraph"/>
        <w:ind w:left="1440"/>
        <w:rPr>
          <w:b/>
        </w:rPr>
      </w:pPr>
    </w:p>
    <w:p w:rsidR="00B71F18" w:rsidRDefault="00B71F18" w:rsidP="00B71F18">
      <w:pPr>
        <w:pStyle w:val="ListParagraph"/>
        <w:numPr>
          <w:ilvl w:val="0"/>
          <w:numId w:val="21"/>
        </w:numPr>
        <w:rPr>
          <w:b/>
        </w:rPr>
      </w:pPr>
      <w:r w:rsidRPr="00A25ED2">
        <w:rPr>
          <w:b/>
        </w:rPr>
        <w:t>Suggested Recommendations</w:t>
      </w:r>
    </w:p>
    <w:p w:rsidR="00B71F18" w:rsidRDefault="00B71F18" w:rsidP="00B71F18">
      <w:pPr>
        <w:pStyle w:val="ListParagraph"/>
        <w:numPr>
          <w:ilvl w:val="0"/>
          <w:numId w:val="30"/>
        </w:numPr>
      </w:pPr>
      <w:r w:rsidRPr="00A25ED2">
        <w:rPr>
          <w:rFonts w:eastAsia="Times New Roman" w:cs="Arial"/>
          <w:color w:val="222222"/>
        </w:rPr>
        <w:t>Review the validity of life without parole sentences; consider heightened restrictions for its use, such as only when it is an alternative to the death penalty.</w:t>
      </w:r>
    </w:p>
    <w:p w:rsidR="00B71F18" w:rsidRDefault="00B71F18" w:rsidP="00B71F18">
      <w:pPr>
        <w:numPr>
          <w:ilvl w:val="0"/>
          <w:numId w:val="30"/>
        </w:numPr>
      </w:pPr>
      <w:r w:rsidRPr="00504092">
        <w:rPr>
          <w:rFonts w:eastAsia="Times New Roman" w:cs="Arial"/>
          <w:color w:val="222222"/>
        </w:rPr>
        <w:t xml:space="preserve">Reinstate parole at the federal level so that all life sentences include the possibility of parole. Provide information to the states urging them to do the same.  </w:t>
      </w:r>
    </w:p>
    <w:p w:rsidR="00B71F18" w:rsidRDefault="00B71F18" w:rsidP="00B71F18">
      <w:pPr>
        <w:numPr>
          <w:ilvl w:val="0"/>
          <w:numId w:val="30"/>
        </w:numPr>
      </w:pPr>
      <w:r>
        <w:t>Require access to rehabilitative programs for inmates</w:t>
      </w:r>
      <w:r w:rsidRPr="00F16FAC">
        <w:t xml:space="preserve"> </w:t>
      </w:r>
      <w:r>
        <w:t>serving life without parole at the federal level and ask the states to do the same.</w:t>
      </w:r>
    </w:p>
    <w:p w:rsidR="00B71F18" w:rsidRDefault="00B71F18" w:rsidP="00B71F18">
      <w:pPr>
        <w:rPr>
          <w:rFonts w:cs="Times New Roman"/>
          <w:b/>
          <w:szCs w:val="22"/>
        </w:rPr>
      </w:pPr>
    </w:p>
    <w:p w:rsidR="00B71F18" w:rsidRPr="00AF2B3B" w:rsidRDefault="00B71F18" w:rsidP="00B71F18">
      <w:pPr>
        <w:rPr>
          <w:rFonts w:cs="Times New Roman"/>
          <w:b/>
          <w:szCs w:val="22"/>
        </w:rPr>
      </w:pPr>
    </w:p>
    <w:p w:rsidR="00B71F18" w:rsidRDefault="00B71F18" w:rsidP="00B71F18">
      <w:pPr>
        <w:pStyle w:val="ListParagraph"/>
        <w:numPr>
          <w:ilvl w:val="0"/>
          <w:numId w:val="15"/>
        </w:numPr>
        <w:rPr>
          <w:rFonts w:cs="Times New Roman"/>
          <w:b/>
          <w:szCs w:val="22"/>
        </w:rPr>
      </w:pPr>
      <w:r w:rsidRPr="00AF2B3B">
        <w:rPr>
          <w:rFonts w:cs="Times New Roman"/>
          <w:b/>
          <w:szCs w:val="22"/>
        </w:rPr>
        <w:t>Affirmative Action</w:t>
      </w:r>
    </w:p>
    <w:p w:rsidR="00B71F18" w:rsidRPr="000C1713" w:rsidRDefault="00B71F18" w:rsidP="00B71F18">
      <w:pPr>
        <w:rPr>
          <w:b/>
        </w:rPr>
      </w:pPr>
    </w:p>
    <w:p w:rsidR="00B71F18" w:rsidRDefault="00B71F18" w:rsidP="00B71F18">
      <w:pPr>
        <w:pStyle w:val="ListParagraph"/>
        <w:numPr>
          <w:ilvl w:val="0"/>
          <w:numId w:val="32"/>
        </w:numPr>
        <w:rPr>
          <w:b/>
        </w:rPr>
      </w:pPr>
      <w:r>
        <w:rPr>
          <w:b/>
        </w:rPr>
        <w:t>Issue Summary</w:t>
      </w:r>
    </w:p>
    <w:p w:rsidR="00B71F18" w:rsidRDefault="00B71F18" w:rsidP="00B71F18">
      <w:pPr>
        <w:rPr>
          <w:rFonts w:cs="Times New Roman"/>
          <w:i/>
          <w:szCs w:val="22"/>
        </w:rPr>
      </w:pPr>
    </w:p>
    <w:p w:rsidR="000D5A8F" w:rsidRDefault="004E5305" w:rsidP="000D5A8F">
      <w:pPr>
        <w:ind w:firstLine="360"/>
        <w:contextualSpacing/>
        <w:rPr>
          <w:rFonts w:cs="Times New Roman"/>
          <w:szCs w:val="22"/>
        </w:rPr>
      </w:pPr>
      <w:r>
        <w:t>This was not raised in the list of issues and</w:t>
      </w:r>
      <w:r>
        <w:rPr>
          <w:szCs w:val="22"/>
        </w:rPr>
        <w:t xml:space="preserve"> was covered in greater detail in our issue submission report. </w:t>
      </w:r>
      <w:r w:rsidR="000D5A8F">
        <w:rPr>
          <w:szCs w:val="22"/>
        </w:rPr>
        <w:t xml:space="preserve"> </w:t>
      </w:r>
      <w:r w:rsidR="000D5A8F">
        <w:rPr>
          <w:rFonts w:cs="Times New Roman"/>
          <w:i/>
          <w:szCs w:val="22"/>
        </w:rPr>
        <w:t>De facto</w:t>
      </w:r>
      <w:r w:rsidR="000D5A8F">
        <w:rPr>
          <w:rFonts w:cs="Times New Roman"/>
          <w:szCs w:val="22"/>
        </w:rPr>
        <w:t xml:space="preserve"> discrimination exists related to a number of rights in the ICCPR, in particular in the education, employment, and criminal justice systems. </w:t>
      </w:r>
      <w:r w:rsidR="006E773C">
        <w:rPr>
          <w:rFonts w:cs="Times New Roman"/>
          <w:szCs w:val="22"/>
        </w:rPr>
        <w:t xml:space="preserve">In its 2006 review of U.S. compliance with the ICCPR, this Committee expressed concern over “de facto racial segregation in public schools,” and reminded the U.S. of its obligations under articles 2 and 26 to guarantee effective protection against practices with discriminatory </w:t>
      </w:r>
      <w:r w:rsidR="006E773C">
        <w:rPr>
          <w:rFonts w:cs="Times New Roman"/>
          <w:i/>
          <w:szCs w:val="22"/>
        </w:rPr>
        <w:t xml:space="preserve">effects.  </w:t>
      </w:r>
      <w:r w:rsidR="006E773C">
        <w:rPr>
          <w:rFonts w:cs="Times New Roman"/>
          <w:szCs w:val="22"/>
        </w:rPr>
        <w:t>The Committee recommended that the U.S. conduct investigation into racial segregation in schools and “take remedial steps.”</w:t>
      </w:r>
      <w:r w:rsidR="006E773C">
        <w:rPr>
          <w:rStyle w:val="FootnoteReference"/>
          <w:rFonts w:cs="Times New Roman"/>
          <w:szCs w:val="22"/>
        </w:rPr>
        <w:footnoteReference w:id="31"/>
      </w:r>
      <w:r w:rsidR="006E773C">
        <w:rPr>
          <w:rFonts w:cs="Times New Roman"/>
          <w:szCs w:val="22"/>
        </w:rPr>
        <w:t xml:space="preserve">  </w:t>
      </w:r>
      <w:r w:rsidR="000D5A8F">
        <w:rPr>
          <w:rFonts w:cs="Times New Roman"/>
          <w:szCs w:val="22"/>
        </w:rPr>
        <w:t>This submission will focus on non-discrimination in education.</w:t>
      </w:r>
      <w:r w:rsidR="000D5A8F">
        <w:rPr>
          <w:rStyle w:val="FootnoteReference"/>
          <w:rFonts w:cs="Times New Roman"/>
          <w:szCs w:val="22"/>
        </w:rPr>
        <w:footnoteReference w:id="32"/>
      </w:r>
    </w:p>
    <w:p w:rsidR="000D5A8F" w:rsidRDefault="000D5A8F" w:rsidP="000D5A8F">
      <w:pPr>
        <w:ind w:firstLine="360"/>
        <w:contextualSpacing/>
        <w:rPr>
          <w:rFonts w:cs="Times New Roman"/>
          <w:szCs w:val="22"/>
        </w:rPr>
      </w:pPr>
      <w:r>
        <w:rPr>
          <w:rFonts w:cs="Times New Roman"/>
          <w:szCs w:val="22"/>
        </w:rPr>
        <w:t>The U.S. Supreme Court has upheld the use of race-conscious policies in higher education for diversity purposes.</w:t>
      </w:r>
      <w:r>
        <w:rPr>
          <w:rStyle w:val="FootnoteReference"/>
          <w:rFonts w:cs="Times New Roman"/>
          <w:szCs w:val="22"/>
        </w:rPr>
        <w:footnoteReference w:id="33"/>
      </w:r>
      <w:r>
        <w:rPr>
          <w:rFonts w:cs="Times New Roman"/>
          <w:szCs w:val="22"/>
        </w:rPr>
        <w:t xml:space="preserve"> While the majority of the Court did not uphold their use for purposes of remedying </w:t>
      </w:r>
      <w:r>
        <w:rPr>
          <w:rFonts w:cs="Times New Roman"/>
          <w:i/>
          <w:szCs w:val="22"/>
        </w:rPr>
        <w:t xml:space="preserve">de facto </w:t>
      </w:r>
      <w:r>
        <w:rPr>
          <w:rFonts w:cs="Times New Roman"/>
          <w:szCs w:val="22"/>
        </w:rPr>
        <w:t>discrimination, in a concurring opinion, Justice Ginsberg did note that the decision comported with U.S. treaty obligations.</w:t>
      </w:r>
      <w:r>
        <w:rPr>
          <w:rStyle w:val="FootnoteReference"/>
          <w:rFonts w:cs="Times New Roman"/>
          <w:szCs w:val="22"/>
        </w:rPr>
        <w:footnoteReference w:id="34"/>
      </w:r>
      <w:r>
        <w:rPr>
          <w:rFonts w:cs="Times New Roman"/>
          <w:szCs w:val="22"/>
        </w:rPr>
        <w:t xml:space="preserve"> A recent case by the U.S. Supreme Court </w:t>
      </w:r>
      <w:r w:rsidR="00FA3A0C">
        <w:rPr>
          <w:rFonts w:cs="Times New Roman"/>
          <w:szCs w:val="22"/>
        </w:rPr>
        <w:t xml:space="preserve">on an </w:t>
      </w:r>
      <w:r>
        <w:rPr>
          <w:rFonts w:cs="Times New Roman"/>
          <w:szCs w:val="22"/>
        </w:rPr>
        <w:t>appeal</w:t>
      </w:r>
      <w:r w:rsidR="00FA3A0C">
        <w:rPr>
          <w:rFonts w:cs="Times New Roman"/>
          <w:szCs w:val="22"/>
        </w:rPr>
        <w:t xml:space="preserve"> of</w:t>
      </w:r>
      <w:r>
        <w:rPr>
          <w:rFonts w:cs="Times New Roman"/>
          <w:szCs w:val="22"/>
        </w:rPr>
        <w:t xml:space="preserve"> a decision that upheld the University of Texas’ use of race as one factor in its holistic approach to admissions aimed increasing </w:t>
      </w:r>
      <w:r>
        <w:rPr>
          <w:rFonts w:cs="Times New Roman"/>
          <w:szCs w:val="22"/>
        </w:rPr>
        <w:lastRenderedPageBreak/>
        <w:t>unrepresented racial groups in its student body</w:t>
      </w:r>
      <w:r w:rsidR="00FA3A0C">
        <w:rPr>
          <w:rFonts w:cs="Times New Roman"/>
          <w:szCs w:val="22"/>
        </w:rPr>
        <w:t xml:space="preserve"> upheld the decision in </w:t>
      </w:r>
      <w:proofErr w:type="spellStart"/>
      <w:r w:rsidR="00FA3A0C">
        <w:rPr>
          <w:rFonts w:cs="Times New Roman"/>
          <w:i/>
          <w:szCs w:val="22"/>
        </w:rPr>
        <w:t>Grutter</w:t>
      </w:r>
      <w:proofErr w:type="spellEnd"/>
      <w:r w:rsidR="00FA3A0C">
        <w:rPr>
          <w:rFonts w:cs="Times New Roman"/>
          <w:szCs w:val="22"/>
        </w:rPr>
        <w:t xml:space="preserve"> but made a more stringent test for when it would be allowed.</w:t>
      </w:r>
      <w:r>
        <w:rPr>
          <w:rStyle w:val="FootnoteReference"/>
          <w:rFonts w:cs="Times New Roman"/>
          <w:szCs w:val="22"/>
        </w:rPr>
        <w:footnoteReference w:id="35"/>
      </w:r>
      <w:r>
        <w:rPr>
          <w:rFonts w:cs="Times New Roman"/>
          <w:szCs w:val="22"/>
        </w:rPr>
        <w:t xml:space="preserve"> </w:t>
      </w:r>
    </w:p>
    <w:p w:rsidR="000D5A8F" w:rsidRDefault="000D5A8F" w:rsidP="000D5A8F">
      <w:pPr>
        <w:ind w:firstLine="360"/>
        <w:contextualSpacing/>
        <w:rPr>
          <w:rFonts w:cs="Times New Roman"/>
          <w:szCs w:val="22"/>
        </w:rPr>
      </w:pPr>
      <w:r>
        <w:rPr>
          <w:rFonts w:cs="Times New Roman"/>
          <w:szCs w:val="22"/>
        </w:rPr>
        <w:t>A number of states of the United States have passed laws prohibiting the use of race in admissions decisions to universities and hiring decisions for employment.  One example is California which passed Proposition 209 in 1996 that severely limited the use of affirmative action in higher education.</w:t>
      </w:r>
      <w:r>
        <w:rPr>
          <w:rStyle w:val="FootnoteReference"/>
          <w:rFonts w:cs="Times New Roman"/>
          <w:szCs w:val="22"/>
        </w:rPr>
        <w:footnoteReference w:id="36"/>
      </w:r>
      <w:r>
        <w:rPr>
          <w:rFonts w:cs="Times New Roman"/>
          <w:szCs w:val="22"/>
        </w:rPr>
        <w:t xml:space="preserve"> The effect has been increased </w:t>
      </w:r>
      <w:r>
        <w:rPr>
          <w:rFonts w:cs="Times New Roman"/>
          <w:i/>
          <w:szCs w:val="22"/>
        </w:rPr>
        <w:t>de facto</w:t>
      </w:r>
      <w:r>
        <w:rPr>
          <w:rFonts w:cs="Times New Roman"/>
          <w:szCs w:val="22"/>
        </w:rPr>
        <w:t xml:space="preserve"> discrimination at its premier public university: despite the fact that 44.8% of high school graduates are Latinos, Blacks, and Native Americans, those groups comprise only 15.3% of the entering class at UC Berkeley in 2007.</w:t>
      </w:r>
      <w:r>
        <w:rPr>
          <w:rStyle w:val="FootnoteReference"/>
          <w:rFonts w:cs="Times New Roman"/>
          <w:szCs w:val="22"/>
        </w:rPr>
        <w:footnoteReference w:id="37"/>
      </w:r>
      <w:r>
        <w:rPr>
          <w:rFonts w:cs="Times New Roman"/>
          <w:szCs w:val="22"/>
        </w:rPr>
        <w:t xml:space="preserve"> The increased segregation that began in the late 1980’s has had an impact on certain professions such as doctors, lawyers, accountants, architects, and pharmacists.</w:t>
      </w:r>
      <w:r>
        <w:rPr>
          <w:rStyle w:val="FootnoteReference"/>
          <w:rFonts w:cs="Times New Roman"/>
          <w:szCs w:val="22"/>
        </w:rPr>
        <w:footnoteReference w:id="38"/>
      </w:r>
      <w:r>
        <w:rPr>
          <w:rFonts w:cs="Times New Roman"/>
          <w:szCs w:val="22"/>
        </w:rPr>
        <w:t xml:space="preserve">  </w:t>
      </w:r>
    </w:p>
    <w:p w:rsidR="000D5A8F" w:rsidRDefault="000D5A8F" w:rsidP="000D5A8F">
      <w:pPr>
        <w:ind w:left="720"/>
        <w:contextualSpacing/>
        <w:rPr>
          <w:rFonts w:cs="Times New Roman"/>
          <w:szCs w:val="22"/>
        </w:rPr>
      </w:pPr>
    </w:p>
    <w:p w:rsidR="000D5A8F" w:rsidRDefault="000D5A8F" w:rsidP="000D5A8F">
      <w:pPr>
        <w:contextualSpacing/>
        <w:rPr>
          <w:rFonts w:cs="Times New Roman"/>
          <w:szCs w:val="22"/>
        </w:rPr>
      </w:pPr>
    </w:p>
    <w:p w:rsidR="000D5A8F" w:rsidRPr="00FA3A0C" w:rsidRDefault="000D5A8F" w:rsidP="00FA3A0C">
      <w:pPr>
        <w:pStyle w:val="ListParagraph"/>
        <w:numPr>
          <w:ilvl w:val="0"/>
          <w:numId w:val="32"/>
        </w:numPr>
        <w:rPr>
          <w:rFonts w:cs="Times New Roman"/>
          <w:szCs w:val="22"/>
        </w:rPr>
      </w:pPr>
      <w:r w:rsidRPr="00FA3A0C">
        <w:rPr>
          <w:rFonts w:cs="Times New Roman"/>
          <w:b/>
          <w:szCs w:val="22"/>
        </w:rPr>
        <w:t>Recommended Questions</w:t>
      </w:r>
    </w:p>
    <w:p w:rsidR="000D5A8F" w:rsidRDefault="000D5A8F" w:rsidP="000D5A8F">
      <w:pPr>
        <w:contextualSpacing/>
        <w:rPr>
          <w:rFonts w:cs="Times New Roman"/>
          <w:b/>
          <w:szCs w:val="22"/>
        </w:rPr>
      </w:pPr>
    </w:p>
    <w:p w:rsidR="000D5A8F" w:rsidRDefault="000D5A8F" w:rsidP="000D5A8F">
      <w:pPr>
        <w:numPr>
          <w:ilvl w:val="0"/>
          <w:numId w:val="33"/>
        </w:numPr>
        <w:contextualSpacing/>
        <w:rPr>
          <w:rFonts w:cs="Times New Roman"/>
          <w:szCs w:val="22"/>
        </w:rPr>
      </w:pPr>
      <w:r>
        <w:rPr>
          <w:rFonts w:cs="Times New Roman"/>
          <w:szCs w:val="22"/>
        </w:rPr>
        <w:t xml:space="preserve">What has been the practical effect of the specific affirmative action plans and guidance issued by the Departments of Education and Justice to assist educational institutions in pursuing policies to achieve diversity and avoid racial isolation?  </w:t>
      </w:r>
    </w:p>
    <w:p w:rsidR="000D5A8F" w:rsidRDefault="000D5A8F" w:rsidP="000D5A8F">
      <w:pPr>
        <w:numPr>
          <w:ilvl w:val="0"/>
          <w:numId w:val="33"/>
        </w:numPr>
        <w:contextualSpacing/>
        <w:rPr>
          <w:rFonts w:cs="Times New Roman"/>
          <w:szCs w:val="22"/>
        </w:rPr>
      </w:pPr>
      <w:r>
        <w:rPr>
          <w:rFonts w:cs="Times New Roman"/>
          <w:szCs w:val="22"/>
        </w:rPr>
        <w:t xml:space="preserve">If </w:t>
      </w:r>
      <w:r>
        <w:rPr>
          <w:rFonts w:cs="Times New Roman"/>
          <w:i/>
          <w:szCs w:val="22"/>
        </w:rPr>
        <w:t>de facto</w:t>
      </w:r>
      <w:r>
        <w:rPr>
          <w:rFonts w:cs="Times New Roman"/>
          <w:szCs w:val="22"/>
        </w:rPr>
        <w:t xml:space="preserve"> discrimination has not decreased from these plans and guidance, does the United States have additional plans for remedial steps to address segregation in public schools?</w:t>
      </w:r>
    </w:p>
    <w:p w:rsidR="000D5A8F" w:rsidRDefault="000D5A8F" w:rsidP="000D5A8F">
      <w:pPr>
        <w:numPr>
          <w:ilvl w:val="0"/>
          <w:numId w:val="33"/>
        </w:numPr>
        <w:contextualSpacing/>
        <w:rPr>
          <w:rFonts w:cs="Times New Roman"/>
          <w:szCs w:val="22"/>
        </w:rPr>
      </w:pPr>
      <w:r>
        <w:rPr>
          <w:rFonts w:cs="Times New Roman"/>
          <w:szCs w:val="22"/>
        </w:rPr>
        <w:t>Has the United States assessed the impact of state measures that prohibit the use of race as a factor in admissions like Proposition 209 in California on school segregation?  What steps has it taken to address that impact?  Has it undertaken a national plan for addressing segregation in all levels of public schools?</w:t>
      </w:r>
    </w:p>
    <w:p w:rsidR="000D5A8F" w:rsidRDefault="000D5A8F" w:rsidP="000D5A8F">
      <w:pPr>
        <w:numPr>
          <w:ilvl w:val="0"/>
          <w:numId w:val="33"/>
        </w:numPr>
        <w:contextualSpacing/>
        <w:rPr>
          <w:rFonts w:cs="Times New Roman"/>
          <w:szCs w:val="22"/>
        </w:rPr>
      </w:pPr>
      <w:r>
        <w:rPr>
          <w:rFonts w:cs="Times New Roman"/>
          <w:szCs w:val="22"/>
        </w:rPr>
        <w:t xml:space="preserve">Has the United States assessed the potential impact of the decision in </w:t>
      </w:r>
      <w:r>
        <w:rPr>
          <w:rFonts w:cs="Times New Roman"/>
          <w:i/>
          <w:szCs w:val="22"/>
        </w:rPr>
        <w:t>Fisher v. University of Texas at Austin</w:t>
      </w:r>
      <w:r>
        <w:rPr>
          <w:rFonts w:cs="Times New Roman"/>
          <w:szCs w:val="22"/>
        </w:rPr>
        <w:t xml:space="preserve">?  </w:t>
      </w:r>
    </w:p>
    <w:p w:rsidR="000D5A8F" w:rsidRDefault="000D5A8F" w:rsidP="000D5A8F">
      <w:pPr>
        <w:contextualSpacing/>
        <w:rPr>
          <w:rFonts w:cs="Times New Roman"/>
          <w:szCs w:val="22"/>
        </w:rPr>
      </w:pPr>
    </w:p>
    <w:p w:rsidR="000D5A8F" w:rsidRDefault="000D5A8F" w:rsidP="00FA3A0C">
      <w:pPr>
        <w:numPr>
          <w:ilvl w:val="0"/>
          <w:numId w:val="32"/>
        </w:numPr>
        <w:contextualSpacing/>
        <w:rPr>
          <w:rFonts w:cs="Times New Roman"/>
          <w:szCs w:val="22"/>
        </w:rPr>
      </w:pPr>
      <w:r>
        <w:rPr>
          <w:rFonts w:cs="Times New Roman"/>
          <w:b/>
          <w:szCs w:val="22"/>
        </w:rPr>
        <w:t>Suggested Recommendations</w:t>
      </w:r>
    </w:p>
    <w:p w:rsidR="000D5A8F" w:rsidRDefault="000D5A8F" w:rsidP="000D5A8F">
      <w:pPr>
        <w:contextualSpacing/>
        <w:rPr>
          <w:rFonts w:cs="Times New Roman"/>
          <w:szCs w:val="22"/>
        </w:rPr>
      </w:pPr>
    </w:p>
    <w:p w:rsidR="000D5A8F" w:rsidRDefault="000D5A8F" w:rsidP="000D5A8F">
      <w:pPr>
        <w:numPr>
          <w:ilvl w:val="0"/>
          <w:numId w:val="35"/>
        </w:numPr>
        <w:contextualSpacing/>
        <w:rPr>
          <w:rFonts w:cs="Times New Roman"/>
          <w:szCs w:val="22"/>
        </w:rPr>
      </w:pPr>
      <w:r>
        <w:rPr>
          <w:rFonts w:cs="Times New Roman"/>
          <w:szCs w:val="22"/>
        </w:rPr>
        <w:t>The United States should conduct additional studies regarding segregation in education and provide the states information and incentives for remaining segregation.</w:t>
      </w:r>
    </w:p>
    <w:p w:rsidR="000D5A8F" w:rsidRDefault="000D5A8F" w:rsidP="000D5A8F">
      <w:pPr>
        <w:numPr>
          <w:ilvl w:val="0"/>
          <w:numId w:val="35"/>
        </w:numPr>
        <w:contextualSpacing/>
        <w:rPr>
          <w:rFonts w:cs="Times New Roman"/>
          <w:szCs w:val="22"/>
        </w:rPr>
      </w:pPr>
      <w:r>
        <w:rPr>
          <w:rFonts w:cs="Times New Roman"/>
          <w:szCs w:val="22"/>
        </w:rPr>
        <w:t>The United States should undertake a plan to address the impact of state laws that have had the effect of increasing racial segregation in public schools.</w:t>
      </w:r>
    </w:p>
    <w:p w:rsidR="000D5A8F" w:rsidRPr="00105542" w:rsidRDefault="000D5A8F" w:rsidP="00105542">
      <w:pPr>
        <w:pStyle w:val="ListParagraph"/>
        <w:numPr>
          <w:ilvl w:val="0"/>
          <w:numId w:val="35"/>
        </w:numPr>
        <w:rPr>
          <w:rFonts w:cs="Times New Roman"/>
          <w:szCs w:val="22"/>
        </w:rPr>
      </w:pPr>
      <w:bookmarkStart w:id="0" w:name="_GoBack"/>
      <w:bookmarkEnd w:id="0"/>
      <w:r w:rsidRPr="00105542">
        <w:rPr>
          <w:rFonts w:cs="Times New Roman"/>
          <w:szCs w:val="22"/>
        </w:rPr>
        <w:t xml:space="preserve">The United States should undertake a study to assess the impact of the decision in </w:t>
      </w:r>
      <w:r w:rsidRPr="00105542">
        <w:rPr>
          <w:rFonts w:cs="Times New Roman"/>
          <w:i/>
          <w:szCs w:val="22"/>
        </w:rPr>
        <w:t xml:space="preserve">Fisher v. University of Texas at Austin.  </w:t>
      </w:r>
      <w:r w:rsidRPr="00105542">
        <w:rPr>
          <w:rFonts w:cs="Times New Roman"/>
          <w:szCs w:val="22"/>
        </w:rPr>
        <w:t>If the admissions policy in that case is upheld, the United States should assess whether it has decreased racial segregation in that state, and if so, take steps to encourage other states to undertake similar changes in their admissions policies.</w:t>
      </w:r>
    </w:p>
    <w:p w:rsidR="00B71F18" w:rsidRDefault="00B71F18"/>
    <w:sectPr w:rsidR="00B71F18" w:rsidSect="00B71F18">
      <w:footerReference w:type="even" r:id="rId11"/>
      <w:footerReference w:type="default" r:id="rId12"/>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11CF" w:rsidRDefault="009011CF">
      <w:r>
        <w:separator/>
      </w:r>
    </w:p>
  </w:endnote>
  <w:endnote w:type="continuationSeparator" w:id="0">
    <w:p w:rsidR="009011CF" w:rsidRDefault="009011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ms Rmn">
    <w:altName w:val="Times New Roma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HelveLTMM_170_Wt_1200_Wd">
    <w:panose1 w:val="00000000000000000000"/>
    <w:charset w:val="00"/>
    <w:family w:val="auto"/>
    <w:notTrueType/>
    <w:pitch w:val="variable"/>
    <w:sig w:usb0="00000003" w:usb1="00000000" w:usb2="00000000" w:usb3="00000000" w:csb0="00000001" w:csb1="00000000"/>
  </w:font>
  <w:font w:name="TimesNewRomanPSMT">
    <w:altName w:val="Times New Roman"/>
    <w:panose1 w:val="00000000000000000000"/>
    <w:charset w:val="4D"/>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D73" w:rsidRDefault="007F2D73" w:rsidP="00B71F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7F2D73" w:rsidRDefault="007F2D7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F2D73" w:rsidRDefault="007F2D73" w:rsidP="00B71F1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05542">
      <w:rPr>
        <w:rStyle w:val="PageNumber"/>
        <w:noProof/>
      </w:rPr>
      <w:t>13</w:t>
    </w:r>
    <w:r>
      <w:rPr>
        <w:rStyle w:val="PageNumber"/>
      </w:rPr>
      <w:fldChar w:fldCharType="end"/>
    </w:r>
  </w:p>
  <w:p w:rsidR="007F2D73" w:rsidRDefault="007F2D7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11CF" w:rsidRDefault="009011CF">
      <w:r>
        <w:separator/>
      </w:r>
    </w:p>
  </w:footnote>
  <w:footnote w:type="continuationSeparator" w:id="0">
    <w:p w:rsidR="009011CF" w:rsidRDefault="009011CF">
      <w:r>
        <w:continuationSeparator/>
      </w:r>
    </w:p>
  </w:footnote>
  <w:footnote w:id="1">
    <w:p w:rsidR="007F2D73" w:rsidRDefault="007F2D73" w:rsidP="00B71F18">
      <w:pPr>
        <w:pStyle w:val="FootnoteText"/>
      </w:pPr>
      <w:r>
        <w:rPr>
          <w:rStyle w:val="FootnoteReference"/>
        </w:rPr>
        <w:footnoteRef/>
      </w:r>
      <w:r>
        <w:t xml:space="preserve"> </w:t>
      </w:r>
      <w:r w:rsidRPr="009052AC">
        <w:rPr>
          <w:sz w:val="20"/>
        </w:rPr>
        <w:t>This report was prepared by the following persons: Professor Connie de la Vega, University of San Francisco School of Law (USF); Amanda Solter and Lani Virostko, USF</w:t>
      </w:r>
      <w:r>
        <w:rPr>
          <w:sz w:val="20"/>
        </w:rPr>
        <w:t xml:space="preserve"> </w:t>
      </w:r>
      <w:r w:rsidRPr="009052AC">
        <w:rPr>
          <w:sz w:val="20"/>
        </w:rPr>
        <w:t>Human Rights in Criminal Sentencing Project; Dana Marie Isaac, USF</w:t>
      </w:r>
      <w:r>
        <w:rPr>
          <w:sz w:val="20"/>
        </w:rPr>
        <w:t xml:space="preserve"> </w:t>
      </w:r>
      <w:r w:rsidRPr="009052AC">
        <w:rPr>
          <w:sz w:val="20"/>
        </w:rPr>
        <w:t xml:space="preserve">Project to End Juvenile Life Without Parole; The following students from the Frank C. Newman International Human Rights Clinic of the University of San Francisco also contributed to this report: Lana Nassar, Esther </w:t>
      </w:r>
      <w:proofErr w:type="spellStart"/>
      <w:r w:rsidRPr="009052AC">
        <w:rPr>
          <w:sz w:val="20"/>
        </w:rPr>
        <w:t>Wilch</w:t>
      </w:r>
      <w:proofErr w:type="spellEnd"/>
      <w:r w:rsidRPr="009052AC">
        <w:rPr>
          <w:sz w:val="20"/>
        </w:rPr>
        <w:t>, Kokeb Zeleke,</w:t>
      </w:r>
      <w:r>
        <w:t xml:space="preserve"> </w:t>
      </w:r>
    </w:p>
  </w:footnote>
  <w:footnote w:id="2">
    <w:p w:rsidR="007F2D73" w:rsidRPr="00155FEE" w:rsidRDefault="007F2D73" w:rsidP="00B71F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s="Helvetica"/>
          <w:lang w:eastAsia="en-US"/>
        </w:rPr>
      </w:pPr>
      <w:r>
        <w:rPr>
          <w:rStyle w:val="FootnoteReference"/>
        </w:rPr>
        <w:footnoteRef/>
      </w:r>
      <w:r>
        <w:t xml:space="preserve"> </w:t>
      </w:r>
      <w:proofErr w:type="spellStart"/>
      <w:r w:rsidRPr="00155FEE">
        <w:rPr>
          <w:rFonts w:eastAsiaTheme="minorHAnsi" w:cs="Times New Roman"/>
          <w:sz w:val="20"/>
          <w:szCs w:val="20"/>
          <w:lang w:eastAsia="en-US"/>
        </w:rPr>
        <w:t>Brickner</w:t>
      </w:r>
      <w:proofErr w:type="spellEnd"/>
      <w:r w:rsidRPr="00155FEE">
        <w:rPr>
          <w:rFonts w:eastAsiaTheme="minorHAnsi" w:cs="Times New Roman"/>
          <w:sz w:val="20"/>
          <w:szCs w:val="20"/>
          <w:lang w:eastAsia="en-US"/>
        </w:rPr>
        <w:t xml:space="preserve">, Michael and Diaz, </w:t>
      </w:r>
      <w:proofErr w:type="spellStart"/>
      <w:r w:rsidRPr="00155FEE">
        <w:rPr>
          <w:rFonts w:eastAsiaTheme="minorHAnsi" w:cs="Times New Roman"/>
          <w:sz w:val="20"/>
          <w:szCs w:val="20"/>
          <w:lang w:eastAsia="en-US"/>
        </w:rPr>
        <w:t>Shakyra</w:t>
      </w:r>
      <w:proofErr w:type="spellEnd"/>
      <w:r w:rsidRPr="00155FEE">
        <w:rPr>
          <w:rFonts w:eastAsiaTheme="minorHAnsi" w:cs="Times New Roman"/>
          <w:sz w:val="20"/>
          <w:szCs w:val="20"/>
          <w:lang w:eastAsia="en-US"/>
        </w:rPr>
        <w:t xml:space="preserve">, </w:t>
      </w:r>
      <w:r w:rsidRPr="00155FEE">
        <w:rPr>
          <w:rFonts w:eastAsiaTheme="minorHAnsi" w:cs=".HelveLTMM_170_Wt_1200_Wd"/>
          <w:sz w:val="20"/>
          <w:szCs w:val="20"/>
          <w:lang w:eastAsia="en-US"/>
        </w:rPr>
        <w:t xml:space="preserve">Prisons for Profit: Incarceration for Sale, </w:t>
      </w:r>
      <w:r w:rsidRPr="00155FEE">
        <w:rPr>
          <w:rFonts w:eastAsiaTheme="minorHAnsi" w:cs="Times New Roman"/>
          <w:sz w:val="20"/>
          <w:szCs w:val="20"/>
          <w:lang w:eastAsia="en-US"/>
        </w:rPr>
        <w:t xml:space="preserve">ACLU, </w:t>
      </w:r>
    </w:p>
    <w:p w:rsidR="007F2D73" w:rsidRPr="003A6184" w:rsidRDefault="007F2D73" w:rsidP="00B71F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s="Helvetica"/>
          <w:lang w:eastAsia="en-US"/>
        </w:rPr>
      </w:pPr>
      <w:r w:rsidRPr="00155FEE">
        <w:rPr>
          <w:rFonts w:eastAsiaTheme="minorHAnsi" w:cs="Times New Roman"/>
          <w:sz w:val="20"/>
          <w:szCs w:val="20"/>
          <w:lang w:eastAsia="en-US"/>
        </w:rPr>
        <w:t xml:space="preserve">http://www.acluohio.org/issues/CriminalJustice/ABAPrivatePrisonsReport.asp.  </w:t>
      </w:r>
    </w:p>
  </w:footnote>
  <w:footnote w:id="3">
    <w:p w:rsidR="007F2D73" w:rsidRPr="009F052E" w:rsidRDefault="007F2D73" w:rsidP="00B71F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s="Helvetica"/>
          <w:lang w:eastAsia="en-US"/>
        </w:rPr>
      </w:pPr>
      <w:r>
        <w:rPr>
          <w:rStyle w:val="FootnoteReference"/>
        </w:rPr>
        <w:footnoteRef/>
      </w:r>
      <w:r>
        <w:t xml:space="preserve"> </w:t>
      </w:r>
      <w:r w:rsidRPr="009F052E">
        <w:rPr>
          <w:rFonts w:eastAsiaTheme="minorHAnsi" w:cs=".HelveLTMM_170_Wt_1200_Wd"/>
          <w:sz w:val="20"/>
          <w:szCs w:val="20"/>
          <w:lang w:eastAsia="en-US"/>
        </w:rPr>
        <w:t xml:space="preserve">Prisons for Profit: A Look at Prison Privatization, </w:t>
      </w:r>
      <w:r w:rsidRPr="009F052E">
        <w:rPr>
          <w:rFonts w:eastAsiaTheme="minorHAnsi" w:cs="Times New Roman"/>
          <w:sz w:val="20"/>
          <w:szCs w:val="20"/>
          <w:lang w:eastAsia="en-US"/>
        </w:rPr>
        <w:t xml:space="preserve">ACLU Ohio, 13-14, </w:t>
      </w:r>
    </w:p>
    <w:p w:rsidR="007F2D73" w:rsidRDefault="007F2D73" w:rsidP="00B71F18">
      <w:pPr>
        <w:pStyle w:val="FootnoteText"/>
      </w:pPr>
      <w:r w:rsidRPr="009F052E">
        <w:rPr>
          <w:rFonts w:eastAsiaTheme="minorHAnsi"/>
          <w:sz w:val="20"/>
          <w:szCs w:val="20"/>
          <w:lang w:eastAsia="en-US"/>
        </w:rPr>
        <w:t>http://www.acluohio.org/assets/issues/CriminalJustice/PrisonsForProfit2011_04.pdf.</w:t>
      </w:r>
    </w:p>
  </w:footnote>
  <w:footnote w:id="4">
    <w:p w:rsidR="007F2D73" w:rsidRPr="009F052E" w:rsidRDefault="007F2D73" w:rsidP="00B71F1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eastAsiaTheme="minorHAnsi" w:cs="Helvetica"/>
          <w:lang w:eastAsia="en-US"/>
        </w:rPr>
      </w:pPr>
      <w:r>
        <w:rPr>
          <w:rStyle w:val="FootnoteReference"/>
        </w:rPr>
        <w:footnoteRef/>
      </w:r>
      <w:r>
        <w:t xml:space="preserve"> </w:t>
      </w:r>
      <w:r w:rsidRPr="009F052E">
        <w:rPr>
          <w:rFonts w:eastAsiaTheme="minorHAnsi" w:cs=".HelveLTMM_170_Wt_1200_Wd"/>
          <w:sz w:val="20"/>
          <w:szCs w:val="20"/>
          <w:lang w:eastAsia="en-US"/>
        </w:rPr>
        <w:t xml:space="preserve">Prisons for Profit: A Look at Prison Privatization, </w:t>
      </w:r>
      <w:r w:rsidRPr="009F052E">
        <w:rPr>
          <w:rFonts w:eastAsiaTheme="minorHAnsi" w:cs="Times New Roman"/>
          <w:sz w:val="20"/>
          <w:szCs w:val="20"/>
          <w:lang w:eastAsia="en-US"/>
        </w:rPr>
        <w:t xml:space="preserve">ACLU Ohio, 13-14, </w:t>
      </w:r>
    </w:p>
    <w:p w:rsidR="007F2D73" w:rsidRDefault="007F2D73" w:rsidP="00B71F18">
      <w:pPr>
        <w:pStyle w:val="FootnoteText"/>
      </w:pPr>
      <w:r w:rsidRPr="009F052E">
        <w:rPr>
          <w:rFonts w:eastAsiaTheme="minorHAnsi"/>
          <w:sz w:val="20"/>
          <w:szCs w:val="20"/>
          <w:lang w:eastAsia="en-US"/>
        </w:rPr>
        <w:t>http://www.acluohio.org/assets/issues/CriminalJustice/PrisonsForProfit2011_04.pdf.</w:t>
      </w:r>
    </w:p>
  </w:footnote>
  <w:footnote w:id="5">
    <w:p w:rsidR="007F2D73" w:rsidRPr="009078B1" w:rsidRDefault="007F2D73" w:rsidP="00B71F18">
      <w:pPr>
        <w:pStyle w:val="FootnoteText"/>
        <w:rPr>
          <w:sz w:val="20"/>
        </w:rPr>
      </w:pPr>
      <w:r w:rsidRPr="009078B1">
        <w:rPr>
          <w:rStyle w:val="FootnoteReference"/>
          <w:sz w:val="20"/>
        </w:rPr>
        <w:footnoteRef/>
      </w:r>
      <w:r w:rsidRPr="009078B1">
        <w:rPr>
          <w:sz w:val="20"/>
        </w:rPr>
        <w:t xml:space="preserve"> </w:t>
      </w:r>
      <w:proofErr w:type="spellStart"/>
      <w:r w:rsidRPr="009078B1">
        <w:rPr>
          <w:sz w:val="20"/>
        </w:rPr>
        <w:t>Soering</w:t>
      </w:r>
      <w:proofErr w:type="spellEnd"/>
      <w:r w:rsidRPr="009078B1">
        <w:rPr>
          <w:sz w:val="20"/>
        </w:rPr>
        <w:t xml:space="preserve"> v. The United Kingdom, 1/1989/161/217, Council of Europe: European Court of Human Rights, 7 July 1989, available at: http://www.unhcr.org/refworld/docid/3ae6b6fec.html</w:t>
      </w:r>
    </w:p>
  </w:footnote>
  <w:footnote w:id="6">
    <w:p w:rsidR="007F2D73" w:rsidRDefault="007F2D73" w:rsidP="00B71F18">
      <w:pPr>
        <w:pStyle w:val="FootnoteText"/>
      </w:pPr>
      <w:r>
        <w:rPr>
          <w:rStyle w:val="FootnoteReference"/>
        </w:rPr>
        <w:footnoteRef/>
      </w:r>
      <w:r>
        <w:t xml:space="preserve"> </w:t>
      </w:r>
      <w:r w:rsidRPr="009078B1">
        <w:rPr>
          <w:sz w:val="20"/>
        </w:rPr>
        <w:t>UN General Assembly, Interim Report of the Special Rapporteur on torture and other cruel, inhuman or degrading treatment or punishment, Juan E. Méndez, August 9, 2012,  *A/67/279, available at: http://daccess-dds-ny.un.org/doc/UNDOC/GEN/N12/458/12/PDF/N1245812.pdf?OpenElement</w:t>
      </w:r>
    </w:p>
  </w:footnote>
  <w:footnote w:id="7">
    <w:p w:rsidR="007F2D73" w:rsidRDefault="007F2D73" w:rsidP="00B71F18">
      <w:pPr>
        <w:pStyle w:val="FootnoteText"/>
      </w:pPr>
      <w:r>
        <w:rPr>
          <w:rStyle w:val="FootnoteReference"/>
        </w:rPr>
        <w:footnoteRef/>
      </w:r>
      <w:r>
        <w:t xml:space="preserve"> </w:t>
      </w:r>
      <w:proofErr w:type="gramStart"/>
      <w:r w:rsidRPr="00D532CA">
        <w:rPr>
          <w:sz w:val="20"/>
        </w:rPr>
        <w:t>Id. at ¶43.</w:t>
      </w:r>
      <w:proofErr w:type="gramEnd"/>
    </w:p>
  </w:footnote>
  <w:footnote w:id="8">
    <w:p w:rsidR="007F2D73" w:rsidRPr="007D0FF6" w:rsidRDefault="007F2D73" w:rsidP="00B71F18">
      <w:pPr>
        <w:pStyle w:val="FootnoteText"/>
        <w:rPr>
          <w:sz w:val="20"/>
        </w:rPr>
      </w:pPr>
      <w:r>
        <w:rPr>
          <w:rStyle w:val="FootnoteReference"/>
        </w:rPr>
        <w:footnoteRef/>
      </w:r>
      <w:r>
        <w:t xml:space="preserve"> </w:t>
      </w:r>
      <w:r w:rsidRPr="007D0FF6">
        <w:rPr>
          <w:sz w:val="20"/>
        </w:rPr>
        <w:t xml:space="preserve">N.I. Sequoyah, Report No. 42/10, Inter-Am. Commission of H.R., found at: </w:t>
      </w:r>
    </w:p>
    <w:p w:rsidR="007F2D73" w:rsidRDefault="007F2D73" w:rsidP="00B71F18">
      <w:pPr>
        <w:pStyle w:val="FootnoteText"/>
      </w:pPr>
      <w:r w:rsidRPr="007D0FF6">
        <w:rPr>
          <w:sz w:val="20"/>
        </w:rPr>
        <w:t>www.cidh.org/annualrep/2010eng/USAD120-07EN.doc</w:t>
      </w:r>
    </w:p>
  </w:footnote>
  <w:footnote w:id="9">
    <w:p w:rsidR="007F2D73" w:rsidRPr="00000E90" w:rsidRDefault="007F2D73" w:rsidP="00B71F18">
      <w:pPr>
        <w:pStyle w:val="MediumGrid22"/>
        <w:rPr>
          <w:rFonts w:ascii="Times New Roman" w:hAnsi="Times New Roman"/>
          <w:szCs w:val="20"/>
        </w:rPr>
      </w:pPr>
      <w:r w:rsidRPr="00000E90">
        <w:rPr>
          <w:rStyle w:val="FootnoteCharacters"/>
          <w:rFonts w:ascii="Times New Roman" w:hAnsi="Times New Roman"/>
        </w:rPr>
        <w:footnoteRef/>
      </w:r>
      <w:r w:rsidRPr="00000E90">
        <w:rPr>
          <w:rFonts w:ascii="Times New Roman" w:hAnsi="Times New Roman"/>
          <w:szCs w:val="20"/>
        </w:rPr>
        <w:t xml:space="preserve"> </w:t>
      </w:r>
      <w:proofErr w:type="gramStart"/>
      <w:r w:rsidRPr="00000E90">
        <w:rPr>
          <w:rStyle w:val="groupheading"/>
          <w:rFonts w:ascii="Times New Roman" w:hAnsi="Times New Roman"/>
          <w:szCs w:val="20"/>
        </w:rPr>
        <w:t>1 U.S.C.A. § 109.</w:t>
      </w:r>
      <w:proofErr w:type="gramEnd"/>
      <w:r w:rsidRPr="00000E90">
        <w:rPr>
          <w:rStyle w:val="groupheading"/>
          <w:rFonts w:ascii="Times New Roman" w:hAnsi="Times New Roman"/>
          <w:szCs w:val="20"/>
        </w:rPr>
        <w:t xml:space="preserve"> </w:t>
      </w:r>
      <w:r w:rsidRPr="00000E90">
        <w:rPr>
          <w:rFonts w:ascii="Times New Roman" w:hAnsi="Times New Roman"/>
          <w:szCs w:val="20"/>
        </w:rPr>
        <w:t>The repeal of any statute shall not have the effect to release or extinguish any penalty, forfeiture, or liability incurred under such statute, unless the repealing Act shall so expressly provide, and such statute shall be treated as still remaining in force for the purpose of sustaining any proper action or prosecution for the enforcement of such penalty, forfeiture, or liability. The expiration of a temporary statute shall not have the effect to release or extinguish any penalty, forfeiture, or liability incurred under such statute, unless the temporary statute shall so expressly provide, and such statute shall be treated as still remaining in force for the purpose of sustaining any proper action or prosecution for the enforcement of such penalty, forfeiture, or liability.</w:t>
      </w:r>
    </w:p>
  </w:footnote>
  <w:footnote w:id="10">
    <w:p w:rsidR="007F2D73" w:rsidRPr="00000E90" w:rsidRDefault="007F2D73" w:rsidP="00B71F18">
      <w:pPr>
        <w:pStyle w:val="MediumGrid22"/>
        <w:rPr>
          <w:rFonts w:ascii="Times New Roman" w:hAnsi="Times New Roman"/>
          <w:szCs w:val="20"/>
        </w:rPr>
      </w:pPr>
      <w:r w:rsidRPr="00000E90">
        <w:rPr>
          <w:rStyle w:val="FootnoteCharacters"/>
          <w:rFonts w:ascii="Times New Roman" w:hAnsi="Times New Roman"/>
          <w:szCs w:val="16"/>
        </w:rPr>
        <w:footnoteRef/>
      </w:r>
      <w:r w:rsidRPr="00000E90">
        <w:rPr>
          <w:rFonts w:ascii="Times New Roman" w:hAnsi="Times New Roman"/>
          <w:szCs w:val="20"/>
        </w:rPr>
        <w:t xml:space="preserve"> H.B. 06</w:t>
      </w:r>
      <w:r w:rsidRPr="00000E90">
        <w:rPr>
          <w:rFonts w:ascii="Calibri" w:hAnsi="Calibri"/>
          <w:szCs w:val="20"/>
        </w:rPr>
        <w:t>‐</w:t>
      </w:r>
      <w:r w:rsidRPr="00000E90">
        <w:rPr>
          <w:rFonts w:ascii="Times New Roman" w:hAnsi="Times New Roman"/>
          <w:szCs w:val="20"/>
        </w:rPr>
        <w:t xml:space="preserve">1315, 65th Gen. </w:t>
      </w:r>
      <w:proofErr w:type="spellStart"/>
      <w:r w:rsidRPr="00000E90">
        <w:rPr>
          <w:rFonts w:ascii="Times New Roman" w:hAnsi="Times New Roman"/>
          <w:szCs w:val="20"/>
        </w:rPr>
        <w:t>Assem</w:t>
      </w:r>
      <w:proofErr w:type="spellEnd"/>
      <w:r w:rsidRPr="00000E90">
        <w:rPr>
          <w:rFonts w:ascii="Times New Roman" w:hAnsi="Times New Roman"/>
          <w:szCs w:val="20"/>
        </w:rPr>
        <w:t xml:space="preserve">., Reg. Sess. (Colo. 2006). </w:t>
      </w:r>
    </w:p>
  </w:footnote>
  <w:footnote w:id="11">
    <w:p w:rsidR="007F2D73" w:rsidRPr="00000E90" w:rsidRDefault="007F2D73" w:rsidP="00B71F18">
      <w:pPr>
        <w:pStyle w:val="MediumGrid22"/>
        <w:rPr>
          <w:rFonts w:ascii="Times New Roman" w:hAnsi="Times New Roman"/>
          <w:szCs w:val="20"/>
        </w:rPr>
      </w:pPr>
      <w:r w:rsidRPr="00000E90">
        <w:rPr>
          <w:rStyle w:val="FootnoteCharacters"/>
          <w:rFonts w:ascii="Times New Roman" w:hAnsi="Times New Roman"/>
          <w:szCs w:val="16"/>
        </w:rPr>
        <w:footnoteRef/>
      </w:r>
      <w:r w:rsidRPr="00000E90">
        <w:rPr>
          <w:rFonts w:ascii="Times New Roman" w:hAnsi="Times New Roman"/>
          <w:szCs w:val="20"/>
        </w:rPr>
        <w:t xml:space="preserve"> H.B. 06</w:t>
      </w:r>
      <w:r w:rsidRPr="00000E90">
        <w:rPr>
          <w:rFonts w:ascii="Calibri" w:hAnsi="Calibri"/>
          <w:szCs w:val="20"/>
        </w:rPr>
        <w:t>‐</w:t>
      </w:r>
      <w:r w:rsidRPr="00000E90">
        <w:rPr>
          <w:rFonts w:ascii="Times New Roman" w:hAnsi="Times New Roman"/>
          <w:szCs w:val="20"/>
        </w:rPr>
        <w:t xml:space="preserve">1315, 65th Gen. </w:t>
      </w:r>
      <w:proofErr w:type="spellStart"/>
      <w:r w:rsidRPr="00000E90">
        <w:rPr>
          <w:rFonts w:ascii="Times New Roman" w:hAnsi="Times New Roman"/>
          <w:szCs w:val="20"/>
        </w:rPr>
        <w:t>Assem</w:t>
      </w:r>
      <w:proofErr w:type="spellEnd"/>
      <w:r w:rsidRPr="00000E90">
        <w:rPr>
          <w:rFonts w:ascii="Times New Roman" w:hAnsi="Times New Roman"/>
          <w:szCs w:val="20"/>
        </w:rPr>
        <w:t>., Reg. Sess. (Colo. 2006).</w:t>
      </w:r>
    </w:p>
  </w:footnote>
  <w:footnote w:id="12">
    <w:p w:rsidR="007F2D73" w:rsidRPr="00504092" w:rsidRDefault="007F2D73" w:rsidP="00B71F18">
      <w:pPr>
        <w:pStyle w:val="FootnoteText"/>
        <w:rPr>
          <w:sz w:val="20"/>
          <w:szCs w:val="18"/>
        </w:rPr>
      </w:pPr>
      <w:r w:rsidRPr="00504092">
        <w:rPr>
          <w:rStyle w:val="FootnoteReference"/>
          <w:sz w:val="20"/>
          <w:szCs w:val="18"/>
        </w:rPr>
        <w:footnoteRef/>
      </w:r>
      <w:r w:rsidRPr="00504092">
        <w:rPr>
          <w:sz w:val="20"/>
          <w:szCs w:val="18"/>
        </w:rPr>
        <w:t xml:space="preserve"> </w:t>
      </w:r>
      <w:r>
        <w:rPr>
          <w:smallCaps/>
          <w:sz w:val="20"/>
          <w:szCs w:val="18"/>
        </w:rPr>
        <w:t xml:space="preserve">Connie De La Vega, Amanda Solter, </w:t>
      </w:r>
      <w:proofErr w:type="spellStart"/>
      <w:r>
        <w:rPr>
          <w:smallCaps/>
          <w:sz w:val="20"/>
          <w:szCs w:val="18"/>
        </w:rPr>
        <w:t>soo-ryun</w:t>
      </w:r>
      <w:proofErr w:type="spellEnd"/>
      <w:r>
        <w:rPr>
          <w:smallCaps/>
          <w:sz w:val="20"/>
          <w:szCs w:val="18"/>
        </w:rPr>
        <w:t xml:space="preserve"> Kwon, Dana </w:t>
      </w:r>
      <w:proofErr w:type="spellStart"/>
      <w:r>
        <w:rPr>
          <w:smallCaps/>
          <w:sz w:val="20"/>
          <w:szCs w:val="18"/>
        </w:rPr>
        <w:t>isaac</w:t>
      </w:r>
      <w:proofErr w:type="spellEnd"/>
      <w:r w:rsidRPr="00504092">
        <w:rPr>
          <w:smallCaps/>
          <w:sz w:val="20"/>
          <w:szCs w:val="18"/>
        </w:rPr>
        <w:t xml:space="preserve">., Cruel and Unusual: U.S. Sentencing Practices in a Global Context 61 (2012) </w:t>
      </w:r>
      <w:r w:rsidRPr="00504092">
        <w:rPr>
          <w:sz w:val="20"/>
          <w:szCs w:val="18"/>
        </w:rPr>
        <w:t xml:space="preserve">[hereinafter </w:t>
      </w:r>
      <w:r w:rsidRPr="00504092">
        <w:rPr>
          <w:smallCaps/>
          <w:sz w:val="20"/>
          <w:szCs w:val="18"/>
        </w:rPr>
        <w:t>Cruel and Unusual</w:t>
      </w:r>
      <w:r w:rsidRPr="00504092">
        <w:rPr>
          <w:sz w:val="20"/>
          <w:szCs w:val="18"/>
        </w:rPr>
        <w:t>].</w:t>
      </w:r>
    </w:p>
  </w:footnote>
  <w:footnote w:id="13">
    <w:p w:rsidR="007F2D73" w:rsidRPr="00504092" w:rsidRDefault="007F2D73" w:rsidP="00B71F18">
      <w:pPr>
        <w:pStyle w:val="FootnoteText"/>
        <w:rPr>
          <w:sz w:val="20"/>
          <w:szCs w:val="18"/>
        </w:rPr>
      </w:pPr>
      <w:r w:rsidRPr="00504092">
        <w:rPr>
          <w:rStyle w:val="FootnoteReference"/>
          <w:sz w:val="20"/>
          <w:szCs w:val="18"/>
        </w:rPr>
        <w:footnoteRef/>
      </w:r>
      <w:r w:rsidRPr="00504092">
        <w:rPr>
          <w:sz w:val="20"/>
          <w:szCs w:val="18"/>
        </w:rPr>
        <w:t xml:space="preserve"> </w:t>
      </w:r>
      <w:r w:rsidRPr="00504092">
        <w:rPr>
          <w:i/>
          <w:sz w:val="20"/>
          <w:szCs w:val="18"/>
        </w:rPr>
        <w:t>Sentencing Juveniles</w:t>
      </w:r>
      <w:r w:rsidRPr="00504092">
        <w:rPr>
          <w:sz w:val="20"/>
          <w:szCs w:val="18"/>
        </w:rPr>
        <w:t xml:space="preserve">, NYTimes.com, </w:t>
      </w:r>
      <w:hyperlink r:id="rId1" w:history="1">
        <w:r w:rsidRPr="00504092">
          <w:rPr>
            <w:rStyle w:val="Hyperlink"/>
            <w:sz w:val="20"/>
            <w:szCs w:val="18"/>
          </w:rPr>
          <w:t>http://www.nytimes.com/interactive/2011/04/20/us/juveniles.html?ref=us</w:t>
        </w:r>
      </w:hyperlink>
      <w:r w:rsidRPr="00504092">
        <w:rPr>
          <w:sz w:val="20"/>
          <w:szCs w:val="18"/>
        </w:rPr>
        <w:t xml:space="preserve"> (last visited December 17, 2012).</w:t>
      </w:r>
    </w:p>
  </w:footnote>
  <w:footnote w:id="14">
    <w:p w:rsidR="007F2D73" w:rsidRPr="00504092" w:rsidRDefault="007F2D73" w:rsidP="00B71F18">
      <w:pPr>
        <w:pStyle w:val="FootnoteText"/>
        <w:rPr>
          <w:sz w:val="20"/>
          <w:szCs w:val="18"/>
        </w:rPr>
      </w:pPr>
      <w:r w:rsidRPr="00504092">
        <w:rPr>
          <w:rStyle w:val="FootnoteReference"/>
          <w:sz w:val="20"/>
          <w:szCs w:val="18"/>
        </w:rPr>
        <w:footnoteRef/>
      </w:r>
      <w:r w:rsidRPr="00504092">
        <w:rPr>
          <w:sz w:val="20"/>
          <w:szCs w:val="18"/>
        </w:rPr>
        <w:t xml:space="preserve"> </w:t>
      </w:r>
      <w:r w:rsidRPr="00504092">
        <w:rPr>
          <w:i/>
          <w:sz w:val="20"/>
          <w:szCs w:val="18"/>
        </w:rPr>
        <w:t>Id</w:t>
      </w:r>
      <w:r w:rsidRPr="00504092">
        <w:rPr>
          <w:sz w:val="20"/>
          <w:szCs w:val="18"/>
        </w:rPr>
        <w:t xml:space="preserve">. </w:t>
      </w:r>
    </w:p>
  </w:footnote>
  <w:footnote w:id="15">
    <w:p w:rsidR="007F2D73" w:rsidRPr="00504092" w:rsidRDefault="007F2D73" w:rsidP="00B71F18">
      <w:pPr>
        <w:pStyle w:val="FootnoteText"/>
        <w:rPr>
          <w:sz w:val="20"/>
          <w:szCs w:val="18"/>
        </w:rPr>
      </w:pPr>
      <w:r w:rsidRPr="00504092">
        <w:rPr>
          <w:rStyle w:val="FootnoteReference"/>
          <w:sz w:val="20"/>
          <w:szCs w:val="18"/>
        </w:rPr>
        <w:footnoteRef/>
      </w:r>
      <w:r w:rsidRPr="00504092">
        <w:rPr>
          <w:sz w:val="20"/>
          <w:szCs w:val="18"/>
        </w:rPr>
        <w:t xml:space="preserve"> </w:t>
      </w:r>
      <w:r w:rsidRPr="00504092">
        <w:rPr>
          <w:i/>
          <w:sz w:val="20"/>
          <w:szCs w:val="18"/>
        </w:rPr>
        <w:t>Id. See also</w:t>
      </w:r>
      <w:r w:rsidRPr="00504092">
        <w:rPr>
          <w:sz w:val="20"/>
          <w:szCs w:val="18"/>
        </w:rPr>
        <w:t xml:space="preserve"> </w:t>
      </w:r>
      <w:r w:rsidRPr="00504092">
        <w:rPr>
          <w:i/>
          <w:sz w:val="20"/>
          <w:szCs w:val="18"/>
        </w:rPr>
        <w:t>State by State Legal Resource Guide</w:t>
      </w:r>
      <w:r w:rsidRPr="00504092">
        <w:rPr>
          <w:sz w:val="20"/>
          <w:szCs w:val="18"/>
        </w:rPr>
        <w:t xml:space="preserve">, USFCA.edu, </w:t>
      </w:r>
      <w:hyperlink r:id="rId2" w:history="1">
        <w:r w:rsidRPr="00504092">
          <w:rPr>
            <w:rStyle w:val="Hyperlink"/>
            <w:sz w:val="20"/>
            <w:szCs w:val="18"/>
          </w:rPr>
          <w:t>http://usfca.edu/law/jlwop/resource_guide/</w:t>
        </w:r>
      </w:hyperlink>
      <w:r w:rsidRPr="00504092">
        <w:rPr>
          <w:sz w:val="20"/>
          <w:szCs w:val="18"/>
        </w:rPr>
        <w:t xml:space="preserve"> (last visited December 17, 2012).</w:t>
      </w:r>
    </w:p>
  </w:footnote>
  <w:footnote w:id="16">
    <w:p w:rsidR="007F2D73" w:rsidRPr="00504092" w:rsidRDefault="007F2D73" w:rsidP="00B71F18">
      <w:pPr>
        <w:pStyle w:val="FootnoteText"/>
        <w:rPr>
          <w:sz w:val="20"/>
          <w:szCs w:val="18"/>
        </w:rPr>
      </w:pPr>
      <w:r w:rsidRPr="00504092">
        <w:rPr>
          <w:rStyle w:val="FootnoteReference"/>
          <w:sz w:val="20"/>
          <w:szCs w:val="18"/>
        </w:rPr>
        <w:footnoteRef/>
      </w:r>
      <w:r w:rsidRPr="00504092">
        <w:rPr>
          <w:sz w:val="20"/>
          <w:szCs w:val="18"/>
        </w:rPr>
        <w:t xml:space="preserve"> </w:t>
      </w:r>
      <w:r w:rsidRPr="00504092">
        <w:rPr>
          <w:i/>
          <w:sz w:val="20"/>
          <w:szCs w:val="18"/>
        </w:rPr>
        <w:t>Miller</w:t>
      </w:r>
      <w:r w:rsidRPr="00504092">
        <w:rPr>
          <w:sz w:val="20"/>
          <w:szCs w:val="18"/>
        </w:rPr>
        <w:t>, 132 S. Ct. 2455.</w:t>
      </w:r>
    </w:p>
  </w:footnote>
  <w:footnote w:id="17">
    <w:p w:rsidR="007F2D73" w:rsidRPr="00504092" w:rsidRDefault="007F2D73" w:rsidP="00B71F18">
      <w:pPr>
        <w:pStyle w:val="FootnoteText"/>
        <w:rPr>
          <w:sz w:val="20"/>
          <w:szCs w:val="18"/>
        </w:rPr>
      </w:pPr>
      <w:r w:rsidRPr="00504092">
        <w:rPr>
          <w:rStyle w:val="FootnoteReference"/>
          <w:sz w:val="20"/>
          <w:szCs w:val="18"/>
        </w:rPr>
        <w:footnoteRef/>
      </w:r>
      <w:r w:rsidRPr="00504092">
        <w:rPr>
          <w:sz w:val="20"/>
          <w:szCs w:val="18"/>
        </w:rPr>
        <w:t xml:space="preserve"> </w:t>
      </w:r>
      <w:r w:rsidRPr="00504092">
        <w:rPr>
          <w:i/>
          <w:sz w:val="20"/>
          <w:szCs w:val="18"/>
        </w:rPr>
        <w:t>See</w:t>
      </w:r>
      <w:r w:rsidRPr="00504092">
        <w:rPr>
          <w:sz w:val="20"/>
          <w:szCs w:val="18"/>
        </w:rPr>
        <w:t xml:space="preserve"> Michigan v. Carp, No. 307758, slip op. (Mich. Nov. 15, 2012) (wherein the Michigan Supreme Court held that </w:t>
      </w:r>
      <w:r w:rsidRPr="00504092">
        <w:rPr>
          <w:i/>
          <w:sz w:val="20"/>
          <w:szCs w:val="18"/>
        </w:rPr>
        <w:t>Miller</w:t>
      </w:r>
      <w:r w:rsidRPr="00504092">
        <w:rPr>
          <w:sz w:val="20"/>
          <w:szCs w:val="18"/>
        </w:rPr>
        <w:t xml:space="preserve"> does not apply retroactively and thus has no effect on existing juvenile life without parole sentences).</w:t>
      </w:r>
    </w:p>
  </w:footnote>
  <w:footnote w:id="18">
    <w:p w:rsidR="007F2D73" w:rsidRPr="0077697A" w:rsidRDefault="007F2D73" w:rsidP="00B71F18">
      <w:pPr>
        <w:pStyle w:val="FootnoteText"/>
        <w:rPr>
          <w:sz w:val="18"/>
          <w:szCs w:val="18"/>
        </w:rPr>
      </w:pPr>
      <w:r w:rsidRPr="00504092">
        <w:rPr>
          <w:rStyle w:val="FootnoteReference"/>
          <w:sz w:val="20"/>
          <w:szCs w:val="18"/>
        </w:rPr>
        <w:footnoteRef/>
      </w:r>
      <w:r w:rsidRPr="00504092">
        <w:rPr>
          <w:sz w:val="20"/>
          <w:szCs w:val="18"/>
        </w:rPr>
        <w:t xml:space="preserve"> </w:t>
      </w:r>
      <w:proofErr w:type="gramStart"/>
      <w:r w:rsidRPr="00504092">
        <w:rPr>
          <w:smallCaps/>
          <w:sz w:val="20"/>
          <w:szCs w:val="18"/>
        </w:rPr>
        <w:t>Cruel and Unusual</w:t>
      </w:r>
      <w:r w:rsidRPr="00504092">
        <w:rPr>
          <w:sz w:val="20"/>
          <w:szCs w:val="18"/>
        </w:rPr>
        <w:t xml:space="preserve"> 7.</w:t>
      </w:r>
      <w:proofErr w:type="gramEnd"/>
    </w:p>
  </w:footnote>
  <w:footnote w:id="19">
    <w:p w:rsidR="007F2D73" w:rsidRPr="00504092" w:rsidRDefault="007F2D73" w:rsidP="00B71F18">
      <w:pPr>
        <w:pStyle w:val="FootnoteText"/>
        <w:rPr>
          <w:sz w:val="20"/>
          <w:szCs w:val="18"/>
        </w:rPr>
      </w:pPr>
      <w:r w:rsidRPr="00504092">
        <w:rPr>
          <w:rStyle w:val="FootnoteReference"/>
          <w:sz w:val="20"/>
          <w:szCs w:val="18"/>
        </w:rPr>
        <w:footnoteRef/>
      </w:r>
      <w:r w:rsidRPr="00504092">
        <w:rPr>
          <w:sz w:val="20"/>
          <w:szCs w:val="18"/>
        </w:rPr>
        <w:t xml:space="preserve"> </w:t>
      </w:r>
      <w:r w:rsidRPr="00504092">
        <w:rPr>
          <w:i/>
          <w:sz w:val="20"/>
          <w:szCs w:val="18"/>
        </w:rPr>
        <w:t xml:space="preserve">See </w:t>
      </w:r>
      <w:r w:rsidRPr="00504092">
        <w:rPr>
          <w:smallCaps/>
          <w:sz w:val="20"/>
          <w:szCs w:val="18"/>
        </w:rPr>
        <w:t>Cruel and Unusual</w:t>
      </w:r>
      <w:r w:rsidRPr="00504092">
        <w:rPr>
          <w:sz w:val="20"/>
          <w:szCs w:val="18"/>
        </w:rPr>
        <w:t xml:space="preserve"> at 60 (describing the case of Bobby </w:t>
      </w:r>
      <w:proofErr w:type="spellStart"/>
      <w:r w:rsidRPr="00504092">
        <w:rPr>
          <w:sz w:val="20"/>
          <w:szCs w:val="18"/>
        </w:rPr>
        <w:t>Bostick</w:t>
      </w:r>
      <w:proofErr w:type="spellEnd"/>
      <w:r w:rsidRPr="00504092">
        <w:rPr>
          <w:sz w:val="20"/>
          <w:szCs w:val="18"/>
        </w:rPr>
        <w:t xml:space="preserve"> who was sentenced to 241 years in prison).  </w:t>
      </w:r>
      <w:r w:rsidRPr="00504092">
        <w:rPr>
          <w:i/>
          <w:sz w:val="20"/>
          <w:szCs w:val="18"/>
        </w:rPr>
        <w:t>But see</w:t>
      </w:r>
      <w:r w:rsidRPr="00504092">
        <w:rPr>
          <w:sz w:val="20"/>
          <w:szCs w:val="18"/>
        </w:rPr>
        <w:t xml:space="preserve"> People v. </w:t>
      </w:r>
      <w:proofErr w:type="spellStart"/>
      <w:r w:rsidRPr="00504092">
        <w:rPr>
          <w:sz w:val="20"/>
          <w:szCs w:val="18"/>
        </w:rPr>
        <w:t>Argeta</w:t>
      </w:r>
      <w:proofErr w:type="spellEnd"/>
      <w:r w:rsidRPr="00504092">
        <w:rPr>
          <w:sz w:val="20"/>
          <w:szCs w:val="18"/>
        </w:rPr>
        <w:t xml:space="preserve">, No. TA103939, slip op. (L.A. </w:t>
      </w:r>
      <w:proofErr w:type="spellStart"/>
      <w:r w:rsidRPr="00504092">
        <w:rPr>
          <w:sz w:val="20"/>
          <w:szCs w:val="18"/>
        </w:rPr>
        <w:t>Cnty</w:t>
      </w:r>
      <w:proofErr w:type="spellEnd"/>
      <w:r w:rsidRPr="00504092">
        <w:rPr>
          <w:sz w:val="20"/>
          <w:szCs w:val="18"/>
        </w:rPr>
        <w:t xml:space="preserve">. Ct. Nov. 13, 2012) (holding that a 100 year sentence handed down to a 15 year old offender is de facto juvenile life without parole under </w:t>
      </w:r>
      <w:r w:rsidRPr="00504092">
        <w:rPr>
          <w:i/>
          <w:sz w:val="20"/>
          <w:szCs w:val="18"/>
        </w:rPr>
        <w:t>Miller</w:t>
      </w:r>
      <w:r w:rsidRPr="00504092">
        <w:rPr>
          <w:sz w:val="20"/>
          <w:szCs w:val="18"/>
        </w:rPr>
        <w:t>).</w:t>
      </w:r>
    </w:p>
  </w:footnote>
  <w:footnote w:id="20">
    <w:p w:rsidR="007F2D73" w:rsidRPr="00AE6338" w:rsidRDefault="007F2D73" w:rsidP="00B71F18">
      <w:pPr>
        <w:pStyle w:val="FootnoteText"/>
        <w:rPr>
          <w:sz w:val="18"/>
          <w:szCs w:val="18"/>
        </w:rPr>
      </w:pPr>
      <w:r w:rsidRPr="00580FF5">
        <w:rPr>
          <w:rStyle w:val="FootnoteReference"/>
          <w:sz w:val="20"/>
          <w:szCs w:val="18"/>
        </w:rPr>
        <w:footnoteRef/>
      </w:r>
      <w:r w:rsidRPr="00580FF5">
        <w:rPr>
          <w:sz w:val="20"/>
          <w:szCs w:val="18"/>
        </w:rPr>
        <w:t xml:space="preserve"> David O. Brink, </w:t>
      </w:r>
      <w:r w:rsidRPr="00580FF5">
        <w:rPr>
          <w:i/>
          <w:sz w:val="20"/>
          <w:szCs w:val="18"/>
        </w:rPr>
        <w:t xml:space="preserve">Immaturity, Normative Competence, and Juvenile Transfer: How (Not) To Punish Minors for Major Crimes, </w:t>
      </w:r>
      <w:r w:rsidRPr="00580FF5">
        <w:rPr>
          <w:sz w:val="20"/>
          <w:szCs w:val="18"/>
        </w:rPr>
        <w:t>82 TXLR 1555, 1563 (May 2004).</w:t>
      </w:r>
    </w:p>
  </w:footnote>
  <w:footnote w:id="21">
    <w:p w:rsidR="007F2D73" w:rsidRPr="00504092" w:rsidRDefault="007F2D73" w:rsidP="00B71F18">
      <w:pPr>
        <w:pStyle w:val="FootnoteText"/>
        <w:rPr>
          <w:sz w:val="20"/>
          <w:szCs w:val="18"/>
        </w:rPr>
      </w:pPr>
      <w:r w:rsidRPr="00504092">
        <w:rPr>
          <w:rStyle w:val="FootnoteReference"/>
          <w:sz w:val="20"/>
          <w:szCs w:val="18"/>
        </w:rPr>
        <w:footnoteRef/>
      </w:r>
      <w:r w:rsidRPr="00504092">
        <w:rPr>
          <w:sz w:val="20"/>
          <w:szCs w:val="18"/>
        </w:rPr>
        <w:t xml:space="preserve"> Ellen </w:t>
      </w:r>
      <w:proofErr w:type="spellStart"/>
      <w:r w:rsidRPr="00504092">
        <w:rPr>
          <w:sz w:val="20"/>
          <w:szCs w:val="18"/>
        </w:rPr>
        <w:t>Marrus</w:t>
      </w:r>
      <w:proofErr w:type="spellEnd"/>
      <w:r w:rsidRPr="00504092">
        <w:rPr>
          <w:sz w:val="20"/>
          <w:szCs w:val="18"/>
        </w:rPr>
        <w:t xml:space="preserve"> and Irene </w:t>
      </w:r>
      <w:proofErr w:type="spellStart"/>
      <w:r w:rsidRPr="00504092">
        <w:rPr>
          <w:sz w:val="20"/>
          <w:szCs w:val="18"/>
        </w:rPr>
        <w:t>Merker</w:t>
      </w:r>
      <w:proofErr w:type="spellEnd"/>
      <w:r w:rsidRPr="00504092">
        <w:rPr>
          <w:sz w:val="20"/>
          <w:szCs w:val="18"/>
        </w:rPr>
        <w:t xml:space="preserve"> Rosenberg, </w:t>
      </w:r>
      <w:r w:rsidRPr="00504092">
        <w:rPr>
          <w:i/>
          <w:sz w:val="20"/>
          <w:szCs w:val="18"/>
        </w:rPr>
        <w:t>After Roper v. Simmons: Keeping Kids Out of Adult Criminal Court</w:t>
      </w:r>
      <w:r w:rsidRPr="00504092">
        <w:rPr>
          <w:sz w:val="20"/>
          <w:szCs w:val="18"/>
        </w:rPr>
        <w:t xml:space="preserve">, 42 San Diego L. Rev. 1151, 1175 (Fall 2005). </w:t>
      </w:r>
    </w:p>
  </w:footnote>
  <w:footnote w:id="22">
    <w:p w:rsidR="007F2D73" w:rsidRPr="00504092" w:rsidRDefault="007F2D73" w:rsidP="00B71F18">
      <w:pPr>
        <w:pStyle w:val="FootnoteText"/>
        <w:rPr>
          <w:sz w:val="20"/>
          <w:szCs w:val="18"/>
        </w:rPr>
      </w:pPr>
      <w:r w:rsidRPr="00504092">
        <w:rPr>
          <w:rStyle w:val="FootnoteReference"/>
          <w:sz w:val="20"/>
          <w:szCs w:val="18"/>
        </w:rPr>
        <w:footnoteRef/>
      </w:r>
      <w:r w:rsidRPr="00504092">
        <w:rPr>
          <w:sz w:val="20"/>
          <w:szCs w:val="18"/>
        </w:rPr>
        <w:t xml:space="preserve"> Ellen </w:t>
      </w:r>
      <w:proofErr w:type="spellStart"/>
      <w:r w:rsidRPr="00504092">
        <w:rPr>
          <w:sz w:val="20"/>
          <w:szCs w:val="18"/>
        </w:rPr>
        <w:t>Marrus</w:t>
      </w:r>
      <w:proofErr w:type="spellEnd"/>
      <w:r w:rsidRPr="00504092">
        <w:rPr>
          <w:sz w:val="20"/>
          <w:szCs w:val="18"/>
        </w:rPr>
        <w:t xml:space="preserve"> and Irene </w:t>
      </w:r>
      <w:proofErr w:type="spellStart"/>
      <w:r w:rsidRPr="00504092">
        <w:rPr>
          <w:sz w:val="20"/>
          <w:szCs w:val="18"/>
        </w:rPr>
        <w:t>Merker</w:t>
      </w:r>
      <w:proofErr w:type="spellEnd"/>
      <w:r w:rsidRPr="00504092">
        <w:rPr>
          <w:sz w:val="20"/>
          <w:szCs w:val="18"/>
        </w:rPr>
        <w:t xml:space="preserve"> Rosenberg, </w:t>
      </w:r>
      <w:r w:rsidRPr="00504092">
        <w:rPr>
          <w:i/>
          <w:sz w:val="20"/>
          <w:szCs w:val="18"/>
        </w:rPr>
        <w:t>After Roper v. Simmons: Keeping Kids Out of Adult Criminal Court</w:t>
      </w:r>
      <w:r w:rsidRPr="00504092">
        <w:rPr>
          <w:sz w:val="20"/>
          <w:szCs w:val="18"/>
        </w:rPr>
        <w:t>, 42 San Diego L. Rev. 1151, 1176 (Fall 2005).</w:t>
      </w:r>
    </w:p>
  </w:footnote>
  <w:footnote w:id="23">
    <w:p w:rsidR="007F2D73" w:rsidRPr="00504092" w:rsidRDefault="007F2D73" w:rsidP="00B71F18">
      <w:pPr>
        <w:pStyle w:val="FootnoteText"/>
        <w:rPr>
          <w:sz w:val="20"/>
          <w:szCs w:val="18"/>
        </w:rPr>
      </w:pPr>
      <w:r w:rsidRPr="00504092">
        <w:rPr>
          <w:rStyle w:val="FootnoteReference"/>
          <w:sz w:val="20"/>
          <w:szCs w:val="18"/>
        </w:rPr>
        <w:footnoteRef/>
      </w:r>
      <w:r w:rsidRPr="00504092">
        <w:rPr>
          <w:sz w:val="20"/>
          <w:szCs w:val="18"/>
        </w:rPr>
        <w:t xml:space="preserve"> Ellen </w:t>
      </w:r>
      <w:proofErr w:type="spellStart"/>
      <w:r w:rsidRPr="00504092">
        <w:rPr>
          <w:sz w:val="20"/>
          <w:szCs w:val="18"/>
        </w:rPr>
        <w:t>Marrus</w:t>
      </w:r>
      <w:proofErr w:type="spellEnd"/>
      <w:r w:rsidRPr="00504092">
        <w:rPr>
          <w:sz w:val="20"/>
          <w:szCs w:val="18"/>
        </w:rPr>
        <w:t xml:space="preserve"> and Irene </w:t>
      </w:r>
      <w:proofErr w:type="spellStart"/>
      <w:r w:rsidRPr="00504092">
        <w:rPr>
          <w:sz w:val="20"/>
          <w:szCs w:val="18"/>
        </w:rPr>
        <w:t>Merker</w:t>
      </w:r>
      <w:proofErr w:type="spellEnd"/>
      <w:r w:rsidRPr="00504092">
        <w:rPr>
          <w:sz w:val="20"/>
          <w:szCs w:val="18"/>
        </w:rPr>
        <w:t xml:space="preserve"> Rosenberg, </w:t>
      </w:r>
      <w:r w:rsidRPr="00504092">
        <w:rPr>
          <w:i/>
          <w:sz w:val="20"/>
          <w:szCs w:val="18"/>
        </w:rPr>
        <w:t>After Roper v. Simmons: Keeping Kids Out of Adult Criminal Court</w:t>
      </w:r>
      <w:r w:rsidRPr="00504092">
        <w:rPr>
          <w:sz w:val="20"/>
          <w:szCs w:val="18"/>
        </w:rPr>
        <w:t>, 42 San Diego L. Rev. 1151, 1177 (Fall 2005).</w:t>
      </w:r>
    </w:p>
  </w:footnote>
  <w:footnote w:id="24">
    <w:p w:rsidR="007F2D73" w:rsidRPr="00504092" w:rsidRDefault="007F2D73" w:rsidP="00B71F18">
      <w:pPr>
        <w:pStyle w:val="FootnoteText"/>
        <w:rPr>
          <w:sz w:val="20"/>
          <w:szCs w:val="18"/>
        </w:rPr>
      </w:pPr>
      <w:r w:rsidRPr="00504092">
        <w:rPr>
          <w:rStyle w:val="FootnoteReference"/>
          <w:sz w:val="20"/>
          <w:szCs w:val="18"/>
        </w:rPr>
        <w:footnoteRef/>
      </w:r>
      <w:r w:rsidRPr="00504092">
        <w:rPr>
          <w:sz w:val="20"/>
          <w:szCs w:val="18"/>
        </w:rPr>
        <w:t xml:space="preserve"> David O. Brink, </w:t>
      </w:r>
      <w:r w:rsidRPr="00504092">
        <w:rPr>
          <w:i/>
          <w:sz w:val="20"/>
          <w:szCs w:val="18"/>
        </w:rPr>
        <w:t xml:space="preserve">Immaturity, Normative Competence, and Juvenile Transfer: How (Not) To Punish Minors for Major Crimes, </w:t>
      </w:r>
      <w:r w:rsidRPr="00504092">
        <w:rPr>
          <w:sz w:val="20"/>
          <w:szCs w:val="18"/>
        </w:rPr>
        <w:t>82 TXLR 1555, 1563 (May 2004).</w:t>
      </w:r>
    </w:p>
  </w:footnote>
  <w:footnote w:id="25">
    <w:p w:rsidR="007F2D73" w:rsidRPr="00504092" w:rsidRDefault="007F2D73" w:rsidP="00B71F18">
      <w:pPr>
        <w:pStyle w:val="FootnoteText"/>
        <w:rPr>
          <w:sz w:val="20"/>
          <w:szCs w:val="18"/>
        </w:rPr>
      </w:pPr>
      <w:r w:rsidRPr="00504092">
        <w:rPr>
          <w:rStyle w:val="FootnoteReference"/>
          <w:sz w:val="20"/>
          <w:szCs w:val="18"/>
        </w:rPr>
        <w:footnoteRef/>
      </w:r>
      <w:r w:rsidRPr="00504092">
        <w:rPr>
          <w:sz w:val="20"/>
          <w:szCs w:val="18"/>
        </w:rPr>
        <w:t xml:space="preserve"> </w:t>
      </w:r>
      <w:r w:rsidRPr="00504092">
        <w:rPr>
          <w:i/>
          <w:sz w:val="20"/>
          <w:szCs w:val="18"/>
        </w:rPr>
        <w:t xml:space="preserve">Id. </w:t>
      </w:r>
    </w:p>
  </w:footnote>
  <w:footnote w:id="26">
    <w:p w:rsidR="007F2D73" w:rsidRPr="00504092" w:rsidRDefault="007F2D73" w:rsidP="00B71F18">
      <w:pPr>
        <w:pStyle w:val="FootnoteText"/>
        <w:rPr>
          <w:sz w:val="20"/>
        </w:rPr>
      </w:pPr>
      <w:r w:rsidRPr="00504092">
        <w:rPr>
          <w:rStyle w:val="FootnoteCharacters"/>
          <w:sz w:val="20"/>
        </w:rPr>
        <w:footnoteRef/>
      </w:r>
      <w:r w:rsidRPr="00504092">
        <w:rPr>
          <w:sz w:val="20"/>
        </w:rPr>
        <w:t xml:space="preserve"> The 1962 Model Penal Code originally rejected the idea of life without parole sentences, stating “persons convicted of murder but not sentenced to death are subject to imprisonment for a maximum term of life and a minimum term of not more than ten years. This resolution reflects the judgment that supervised release after a period of confinement is altogether appropriate for some convicted murderers, even though incarceration for the prisoner’s lifetime may be required in other instances.” </w:t>
      </w:r>
      <w:r w:rsidRPr="00504092">
        <w:rPr>
          <w:smallCaps/>
          <w:sz w:val="20"/>
        </w:rPr>
        <w:t>Model Penal Code and Commentaries</w:t>
      </w:r>
      <w:r w:rsidRPr="00504092">
        <w:rPr>
          <w:sz w:val="20"/>
        </w:rPr>
        <w:t xml:space="preserve">, Part II, §§ 210.0 to 213.6, § 210.6 </w:t>
      </w:r>
      <w:proofErr w:type="spellStart"/>
      <w:r w:rsidRPr="00504092">
        <w:rPr>
          <w:sz w:val="20"/>
        </w:rPr>
        <w:t>cmt</w:t>
      </w:r>
      <w:proofErr w:type="spellEnd"/>
      <w:r w:rsidRPr="00504092">
        <w:rPr>
          <w:sz w:val="20"/>
        </w:rPr>
        <w:t xml:space="preserve">. </w:t>
      </w:r>
      <w:proofErr w:type="gramStart"/>
      <w:r w:rsidRPr="00504092">
        <w:rPr>
          <w:sz w:val="20"/>
        </w:rPr>
        <w:t>10 at 152 (1980).</w:t>
      </w:r>
      <w:proofErr w:type="gramEnd"/>
    </w:p>
  </w:footnote>
  <w:footnote w:id="27">
    <w:p w:rsidR="007F2D73" w:rsidRPr="00504092" w:rsidRDefault="007F2D73" w:rsidP="00B71F18">
      <w:pPr>
        <w:pStyle w:val="FootnoteText"/>
        <w:rPr>
          <w:sz w:val="20"/>
        </w:rPr>
      </w:pPr>
      <w:r w:rsidRPr="00504092">
        <w:rPr>
          <w:rStyle w:val="FootnoteCharacters"/>
          <w:sz w:val="20"/>
        </w:rPr>
        <w:footnoteRef/>
      </w:r>
      <w:r w:rsidRPr="00504092">
        <w:rPr>
          <w:sz w:val="20"/>
        </w:rPr>
        <w:t xml:space="preserve"> </w:t>
      </w:r>
      <w:r w:rsidRPr="00504092">
        <w:rPr>
          <w:smallCaps/>
          <w:sz w:val="20"/>
        </w:rPr>
        <w:t xml:space="preserve">Ashley </w:t>
      </w:r>
      <w:proofErr w:type="spellStart"/>
      <w:r w:rsidRPr="00504092">
        <w:rPr>
          <w:smallCaps/>
          <w:sz w:val="20"/>
        </w:rPr>
        <w:t>Nellis</w:t>
      </w:r>
      <w:proofErr w:type="spellEnd"/>
      <w:r w:rsidRPr="00504092">
        <w:rPr>
          <w:smallCaps/>
          <w:sz w:val="20"/>
        </w:rPr>
        <w:t xml:space="preserve"> &amp; Ryan S. King</w:t>
      </w:r>
      <w:r w:rsidRPr="00504092">
        <w:rPr>
          <w:sz w:val="20"/>
        </w:rPr>
        <w:t xml:space="preserve">, </w:t>
      </w:r>
      <w:r w:rsidRPr="00504092">
        <w:rPr>
          <w:smallCaps/>
          <w:sz w:val="20"/>
        </w:rPr>
        <w:t>The Sentencing Project</w:t>
      </w:r>
      <w:proofErr w:type="gramStart"/>
      <w:r w:rsidRPr="00504092">
        <w:rPr>
          <w:smallCaps/>
          <w:sz w:val="20"/>
        </w:rPr>
        <w:t xml:space="preserve">, </w:t>
      </w:r>
      <w:r w:rsidRPr="00504092">
        <w:rPr>
          <w:i/>
          <w:iCs/>
          <w:sz w:val="20"/>
        </w:rPr>
        <w:t xml:space="preserve"> </w:t>
      </w:r>
      <w:r w:rsidRPr="00504092">
        <w:rPr>
          <w:iCs/>
          <w:smallCaps/>
          <w:sz w:val="20"/>
        </w:rPr>
        <w:t>No</w:t>
      </w:r>
      <w:proofErr w:type="gramEnd"/>
      <w:r w:rsidRPr="00504092">
        <w:rPr>
          <w:iCs/>
          <w:smallCaps/>
          <w:sz w:val="20"/>
        </w:rPr>
        <w:t xml:space="preserve"> Exit: The Expanding Use of Life Sentences in America</w:t>
      </w:r>
      <w:r w:rsidRPr="00504092">
        <w:rPr>
          <w:sz w:val="20"/>
        </w:rPr>
        <w:t>, (2009) (this 41,000 figure also includes roughly 2,000 juveniles sentenced to LWOP).</w:t>
      </w:r>
    </w:p>
  </w:footnote>
  <w:footnote w:id="28">
    <w:p w:rsidR="007F2D73" w:rsidRPr="00504092" w:rsidRDefault="007F2D73" w:rsidP="00B71F18">
      <w:pPr>
        <w:pStyle w:val="FootnoteText"/>
        <w:rPr>
          <w:sz w:val="20"/>
        </w:rPr>
      </w:pPr>
      <w:r w:rsidRPr="00504092">
        <w:rPr>
          <w:rStyle w:val="FootnoteCharacters"/>
          <w:sz w:val="20"/>
        </w:rPr>
        <w:footnoteRef/>
      </w:r>
      <w:r w:rsidRPr="00504092">
        <w:rPr>
          <w:sz w:val="20"/>
        </w:rPr>
        <w:t xml:space="preserve"> </w:t>
      </w:r>
      <w:proofErr w:type="spellStart"/>
      <w:r w:rsidRPr="00504092">
        <w:rPr>
          <w:sz w:val="20"/>
        </w:rPr>
        <w:t>Nellis</w:t>
      </w:r>
      <w:proofErr w:type="spellEnd"/>
      <w:r w:rsidRPr="00504092">
        <w:rPr>
          <w:sz w:val="20"/>
        </w:rPr>
        <w:t xml:space="preserve">, </w:t>
      </w:r>
      <w:r w:rsidRPr="00504092">
        <w:rPr>
          <w:i/>
          <w:sz w:val="20"/>
        </w:rPr>
        <w:t>Throwing Away the Key: The Expansion of Life Without Parole Sentences in the United States</w:t>
      </w:r>
      <w:r w:rsidRPr="00504092">
        <w:rPr>
          <w:sz w:val="20"/>
        </w:rPr>
        <w:t>, at 27.</w:t>
      </w:r>
    </w:p>
  </w:footnote>
  <w:footnote w:id="29">
    <w:p w:rsidR="007F2D73" w:rsidRPr="00504092" w:rsidRDefault="007F2D73" w:rsidP="00B71F18">
      <w:pPr>
        <w:pStyle w:val="FootnoteText"/>
        <w:rPr>
          <w:sz w:val="20"/>
        </w:rPr>
      </w:pPr>
      <w:r w:rsidRPr="00504092">
        <w:rPr>
          <w:rStyle w:val="FootnoteCharacters"/>
          <w:sz w:val="20"/>
        </w:rPr>
        <w:footnoteRef/>
      </w:r>
      <w:r w:rsidRPr="00504092">
        <w:rPr>
          <w:sz w:val="20"/>
        </w:rPr>
        <w:t xml:space="preserve"> In Georgia, one of the few states with good data on LWOP, 60% of people serving LWOP were convicted of murder. The remaining 40% were convicted of other offenses. Op-Ed., </w:t>
      </w:r>
      <w:proofErr w:type="gramStart"/>
      <w:r w:rsidRPr="00504092">
        <w:rPr>
          <w:i/>
          <w:iCs/>
          <w:sz w:val="20"/>
        </w:rPr>
        <w:t>The</w:t>
      </w:r>
      <w:proofErr w:type="gramEnd"/>
      <w:r w:rsidRPr="00504092">
        <w:rPr>
          <w:i/>
          <w:iCs/>
          <w:sz w:val="20"/>
        </w:rPr>
        <w:t xml:space="preserve"> Misuse of Life Without Parole</w:t>
      </w:r>
      <w:r w:rsidRPr="00504092">
        <w:rPr>
          <w:sz w:val="20"/>
        </w:rPr>
        <w:t xml:space="preserve">, </w:t>
      </w:r>
      <w:r w:rsidRPr="00504092">
        <w:rPr>
          <w:smallCaps/>
          <w:sz w:val="20"/>
        </w:rPr>
        <w:t>N.Y. Times</w:t>
      </w:r>
      <w:r w:rsidRPr="00504092">
        <w:rPr>
          <w:sz w:val="20"/>
        </w:rPr>
        <w:t>, Sept. 12, 2011 at A30.</w:t>
      </w:r>
    </w:p>
  </w:footnote>
  <w:footnote w:id="30">
    <w:p w:rsidR="007F2D73" w:rsidRPr="00504092" w:rsidRDefault="007F2D73" w:rsidP="00B71F18">
      <w:pPr>
        <w:pStyle w:val="FootnoteText"/>
        <w:rPr>
          <w:sz w:val="20"/>
        </w:rPr>
      </w:pPr>
      <w:r w:rsidRPr="00504092">
        <w:rPr>
          <w:rStyle w:val="FootnoteCharacters"/>
          <w:sz w:val="20"/>
        </w:rPr>
        <w:footnoteRef/>
      </w:r>
      <w:r w:rsidRPr="00504092">
        <w:rPr>
          <w:sz w:val="20"/>
        </w:rPr>
        <w:t xml:space="preserve"> </w:t>
      </w:r>
      <w:proofErr w:type="spellStart"/>
      <w:r w:rsidRPr="00504092">
        <w:rPr>
          <w:sz w:val="20"/>
        </w:rPr>
        <w:t>Nellis</w:t>
      </w:r>
      <w:proofErr w:type="spellEnd"/>
      <w:r w:rsidRPr="00504092">
        <w:rPr>
          <w:sz w:val="20"/>
        </w:rPr>
        <w:t xml:space="preserve">, </w:t>
      </w:r>
      <w:r w:rsidRPr="00504092">
        <w:rPr>
          <w:i/>
          <w:sz w:val="20"/>
        </w:rPr>
        <w:t>Throwing Away the Key: The Expansion of Life Without Parole Sentences in the United States</w:t>
      </w:r>
      <w:r w:rsidRPr="00504092">
        <w:rPr>
          <w:sz w:val="20"/>
        </w:rPr>
        <w:t>, at 27.</w:t>
      </w:r>
    </w:p>
  </w:footnote>
  <w:footnote w:id="31">
    <w:p w:rsidR="006E773C" w:rsidRPr="008C7A8F" w:rsidRDefault="006E773C" w:rsidP="006E773C">
      <w:pPr>
        <w:pStyle w:val="FootnoteText"/>
        <w:rPr>
          <w:sz w:val="20"/>
        </w:rPr>
      </w:pPr>
      <w:r w:rsidRPr="008C7A8F">
        <w:rPr>
          <w:rStyle w:val="FootnoteReference"/>
          <w:sz w:val="20"/>
        </w:rPr>
        <w:footnoteRef/>
      </w:r>
      <w:r w:rsidRPr="008C7A8F">
        <w:rPr>
          <w:sz w:val="20"/>
        </w:rPr>
        <w:t xml:space="preserve"> </w:t>
      </w:r>
      <w:r w:rsidRPr="008C7A8F">
        <w:rPr>
          <w:sz w:val="20"/>
          <w:szCs w:val="22"/>
        </w:rPr>
        <w:t xml:space="preserve">HRC, </w:t>
      </w:r>
      <w:r w:rsidRPr="008C7A8F">
        <w:rPr>
          <w:i/>
          <w:sz w:val="20"/>
          <w:szCs w:val="22"/>
        </w:rPr>
        <w:t>Consideration of reports submitted by States parties under article 40 of the Covenant: International Covenant on Civil and Political Rights: Concluding Observations of the Human Rights Committee: United States of America</w:t>
      </w:r>
      <w:r w:rsidRPr="008C7A8F">
        <w:rPr>
          <w:sz w:val="20"/>
          <w:szCs w:val="22"/>
        </w:rPr>
        <w:t xml:space="preserve"> ¶ 23, U.N. Doc. CCPR/C/USA/CO/3/Rev.1 (Dec. 18, 2006).</w:t>
      </w:r>
    </w:p>
  </w:footnote>
  <w:footnote w:id="32">
    <w:p w:rsidR="000D5A8F" w:rsidRPr="008C7A8F" w:rsidRDefault="000D5A8F" w:rsidP="000D5A8F">
      <w:pPr>
        <w:pStyle w:val="FootnoteText"/>
        <w:rPr>
          <w:sz w:val="20"/>
        </w:rPr>
      </w:pPr>
      <w:r w:rsidRPr="008C7A8F">
        <w:rPr>
          <w:rStyle w:val="FootnoteReference"/>
          <w:sz w:val="20"/>
        </w:rPr>
        <w:footnoteRef/>
      </w:r>
      <w:r w:rsidRPr="008C7A8F">
        <w:rPr>
          <w:sz w:val="20"/>
        </w:rPr>
        <w:t xml:space="preserve"> </w:t>
      </w:r>
      <w:r w:rsidRPr="008C7A8F">
        <w:rPr>
          <w:sz w:val="20"/>
          <w:szCs w:val="22"/>
        </w:rPr>
        <w:t xml:space="preserve">For information on recent demographics on race in the United States related to income, education, and employment, </w:t>
      </w:r>
      <w:r w:rsidRPr="008C7A8F">
        <w:rPr>
          <w:i/>
          <w:sz w:val="20"/>
          <w:szCs w:val="22"/>
        </w:rPr>
        <w:t xml:space="preserve">see, </w:t>
      </w:r>
      <w:r w:rsidRPr="008C7A8F">
        <w:rPr>
          <w:sz w:val="20"/>
          <w:szCs w:val="22"/>
        </w:rPr>
        <w:t xml:space="preserve">Connie de la Vega, </w:t>
      </w:r>
      <w:r w:rsidRPr="008C7A8F">
        <w:rPr>
          <w:i/>
          <w:sz w:val="20"/>
          <w:szCs w:val="22"/>
        </w:rPr>
        <w:t>The Special Measures Mandate of the International Convention on the Elimination of All Forms of Racial Discrimination: Lessons from the United States and South Africa,</w:t>
      </w:r>
      <w:r w:rsidRPr="008C7A8F">
        <w:rPr>
          <w:sz w:val="20"/>
          <w:szCs w:val="22"/>
        </w:rPr>
        <w:t xml:space="preserve"> 16 ILSA J. Int’l and Comp. L. 627, 644-51(Eng.) 751-805 (Spa.) (2010).</w:t>
      </w:r>
    </w:p>
  </w:footnote>
  <w:footnote w:id="33">
    <w:p w:rsidR="000D5A8F" w:rsidRPr="008C7A8F" w:rsidRDefault="000D5A8F" w:rsidP="000D5A8F">
      <w:pPr>
        <w:pStyle w:val="FootnoteText"/>
        <w:rPr>
          <w:sz w:val="20"/>
        </w:rPr>
      </w:pPr>
      <w:r w:rsidRPr="008C7A8F">
        <w:rPr>
          <w:rStyle w:val="FootnoteReference"/>
          <w:sz w:val="20"/>
        </w:rPr>
        <w:footnoteRef/>
      </w:r>
      <w:r w:rsidRPr="008C7A8F">
        <w:rPr>
          <w:sz w:val="20"/>
        </w:rPr>
        <w:t xml:space="preserve"> </w:t>
      </w:r>
      <w:proofErr w:type="spellStart"/>
      <w:proofErr w:type="gramStart"/>
      <w:r w:rsidRPr="008C7A8F">
        <w:rPr>
          <w:i/>
          <w:sz w:val="20"/>
          <w:szCs w:val="22"/>
        </w:rPr>
        <w:t>Grutter</w:t>
      </w:r>
      <w:proofErr w:type="spellEnd"/>
      <w:r w:rsidRPr="008C7A8F">
        <w:rPr>
          <w:i/>
          <w:sz w:val="20"/>
          <w:szCs w:val="22"/>
        </w:rPr>
        <w:t xml:space="preserve"> v. Bollinger</w:t>
      </w:r>
      <w:r w:rsidRPr="008C7A8F">
        <w:rPr>
          <w:sz w:val="20"/>
          <w:szCs w:val="22"/>
        </w:rPr>
        <w:t>, 539 U.S. 306 (2003).</w:t>
      </w:r>
      <w:proofErr w:type="gramEnd"/>
    </w:p>
  </w:footnote>
  <w:footnote w:id="34">
    <w:p w:rsidR="000D5A8F" w:rsidRPr="008C7A8F" w:rsidRDefault="000D5A8F" w:rsidP="000D5A8F">
      <w:pPr>
        <w:pStyle w:val="FootnoteText"/>
        <w:rPr>
          <w:sz w:val="20"/>
        </w:rPr>
      </w:pPr>
      <w:r w:rsidRPr="008C7A8F">
        <w:rPr>
          <w:rStyle w:val="FootnoteReference"/>
          <w:sz w:val="20"/>
        </w:rPr>
        <w:footnoteRef/>
      </w:r>
      <w:r w:rsidRPr="008C7A8F">
        <w:rPr>
          <w:sz w:val="20"/>
        </w:rPr>
        <w:t xml:space="preserve"> </w:t>
      </w:r>
      <w:proofErr w:type="gramStart"/>
      <w:r w:rsidRPr="008C7A8F">
        <w:rPr>
          <w:i/>
          <w:sz w:val="20"/>
          <w:szCs w:val="22"/>
        </w:rPr>
        <w:t>Id.</w:t>
      </w:r>
      <w:r w:rsidRPr="008C7A8F">
        <w:rPr>
          <w:sz w:val="20"/>
          <w:szCs w:val="22"/>
        </w:rPr>
        <w:t>at 344.</w:t>
      </w:r>
      <w:proofErr w:type="gramEnd"/>
    </w:p>
  </w:footnote>
  <w:footnote w:id="35">
    <w:p w:rsidR="000D5A8F" w:rsidRPr="008C7A8F" w:rsidRDefault="000D5A8F" w:rsidP="000D5A8F">
      <w:pPr>
        <w:pStyle w:val="FootnoteText"/>
        <w:rPr>
          <w:sz w:val="20"/>
        </w:rPr>
      </w:pPr>
      <w:r w:rsidRPr="008C7A8F">
        <w:rPr>
          <w:rStyle w:val="FootnoteReference"/>
          <w:sz w:val="20"/>
        </w:rPr>
        <w:footnoteRef/>
      </w:r>
      <w:r w:rsidRPr="008C7A8F">
        <w:rPr>
          <w:sz w:val="20"/>
        </w:rPr>
        <w:t xml:space="preserve"> </w:t>
      </w:r>
      <w:r w:rsidRPr="008C7A8F">
        <w:rPr>
          <w:i/>
          <w:sz w:val="20"/>
          <w:szCs w:val="22"/>
        </w:rPr>
        <w:t>Fisher v. University of Texas at Austin</w:t>
      </w:r>
      <w:r w:rsidR="004A0E54" w:rsidRPr="008C7A8F">
        <w:rPr>
          <w:sz w:val="20"/>
          <w:szCs w:val="22"/>
        </w:rPr>
        <w:t xml:space="preserve">, </w:t>
      </w:r>
      <w:r w:rsidR="004A0E54">
        <w:rPr>
          <w:sz w:val="20"/>
          <w:szCs w:val="22"/>
        </w:rPr>
        <w:t>133 S. Ct. 2411</w:t>
      </w:r>
      <w:r w:rsidR="00987AFB">
        <w:rPr>
          <w:sz w:val="20"/>
          <w:szCs w:val="22"/>
        </w:rPr>
        <w:t xml:space="preserve"> (June 24, 2013)</w:t>
      </w:r>
      <w:r w:rsidRPr="008C7A8F">
        <w:rPr>
          <w:sz w:val="20"/>
          <w:szCs w:val="22"/>
        </w:rPr>
        <w:t>.</w:t>
      </w:r>
    </w:p>
  </w:footnote>
  <w:footnote w:id="36">
    <w:p w:rsidR="000D5A8F" w:rsidRPr="008C7A8F" w:rsidRDefault="000D5A8F" w:rsidP="000D5A8F">
      <w:pPr>
        <w:pStyle w:val="FootnoteText"/>
        <w:rPr>
          <w:sz w:val="20"/>
        </w:rPr>
      </w:pPr>
      <w:r w:rsidRPr="008C7A8F">
        <w:rPr>
          <w:rStyle w:val="FootnoteReference"/>
          <w:sz w:val="20"/>
        </w:rPr>
        <w:footnoteRef/>
      </w:r>
      <w:r w:rsidRPr="008C7A8F">
        <w:rPr>
          <w:sz w:val="20"/>
        </w:rPr>
        <w:t xml:space="preserve"> </w:t>
      </w:r>
      <w:r w:rsidRPr="008C7A8F">
        <w:rPr>
          <w:i/>
          <w:sz w:val="20"/>
          <w:szCs w:val="22"/>
        </w:rPr>
        <w:t>See</w:t>
      </w:r>
      <w:r w:rsidRPr="008C7A8F">
        <w:rPr>
          <w:sz w:val="20"/>
          <w:szCs w:val="22"/>
        </w:rPr>
        <w:t xml:space="preserve">, de la Vega, </w:t>
      </w:r>
      <w:r w:rsidRPr="008C7A8F">
        <w:rPr>
          <w:i/>
          <w:sz w:val="20"/>
          <w:szCs w:val="22"/>
        </w:rPr>
        <w:t>supra</w:t>
      </w:r>
      <w:r w:rsidRPr="008C7A8F">
        <w:rPr>
          <w:sz w:val="20"/>
          <w:szCs w:val="22"/>
        </w:rPr>
        <w:t xml:space="preserve"> at page 646 (Eng.).</w:t>
      </w:r>
    </w:p>
  </w:footnote>
  <w:footnote w:id="37">
    <w:p w:rsidR="000D5A8F" w:rsidRPr="008C7A8F" w:rsidRDefault="000D5A8F" w:rsidP="000D5A8F">
      <w:pPr>
        <w:pStyle w:val="FootnoteText"/>
        <w:rPr>
          <w:sz w:val="20"/>
        </w:rPr>
      </w:pPr>
      <w:r w:rsidRPr="008C7A8F">
        <w:rPr>
          <w:rStyle w:val="FootnoteReference"/>
          <w:sz w:val="20"/>
        </w:rPr>
        <w:footnoteRef/>
      </w:r>
      <w:r w:rsidRPr="008C7A8F">
        <w:rPr>
          <w:sz w:val="20"/>
        </w:rPr>
        <w:t xml:space="preserve"> </w:t>
      </w:r>
      <w:r w:rsidRPr="008C7A8F">
        <w:rPr>
          <w:i/>
          <w:sz w:val="20"/>
          <w:szCs w:val="22"/>
        </w:rPr>
        <w:t xml:space="preserve">Id. </w:t>
      </w:r>
      <w:r w:rsidRPr="008C7A8F">
        <w:rPr>
          <w:sz w:val="20"/>
          <w:szCs w:val="22"/>
        </w:rPr>
        <w:t>at 647 (Eng.)</w:t>
      </w:r>
    </w:p>
  </w:footnote>
  <w:footnote w:id="38">
    <w:p w:rsidR="000D5A8F" w:rsidRDefault="000D5A8F" w:rsidP="000D5A8F">
      <w:pPr>
        <w:pStyle w:val="FootnoteText"/>
      </w:pPr>
      <w:r w:rsidRPr="008C7A8F">
        <w:rPr>
          <w:rStyle w:val="FootnoteReference"/>
          <w:sz w:val="20"/>
        </w:rPr>
        <w:footnoteRef/>
      </w:r>
      <w:r w:rsidRPr="008C7A8F">
        <w:rPr>
          <w:sz w:val="20"/>
        </w:rPr>
        <w:t xml:space="preserve"> </w:t>
      </w:r>
      <w:proofErr w:type="gramStart"/>
      <w:r w:rsidRPr="008C7A8F">
        <w:rPr>
          <w:i/>
          <w:sz w:val="20"/>
          <w:szCs w:val="22"/>
        </w:rPr>
        <w:t>Id.</w:t>
      </w:r>
      <w:r w:rsidRPr="008C7A8F">
        <w:rPr>
          <w:sz w:val="20"/>
          <w:szCs w:val="22"/>
        </w:rPr>
        <w:t xml:space="preserve"> at 647 – 651 (Eng.).</w:t>
      </w:r>
      <w:proofErr w:type="gramEnd"/>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41A7A"/>
    <w:multiLevelType w:val="hybridMultilevel"/>
    <w:tmpl w:val="2B68A6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735107"/>
    <w:multiLevelType w:val="hybridMultilevel"/>
    <w:tmpl w:val="28B2B4AA"/>
    <w:lvl w:ilvl="0" w:tplc="17B8774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16237555"/>
    <w:multiLevelType w:val="hybridMultilevel"/>
    <w:tmpl w:val="51C8F0EA"/>
    <w:lvl w:ilvl="0" w:tplc="819A8798">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179E2EBE"/>
    <w:multiLevelType w:val="hybridMultilevel"/>
    <w:tmpl w:val="A874F13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82A3CA8"/>
    <w:multiLevelType w:val="hybridMultilevel"/>
    <w:tmpl w:val="E04EC222"/>
    <w:lvl w:ilvl="0" w:tplc="25DE0DBA">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214C0780"/>
    <w:multiLevelType w:val="hybridMultilevel"/>
    <w:tmpl w:val="99D646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3BF095E"/>
    <w:multiLevelType w:val="hybridMultilevel"/>
    <w:tmpl w:val="8256B0E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nsid w:val="23DB4D59"/>
    <w:multiLevelType w:val="hybridMultilevel"/>
    <w:tmpl w:val="6B2AB52C"/>
    <w:lvl w:ilvl="0" w:tplc="2076C822">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23FA6052"/>
    <w:multiLevelType w:val="hybridMultilevel"/>
    <w:tmpl w:val="C0EA855A"/>
    <w:lvl w:ilvl="0" w:tplc="43547BC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91C6096"/>
    <w:multiLevelType w:val="hybridMultilevel"/>
    <w:tmpl w:val="6002B97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300025F3"/>
    <w:multiLevelType w:val="hybridMultilevel"/>
    <w:tmpl w:val="64882D16"/>
    <w:lvl w:ilvl="0" w:tplc="4A7E58B8">
      <w:start w:val="1"/>
      <w:numFmt w:val="upperRoman"/>
      <w:lvlText w:val="%1."/>
      <w:lvlJc w:val="left"/>
      <w:pPr>
        <w:ind w:left="1080" w:hanging="720"/>
      </w:pPr>
      <w:rPr>
        <w:rFonts w:hint="default"/>
        <w:b w:val="0"/>
      </w:rPr>
    </w:lvl>
    <w:lvl w:ilvl="1" w:tplc="000F0409">
      <w:start w:val="1"/>
      <w:numFmt w:val="upperLetter"/>
      <w:lvlText w:val="%2."/>
      <w:lvlJc w:val="left"/>
      <w:pPr>
        <w:tabs>
          <w:tab w:val="num" w:pos="1440"/>
        </w:tabs>
        <w:ind w:left="1440" w:hanging="360"/>
      </w:pPr>
      <w:rPr>
        <w:rFonts w:hint="default"/>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14A1C41"/>
    <w:multiLevelType w:val="hybridMultilevel"/>
    <w:tmpl w:val="5A7CB4F0"/>
    <w:lvl w:ilvl="0" w:tplc="73FE3AA0">
      <w:start w:val="1"/>
      <w:numFmt w:val="decimal"/>
      <w:lvlText w:val="%1."/>
      <w:lvlJc w:val="left"/>
      <w:pPr>
        <w:ind w:left="720" w:hanging="360"/>
      </w:pPr>
      <w:rPr>
        <w:rFonts w:eastAsia="Times New Roman" w:cs="Wingdings" w:hint="default"/>
        <w:color w:val="2222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5937757"/>
    <w:multiLevelType w:val="hybridMultilevel"/>
    <w:tmpl w:val="E63C431A"/>
    <w:lvl w:ilvl="0" w:tplc="9874235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37BF5007"/>
    <w:multiLevelType w:val="hybridMultilevel"/>
    <w:tmpl w:val="AB5A3F08"/>
    <w:lvl w:ilvl="0" w:tplc="5C7693C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97E52B3"/>
    <w:multiLevelType w:val="hybridMultilevel"/>
    <w:tmpl w:val="CF3E13B6"/>
    <w:lvl w:ilvl="0" w:tplc="0A8AC1C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3C24667C"/>
    <w:multiLevelType w:val="hybridMultilevel"/>
    <w:tmpl w:val="03FE7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EF91AEA"/>
    <w:multiLevelType w:val="hybridMultilevel"/>
    <w:tmpl w:val="7C2AE4D6"/>
    <w:lvl w:ilvl="0" w:tplc="7E88BCE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nsid w:val="3F7F27A3"/>
    <w:multiLevelType w:val="hybridMultilevel"/>
    <w:tmpl w:val="AC164E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2A56C4F"/>
    <w:multiLevelType w:val="hybridMultilevel"/>
    <w:tmpl w:val="D59409A0"/>
    <w:lvl w:ilvl="0" w:tplc="A3FA37D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9">
    <w:nsid w:val="440F40CB"/>
    <w:multiLevelType w:val="hybridMultilevel"/>
    <w:tmpl w:val="97C03366"/>
    <w:lvl w:ilvl="0" w:tplc="0ACEC5D8">
      <w:start w:val="1"/>
      <w:numFmt w:val="upperRoman"/>
      <w:lvlText w:val="%1."/>
      <w:lvlJc w:val="right"/>
      <w:pPr>
        <w:ind w:left="720" w:hanging="360"/>
      </w:pPr>
      <w:rPr>
        <w:b w:val="0"/>
        <w:i w:val="0"/>
      </w:rPr>
    </w:lvl>
    <w:lvl w:ilvl="1" w:tplc="04090005">
      <w:start w:val="1"/>
      <w:numFmt w:val="bullet"/>
      <w:lvlText w:val=""/>
      <w:lvlJc w:val="left"/>
      <w:pPr>
        <w:ind w:left="1440" w:hanging="360"/>
      </w:pPr>
      <w:rPr>
        <w:rFonts w:ascii="Wingdings" w:hAnsi="Wingdings" w:hint="default"/>
        <w:b w:val="0"/>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66858D1"/>
    <w:multiLevelType w:val="hybridMultilevel"/>
    <w:tmpl w:val="AC164E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96B5391"/>
    <w:multiLevelType w:val="hybridMultilevel"/>
    <w:tmpl w:val="BEB254E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51B3047B"/>
    <w:multiLevelType w:val="hybridMultilevel"/>
    <w:tmpl w:val="92F676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2281428"/>
    <w:multiLevelType w:val="hybridMultilevel"/>
    <w:tmpl w:val="9F26F760"/>
    <w:lvl w:ilvl="0" w:tplc="0D98D186">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4">
    <w:nsid w:val="55810BA7"/>
    <w:multiLevelType w:val="hybridMultilevel"/>
    <w:tmpl w:val="527CBBB0"/>
    <w:lvl w:ilvl="0" w:tplc="2F0A05A2">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5CB0DAA"/>
    <w:multiLevelType w:val="hybridMultilevel"/>
    <w:tmpl w:val="E2800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5FC6E6F"/>
    <w:multiLevelType w:val="hybridMultilevel"/>
    <w:tmpl w:val="606C9298"/>
    <w:lvl w:ilvl="0" w:tplc="F43C4682">
      <w:start w:val="1"/>
      <w:numFmt w:val="decimal"/>
      <w:lvlText w:val="%1."/>
      <w:lvlJc w:val="left"/>
      <w:pPr>
        <w:ind w:left="360" w:hanging="360"/>
      </w:pPr>
      <w:rPr>
        <w:rFonts w:eastAsia="Times New Roman" w:cs="Arial" w:hint="default"/>
        <w:color w:val="2222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562B728C"/>
    <w:multiLevelType w:val="hybridMultilevel"/>
    <w:tmpl w:val="AC164E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6C21FC8"/>
    <w:multiLevelType w:val="hybridMultilevel"/>
    <w:tmpl w:val="F338498C"/>
    <w:lvl w:ilvl="0" w:tplc="FE48D412">
      <w:start w:val="1"/>
      <w:numFmt w:val="decimal"/>
      <w:lvlText w:val="%1."/>
      <w:lvlJc w:val="left"/>
      <w:pPr>
        <w:ind w:left="360" w:hanging="360"/>
      </w:pPr>
      <w:rPr>
        <w:rFonts w:ascii="Times New Roman" w:eastAsiaTheme="minorHAnsi" w:hAnsi="Times New Roman" w:cs="Times New Roman"/>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5983368C"/>
    <w:multiLevelType w:val="hybridMultilevel"/>
    <w:tmpl w:val="1226B6DA"/>
    <w:lvl w:ilvl="0" w:tplc="F40AD182">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AE0046C"/>
    <w:multiLevelType w:val="hybridMultilevel"/>
    <w:tmpl w:val="ED6E1A2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62C317B1"/>
    <w:multiLevelType w:val="hybridMultilevel"/>
    <w:tmpl w:val="ED9893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E795B1B"/>
    <w:multiLevelType w:val="hybridMultilevel"/>
    <w:tmpl w:val="1F9636AC"/>
    <w:lvl w:ilvl="0" w:tplc="FDDA421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nsid w:val="6F2F303E"/>
    <w:multiLevelType w:val="hybridMultilevel"/>
    <w:tmpl w:val="4A12E492"/>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3142542"/>
    <w:multiLevelType w:val="hybridMultilevel"/>
    <w:tmpl w:val="D5AE3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6B70E6E"/>
    <w:multiLevelType w:val="hybridMultilevel"/>
    <w:tmpl w:val="AC164EA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7891BAE"/>
    <w:multiLevelType w:val="hybridMultilevel"/>
    <w:tmpl w:val="73F61818"/>
    <w:lvl w:ilvl="0" w:tplc="82FC720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5"/>
  </w:num>
  <w:num w:numId="2">
    <w:abstractNumId w:val="10"/>
  </w:num>
  <w:num w:numId="3">
    <w:abstractNumId w:val="6"/>
  </w:num>
  <w:num w:numId="4">
    <w:abstractNumId w:val="30"/>
  </w:num>
  <w:num w:numId="5">
    <w:abstractNumId w:val="8"/>
  </w:num>
  <w:num w:numId="6">
    <w:abstractNumId w:val="25"/>
  </w:num>
  <w:num w:numId="7">
    <w:abstractNumId w:val="17"/>
  </w:num>
  <w:num w:numId="8">
    <w:abstractNumId w:val="28"/>
  </w:num>
  <w:num w:numId="9">
    <w:abstractNumId w:val="12"/>
  </w:num>
  <w:num w:numId="10">
    <w:abstractNumId w:val="20"/>
  </w:num>
  <w:num w:numId="11">
    <w:abstractNumId w:val="3"/>
  </w:num>
  <w:num w:numId="12">
    <w:abstractNumId w:val="27"/>
  </w:num>
  <w:num w:numId="13">
    <w:abstractNumId w:val="32"/>
  </w:num>
  <w:num w:numId="14">
    <w:abstractNumId w:val="18"/>
  </w:num>
  <w:num w:numId="15">
    <w:abstractNumId w:val="24"/>
  </w:num>
  <w:num w:numId="16">
    <w:abstractNumId w:val="14"/>
  </w:num>
  <w:num w:numId="17">
    <w:abstractNumId w:val="29"/>
  </w:num>
  <w:num w:numId="18">
    <w:abstractNumId w:val="19"/>
  </w:num>
  <w:num w:numId="19">
    <w:abstractNumId w:val="1"/>
  </w:num>
  <w:num w:numId="20">
    <w:abstractNumId w:val="16"/>
  </w:num>
  <w:num w:numId="21">
    <w:abstractNumId w:val="4"/>
  </w:num>
  <w:num w:numId="22">
    <w:abstractNumId w:val="35"/>
  </w:num>
  <w:num w:numId="23">
    <w:abstractNumId w:val="5"/>
  </w:num>
  <w:num w:numId="24">
    <w:abstractNumId w:val="7"/>
  </w:num>
  <w:num w:numId="25">
    <w:abstractNumId w:val="34"/>
  </w:num>
  <w:num w:numId="26">
    <w:abstractNumId w:val="36"/>
  </w:num>
  <w:num w:numId="27">
    <w:abstractNumId w:val="31"/>
  </w:num>
  <w:num w:numId="28">
    <w:abstractNumId w:val="2"/>
  </w:num>
  <w:num w:numId="29">
    <w:abstractNumId w:val="11"/>
  </w:num>
  <w:num w:numId="30">
    <w:abstractNumId w:val="26"/>
  </w:num>
  <w:num w:numId="31">
    <w:abstractNumId w:val="0"/>
  </w:num>
  <w:num w:numId="32">
    <w:abstractNumId w:val="33"/>
  </w:num>
  <w:num w:numId="33">
    <w:abstractNumId w:val="23"/>
  </w:num>
  <w:num w:numId="34">
    <w:abstractNumId w:val="9"/>
  </w:num>
  <w:num w:numId="35">
    <w:abstractNumId w:val="22"/>
  </w:num>
  <w:num w:numId="36">
    <w:abstractNumId w:val="21"/>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doNotAutofitConstrainedTables/>
    <w:splitPgBreakAndParaMark/>
    <w:doNotVertAlignCellWithSp/>
    <w:doNotBreakConstrainedForcedTable/>
    <w:useAnsiKerningPairs/>
    <w:cachedColBalance/>
    <w:compatSetting w:name="compatibilityMode" w:uri="http://schemas.microsoft.com/office/word" w:val="12"/>
  </w:compat>
  <w:rsids>
    <w:rsidRoot w:val="00B71F18"/>
    <w:rsid w:val="000D5A8F"/>
    <w:rsid w:val="00105542"/>
    <w:rsid w:val="004638D2"/>
    <w:rsid w:val="004A0E54"/>
    <w:rsid w:val="004E5305"/>
    <w:rsid w:val="00665CDD"/>
    <w:rsid w:val="006E773C"/>
    <w:rsid w:val="007F2D73"/>
    <w:rsid w:val="009011CF"/>
    <w:rsid w:val="00987AFB"/>
    <w:rsid w:val="00A609F8"/>
    <w:rsid w:val="00B15EFD"/>
    <w:rsid w:val="00B71F18"/>
    <w:rsid w:val="00CF2B04"/>
    <w:rsid w:val="00FA3A0C"/>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1F18"/>
    <w:rPr>
      <w:rFonts w:ascii="Times New Roman" w:eastAsia="MS Mincho" w:hAnsi="Times New Roman" w:cs="Tms Rmn"/>
      <w:lang w:eastAsia="ja-JP"/>
    </w:rPr>
  </w:style>
  <w:style w:type="paragraph" w:styleId="Heading1">
    <w:name w:val="heading 1"/>
    <w:basedOn w:val="Normal"/>
    <w:next w:val="Normal"/>
    <w:link w:val="Heading1Char"/>
    <w:uiPriority w:val="9"/>
    <w:qFormat/>
    <w:rsid w:val="00B71F18"/>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71F18"/>
    <w:rPr>
      <w:rFonts w:asciiTheme="majorHAnsi" w:eastAsiaTheme="majorEastAsia" w:hAnsiTheme="majorHAnsi" w:cstheme="majorBidi"/>
      <w:b/>
      <w:bCs/>
      <w:color w:val="345A8A" w:themeColor="accent1" w:themeShade="B5"/>
      <w:sz w:val="32"/>
      <w:szCs w:val="32"/>
      <w:lang w:eastAsia="ja-JP"/>
    </w:rPr>
  </w:style>
  <w:style w:type="character" w:styleId="Hyperlink">
    <w:name w:val="Hyperlink"/>
    <w:uiPriority w:val="99"/>
    <w:unhideWhenUsed/>
    <w:rsid w:val="00B71F18"/>
    <w:rPr>
      <w:color w:val="0000FF"/>
      <w:u w:val="single"/>
    </w:rPr>
  </w:style>
  <w:style w:type="paragraph" w:styleId="FootnoteText">
    <w:name w:val="footnote text"/>
    <w:basedOn w:val="Normal"/>
    <w:link w:val="FootnoteTextChar"/>
    <w:uiPriority w:val="99"/>
    <w:unhideWhenUsed/>
    <w:rsid w:val="00B71F18"/>
    <w:rPr>
      <w:rFonts w:cs="Times New Roman"/>
    </w:rPr>
  </w:style>
  <w:style w:type="character" w:customStyle="1" w:styleId="FootnoteTextChar">
    <w:name w:val="Footnote Text Char"/>
    <w:basedOn w:val="DefaultParagraphFont"/>
    <w:link w:val="FootnoteText"/>
    <w:uiPriority w:val="99"/>
    <w:rsid w:val="00B71F18"/>
    <w:rPr>
      <w:rFonts w:ascii="Times New Roman" w:eastAsia="MS Mincho" w:hAnsi="Times New Roman" w:cs="Times New Roman"/>
      <w:lang w:eastAsia="ja-JP"/>
    </w:rPr>
  </w:style>
  <w:style w:type="character" w:styleId="FootnoteReference">
    <w:name w:val="footnote reference"/>
    <w:uiPriority w:val="99"/>
    <w:unhideWhenUsed/>
    <w:rsid w:val="00B71F18"/>
    <w:rPr>
      <w:vertAlign w:val="superscript"/>
    </w:rPr>
  </w:style>
  <w:style w:type="character" w:customStyle="1" w:styleId="apple-converted-space">
    <w:name w:val="apple-converted-space"/>
    <w:rsid w:val="00B71F18"/>
  </w:style>
  <w:style w:type="character" w:customStyle="1" w:styleId="FootnoteCharacters">
    <w:name w:val="Footnote Characters"/>
    <w:rsid w:val="00B71F18"/>
    <w:rPr>
      <w:rFonts w:cs="Times New Roman"/>
      <w:vertAlign w:val="superscript"/>
    </w:rPr>
  </w:style>
  <w:style w:type="character" w:styleId="Emphasis">
    <w:name w:val="Emphasis"/>
    <w:uiPriority w:val="20"/>
    <w:qFormat/>
    <w:rsid w:val="00B71F18"/>
    <w:rPr>
      <w:i/>
      <w:iCs/>
    </w:rPr>
  </w:style>
  <w:style w:type="character" w:customStyle="1" w:styleId="groupheading">
    <w:name w:val="groupheading"/>
    <w:rsid w:val="00B71F18"/>
    <w:rPr>
      <w:rFonts w:cs="Times New Roman"/>
    </w:rPr>
  </w:style>
  <w:style w:type="paragraph" w:customStyle="1" w:styleId="MediumGrid22">
    <w:name w:val="Medium Grid 22"/>
    <w:qFormat/>
    <w:rsid w:val="00B71F18"/>
    <w:pPr>
      <w:suppressAutoHyphens/>
    </w:pPr>
    <w:rPr>
      <w:rFonts w:ascii="Cambria" w:eastAsia="Times New Roman" w:hAnsi="Cambria" w:cs="Calibri"/>
      <w:sz w:val="22"/>
      <w:szCs w:val="22"/>
      <w:lang w:bidi="en-US"/>
    </w:rPr>
  </w:style>
  <w:style w:type="paragraph" w:styleId="ListParagraph">
    <w:name w:val="List Paragraph"/>
    <w:basedOn w:val="Normal"/>
    <w:uiPriority w:val="34"/>
    <w:qFormat/>
    <w:rsid w:val="00B71F18"/>
    <w:pPr>
      <w:ind w:left="720"/>
      <w:contextualSpacing/>
    </w:pPr>
  </w:style>
  <w:style w:type="paragraph" w:styleId="TOCHeading">
    <w:name w:val="TOC Heading"/>
    <w:basedOn w:val="Heading1"/>
    <w:next w:val="Normal"/>
    <w:uiPriority w:val="39"/>
    <w:unhideWhenUsed/>
    <w:qFormat/>
    <w:rsid w:val="00B71F18"/>
    <w:pPr>
      <w:spacing w:line="276" w:lineRule="auto"/>
      <w:outlineLvl w:val="9"/>
    </w:pPr>
    <w:rPr>
      <w:rFonts w:ascii="Calibri" w:eastAsia="Times New Roman" w:hAnsi="Calibri" w:cs="Times New Roman"/>
      <w:color w:val="365F91"/>
      <w:sz w:val="28"/>
      <w:szCs w:val="28"/>
      <w:lang w:eastAsia="en-US"/>
    </w:rPr>
  </w:style>
  <w:style w:type="paragraph" w:styleId="Footer">
    <w:name w:val="footer"/>
    <w:basedOn w:val="Normal"/>
    <w:link w:val="FooterChar"/>
    <w:uiPriority w:val="99"/>
    <w:semiHidden/>
    <w:unhideWhenUsed/>
    <w:rsid w:val="00B71F18"/>
    <w:pPr>
      <w:tabs>
        <w:tab w:val="center" w:pos="4320"/>
        <w:tab w:val="right" w:pos="8640"/>
      </w:tabs>
    </w:pPr>
  </w:style>
  <w:style w:type="character" w:customStyle="1" w:styleId="FooterChar">
    <w:name w:val="Footer Char"/>
    <w:basedOn w:val="DefaultParagraphFont"/>
    <w:link w:val="Footer"/>
    <w:uiPriority w:val="99"/>
    <w:semiHidden/>
    <w:rsid w:val="00B71F18"/>
    <w:rPr>
      <w:rFonts w:ascii="Times New Roman" w:eastAsia="MS Mincho" w:hAnsi="Times New Roman" w:cs="Tms Rmn"/>
      <w:lang w:eastAsia="ja-JP"/>
    </w:rPr>
  </w:style>
  <w:style w:type="character" w:styleId="PageNumber">
    <w:name w:val="page number"/>
    <w:basedOn w:val="DefaultParagraphFont"/>
    <w:uiPriority w:val="99"/>
    <w:semiHidden/>
    <w:unhideWhenUsed/>
    <w:rsid w:val="00B71F18"/>
  </w:style>
  <w:style w:type="character" w:styleId="EndnoteReference">
    <w:name w:val="endnote reference"/>
    <w:uiPriority w:val="99"/>
    <w:unhideWhenUsed/>
    <w:rsid w:val="00B71F18"/>
    <w:rPr>
      <w:vertAlign w:val="superscript"/>
    </w:rPr>
  </w:style>
  <w:style w:type="paragraph" w:styleId="BalloonText">
    <w:name w:val="Balloon Text"/>
    <w:basedOn w:val="Normal"/>
    <w:link w:val="BalloonTextChar"/>
    <w:uiPriority w:val="99"/>
    <w:semiHidden/>
    <w:unhideWhenUsed/>
    <w:rsid w:val="00105542"/>
    <w:rPr>
      <w:rFonts w:ascii="Tahoma" w:hAnsi="Tahoma" w:cs="Tahoma"/>
      <w:sz w:val="16"/>
      <w:szCs w:val="16"/>
    </w:rPr>
  </w:style>
  <w:style w:type="character" w:customStyle="1" w:styleId="BalloonTextChar">
    <w:name w:val="Balloon Text Char"/>
    <w:basedOn w:val="DefaultParagraphFont"/>
    <w:link w:val="BalloonText"/>
    <w:uiPriority w:val="99"/>
    <w:semiHidden/>
    <w:rsid w:val="00105542"/>
    <w:rPr>
      <w:rFonts w:ascii="Tahoma" w:eastAsia="MS Mincho" w:hAnsi="Tahoma" w:cs="Tahoma"/>
      <w:sz w:val="16"/>
      <w:szCs w:val="16"/>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styles" Target="styles.xml"/><Relationship Id="rId16"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1.xml"/><Relationship Id="rId10" Type="http://schemas.openxmlformats.org/officeDocument/2006/relationships/hyperlink" Target="http://www.usfca.edu/law/clgj/criminalsentencing/" TargetMode="External"/><Relationship Id="rId4" Type="http://schemas.openxmlformats.org/officeDocument/2006/relationships/settings" Target="settings.xml"/><Relationship Id="rId9" Type="http://schemas.openxmlformats.org/officeDocument/2006/relationships/hyperlink" Target="mailto:delavega@usfca.edu"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2" Type="http://schemas.openxmlformats.org/officeDocument/2006/relationships/hyperlink" Target="http://usfca.edu/law/jlwop/resource_guide/" TargetMode="External"/><Relationship Id="rId1" Type="http://schemas.openxmlformats.org/officeDocument/2006/relationships/hyperlink" Target="http://www.nytimes.com/interactive/2011/04/20/us/juveniles.html?ref=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EB87CE6-327D-432F-8164-7551FBA47152}"/>
</file>

<file path=customXml/itemProps2.xml><?xml version="1.0" encoding="utf-8"?>
<ds:datastoreItem xmlns:ds="http://schemas.openxmlformats.org/officeDocument/2006/customXml" ds:itemID="{1B18E554-5D5D-41D2-B416-451A67CCEBE9}"/>
</file>

<file path=customXml/itemProps3.xml><?xml version="1.0" encoding="utf-8"?>
<ds:datastoreItem xmlns:ds="http://schemas.openxmlformats.org/officeDocument/2006/customXml" ds:itemID="{1FB6BF02-2712-4D62-877F-9B7CAC3B121F}"/>
</file>

<file path=docProps/app.xml><?xml version="1.0" encoding="utf-8"?>
<Properties xmlns="http://schemas.openxmlformats.org/officeDocument/2006/extended-properties" xmlns:vt="http://schemas.openxmlformats.org/officeDocument/2006/docPropsVTypes">
  <Template>Normal</Template>
  <TotalTime>12</TotalTime>
  <Pages>13</Pages>
  <Words>3668</Words>
  <Characters>20912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USF</Company>
  <LinksUpToDate>false</LinksUpToDate>
  <CharactersWithSpaces>24531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Solter</dc:creator>
  <cp:lastModifiedBy>connie</cp:lastModifiedBy>
  <cp:revision>4</cp:revision>
  <dcterms:created xsi:type="dcterms:W3CDTF">2013-08-22T07:13:00Z</dcterms:created>
  <dcterms:modified xsi:type="dcterms:W3CDTF">2013-08-23T05:19:00Z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