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153" w:rsidRDefault="00371570">
      <w:pPr>
        <w:pStyle w:val="BodyA"/>
        <w:jc w:val="center"/>
      </w:pPr>
      <w:r>
        <w:rPr>
          <w:sz w:val="28"/>
          <w:szCs w:val="28"/>
        </w:rPr>
        <w:t>SHADOW REPORT ON SOUTH AFRICA’S COMPLIANCE WITH ITS LABOUR OBLIGATIONS UNDER THE CONVENTION ON THE ELIMINATION OF ALL FORMS OF DISCRIMINATION AGAINST WOMEN (CEDAW)</w:t>
      </w:r>
    </w:p>
    <w:p w:rsidR="00EB7153" w:rsidRDefault="00EB7153">
      <w:pPr>
        <w:pStyle w:val="BodyA"/>
        <w:jc w:val="center"/>
      </w:pPr>
    </w:p>
    <w:p w:rsidR="00EB7153" w:rsidRDefault="00371570">
      <w:pPr>
        <w:pStyle w:val="BodyA"/>
        <w:jc w:val="center"/>
      </w:pPr>
      <w:r>
        <w:rPr>
          <w:b/>
          <w:bCs/>
          <w:sz w:val="28"/>
          <w:szCs w:val="28"/>
        </w:rPr>
        <w:t>Submitted by:</w:t>
      </w:r>
    </w:p>
    <w:p w:rsidR="00EB7153" w:rsidRDefault="00371570">
      <w:pPr>
        <w:pStyle w:val="BodyA"/>
        <w:jc w:val="center"/>
      </w:pPr>
      <w:bookmarkStart w:id="0" w:name="_GoBack"/>
      <w:r>
        <w:rPr>
          <w:sz w:val="28"/>
          <w:szCs w:val="28"/>
        </w:rPr>
        <w:t>Solidarity Center</w:t>
      </w:r>
      <w:bookmarkEnd w:id="0"/>
    </w:p>
    <w:p w:rsidR="00EB7153" w:rsidRDefault="00371570">
      <w:pPr>
        <w:pStyle w:val="BodyA"/>
        <w:jc w:val="center"/>
      </w:pPr>
      <w:r>
        <w:rPr>
          <w:sz w:val="28"/>
          <w:szCs w:val="28"/>
        </w:rPr>
        <w:t>Izwi Domestic Worker Alliance</w:t>
      </w:r>
    </w:p>
    <w:p w:rsidR="00EB7153" w:rsidRDefault="00371570">
      <w:pPr>
        <w:pStyle w:val="BodyA"/>
        <w:jc w:val="center"/>
      </w:pPr>
      <w:r>
        <w:rPr>
          <w:sz w:val="28"/>
          <w:szCs w:val="28"/>
        </w:rPr>
        <w:t xml:space="preserve">South African Domestic </w:t>
      </w:r>
      <w:r>
        <w:rPr>
          <w:sz w:val="28"/>
          <w:szCs w:val="28"/>
        </w:rPr>
        <w:t>Worker Union (SADSAWU)</w:t>
      </w:r>
    </w:p>
    <w:p w:rsidR="00EB7153" w:rsidRDefault="00371570">
      <w:pPr>
        <w:pStyle w:val="BodyA"/>
        <w:jc w:val="center"/>
      </w:pPr>
      <w:r>
        <w:rPr>
          <w:sz w:val="28"/>
          <w:szCs w:val="28"/>
        </w:rPr>
        <w:t>Women’s Law Centre (WLC)</w:t>
      </w:r>
    </w:p>
    <w:p w:rsidR="00EB7153" w:rsidRDefault="00371570">
      <w:pPr>
        <w:pStyle w:val="BodyA"/>
        <w:jc w:val="center"/>
      </w:pPr>
      <w:r>
        <w:rPr>
          <w:sz w:val="28"/>
          <w:szCs w:val="28"/>
        </w:rPr>
        <w:t>Lawyers for Human Rights (LHR)</w:t>
      </w:r>
    </w:p>
    <w:p w:rsidR="00EB7153" w:rsidRDefault="00371570">
      <w:pPr>
        <w:pStyle w:val="BodyA"/>
        <w:jc w:val="center"/>
      </w:pPr>
      <w:r>
        <w:rPr>
          <w:sz w:val="28"/>
          <w:szCs w:val="28"/>
        </w:rPr>
        <w:t>Department of Criminal Justice and Procedure, Faculty of Law, University of Western Cape</w:t>
      </w:r>
    </w:p>
    <w:p w:rsidR="00EB7153" w:rsidRDefault="00371570">
      <w:pPr>
        <w:pStyle w:val="BodyA"/>
        <w:jc w:val="center"/>
      </w:pPr>
      <w:r>
        <w:rPr>
          <w:sz w:val="28"/>
          <w:szCs w:val="28"/>
        </w:rPr>
        <w:t>African Diaspora Workers Network (ADWN)</w:t>
      </w:r>
    </w:p>
    <w:p w:rsidR="00EB7153" w:rsidRDefault="00EB7153">
      <w:pPr>
        <w:pStyle w:val="BodyA"/>
        <w:jc w:val="center"/>
      </w:pPr>
    </w:p>
    <w:p w:rsidR="00EB7153" w:rsidRDefault="00EB7153">
      <w:pPr>
        <w:pStyle w:val="BodyA"/>
        <w:jc w:val="center"/>
      </w:pPr>
    </w:p>
    <w:p w:rsidR="00EB7153" w:rsidRDefault="00EB7153">
      <w:pPr>
        <w:pStyle w:val="BodyA"/>
        <w:jc w:val="center"/>
      </w:pPr>
    </w:p>
    <w:p w:rsidR="00EB7153" w:rsidRDefault="00EB7153">
      <w:pPr>
        <w:pStyle w:val="BodyA"/>
        <w:jc w:val="center"/>
      </w:pPr>
    </w:p>
    <w:p w:rsidR="00EB7153" w:rsidRDefault="00371570">
      <w:pPr>
        <w:pStyle w:val="BodyA"/>
        <w:jc w:val="center"/>
      </w:pPr>
      <w:r>
        <w:rPr>
          <w:b/>
          <w:bCs/>
          <w:sz w:val="28"/>
          <w:szCs w:val="28"/>
        </w:rPr>
        <w:t>SEPTEMBER 20, 2021</w:t>
      </w:r>
    </w:p>
    <w:p w:rsidR="00EB7153" w:rsidRDefault="00EB7153">
      <w:pPr>
        <w:pStyle w:val="BodyA"/>
        <w:jc w:val="center"/>
      </w:pPr>
    </w:p>
    <w:p w:rsidR="00EB7153" w:rsidRDefault="00EB7153">
      <w:pPr>
        <w:pStyle w:val="BodyA"/>
        <w:jc w:val="both"/>
      </w:pPr>
    </w:p>
    <w:p w:rsidR="00EB7153" w:rsidRDefault="00EB7153">
      <w:pPr>
        <w:pStyle w:val="BodyA"/>
        <w:jc w:val="both"/>
      </w:pPr>
    </w:p>
    <w:p w:rsidR="00EB7153" w:rsidRDefault="00EB7153">
      <w:pPr>
        <w:pStyle w:val="BodyA"/>
        <w:jc w:val="both"/>
      </w:pPr>
    </w:p>
    <w:p w:rsidR="00EB7153" w:rsidRDefault="00EB7153">
      <w:pPr>
        <w:pStyle w:val="BodyA"/>
        <w:jc w:val="both"/>
      </w:pPr>
    </w:p>
    <w:p w:rsidR="00EB7153" w:rsidRDefault="00EB7153">
      <w:pPr>
        <w:pStyle w:val="BodyA"/>
        <w:jc w:val="both"/>
      </w:pPr>
    </w:p>
    <w:p w:rsidR="00EB7153" w:rsidRDefault="00EB7153">
      <w:pPr>
        <w:pStyle w:val="BodyA"/>
        <w:jc w:val="both"/>
      </w:pPr>
    </w:p>
    <w:p w:rsidR="00EB7153" w:rsidRDefault="00EB7153">
      <w:pPr>
        <w:pStyle w:val="BodyA"/>
        <w:jc w:val="both"/>
      </w:pPr>
    </w:p>
    <w:p w:rsidR="00EB7153" w:rsidRDefault="00EB7153">
      <w:pPr>
        <w:pStyle w:val="BodyA"/>
        <w:jc w:val="both"/>
      </w:pPr>
    </w:p>
    <w:p w:rsidR="00EB7153" w:rsidRDefault="00EB7153">
      <w:pPr>
        <w:pStyle w:val="BodyA"/>
        <w:jc w:val="both"/>
      </w:pPr>
    </w:p>
    <w:p w:rsidR="00EB7153" w:rsidRDefault="00EB7153">
      <w:pPr>
        <w:pStyle w:val="BodyA"/>
        <w:jc w:val="both"/>
      </w:pPr>
    </w:p>
    <w:p w:rsidR="00EB7153" w:rsidRDefault="00371570">
      <w:pPr>
        <w:pStyle w:val="BodyA"/>
        <w:jc w:val="both"/>
      </w:pPr>
      <w:r w:rsidRPr="00C72C36">
        <w:rPr>
          <w:rFonts w:ascii="Times New Roman" w:hAnsi="Times New Roman"/>
          <w:b/>
          <w:bCs/>
          <w:sz w:val="24"/>
          <w:szCs w:val="24"/>
          <w:lang w:val="en-GB"/>
        </w:rPr>
        <w:t>Introduction</w:t>
      </w:r>
    </w:p>
    <w:p w:rsidR="00EB7153" w:rsidRDefault="00371570">
      <w:pPr>
        <w:pStyle w:val="BodyA"/>
        <w:jc w:val="both"/>
      </w:pPr>
      <w:r>
        <w:rPr>
          <w:rFonts w:ascii="Calibri Light" w:eastAsia="Calibri Light" w:hAnsi="Calibri Light" w:cs="Calibri Light"/>
        </w:rPr>
        <w:t>T</w:t>
      </w:r>
      <w:r>
        <w:rPr>
          <w:rFonts w:ascii="Calibri Light" w:eastAsia="Calibri Light" w:hAnsi="Calibri Light" w:cs="Calibri Light"/>
        </w:rPr>
        <w:t xml:space="preserve">his submission to the Committee on the Elimination of All Forms of Discrimination against Women (‘CEDAW’) seeks to highlight the key labour and related issues raised by provisions of the Convention on the Elimination of All Forms of Discrimination against </w:t>
      </w:r>
      <w:r>
        <w:rPr>
          <w:rFonts w:ascii="Calibri Light" w:eastAsia="Calibri Light" w:hAnsi="Calibri Light" w:cs="Calibri Light"/>
        </w:rPr>
        <w:t>Women (‘CEDAW’) with particular reference to marginalized women workers in South Africa. South Africa has a highly developed legislative structure for the regulation of labour relations as embodied by the Labour Relations Act, the Basic Conditions of Emplo</w:t>
      </w:r>
      <w:r>
        <w:rPr>
          <w:rFonts w:ascii="Calibri Light" w:eastAsia="Calibri Light" w:hAnsi="Calibri Light" w:cs="Calibri Light"/>
        </w:rPr>
        <w:t>yment Act and others. However, the implementation of such laws is largely absent, and many workers remain outside its purview because they are casualized, externalized through labour-brokering contracts, work in the informal sector or are migrant workers o</w:t>
      </w:r>
      <w:r>
        <w:rPr>
          <w:rFonts w:ascii="Calibri Light" w:eastAsia="Calibri Light" w:hAnsi="Calibri Light" w:cs="Calibri Light"/>
        </w:rPr>
        <w:t>r criminalised. Such exclusion occurs in all sectors of the economy and has specific gendered impacts; it is exacerbated by the absence of a comprehensive framework for social security and protection.</w:t>
      </w:r>
    </w:p>
    <w:p w:rsidR="00EB7153" w:rsidRDefault="00371570">
      <w:pPr>
        <w:pStyle w:val="BodyA"/>
        <w:jc w:val="both"/>
      </w:pPr>
      <w:r>
        <w:rPr>
          <w:rFonts w:ascii="Calibri Light" w:eastAsia="Calibri Light" w:hAnsi="Calibri Light" w:cs="Calibri Light"/>
        </w:rPr>
        <w:t xml:space="preserve"> Women who work as care workers, domestic workers or sex workers, labor in vulnerable and precarious conditions and suffer intersectional discrimination based on their race, gender and socio-economic background. Women in general have borne the heaviest imp</w:t>
      </w:r>
      <w:r>
        <w:rPr>
          <w:rFonts w:ascii="Calibri Light" w:eastAsia="Calibri Light" w:hAnsi="Calibri Light" w:cs="Calibri Light"/>
        </w:rPr>
        <w:t>act of the effects of the pandemic since they are more likely to be infected by the virus because of their principal roles as caregivers within families and front-line healthcare workers, and at the same time have been</w:t>
      </w:r>
      <w:r>
        <w:t xml:space="preserve"> </w:t>
      </w:r>
      <w:r>
        <w:rPr>
          <w:rFonts w:ascii="Calibri Light" w:eastAsia="Calibri Light" w:hAnsi="Calibri Light" w:cs="Calibri Light"/>
        </w:rPr>
        <w:t>disproportionately affected by the re</w:t>
      </w:r>
      <w:r>
        <w:rPr>
          <w:rFonts w:ascii="Calibri Light" w:eastAsia="Calibri Light" w:hAnsi="Calibri Light" w:cs="Calibri Light"/>
        </w:rPr>
        <w:t>sulting social and economic downturns. COVID 19 has highlighted and exacerbated inequalities in the workplace where women because of their work do not have access to social assistance and relief as provided by the Government to other formal workplaces.</w:t>
      </w:r>
    </w:p>
    <w:p w:rsidR="00EB7153" w:rsidRDefault="00371570">
      <w:pPr>
        <w:pStyle w:val="ListParagraph"/>
        <w:numPr>
          <w:ilvl w:val="0"/>
          <w:numId w:val="2"/>
        </w:numPr>
        <w:jc w:val="both"/>
        <w:rPr>
          <w:rFonts w:ascii="Calibri Light" w:eastAsia="Calibri Light" w:hAnsi="Calibri Light" w:cs="Calibri Light"/>
          <w:b/>
          <w:bCs/>
        </w:rPr>
      </w:pPr>
      <w:r>
        <w:rPr>
          <w:rFonts w:ascii="Calibri Light" w:eastAsia="Calibri Light" w:hAnsi="Calibri Light" w:cs="Calibri Light"/>
          <w:b/>
          <w:bCs/>
        </w:rPr>
        <w:t>Art</w:t>
      </w:r>
      <w:r>
        <w:rPr>
          <w:rFonts w:ascii="Calibri Light" w:eastAsia="Calibri Light" w:hAnsi="Calibri Light" w:cs="Calibri Light"/>
          <w:b/>
          <w:bCs/>
        </w:rPr>
        <w:t xml:space="preserve">icle 2: Non-discrimination: </w:t>
      </w:r>
    </w:p>
    <w:p w:rsidR="00EB7153" w:rsidRDefault="00371570">
      <w:pPr>
        <w:pStyle w:val="BodyA"/>
        <w:jc w:val="both"/>
      </w:pPr>
      <w:r>
        <w:rPr>
          <w:rFonts w:ascii="Calibri Light" w:eastAsia="Calibri Light" w:hAnsi="Calibri Light" w:cs="Calibri Light"/>
        </w:rPr>
        <w:t xml:space="preserve">Under Article 2 of CEDAW state parties are obliged to </w:t>
      </w:r>
      <w:r>
        <w:rPr>
          <w:rFonts w:ascii="Calibri Light" w:eastAsia="Calibri Light" w:hAnsi="Calibri Light" w:cs="Calibri Light"/>
          <w:i/>
          <w:iCs/>
        </w:rPr>
        <w:t>“pursue by all appropriate means and without delay”</w:t>
      </w:r>
      <w:r>
        <w:rPr>
          <w:rFonts w:ascii="Calibri Light" w:eastAsia="Calibri Light" w:hAnsi="Calibri Light" w:cs="Calibri Light"/>
        </w:rPr>
        <w:t xml:space="preserve"> a policy of eliminating discrimination against women.  Further states are obliged to ensure that public authorities and i</w:t>
      </w:r>
      <w:r>
        <w:rPr>
          <w:rFonts w:ascii="Calibri Light" w:eastAsia="Calibri Light" w:hAnsi="Calibri Light" w:cs="Calibri Light"/>
        </w:rPr>
        <w:t>nstitutions take all appropriate measures to eliminate discrimination against women by any person, organization or enterprise, and take appropriate measures to modify regulations, customs and practices which discriminate against women.</w:t>
      </w:r>
    </w:p>
    <w:p w:rsidR="00EB7153" w:rsidRDefault="00371570">
      <w:pPr>
        <w:pStyle w:val="BodyA"/>
        <w:jc w:val="both"/>
      </w:pPr>
      <w:r>
        <w:rPr>
          <w:rFonts w:ascii="Calibri Light" w:eastAsia="Calibri Light" w:hAnsi="Calibri Light" w:cs="Calibri Light"/>
        </w:rPr>
        <w:t>South Africa has ado</w:t>
      </w:r>
      <w:r>
        <w:rPr>
          <w:rFonts w:ascii="Calibri Light" w:eastAsia="Calibri Light" w:hAnsi="Calibri Light" w:cs="Calibri Light"/>
        </w:rPr>
        <w:t xml:space="preserve">pted a substantive understanding of equality in its Constitution and in its laws. In the recent Constitutional Court decision of </w:t>
      </w:r>
      <w:r>
        <w:rPr>
          <w:rFonts w:ascii="Calibri Light" w:eastAsia="Calibri Light" w:hAnsi="Calibri Light" w:cs="Calibri Light"/>
          <w:i/>
          <w:iCs/>
        </w:rPr>
        <w:t>Mahlangu v Minister of Labour and Others</w:t>
      </w:r>
      <w:r>
        <w:rPr>
          <w:rFonts w:ascii="Calibri Light" w:eastAsia="Calibri Light" w:hAnsi="Calibri Light" w:cs="Calibri Light"/>
          <w:i/>
          <w:iCs/>
          <w:vertAlign w:val="superscript"/>
        </w:rPr>
        <w:footnoteReference w:id="2"/>
      </w:r>
      <w:r>
        <w:rPr>
          <w:rStyle w:val="None"/>
          <w:rFonts w:ascii="Calibri Light" w:eastAsia="Calibri Light" w:hAnsi="Calibri Light" w:cs="Calibri Light"/>
        </w:rPr>
        <w:t>, the Court found that the exclusion of domestic workers from claiming compensation fo</w:t>
      </w:r>
      <w:r>
        <w:rPr>
          <w:rStyle w:val="None"/>
          <w:rFonts w:ascii="Calibri Light" w:eastAsia="Calibri Light" w:hAnsi="Calibri Light" w:cs="Calibri Light"/>
        </w:rPr>
        <w:t xml:space="preserve">r illness and injury incurred at work under COIDA (Compensation for Occupational Illness,  Injury and Diseases Act), was not only irrational but also constituted indirect discrimination on the intersectional grounds of race, gender and class. </w:t>
      </w:r>
    </w:p>
    <w:p w:rsidR="00EB7153" w:rsidRDefault="00371570">
      <w:pPr>
        <w:pStyle w:val="BodyA"/>
        <w:jc w:val="both"/>
      </w:pPr>
      <w:r>
        <w:rPr>
          <w:rStyle w:val="None"/>
          <w:rFonts w:ascii="Calibri Light" w:eastAsia="Calibri Light" w:hAnsi="Calibri Light" w:cs="Calibri Light"/>
        </w:rPr>
        <w:t>Domestic wor</w:t>
      </w:r>
      <w:r>
        <w:rPr>
          <w:rStyle w:val="None"/>
          <w:rFonts w:ascii="Calibri Light" w:eastAsia="Calibri Light" w:hAnsi="Calibri Light" w:cs="Calibri Light"/>
        </w:rPr>
        <w:t>k remains a highly feminized sector where 80 per cent of all domestic workers are women who lack access to any kind of social security coverage. The Mahlangu court found that the cumulative effect of intersectional discrimination exacerbates the already co</w:t>
      </w:r>
      <w:r>
        <w:rPr>
          <w:rStyle w:val="None"/>
          <w:rFonts w:ascii="Calibri Light" w:eastAsia="Calibri Light" w:hAnsi="Calibri Light" w:cs="Calibri Light"/>
        </w:rPr>
        <w:t xml:space="preserve">mpromised position of domestic workers in society and marginalises them further, because of their position in society and the structural dynamics </w:t>
      </w:r>
      <w:r>
        <w:rPr>
          <w:rStyle w:val="None"/>
          <w:rFonts w:ascii="Calibri Light" w:eastAsia="Calibri Light" w:hAnsi="Calibri Light" w:cs="Calibri Light"/>
        </w:rPr>
        <w:lastRenderedPageBreak/>
        <w:t>at play. While this judgment is a milestone judgment, there are still remaining gaps in compliance with Articl</w:t>
      </w:r>
      <w:r>
        <w:rPr>
          <w:rStyle w:val="None"/>
          <w:rFonts w:ascii="Calibri Light" w:eastAsia="Calibri Light" w:hAnsi="Calibri Light" w:cs="Calibri Light"/>
        </w:rPr>
        <w:t xml:space="preserve">e 2 of CEDAW.  </w:t>
      </w:r>
    </w:p>
    <w:p w:rsidR="00EB7153" w:rsidRDefault="00371570">
      <w:pPr>
        <w:pStyle w:val="BodyA"/>
        <w:jc w:val="both"/>
      </w:pPr>
      <w:r>
        <w:rPr>
          <w:rStyle w:val="None"/>
          <w:rFonts w:ascii="Calibri Light" w:eastAsia="Calibri Light" w:hAnsi="Calibri Light" w:cs="Calibri Light"/>
          <w:b/>
          <w:bCs/>
        </w:rPr>
        <w:t>Between Status and contract:</w:t>
      </w:r>
    </w:p>
    <w:p w:rsidR="00EB7153" w:rsidRDefault="00371570">
      <w:pPr>
        <w:pStyle w:val="BodyA"/>
        <w:jc w:val="both"/>
      </w:pPr>
      <w:r>
        <w:rPr>
          <w:rStyle w:val="None"/>
          <w:rFonts w:ascii="Calibri Light" w:eastAsia="Calibri Light" w:hAnsi="Calibri Light" w:cs="Calibri Light"/>
        </w:rPr>
        <w:t>Despite the significant gains in professionalization of the domestic work sector, the “</w:t>
      </w:r>
      <w:r w:rsidRPr="00C72C36">
        <w:rPr>
          <w:rStyle w:val="None"/>
          <w:rFonts w:ascii="Calibri Light" w:eastAsia="Calibri Light" w:hAnsi="Calibri Light" w:cs="Calibri Light"/>
          <w:lang w:val="en-GB"/>
        </w:rPr>
        <w:t>culture</w:t>
      </w:r>
      <w:r>
        <w:rPr>
          <w:rStyle w:val="None"/>
          <w:rFonts w:ascii="Calibri Light" w:eastAsia="Calibri Light" w:hAnsi="Calibri Light" w:cs="Calibri Light"/>
        </w:rPr>
        <w:t xml:space="preserve">’ of work in these workspaces is still underpinned by its roots in slavery and servitude and permeated by a “master </w:t>
      </w:r>
      <w:r>
        <w:rPr>
          <w:rStyle w:val="None"/>
          <w:rFonts w:ascii="Calibri Light" w:eastAsia="Calibri Light" w:hAnsi="Calibri Light" w:cs="Calibri Light"/>
        </w:rPr>
        <w:t xml:space="preserve">and servant” ethos, which runs contrary to the value and principle of non-discrimination. </w:t>
      </w:r>
    </w:p>
    <w:p w:rsidR="00EB7153" w:rsidRDefault="00371570">
      <w:pPr>
        <w:pStyle w:val="BodyA"/>
        <w:jc w:val="both"/>
      </w:pPr>
      <w:r>
        <w:rPr>
          <w:rStyle w:val="None"/>
          <w:rFonts w:ascii="Calibri Light" w:eastAsia="Calibri Light" w:hAnsi="Calibri Light" w:cs="Calibri Light"/>
        </w:rPr>
        <w:t>This culture is enabled by the absence of protection in Sectoral Determination 7 regulating domestic work, for privacy rights, adequate housing or the provision of f</w:t>
      </w:r>
      <w:r>
        <w:rPr>
          <w:rStyle w:val="None"/>
          <w:rFonts w:ascii="Calibri Light" w:eastAsia="Calibri Light" w:hAnsi="Calibri Light" w:cs="Calibri Light"/>
        </w:rPr>
        <w:t>ood, for live-in domestic work. Similarly, Sectoral Determination 7 is silent on issues such as the right of domestic workers to family and freedom of association; to raise their own children or have visitors, and frequently restrict the movement of domest</w:t>
      </w:r>
      <w:r>
        <w:rPr>
          <w:rStyle w:val="None"/>
          <w:rFonts w:ascii="Calibri Light" w:eastAsia="Calibri Light" w:hAnsi="Calibri Light" w:cs="Calibri Light"/>
        </w:rPr>
        <w:t>ic workers during non-working hours.</w:t>
      </w:r>
      <w:r>
        <w:rPr>
          <w:rStyle w:val="None"/>
          <w:rFonts w:ascii="Calibri Light" w:eastAsia="Calibri Light" w:hAnsi="Calibri Light" w:cs="Calibri Light"/>
          <w:b/>
          <w:bCs/>
          <w:vertAlign w:val="superscript"/>
        </w:rPr>
        <w:footnoteReference w:id="3"/>
      </w:r>
      <w:r>
        <w:rPr>
          <w:rStyle w:val="None"/>
          <w:rFonts w:ascii="Calibri Light" w:eastAsia="Calibri Light" w:hAnsi="Calibri Light" w:cs="Calibri Light"/>
        </w:rPr>
        <w:t xml:space="preserve"> </w:t>
      </w:r>
    </w:p>
    <w:p w:rsidR="00EB7153" w:rsidRDefault="00371570">
      <w:pPr>
        <w:pStyle w:val="BodyA"/>
        <w:jc w:val="both"/>
      </w:pPr>
      <w:r>
        <w:rPr>
          <w:rStyle w:val="None"/>
          <w:rFonts w:ascii="Calibri Light" w:eastAsia="Calibri Light" w:hAnsi="Calibri Light" w:cs="Calibri Light"/>
          <w:b/>
          <w:bCs/>
        </w:rPr>
        <w:t xml:space="preserve">Sectional Title Housing </w:t>
      </w:r>
    </w:p>
    <w:p w:rsidR="00EB7153" w:rsidRDefault="00371570">
      <w:pPr>
        <w:pStyle w:val="BodyA"/>
        <w:jc w:val="both"/>
      </w:pPr>
      <w:r>
        <w:rPr>
          <w:rStyle w:val="None"/>
          <w:rFonts w:ascii="Calibri Light" w:eastAsia="Calibri Light" w:hAnsi="Calibri Light" w:cs="Calibri Light"/>
        </w:rPr>
        <w:t xml:space="preserve">There are currently approximately over 700,000 sectional title homes in South Africa, housing more than 67 million people. Domestic workers employed in a sectional title housing complexes are </w:t>
      </w:r>
      <w:r>
        <w:rPr>
          <w:rStyle w:val="None"/>
          <w:rFonts w:ascii="Calibri Light" w:eastAsia="Calibri Light" w:hAnsi="Calibri Light" w:cs="Calibri Light"/>
        </w:rPr>
        <w:t>subject to the rules of body corporates which frequently prescribe segregation and discrimination of live-in domestic workers by restricting  rights and access of resident domestic workers, prohibiting them from using communal areas, from entering or exiti</w:t>
      </w:r>
      <w:r>
        <w:rPr>
          <w:rStyle w:val="None"/>
          <w:rFonts w:ascii="Calibri Light" w:eastAsia="Calibri Light" w:hAnsi="Calibri Light" w:cs="Calibri Light"/>
        </w:rPr>
        <w:t>ng freely, or from having visitors or family members in their housing. In some cases they are forced to carry special IDs and can be removed from the complex or denied entry by will of the Body Corporate trustees.</w:t>
      </w:r>
      <w:r>
        <w:rPr>
          <w:rStyle w:val="None"/>
          <w:rFonts w:ascii="Calibri Light" w:eastAsia="Calibri Light" w:hAnsi="Calibri Light" w:cs="Calibri Light"/>
          <w:vertAlign w:val="superscript"/>
        </w:rPr>
        <w:footnoteReference w:id="4"/>
      </w:r>
      <w:r>
        <w:rPr>
          <w:rStyle w:val="None"/>
          <w:rFonts w:ascii="Calibri Light" w:eastAsia="Calibri Light" w:hAnsi="Calibri Light" w:cs="Calibri Light"/>
        </w:rPr>
        <w:t>It is particularly odious, and also reveal</w:t>
      </w:r>
      <w:r>
        <w:rPr>
          <w:rStyle w:val="None"/>
          <w:rFonts w:ascii="Calibri Light" w:eastAsia="Calibri Light" w:hAnsi="Calibri Light" w:cs="Calibri Light"/>
        </w:rPr>
        <w:t>ing, that some Conduct Rules, still refer to domestic workers as “servants”.</w:t>
      </w:r>
      <w:r>
        <w:rPr>
          <w:rStyle w:val="None"/>
          <w:rFonts w:ascii="Calibri Light" w:eastAsia="Calibri Light" w:hAnsi="Calibri Light" w:cs="Calibri Light"/>
          <w:vertAlign w:val="superscript"/>
        </w:rPr>
        <w:footnoteReference w:id="5"/>
      </w:r>
    </w:p>
    <w:p w:rsidR="00EB7153" w:rsidRDefault="00371570">
      <w:pPr>
        <w:pStyle w:val="BodyA"/>
        <w:jc w:val="both"/>
      </w:pPr>
      <w:r>
        <w:rPr>
          <w:rStyle w:val="None"/>
          <w:rFonts w:ascii="Calibri Light" w:eastAsia="Calibri Light" w:hAnsi="Calibri Light" w:cs="Calibri Light"/>
        </w:rPr>
        <w:t>In research conducted by IZWI Domestic Worker Alliance and Solidarity Centre (forthcoming), 39% of workers residing and working in sectional title complexes reported not having k</w:t>
      </w:r>
      <w:r>
        <w:rPr>
          <w:rStyle w:val="None"/>
          <w:rFonts w:ascii="Calibri Light" w:eastAsia="Calibri Light" w:hAnsi="Calibri Light" w:cs="Calibri Light"/>
        </w:rPr>
        <w:t>eys to get in and out of the complex; 50% were not permitted to use common areas such as gardens or lobbies; 76% were not allowed to use the swimming pool; 72% were not allowed to have visitors in their accommodation; 82% were not allowed overnight visitor</w:t>
      </w:r>
      <w:r>
        <w:rPr>
          <w:rStyle w:val="None"/>
          <w:rFonts w:ascii="Calibri Light" w:eastAsia="Calibri Light" w:hAnsi="Calibri Light" w:cs="Calibri Light"/>
        </w:rPr>
        <w:t>s in their accommodation not allowed family or friends to live with them.</w:t>
      </w:r>
      <w:r>
        <w:rPr>
          <w:rStyle w:val="None"/>
          <w:rFonts w:ascii="Calibri Light" w:eastAsia="Calibri Light" w:hAnsi="Calibri Light" w:cs="Calibri Light"/>
          <w:vertAlign w:val="superscript"/>
        </w:rPr>
        <w:footnoteReference w:id="6"/>
      </w:r>
      <w:r>
        <w:rPr>
          <w:rStyle w:val="None"/>
          <w:rFonts w:ascii="Calibri Light" w:eastAsia="Calibri Light" w:hAnsi="Calibri Light" w:cs="Calibri Light"/>
        </w:rPr>
        <w:t xml:space="preserve"> </w:t>
      </w:r>
    </w:p>
    <w:p w:rsidR="00EB7153" w:rsidRDefault="00371570">
      <w:pPr>
        <w:pStyle w:val="BodyA"/>
        <w:jc w:val="both"/>
      </w:pPr>
      <w:r>
        <w:rPr>
          <w:rStyle w:val="None"/>
          <w:rFonts w:ascii="Calibri Light" w:eastAsia="Calibri Light" w:hAnsi="Calibri Light" w:cs="Calibri Light"/>
          <w:b/>
          <w:bCs/>
        </w:rPr>
        <w:t xml:space="preserve">The Platform Economy </w:t>
      </w:r>
    </w:p>
    <w:p w:rsidR="00EB7153" w:rsidRDefault="00371570">
      <w:pPr>
        <w:pStyle w:val="BodyA"/>
        <w:jc w:val="both"/>
      </w:pPr>
      <w:r>
        <w:rPr>
          <w:rStyle w:val="None"/>
          <w:rFonts w:ascii="Calibri Light" w:eastAsia="Calibri Light" w:hAnsi="Calibri Light" w:cs="Calibri Light"/>
        </w:rPr>
        <w:t>South Africa, like elsewhere in the world, is seeing the rise of the platform economy in care work and domestic work. While the “</w:t>
      </w:r>
      <w:r>
        <w:rPr>
          <w:rStyle w:val="None"/>
          <w:rFonts w:ascii="Calibri Light" w:eastAsia="Calibri Light" w:hAnsi="Calibri Light" w:cs="Calibri Light"/>
          <w:lang w:val="de-DE"/>
        </w:rPr>
        <w:t>gig</w:t>
      </w:r>
      <w:r>
        <w:rPr>
          <w:rStyle w:val="None"/>
          <w:rFonts w:ascii="Calibri Light" w:eastAsia="Calibri Light" w:hAnsi="Calibri Light" w:cs="Calibri Light"/>
        </w:rPr>
        <w:t>” economy offers benefits,</w:t>
      </w:r>
      <w:r>
        <w:rPr>
          <w:rStyle w:val="None"/>
          <w:rFonts w:ascii="Calibri Light" w:eastAsia="Calibri Light" w:hAnsi="Calibri Light" w:cs="Calibri Light"/>
        </w:rPr>
        <w:t xml:space="preserve"> particularly flexibility, the most important critique of these platforms is that the benefits of the regulatory protect framework for domestic work are circumvented, and they are considered “contract workers”, without social protection, such as maternity </w:t>
      </w:r>
      <w:r>
        <w:rPr>
          <w:rStyle w:val="None"/>
          <w:rFonts w:ascii="Calibri Light" w:eastAsia="Calibri Light" w:hAnsi="Calibri Light" w:cs="Calibri Light"/>
        </w:rPr>
        <w:t xml:space="preserve">benefits </w:t>
      </w:r>
      <w:r>
        <w:rPr>
          <w:rStyle w:val="None"/>
          <w:rFonts w:ascii="Calibri Light" w:eastAsia="Calibri Light" w:hAnsi="Calibri Light" w:cs="Calibri Light"/>
        </w:rPr>
        <w:lastRenderedPageBreak/>
        <w:t xml:space="preserve">and unemployment benefits.  Similarly, these workers are outside of traditional collective labour protection, such as freedom of association and collective bargaining. </w:t>
      </w:r>
    </w:p>
    <w:p w:rsidR="00EB7153" w:rsidRDefault="00371570">
      <w:pPr>
        <w:pStyle w:val="BodyA"/>
        <w:jc w:val="both"/>
      </w:pPr>
      <w:r>
        <w:rPr>
          <w:rStyle w:val="None"/>
          <w:rFonts w:ascii="Calibri Light" w:eastAsia="Calibri Light" w:hAnsi="Calibri Light" w:cs="Calibri Light"/>
        </w:rPr>
        <w:t>In South Africa, new online platforms such as SweepSouth</w:t>
      </w:r>
      <w:r>
        <w:rPr>
          <w:rStyle w:val="None"/>
          <w:rFonts w:ascii="Calibri Light" w:eastAsia="Calibri Light" w:hAnsi="Calibri Light" w:cs="Calibri Light"/>
          <w:vertAlign w:val="superscript"/>
        </w:rPr>
        <w:footnoteReference w:id="7"/>
      </w:r>
      <w:r>
        <w:rPr>
          <w:rStyle w:val="None"/>
          <w:rFonts w:ascii="Calibri Light" w:eastAsia="Calibri Light" w:hAnsi="Calibri Light" w:cs="Calibri Light"/>
        </w:rPr>
        <w:t xml:space="preserve"> and Domestly</w:t>
      </w:r>
      <w:r>
        <w:rPr>
          <w:rStyle w:val="None"/>
          <w:rFonts w:ascii="Calibri Light" w:eastAsia="Calibri Light" w:hAnsi="Calibri Light" w:cs="Calibri Light"/>
          <w:vertAlign w:val="superscript"/>
        </w:rPr>
        <w:footnoteReference w:id="8"/>
      </w:r>
      <w:r>
        <w:rPr>
          <w:rStyle w:val="None"/>
          <w:rFonts w:ascii="Calibri Light" w:eastAsia="Calibri Light" w:hAnsi="Calibri Light" w:cs="Calibri Light"/>
        </w:rPr>
        <w:t xml:space="preserve"> have e</w:t>
      </w:r>
      <w:r>
        <w:rPr>
          <w:rStyle w:val="None"/>
          <w:rFonts w:ascii="Calibri Light" w:eastAsia="Calibri Light" w:hAnsi="Calibri Light" w:cs="Calibri Light"/>
        </w:rPr>
        <w:t>ssentially become labour brokers for domestic workers, in which workers are contracted to the platform company, and homeowners pay that company, rather than paying the worker directly. They are employed on a “</w:t>
      </w:r>
      <w:r>
        <w:rPr>
          <w:rStyle w:val="None"/>
          <w:rFonts w:ascii="Calibri Light" w:eastAsia="Calibri Light" w:hAnsi="Calibri Light" w:cs="Calibri Light"/>
          <w:lang w:val="de-DE"/>
        </w:rPr>
        <w:t>gig</w:t>
      </w:r>
      <w:r>
        <w:rPr>
          <w:rStyle w:val="None"/>
          <w:rFonts w:ascii="Calibri Light" w:eastAsia="Calibri Light" w:hAnsi="Calibri Light" w:cs="Calibri Light"/>
        </w:rPr>
        <w:t xml:space="preserve">” basis rather than as permanent employees, </w:t>
      </w:r>
      <w:r>
        <w:rPr>
          <w:rStyle w:val="None"/>
          <w:rFonts w:ascii="Calibri Light" w:eastAsia="Calibri Light" w:hAnsi="Calibri Light" w:cs="Calibri Light"/>
        </w:rPr>
        <w:t>and thus do not get UIF, any type of paid leave, or most other social security and labour benefits due to workers. There are a number of cases outstanding of SweepSouth workers who have been mistreated; however, SweepSouth and the owner of the home being c</w:t>
      </w:r>
      <w:r>
        <w:rPr>
          <w:rStyle w:val="None"/>
          <w:rFonts w:ascii="Calibri Light" w:eastAsia="Calibri Light" w:hAnsi="Calibri Light" w:cs="Calibri Light"/>
        </w:rPr>
        <w:t xml:space="preserve">leaned, both refuse to be recognised as the employer and so no one gets held accountable. </w:t>
      </w:r>
    </w:p>
    <w:p w:rsidR="00EB7153" w:rsidRDefault="00371570">
      <w:pPr>
        <w:pStyle w:val="BodyA"/>
        <w:jc w:val="both"/>
      </w:pPr>
      <w:r>
        <w:rPr>
          <w:rStyle w:val="None"/>
          <w:rFonts w:ascii="Calibri Light" w:eastAsia="Calibri Light" w:hAnsi="Calibri Light" w:cs="Calibri Light"/>
          <w:b/>
          <w:bCs/>
        </w:rPr>
        <w:t>The Unpaid care-work Blind Spot</w:t>
      </w:r>
    </w:p>
    <w:p w:rsidR="00EB7153" w:rsidRDefault="00371570">
      <w:pPr>
        <w:pStyle w:val="BodyA"/>
        <w:jc w:val="both"/>
      </w:pPr>
      <w:r>
        <w:rPr>
          <w:rStyle w:val="None"/>
          <w:rFonts w:ascii="Calibri Light" w:eastAsia="Calibri Light" w:hAnsi="Calibri Light" w:cs="Calibri Light"/>
        </w:rPr>
        <w:t>Care work, including domestic work, mostly carried out by women, is categorised as unpaid, unproductive and unskilled work; the under</w:t>
      </w:r>
      <w:r>
        <w:rPr>
          <w:rStyle w:val="None"/>
          <w:rFonts w:ascii="Calibri Light" w:eastAsia="Calibri Light" w:hAnsi="Calibri Light" w:cs="Calibri Light"/>
        </w:rPr>
        <w:t>valuation is carried over into paid domestic work, disproportionately carried out by women, under extremely low wages and poor working conditions. This care “</w:t>
      </w:r>
      <w:r>
        <w:rPr>
          <w:rStyle w:val="None"/>
          <w:rFonts w:ascii="Calibri Light" w:eastAsia="Calibri Light" w:hAnsi="Calibri Light" w:cs="Calibri Light"/>
          <w:lang w:val="pt-PT"/>
        </w:rPr>
        <w:t>blin</w:t>
      </w:r>
      <w:r>
        <w:rPr>
          <w:rStyle w:val="None"/>
          <w:rFonts w:ascii="Calibri Light" w:eastAsia="Calibri Light" w:hAnsi="Calibri Light" w:cs="Calibri Light"/>
          <w:lang w:val="da-DK"/>
        </w:rPr>
        <w:t>dspot</w:t>
      </w:r>
      <w:r>
        <w:rPr>
          <w:rStyle w:val="None"/>
          <w:rFonts w:ascii="Calibri Light" w:eastAsia="Calibri Light" w:hAnsi="Calibri Light" w:cs="Calibri Light"/>
        </w:rPr>
        <w:t>” is also reflected in the reality that South Africa’s law and policymaking still lacks c</w:t>
      </w:r>
      <w:r>
        <w:rPr>
          <w:rStyle w:val="None"/>
          <w:rFonts w:ascii="Calibri Light" w:eastAsia="Calibri Light" w:hAnsi="Calibri Light" w:cs="Calibri Light"/>
        </w:rPr>
        <w:t>larity on the definition of unpaid care-work.</w:t>
      </w:r>
    </w:p>
    <w:p w:rsidR="00EB7153" w:rsidRDefault="00371570">
      <w:pPr>
        <w:pStyle w:val="BodyA"/>
        <w:jc w:val="both"/>
      </w:pPr>
      <w:r>
        <w:rPr>
          <w:rStyle w:val="None"/>
          <w:rFonts w:ascii="Calibri Light" w:eastAsia="Calibri Light" w:hAnsi="Calibri Light" w:cs="Calibri Light"/>
        </w:rPr>
        <w:t>The COVID-19 crisis and lockdown in South Africa destabilized work not just in the paid economy, but also in the unpaid (care) economy, with the childcare burden increasing substantially and adding to the respo</w:t>
      </w:r>
      <w:r>
        <w:rPr>
          <w:rStyle w:val="None"/>
          <w:rFonts w:ascii="Calibri Light" w:eastAsia="Calibri Light" w:hAnsi="Calibri Light" w:cs="Calibri Light"/>
        </w:rPr>
        <w:t>nsibility of women in the household. In South Africa, during the hard lockdown period all schools, early childhood development centres (ECDs) and childcare facilities were closed, and domestic workers and childminders were unable to work in private househo</w:t>
      </w:r>
      <w:r>
        <w:rPr>
          <w:rStyle w:val="None"/>
          <w:rFonts w:ascii="Calibri Light" w:eastAsia="Calibri Light" w:hAnsi="Calibri Light" w:cs="Calibri Light"/>
        </w:rPr>
        <w:t xml:space="preserve">lds and therefore unable to provide income for their families. During the hard lockdown phase domestic workers and childminders, of which there were approximately a million in South Africa pre-crisis were unable to continue working in private households.  </w:t>
      </w:r>
      <w:r>
        <w:rPr>
          <w:rStyle w:val="None"/>
          <w:rFonts w:ascii="Calibri Light" w:eastAsia="Calibri Light" w:hAnsi="Calibri Light" w:cs="Calibri Light"/>
        </w:rPr>
        <w:t>However, according to IZWI research conducted in April 2020, a substantial number of domestic workers did continue to work during lock down  - 37% of 600 respondents - because they were either live-in or moved in for that period.</w:t>
      </w:r>
      <w:r>
        <w:rPr>
          <w:rStyle w:val="None"/>
          <w:rFonts w:ascii="Calibri Light" w:eastAsia="Calibri Light" w:hAnsi="Calibri Light" w:cs="Calibri Light"/>
          <w:vertAlign w:val="superscript"/>
        </w:rPr>
        <w:footnoteReference w:id="9"/>
      </w:r>
    </w:p>
    <w:p w:rsidR="00EB7153" w:rsidRDefault="00371570">
      <w:pPr>
        <w:pStyle w:val="BodyA"/>
        <w:jc w:val="both"/>
      </w:pPr>
      <w:r>
        <w:rPr>
          <w:rStyle w:val="None"/>
          <w:rFonts w:ascii="Calibri Light" w:eastAsia="Calibri Light" w:hAnsi="Calibri Light" w:cs="Calibri Light"/>
          <w:b/>
          <w:bCs/>
          <w:lang w:val="de-DE"/>
        </w:rPr>
        <w:t xml:space="preserve">Sex-work: </w:t>
      </w:r>
    </w:p>
    <w:p w:rsidR="00EB7153" w:rsidRDefault="00371570">
      <w:pPr>
        <w:pStyle w:val="BodyA"/>
        <w:jc w:val="both"/>
      </w:pPr>
      <w:r>
        <w:rPr>
          <w:rStyle w:val="None"/>
          <w:rFonts w:ascii="Calibri Light" w:eastAsia="Calibri Light" w:hAnsi="Calibri Light" w:cs="Calibri Light"/>
        </w:rPr>
        <w:t>The ongoing criminalization of “</w:t>
      </w:r>
      <w:r w:rsidRPr="00C72C36">
        <w:rPr>
          <w:rStyle w:val="None"/>
          <w:rFonts w:ascii="Calibri Light" w:eastAsia="Calibri Light" w:hAnsi="Calibri Light" w:cs="Calibri Light"/>
          <w:lang w:val="en-GB"/>
        </w:rPr>
        <w:t>prostitution</w:t>
      </w:r>
      <w:r>
        <w:rPr>
          <w:rStyle w:val="None"/>
          <w:rFonts w:ascii="Calibri Light" w:eastAsia="Calibri Light" w:hAnsi="Calibri Light" w:cs="Calibri Light"/>
        </w:rPr>
        <w:t>” in South Africa is specifically at odds with sex workers’ right to work in just and equitable conditions of employment which were recognised by the Labour Appeal Court as far back as 2010 in the Kylie judgment</w:t>
      </w:r>
      <w:r>
        <w:rPr>
          <w:rStyle w:val="None"/>
          <w:rFonts w:ascii="Calibri Light" w:eastAsia="Calibri Light" w:hAnsi="Calibri Light" w:cs="Calibri Light"/>
          <w:vertAlign w:val="superscript"/>
        </w:rPr>
        <w:footnoteReference w:id="10"/>
      </w:r>
      <w:r>
        <w:rPr>
          <w:rStyle w:val="None"/>
          <w:rFonts w:ascii="Calibri Light" w:eastAsia="Calibri Light" w:hAnsi="Calibri Light" w:cs="Calibri Light"/>
        </w:rPr>
        <w:t>. Whilst the Kylie Court afforded sex workers the right to fair labour practices, the extent of this right remains unclear. The, judgment does little to assist sex workers in enforcing labour rights since sex workers are unlikely to take labour disputes fo</w:t>
      </w:r>
      <w:r>
        <w:rPr>
          <w:rStyle w:val="None"/>
          <w:rFonts w:ascii="Calibri Light" w:eastAsia="Calibri Light" w:hAnsi="Calibri Light" w:cs="Calibri Light"/>
        </w:rPr>
        <w:t>rward to the CCMA for fear of being identified as a sex worker publicly or being profiled and targeted by the police.</w:t>
      </w:r>
    </w:p>
    <w:p w:rsidR="00EB7153" w:rsidRDefault="00371570">
      <w:pPr>
        <w:pStyle w:val="BodyA"/>
        <w:jc w:val="both"/>
      </w:pPr>
      <w:r>
        <w:rPr>
          <w:rStyle w:val="None"/>
          <w:rFonts w:ascii="Calibri Light" w:eastAsia="Calibri Light" w:hAnsi="Calibri Light" w:cs="Calibri Light"/>
        </w:rPr>
        <w:lastRenderedPageBreak/>
        <w:t xml:space="preserve">Although the decriminalization of sex work has been included as part of the government’s National Strategic Plan on Gender Based Violence </w:t>
      </w:r>
      <w:r>
        <w:rPr>
          <w:rStyle w:val="None"/>
          <w:rFonts w:ascii="Calibri Light" w:eastAsia="Calibri Light" w:hAnsi="Calibri Light" w:cs="Calibri Light"/>
        </w:rPr>
        <w:t>and Femicide</w:t>
      </w:r>
      <w:r>
        <w:rPr>
          <w:rStyle w:val="None"/>
          <w:rFonts w:ascii="Calibri Light" w:eastAsia="Calibri Light" w:hAnsi="Calibri Light" w:cs="Calibri Light"/>
          <w:vertAlign w:val="superscript"/>
        </w:rPr>
        <w:footnoteReference w:id="11"/>
      </w:r>
      <w:r>
        <w:rPr>
          <w:rStyle w:val="None"/>
          <w:rFonts w:ascii="Calibri Light" w:eastAsia="Calibri Light" w:hAnsi="Calibri Light" w:cs="Calibri Light"/>
        </w:rPr>
        <w:t xml:space="preserve"> there has been no public announcement of law reform presently underway to realize this goal. </w:t>
      </w:r>
    </w:p>
    <w:p w:rsidR="00EB7153" w:rsidRDefault="00371570">
      <w:pPr>
        <w:pStyle w:val="BodyA"/>
        <w:jc w:val="both"/>
      </w:pPr>
      <w:r>
        <w:rPr>
          <w:rStyle w:val="None"/>
          <w:rFonts w:ascii="Calibri Light" w:eastAsia="Calibri Light" w:hAnsi="Calibri Light" w:cs="Calibri Light"/>
        </w:rPr>
        <w:t>Sex workers however were left out of the government’s Temporary Employee Relief Scheme (TERS) when it was introduced as a measure to address the imp</w:t>
      </w:r>
      <w:r>
        <w:rPr>
          <w:rStyle w:val="None"/>
          <w:rFonts w:ascii="Calibri Light" w:eastAsia="Calibri Light" w:hAnsi="Calibri Light" w:cs="Calibri Light"/>
        </w:rPr>
        <w:t xml:space="preserve">act of COVID 19 on the work force during measures to curb the spread of the COVID 19 pandemic. Given the criminalization of their profession and their employers sex workers are unable to access the benefit of the scheme. </w:t>
      </w:r>
    </w:p>
    <w:p w:rsidR="00EB7153" w:rsidRDefault="00371570">
      <w:pPr>
        <w:pStyle w:val="BodyA"/>
        <w:jc w:val="both"/>
      </w:pPr>
      <w:r>
        <w:rPr>
          <w:rStyle w:val="None"/>
          <w:rFonts w:ascii="Calibri Light" w:eastAsia="Calibri Light" w:hAnsi="Calibri Light" w:cs="Calibri Light"/>
        </w:rPr>
        <w:t>Research shows that</w:t>
      </w:r>
      <w:r>
        <w:rPr>
          <w:rStyle w:val="None"/>
          <w:rFonts w:ascii="Calibri Light" w:eastAsia="Calibri Light" w:hAnsi="Calibri Light" w:cs="Calibri Light"/>
          <w:sz w:val="24"/>
          <w:szCs w:val="24"/>
        </w:rPr>
        <w:t xml:space="preserve"> </w:t>
      </w:r>
      <w:r>
        <w:rPr>
          <w:rStyle w:val="None"/>
          <w:rFonts w:ascii="Calibri Light" w:eastAsia="Calibri Light" w:hAnsi="Calibri Light" w:cs="Calibri Light"/>
        </w:rPr>
        <w:t>Sex workers do</w:t>
      </w:r>
      <w:r>
        <w:rPr>
          <w:rStyle w:val="None"/>
          <w:rFonts w:ascii="Calibri Light" w:eastAsia="Calibri Light" w:hAnsi="Calibri Light" w:cs="Calibri Light"/>
        </w:rPr>
        <w:t xml:space="preserve"> not report crimes committed against them by others such as clients, members of their communities, intimate partners etc. because they fear being profiled and targeted by the police in future. They perceive that they not taken seriously when reporting crim</w:t>
      </w:r>
      <w:r>
        <w:rPr>
          <w:rStyle w:val="None"/>
          <w:rFonts w:ascii="Calibri Light" w:eastAsia="Calibri Light" w:hAnsi="Calibri Light" w:cs="Calibri Light"/>
        </w:rPr>
        <w:t>es committed against them and that their cases are simply not taken forward</w:t>
      </w:r>
      <w:r>
        <w:rPr>
          <w:rStyle w:val="None"/>
          <w:rFonts w:ascii="Calibri Light" w:eastAsia="Calibri Light" w:hAnsi="Calibri Light" w:cs="Calibri Light"/>
          <w:vertAlign w:val="superscript"/>
        </w:rPr>
        <w:footnoteReference w:id="12"/>
      </w:r>
      <w:r>
        <w:rPr>
          <w:rStyle w:val="None"/>
          <w:rFonts w:ascii="Calibri Light" w:eastAsia="Calibri Light" w:hAnsi="Calibri Light" w:cs="Calibri Light"/>
        </w:rPr>
        <w:t xml:space="preserve"> </w:t>
      </w:r>
    </w:p>
    <w:p w:rsidR="00EB7153" w:rsidRDefault="00371570">
      <w:pPr>
        <w:pStyle w:val="BodyA"/>
        <w:jc w:val="both"/>
      </w:pPr>
      <w:r>
        <w:rPr>
          <w:rStyle w:val="None"/>
          <w:rFonts w:ascii="Calibri Light" w:eastAsia="Calibri Light" w:hAnsi="Calibri Light" w:cs="Calibri Light"/>
          <w:b/>
          <w:bCs/>
        </w:rPr>
        <w:t xml:space="preserve">RECOMMENDATIONS: </w:t>
      </w:r>
    </w:p>
    <w:p w:rsidR="00EB7153" w:rsidRDefault="00371570">
      <w:pPr>
        <w:pStyle w:val="BodyA"/>
        <w:numPr>
          <w:ilvl w:val="0"/>
          <w:numId w:val="4"/>
        </w:numPr>
        <w:jc w:val="both"/>
        <w:rPr>
          <w:rFonts w:ascii="Calibri Light" w:eastAsia="Calibri Light" w:hAnsi="Calibri Light" w:cs="Calibri Light"/>
          <w:b/>
          <w:bCs/>
        </w:rPr>
      </w:pPr>
      <w:r>
        <w:rPr>
          <w:rFonts w:ascii="Calibri Light" w:eastAsia="Calibri Light" w:hAnsi="Calibri Light" w:cs="Calibri Light"/>
          <w:b/>
          <w:bCs/>
        </w:rPr>
        <w:t>Legislate for</w:t>
      </w:r>
      <w:r w:rsidR="00C72C36">
        <w:rPr>
          <w:rFonts w:ascii="Calibri Light" w:eastAsia="Calibri Light" w:hAnsi="Calibri Light" w:cs="Calibri Light"/>
          <w:b/>
          <w:bCs/>
        </w:rPr>
        <w:t xml:space="preserve"> the decriminalization of sex wo</w:t>
      </w:r>
      <w:r>
        <w:rPr>
          <w:rFonts w:ascii="Calibri Light" w:eastAsia="Calibri Light" w:hAnsi="Calibri Light" w:cs="Calibri Light"/>
          <w:b/>
          <w:bCs/>
        </w:rPr>
        <w:t>rk; institute  compulsory sex work sensitisation training and accountability for all law enforcement officers ; inc</w:t>
      </w:r>
      <w:r>
        <w:rPr>
          <w:rFonts w:ascii="Calibri Light" w:eastAsia="Calibri Light" w:hAnsi="Calibri Light" w:cs="Calibri Light"/>
          <w:b/>
          <w:bCs/>
        </w:rPr>
        <w:t>rease state funding for NGOs to provide empowerment training for sex workers and support legal, psychosocial and health services.</w:t>
      </w:r>
    </w:p>
    <w:p w:rsidR="00EB7153" w:rsidRDefault="00371570">
      <w:pPr>
        <w:pStyle w:val="BodyA"/>
        <w:numPr>
          <w:ilvl w:val="0"/>
          <w:numId w:val="4"/>
        </w:numPr>
        <w:jc w:val="both"/>
        <w:rPr>
          <w:rFonts w:ascii="Calibri Light" w:eastAsia="Calibri Light" w:hAnsi="Calibri Light" w:cs="Calibri Light"/>
          <w:b/>
          <w:bCs/>
        </w:rPr>
      </w:pPr>
      <w:r>
        <w:rPr>
          <w:rFonts w:ascii="Calibri Light" w:eastAsia="Calibri Light" w:hAnsi="Calibri Light" w:cs="Calibri Light"/>
          <w:b/>
          <w:bCs/>
        </w:rPr>
        <w:t>Embark on a systematic public awareness campaign informing domestic worker employers  of their obligations which include regis</w:t>
      </w:r>
      <w:r>
        <w:rPr>
          <w:rFonts w:ascii="Calibri Light" w:eastAsia="Calibri Light" w:hAnsi="Calibri Light" w:cs="Calibri Light"/>
          <w:b/>
          <w:bCs/>
        </w:rPr>
        <w:t xml:space="preserve">tering their employees with and contributing to the Unemployment Insurance Fund and Compensation Fund; providing their employees with written particulars of employment and regular payslips and; adhering to the standards of employment contained in Sectoral </w:t>
      </w:r>
      <w:r>
        <w:rPr>
          <w:rFonts w:ascii="Calibri Light" w:eastAsia="Calibri Light" w:hAnsi="Calibri Light" w:cs="Calibri Light"/>
          <w:b/>
          <w:bCs/>
        </w:rPr>
        <w:t>Determination 7 and other labour legislation.</w:t>
      </w:r>
    </w:p>
    <w:p w:rsidR="00EB7153" w:rsidRDefault="00371570">
      <w:pPr>
        <w:pStyle w:val="BodyA"/>
        <w:numPr>
          <w:ilvl w:val="0"/>
          <w:numId w:val="4"/>
        </w:numPr>
        <w:jc w:val="both"/>
        <w:rPr>
          <w:rFonts w:ascii="Calibri Light" w:eastAsia="Calibri Light" w:hAnsi="Calibri Light" w:cs="Calibri Light"/>
          <w:b/>
          <w:bCs/>
        </w:rPr>
      </w:pPr>
      <w:r>
        <w:rPr>
          <w:rFonts w:ascii="Calibri Light" w:eastAsia="Calibri Light" w:hAnsi="Calibri Light" w:cs="Calibri Light"/>
          <w:b/>
          <w:bCs/>
        </w:rPr>
        <w:t>Amend the Sectional Title Housing Act, to prohibit discrimination with respect to live-on domestic workers employed in such housing complexes and enact a Code of Practice providing constitutional standards resu</w:t>
      </w:r>
      <w:r>
        <w:rPr>
          <w:rFonts w:ascii="Calibri Light" w:eastAsia="Calibri Light" w:hAnsi="Calibri Light" w:cs="Calibri Light"/>
          <w:b/>
          <w:bCs/>
        </w:rPr>
        <w:t>lting the right of staff residents.</w:t>
      </w:r>
    </w:p>
    <w:p w:rsidR="00EB7153" w:rsidRDefault="00371570">
      <w:pPr>
        <w:pStyle w:val="BodyA"/>
        <w:numPr>
          <w:ilvl w:val="0"/>
          <w:numId w:val="4"/>
        </w:numPr>
        <w:jc w:val="both"/>
        <w:rPr>
          <w:rFonts w:ascii="Calibri Light" w:eastAsia="Calibri Light" w:hAnsi="Calibri Light" w:cs="Calibri Light"/>
          <w:b/>
          <w:bCs/>
          <w:i/>
          <w:iCs/>
        </w:rPr>
      </w:pPr>
      <w:r>
        <w:rPr>
          <w:rStyle w:val="None"/>
          <w:rFonts w:ascii="Calibri Light" w:eastAsia="Calibri Light" w:hAnsi="Calibri Light" w:cs="Calibri Light"/>
          <w:b/>
          <w:bCs/>
        </w:rPr>
        <w:t>Amend amend SD 7, to include minimum housing standards, and regulate the rights to family and social life of domestic workers; protect right to freedom of movement, particularly outside of work hours; and provide guideli</w:t>
      </w:r>
      <w:r>
        <w:rPr>
          <w:rStyle w:val="None"/>
          <w:rFonts w:ascii="Calibri Light" w:eastAsia="Calibri Light" w:hAnsi="Calibri Light" w:cs="Calibri Light"/>
          <w:b/>
          <w:bCs/>
        </w:rPr>
        <w:t>nes on the provision of food.</w:t>
      </w:r>
    </w:p>
    <w:p w:rsidR="00EB7153" w:rsidRDefault="00EB7153">
      <w:pPr>
        <w:pStyle w:val="BodyA"/>
        <w:jc w:val="both"/>
      </w:pPr>
    </w:p>
    <w:p w:rsidR="00EB7153" w:rsidRDefault="00371570">
      <w:pPr>
        <w:pStyle w:val="ListParagraph"/>
        <w:numPr>
          <w:ilvl w:val="0"/>
          <w:numId w:val="5"/>
        </w:numPr>
        <w:jc w:val="both"/>
        <w:rPr>
          <w:rFonts w:ascii="Calibri Light" w:eastAsia="Calibri Light" w:hAnsi="Calibri Light" w:cs="Calibri Light"/>
        </w:rPr>
      </w:pPr>
      <w:r>
        <w:rPr>
          <w:rStyle w:val="None"/>
          <w:rFonts w:ascii="Helvetica" w:eastAsia="Calibri Light" w:hAnsi="Helvetica" w:cs="Calibri Light"/>
          <w:b/>
          <w:bCs/>
        </w:rPr>
        <w:t>ARTICLES 2 (E), 2 (D), 11 AND GENERAL RECOMMENDATIONS 12 AND 19:</w:t>
      </w:r>
      <w:r>
        <w:rPr>
          <w:rStyle w:val="None"/>
          <w:rFonts w:ascii="Calibri Light" w:eastAsia="Calibri Light" w:hAnsi="Calibri Light" w:cs="Calibri Light"/>
          <w:u w:val="single"/>
        </w:rPr>
        <w:t xml:space="preserve"> </w:t>
      </w:r>
      <w:r>
        <w:rPr>
          <w:rFonts w:ascii="Calibri Light" w:eastAsia="Calibri Light" w:hAnsi="Calibri Light" w:cs="Calibri Light"/>
        </w:rPr>
        <w:t xml:space="preserve">Gender-based violence and harassment in the world of work </w:t>
      </w:r>
    </w:p>
    <w:p w:rsidR="00EB7153" w:rsidRDefault="00371570">
      <w:pPr>
        <w:pStyle w:val="BodyA"/>
        <w:jc w:val="both"/>
      </w:pPr>
      <w:r>
        <w:rPr>
          <w:rStyle w:val="None"/>
          <w:rFonts w:ascii="Calibri Light" w:eastAsia="Calibri Light" w:hAnsi="Calibri Light" w:cs="Calibri Light"/>
        </w:rPr>
        <w:t>The CEDAW Committee has established that Gender Based Violence (‘GBV’</w:t>
      </w:r>
      <w:r>
        <w:rPr>
          <w:rStyle w:val="None"/>
          <w:rFonts w:ascii="Calibri Light" w:eastAsia="Calibri Light" w:hAnsi="Calibri Light" w:cs="Calibri Light"/>
        </w:rPr>
        <w:t xml:space="preserve">) constitutes discrimination under Article 1 of the Convention when such violence is directed against a woman because she is a woman, but also when it affects women disproportionately. In General Recommendation 19, the CEDAW Committee recognized that, </w:t>
      </w:r>
      <w:r>
        <w:rPr>
          <w:rStyle w:val="None"/>
          <w:rFonts w:ascii="Calibri Light" w:eastAsia="Calibri Light" w:hAnsi="Calibri Light" w:cs="Calibri Light"/>
          <w:i/>
          <w:iCs/>
        </w:rPr>
        <w:t>“equ</w:t>
      </w:r>
      <w:r>
        <w:rPr>
          <w:rStyle w:val="None"/>
          <w:rFonts w:ascii="Calibri Light" w:eastAsia="Calibri Light" w:hAnsi="Calibri Light" w:cs="Calibri Light"/>
          <w:i/>
          <w:iCs/>
        </w:rPr>
        <w:t xml:space="preserve">ality in employment can be seriously impaired when women are subjected to gender-specific violence, such as sexual harassment in the workplace.” </w:t>
      </w:r>
      <w:bookmarkStart w:id="1" w:name="_Hlk530351465"/>
      <w:r>
        <w:rPr>
          <w:rStyle w:val="None"/>
          <w:rFonts w:ascii="Calibri Light" w:eastAsia="Calibri Light" w:hAnsi="Calibri Light" w:cs="Calibri Light"/>
        </w:rPr>
        <w:t xml:space="preserve">According to CEDAW Recommendation </w:t>
      </w:r>
      <w:r>
        <w:rPr>
          <w:rStyle w:val="None"/>
          <w:rFonts w:ascii="Calibri Light" w:eastAsia="Calibri Light" w:hAnsi="Calibri Light" w:cs="Calibri Light"/>
        </w:rPr>
        <w:lastRenderedPageBreak/>
        <w:t>35</w:t>
      </w:r>
      <w:bookmarkEnd w:id="1"/>
      <w:r>
        <w:rPr>
          <w:rStyle w:val="None"/>
          <w:rFonts w:ascii="Calibri Light" w:eastAsia="Calibri Light" w:hAnsi="Calibri Light" w:cs="Calibri Light"/>
        </w:rPr>
        <w:t xml:space="preserve">, states must </w:t>
      </w:r>
      <w:r>
        <w:rPr>
          <w:rStyle w:val="None"/>
          <w:rFonts w:ascii="Calibri Light" w:eastAsia="Calibri Light" w:hAnsi="Calibri Light" w:cs="Calibri Light"/>
          <w:i/>
          <w:iCs/>
        </w:rPr>
        <w:t>“have an effective and accessible legal and services framewor</w:t>
      </w:r>
      <w:r>
        <w:rPr>
          <w:rStyle w:val="None"/>
          <w:rFonts w:ascii="Calibri Light" w:eastAsia="Calibri Light" w:hAnsi="Calibri Light" w:cs="Calibri Light"/>
          <w:i/>
          <w:iCs/>
        </w:rPr>
        <w:t>k in place to address all forms of gender-based violence.”</w:t>
      </w:r>
      <w:r>
        <w:rPr>
          <w:rStyle w:val="None"/>
          <w:rFonts w:ascii="Calibri Light" w:eastAsia="Calibri Light" w:hAnsi="Calibri Light" w:cs="Calibri Light"/>
          <w:vertAlign w:val="superscript"/>
        </w:rPr>
        <w:footnoteReference w:id="13"/>
      </w:r>
      <w:r>
        <w:rPr>
          <w:rStyle w:val="None"/>
          <w:rFonts w:ascii="Calibri Light" w:eastAsia="Calibri Light" w:hAnsi="Calibri Light" w:cs="Calibri Light"/>
        </w:rPr>
        <w:t xml:space="preserve"> State parties arel “be responsible if they fail to take all appropriate measures to prevent as well as to investigate, prosecute, punish and provide reparations for acts or omissions of non-state </w:t>
      </w:r>
      <w:r>
        <w:rPr>
          <w:rStyle w:val="None"/>
          <w:rFonts w:ascii="Calibri Light" w:eastAsia="Calibri Light" w:hAnsi="Calibri Light" w:cs="Calibri Light"/>
        </w:rPr>
        <w:t>actors which result in gender-based violence against women”.</w:t>
      </w:r>
      <w:r>
        <w:rPr>
          <w:rStyle w:val="None"/>
          <w:rFonts w:ascii="Calibri Light" w:eastAsia="Calibri Light" w:hAnsi="Calibri Light" w:cs="Calibri Light"/>
          <w:vertAlign w:val="superscript"/>
        </w:rPr>
        <w:footnoteReference w:id="14"/>
      </w:r>
    </w:p>
    <w:p w:rsidR="00EB7153" w:rsidRDefault="00371570">
      <w:pPr>
        <w:pStyle w:val="BodyA"/>
        <w:jc w:val="both"/>
      </w:pPr>
      <w:r>
        <w:rPr>
          <w:rStyle w:val="None"/>
          <w:rFonts w:ascii="Calibri Light" w:eastAsia="Calibri Light" w:hAnsi="Calibri Light" w:cs="Calibri Light"/>
        </w:rPr>
        <w:t>In South Africa, the Labour Relations Act states that sexual harassment is a form of misconduct and the employer “may” take disciplinary action against the harasser, who may be fairly dismissed.</w:t>
      </w:r>
      <w:r>
        <w:rPr>
          <w:rStyle w:val="None"/>
          <w:rFonts w:ascii="Calibri Light" w:eastAsia="Calibri Light" w:hAnsi="Calibri Light" w:cs="Calibri Light"/>
        </w:rPr>
        <w:t xml:space="preserve"> Significantly, Section 6(3) of the Employment Equity Act (EEA) sets out unequivocally that harassment of an employee is a form of unfair discrimination and is prohibited on a combination of grounds of unfair discrimination. In May 1998, NEDLAC</w:t>
      </w:r>
      <w:r>
        <w:rPr>
          <w:rStyle w:val="None"/>
          <w:rFonts w:ascii="Calibri Light" w:eastAsia="Calibri Light" w:hAnsi="Calibri Light" w:cs="Calibri Light"/>
          <w:vertAlign w:val="superscript"/>
        </w:rPr>
        <w:footnoteReference w:id="15"/>
      </w:r>
      <w:r>
        <w:rPr>
          <w:rStyle w:val="None"/>
          <w:rFonts w:ascii="Calibri Light" w:eastAsia="Calibri Light" w:hAnsi="Calibri Light" w:cs="Calibri Light"/>
        </w:rPr>
        <w:t xml:space="preserve">, passed a </w:t>
      </w:r>
      <w:r>
        <w:rPr>
          <w:rStyle w:val="None"/>
          <w:rFonts w:ascii="Calibri Light" w:eastAsia="Calibri Light" w:hAnsi="Calibri Light" w:cs="Calibri Light"/>
        </w:rPr>
        <w:t>voluntary Code of Good Practice on Handling Sexual Harassment Cases.</w:t>
      </w:r>
    </w:p>
    <w:p w:rsidR="00EB7153" w:rsidRDefault="00371570">
      <w:pPr>
        <w:pStyle w:val="BodyA"/>
        <w:jc w:val="both"/>
      </w:pPr>
      <w:r>
        <w:rPr>
          <w:rStyle w:val="None"/>
          <w:rFonts w:ascii="Calibri Light" w:eastAsia="Calibri Light" w:hAnsi="Calibri Light" w:cs="Calibri Light"/>
        </w:rPr>
        <w:t>Although there are no available statistics on the prevalence of sexual harassment in the workplace, it is thought to be widely pervasive in South Africa. Since the workplace is a microcos</w:t>
      </w:r>
      <w:r>
        <w:rPr>
          <w:rStyle w:val="None"/>
          <w:rFonts w:ascii="Calibri Light" w:eastAsia="Calibri Light" w:hAnsi="Calibri Light" w:cs="Calibri Light"/>
        </w:rPr>
        <w:t>m of South Africa, this presumption can be made based on the overall high levels of violence against women and persons of diverse sexual orientation and gender identity in South Africa as a whole. Women in the informal economy also face sexual harassment f</w:t>
      </w:r>
      <w:r>
        <w:rPr>
          <w:rStyle w:val="None"/>
          <w:rFonts w:ascii="Calibri Light" w:eastAsia="Calibri Light" w:hAnsi="Calibri Light" w:cs="Calibri Light"/>
        </w:rPr>
        <w:t>rom both government and customs officials. Domestic workers are often isolated in private homes, they are particularly vulnerable to sexual assault and abuse in their workplace. Yet outside of disturbing and graphic accounts reported in media on the sexual</w:t>
      </w:r>
      <w:r>
        <w:rPr>
          <w:rStyle w:val="None"/>
          <w:rFonts w:ascii="Calibri Light" w:eastAsia="Calibri Light" w:hAnsi="Calibri Light" w:cs="Calibri Light"/>
        </w:rPr>
        <w:t xml:space="preserve"> harassment and abuse of domestic workers, there is little data on the extent of harassment and violence against them.</w:t>
      </w:r>
      <w:r>
        <w:rPr>
          <w:rStyle w:val="None"/>
          <w:rFonts w:ascii="Calibri Light" w:eastAsia="Calibri Light" w:hAnsi="Calibri Light" w:cs="Calibri Light"/>
          <w:vertAlign w:val="superscript"/>
        </w:rPr>
        <w:footnoteReference w:id="16"/>
      </w:r>
      <w:r>
        <w:rPr>
          <w:rStyle w:val="None"/>
          <w:rFonts w:ascii="Calibri Light" w:eastAsia="Calibri Light" w:hAnsi="Calibri Light" w:cs="Calibri Light"/>
        </w:rPr>
        <w:t xml:space="preserve"> COSATU has also raised concerns at what it called a spike in the incidents of abuse of domestic workers in the country. </w:t>
      </w:r>
      <w:r>
        <w:rPr>
          <w:rStyle w:val="None"/>
          <w:rFonts w:ascii="Calibri Light" w:eastAsia="Calibri Light" w:hAnsi="Calibri Light" w:cs="Calibri Light"/>
          <w:b/>
          <w:bCs/>
          <w:vertAlign w:val="superscript"/>
        </w:rPr>
        <w:footnoteReference w:id="17"/>
      </w:r>
      <w:r>
        <w:rPr>
          <w:rStyle w:val="None"/>
          <w:rFonts w:ascii="Calibri Light" w:eastAsia="Calibri Light" w:hAnsi="Calibri Light" w:cs="Calibri Light"/>
          <w:b/>
          <w:bCs/>
        </w:rPr>
        <w:t xml:space="preserve"> </w:t>
      </w:r>
      <w:r>
        <w:rPr>
          <w:rStyle w:val="None"/>
          <w:rFonts w:ascii="Calibri Light" w:eastAsia="Calibri Light" w:hAnsi="Calibri Light" w:cs="Calibri Light"/>
        </w:rPr>
        <w:t>Domestic worke</w:t>
      </w:r>
      <w:r>
        <w:rPr>
          <w:rStyle w:val="None"/>
          <w:rFonts w:ascii="Calibri Light" w:eastAsia="Calibri Light" w:hAnsi="Calibri Light" w:cs="Calibri Light"/>
        </w:rPr>
        <w:t xml:space="preserve">rs often do not report sexual abuse because they cannot afford to lose their job, and/or they feel they do not have proof. </w:t>
      </w:r>
      <w:r>
        <w:rPr>
          <w:rStyle w:val="None"/>
          <w:rFonts w:ascii="Calibri Light" w:eastAsia="Calibri Light" w:hAnsi="Calibri Light" w:cs="Calibri Light"/>
          <w:vertAlign w:val="superscript"/>
        </w:rPr>
        <w:footnoteReference w:id="18"/>
      </w:r>
      <w:r>
        <w:rPr>
          <w:rStyle w:val="None"/>
          <w:rFonts w:ascii="Calibri Light" w:eastAsia="Calibri Light" w:hAnsi="Calibri Light" w:cs="Calibri Light"/>
        </w:rPr>
        <w:t>Generally,</w:t>
      </w:r>
      <w:r>
        <w:rPr>
          <w:rStyle w:val="None"/>
          <w:rFonts w:ascii="Calibri Light" w:eastAsia="Calibri Light" w:hAnsi="Calibri Light" w:cs="Calibri Light"/>
          <w:b/>
          <w:bCs/>
        </w:rPr>
        <w:t xml:space="preserve"> </w:t>
      </w:r>
      <w:r>
        <w:rPr>
          <w:rStyle w:val="None"/>
          <w:rFonts w:ascii="Calibri Light" w:eastAsia="Calibri Light" w:hAnsi="Calibri Light" w:cs="Calibri Light"/>
        </w:rPr>
        <w:t>the more precarious the worker, the less empowered they are to lay a complaint, and the effect of this is that perpetrato</w:t>
      </w:r>
      <w:r>
        <w:rPr>
          <w:rStyle w:val="None"/>
          <w:rFonts w:ascii="Calibri Light" w:eastAsia="Calibri Light" w:hAnsi="Calibri Light" w:cs="Calibri Light"/>
        </w:rPr>
        <w:t xml:space="preserve">rs feel less likely of being sanctioned.  </w:t>
      </w:r>
    </w:p>
    <w:p w:rsidR="00EB7153" w:rsidRDefault="00371570">
      <w:pPr>
        <w:pStyle w:val="BodyA"/>
        <w:jc w:val="both"/>
      </w:pPr>
      <w:r>
        <w:rPr>
          <w:rStyle w:val="None"/>
          <w:rFonts w:ascii="Calibri Light" w:eastAsia="Calibri Light" w:hAnsi="Calibri Light" w:cs="Calibri Light"/>
        </w:rPr>
        <w:t>One the other side of the spectrum, women working in historically masculine jobs such as mineworkers, are similarly more vulnerable to gender-based violence and harassment at work. Historically, women were prevent</w:t>
      </w:r>
      <w:r>
        <w:rPr>
          <w:rStyle w:val="None"/>
          <w:rFonts w:ascii="Calibri Light" w:eastAsia="Calibri Light" w:hAnsi="Calibri Light" w:cs="Calibri Light"/>
        </w:rPr>
        <w:t xml:space="preserve">ed from going underground in terms of the South African Minerals Act of 1991, but currently approximately 54,000 women work in the mining sector and comprise roughly twelve percent of the total mining workforce. </w:t>
      </w:r>
      <w:r>
        <w:rPr>
          <w:rStyle w:val="None"/>
          <w:rFonts w:ascii="Calibri Light" w:eastAsia="Calibri Light" w:hAnsi="Calibri Light" w:cs="Calibri Light"/>
          <w:vertAlign w:val="superscript"/>
        </w:rPr>
        <w:footnoteReference w:id="19"/>
      </w:r>
    </w:p>
    <w:p w:rsidR="00EB7153" w:rsidRDefault="00371570">
      <w:pPr>
        <w:pStyle w:val="BodyA"/>
        <w:jc w:val="both"/>
      </w:pPr>
      <w:r>
        <w:rPr>
          <w:rStyle w:val="None"/>
          <w:rFonts w:ascii="Calibri Light" w:eastAsia="Calibri Light" w:hAnsi="Calibri Light" w:cs="Calibri Light"/>
        </w:rPr>
        <w:t>In a joint Solidarity Centre and Lawyers f</w:t>
      </w:r>
      <w:r>
        <w:rPr>
          <w:rStyle w:val="None"/>
          <w:rFonts w:ascii="Calibri Light" w:eastAsia="Calibri Light" w:hAnsi="Calibri Light" w:cs="Calibri Light"/>
        </w:rPr>
        <w:t>or Human Rights project, conducted between 2019 and 2020, researchers found that GBV/H in the mining sector is pervasive and takes the form of physical, sexual, psychological and verbal violence and harassment;  it happens in changing facilities, bathrooms</w:t>
      </w:r>
      <w:r>
        <w:rPr>
          <w:rStyle w:val="None"/>
          <w:rFonts w:ascii="Calibri Light" w:eastAsia="Calibri Light" w:hAnsi="Calibri Light" w:cs="Calibri Light"/>
        </w:rPr>
        <w:t xml:space="preserve">, underground, in lift carriages and during commutes to and from the workplace.  Perpetrators range from supervisors, to </w:t>
      </w:r>
      <w:r>
        <w:rPr>
          <w:rStyle w:val="None"/>
          <w:rFonts w:ascii="Calibri Light" w:eastAsia="Calibri Light" w:hAnsi="Calibri Light" w:cs="Calibri Light"/>
        </w:rPr>
        <w:lastRenderedPageBreak/>
        <w:t>co-workers, as well as third parties.</w:t>
      </w:r>
      <w:r>
        <w:rPr>
          <w:rStyle w:val="None"/>
          <w:rFonts w:ascii="Calibri Light" w:eastAsia="Calibri Light" w:hAnsi="Calibri Light" w:cs="Calibri Light"/>
          <w:vertAlign w:val="superscript"/>
        </w:rPr>
        <w:footnoteReference w:id="20"/>
      </w:r>
      <w:r>
        <w:rPr>
          <w:rStyle w:val="None"/>
          <w:rFonts w:ascii="Calibri Light" w:eastAsia="Calibri Light" w:hAnsi="Calibri Light" w:cs="Calibri Light"/>
        </w:rPr>
        <w:t xml:space="preserve"> This study found that the use of personal protective equipment (PPE) that is ill-suited for wome</w:t>
      </w:r>
      <w:r>
        <w:rPr>
          <w:rStyle w:val="None"/>
          <w:rFonts w:ascii="Calibri Light" w:eastAsia="Calibri Light" w:hAnsi="Calibri Light" w:cs="Calibri Light"/>
        </w:rPr>
        <w:t>n workers, as well as the failure to take gender into account in the design and placement of facilities such as changing rooms, bus stops and lifts, leaves them more vulnerable to violence and harassment.  Similarly, production bonuses that incentivize tea</w:t>
      </w:r>
      <w:r>
        <w:rPr>
          <w:rStyle w:val="None"/>
          <w:rFonts w:ascii="Calibri Light" w:eastAsia="Calibri Light" w:hAnsi="Calibri Light" w:cs="Calibri Light"/>
        </w:rPr>
        <w:t>ms to work faster and harder can lead male workers to seek sexual or monetary compensation from female workers can create the opportunity for sexual exploitation by gatekeepers of lucrative jobs.</w:t>
      </w:r>
      <w:r>
        <w:rPr>
          <w:rStyle w:val="None"/>
          <w:rFonts w:ascii="Calibri Light" w:eastAsia="Calibri Light" w:hAnsi="Calibri Light" w:cs="Calibri Light"/>
          <w:vertAlign w:val="superscript"/>
        </w:rPr>
        <w:footnoteReference w:id="21"/>
      </w:r>
      <w:r>
        <w:rPr>
          <w:rStyle w:val="None"/>
          <w:rFonts w:ascii="Calibri Light" w:eastAsia="Calibri Light" w:hAnsi="Calibri Light" w:cs="Calibri Light"/>
        </w:rPr>
        <w:t xml:space="preserve"> These issues are best addressed in occupational. Health and</w:t>
      </w:r>
      <w:r>
        <w:rPr>
          <w:rStyle w:val="None"/>
          <w:rFonts w:ascii="Calibri Light" w:eastAsia="Calibri Light" w:hAnsi="Calibri Light" w:cs="Calibri Light"/>
        </w:rPr>
        <w:t xml:space="preserve"> Safety legislation that adopt a gender lens., A substantive understanding of equality enquiries not only the use of quotas but that a gendered understanding of health and safety in a traditionally male dominated sector, be adopted.</w:t>
      </w:r>
    </w:p>
    <w:p w:rsidR="00EB7153" w:rsidRDefault="00371570">
      <w:pPr>
        <w:pStyle w:val="BodyA"/>
        <w:jc w:val="both"/>
      </w:pPr>
      <w:r>
        <w:rPr>
          <w:rStyle w:val="None"/>
          <w:rFonts w:ascii="Calibri Light" w:eastAsia="Calibri Light" w:hAnsi="Calibri Light" w:cs="Calibri Light"/>
        </w:rPr>
        <w:t>The South African parliament has recently approved ratification of the ILO Convention 190 on Violence and Harassment at Work and has begun the process of ensuring its legislative framework is consistent with C190 obligations. Currently, there is a draft am</w:t>
      </w:r>
      <w:r>
        <w:rPr>
          <w:rStyle w:val="None"/>
          <w:rFonts w:ascii="Calibri Light" w:eastAsia="Calibri Light" w:hAnsi="Calibri Light" w:cs="Calibri Light"/>
        </w:rPr>
        <w:t xml:space="preserve">endment to the Code of Good Practice on Sexual Harassment at Work, which expands on the existing code. However, it is limited in the following respects: </w:t>
      </w:r>
    </w:p>
    <w:p w:rsidR="00EB7153" w:rsidRDefault="00371570">
      <w:pPr>
        <w:pStyle w:val="BodyA"/>
        <w:jc w:val="both"/>
      </w:pPr>
      <w:r>
        <w:rPr>
          <w:rStyle w:val="None"/>
          <w:rFonts w:ascii="Calibri Light" w:eastAsia="Calibri Light" w:hAnsi="Calibri Light" w:cs="Calibri Light"/>
        </w:rPr>
        <w:t>*</w:t>
      </w:r>
      <w:r>
        <w:rPr>
          <w:rStyle w:val="None"/>
          <w:rFonts w:ascii="Calibri Light" w:eastAsia="Calibri Light" w:hAnsi="Calibri Light" w:cs="Calibri Light"/>
        </w:rPr>
        <w:tab/>
        <w:t>The Code of Good Practice applies only to discriminatory harassment within the confines of the Emplo</w:t>
      </w:r>
      <w:r>
        <w:rPr>
          <w:rStyle w:val="None"/>
          <w:rFonts w:ascii="Calibri Light" w:eastAsia="Calibri Light" w:hAnsi="Calibri Light" w:cs="Calibri Light"/>
        </w:rPr>
        <w:t>yment Equity Act. This limits the scope of the protection that can be afforded because this legislation recognizes sexual harassment not as a form of gender-based violence, but rather as a form of discrimination. It therefore does not make the causal nexus</w:t>
      </w:r>
      <w:r>
        <w:rPr>
          <w:rStyle w:val="None"/>
          <w:rFonts w:ascii="Calibri Light" w:eastAsia="Calibri Light" w:hAnsi="Calibri Light" w:cs="Calibri Light"/>
        </w:rPr>
        <w:t xml:space="preserve"> between gender-based discrimination and the many forms that it takes with sexual harassment being only one form of discrimination. Because it excludes violence from its ambit other forms of gender-based violence are not included within its scope. The mann</w:t>
      </w:r>
      <w:r>
        <w:rPr>
          <w:rStyle w:val="None"/>
          <w:rFonts w:ascii="Calibri Light" w:eastAsia="Calibri Light" w:hAnsi="Calibri Light" w:cs="Calibri Light"/>
        </w:rPr>
        <w:t>er in which the state has interpreted and seeks to implement C190 is therefore not aligned to the Conventions objectives nor is it aligned with jurisprudence that has been developed on the issue of gender-based violence and sexual harassment in the workpla</w:t>
      </w:r>
      <w:r>
        <w:rPr>
          <w:rStyle w:val="None"/>
          <w:rFonts w:ascii="Calibri Light" w:eastAsia="Calibri Light" w:hAnsi="Calibri Light" w:cs="Calibri Light"/>
        </w:rPr>
        <w:t>ce</w:t>
      </w:r>
      <w:r>
        <w:rPr>
          <w:rStyle w:val="None"/>
          <w:rFonts w:ascii="Calibri Light" w:eastAsia="Calibri Light" w:hAnsi="Calibri Light" w:cs="Calibri Light"/>
          <w:b/>
          <w:bCs/>
        </w:rPr>
        <w:t>.</w:t>
      </w:r>
    </w:p>
    <w:p w:rsidR="00EB7153" w:rsidRDefault="00371570">
      <w:pPr>
        <w:pStyle w:val="BodyA"/>
        <w:jc w:val="both"/>
      </w:pPr>
      <w:r>
        <w:rPr>
          <w:rStyle w:val="None"/>
          <w:rFonts w:ascii="Calibri Light" w:eastAsia="Calibri Light" w:hAnsi="Calibri Light" w:cs="Calibri Light"/>
        </w:rPr>
        <w:t>*</w:t>
      </w:r>
      <w:r>
        <w:rPr>
          <w:rStyle w:val="None"/>
          <w:rFonts w:ascii="Calibri Light" w:eastAsia="Calibri Light" w:hAnsi="Calibri Light" w:cs="Calibri Light"/>
        </w:rPr>
        <w:tab/>
        <w:t>The existing Code similarly only applies fully to employees and employers and as such does not include those outside the formal employment context, such as contractors, or workers in the informal economy.</w:t>
      </w:r>
    </w:p>
    <w:p w:rsidR="00EB7153" w:rsidRDefault="00371570">
      <w:pPr>
        <w:pStyle w:val="BodyA"/>
        <w:jc w:val="both"/>
      </w:pPr>
      <w:r>
        <w:rPr>
          <w:rStyle w:val="None"/>
          <w:rFonts w:ascii="Calibri Light" w:eastAsia="Calibri Light" w:hAnsi="Calibri Light" w:cs="Calibri Light"/>
        </w:rPr>
        <w:t>*</w:t>
      </w:r>
      <w:r>
        <w:rPr>
          <w:rStyle w:val="None"/>
          <w:rFonts w:ascii="Calibri Light" w:eastAsia="Calibri Light" w:hAnsi="Calibri Light" w:cs="Calibri Light"/>
        </w:rPr>
        <w:tab/>
        <w:t>It it is questionable whether the obligatio</w:t>
      </w:r>
      <w:r>
        <w:rPr>
          <w:rStyle w:val="None"/>
          <w:rFonts w:ascii="Calibri Light" w:eastAsia="Calibri Light" w:hAnsi="Calibri Light" w:cs="Calibri Light"/>
        </w:rPr>
        <w:t>ns of C190 and of CEDAW, can be sufficiently realised through the instrument of a Code of Conduct, which is defined as an interpretive tool and limited to the scope of formal employment as recognized in the Employment Equity Act as this would not only limi</w:t>
      </w:r>
      <w:r>
        <w:rPr>
          <w:rStyle w:val="None"/>
          <w:rFonts w:ascii="Calibri Light" w:eastAsia="Calibri Light" w:hAnsi="Calibri Light" w:cs="Calibri Light"/>
        </w:rPr>
        <w:t>t the scope of protection to workers who fall outside of its definition, but lends itself to various interpretations by different employers. C</w:t>
      </w:r>
      <w:r>
        <w:rPr>
          <w:rStyle w:val="None"/>
          <w:rFonts w:ascii="Calibri Light" w:eastAsia="Calibri Light" w:hAnsi="Calibri Light" w:cs="Calibri Light"/>
          <w:i/>
          <w:iCs/>
        </w:rPr>
        <w:t xml:space="preserve">EDAW’s General Recommendation No 35 , requires states to adopt  legislation prohibiting all forms of gender-based </w:t>
      </w:r>
      <w:r>
        <w:rPr>
          <w:rStyle w:val="None"/>
          <w:rFonts w:ascii="Calibri Light" w:eastAsia="Calibri Light" w:hAnsi="Calibri Light" w:cs="Calibri Light"/>
          <w:i/>
          <w:iCs/>
        </w:rPr>
        <w:t xml:space="preserve">violence against women, including sexual harassment which should include sections and reparations </w:t>
      </w:r>
      <w:r>
        <w:rPr>
          <w:rStyle w:val="None"/>
          <w:rFonts w:ascii="Calibri Light" w:eastAsia="Calibri Light" w:hAnsi="Calibri Light" w:cs="Calibri Light"/>
        </w:rPr>
        <w:t xml:space="preserve">in cases of gbv. </w:t>
      </w:r>
    </w:p>
    <w:p w:rsidR="00EB7153" w:rsidRDefault="00371570">
      <w:pPr>
        <w:pStyle w:val="BodyA"/>
        <w:jc w:val="both"/>
      </w:pPr>
      <w:r>
        <w:rPr>
          <w:rStyle w:val="None"/>
          <w:rFonts w:ascii="Calibri Light" w:eastAsia="Calibri Light" w:hAnsi="Calibri Light" w:cs="Calibri Light"/>
        </w:rPr>
        <w:t>*</w:t>
      </w:r>
      <w:r>
        <w:rPr>
          <w:rStyle w:val="None"/>
          <w:rFonts w:ascii="Calibri Light" w:eastAsia="Calibri Light" w:hAnsi="Calibri Light" w:cs="Calibri Light"/>
        </w:rPr>
        <w:tab/>
      </w:r>
      <w:r>
        <w:rPr>
          <w:rStyle w:val="None"/>
          <w:rFonts w:ascii="Calibri Light" w:eastAsia="Calibri Light" w:hAnsi="Calibri Light" w:cs="Calibri Light"/>
          <w:b/>
          <w:bCs/>
        </w:rPr>
        <w:t>Strip Searches</w:t>
      </w:r>
      <w:r>
        <w:rPr>
          <w:rStyle w:val="None"/>
          <w:rFonts w:ascii="Calibri Light" w:eastAsia="Calibri Light" w:hAnsi="Calibri Light" w:cs="Calibri Light"/>
        </w:rPr>
        <w:t>; strip searches at work are commonly practiced in South Africa despite the constitutional entrenchment of the right to priv</w:t>
      </w:r>
      <w:r>
        <w:rPr>
          <w:rStyle w:val="None"/>
          <w:rFonts w:ascii="Calibri Light" w:eastAsia="Calibri Light" w:hAnsi="Calibri Light" w:cs="Calibri Light"/>
        </w:rPr>
        <w:t>acy and dignity and security and freedom from public and private violence. International Human Rights standards proscribe and limit strip; they require that there be a compelling reason for the search, and that it be carried out in the least invasive manne</w:t>
      </w:r>
      <w:r>
        <w:rPr>
          <w:rStyle w:val="None"/>
          <w:rFonts w:ascii="Calibri Light" w:eastAsia="Calibri Light" w:hAnsi="Calibri Light" w:cs="Calibri Light"/>
        </w:rPr>
        <w:t xml:space="preserve">r, that is respectful of dignity. There is research that finds that women experience a strip search as a form of sexual assault, which is particularly traumatic in cases of survivors of previous abuse. The CEDAW Committee has found that strip searches, in </w:t>
      </w:r>
      <w:r>
        <w:rPr>
          <w:rStyle w:val="None"/>
          <w:rFonts w:ascii="Calibri Light" w:eastAsia="Calibri Light" w:hAnsi="Calibri Light" w:cs="Calibri Light"/>
        </w:rPr>
        <w:t xml:space="preserve">the context of a prison and state power, constitute an invasion of privacy and can amount to </w:t>
      </w:r>
      <w:r>
        <w:rPr>
          <w:rStyle w:val="None"/>
          <w:rFonts w:ascii="Calibri Light" w:eastAsia="Calibri Light" w:hAnsi="Calibri Light" w:cs="Calibri Light"/>
        </w:rPr>
        <w:lastRenderedPageBreak/>
        <w:t>GBV. Accordingly, and particularly in the private context outside the exercise of police powers, South Africa should prohibit or tightly strictly restrict and regu</w:t>
      </w:r>
      <w:r>
        <w:rPr>
          <w:rStyle w:val="None"/>
          <w:rFonts w:ascii="Calibri Light" w:eastAsia="Calibri Light" w:hAnsi="Calibri Light" w:cs="Calibri Light"/>
        </w:rPr>
        <w:t>late the use of strip searches in the context of the workplace.</w:t>
      </w:r>
    </w:p>
    <w:p w:rsidR="00EB7153" w:rsidRDefault="00371570">
      <w:pPr>
        <w:pStyle w:val="BodyA"/>
        <w:jc w:val="both"/>
      </w:pPr>
      <w:r>
        <w:rPr>
          <w:rStyle w:val="None"/>
          <w:rFonts w:ascii="Calibri Light" w:eastAsia="Calibri Light" w:hAnsi="Calibri Light" w:cs="Calibri Light"/>
        </w:rPr>
        <w:t>*</w:t>
      </w:r>
      <w:r>
        <w:rPr>
          <w:rStyle w:val="None"/>
          <w:rFonts w:ascii="Calibri Light" w:eastAsia="Calibri Light" w:hAnsi="Calibri Light" w:cs="Calibri Light"/>
        </w:rPr>
        <w:tab/>
      </w:r>
      <w:r>
        <w:rPr>
          <w:rStyle w:val="None"/>
          <w:rFonts w:ascii="Calibri Light" w:eastAsia="Calibri Light" w:hAnsi="Calibri Light" w:cs="Calibri Light"/>
          <w:b/>
          <w:bCs/>
        </w:rPr>
        <w:t>Transportation</w:t>
      </w:r>
      <w:r>
        <w:rPr>
          <w:rStyle w:val="None"/>
          <w:rFonts w:ascii="Calibri Light" w:eastAsia="Calibri Light" w:hAnsi="Calibri Light" w:cs="Calibri Light"/>
        </w:rPr>
        <w:t>; the current proposed amendment to the Voluntary Code on Sexual Harassment, obligates employers with respect to GBV/H in employer provided transportation to and from work. Thi</w:t>
      </w:r>
      <w:r>
        <w:rPr>
          <w:rStyle w:val="None"/>
          <w:rFonts w:ascii="Calibri Light" w:eastAsia="Calibri Light" w:hAnsi="Calibri Light" w:cs="Calibri Light"/>
        </w:rPr>
        <w:t>s issue of GBV/H on transportation and its relationship to the right to work, is critical. In numerous case studies, including the Solidarity Center/LHR paper on GBV/H in Mining, women in SA reported experiencing violence and harassment on such transportat</w:t>
      </w:r>
      <w:r>
        <w:rPr>
          <w:rStyle w:val="None"/>
          <w:rFonts w:ascii="Calibri Light" w:eastAsia="Calibri Light" w:hAnsi="Calibri Light" w:cs="Calibri Light"/>
        </w:rPr>
        <w:t>ion, particularly, when they were obliged by employers to arrive to work early or leave late. We would argue that employer responsibility to ensure safe transportation for workers needs to be understood substantively and contextually, and particularly wher</w:t>
      </w:r>
      <w:r>
        <w:rPr>
          <w:rStyle w:val="None"/>
          <w:rFonts w:ascii="Calibri Light" w:eastAsia="Calibri Light" w:hAnsi="Calibri Light" w:cs="Calibri Light"/>
        </w:rPr>
        <w:t>e an employer is requiring irregular work schedules, that he/she be obliged to take reasonable care to ensure that employee has access to modes of transportation that are safe and free from gender-based violence.</w:t>
      </w:r>
    </w:p>
    <w:p w:rsidR="00EB7153" w:rsidRDefault="00371570">
      <w:pPr>
        <w:pStyle w:val="BodyA"/>
        <w:jc w:val="both"/>
      </w:pPr>
      <w:r>
        <w:rPr>
          <w:rStyle w:val="None"/>
          <w:rFonts w:ascii="Calibri Light" w:eastAsia="Calibri Light" w:hAnsi="Calibri Light" w:cs="Calibri Light"/>
        </w:rPr>
        <w:t>*</w:t>
      </w:r>
      <w:r>
        <w:rPr>
          <w:rStyle w:val="None"/>
          <w:rFonts w:ascii="Calibri Light" w:eastAsia="Calibri Light" w:hAnsi="Calibri Light" w:cs="Calibri Light"/>
        </w:rPr>
        <w:tab/>
      </w:r>
      <w:r>
        <w:rPr>
          <w:rStyle w:val="None"/>
          <w:rFonts w:ascii="Calibri Light" w:eastAsia="Calibri Light" w:hAnsi="Calibri Light" w:cs="Calibri Light"/>
          <w:b/>
          <w:bCs/>
        </w:rPr>
        <w:t xml:space="preserve">Occupational Health and Safety - </w:t>
      </w:r>
      <w:r>
        <w:rPr>
          <w:rStyle w:val="None"/>
          <w:rFonts w:ascii="Calibri Light" w:eastAsia="Calibri Light" w:hAnsi="Calibri Light" w:cs="Calibri Light"/>
        </w:rPr>
        <w:t>currentl</w:t>
      </w:r>
      <w:r>
        <w:rPr>
          <w:rStyle w:val="None"/>
          <w:rFonts w:ascii="Calibri Light" w:eastAsia="Calibri Light" w:hAnsi="Calibri Light" w:cs="Calibri Light"/>
        </w:rPr>
        <w:t>y the South African Occupational Health and Safety legislation, which is in the process of amendment, does not include provisions addressing gender-based violence and harassment. In order to comply with both C190 and CEDAW, the amendment should minimally c</w:t>
      </w:r>
      <w:r>
        <w:rPr>
          <w:rStyle w:val="None"/>
          <w:rFonts w:ascii="Calibri Light" w:eastAsia="Calibri Light" w:hAnsi="Calibri Light" w:cs="Calibri Light"/>
        </w:rPr>
        <w:t>ontain a provision, permitting workers to refuse work and providing that every worker has the right to take steps to protect themselves(and remove themselves ) from hazards at work, including violence and harassment in the world of work. The provision shou</w:t>
      </w:r>
      <w:r>
        <w:rPr>
          <w:rStyle w:val="None"/>
          <w:rFonts w:ascii="Calibri Light" w:eastAsia="Calibri Light" w:hAnsi="Calibri Light" w:cs="Calibri Light"/>
        </w:rPr>
        <w:t>ld clarify that the employer cannot require employees or anyone else to return to work until that hazard has been remediated.</w:t>
      </w:r>
    </w:p>
    <w:p w:rsidR="00EB7153" w:rsidRDefault="00371570">
      <w:pPr>
        <w:pStyle w:val="BodyA"/>
        <w:jc w:val="both"/>
      </w:pPr>
      <w:r>
        <w:rPr>
          <w:rStyle w:val="None"/>
          <w:rFonts w:ascii="Calibri Light" w:eastAsia="Calibri Light" w:hAnsi="Calibri Light" w:cs="Calibri Light"/>
          <w:b/>
          <w:bCs/>
        </w:rPr>
        <w:t>Recommendations:</w:t>
      </w:r>
    </w:p>
    <w:p w:rsidR="00EB7153" w:rsidRDefault="00371570">
      <w:pPr>
        <w:pStyle w:val="BodyA"/>
        <w:numPr>
          <w:ilvl w:val="0"/>
          <w:numId w:val="7"/>
        </w:numPr>
        <w:jc w:val="both"/>
        <w:rPr>
          <w:rFonts w:ascii="Calibri Light" w:eastAsia="Calibri Light" w:hAnsi="Calibri Light" w:cs="Calibri Light"/>
        </w:rPr>
      </w:pPr>
      <w:r>
        <w:rPr>
          <w:rFonts w:ascii="Calibri Light" w:eastAsia="Calibri Light" w:hAnsi="Calibri Light" w:cs="Calibri Light"/>
        </w:rPr>
        <w:t>Take measures to regulate occupational health and safety from a gender perspective, which ensure special safety p</w:t>
      </w:r>
      <w:r>
        <w:rPr>
          <w:rFonts w:ascii="Calibri Light" w:eastAsia="Calibri Light" w:hAnsi="Calibri Light" w:cs="Calibri Light"/>
        </w:rPr>
        <w:t>rotections for women in terms of their protective clothing, separate amenities, measures to prevent sexual harassment and abuse.</w:t>
      </w:r>
    </w:p>
    <w:p w:rsidR="00EB7153" w:rsidRDefault="00371570">
      <w:pPr>
        <w:pStyle w:val="BodyA"/>
        <w:numPr>
          <w:ilvl w:val="0"/>
          <w:numId w:val="7"/>
        </w:numPr>
        <w:jc w:val="both"/>
        <w:rPr>
          <w:rFonts w:ascii="Calibri Light" w:eastAsia="Calibri Light" w:hAnsi="Calibri Light" w:cs="Calibri Light"/>
        </w:rPr>
      </w:pPr>
      <w:r>
        <w:rPr>
          <w:rFonts w:ascii="Calibri Light" w:eastAsia="Calibri Light" w:hAnsi="Calibri Light" w:cs="Calibri Light"/>
        </w:rPr>
        <w:t xml:space="preserve"> Take measures to ensure equal access to sa</w:t>
      </w:r>
      <w:r>
        <w:rPr>
          <w:rStyle w:val="None"/>
          <w:rFonts w:ascii="Helvetica" w:eastAsia="Calibri Light" w:hAnsi="Helvetica" w:cs="Calibri Light"/>
          <w:b/>
          <w:bCs/>
        </w:rPr>
        <w:t>fe transport</w:t>
      </w:r>
      <w:r>
        <w:rPr>
          <w:rFonts w:ascii="Calibri Light" w:eastAsia="Calibri Light" w:hAnsi="Calibri Light" w:cs="Calibri Light"/>
        </w:rPr>
        <w:t>ation, which allows women to get to and from work, free from gender-base</w:t>
      </w:r>
      <w:r>
        <w:rPr>
          <w:rFonts w:ascii="Calibri Light" w:eastAsia="Calibri Light" w:hAnsi="Calibri Light" w:cs="Calibri Light"/>
        </w:rPr>
        <w:t>d violence and harassment.</w:t>
      </w:r>
    </w:p>
    <w:p w:rsidR="00EB7153" w:rsidRDefault="00371570">
      <w:pPr>
        <w:pStyle w:val="BodyA"/>
        <w:numPr>
          <w:ilvl w:val="0"/>
          <w:numId w:val="7"/>
        </w:numPr>
        <w:jc w:val="both"/>
        <w:rPr>
          <w:rFonts w:ascii="Calibri Light" w:eastAsia="Calibri Light" w:hAnsi="Calibri Light" w:cs="Calibri Light"/>
        </w:rPr>
      </w:pPr>
      <w:r>
        <w:rPr>
          <w:rFonts w:ascii="Calibri Light" w:eastAsia="Calibri Light" w:hAnsi="Calibri Light" w:cs="Calibri Light"/>
        </w:rPr>
        <w:t>Ensure the legal framework sets out comprehensive binding norms to address all forms of  GBV/H at work, and that establishes sector appropriate mechanisms for workers in all sectors of the economy, prohibits strip searches. An am</w:t>
      </w:r>
      <w:r>
        <w:rPr>
          <w:rFonts w:ascii="Calibri Light" w:eastAsia="Calibri Light" w:hAnsi="Calibri Light" w:cs="Calibri Light"/>
        </w:rPr>
        <w:t>endment to the Sectoral Determination, which protects the privacy rights of live-in domestic workers is an important component in the prevention of gender-based violence and harassment of live-in domestic workers.</w:t>
      </w:r>
    </w:p>
    <w:p w:rsidR="00EB7153" w:rsidRDefault="00371570">
      <w:pPr>
        <w:pStyle w:val="ListParagraph"/>
        <w:keepNext/>
        <w:keepLines/>
        <w:numPr>
          <w:ilvl w:val="0"/>
          <w:numId w:val="8"/>
        </w:numPr>
        <w:spacing w:after="0" w:line="240" w:lineRule="auto"/>
        <w:jc w:val="both"/>
        <w:outlineLvl w:val="1"/>
        <w:rPr>
          <w:rFonts w:ascii="Calibri Light" w:eastAsia="Calibri Light" w:hAnsi="Calibri Light" w:cs="Calibri Light"/>
          <w:b/>
          <w:bCs/>
        </w:rPr>
      </w:pPr>
      <w:r>
        <w:rPr>
          <w:rFonts w:ascii="Calibri Light" w:eastAsia="Calibri Light" w:hAnsi="Calibri Light" w:cs="Calibri Light"/>
          <w:b/>
          <w:bCs/>
        </w:rPr>
        <w:lastRenderedPageBreak/>
        <w:t>ARTICLES 2(E) AND ARTICLES 4 (2), 5 AND 11</w:t>
      </w:r>
      <w:r>
        <w:rPr>
          <w:rFonts w:ascii="Calibri Light" w:eastAsia="Calibri Light" w:hAnsi="Calibri Light" w:cs="Calibri Light"/>
          <w:b/>
          <w:bCs/>
        </w:rPr>
        <w:t xml:space="preserve">: Maternity and paternity protection </w:t>
      </w:r>
    </w:p>
    <w:p w:rsidR="00EB7153" w:rsidRDefault="00EB7153">
      <w:pPr>
        <w:pStyle w:val="BodyA"/>
        <w:keepNext/>
        <w:keepLines/>
        <w:spacing w:after="0" w:line="240" w:lineRule="auto"/>
        <w:jc w:val="both"/>
        <w:outlineLvl w:val="1"/>
      </w:pPr>
    </w:p>
    <w:p w:rsidR="00EB7153" w:rsidRDefault="00371570">
      <w:pPr>
        <w:pStyle w:val="BodyA"/>
        <w:keepNext/>
        <w:keepLines/>
        <w:spacing w:after="0" w:line="240" w:lineRule="auto"/>
        <w:jc w:val="both"/>
        <w:outlineLvl w:val="1"/>
      </w:pPr>
      <w:r>
        <w:rPr>
          <w:rStyle w:val="None"/>
          <w:rFonts w:ascii="Calibri Light" w:eastAsia="Calibri Light" w:hAnsi="Calibri Light" w:cs="Calibri Light"/>
        </w:rPr>
        <w:t xml:space="preserve">The link between discrimination and women’s reproductive rights is carefully addressed in the Convention and its preamble. Under article 5, CEDAW advocates </w:t>
      </w:r>
      <w:r>
        <w:rPr>
          <w:rStyle w:val="None"/>
          <w:rFonts w:ascii="Calibri Light" w:eastAsia="Calibri Light" w:hAnsi="Calibri Light" w:cs="Calibri Light"/>
          <w:i/>
          <w:iCs/>
        </w:rPr>
        <w:t>''a proper understanding of maternity as a social function"</w:t>
      </w:r>
      <w:r>
        <w:rPr>
          <w:rStyle w:val="None"/>
          <w:rFonts w:ascii="Calibri Light" w:eastAsia="Calibri Light" w:hAnsi="Calibri Light" w:cs="Calibri Light"/>
        </w:rPr>
        <w:t xml:space="preserve">, </w:t>
      </w:r>
      <w:r>
        <w:rPr>
          <w:rStyle w:val="None"/>
          <w:rFonts w:ascii="Calibri Light" w:eastAsia="Calibri Light" w:hAnsi="Calibri Light" w:cs="Calibri Light"/>
        </w:rPr>
        <w:t>demanding fully shared responsibility for child-rearing by both sexes. There are two central challenges to the realization of these CEDAW rights; (1) nondiscrimination; (2) maternity benefits in the context of pervasive informalization of work as well as i</w:t>
      </w:r>
      <w:r>
        <w:rPr>
          <w:rStyle w:val="None"/>
          <w:rFonts w:ascii="Calibri Light" w:eastAsia="Calibri Light" w:hAnsi="Calibri Light" w:cs="Calibri Light"/>
        </w:rPr>
        <w:t xml:space="preserve">n the context of hazardous work. </w:t>
      </w:r>
    </w:p>
    <w:p w:rsidR="00EB7153" w:rsidRDefault="00EB7153">
      <w:pPr>
        <w:pStyle w:val="BodyA"/>
        <w:keepNext/>
        <w:keepLines/>
        <w:spacing w:after="0" w:line="240" w:lineRule="auto"/>
        <w:jc w:val="both"/>
        <w:outlineLvl w:val="1"/>
      </w:pPr>
    </w:p>
    <w:p w:rsidR="00EB7153" w:rsidRDefault="00371570">
      <w:pPr>
        <w:pStyle w:val="ListParagraph"/>
        <w:keepNext/>
        <w:keepLines/>
        <w:numPr>
          <w:ilvl w:val="0"/>
          <w:numId w:val="10"/>
        </w:numPr>
        <w:spacing w:after="0" w:line="240" w:lineRule="auto"/>
        <w:jc w:val="both"/>
        <w:outlineLvl w:val="1"/>
        <w:rPr>
          <w:rFonts w:ascii="Calibri Light" w:eastAsia="Calibri Light" w:hAnsi="Calibri Light" w:cs="Calibri Light"/>
        </w:rPr>
      </w:pPr>
      <w:r>
        <w:rPr>
          <w:rStyle w:val="None"/>
          <w:rFonts w:ascii="Helvetica" w:eastAsia="Calibri Light" w:hAnsi="Helvetica" w:cs="Calibri Light"/>
          <w:b/>
          <w:bCs/>
        </w:rPr>
        <w:t>Non-Discrimination</w:t>
      </w:r>
    </w:p>
    <w:p w:rsidR="00EB7153" w:rsidRDefault="00EB7153">
      <w:pPr>
        <w:pStyle w:val="ListParagraph"/>
        <w:keepNext/>
        <w:keepLines/>
        <w:spacing w:after="0" w:line="240" w:lineRule="auto"/>
        <w:jc w:val="both"/>
        <w:outlineLvl w:val="1"/>
      </w:pPr>
    </w:p>
    <w:p w:rsidR="00EB7153" w:rsidRDefault="00371570">
      <w:pPr>
        <w:pStyle w:val="BodyA"/>
        <w:keepNext/>
        <w:keepLines/>
        <w:spacing w:after="0" w:line="240" w:lineRule="auto"/>
        <w:jc w:val="both"/>
        <w:outlineLvl w:val="1"/>
      </w:pPr>
      <w:r>
        <w:rPr>
          <w:rStyle w:val="None"/>
          <w:rFonts w:ascii="Calibri Light" w:eastAsia="Calibri Light" w:hAnsi="Calibri Light" w:cs="Calibri Light"/>
        </w:rPr>
        <w:t>Discrimination against pregnant women remains prevalent in South Africa, despite provisions in the Labour Relations Act (187(1)(e)) rendering the dismissal of an employee on account of pregnancy, intended pregnancy or any reason related to pregnancy, unfai</w:t>
      </w:r>
      <w:r>
        <w:rPr>
          <w:rStyle w:val="None"/>
          <w:rFonts w:ascii="Calibri Light" w:eastAsia="Calibri Light" w:hAnsi="Calibri Light" w:cs="Calibri Light"/>
        </w:rPr>
        <w:t>r. Further, the South African constitution prohibits discrimination on the basis of “pregnancy” or “maternity” and also sets out the right of a child to “family care”. While the Sectoral Determination regulating domestic workers covers non-discrimination o</w:t>
      </w:r>
      <w:r>
        <w:rPr>
          <w:rStyle w:val="None"/>
          <w:rFonts w:ascii="Calibri Light" w:eastAsia="Calibri Light" w:hAnsi="Calibri Light" w:cs="Calibri Light"/>
        </w:rPr>
        <w:t>n the basis of pregnancy, it is silent on the issue of whether family care includes the right of a minor child to live with the domestic worker.</w:t>
      </w:r>
    </w:p>
    <w:p w:rsidR="00EB7153" w:rsidRDefault="00EB7153">
      <w:pPr>
        <w:pStyle w:val="BodyA"/>
        <w:keepNext/>
        <w:keepLines/>
        <w:spacing w:after="0" w:line="240" w:lineRule="auto"/>
        <w:jc w:val="both"/>
        <w:outlineLvl w:val="1"/>
      </w:pPr>
    </w:p>
    <w:p w:rsidR="00EB7153" w:rsidRDefault="00371570">
      <w:pPr>
        <w:pStyle w:val="BodyA"/>
        <w:keepNext/>
        <w:keepLines/>
        <w:spacing w:after="0" w:line="240" w:lineRule="auto"/>
        <w:jc w:val="both"/>
        <w:outlineLvl w:val="1"/>
      </w:pPr>
      <w:r>
        <w:rPr>
          <w:rStyle w:val="None"/>
          <w:rFonts w:ascii="Calibri Light" w:eastAsia="Calibri Light" w:hAnsi="Calibri Light" w:cs="Calibri Light"/>
        </w:rPr>
        <w:t>However live-in domestic workers face unique challenges to their reproductive and family rights.  Employers, w</w:t>
      </w:r>
      <w:r>
        <w:rPr>
          <w:rStyle w:val="None"/>
          <w:rFonts w:ascii="Calibri Light" w:eastAsia="Calibri Light" w:hAnsi="Calibri Light" w:cs="Calibri Light"/>
        </w:rPr>
        <w:t>ho are providing the worker with accommodation, often state that they do not want a baby living on the premises. As a result, workers are forced to choose between their job and their desire to have a child. Domestic workers are commonly told that they will</w:t>
      </w:r>
      <w:r>
        <w:rPr>
          <w:rStyle w:val="None"/>
          <w:rFonts w:ascii="Calibri Light" w:eastAsia="Calibri Light" w:hAnsi="Calibri Light" w:cs="Calibri Light"/>
        </w:rPr>
        <w:t xml:space="preserve"> be dismissed if they get pregnant. In a research study conducted by the Solidarity Centre and Izwi Domestic Worker Alliance, 20% of domestic workers respondents said their employer has rules about whether the worker can have children; 78% of domestic work</w:t>
      </w:r>
      <w:r>
        <w:rPr>
          <w:rStyle w:val="None"/>
          <w:rFonts w:ascii="Calibri Light" w:eastAsia="Calibri Light" w:hAnsi="Calibri Light" w:cs="Calibri Light"/>
        </w:rPr>
        <w:t xml:space="preserve">ers reported not being permitted to have their family members or friends live with them. (cite) In some cases, the rule against accommodating children is made by Sectional Title Body Corporates, rather than individual employers. </w:t>
      </w:r>
    </w:p>
    <w:p w:rsidR="00EB7153" w:rsidRDefault="00EB7153">
      <w:pPr>
        <w:pStyle w:val="BodyA"/>
        <w:keepNext/>
        <w:keepLines/>
        <w:spacing w:after="0" w:line="240" w:lineRule="auto"/>
        <w:jc w:val="both"/>
        <w:outlineLvl w:val="1"/>
      </w:pPr>
    </w:p>
    <w:p w:rsidR="00EB7153" w:rsidRDefault="00371570">
      <w:pPr>
        <w:pStyle w:val="ListParagraph"/>
        <w:numPr>
          <w:ilvl w:val="0"/>
          <w:numId w:val="10"/>
        </w:numPr>
        <w:jc w:val="both"/>
        <w:rPr>
          <w:rFonts w:ascii="Calibri Light" w:eastAsia="Calibri Light" w:hAnsi="Calibri Light" w:cs="Calibri Light"/>
          <w:b/>
          <w:bCs/>
        </w:rPr>
      </w:pPr>
      <w:r>
        <w:rPr>
          <w:rFonts w:ascii="Calibri Light" w:eastAsia="Calibri Light" w:hAnsi="Calibri Light" w:cs="Calibri Light"/>
          <w:b/>
          <w:bCs/>
        </w:rPr>
        <w:t>Maternity Benefits</w:t>
      </w:r>
    </w:p>
    <w:p w:rsidR="00EB7153" w:rsidRDefault="00371570">
      <w:pPr>
        <w:pStyle w:val="BodyA"/>
        <w:jc w:val="both"/>
      </w:pPr>
      <w:r>
        <w:rPr>
          <w:rStyle w:val="None"/>
          <w:rFonts w:ascii="Calibri Light" w:eastAsia="Calibri Light" w:hAnsi="Calibri Light" w:cs="Calibri Light"/>
        </w:rPr>
        <w:t>In Sou</w:t>
      </w:r>
      <w:r>
        <w:rPr>
          <w:rStyle w:val="None"/>
          <w:rFonts w:ascii="Calibri Light" w:eastAsia="Calibri Light" w:hAnsi="Calibri Light" w:cs="Calibri Light"/>
        </w:rPr>
        <w:t>th Africa, the Unemployment Insurance Act establishes the Unemployment Insurance Fund (UIF) which is a contributory fund which both employers and employees contribute to, and which is then used to provide income replacement benefits such as unemployment, i</w:t>
      </w:r>
      <w:r>
        <w:rPr>
          <w:rStyle w:val="None"/>
          <w:rFonts w:ascii="Calibri Light" w:eastAsia="Calibri Light" w:hAnsi="Calibri Light" w:cs="Calibri Light"/>
        </w:rPr>
        <w:t xml:space="preserve">llness, maternity, adoption and dependent’s benefits.  </w:t>
      </w:r>
    </w:p>
    <w:p w:rsidR="00EB7153" w:rsidRDefault="00371570">
      <w:pPr>
        <w:pStyle w:val="BodyA"/>
        <w:jc w:val="both"/>
      </w:pPr>
      <w:r>
        <w:rPr>
          <w:rStyle w:val="None"/>
          <w:rFonts w:ascii="Calibri Light" w:eastAsia="Calibri Light" w:hAnsi="Calibri Light" w:cs="Calibri Light"/>
        </w:rPr>
        <w:t>First, since only contributing employees are eligible for the UIF, the unemployed who have never worked before are excluded from this insurance system. In addition, registration of the employee for UIF and making monthly contributions, rests on the employe</w:t>
      </w:r>
      <w:r>
        <w:rPr>
          <w:rStyle w:val="None"/>
          <w:rFonts w:ascii="Calibri Light" w:eastAsia="Calibri Light" w:hAnsi="Calibri Light" w:cs="Calibri Light"/>
        </w:rPr>
        <w:t>r. In practice, the problem of non-registration of UIF and lack of enforcement of non-registration obligations, is widespread. For example, while domestic workers are qualified for UIF if they are registered, the overwhelming majority of their employers ar</w:t>
      </w:r>
      <w:r>
        <w:rPr>
          <w:rStyle w:val="None"/>
          <w:rFonts w:ascii="Calibri Light" w:eastAsia="Calibri Light" w:hAnsi="Calibri Light" w:cs="Calibri Light"/>
        </w:rPr>
        <w:t xml:space="preserve">e not registered. The situation with respect to farm workers is similar. </w:t>
      </w:r>
    </w:p>
    <w:p w:rsidR="00EB7153" w:rsidRDefault="00371570">
      <w:pPr>
        <w:pStyle w:val="BodyA"/>
        <w:jc w:val="both"/>
      </w:pPr>
      <w:r>
        <w:rPr>
          <w:rStyle w:val="None"/>
          <w:rFonts w:ascii="Calibri Light" w:eastAsia="Calibri Light" w:hAnsi="Calibri Light" w:cs="Calibri Light"/>
        </w:rPr>
        <w:t>Often employers of domestic workers are private households that have limited capacity to deal with complex registration and payment procedures, especially in a fragmented system that</w:t>
      </w:r>
      <w:r>
        <w:rPr>
          <w:rStyle w:val="None"/>
          <w:rFonts w:ascii="Calibri Light" w:eastAsia="Calibri Light" w:hAnsi="Calibri Light" w:cs="Calibri Light"/>
        </w:rPr>
        <w:t xml:space="preserve"> requires them to interact with labour institutions and the paperwork. Furthermore, the Department of Employment and Labour makes little or no effort to hold domestic employers accountable to UIF registration. As a result, even where domestic workers are i</w:t>
      </w:r>
      <w:r>
        <w:rPr>
          <w:rStyle w:val="None"/>
          <w:rFonts w:ascii="Calibri Light" w:eastAsia="Calibri Light" w:hAnsi="Calibri Light" w:cs="Calibri Light"/>
        </w:rPr>
        <w:t xml:space="preserve">ncluded in legislation and social insurance is mandatory, many employers do not comply with the obligation to register their workers with a social insurance fund. This proves even more </w:t>
      </w:r>
      <w:r>
        <w:rPr>
          <w:rStyle w:val="None"/>
          <w:rFonts w:ascii="Calibri Light" w:eastAsia="Calibri Light" w:hAnsi="Calibri Light" w:cs="Calibri Light"/>
        </w:rPr>
        <w:lastRenderedPageBreak/>
        <w:t>difficult in a pandemic and lockdown in South Africa where government o</w:t>
      </w:r>
      <w:r>
        <w:rPr>
          <w:rStyle w:val="None"/>
          <w:rFonts w:ascii="Calibri Light" w:eastAsia="Calibri Light" w:hAnsi="Calibri Light" w:cs="Calibri Light"/>
        </w:rPr>
        <w:t xml:space="preserve">ffices were closed and had reduced capacity when opened. </w:t>
      </w:r>
    </w:p>
    <w:p w:rsidR="00EB7153" w:rsidRDefault="00371570">
      <w:pPr>
        <w:pStyle w:val="BodyA"/>
        <w:jc w:val="both"/>
      </w:pPr>
      <w:r>
        <w:rPr>
          <w:rStyle w:val="None"/>
          <w:rFonts w:ascii="Calibri Light" w:eastAsia="Calibri Light" w:hAnsi="Calibri Light" w:cs="Calibri Light"/>
        </w:rPr>
        <w:t>A survey of Izwi Domestic Worker Alliance members revealed that 79% of respondents were not registered for UIF while 11% did not know if they are registered. The survey underscored how severely dome</w:t>
      </w:r>
      <w:r>
        <w:rPr>
          <w:rStyle w:val="None"/>
          <w:rFonts w:ascii="Calibri Light" w:eastAsia="Calibri Light" w:hAnsi="Calibri Light" w:cs="Calibri Light"/>
        </w:rPr>
        <w:t>stic workers and their families are impacted by their employers’ non-compliance with the law.  According to Myrtle Witbooi of the South African Domestic Worker Union,  her union accompanied labour inspectors to 500 households, and only 22 off these had reg</w:t>
      </w:r>
      <w:r>
        <w:rPr>
          <w:rStyle w:val="None"/>
          <w:rFonts w:ascii="Calibri Light" w:eastAsia="Calibri Light" w:hAnsi="Calibri Light" w:cs="Calibri Light"/>
        </w:rPr>
        <w:t>istered for UIF, but “the department did nothing to follow up and enforce.”</w:t>
      </w:r>
      <w:r>
        <w:rPr>
          <w:rStyle w:val="None"/>
          <w:rFonts w:ascii="Calibri Light" w:eastAsia="Calibri Light" w:hAnsi="Calibri Light" w:cs="Calibri Light"/>
          <w:vertAlign w:val="superscript"/>
        </w:rPr>
        <w:footnoteReference w:id="22"/>
      </w:r>
      <w:r>
        <w:rPr>
          <w:rStyle w:val="None"/>
          <w:rFonts w:ascii="Calibri Light" w:eastAsia="Calibri Light" w:hAnsi="Calibri Light" w:cs="Calibri Light"/>
        </w:rPr>
        <w:t xml:space="preserve"> Wesso and Brandt note that “the failure of the Department of Employment and Labour to enforce regulatory compliance has perpetuated the widespread notion of domestic work as infor</w:t>
      </w:r>
      <w:r>
        <w:rPr>
          <w:rStyle w:val="None"/>
          <w:rFonts w:ascii="Calibri Light" w:eastAsia="Calibri Light" w:hAnsi="Calibri Light" w:cs="Calibri Light"/>
        </w:rPr>
        <w:t>mal and unregulated, reinforcing historical servitude and enabling a range of exploitative practices around the sector.”</w:t>
      </w:r>
      <w:r>
        <w:rPr>
          <w:rStyle w:val="None"/>
          <w:rFonts w:ascii="Calibri Light" w:eastAsia="Calibri Light" w:hAnsi="Calibri Light" w:cs="Calibri Light"/>
          <w:vertAlign w:val="superscript"/>
        </w:rPr>
        <w:footnoteReference w:id="23"/>
      </w:r>
    </w:p>
    <w:p w:rsidR="00EB7153" w:rsidRDefault="00371570">
      <w:pPr>
        <w:pStyle w:val="BodyA"/>
        <w:jc w:val="both"/>
      </w:pPr>
      <w:r>
        <w:rPr>
          <w:rStyle w:val="None"/>
          <w:rFonts w:ascii="Calibri Light" w:eastAsia="Calibri Light" w:hAnsi="Calibri Light" w:cs="Calibri Light"/>
        </w:rPr>
        <w:t>Second, employees working in the informal sector of the economy are also not eligible to claim from the UIF. The exclusion of independ</w:t>
      </w:r>
      <w:r>
        <w:rPr>
          <w:rStyle w:val="None"/>
          <w:rFonts w:ascii="Calibri Light" w:eastAsia="Calibri Light" w:hAnsi="Calibri Light" w:cs="Calibri Light"/>
        </w:rPr>
        <w:t>ent contractors or service providers from the scope of coverage of the UIA gives rise to the possibility that employers can change the nature of the employment relationship between themselves and their actual employees so as to evade social insurance oblig</w:t>
      </w:r>
      <w:r>
        <w:rPr>
          <w:rStyle w:val="None"/>
          <w:rFonts w:ascii="Calibri Light" w:eastAsia="Calibri Light" w:hAnsi="Calibri Light" w:cs="Calibri Light"/>
        </w:rPr>
        <w:t xml:space="preserve">ations such as contributing towards the Unemployment Insurance Fund. </w:t>
      </w:r>
      <w:r>
        <w:rPr>
          <w:rStyle w:val="None"/>
          <w:rFonts w:ascii="Calibri Light" w:eastAsia="Calibri Light" w:hAnsi="Calibri Light" w:cs="Calibri Light"/>
          <w:vertAlign w:val="superscript"/>
        </w:rPr>
        <w:footnoteReference w:id="24"/>
      </w:r>
      <w:r>
        <w:rPr>
          <w:rStyle w:val="None"/>
          <w:rFonts w:ascii="Calibri Light" w:eastAsia="Calibri Light" w:hAnsi="Calibri Light" w:cs="Calibri Light"/>
        </w:rPr>
        <w:t xml:space="preserve"> Casual employees, as well as seasonal farm workers, who work for only a few hours per month for a particular employer may therefore not be entitled to maternity benefits or any of the o</w:t>
      </w:r>
      <w:r>
        <w:rPr>
          <w:rStyle w:val="None"/>
          <w:rFonts w:ascii="Calibri Light" w:eastAsia="Calibri Light" w:hAnsi="Calibri Light" w:cs="Calibri Light"/>
        </w:rPr>
        <w:t>ther benefits that the UIA provides for. In addition, there are approximately two million in Informal economy workers such as street vendors in South Africa, of which, approximately 60% are female, and who exist without any social protection.</w:t>
      </w:r>
      <w:r>
        <w:rPr>
          <w:rStyle w:val="None"/>
          <w:rFonts w:ascii="Calibri Light" w:eastAsia="Calibri Light" w:hAnsi="Calibri Light" w:cs="Calibri Light"/>
          <w:vertAlign w:val="superscript"/>
        </w:rPr>
        <w:footnoteReference w:id="25"/>
      </w:r>
    </w:p>
    <w:p w:rsidR="00EB7153" w:rsidRDefault="00371570">
      <w:pPr>
        <w:pStyle w:val="BodyA"/>
        <w:jc w:val="both"/>
      </w:pPr>
      <w:r>
        <w:rPr>
          <w:rStyle w:val="None"/>
          <w:rFonts w:ascii="Calibri Light" w:eastAsia="Calibri Light" w:hAnsi="Calibri Light" w:cs="Calibri Light"/>
        </w:rPr>
        <w:t>Unregistered</w:t>
      </w:r>
      <w:r>
        <w:rPr>
          <w:rStyle w:val="None"/>
          <w:rFonts w:ascii="Calibri Light" w:eastAsia="Calibri Light" w:hAnsi="Calibri Light" w:cs="Calibri Light"/>
        </w:rPr>
        <w:t xml:space="preserve"> domestic workers were excluded from the UIF COVID-19 Temporary Employer-Employee Relief Scheme benefit that was implemented by the state to alleviate the economic impact of the pandemic, despite significant job losses in the sector in 2020. From the first</w:t>
      </w:r>
      <w:r>
        <w:rPr>
          <w:rStyle w:val="None"/>
          <w:rFonts w:ascii="Calibri Light" w:eastAsia="Calibri Light" w:hAnsi="Calibri Light" w:cs="Calibri Light"/>
        </w:rPr>
        <w:t xml:space="preserve"> days of the lockdown, civil society began pushing for amendments to the TERS (Temporary Employer-Employee Relief Scheme) to provide wage payments for workers placed on unpaid leave during the pandemic, so that employees could claim directly from the state</w:t>
      </w:r>
      <w:r>
        <w:rPr>
          <w:rStyle w:val="None"/>
          <w:rFonts w:ascii="Calibri Light" w:eastAsia="Calibri Light" w:hAnsi="Calibri Light" w:cs="Calibri Light"/>
        </w:rPr>
        <w:t xml:space="preserve">, that such payments be mandatory not optional and crucially that workers whose employers did not register them for UIF should be eligible for TERS. While the first two demands were granted, it took threatened litigation to gain DOEL commitment to provide </w:t>
      </w:r>
      <w:r>
        <w:rPr>
          <w:rStyle w:val="None"/>
          <w:rFonts w:ascii="Calibri Light" w:eastAsia="Calibri Light" w:hAnsi="Calibri Light" w:cs="Calibri Light"/>
        </w:rPr>
        <w:t>TERS payments to unregistered workers., and 5 months passed before the DoEL relented on the unregistered workers. Ultimately an online system of application was opened, but due in part to technical difficulties (including the inability of migrant workers t</w:t>
      </w:r>
      <w:r>
        <w:rPr>
          <w:rStyle w:val="None"/>
          <w:rFonts w:ascii="Calibri Light" w:eastAsia="Calibri Light" w:hAnsi="Calibri Light" w:cs="Calibri Light"/>
        </w:rPr>
        <w:t>o file claims) few, if any claims were ultimately submitted</w:t>
      </w:r>
      <w:r>
        <w:rPr>
          <w:rStyle w:val="None"/>
          <w:rFonts w:ascii="Calibri Light" w:eastAsia="Calibri Light" w:hAnsi="Calibri Light" w:cs="Calibri Light"/>
          <w:vertAlign w:val="superscript"/>
        </w:rPr>
        <w:footnoteReference w:id="26"/>
      </w:r>
      <w:r>
        <w:rPr>
          <w:rStyle w:val="None"/>
          <w:rFonts w:ascii="Calibri Light" w:eastAsia="Calibri Light" w:hAnsi="Calibri Light" w:cs="Calibri Light"/>
        </w:rPr>
        <w:t xml:space="preserve">. </w:t>
      </w:r>
    </w:p>
    <w:p w:rsidR="00EB7153" w:rsidRDefault="00371570">
      <w:pPr>
        <w:pStyle w:val="BodyA"/>
        <w:jc w:val="both"/>
      </w:pPr>
      <w:r>
        <w:rPr>
          <w:rStyle w:val="None"/>
          <w:rFonts w:ascii="Calibri Light" w:eastAsia="Calibri Light" w:hAnsi="Calibri Light" w:cs="Calibri Light"/>
        </w:rPr>
        <w:lastRenderedPageBreak/>
        <w:t>Live-in domestic workers were severely disadvantaged by the lockdowns imposed due to the COVID-19, which kept them on-site with employers and prevented access to their families, health care, fo</w:t>
      </w:r>
      <w:r>
        <w:rPr>
          <w:rStyle w:val="None"/>
          <w:rFonts w:ascii="Calibri Light" w:eastAsia="Calibri Light" w:hAnsi="Calibri Light" w:cs="Calibri Light"/>
        </w:rPr>
        <w:t>od, and other basic needs during the pandemic.</w:t>
      </w:r>
    </w:p>
    <w:p w:rsidR="00EB7153" w:rsidRDefault="00371570">
      <w:pPr>
        <w:pStyle w:val="BodyA"/>
        <w:jc w:val="both"/>
      </w:pPr>
      <w:r>
        <w:rPr>
          <w:rStyle w:val="None"/>
          <w:rFonts w:ascii="Calibri Light" w:eastAsia="Calibri Light" w:hAnsi="Calibri Light" w:cs="Calibri Light"/>
        </w:rPr>
        <w:t>A recent South African Law Commission Report on Maternity Benefits for Informal Economy Workers proposes a comprehensive scheme for maternity and paternity protection for informal economy workers.</w:t>
      </w:r>
    </w:p>
    <w:p w:rsidR="00EB7153" w:rsidRDefault="00371570">
      <w:pPr>
        <w:pStyle w:val="BodyA"/>
        <w:jc w:val="both"/>
      </w:pPr>
      <w:r>
        <w:rPr>
          <w:rStyle w:val="None"/>
          <w:rFonts w:ascii="Calibri Light" w:eastAsia="Calibri Light" w:hAnsi="Calibri Light" w:cs="Calibri Light"/>
          <w:b/>
          <w:bCs/>
        </w:rPr>
        <w:t>Mining Secto</w:t>
      </w:r>
      <w:r>
        <w:rPr>
          <w:rStyle w:val="None"/>
          <w:rFonts w:ascii="Calibri Light" w:eastAsia="Calibri Light" w:hAnsi="Calibri Light" w:cs="Calibri Light"/>
          <w:b/>
          <w:bCs/>
        </w:rPr>
        <w:t xml:space="preserve">r: </w:t>
      </w:r>
      <w:r>
        <w:rPr>
          <w:rStyle w:val="None"/>
          <w:rFonts w:ascii="Calibri Light" w:eastAsia="Calibri Light" w:hAnsi="Calibri Light" w:cs="Calibri Light"/>
        </w:rPr>
        <w:t xml:space="preserve">In formal sector employment, such as the mining sector,  Section 26 the Basic Conditions of Employment Act, provides that (1) employers may not permit pregnant employees to perform hazardous work; (2) during the employees pregnancy, and for a period of </w:t>
      </w:r>
      <w:r>
        <w:rPr>
          <w:rStyle w:val="None"/>
          <w:rFonts w:ascii="Calibri Light" w:eastAsia="Calibri Light" w:hAnsi="Calibri Light" w:cs="Calibri Light"/>
        </w:rPr>
        <w:t>six months after the birth, the employer must provide the employee suitable alternative work if the work poses a danger to her health and if it is practicable to do so. In practice, women mine workers report that they are immediately placed on unpaid leave</w:t>
      </w:r>
      <w:r>
        <w:rPr>
          <w:rStyle w:val="None"/>
          <w:rFonts w:ascii="Calibri Light" w:eastAsia="Calibri Light" w:hAnsi="Calibri Light" w:cs="Calibri Light"/>
        </w:rPr>
        <w:t xml:space="preserve"> upon disclosing to the employer that they are pregnant. As a result, many women working in mines conceal their pregnancy, in order to continue to be paid for work during their pregnancies.</w:t>
      </w:r>
    </w:p>
    <w:p w:rsidR="00EB7153" w:rsidRDefault="00371570">
      <w:pPr>
        <w:pStyle w:val="BodyA"/>
        <w:keepNext/>
        <w:keepLines/>
        <w:spacing w:after="0" w:line="240" w:lineRule="auto"/>
        <w:jc w:val="both"/>
        <w:outlineLvl w:val="1"/>
      </w:pPr>
      <w:r>
        <w:rPr>
          <w:rStyle w:val="None"/>
          <w:rFonts w:ascii="Calibri Light" w:eastAsia="Calibri Light" w:hAnsi="Calibri Light" w:cs="Calibri Light"/>
          <w:b/>
          <w:bCs/>
        </w:rPr>
        <w:t>Recommendation:</w:t>
      </w:r>
    </w:p>
    <w:p w:rsidR="00EB7153" w:rsidRDefault="00EB7153">
      <w:pPr>
        <w:pStyle w:val="BodyA"/>
        <w:keepNext/>
        <w:keepLines/>
        <w:spacing w:after="0" w:line="240" w:lineRule="auto"/>
        <w:jc w:val="both"/>
        <w:outlineLvl w:val="1"/>
      </w:pPr>
    </w:p>
    <w:p w:rsidR="00EB7153" w:rsidRDefault="00371570">
      <w:pPr>
        <w:pStyle w:val="BodyA"/>
        <w:keepNext/>
        <w:keepLines/>
        <w:numPr>
          <w:ilvl w:val="0"/>
          <w:numId w:val="12"/>
        </w:numPr>
        <w:spacing w:after="0" w:line="240" w:lineRule="auto"/>
        <w:jc w:val="both"/>
        <w:outlineLvl w:val="1"/>
        <w:rPr>
          <w:rFonts w:ascii="Calibri Light" w:eastAsia="Calibri Light" w:hAnsi="Calibri Light" w:cs="Calibri Light"/>
          <w:b/>
          <w:bCs/>
        </w:rPr>
      </w:pPr>
      <w:r>
        <w:rPr>
          <w:rFonts w:ascii="Calibri Light" w:eastAsia="Calibri Light" w:hAnsi="Calibri Light" w:cs="Calibri Light"/>
          <w:b/>
          <w:bCs/>
        </w:rPr>
        <w:t>Pass laws that provide maternity benefits to info</w:t>
      </w:r>
      <w:r>
        <w:rPr>
          <w:rFonts w:ascii="Calibri Light" w:eastAsia="Calibri Light" w:hAnsi="Calibri Light" w:cs="Calibri Light"/>
          <w:b/>
          <w:bCs/>
        </w:rPr>
        <w:t>rmal and independent workers, regardless of migration status,  and should ensure that the Sectoral Determination on Domestic Work is amended to address the issue of maternity and family rights of live-in domestic workers working in private homes and in Sec</w:t>
      </w:r>
      <w:r>
        <w:rPr>
          <w:rFonts w:ascii="Calibri Light" w:eastAsia="Calibri Light" w:hAnsi="Calibri Light" w:cs="Calibri Light"/>
          <w:b/>
          <w:bCs/>
        </w:rPr>
        <w:t xml:space="preserve">tional Title complexes.  </w:t>
      </w:r>
    </w:p>
    <w:p w:rsidR="00EB7153" w:rsidRDefault="00EB7153">
      <w:pPr>
        <w:pStyle w:val="BodyA"/>
        <w:keepNext/>
        <w:keepLines/>
        <w:spacing w:after="0" w:line="240" w:lineRule="auto"/>
        <w:ind w:left="720"/>
        <w:jc w:val="both"/>
        <w:outlineLvl w:val="1"/>
      </w:pPr>
    </w:p>
    <w:p w:rsidR="00EB7153" w:rsidRDefault="00371570">
      <w:pPr>
        <w:pStyle w:val="BodyA"/>
        <w:keepNext/>
        <w:keepLines/>
        <w:numPr>
          <w:ilvl w:val="0"/>
          <w:numId w:val="12"/>
        </w:numPr>
        <w:spacing w:after="0" w:line="240" w:lineRule="auto"/>
        <w:jc w:val="both"/>
        <w:outlineLvl w:val="1"/>
        <w:rPr>
          <w:rFonts w:ascii="Calibri Light" w:eastAsia="Calibri Light" w:hAnsi="Calibri Light" w:cs="Calibri Light"/>
          <w:b/>
          <w:bCs/>
        </w:rPr>
      </w:pPr>
      <w:r>
        <w:rPr>
          <w:rFonts w:ascii="Calibri Light" w:eastAsia="Calibri Light" w:hAnsi="Calibri Light" w:cs="Calibri Light"/>
          <w:b/>
          <w:bCs/>
        </w:rPr>
        <w:t>Amend the BCEA to prohibit employers from automatically placing pregnant women working in hazardous occupations on n unpaid leave for the duration of their pregnancies.</w:t>
      </w:r>
    </w:p>
    <w:p w:rsidR="00EB7153" w:rsidRDefault="00EB7153">
      <w:pPr>
        <w:pStyle w:val="BodyA"/>
        <w:keepNext/>
        <w:keepLines/>
        <w:spacing w:after="0" w:line="240" w:lineRule="auto"/>
        <w:jc w:val="both"/>
        <w:outlineLvl w:val="1"/>
      </w:pPr>
    </w:p>
    <w:p w:rsidR="00EB7153" w:rsidRDefault="00371570">
      <w:pPr>
        <w:pStyle w:val="BodyA"/>
        <w:keepNext/>
        <w:keepLines/>
        <w:numPr>
          <w:ilvl w:val="0"/>
          <w:numId w:val="12"/>
        </w:numPr>
        <w:spacing w:after="0" w:line="240" w:lineRule="auto"/>
        <w:jc w:val="both"/>
        <w:outlineLvl w:val="1"/>
        <w:rPr>
          <w:rFonts w:ascii="Calibri Light" w:eastAsia="Calibri Light" w:hAnsi="Calibri Light" w:cs="Calibri Light"/>
          <w:b/>
          <w:bCs/>
        </w:rPr>
      </w:pPr>
      <w:r>
        <w:rPr>
          <w:rStyle w:val="None"/>
          <w:rFonts w:ascii="Calibri Light" w:eastAsia="Calibri Light" w:hAnsi="Calibri Light" w:cs="Calibri Light"/>
          <w:b/>
          <w:bCs/>
        </w:rPr>
        <w:t>Urgently address the rampant “</w:t>
      </w:r>
      <w:r w:rsidRPr="00C72C36">
        <w:rPr>
          <w:rStyle w:val="None"/>
          <w:rFonts w:ascii="Calibri Light" w:eastAsia="Calibri Light" w:hAnsi="Calibri Light" w:cs="Calibri Light"/>
          <w:b/>
          <w:bCs/>
          <w:lang w:val="en-GB"/>
        </w:rPr>
        <w:t>culture</w:t>
      </w:r>
      <w:r>
        <w:rPr>
          <w:rStyle w:val="None"/>
          <w:rFonts w:ascii="Calibri Light" w:eastAsia="Calibri Light" w:hAnsi="Calibri Light" w:cs="Calibri Light"/>
          <w:b/>
          <w:bCs/>
        </w:rPr>
        <w:t xml:space="preserve">” of informalization </w:t>
      </w:r>
      <w:r>
        <w:rPr>
          <w:rStyle w:val="None"/>
          <w:rFonts w:ascii="Calibri Light" w:eastAsia="Calibri Light" w:hAnsi="Calibri Light" w:cs="Calibri Light"/>
          <w:b/>
          <w:bCs/>
        </w:rPr>
        <w:t>which domestic workers and farmworkers work in which they have no contract and are not registered for UIF and therefore have no way to prove length of time worked to obtain benefits.</w:t>
      </w:r>
    </w:p>
    <w:p w:rsidR="00EB7153" w:rsidRDefault="00EB7153">
      <w:pPr>
        <w:pStyle w:val="ListParagraph"/>
        <w:jc w:val="both"/>
      </w:pPr>
    </w:p>
    <w:p w:rsidR="00EB7153" w:rsidRDefault="00371570">
      <w:pPr>
        <w:pStyle w:val="ListParagraph"/>
        <w:numPr>
          <w:ilvl w:val="0"/>
          <w:numId w:val="13"/>
        </w:numPr>
        <w:jc w:val="both"/>
        <w:rPr>
          <w:rFonts w:ascii="Calibri Light" w:eastAsia="Calibri Light" w:hAnsi="Calibri Light" w:cs="Calibri Light"/>
          <w:b/>
          <w:bCs/>
          <w:sz w:val="24"/>
          <w:szCs w:val="24"/>
        </w:rPr>
      </w:pPr>
      <w:r>
        <w:rPr>
          <w:rFonts w:ascii="Calibri Light" w:eastAsia="Calibri Light" w:hAnsi="Calibri Light" w:cs="Calibri Light"/>
          <w:b/>
          <w:bCs/>
          <w:sz w:val="24"/>
          <w:szCs w:val="24"/>
        </w:rPr>
        <w:t>Equal pay for work of equal value: 11(d)(4-5)</w:t>
      </w:r>
    </w:p>
    <w:p w:rsidR="00EB7153" w:rsidRDefault="00371570">
      <w:pPr>
        <w:pStyle w:val="BodyA"/>
        <w:jc w:val="both"/>
      </w:pPr>
      <w:r>
        <w:rPr>
          <w:rStyle w:val="None"/>
          <w:rFonts w:ascii="Calibri Light" w:eastAsia="Calibri Light" w:hAnsi="Calibri Light" w:cs="Calibri Light"/>
        </w:rPr>
        <w:t xml:space="preserve">7(a) Fair Wages and Equal </w:t>
      </w:r>
      <w:r>
        <w:rPr>
          <w:rStyle w:val="None"/>
          <w:rFonts w:ascii="Calibri Light" w:eastAsia="Calibri Light" w:hAnsi="Calibri Light" w:cs="Calibri Light"/>
        </w:rPr>
        <w:t xml:space="preserve">Pay for Work for Equal Value </w:t>
      </w:r>
    </w:p>
    <w:p w:rsidR="00EB7153" w:rsidRDefault="00371570">
      <w:pPr>
        <w:pStyle w:val="BodyA"/>
        <w:jc w:val="both"/>
      </w:pPr>
      <w:r>
        <w:rPr>
          <w:rStyle w:val="None"/>
          <w:rFonts w:ascii="Calibri Light" w:eastAsia="Calibri Light" w:hAnsi="Calibri Light" w:cs="Calibri Light"/>
        </w:rPr>
        <w:t>In November 2017 South Africa passed a National Minimum Wage Act which introduced a national minimum wage applicable to all sectors of the workforce.</w:t>
      </w:r>
      <w:r>
        <w:rPr>
          <w:rStyle w:val="None"/>
          <w:rFonts w:ascii="Calibri Light" w:eastAsia="Calibri Light" w:hAnsi="Calibri Light" w:cs="Calibri Light"/>
          <w:vertAlign w:val="superscript"/>
        </w:rPr>
        <w:footnoteReference w:id="27"/>
      </w:r>
      <w:r>
        <w:rPr>
          <w:rStyle w:val="None"/>
          <w:rFonts w:ascii="Calibri Light" w:eastAsia="Calibri Light" w:hAnsi="Calibri Light" w:cs="Calibri Light"/>
          <w:vertAlign w:val="superscript"/>
        </w:rPr>
        <w:t xml:space="preserve">  </w:t>
      </w:r>
      <w:r>
        <w:rPr>
          <w:rStyle w:val="None"/>
          <w:rFonts w:ascii="Calibri Light" w:eastAsia="Calibri Light" w:hAnsi="Calibri Light" w:cs="Calibri Light"/>
        </w:rPr>
        <w:t>The law was designed to alleviate poverty, but under the new law, domestic</w:t>
      </w:r>
      <w:r>
        <w:rPr>
          <w:rStyle w:val="None"/>
          <w:rFonts w:ascii="Calibri Light" w:eastAsia="Calibri Light" w:hAnsi="Calibri Light" w:cs="Calibri Light"/>
        </w:rPr>
        <w:t xml:space="preserve"> workers earned R15 an hour which is 75% of the minimum wage of R20 an hour and farm workers earn R18 an hour equivalent of 90% of the minimum wage. Expanded Public Work Program workers (EPWP) earned R11/ hour.</w:t>
      </w:r>
      <w:r>
        <w:rPr>
          <w:rStyle w:val="None"/>
          <w:rFonts w:ascii="Calibri Light" w:eastAsia="Calibri Light" w:hAnsi="Calibri Light" w:cs="Calibri Light"/>
          <w:vertAlign w:val="superscript"/>
        </w:rPr>
        <w:footnoteReference w:id="28"/>
      </w:r>
      <w:r>
        <w:rPr>
          <w:rStyle w:val="None"/>
          <w:rFonts w:ascii="Calibri Light" w:eastAsia="Calibri Light" w:hAnsi="Calibri Light" w:cs="Calibri Light"/>
        </w:rPr>
        <w:t xml:space="preserve"> These wages were not only less than the full</w:t>
      </w:r>
      <w:r>
        <w:rPr>
          <w:rStyle w:val="None"/>
          <w:rFonts w:ascii="Calibri Light" w:eastAsia="Calibri Light" w:hAnsi="Calibri Light" w:cs="Calibri Light"/>
        </w:rPr>
        <w:t xml:space="preserve"> national minimum wage, but they were not a living wage. In terms of this Act, the tiered approach for minimum wage would last no longer than two years, and that domestic workers would be gradually phased in. </w:t>
      </w:r>
    </w:p>
    <w:p w:rsidR="00EB7153" w:rsidRDefault="00371570">
      <w:pPr>
        <w:pStyle w:val="BodyA"/>
        <w:jc w:val="both"/>
      </w:pPr>
      <w:r>
        <w:rPr>
          <w:rStyle w:val="None"/>
          <w:rFonts w:ascii="Calibri Light" w:eastAsia="Calibri Light" w:hAnsi="Calibri Light" w:cs="Calibri Light"/>
        </w:rPr>
        <w:lastRenderedPageBreak/>
        <w:t>The One Wage Campaign, which consists of Domes</w:t>
      </w:r>
      <w:r>
        <w:rPr>
          <w:rStyle w:val="None"/>
          <w:rFonts w:ascii="Calibri Light" w:eastAsia="Calibri Light" w:hAnsi="Calibri Light" w:cs="Calibri Light"/>
        </w:rPr>
        <w:t>tic Worker Groups, such as Izwi Domestic Worker Alliance together with other civil society organisations made submissions to the newly established national minimum wage board, arguing that there should be one national minimum wage for all workers (this was</w:t>
      </w:r>
      <w:r>
        <w:rPr>
          <w:rStyle w:val="None"/>
          <w:rFonts w:ascii="Calibri Light" w:eastAsia="Calibri Light" w:hAnsi="Calibri Light" w:cs="Calibri Light"/>
        </w:rPr>
        <w:t xml:space="preserve"> recognized by the ICESCR Committee) and that the absence of parity in minimum wage for domestic workers, farm workers and EWP workers constitutes indirect discrimination against farm workers and EPWP workers directly on the grounds of sector, and indirect</w:t>
      </w:r>
      <w:r>
        <w:rPr>
          <w:rStyle w:val="None"/>
          <w:rFonts w:ascii="Calibri Light" w:eastAsia="Calibri Light" w:hAnsi="Calibri Light" w:cs="Calibri Light"/>
        </w:rPr>
        <w:t xml:space="preserve">ly on grounds of race, gender and class. It entrenches rather than alleviates poverty. </w:t>
      </w:r>
    </w:p>
    <w:p w:rsidR="00EB7153" w:rsidRDefault="00371570">
      <w:pPr>
        <w:pStyle w:val="BodyA"/>
        <w:jc w:val="both"/>
      </w:pPr>
      <w:r>
        <w:rPr>
          <w:rStyle w:val="None"/>
          <w:rFonts w:ascii="Calibri Light" w:eastAsia="Calibri Light" w:hAnsi="Calibri Light" w:cs="Calibri Light"/>
        </w:rPr>
        <w:t>This tiered approach to the national minimum wage discriminates against domestic workers, who are largely black women. Similarl the EPWP work operates in the social sec</w:t>
      </w:r>
      <w:r>
        <w:rPr>
          <w:rStyle w:val="None"/>
          <w:rFonts w:ascii="Calibri Light" w:eastAsia="Calibri Light" w:hAnsi="Calibri Light" w:cs="Calibri Light"/>
        </w:rPr>
        <w:t>tor (among others), and specifically mandates the provision of job opportunities for women in social development and community services. Indeed, in 2012, 85% of participants in the social sector were female. While the program is responsive to the inclusion</w:t>
      </w:r>
      <w:r>
        <w:rPr>
          <w:rStyle w:val="None"/>
          <w:rFonts w:ascii="Calibri Light" w:eastAsia="Calibri Light" w:hAnsi="Calibri Light" w:cs="Calibri Light"/>
        </w:rPr>
        <w:t xml:space="preserve"> of women, the exclusion from equal pay, constitutes indirect discrimination.</w:t>
      </w:r>
      <w:r>
        <w:rPr>
          <w:rStyle w:val="None"/>
          <w:rFonts w:ascii="Calibri Light" w:eastAsia="Calibri Light" w:hAnsi="Calibri Light" w:cs="Calibri Light"/>
          <w:vertAlign w:val="superscript"/>
        </w:rPr>
        <w:footnoteReference w:id="29"/>
      </w:r>
      <w:r>
        <w:rPr>
          <w:rStyle w:val="None"/>
          <w:rFonts w:ascii="Calibri Light" w:eastAsia="Calibri Light" w:hAnsi="Calibri Light" w:cs="Calibri Light"/>
        </w:rPr>
        <w:t xml:space="preserve"> The One Wage Campaign argued that the impact of Covid had increased the hardship of domestic workers, rendering parity in wage even more urgent.</w:t>
      </w:r>
    </w:p>
    <w:p w:rsidR="00EB7153" w:rsidRDefault="00371570">
      <w:pPr>
        <w:pStyle w:val="BodyA"/>
        <w:jc w:val="both"/>
      </w:pPr>
      <w:r>
        <w:rPr>
          <w:rStyle w:val="None"/>
          <w:rFonts w:ascii="Calibri Light" w:eastAsia="Calibri Light" w:hAnsi="Calibri Light" w:cs="Calibri Light"/>
        </w:rPr>
        <w:t>In 2021, the National Minimum Wa</w:t>
      </w:r>
      <w:r>
        <w:rPr>
          <w:rStyle w:val="None"/>
          <w:rFonts w:ascii="Calibri Light" w:eastAsia="Calibri Light" w:hAnsi="Calibri Light" w:cs="Calibri Light"/>
        </w:rPr>
        <w:t>ge Board made recommendations, which were accepted by the Minister, that farmworkers be included in equal under the new national minimum wage of R21,69/hour, but that DMW, while their wage was raised 23% (from R15.57 our hour to R19,09/per hour), were deni</w:t>
      </w:r>
      <w:r>
        <w:rPr>
          <w:rStyle w:val="None"/>
          <w:rFonts w:ascii="Calibri Light" w:eastAsia="Calibri Light" w:hAnsi="Calibri Light" w:cs="Calibri Light"/>
        </w:rPr>
        <w:t xml:space="preserve">ed full parity, with the given reason being the loss of jobs due to the Covid Pandemic, and with an expectation that they will be included in the full NMW in 2022. EPWP (expanded Public Works Program) workers minimum wage was set at R11,93/hour. </w:t>
      </w:r>
      <w:r>
        <w:rPr>
          <w:rStyle w:val="None"/>
          <w:rFonts w:ascii="Calibri Light" w:eastAsia="Calibri Light" w:hAnsi="Calibri Light" w:cs="Calibri Light"/>
          <w:b/>
          <w:bCs/>
        </w:rPr>
        <w:t xml:space="preserve"> </w:t>
      </w:r>
    </w:p>
    <w:p w:rsidR="00EB7153" w:rsidRDefault="00371570">
      <w:pPr>
        <w:pStyle w:val="BodyA"/>
        <w:jc w:val="both"/>
      </w:pPr>
      <w:r>
        <w:rPr>
          <w:rStyle w:val="None"/>
          <w:rFonts w:ascii="Calibri Light" w:eastAsia="Calibri Light" w:hAnsi="Calibri Light" w:cs="Calibri Light"/>
          <w:b/>
          <w:bCs/>
        </w:rPr>
        <w:t>Recommen</w:t>
      </w:r>
      <w:r>
        <w:rPr>
          <w:rStyle w:val="None"/>
          <w:rFonts w:ascii="Calibri Light" w:eastAsia="Calibri Light" w:hAnsi="Calibri Light" w:cs="Calibri Light"/>
          <w:b/>
          <w:bCs/>
        </w:rPr>
        <w:t>dations:</w:t>
      </w:r>
    </w:p>
    <w:p w:rsidR="00EB7153" w:rsidRDefault="00371570">
      <w:pPr>
        <w:pStyle w:val="BodyA"/>
        <w:numPr>
          <w:ilvl w:val="0"/>
          <w:numId w:val="15"/>
        </w:numPr>
        <w:jc w:val="both"/>
        <w:rPr>
          <w:rFonts w:ascii="Calibri Light" w:eastAsia="Calibri Light" w:hAnsi="Calibri Light" w:cs="Calibri Light"/>
          <w:b/>
          <w:bCs/>
        </w:rPr>
      </w:pPr>
      <w:r>
        <w:rPr>
          <w:rFonts w:ascii="Calibri Light" w:eastAsia="Calibri Light" w:hAnsi="Calibri Light" w:cs="Calibri Light"/>
          <w:b/>
          <w:bCs/>
        </w:rPr>
        <w:t>Ensure parity in NMW law for all workers including domestic workers, and EPWP workers, as was recommended by the Committee of the International Covenant on Economic, Social and Cultural Rights, and is required under CEDAW.</w:t>
      </w:r>
    </w:p>
    <w:p w:rsidR="00EB7153" w:rsidRDefault="00371570">
      <w:pPr>
        <w:pStyle w:val="BodyA"/>
        <w:numPr>
          <w:ilvl w:val="0"/>
          <w:numId w:val="15"/>
        </w:numPr>
        <w:jc w:val="both"/>
        <w:rPr>
          <w:rFonts w:ascii="Calibri Light" w:eastAsia="Calibri Light" w:hAnsi="Calibri Light" w:cs="Calibri Light"/>
          <w:b/>
          <w:bCs/>
        </w:rPr>
      </w:pPr>
      <w:r>
        <w:rPr>
          <w:rFonts w:ascii="Calibri Light" w:eastAsia="Calibri Light" w:hAnsi="Calibri Light" w:cs="Calibri Light"/>
          <w:b/>
          <w:bCs/>
        </w:rPr>
        <w:t>Ensure that the national</w:t>
      </w:r>
      <w:r>
        <w:rPr>
          <w:rFonts w:ascii="Calibri Light" w:eastAsia="Calibri Light" w:hAnsi="Calibri Light" w:cs="Calibri Light"/>
          <w:b/>
          <w:bCs/>
        </w:rPr>
        <w:t xml:space="preserve"> minimum wage represents a “living wage.”</w:t>
      </w:r>
    </w:p>
    <w:p w:rsidR="00EB7153" w:rsidRDefault="00371570">
      <w:pPr>
        <w:pStyle w:val="BodyA"/>
        <w:numPr>
          <w:ilvl w:val="0"/>
          <w:numId w:val="15"/>
        </w:numPr>
        <w:jc w:val="both"/>
        <w:rPr>
          <w:rFonts w:ascii="Calibri Light" w:eastAsia="Calibri Light" w:hAnsi="Calibri Light" w:cs="Calibri Light"/>
          <w:b/>
          <w:bCs/>
        </w:rPr>
      </w:pPr>
      <w:r>
        <w:rPr>
          <w:rFonts w:ascii="Calibri Light" w:eastAsia="Calibri Light" w:hAnsi="Calibri Light" w:cs="Calibri Light"/>
          <w:b/>
          <w:bCs/>
        </w:rPr>
        <w:t>Enforce compliance with NMW in all sectors by tracking and holding employers accountable who do not abide by the NMW.</w:t>
      </w:r>
    </w:p>
    <w:p w:rsidR="00EB7153" w:rsidRDefault="00EB7153">
      <w:pPr>
        <w:pStyle w:val="BodyA"/>
        <w:jc w:val="both"/>
      </w:pPr>
    </w:p>
    <w:p w:rsidR="00EB7153" w:rsidRDefault="00371570">
      <w:pPr>
        <w:pStyle w:val="ListParagraph"/>
        <w:numPr>
          <w:ilvl w:val="0"/>
          <w:numId w:val="16"/>
        </w:numPr>
        <w:jc w:val="both"/>
        <w:rPr>
          <w:rFonts w:ascii="Calibri Light" w:eastAsia="Calibri Light" w:hAnsi="Calibri Light" w:cs="Calibri Light"/>
          <w:b/>
          <w:bCs/>
          <w:sz w:val="24"/>
          <w:szCs w:val="24"/>
        </w:rPr>
      </w:pPr>
      <w:r>
        <w:rPr>
          <w:rFonts w:ascii="Calibri Light" w:eastAsia="Calibri Light" w:hAnsi="Calibri Light" w:cs="Calibri Light"/>
          <w:b/>
          <w:bCs/>
          <w:sz w:val="24"/>
          <w:szCs w:val="24"/>
        </w:rPr>
        <w:t>Access to Justice: (Art 2, 15 &amp; 16 and GR 33) (5-6)</w:t>
      </w:r>
    </w:p>
    <w:p w:rsidR="00EB7153" w:rsidRDefault="00371570">
      <w:pPr>
        <w:pStyle w:val="BodyA"/>
        <w:jc w:val="both"/>
      </w:pPr>
      <w:r>
        <w:rPr>
          <w:rStyle w:val="None"/>
          <w:rFonts w:ascii="Calibri Light" w:eastAsia="Calibri Light" w:hAnsi="Calibri Light" w:cs="Calibri Light"/>
        </w:rPr>
        <w:t>CEDAW’s provisions on implementation of rig</w:t>
      </w:r>
      <w:r>
        <w:rPr>
          <w:rStyle w:val="None"/>
          <w:rFonts w:ascii="Calibri Light" w:eastAsia="Calibri Light" w:hAnsi="Calibri Light" w:cs="Calibri Light"/>
        </w:rPr>
        <w:t>hts, such as article 2(c) requires states to establish legal protection of women on an equal basis with men and “to ensure through competent national tribunals and other public institutions the effective protection of women against any act of discriminatio</w:t>
      </w:r>
      <w:r>
        <w:rPr>
          <w:rStyle w:val="None"/>
          <w:rFonts w:ascii="Calibri Light" w:eastAsia="Calibri Light" w:hAnsi="Calibri Light" w:cs="Calibri Light"/>
        </w:rPr>
        <w:t>n”.</w:t>
      </w:r>
    </w:p>
    <w:p w:rsidR="00EB7153" w:rsidRDefault="00371570">
      <w:pPr>
        <w:pStyle w:val="BodyA"/>
        <w:jc w:val="both"/>
      </w:pPr>
      <w:r>
        <w:rPr>
          <w:rStyle w:val="None"/>
          <w:rFonts w:ascii="Calibri Light" w:eastAsia="Calibri Light" w:hAnsi="Calibri Light" w:cs="Calibri Light"/>
        </w:rPr>
        <w:t>In South Africa, women workers encounter significant difficulties in (a) obtaining legal redress in courts and tribunals, (b) through the absence of adequate labour inspection on farms and in private homes; (c) through widespread ignorance of laws, and</w:t>
      </w:r>
      <w:r>
        <w:rPr>
          <w:rStyle w:val="None"/>
          <w:rFonts w:ascii="Calibri Light" w:eastAsia="Calibri Light" w:hAnsi="Calibri Light" w:cs="Calibri Light"/>
        </w:rPr>
        <w:t xml:space="preserve"> (d) the absence of formal Bargaining Counsel’s in certain sectors, renders workers wholly dependent on state apparatus for enforcement of their rights.</w:t>
      </w:r>
    </w:p>
    <w:p w:rsidR="00EB7153" w:rsidRDefault="00371570">
      <w:pPr>
        <w:pStyle w:val="ListParagraph"/>
        <w:numPr>
          <w:ilvl w:val="0"/>
          <w:numId w:val="18"/>
        </w:numPr>
        <w:jc w:val="both"/>
        <w:rPr>
          <w:rFonts w:ascii="Calibri Light" w:eastAsia="Calibri Light" w:hAnsi="Calibri Light" w:cs="Calibri Light"/>
        </w:rPr>
      </w:pPr>
      <w:r>
        <w:rPr>
          <w:rFonts w:ascii="Calibri Light" w:eastAsia="Calibri Light" w:hAnsi="Calibri Light" w:cs="Calibri Light"/>
        </w:rPr>
        <w:lastRenderedPageBreak/>
        <w:t>No Right to Representation</w:t>
      </w:r>
    </w:p>
    <w:p w:rsidR="00EB7153" w:rsidRDefault="00371570">
      <w:pPr>
        <w:pStyle w:val="BodyA"/>
        <w:jc w:val="both"/>
      </w:pPr>
      <w:r>
        <w:rPr>
          <w:rStyle w:val="None"/>
          <w:rFonts w:ascii="Calibri Light" w:eastAsia="Calibri Light" w:hAnsi="Calibri Light" w:cs="Calibri Light"/>
        </w:rPr>
        <w:t xml:space="preserve">Domestic workers who attempt to claim their rights are often prejudiced </w:t>
      </w:r>
      <w:r>
        <w:rPr>
          <w:rStyle w:val="None"/>
          <w:rFonts w:ascii="Calibri Light" w:eastAsia="Calibri Light" w:hAnsi="Calibri Light" w:cs="Calibri Light"/>
        </w:rPr>
        <w:t>against at CCMA hearings for a number of reasons, most important of which is that they do not have an automatic right to representation in the absence of a union.  Yet, only 0.5% of domestic workers are unionized.</w:t>
      </w:r>
      <w:r>
        <w:rPr>
          <w:rStyle w:val="None"/>
          <w:rFonts w:ascii="Calibri Light" w:eastAsia="Calibri Light" w:hAnsi="Calibri Light" w:cs="Calibri Light"/>
          <w:vertAlign w:val="superscript"/>
        </w:rPr>
        <w:footnoteReference w:id="30"/>
      </w:r>
      <w:r>
        <w:rPr>
          <w:rStyle w:val="None"/>
          <w:rFonts w:ascii="Calibri Light" w:eastAsia="Calibri Light" w:hAnsi="Calibri Light" w:cs="Calibri Light"/>
        </w:rPr>
        <w:t xml:space="preserve">  This means that 99.5% of domestic worker</w:t>
      </w:r>
      <w:r>
        <w:rPr>
          <w:rStyle w:val="None"/>
          <w:rFonts w:ascii="Calibri Light" w:eastAsia="Calibri Light" w:hAnsi="Calibri Light" w:cs="Calibri Light"/>
        </w:rPr>
        <w:t>s are not entitled to guaranteed representation at the CCMA.</w:t>
      </w:r>
    </w:p>
    <w:p w:rsidR="00EB7153" w:rsidRDefault="00371570">
      <w:pPr>
        <w:pStyle w:val="BodyA"/>
        <w:jc w:val="both"/>
      </w:pPr>
      <w:r>
        <w:rPr>
          <w:rStyle w:val="None"/>
          <w:rFonts w:ascii="Calibri Light" w:eastAsia="Calibri Light" w:hAnsi="Calibri Light" w:cs="Calibri Light"/>
        </w:rPr>
        <w:t>According to the CCMA Rule 25, traditionally only unions and co-workers have the right to represent workers in the CCMA process. On 20 September 2016, the Johannesburg Labour Court issued an orde</w:t>
      </w:r>
      <w:r>
        <w:rPr>
          <w:rStyle w:val="None"/>
          <w:rFonts w:ascii="Calibri Light" w:eastAsia="Calibri Light" w:hAnsi="Calibri Light" w:cs="Calibri Light"/>
        </w:rPr>
        <w:t>r declaring that: “</w:t>
      </w:r>
      <w:r>
        <w:rPr>
          <w:rStyle w:val="None"/>
          <w:rFonts w:ascii="Calibri Light" w:eastAsia="Calibri Light" w:hAnsi="Calibri Light" w:cs="Calibri Light"/>
          <w:i/>
          <w:iCs/>
        </w:rPr>
        <w:t>on a proper interpretation of Rule 25, read with Rule 35, of the CCMA Rules and the provisions of the Labour Relations Act 66 of 1995, a Commissioner has a discretion to authorise any party to CCMA proceedings to be represented by any ot</w:t>
      </w:r>
      <w:r>
        <w:rPr>
          <w:rStyle w:val="None"/>
          <w:rFonts w:ascii="Calibri Light" w:eastAsia="Calibri Light" w:hAnsi="Calibri Light" w:cs="Calibri Light"/>
          <w:i/>
          <w:iCs/>
        </w:rPr>
        <w:t>her person, on good cause shown.</w:t>
      </w:r>
      <w:r>
        <w:rPr>
          <w:rStyle w:val="None"/>
          <w:rFonts w:ascii="Calibri Light" w:eastAsia="Calibri Light" w:hAnsi="Calibri Light" w:cs="Calibri Light"/>
        </w:rPr>
        <w:t>”</w:t>
      </w:r>
      <w:r>
        <w:rPr>
          <w:rStyle w:val="None"/>
          <w:rFonts w:ascii="Calibri Light" w:eastAsia="Calibri Light" w:hAnsi="Calibri Light" w:cs="Calibri Light"/>
          <w:vertAlign w:val="superscript"/>
        </w:rPr>
        <w:footnoteReference w:id="31"/>
      </w:r>
      <w:r>
        <w:rPr>
          <w:rStyle w:val="None"/>
          <w:rFonts w:ascii="Calibri Light" w:eastAsia="Calibri Light" w:hAnsi="Calibri Light" w:cs="Calibri Light"/>
        </w:rPr>
        <w:t xml:space="preserve"> This was decided particularly to accommodate advice offices, non-profit organisations, and other non-union worker organisations. However, in most cases Commissioners do not even know of this court ruling and the amendment of Rule 25, and in many cases, th</w:t>
      </w:r>
      <w:r>
        <w:rPr>
          <w:rStyle w:val="None"/>
          <w:rFonts w:ascii="Calibri Light" w:eastAsia="Calibri Light" w:hAnsi="Calibri Light" w:cs="Calibri Light"/>
        </w:rPr>
        <w:t>ey choose not to allow representation. This very often results in unfair settlements, as workers do not always know which details to include or which laws to invoke, and often sign unfair agreements under undue pressure from the Commissioner or employer.</w:t>
      </w:r>
    </w:p>
    <w:p w:rsidR="00EB7153" w:rsidRDefault="00371570">
      <w:pPr>
        <w:pStyle w:val="ListParagraph"/>
        <w:numPr>
          <w:ilvl w:val="0"/>
          <w:numId w:val="18"/>
        </w:numPr>
        <w:jc w:val="both"/>
        <w:rPr>
          <w:rFonts w:ascii="Calibri Light" w:eastAsia="Calibri Light" w:hAnsi="Calibri Light" w:cs="Calibri Light"/>
        </w:rPr>
      </w:pPr>
      <w:r>
        <w:rPr>
          <w:rFonts w:ascii="Calibri Light" w:eastAsia="Calibri Light" w:hAnsi="Calibri Light" w:cs="Calibri Light"/>
        </w:rPr>
        <w:t>A</w:t>
      </w:r>
      <w:r>
        <w:rPr>
          <w:rFonts w:ascii="Calibri Light" w:eastAsia="Calibri Light" w:hAnsi="Calibri Light" w:cs="Calibri Light"/>
        </w:rPr>
        <w:t xml:space="preserve">bsence of Enforcement </w:t>
      </w:r>
    </w:p>
    <w:p w:rsidR="00EB7153" w:rsidRDefault="00371570">
      <w:pPr>
        <w:pStyle w:val="BodyA"/>
        <w:jc w:val="both"/>
      </w:pPr>
      <w:r>
        <w:t>T</w:t>
      </w:r>
      <w:r>
        <w:rPr>
          <w:rStyle w:val="None"/>
          <w:rFonts w:ascii="Calibri Light" w:eastAsia="Calibri Light" w:hAnsi="Calibri Light" w:cs="Calibri Light"/>
        </w:rPr>
        <w:t xml:space="preserve">here is an absence of regular home and farm inspections by labour inspectors to monitor whether Employers such as farmers and homes are compliant with labour laws. </w:t>
      </w:r>
    </w:p>
    <w:p w:rsidR="00EB7153" w:rsidRDefault="00371570">
      <w:pPr>
        <w:pStyle w:val="BodyA"/>
        <w:jc w:val="both"/>
      </w:pPr>
      <w:r>
        <w:rPr>
          <w:rStyle w:val="None"/>
          <w:rFonts w:ascii="Calibri Light" w:eastAsia="Calibri Light" w:hAnsi="Calibri Light" w:cs="Calibri Light"/>
        </w:rPr>
        <w:t xml:space="preserve">Research on women’s labour conditions undertaken by Women on Farms </w:t>
      </w:r>
      <w:r>
        <w:rPr>
          <w:rStyle w:val="None"/>
          <w:rFonts w:ascii="Calibri Light" w:eastAsia="Calibri Light" w:hAnsi="Calibri Light" w:cs="Calibri Light"/>
        </w:rPr>
        <w:t>(WFP) in 2017 revealed that 69% of women stated that the farm where they work has never been visited by labour inspectors.</w:t>
      </w:r>
      <w:r>
        <w:rPr>
          <w:rStyle w:val="None"/>
          <w:rFonts w:ascii="Calibri Light" w:eastAsia="Calibri Light" w:hAnsi="Calibri Light" w:cs="Calibri Light"/>
          <w:vertAlign w:val="superscript"/>
        </w:rPr>
        <w:footnoteReference w:id="32"/>
      </w:r>
      <w:r>
        <w:rPr>
          <w:rStyle w:val="None"/>
          <w:rFonts w:ascii="Calibri Light" w:eastAsia="Calibri Light" w:hAnsi="Calibri Light" w:cs="Calibri Light"/>
        </w:rPr>
        <w:t>Similarly, the enforcement of laws and policies which cover domestic workers is largely absent takes place in a private household, an</w:t>
      </w:r>
      <w:r>
        <w:rPr>
          <w:rStyle w:val="None"/>
          <w:rFonts w:ascii="Calibri Light" w:eastAsia="Calibri Light" w:hAnsi="Calibri Light" w:cs="Calibri Light"/>
        </w:rPr>
        <w:t>d  labour inspections may not be carried out in a private household without a warrant, or without the employer/home-owners consent.  In a study conducted by Wesso and Brandt, they found tht  when workers report violations to the DoEL, the labour inspectors</w:t>
      </w:r>
      <w:r>
        <w:rPr>
          <w:rStyle w:val="None"/>
          <w:rFonts w:ascii="Calibri Light" w:eastAsia="Calibri Light" w:hAnsi="Calibri Light" w:cs="Calibri Light"/>
        </w:rPr>
        <w:t xml:space="preserve"> call the employers prior to inspecting, eliminating the efficacy of an inspection and resulting in the dismissal of those workers who made the report.</w:t>
      </w:r>
      <w:r>
        <w:rPr>
          <w:rStyle w:val="None"/>
          <w:rFonts w:ascii="Calibri Light" w:eastAsia="Calibri Light" w:hAnsi="Calibri Light" w:cs="Calibri Light"/>
          <w:vertAlign w:val="superscript"/>
        </w:rPr>
        <w:footnoteReference w:id="33"/>
      </w:r>
    </w:p>
    <w:p w:rsidR="00EB7153" w:rsidRDefault="00371570">
      <w:pPr>
        <w:pStyle w:val="BodyA"/>
        <w:jc w:val="both"/>
      </w:pPr>
      <w:r>
        <w:rPr>
          <w:rStyle w:val="None"/>
          <w:rFonts w:ascii="Calibri Light" w:eastAsia="Calibri Light" w:hAnsi="Calibri Light" w:cs="Calibri Light"/>
        </w:rPr>
        <w:tab/>
        <w:t>(c) Lack of Rights Awareness</w:t>
      </w:r>
    </w:p>
    <w:p w:rsidR="00EB7153" w:rsidRDefault="00371570">
      <w:pPr>
        <w:pStyle w:val="BodyA"/>
        <w:jc w:val="both"/>
      </w:pPr>
      <w:r>
        <w:rPr>
          <w:rStyle w:val="None"/>
          <w:rFonts w:ascii="Calibri Light" w:eastAsia="Calibri Light" w:hAnsi="Calibri Light" w:cs="Calibri Light"/>
        </w:rPr>
        <w:t>Most employers do not know and do not make an effort to learn what the la</w:t>
      </w:r>
      <w:r>
        <w:rPr>
          <w:rStyle w:val="None"/>
          <w:rFonts w:ascii="Calibri Light" w:eastAsia="Calibri Light" w:hAnsi="Calibri Light" w:cs="Calibri Light"/>
        </w:rPr>
        <w:t>bour law requires when employing a domestic worker. Those domestic workers who do know their labour rights are then in the difficult position of having to approach their employer to ask for a contract, overtime pay, etc.  Given the power imbalance, linguis</w:t>
      </w:r>
      <w:r>
        <w:rPr>
          <w:rStyle w:val="None"/>
          <w:rFonts w:ascii="Calibri Light" w:eastAsia="Calibri Light" w:hAnsi="Calibri Light" w:cs="Calibri Light"/>
        </w:rPr>
        <w:t xml:space="preserve">tic and cultural differences, and precarious nature of domestic work, most workers simply choose not to claim their rights rather than risk their job. It is not unusual for those who do claim their rights to then be dismissed by their employer.  </w:t>
      </w:r>
    </w:p>
    <w:p w:rsidR="00EB7153" w:rsidRDefault="00371570">
      <w:pPr>
        <w:pStyle w:val="BodyA"/>
        <w:jc w:val="both"/>
      </w:pPr>
      <w:r>
        <w:rPr>
          <w:rStyle w:val="None"/>
          <w:rFonts w:ascii="Calibri Light" w:eastAsia="Calibri Light" w:hAnsi="Calibri Light" w:cs="Calibri Light"/>
        </w:rPr>
        <w:lastRenderedPageBreak/>
        <w:tab/>
        <w:t xml:space="preserve">(d) Low </w:t>
      </w:r>
      <w:r>
        <w:rPr>
          <w:rStyle w:val="None"/>
          <w:rFonts w:ascii="Calibri Light" w:eastAsia="Calibri Light" w:hAnsi="Calibri Light" w:cs="Calibri Light"/>
        </w:rPr>
        <w:t xml:space="preserve">rates of unionisation and the absence of Bargaining Counsels </w:t>
      </w:r>
    </w:p>
    <w:p w:rsidR="00EB7153" w:rsidRDefault="00371570">
      <w:pPr>
        <w:pStyle w:val="BodyA"/>
        <w:jc w:val="both"/>
      </w:pPr>
      <w:r>
        <w:rPr>
          <w:rStyle w:val="None"/>
          <w:rFonts w:ascii="Calibri Light" w:eastAsia="Calibri Light" w:hAnsi="Calibri Light" w:cs="Calibri Light"/>
        </w:rPr>
        <w:t>The low rates of unionisation and the absence of Bargaining Counsels or domestic, farm and EPWP workers,  effectively amounts to an exclusion of low-wage, precarious women workers from the princ</w:t>
      </w:r>
      <w:r>
        <w:rPr>
          <w:rStyle w:val="None"/>
          <w:rFonts w:ascii="Calibri Light" w:eastAsia="Calibri Light" w:hAnsi="Calibri Light" w:cs="Calibri Light"/>
        </w:rPr>
        <w:t>iple institution of labour relations that protect worker rights.</w:t>
      </w:r>
      <w:r>
        <w:rPr>
          <w:rStyle w:val="None"/>
          <w:rFonts w:ascii="Calibri Light" w:eastAsia="Calibri Light" w:hAnsi="Calibri Light" w:cs="Calibri Light"/>
          <w:vertAlign w:val="superscript"/>
        </w:rPr>
        <w:footnoteReference w:id="34"/>
      </w:r>
      <w:r>
        <w:rPr>
          <w:rStyle w:val="None"/>
          <w:rFonts w:ascii="Calibri Light" w:eastAsia="Calibri Light" w:hAnsi="Calibri Light" w:cs="Calibri Light"/>
        </w:rPr>
        <w:t xml:space="preserve"> This renders such workers are almost wholly dependent on the DoEL:, CCMA and Sheriff of the Court. Wesso and Brandt observe that there is a trend in recent years to shift enforcement from th</w:t>
      </w:r>
      <w:r>
        <w:rPr>
          <w:rStyle w:val="None"/>
          <w:rFonts w:ascii="Calibri Light" w:eastAsia="Calibri Light" w:hAnsi="Calibri Light" w:cs="Calibri Light"/>
        </w:rPr>
        <w:t>e DoEL to the CCMA, which reflects the view that the CCMA is a well-functioning institution, and the DOEL is under resourced. However, this shift overlooks the central role of the CCMA as conciliation and mediation. The conciliatory approach contrasts with</w:t>
      </w:r>
      <w:r>
        <w:rPr>
          <w:rStyle w:val="None"/>
          <w:rFonts w:ascii="Calibri Light" w:eastAsia="Calibri Light" w:hAnsi="Calibri Light" w:cs="Calibri Light"/>
        </w:rPr>
        <w:t xml:space="preserve"> a rights enforcement approach and  results in commissioners pressurizing workers to resolve cases quickly. For example, </w:t>
      </w:r>
      <w:r>
        <w:t>Izwi</w:t>
      </w:r>
      <w:r>
        <w:rPr>
          <w:rStyle w:val="None"/>
          <w:rFonts w:ascii="Calibri Light" w:eastAsia="Calibri Light" w:hAnsi="Calibri Light" w:cs="Calibri Light"/>
        </w:rPr>
        <w:t xml:space="preserve"> Domestic Worker Alliance reported an instance where a worker, who had been sexually abused for years and then unfairly dismissed b</w:t>
      </w:r>
      <w:r>
        <w:rPr>
          <w:rStyle w:val="None"/>
          <w:rFonts w:ascii="Calibri Light" w:eastAsia="Calibri Light" w:hAnsi="Calibri Light" w:cs="Calibri Light"/>
        </w:rPr>
        <w:t>y her employer, refused a settlement of one month’s pay. The commissioner was angry at her for refusing, and said “The CCMA is not an ATM. Do you think you can just get whatever money you ask for?”</w:t>
      </w:r>
      <w:r>
        <w:rPr>
          <w:rStyle w:val="None"/>
          <w:rFonts w:ascii="Calibri Light" w:eastAsia="Calibri Light" w:hAnsi="Calibri Light" w:cs="Calibri Light"/>
          <w:vertAlign w:val="superscript"/>
        </w:rPr>
        <w:footnoteReference w:id="35"/>
      </w:r>
    </w:p>
    <w:p w:rsidR="00EB7153" w:rsidRDefault="00371570">
      <w:pPr>
        <w:pStyle w:val="BodyA"/>
        <w:jc w:val="both"/>
      </w:pPr>
      <w:r>
        <w:rPr>
          <w:rStyle w:val="None"/>
          <w:rFonts w:ascii="Calibri Light" w:eastAsia="Calibri Light" w:hAnsi="Calibri Light" w:cs="Calibri Light"/>
        </w:rPr>
        <w:t>In 2020 it was announced that the budget of the CCMA woul</w:t>
      </w:r>
      <w:r>
        <w:rPr>
          <w:rStyle w:val="None"/>
          <w:rFonts w:ascii="Calibri Light" w:eastAsia="Calibri Light" w:hAnsi="Calibri Light" w:cs="Calibri Light"/>
        </w:rPr>
        <w:t xml:space="preserve">d be reduced by R617 million over three years. These budget cuts will result in longer wait times for cases, lower settlements for workers, coupled with Covid 190 precautions that led to the closure of the CCMA offices to walk-in referrals. In April 2021, </w:t>
      </w:r>
      <w:r>
        <w:rPr>
          <w:rStyle w:val="None"/>
          <w:rFonts w:ascii="Calibri Light" w:eastAsia="Calibri Light" w:hAnsi="Calibri Light" w:cs="Calibri Light"/>
        </w:rPr>
        <w:t>there were 75% fewer referrals.</w:t>
      </w:r>
      <w:r>
        <w:rPr>
          <w:rStyle w:val="None"/>
          <w:rFonts w:ascii="Calibri Light" w:eastAsia="Calibri Light" w:hAnsi="Calibri Light" w:cs="Calibri Light"/>
          <w:vertAlign w:val="superscript"/>
        </w:rPr>
        <w:footnoteReference w:id="36"/>
      </w:r>
      <w:r>
        <w:rPr>
          <w:rStyle w:val="None"/>
          <w:rFonts w:ascii="Calibri Light" w:eastAsia="Calibri Light" w:hAnsi="Calibri Light" w:cs="Calibri Light"/>
        </w:rPr>
        <w:t xml:space="preserve"> Responding to these issues, a group of nearly 50 worker rights organizations formed the Open CCMA Campaign to advocate for the re-opening of CCMA offices and other measures to improve outcomes for workers.</w:t>
      </w:r>
    </w:p>
    <w:p w:rsidR="00EB7153" w:rsidRDefault="00371570">
      <w:pPr>
        <w:pStyle w:val="BodyA"/>
        <w:jc w:val="both"/>
      </w:pPr>
      <w:r>
        <w:rPr>
          <w:rStyle w:val="None"/>
          <w:rFonts w:ascii="Calibri Light" w:eastAsia="Calibri Light" w:hAnsi="Calibri Light" w:cs="Calibri Light"/>
          <w:b/>
          <w:bCs/>
        </w:rPr>
        <w:t xml:space="preserve">Recommendations: </w:t>
      </w:r>
    </w:p>
    <w:p w:rsidR="00EB7153" w:rsidRDefault="00371570">
      <w:pPr>
        <w:pStyle w:val="BodyA"/>
        <w:numPr>
          <w:ilvl w:val="0"/>
          <w:numId w:val="20"/>
        </w:numPr>
        <w:jc w:val="both"/>
        <w:rPr>
          <w:rFonts w:ascii="Calibri Light" w:eastAsia="Calibri Light" w:hAnsi="Calibri Light" w:cs="Calibri Light"/>
          <w:b/>
          <w:bCs/>
        </w:rPr>
      </w:pPr>
      <w:r>
        <w:rPr>
          <w:rFonts w:ascii="Calibri Light" w:eastAsia="Calibri Light" w:hAnsi="Calibri Light" w:cs="Calibri Light"/>
          <w:b/>
          <w:bCs/>
        </w:rPr>
        <w:t>Ensure a sufficient number of qualified labour inspectors; allow them to carry out unannounced labour inspections in domestic settings without a notice or warrant.</w:t>
      </w:r>
      <w:r>
        <w:rPr>
          <w:rStyle w:val="None"/>
          <w:b/>
          <w:bCs/>
        </w:rPr>
        <w:t xml:space="preserve"> </w:t>
      </w:r>
    </w:p>
    <w:p w:rsidR="00EB7153" w:rsidRDefault="00371570">
      <w:pPr>
        <w:pStyle w:val="BodyA"/>
        <w:numPr>
          <w:ilvl w:val="0"/>
          <w:numId w:val="20"/>
        </w:numPr>
        <w:jc w:val="both"/>
        <w:rPr>
          <w:rFonts w:ascii="Calibri Light" w:eastAsia="Calibri Light" w:hAnsi="Calibri Light" w:cs="Calibri Light"/>
          <w:b/>
          <w:bCs/>
        </w:rPr>
      </w:pPr>
      <w:r>
        <w:rPr>
          <w:rFonts w:ascii="Calibri Light" w:eastAsia="Calibri Light" w:hAnsi="Calibri Light" w:cs="Calibri Light"/>
          <w:b/>
          <w:bCs/>
        </w:rPr>
        <w:t>Ensure that all workers, including domestic workers are entitled to representation in some</w:t>
      </w:r>
      <w:r>
        <w:rPr>
          <w:rFonts w:ascii="Calibri Light" w:eastAsia="Calibri Light" w:hAnsi="Calibri Light" w:cs="Calibri Light"/>
          <w:b/>
          <w:bCs/>
        </w:rPr>
        <w:t xml:space="preserve"> form in the CCMA regardless of affiliation with a registered trade union. </w:t>
      </w:r>
    </w:p>
    <w:p w:rsidR="00EB7153" w:rsidRDefault="00371570">
      <w:pPr>
        <w:pStyle w:val="BodyA"/>
        <w:numPr>
          <w:ilvl w:val="0"/>
          <w:numId w:val="20"/>
        </w:numPr>
        <w:jc w:val="both"/>
        <w:rPr>
          <w:rFonts w:ascii="Calibri Light" w:eastAsia="Calibri Light" w:hAnsi="Calibri Light" w:cs="Calibri Light"/>
          <w:b/>
          <w:bCs/>
        </w:rPr>
      </w:pPr>
      <w:r>
        <w:rPr>
          <w:rFonts w:ascii="Calibri Light" w:eastAsia="Calibri Light" w:hAnsi="Calibri Light" w:cs="Calibri Light"/>
          <w:b/>
          <w:bCs/>
        </w:rPr>
        <w:t xml:space="preserve">Ensure the re-opening and effective financing of the CCMA </w:t>
      </w:r>
    </w:p>
    <w:sectPr w:rsidR="00EB7153">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570" w:rsidRDefault="00371570">
      <w:r>
        <w:separator/>
      </w:r>
    </w:p>
  </w:endnote>
  <w:endnote w:type="continuationSeparator" w:id="0">
    <w:p w:rsidR="00371570" w:rsidRDefault="0037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Neue">
    <w:altName w:val="Times New Roman"/>
    <w:charset w:val="00"/>
    <w:family w:val="roman"/>
    <w:pitch w:val="default"/>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roman"/>
    <w:pitch w:val="default"/>
  </w:font>
  <w:font w:name="Bembo">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53" w:rsidRDefault="00EB715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570" w:rsidRDefault="00371570">
      <w:r>
        <w:separator/>
      </w:r>
    </w:p>
  </w:footnote>
  <w:footnote w:type="continuationSeparator" w:id="0">
    <w:p w:rsidR="00371570" w:rsidRDefault="00371570">
      <w:r>
        <w:continuationSeparator/>
      </w:r>
    </w:p>
  </w:footnote>
  <w:footnote w:type="continuationNotice" w:id="1">
    <w:p w:rsidR="00371570" w:rsidRDefault="00371570"/>
  </w:footnote>
  <w:footnote w:id="2">
    <w:p w:rsidR="00EB7153" w:rsidRDefault="00371570">
      <w:pPr>
        <w:pStyle w:val="FootnoteText"/>
      </w:pPr>
      <w:r>
        <w:rPr>
          <w:rFonts w:ascii="Calibri Light" w:eastAsia="Calibri Light" w:hAnsi="Calibri Light" w:cs="Calibri Light"/>
          <w:i/>
          <w:iCs/>
          <w:vertAlign w:val="superscript"/>
        </w:rPr>
        <w:footnoteRef/>
      </w:r>
      <w:r>
        <w:t xml:space="preserve"> </w:t>
      </w:r>
      <w:hyperlink r:id="rId1" w:history="1">
        <w:r>
          <w:rPr>
            <w:rStyle w:val="Hyperlink0"/>
          </w:rPr>
          <w:t>http://www.saflii.org/za/cases/ZACC/2020/24.html</w:t>
        </w:r>
      </w:hyperlink>
      <w:r>
        <w:t xml:space="preserve"> </w:t>
      </w:r>
    </w:p>
  </w:footnote>
  <w:footnote w:id="3">
    <w:p w:rsidR="00EB7153" w:rsidRDefault="00371570">
      <w:pPr>
        <w:pStyle w:val="FootnoteText"/>
      </w:pPr>
      <w:r>
        <w:rPr>
          <w:rStyle w:val="None"/>
          <w:rFonts w:ascii="Calibri Light" w:eastAsia="Calibri Light" w:hAnsi="Calibri Light" w:cs="Calibri Light"/>
          <w:b/>
          <w:bCs/>
          <w:vertAlign w:val="superscript"/>
        </w:rPr>
        <w:footnoteRef/>
      </w:r>
      <w:r>
        <w:rPr>
          <w:rStyle w:val="None"/>
        </w:rPr>
        <w:t xml:space="preserve"> Solidarity Center and Izwi Domestic Worker Alliance, “The Persistence of Private Power: Sacrificing Rights for Wages, A qualitative study of</w:t>
      </w:r>
      <w:r>
        <w:rPr>
          <w:rStyle w:val="None"/>
        </w:rPr>
        <w:t xml:space="preserve"> live-in domestic workers in South Africa (forthcoming, 2021)There are workers who are not allowed to leave the home or complex without being accompanied by their employer, even to go to the doctor. Sometimes they are actually locked into the property and </w:t>
      </w:r>
      <w:r>
        <w:rPr>
          <w:rStyle w:val="None"/>
        </w:rPr>
        <w:t>can only leave if the “</w:t>
      </w:r>
      <w:r>
        <w:rPr>
          <w:rStyle w:val="None"/>
          <w:lang w:val="it-IT"/>
        </w:rPr>
        <w:t>boss</w:t>
      </w:r>
      <w:r>
        <w:rPr>
          <w:rStyle w:val="None"/>
        </w:rPr>
        <w:t>” opens for them. </w:t>
      </w:r>
    </w:p>
  </w:footnote>
  <w:footnote w:id="4">
    <w:p w:rsidR="00EB7153" w:rsidRDefault="00371570">
      <w:pPr>
        <w:pStyle w:val="FootnoteText"/>
      </w:pPr>
      <w:r>
        <w:rPr>
          <w:rStyle w:val="None"/>
          <w:rFonts w:ascii="Calibri Light" w:eastAsia="Calibri Light" w:hAnsi="Calibri Light" w:cs="Calibri Light"/>
          <w:vertAlign w:val="superscript"/>
        </w:rPr>
        <w:footnoteRef/>
      </w:r>
      <w:r>
        <w:t>Id</w:t>
      </w:r>
    </w:p>
  </w:footnote>
  <w:footnote w:id="5">
    <w:p w:rsidR="00EB7153" w:rsidRDefault="00371570">
      <w:pPr>
        <w:pStyle w:val="FootnoteText"/>
      </w:pPr>
      <w:r>
        <w:rPr>
          <w:rStyle w:val="None"/>
          <w:rFonts w:ascii="Calibri Light" w:eastAsia="Calibri Light" w:hAnsi="Calibri Light" w:cs="Calibri Light"/>
          <w:vertAlign w:val="superscript"/>
        </w:rPr>
        <w:footnoteRef/>
      </w:r>
      <w:r>
        <w:t xml:space="preserve"> id</w:t>
      </w:r>
    </w:p>
  </w:footnote>
  <w:footnote w:id="6">
    <w:p w:rsidR="00EB7153" w:rsidRDefault="00371570">
      <w:pPr>
        <w:pStyle w:val="FootnoteText"/>
      </w:pPr>
      <w:r>
        <w:rPr>
          <w:rStyle w:val="None"/>
          <w:rFonts w:ascii="Calibri Light" w:eastAsia="Calibri Light" w:hAnsi="Calibri Light" w:cs="Calibri Light"/>
          <w:vertAlign w:val="superscript"/>
        </w:rPr>
        <w:footnoteRef/>
      </w:r>
      <w:r>
        <w:t xml:space="preserve"> Id</w:t>
      </w:r>
    </w:p>
  </w:footnote>
  <w:footnote w:id="7">
    <w:p w:rsidR="00EB7153" w:rsidRDefault="00371570">
      <w:pPr>
        <w:pStyle w:val="FootnoteText"/>
      </w:pPr>
      <w:r>
        <w:rPr>
          <w:rStyle w:val="None"/>
          <w:rFonts w:ascii="Calibri Light" w:eastAsia="Calibri Light" w:hAnsi="Calibri Light" w:cs="Calibri Light"/>
          <w:vertAlign w:val="superscript"/>
        </w:rPr>
        <w:footnoteRef/>
      </w:r>
      <w:r>
        <w:t xml:space="preserve"> </w:t>
      </w:r>
      <w:hyperlink r:id="rId2" w:history="1">
        <w:r>
          <w:rPr>
            <w:rStyle w:val="Hyperlink0"/>
          </w:rPr>
          <w:t>https://sweepsouth.com/</w:t>
        </w:r>
      </w:hyperlink>
      <w:r>
        <w:t xml:space="preserve"> </w:t>
      </w:r>
    </w:p>
  </w:footnote>
  <w:footnote w:id="8">
    <w:p w:rsidR="00EB7153" w:rsidRDefault="00371570">
      <w:pPr>
        <w:pStyle w:val="FootnoteText"/>
      </w:pPr>
      <w:r>
        <w:rPr>
          <w:rStyle w:val="None"/>
          <w:rFonts w:ascii="Calibri Light" w:eastAsia="Calibri Light" w:hAnsi="Calibri Light" w:cs="Calibri Light"/>
          <w:vertAlign w:val="superscript"/>
        </w:rPr>
        <w:footnoteRef/>
      </w:r>
      <w:r>
        <w:t xml:space="preserve"> </w:t>
      </w:r>
      <w:hyperlink r:id="rId3" w:history="1">
        <w:r>
          <w:rPr>
            <w:rStyle w:val="Hyperlink0"/>
          </w:rPr>
          <w:t>https://domestly.com/</w:t>
        </w:r>
      </w:hyperlink>
      <w:r>
        <w:t xml:space="preserve"> </w:t>
      </w:r>
    </w:p>
  </w:footnote>
  <w:footnote w:id="9">
    <w:p w:rsidR="00EB7153" w:rsidRDefault="00371570">
      <w:pPr>
        <w:pStyle w:val="FootnoteText"/>
      </w:pPr>
      <w:r>
        <w:rPr>
          <w:rStyle w:val="None"/>
          <w:rFonts w:ascii="Calibri Light" w:eastAsia="Calibri Light" w:hAnsi="Calibri Light" w:cs="Calibri Light"/>
          <w:vertAlign w:val="superscript"/>
        </w:rPr>
        <w:footnoteRef/>
      </w:r>
      <w:r>
        <w:t xml:space="preserve"> Solidarity Center and Izwi Domestic Worker Alliance, supra at 2.</w:t>
      </w:r>
    </w:p>
  </w:footnote>
  <w:footnote w:id="10">
    <w:p w:rsidR="00EB7153" w:rsidRDefault="00371570">
      <w:pPr>
        <w:pStyle w:val="FootnoteText"/>
      </w:pPr>
      <w:r>
        <w:rPr>
          <w:rStyle w:val="None"/>
          <w:rFonts w:ascii="Calibri Light" w:eastAsia="Calibri Light" w:hAnsi="Calibri Light" w:cs="Calibri Light"/>
          <w:vertAlign w:val="superscript"/>
        </w:rPr>
        <w:footnoteRef/>
      </w:r>
      <w:r>
        <w:t xml:space="preserve"> Kylie v Commission for Conciliation Mediation and Arbitration and Others (CA10/08) [2010] ZALAC 8; 2010 (4) SA 383 (LAC) ; 2010 (10) BCLR 1029 (LAC) ; (2010) 31 ILJ 1600 (LAC) ; [2010] 7 BLLR 705 (LAC)</w:t>
      </w:r>
    </w:p>
  </w:footnote>
  <w:footnote w:id="11">
    <w:p w:rsidR="00EB7153" w:rsidRDefault="00371570">
      <w:pPr>
        <w:pStyle w:val="FootnoteText"/>
      </w:pPr>
      <w:r>
        <w:rPr>
          <w:rStyle w:val="None"/>
          <w:rFonts w:ascii="Calibri Light" w:eastAsia="Calibri Light" w:hAnsi="Calibri Light" w:cs="Calibri Light"/>
          <w:vertAlign w:val="superscript"/>
        </w:rPr>
        <w:footnoteRef/>
      </w:r>
      <w:r>
        <w:t xml:space="preserve"> </w:t>
      </w:r>
      <w:hyperlink r:id="rId4" w:history="1">
        <w:r>
          <w:rPr>
            <w:rStyle w:val="Hyperlink0"/>
          </w:rPr>
          <w:t>https://www.justice.gov.za/vg/gbv/NSP-GBVF-FINAL-DOC-04-05.pdf</w:t>
        </w:r>
      </w:hyperlink>
      <w:r>
        <w:t xml:space="preserve"> </w:t>
      </w:r>
    </w:p>
  </w:footnote>
  <w:footnote w:id="12">
    <w:p w:rsidR="00EB7153" w:rsidRDefault="00371570">
      <w:pPr>
        <w:pStyle w:val="FootnoteText"/>
      </w:pPr>
      <w:r>
        <w:rPr>
          <w:rStyle w:val="None"/>
          <w:rFonts w:ascii="Calibri Light" w:eastAsia="Calibri Light" w:hAnsi="Calibri Light" w:cs="Calibri Light"/>
          <w:vertAlign w:val="superscript"/>
        </w:rPr>
        <w:footnoteRef/>
      </w:r>
      <w:r>
        <w:t xml:space="preserve"> Pudifin S &amp; Bosch S ‘Demographic and social factors influencing public opinion on prostitution: An exploratory study in Kwazulu-Natal Province, South Africa’ (2012</w:t>
      </w:r>
      <w:r>
        <w:t xml:space="preserve">) 15 Potchefstroom Electronic Law Journal 12. </w:t>
      </w:r>
    </w:p>
  </w:footnote>
  <w:footnote w:id="13">
    <w:p w:rsidR="00EB7153" w:rsidRPr="00C72C36" w:rsidRDefault="00371570">
      <w:pPr>
        <w:pStyle w:val="FootnoteText"/>
        <w:rPr>
          <w:lang w:val="es-ES"/>
        </w:rPr>
      </w:pPr>
      <w:r>
        <w:rPr>
          <w:rStyle w:val="None"/>
          <w:rFonts w:ascii="Calibri Light" w:eastAsia="Calibri Light" w:hAnsi="Calibri Light" w:cs="Calibri Light"/>
          <w:vertAlign w:val="superscript"/>
        </w:rPr>
        <w:footnoteRef/>
      </w:r>
      <w:r w:rsidRPr="00C72C36">
        <w:rPr>
          <w:lang w:val="es-ES"/>
        </w:rPr>
        <w:t xml:space="preserve"> CEDAW General Recommendation 35 (2017), Para 22.</w:t>
      </w:r>
    </w:p>
  </w:footnote>
  <w:footnote w:id="14">
    <w:p w:rsidR="00EB7153" w:rsidRPr="00C72C36" w:rsidRDefault="00371570">
      <w:pPr>
        <w:pStyle w:val="FootnoteText"/>
        <w:rPr>
          <w:lang w:val="es-ES"/>
        </w:rPr>
      </w:pPr>
      <w:r>
        <w:rPr>
          <w:rStyle w:val="None"/>
          <w:rFonts w:ascii="Calibri Light" w:eastAsia="Calibri Light" w:hAnsi="Calibri Light" w:cs="Calibri Light"/>
          <w:vertAlign w:val="superscript"/>
        </w:rPr>
        <w:footnoteRef/>
      </w:r>
      <w:r w:rsidRPr="00C72C36">
        <w:rPr>
          <w:lang w:val="es-ES"/>
        </w:rPr>
        <w:t xml:space="preserve"> Para 24</w:t>
      </w:r>
    </w:p>
  </w:footnote>
  <w:footnote w:id="15">
    <w:p w:rsidR="00EB7153" w:rsidRDefault="00371570">
      <w:pPr>
        <w:pStyle w:val="FootnoteText"/>
      </w:pPr>
      <w:r>
        <w:rPr>
          <w:rStyle w:val="None"/>
          <w:rFonts w:ascii="Calibri Light" w:eastAsia="Calibri Light" w:hAnsi="Calibri Light" w:cs="Calibri Light"/>
          <w:vertAlign w:val="superscript"/>
        </w:rPr>
        <w:footnoteRef/>
      </w:r>
      <w:r>
        <w:t xml:space="preserve"> The National Economic, Labor, Development Council, which consists of representatives of government, organized labour, organized business and the community, </w:t>
      </w:r>
    </w:p>
  </w:footnote>
  <w:footnote w:id="16">
    <w:p w:rsidR="00EB7153" w:rsidRDefault="00371570">
      <w:pPr>
        <w:pStyle w:val="FootnoteText"/>
      </w:pPr>
      <w:r>
        <w:rPr>
          <w:rStyle w:val="None"/>
          <w:rFonts w:ascii="Calibri Light" w:eastAsia="Calibri Light" w:hAnsi="Calibri Light" w:cs="Calibri Light"/>
          <w:vertAlign w:val="superscript"/>
        </w:rPr>
        <w:footnoteRef/>
      </w:r>
      <w:r>
        <w:t>In November 2017 a 45-year-old man was arrested, for allegedly raping his domestic worker and for</w:t>
      </w:r>
      <w:r>
        <w:t xml:space="preserve">cing her to perform sexual acts with his dogs. See  </w:t>
      </w:r>
      <w:hyperlink r:id="rId5" w:history="1">
        <w:r>
          <w:rPr>
            <w:rStyle w:val="Hyperlink1"/>
          </w:rPr>
          <w:t>https://www.news24.com/SouthAfrica/News/man-accused-of-raping-domestic-worker-denied-bail-201</w:t>
        </w:r>
        <w:r>
          <w:rPr>
            <w:rStyle w:val="Hyperlink1"/>
          </w:rPr>
          <w:t>80322</w:t>
        </w:r>
      </w:hyperlink>
      <w:r>
        <w:t xml:space="preserve"> see also </w:t>
      </w:r>
      <w:hyperlink r:id="rId6" w:history="1">
        <w:r>
          <w:rPr>
            <w:rStyle w:val="Hyperlink1"/>
          </w:rPr>
          <w:t>https://citizen.co.za/news/south-africa/249658/domestic-worker-allegedly-raped-employer/</w:t>
        </w:r>
      </w:hyperlink>
      <w:r>
        <w:t xml:space="preserve"> or </w:t>
      </w:r>
      <w:hyperlink r:id="rId7" w:history="1">
        <w:r>
          <w:rPr>
            <w:rStyle w:val="Hyperlink1"/>
          </w:rPr>
          <w:t>https://citizen.co.za/news/south-africa/1919540/listen-manana-offers-his-domestic-worker-r100k-as-consolation/</w:t>
        </w:r>
      </w:hyperlink>
      <w:r>
        <w:t xml:space="preserve"> </w:t>
      </w:r>
    </w:p>
  </w:footnote>
  <w:footnote w:id="17">
    <w:p w:rsidR="00EB7153" w:rsidRDefault="00371570">
      <w:pPr>
        <w:pStyle w:val="FootnoteText"/>
      </w:pPr>
      <w:r>
        <w:rPr>
          <w:rStyle w:val="None"/>
          <w:rFonts w:ascii="Calibri Light" w:eastAsia="Calibri Light" w:hAnsi="Calibri Light" w:cs="Calibri Light"/>
          <w:b/>
          <w:bCs/>
          <w:vertAlign w:val="superscript"/>
        </w:rPr>
        <w:footnoteRef/>
      </w:r>
      <w:r>
        <w:t xml:space="preserve"> </w:t>
      </w:r>
      <w:hyperlink r:id="rId8" w:history="1">
        <w:r>
          <w:rPr>
            <w:rStyle w:val="Hyperlink1"/>
          </w:rPr>
          <w:t>http://www.politicsweb.co.za/politics/rise-in-domestic-workers-abuse-in-country-worrying</w:t>
        </w:r>
      </w:hyperlink>
      <w:r>
        <w:t xml:space="preserve"> </w:t>
      </w:r>
    </w:p>
  </w:footnote>
  <w:footnote w:id="18">
    <w:p w:rsidR="00EB7153" w:rsidRDefault="00371570">
      <w:pPr>
        <w:pStyle w:val="FootnoteText"/>
      </w:pPr>
      <w:r>
        <w:rPr>
          <w:rStyle w:val="None"/>
          <w:rFonts w:ascii="Calibri Light" w:eastAsia="Calibri Light" w:hAnsi="Calibri Light" w:cs="Calibri Light"/>
          <w:vertAlign w:val="superscript"/>
        </w:rPr>
        <w:footnoteRef/>
      </w:r>
      <w:r>
        <w:t xml:space="preserve">  http://www.hlanganisa.org.za/wp-content/uploads/2020/09/Domestic_Workers__GBV_Research_Report.pdf</w:t>
      </w:r>
    </w:p>
  </w:footnote>
  <w:footnote w:id="19">
    <w:p w:rsidR="00EB7153" w:rsidRDefault="00371570">
      <w:pPr>
        <w:pStyle w:val="FootnoteText"/>
      </w:pPr>
      <w:r>
        <w:rPr>
          <w:rStyle w:val="None"/>
          <w:rFonts w:ascii="Calibri Light" w:eastAsia="Calibri Light" w:hAnsi="Calibri Light" w:cs="Calibri Light"/>
          <w:vertAlign w:val="superscript"/>
        </w:rPr>
        <w:footnoteRef/>
      </w:r>
      <w:r>
        <w:t xml:space="preserve"> https://www.solid</w:t>
      </w:r>
      <w:r>
        <w:t>aritycenter.org/publication/what-happens-underground-stays-underground/</w:t>
      </w:r>
    </w:p>
  </w:footnote>
  <w:footnote w:id="20">
    <w:p w:rsidR="00EB7153" w:rsidRDefault="00371570">
      <w:pPr>
        <w:pStyle w:val="FootnoteText"/>
      </w:pPr>
      <w:r>
        <w:rPr>
          <w:rStyle w:val="None"/>
          <w:rFonts w:ascii="Calibri Light" w:eastAsia="Calibri Light" w:hAnsi="Calibri Light" w:cs="Calibri Light"/>
          <w:vertAlign w:val="superscript"/>
        </w:rPr>
        <w:footnoteRef/>
      </w:r>
      <w:r>
        <w:t xml:space="preserve"> https://www.solidaritycenter.org/publication/what-happens-underground-stays-underground/</w:t>
      </w:r>
    </w:p>
  </w:footnote>
  <w:footnote w:id="21">
    <w:p w:rsidR="00EB7153" w:rsidRDefault="00371570">
      <w:pPr>
        <w:pStyle w:val="FootnoteText"/>
      </w:pPr>
      <w:r>
        <w:rPr>
          <w:rStyle w:val="None"/>
          <w:rFonts w:ascii="Calibri Light" w:eastAsia="Calibri Light" w:hAnsi="Calibri Light" w:cs="Calibri Light"/>
          <w:vertAlign w:val="superscript"/>
        </w:rPr>
        <w:footnoteRef/>
      </w:r>
      <w:r>
        <w:t xml:space="preserve"> https://www.solidaritycenter.org/publication/what-happens-underground-stays-underground/</w:t>
      </w:r>
    </w:p>
  </w:footnote>
  <w:footnote w:id="22">
    <w:p w:rsidR="00EB7153" w:rsidRDefault="00371570">
      <w:pPr>
        <w:pStyle w:val="FootnoteText"/>
      </w:pPr>
      <w:r>
        <w:rPr>
          <w:rStyle w:val="None"/>
          <w:rFonts w:ascii="Calibri Light" w:eastAsia="Calibri Light" w:hAnsi="Calibri Light" w:cs="Calibri Light"/>
          <w:vertAlign w:val="superscript"/>
        </w:rPr>
        <w:footnoteRef/>
      </w:r>
      <w:r>
        <w:t xml:space="preserve"> </w:t>
      </w:r>
      <w:r>
        <w:t>Wesso and Brandt at p 18 (Solidarity Center commissioned research paper (draft))</w:t>
      </w:r>
    </w:p>
  </w:footnote>
  <w:footnote w:id="23">
    <w:p w:rsidR="00EB7153" w:rsidRDefault="00371570">
      <w:pPr>
        <w:pStyle w:val="FootnoteText"/>
      </w:pPr>
      <w:r>
        <w:rPr>
          <w:rStyle w:val="None"/>
          <w:rFonts w:ascii="Calibri Light" w:eastAsia="Calibri Light" w:hAnsi="Calibri Light" w:cs="Calibri Light"/>
          <w:vertAlign w:val="superscript"/>
        </w:rPr>
        <w:footnoteRef/>
      </w:r>
      <w:r>
        <w:t xml:space="preserve"> Id at 18.</w:t>
      </w:r>
    </w:p>
  </w:footnote>
  <w:footnote w:id="24">
    <w:p w:rsidR="00EB7153" w:rsidRDefault="00371570">
      <w:pPr>
        <w:pStyle w:val="FootnoteText"/>
      </w:pPr>
      <w:r>
        <w:rPr>
          <w:rStyle w:val="None"/>
          <w:rFonts w:ascii="Calibri Light" w:eastAsia="Calibri Light" w:hAnsi="Calibri Light" w:cs="Calibri Light"/>
          <w:vertAlign w:val="superscript"/>
        </w:rPr>
        <w:footnoteRef/>
      </w:r>
      <w:r>
        <w:t xml:space="preserve"> LG Mpedi ‘The evolving Relationship Between Labour and Social Security’</w:t>
      </w:r>
      <w:r>
        <w:rPr>
          <w:rStyle w:val="None"/>
          <w:rFonts w:ascii="Bembo" w:eastAsia="Bembo" w:hAnsi="Bembo" w:cs="Bembo"/>
        </w:rPr>
        <w:t xml:space="preserve">  </w:t>
      </w:r>
      <w:hyperlink r:id="rId9" w:history="1">
        <w:r>
          <w:rPr>
            <w:rStyle w:val="Hyperlink2"/>
          </w:rPr>
          <w:t>Acta Juri</w:t>
        </w:r>
        <w:r>
          <w:rPr>
            <w:rStyle w:val="Hyperlink2"/>
          </w:rPr>
          <w:t>dica</w:t>
        </w:r>
      </w:hyperlink>
      <w:r>
        <w:t xml:space="preserve"> </w:t>
      </w:r>
      <w:hyperlink r:id="rId10" w:history="1">
        <w:r>
          <w:rPr>
            <w:rStyle w:val="Hyperlink2"/>
          </w:rPr>
          <w:t>Volume 2012, Issue 1</w:t>
        </w:r>
      </w:hyperlink>
      <w:r>
        <w:t>, Jan 2012, . 270 - 285</w:t>
      </w:r>
    </w:p>
  </w:footnote>
  <w:footnote w:id="25">
    <w:p w:rsidR="00EB7153" w:rsidRDefault="00371570">
      <w:pPr>
        <w:pStyle w:val="FootnoteText"/>
      </w:pPr>
      <w:r>
        <w:rPr>
          <w:rStyle w:val="None"/>
          <w:rFonts w:ascii="Calibri Light" w:eastAsia="Calibri Light" w:hAnsi="Calibri Light" w:cs="Calibri Light"/>
          <w:vertAlign w:val="superscript"/>
        </w:rPr>
        <w:footnoteRef/>
      </w:r>
      <w:r>
        <w:t xml:space="preserve"> Haroon Bhorat, Sumayya Goga and David Tseng ‘Unemployment Insurance in South Africa: A Descriptive Overview of Claimants </w:t>
      </w:r>
      <w:r>
        <w:t>and Claims’ Brookings: Africa Growth Initiatives Working Paper (2013) The definition of an employee as contained in the UIA does not cover workers employed by the state, but definitions contained in both the BCEA and the LRA do cover public sector workers.</w:t>
      </w:r>
      <w:hyperlink r:id="rId11" w:history="1">
        <w:r>
          <w:rPr>
            <w:rStyle w:val="Hyperlink2"/>
          </w:rPr>
          <w:t>https://www.brookings.edu/wp-content/uploads/2016/06/04_unemployment_insurance_south_africa.pdf</w:t>
        </w:r>
      </w:hyperlink>
      <w:r>
        <w:t xml:space="preserve"> The Unemployment Insurance Act was amended in 201</w:t>
      </w:r>
      <w:r>
        <w:t>7 to include civil servants, who were previously outside the scope of this Act.</w:t>
      </w:r>
    </w:p>
  </w:footnote>
  <w:footnote w:id="26">
    <w:p w:rsidR="00EB7153" w:rsidRDefault="00371570">
      <w:pPr>
        <w:pStyle w:val="FootnoteText"/>
      </w:pPr>
      <w:r>
        <w:rPr>
          <w:rStyle w:val="None"/>
          <w:rFonts w:ascii="Calibri Light" w:eastAsia="Calibri Light" w:hAnsi="Calibri Light" w:cs="Calibri Light"/>
          <w:vertAlign w:val="superscript"/>
        </w:rPr>
        <w:footnoteRef/>
      </w:r>
      <w:r>
        <w:t xml:space="preserve"> Wesso and O Solidarity Center and Izwi Domestic Worker Alliance, “The Persistence of Private Power: Sacrificing Rights for Wages, A qualitative study of live-in domestic work</w:t>
      </w:r>
      <w:r>
        <w:t>ers in South Africa (forthcoming, 2021)her p 18.</w:t>
      </w:r>
    </w:p>
  </w:footnote>
  <w:footnote w:id="27">
    <w:p w:rsidR="00EB7153" w:rsidRDefault="00371570">
      <w:pPr>
        <w:pStyle w:val="FootnoteText"/>
      </w:pPr>
      <w:r>
        <w:rPr>
          <w:rStyle w:val="None"/>
          <w:rFonts w:ascii="Calibri Light" w:eastAsia="Calibri Light" w:hAnsi="Calibri Light" w:cs="Calibri Light"/>
          <w:vertAlign w:val="superscript"/>
        </w:rPr>
        <w:footnoteRef/>
      </w:r>
      <w:r>
        <w:t xml:space="preserve"> See </w:t>
      </w:r>
      <w:hyperlink r:id="rId12" w:history="1">
        <w:r>
          <w:rPr>
            <w:rStyle w:val="Hyperlink2"/>
          </w:rPr>
          <w:t>http://www.sabcnews.com/sabcnews/government-miss-minimum-wage-bill-deadline/</w:t>
        </w:r>
      </w:hyperlink>
      <w:r>
        <w:t xml:space="preserve"> </w:t>
      </w:r>
    </w:p>
  </w:footnote>
  <w:footnote w:id="28">
    <w:p w:rsidR="00EB7153" w:rsidRDefault="00371570">
      <w:pPr>
        <w:pStyle w:val="FootnoteText"/>
      </w:pPr>
      <w:r>
        <w:rPr>
          <w:rStyle w:val="None"/>
          <w:rFonts w:ascii="Calibri Light" w:eastAsia="Calibri Light" w:hAnsi="Calibri Light" w:cs="Calibri Light"/>
          <w:vertAlign w:val="superscript"/>
        </w:rPr>
        <w:footnoteRef/>
      </w:r>
      <w:r>
        <w:t xml:space="preserve"> The EPWP Workers who work in the Expanded Public Works Programme which was established in the post democratic era intended to provide temporary relief for those living in poverty and training to step up the possibility of full employment. In reality the s</w:t>
      </w:r>
      <w:r>
        <w:t xml:space="preserve">tate uses the services of EPWP workers, who though doing work of equal value to state employees, neither receive equal pay nor the benefits of full employment. </w:t>
      </w:r>
    </w:p>
  </w:footnote>
  <w:footnote w:id="29">
    <w:p w:rsidR="00EB7153" w:rsidRDefault="00371570">
      <w:pPr>
        <w:pStyle w:val="FootnoteText"/>
      </w:pPr>
      <w:r>
        <w:rPr>
          <w:rStyle w:val="None"/>
          <w:rFonts w:ascii="Calibri Light" w:eastAsia="Calibri Light" w:hAnsi="Calibri Light" w:cs="Calibri Light"/>
          <w:vertAlign w:val="superscript"/>
        </w:rPr>
        <w:footnoteRef/>
      </w:r>
      <w:r>
        <w:t xml:space="preserve"> See p29 of One Wage Submission to NMW Board</w:t>
      </w:r>
    </w:p>
  </w:footnote>
  <w:footnote w:id="30">
    <w:p w:rsidR="00EB7153" w:rsidRDefault="00371570">
      <w:pPr>
        <w:pStyle w:val="FootnoteText"/>
      </w:pPr>
      <w:r>
        <w:rPr>
          <w:rStyle w:val="None"/>
          <w:rFonts w:ascii="Calibri Light" w:eastAsia="Calibri Light" w:hAnsi="Calibri Light" w:cs="Calibri Light"/>
          <w:vertAlign w:val="superscript"/>
        </w:rPr>
        <w:footnoteRef/>
      </w:r>
      <w:r>
        <w:rPr>
          <w:rStyle w:val="None"/>
          <w:rFonts w:ascii="Times New Roman" w:hAnsi="Times New Roman"/>
          <w:sz w:val="16"/>
          <w:szCs w:val="16"/>
        </w:rPr>
        <w:t xml:space="preserve">  </w:t>
      </w:r>
      <w:r>
        <w:t>Stats SA, ‘Labour Market Dynamics in South Afr</w:t>
      </w:r>
      <w:r>
        <w:t>ica 2017’ (Statistics South Africa, 2017)</w:t>
      </w:r>
    </w:p>
  </w:footnote>
  <w:footnote w:id="31">
    <w:p w:rsidR="00EB7153" w:rsidRPr="00C72C36" w:rsidRDefault="00371570">
      <w:pPr>
        <w:pStyle w:val="FootnoteText"/>
        <w:rPr>
          <w:lang w:val="fr-FR"/>
        </w:rPr>
      </w:pPr>
      <w:r>
        <w:rPr>
          <w:rStyle w:val="None"/>
          <w:rFonts w:ascii="Calibri Light" w:eastAsia="Calibri Light" w:hAnsi="Calibri Light" w:cs="Calibri Light"/>
          <w:vertAlign w:val="superscript"/>
        </w:rPr>
        <w:footnoteRef/>
      </w:r>
      <w:r w:rsidRPr="00C72C36">
        <w:rPr>
          <w:lang w:val="fr-FR"/>
        </w:rPr>
        <w:t xml:space="preserve"> CCMA Practice Note 2/2016</w:t>
      </w:r>
    </w:p>
  </w:footnote>
  <w:footnote w:id="32">
    <w:p w:rsidR="00EB7153" w:rsidRDefault="00371570">
      <w:pPr>
        <w:pStyle w:val="FootnoteText"/>
      </w:pPr>
      <w:r>
        <w:rPr>
          <w:rStyle w:val="None"/>
          <w:rFonts w:ascii="Calibri Light" w:eastAsia="Calibri Light" w:hAnsi="Calibri Light" w:cs="Calibri Light"/>
          <w:vertAlign w:val="superscript"/>
        </w:rPr>
        <w:footnoteRef/>
      </w:r>
      <w:r>
        <w:rPr>
          <w:rStyle w:val="None"/>
          <w:lang w:val="fr-FR"/>
        </w:rPr>
        <w:t xml:space="preserve"> Devereux, S., et al. </w:t>
      </w:r>
      <w:r>
        <w:rPr>
          <w:rStyle w:val="None"/>
          <w:i/>
          <w:iCs/>
        </w:rPr>
        <w:t>The Farmer doesn’t recognise who makes him rich”: Understanding the labour conditions of women farm workers in the Western Cape and the Northern Cape, South Africa</w:t>
      </w:r>
      <w:r>
        <w:rPr>
          <w:rStyle w:val="None"/>
          <w:i/>
          <w:iCs/>
        </w:rPr>
        <w:t xml:space="preserve">. </w:t>
      </w:r>
      <w:r>
        <w:rPr>
          <w:rStyle w:val="None"/>
        </w:rPr>
        <w:t>Women on Farms, August 2017.</w:t>
      </w:r>
    </w:p>
  </w:footnote>
  <w:footnote w:id="33">
    <w:p w:rsidR="00EB7153" w:rsidRDefault="00371570">
      <w:pPr>
        <w:pStyle w:val="FootnoteText"/>
      </w:pPr>
      <w:r>
        <w:rPr>
          <w:rStyle w:val="None"/>
          <w:rFonts w:ascii="Calibri Light" w:eastAsia="Calibri Light" w:hAnsi="Calibri Light" w:cs="Calibri Light"/>
          <w:vertAlign w:val="superscript"/>
        </w:rPr>
        <w:footnoteRef/>
      </w:r>
      <w:r>
        <w:t xml:space="preserve"> p 16.</w:t>
      </w:r>
    </w:p>
  </w:footnote>
  <w:footnote w:id="34">
    <w:p w:rsidR="00EB7153" w:rsidRDefault="00371570">
      <w:pPr>
        <w:pStyle w:val="FootnoteText"/>
      </w:pPr>
      <w:r>
        <w:rPr>
          <w:rStyle w:val="None"/>
          <w:rFonts w:ascii="Calibri Light" w:eastAsia="Calibri Light" w:hAnsi="Calibri Light" w:cs="Calibri Light"/>
          <w:vertAlign w:val="superscript"/>
        </w:rPr>
        <w:footnoteRef/>
      </w:r>
      <w:r>
        <w:t xml:space="preserve"> D Wesso and F Brandt, “Enforcement of Worker Rights: Negative experiences of low-wage precarious workers with the CCMA, Department of Employment and Labour and the Sheriff of the Court”, (unpublished, Solidarity Cen</w:t>
      </w:r>
      <w:r>
        <w:t>ter) June 2021</w:t>
      </w:r>
    </w:p>
  </w:footnote>
  <w:footnote w:id="35">
    <w:p w:rsidR="00EB7153" w:rsidRDefault="00371570">
      <w:pPr>
        <w:pStyle w:val="FootnoteText"/>
      </w:pPr>
      <w:r>
        <w:rPr>
          <w:rStyle w:val="None"/>
          <w:rFonts w:ascii="Calibri Light" w:eastAsia="Calibri Light" w:hAnsi="Calibri Light" w:cs="Calibri Light"/>
          <w:vertAlign w:val="superscript"/>
        </w:rPr>
        <w:footnoteRef/>
      </w:r>
      <w:r>
        <w:t xml:space="preserve"> Id. </w:t>
      </w:r>
    </w:p>
  </w:footnote>
  <w:footnote w:id="36">
    <w:p w:rsidR="00EB7153" w:rsidRDefault="00371570">
      <w:pPr>
        <w:pStyle w:val="FootnoteText"/>
      </w:pPr>
      <w:r>
        <w:rPr>
          <w:rStyle w:val="None"/>
          <w:rFonts w:ascii="Calibri Light" w:eastAsia="Calibri Light" w:hAnsi="Calibri Light" w:cs="Calibri Light"/>
          <w:vertAlign w:val="superscript"/>
        </w:rPr>
        <w:footnoteRef/>
      </w:r>
      <w: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153" w:rsidRDefault="00371570">
    <w:pPr>
      <w:pStyle w:val="Header"/>
      <w:tabs>
        <w:tab w:val="clear" w:pos="9360"/>
        <w:tab w:val="right" w:pos="9340"/>
      </w:tabs>
    </w:pPr>
    <w:r>
      <w:fldChar w:fldCharType="begin"/>
    </w:r>
    <w:r>
      <w:instrText xml:space="preserve"> PAGE </w:instrText>
    </w:r>
    <w:r>
      <w:fldChar w:fldCharType="separate"/>
    </w:r>
    <w:r w:rsidR="00C72C36">
      <w:rPr>
        <w:noProof/>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E4882"/>
    <w:multiLevelType w:val="hybridMultilevel"/>
    <w:tmpl w:val="D5F4B136"/>
    <w:styleLink w:val="ImportedStyle4"/>
    <w:lvl w:ilvl="0" w:tplc="00D40AA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D602A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C94718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AD6244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589F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DCD9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86E51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580F3D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44E4B3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831541A"/>
    <w:multiLevelType w:val="hybridMultilevel"/>
    <w:tmpl w:val="42623AB4"/>
    <w:styleLink w:val="ImportedStyle20"/>
    <w:lvl w:ilvl="0" w:tplc="86DACB72">
      <w:start w:val="1"/>
      <w:numFmt w:val="lowerLetter"/>
      <w:lvlText w:val="(%1)"/>
      <w:lvlJc w:val="left"/>
      <w:pPr>
        <w:tabs>
          <w:tab w:val="num" w:pos="1440"/>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60B0CB4C">
      <w:start w:val="1"/>
      <w:numFmt w:val="lowerLetter"/>
      <w:lvlText w:val="%2."/>
      <w:lvlJc w:val="left"/>
      <w:pPr>
        <w:tabs>
          <w:tab w:val="left" w:pos="1440"/>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A2DC4416">
      <w:start w:val="1"/>
      <w:numFmt w:val="lowerRoman"/>
      <w:lvlText w:val="%3."/>
      <w:lvlJc w:val="left"/>
      <w:pPr>
        <w:tabs>
          <w:tab w:val="left" w:pos="1440"/>
          <w:tab w:val="num" w:pos="2880"/>
        </w:tabs>
        <w:ind w:left="2160" w:firstLine="58"/>
      </w:pPr>
      <w:rPr>
        <w:rFonts w:hAnsi="Arial Unicode MS"/>
        <w:caps w:val="0"/>
        <w:smallCaps w:val="0"/>
        <w:strike w:val="0"/>
        <w:dstrike w:val="0"/>
        <w:outline w:val="0"/>
        <w:emboss w:val="0"/>
        <w:imprint w:val="0"/>
        <w:spacing w:val="0"/>
        <w:w w:val="100"/>
        <w:kern w:val="0"/>
        <w:position w:val="0"/>
        <w:highlight w:val="none"/>
        <w:vertAlign w:val="baseline"/>
      </w:rPr>
    </w:lvl>
    <w:lvl w:ilvl="3" w:tplc="635E6AF0">
      <w:start w:val="1"/>
      <w:numFmt w:val="decimal"/>
      <w:lvlText w:val="%4."/>
      <w:lvlJc w:val="left"/>
      <w:pPr>
        <w:tabs>
          <w:tab w:val="left" w:pos="1440"/>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01EC2FF4">
      <w:start w:val="1"/>
      <w:numFmt w:val="lowerLetter"/>
      <w:lvlText w:val="%5."/>
      <w:lvlJc w:val="left"/>
      <w:pPr>
        <w:tabs>
          <w:tab w:val="left" w:pos="1440"/>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070C9928">
      <w:start w:val="1"/>
      <w:numFmt w:val="lowerRoman"/>
      <w:lvlText w:val="%6."/>
      <w:lvlJc w:val="left"/>
      <w:pPr>
        <w:tabs>
          <w:tab w:val="left" w:pos="1440"/>
          <w:tab w:val="num" w:pos="5040"/>
        </w:tabs>
        <w:ind w:left="4320" w:firstLine="58"/>
      </w:pPr>
      <w:rPr>
        <w:rFonts w:hAnsi="Arial Unicode MS"/>
        <w:caps w:val="0"/>
        <w:smallCaps w:val="0"/>
        <w:strike w:val="0"/>
        <w:dstrike w:val="0"/>
        <w:outline w:val="0"/>
        <w:emboss w:val="0"/>
        <w:imprint w:val="0"/>
        <w:spacing w:val="0"/>
        <w:w w:val="100"/>
        <w:kern w:val="0"/>
        <w:position w:val="0"/>
        <w:highlight w:val="none"/>
        <w:vertAlign w:val="baseline"/>
      </w:rPr>
    </w:lvl>
    <w:lvl w:ilvl="6" w:tplc="31085568">
      <w:start w:val="1"/>
      <w:numFmt w:val="decimal"/>
      <w:lvlText w:val="%7."/>
      <w:lvlJc w:val="left"/>
      <w:pPr>
        <w:tabs>
          <w:tab w:val="left" w:pos="1440"/>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06BA658C">
      <w:start w:val="1"/>
      <w:numFmt w:val="lowerLetter"/>
      <w:lvlText w:val="%8."/>
      <w:lvlJc w:val="left"/>
      <w:pPr>
        <w:tabs>
          <w:tab w:val="left" w:pos="1440"/>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142EA71C">
      <w:start w:val="1"/>
      <w:numFmt w:val="lowerRoman"/>
      <w:lvlText w:val="%9."/>
      <w:lvlJc w:val="left"/>
      <w:pPr>
        <w:tabs>
          <w:tab w:val="left" w:pos="1440"/>
          <w:tab w:val="num" w:pos="7200"/>
        </w:tabs>
        <w:ind w:left="6480" w:firstLine="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A07366B"/>
    <w:multiLevelType w:val="hybridMultilevel"/>
    <w:tmpl w:val="D5F4B136"/>
    <w:numStyleLink w:val="ImportedStyle4"/>
  </w:abstractNum>
  <w:abstractNum w:abstractNumId="3" w15:restartNumberingAfterBreak="0">
    <w:nsid w:val="1E7402AA"/>
    <w:multiLevelType w:val="hybridMultilevel"/>
    <w:tmpl w:val="AD3086FC"/>
    <w:styleLink w:val="ImportedStyle10"/>
    <w:lvl w:ilvl="0" w:tplc="E0C0EB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D56F230">
      <w:start w:val="1"/>
      <w:numFmt w:val="bullet"/>
      <w:lvlText w:val="-"/>
      <w:lvlJc w:val="left"/>
      <w:pPr>
        <w:ind w:left="168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86C79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A833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DC655A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D3C5DA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A1A3EF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766D46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038EA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F8B4868"/>
    <w:multiLevelType w:val="hybridMultilevel"/>
    <w:tmpl w:val="42623AB4"/>
    <w:numStyleLink w:val="ImportedStyle20"/>
  </w:abstractNum>
  <w:abstractNum w:abstractNumId="5" w15:restartNumberingAfterBreak="0">
    <w:nsid w:val="27E24B23"/>
    <w:multiLevelType w:val="hybridMultilevel"/>
    <w:tmpl w:val="C8BC669A"/>
    <w:numStyleLink w:val="ImportedStyle3"/>
  </w:abstractNum>
  <w:abstractNum w:abstractNumId="6" w15:restartNumberingAfterBreak="0">
    <w:nsid w:val="2E7F7687"/>
    <w:multiLevelType w:val="hybridMultilevel"/>
    <w:tmpl w:val="8542C58C"/>
    <w:numStyleLink w:val="ImportedStyle5"/>
  </w:abstractNum>
  <w:abstractNum w:abstractNumId="7" w15:restartNumberingAfterBreak="0">
    <w:nsid w:val="42DB0CD4"/>
    <w:multiLevelType w:val="hybridMultilevel"/>
    <w:tmpl w:val="8542C58C"/>
    <w:styleLink w:val="ImportedStyle5"/>
    <w:lvl w:ilvl="0" w:tplc="3760C95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56E378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CDEDD9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2C212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3AE7C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826EF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020279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C969D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11053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AF25C6B"/>
    <w:multiLevelType w:val="hybridMultilevel"/>
    <w:tmpl w:val="93800C1E"/>
    <w:styleLink w:val="ImportedStyle1"/>
    <w:lvl w:ilvl="0" w:tplc="4C98DCAA">
      <w:start w:val="1"/>
      <w:numFmt w:val="decimal"/>
      <w:lvlText w:val="%1."/>
      <w:lvlJc w:val="left"/>
      <w:pPr>
        <w:tabs>
          <w:tab w:val="num" w:pos="1440"/>
        </w:tabs>
        <w:ind w:left="72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tplc="F858D0BE">
      <w:start w:val="1"/>
      <w:numFmt w:val="lowerLetter"/>
      <w:lvlText w:val="%2."/>
      <w:lvlJc w:val="left"/>
      <w:pPr>
        <w:tabs>
          <w:tab w:val="left" w:pos="1440"/>
          <w:tab w:val="num" w:pos="2160"/>
        </w:tabs>
        <w:ind w:left="144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2" w:tplc="98F0CDA4">
      <w:start w:val="1"/>
      <w:numFmt w:val="lowerRoman"/>
      <w:lvlText w:val="%3."/>
      <w:lvlJc w:val="left"/>
      <w:pPr>
        <w:tabs>
          <w:tab w:val="left" w:pos="1440"/>
          <w:tab w:val="num" w:pos="2880"/>
        </w:tabs>
        <w:ind w:left="2160" w:firstLine="58"/>
      </w:pPr>
      <w:rPr>
        <w:rFonts w:hAnsi="Arial Unicode MS"/>
        <w:b/>
        <w:bCs/>
        <w:caps w:val="0"/>
        <w:smallCaps w:val="0"/>
        <w:strike w:val="0"/>
        <w:dstrike w:val="0"/>
        <w:outline w:val="0"/>
        <w:emboss w:val="0"/>
        <w:imprint w:val="0"/>
        <w:spacing w:val="0"/>
        <w:w w:val="100"/>
        <w:kern w:val="0"/>
        <w:position w:val="0"/>
        <w:highlight w:val="none"/>
        <w:vertAlign w:val="baseline"/>
      </w:rPr>
    </w:lvl>
    <w:lvl w:ilvl="3" w:tplc="8D56AD8C">
      <w:start w:val="1"/>
      <w:numFmt w:val="decimal"/>
      <w:lvlText w:val="%4."/>
      <w:lvlJc w:val="left"/>
      <w:pPr>
        <w:tabs>
          <w:tab w:val="left" w:pos="1440"/>
          <w:tab w:val="num" w:pos="3600"/>
        </w:tabs>
        <w:ind w:left="288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4" w:tplc="7930A6AC">
      <w:start w:val="1"/>
      <w:numFmt w:val="lowerLetter"/>
      <w:lvlText w:val="%5."/>
      <w:lvlJc w:val="left"/>
      <w:pPr>
        <w:tabs>
          <w:tab w:val="left" w:pos="1440"/>
          <w:tab w:val="num" w:pos="4320"/>
        </w:tabs>
        <w:ind w:left="360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5" w:tplc="A6A0ED4A">
      <w:start w:val="1"/>
      <w:numFmt w:val="lowerRoman"/>
      <w:lvlText w:val="%6."/>
      <w:lvlJc w:val="left"/>
      <w:pPr>
        <w:tabs>
          <w:tab w:val="left" w:pos="1440"/>
          <w:tab w:val="num" w:pos="5040"/>
        </w:tabs>
        <w:ind w:left="4320" w:firstLine="58"/>
      </w:pPr>
      <w:rPr>
        <w:rFonts w:hAnsi="Arial Unicode MS"/>
        <w:b/>
        <w:bCs/>
        <w:caps w:val="0"/>
        <w:smallCaps w:val="0"/>
        <w:strike w:val="0"/>
        <w:dstrike w:val="0"/>
        <w:outline w:val="0"/>
        <w:emboss w:val="0"/>
        <w:imprint w:val="0"/>
        <w:spacing w:val="0"/>
        <w:w w:val="100"/>
        <w:kern w:val="0"/>
        <w:position w:val="0"/>
        <w:highlight w:val="none"/>
        <w:vertAlign w:val="baseline"/>
      </w:rPr>
    </w:lvl>
    <w:lvl w:ilvl="6" w:tplc="BF3E5532">
      <w:start w:val="1"/>
      <w:numFmt w:val="decimal"/>
      <w:lvlText w:val="%7."/>
      <w:lvlJc w:val="left"/>
      <w:pPr>
        <w:tabs>
          <w:tab w:val="left" w:pos="1440"/>
          <w:tab w:val="num" w:pos="5760"/>
        </w:tabs>
        <w:ind w:left="504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7" w:tplc="F9E4606C">
      <w:start w:val="1"/>
      <w:numFmt w:val="lowerLetter"/>
      <w:lvlText w:val="%8."/>
      <w:lvlJc w:val="left"/>
      <w:pPr>
        <w:tabs>
          <w:tab w:val="left" w:pos="1440"/>
          <w:tab w:val="num" w:pos="6480"/>
        </w:tabs>
        <w:ind w:left="5760"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8" w:tplc="6FBCFD88">
      <w:start w:val="1"/>
      <w:numFmt w:val="lowerRoman"/>
      <w:lvlText w:val="%9."/>
      <w:lvlJc w:val="left"/>
      <w:pPr>
        <w:tabs>
          <w:tab w:val="left" w:pos="1440"/>
          <w:tab w:val="num" w:pos="7200"/>
        </w:tabs>
        <w:ind w:left="6480" w:firstLine="5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BAC5D65"/>
    <w:multiLevelType w:val="hybridMultilevel"/>
    <w:tmpl w:val="93800C1E"/>
    <w:numStyleLink w:val="ImportedStyle1"/>
  </w:abstractNum>
  <w:abstractNum w:abstractNumId="10" w15:restartNumberingAfterBreak="0">
    <w:nsid w:val="57F80E87"/>
    <w:multiLevelType w:val="hybridMultilevel"/>
    <w:tmpl w:val="24D45F50"/>
    <w:styleLink w:val="ImportedStyle30"/>
    <w:lvl w:ilvl="0" w:tplc="DFF2FFE2">
      <w:start w:val="1"/>
      <w:numFmt w:val="lowerLetter"/>
      <w:lvlText w:val="(%1)"/>
      <w:lvlJc w:val="left"/>
      <w:pPr>
        <w:tabs>
          <w:tab w:val="num" w:pos="1440"/>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2DCC6806">
      <w:start w:val="1"/>
      <w:numFmt w:val="lowerLetter"/>
      <w:lvlText w:val="%2."/>
      <w:lvlJc w:val="left"/>
      <w:pPr>
        <w:tabs>
          <w:tab w:val="left" w:pos="1440"/>
          <w:tab w:val="num" w:pos="2160"/>
        </w:tabs>
        <w:ind w:left="1440"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03D45D6C">
      <w:start w:val="1"/>
      <w:numFmt w:val="lowerRoman"/>
      <w:lvlText w:val="%3."/>
      <w:lvlJc w:val="left"/>
      <w:pPr>
        <w:tabs>
          <w:tab w:val="left" w:pos="1440"/>
          <w:tab w:val="num" w:pos="2880"/>
        </w:tabs>
        <w:ind w:left="2160" w:firstLine="58"/>
      </w:pPr>
      <w:rPr>
        <w:rFonts w:hAnsi="Arial Unicode MS"/>
        <w:caps w:val="0"/>
        <w:smallCaps w:val="0"/>
        <w:strike w:val="0"/>
        <w:dstrike w:val="0"/>
        <w:outline w:val="0"/>
        <w:emboss w:val="0"/>
        <w:imprint w:val="0"/>
        <w:spacing w:val="0"/>
        <w:w w:val="100"/>
        <w:kern w:val="0"/>
        <w:position w:val="0"/>
        <w:highlight w:val="none"/>
        <w:vertAlign w:val="baseline"/>
      </w:rPr>
    </w:lvl>
    <w:lvl w:ilvl="3" w:tplc="52C01FFA">
      <w:start w:val="1"/>
      <w:numFmt w:val="decimal"/>
      <w:lvlText w:val="%4."/>
      <w:lvlJc w:val="left"/>
      <w:pPr>
        <w:tabs>
          <w:tab w:val="left" w:pos="1440"/>
          <w:tab w:val="num" w:pos="3600"/>
        </w:tabs>
        <w:ind w:left="2880"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248EDC3C">
      <w:start w:val="1"/>
      <w:numFmt w:val="lowerLetter"/>
      <w:lvlText w:val="%5."/>
      <w:lvlJc w:val="left"/>
      <w:pPr>
        <w:tabs>
          <w:tab w:val="left" w:pos="1440"/>
          <w:tab w:val="num" w:pos="4320"/>
        </w:tabs>
        <w:ind w:left="3600"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9EE4FB60">
      <w:start w:val="1"/>
      <w:numFmt w:val="lowerRoman"/>
      <w:lvlText w:val="%6."/>
      <w:lvlJc w:val="left"/>
      <w:pPr>
        <w:tabs>
          <w:tab w:val="left" w:pos="1440"/>
          <w:tab w:val="num" w:pos="5040"/>
        </w:tabs>
        <w:ind w:left="4320" w:firstLine="58"/>
      </w:pPr>
      <w:rPr>
        <w:rFonts w:hAnsi="Arial Unicode MS"/>
        <w:caps w:val="0"/>
        <w:smallCaps w:val="0"/>
        <w:strike w:val="0"/>
        <w:dstrike w:val="0"/>
        <w:outline w:val="0"/>
        <w:emboss w:val="0"/>
        <w:imprint w:val="0"/>
        <w:spacing w:val="0"/>
        <w:w w:val="100"/>
        <w:kern w:val="0"/>
        <w:position w:val="0"/>
        <w:highlight w:val="none"/>
        <w:vertAlign w:val="baseline"/>
      </w:rPr>
    </w:lvl>
    <w:lvl w:ilvl="6" w:tplc="58286728">
      <w:start w:val="1"/>
      <w:numFmt w:val="decimal"/>
      <w:lvlText w:val="%7."/>
      <w:lvlJc w:val="left"/>
      <w:pPr>
        <w:tabs>
          <w:tab w:val="left" w:pos="1440"/>
          <w:tab w:val="num" w:pos="5760"/>
        </w:tabs>
        <w:ind w:left="5040"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D3AACACE">
      <w:start w:val="1"/>
      <w:numFmt w:val="lowerLetter"/>
      <w:lvlText w:val="%8."/>
      <w:lvlJc w:val="left"/>
      <w:pPr>
        <w:tabs>
          <w:tab w:val="left" w:pos="1440"/>
          <w:tab w:val="num" w:pos="6480"/>
        </w:tabs>
        <w:ind w:left="5760"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C3B48442">
      <w:start w:val="1"/>
      <w:numFmt w:val="lowerRoman"/>
      <w:lvlText w:val="%9."/>
      <w:lvlJc w:val="left"/>
      <w:pPr>
        <w:tabs>
          <w:tab w:val="left" w:pos="1440"/>
          <w:tab w:val="num" w:pos="7200"/>
        </w:tabs>
        <w:ind w:left="6480" w:firstLine="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5A8746A8"/>
    <w:multiLevelType w:val="hybridMultilevel"/>
    <w:tmpl w:val="CF1C0C20"/>
    <w:styleLink w:val="ImportedStyle2"/>
    <w:lvl w:ilvl="0" w:tplc="64E640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9A3D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688E82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224DDC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200FC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A7E24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AEDAC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8F2CA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E763C6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73037BD7"/>
    <w:multiLevelType w:val="hybridMultilevel"/>
    <w:tmpl w:val="CF1C0C20"/>
    <w:numStyleLink w:val="ImportedStyle2"/>
  </w:abstractNum>
  <w:abstractNum w:abstractNumId="13" w15:restartNumberingAfterBreak="0">
    <w:nsid w:val="76BC63DA"/>
    <w:multiLevelType w:val="hybridMultilevel"/>
    <w:tmpl w:val="C8BC669A"/>
    <w:styleLink w:val="ImportedStyle3"/>
    <w:lvl w:ilvl="0" w:tplc="B3C2C0F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EC095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040023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7AF03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CBE99A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5456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E5EFD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EC019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5B66A3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78DC6AC2"/>
    <w:multiLevelType w:val="hybridMultilevel"/>
    <w:tmpl w:val="24D45F50"/>
    <w:numStyleLink w:val="ImportedStyle30"/>
  </w:abstractNum>
  <w:abstractNum w:abstractNumId="15" w15:restartNumberingAfterBreak="0">
    <w:nsid w:val="7A4F6A88"/>
    <w:multiLevelType w:val="hybridMultilevel"/>
    <w:tmpl w:val="AD3086FC"/>
    <w:numStyleLink w:val="ImportedStyle10"/>
  </w:abstractNum>
  <w:num w:numId="1">
    <w:abstractNumId w:val="8"/>
  </w:num>
  <w:num w:numId="2">
    <w:abstractNumId w:val="9"/>
  </w:num>
  <w:num w:numId="3">
    <w:abstractNumId w:val="3"/>
  </w:num>
  <w:num w:numId="4">
    <w:abstractNumId w:val="15"/>
  </w:num>
  <w:num w:numId="5">
    <w:abstractNumId w:val="9"/>
    <w:lvlOverride w:ilvl="0">
      <w:startOverride w:val="2"/>
      <w:lvl w:ilvl="0" w:tplc="449C7D3C">
        <w:start w:val="2"/>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FD2F7C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E9ACF62">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DD005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50EC91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27685A4">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9C636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73863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A9C823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11"/>
  </w:num>
  <w:num w:numId="7">
    <w:abstractNumId w:val="12"/>
  </w:num>
  <w:num w:numId="8">
    <w:abstractNumId w:val="9"/>
    <w:lvlOverride w:ilvl="0">
      <w:startOverride w:val="3"/>
    </w:lvlOverride>
  </w:num>
  <w:num w:numId="9">
    <w:abstractNumId w:val="1"/>
  </w:num>
  <w:num w:numId="10">
    <w:abstractNumId w:val="4"/>
  </w:num>
  <w:num w:numId="11">
    <w:abstractNumId w:val="13"/>
  </w:num>
  <w:num w:numId="12">
    <w:abstractNumId w:val="5"/>
  </w:num>
  <w:num w:numId="13">
    <w:abstractNumId w:val="9"/>
    <w:lvlOverride w:ilvl="0">
      <w:startOverride w:val="4"/>
      <w:lvl w:ilvl="0" w:tplc="449C7D3C">
        <w:start w:val="4"/>
        <w:numFmt w:val="decimal"/>
        <w:lvlText w:val="%1."/>
        <w:lvlJc w:val="left"/>
        <w:pPr>
          <w:tabs>
            <w:tab w:val="num" w:pos="1440"/>
          </w:tabs>
          <w:ind w:left="72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FD2F7CE">
        <w:start w:val="1"/>
        <w:numFmt w:val="lowerLetter"/>
        <w:lvlText w:val="%2."/>
        <w:lvlJc w:val="left"/>
        <w:pPr>
          <w:tabs>
            <w:tab w:val="left" w:pos="1440"/>
            <w:tab w:val="num" w:pos="2160"/>
          </w:tabs>
          <w:ind w:left="144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E9ACF62">
        <w:start w:val="1"/>
        <w:numFmt w:val="lowerRoman"/>
        <w:lvlText w:val="%3."/>
        <w:lvlJc w:val="left"/>
        <w:pPr>
          <w:tabs>
            <w:tab w:val="left" w:pos="1440"/>
            <w:tab w:val="num" w:pos="2880"/>
          </w:tabs>
          <w:ind w:left="2160" w:firstLine="4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DD0058A">
        <w:start w:val="1"/>
        <w:numFmt w:val="decimal"/>
        <w:lvlText w:val="%4."/>
        <w:lvlJc w:val="left"/>
        <w:pPr>
          <w:tabs>
            <w:tab w:val="left" w:pos="1440"/>
            <w:tab w:val="num" w:pos="3600"/>
          </w:tabs>
          <w:ind w:left="288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50EC91E">
        <w:start w:val="1"/>
        <w:numFmt w:val="lowerLetter"/>
        <w:lvlText w:val="%5."/>
        <w:lvlJc w:val="left"/>
        <w:pPr>
          <w:tabs>
            <w:tab w:val="left" w:pos="1440"/>
            <w:tab w:val="num" w:pos="4320"/>
          </w:tabs>
          <w:ind w:left="360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27685A4">
        <w:start w:val="1"/>
        <w:numFmt w:val="lowerRoman"/>
        <w:lvlText w:val="%6."/>
        <w:lvlJc w:val="left"/>
        <w:pPr>
          <w:tabs>
            <w:tab w:val="left" w:pos="1440"/>
            <w:tab w:val="num" w:pos="5040"/>
          </w:tabs>
          <w:ind w:left="4320" w:firstLine="4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9C6368A">
        <w:start w:val="1"/>
        <w:numFmt w:val="decimal"/>
        <w:lvlText w:val="%7."/>
        <w:lvlJc w:val="left"/>
        <w:pPr>
          <w:tabs>
            <w:tab w:val="left" w:pos="1440"/>
            <w:tab w:val="num" w:pos="5760"/>
          </w:tabs>
          <w:ind w:left="504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7386380">
        <w:start w:val="1"/>
        <w:numFmt w:val="lowerLetter"/>
        <w:lvlText w:val="%8."/>
        <w:lvlJc w:val="left"/>
        <w:pPr>
          <w:tabs>
            <w:tab w:val="left" w:pos="1440"/>
            <w:tab w:val="num" w:pos="6480"/>
          </w:tabs>
          <w:ind w:left="576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A9C823C">
        <w:start w:val="1"/>
        <w:numFmt w:val="lowerRoman"/>
        <w:lvlText w:val="%9."/>
        <w:lvlJc w:val="left"/>
        <w:pPr>
          <w:tabs>
            <w:tab w:val="left" w:pos="1440"/>
            <w:tab w:val="num" w:pos="7200"/>
          </w:tabs>
          <w:ind w:left="6480" w:firstLine="47"/>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4">
    <w:abstractNumId w:val="0"/>
  </w:num>
  <w:num w:numId="15">
    <w:abstractNumId w:val="2"/>
  </w:num>
  <w:num w:numId="16">
    <w:abstractNumId w:val="9"/>
    <w:lvlOverride w:ilvl="0">
      <w:startOverride w:val="5"/>
      <w:lvl w:ilvl="0" w:tplc="449C7D3C">
        <w:start w:val="5"/>
        <w:numFmt w:val="decimal"/>
        <w:lvlText w:val="%1."/>
        <w:lvlJc w:val="left"/>
        <w:pPr>
          <w:tabs>
            <w:tab w:val="num" w:pos="1440"/>
          </w:tabs>
          <w:ind w:left="72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FD2F7CE">
        <w:start w:val="1"/>
        <w:numFmt w:val="lowerLetter"/>
        <w:lvlText w:val="%2."/>
        <w:lvlJc w:val="left"/>
        <w:pPr>
          <w:tabs>
            <w:tab w:val="left" w:pos="1440"/>
            <w:tab w:val="num" w:pos="2160"/>
          </w:tabs>
          <w:ind w:left="144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E9ACF62">
        <w:start w:val="1"/>
        <w:numFmt w:val="lowerRoman"/>
        <w:lvlText w:val="%3."/>
        <w:lvlJc w:val="left"/>
        <w:pPr>
          <w:tabs>
            <w:tab w:val="left" w:pos="1440"/>
            <w:tab w:val="num" w:pos="2880"/>
          </w:tabs>
          <w:ind w:left="2160" w:firstLine="4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DD0058A">
        <w:start w:val="1"/>
        <w:numFmt w:val="decimal"/>
        <w:lvlText w:val="%4."/>
        <w:lvlJc w:val="left"/>
        <w:pPr>
          <w:tabs>
            <w:tab w:val="left" w:pos="1440"/>
            <w:tab w:val="num" w:pos="3600"/>
          </w:tabs>
          <w:ind w:left="288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50EC91E">
        <w:start w:val="1"/>
        <w:numFmt w:val="lowerLetter"/>
        <w:lvlText w:val="%5."/>
        <w:lvlJc w:val="left"/>
        <w:pPr>
          <w:tabs>
            <w:tab w:val="left" w:pos="1440"/>
            <w:tab w:val="num" w:pos="4320"/>
          </w:tabs>
          <w:ind w:left="360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27685A4">
        <w:start w:val="1"/>
        <w:numFmt w:val="lowerRoman"/>
        <w:lvlText w:val="%6."/>
        <w:lvlJc w:val="left"/>
        <w:pPr>
          <w:tabs>
            <w:tab w:val="left" w:pos="1440"/>
            <w:tab w:val="num" w:pos="5040"/>
          </w:tabs>
          <w:ind w:left="4320" w:firstLine="4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79C6368A">
        <w:start w:val="1"/>
        <w:numFmt w:val="decimal"/>
        <w:lvlText w:val="%7."/>
        <w:lvlJc w:val="left"/>
        <w:pPr>
          <w:tabs>
            <w:tab w:val="left" w:pos="1440"/>
            <w:tab w:val="num" w:pos="5760"/>
          </w:tabs>
          <w:ind w:left="504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7386380">
        <w:start w:val="1"/>
        <w:numFmt w:val="lowerLetter"/>
        <w:lvlText w:val="%8."/>
        <w:lvlJc w:val="left"/>
        <w:pPr>
          <w:tabs>
            <w:tab w:val="left" w:pos="1440"/>
            <w:tab w:val="num" w:pos="6480"/>
          </w:tabs>
          <w:ind w:left="5760"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BA9C823C">
        <w:start w:val="1"/>
        <w:numFmt w:val="lowerRoman"/>
        <w:lvlText w:val="%9."/>
        <w:lvlJc w:val="left"/>
        <w:pPr>
          <w:tabs>
            <w:tab w:val="left" w:pos="1440"/>
            <w:tab w:val="num" w:pos="7200"/>
          </w:tabs>
          <w:ind w:left="6480" w:firstLine="47"/>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7">
    <w:abstractNumId w:val="10"/>
  </w:num>
  <w:num w:numId="18">
    <w:abstractNumId w:val="14"/>
  </w:num>
  <w:num w:numId="19">
    <w:abstractNumId w:val="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defaultTabStop w:val="720"/>
  <w:autoHyphenation/>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53"/>
    <w:rsid w:val="00371570"/>
    <w:rsid w:val="00C72C36"/>
    <w:rsid w:val="00EB7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53FF1"/>
  <w15:docId w15:val="{573BE3BF-BA13-4948-8213-2D82DD265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eastAsia="Calibri" w:hAnsi="Calibri" w:cs="Calibri"/>
      <w:color w:val="000000"/>
      <w:sz w:val="22"/>
      <w:szCs w:val="22"/>
      <w:u w:color="000000"/>
      <w:lang w:val="en-US"/>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A">
    <w:name w:val="Body A"/>
    <w:pPr>
      <w:spacing w:after="160" w:line="259" w:lineRule="auto"/>
    </w:pPr>
    <w:rPr>
      <w:rFonts w:ascii="Calibri" w:eastAsia="Calibri" w:hAnsi="Calibri" w:cs="Calibri"/>
      <w:color w:val="000000"/>
      <w:sz w:val="22"/>
      <w:szCs w:val="22"/>
      <w:u w:color="000000"/>
      <w:lang w:val="en-US"/>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paragraph" w:styleId="FootnoteText">
    <w:name w:val="footnote text"/>
    <w:rPr>
      <w:rFonts w:ascii="Calibri" w:eastAsia="Calibri" w:hAnsi="Calibri" w:cs="Calibri"/>
      <w:color w:val="000000"/>
      <w:u w:color="000000"/>
      <w:lang w:val="en-US"/>
    </w:rPr>
  </w:style>
  <w:style w:type="character" w:customStyle="1" w:styleId="None">
    <w:name w:val="None"/>
  </w:style>
  <w:style w:type="character" w:customStyle="1" w:styleId="Hyperlink0">
    <w:name w:val="Hyperlink.0"/>
    <w:basedOn w:val="None"/>
    <w:rPr>
      <w:color w:val="0000FF"/>
      <w:u w:val="single" w:color="0000FF"/>
    </w:rPr>
  </w:style>
  <w:style w:type="numbering" w:customStyle="1" w:styleId="ImportedStyle10">
    <w:name w:val="Imported Style 1.0"/>
    <w:pPr>
      <w:numPr>
        <w:numId w:val="3"/>
      </w:numPr>
    </w:pPr>
  </w:style>
  <w:style w:type="character" w:customStyle="1" w:styleId="Hyperlink1">
    <w:name w:val="Hyperlink.1"/>
    <w:basedOn w:val="None"/>
    <w:rPr>
      <w:color w:val="000000"/>
      <w:u w:val="none" w:color="000000"/>
    </w:rPr>
  </w:style>
  <w:style w:type="numbering" w:customStyle="1" w:styleId="ImportedStyle2">
    <w:name w:val="Imported Style 2"/>
    <w:pPr>
      <w:numPr>
        <w:numId w:val="6"/>
      </w:numPr>
    </w:pPr>
  </w:style>
  <w:style w:type="numbering" w:customStyle="1" w:styleId="ImportedStyle20">
    <w:name w:val="Imported Style 2.0"/>
    <w:pPr>
      <w:numPr>
        <w:numId w:val="9"/>
      </w:numPr>
    </w:pPr>
  </w:style>
  <w:style w:type="character" w:customStyle="1" w:styleId="Hyperlink2">
    <w:name w:val="Hyperlink.2"/>
    <w:basedOn w:val="None"/>
    <w:rPr>
      <w:color w:val="000000"/>
      <w:u w:val="single" w:color="000000"/>
    </w:rPr>
  </w:style>
  <w:style w:type="numbering" w:customStyle="1" w:styleId="ImportedStyle3">
    <w:name w:val="Imported Style 3"/>
    <w:pPr>
      <w:numPr>
        <w:numId w:val="11"/>
      </w:numPr>
    </w:pPr>
  </w:style>
  <w:style w:type="numbering" w:customStyle="1" w:styleId="ImportedStyle4">
    <w:name w:val="Imported Style 4"/>
    <w:pPr>
      <w:numPr>
        <w:numId w:val="14"/>
      </w:numPr>
    </w:pPr>
  </w:style>
  <w:style w:type="numbering" w:customStyle="1" w:styleId="ImportedStyle30">
    <w:name w:val="Imported Style 3.0"/>
    <w:pPr>
      <w:numPr>
        <w:numId w:val="17"/>
      </w:numPr>
    </w:pPr>
  </w:style>
  <w:style w:type="numbering" w:customStyle="1" w:styleId="ImportedStyle5">
    <w:name w:val="Imported Style 5"/>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politicsweb.co.za/politics/rise-in-domestic-workers-abuse-in-country-worrying" TargetMode="External"/><Relationship Id="rId3" Type="http://schemas.openxmlformats.org/officeDocument/2006/relationships/hyperlink" Target="https://domestly.com/" TargetMode="External"/><Relationship Id="rId7" Type="http://schemas.openxmlformats.org/officeDocument/2006/relationships/hyperlink" Target="https://citizen.co.za/news/south-africa/1919540/listen-manana-offers-his-domestic-worker-r100k-as-consolation/" TargetMode="External"/><Relationship Id="rId12" Type="http://schemas.openxmlformats.org/officeDocument/2006/relationships/hyperlink" Target="http://www.sabcnews.com/sabcnews/government-miss-minimum-wage-bill-deadline/" TargetMode="External"/><Relationship Id="rId2" Type="http://schemas.openxmlformats.org/officeDocument/2006/relationships/hyperlink" Target="https://sweepsouth.com/" TargetMode="External"/><Relationship Id="rId1" Type="http://schemas.openxmlformats.org/officeDocument/2006/relationships/hyperlink" Target="http://www.saflii.org/za/cases/ZACC/2020/24.html" TargetMode="External"/><Relationship Id="rId6" Type="http://schemas.openxmlformats.org/officeDocument/2006/relationships/hyperlink" Target="https://citizen.co.za/news/south-africa/249658/domestic-worker-allegedly-raped-employer/" TargetMode="External"/><Relationship Id="rId11" Type="http://schemas.openxmlformats.org/officeDocument/2006/relationships/hyperlink" Target="https://www.brookings.edu/wp-content/uploads/2016/06/04_unemployment_insurance_south_africa.pdf" TargetMode="External"/><Relationship Id="rId5" Type="http://schemas.openxmlformats.org/officeDocument/2006/relationships/hyperlink" Target="https://www.news24.com/SouthAfrica/News/man-accused-of-raping-domestic-worker-denied-bail-20180322" TargetMode="External"/><Relationship Id="rId10" Type="http://schemas.openxmlformats.org/officeDocument/2006/relationships/hyperlink" Target="https://0-journals-co-za.innopac.wits.ac.za/content/ju_jur/2012/1" TargetMode="External"/><Relationship Id="rId4" Type="http://schemas.openxmlformats.org/officeDocument/2006/relationships/hyperlink" Target="https://www.justice.gov.za/vg/gbv/NSP-GBVF-FINAL-DOC-04-05.pdf" TargetMode="External"/><Relationship Id="rId9" Type="http://schemas.openxmlformats.org/officeDocument/2006/relationships/hyperlink" Target="https://0-journals-co-za.innopac.wits.ac.za/content/journal/ju_jur"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E3D9C0-305D-410C-9E8D-F639E38315CE}"/>
</file>

<file path=customXml/itemProps2.xml><?xml version="1.0" encoding="utf-8"?>
<ds:datastoreItem xmlns:ds="http://schemas.openxmlformats.org/officeDocument/2006/customXml" ds:itemID="{F0AC9F68-BA65-48C1-BA8F-1B0FE3B9EBC2}"/>
</file>

<file path=customXml/itemProps3.xml><?xml version="1.0" encoding="utf-8"?>
<ds:datastoreItem xmlns:ds="http://schemas.openxmlformats.org/officeDocument/2006/customXml" ds:itemID="{98EC35D2-D91D-4267-B137-8BA2FCE4CF04}"/>
</file>

<file path=docProps/app.xml><?xml version="1.0" encoding="utf-8"?>
<Properties xmlns="http://schemas.openxmlformats.org/officeDocument/2006/extended-properties" xmlns:vt="http://schemas.openxmlformats.org/officeDocument/2006/docPropsVTypes">
  <Template>Normal.dotm</Template>
  <TotalTime>5</TotalTime>
  <Pages>14</Pages>
  <Words>5829</Words>
  <Characters>33227</Characters>
  <Application>Microsoft Office Word</Application>
  <DocSecurity>0</DocSecurity>
  <Lines>276</Lines>
  <Paragraphs>77</Paragraphs>
  <ScaleCrop>false</ScaleCrop>
  <Company>OHCHR</Company>
  <LinksUpToDate>false</LinksUpToDate>
  <CharactersWithSpaces>38979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HARVEY Caroline</dc:creator>
  <cp:lastModifiedBy>Caroline Harvey</cp:lastModifiedBy>
  <cp:revision>2</cp:revision>
  <dcterms:created xsi:type="dcterms:W3CDTF">2021-09-23T07:18:00Z</dcterms:created>
  <dcterms:modified xsi:type="dcterms:W3CDTF">2021-09-23T07:18:00Z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