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5E" w:rsidRDefault="005B7B5E" w:rsidP="00146455">
      <w:pPr>
        <w:jc w:val="both"/>
      </w:pPr>
    </w:p>
    <w:p w:rsidR="005B7B5E" w:rsidRDefault="005B7B5E" w:rsidP="00146455">
      <w:pPr>
        <w:jc w:val="both"/>
      </w:pPr>
    </w:p>
    <w:p w:rsidR="005B7B5E" w:rsidRPr="0021233F" w:rsidRDefault="005B7B5E" w:rsidP="00146455">
      <w:pPr>
        <w:jc w:val="both"/>
        <w:rPr>
          <w:b/>
        </w:rPr>
      </w:pPr>
    </w:p>
    <w:p w:rsidR="005B7B5E" w:rsidRPr="0021233F" w:rsidRDefault="0076603E" w:rsidP="00146455">
      <w:pPr>
        <w:pStyle w:val="Title"/>
        <w:jc w:val="both"/>
        <w:rPr>
          <w:b/>
          <w:color w:val="auto"/>
        </w:rPr>
      </w:pPr>
      <w:r w:rsidRPr="0021233F">
        <w:rPr>
          <w:b/>
          <w:color w:val="auto"/>
        </w:rPr>
        <w:t xml:space="preserve">REPORT ON </w:t>
      </w:r>
      <w:r w:rsidR="0029506C" w:rsidRPr="0021233F">
        <w:rPr>
          <w:b/>
          <w:color w:val="auto"/>
        </w:rPr>
        <w:t xml:space="preserve">THE RIGHTS OF </w:t>
      </w:r>
      <w:r w:rsidRPr="0021233F">
        <w:rPr>
          <w:b/>
          <w:color w:val="auto"/>
        </w:rPr>
        <w:t>CHILDREN</w:t>
      </w:r>
      <w:r w:rsidR="0020558E" w:rsidRPr="0021233F">
        <w:rPr>
          <w:b/>
          <w:color w:val="auto"/>
        </w:rPr>
        <w:t xml:space="preserve"> OF DIVESRSE SEXUAL ORIENTATIONS </w:t>
      </w:r>
      <w:r w:rsidRPr="0021233F">
        <w:rPr>
          <w:b/>
          <w:color w:val="auto"/>
        </w:rPr>
        <w:t>AND GENDER IDENTIT</w:t>
      </w:r>
      <w:r w:rsidR="0020558E" w:rsidRPr="0021233F">
        <w:rPr>
          <w:b/>
          <w:color w:val="auto"/>
        </w:rPr>
        <w:t>IES</w:t>
      </w:r>
      <w:r w:rsidRPr="0021233F">
        <w:rPr>
          <w:b/>
          <w:color w:val="auto"/>
        </w:rPr>
        <w:t xml:space="preserve"> IN SRI LANKA</w:t>
      </w:r>
    </w:p>
    <w:p w:rsidR="005B7B5E" w:rsidRDefault="005B7B5E" w:rsidP="00146455">
      <w:pPr>
        <w:jc w:val="both"/>
      </w:pPr>
    </w:p>
    <w:p w:rsidR="00DC70EA" w:rsidRDefault="00DC70EA" w:rsidP="00146455">
      <w:pPr>
        <w:jc w:val="both"/>
      </w:pPr>
    </w:p>
    <w:p w:rsidR="00DC70EA" w:rsidRDefault="00DC70EA" w:rsidP="00146455">
      <w:pPr>
        <w:jc w:val="both"/>
      </w:pPr>
    </w:p>
    <w:p w:rsidR="00DC70EA" w:rsidRDefault="00DC70EA" w:rsidP="00146455">
      <w:pPr>
        <w:jc w:val="both"/>
      </w:pPr>
    </w:p>
    <w:p w:rsidR="00DC70EA" w:rsidRDefault="00DC70EA" w:rsidP="00146455">
      <w:pPr>
        <w:jc w:val="both"/>
      </w:pPr>
    </w:p>
    <w:p w:rsidR="0021233F" w:rsidRDefault="0021233F" w:rsidP="00803FD7">
      <w:pPr>
        <w:pStyle w:val="Subtitle"/>
        <w:rPr>
          <w:b/>
          <w:color w:val="auto"/>
        </w:rPr>
      </w:pPr>
    </w:p>
    <w:p w:rsidR="0021233F" w:rsidRDefault="0021233F" w:rsidP="00803FD7">
      <w:pPr>
        <w:pStyle w:val="Subtitle"/>
        <w:rPr>
          <w:b/>
          <w:color w:val="auto"/>
        </w:rPr>
      </w:pPr>
    </w:p>
    <w:p w:rsidR="001E7B21" w:rsidRPr="001E7B21" w:rsidRDefault="005217D3" w:rsidP="00803FD7">
      <w:pPr>
        <w:pStyle w:val="Subtitle"/>
        <w:rPr>
          <w:b/>
          <w:color w:val="auto"/>
        </w:rPr>
      </w:pPr>
      <w:r w:rsidRPr="001E7B21">
        <w:rPr>
          <w:b/>
          <w:color w:val="auto"/>
        </w:rPr>
        <w:t>Submitted</w:t>
      </w:r>
      <w:r w:rsidR="001E7B21">
        <w:rPr>
          <w:b/>
          <w:color w:val="auto"/>
        </w:rPr>
        <w:t>,</w:t>
      </w:r>
    </w:p>
    <w:p w:rsidR="0020558E" w:rsidRDefault="001E7B21" w:rsidP="00803FD7">
      <w:pPr>
        <w:pStyle w:val="Subtitle"/>
        <w:rPr>
          <w:b/>
          <w:color w:val="auto"/>
        </w:rPr>
      </w:pPr>
      <w:r w:rsidRPr="001E7B21">
        <w:rPr>
          <w:b/>
          <w:color w:val="auto"/>
        </w:rPr>
        <w:t>For</w:t>
      </w:r>
      <w:r w:rsidR="005217D3" w:rsidRPr="001E7B21">
        <w:rPr>
          <w:b/>
          <w:color w:val="auto"/>
        </w:rPr>
        <w:t xml:space="preserve"> consideration at the June Pre-Sessional Working Group</w:t>
      </w:r>
      <w:r w:rsidRPr="001E7B21">
        <w:rPr>
          <w:b/>
          <w:color w:val="auto"/>
        </w:rPr>
        <w:t xml:space="preserve"> 2017</w:t>
      </w:r>
    </w:p>
    <w:p w:rsidR="00AB2949" w:rsidRPr="001E7B21" w:rsidRDefault="0020558E" w:rsidP="00803FD7">
      <w:pPr>
        <w:pStyle w:val="Subtitle"/>
        <w:rPr>
          <w:b/>
          <w:color w:val="auto"/>
        </w:rPr>
      </w:pPr>
      <w:r>
        <w:rPr>
          <w:b/>
          <w:color w:val="auto"/>
        </w:rPr>
        <w:t>Of</w:t>
      </w:r>
      <w:r w:rsidR="001E7B21" w:rsidRPr="001E7B21">
        <w:rPr>
          <w:b/>
          <w:color w:val="auto"/>
        </w:rPr>
        <w:t xml:space="preserve"> the UN Committee on the Rights of the Child</w:t>
      </w:r>
    </w:p>
    <w:p w:rsidR="001E7B21" w:rsidRPr="001E7B21" w:rsidRDefault="001E7B21" w:rsidP="00803FD7">
      <w:pPr>
        <w:pStyle w:val="Subtitle"/>
        <w:rPr>
          <w:b/>
          <w:color w:val="auto"/>
        </w:rPr>
      </w:pPr>
      <w:r w:rsidRPr="001E7B21">
        <w:rPr>
          <w:b/>
          <w:color w:val="auto"/>
        </w:rPr>
        <w:t>Dated February 2017</w:t>
      </w:r>
    </w:p>
    <w:p w:rsidR="0021233F" w:rsidRDefault="001E7B21" w:rsidP="0021233F">
      <w:pPr>
        <w:pStyle w:val="Subtitle"/>
        <w:rPr>
          <w:b/>
          <w:color w:val="auto"/>
        </w:rPr>
      </w:pPr>
      <w:r w:rsidRPr="001E7B21">
        <w:rPr>
          <w:b/>
          <w:color w:val="auto"/>
        </w:rPr>
        <w:t xml:space="preserve">By </w:t>
      </w:r>
      <w:r w:rsidR="0029506C">
        <w:rPr>
          <w:b/>
          <w:color w:val="auto"/>
        </w:rPr>
        <w:t>EQUAL GROUND, Sri Lanka</w:t>
      </w:r>
      <w:r w:rsidR="0021233F">
        <w:rPr>
          <w:b/>
          <w:color w:val="auto"/>
        </w:rPr>
        <w:t>,</w:t>
      </w:r>
    </w:p>
    <w:p w:rsidR="0021233F" w:rsidRDefault="0021233F" w:rsidP="0021233F">
      <w:r>
        <w:t xml:space="preserve">Telephone +94 11 2806186 </w:t>
      </w:r>
      <w:proofErr w:type="gramStart"/>
      <w:r>
        <w:t>Fax  +</w:t>
      </w:r>
      <w:proofErr w:type="gramEnd"/>
      <w:r>
        <w:t>94 11 2805704</w:t>
      </w:r>
    </w:p>
    <w:p w:rsidR="0021233F" w:rsidRDefault="0021233F" w:rsidP="0021233F">
      <w:proofErr w:type="gramStart"/>
      <w:r>
        <w:t xml:space="preserve">Email  </w:t>
      </w:r>
      <w:proofErr w:type="gramEnd"/>
      <w:r>
        <w:fldChar w:fldCharType="begin"/>
      </w:r>
      <w:r>
        <w:instrText xml:space="preserve"> HYPERLINK "mailto:rosannafc@equalgroundsrilanka.com" </w:instrText>
      </w:r>
      <w:r>
        <w:fldChar w:fldCharType="separate"/>
      </w:r>
      <w:r w:rsidRPr="00681ED1">
        <w:rPr>
          <w:rStyle w:val="Hyperlink"/>
        </w:rPr>
        <w:t>rosannafc@equalgroundsrilanka.com</w:t>
      </w:r>
      <w:r>
        <w:fldChar w:fldCharType="end"/>
      </w:r>
      <w:r>
        <w:t xml:space="preserve"> ; </w:t>
      </w:r>
      <w:hyperlink r:id="rId9" w:history="1">
        <w:r w:rsidRPr="00681ED1">
          <w:rPr>
            <w:rStyle w:val="Hyperlink"/>
          </w:rPr>
          <w:t>equalground@gmail.com</w:t>
        </w:r>
      </w:hyperlink>
    </w:p>
    <w:p w:rsidR="0021233F" w:rsidRPr="0021233F" w:rsidRDefault="0021233F" w:rsidP="0021233F">
      <w:r>
        <w:t xml:space="preserve">Website </w:t>
      </w:r>
      <w:hyperlink r:id="rId10" w:history="1">
        <w:r w:rsidRPr="00681ED1">
          <w:rPr>
            <w:rStyle w:val="Hyperlink"/>
            <w:rFonts w:ascii="Arial" w:hAnsi="Arial" w:cs="Arial"/>
            <w:sz w:val="21"/>
            <w:szCs w:val="21"/>
            <w:shd w:val="clear" w:color="auto" w:fill="FFFFFF"/>
          </w:rPr>
          <w:t>www.</w:t>
        </w:r>
        <w:r w:rsidRPr="00681ED1">
          <w:rPr>
            <w:rStyle w:val="Hyperlink"/>
            <w:rFonts w:ascii="Arial" w:hAnsi="Arial" w:cs="Arial"/>
            <w:b/>
            <w:bCs/>
            <w:sz w:val="21"/>
            <w:szCs w:val="21"/>
            <w:shd w:val="clear" w:color="auto" w:fill="FFFFFF"/>
          </w:rPr>
          <w:t>equal</w:t>
        </w:r>
        <w:r w:rsidRPr="00681ED1">
          <w:rPr>
            <w:rStyle w:val="Hyperlink"/>
            <w:rFonts w:ascii="Arial" w:hAnsi="Arial" w:cs="Arial"/>
            <w:sz w:val="21"/>
            <w:szCs w:val="21"/>
            <w:shd w:val="clear" w:color="auto" w:fill="FFFFFF"/>
          </w:rPr>
          <w:t>-</w:t>
        </w:r>
        <w:r w:rsidRPr="00681ED1">
          <w:rPr>
            <w:rStyle w:val="Hyperlink"/>
            <w:rFonts w:ascii="Arial" w:hAnsi="Arial" w:cs="Arial"/>
            <w:b/>
            <w:bCs/>
            <w:sz w:val="21"/>
            <w:szCs w:val="21"/>
            <w:shd w:val="clear" w:color="auto" w:fill="FFFFFF"/>
          </w:rPr>
          <w:t>ground</w:t>
        </w:r>
        <w:r w:rsidRPr="00681ED1">
          <w:rPr>
            <w:rStyle w:val="Hyperlink"/>
            <w:rFonts w:ascii="Arial" w:hAnsi="Arial" w:cs="Arial"/>
            <w:sz w:val="21"/>
            <w:szCs w:val="21"/>
            <w:shd w:val="clear" w:color="auto" w:fill="FFFFFF"/>
          </w:rPr>
          <w:t>.org</w:t>
        </w:r>
      </w:hyperlink>
      <w:r>
        <w:rPr>
          <w:rFonts w:ascii="Arial" w:hAnsi="Arial" w:cs="Arial"/>
          <w:color w:val="006621"/>
          <w:sz w:val="21"/>
          <w:szCs w:val="21"/>
          <w:shd w:val="clear" w:color="auto" w:fill="FFFFFF"/>
        </w:rPr>
        <w:t xml:space="preserve">  </w:t>
      </w:r>
      <w:r w:rsidRPr="0021233F">
        <w:rPr>
          <w:rFonts w:ascii="Arial" w:hAnsi="Arial" w:cs="Arial"/>
          <w:sz w:val="21"/>
          <w:szCs w:val="21"/>
          <w:shd w:val="clear" w:color="auto" w:fill="FFFFFF"/>
        </w:rPr>
        <w:t>Facebook</w:t>
      </w:r>
      <w:r>
        <w:rPr>
          <w:rFonts w:ascii="Arial" w:hAnsi="Arial" w:cs="Arial"/>
          <w:color w:val="006621"/>
          <w:sz w:val="21"/>
          <w:szCs w:val="21"/>
          <w:shd w:val="clear" w:color="auto" w:fill="FFFFFF"/>
        </w:rPr>
        <w:t xml:space="preserve"> @EQUALGROUND</w:t>
      </w:r>
    </w:p>
    <w:p w:rsidR="0020558E" w:rsidRPr="0020558E" w:rsidRDefault="0020558E" w:rsidP="00803FD7"/>
    <w:p w:rsidR="00AB2949" w:rsidRPr="001E7B21" w:rsidRDefault="0021233F" w:rsidP="0021233F">
      <w:pPr>
        <w:pStyle w:val="Subtitle"/>
        <w:jc w:val="center"/>
        <w:rPr>
          <w:b/>
          <w:color w:val="auto"/>
        </w:rPr>
      </w:pPr>
      <w:r w:rsidRPr="001E7B21">
        <w:rPr>
          <w:b/>
          <w:noProof/>
        </w:rPr>
        <w:drawing>
          <wp:anchor distT="0" distB="0" distL="114300" distR="114300" simplePos="0" relativeHeight="251659264" behindDoc="1" locked="0" layoutInCell="1" allowOverlap="1" wp14:anchorId="4D9CD510" wp14:editId="14A69C9C">
            <wp:simplePos x="0" y="0"/>
            <wp:positionH relativeFrom="column">
              <wp:posOffset>1800225</wp:posOffset>
            </wp:positionH>
            <wp:positionV relativeFrom="paragraph">
              <wp:posOffset>469900</wp:posOffset>
            </wp:positionV>
            <wp:extent cx="2447925" cy="196215"/>
            <wp:effectExtent l="0" t="0" r="9525" b="0"/>
            <wp:wrapTight wrapText="bothSides">
              <wp:wrapPolygon edited="0">
                <wp:start x="840" y="0"/>
                <wp:lineTo x="0" y="6291"/>
                <wp:lineTo x="0" y="10485"/>
                <wp:lineTo x="840" y="18874"/>
                <wp:lineTo x="20003" y="18874"/>
                <wp:lineTo x="21516" y="10485"/>
                <wp:lineTo x="21516" y="6291"/>
                <wp:lineTo x="20507" y="0"/>
                <wp:lineTo x="84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G LOGO Black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7925" cy="196215"/>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b w:val="0"/>
          <w:bCs w:val="0"/>
          <w:color w:val="auto"/>
          <w:sz w:val="24"/>
          <w:szCs w:val="22"/>
          <w:lang w:eastAsia="en-US"/>
        </w:rPr>
        <w:id w:val="301579507"/>
        <w:docPartObj>
          <w:docPartGallery w:val="Table of Contents"/>
          <w:docPartUnique/>
        </w:docPartObj>
      </w:sdtPr>
      <w:sdtEndPr>
        <w:rPr>
          <w:noProof/>
        </w:rPr>
      </w:sdtEndPr>
      <w:sdtContent>
        <w:p w:rsidR="001E7B21" w:rsidRPr="00C836EF" w:rsidRDefault="001E7B21" w:rsidP="00024A02">
          <w:pPr>
            <w:pStyle w:val="TOCHeading"/>
            <w:jc w:val="both"/>
            <w:rPr>
              <w:sz w:val="40"/>
            </w:rPr>
          </w:pPr>
          <w:r w:rsidRPr="00C836EF">
            <w:rPr>
              <w:sz w:val="40"/>
            </w:rPr>
            <w:t>Contents</w:t>
          </w:r>
        </w:p>
        <w:p w:rsidR="0021233F" w:rsidRPr="00C836EF" w:rsidRDefault="001E7B21">
          <w:pPr>
            <w:pStyle w:val="TOC1"/>
            <w:tabs>
              <w:tab w:val="right" w:leader="dot" w:pos="9350"/>
            </w:tabs>
            <w:rPr>
              <w:rFonts w:eastAsiaTheme="minorEastAsia"/>
              <w:noProof/>
              <w:sz w:val="24"/>
            </w:rPr>
          </w:pPr>
          <w:r w:rsidRPr="00C836EF">
            <w:rPr>
              <w:sz w:val="32"/>
            </w:rPr>
            <w:fldChar w:fldCharType="begin"/>
          </w:r>
          <w:r w:rsidRPr="00C836EF">
            <w:rPr>
              <w:sz w:val="32"/>
            </w:rPr>
            <w:instrText xml:space="preserve"> TOC \o "1-3" \h \z \u </w:instrText>
          </w:r>
          <w:r w:rsidRPr="00C836EF">
            <w:rPr>
              <w:sz w:val="32"/>
            </w:rPr>
            <w:fldChar w:fldCharType="separate"/>
          </w:r>
          <w:hyperlink w:anchor="_Toc476064475" w:history="1">
            <w:r w:rsidR="0021233F" w:rsidRPr="00C836EF">
              <w:rPr>
                <w:rStyle w:val="Hyperlink"/>
                <w:noProof/>
                <w:sz w:val="24"/>
              </w:rPr>
              <w:t>Background</w:t>
            </w:r>
            <w:r w:rsidR="0021233F" w:rsidRPr="00C836EF">
              <w:rPr>
                <w:noProof/>
                <w:webHidden/>
                <w:sz w:val="24"/>
              </w:rPr>
              <w:tab/>
            </w:r>
            <w:r w:rsidR="0021233F" w:rsidRPr="00C836EF">
              <w:rPr>
                <w:noProof/>
                <w:webHidden/>
                <w:sz w:val="24"/>
              </w:rPr>
              <w:fldChar w:fldCharType="begin"/>
            </w:r>
            <w:r w:rsidR="0021233F" w:rsidRPr="00C836EF">
              <w:rPr>
                <w:noProof/>
                <w:webHidden/>
                <w:sz w:val="24"/>
              </w:rPr>
              <w:instrText xml:space="preserve"> PAGEREF _Toc476064475 \h </w:instrText>
            </w:r>
            <w:r w:rsidR="0021233F" w:rsidRPr="00C836EF">
              <w:rPr>
                <w:noProof/>
                <w:webHidden/>
                <w:sz w:val="24"/>
              </w:rPr>
            </w:r>
            <w:r w:rsidR="0021233F" w:rsidRPr="00C836EF">
              <w:rPr>
                <w:noProof/>
                <w:webHidden/>
                <w:sz w:val="24"/>
              </w:rPr>
              <w:fldChar w:fldCharType="separate"/>
            </w:r>
            <w:r w:rsidR="0021233F" w:rsidRPr="00C836EF">
              <w:rPr>
                <w:noProof/>
                <w:webHidden/>
                <w:sz w:val="24"/>
              </w:rPr>
              <w:t>2</w:t>
            </w:r>
            <w:r w:rsidR="0021233F"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76" w:history="1">
            <w:r w:rsidRPr="00C836EF">
              <w:rPr>
                <w:rStyle w:val="Hyperlink"/>
                <w:noProof/>
                <w:sz w:val="24"/>
              </w:rPr>
              <w:t>Definitions</w:t>
            </w:r>
            <w:r w:rsidRPr="00C836EF">
              <w:rPr>
                <w:noProof/>
                <w:webHidden/>
                <w:sz w:val="24"/>
              </w:rPr>
              <w:tab/>
            </w:r>
            <w:r w:rsidRPr="00C836EF">
              <w:rPr>
                <w:noProof/>
                <w:webHidden/>
                <w:sz w:val="24"/>
              </w:rPr>
              <w:fldChar w:fldCharType="begin"/>
            </w:r>
            <w:r w:rsidRPr="00C836EF">
              <w:rPr>
                <w:noProof/>
                <w:webHidden/>
                <w:sz w:val="24"/>
              </w:rPr>
              <w:instrText xml:space="preserve"> PAGEREF _Toc476064476 \h </w:instrText>
            </w:r>
            <w:r w:rsidRPr="00C836EF">
              <w:rPr>
                <w:noProof/>
                <w:webHidden/>
                <w:sz w:val="24"/>
              </w:rPr>
            </w:r>
            <w:r w:rsidRPr="00C836EF">
              <w:rPr>
                <w:noProof/>
                <w:webHidden/>
                <w:sz w:val="24"/>
              </w:rPr>
              <w:fldChar w:fldCharType="separate"/>
            </w:r>
            <w:r w:rsidRPr="00C836EF">
              <w:rPr>
                <w:noProof/>
                <w:webHidden/>
                <w:sz w:val="24"/>
              </w:rPr>
              <w:t>2</w:t>
            </w:r>
            <w:r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77" w:history="1">
            <w:r w:rsidRPr="00C836EF">
              <w:rPr>
                <w:rStyle w:val="Hyperlink"/>
                <w:noProof/>
                <w:sz w:val="24"/>
              </w:rPr>
              <w:t>Socio-legal framework of Sri Lanka in relation to sexual orientation and gender identity</w:t>
            </w:r>
            <w:r w:rsidRPr="00C836EF">
              <w:rPr>
                <w:noProof/>
                <w:webHidden/>
                <w:sz w:val="24"/>
              </w:rPr>
              <w:tab/>
            </w:r>
            <w:r w:rsidRPr="00C836EF">
              <w:rPr>
                <w:noProof/>
                <w:webHidden/>
                <w:sz w:val="24"/>
              </w:rPr>
              <w:fldChar w:fldCharType="begin"/>
            </w:r>
            <w:r w:rsidRPr="00C836EF">
              <w:rPr>
                <w:noProof/>
                <w:webHidden/>
                <w:sz w:val="24"/>
              </w:rPr>
              <w:instrText xml:space="preserve"> PAGEREF _Toc476064477 \h </w:instrText>
            </w:r>
            <w:r w:rsidRPr="00C836EF">
              <w:rPr>
                <w:noProof/>
                <w:webHidden/>
                <w:sz w:val="24"/>
              </w:rPr>
            </w:r>
            <w:r w:rsidRPr="00C836EF">
              <w:rPr>
                <w:noProof/>
                <w:webHidden/>
                <w:sz w:val="24"/>
              </w:rPr>
              <w:fldChar w:fldCharType="separate"/>
            </w:r>
            <w:r w:rsidRPr="00C836EF">
              <w:rPr>
                <w:noProof/>
                <w:webHidden/>
                <w:sz w:val="24"/>
              </w:rPr>
              <w:t>3</w:t>
            </w:r>
            <w:r w:rsidRPr="00C836EF">
              <w:rPr>
                <w:noProof/>
                <w:webHidden/>
                <w:sz w:val="24"/>
              </w:rPr>
              <w:fldChar w:fldCharType="end"/>
            </w:r>
          </w:hyperlink>
        </w:p>
        <w:p w:rsidR="0021233F" w:rsidRPr="00C836EF" w:rsidRDefault="0021233F">
          <w:pPr>
            <w:pStyle w:val="TOC1"/>
            <w:tabs>
              <w:tab w:val="right" w:leader="dot" w:pos="9350"/>
            </w:tabs>
            <w:rPr>
              <w:rFonts w:eastAsiaTheme="minorEastAsia"/>
              <w:noProof/>
              <w:sz w:val="24"/>
            </w:rPr>
          </w:pPr>
          <w:hyperlink w:anchor="_Toc476064478" w:history="1">
            <w:r w:rsidRPr="00C836EF">
              <w:rPr>
                <w:rStyle w:val="Hyperlink"/>
                <w:noProof/>
                <w:sz w:val="24"/>
              </w:rPr>
              <w:t>General Principles and the Rights of Children Of Diverse Sexual Orientations and Gender Identities in Sri Lanka</w:t>
            </w:r>
            <w:r w:rsidRPr="00C836EF">
              <w:rPr>
                <w:noProof/>
                <w:webHidden/>
                <w:sz w:val="24"/>
              </w:rPr>
              <w:tab/>
            </w:r>
            <w:r w:rsidRPr="00C836EF">
              <w:rPr>
                <w:noProof/>
                <w:webHidden/>
                <w:sz w:val="24"/>
              </w:rPr>
              <w:fldChar w:fldCharType="begin"/>
            </w:r>
            <w:r w:rsidRPr="00C836EF">
              <w:rPr>
                <w:noProof/>
                <w:webHidden/>
                <w:sz w:val="24"/>
              </w:rPr>
              <w:instrText xml:space="preserve"> PAGEREF _Toc476064478 \h </w:instrText>
            </w:r>
            <w:r w:rsidRPr="00C836EF">
              <w:rPr>
                <w:noProof/>
                <w:webHidden/>
                <w:sz w:val="24"/>
              </w:rPr>
            </w:r>
            <w:r w:rsidRPr="00C836EF">
              <w:rPr>
                <w:noProof/>
                <w:webHidden/>
                <w:sz w:val="24"/>
              </w:rPr>
              <w:fldChar w:fldCharType="separate"/>
            </w:r>
            <w:r w:rsidRPr="00C836EF">
              <w:rPr>
                <w:noProof/>
                <w:webHidden/>
                <w:sz w:val="24"/>
              </w:rPr>
              <w:t>5</w:t>
            </w:r>
            <w:r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79" w:history="1">
            <w:r w:rsidRPr="00C836EF">
              <w:rPr>
                <w:rStyle w:val="Hyperlink"/>
                <w:noProof/>
                <w:sz w:val="24"/>
              </w:rPr>
              <w:t>Case studies</w:t>
            </w:r>
            <w:r w:rsidRPr="00C836EF">
              <w:rPr>
                <w:noProof/>
                <w:webHidden/>
                <w:sz w:val="24"/>
              </w:rPr>
              <w:tab/>
            </w:r>
            <w:r w:rsidRPr="00C836EF">
              <w:rPr>
                <w:noProof/>
                <w:webHidden/>
                <w:sz w:val="24"/>
              </w:rPr>
              <w:fldChar w:fldCharType="begin"/>
            </w:r>
            <w:r w:rsidRPr="00C836EF">
              <w:rPr>
                <w:noProof/>
                <w:webHidden/>
                <w:sz w:val="24"/>
              </w:rPr>
              <w:instrText xml:space="preserve"> PAGEREF _Toc476064479 \h </w:instrText>
            </w:r>
            <w:r w:rsidRPr="00C836EF">
              <w:rPr>
                <w:noProof/>
                <w:webHidden/>
                <w:sz w:val="24"/>
              </w:rPr>
            </w:r>
            <w:r w:rsidRPr="00C836EF">
              <w:rPr>
                <w:noProof/>
                <w:webHidden/>
                <w:sz w:val="24"/>
              </w:rPr>
              <w:fldChar w:fldCharType="separate"/>
            </w:r>
            <w:r w:rsidRPr="00C836EF">
              <w:rPr>
                <w:noProof/>
                <w:webHidden/>
                <w:sz w:val="24"/>
              </w:rPr>
              <w:t>5</w:t>
            </w:r>
            <w:r w:rsidRPr="00C836EF">
              <w:rPr>
                <w:noProof/>
                <w:webHidden/>
                <w:sz w:val="24"/>
              </w:rPr>
              <w:fldChar w:fldCharType="end"/>
            </w:r>
          </w:hyperlink>
        </w:p>
        <w:p w:rsidR="0021233F" w:rsidRPr="00C836EF" w:rsidRDefault="0021233F">
          <w:pPr>
            <w:pStyle w:val="TOC3"/>
            <w:tabs>
              <w:tab w:val="right" w:leader="dot" w:pos="9350"/>
            </w:tabs>
            <w:rPr>
              <w:rFonts w:eastAsiaTheme="minorEastAsia"/>
              <w:noProof/>
              <w:sz w:val="24"/>
            </w:rPr>
          </w:pPr>
          <w:hyperlink w:anchor="_Toc476064480" w:history="1">
            <w:r w:rsidRPr="00C836EF">
              <w:rPr>
                <w:rStyle w:val="Hyperlink"/>
                <w:noProof/>
                <w:sz w:val="24"/>
              </w:rPr>
              <w:t>Sources</w:t>
            </w:r>
            <w:r w:rsidRPr="00C836EF">
              <w:rPr>
                <w:noProof/>
                <w:webHidden/>
                <w:sz w:val="24"/>
              </w:rPr>
              <w:tab/>
            </w:r>
            <w:r w:rsidRPr="00C836EF">
              <w:rPr>
                <w:noProof/>
                <w:webHidden/>
                <w:sz w:val="24"/>
              </w:rPr>
              <w:fldChar w:fldCharType="begin"/>
            </w:r>
            <w:r w:rsidRPr="00C836EF">
              <w:rPr>
                <w:noProof/>
                <w:webHidden/>
                <w:sz w:val="24"/>
              </w:rPr>
              <w:instrText xml:space="preserve"> PAGEREF _Toc476064480 \h </w:instrText>
            </w:r>
            <w:r w:rsidRPr="00C836EF">
              <w:rPr>
                <w:noProof/>
                <w:webHidden/>
                <w:sz w:val="24"/>
              </w:rPr>
            </w:r>
            <w:r w:rsidRPr="00C836EF">
              <w:rPr>
                <w:noProof/>
                <w:webHidden/>
                <w:sz w:val="24"/>
              </w:rPr>
              <w:fldChar w:fldCharType="separate"/>
            </w:r>
            <w:r w:rsidRPr="00C836EF">
              <w:rPr>
                <w:noProof/>
                <w:webHidden/>
                <w:sz w:val="24"/>
              </w:rPr>
              <w:t>5</w:t>
            </w:r>
            <w:r w:rsidRPr="00C836EF">
              <w:rPr>
                <w:noProof/>
                <w:webHidden/>
                <w:sz w:val="24"/>
              </w:rPr>
              <w:fldChar w:fldCharType="end"/>
            </w:r>
          </w:hyperlink>
        </w:p>
        <w:p w:rsidR="0021233F" w:rsidRPr="00C836EF" w:rsidRDefault="0021233F">
          <w:pPr>
            <w:pStyle w:val="TOC3"/>
            <w:tabs>
              <w:tab w:val="right" w:leader="dot" w:pos="9350"/>
            </w:tabs>
            <w:rPr>
              <w:rFonts w:eastAsiaTheme="minorEastAsia"/>
              <w:noProof/>
              <w:sz w:val="24"/>
            </w:rPr>
          </w:pPr>
          <w:hyperlink w:anchor="_Toc476064481" w:history="1">
            <w:r w:rsidRPr="00C836EF">
              <w:rPr>
                <w:rStyle w:val="Hyperlink"/>
                <w:noProof/>
                <w:sz w:val="24"/>
              </w:rPr>
              <w:t>Incidents of violence and discrimination against children on the basis of their sexual orientation and gender identity</w:t>
            </w:r>
            <w:r w:rsidRPr="00C836EF">
              <w:rPr>
                <w:noProof/>
                <w:webHidden/>
                <w:sz w:val="24"/>
              </w:rPr>
              <w:tab/>
            </w:r>
            <w:r w:rsidRPr="00C836EF">
              <w:rPr>
                <w:noProof/>
                <w:webHidden/>
                <w:sz w:val="24"/>
              </w:rPr>
              <w:fldChar w:fldCharType="begin"/>
            </w:r>
            <w:r w:rsidRPr="00C836EF">
              <w:rPr>
                <w:noProof/>
                <w:webHidden/>
                <w:sz w:val="24"/>
              </w:rPr>
              <w:instrText xml:space="preserve"> PAGEREF _Toc476064481 \h </w:instrText>
            </w:r>
            <w:r w:rsidRPr="00C836EF">
              <w:rPr>
                <w:noProof/>
                <w:webHidden/>
                <w:sz w:val="24"/>
              </w:rPr>
            </w:r>
            <w:r w:rsidRPr="00C836EF">
              <w:rPr>
                <w:noProof/>
                <w:webHidden/>
                <w:sz w:val="24"/>
              </w:rPr>
              <w:fldChar w:fldCharType="separate"/>
            </w:r>
            <w:r w:rsidRPr="00C836EF">
              <w:rPr>
                <w:noProof/>
                <w:webHidden/>
                <w:sz w:val="24"/>
              </w:rPr>
              <w:t>5</w:t>
            </w:r>
            <w:r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82" w:history="1">
            <w:r w:rsidRPr="00C836EF">
              <w:rPr>
                <w:rStyle w:val="Hyperlink"/>
                <w:noProof/>
                <w:sz w:val="24"/>
              </w:rPr>
              <w:t>Analysis of compliance with General Principles</w:t>
            </w:r>
            <w:r w:rsidRPr="00C836EF">
              <w:rPr>
                <w:noProof/>
                <w:webHidden/>
                <w:sz w:val="24"/>
              </w:rPr>
              <w:tab/>
            </w:r>
            <w:r w:rsidRPr="00C836EF">
              <w:rPr>
                <w:noProof/>
                <w:webHidden/>
                <w:sz w:val="24"/>
              </w:rPr>
              <w:fldChar w:fldCharType="begin"/>
            </w:r>
            <w:r w:rsidRPr="00C836EF">
              <w:rPr>
                <w:noProof/>
                <w:webHidden/>
                <w:sz w:val="24"/>
              </w:rPr>
              <w:instrText xml:space="preserve"> PAGEREF _Toc476064482 \h </w:instrText>
            </w:r>
            <w:r w:rsidRPr="00C836EF">
              <w:rPr>
                <w:noProof/>
                <w:webHidden/>
                <w:sz w:val="24"/>
              </w:rPr>
            </w:r>
            <w:r w:rsidRPr="00C836EF">
              <w:rPr>
                <w:noProof/>
                <w:webHidden/>
                <w:sz w:val="24"/>
              </w:rPr>
              <w:fldChar w:fldCharType="separate"/>
            </w:r>
            <w:r w:rsidRPr="00C836EF">
              <w:rPr>
                <w:noProof/>
                <w:webHidden/>
                <w:sz w:val="24"/>
              </w:rPr>
              <w:t>6</w:t>
            </w:r>
            <w:r w:rsidRPr="00C836EF">
              <w:rPr>
                <w:noProof/>
                <w:webHidden/>
                <w:sz w:val="24"/>
              </w:rPr>
              <w:fldChar w:fldCharType="end"/>
            </w:r>
          </w:hyperlink>
        </w:p>
        <w:p w:rsidR="0021233F" w:rsidRPr="00C836EF" w:rsidRDefault="0021233F">
          <w:pPr>
            <w:pStyle w:val="TOC1"/>
            <w:tabs>
              <w:tab w:val="right" w:leader="dot" w:pos="9350"/>
            </w:tabs>
            <w:rPr>
              <w:rFonts w:eastAsiaTheme="minorEastAsia"/>
              <w:noProof/>
              <w:sz w:val="24"/>
            </w:rPr>
          </w:pPr>
          <w:hyperlink w:anchor="_Toc476064483" w:history="1">
            <w:r w:rsidRPr="00C836EF">
              <w:rPr>
                <w:rStyle w:val="Hyperlink"/>
                <w:noProof/>
                <w:sz w:val="24"/>
              </w:rPr>
              <w:t>Conclusion and Recommendations</w:t>
            </w:r>
            <w:r w:rsidRPr="00C836EF">
              <w:rPr>
                <w:noProof/>
                <w:webHidden/>
                <w:sz w:val="24"/>
              </w:rPr>
              <w:tab/>
            </w:r>
            <w:r w:rsidRPr="00C836EF">
              <w:rPr>
                <w:noProof/>
                <w:webHidden/>
                <w:sz w:val="24"/>
              </w:rPr>
              <w:fldChar w:fldCharType="begin"/>
            </w:r>
            <w:r w:rsidRPr="00C836EF">
              <w:rPr>
                <w:noProof/>
                <w:webHidden/>
                <w:sz w:val="24"/>
              </w:rPr>
              <w:instrText xml:space="preserve"> PAGEREF _Toc476064483 \h </w:instrText>
            </w:r>
            <w:r w:rsidRPr="00C836EF">
              <w:rPr>
                <w:noProof/>
                <w:webHidden/>
                <w:sz w:val="24"/>
              </w:rPr>
            </w:r>
            <w:r w:rsidRPr="00C836EF">
              <w:rPr>
                <w:noProof/>
                <w:webHidden/>
                <w:sz w:val="24"/>
              </w:rPr>
              <w:fldChar w:fldCharType="separate"/>
            </w:r>
            <w:r w:rsidRPr="00C836EF">
              <w:rPr>
                <w:noProof/>
                <w:webHidden/>
                <w:sz w:val="24"/>
              </w:rPr>
              <w:t>8</w:t>
            </w:r>
            <w:r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84" w:history="1">
            <w:r w:rsidRPr="00C836EF">
              <w:rPr>
                <w:rStyle w:val="Hyperlink"/>
                <w:noProof/>
                <w:sz w:val="24"/>
              </w:rPr>
              <w:t>The status of the rights of children of diverse sexual orientations and gender identities</w:t>
            </w:r>
            <w:r w:rsidRPr="00C836EF">
              <w:rPr>
                <w:noProof/>
                <w:webHidden/>
                <w:sz w:val="24"/>
              </w:rPr>
              <w:tab/>
            </w:r>
            <w:r w:rsidRPr="00C836EF">
              <w:rPr>
                <w:noProof/>
                <w:webHidden/>
                <w:sz w:val="24"/>
              </w:rPr>
              <w:fldChar w:fldCharType="begin"/>
            </w:r>
            <w:r w:rsidRPr="00C836EF">
              <w:rPr>
                <w:noProof/>
                <w:webHidden/>
                <w:sz w:val="24"/>
              </w:rPr>
              <w:instrText xml:space="preserve"> PAGEREF _Toc476064484 \h </w:instrText>
            </w:r>
            <w:r w:rsidRPr="00C836EF">
              <w:rPr>
                <w:noProof/>
                <w:webHidden/>
                <w:sz w:val="24"/>
              </w:rPr>
            </w:r>
            <w:r w:rsidRPr="00C836EF">
              <w:rPr>
                <w:noProof/>
                <w:webHidden/>
                <w:sz w:val="24"/>
              </w:rPr>
              <w:fldChar w:fldCharType="separate"/>
            </w:r>
            <w:r w:rsidRPr="00C836EF">
              <w:rPr>
                <w:noProof/>
                <w:webHidden/>
                <w:sz w:val="24"/>
              </w:rPr>
              <w:t>8</w:t>
            </w:r>
            <w:r w:rsidRPr="00C836EF">
              <w:rPr>
                <w:noProof/>
                <w:webHidden/>
                <w:sz w:val="24"/>
              </w:rPr>
              <w:fldChar w:fldCharType="end"/>
            </w:r>
          </w:hyperlink>
        </w:p>
        <w:p w:rsidR="0021233F" w:rsidRPr="00C836EF" w:rsidRDefault="0021233F">
          <w:pPr>
            <w:pStyle w:val="TOC2"/>
            <w:tabs>
              <w:tab w:val="right" w:leader="dot" w:pos="9350"/>
            </w:tabs>
            <w:rPr>
              <w:rFonts w:eastAsiaTheme="minorEastAsia"/>
              <w:noProof/>
              <w:sz w:val="24"/>
            </w:rPr>
          </w:pPr>
          <w:hyperlink w:anchor="_Toc476064485" w:history="1">
            <w:r w:rsidRPr="00C836EF">
              <w:rPr>
                <w:rStyle w:val="Hyperlink"/>
                <w:noProof/>
                <w:sz w:val="24"/>
              </w:rPr>
              <w:t>Recommendations</w:t>
            </w:r>
            <w:r w:rsidRPr="00C836EF">
              <w:rPr>
                <w:noProof/>
                <w:webHidden/>
                <w:sz w:val="24"/>
              </w:rPr>
              <w:tab/>
            </w:r>
            <w:r w:rsidRPr="00C836EF">
              <w:rPr>
                <w:noProof/>
                <w:webHidden/>
                <w:sz w:val="24"/>
              </w:rPr>
              <w:fldChar w:fldCharType="begin"/>
            </w:r>
            <w:r w:rsidRPr="00C836EF">
              <w:rPr>
                <w:noProof/>
                <w:webHidden/>
                <w:sz w:val="24"/>
              </w:rPr>
              <w:instrText xml:space="preserve"> PAGEREF _Toc476064485 \h </w:instrText>
            </w:r>
            <w:r w:rsidRPr="00C836EF">
              <w:rPr>
                <w:noProof/>
                <w:webHidden/>
                <w:sz w:val="24"/>
              </w:rPr>
            </w:r>
            <w:r w:rsidRPr="00C836EF">
              <w:rPr>
                <w:noProof/>
                <w:webHidden/>
                <w:sz w:val="24"/>
              </w:rPr>
              <w:fldChar w:fldCharType="separate"/>
            </w:r>
            <w:r w:rsidRPr="00C836EF">
              <w:rPr>
                <w:noProof/>
                <w:webHidden/>
                <w:sz w:val="24"/>
              </w:rPr>
              <w:t>8</w:t>
            </w:r>
            <w:r w:rsidRPr="00C836EF">
              <w:rPr>
                <w:noProof/>
                <w:webHidden/>
                <w:sz w:val="24"/>
              </w:rPr>
              <w:fldChar w:fldCharType="end"/>
            </w:r>
          </w:hyperlink>
        </w:p>
        <w:p w:rsidR="001E7B21" w:rsidRPr="00C836EF" w:rsidRDefault="001E7B21" w:rsidP="00024A02">
          <w:pPr>
            <w:jc w:val="both"/>
            <w:rPr>
              <w:sz w:val="24"/>
            </w:rPr>
          </w:pPr>
          <w:r w:rsidRPr="00C836EF">
            <w:rPr>
              <w:b/>
              <w:bCs/>
              <w:noProof/>
              <w:sz w:val="32"/>
            </w:rPr>
            <w:fldChar w:fldCharType="end"/>
          </w:r>
        </w:p>
      </w:sdtContent>
    </w:sdt>
    <w:p w:rsidR="00DC70EA" w:rsidRPr="00C836EF" w:rsidRDefault="00DC70EA" w:rsidP="00146455">
      <w:pPr>
        <w:pStyle w:val="Heading1"/>
        <w:jc w:val="both"/>
        <w:rPr>
          <w:sz w:val="32"/>
        </w:rPr>
      </w:pPr>
    </w:p>
    <w:p w:rsidR="00DC70EA" w:rsidRDefault="00DC70EA" w:rsidP="00DC70EA"/>
    <w:p w:rsidR="0021233F" w:rsidRDefault="0021233F" w:rsidP="00146455">
      <w:pPr>
        <w:pStyle w:val="Heading1"/>
        <w:jc w:val="both"/>
      </w:pPr>
      <w:bookmarkStart w:id="0" w:name="_Toc476064475"/>
    </w:p>
    <w:p w:rsidR="0021233F" w:rsidRPr="0021233F" w:rsidRDefault="0021233F" w:rsidP="0021233F"/>
    <w:p w:rsidR="0021233F" w:rsidRDefault="0021233F" w:rsidP="00146455">
      <w:pPr>
        <w:pStyle w:val="Heading1"/>
        <w:jc w:val="both"/>
      </w:pPr>
    </w:p>
    <w:p w:rsidR="00C836EF" w:rsidRPr="00C836EF" w:rsidRDefault="00C836EF" w:rsidP="00C836EF"/>
    <w:p w:rsidR="001E7B21" w:rsidRDefault="00146455" w:rsidP="00146455">
      <w:pPr>
        <w:pStyle w:val="Heading1"/>
        <w:jc w:val="both"/>
      </w:pPr>
      <w:r>
        <w:t>Background</w:t>
      </w:r>
      <w:bookmarkEnd w:id="0"/>
    </w:p>
    <w:p w:rsidR="00146455" w:rsidRDefault="00146455" w:rsidP="00146455">
      <w:pPr>
        <w:pStyle w:val="Heading2"/>
        <w:jc w:val="both"/>
      </w:pPr>
      <w:bookmarkStart w:id="1" w:name="_Toc476064476"/>
      <w:r>
        <w:t>Definitions</w:t>
      </w:r>
      <w:bookmarkEnd w:id="1"/>
    </w:p>
    <w:p w:rsidR="00146455" w:rsidRPr="00146455" w:rsidRDefault="00146455" w:rsidP="00146455">
      <w:pPr>
        <w:jc w:val="both"/>
        <w:rPr>
          <w:rFonts w:asciiTheme="majorHAnsi" w:hAnsiTheme="majorHAnsi"/>
        </w:rPr>
      </w:pPr>
      <w:r w:rsidRPr="00146455">
        <w:rPr>
          <w:rFonts w:asciiTheme="majorHAnsi" w:hAnsiTheme="majorHAnsi"/>
          <w:b/>
        </w:rPr>
        <w:t>SEXUAL ORIENTATION</w:t>
      </w:r>
      <w:r w:rsidR="00803FD7">
        <w:rPr>
          <w:rStyle w:val="FootnoteReference"/>
          <w:rFonts w:asciiTheme="majorHAnsi" w:hAnsiTheme="majorHAnsi"/>
          <w:b/>
        </w:rPr>
        <w:footnoteReference w:id="1"/>
      </w:r>
      <w:r w:rsidRPr="00146455">
        <w:rPr>
          <w:rFonts w:asciiTheme="majorHAnsi" w:hAnsiTheme="majorHAnsi"/>
        </w:rPr>
        <w:t xml:space="preserve"> refers to a person’s physical, romantic and/or emotional attraction towards other people. Most people have a sexual orientation, which forms an integral part of their </w:t>
      </w:r>
      <w:r w:rsidRPr="00146455">
        <w:rPr>
          <w:rFonts w:asciiTheme="majorHAnsi" w:hAnsiTheme="majorHAnsi"/>
        </w:rPr>
        <w:lastRenderedPageBreak/>
        <w:t xml:space="preserve">identity. Homosexual people are attracted to individuals of the same sex as themselves. Heterosexual people are attracted to individuals of a different sex from themselves. Bisexual people may be attracted to individuals of the same or different sex. Sexual orientation is not related to gender identity. </w:t>
      </w:r>
    </w:p>
    <w:p w:rsidR="00146455" w:rsidRPr="00146455" w:rsidRDefault="00146455" w:rsidP="00146455">
      <w:pPr>
        <w:jc w:val="both"/>
        <w:rPr>
          <w:rFonts w:asciiTheme="majorHAnsi" w:hAnsiTheme="majorHAnsi"/>
        </w:rPr>
      </w:pPr>
      <w:r w:rsidRPr="00146455">
        <w:rPr>
          <w:rFonts w:asciiTheme="majorHAnsi" w:hAnsiTheme="majorHAnsi"/>
          <w:b/>
        </w:rPr>
        <w:t>GENDER IDENTITY</w:t>
      </w:r>
      <w:r w:rsidRPr="00146455">
        <w:rPr>
          <w:rFonts w:asciiTheme="majorHAnsi" w:hAnsiTheme="majorHAnsi"/>
        </w:rPr>
        <w:t xml:space="preserve"> reflects a deeply felt sense of one’s own gender, which is how a person identifies as being masculine or feminine, neither or both, or a combination. A person’s gender identity is typically consistent with the sex assigned to them at birth, usually based on the presenting genitals. Transgender people have an inconsistency between their sense of their own gender and the sex they were assigned at birth. In some cases, their appearance, mannerisms and other outward characteristics may conflict with society’s expectations of gender-normative </w:t>
      </w:r>
      <w:proofErr w:type="spellStart"/>
      <w:r w:rsidRPr="00146455">
        <w:rPr>
          <w:rFonts w:asciiTheme="majorHAnsi" w:hAnsiTheme="majorHAnsi"/>
        </w:rPr>
        <w:t>behaviour</w:t>
      </w:r>
      <w:proofErr w:type="spellEnd"/>
      <w:r w:rsidRPr="00146455">
        <w:rPr>
          <w:rFonts w:asciiTheme="majorHAnsi" w:hAnsiTheme="majorHAnsi"/>
        </w:rPr>
        <w:t xml:space="preserve">. </w:t>
      </w:r>
    </w:p>
    <w:p w:rsidR="00146455" w:rsidRPr="00146455" w:rsidRDefault="00146455" w:rsidP="00146455">
      <w:pPr>
        <w:jc w:val="both"/>
        <w:rPr>
          <w:rFonts w:asciiTheme="majorHAnsi" w:hAnsiTheme="majorHAnsi"/>
        </w:rPr>
      </w:pPr>
      <w:r w:rsidRPr="00146455">
        <w:rPr>
          <w:rFonts w:asciiTheme="majorHAnsi" w:hAnsiTheme="majorHAnsi"/>
        </w:rPr>
        <w:t xml:space="preserve">An </w:t>
      </w:r>
      <w:r w:rsidRPr="00146455">
        <w:rPr>
          <w:rFonts w:asciiTheme="majorHAnsi" w:hAnsiTheme="majorHAnsi"/>
          <w:b/>
        </w:rPr>
        <w:t>INTERSEX</w:t>
      </w:r>
      <w:r w:rsidRPr="00146455">
        <w:rPr>
          <w:rFonts w:asciiTheme="majorHAnsi" w:hAnsiTheme="majorHAnsi"/>
        </w:rPr>
        <w:t xml:space="preserve"> person is born with sexual anatomy, reproductive organs, and/or chromosome patterns that do not fit the typical definition of male or female. This may be apparent at birth or become so later in life. An intersex person may identify as male or female or as neither. Intersex status is not about sexual orientation or gender identity: intersex people experience the same range of sexual orientations and gender identities as non-intersex people. It is important to note that intersex people are also frequently subjected to other kinds of human rights violations</w:t>
      </w:r>
      <w:r>
        <w:rPr>
          <w:rFonts w:asciiTheme="majorHAnsi" w:hAnsiTheme="majorHAnsi"/>
        </w:rPr>
        <w:t>, such as</w:t>
      </w:r>
      <w:r w:rsidRPr="00146455">
        <w:rPr>
          <w:rFonts w:asciiTheme="majorHAnsi" w:hAnsiTheme="majorHAnsi"/>
        </w:rPr>
        <w:t xml:space="preserve"> non-medically necessary surgery in infancy, leading to sterility, without informed consent of either the person in question or their guardians.</w:t>
      </w:r>
    </w:p>
    <w:p w:rsidR="00146455" w:rsidRDefault="003D3ACB" w:rsidP="00146455">
      <w:pPr>
        <w:pStyle w:val="Heading2"/>
        <w:jc w:val="both"/>
      </w:pPr>
      <w:bookmarkStart w:id="2" w:name="_Toc476064477"/>
      <w:r>
        <w:t>Socio-legal</w:t>
      </w:r>
      <w:r w:rsidR="00146455">
        <w:t xml:space="preserve"> framework of Sri Lanka</w:t>
      </w:r>
      <w:r w:rsidR="00261D7E">
        <w:t xml:space="preserve"> in relation to sexual orientation and gender identity</w:t>
      </w:r>
      <w:bookmarkEnd w:id="2"/>
    </w:p>
    <w:p w:rsidR="00DC70EA" w:rsidRDefault="00C836EF" w:rsidP="00DC70EA">
      <w:pPr>
        <w:spacing w:after="0"/>
        <w:jc w:val="both"/>
        <w:rPr>
          <w:rFonts w:asciiTheme="majorHAnsi" w:hAnsiTheme="majorHAnsi"/>
        </w:rPr>
      </w:pPr>
      <w:r>
        <w:rPr>
          <w:rFonts w:asciiTheme="majorHAnsi" w:hAnsiTheme="majorHAnsi"/>
        </w:rPr>
        <w:t>Article 12</w:t>
      </w:r>
      <w:r w:rsidR="0020558E" w:rsidRPr="00803FD7">
        <w:rPr>
          <w:rFonts w:asciiTheme="majorHAnsi" w:hAnsiTheme="majorHAnsi"/>
        </w:rPr>
        <w:t>(2)</w:t>
      </w:r>
      <w:r>
        <w:rPr>
          <w:rFonts w:asciiTheme="majorHAnsi" w:hAnsiTheme="majorHAnsi"/>
        </w:rPr>
        <w:t xml:space="preserve"> </w:t>
      </w:r>
      <w:r w:rsidR="0020558E" w:rsidRPr="00803FD7">
        <w:rPr>
          <w:rFonts w:asciiTheme="majorHAnsi" w:hAnsiTheme="majorHAnsi"/>
        </w:rPr>
        <w:t>of the Constitution of the Democratic Socialist Republic of Sri Lanka [hereinafter referred to as the ‘Constitution’] prohibits the discrimination of any citizen on numerous grounds including, sex</w:t>
      </w:r>
      <w:r w:rsidR="0020558E" w:rsidRPr="00803FD7">
        <w:rPr>
          <w:rStyle w:val="FootnoteReference"/>
          <w:rFonts w:asciiTheme="majorHAnsi" w:hAnsiTheme="majorHAnsi"/>
        </w:rPr>
        <w:footnoteReference w:id="2"/>
      </w:r>
      <w:r w:rsidR="0020558E" w:rsidRPr="00803FD7">
        <w:rPr>
          <w:rFonts w:asciiTheme="majorHAnsi" w:hAnsiTheme="majorHAnsi"/>
        </w:rPr>
        <w:t>.</w:t>
      </w:r>
      <w:r w:rsidR="00261D7E" w:rsidRPr="00803FD7">
        <w:rPr>
          <w:rFonts w:asciiTheme="majorHAnsi" w:hAnsiTheme="majorHAnsi"/>
        </w:rPr>
        <w:t xml:space="preserve"> </w:t>
      </w:r>
      <w:r w:rsidR="0020558E" w:rsidRPr="00803FD7">
        <w:rPr>
          <w:rFonts w:asciiTheme="majorHAnsi" w:hAnsiTheme="majorHAnsi"/>
        </w:rPr>
        <w:t xml:space="preserve">Further Article 12 (4) of the Constitution states, </w:t>
      </w:r>
    </w:p>
    <w:p w:rsidR="0020558E" w:rsidRPr="00DC70EA" w:rsidRDefault="0020558E" w:rsidP="00DC70EA">
      <w:pPr>
        <w:spacing w:after="0"/>
        <w:jc w:val="both"/>
        <w:rPr>
          <w:rFonts w:asciiTheme="majorHAnsi" w:hAnsiTheme="majorHAnsi"/>
          <w:i/>
        </w:rPr>
      </w:pPr>
      <w:r w:rsidRPr="00DC70EA">
        <w:rPr>
          <w:rFonts w:asciiTheme="majorHAnsi" w:hAnsiTheme="majorHAnsi"/>
          <w:i/>
        </w:rPr>
        <w:t>“Nothing in this Article shall prevent special provision being made, by law, subordinate legislation or executive action, for the advancement of women, children or disabled persons”</w:t>
      </w:r>
      <w:r w:rsidR="00146455" w:rsidRPr="00DC70EA">
        <w:rPr>
          <w:rFonts w:asciiTheme="majorHAnsi" w:hAnsiTheme="majorHAnsi"/>
          <w:i/>
        </w:rPr>
        <w:t xml:space="preserve">. </w:t>
      </w:r>
    </w:p>
    <w:p w:rsidR="00DC70EA" w:rsidRPr="00803FD7" w:rsidRDefault="00DC70EA" w:rsidP="00DC70EA">
      <w:pPr>
        <w:spacing w:after="0"/>
        <w:jc w:val="both"/>
        <w:rPr>
          <w:rFonts w:asciiTheme="majorHAnsi" w:hAnsiTheme="majorHAnsi"/>
        </w:rPr>
      </w:pPr>
    </w:p>
    <w:p w:rsidR="00261D7E" w:rsidRPr="00803FD7" w:rsidRDefault="00261D7E" w:rsidP="00261D7E">
      <w:pPr>
        <w:jc w:val="both"/>
        <w:rPr>
          <w:rFonts w:asciiTheme="majorHAnsi" w:hAnsiTheme="majorHAnsi"/>
        </w:rPr>
      </w:pPr>
      <w:r w:rsidRPr="00803FD7">
        <w:rPr>
          <w:rFonts w:asciiTheme="majorHAnsi" w:hAnsiTheme="majorHAnsi"/>
        </w:rPr>
        <w:t>Sri Lanka inherited colonial laws passed during British rule that</w:t>
      </w:r>
      <w:r w:rsidR="005463B1" w:rsidRPr="00803FD7">
        <w:rPr>
          <w:rFonts w:asciiTheme="majorHAnsi" w:hAnsiTheme="majorHAnsi"/>
        </w:rPr>
        <w:t xml:space="preserve"> reflect the British Empire’s</w:t>
      </w:r>
      <w:r w:rsidRPr="00803FD7">
        <w:rPr>
          <w:rFonts w:asciiTheme="majorHAnsi" w:hAnsiTheme="majorHAnsi"/>
        </w:rPr>
        <w:t xml:space="preserve"> efforts to impose Victorian values on its colonies. These laws criminalize same-sex sexual conduct and are </w:t>
      </w:r>
      <w:r w:rsidR="00C836EF">
        <w:rPr>
          <w:rFonts w:asciiTheme="majorHAnsi" w:hAnsiTheme="majorHAnsi"/>
        </w:rPr>
        <w:t>the</w:t>
      </w:r>
      <w:r w:rsidRPr="00803FD7">
        <w:rPr>
          <w:rFonts w:asciiTheme="majorHAnsi" w:hAnsiTheme="majorHAnsi"/>
        </w:rPr>
        <w:t xml:space="preserve"> basis upon which individuals and children are </w:t>
      </w:r>
      <w:proofErr w:type="gramStart"/>
      <w:r w:rsidRPr="00803FD7">
        <w:rPr>
          <w:rFonts w:asciiTheme="majorHAnsi" w:hAnsiTheme="majorHAnsi"/>
        </w:rPr>
        <w:t>persecuted  on</w:t>
      </w:r>
      <w:proofErr w:type="gramEnd"/>
      <w:r w:rsidRPr="00803FD7">
        <w:rPr>
          <w:rFonts w:asciiTheme="majorHAnsi" w:hAnsiTheme="majorHAnsi"/>
        </w:rPr>
        <w:t xml:space="preserve"> grounds of their real or perceived sexual orientation and gender identity and expression</w:t>
      </w:r>
      <w:r w:rsidR="006A0A9D" w:rsidRPr="00803FD7">
        <w:rPr>
          <w:rFonts w:asciiTheme="majorHAnsi" w:hAnsiTheme="majorHAnsi"/>
        </w:rPr>
        <w:t>.</w:t>
      </w:r>
    </w:p>
    <w:p w:rsidR="00261D7E" w:rsidRPr="00803FD7" w:rsidRDefault="00261D7E" w:rsidP="00261D7E">
      <w:pPr>
        <w:jc w:val="both"/>
        <w:rPr>
          <w:rFonts w:asciiTheme="majorHAnsi" w:hAnsiTheme="majorHAnsi"/>
        </w:rPr>
      </w:pPr>
      <w:r w:rsidRPr="00803FD7">
        <w:rPr>
          <w:rFonts w:asciiTheme="majorHAnsi" w:hAnsiTheme="majorHAnsi"/>
        </w:rPr>
        <w:t>Section 365 of the Sri Lankan Penal Code makes it a criminal offense to engage in “</w:t>
      </w:r>
      <w:r w:rsidRPr="00DC70EA">
        <w:rPr>
          <w:rFonts w:asciiTheme="majorHAnsi" w:hAnsiTheme="majorHAnsi"/>
          <w:i/>
        </w:rPr>
        <w:t>carnal</w:t>
      </w:r>
      <w:r w:rsidR="006A0A9D" w:rsidRPr="00DC70EA">
        <w:rPr>
          <w:rFonts w:asciiTheme="majorHAnsi" w:hAnsiTheme="majorHAnsi"/>
          <w:i/>
        </w:rPr>
        <w:t xml:space="preserve"> </w:t>
      </w:r>
      <w:r w:rsidRPr="00DC70EA">
        <w:rPr>
          <w:rFonts w:asciiTheme="majorHAnsi" w:hAnsiTheme="majorHAnsi"/>
          <w:i/>
        </w:rPr>
        <w:t>intercourse against the order of nature</w:t>
      </w:r>
      <w:r w:rsidRPr="00803FD7">
        <w:rPr>
          <w:rFonts w:asciiTheme="majorHAnsi" w:hAnsiTheme="majorHAnsi"/>
        </w:rPr>
        <w:t>”</w:t>
      </w:r>
      <w:r w:rsidR="006A0A9D" w:rsidRPr="00803FD7">
        <w:rPr>
          <w:rStyle w:val="FootnoteReference"/>
          <w:rFonts w:asciiTheme="majorHAnsi" w:hAnsiTheme="majorHAnsi"/>
        </w:rPr>
        <w:footnoteReference w:id="3"/>
      </w:r>
      <w:r w:rsidR="00DC70EA">
        <w:rPr>
          <w:rFonts w:asciiTheme="majorHAnsi" w:hAnsiTheme="majorHAnsi"/>
        </w:rPr>
        <w:t>.</w:t>
      </w:r>
      <w:r w:rsidRPr="00803FD7">
        <w:rPr>
          <w:rFonts w:asciiTheme="majorHAnsi" w:hAnsiTheme="majorHAnsi"/>
        </w:rPr>
        <w:t xml:space="preserve"> The penalty for violation of § 365 is up to ten years</w:t>
      </w:r>
      <w:r w:rsidR="005463B1" w:rsidRPr="00803FD7">
        <w:rPr>
          <w:rFonts w:asciiTheme="majorHAnsi" w:hAnsiTheme="majorHAnsi"/>
        </w:rPr>
        <w:t xml:space="preserve"> </w:t>
      </w:r>
      <w:r w:rsidR="005463B1" w:rsidRPr="00803FD7">
        <w:rPr>
          <w:rFonts w:asciiTheme="majorHAnsi" w:hAnsiTheme="majorHAnsi"/>
        </w:rPr>
        <w:lastRenderedPageBreak/>
        <w:t xml:space="preserve">imprisonment and a fine.  </w:t>
      </w:r>
      <w:r w:rsidRPr="00803FD7">
        <w:rPr>
          <w:rFonts w:asciiTheme="majorHAnsi" w:hAnsiTheme="majorHAnsi"/>
        </w:rPr>
        <w:t>Although “carnal intercourse against the order of nature” theoretically</w:t>
      </w:r>
      <w:r w:rsidR="005463B1" w:rsidRPr="00803FD7">
        <w:rPr>
          <w:rFonts w:asciiTheme="majorHAnsi" w:hAnsiTheme="majorHAnsi"/>
        </w:rPr>
        <w:t xml:space="preserve"> can be interpreted to</w:t>
      </w:r>
      <w:r w:rsidRPr="00803FD7">
        <w:rPr>
          <w:rFonts w:asciiTheme="majorHAnsi" w:hAnsiTheme="majorHAnsi"/>
        </w:rPr>
        <w:t xml:space="preserve"> include</w:t>
      </w:r>
      <w:r w:rsidR="005463B1" w:rsidRPr="00803FD7">
        <w:rPr>
          <w:rFonts w:asciiTheme="majorHAnsi" w:hAnsiTheme="majorHAnsi"/>
        </w:rPr>
        <w:t xml:space="preserve"> heterosexual</w:t>
      </w:r>
      <w:r w:rsidRPr="00803FD7">
        <w:rPr>
          <w:rFonts w:asciiTheme="majorHAnsi" w:hAnsiTheme="majorHAnsi"/>
        </w:rPr>
        <w:t xml:space="preserve"> sexual </w:t>
      </w:r>
      <w:r w:rsidR="005463B1" w:rsidRPr="00803FD7">
        <w:rPr>
          <w:rFonts w:asciiTheme="majorHAnsi" w:hAnsiTheme="majorHAnsi"/>
        </w:rPr>
        <w:t>activity</w:t>
      </w:r>
      <w:r w:rsidRPr="00803FD7">
        <w:rPr>
          <w:rFonts w:asciiTheme="majorHAnsi" w:hAnsiTheme="majorHAnsi"/>
        </w:rPr>
        <w:t>, it is widely understood to apply to</w:t>
      </w:r>
      <w:r w:rsidR="00C836EF">
        <w:rPr>
          <w:rFonts w:asciiTheme="majorHAnsi" w:hAnsiTheme="majorHAnsi"/>
        </w:rPr>
        <w:t xml:space="preserve"> solely to</w:t>
      </w:r>
      <w:r w:rsidRPr="00803FD7">
        <w:rPr>
          <w:rFonts w:asciiTheme="majorHAnsi" w:hAnsiTheme="majorHAnsi"/>
        </w:rPr>
        <w:t xml:space="preserve"> sexual acts between same-sex</w:t>
      </w:r>
      <w:r w:rsidR="005463B1" w:rsidRPr="00803FD7">
        <w:rPr>
          <w:rFonts w:asciiTheme="majorHAnsi" w:hAnsiTheme="majorHAnsi"/>
        </w:rPr>
        <w:t xml:space="preserve"> </w:t>
      </w:r>
      <w:r w:rsidRPr="00803FD7">
        <w:rPr>
          <w:rFonts w:asciiTheme="majorHAnsi" w:hAnsiTheme="majorHAnsi"/>
        </w:rPr>
        <w:t>individuals.</w:t>
      </w:r>
    </w:p>
    <w:p w:rsidR="00261D7E" w:rsidRPr="00803FD7" w:rsidRDefault="00261D7E" w:rsidP="00261D7E">
      <w:pPr>
        <w:jc w:val="both"/>
        <w:rPr>
          <w:rFonts w:asciiTheme="majorHAnsi" w:hAnsiTheme="majorHAnsi"/>
        </w:rPr>
      </w:pPr>
      <w:r w:rsidRPr="00803FD7">
        <w:rPr>
          <w:rFonts w:asciiTheme="majorHAnsi" w:hAnsiTheme="majorHAnsi"/>
        </w:rPr>
        <w:t>Section 365A of the Penal Code criminalizes “</w:t>
      </w:r>
      <w:r w:rsidRPr="00DC70EA">
        <w:rPr>
          <w:rFonts w:asciiTheme="majorHAnsi" w:hAnsiTheme="majorHAnsi"/>
          <w:i/>
        </w:rPr>
        <w:t>any act of gross ind</w:t>
      </w:r>
      <w:r w:rsidR="005463B1" w:rsidRPr="00DC70EA">
        <w:rPr>
          <w:rFonts w:asciiTheme="majorHAnsi" w:hAnsiTheme="majorHAnsi"/>
          <w:i/>
        </w:rPr>
        <w:t xml:space="preserve">ecency with another person. </w:t>
      </w:r>
      <w:r w:rsidRPr="00DC70EA">
        <w:rPr>
          <w:rFonts w:asciiTheme="majorHAnsi" w:hAnsiTheme="majorHAnsi"/>
          <w:i/>
        </w:rPr>
        <w:t>Violation of § 365A is punishable by up to two ye</w:t>
      </w:r>
      <w:r w:rsidR="005463B1" w:rsidRPr="00DC70EA">
        <w:rPr>
          <w:rFonts w:asciiTheme="majorHAnsi" w:hAnsiTheme="majorHAnsi"/>
          <w:i/>
        </w:rPr>
        <w:t>ars in prison, a fine, or both</w:t>
      </w:r>
      <w:r w:rsidR="005463B1" w:rsidRPr="00DC70EA">
        <w:rPr>
          <w:rStyle w:val="FootnoteReference"/>
          <w:rFonts w:asciiTheme="majorHAnsi" w:hAnsiTheme="majorHAnsi"/>
          <w:i/>
        </w:rPr>
        <w:footnoteReference w:id="4"/>
      </w:r>
      <w:r w:rsidR="005463B1" w:rsidRPr="00803FD7">
        <w:rPr>
          <w:rFonts w:asciiTheme="majorHAnsi" w:hAnsiTheme="majorHAnsi"/>
        </w:rPr>
        <w:t>.</w:t>
      </w:r>
    </w:p>
    <w:p w:rsidR="005463B1" w:rsidRPr="00803FD7" w:rsidRDefault="005463B1" w:rsidP="00261D7E">
      <w:pPr>
        <w:jc w:val="both"/>
        <w:rPr>
          <w:rFonts w:asciiTheme="majorHAnsi" w:hAnsiTheme="majorHAnsi"/>
        </w:rPr>
      </w:pPr>
      <w:r w:rsidRPr="00803FD7">
        <w:rPr>
          <w:rFonts w:asciiTheme="majorHAnsi" w:hAnsiTheme="majorHAnsi"/>
        </w:rPr>
        <w:t>Section 399</w:t>
      </w:r>
      <w:r w:rsidR="003D3ACB" w:rsidRPr="00803FD7">
        <w:rPr>
          <w:rFonts w:asciiTheme="majorHAnsi" w:hAnsiTheme="majorHAnsi"/>
        </w:rPr>
        <w:t xml:space="preserve"> </w:t>
      </w:r>
      <w:r w:rsidRPr="00803FD7">
        <w:rPr>
          <w:rFonts w:asciiTheme="majorHAnsi" w:hAnsiTheme="majorHAnsi"/>
        </w:rPr>
        <w:t>of the Penal Code</w:t>
      </w:r>
      <w:r w:rsidR="003D3ACB" w:rsidRPr="00803FD7">
        <w:rPr>
          <w:rFonts w:asciiTheme="majorHAnsi" w:hAnsiTheme="majorHAnsi"/>
        </w:rPr>
        <w:t xml:space="preserve"> dealing with impersonation</w:t>
      </w:r>
      <w:r w:rsidR="003D3ACB" w:rsidRPr="00803FD7">
        <w:rPr>
          <w:rStyle w:val="FootnoteReference"/>
          <w:rFonts w:asciiTheme="majorHAnsi" w:hAnsiTheme="majorHAnsi"/>
        </w:rPr>
        <w:t xml:space="preserve"> </w:t>
      </w:r>
      <w:r w:rsidR="003D3ACB" w:rsidRPr="00803FD7">
        <w:rPr>
          <w:rStyle w:val="FootnoteReference"/>
          <w:rFonts w:asciiTheme="majorHAnsi" w:hAnsiTheme="majorHAnsi"/>
        </w:rPr>
        <w:footnoteReference w:id="5"/>
      </w:r>
      <w:r w:rsidRPr="00803FD7">
        <w:rPr>
          <w:rFonts w:asciiTheme="majorHAnsi" w:hAnsiTheme="majorHAnsi"/>
        </w:rPr>
        <w:t xml:space="preserve"> </w:t>
      </w:r>
      <w:r w:rsidR="003D3ACB" w:rsidRPr="00803FD7">
        <w:rPr>
          <w:rFonts w:asciiTheme="majorHAnsi" w:hAnsiTheme="majorHAnsi"/>
        </w:rPr>
        <w:t xml:space="preserve">is often used by the Police to arrest and harass transgender persons merely on the basis of their gender expressions being construed as misleading the public. </w:t>
      </w:r>
    </w:p>
    <w:p w:rsidR="003D3ACB" w:rsidRDefault="003D3ACB" w:rsidP="00261D7E">
      <w:pPr>
        <w:jc w:val="both"/>
        <w:rPr>
          <w:rFonts w:asciiTheme="majorHAnsi" w:hAnsiTheme="majorHAnsi"/>
        </w:rPr>
      </w:pPr>
      <w:r w:rsidRPr="00803FD7">
        <w:rPr>
          <w:rFonts w:asciiTheme="majorHAnsi" w:hAnsiTheme="majorHAnsi"/>
        </w:rPr>
        <w:t>These provisions of the Penal Code contravene Article 12 of the Constitution but cannot be reviewed for unconstitutionality due to the retention of Article 16 of the Constitution which prohibits the judicial review of legislation</w:t>
      </w:r>
      <w:r w:rsidR="00DC70EA">
        <w:rPr>
          <w:rStyle w:val="FootnoteReference"/>
          <w:rFonts w:asciiTheme="majorHAnsi" w:hAnsiTheme="majorHAnsi"/>
        </w:rPr>
        <w:footnoteReference w:id="6"/>
      </w:r>
      <w:r w:rsidRPr="00803FD7">
        <w:rPr>
          <w:rFonts w:asciiTheme="majorHAnsi" w:hAnsiTheme="majorHAnsi"/>
        </w:rPr>
        <w:t xml:space="preserve">. </w:t>
      </w:r>
    </w:p>
    <w:p w:rsidR="00803FD7" w:rsidRPr="00803FD7" w:rsidRDefault="00DC70EA" w:rsidP="00261D7E">
      <w:pPr>
        <w:jc w:val="both"/>
        <w:rPr>
          <w:rFonts w:asciiTheme="majorHAnsi" w:hAnsiTheme="majorHAnsi"/>
        </w:rPr>
      </w:pPr>
      <w:r>
        <w:rPr>
          <w:rFonts w:asciiTheme="majorHAnsi" w:hAnsiTheme="majorHAnsi"/>
        </w:rPr>
        <w:t xml:space="preserve">Currently, Sri Lankan society is a conservative patriarchal structure following strict gender roles and upholding strict gender stereotypes.  Only hetero-normativity and the concept of </w:t>
      </w:r>
      <w:proofErr w:type="gramStart"/>
      <w:r>
        <w:rPr>
          <w:rFonts w:asciiTheme="majorHAnsi" w:hAnsiTheme="majorHAnsi"/>
        </w:rPr>
        <w:t>a  nuclear</w:t>
      </w:r>
      <w:proofErr w:type="gramEnd"/>
      <w:r>
        <w:rPr>
          <w:rFonts w:asciiTheme="majorHAnsi" w:hAnsiTheme="majorHAnsi"/>
        </w:rPr>
        <w:t xml:space="preserve"> family is socially accepted and promoted. These concepts prevail even in the face of practical</w:t>
      </w:r>
      <w:r w:rsidR="00024A02">
        <w:rPr>
          <w:rFonts w:asciiTheme="majorHAnsi" w:hAnsiTheme="majorHAnsi"/>
        </w:rPr>
        <w:t xml:space="preserve"> realities. Deviations from the norm are deemed to be loss of face and disgrace to families which often results in physical and psychological abuse of persons and children to force then to conform and meet social expectations.</w:t>
      </w:r>
    </w:p>
    <w:p w:rsidR="001E7B21" w:rsidRDefault="001E7B21" w:rsidP="00146455">
      <w:pPr>
        <w:pStyle w:val="Heading1"/>
        <w:jc w:val="both"/>
      </w:pPr>
      <w:bookmarkStart w:id="3" w:name="_Toc476064478"/>
      <w:r>
        <w:lastRenderedPageBreak/>
        <w:t>General Principles</w:t>
      </w:r>
      <w:r w:rsidR="003D3ACB">
        <w:t xml:space="preserve"> </w:t>
      </w:r>
      <w:r w:rsidR="00024A02">
        <w:t xml:space="preserve">and the Rights of Children </w:t>
      </w:r>
      <w:proofErr w:type="gramStart"/>
      <w:r w:rsidR="00024A02">
        <w:t>Of</w:t>
      </w:r>
      <w:proofErr w:type="gramEnd"/>
      <w:r w:rsidR="00024A02">
        <w:t xml:space="preserve"> Diverse Sexual Orientations and Gender Identities in </w:t>
      </w:r>
      <w:r w:rsidR="003D3ACB">
        <w:t>Sri Lanka</w:t>
      </w:r>
      <w:bookmarkEnd w:id="3"/>
    </w:p>
    <w:p w:rsidR="001E7B21" w:rsidRDefault="001E7B21" w:rsidP="00024A02">
      <w:pPr>
        <w:pStyle w:val="Heading2"/>
      </w:pPr>
      <w:bookmarkStart w:id="4" w:name="_Toc476064479"/>
      <w:r>
        <w:t>Case studies</w:t>
      </w:r>
      <w:bookmarkEnd w:id="4"/>
    </w:p>
    <w:p w:rsidR="00D07BCC" w:rsidRDefault="00111AFC" w:rsidP="00024A02">
      <w:pPr>
        <w:pStyle w:val="Heading3"/>
      </w:pPr>
      <w:bookmarkStart w:id="5" w:name="_Toc476064480"/>
      <w:r>
        <w:t>Sources</w:t>
      </w:r>
      <w:bookmarkEnd w:id="5"/>
    </w:p>
    <w:p w:rsidR="00556BA6" w:rsidRDefault="00111AFC" w:rsidP="00146455">
      <w:pPr>
        <w:jc w:val="both"/>
      </w:pPr>
      <w:r>
        <w:t xml:space="preserve">This section contains a few incidents of violence and discrimination of children on the basis of their sexual orientation and gender identity. There is great </w:t>
      </w:r>
      <w:r w:rsidR="00556BA6">
        <w:t>difficulty in obtaining information about children who have faced discriminated/abused during their childhood due to their sexual orientation and gender identity.</w:t>
      </w:r>
    </w:p>
    <w:p w:rsidR="00111AFC" w:rsidRDefault="00556BA6" w:rsidP="00146455">
      <w:pPr>
        <w:jc w:val="both"/>
      </w:pPr>
      <w:r>
        <w:t xml:space="preserve">Further there is a </w:t>
      </w:r>
      <w:r w:rsidR="00111AFC">
        <w:t xml:space="preserve">reluctance to disclose </w:t>
      </w:r>
      <w:r>
        <w:t>childhood violations, even in adulthood due to the following reasons.</w:t>
      </w:r>
    </w:p>
    <w:p w:rsidR="00111AFC" w:rsidRDefault="00111AFC" w:rsidP="00146455">
      <w:pPr>
        <w:pStyle w:val="ListParagraph"/>
        <w:numPr>
          <w:ilvl w:val="0"/>
          <w:numId w:val="2"/>
        </w:numPr>
        <w:jc w:val="both"/>
      </w:pPr>
      <w:r>
        <w:t xml:space="preserve">Children in Sri Lanka lack knowledge of their rights, and the systems to help them. </w:t>
      </w:r>
    </w:p>
    <w:p w:rsidR="00111AFC" w:rsidRDefault="00111AFC" w:rsidP="00146455">
      <w:pPr>
        <w:pStyle w:val="ListParagraph"/>
        <w:numPr>
          <w:ilvl w:val="0"/>
          <w:numId w:val="2"/>
        </w:numPr>
        <w:jc w:val="both"/>
      </w:pPr>
      <w:r>
        <w:t>In many instances, the guardians of children of diverse sexual orientations and gender identities, themselves</w:t>
      </w:r>
      <w:r w:rsidR="00556BA6">
        <w:t>,</w:t>
      </w:r>
      <w:r>
        <w:t xml:space="preserve"> </w:t>
      </w:r>
      <w:r w:rsidRPr="00AE24A5">
        <w:t>hav</w:t>
      </w:r>
      <w:r>
        <w:t>e committed the abuses due to which reason the children are prevented from seeking help for violations.</w:t>
      </w:r>
    </w:p>
    <w:p w:rsidR="00111AFC" w:rsidRDefault="00111AFC" w:rsidP="00146455">
      <w:pPr>
        <w:pStyle w:val="ListParagraph"/>
        <w:numPr>
          <w:ilvl w:val="0"/>
          <w:numId w:val="2"/>
        </w:numPr>
        <w:jc w:val="both"/>
      </w:pPr>
      <w:r>
        <w:t>Even once they reach adulthood, children who faced discrimination and violations have feel</w:t>
      </w:r>
      <w:r w:rsidR="00556BA6">
        <w:t>ings of self-loathing, low self-</w:t>
      </w:r>
      <w:r>
        <w:t xml:space="preserve">esteem and shame which </w:t>
      </w:r>
      <w:proofErr w:type="gramStart"/>
      <w:r>
        <w:t>makes</w:t>
      </w:r>
      <w:proofErr w:type="gramEnd"/>
      <w:r>
        <w:t xml:space="preserve"> them reluctant to disclose such traumatic incidents.</w:t>
      </w:r>
    </w:p>
    <w:p w:rsidR="00556BA6" w:rsidRDefault="00997915" w:rsidP="00146455">
      <w:pPr>
        <w:jc w:val="both"/>
      </w:pPr>
      <w:r>
        <w:t>The cases studies contained herein were obtained from the following sources where the survivors of childhood abuse and discrimination have consented to their experiences being recorded and reproduced.</w:t>
      </w:r>
    </w:p>
    <w:p w:rsidR="00997915" w:rsidRDefault="00997915" w:rsidP="00146455">
      <w:pPr>
        <w:pStyle w:val="ListParagraph"/>
        <w:numPr>
          <w:ilvl w:val="0"/>
          <w:numId w:val="3"/>
        </w:numPr>
        <w:jc w:val="both"/>
      </w:pPr>
      <w:r>
        <w:t xml:space="preserve">Looking at the discrimination faced by LGBT persons in Sri Lanka: An analysis based on case studies gathered through the project ‘Supporting, enhancing and empowering LGBTIQ persons in 2 districts of Sri Lanka’ conducted under the Support for Professional and Institutional Capacity Enhancement (SPICE) Project, USAID in Sri Lanka. Published by EQUAL GROUND </w:t>
      </w:r>
      <w:proofErr w:type="gramStart"/>
      <w:r>
        <w:t xml:space="preserve">in  </w:t>
      </w:r>
      <w:r w:rsidR="00091D38">
        <w:t>2014</w:t>
      </w:r>
      <w:proofErr w:type="gramEnd"/>
      <w:r w:rsidR="00091D38">
        <w:t>.</w:t>
      </w:r>
    </w:p>
    <w:p w:rsidR="00091D38" w:rsidRDefault="00091D38" w:rsidP="00146455">
      <w:pPr>
        <w:pStyle w:val="ListParagraph"/>
        <w:numPr>
          <w:ilvl w:val="0"/>
          <w:numId w:val="3"/>
        </w:numPr>
        <w:jc w:val="both"/>
      </w:pPr>
      <w:r>
        <w:t>Struggling against homophobic violence and hate crimes: A report on the documentation and research conducted by EQUAL GORUND April-June 2011</w:t>
      </w:r>
    </w:p>
    <w:p w:rsidR="00091D38" w:rsidRDefault="00091D38" w:rsidP="00146455">
      <w:pPr>
        <w:pStyle w:val="ListParagraph"/>
        <w:numPr>
          <w:ilvl w:val="0"/>
          <w:numId w:val="3"/>
        </w:numPr>
        <w:jc w:val="both"/>
      </w:pPr>
      <w:r>
        <w:t>Records obtained from the EQUAL GROUND counseling line for LGBTIQ persons</w:t>
      </w:r>
    </w:p>
    <w:p w:rsidR="00111AFC" w:rsidRDefault="00111AFC" w:rsidP="00024A02">
      <w:pPr>
        <w:pStyle w:val="Heading3"/>
      </w:pPr>
      <w:r>
        <w:t xml:space="preserve"> </w:t>
      </w:r>
    </w:p>
    <w:p w:rsidR="00F87CA6" w:rsidRDefault="00F87CA6" w:rsidP="00024A02">
      <w:pPr>
        <w:pStyle w:val="Heading3"/>
      </w:pPr>
      <w:bookmarkStart w:id="6" w:name="_Toc476064481"/>
      <w:r>
        <w:t xml:space="preserve">Incidents of violence </w:t>
      </w:r>
      <w:r w:rsidR="0020558E">
        <w:t xml:space="preserve">and discrimination </w:t>
      </w:r>
      <w:r>
        <w:t>against children on the basis of their sexual orientation and gender identity</w:t>
      </w:r>
      <w:bookmarkEnd w:id="6"/>
    </w:p>
    <w:p w:rsidR="00F87CA6" w:rsidRDefault="00F87CA6" w:rsidP="00024A02">
      <w:pPr>
        <w:pStyle w:val="Heading4"/>
      </w:pPr>
      <w:r>
        <w:t>Case 1</w:t>
      </w:r>
    </w:p>
    <w:p w:rsidR="00F87CA6" w:rsidRDefault="00F87CA6" w:rsidP="00146455">
      <w:pPr>
        <w:jc w:val="both"/>
      </w:pPr>
      <w:r>
        <w:t xml:space="preserve">In 2009, at the age of 16, </w:t>
      </w:r>
      <w:proofErr w:type="spellStart"/>
      <w:r w:rsidR="00012E86">
        <w:t>Amal</w:t>
      </w:r>
      <w:proofErr w:type="spellEnd"/>
      <w:r w:rsidR="00556BA6">
        <w:t>, a</w:t>
      </w:r>
      <w:r>
        <w:t xml:space="preserve"> </w:t>
      </w:r>
      <w:r w:rsidR="00012E86">
        <w:t xml:space="preserve">gay boy who </w:t>
      </w:r>
      <w:r w:rsidR="00556BA6">
        <w:t xml:space="preserve">displays some </w:t>
      </w:r>
      <w:r w:rsidR="00C836EF">
        <w:t>‘</w:t>
      </w:r>
      <w:r w:rsidR="00012E86">
        <w:t>feminine</w:t>
      </w:r>
      <w:r w:rsidR="00C836EF">
        <w:t>’</w:t>
      </w:r>
      <w:r w:rsidR="00556BA6">
        <w:t xml:space="preserve"> </w:t>
      </w:r>
      <w:r w:rsidR="00C836EF">
        <w:t>mannerisms</w:t>
      </w:r>
      <w:r w:rsidR="00556BA6">
        <w:t>,</w:t>
      </w:r>
      <w:r w:rsidR="00012E86">
        <w:t xml:space="preserve"> was attendi</w:t>
      </w:r>
      <w:r w:rsidR="00556BA6">
        <w:t>ng a boys-only school in Colombo. He reported that three</w:t>
      </w:r>
      <w:r w:rsidR="00012E86">
        <w:t xml:space="preserve"> of his peers had attempted to</w:t>
      </w:r>
      <w:r w:rsidR="00556BA6">
        <w:t xml:space="preserve"> rape him due to his </w:t>
      </w:r>
      <w:r w:rsidR="00012E86">
        <w:t xml:space="preserve">mannerisms. Though he had managed to defend himself, the verbal harassment and non-sexual physical </w:t>
      </w:r>
      <w:r w:rsidR="00012E86">
        <w:lastRenderedPageBreak/>
        <w:t xml:space="preserve">abuse and bullying continued throughout his remaining time at the school. </w:t>
      </w:r>
      <w:proofErr w:type="spellStart"/>
      <w:r w:rsidR="00012E86">
        <w:t>Amal</w:t>
      </w:r>
      <w:proofErr w:type="spellEnd"/>
      <w:r w:rsidR="00012E86">
        <w:t xml:space="preserve"> did not report this incident to the school authorities as he did not want the rest of the school to discover his sexual orientation and expressed a lack of faith in the school authorities taking any action. As a result of suppressing his sexual orientation due to this experi</w:t>
      </w:r>
      <w:r w:rsidR="00556BA6">
        <w:t>ence he suffers from depression even in adulthood.</w:t>
      </w:r>
    </w:p>
    <w:p w:rsidR="00012E86" w:rsidRDefault="00012E86" w:rsidP="00024A02">
      <w:pPr>
        <w:pStyle w:val="Heading4"/>
      </w:pPr>
      <w:r>
        <w:t>Case 2</w:t>
      </w:r>
    </w:p>
    <w:p w:rsidR="00012E86" w:rsidRDefault="00012E86" w:rsidP="00146455">
      <w:pPr>
        <w:jc w:val="both"/>
      </w:pPr>
      <w:r>
        <w:t xml:space="preserve">At the age of 16, </w:t>
      </w:r>
      <w:proofErr w:type="spellStart"/>
      <w:r>
        <w:t>Kelum</w:t>
      </w:r>
      <w:proofErr w:type="spellEnd"/>
      <w:r>
        <w:t xml:space="preserve">, a bisexual 16 year old boy, was dragged to the school toilet by 2 senior students and was raped. </w:t>
      </w:r>
      <w:proofErr w:type="spellStart"/>
      <w:r>
        <w:t>Kelum</w:t>
      </w:r>
      <w:proofErr w:type="spellEnd"/>
      <w:r>
        <w:t xml:space="preserve"> did not report this incident to anyone at the time because he was ashamed on what happened to him</w:t>
      </w:r>
      <w:r w:rsidR="00C836EF">
        <w:t>.</w:t>
      </w:r>
      <w:r>
        <w:t xml:space="preserve"> As this incident was reported many years after his assault, no action could be taken against the perpetrators.</w:t>
      </w:r>
    </w:p>
    <w:p w:rsidR="00012E86" w:rsidRDefault="00173C91" w:rsidP="00024A02">
      <w:pPr>
        <w:pStyle w:val="Heading4"/>
      </w:pPr>
      <w:r>
        <w:t xml:space="preserve">Case 3 </w:t>
      </w:r>
    </w:p>
    <w:p w:rsidR="00173C91" w:rsidRDefault="00173C91" w:rsidP="00146455">
      <w:pPr>
        <w:jc w:val="both"/>
      </w:pPr>
      <w:proofErr w:type="spellStart"/>
      <w:proofErr w:type="gramStart"/>
      <w:r>
        <w:t>Sunila</w:t>
      </w:r>
      <w:proofErr w:type="spellEnd"/>
      <w:r>
        <w:t>,</w:t>
      </w:r>
      <w:proofErr w:type="gramEnd"/>
      <w:r>
        <w:t xml:space="preserve"> was born male but identifies as female. She attended a boys- only school in Colombo where s</w:t>
      </w:r>
      <w:r w:rsidR="00C836EF">
        <w:t>he was continually harassed for her ‘</w:t>
      </w:r>
      <w:r>
        <w:t>feminine</w:t>
      </w:r>
      <w:r w:rsidR="00C836EF">
        <w:t>’</w:t>
      </w:r>
      <w:r>
        <w:t xml:space="preserve"> </w:t>
      </w:r>
      <w:r w:rsidR="00C836EF">
        <w:t>mannerisms</w:t>
      </w:r>
      <w:r>
        <w:t xml:space="preserve">. One day, after school, 4 boys had attempted to publicly rip her clothes off. </w:t>
      </w:r>
      <w:proofErr w:type="spellStart"/>
      <w:r>
        <w:t>Sunila</w:t>
      </w:r>
      <w:proofErr w:type="spellEnd"/>
      <w:r>
        <w:t xml:space="preserve"> was rescued by a teacher who witnessed the incident, but no action was taken against the students.</w:t>
      </w:r>
    </w:p>
    <w:p w:rsidR="00173C91" w:rsidRDefault="00173C91" w:rsidP="00146455">
      <w:pPr>
        <w:jc w:val="both"/>
      </w:pPr>
      <w:r>
        <w:t xml:space="preserve">In her own words </w:t>
      </w:r>
      <w:proofErr w:type="spellStart"/>
      <w:r>
        <w:t>Sunila</w:t>
      </w:r>
      <w:proofErr w:type="spellEnd"/>
      <w:r>
        <w:t xml:space="preserve"> said this about her experience,</w:t>
      </w:r>
    </w:p>
    <w:p w:rsidR="00173C91" w:rsidRDefault="00173C91" w:rsidP="00146455">
      <w:pPr>
        <w:jc w:val="both"/>
      </w:pPr>
      <w:r w:rsidRPr="00173C91">
        <w:t>“I refused going to school. I was at home for 3 months and I was diagnosed with high depression. I tried to kill myself several times.”</w:t>
      </w:r>
    </w:p>
    <w:p w:rsidR="00173C91" w:rsidRDefault="00173C91" w:rsidP="00024A02">
      <w:pPr>
        <w:pStyle w:val="Heading4"/>
      </w:pPr>
      <w:r>
        <w:t>Case 4</w:t>
      </w:r>
    </w:p>
    <w:p w:rsidR="0054000F" w:rsidRPr="0054000F" w:rsidRDefault="0054000F" w:rsidP="00146455">
      <w:pPr>
        <w:jc w:val="both"/>
      </w:pPr>
      <w:proofErr w:type="spellStart"/>
      <w:r>
        <w:t>Yasmin</w:t>
      </w:r>
      <w:proofErr w:type="spellEnd"/>
      <w:r>
        <w:t xml:space="preserve"> was born male but identifies as female. Due to her gender expression, the Principal, teachers and students harassed her throughout her schooling in the Northern Province of Sri Lanka. In one instance she was not allowed to attend school by the Principal </w:t>
      </w:r>
      <w:r w:rsidR="00C836EF">
        <w:t xml:space="preserve">due to her gender identity </w:t>
      </w:r>
      <w:r>
        <w:t>and was only allowed to resume her education once the local authority in the area had insisted that she</w:t>
      </w:r>
      <w:r w:rsidR="00C836EF">
        <w:t xml:space="preserve"> be</w:t>
      </w:r>
      <w:r>
        <w:t xml:space="preserve"> allowed to complete her education. Furthermore, </w:t>
      </w:r>
      <w:proofErr w:type="spellStart"/>
      <w:r>
        <w:t>Yasmin</w:t>
      </w:r>
      <w:proofErr w:type="spellEnd"/>
      <w:r>
        <w:t xml:space="preserve"> was denied the opportunity to become a student prefect due to her gender identity. </w:t>
      </w:r>
      <w:proofErr w:type="spellStart"/>
      <w:r>
        <w:t>Yasmin</w:t>
      </w:r>
      <w:proofErr w:type="spellEnd"/>
      <w:r>
        <w:t xml:space="preserve"> confessed that she had contemplated committing suicide many times during her schooling due to the bullying and harassment and the lack of support from her family.</w:t>
      </w:r>
    </w:p>
    <w:p w:rsidR="00173C91" w:rsidRDefault="0054000F" w:rsidP="00024A02">
      <w:pPr>
        <w:pStyle w:val="Heading4"/>
      </w:pPr>
      <w:r>
        <w:t>Case 5</w:t>
      </w:r>
    </w:p>
    <w:p w:rsidR="0054000F" w:rsidRPr="0054000F" w:rsidRDefault="00556BA6" w:rsidP="00146455">
      <w:pPr>
        <w:jc w:val="both"/>
      </w:pPr>
      <w:proofErr w:type="spellStart"/>
      <w:r>
        <w:t>Akeela</w:t>
      </w:r>
      <w:proofErr w:type="spellEnd"/>
      <w:r>
        <w:t>, from the Central Province of Sri Lanka born male but identifies as female. During her schooling she was sexually abused by her school van driver and her grandfather. Subsequently, she was forced into reparative therapies (to ‘correct’ her gender identity) by her parents and has attempted to commit suicide while in school. After this attempt her school counselor had attempted to get her to change her ‘wish’ to become a girl.</w:t>
      </w:r>
    </w:p>
    <w:p w:rsidR="00883F52" w:rsidRDefault="00883F52" w:rsidP="00883F52">
      <w:pPr>
        <w:pStyle w:val="Heading2"/>
      </w:pPr>
      <w:bookmarkStart w:id="7" w:name="_Toc476064482"/>
      <w:r>
        <w:t>Analysis of compliance with General Principles</w:t>
      </w:r>
      <w:bookmarkEnd w:id="7"/>
    </w:p>
    <w:p w:rsidR="00C836EF" w:rsidRDefault="00883F52" w:rsidP="00024A02">
      <w:pPr>
        <w:jc w:val="both"/>
      </w:pPr>
      <w:r>
        <w:t xml:space="preserve">The environment within which Sri Lankan children of diverse sexual orientations and gender identities must survive is not in conformity with the Convention on the </w:t>
      </w:r>
      <w:r w:rsidR="0077097A">
        <w:t>R</w:t>
      </w:r>
      <w:r>
        <w:t xml:space="preserve">ights of the </w:t>
      </w:r>
      <w:r w:rsidR="0077097A">
        <w:t>C</w:t>
      </w:r>
      <w:r>
        <w:t>hild</w:t>
      </w:r>
      <w:r w:rsidR="0077097A">
        <w:t xml:space="preserve"> [hereinafter referred to as ‘the Convention’]</w:t>
      </w:r>
      <w:r>
        <w:t xml:space="preserve">. </w:t>
      </w:r>
    </w:p>
    <w:p w:rsidR="0077097A" w:rsidRDefault="00883F52" w:rsidP="00024A02">
      <w:pPr>
        <w:jc w:val="both"/>
      </w:pPr>
      <w:r>
        <w:lastRenderedPageBreak/>
        <w:t xml:space="preserve">For instance, the retention of the penal provisions </w:t>
      </w:r>
      <w:r w:rsidR="005C14A0">
        <w:t>explained above, institutionalize discrimination and legitimize discriminatory and in most instances, abus</w:t>
      </w:r>
      <w:r w:rsidR="0077097A">
        <w:t>ive</w:t>
      </w:r>
      <w:r w:rsidR="005C14A0">
        <w:t xml:space="preserve"> conduct towards children </w:t>
      </w:r>
      <w:r w:rsidR="0077097A">
        <w:t>of unconventional</w:t>
      </w:r>
      <w:r w:rsidR="005C14A0">
        <w:t xml:space="preserve"> sexual orientations and gender identities</w:t>
      </w:r>
      <w:r w:rsidR="0077097A">
        <w:t>,</w:t>
      </w:r>
      <w:r w:rsidR="00324712">
        <w:t xml:space="preserve"> in contravention of the non-discrimination of principle of the Convention</w:t>
      </w:r>
      <w:r w:rsidR="00324712">
        <w:rPr>
          <w:rStyle w:val="FootnoteReference"/>
        </w:rPr>
        <w:footnoteReference w:id="7"/>
      </w:r>
      <w:r w:rsidR="00324712">
        <w:t>.</w:t>
      </w:r>
      <w:r w:rsidR="0077097A">
        <w:t xml:space="preserve"> </w:t>
      </w:r>
    </w:p>
    <w:p w:rsidR="00883F52" w:rsidRDefault="0077097A" w:rsidP="00024A02">
      <w:pPr>
        <w:jc w:val="both"/>
      </w:pPr>
      <w:r>
        <w:t xml:space="preserve">Practices </w:t>
      </w:r>
      <w:r w:rsidR="00C836EF">
        <w:t xml:space="preserve">where children are forced to </w:t>
      </w:r>
      <w:r>
        <w:t>suppress their gender expressions and to conform to hetero-normative societal expecta</w:t>
      </w:r>
      <w:r w:rsidR="00C836EF">
        <w:t>tions, or ‘curative’ practices inflict</w:t>
      </w:r>
      <w:r>
        <w:t xml:space="preserve"> in deep psychological wounds that continue to ooze into adulthood. The tolerance of such practices by the State, is contrary to what the concept of ‘best interest of the child’ for it strengthens the misconception that humans (and in this instance, children) have a homogeneous identity.</w:t>
      </w:r>
    </w:p>
    <w:p w:rsidR="00024A02" w:rsidRDefault="005C14A0" w:rsidP="00024A02">
      <w:pPr>
        <w:jc w:val="both"/>
      </w:pPr>
      <w:r>
        <w:t>The criminalization of an aspect of a child’s identity results in stigma, marginalization and exclusion from society all</w:t>
      </w:r>
      <w:r w:rsidR="00C836EF">
        <w:t xml:space="preserve"> of</w:t>
      </w:r>
      <w:r>
        <w:t xml:space="preserve"> which are detrimental to the physical and mental well-being of a child.</w:t>
      </w:r>
      <w:r w:rsidR="00324712">
        <w:t xml:space="preserve"> Recent reports of research conducted on the correlation between the acceptance ( such as through the legal recognition of same sex marriage) of diversity in sexual orientation and gender identity and the drop in U.S high school student suicide rates</w:t>
      </w:r>
      <w:r w:rsidR="00324712">
        <w:rPr>
          <w:rStyle w:val="FootnoteReference"/>
        </w:rPr>
        <w:footnoteReference w:id="8"/>
      </w:r>
      <w:r w:rsidR="00324712">
        <w:t xml:space="preserve"> highlights th</w:t>
      </w:r>
      <w:r w:rsidR="00C836EF">
        <w:t>is</w:t>
      </w:r>
      <w:r w:rsidR="00324712">
        <w:t xml:space="preserve"> impact of</w:t>
      </w:r>
      <w:r w:rsidR="00C836EF">
        <w:t xml:space="preserve"> the</w:t>
      </w:r>
      <w:r w:rsidR="00324712">
        <w:t xml:space="preserve"> law on society.</w:t>
      </w:r>
    </w:p>
    <w:p w:rsidR="00F96A77" w:rsidRDefault="00F96A77" w:rsidP="00024A02">
      <w:pPr>
        <w:jc w:val="both"/>
      </w:pPr>
      <w:r>
        <w:t>General comment No. 15 (2013) on the right of the child to the enjoyment of the highest attainable standard of health</w:t>
      </w:r>
      <w:r>
        <w:rPr>
          <w:rStyle w:val="FootnoteReference"/>
        </w:rPr>
        <w:footnoteReference w:id="9"/>
      </w:r>
      <w:r>
        <w:t xml:space="preserve"> makes explicit mention of a child’s sexual orientation and gender identity being grounds upon which children can be discriminated and which undermines a child’s right to attain the highest standard of health.</w:t>
      </w:r>
      <w:r>
        <w:rPr>
          <w:rStyle w:val="FootnoteReference"/>
        </w:rPr>
        <w:footnoteReference w:id="10"/>
      </w:r>
    </w:p>
    <w:p w:rsidR="00BB5F2B" w:rsidRDefault="00BB5F2B" w:rsidP="00024A02">
      <w:pPr>
        <w:jc w:val="both"/>
      </w:pPr>
      <w:r>
        <w:t>As illustrated by the cases above, educational establishment</w:t>
      </w:r>
      <w:r w:rsidR="00F96A77">
        <w:t>s</w:t>
      </w:r>
      <w:r>
        <w:t xml:space="preserve"> and educators in the country are woefully ignorant of the concept of sexual orientat</w:t>
      </w:r>
      <w:r w:rsidR="002F0FBC">
        <w:t xml:space="preserve">ion and gender identity. Educating educators and the students themselves is one of the key elements to eliminating abuse of children on the basis of their sexual orientation and gender identity. </w:t>
      </w:r>
    </w:p>
    <w:p w:rsidR="00024A02" w:rsidRDefault="002F0FBC" w:rsidP="00024A02">
      <w:pPr>
        <w:jc w:val="both"/>
      </w:pPr>
      <w:r>
        <w:t xml:space="preserve">The State has an obligation to ensure that children are protected from sexual violence, gender based violence, violence fuelled by homophobia and </w:t>
      </w:r>
      <w:proofErr w:type="spellStart"/>
      <w:r>
        <w:t>transphobia</w:t>
      </w:r>
      <w:proofErr w:type="spellEnd"/>
      <w:r>
        <w:rPr>
          <w:rStyle w:val="FootnoteReference"/>
        </w:rPr>
        <w:footnoteReference w:id="11"/>
      </w:r>
      <w:r>
        <w:t xml:space="preserve">. The most effective means of achieving this goal is to have a comprehensive </w:t>
      </w:r>
      <w:r w:rsidR="00AA4BF2">
        <w:t>curriculum</w:t>
      </w:r>
      <w:r>
        <w:t xml:space="preserve"> on sexuality and reproduction which </w:t>
      </w:r>
      <w:r w:rsidR="00F96A77">
        <w:t>is</w:t>
      </w:r>
      <w:r w:rsidR="00AA4BF2">
        <w:t xml:space="preserve"> based</w:t>
      </w:r>
      <w:r w:rsidR="00F96A77">
        <w:t xml:space="preserve"> on</w:t>
      </w:r>
      <w:r w:rsidR="00AA4BF2">
        <w:t xml:space="preserve"> scientific evidence as opposed to merely reinforcing existing socio-cultural norms. The reluctance to discuss sexuality with students (and completely ignoring the evolving capacity of the child) exacerbates this issue</w:t>
      </w:r>
      <w:r w:rsidR="00AA4BF2">
        <w:rPr>
          <w:rStyle w:val="FootnoteReference"/>
        </w:rPr>
        <w:footnoteReference w:id="12"/>
      </w:r>
      <w:r w:rsidR="00AA4BF2">
        <w:t>.</w:t>
      </w:r>
      <w:r w:rsidR="00C50C70">
        <w:t xml:space="preserve"> Further, educational policies need to take cognizance of the fact an objective of education is a child’s personality development, which includes such child’s sexual orientation and gender identity</w:t>
      </w:r>
      <w:r w:rsidR="00ED5D28">
        <w:rPr>
          <w:rStyle w:val="FootnoteReference"/>
        </w:rPr>
        <w:footnoteReference w:id="13"/>
      </w:r>
      <w:r w:rsidR="00C50C70">
        <w:t>.</w:t>
      </w:r>
    </w:p>
    <w:p w:rsidR="00024A02" w:rsidRDefault="00C50C70" w:rsidP="00024A02">
      <w:pPr>
        <w:jc w:val="both"/>
      </w:pPr>
      <w:r>
        <w:lastRenderedPageBreak/>
        <w:t>In relation to the dissemination of information by the media, negative gender stereotyping, propagation of hate speech and intolerance on the basis of ethnicity, gender, gender identity, sexual orientation is not regulated with key policy makers themselves, issuing misrepresentations about homosexuality</w:t>
      </w:r>
      <w:r>
        <w:rPr>
          <w:rStyle w:val="FootnoteReference"/>
        </w:rPr>
        <w:footnoteReference w:id="14"/>
      </w:r>
      <w:r>
        <w:t xml:space="preserve">. Homophobic and </w:t>
      </w:r>
      <w:proofErr w:type="spellStart"/>
      <w:r>
        <w:t>transphobic</w:t>
      </w:r>
      <w:proofErr w:type="spellEnd"/>
      <w:r>
        <w:t xml:space="preserve"> propaganda harm</w:t>
      </w:r>
      <w:r w:rsidR="00ED5D28">
        <w:t>s</w:t>
      </w:r>
      <w:r>
        <w:t xml:space="preserve"> children who are still questioning their gender identities and sexual orientations </w:t>
      </w:r>
      <w:r w:rsidR="00ED5D28">
        <w:t>by harming their self-esteem and isolating such children.</w:t>
      </w:r>
      <w:r w:rsidR="00ED5D28">
        <w:rPr>
          <w:rStyle w:val="FootnoteReference"/>
        </w:rPr>
        <w:footnoteReference w:id="15"/>
      </w:r>
    </w:p>
    <w:p w:rsidR="001E7B21" w:rsidRDefault="00ED5D28" w:rsidP="00146455">
      <w:pPr>
        <w:pStyle w:val="Heading1"/>
        <w:jc w:val="both"/>
      </w:pPr>
      <w:bookmarkStart w:id="8" w:name="_Toc476064483"/>
      <w:r>
        <w:t>Conclusion</w:t>
      </w:r>
      <w:r w:rsidR="00024A02">
        <w:t xml:space="preserve"> and R</w:t>
      </w:r>
      <w:r w:rsidR="001E7B21">
        <w:t>ecommendations</w:t>
      </w:r>
      <w:bookmarkEnd w:id="8"/>
    </w:p>
    <w:p w:rsidR="00ED5D28" w:rsidRDefault="00ED5D28" w:rsidP="00ED5D28">
      <w:pPr>
        <w:pStyle w:val="Heading2"/>
      </w:pPr>
      <w:bookmarkStart w:id="9" w:name="_Toc476064484"/>
      <w:r>
        <w:t>The status of the rights of children of diverse sexual orientations and gender identities</w:t>
      </w:r>
      <w:bookmarkEnd w:id="9"/>
    </w:p>
    <w:p w:rsidR="00046813" w:rsidRDefault="00ED5D28" w:rsidP="00ED5D28">
      <w:r>
        <w:t>Though the information available is limited, the few instances that have c</w:t>
      </w:r>
      <w:r w:rsidR="00F96A77">
        <w:t>ome to light illustrate that</w:t>
      </w:r>
      <w:r>
        <w:t xml:space="preserve"> discrimination and violation of </w:t>
      </w:r>
      <w:r w:rsidR="00046813">
        <w:t>the rights of children</w:t>
      </w:r>
      <w:r w:rsidR="00F96A77">
        <w:t xml:space="preserve"> on the basis of their sexual orientation and gender identity is</w:t>
      </w:r>
      <w:r w:rsidR="00046813">
        <w:t xml:space="preserve"> prevalent in Sri Lanka. </w:t>
      </w:r>
    </w:p>
    <w:p w:rsidR="00F96A77" w:rsidRDefault="00046813" w:rsidP="00ED5D28">
      <w:r>
        <w:t>The</w:t>
      </w:r>
      <w:r w:rsidR="00F96A77">
        <w:t xml:space="preserve"> imposition of </w:t>
      </w:r>
      <w:r>
        <w:t>concepts such as hetero</w:t>
      </w:r>
      <w:r w:rsidR="00F96A77">
        <w:t>-</w:t>
      </w:r>
      <w:r>
        <w:t xml:space="preserve">normativity and </w:t>
      </w:r>
      <w:r w:rsidR="00F96A77">
        <w:t>reinforcement of gender roles and stereotypes in education and in the media also results in the violation of the rights of the child and contravention of the principles enshrined in the Convention.</w:t>
      </w:r>
    </w:p>
    <w:p w:rsidR="00ED5D28" w:rsidRPr="00ED5D28" w:rsidRDefault="00ED5D28" w:rsidP="00ED5D28">
      <w:pPr>
        <w:pStyle w:val="Heading2"/>
      </w:pPr>
      <w:bookmarkStart w:id="10" w:name="_Toc476064485"/>
      <w:r>
        <w:t>Recommendations</w:t>
      </w:r>
      <w:bookmarkEnd w:id="10"/>
    </w:p>
    <w:p w:rsidR="00046813" w:rsidRDefault="00046813" w:rsidP="00046813">
      <w:pPr>
        <w:jc w:val="both"/>
      </w:pPr>
      <w:r>
        <w:t>EQUAL GROUND requests that the Committee highlight,</w:t>
      </w:r>
    </w:p>
    <w:p w:rsidR="00046813" w:rsidRDefault="00046813" w:rsidP="00046813">
      <w:pPr>
        <w:pStyle w:val="ListParagraph"/>
        <w:numPr>
          <w:ilvl w:val="0"/>
          <w:numId w:val="5"/>
        </w:numPr>
        <w:jc w:val="both"/>
      </w:pPr>
      <w:r>
        <w:t>The prevalence of violence and discrimination against children on the basis of their sexual orientation and gender identity</w:t>
      </w:r>
      <w:r w:rsidR="00F96A77">
        <w:t>;</w:t>
      </w:r>
      <w:r>
        <w:t xml:space="preserve"> </w:t>
      </w:r>
    </w:p>
    <w:p w:rsidR="00046813" w:rsidRDefault="00046813" w:rsidP="00046813">
      <w:pPr>
        <w:pStyle w:val="ListParagraph"/>
        <w:numPr>
          <w:ilvl w:val="0"/>
          <w:numId w:val="5"/>
        </w:numPr>
        <w:jc w:val="both"/>
      </w:pPr>
      <w:r>
        <w:t>The negative impact the penal code provisions and the criminalization have on the development of children and,</w:t>
      </w:r>
    </w:p>
    <w:p w:rsidR="007A444F" w:rsidRDefault="00046813" w:rsidP="00046813">
      <w:pPr>
        <w:pStyle w:val="ListParagraph"/>
        <w:numPr>
          <w:ilvl w:val="0"/>
          <w:numId w:val="5"/>
        </w:numPr>
        <w:jc w:val="both"/>
      </w:pPr>
      <w:r>
        <w:t xml:space="preserve">Request that the State </w:t>
      </w:r>
      <w:r w:rsidR="00F96A77">
        <w:t>p</w:t>
      </w:r>
      <w:r w:rsidR="00A71209">
        <w:t>rioritize the elimination of patriarchal attitudes an</w:t>
      </w:r>
      <w:r w:rsidR="00F96A77">
        <w:t xml:space="preserve">d gender stereotypes, </w:t>
      </w:r>
      <w:r w:rsidR="00A71209">
        <w:t>through</w:t>
      </w:r>
      <w:r w:rsidR="00F96A77">
        <w:t xml:space="preserve"> </w:t>
      </w:r>
      <w:r w:rsidR="00A71209">
        <w:t xml:space="preserve"> educational and awareness-raising </w:t>
      </w:r>
      <w:proofErr w:type="spellStart"/>
      <w:r w:rsidR="00A71209">
        <w:t>programmes</w:t>
      </w:r>
      <w:proofErr w:type="spellEnd"/>
    </w:p>
    <w:p w:rsidR="00A71209" w:rsidRDefault="00A71209" w:rsidP="00046813">
      <w:pPr>
        <w:pStyle w:val="ListParagraph"/>
        <w:numPr>
          <w:ilvl w:val="0"/>
          <w:numId w:val="5"/>
        </w:numPr>
        <w:jc w:val="both"/>
      </w:pPr>
      <w:r>
        <w:t xml:space="preserve">Foster an environment of inclusion and respect in mainstream </w:t>
      </w:r>
      <w:r w:rsidR="00046813">
        <w:t xml:space="preserve">society through greater </w:t>
      </w:r>
      <w:r w:rsidR="00F96A77">
        <w:t>sexuality/</w:t>
      </w:r>
      <w:r w:rsidR="00046813">
        <w:t xml:space="preserve">gender sensitivity </w:t>
      </w:r>
    </w:p>
    <w:p w:rsidR="00A71209" w:rsidRDefault="00046813" w:rsidP="00046813">
      <w:pPr>
        <w:pStyle w:val="ListParagraph"/>
        <w:numPr>
          <w:ilvl w:val="0"/>
          <w:numId w:val="5"/>
        </w:numPr>
        <w:jc w:val="both"/>
      </w:pPr>
      <w:r>
        <w:t xml:space="preserve">Establish </w:t>
      </w:r>
      <w:proofErr w:type="gramStart"/>
      <w:r>
        <w:t>a r</w:t>
      </w:r>
      <w:r w:rsidR="00A71209">
        <w:t>ights</w:t>
      </w:r>
      <w:proofErr w:type="gramEnd"/>
      <w:r w:rsidR="00A71209">
        <w:t xml:space="preserve"> based </w:t>
      </w:r>
      <w:r w:rsidR="00D07BCC">
        <w:t>education</w:t>
      </w:r>
      <w:r w:rsidR="00A71209">
        <w:t xml:space="preserve"> protocol</w:t>
      </w:r>
      <w:r w:rsidR="00F96A77">
        <w:t>.</w:t>
      </w:r>
    </w:p>
    <w:p w:rsidR="00F96A77" w:rsidRDefault="00F96A77" w:rsidP="00F96A77">
      <w:pPr>
        <w:ind w:left="360"/>
        <w:jc w:val="both"/>
      </w:pPr>
    </w:p>
    <w:p w:rsidR="00F96A77" w:rsidRDefault="00F96A77" w:rsidP="00F96A77">
      <w:pPr>
        <w:ind w:left="360"/>
        <w:jc w:val="both"/>
      </w:pPr>
      <w:bookmarkStart w:id="11" w:name="_GoBack"/>
      <w:bookmarkEnd w:id="11"/>
    </w:p>
    <w:p w:rsidR="00A71209" w:rsidRDefault="00A71209" w:rsidP="00146455">
      <w:pPr>
        <w:jc w:val="both"/>
      </w:pPr>
    </w:p>
    <w:sectPr w:rsidR="00A71209" w:rsidSect="00AB2949">
      <w:footerReference w:type="default" r:id="rId12"/>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2C9" w:rsidRDefault="000002C9" w:rsidP="00AB2949">
      <w:pPr>
        <w:spacing w:after="0" w:line="240" w:lineRule="auto"/>
      </w:pPr>
      <w:r>
        <w:separator/>
      </w:r>
    </w:p>
  </w:endnote>
  <w:endnote w:type="continuationSeparator" w:id="0">
    <w:p w:rsidR="000002C9" w:rsidRDefault="000002C9" w:rsidP="00AB2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420068"/>
      <w:docPartObj>
        <w:docPartGallery w:val="Page Numbers (Bottom of Page)"/>
        <w:docPartUnique/>
      </w:docPartObj>
    </w:sdtPr>
    <w:sdtEndPr>
      <w:rPr>
        <w:color w:val="808080" w:themeColor="background1" w:themeShade="80"/>
        <w:spacing w:val="60"/>
      </w:rPr>
    </w:sdtEndPr>
    <w:sdtContent>
      <w:p w:rsidR="00ED5D28" w:rsidRDefault="00ED5D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F96A77">
          <w:rPr>
            <w:noProof/>
          </w:rPr>
          <w:t>8</w:t>
        </w:r>
        <w:r>
          <w:rPr>
            <w:noProof/>
          </w:rPr>
          <w:fldChar w:fldCharType="end"/>
        </w:r>
        <w:r>
          <w:t xml:space="preserve"> | </w:t>
        </w:r>
        <w:r>
          <w:rPr>
            <w:color w:val="808080" w:themeColor="background1" w:themeShade="80"/>
            <w:spacing w:val="60"/>
          </w:rPr>
          <w:t>Page</w:t>
        </w:r>
      </w:p>
    </w:sdtContent>
  </w:sdt>
  <w:p w:rsidR="00ED5D28" w:rsidRDefault="00ED5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2C9" w:rsidRDefault="000002C9" w:rsidP="00AB2949">
      <w:pPr>
        <w:spacing w:after="0" w:line="240" w:lineRule="auto"/>
      </w:pPr>
      <w:r>
        <w:separator/>
      </w:r>
    </w:p>
  </w:footnote>
  <w:footnote w:type="continuationSeparator" w:id="0">
    <w:p w:rsidR="000002C9" w:rsidRDefault="000002C9" w:rsidP="00AB2949">
      <w:pPr>
        <w:spacing w:after="0" w:line="240" w:lineRule="auto"/>
      </w:pPr>
      <w:r>
        <w:continuationSeparator/>
      </w:r>
    </w:p>
  </w:footnote>
  <w:footnote w:id="1">
    <w:p w:rsidR="00ED5D28" w:rsidRDefault="00ED5D28">
      <w:pPr>
        <w:pStyle w:val="FootnoteText"/>
      </w:pPr>
      <w:r>
        <w:rPr>
          <w:rStyle w:val="FootnoteReference"/>
        </w:rPr>
        <w:footnoteRef/>
      </w:r>
      <w:r>
        <w:t xml:space="preserve"> The definitions contained herein are taken from, </w:t>
      </w:r>
      <w:r w:rsidRPr="00803FD7">
        <w:t>Eliminating Discrimination Against Children And Parents Based On Sexual Orientation And/ Or Gender Identity</w:t>
      </w:r>
      <w:r>
        <w:t>, prepared by the Policy Advocacy and Coordination Unit in UNICEF’s Division of Data, Research and Policy, November 2014</w:t>
      </w:r>
    </w:p>
  </w:footnote>
  <w:footnote w:id="2">
    <w:p w:rsidR="00ED5D28" w:rsidRDefault="00ED5D28" w:rsidP="003D3ACB">
      <w:pPr>
        <w:pStyle w:val="FootnoteText"/>
        <w:jc w:val="both"/>
      </w:pPr>
      <w:r>
        <w:rPr>
          <w:rStyle w:val="FootnoteReference"/>
        </w:rPr>
        <w:footnoteRef/>
      </w:r>
      <w:r>
        <w:t xml:space="preserve"> (1) All persons are equal before the law and are entitled to the equal protection of the law.</w:t>
      </w:r>
    </w:p>
    <w:p w:rsidR="00ED5D28" w:rsidRDefault="00ED5D28" w:rsidP="003D3ACB">
      <w:pPr>
        <w:pStyle w:val="FootnoteText"/>
        <w:jc w:val="both"/>
      </w:pPr>
      <w:r>
        <w:t xml:space="preserve">   (2) No citizen shall be discriminated against on the grounds of race, religion, language, caste, sex, political opinion, place of birth or any one of such grounds.</w:t>
      </w:r>
    </w:p>
  </w:footnote>
  <w:footnote w:id="3">
    <w:p w:rsidR="00ED5D28" w:rsidRDefault="00ED5D28" w:rsidP="003D3ACB">
      <w:pPr>
        <w:pStyle w:val="FootnoteText"/>
        <w:jc w:val="both"/>
      </w:pPr>
      <w:r>
        <w:rPr>
          <w:rStyle w:val="FootnoteReference"/>
        </w:rPr>
        <w:footnoteRef/>
      </w:r>
      <w:r>
        <w:t xml:space="preserve"> Section 365 of the Penal Code, No.2 of 1883 (as amended),</w:t>
      </w:r>
    </w:p>
    <w:p w:rsidR="00ED5D28" w:rsidRDefault="00ED5D28" w:rsidP="003D3ACB">
      <w:pPr>
        <w:pStyle w:val="FootnoteText"/>
        <w:jc w:val="both"/>
      </w:pPr>
      <w:r w:rsidRPr="003D3ACB">
        <w:t>Whoever voluntarily has carnal intercourse against the order of nature with any man, woman, or animal, shall be punished with imprisonment of either description for a term which may extend to ten years, and shall also be punished with fine and where the offence is committed by a person over eighteen years of age in respect of any person under sixteen years of age shall be punished with rigorous imprisonment for a term not less than ten years and not exceeding twenty years and with fine and shell also be ordered to pay compensation of an amount- determined by court to the person in respect of whom the offence was committed for injuries caused to such person.</w:t>
      </w:r>
    </w:p>
  </w:footnote>
  <w:footnote w:id="4">
    <w:p w:rsidR="00ED5D28" w:rsidRDefault="00ED5D28" w:rsidP="003D3ACB">
      <w:pPr>
        <w:pStyle w:val="FootnoteText"/>
        <w:jc w:val="both"/>
      </w:pPr>
      <w:r>
        <w:rPr>
          <w:rStyle w:val="FootnoteReference"/>
        </w:rPr>
        <w:footnoteRef/>
      </w:r>
      <w:r>
        <w:t xml:space="preserve"> Section 365A of the Penal Code, No.2 of 1883 (as amended)</w:t>
      </w:r>
    </w:p>
    <w:p w:rsidR="00ED5D28" w:rsidRDefault="00ED5D28" w:rsidP="003D3ACB">
      <w:pPr>
        <w:pStyle w:val="FootnoteText"/>
        <w:jc w:val="both"/>
      </w:pPr>
      <w:r w:rsidRPr="003D3ACB">
        <w:t>Any person who, in public or private, commits, or is a party to the commission of, or procures or attempts procure the commission by any person of, any act of gross indecency with another person, shall he guilty of an offence, and shall be punished with imprisonment of either description, for a term which may extend to two years or with fine or with both and where the offence is committed by a person over eighteen years of age in respect of any person under sixteen years of age shall be punished with rigorous imprisonment for a term not less than ten years and not exceeding twenty years and with fine and shall also be ordered to pay compensation of an amount determined by court to the person in respect of whom the offence was committed for the injuries caused to such person.</w:t>
      </w:r>
    </w:p>
  </w:footnote>
  <w:footnote w:id="5">
    <w:p w:rsidR="00ED5D28" w:rsidRDefault="00ED5D28" w:rsidP="003D3ACB">
      <w:pPr>
        <w:pStyle w:val="FootnoteText"/>
        <w:jc w:val="both"/>
      </w:pPr>
      <w:r>
        <w:rPr>
          <w:rStyle w:val="FootnoteReference"/>
        </w:rPr>
        <w:footnoteRef/>
      </w:r>
      <w:r>
        <w:t>Section 399 of the Penal Code, No.2 of 1883 (as amended) “A person is said to "cheat by personation " if he cheats by pretending to be some other person, or by knowingly substituting one person for another, or representing that he or any other person is a person other than he or such other person really is.</w:t>
      </w:r>
    </w:p>
  </w:footnote>
  <w:footnote w:id="6">
    <w:p w:rsidR="00ED5D28" w:rsidRDefault="00ED5D28" w:rsidP="00DC70EA">
      <w:pPr>
        <w:pStyle w:val="FootnoteText"/>
      </w:pPr>
      <w:r>
        <w:rPr>
          <w:rStyle w:val="FootnoteReference"/>
        </w:rPr>
        <w:footnoteRef/>
      </w:r>
      <w:r>
        <w:t xml:space="preserve"> Article 16 of the Constitution</w:t>
      </w:r>
    </w:p>
    <w:p w:rsidR="00ED5D28" w:rsidRDefault="00ED5D28" w:rsidP="00DC70EA">
      <w:pPr>
        <w:pStyle w:val="FootnoteText"/>
      </w:pPr>
      <w:r w:rsidRPr="00DC70EA">
        <w:t>All existing written law and unwritten law shall be valid and operative notwithstanding any inconsistency with the preceding provisions of this Chapter.</w:t>
      </w:r>
    </w:p>
  </w:footnote>
  <w:footnote w:id="7">
    <w:p w:rsidR="00ED5D28" w:rsidRDefault="00ED5D28">
      <w:pPr>
        <w:pStyle w:val="FootnoteText"/>
      </w:pPr>
      <w:r>
        <w:rPr>
          <w:rStyle w:val="FootnoteReference"/>
        </w:rPr>
        <w:footnoteRef/>
      </w:r>
      <w:r>
        <w:t xml:space="preserve"> Article 2</w:t>
      </w:r>
    </w:p>
  </w:footnote>
  <w:footnote w:id="8">
    <w:p w:rsidR="00ED5D28" w:rsidRDefault="00ED5D28">
      <w:pPr>
        <w:pStyle w:val="FootnoteText"/>
      </w:pPr>
      <w:r>
        <w:rPr>
          <w:rStyle w:val="FootnoteReference"/>
        </w:rPr>
        <w:footnoteRef/>
      </w:r>
      <w:r>
        <w:t xml:space="preserve"> </w:t>
      </w:r>
      <w:r w:rsidRPr="00324712">
        <w:t>http://www.independent.co.uk/news/uk/home-news/places-which-legalise-same-sex-marriage-see-drop-in-suicide-rate-a7592626.html</w:t>
      </w:r>
    </w:p>
  </w:footnote>
  <w:footnote w:id="9">
    <w:p w:rsidR="00F96A77" w:rsidRDefault="00F96A77">
      <w:pPr>
        <w:pStyle w:val="FootnoteText"/>
      </w:pPr>
      <w:r>
        <w:rPr>
          <w:rStyle w:val="FootnoteReference"/>
        </w:rPr>
        <w:footnoteRef/>
      </w:r>
      <w:r>
        <w:t xml:space="preserve"> </w:t>
      </w:r>
      <w:hyperlink r:id="rId1" w:history="1">
        <w:r w:rsidRPr="00681ED1">
          <w:rPr>
            <w:rStyle w:val="Hyperlink"/>
          </w:rPr>
          <w:t>file:///E:/CRC%20GC%2015.pdf</w:t>
        </w:r>
      </w:hyperlink>
      <w:r>
        <w:t xml:space="preserve"> </w:t>
      </w:r>
    </w:p>
  </w:footnote>
  <w:footnote w:id="10">
    <w:p w:rsidR="00F96A77" w:rsidRDefault="00F96A77">
      <w:pPr>
        <w:pStyle w:val="FootnoteText"/>
      </w:pPr>
      <w:r>
        <w:rPr>
          <w:rStyle w:val="FootnoteReference"/>
        </w:rPr>
        <w:footnoteRef/>
      </w:r>
      <w:r>
        <w:t xml:space="preserve"> Article 24</w:t>
      </w:r>
    </w:p>
  </w:footnote>
  <w:footnote w:id="11">
    <w:p w:rsidR="00ED5D28" w:rsidRDefault="00ED5D28">
      <w:pPr>
        <w:pStyle w:val="FootnoteText"/>
      </w:pPr>
      <w:r>
        <w:rPr>
          <w:rStyle w:val="FootnoteReference"/>
        </w:rPr>
        <w:footnoteRef/>
      </w:r>
      <w:r>
        <w:t xml:space="preserve"> Article 19</w:t>
      </w:r>
    </w:p>
  </w:footnote>
  <w:footnote w:id="12">
    <w:p w:rsidR="00ED5D28" w:rsidRDefault="00ED5D28">
      <w:pPr>
        <w:pStyle w:val="FootnoteText"/>
      </w:pPr>
      <w:r>
        <w:rPr>
          <w:rStyle w:val="FootnoteReference"/>
        </w:rPr>
        <w:footnoteRef/>
      </w:r>
      <w:r>
        <w:t xml:space="preserve"> As recorded by Human Rights Watch in their publication, Not All five fingers are the same</w:t>
      </w:r>
    </w:p>
    <w:p w:rsidR="00ED5D28" w:rsidRDefault="000002C9">
      <w:pPr>
        <w:pStyle w:val="FootnoteText"/>
      </w:pPr>
      <w:hyperlink r:id="rId2" w:history="1">
        <w:r w:rsidR="00ED5D28" w:rsidRPr="009B5EE9">
          <w:rPr>
            <w:rStyle w:val="Hyperlink"/>
          </w:rPr>
          <w:t>https://www.hrw.org/sites/default/files/report_pdf/srilanka0816web.pdf</w:t>
        </w:r>
      </w:hyperlink>
      <w:r w:rsidR="00ED5D28">
        <w:t xml:space="preserve"> </w:t>
      </w:r>
    </w:p>
  </w:footnote>
  <w:footnote w:id="13">
    <w:p w:rsidR="00ED5D28" w:rsidRDefault="00ED5D28">
      <w:pPr>
        <w:pStyle w:val="FootnoteText"/>
      </w:pPr>
      <w:r>
        <w:rPr>
          <w:rStyle w:val="FootnoteReference"/>
        </w:rPr>
        <w:footnoteRef/>
      </w:r>
      <w:r>
        <w:t xml:space="preserve"> Article 29</w:t>
      </w:r>
    </w:p>
  </w:footnote>
  <w:footnote w:id="14">
    <w:p w:rsidR="00ED5D28" w:rsidRDefault="00ED5D28">
      <w:pPr>
        <w:pStyle w:val="FootnoteText"/>
      </w:pPr>
      <w:r>
        <w:rPr>
          <w:rStyle w:val="FootnoteReference"/>
        </w:rPr>
        <w:footnoteRef/>
      </w:r>
      <w:r>
        <w:t xml:space="preserve"> </w:t>
      </w:r>
      <w:hyperlink r:id="rId3" w:history="1">
        <w:r w:rsidRPr="009B5EE9">
          <w:rPr>
            <w:rStyle w:val="Hyperlink"/>
          </w:rPr>
          <w:t>https://www.colombotelegraph.com/index.php/homophobic-justice-minister-wijeyadasa-should-resign-right-activists/</w:t>
        </w:r>
      </w:hyperlink>
      <w:r>
        <w:t xml:space="preserve"> </w:t>
      </w:r>
    </w:p>
  </w:footnote>
  <w:footnote w:id="15">
    <w:p w:rsidR="00ED5D28" w:rsidRDefault="00ED5D28">
      <w:pPr>
        <w:pStyle w:val="FootnoteText"/>
      </w:pPr>
      <w:r>
        <w:rPr>
          <w:rStyle w:val="FootnoteReference"/>
        </w:rPr>
        <w:footnoteRef/>
      </w:r>
      <w:r>
        <w:t xml:space="preserve"> Article 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21668"/>
    <w:multiLevelType w:val="hybridMultilevel"/>
    <w:tmpl w:val="BC1033EC"/>
    <w:lvl w:ilvl="0" w:tplc="2DA431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623269"/>
    <w:multiLevelType w:val="hybridMultilevel"/>
    <w:tmpl w:val="4C364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E06C87"/>
    <w:multiLevelType w:val="hybridMultilevel"/>
    <w:tmpl w:val="D04204C6"/>
    <w:lvl w:ilvl="0" w:tplc="BE3C99CC">
      <w:start w:val="1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F302D1"/>
    <w:multiLevelType w:val="hybridMultilevel"/>
    <w:tmpl w:val="33324DE2"/>
    <w:lvl w:ilvl="0" w:tplc="0409001B">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52423B"/>
    <w:multiLevelType w:val="hybridMultilevel"/>
    <w:tmpl w:val="4852D184"/>
    <w:lvl w:ilvl="0" w:tplc="BE3C99CC">
      <w:start w:val="1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209"/>
    <w:rsid w:val="000002C9"/>
    <w:rsid w:val="00012E86"/>
    <w:rsid w:val="00024A02"/>
    <w:rsid w:val="00046813"/>
    <w:rsid w:val="00091D38"/>
    <w:rsid w:val="00111AFC"/>
    <w:rsid w:val="00146455"/>
    <w:rsid w:val="00173C91"/>
    <w:rsid w:val="001E7B21"/>
    <w:rsid w:val="0020558E"/>
    <w:rsid w:val="0021233F"/>
    <w:rsid w:val="00261D7E"/>
    <w:rsid w:val="0029506C"/>
    <w:rsid w:val="002F0FBC"/>
    <w:rsid w:val="00324712"/>
    <w:rsid w:val="003D3ACB"/>
    <w:rsid w:val="00407A1D"/>
    <w:rsid w:val="005217D3"/>
    <w:rsid w:val="0054000F"/>
    <w:rsid w:val="005463B1"/>
    <w:rsid w:val="00556BA6"/>
    <w:rsid w:val="005B7B5E"/>
    <w:rsid w:val="005C14A0"/>
    <w:rsid w:val="006A0A9D"/>
    <w:rsid w:val="0076603E"/>
    <w:rsid w:val="0077097A"/>
    <w:rsid w:val="007A444F"/>
    <w:rsid w:val="00803FD7"/>
    <w:rsid w:val="00883F52"/>
    <w:rsid w:val="0095418C"/>
    <w:rsid w:val="009779C3"/>
    <w:rsid w:val="00987F82"/>
    <w:rsid w:val="00997915"/>
    <w:rsid w:val="00A71209"/>
    <w:rsid w:val="00AA4BF2"/>
    <w:rsid w:val="00AB2949"/>
    <w:rsid w:val="00AE24A5"/>
    <w:rsid w:val="00BB5F2B"/>
    <w:rsid w:val="00C50C70"/>
    <w:rsid w:val="00C836EF"/>
    <w:rsid w:val="00D07BCC"/>
    <w:rsid w:val="00DC70EA"/>
    <w:rsid w:val="00ED5D28"/>
    <w:rsid w:val="00F87CA6"/>
    <w:rsid w:val="00F96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7B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7B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7CA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24A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7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B5E"/>
    <w:rPr>
      <w:rFonts w:ascii="Tahoma" w:hAnsi="Tahoma" w:cs="Tahoma"/>
      <w:sz w:val="16"/>
      <w:szCs w:val="16"/>
    </w:rPr>
  </w:style>
  <w:style w:type="paragraph" w:styleId="Title">
    <w:name w:val="Title"/>
    <w:basedOn w:val="Normal"/>
    <w:next w:val="Normal"/>
    <w:link w:val="TitleChar"/>
    <w:uiPriority w:val="10"/>
    <w:qFormat/>
    <w:rsid w:val="007660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603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6603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6603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AB29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949"/>
  </w:style>
  <w:style w:type="paragraph" w:styleId="Footer">
    <w:name w:val="footer"/>
    <w:basedOn w:val="Normal"/>
    <w:link w:val="FooterChar"/>
    <w:uiPriority w:val="99"/>
    <w:unhideWhenUsed/>
    <w:rsid w:val="00AB29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949"/>
  </w:style>
  <w:style w:type="character" w:customStyle="1" w:styleId="Heading1Char">
    <w:name w:val="Heading 1 Char"/>
    <w:basedOn w:val="DefaultParagraphFont"/>
    <w:link w:val="Heading1"/>
    <w:uiPriority w:val="9"/>
    <w:rsid w:val="001E7B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E7B21"/>
    <w:pPr>
      <w:outlineLvl w:val="9"/>
    </w:pPr>
    <w:rPr>
      <w:lang w:eastAsia="ja-JP"/>
    </w:rPr>
  </w:style>
  <w:style w:type="paragraph" w:styleId="TOC1">
    <w:name w:val="toc 1"/>
    <w:basedOn w:val="Normal"/>
    <w:next w:val="Normal"/>
    <w:autoRedefine/>
    <w:uiPriority w:val="39"/>
    <w:unhideWhenUsed/>
    <w:rsid w:val="001E7B21"/>
    <w:pPr>
      <w:spacing w:after="100"/>
    </w:pPr>
  </w:style>
  <w:style w:type="character" w:styleId="Hyperlink">
    <w:name w:val="Hyperlink"/>
    <w:basedOn w:val="DefaultParagraphFont"/>
    <w:uiPriority w:val="99"/>
    <w:unhideWhenUsed/>
    <w:rsid w:val="001E7B21"/>
    <w:rPr>
      <w:color w:val="0000FF" w:themeColor="hyperlink"/>
      <w:u w:val="single"/>
    </w:rPr>
  </w:style>
  <w:style w:type="character" w:customStyle="1" w:styleId="Heading2Char">
    <w:name w:val="Heading 2 Char"/>
    <w:basedOn w:val="DefaultParagraphFont"/>
    <w:link w:val="Heading2"/>
    <w:uiPriority w:val="9"/>
    <w:rsid w:val="00D07BC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07BCC"/>
    <w:pPr>
      <w:spacing w:after="100"/>
      <w:ind w:left="220"/>
    </w:pPr>
  </w:style>
  <w:style w:type="paragraph" w:styleId="ListParagraph">
    <w:name w:val="List Paragraph"/>
    <w:basedOn w:val="Normal"/>
    <w:uiPriority w:val="34"/>
    <w:qFormat/>
    <w:rsid w:val="00D07BCC"/>
    <w:pPr>
      <w:ind w:left="720"/>
      <w:contextualSpacing/>
    </w:pPr>
  </w:style>
  <w:style w:type="character" w:customStyle="1" w:styleId="Heading3Char">
    <w:name w:val="Heading 3 Char"/>
    <w:basedOn w:val="DefaultParagraphFont"/>
    <w:link w:val="Heading3"/>
    <w:uiPriority w:val="9"/>
    <w:rsid w:val="00F87CA6"/>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F87C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7CA6"/>
    <w:rPr>
      <w:sz w:val="20"/>
      <w:szCs w:val="20"/>
    </w:rPr>
  </w:style>
  <w:style w:type="character" w:styleId="FootnoteReference">
    <w:name w:val="footnote reference"/>
    <w:basedOn w:val="DefaultParagraphFont"/>
    <w:uiPriority w:val="99"/>
    <w:semiHidden/>
    <w:unhideWhenUsed/>
    <w:rsid w:val="00F87CA6"/>
    <w:rPr>
      <w:vertAlign w:val="superscript"/>
    </w:rPr>
  </w:style>
  <w:style w:type="paragraph" w:styleId="TOC3">
    <w:name w:val="toc 3"/>
    <w:basedOn w:val="Normal"/>
    <w:next w:val="Normal"/>
    <w:autoRedefine/>
    <w:uiPriority w:val="39"/>
    <w:unhideWhenUsed/>
    <w:rsid w:val="00091D38"/>
    <w:pPr>
      <w:spacing w:after="100"/>
      <w:ind w:left="440"/>
    </w:pPr>
  </w:style>
  <w:style w:type="character" w:customStyle="1" w:styleId="Heading4Char">
    <w:name w:val="Heading 4 Char"/>
    <w:basedOn w:val="DefaultParagraphFont"/>
    <w:link w:val="Heading4"/>
    <w:uiPriority w:val="9"/>
    <w:rsid w:val="00024A02"/>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7B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7B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7CA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24A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7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B5E"/>
    <w:rPr>
      <w:rFonts w:ascii="Tahoma" w:hAnsi="Tahoma" w:cs="Tahoma"/>
      <w:sz w:val="16"/>
      <w:szCs w:val="16"/>
    </w:rPr>
  </w:style>
  <w:style w:type="paragraph" w:styleId="Title">
    <w:name w:val="Title"/>
    <w:basedOn w:val="Normal"/>
    <w:next w:val="Normal"/>
    <w:link w:val="TitleChar"/>
    <w:uiPriority w:val="10"/>
    <w:qFormat/>
    <w:rsid w:val="007660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603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6603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6603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AB29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949"/>
  </w:style>
  <w:style w:type="paragraph" w:styleId="Footer">
    <w:name w:val="footer"/>
    <w:basedOn w:val="Normal"/>
    <w:link w:val="FooterChar"/>
    <w:uiPriority w:val="99"/>
    <w:unhideWhenUsed/>
    <w:rsid w:val="00AB29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949"/>
  </w:style>
  <w:style w:type="character" w:customStyle="1" w:styleId="Heading1Char">
    <w:name w:val="Heading 1 Char"/>
    <w:basedOn w:val="DefaultParagraphFont"/>
    <w:link w:val="Heading1"/>
    <w:uiPriority w:val="9"/>
    <w:rsid w:val="001E7B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E7B21"/>
    <w:pPr>
      <w:outlineLvl w:val="9"/>
    </w:pPr>
    <w:rPr>
      <w:lang w:eastAsia="ja-JP"/>
    </w:rPr>
  </w:style>
  <w:style w:type="paragraph" w:styleId="TOC1">
    <w:name w:val="toc 1"/>
    <w:basedOn w:val="Normal"/>
    <w:next w:val="Normal"/>
    <w:autoRedefine/>
    <w:uiPriority w:val="39"/>
    <w:unhideWhenUsed/>
    <w:rsid w:val="001E7B21"/>
    <w:pPr>
      <w:spacing w:after="100"/>
    </w:pPr>
  </w:style>
  <w:style w:type="character" w:styleId="Hyperlink">
    <w:name w:val="Hyperlink"/>
    <w:basedOn w:val="DefaultParagraphFont"/>
    <w:uiPriority w:val="99"/>
    <w:unhideWhenUsed/>
    <w:rsid w:val="001E7B21"/>
    <w:rPr>
      <w:color w:val="0000FF" w:themeColor="hyperlink"/>
      <w:u w:val="single"/>
    </w:rPr>
  </w:style>
  <w:style w:type="character" w:customStyle="1" w:styleId="Heading2Char">
    <w:name w:val="Heading 2 Char"/>
    <w:basedOn w:val="DefaultParagraphFont"/>
    <w:link w:val="Heading2"/>
    <w:uiPriority w:val="9"/>
    <w:rsid w:val="00D07BC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07BCC"/>
    <w:pPr>
      <w:spacing w:after="100"/>
      <w:ind w:left="220"/>
    </w:pPr>
  </w:style>
  <w:style w:type="paragraph" w:styleId="ListParagraph">
    <w:name w:val="List Paragraph"/>
    <w:basedOn w:val="Normal"/>
    <w:uiPriority w:val="34"/>
    <w:qFormat/>
    <w:rsid w:val="00D07BCC"/>
    <w:pPr>
      <w:ind w:left="720"/>
      <w:contextualSpacing/>
    </w:pPr>
  </w:style>
  <w:style w:type="character" w:customStyle="1" w:styleId="Heading3Char">
    <w:name w:val="Heading 3 Char"/>
    <w:basedOn w:val="DefaultParagraphFont"/>
    <w:link w:val="Heading3"/>
    <w:uiPriority w:val="9"/>
    <w:rsid w:val="00F87CA6"/>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F87C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7CA6"/>
    <w:rPr>
      <w:sz w:val="20"/>
      <w:szCs w:val="20"/>
    </w:rPr>
  </w:style>
  <w:style w:type="character" w:styleId="FootnoteReference">
    <w:name w:val="footnote reference"/>
    <w:basedOn w:val="DefaultParagraphFont"/>
    <w:uiPriority w:val="99"/>
    <w:semiHidden/>
    <w:unhideWhenUsed/>
    <w:rsid w:val="00F87CA6"/>
    <w:rPr>
      <w:vertAlign w:val="superscript"/>
    </w:rPr>
  </w:style>
  <w:style w:type="paragraph" w:styleId="TOC3">
    <w:name w:val="toc 3"/>
    <w:basedOn w:val="Normal"/>
    <w:next w:val="Normal"/>
    <w:autoRedefine/>
    <w:uiPriority w:val="39"/>
    <w:unhideWhenUsed/>
    <w:rsid w:val="00091D38"/>
    <w:pPr>
      <w:spacing w:after="100"/>
      <w:ind w:left="440"/>
    </w:pPr>
  </w:style>
  <w:style w:type="character" w:customStyle="1" w:styleId="Heading4Char">
    <w:name w:val="Heading 4 Char"/>
    <w:basedOn w:val="DefaultParagraphFont"/>
    <w:link w:val="Heading4"/>
    <w:uiPriority w:val="9"/>
    <w:rsid w:val="00024A02"/>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equal-ground.org" TargetMode="External"/><Relationship Id="rId4" Type="http://schemas.microsoft.com/office/2007/relationships/stylesWithEffects" Target="stylesWithEffects.xml"/><Relationship Id="rId9" Type="http://schemas.openxmlformats.org/officeDocument/2006/relationships/hyperlink" Target="mailto:equalground@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otelegraph.com/index.php/homophobic-justice-minister-wijeyadasa-should-resign-right-activists/" TargetMode="External"/><Relationship Id="rId2" Type="http://schemas.openxmlformats.org/officeDocument/2006/relationships/hyperlink" Target="https://www.hrw.org/sites/default/files/report_pdf/srilanka0816web.pdf" TargetMode="External"/><Relationship Id="rId1" Type="http://schemas.openxmlformats.org/officeDocument/2006/relationships/hyperlink" Target="file:///E:/CRC%20GC%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F68791-F51D-4455-AFCC-E26E5C8A120B}"/>
</file>

<file path=customXml/itemProps2.xml><?xml version="1.0" encoding="utf-8"?>
<ds:datastoreItem xmlns:ds="http://schemas.openxmlformats.org/officeDocument/2006/customXml" ds:itemID="{DAAACCB8-E182-4AA0-AA43-224E04E429B4}"/>
</file>

<file path=customXml/itemProps3.xml><?xml version="1.0" encoding="utf-8"?>
<ds:datastoreItem xmlns:ds="http://schemas.openxmlformats.org/officeDocument/2006/customXml" ds:itemID="{80C351DF-27F2-4143-87FE-4681EEB9AED9}"/>
</file>

<file path=customXml/itemProps4.xml><?xml version="1.0" encoding="utf-8"?>
<ds:datastoreItem xmlns:ds="http://schemas.openxmlformats.org/officeDocument/2006/customXml" ds:itemID="{8DD0509E-622A-442C-82EB-FEBEB7EE25A2}"/>
</file>

<file path=docProps/app.xml><?xml version="1.0" encoding="utf-8"?>
<Properties xmlns="http://schemas.openxmlformats.org/officeDocument/2006/extended-properties" xmlns:vt="http://schemas.openxmlformats.org/officeDocument/2006/docPropsVTypes">
  <Template>Normal</Template>
  <TotalTime>0</TotalTime>
  <Pages>8</Pages>
  <Words>2327</Words>
  <Characters>13267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2017-02-28T11:52:00Z</dcterms:created>
  <dcterms:modified xsi:type="dcterms:W3CDTF">2017-02-28T11:52:00Z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