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0EEE7" w14:textId="77777777" w:rsidR="006F2FF7" w:rsidRDefault="00000000">
      <w:pPr>
        <w:spacing w:after="240"/>
        <w:jc w:val="center"/>
        <w:rPr>
          <w:rFonts w:ascii="Calibri" w:eastAsia="Calibri" w:hAnsi="Calibri" w:cs="Calibri"/>
          <w:b/>
          <w:sz w:val="30"/>
          <w:szCs w:val="30"/>
        </w:rPr>
      </w:pPr>
      <w:r>
        <w:rPr>
          <w:rFonts w:ascii="Calibri" w:eastAsia="Calibri" w:hAnsi="Calibri" w:cs="Calibri"/>
          <w:b/>
          <w:sz w:val="30"/>
          <w:szCs w:val="30"/>
        </w:rPr>
        <w:t>Third periodic review of Kazakhstan under the International Covenant on Civil and Political Rights</w:t>
      </w:r>
    </w:p>
    <w:p w14:paraId="34B9F1F4" w14:textId="77777777" w:rsidR="006F2FF7" w:rsidRDefault="00000000">
      <w:pPr>
        <w:jc w:val="center"/>
        <w:rPr>
          <w:rFonts w:ascii="Calibri" w:eastAsia="Calibri" w:hAnsi="Calibri" w:cs="Calibri"/>
          <w:b/>
          <w:sz w:val="30"/>
          <w:szCs w:val="30"/>
        </w:rPr>
      </w:pPr>
      <w:r>
        <w:rPr>
          <w:rFonts w:ascii="Calibri" w:eastAsia="Calibri" w:hAnsi="Calibri" w:cs="Calibri"/>
          <w:b/>
          <w:sz w:val="30"/>
          <w:szCs w:val="30"/>
        </w:rPr>
        <w:t>Shadow report on the civil and political rights of people who use drugs</w:t>
      </w:r>
    </w:p>
    <w:p w14:paraId="5C83F5E8" w14:textId="77777777" w:rsidR="006F2FF7" w:rsidRDefault="006F2FF7">
      <w:pPr>
        <w:jc w:val="center"/>
        <w:rPr>
          <w:rFonts w:ascii="Calibri" w:eastAsia="Calibri" w:hAnsi="Calibri" w:cs="Calibri"/>
          <w:b/>
          <w:sz w:val="30"/>
          <w:szCs w:val="30"/>
        </w:rPr>
      </w:pPr>
    </w:p>
    <w:p w14:paraId="4D7D9E12" w14:textId="77777777" w:rsidR="006F2FF7" w:rsidRDefault="00000000">
      <w:pPr>
        <w:jc w:val="center"/>
        <w:rPr>
          <w:rFonts w:ascii="Calibri" w:eastAsia="Calibri" w:hAnsi="Calibri" w:cs="Calibri"/>
        </w:rPr>
      </w:pPr>
      <w:r>
        <w:rPr>
          <w:rFonts w:ascii="Calibri" w:eastAsia="Calibri" w:hAnsi="Calibri" w:cs="Calibri"/>
          <w:b/>
          <w:sz w:val="30"/>
          <w:szCs w:val="30"/>
        </w:rPr>
        <w:t>26 May 2025</w:t>
      </w:r>
    </w:p>
    <w:p w14:paraId="6725FBBE" w14:textId="77777777" w:rsidR="006F2FF7" w:rsidRDefault="00000000">
      <w:pPr>
        <w:rPr>
          <w:rFonts w:ascii="Calibri" w:eastAsia="Calibri" w:hAnsi="Calibri" w:cs="Calibri"/>
          <w:b/>
          <w:sz w:val="26"/>
          <w:szCs w:val="26"/>
        </w:rPr>
      </w:pPr>
      <w:r>
        <w:rPr>
          <w:rFonts w:ascii="Calibri" w:eastAsia="Calibri" w:hAnsi="Calibri" w:cs="Calibri"/>
          <w:b/>
          <w:sz w:val="26"/>
          <w:szCs w:val="26"/>
        </w:rPr>
        <w:t xml:space="preserve"> </w:t>
      </w:r>
    </w:p>
    <w:p w14:paraId="373794BF" w14:textId="77777777" w:rsidR="006F2FF7" w:rsidRDefault="006F2FF7">
      <w:pPr>
        <w:rPr>
          <w:rFonts w:ascii="Calibri" w:eastAsia="Calibri" w:hAnsi="Calibri" w:cs="Calibri"/>
        </w:rPr>
      </w:pPr>
    </w:p>
    <w:tbl>
      <w:tblPr>
        <w:tblStyle w:val="aa"/>
        <w:tblW w:w="900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3795"/>
        <w:gridCol w:w="5205"/>
      </w:tblGrid>
      <w:tr w:rsidR="006F2FF7" w14:paraId="66034DB2" w14:textId="77777777">
        <w:trPr>
          <w:trHeight w:val="2208"/>
        </w:trPr>
        <w:tc>
          <w:tcPr>
            <w:tcW w:w="3795" w:type="dxa"/>
            <w:shd w:val="clear" w:color="auto" w:fill="auto"/>
            <w:tcMar>
              <w:top w:w="100" w:type="dxa"/>
              <w:left w:w="100" w:type="dxa"/>
              <w:bottom w:w="100" w:type="dxa"/>
              <w:right w:w="100" w:type="dxa"/>
            </w:tcMar>
          </w:tcPr>
          <w:p w14:paraId="6A522C5D" w14:textId="77777777" w:rsidR="006F2FF7" w:rsidRDefault="00000000">
            <w:pPr>
              <w:widowControl w:val="0"/>
              <w:rPr>
                <w:rFonts w:ascii="Calibri" w:eastAsia="Calibri" w:hAnsi="Calibri" w:cs="Calibri"/>
                <w:b/>
              </w:rPr>
            </w:pPr>
            <w:r>
              <w:rPr>
                <w:rFonts w:ascii="Calibri" w:eastAsia="Calibri" w:hAnsi="Calibri" w:cs="Calibri"/>
                <w:b/>
              </w:rPr>
              <w:t>Eurasian Harm Reduction Association</w:t>
            </w:r>
          </w:p>
          <w:p w14:paraId="6D7CE8D7" w14:textId="77777777" w:rsidR="006F2FF7" w:rsidRDefault="00000000">
            <w:pPr>
              <w:widowControl w:val="0"/>
              <w:rPr>
                <w:rFonts w:ascii="Calibri" w:eastAsia="Calibri" w:hAnsi="Calibri" w:cs="Calibri"/>
              </w:rPr>
            </w:pPr>
            <w:hyperlink r:id="rId8">
              <w:r>
                <w:rPr>
                  <w:rFonts w:ascii="Calibri" w:eastAsia="Calibri" w:hAnsi="Calibri" w:cs="Calibri"/>
                  <w:color w:val="1155CC"/>
                  <w:u w:val="single"/>
                </w:rPr>
                <w:t>eliza@harmreductioneurasia.org</w:t>
              </w:r>
            </w:hyperlink>
            <w:r>
              <w:rPr>
                <w:rFonts w:ascii="Calibri" w:eastAsia="Calibri" w:hAnsi="Calibri" w:cs="Calibri"/>
              </w:rPr>
              <w:t xml:space="preserve"> </w:t>
            </w:r>
          </w:p>
          <w:p w14:paraId="6BFD6003" w14:textId="77777777" w:rsidR="006F2FF7" w:rsidRDefault="00000000">
            <w:pPr>
              <w:widowControl w:val="0"/>
              <w:rPr>
                <w:rFonts w:ascii="Calibri" w:eastAsia="Calibri" w:hAnsi="Calibri" w:cs="Calibri"/>
              </w:rPr>
            </w:pPr>
            <w:r>
              <w:rPr>
                <w:rFonts w:ascii="Calibri" w:eastAsia="Calibri" w:hAnsi="Calibri" w:cs="Calibri"/>
                <w:noProof/>
              </w:rPr>
              <w:drawing>
                <wp:inline distT="114300" distB="114300" distL="114300" distR="114300" wp14:anchorId="2C04B622" wp14:editId="4BCBFCDC">
                  <wp:extent cx="1838325" cy="8382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1838325" cy="838200"/>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7259401C" w14:textId="77777777" w:rsidR="006F2FF7" w:rsidRDefault="00000000">
            <w:pPr>
              <w:widowControl w:val="0"/>
              <w:shd w:val="clear" w:color="auto" w:fill="FFFFFF"/>
              <w:rPr>
                <w:rFonts w:ascii="Calibri" w:eastAsia="Calibri" w:hAnsi="Calibri" w:cs="Calibri"/>
                <w:color w:val="212529"/>
              </w:rPr>
            </w:pPr>
            <w:r>
              <w:rPr>
                <w:rFonts w:ascii="Calibri" w:eastAsia="Calibri" w:hAnsi="Calibri" w:cs="Calibri"/>
                <w:color w:val="212529"/>
              </w:rPr>
              <w:t xml:space="preserve">Eurasian Harm Reduction Association (EHRA) is a non-for-profit public membership-based organization uniting harm reduction activists and organisations from Central and Eastern Europe and Central Asia (CEECA). </w:t>
            </w:r>
          </w:p>
          <w:p w14:paraId="64FD5719" w14:textId="77777777" w:rsidR="006F2FF7" w:rsidRDefault="006F2FF7">
            <w:pPr>
              <w:widowControl w:val="0"/>
              <w:shd w:val="clear" w:color="auto" w:fill="FFFFFF"/>
              <w:rPr>
                <w:rFonts w:ascii="Calibri" w:eastAsia="Calibri" w:hAnsi="Calibri" w:cs="Calibri"/>
                <w:color w:val="212529"/>
              </w:rPr>
            </w:pPr>
          </w:p>
        </w:tc>
      </w:tr>
      <w:tr w:rsidR="006F2FF7" w14:paraId="28463E4E" w14:textId="77777777">
        <w:trPr>
          <w:trHeight w:val="2044"/>
        </w:trPr>
        <w:tc>
          <w:tcPr>
            <w:tcW w:w="3795" w:type="dxa"/>
            <w:shd w:val="clear" w:color="auto" w:fill="auto"/>
            <w:tcMar>
              <w:top w:w="100" w:type="dxa"/>
              <w:left w:w="100" w:type="dxa"/>
              <w:bottom w:w="100" w:type="dxa"/>
              <w:right w:w="100" w:type="dxa"/>
            </w:tcMar>
          </w:tcPr>
          <w:p w14:paraId="27C889EB" w14:textId="77777777" w:rsidR="006F2FF7" w:rsidRDefault="00000000">
            <w:pPr>
              <w:widowControl w:val="0"/>
              <w:rPr>
                <w:rFonts w:ascii="Calibri" w:eastAsia="Calibri" w:hAnsi="Calibri" w:cs="Calibri"/>
              </w:rPr>
            </w:pPr>
            <w:r>
              <w:rPr>
                <w:rFonts w:ascii="Calibri" w:eastAsia="Calibri" w:hAnsi="Calibri" w:cs="Calibri"/>
                <w:b/>
              </w:rPr>
              <w:t>Public Association ‘Protection of the service users' rights in the field of mental health “Overcoming”’</w:t>
            </w:r>
          </w:p>
          <w:p w14:paraId="535FD78F" w14:textId="77777777" w:rsidR="006F2FF7" w:rsidRDefault="00000000">
            <w:pPr>
              <w:widowControl w:val="0"/>
              <w:rPr>
                <w:rFonts w:ascii="Calibri" w:eastAsia="Calibri" w:hAnsi="Calibri" w:cs="Calibri"/>
                <w:color w:val="467886"/>
                <w:u w:val="single"/>
              </w:rPr>
            </w:pPr>
            <w:hyperlink r:id="rId10">
              <w:r>
                <w:rPr>
                  <w:rFonts w:ascii="Calibri" w:eastAsia="Calibri" w:hAnsi="Calibri" w:cs="Calibri"/>
                  <w:color w:val="467886"/>
                  <w:u w:val="single"/>
                </w:rPr>
                <w:t>ibragimova.plwh@gmail.com</w:t>
              </w:r>
            </w:hyperlink>
          </w:p>
          <w:p w14:paraId="1EDD64F7" w14:textId="77777777" w:rsidR="006F2FF7" w:rsidRDefault="006F2FF7">
            <w:pPr>
              <w:widowControl w:val="0"/>
              <w:rPr>
                <w:rFonts w:ascii="Calibri" w:eastAsia="Calibri" w:hAnsi="Calibri" w:cs="Calibri"/>
              </w:rPr>
            </w:pPr>
          </w:p>
        </w:tc>
        <w:tc>
          <w:tcPr>
            <w:tcW w:w="5205" w:type="dxa"/>
            <w:shd w:val="clear" w:color="auto" w:fill="auto"/>
            <w:tcMar>
              <w:top w:w="100" w:type="dxa"/>
              <w:left w:w="100" w:type="dxa"/>
              <w:bottom w:w="100" w:type="dxa"/>
              <w:right w:w="100" w:type="dxa"/>
            </w:tcMar>
          </w:tcPr>
          <w:p w14:paraId="2E770D4E" w14:textId="77777777" w:rsidR="006F2FF7" w:rsidRDefault="00000000">
            <w:pPr>
              <w:widowControl w:val="0"/>
              <w:rPr>
                <w:rFonts w:ascii="Calibri" w:eastAsia="Calibri" w:hAnsi="Calibri" w:cs="Calibri"/>
              </w:rPr>
            </w:pPr>
            <w:r>
              <w:rPr>
                <w:rFonts w:ascii="Calibri" w:eastAsia="Calibri" w:hAnsi="Calibri" w:cs="Calibri"/>
              </w:rPr>
              <w:t>‘Overcoming’ works to improve the social, economic, legal, and physical well-being of key populations—including people living with HIV, tuberculosis, substance use, and mental health conditions—based on the principles of humanity, human rights, and gender equality.</w:t>
            </w:r>
          </w:p>
        </w:tc>
      </w:tr>
      <w:tr w:rsidR="006F2FF7" w14:paraId="3F2FEEBF" w14:textId="77777777">
        <w:trPr>
          <w:trHeight w:val="2938"/>
        </w:trPr>
        <w:tc>
          <w:tcPr>
            <w:tcW w:w="3795" w:type="dxa"/>
            <w:shd w:val="clear" w:color="auto" w:fill="auto"/>
            <w:tcMar>
              <w:top w:w="100" w:type="dxa"/>
              <w:left w:w="100" w:type="dxa"/>
              <w:bottom w:w="100" w:type="dxa"/>
              <w:right w:w="100" w:type="dxa"/>
            </w:tcMar>
          </w:tcPr>
          <w:p w14:paraId="29D10F6D" w14:textId="77777777" w:rsidR="006F2FF7" w:rsidRDefault="00000000">
            <w:pPr>
              <w:widowControl w:val="0"/>
              <w:rPr>
                <w:rFonts w:ascii="Calibri" w:eastAsia="Calibri" w:hAnsi="Calibri" w:cs="Calibri"/>
              </w:rPr>
            </w:pPr>
            <w:r>
              <w:rPr>
                <w:rFonts w:ascii="Calibri" w:eastAsia="Calibri" w:hAnsi="Calibri" w:cs="Calibri"/>
                <w:b/>
              </w:rPr>
              <w:t>Public Association ‘</w:t>
            </w:r>
            <w:proofErr w:type="spellStart"/>
            <w:r>
              <w:rPr>
                <w:rFonts w:ascii="Calibri" w:eastAsia="Calibri" w:hAnsi="Calibri" w:cs="Calibri"/>
                <w:b/>
              </w:rPr>
              <w:t>Nursenim</w:t>
            </w:r>
            <w:proofErr w:type="spellEnd"/>
            <w:r>
              <w:rPr>
                <w:rFonts w:ascii="Calibri" w:eastAsia="Calibri" w:hAnsi="Calibri" w:cs="Calibri"/>
                <w:b/>
              </w:rPr>
              <w:t>’</w:t>
            </w:r>
          </w:p>
          <w:p w14:paraId="5449A150" w14:textId="77777777" w:rsidR="006F2FF7" w:rsidRDefault="00000000">
            <w:pPr>
              <w:widowControl w:val="0"/>
              <w:rPr>
                <w:rFonts w:ascii="Calibri" w:eastAsia="Calibri" w:hAnsi="Calibri" w:cs="Calibri"/>
                <w:color w:val="467886"/>
              </w:rPr>
            </w:pPr>
            <w:r>
              <w:rPr>
                <w:rFonts w:ascii="Calibri" w:eastAsia="Calibri" w:hAnsi="Calibri" w:cs="Calibri"/>
                <w:color w:val="467886"/>
              </w:rPr>
              <w:t>oo.nursenim@bk.ru</w:t>
            </w:r>
          </w:p>
          <w:p w14:paraId="27BE564D" w14:textId="77777777" w:rsidR="006F2FF7" w:rsidRDefault="00000000">
            <w:pPr>
              <w:widowControl w:val="0"/>
              <w:rPr>
                <w:rFonts w:ascii="Calibri" w:eastAsia="Calibri" w:hAnsi="Calibri" w:cs="Calibri"/>
              </w:rPr>
            </w:pPr>
            <w:r>
              <w:rPr>
                <w:rFonts w:ascii="Calibri" w:eastAsia="Calibri" w:hAnsi="Calibri" w:cs="Calibri"/>
                <w:noProof/>
              </w:rPr>
              <w:drawing>
                <wp:inline distT="114300" distB="114300" distL="114300" distR="114300" wp14:anchorId="6BB05AD6" wp14:editId="6799B88E">
                  <wp:extent cx="1277341" cy="1217088"/>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277341" cy="1217088"/>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4C019273" w14:textId="77777777" w:rsidR="006F2FF7" w:rsidRDefault="00000000">
            <w:pPr>
              <w:widowControl w:val="0"/>
              <w:rPr>
                <w:rFonts w:ascii="Calibri" w:eastAsia="Calibri" w:hAnsi="Calibri" w:cs="Calibri"/>
              </w:rPr>
            </w:pPr>
            <w:r>
              <w:rPr>
                <w:rFonts w:ascii="Calibri" w:eastAsia="Calibri" w:hAnsi="Calibri" w:cs="Calibri"/>
              </w:rPr>
              <w:t>‘</w:t>
            </w:r>
            <w:proofErr w:type="spellStart"/>
            <w:r>
              <w:rPr>
                <w:rFonts w:ascii="Calibri" w:eastAsia="Calibri" w:hAnsi="Calibri" w:cs="Calibri"/>
              </w:rPr>
              <w:t>Nursenim</w:t>
            </w:r>
            <w:proofErr w:type="spellEnd"/>
            <w:r>
              <w:rPr>
                <w:rFonts w:ascii="Calibri" w:eastAsia="Calibri" w:hAnsi="Calibri" w:cs="Calibri"/>
              </w:rPr>
              <w:t>’ is a non-profit organization whose mission is to improve the quality of life of vulnerable groups in Kazakhstan, including people living with HIV, drug users, migrants, people in detention, and those who have been released from detention.</w:t>
            </w:r>
          </w:p>
          <w:p w14:paraId="735C34BE" w14:textId="77777777" w:rsidR="006F2FF7" w:rsidRDefault="006F2FF7">
            <w:pPr>
              <w:widowControl w:val="0"/>
              <w:rPr>
                <w:rFonts w:ascii="Calibri" w:eastAsia="Calibri" w:hAnsi="Calibri" w:cs="Calibri"/>
              </w:rPr>
            </w:pPr>
          </w:p>
          <w:p w14:paraId="33605D9A" w14:textId="77777777" w:rsidR="006F2FF7" w:rsidRDefault="006F2FF7">
            <w:pPr>
              <w:widowControl w:val="0"/>
              <w:rPr>
                <w:rFonts w:ascii="Calibri" w:eastAsia="Calibri" w:hAnsi="Calibri" w:cs="Calibri"/>
              </w:rPr>
            </w:pPr>
          </w:p>
          <w:p w14:paraId="12F3AB19" w14:textId="77777777" w:rsidR="006F2FF7" w:rsidRDefault="006F2FF7">
            <w:pPr>
              <w:widowControl w:val="0"/>
              <w:rPr>
                <w:rFonts w:ascii="Calibri" w:eastAsia="Calibri" w:hAnsi="Calibri" w:cs="Calibri"/>
              </w:rPr>
            </w:pPr>
          </w:p>
          <w:p w14:paraId="28F7A2DE" w14:textId="77777777" w:rsidR="006F2FF7" w:rsidRDefault="006F2FF7">
            <w:pPr>
              <w:widowControl w:val="0"/>
              <w:rPr>
                <w:rFonts w:ascii="Calibri" w:eastAsia="Calibri" w:hAnsi="Calibri" w:cs="Calibri"/>
              </w:rPr>
            </w:pPr>
          </w:p>
        </w:tc>
      </w:tr>
      <w:tr w:rsidR="006F2FF7" w14:paraId="7548D2E3" w14:textId="77777777">
        <w:tc>
          <w:tcPr>
            <w:tcW w:w="3795" w:type="dxa"/>
            <w:shd w:val="clear" w:color="auto" w:fill="auto"/>
            <w:tcMar>
              <w:top w:w="100" w:type="dxa"/>
              <w:left w:w="100" w:type="dxa"/>
              <w:bottom w:w="100" w:type="dxa"/>
              <w:right w:w="100" w:type="dxa"/>
            </w:tcMar>
          </w:tcPr>
          <w:p w14:paraId="2CE6F5E5" w14:textId="77777777" w:rsidR="006F2FF7" w:rsidRDefault="00000000">
            <w:pPr>
              <w:widowControl w:val="0"/>
              <w:rPr>
                <w:rFonts w:ascii="Calibri" w:eastAsia="Calibri" w:hAnsi="Calibri" w:cs="Calibri"/>
                <w:b/>
              </w:rPr>
            </w:pPr>
            <w:r>
              <w:rPr>
                <w:rFonts w:ascii="Calibri" w:eastAsia="Calibri" w:hAnsi="Calibri" w:cs="Calibri"/>
                <w:b/>
              </w:rPr>
              <w:t>Association of Legal Entities ‘Central Asian Women's Network "AMAL"’</w:t>
            </w:r>
          </w:p>
          <w:p w14:paraId="33742A3C" w14:textId="77777777" w:rsidR="006F2FF7" w:rsidRDefault="00000000">
            <w:pPr>
              <w:widowControl w:val="0"/>
              <w:rPr>
                <w:rFonts w:ascii="Calibri" w:eastAsia="Calibri" w:hAnsi="Calibri" w:cs="Calibri"/>
                <w:color w:val="467886"/>
              </w:rPr>
            </w:pPr>
            <w:r>
              <w:rPr>
                <w:rFonts w:ascii="Calibri" w:eastAsia="Calibri" w:hAnsi="Calibri" w:cs="Calibri"/>
                <w:color w:val="467886"/>
              </w:rPr>
              <w:t>mankievavala@gmail.com</w:t>
            </w:r>
          </w:p>
          <w:p w14:paraId="0A8503AF" w14:textId="77777777" w:rsidR="006F2FF7" w:rsidRDefault="00000000">
            <w:pPr>
              <w:widowControl w:val="0"/>
              <w:rPr>
                <w:rFonts w:ascii="Calibri" w:eastAsia="Calibri" w:hAnsi="Calibri" w:cs="Calibri"/>
              </w:rPr>
            </w:pPr>
            <w:r>
              <w:rPr>
                <w:rFonts w:ascii="Calibri" w:eastAsia="Calibri" w:hAnsi="Calibri" w:cs="Calibri"/>
                <w:noProof/>
              </w:rPr>
              <w:drawing>
                <wp:inline distT="114300" distB="114300" distL="114300" distR="114300" wp14:anchorId="0F4A0052" wp14:editId="24FB1060">
                  <wp:extent cx="1280534" cy="966643"/>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1280534" cy="966643"/>
                          </a:xfrm>
                          <a:prstGeom prst="rect">
                            <a:avLst/>
                          </a:prstGeom>
                          <a:ln/>
                        </pic:spPr>
                      </pic:pic>
                    </a:graphicData>
                  </a:graphic>
                </wp:inline>
              </w:drawing>
            </w:r>
          </w:p>
        </w:tc>
        <w:tc>
          <w:tcPr>
            <w:tcW w:w="5205" w:type="dxa"/>
            <w:shd w:val="clear" w:color="auto" w:fill="auto"/>
            <w:tcMar>
              <w:top w:w="100" w:type="dxa"/>
              <w:left w:w="100" w:type="dxa"/>
              <w:bottom w:w="100" w:type="dxa"/>
              <w:right w:w="100" w:type="dxa"/>
            </w:tcMar>
          </w:tcPr>
          <w:p w14:paraId="2BEB19C8" w14:textId="77777777" w:rsidR="006F2FF7" w:rsidRDefault="00000000">
            <w:pPr>
              <w:widowControl w:val="0"/>
              <w:rPr>
                <w:rFonts w:ascii="Calibri" w:eastAsia="Calibri" w:hAnsi="Calibri" w:cs="Calibri"/>
              </w:rPr>
            </w:pPr>
            <w:r>
              <w:rPr>
                <w:rFonts w:ascii="Calibri" w:eastAsia="Calibri" w:hAnsi="Calibri" w:cs="Calibri"/>
              </w:rPr>
              <w:t>‘AMAL’ seeks to strengthen the capacity of civil society organizations to improve the social, economic, psychological and physical well-being of vulnerable groups, including women and girls, suffering from mental and social problems and socially significant diseases</w:t>
            </w:r>
          </w:p>
        </w:tc>
      </w:tr>
    </w:tbl>
    <w:p w14:paraId="05CF4861" w14:textId="77777777" w:rsidR="006F2FF7" w:rsidRDefault="006F2FF7">
      <w:pPr>
        <w:rPr>
          <w:rFonts w:ascii="Calibri" w:eastAsia="Calibri" w:hAnsi="Calibri" w:cs="Calibri"/>
        </w:rPr>
      </w:pPr>
    </w:p>
    <w:p w14:paraId="7C1852BA" w14:textId="77777777" w:rsidR="006F2FF7" w:rsidRDefault="00000000">
      <w:pPr>
        <w:rPr>
          <w:rFonts w:ascii="Calibri" w:eastAsia="Calibri" w:hAnsi="Calibri" w:cs="Calibri"/>
        </w:rPr>
        <w:sectPr w:rsidR="006F2FF7">
          <w:footerReference w:type="even" r:id="rId13"/>
          <w:footerReference w:type="default" r:id="rId14"/>
          <w:pgSz w:w="11909" w:h="16834"/>
          <w:pgMar w:top="1342" w:right="1440" w:bottom="1307" w:left="1440" w:header="720" w:footer="720" w:gutter="0"/>
          <w:pgNumType w:start="1"/>
          <w:cols w:space="1296"/>
        </w:sectPr>
      </w:pPr>
      <w:r>
        <w:rPr>
          <w:rFonts w:ascii="Calibri" w:eastAsia="Calibri" w:hAnsi="Calibri" w:cs="Calibri"/>
        </w:rPr>
        <w:t>Publication of this submission at OHCHR website is authorised</w:t>
      </w:r>
    </w:p>
    <w:p w14:paraId="4C2AB131" w14:textId="77777777" w:rsidR="006F2FF7" w:rsidRDefault="00000000">
      <w:pPr>
        <w:jc w:val="both"/>
        <w:rPr>
          <w:rFonts w:ascii="Calibri" w:eastAsia="Calibri" w:hAnsi="Calibri" w:cs="Calibri"/>
          <w:b/>
          <w:u w:val="single"/>
        </w:rPr>
      </w:pPr>
      <w:r>
        <w:rPr>
          <w:rFonts w:ascii="Calibri" w:eastAsia="Calibri" w:hAnsi="Calibri" w:cs="Calibri"/>
          <w:b/>
          <w:u w:val="single"/>
        </w:rPr>
        <w:lastRenderedPageBreak/>
        <w:t>Section I. Executive summary &amp; Recommended concluding observations</w:t>
      </w:r>
    </w:p>
    <w:p w14:paraId="1CDC75F3" w14:textId="77777777" w:rsidR="006F2FF7" w:rsidRDefault="006F2FF7">
      <w:pPr>
        <w:jc w:val="both"/>
        <w:rPr>
          <w:rFonts w:ascii="Calibri" w:eastAsia="Calibri" w:hAnsi="Calibri" w:cs="Calibri"/>
          <w:b/>
        </w:rPr>
      </w:pPr>
    </w:p>
    <w:p w14:paraId="50A5BA40" w14:textId="77777777" w:rsidR="006F2FF7" w:rsidRDefault="00000000">
      <w:pPr>
        <w:numPr>
          <w:ilvl w:val="0"/>
          <w:numId w:val="3"/>
        </w:numPr>
        <w:ind w:left="425" w:hanging="425"/>
        <w:jc w:val="both"/>
      </w:pPr>
      <w:r>
        <w:rPr>
          <w:rFonts w:ascii="Calibri" w:eastAsia="Calibri" w:hAnsi="Calibri" w:cs="Calibri"/>
        </w:rPr>
        <w:t>The Eurasian Harm Reduction Association (EHRA), ‘Overcoming’, ‘</w:t>
      </w:r>
      <w:proofErr w:type="spellStart"/>
      <w:r>
        <w:rPr>
          <w:rFonts w:ascii="Calibri" w:eastAsia="Calibri" w:hAnsi="Calibri" w:cs="Calibri"/>
        </w:rPr>
        <w:t>Nursenim</w:t>
      </w:r>
      <w:proofErr w:type="spellEnd"/>
      <w:r>
        <w:rPr>
          <w:rFonts w:ascii="Calibri" w:eastAsia="Calibri" w:hAnsi="Calibri" w:cs="Calibri"/>
        </w:rPr>
        <w:t>’, and ‘AMAL’, welcome the opportunity to present this shadow report ahead of the third periodic review of Kazakhstan under the International Convention on Civil and Political Rights (ICCPR).</w:t>
      </w:r>
    </w:p>
    <w:p w14:paraId="00E71454" w14:textId="77777777" w:rsidR="006F2FF7" w:rsidRDefault="006F2FF7">
      <w:pPr>
        <w:ind w:left="720"/>
        <w:jc w:val="both"/>
        <w:rPr>
          <w:rFonts w:ascii="Calibri" w:eastAsia="Calibri" w:hAnsi="Calibri" w:cs="Calibri"/>
        </w:rPr>
      </w:pPr>
    </w:p>
    <w:p w14:paraId="3C037D48" w14:textId="77777777" w:rsidR="006F2FF7" w:rsidRDefault="00000000">
      <w:pPr>
        <w:numPr>
          <w:ilvl w:val="0"/>
          <w:numId w:val="3"/>
        </w:numPr>
        <w:ind w:left="425" w:hanging="425"/>
        <w:jc w:val="both"/>
      </w:pPr>
      <w:r>
        <w:rPr>
          <w:rFonts w:ascii="Calibri" w:eastAsia="Calibri" w:hAnsi="Calibri" w:cs="Calibri"/>
        </w:rPr>
        <w:t xml:space="preserve">People who use drugs in Kazakhstan experience heightened discrimination in all spheres of interaction with state authorities and society, with a major impact on the enjoyment of their civil and political rights. This discrimination is the result of a punitive legal framework that labels, </w:t>
      </w:r>
      <w:proofErr w:type="spellStart"/>
      <w:r>
        <w:rPr>
          <w:rFonts w:ascii="Calibri" w:eastAsia="Calibri" w:hAnsi="Calibri" w:cs="Calibri"/>
        </w:rPr>
        <w:t>surveils</w:t>
      </w:r>
      <w:proofErr w:type="spellEnd"/>
      <w:r>
        <w:rPr>
          <w:rFonts w:ascii="Calibri" w:eastAsia="Calibri" w:hAnsi="Calibri" w:cs="Calibri"/>
        </w:rPr>
        <w:t>, and criminalises people who use drugs, while failing to provide the necessary care and support.</w:t>
      </w:r>
    </w:p>
    <w:p w14:paraId="6CEA17C9" w14:textId="77777777" w:rsidR="006F2FF7" w:rsidRDefault="006F2FF7">
      <w:pPr>
        <w:ind w:left="720"/>
        <w:jc w:val="both"/>
        <w:rPr>
          <w:rFonts w:ascii="Calibri" w:eastAsia="Calibri" w:hAnsi="Calibri" w:cs="Calibri"/>
        </w:rPr>
      </w:pPr>
    </w:p>
    <w:p w14:paraId="6B9F5D26" w14:textId="77777777" w:rsidR="006F2FF7" w:rsidRDefault="00000000">
      <w:pPr>
        <w:numPr>
          <w:ilvl w:val="0"/>
          <w:numId w:val="3"/>
        </w:numPr>
        <w:ind w:left="425" w:hanging="425"/>
        <w:jc w:val="both"/>
      </w:pPr>
      <w:r>
        <w:rPr>
          <w:rFonts w:ascii="Calibri" w:eastAsia="Calibri" w:hAnsi="Calibri" w:cs="Calibri"/>
        </w:rPr>
        <w:t>Through a process of close collaboration with the community of people who use drugs in Kazakhstan, we have identified several critical areas that urgently require the Committee’s attention. These are:</w:t>
      </w:r>
    </w:p>
    <w:p w14:paraId="5BC560A2" w14:textId="77777777" w:rsidR="006F2FF7" w:rsidRDefault="00000000">
      <w:pPr>
        <w:numPr>
          <w:ilvl w:val="1"/>
          <w:numId w:val="3"/>
        </w:numPr>
        <w:jc w:val="both"/>
        <w:rPr>
          <w:rFonts w:ascii="Calibri" w:eastAsia="Calibri" w:hAnsi="Calibri" w:cs="Calibri"/>
        </w:rPr>
      </w:pPr>
      <w:r>
        <w:rPr>
          <w:rFonts w:ascii="Calibri" w:eastAsia="Calibri" w:hAnsi="Calibri" w:cs="Calibri"/>
        </w:rPr>
        <w:t>Criminalisation of drug use and possession for personal use, and the rights to liberty and security of persons (art. 9 ICCPR).</w:t>
      </w:r>
    </w:p>
    <w:p w14:paraId="3E18FAFF" w14:textId="77777777" w:rsidR="006F2FF7" w:rsidRDefault="00000000">
      <w:pPr>
        <w:numPr>
          <w:ilvl w:val="1"/>
          <w:numId w:val="3"/>
        </w:numPr>
        <w:jc w:val="both"/>
        <w:rPr>
          <w:rFonts w:ascii="Calibri" w:eastAsia="Calibri" w:hAnsi="Calibri" w:cs="Calibri"/>
        </w:rPr>
      </w:pPr>
      <w:r>
        <w:rPr>
          <w:rFonts w:ascii="Calibri" w:eastAsia="Calibri" w:hAnsi="Calibri" w:cs="Calibri"/>
        </w:rPr>
        <w:t>Drug user registration and the right to privacy (art. 17 ICCPR).</w:t>
      </w:r>
    </w:p>
    <w:p w14:paraId="5F61E1CD" w14:textId="77777777" w:rsidR="006F2FF7" w:rsidRDefault="00000000">
      <w:pPr>
        <w:pStyle w:val="Heading3"/>
        <w:keepNext w:val="0"/>
        <w:keepLines w:val="0"/>
        <w:numPr>
          <w:ilvl w:val="1"/>
          <w:numId w:val="3"/>
        </w:numPr>
        <w:spacing w:before="0" w:after="0"/>
        <w:jc w:val="both"/>
        <w:rPr>
          <w:rFonts w:ascii="Calibri" w:eastAsia="Calibri" w:hAnsi="Calibri" w:cs="Calibri"/>
          <w:color w:val="000000"/>
          <w:sz w:val="22"/>
          <w:szCs w:val="22"/>
        </w:rPr>
      </w:pPr>
      <w:bookmarkStart w:id="0" w:name="_heading=h.rq83y5zfy61d" w:colFirst="0" w:colLast="0"/>
      <w:bookmarkEnd w:id="0"/>
      <w:r>
        <w:rPr>
          <w:rFonts w:ascii="Calibri" w:eastAsia="Calibri" w:hAnsi="Calibri" w:cs="Calibri"/>
          <w:color w:val="000000"/>
          <w:sz w:val="22"/>
          <w:szCs w:val="22"/>
        </w:rPr>
        <w:t>Widespread discrimination against people who use drugs, including in access to employment, housing, and social services (arts. 2, 19, 20 and 26 ICCPR).</w:t>
      </w:r>
    </w:p>
    <w:p w14:paraId="49205528" w14:textId="77777777" w:rsidR="006F2FF7" w:rsidRDefault="00000000">
      <w:pPr>
        <w:pStyle w:val="Heading3"/>
        <w:keepNext w:val="0"/>
        <w:keepLines w:val="0"/>
        <w:numPr>
          <w:ilvl w:val="1"/>
          <w:numId w:val="3"/>
        </w:numPr>
        <w:spacing w:before="0" w:after="0"/>
        <w:jc w:val="both"/>
        <w:rPr>
          <w:rFonts w:ascii="Calibri" w:eastAsia="Calibri" w:hAnsi="Calibri" w:cs="Calibri"/>
          <w:color w:val="000000"/>
          <w:sz w:val="22"/>
          <w:szCs w:val="22"/>
        </w:rPr>
      </w:pPr>
      <w:bookmarkStart w:id="1" w:name="_heading=h.nfkitsroha0l" w:colFirst="0" w:colLast="0"/>
      <w:bookmarkEnd w:id="1"/>
      <w:r>
        <w:rPr>
          <w:rFonts w:ascii="Calibri" w:eastAsia="Calibri" w:hAnsi="Calibri" w:cs="Calibri"/>
          <w:color w:val="000000"/>
          <w:sz w:val="22"/>
          <w:szCs w:val="22"/>
        </w:rPr>
        <w:t>Women who use drugs, gender equality (arts. 3 and 26 ICCPR), and violence against women and domestic violence (arts. 2, 3, 6, 7 and 26 ICCPR).</w:t>
      </w:r>
    </w:p>
    <w:p w14:paraId="786FB7A5" w14:textId="77777777" w:rsidR="006F2FF7" w:rsidRDefault="00000000">
      <w:pPr>
        <w:pStyle w:val="Heading3"/>
        <w:keepNext w:val="0"/>
        <w:keepLines w:val="0"/>
        <w:numPr>
          <w:ilvl w:val="1"/>
          <w:numId w:val="3"/>
        </w:numPr>
        <w:spacing w:before="0" w:after="0"/>
        <w:jc w:val="both"/>
        <w:rPr>
          <w:rFonts w:ascii="Calibri" w:eastAsia="Calibri" w:hAnsi="Calibri" w:cs="Calibri"/>
          <w:color w:val="000000"/>
          <w:sz w:val="22"/>
          <w:szCs w:val="22"/>
        </w:rPr>
      </w:pPr>
      <w:bookmarkStart w:id="2" w:name="_heading=h.s3uvjds0r4sk" w:colFirst="0" w:colLast="0"/>
      <w:bookmarkEnd w:id="2"/>
      <w:r>
        <w:rPr>
          <w:rFonts w:ascii="Calibri" w:eastAsia="Calibri" w:hAnsi="Calibri" w:cs="Calibri"/>
          <w:color w:val="000000"/>
          <w:sz w:val="22"/>
          <w:szCs w:val="22"/>
        </w:rPr>
        <w:t xml:space="preserve">Systemic violations of the sexual and reproductive rights of women who use </w:t>
      </w:r>
      <w:proofErr w:type="gramStart"/>
      <w:r>
        <w:rPr>
          <w:rFonts w:ascii="Calibri" w:eastAsia="Calibri" w:hAnsi="Calibri" w:cs="Calibri"/>
          <w:color w:val="000000"/>
          <w:sz w:val="22"/>
          <w:szCs w:val="22"/>
        </w:rPr>
        <w:t>drugs  (</w:t>
      </w:r>
      <w:proofErr w:type="gramEnd"/>
      <w:r>
        <w:rPr>
          <w:rFonts w:ascii="Calibri" w:eastAsia="Calibri" w:hAnsi="Calibri" w:cs="Calibri"/>
          <w:color w:val="000000"/>
          <w:sz w:val="22"/>
          <w:szCs w:val="22"/>
        </w:rPr>
        <w:t>arts. 3, 6 and 7 ICCPR).</w:t>
      </w:r>
    </w:p>
    <w:p w14:paraId="70E52628" w14:textId="77777777" w:rsidR="006F2FF7" w:rsidRDefault="00000000">
      <w:pPr>
        <w:numPr>
          <w:ilvl w:val="1"/>
          <w:numId w:val="3"/>
        </w:numPr>
        <w:rPr>
          <w:rFonts w:ascii="Calibri" w:eastAsia="Calibri" w:hAnsi="Calibri" w:cs="Calibri"/>
        </w:rPr>
      </w:pPr>
      <w:r>
        <w:rPr>
          <w:rFonts w:ascii="Calibri" w:eastAsia="Calibri" w:hAnsi="Calibri" w:cs="Calibri"/>
        </w:rPr>
        <w:t>Lack of harm reduction and HIV treatment in the community, hospitals and prisons (art. 10 ICCPR).</w:t>
      </w:r>
    </w:p>
    <w:p w14:paraId="21F5B80E" w14:textId="77777777" w:rsidR="006F2FF7" w:rsidRDefault="00000000">
      <w:pPr>
        <w:numPr>
          <w:ilvl w:val="1"/>
          <w:numId w:val="3"/>
        </w:numPr>
        <w:rPr>
          <w:rFonts w:ascii="Calibri" w:eastAsia="Calibri" w:hAnsi="Calibri" w:cs="Calibri"/>
        </w:rPr>
      </w:pPr>
      <w:r>
        <w:rPr>
          <w:rFonts w:ascii="Calibri" w:eastAsia="Calibri" w:hAnsi="Calibri" w:cs="Calibri"/>
        </w:rPr>
        <w:t>Discrimination in access to justice for people who use drugs (arts. 2 and 14 ICCPR).</w:t>
      </w:r>
    </w:p>
    <w:p w14:paraId="6AA2BDBC" w14:textId="77777777" w:rsidR="006F2FF7" w:rsidRDefault="00000000">
      <w:pPr>
        <w:pStyle w:val="Heading3"/>
        <w:keepNext w:val="0"/>
        <w:keepLines w:val="0"/>
        <w:numPr>
          <w:ilvl w:val="1"/>
          <w:numId w:val="3"/>
        </w:numPr>
        <w:spacing w:before="0" w:after="0"/>
        <w:jc w:val="both"/>
        <w:rPr>
          <w:rFonts w:ascii="Calibri" w:eastAsia="Calibri" w:hAnsi="Calibri" w:cs="Calibri"/>
          <w:color w:val="000000"/>
          <w:sz w:val="22"/>
          <w:szCs w:val="22"/>
        </w:rPr>
      </w:pPr>
      <w:bookmarkStart w:id="3" w:name="_heading=h.oqvpn6rdcgqe" w:colFirst="0" w:colLast="0"/>
      <w:bookmarkEnd w:id="3"/>
      <w:r>
        <w:rPr>
          <w:rFonts w:ascii="Calibri" w:eastAsia="Calibri" w:hAnsi="Calibri" w:cs="Calibri"/>
          <w:color w:val="000000"/>
          <w:sz w:val="22"/>
          <w:szCs w:val="22"/>
        </w:rPr>
        <w:t>Freedom of association and the right to participate in public life (arts. 22, 25 and 26 ICCPR).</w:t>
      </w:r>
    </w:p>
    <w:p w14:paraId="0055CE89" w14:textId="77777777" w:rsidR="006F2FF7" w:rsidRDefault="006F2FF7">
      <w:pPr>
        <w:jc w:val="both"/>
        <w:rPr>
          <w:rFonts w:ascii="Calibri" w:eastAsia="Calibri" w:hAnsi="Calibri" w:cs="Calibri"/>
        </w:rPr>
      </w:pPr>
    </w:p>
    <w:p w14:paraId="76E10D32" w14:textId="77777777" w:rsidR="006F2FF7" w:rsidRDefault="00000000">
      <w:pPr>
        <w:numPr>
          <w:ilvl w:val="0"/>
          <w:numId w:val="3"/>
        </w:numPr>
        <w:ind w:left="425" w:hanging="425"/>
        <w:jc w:val="both"/>
        <w:rPr>
          <w:rFonts w:ascii="Calibri" w:eastAsia="Calibri" w:hAnsi="Calibri" w:cs="Calibri"/>
        </w:rPr>
      </w:pPr>
      <w:r>
        <w:rPr>
          <w:rFonts w:ascii="Calibri" w:eastAsia="Calibri" w:hAnsi="Calibri" w:cs="Calibri"/>
        </w:rPr>
        <w:t>Rather than taking these issues one-by-one, addressing them requires a comprehensive shift in the national drug policy in Kazakhstan. Therefore,</w:t>
      </w:r>
      <w:r>
        <w:rPr>
          <w:rFonts w:ascii="Calibri" w:eastAsia="Calibri" w:hAnsi="Calibri" w:cs="Calibri"/>
          <w:b/>
        </w:rPr>
        <w:t xml:space="preserve"> we urge the Committee to recommend that Kazakhstan moves away from a punitive paradigm based on criminalisation and discrimination, to an approach based on human rights and health, and in line with the International Covenant on Civil and Political Rights</w:t>
      </w:r>
      <w:r>
        <w:rPr>
          <w:rFonts w:ascii="Calibri" w:eastAsia="Calibri" w:hAnsi="Calibri" w:cs="Calibri"/>
        </w:rPr>
        <w:t xml:space="preserve">. </w:t>
      </w:r>
    </w:p>
    <w:p w14:paraId="32C4368B" w14:textId="77777777" w:rsidR="006F2FF7" w:rsidRDefault="006F2FF7">
      <w:pPr>
        <w:ind w:left="720"/>
        <w:jc w:val="both"/>
        <w:rPr>
          <w:rFonts w:ascii="Calibri" w:eastAsia="Calibri" w:hAnsi="Calibri" w:cs="Calibri"/>
        </w:rPr>
      </w:pPr>
    </w:p>
    <w:p w14:paraId="2C6D52A1" w14:textId="77777777" w:rsidR="006F2FF7" w:rsidRDefault="00000000">
      <w:pPr>
        <w:numPr>
          <w:ilvl w:val="0"/>
          <w:numId w:val="3"/>
        </w:numPr>
        <w:ind w:left="425" w:hanging="425"/>
        <w:jc w:val="both"/>
      </w:pPr>
      <w:r>
        <w:rPr>
          <w:rFonts w:ascii="Calibri" w:eastAsia="Calibri" w:hAnsi="Calibri" w:cs="Calibri"/>
        </w:rPr>
        <w:t>To effectuate this shift, Kazakhstan should as a matter of urgency move to decriminalise drug use and possession for personal use; eliminate discriminatory practices like the ‘drug user registry’; and ensure access to life-saving harm reduction, such as opioid agonist treatment.</w:t>
      </w:r>
    </w:p>
    <w:p w14:paraId="7907C60C" w14:textId="77777777" w:rsidR="006F2FF7" w:rsidRDefault="00000000">
      <w:pPr>
        <w:ind w:left="720"/>
        <w:jc w:val="both"/>
        <w:rPr>
          <w:rFonts w:ascii="Calibri" w:eastAsia="Calibri" w:hAnsi="Calibri" w:cs="Calibri"/>
        </w:rPr>
      </w:pPr>
      <w:r>
        <w:rPr>
          <w:rFonts w:ascii="Calibri" w:eastAsia="Calibri" w:hAnsi="Calibri" w:cs="Calibri"/>
        </w:rPr>
        <w:t xml:space="preserve"> </w:t>
      </w:r>
    </w:p>
    <w:p w14:paraId="3A45B937" w14:textId="77777777" w:rsidR="006F2FF7" w:rsidRDefault="00000000">
      <w:pPr>
        <w:numPr>
          <w:ilvl w:val="0"/>
          <w:numId w:val="3"/>
        </w:numPr>
        <w:ind w:left="425" w:hanging="425"/>
        <w:jc w:val="both"/>
      </w:pPr>
      <w:r>
        <w:rPr>
          <w:rFonts w:ascii="Calibri" w:eastAsia="Calibri" w:hAnsi="Calibri" w:cs="Calibri"/>
        </w:rPr>
        <w:t xml:space="preserve">We also asked community participants what needs to change in the legal and policy frameworks of Kazakhstan </w:t>
      </w:r>
      <w:proofErr w:type="gramStart"/>
      <w:r>
        <w:rPr>
          <w:rFonts w:ascii="Calibri" w:eastAsia="Calibri" w:hAnsi="Calibri" w:cs="Calibri"/>
        </w:rPr>
        <w:t>in order to</w:t>
      </w:r>
      <w:proofErr w:type="gramEnd"/>
      <w:r>
        <w:rPr>
          <w:rFonts w:ascii="Calibri" w:eastAsia="Calibri" w:hAnsi="Calibri" w:cs="Calibri"/>
        </w:rPr>
        <w:t xml:space="preserve"> protect and fulfil the dignity and rights of people who use drugs. Their answer is reproduced below, with the respectful suggestion that these recommendations are taken into consideration in the concluding observations provided to Kazakhstan. </w:t>
      </w:r>
    </w:p>
    <w:p w14:paraId="1FDF3A64" w14:textId="77777777" w:rsidR="006F2FF7" w:rsidRDefault="006F2FF7">
      <w:pPr>
        <w:jc w:val="both"/>
        <w:rPr>
          <w:rFonts w:ascii="Calibri" w:eastAsia="Calibri" w:hAnsi="Calibri" w:cs="Calibri"/>
          <w:b/>
        </w:rPr>
      </w:pPr>
    </w:p>
    <w:p w14:paraId="51CFC5C6" w14:textId="77777777" w:rsidR="006F2FF7" w:rsidRDefault="00000000">
      <w:pPr>
        <w:jc w:val="both"/>
        <w:rPr>
          <w:rFonts w:ascii="Calibri" w:eastAsia="Calibri" w:hAnsi="Calibri" w:cs="Calibri"/>
          <w:b/>
        </w:rPr>
      </w:pPr>
      <w:r>
        <w:rPr>
          <w:rFonts w:ascii="Calibri" w:eastAsia="Calibri" w:hAnsi="Calibri" w:cs="Calibri"/>
          <w:b/>
        </w:rPr>
        <w:t xml:space="preserve">Liberty and security of persons (art. 9 ICCPR): Review the criminal legal framework for drug offences </w:t>
      </w:r>
      <w:proofErr w:type="gramStart"/>
      <w:r>
        <w:rPr>
          <w:rFonts w:ascii="Calibri" w:eastAsia="Calibri" w:hAnsi="Calibri" w:cs="Calibri"/>
          <w:b/>
        </w:rPr>
        <w:t>in order to</w:t>
      </w:r>
      <w:proofErr w:type="gramEnd"/>
      <w:r>
        <w:rPr>
          <w:rFonts w:ascii="Calibri" w:eastAsia="Calibri" w:hAnsi="Calibri" w:cs="Calibri"/>
          <w:b/>
        </w:rPr>
        <w:t xml:space="preserve"> ground it on human rights, including through the decriminalisation of drug use and possession for personal use.</w:t>
      </w:r>
    </w:p>
    <w:p w14:paraId="2AE326A8" w14:textId="77777777" w:rsidR="006F2FF7" w:rsidRDefault="006F2FF7">
      <w:pPr>
        <w:ind w:left="720"/>
        <w:jc w:val="both"/>
        <w:rPr>
          <w:rFonts w:ascii="Calibri" w:eastAsia="Calibri" w:hAnsi="Calibri" w:cs="Calibri"/>
          <w:b/>
        </w:rPr>
      </w:pPr>
    </w:p>
    <w:p w14:paraId="674EB9D2" w14:textId="77777777" w:rsidR="006F2FF7" w:rsidRDefault="00000000">
      <w:pPr>
        <w:numPr>
          <w:ilvl w:val="0"/>
          <w:numId w:val="2"/>
        </w:numPr>
        <w:jc w:val="both"/>
        <w:rPr>
          <w:rFonts w:ascii="Calibri" w:eastAsia="Calibri" w:hAnsi="Calibri" w:cs="Calibri"/>
        </w:rPr>
      </w:pPr>
      <w:r>
        <w:rPr>
          <w:rFonts w:ascii="Calibri" w:eastAsia="Calibri" w:hAnsi="Calibri" w:cs="Calibri"/>
        </w:rPr>
        <w:t xml:space="preserve">Abolish Article 440-1 of the Code of Administrative Offences and revise Article 296 of the Criminal Code </w:t>
      </w:r>
      <w:proofErr w:type="gramStart"/>
      <w:r>
        <w:rPr>
          <w:rFonts w:ascii="Calibri" w:eastAsia="Calibri" w:hAnsi="Calibri" w:cs="Calibri"/>
        </w:rPr>
        <w:t>in order to</w:t>
      </w:r>
      <w:proofErr w:type="gramEnd"/>
      <w:r>
        <w:rPr>
          <w:rFonts w:ascii="Calibri" w:eastAsia="Calibri" w:hAnsi="Calibri" w:cs="Calibri"/>
        </w:rPr>
        <w:t xml:space="preserve"> decriminalise drug use and possession exclusively for personal use, thus reducing stigma and discrimination against people who use </w:t>
      </w:r>
      <w:proofErr w:type="gramStart"/>
      <w:r>
        <w:rPr>
          <w:rFonts w:ascii="Calibri" w:eastAsia="Calibri" w:hAnsi="Calibri" w:cs="Calibri"/>
        </w:rPr>
        <w:t>drugs, and</w:t>
      </w:r>
      <w:proofErr w:type="gramEnd"/>
      <w:r>
        <w:rPr>
          <w:rFonts w:ascii="Calibri" w:eastAsia="Calibri" w:hAnsi="Calibri" w:cs="Calibri"/>
        </w:rPr>
        <w:t xml:space="preserve"> ensuring that they have access to health care and social services.</w:t>
      </w:r>
    </w:p>
    <w:p w14:paraId="523B8F5F" w14:textId="77777777" w:rsidR="006F2FF7" w:rsidRDefault="00000000">
      <w:pPr>
        <w:numPr>
          <w:ilvl w:val="0"/>
          <w:numId w:val="2"/>
        </w:numPr>
        <w:jc w:val="both"/>
        <w:rPr>
          <w:rFonts w:ascii="Calibri" w:eastAsia="Calibri" w:hAnsi="Calibri" w:cs="Calibri"/>
        </w:rPr>
      </w:pPr>
      <w:r>
        <w:rPr>
          <w:rFonts w:ascii="Calibri" w:eastAsia="Calibri" w:hAnsi="Calibri" w:cs="Calibri"/>
        </w:rPr>
        <w:t xml:space="preserve">Eliminate the ‘social distribution’ doctrine that treats shared use as a drug supply </w:t>
      </w:r>
      <w:proofErr w:type="gramStart"/>
      <w:r>
        <w:rPr>
          <w:rFonts w:ascii="Calibri" w:eastAsia="Calibri" w:hAnsi="Calibri" w:cs="Calibri"/>
        </w:rPr>
        <w:t>offence, and</w:t>
      </w:r>
      <w:proofErr w:type="gramEnd"/>
      <w:r>
        <w:rPr>
          <w:rFonts w:ascii="Calibri" w:eastAsia="Calibri" w:hAnsi="Calibri" w:cs="Calibri"/>
        </w:rPr>
        <w:t xml:space="preserve"> review the proportionality of punishment for drug supply activities, including the criminal offence for ‘tagging’.</w:t>
      </w:r>
    </w:p>
    <w:p w14:paraId="51F8006F" w14:textId="77777777" w:rsidR="006F2FF7" w:rsidRDefault="006F2FF7">
      <w:pPr>
        <w:jc w:val="both"/>
        <w:rPr>
          <w:rFonts w:ascii="Calibri" w:eastAsia="Calibri" w:hAnsi="Calibri" w:cs="Calibri"/>
        </w:rPr>
      </w:pPr>
    </w:p>
    <w:p w14:paraId="323582C2" w14:textId="77777777" w:rsidR="006F2FF7" w:rsidRDefault="00000000">
      <w:pPr>
        <w:jc w:val="both"/>
        <w:rPr>
          <w:rFonts w:ascii="Calibri" w:eastAsia="Calibri" w:hAnsi="Calibri" w:cs="Calibri"/>
          <w:b/>
        </w:rPr>
      </w:pPr>
      <w:r>
        <w:rPr>
          <w:rFonts w:ascii="Calibri" w:eastAsia="Calibri" w:hAnsi="Calibri" w:cs="Calibri"/>
          <w:b/>
        </w:rPr>
        <w:t>Privacy (art. 17 ICCPR): Review and eliminate the registry of drug users.</w:t>
      </w:r>
    </w:p>
    <w:p w14:paraId="49E61D8C" w14:textId="77777777" w:rsidR="006F2FF7" w:rsidRDefault="00000000">
      <w:pPr>
        <w:numPr>
          <w:ilvl w:val="0"/>
          <w:numId w:val="2"/>
        </w:numPr>
        <w:jc w:val="both"/>
        <w:rPr>
          <w:rFonts w:ascii="Calibri" w:eastAsia="Calibri" w:hAnsi="Calibri" w:cs="Calibri"/>
        </w:rPr>
      </w:pPr>
      <w:r>
        <w:rPr>
          <w:rFonts w:ascii="Calibri" w:eastAsia="Calibri" w:hAnsi="Calibri" w:cs="Calibri"/>
        </w:rPr>
        <w:t>Put an end to the registry of drug users and other surveillance systems (e.g. narcological records) that lead to widespread discrimination against people who use drugs.</w:t>
      </w:r>
    </w:p>
    <w:p w14:paraId="1C08723B" w14:textId="77777777" w:rsidR="006F2FF7" w:rsidRDefault="006F2FF7">
      <w:pPr>
        <w:jc w:val="both"/>
        <w:rPr>
          <w:rFonts w:ascii="Calibri" w:eastAsia="Calibri" w:hAnsi="Calibri" w:cs="Calibri"/>
          <w:b/>
        </w:rPr>
      </w:pPr>
    </w:p>
    <w:p w14:paraId="0B130A44" w14:textId="77777777" w:rsidR="006F2FF7" w:rsidRDefault="00000000">
      <w:pPr>
        <w:jc w:val="both"/>
        <w:rPr>
          <w:rFonts w:ascii="Calibri" w:eastAsia="Calibri" w:hAnsi="Calibri" w:cs="Calibri"/>
          <w:b/>
        </w:rPr>
      </w:pPr>
      <w:r>
        <w:rPr>
          <w:rFonts w:ascii="Calibri" w:eastAsia="Calibri" w:hAnsi="Calibri" w:cs="Calibri"/>
          <w:b/>
        </w:rPr>
        <w:t>Prohibition of discrimination (art. 2 ICCPR): Remove stigma and stereotypes against people who use drugs.</w:t>
      </w:r>
    </w:p>
    <w:p w14:paraId="747D9B75" w14:textId="77777777" w:rsidR="006F2FF7" w:rsidRDefault="00000000">
      <w:pPr>
        <w:numPr>
          <w:ilvl w:val="0"/>
          <w:numId w:val="2"/>
        </w:numPr>
        <w:jc w:val="both"/>
        <w:rPr>
          <w:rFonts w:ascii="Calibri" w:eastAsia="Calibri" w:hAnsi="Calibri" w:cs="Calibri"/>
        </w:rPr>
      </w:pPr>
      <w:r>
        <w:rPr>
          <w:rFonts w:ascii="Calibri" w:eastAsia="Calibri" w:hAnsi="Calibri" w:cs="Calibri"/>
        </w:rPr>
        <w:t>Take active measures to remove stigma and harmful stereotypes against people who use drugs.</w:t>
      </w:r>
    </w:p>
    <w:p w14:paraId="11C1BFA8" w14:textId="77777777" w:rsidR="006F2FF7" w:rsidRDefault="00000000">
      <w:pPr>
        <w:numPr>
          <w:ilvl w:val="0"/>
          <w:numId w:val="2"/>
        </w:numPr>
        <w:jc w:val="both"/>
        <w:rPr>
          <w:rFonts w:ascii="Calibri" w:eastAsia="Calibri" w:hAnsi="Calibri" w:cs="Calibri"/>
        </w:rPr>
      </w:pPr>
      <w:r>
        <w:rPr>
          <w:rFonts w:ascii="Calibri" w:eastAsia="Calibri" w:hAnsi="Calibri" w:cs="Calibri"/>
        </w:rPr>
        <w:t>Ensure free and accessible medical certificates for employment that do not discriminate based on history of drug use or dependence.</w:t>
      </w:r>
    </w:p>
    <w:p w14:paraId="50E25617" w14:textId="77777777" w:rsidR="006F2FF7" w:rsidRDefault="00000000">
      <w:pPr>
        <w:numPr>
          <w:ilvl w:val="0"/>
          <w:numId w:val="2"/>
        </w:numPr>
        <w:jc w:val="both"/>
        <w:rPr>
          <w:rFonts w:ascii="Calibri" w:eastAsia="Calibri" w:hAnsi="Calibri" w:cs="Calibri"/>
        </w:rPr>
      </w:pPr>
      <w:r>
        <w:rPr>
          <w:rFonts w:ascii="Calibri" w:eastAsia="Calibri" w:hAnsi="Calibri" w:cs="Calibri"/>
        </w:rPr>
        <w:t>Recognise drug dependence as a medical condition, not a moral failing or criminal issue. Train all healthcare professionals—including gynaecologists, narcologists, and general practitioners—on this basis.</w:t>
      </w:r>
    </w:p>
    <w:p w14:paraId="160D83D4" w14:textId="77777777" w:rsidR="006F2FF7" w:rsidRDefault="00000000">
      <w:pPr>
        <w:numPr>
          <w:ilvl w:val="0"/>
          <w:numId w:val="2"/>
        </w:numPr>
        <w:jc w:val="both"/>
        <w:rPr>
          <w:rFonts w:ascii="Calibri" w:eastAsia="Calibri" w:hAnsi="Calibri" w:cs="Calibri"/>
        </w:rPr>
      </w:pPr>
      <w:r>
        <w:rPr>
          <w:rFonts w:ascii="Calibri" w:eastAsia="Calibri" w:hAnsi="Calibri" w:cs="Calibri"/>
        </w:rPr>
        <w:t>Establish mandatory sensitivity training and continuing education for healthcare providers to reduce stigma, ensure respectful communication, and guarantee confidentiality.</w:t>
      </w:r>
    </w:p>
    <w:p w14:paraId="1F871CD5" w14:textId="77777777" w:rsidR="006F2FF7" w:rsidRDefault="006F2FF7">
      <w:pPr>
        <w:jc w:val="both"/>
        <w:rPr>
          <w:rFonts w:ascii="Calibri" w:eastAsia="Calibri" w:hAnsi="Calibri" w:cs="Calibri"/>
        </w:rPr>
      </w:pPr>
    </w:p>
    <w:p w14:paraId="1D69CF6D" w14:textId="77777777" w:rsidR="006F2FF7" w:rsidRDefault="00000000">
      <w:pPr>
        <w:jc w:val="both"/>
        <w:rPr>
          <w:rFonts w:ascii="Calibri" w:eastAsia="Calibri" w:hAnsi="Calibri" w:cs="Calibri"/>
          <w:b/>
        </w:rPr>
      </w:pPr>
      <w:r>
        <w:rPr>
          <w:rFonts w:ascii="Calibri" w:eastAsia="Calibri" w:hAnsi="Calibri" w:cs="Calibri"/>
          <w:b/>
        </w:rPr>
        <w:t>Gender equality and gender-based violence (arts. 2, 3, 6, 7 and 26 ICCPR).</w:t>
      </w:r>
    </w:p>
    <w:p w14:paraId="7F475D57" w14:textId="77777777" w:rsidR="006F2FF7" w:rsidRDefault="00000000">
      <w:pPr>
        <w:numPr>
          <w:ilvl w:val="0"/>
          <w:numId w:val="2"/>
        </w:numPr>
        <w:jc w:val="both"/>
        <w:rPr>
          <w:rFonts w:ascii="Calibri" w:eastAsia="Calibri" w:hAnsi="Calibri" w:cs="Calibri"/>
        </w:rPr>
      </w:pPr>
      <w:r>
        <w:rPr>
          <w:rFonts w:ascii="Calibri" w:eastAsia="Calibri" w:hAnsi="Calibri" w:cs="Calibri"/>
        </w:rPr>
        <w:t>Create and implement standardised medical protocols for the treatment of pregnant women who use drugs, ensuring access to pain relief and non-discriminatory care.</w:t>
      </w:r>
    </w:p>
    <w:p w14:paraId="6FD4BD27" w14:textId="77777777" w:rsidR="006F2FF7" w:rsidRDefault="00000000">
      <w:pPr>
        <w:numPr>
          <w:ilvl w:val="0"/>
          <w:numId w:val="2"/>
        </w:numPr>
        <w:jc w:val="both"/>
        <w:rPr>
          <w:rFonts w:ascii="Calibri" w:eastAsia="Calibri" w:hAnsi="Calibri" w:cs="Calibri"/>
        </w:rPr>
      </w:pPr>
      <w:r>
        <w:rPr>
          <w:rFonts w:ascii="Calibri" w:eastAsia="Calibri" w:hAnsi="Calibri" w:cs="Calibri"/>
        </w:rPr>
        <w:t>Develop a gender-sensitive healthcare infrastructure, including private testing areas, gender-separated facilities, and respectful intake processes that preserve dignity.</w:t>
      </w:r>
    </w:p>
    <w:p w14:paraId="4F696665" w14:textId="77777777" w:rsidR="006F2FF7" w:rsidRDefault="00000000">
      <w:pPr>
        <w:numPr>
          <w:ilvl w:val="0"/>
          <w:numId w:val="2"/>
        </w:numPr>
        <w:jc w:val="both"/>
        <w:rPr>
          <w:rFonts w:ascii="Calibri" w:eastAsia="Calibri" w:hAnsi="Calibri" w:cs="Calibri"/>
        </w:rPr>
      </w:pPr>
      <w:r>
        <w:rPr>
          <w:rFonts w:ascii="Calibri" w:eastAsia="Calibri" w:hAnsi="Calibri" w:cs="Calibri"/>
        </w:rPr>
        <w:t xml:space="preserve">Ensure that custody of children is not removed based on drug use or drug dependence alone, but only </w:t>
      </w:r>
      <w:proofErr w:type="gramStart"/>
      <w:r>
        <w:rPr>
          <w:rFonts w:ascii="Calibri" w:eastAsia="Calibri" w:hAnsi="Calibri" w:cs="Calibri"/>
        </w:rPr>
        <w:t>in light of</w:t>
      </w:r>
      <w:proofErr w:type="gramEnd"/>
      <w:r>
        <w:rPr>
          <w:rFonts w:ascii="Calibri" w:eastAsia="Calibri" w:hAnsi="Calibri" w:cs="Calibri"/>
        </w:rPr>
        <w:t xml:space="preserve"> objective presence of abuse or neglect.</w:t>
      </w:r>
    </w:p>
    <w:p w14:paraId="198A19D2" w14:textId="77777777" w:rsidR="006F2FF7" w:rsidRDefault="006F2FF7">
      <w:pPr>
        <w:jc w:val="both"/>
        <w:rPr>
          <w:rFonts w:ascii="Calibri" w:eastAsia="Calibri" w:hAnsi="Calibri" w:cs="Calibri"/>
        </w:rPr>
      </w:pPr>
    </w:p>
    <w:p w14:paraId="620D3AB2" w14:textId="77777777" w:rsidR="006F2FF7" w:rsidRDefault="00000000">
      <w:pPr>
        <w:pStyle w:val="Heading3"/>
        <w:keepNext w:val="0"/>
        <w:keepLines w:val="0"/>
        <w:spacing w:before="0" w:after="0"/>
        <w:jc w:val="both"/>
        <w:rPr>
          <w:rFonts w:ascii="Calibri" w:eastAsia="Calibri" w:hAnsi="Calibri" w:cs="Calibri"/>
          <w:color w:val="000000"/>
          <w:sz w:val="22"/>
          <w:szCs w:val="22"/>
        </w:rPr>
      </w:pPr>
      <w:bookmarkStart w:id="4" w:name="_heading=h.ctxwzijx531q" w:colFirst="0" w:colLast="0"/>
      <w:bookmarkEnd w:id="4"/>
      <w:r>
        <w:rPr>
          <w:rFonts w:ascii="Calibri" w:eastAsia="Calibri" w:hAnsi="Calibri" w:cs="Calibri"/>
          <w:b/>
          <w:color w:val="000000"/>
          <w:sz w:val="22"/>
          <w:szCs w:val="22"/>
        </w:rPr>
        <w:t>Sexual and reproductive rights (arts. 3, 6 and 7 ICCPR).</w:t>
      </w:r>
    </w:p>
    <w:p w14:paraId="30919B5A" w14:textId="77777777" w:rsidR="006F2FF7" w:rsidRDefault="00000000">
      <w:pPr>
        <w:numPr>
          <w:ilvl w:val="0"/>
          <w:numId w:val="2"/>
        </w:numPr>
        <w:jc w:val="both"/>
        <w:rPr>
          <w:rFonts w:ascii="Calibri" w:eastAsia="Calibri" w:hAnsi="Calibri" w:cs="Calibri"/>
        </w:rPr>
      </w:pPr>
      <w:r>
        <w:rPr>
          <w:rFonts w:ascii="Calibri" w:eastAsia="Calibri" w:hAnsi="Calibri" w:cs="Calibri"/>
        </w:rPr>
        <w:t>Guarantee confidential &amp; respectful reproductive health services, including non-coercive abortion care and access to contraception, and end forced sterilization practice.</w:t>
      </w:r>
    </w:p>
    <w:p w14:paraId="5D01999F" w14:textId="77777777" w:rsidR="006F2FF7" w:rsidRDefault="00000000">
      <w:pPr>
        <w:numPr>
          <w:ilvl w:val="0"/>
          <w:numId w:val="2"/>
        </w:numPr>
        <w:jc w:val="both"/>
        <w:rPr>
          <w:rFonts w:ascii="Calibri" w:eastAsia="Calibri" w:hAnsi="Calibri" w:cs="Calibri"/>
        </w:rPr>
      </w:pPr>
      <w:r>
        <w:rPr>
          <w:rFonts w:ascii="Calibri" w:eastAsia="Calibri" w:hAnsi="Calibri" w:cs="Calibri"/>
        </w:rPr>
        <w:t>Train providers to respect the bodily autonomy of women who use drugs and to ensure privacy during exams or procedures.</w:t>
      </w:r>
    </w:p>
    <w:p w14:paraId="216F3F02" w14:textId="77777777" w:rsidR="006F2FF7" w:rsidRDefault="00000000">
      <w:pPr>
        <w:numPr>
          <w:ilvl w:val="0"/>
          <w:numId w:val="2"/>
        </w:numPr>
        <w:jc w:val="both"/>
        <w:rPr>
          <w:rFonts w:ascii="Calibri" w:eastAsia="Calibri" w:hAnsi="Calibri" w:cs="Calibri"/>
        </w:rPr>
      </w:pPr>
      <w:r>
        <w:rPr>
          <w:rFonts w:ascii="Calibri" w:eastAsia="Calibri" w:hAnsi="Calibri" w:cs="Calibri"/>
        </w:rPr>
        <w:t>Provide sexual and reproductive health support in prisons, including access to gynaecologists and relevant specialists.</w:t>
      </w:r>
    </w:p>
    <w:p w14:paraId="43D0E5D3" w14:textId="77777777" w:rsidR="006F2FF7" w:rsidRDefault="00000000">
      <w:pPr>
        <w:jc w:val="both"/>
        <w:rPr>
          <w:rFonts w:ascii="Calibri" w:eastAsia="Calibri" w:hAnsi="Calibri" w:cs="Calibri"/>
          <w:b/>
        </w:rPr>
      </w:pPr>
      <w:r>
        <w:rPr>
          <w:rFonts w:ascii="Calibri" w:eastAsia="Calibri" w:hAnsi="Calibri" w:cs="Calibri"/>
          <w:b/>
        </w:rPr>
        <w:t>Guarantee access to harm reduction (including OAT) in the community, hospitals, and prisons (arts. 6, 7, and 10 ICCPR).</w:t>
      </w:r>
    </w:p>
    <w:p w14:paraId="400DAF09" w14:textId="77777777" w:rsidR="006F2FF7" w:rsidRDefault="00000000">
      <w:pPr>
        <w:numPr>
          <w:ilvl w:val="0"/>
          <w:numId w:val="2"/>
        </w:numPr>
        <w:jc w:val="both"/>
        <w:rPr>
          <w:rFonts w:ascii="Calibri" w:eastAsia="Calibri" w:hAnsi="Calibri" w:cs="Calibri"/>
        </w:rPr>
      </w:pPr>
      <w:r>
        <w:rPr>
          <w:rFonts w:ascii="Calibri" w:eastAsia="Calibri" w:hAnsi="Calibri" w:cs="Calibri"/>
        </w:rPr>
        <w:t xml:space="preserve">Expand existing Opioid Agonist Treatment (OAT) programmes beyond the current ‘pilot programme’ approach, </w:t>
      </w:r>
      <w:proofErr w:type="gramStart"/>
      <w:r>
        <w:rPr>
          <w:rFonts w:ascii="Calibri" w:eastAsia="Calibri" w:hAnsi="Calibri" w:cs="Calibri"/>
        </w:rPr>
        <w:t>in order to</w:t>
      </w:r>
      <w:proofErr w:type="gramEnd"/>
      <w:r>
        <w:rPr>
          <w:rFonts w:ascii="Calibri" w:eastAsia="Calibri" w:hAnsi="Calibri" w:cs="Calibri"/>
        </w:rPr>
        <w:t xml:space="preserve"> ultimately achieve universal OAT coverage, paying particular attention to ensuring continuity of treatment in prisons. To that end, remove </w:t>
      </w:r>
      <w:proofErr w:type="spellStart"/>
      <w:r>
        <w:rPr>
          <w:rFonts w:ascii="Calibri" w:eastAsia="Calibri" w:hAnsi="Calibri" w:cs="Calibri"/>
        </w:rPr>
        <w:t>enrollment</w:t>
      </w:r>
      <w:proofErr w:type="spellEnd"/>
      <w:r>
        <w:rPr>
          <w:rFonts w:ascii="Calibri" w:eastAsia="Calibri" w:hAnsi="Calibri" w:cs="Calibri"/>
        </w:rPr>
        <w:t xml:space="preserve"> freezes, allow new patients to join OAT programmes, put in place take-home OAT programmes, and integrate OAT in various health care settings.</w:t>
      </w:r>
    </w:p>
    <w:p w14:paraId="6800CEDF" w14:textId="77777777" w:rsidR="006F2FF7" w:rsidRDefault="00000000">
      <w:pPr>
        <w:numPr>
          <w:ilvl w:val="0"/>
          <w:numId w:val="2"/>
        </w:numPr>
        <w:jc w:val="both"/>
        <w:rPr>
          <w:rFonts w:ascii="Calibri" w:eastAsia="Calibri" w:hAnsi="Calibri" w:cs="Calibri"/>
        </w:rPr>
      </w:pPr>
      <w:r>
        <w:rPr>
          <w:rFonts w:ascii="Calibri" w:eastAsia="Calibri" w:hAnsi="Calibri" w:cs="Calibri"/>
        </w:rPr>
        <w:t xml:space="preserve">Ensure the continuity of access to OAT or HIV treatment for people who are interned in hospitals or deprived of liberty in prisons. </w:t>
      </w:r>
    </w:p>
    <w:p w14:paraId="020D42B7" w14:textId="77777777" w:rsidR="006F2FF7" w:rsidRDefault="00000000">
      <w:pPr>
        <w:numPr>
          <w:ilvl w:val="0"/>
          <w:numId w:val="2"/>
        </w:numPr>
        <w:jc w:val="both"/>
        <w:rPr>
          <w:rFonts w:ascii="Calibri" w:eastAsia="Calibri" w:hAnsi="Calibri" w:cs="Calibri"/>
        </w:rPr>
      </w:pPr>
      <w:r>
        <w:rPr>
          <w:rFonts w:ascii="Calibri" w:eastAsia="Calibri" w:hAnsi="Calibri" w:cs="Calibri"/>
        </w:rPr>
        <w:t>Expand harm reduction services tailored to women, including those with children or experiencing gender-based violence.</w:t>
      </w:r>
    </w:p>
    <w:p w14:paraId="51C52A11" w14:textId="77777777" w:rsidR="006F2FF7" w:rsidRDefault="006F2FF7">
      <w:pPr>
        <w:ind w:left="1080"/>
        <w:jc w:val="both"/>
        <w:rPr>
          <w:rFonts w:ascii="Calibri" w:eastAsia="Calibri" w:hAnsi="Calibri" w:cs="Calibri"/>
        </w:rPr>
      </w:pPr>
    </w:p>
    <w:p w14:paraId="13EBA1E0" w14:textId="77777777" w:rsidR="006F2FF7" w:rsidRDefault="006F2FF7">
      <w:pPr>
        <w:jc w:val="both"/>
        <w:rPr>
          <w:rFonts w:ascii="Calibri" w:eastAsia="Calibri" w:hAnsi="Calibri" w:cs="Calibri"/>
        </w:rPr>
      </w:pPr>
    </w:p>
    <w:p w14:paraId="51ADD4BB" w14:textId="77777777" w:rsidR="006F2FF7" w:rsidRDefault="00000000">
      <w:pPr>
        <w:jc w:val="both"/>
        <w:rPr>
          <w:rFonts w:ascii="Calibri" w:eastAsia="Calibri" w:hAnsi="Calibri" w:cs="Calibri"/>
          <w:b/>
        </w:rPr>
      </w:pPr>
      <w:r>
        <w:rPr>
          <w:rFonts w:ascii="Calibri" w:eastAsia="Calibri" w:hAnsi="Calibri" w:cs="Calibri"/>
          <w:b/>
        </w:rPr>
        <w:t>Access to justice (arts. 2 and 14 ICCPR).</w:t>
      </w:r>
    </w:p>
    <w:p w14:paraId="14C6F948" w14:textId="77777777" w:rsidR="006F2FF7" w:rsidRDefault="00000000">
      <w:pPr>
        <w:numPr>
          <w:ilvl w:val="0"/>
          <w:numId w:val="2"/>
        </w:numPr>
        <w:jc w:val="both"/>
        <w:rPr>
          <w:rFonts w:ascii="Calibri" w:eastAsia="Calibri" w:hAnsi="Calibri" w:cs="Calibri"/>
        </w:rPr>
      </w:pPr>
      <w:r>
        <w:rPr>
          <w:rFonts w:ascii="Calibri" w:eastAsia="Calibri" w:hAnsi="Calibri" w:cs="Calibri"/>
        </w:rPr>
        <w:t>End police practices of coercion, entrapment, and extortion, particularly targeting vulnerable women.</w:t>
      </w:r>
    </w:p>
    <w:p w14:paraId="3055EF7C" w14:textId="77777777" w:rsidR="006F2FF7" w:rsidRDefault="00000000">
      <w:pPr>
        <w:numPr>
          <w:ilvl w:val="0"/>
          <w:numId w:val="2"/>
        </w:numPr>
        <w:jc w:val="both"/>
        <w:rPr>
          <w:rFonts w:ascii="Calibri" w:eastAsia="Calibri" w:hAnsi="Calibri" w:cs="Calibri"/>
        </w:rPr>
      </w:pPr>
      <w:r>
        <w:rPr>
          <w:rFonts w:ascii="Calibri" w:eastAsia="Calibri" w:hAnsi="Calibri" w:cs="Calibri"/>
        </w:rPr>
        <w:t>Introduce legal safeguards against status-based discrimination in courts (e.g. public disclosure of HIV or OAT status).</w:t>
      </w:r>
    </w:p>
    <w:p w14:paraId="6BD147F4" w14:textId="77777777" w:rsidR="006F2FF7" w:rsidRDefault="00000000">
      <w:pPr>
        <w:numPr>
          <w:ilvl w:val="0"/>
          <w:numId w:val="2"/>
        </w:numPr>
        <w:jc w:val="both"/>
        <w:rPr>
          <w:rFonts w:ascii="Calibri" w:eastAsia="Calibri" w:hAnsi="Calibri" w:cs="Calibri"/>
        </w:rPr>
      </w:pPr>
      <w:r>
        <w:rPr>
          <w:rFonts w:ascii="Calibri" w:eastAsia="Calibri" w:hAnsi="Calibri" w:cs="Calibri"/>
        </w:rPr>
        <w:t>Provide legal literacy and rights education to people who use drugs, enabling them to advocate for themselves.</w:t>
      </w:r>
    </w:p>
    <w:p w14:paraId="56C248A9" w14:textId="77777777" w:rsidR="006F2FF7" w:rsidRDefault="00000000">
      <w:pPr>
        <w:numPr>
          <w:ilvl w:val="0"/>
          <w:numId w:val="2"/>
        </w:numPr>
        <w:jc w:val="both"/>
        <w:rPr>
          <w:rFonts w:ascii="Calibri" w:eastAsia="Calibri" w:hAnsi="Calibri" w:cs="Calibri"/>
        </w:rPr>
      </w:pPr>
      <w:r>
        <w:rPr>
          <w:rFonts w:ascii="Calibri" w:eastAsia="Calibri" w:hAnsi="Calibri" w:cs="Calibri"/>
        </w:rPr>
        <w:t>Fund peer-led initiatives, including hotlines and community legal clinics that specialize in supporting women who use drugs.</w:t>
      </w:r>
    </w:p>
    <w:p w14:paraId="766A6052" w14:textId="77777777" w:rsidR="006F2FF7" w:rsidRDefault="00000000">
      <w:pPr>
        <w:numPr>
          <w:ilvl w:val="0"/>
          <w:numId w:val="2"/>
        </w:numPr>
        <w:jc w:val="both"/>
        <w:rPr>
          <w:rFonts w:ascii="Calibri" w:eastAsia="Calibri" w:hAnsi="Calibri" w:cs="Calibri"/>
        </w:rPr>
      </w:pPr>
      <w:r>
        <w:rPr>
          <w:rFonts w:ascii="Calibri" w:eastAsia="Calibri" w:hAnsi="Calibri" w:cs="Calibri"/>
        </w:rPr>
        <w:t>Recognise and engage people with lived experience as experts in policy and service design.</w:t>
      </w:r>
    </w:p>
    <w:p w14:paraId="69FE1D54" w14:textId="77777777" w:rsidR="006F2FF7" w:rsidRDefault="00000000">
      <w:pPr>
        <w:numPr>
          <w:ilvl w:val="0"/>
          <w:numId w:val="2"/>
        </w:numPr>
        <w:jc w:val="both"/>
        <w:rPr>
          <w:rFonts w:ascii="Calibri" w:eastAsia="Calibri" w:hAnsi="Calibri" w:cs="Calibri"/>
        </w:rPr>
      </w:pPr>
      <w:r>
        <w:rPr>
          <w:rFonts w:ascii="Calibri" w:eastAsia="Calibri" w:hAnsi="Calibri" w:cs="Calibri"/>
        </w:rPr>
        <w:t>Introduce mandatory human rights impact assessments of legislation and law enforcement practices, particularly with respect to vulnerable groups, including women, youth, LGBTQI+ people and people living with HIV.</w:t>
      </w:r>
    </w:p>
    <w:p w14:paraId="54B7FCF3" w14:textId="77777777" w:rsidR="006F2FF7" w:rsidRDefault="00000000">
      <w:pPr>
        <w:numPr>
          <w:ilvl w:val="0"/>
          <w:numId w:val="2"/>
        </w:numPr>
        <w:jc w:val="both"/>
        <w:rPr>
          <w:rFonts w:ascii="Calibri" w:eastAsia="Calibri" w:hAnsi="Calibri" w:cs="Calibri"/>
        </w:rPr>
      </w:pPr>
      <w:r>
        <w:rPr>
          <w:rFonts w:ascii="Calibri" w:eastAsia="Calibri" w:hAnsi="Calibri" w:cs="Calibri"/>
        </w:rPr>
        <w:t>Ensure independent and regular legal review of current drug legislation, with the participation of human rights organizations and representatives of the drug using community.</w:t>
      </w:r>
    </w:p>
    <w:p w14:paraId="316FE386" w14:textId="77777777" w:rsidR="006F2FF7" w:rsidRDefault="00000000">
      <w:pPr>
        <w:pStyle w:val="Heading3"/>
        <w:keepNext w:val="0"/>
        <w:keepLines w:val="0"/>
        <w:spacing w:before="280"/>
        <w:jc w:val="both"/>
        <w:rPr>
          <w:rFonts w:ascii="Calibri" w:eastAsia="Calibri" w:hAnsi="Calibri" w:cs="Calibri"/>
          <w:b/>
          <w:color w:val="000000"/>
          <w:sz w:val="22"/>
          <w:szCs w:val="22"/>
        </w:rPr>
      </w:pPr>
      <w:bookmarkStart w:id="5" w:name="_heading=h.jzvvyn6mde1e" w:colFirst="0" w:colLast="0"/>
      <w:bookmarkEnd w:id="5"/>
      <w:r>
        <w:rPr>
          <w:rFonts w:ascii="Calibri" w:eastAsia="Calibri" w:hAnsi="Calibri" w:cs="Calibri"/>
          <w:b/>
          <w:color w:val="000000"/>
          <w:sz w:val="22"/>
          <w:szCs w:val="22"/>
        </w:rPr>
        <w:t>Freedom of association and the right to participate in public life (arts. 22, 25 and 26 ICCPR)</w:t>
      </w:r>
    </w:p>
    <w:p w14:paraId="2C785F14" w14:textId="77777777" w:rsidR="006F2FF7" w:rsidRDefault="00000000">
      <w:pPr>
        <w:numPr>
          <w:ilvl w:val="0"/>
          <w:numId w:val="2"/>
        </w:numPr>
        <w:jc w:val="both"/>
        <w:rPr>
          <w:rFonts w:ascii="Calibri" w:eastAsia="Calibri" w:hAnsi="Calibri" w:cs="Calibri"/>
        </w:rPr>
      </w:pPr>
      <w:r>
        <w:rPr>
          <w:rFonts w:ascii="Calibri" w:eastAsia="Calibri" w:hAnsi="Calibri" w:cs="Calibri"/>
        </w:rPr>
        <w:t xml:space="preserve">Promote and strengthen the space for civil society and community organisations working on harm reduction and drug policy, removing all restrictions based on ‘foreign agent’ laws and policies. </w:t>
      </w:r>
    </w:p>
    <w:p w14:paraId="20E43C1D" w14:textId="77777777" w:rsidR="006F2FF7" w:rsidRDefault="006F2FF7">
      <w:pPr>
        <w:ind w:left="720"/>
        <w:jc w:val="both"/>
        <w:rPr>
          <w:rFonts w:ascii="Calibri" w:eastAsia="Calibri" w:hAnsi="Calibri" w:cs="Calibri"/>
          <w:b/>
        </w:rPr>
      </w:pPr>
    </w:p>
    <w:p w14:paraId="6EE2E0B3" w14:textId="77777777" w:rsidR="006F2FF7" w:rsidRDefault="006F2FF7">
      <w:pPr>
        <w:jc w:val="both"/>
        <w:rPr>
          <w:rFonts w:ascii="Calibri" w:eastAsia="Calibri" w:hAnsi="Calibri" w:cs="Calibri"/>
          <w:b/>
        </w:rPr>
      </w:pPr>
    </w:p>
    <w:p w14:paraId="10D32DC3" w14:textId="77777777" w:rsidR="006F2FF7" w:rsidRDefault="006F2FF7">
      <w:pPr>
        <w:ind w:left="1080"/>
        <w:jc w:val="both"/>
        <w:rPr>
          <w:rFonts w:ascii="Calibri" w:eastAsia="Calibri" w:hAnsi="Calibri" w:cs="Calibri"/>
        </w:rPr>
      </w:pPr>
    </w:p>
    <w:p w14:paraId="108F59B3" w14:textId="77777777" w:rsidR="006F2FF7" w:rsidRDefault="00000000">
      <w:pPr>
        <w:jc w:val="both"/>
        <w:rPr>
          <w:rFonts w:ascii="Calibri" w:eastAsia="Calibri" w:hAnsi="Calibri" w:cs="Calibri"/>
          <w:b/>
          <w:u w:val="single"/>
        </w:rPr>
      </w:pPr>
      <w:r>
        <w:br w:type="page"/>
      </w:r>
    </w:p>
    <w:p w14:paraId="6670E2EB" w14:textId="77777777" w:rsidR="006F2FF7" w:rsidRDefault="00000000">
      <w:pPr>
        <w:jc w:val="both"/>
        <w:rPr>
          <w:rFonts w:ascii="Calibri" w:eastAsia="Calibri" w:hAnsi="Calibri" w:cs="Calibri"/>
          <w:b/>
          <w:u w:val="single"/>
        </w:rPr>
      </w:pPr>
      <w:r>
        <w:rPr>
          <w:rFonts w:ascii="Calibri" w:eastAsia="Calibri" w:hAnsi="Calibri" w:cs="Calibri"/>
          <w:b/>
          <w:u w:val="single"/>
        </w:rPr>
        <w:t>Section II. Methodology</w:t>
      </w:r>
    </w:p>
    <w:p w14:paraId="13BE48BC" w14:textId="77777777" w:rsidR="006F2FF7" w:rsidRDefault="006F2FF7">
      <w:pPr>
        <w:jc w:val="both"/>
        <w:rPr>
          <w:rFonts w:ascii="Calibri" w:eastAsia="Calibri" w:hAnsi="Calibri" w:cs="Calibri"/>
          <w:b/>
        </w:rPr>
      </w:pPr>
    </w:p>
    <w:p w14:paraId="05F91557" w14:textId="77777777" w:rsidR="006F2FF7" w:rsidRDefault="00000000">
      <w:pPr>
        <w:numPr>
          <w:ilvl w:val="0"/>
          <w:numId w:val="3"/>
        </w:numPr>
        <w:ind w:left="425"/>
        <w:jc w:val="both"/>
      </w:pPr>
      <w:r>
        <w:rPr>
          <w:rFonts w:ascii="Calibri" w:eastAsia="Calibri" w:hAnsi="Calibri" w:cs="Calibri"/>
        </w:rPr>
        <w:t>This shadow report has been developed through a four-stage process that has aimed to ensure that the voices, experiences, and recommendations of people who use drugs in Kazakhstan are at the centre of this submission.</w:t>
      </w:r>
    </w:p>
    <w:p w14:paraId="3FB45132" w14:textId="77777777" w:rsidR="006F2FF7" w:rsidRDefault="00000000">
      <w:pPr>
        <w:numPr>
          <w:ilvl w:val="1"/>
          <w:numId w:val="3"/>
        </w:numPr>
        <w:jc w:val="both"/>
        <w:rPr>
          <w:rFonts w:ascii="Calibri" w:eastAsia="Calibri" w:hAnsi="Calibri" w:cs="Calibri"/>
        </w:rPr>
      </w:pPr>
      <w:r>
        <w:rPr>
          <w:rFonts w:ascii="Calibri" w:eastAsia="Calibri" w:hAnsi="Calibri" w:cs="Calibri"/>
        </w:rPr>
        <w:t>An initial desk-based review and knowledge exchange among the submitting organisations, all of which have decades of experience working with people who use drugs in Kazakhstan.</w:t>
      </w:r>
    </w:p>
    <w:p w14:paraId="039BB38C" w14:textId="77777777" w:rsidR="006F2FF7" w:rsidRDefault="00000000">
      <w:pPr>
        <w:numPr>
          <w:ilvl w:val="1"/>
          <w:numId w:val="3"/>
        </w:numPr>
        <w:jc w:val="both"/>
        <w:rPr>
          <w:rFonts w:ascii="Calibri" w:eastAsia="Calibri" w:hAnsi="Calibri" w:cs="Calibri"/>
        </w:rPr>
      </w:pPr>
      <w:r>
        <w:rPr>
          <w:rFonts w:ascii="Calibri" w:eastAsia="Calibri" w:hAnsi="Calibri" w:cs="Calibri"/>
        </w:rPr>
        <w:t>An online survey about the needs and experiences of people who use drugs, which was completed by 177 respondents.</w:t>
      </w:r>
    </w:p>
    <w:p w14:paraId="0743C72C" w14:textId="77777777" w:rsidR="006F2FF7" w:rsidRDefault="00000000">
      <w:pPr>
        <w:numPr>
          <w:ilvl w:val="1"/>
          <w:numId w:val="3"/>
        </w:numPr>
        <w:jc w:val="both"/>
        <w:rPr>
          <w:rFonts w:ascii="Calibri" w:eastAsia="Calibri" w:hAnsi="Calibri" w:cs="Calibri"/>
        </w:rPr>
      </w:pPr>
      <w:r>
        <w:rPr>
          <w:rFonts w:ascii="Calibri" w:eastAsia="Calibri" w:hAnsi="Calibri" w:cs="Calibri"/>
        </w:rPr>
        <w:t xml:space="preserve">A focus group consultation was held on 5 May 2025 with the participation of 5 Kazakh women who use drugs. </w:t>
      </w:r>
    </w:p>
    <w:p w14:paraId="4E3C9722" w14:textId="77777777" w:rsidR="006F2FF7" w:rsidRDefault="00000000">
      <w:pPr>
        <w:numPr>
          <w:ilvl w:val="1"/>
          <w:numId w:val="3"/>
        </w:numPr>
        <w:jc w:val="both"/>
        <w:rPr>
          <w:rFonts w:ascii="Calibri" w:eastAsia="Calibri" w:hAnsi="Calibri" w:cs="Calibri"/>
        </w:rPr>
      </w:pPr>
      <w:r>
        <w:rPr>
          <w:rFonts w:ascii="Calibri" w:eastAsia="Calibri" w:hAnsi="Calibri" w:cs="Calibri"/>
        </w:rPr>
        <w:t>A review of the draft shadow report by community organisations that provided feedback, resulting in a revised version of the text.</w:t>
      </w:r>
    </w:p>
    <w:p w14:paraId="057EDD61" w14:textId="77777777" w:rsidR="006F2FF7" w:rsidRDefault="006F2FF7">
      <w:pPr>
        <w:pBdr>
          <w:top w:val="nil"/>
          <w:left w:val="nil"/>
          <w:bottom w:val="nil"/>
          <w:right w:val="nil"/>
          <w:between w:val="nil"/>
        </w:pBdr>
        <w:jc w:val="both"/>
        <w:rPr>
          <w:rFonts w:ascii="Calibri" w:eastAsia="Calibri" w:hAnsi="Calibri" w:cs="Calibri"/>
        </w:rPr>
      </w:pPr>
    </w:p>
    <w:p w14:paraId="6EFF8689" w14:textId="77777777" w:rsidR="006F2FF7" w:rsidRDefault="00000000">
      <w:pPr>
        <w:jc w:val="both"/>
        <w:rPr>
          <w:rFonts w:ascii="Calibri" w:eastAsia="Calibri" w:hAnsi="Calibri" w:cs="Calibri"/>
          <w:b/>
          <w:u w:val="single"/>
        </w:rPr>
      </w:pPr>
      <w:r>
        <w:rPr>
          <w:rFonts w:ascii="Calibri" w:eastAsia="Calibri" w:hAnsi="Calibri" w:cs="Calibri"/>
          <w:b/>
          <w:u w:val="single"/>
        </w:rPr>
        <w:t>Section III. Key data on people who use drugs in Kazakhstan</w:t>
      </w:r>
    </w:p>
    <w:p w14:paraId="5BD92DBA" w14:textId="77777777" w:rsidR="006F2FF7" w:rsidRDefault="006F2FF7">
      <w:pPr>
        <w:jc w:val="both"/>
        <w:rPr>
          <w:rFonts w:ascii="Calibri" w:eastAsia="Calibri" w:hAnsi="Calibri" w:cs="Calibri"/>
        </w:rPr>
      </w:pPr>
    </w:p>
    <w:p w14:paraId="35BC316E" w14:textId="77777777" w:rsidR="006F2FF7" w:rsidRDefault="00000000">
      <w:pPr>
        <w:numPr>
          <w:ilvl w:val="0"/>
          <w:numId w:val="3"/>
        </w:numPr>
        <w:ind w:left="425"/>
        <w:jc w:val="both"/>
      </w:pPr>
      <w:r>
        <w:rPr>
          <w:rFonts w:ascii="Calibri" w:eastAsia="Calibri" w:hAnsi="Calibri" w:cs="Calibri"/>
        </w:rPr>
        <w:t>Kazakhstan is estimated to have a total population of 79,900 people who inject drugs</w:t>
      </w:r>
      <w:r>
        <w:rPr>
          <w:rFonts w:ascii="Calibri" w:eastAsia="Calibri" w:hAnsi="Calibri" w:cs="Calibri"/>
          <w:vertAlign w:val="superscript"/>
        </w:rPr>
        <w:footnoteReference w:id="1"/>
      </w:r>
      <w:r>
        <w:rPr>
          <w:rFonts w:ascii="Calibri" w:eastAsia="Calibri" w:hAnsi="Calibri" w:cs="Calibri"/>
        </w:rPr>
        <w:t xml:space="preserve">. Approximately 0.7% of the total population aged 15 to 64 injects drugs - the highest percentage in </w:t>
      </w:r>
      <w:proofErr w:type="gramStart"/>
      <w:r>
        <w:rPr>
          <w:rFonts w:ascii="Calibri" w:eastAsia="Calibri" w:hAnsi="Calibri" w:cs="Calibri"/>
        </w:rPr>
        <w:t>all of</w:t>
      </w:r>
      <w:proofErr w:type="gramEnd"/>
      <w:r>
        <w:rPr>
          <w:rFonts w:ascii="Calibri" w:eastAsia="Calibri" w:hAnsi="Calibri" w:cs="Calibri"/>
        </w:rPr>
        <w:t xml:space="preserve"> Central Asia.</w:t>
      </w:r>
      <w:r>
        <w:rPr>
          <w:rFonts w:ascii="Calibri" w:eastAsia="Calibri" w:hAnsi="Calibri" w:cs="Calibri"/>
          <w:vertAlign w:val="superscript"/>
        </w:rPr>
        <w:footnoteReference w:id="2"/>
      </w:r>
      <w:r>
        <w:rPr>
          <w:rFonts w:ascii="Calibri" w:eastAsia="Calibri" w:hAnsi="Calibri" w:cs="Calibri"/>
        </w:rPr>
        <w:t xml:space="preserve"> Historically, the substances injected have been opioids such as heroin, but now heroin is described as ‘disappearing’ from the drug market, and the most used drugs for injection are ‘New Psychoactive Substances’, or ‘NPS’</w:t>
      </w:r>
      <w:r>
        <w:rPr>
          <w:rFonts w:ascii="Calibri" w:eastAsia="Calibri" w:hAnsi="Calibri" w:cs="Calibri"/>
          <w:vertAlign w:val="superscript"/>
        </w:rPr>
        <w:footnoteReference w:id="3"/>
      </w:r>
      <w:r>
        <w:rPr>
          <w:rFonts w:ascii="Calibri" w:eastAsia="Calibri" w:hAnsi="Calibri" w:cs="Calibri"/>
        </w:rPr>
        <w:t xml:space="preserve">. </w:t>
      </w:r>
    </w:p>
    <w:p w14:paraId="0FC12247" w14:textId="77777777" w:rsidR="006F2FF7" w:rsidRDefault="006F2FF7">
      <w:pPr>
        <w:ind w:left="720"/>
        <w:jc w:val="both"/>
        <w:rPr>
          <w:rFonts w:ascii="Calibri" w:eastAsia="Calibri" w:hAnsi="Calibri" w:cs="Calibri"/>
        </w:rPr>
      </w:pPr>
    </w:p>
    <w:p w14:paraId="7F4CC50C" w14:textId="77777777" w:rsidR="006F2FF7" w:rsidRDefault="00000000">
      <w:pPr>
        <w:numPr>
          <w:ilvl w:val="0"/>
          <w:numId w:val="3"/>
        </w:numPr>
        <w:ind w:left="425"/>
        <w:jc w:val="both"/>
      </w:pPr>
      <w:r>
        <w:rPr>
          <w:rFonts w:ascii="Calibri" w:eastAsia="Calibri" w:hAnsi="Calibri" w:cs="Calibri"/>
        </w:rPr>
        <w:t>NPS is a catch-all term that describes synthetic substances designed to mimic the psychoactive effects of more traditional plant-based drugs such as cannabis or heroin</w:t>
      </w:r>
      <w:r>
        <w:rPr>
          <w:rFonts w:ascii="Calibri" w:eastAsia="Calibri" w:hAnsi="Calibri" w:cs="Calibri"/>
          <w:vertAlign w:val="superscript"/>
        </w:rPr>
        <w:footnoteReference w:id="4"/>
      </w:r>
      <w:r>
        <w:rPr>
          <w:rFonts w:ascii="Calibri" w:eastAsia="Calibri" w:hAnsi="Calibri" w:cs="Calibri"/>
        </w:rPr>
        <w:t xml:space="preserve">. The synthetic opioid market (which is a substitute for plant-based opioids such as heroin) is constantly changing, with new and more potent substances that are difficult to track and detect. This significantly increases the risk of accidental overdoses, even when using very small amounts, especially if users are unaware that they are using synthetic opioids. </w:t>
      </w:r>
    </w:p>
    <w:p w14:paraId="3F305399" w14:textId="77777777" w:rsidR="006F2FF7" w:rsidRDefault="006F2FF7">
      <w:pPr>
        <w:ind w:left="720"/>
        <w:jc w:val="both"/>
        <w:rPr>
          <w:rFonts w:ascii="Calibri" w:eastAsia="Calibri" w:hAnsi="Calibri" w:cs="Calibri"/>
        </w:rPr>
      </w:pPr>
    </w:p>
    <w:p w14:paraId="3C03E056" w14:textId="77777777" w:rsidR="006F2FF7" w:rsidRDefault="00000000">
      <w:pPr>
        <w:numPr>
          <w:ilvl w:val="0"/>
          <w:numId w:val="3"/>
        </w:numPr>
        <w:ind w:left="425"/>
        <w:jc w:val="both"/>
      </w:pPr>
      <w:r>
        <w:rPr>
          <w:rFonts w:ascii="Calibri" w:eastAsia="Calibri" w:hAnsi="Calibri" w:cs="Calibri"/>
        </w:rPr>
        <w:t>There is a close linkage between injecting drug use and prevalence of blood-borne diseases such as HIV/AIDS, Tuberculosis, and Hepatitis C. A shocking 7% of people who inject drugs in Kazakhstan is estimated to have HIV, a prevalence rate that is over 20 times that of the general population, and higher than for any other key population</w:t>
      </w:r>
      <w:r>
        <w:rPr>
          <w:rFonts w:ascii="Calibri" w:eastAsia="Calibri" w:hAnsi="Calibri" w:cs="Calibri"/>
          <w:vertAlign w:val="superscript"/>
        </w:rPr>
        <w:footnoteReference w:id="5"/>
      </w:r>
      <w:r>
        <w:rPr>
          <w:rFonts w:ascii="Calibri" w:eastAsia="Calibri" w:hAnsi="Calibri" w:cs="Calibri"/>
        </w:rPr>
        <w:t>. In recent years there has been an alarming surge in HIV cases, with UNAIDS reporting a 73% increase in new infections from 2010 to 2020</w:t>
      </w:r>
      <w:r>
        <w:rPr>
          <w:rFonts w:ascii="Calibri" w:eastAsia="Calibri" w:hAnsi="Calibri" w:cs="Calibri"/>
          <w:vertAlign w:val="superscript"/>
        </w:rPr>
        <w:footnoteReference w:id="6"/>
      </w:r>
      <w:r>
        <w:rPr>
          <w:rFonts w:ascii="Calibri" w:eastAsia="Calibri" w:hAnsi="Calibri" w:cs="Calibri"/>
        </w:rPr>
        <w:t>.</w:t>
      </w:r>
    </w:p>
    <w:p w14:paraId="7BC20F37" w14:textId="77777777" w:rsidR="006F2FF7" w:rsidRDefault="006F2FF7">
      <w:pPr>
        <w:ind w:left="720"/>
        <w:jc w:val="both"/>
        <w:rPr>
          <w:rFonts w:ascii="Calibri" w:eastAsia="Calibri" w:hAnsi="Calibri" w:cs="Calibri"/>
        </w:rPr>
      </w:pPr>
    </w:p>
    <w:p w14:paraId="5ECEB839" w14:textId="77777777" w:rsidR="006F2FF7" w:rsidRDefault="00000000">
      <w:pPr>
        <w:numPr>
          <w:ilvl w:val="0"/>
          <w:numId w:val="3"/>
        </w:numPr>
        <w:ind w:left="425"/>
        <w:jc w:val="both"/>
      </w:pPr>
      <w:r>
        <w:rPr>
          <w:rFonts w:ascii="Calibri" w:eastAsia="Calibri" w:hAnsi="Calibri" w:cs="Calibri"/>
        </w:rPr>
        <w:t xml:space="preserve">While this report focuses in large part on people who inject drugs - due to the severe criminalisation, stigma and discrimination they face, and due to the heightened risks for health associated with injecting drug use - it is important to note that </w:t>
      </w:r>
      <w:proofErr w:type="gramStart"/>
      <w:r>
        <w:rPr>
          <w:rFonts w:ascii="Calibri" w:eastAsia="Calibri" w:hAnsi="Calibri" w:cs="Calibri"/>
        </w:rPr>
        <w:t>the majority of</w:t>
      </w:r>
      <w:proofErr w:type="gramEnd"/>
      <w:r>
        <w:rPr>
          <w:rFonts w:ascii="Calibri" w:eastAsia="Calibri" w:hAnsi="Calibri" w:cs="Calibri"/>
        </w:rPr>
        <w:t xml:space="preserve"> people use drugs through means other than injection, including smoking, inhalation, or ingestion. Therefore, while the population of people who inject drugs is estimated at around 79,000, the total number of people who use drugs is much higher, and the impact of drug policies constitutes a major human rights issue in Kazakhstan.</w:t>
      </w:r>
    </w:p>
    <w:p w14:paraId="3B7E5DAA" w14:textId="77777777" w:rsidR="006F2FF7" w:rsidRDefault="006F2FF7">
      <w:pPr>
        <w:jc w:val="both"/>
        <w:rPr>
          <w:rFonts w:ascii="Calibri" w:eastAsia="Calibri" w:hAnsi="Calibri" w:cs="Calibri"/>
          <w:b/>
          <w:u w:val="single"/>
        </w:rPr>
      </w:pPr>
    </w:p>
    <w:p w14:paraId="79DC1F5E" w14:textId="77777777" w:rsidR="006F2FF7" w:rsidRDefault="00000000">
      <w:pPr>
        <w:jc w:val="both"/>
        <w:rPr>
          <w:rFonts w:ascii="Calibri" w:eastAsia="Calibri" w:hAnsi="Calibri" w:cs="Calibri"/>
          <w:b/>
          <w:u w:val="single"/>
        </w:rPr>
      </w:pPr>
      <w:r>
        <w:rPr>
          <w:rFonts w:ascii="Calibri" w:eastAsia="Calibri" w:hAnsi="Calibri" w:cs="Calibri"/>
          <w:b/>
          <w:u w:val="single"/>
        </w:rPr>
        <w:t>Section IV. Key violations of civil and political rights experienced by people who use drugs in Kazakhstan</w:t>
      </w:r>
    </w:p>
    <w:p w14:paraId="0CAC4679" w14:textId="77777777" w:rsidR="006F2FF7" w:rsidRDefault="006F2FF7">
      <w:pPr>
        <w:jc w:val="both"/>
        <w:rPr>
          <w:rFonts w:ascii="Calibri" w:eastAsia="Calibri" w:hAnsi="Calibri" w:cs="Calibri"/>
        </w:rPr>
      </w:pPr>
    </w:p>
    <w:p w14:paraId="48184408" w14:textId="77777777" w:rsidR="006F2FF7" w:rsidRDefault="00000000">
      <w:pPr>
        <w:jc w:val="both"/>
        <w:rPr>
          <w:rFonts w:ascii="Calibri" w:eastAsia="Calibri" w:hAnsi="Calibri" w:cs="Calibri"/>
          <w:b/>
        </w:rPr>
      </w:pPr>
      <w:r>
        <w:rPr>
          <w:rFonts w:ascii="Calibri" w:eastAsia="Calibri" w:hAnsi="Calibri" w:cs="Calibri"/>
          <w:b/>
        </w:rPr>
        <w:t xml:space="preserve">A. Criminalisation of drug use and possession for personal use in connection to liberty and security of persons (art. 9), and the prohibition of torture and other cruel, inhuman or degrading treatment (art. 7). </w:t>
      </w:r>
    </w:p>
    <w:p w14:paraId="65F6C9F6" w14:textId="77777777" w:rsidR="006F2FF7" w:rsidRDefault="006F2FF7">
      <w:pPr>
        <w:jc w:val="both"/>
        <w:rPr>
          <w:rFonts w:ascii="Calibri" w:eastAsia="Calibri" w:hAnsi="Calibri" w:cs="Calibri"/>
        </w:rPr>
      </w:pPr>
    </w:p>
    <w:p w14:paraId="47AEC127" w14:textId="77777777" w:rsidR="006F2FF7" w:rsidRDefault="00000000">
      <w:pPr>
        <w:jc w:val="both"/>
        <w:rPr>
          <w:rFonts w:ascii="Calibri" w:eastAsia="Calibri" w:hAnsi="Calibri" w:cs="Calibri"/>
          <w:i/>
        </w:rPr>
      </w:pPr>
      <w:r>
        <w:rPr>
          <w:rFonts w:ascii="Calibri" w:eastAsia="Calibri" w:hAnsi="Calibri" w:cs="Calibri"/>
          <w:i/>
        </w:rPr>
        <w:t>Relevant paragraphs of the List of Issues: 15 &amp; 17.</w:t>
      </w:r>
    </w:p>
    <w:p w14:paraId="1634C665" w14:textId="77777777" w:rsidR="006F2FF7" w:rsidRDefault="006F2FF7">
      <w:pPr>
        <w:rPr>
          <w:rFonts w:ascii="Calibri" w:eastAsia="Calibri" w:hAnsi="Calibri" w:cs="Calibri"/>
          <w:u w:val="single"/>
        </w:rPr>
      </w:pPr>
    </w:p>
    <w:p w14:paraId="01ABC046" w14:textId="77777777" w:rsidR="006F2FF7" w:rsidRDefault="00000000">
      <w:pPr>
        <w:rPr>
          <w:rFonts w:ascii="Calibri" w:eastAsia="Calibri" w:hAnsi="Calibri" w:cs="Calibri"/>
          <w:u w:val="single"/>
        </w:rPr>
      </w:pPr>
      <w:r>
        <w:rPr>
          <w:rFonts w:ascii="Calibri" w:eastAsia="Calibri" w:hAnsi="Calibri" w:cs="Calibri"/>
          <w:u w:val="single"/>
        </w:rPr>
        <w:t>Criminalisation of possession for personal use under international human rights standards</w:t>
      </w:r>
    </w:p>
    <w:p w14:paraId="34FBFE05" w14:textId="77777777" w:rsidR="006F2FF7" w:rsidRDefault="006F2FF7">
      <w:pPr>
        <w:jc w:val="both"/>
        <w:rPr>
          <w:rFonts w:ascii="Calibri" w:eastAsia="Calibri" w:hAnsi="Calibri" w:cs="Calibri"/>
        </w:rPr>
      </w:pPr>
    </w:p>
    <w:p w14:paraId="424CCF53"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For people who use drugs, criminalisation has a pervasive and devastating impact on the enjoyment of all their civil and political rights. In practice, it fuels stigma and discrimination in all spheres of interaction with society and state. </w:t>
      </w:r>
    </w:p>
    <w:p w14:paraId="17BA74E7" w14:textId="77777777" w:rsidR="006F2FF7" w:rsidRDefault="006F2FF7">
      <w:pPr>
        <w:pBdr>
          <w:top w:val="nil"/>
          <w:left w:val="nil"/>
          <w:bottom w:val="nil"/>
          <w:right w:val="nil"/>
          <w:between w:val="nil"/>
        </w:pBdr>
        <w:ind w:left="720"/>
        <w:jc w:val="both"/>
        <w:rPr>
          <w:rFonts w:ascii="Calibri" w:eastAsia="Calibri" w:hAnsi="Calibri" w:cs="Calibri"/>
        </w:rPr>
      </w:pPr>
    </w:p>
    <w:p w14:paraId="67237BE9"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criminalisation of drug possession for personal use violates international human rights standards, particularly with regards to personal liberty. The UN Working Group on Arbitrary Detention has found that ‘Drug use and dependence should not be treated as a criminal matter, but rather as a health issue, and addressed with rights-based measures’, and has recommended that ‘States should revise their penal policies and drug legislation with the aim of (…) decriminalising the personal use of drugs and minor drug offences’</w:t>
      </w:r>
      <w:r>
        <w:rPr>
          <w:rFonts w:ascii="Calibri" w:eastAsia="Calibri" w:hAnsi="Calibri" w:cs="Calibri"/>
          <w:vertAlign w:val="superscript"/>
        </w:rPr>
        <w:footnoteReference w:id="7"/>
      </w:r>
      <w:r>
        <w:rPr>
          <w:rFonts w:ascii="Calibri" w:eastAsia="Calibri" w:hAnsi="Calibri" w:cs="Calibri"/>
        </w:rPr>
        <w:t xml:space="preserve">. </w:t>
      </w:r>
    </w:p>
    <w:p w14:paraId="57558A1C" w14:textId="77777777" w:rsidR="006F2FF7" w:rsidRDefault="006F2FF7">
      <w:pPr>
        <w:pBdr>
          <w:top w:val="nil"/>
          <w:left w:val="nil"/>
          <w:bottom w:val="nil"/>
          <w:right w:val="nil"/>
          <w:between w:val="nil"/>
        </w:pBdr>
        <w:ind w:left="720"/>
        <w:jc w:val="both"/>
        <w:rPr>
          <w:rFonts w:ascii="Calibri" w:eastAsia="Calibri" w:hAnsi="Calibri" w:cs="Calibri"/>
        </w:rPr>
      </w:pPr>
    </w:p>
    <w:p w14:paraId="07A046AB"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Likewise, a broad range of human rights treaty bodies have recommended that Member States decriminalise drug possession for personal use as a key measure to protect the health and rights of people who use drugs. These include the CEDAW Committee (review of Kyrgyzstan in 2021</w:t>
      </w:r>
      <w:r>
        <w:rPr>
          <w:rFonts w:ascii="Calibri" w:eastAsia="Calibri" w:hAnsi="Calibri" w:cs="Calibri"/>
          <w:vertAlign w:val="superscript"/>
        </w:rPr>
        <w:footnoteReference w:id="8"/>
      </w:r>
      <w:r>
        <w:rPr>
          <w:rFonts w:ascii="Calibri" w:eastAsia="Calibri" w:hAnsi="Calibri" w:cs="Calibri"/>
        </w:rPr>
        <w:t>), and the CESCR committee in dozens of occasions (reviews of Iceland</w:t>
      </w:r>
      <w:r>
        <w:rPr>
          <w:rFonts w:ascii="Calibri" w:eastAsia="Calibri" w:hAnsi="Calibri" w:cs="Calibri"/>
          <w:vertAlign w:val="superscript"/>
        </w:rPr>
        <w:footnoteReference w:id="9"/>
      </w:r>
      <w:r>
        <w:rPr>
          <w:rFonts w:ascii="Calibri" w:eastAsia="Calibri" w:hAnsi="Calibri" w:cs="Calibri"/>
        </w:rPr>
        <w:t xml:space="preserve"> and Kyrgyzstan</w:t>
      </w:r>
      <w:r>
        <w:rPr>
          <w:rFonts w:ascii="Calibri" w:eastAsia="Calibri" w:hAnsi="Calibri" w:cs="Calibri"/>
          <w:vertAlign w:val="superscript"/>
        </w:rPr>
        <w:footnoteReference w:id="10"/>
      </w:r>
      <w:r>
        <w:rPr>
          <w:rFonts w:ascii="Calibri" w:eastAsia="Calibri" w:hAnsi="Calibri" w:cs="Calibri"/>
        </w:rPr>
        <w:t xml:space="preserve"> in 2024, amongst many others). Similar recommendations have emerged from the UN Special Rapporteur in the right to health</w:t>
      </w:r>
      <w:r>
        <w:rPr>
          <w:rFonts w:ascii="Calibri" w:eastAsia="Calibri" w:hAnsi="Calibri" w:cs="Calibri"/>
          <w:vertAlign w:val="superscript"/>
        </w:rPr>
        <w:footnoteReference w:id="11"/>
      </w:r>
      <w:r>
        <w:rPr>
          <w:rFonts w:ascii="Calibri" w:eastAsia="Calibri" w:hAnsi="Calibri" w:cs="Calibri"/>
        </w:rPr>
        <w:t>, the UN Working Group on Arbitrary Detention</w:t>
      </w:r>
      <w:r>
        <w:rPr>
          <w:rFonts w:ascii="Calibri" w:eastAsia="Calibri" w:hAnsi="Calibri" w:cs="Calibri"/>
          <w:vertAlign w:val="superscript"/>
        </w:rPr>
        <w:footnoteReference w:id="12"/>
      </w:r>
      <w:r>
        <w:rPr>
          <w:rFonts w:ascii="Calibri" w:eastAsia="Calibri" w:hAnsi="Calibri" w:cs="Calibri"/>
        </w:rPr>
        <w:t>, and from UN agencies such as OHCHR</w:t>
      </w:r>
      <w:r>
        <w:rPr>
          <w:rFonts w:ascii="Calibri" w:eastAsia="Calibri" w:hAnsi="Calibri" w:cs="Calibri"/>
          <w:vertAlign w:val="superscript"/>
        </w:rPr>
        <w:footnoteReference w:id="13"/>
      </w:r>
      <w:r>
        <w:rPr>
          <w:rFonts w:ascii="Calibri" w:eastAsia="Calibri" w:hAnsi="Calibri" w:cs="Calibri"/>
        </w:rPr>
        <w:t xml:space="preserve"> and UN Women</w:t>
      </w:r>
      <w:r>
        <w:rPr>
          <w:rFonts w:ascii="Calibri" w:eastAsia="Calibri" w:hAnsi="Calibri" w:cs="Calibri"/>
          <w:vertAlign w:val="superscript"/>
        </w:rPr>
        <w:footnoteReference w:id="14"/>
      </w:r>
      <w:r>
        <w:rPr>
          <w:rFonts w:ascii="Calibri" w:eastAsia="Calibri" w:hAnsi="Calibri" w:cs="Calibri"/>
        </w:rPr>
        <w:t>, amongst others.</w:t>
      </w:r>
    </w:p>
    <w:p w14:paraId="2AC3B037" w14:textId="77777777" w:rsidR="006F2FF7" w:rsidRDefault="006F2FF7">
      <w:pPr>
        <w:pBdr>
          <w:top w:val="nil"/>
          <w:left w:val="nil"/>
          <w:bottom w:val="nil"/>
          <w:right w:val="nil"/>
          <w:between w:val="nil"/>
        </w:pBdr>
        <w:jc w:val="both"/>
        <w:rPr>
          <w:rFonts w:ascii="Calibri" w:eastAsia="Calibri" w:hAnsi="Calibri" w:cs="Calibri"/>
        </w:rPr>
      </w:pPr>
    </w:p>
    <w:p w14:paraId="304BFA42" w14:textId="77777777" w:rsidR="006F2FF7" w:rsidRDefault="00000000">
      <w:pPr>
        <w:pBdr>
          <w:top w:val="nil"/>
          <w:left w:val="nil"/>
          <w:bottom w:val="nil"/>
          <w:right w:val="nil"/>
          <w:between w:val="nil"/>
        </w:pBdr>
        <w:jc w:val="both"/>
        <w:rPr>
          <w:rFonts w:ascii="Calibri" w:eastAsia="Calibri" w:hAnsi="Calibri" w:cs="Calibri"/>
          <w:u w:val="single"/>
        </w:rPr>
      </w:pPr>
      <w:r>
        <w:rPr>
          <w:rFonts w:ascii="Calibri" w:eastAsia="Calibri" w:hAnsi="Calibri" w:cs="Calibri"/>
          <w:u w:val="single"/>
        </w:rPr>
        <w:t>Criminalisation of drug possession for personal use under Kazakhstan’s legal framework</w:t>
      </w:r>
    </w:p>
    <w:p w14:paraId="6DCC8C5E" w14:textId="77777777" w:rsidR="006F2FF7" w:rsidRDefault="006F2FF7">
      <w:pPr>
        <w:pBdr>
          <w:top w:val="nil"/>
          <w:left w:val="nil"/>
          <w:bottom w:val="nil"/>
          <w:right w:val="nil"/>
          <w:between w:val="nil"/>
        </w:pBdr>
        <w:jc w:val="both"/>
        <w:rPr>
          <w:rFonts w:ascii="Calibri" w:eastAsia="Calibri" w:hAnsi="Calibri" w:cs="Calibri"/>
        </w:rPr>
      </w:pPr>
    </w:p>
    <w:p w14:paraId="5B31DC8C"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sharp opposition to these standards, people who use drugs in Kazakhstan are criminalised through two parallel legal frameworks - the Administrative Code of Offences, which explicitly targets drug use; and the Criminal Code, which criminalises possession and trafficking, but is often used against women who use drugs. </w:t>
      </w:r>
    </w:p>
    <w:p w14:paraId="22E6BE01" w14:textId="77777777" w:rsidR="006F2FF7" w:rsidRDefault="006F2FF7">
      <w:pPr>
        <w:ind w:left="720"/>
        <w:jc w:val="both"/>
        <w:rPr>
          <w:rFonts w:ascii="Calibri" w:eastAsia="Calibri" w:hAnsi="Calibri" w:cs="Calibri"/>
        </w:rPr>
      </w:pPr>
    </w:p>
    <w:p w14:paraId="0913E95C" w14:textId="77777777" w:rsidR="006F2FF7" w:rsidRDefault="00000000">
      <w:pPr>
        <w:numPr>
          <w:ilvl w:val="0"/>
          <w:numId w:val="3"/>
        </w:numPr>
        <w:pBdr>
          <w:top w:val="nil"/>
          <w:left w:val="nil"/>
          <w:bottom w:val="nil"/>
          <w:right w:val="nil"/>
          <w:between w:val="nil"/>
        </w:pBdr>
        <w:ind w:left="425" w:hanging="425"/>
        <w:jc w:val="both"/>
        <w:rPr>
          <w:rFonts w:ascii="Calibri" w:eastAsia="Calibri" w:hAnsi="Calibri" w:cs="Calibri"/>
        </w:rPr>
      </w:pPr>
      <w:r>
        <w:rPr>
          <w:rFonts w:ascii="Calibri" w:eastAsia="Calibri" w:hAnsi="Calibri" w:cs="Calibri"/>
          <w:b/>
        </w:rPr>
        <w:t>Administrative punishment for drug use.</w:t>
      </w:r>
      <w:r>
        <w:rPr>
          <w:rFonts w:ascii="Calibri" w:eastAsia="Calibri" w:hAnsi="Calibri" w:cs="Calibri"/>
        </w:rPr>
        <w:t xml:space="preserve"> In 2019, Kazakhstan introduced Article 440 of the Code of Administrative Offences, which established an administrative offence for mere drug use in public places. The punishment was a fine of up to 314,850 tenge, or approximately 615 dollars, and community service or arrest for up to 20 days.</w:t>
      </w:r>
    </w:p>
    <w:p w14:paraId="5BEC1C5A" w14:textId="77777777" w:rsidR="006F2FF7" w:rsidRDefault="006F2FF7">
      <w:pPr>
        <w:pBdr>
          <w:top w:val="nil"/>
          <w:left w:val="nil"/>
          <w:bottom w:val="nil"/>
          <w:right w:val="nil"/>
          <w:between w:val="nil"/>
        </w:pBdr>
        <w:ind w:left="720"/>
        <w:jc w:val="both"/>
        <w:rPr>
          <w:rFonts w:ascii="Calibri" w:eastAsia="Calibri" w:hAnsi="Calibri" w:cs="Calibri"/>
        </w:rPr>
      </w:pPr>
    </w:p>
    <w:p w14:paraId="0C088FCD"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In 2025, this was replaced with a new article 440-1</w:t>
      </w:r>
      <w:r>
        <w:rPr>
          <w:rFonts w:ascii="Calibri" w:eastAsia="Calibri" w:hAnsi="Calibri" w:cs="Calibri"/>
          <w:vertAlign w:val="superscript"/>
        </w:rPr>
        <w:footnoteReference w:id="15"/>
      </w:r>
      <w:r>
        <w:rPr>
          <w:rFonts w:ascii="Calibri" w:eastAsia="Calibri" w:hAnsi="Calibri" w:cs="Calibri"/>
        </w:rPr>
        <w:t xml:space="preserve"> of the Code of Administrative Offenses, which increases the administrative penalties (a fine of 40 MCI or arrest for up to 10 days, or 80 MCI or 20 days if repeated) for drug use in both public and private spaces. This means that from now onwards drug use even at a person’s own house can be punished with fine, community service, and arrest.</w:t>
      </w:r>
    </w:p>
    <w:p w14:paraId="3F815C8D" w14:textId="77777777" w:rsidR="006F2FF7" w:rsidRDefault="006F2FF7">
      <w:pPr>
        <w:pBdr>
          <w:top w:val="nil"/>
          <w:left w:val="nil"/>
          <w:bottom w:val="nil"/>
          <w:right w:val="nil"/>
          <w:between w:val="nil"/>
        </w:pBdr>
        <w:ind w:left="720"/>
        <w:jc w:val="both"/>
        <w:rPr>
          <w:rFonts w:ascii="Calibri" w:eastAsia="Calibri" w:hAnsi="Calibri" w:cs="Calibri"/>
        </w:rPr>
      </w:pPr>
    </w:p>
    <w:p w14:paraId="60C86616"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 fine of up to 615 dollars constitutes a very hefty amount in Kazakhstan, where the average gross income per month is 390,323 tenge (approx. 765 dollars), and the minimum wage is 85,000 tenge (approx. 166 dollars)</w:t>
      </w:r>
      <w:r>
        <w:rPr>
          <w:rFonts w:ascii="Calibri" w:eastAsia="Calibri" w:hAnsi="Calibri" w:cs="Calibri"/>
          <w:vertAlign w:val="superscript"/>
        </w:rPr>
        <w:footnoteReference w:id="16"/>
      </w:r>
      <w:r>
        <w:rPr>
          <w:rFonts w:ascii="Calibri" w:eastAsia="Calibri" w:hAnsi="Calibri" w:cs="Calibri"/>
        </w:rPr>
        <w:t>. It can put an unsustainable burden on people who are required to pay for it, and its threat can constitute a powerful coercive tool. This is particularly the case for homeless people, people living in poverty, and women who depend economically on a male partner or other relatives, or who have caregiving responsibilities.</w:t>
      </w:r>
    </w:p>
    <w:p w14:paraId="0301442B" w14:textId="77777777" w:rsidR="006F2FF7" w:rsidRDefault="006F2FF7">
      <w:pPr>
        <w:ind w:left="720"/>
        <w:jc w:val="both"/>
        <w:rPr>
          <w:rFonts w:ascii="Calibri" w:eastAsia="Calibri" w:hAnsi="Calibri" w:cs="Calibri"/>
        </w:rPr>
      </w:pPr>
    </w:p>
    <w:p w14:paraId="62A0E7DB"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People consulted for this submission reported that Article 440 of the Code of Administrative Offences had disproportionately targeted people who use drugs and are homeless or lack access to a private, safe space to use drugs, including survivors of gender-based violence who do not feel safe at home.  Instead of providing support or care, the administrative offence deters them from seeking help due to fears of arrest, heavy fines, or being added to the drug user registry. With the adoption of Article 440-1, the threat extends to every person who uses drugs, no matter where.</w:t>
      </w:r>
    </w:p>
    <w:p w14:paraId="51EBAC47" w14:textId="77777777" w:rsidR="006F2FF7" w:rsidRDefault="006F2FF7">
      <w:pPr>
        <w:ind w:left="720"/>
        <w:jc w:val="both"/>
        <w:rPr>
          <w:rFonts w:ascii="Calibri" w:eastAsia="Calibri" w:hAnsi="Calibri" w:cs="Calibri"/>
        </w:rPr>
      </w:pPr>
    </w:p>
    <w:p w14:paraId="593D09F7" w14:textId="77777777" w:rsidR="006F2FF7" w:rsidRDefault="00000000">
      <w:pPr>
        <w:numPr>
          <w:ilvl w:val="0"/>
          <w:numId w:val="3"/>
        </w:numPr>
        <w:pBdr>
          <w:top w:val="nil"/>
          <w:left w:val="nil"/>
          <w:bottom w:val="nil"/>
          <w:right w:val="nil"/>
          <w:between w:val="nil"/>
        </w:pBdr>
        <w:ind w:left="425" w:hanging="425"/>
        <w:jc w:val="both"/>
        <w:rPr>
          <w:rFonts w:ascii="Calibri" w:eastAsia="Calibri" w:hAnsi="Calibri" w:cs="Calibri"/>
        </w:rPr>
      </w:pPr>
      <w:r>
        <w:rPr>
          <w:rFonts w:ascii="Calibri" w:eastAsia="Calibri" w:hAnsi="Calibri" w:cs="Calibri"/>
          <w:b/>
        </w:rPr>
        <w:t>Criminal legal framework</w:t>
      </w:r>
      <w:r>
        <w:rPr>
          <w:rFonts w:ascii="Calibri" w:eastAsia="Calibri" w:hAnsi="Calibri" w:cs="Calibri"/>
        </w:rPr>
        <w:t xml:space="preserve">. Under Article 296 of the Criminal Code, the possession of psychoactive substances </w:t>
      </w:r>
      <w:r>
        <w:rPr>
          <w:rFonts w:ascii="Calibri" w:eastAsia="Calibri" w:hAnsi="Calibri" w:cs="Calibri"/>
          <w:u w:val="single"/>
        </w:rPr>
        <w:t>without the purpose of distribution or supply</w:t>
      </w:r>
      <w:r>
        <w:rPr>
          <w:rFonts w:ascii="Calibri" w:eastAsia="Calibri" w:hAnsi="Calibri" w:cs="Calibri"/>
        </w:rPr>
        <w:t xml:space="preserve"> constitutes a criminal offence. Its punishment depends on the quantities possessed: </w:t>
      </w:r>
    </w:p>
    <w:p w14:paraId="15B43155" w14:textId="77777777" w:rsidR="006F2FF7" w:rsidRDefault="00000000">
      <w:pPr>
        <w:numPr>
          <w:ilvl w:val="1"/>
          <w:numId w:val="1"/>
        </w:numPr>
        <w:rPr>
          <w:rFonts w:ascii="Calibri" w:eastAsia="Calibri" w:hAnsi="Calibri" w:cs="Calibri"/>
        </w:rPr>
      </w:pPr>
      <w:r>
        <w:rPr>
          <w:rFonts w:ascii="Calibri" w:eastAsia="Calibri" w:hAnsi="Calibri" w:cs="Calibri"/>
        </w:rPr>
        <w:t>For small quantities, the punishment is a fine in the amount of up to 160 calculation indices (MCI)</w:t>
      </w:r>
      <w:r>
        <w:rPr>
          <w:rFonts w:ascii="Calibri" w:eastAsia="Calibri" w:hAnsi="Calibri" w:cs="Calibri"/>
          <w:vertAlign w:val="superscript"/>
        </w:rPr>
        <w:footnoteReference w:id="17"/>
      </w:r>
      <w:r>
        <w:rPr>
          <w:rFonts w:ascii="Calibri" w:eastAsia="Calibri" w:hAnsi="Calibri" w:cs="Calibri"/>
        </w:rPr>
        <w:t xml:space="preserve">, correctional </w:t>
      </w:r>
      <w:proofErr w:type="spellStart"/>
      <w:r>
        <w:rPr>
          <w:rFonts w:ascii="Calibri" w:eastAsia="Calibri" w:hAnsi="Calibri" w:cs="Calibri"/>
        </w:rPr>
        <w:t>labor</w:t>
      </w:r>
      <w:proofErr w:type="spellEnd"/>
      <w:r>
        <w:rPr>
          <w:rFonts w:ascii="Calibri" w:eastAsia="Calibri" w:hAnsi="Calibri" w:cs="Calibri"/>
        </w:rPr>
        <w:t xml:space="preserve"> for up to 160 hours, or arrest for a term of up to forty days. </w:t>
      </w:r>
    </w:p>
    <w:p w14:paraId="3CD5533C" w14:textId="77777777" w:rsidR="006F2FF7" w:rsidRDefault="00000000">
      <w:pPr>
        <w:numPr>
          <w:ilvl w:val="1"/>
          <w:numId w:val="1"/>
        </w:numPr>
        <w:rPr>
          <w:rFonts w:ascii="Calibri" w:eastAsia="Calibri" w:hAnsi="Calibri" w:cs="Calibri"/>
        </w:rPr>
      </w:pPr>
      <w:r>
        <w:rPr>
          <w:rFonts w:ascii="Calibri" w:eastAsia="Calibri" w:hAnsi="Calibri" w:cs="Calibri"/>
        </w:rPr>
        <w:t>For ‘large amounts’, punishment can include a fine in the amount of 200 MCI, correctional labour in up to 200 hours, or arrest for a term of up to fifty days.</w:t>
      </w:r>
    </w:p>
    <w:p w14:paraId="5EE6F7F7" w14:textId="77777777" w:rsidR="006F2FF7" w:rsidRDefault="00000000">
      <w:pPr>
        <w:numPr>
          <w:ilvl w:val="1"/>
          <w:numId w:val="1"/>
        </w:numPr>
        <w:spacing w:after="160"/>
        <w:rPr>
          <w:rFonts w:ascii="Calibri" w:eastAsia="Calibri" w:hAnsi="Calibri" w:cs="Calibri"/>
        </w:rPr>
      </w:pPr>
      <w:r>
        <w:rPr>
          <w:rFonts w:ascii="Calibri" w:eastAsia="Calibri" w:hAnsi="Calibri" w:cs="Calibri"/>
        </w:rPr>
        <w:t>And for ‘especially large scale’, the punishment is incarceration for a term of between three and 7 years.</w:t>
      </w:r>
    </w:p>
    <w:p w14:paraId="5DC3B065" w14:textId="77777777" w:rsidR="006F2FF7" w:rsidRDefault="006F2FF7">
      <w:pPr>
        <w:pBdr>
          <w:top w:val="nil"/>
          <w:left w:val="nil"/>
          <w:bottom w:val="nil"/>
          <w:right w:val="nil"/>
          <w:between w:val="nil"/>
        </w:pBdr>
        <w:ind w:left="720"/>
        <w:jc w:val="both"/>
        <w:rPr>
          <w:rFonts w:ascii="Calibri" w:eastAsia="Calibri" w:hAnsi="Calibri" w:cs="Calibri"/>
        </w:rPr>
      </w:pPr>
    </w:p>
    <w:p w14:paraId="37530196"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As it is the case in other countries that have inherited a Soviet-era legal framework, the quantities that the law identifies as significant, large, or especially large are in fact arbitrarily low, and can lead to the punishment of people for possessing their daily dose of drugs. For instance, the possession of from 0.01 to 1 </w:t>
      </w:r>
      <w:proofErr w:type="gramStart"/>
      <w:r>
        <w:rPr>
          <w:rFonts w:ascii="Calibri" w:eastAsia="Calibri" w:hAnsi="Calibri" w:cs="Calibri"/>
        </w:rPr>
        <w:t>grams</w:t>
      </w:r>
      <w:proofErr w:type="gramEnd"/>
      <w:r>
        <w:rPr>
          <w:rFonts w:ascii="Calibri" w:eastAsia="Calibri" w:hAnsi="Calibri" w:cs="Calibri"/>
        </w:rPr>
        <w:t xml:space="preserve"> of both cocaine and heroin </w:t>
      </w:r>
      <w:proofErr w:type="gramStart"/>
      <w:r>
        <w:rPr>
          <w:rFonts w:ascii="Calibri" w:eastAsia="Calibri" w:hAnsi="Calibri" w:cs="Calibri"/>
        </w:rPr>
        <w:t>is considered to be</w:t>
      </w:r>
      <w:proofErr w:type="gramEnd"/>
      <w:r>
        <w:rPr>
          <w:rFonts w:ascii="Calibri" w:eastAsia="Calibri" w:hAnsi="Calibri" w:cs="Calibri"/>
        </w:rPr>
        <w:t xml:space="preserve"> a ‘large’ quantity. However, these are amounts that a person who regularly uses drugs would take in a single dosage. </w:t>
      </w:r>
    </w:p>
    <w:p w14:paraId="0670AABE" w14:textId="77777777" w:rsidR="006F2FF7" w:rsidRDefault="006F2FF7">
      <w:pPr>
        <w:jc w:val="both"/>
        <w:rPr>
          <w:rFonts w:ascii="Calibri" w:eastAsia="Calibri" w:hAnsi="Calibri" w:cs="Calibri"/>
        </w:rPr>
      </w:pPr>
    </w:p>
    <w:p w14:paraId="2B52E6EF"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Furthermore, throughout the consultation people reported that they were charged for trafficking offences even when they were only possessing drugs for personal use, or in cases of ‘social sharing’, that is when one person shares a small amount of a drug with another person within a social group —often a friend —without any intention of making a profit.</w:t>
      </w:r>
    </w:p>
    <w:p w14:paraId="2672233C" w14:textId="77777777" w:rsidR="006F2FF7" w:rsidRDefault="006F2FF7">
      <w:pPr>
        <w:jc w:val="both"/>
        <w:rPr>
          <w:rFonts w:ascii="Calibri" w:eastAsia="Calibri" w:hAnsi="Calibri" w:cs="Calibri"/>
        </w:rPr>
      </w:pPr>
    </w:p>
    <w:tbl>
      <w:tblPr>
        <w:tblStyle w:val="ab"/>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6F2FF7" w14:paraId="222804AD" w14:textId="77777777">
        <w:tc>
          <w:tcPr>
            <w:tcW w:w="8309" w:type="dxa"/>
            <w:shd w:val="clear" w:color="auto" w:fill="auto"/>
            <w:tcMar>
              <w:top w:w="100" w:type="dxa"/>
              <w:left w:w="100" w:type="dxa"/>
              <w:bottom w:w="100" w:type="dxa"/>
              <w:right w:w="100" w:type="dxa"/>
            </w:tcMar>
          </w:tcPr>
          <w:p w14:paraId="03BE886C" w14:textId="77777777" w:rsidR="006F2FF7" w:rsidRDefault="00000000">
            <w:pPr>
              <w:widowControl w:val="0"/>
              <w:rPr>
                <w:rFonts w:ascii="Calibri" w:eastAsia="Calibri" w:hAnsi="Calibri" w:cs="Calibri"/>
                <w:b/>
              </w:rPr>
            </w:pPr>
            <w:r>
              <w:rPr>
                <w:rFonts w:ascii="Calibri" w:eastAsia="Calibri" w:hAnsi="Calibri" w:cs="Calibri"/>
                <w:b/>
              </w:rPr>
              <w:t>Case study: Disproportionate criminate punishment for social sharing</w:t>
            </w:r>
          </w:p>
          <w:p w14:paraId="3F843F9F" w14:textId="77777777" w:rsidR="006F2FF7" w:rsidRDefault="006F2FF7">
            <w:pPr>
              <w:widowControl w:val="0"/>
              <w:rPr>
                <w:rFonts w:ascii="Calibri" w:eastAsia="Calibri" w:hAnsi="Calibri" w:cs="Calibri"/>
              </w:rPr>
            </w:pPr>
          </w:p>
          <w:p w14:paraId="4F898CEE" w14:textId="77777777" w:rsidR="006F2FF7" w:rsidRDefault="00000000">
            <w:pPr>
              <w:rPr>
                <w:rFonts w:ascii="Calibri" w:eastAsia="Calibri" w:hAnsi="Calibri" w:cs="Calibri"/>
                <w:highlight w:val="white"/>
              </w:rPr>
            </w:pPr>
            <w:r>
              <w:rPr>
                <w:rFonts w:ascii="Calibri" w:eastAsia="Calibri" w:hAnsi="Calibri" w:cs="Calibri"/>
                <w:b/>
                <w:highlight w:val="white"/>
              </w:rPr>
              <w:t>Woman</w:t>
            </w:r>
            <w:r>
              <w:rPr>
                <w:rFonts w:ascii="Calibri" w:eastAsia="Calibri" w:hAnsi="Calibri" w:cs="Calibri"/>
                <w:highlight w:val="white"/>
              </w:rPr>
              <w:t>, 49 years old</w:t>
            </w:r>
          </w:p>
          <w:p w14:paraId="6AF05BF4" w14:textId="77777777" w:rsidR="006F2FF7" w:rsidRDefault="006F2FF7">
            <w:pPr>
              <w:rPr>
                <w:rFonts w:ascii="Calibri" w:eastAsia="Calibri" w:hAnsi="Calibri" w:cs="Calibri"/>
                <w:highlight w:val="white"/>
              </w:rPr>
            </w:pPr>
          </w:p>
          <w:p w14:paraId="22048326" w14:textId="77777777" w:rsidR="006F2FF7" w:rsidRDefault="00000000">
            <w:pPr>
              <w:rPr>
                <w:rFonts w:ascii="Calibri" w:eastAsia="Calibri" w:hAnsi="Calibri" w:cs="Calibri"/>
              </w:rPr>
            </w:pPr>
            <w:r>
              <w:rPr>
                <w:rFonts w:ascii="Calibri" w:eastAsia="Calibri" w:hAnsi="Calibri" w:cs="Calibri"/>
                <w:highlight w:val="white"/>
              </w:rPr>
              <w:t xml:space="preserve">After sharing heroin with a friend, she was accused of drug trafficking. When arrested she was placed in a temporary detention facility. At that time, she was on a methadone program, she experienced severe pain and withdrawal. The facility did not have the conditions or medical personnel to relieve withdrawal symptoms. The woman had a spinal fracture, but she was not given any medical procedures to relieve pain or withdrawal symptoms. In this state, she was sent to a pretrial detention facility (SIZO), where she had to go through withdrawal, suffering from terrible pain and </w:t>
            </w:r>
            <w:proofErr w:type="gramStart"/>
            <w:r>
              <w:rPr>
                <w:rFonts w:ascii="Calibri" w:eastAsia="Calibri" w:hAnsi="Calibri" w:cs="Calibri"/>
                <w:highlight w:val="white"/>
              </w:rPr>
              <w:t>actually going</w:t>
            </w:r>
            <w:proofErr w:type="gramEnd"/>
            <w:r>
              <w:rPr>
                <w:rFonts w:ascii="Calibri" w:eastAsia="Calibri" w:hAnsi="Calibri" w:cs="Calibri"/>
                <w:highlight w:val="white"/>
              </w:rPr>
              <w:t xml:space="preserve"> crazy for 45 days until she came to her senses. No medical services were provided to relieve pain. Term of imprisonment: 10 years.</w:t>
            </w:r>
          </w:p>
        </w:tc>
      </w:tr>
    </w:tbl>
    <w:p w14:paraId="74481957" w14:textId="77777777" w:rsidR="006F2FF7" w:rsidRDefault="006F2FF7">
      <w:pPr>
        <w:ind w:left="720"/>
        <w:jc w:val="both"/>
        <w:rPr>
          <w:rFonts w:ascii="Calibri" w:eastAsia="Calibri" w:hAnsi="Calibri" w:cs="Calibri"/>
        </w:rPr>
      </w:pPr>
    </w:p>
    <w:p w14:paraId="0D011D2A"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 large majority of all drug charges in Kazakhstan are for drug-related activities without intent to sell, which means that the criminal legal system targets people who use drugs, rather than those who are involved in their supply. Thus, in 2021 the Kazakh authorities reported that 3,198 people were charged under Article 296 of the Criminal Code (drug activities without intent to sell), whereas only 562 people were charged under Article 297 (drug activities with intent to sell).</w:t>
      </w:r>
      <w:r>
        <w:rPr>
          <w:rFonts w:ascii="Calibri" w:eastAsia="Calibri" w:hAnsi="Calibri" w:cs="Calibri"/>
          <w:vertAlign w:val="superscript"/>
        </w:rPr>
        <w:footnoteReference w:id="18"/>
      </w:r>
      <w:r>
        <w:rPr>
          <w:rFonts w:ascii="Calibri" w:eastAsia="Calibri" w:hAnsi="Calibri" w:cs="Calibri"/>
        </w:rPr>
        <w:t xml:space="preserve"> </w:t>
      </w:r>
    </w:p>
    <w:p w14:paraId="7EC87FCA" w14:textId="77777777" w:rsidR="006F2FF7" w:rsidRDefault="006F2FF7">
      <w:pPr>
        <w:pBdr>
          <w:top w:val="nil"/>
          <w:left w:val="nil"/>
          <w:bottom w:val="nil"/>
          <w:right w:val="nil"/>
          <w:between w:val="nil"/>
        </w:pBdr>
        <w:ind w:left="720"/>
        <w:jc w:val="both"/>
        <w:rPr>
          <w:rFonts w:ascii="Calibri" w:eastAsia="Calibri" w:hAnsi="Calibri" w:cs="Calibri"/>
        </w:rPr>
      </w:pPr>
    </w:p>
    <w:p w14:paraId="6CDB56AD"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On top of this, Kazakhstan has continued to ramp up draconian punishment for drug activities with intent to distribute. In a latest development, the government has created a new offence punished with prison from 3 to 6 years for the practice of ‘tagging’ (article 299-1 of the Criminal Code), which means drawing a QR code (or the name of the social media channel where drugs are sold) on a wall in a public street that people can then scan to access it</w:t>
      </w:r>
      <w:r>
        <w:rPr>
          <w:rFonts w:ascii="Calibri" w:eastAsia="Calibri" w:hAnsi="Calibri" w:cs="Calibri"/>
          <w:vertAlign w:val="superscript"/>
        </w:rPr>
        <w:footnoteReference w:id="19"/>
      </w:r>
      <w:r>
        <w:rPr>
          <w:rFonts w:ascii="Calibri" w:eastAsia="Calibri" w:hAnsi="Calibri" w:cs="Calibri"/>
        </w:rPr>
        <w:t>. People that are recruited to draw these QR codes/names of channels are often young people - also women - in vulnerable situations who are paid very little money for it, and who hold no position of power within drug supply organisations. A punishment of up to 6 years in prison is extremely disproportionate.</w:t>
      </w:r>
    </w:p>
    <w:p w14:paraId="35991313" w14:textId="77777777" w:rsidR="006F2FF7" w:rsidRDefault="006F2FF7">
      <w:pPr>
        <w:rPr>
          <w:rFonts w:ascii="Calibri" w:eastAsia="Calibri" w:hAnsi="Calibri" w:cs="Calibri"/>
        </w:rPr>
      </w:pPr>
    </w:p>
    <w:p w14:paraId="4C7D8CDA" w14:textId="77777777" w:rsidR="006F2FF7" w:rsidRDefault="00000000">
      <w:pPr>
        <w:rPr>
          <w:rFonts w:ascii="Calibri" w:eastAsia="Calibri" w:hAnsi="Calibri" w:cs="Calibri"/>
        </w:rPr>
      </w:pPr>
      <w:r>
        <w:rPr>
          <w:rFonts w:ascii="Calibri" w:eastAsia="Calibri" w:hAnsi="Calibri" w:cs="Calibri"/>
          <w:u w:val="single"/>
        </w:rPr>
        <w:t>Criminalisation, police misconduct, and ill-treatment</w:t>
      </w:r>
    </w:p>
    <w:p w14:paraId="079175F1" w14:textId="77777777" w:rsidR="006F2FF7" w:rsidRDefault="006F2FF7">
      <w:pPr>
        <w:rPr>
          <w:rFonts w:ascii="Calibri" w:eastAsia="Calibri" w:hAnsi="Calibri" w:cs="Calibri"/>
        </w:rPr>
      </w:pPr>
    </w:p>
    <w:p w14:paraId="726663DB" w14:textId="77777777" w:rsidR="006F2FF7" w:rsidRDefault="00000000">
      <w:pPr>
        <w:numPr>
          <w:ilvl w:val="0"/>
          <w:numId w:val="3"/>
        </w:numPr>
        <w:ind w:left="425"/>
        <w:jc w:val="both"/>
      </w:pPr>
      <w:r>
        <w:rPr>
          <w:rFonts w:ascii="Calibri" w:eastAsia="Calibri" w:hAnsi="Calibri" w:cs="Calibri"/>
        </w:rPr>
        <w:t>The criminalisation of drug use and possession for personal use constitutes a major driver for contact between law enforcement and people who use drugs. For people who use drugs, the threat of administrative or criminal punishment serves as the basis for their daily interactions with the police, which come with the threat of arrest, abuse, harassment, and fines and prosecution.</w:t>
      </w:r>
    </w:p>
    <w:p w14:paraId="5D11C96F" w14:textId="77777777" w:rsidR="006F2FF7" w:rsidRDefault="006F2FF7">
      <w:pPr>
        <w:jc w:val="both"/>
        <w:rPr>
          <w:rFonts w:ascii="Calibri" w:eastAsia="Calibri" w:hAnsi="Calibri" w:cs="Calibri"/>
        </w:rPr>
      </w:pPr>
    </w:p>
    <w:tbl>
      <w:tblPr>
        <w:tblStyle w:val="ac"/>
        <w:tblW w:w="8330" w:type="dxa"/>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30"/>
      </w:tblGrid>
      <w:tr w:rsidR="006F2FF7" w14:paraId="41273D38" w14:textId="77777777">
        <w:tc>
          <w:tcPr>
            <w:tcW w:w="8330" w:type="dxa"/>
            <w:shd w:val="clear" w:color="auto" w:fill="auto"/>
            <w:tcMar>
              <w:top w:w="100" w:type="dxa"/>
              <w:left w:w="100" w:type="dxa"/>
              <w:bottom w:w="100" w:type="dxa"/>
              <w:right w:w="100" w:type="dxa"/>
            </w:tcMar>
          </w:tcPr>
          <w:p w14:paraId="0E69915A" w14:textId="77777777" w:rsidR="006F2FF7" w:rsidRDefault="00000000">
            <w:pPr>
              <w:widowControl w:val="0"/>
              <w:rPr>
                <w:rFonts w:ascii="Calibri" w:eastAsia="Calibri" w:hAnsi="Calibri" w:cs="Calibri"/>
                <w:b/>
              </w:rPr>
            </w:pPr>
            <w:r>
              <w:rPr>
                <w:rFonts w:ascii="Calibri" w:eastAsia="Calibri" w:hAnsi="Calibri" w:cs="Calibri"/>
                <w:b/>
              </w:rPr>
              <w:t>Case study.  Woman, 39 years old</w:t>
            </w:r>
          </w:p>
          <w:p w14:paraId="02F9DE00" w14:textId="77777777" w:rsidR="006F2FF7" w:rsidRDefault="006F2FF7">
            <w:pPr>
              <w:widowControl w:val="0"/>
              <w:rPr>
                <w:rFonts w:ascii="Calibri" w:eastAsia="Calibri" w:hAnsi="Calibri" w:cs="Calibri"/>
              </w:rPr>
            </w:pPr>
          </w:p>
          <w:p w14:paraId="46C6513C" w14:textId="77777777" w:rsidR="006F2FF7" w:rsidRDefault="00000000">
            <w:pPr>
              <w:rPr>
                <w:rFonts w:ascii="Calibri" w:eastAsia="Calibri" w:hAnsi="Calibri" w:cs="Calibri"/>
              </w:rPr>
            </w:pPr>
            <w:r>
              <w:rPr>
                <w:rFonts w:ascii="Calibri" w:eastAsia="Calibri" w:hAnsi="Calibri" w:cs="Calibri"/>
              </w:rPr>
              <w:t>XXX uses drugs with her partner. On Sunday they were detained by police officers at the market, allegedly on suspicion of purchasing drugs. Although drugs were not found on them, they tested positive for drugs in their blood after a medical examination. They were illegally held at the police station for 2 days, and were called names and cursed the entire time, and pressured to confess.</w:t>
            </w:r>
          </w:p>
        </w:tc>
      </w:tr>
    </w:tbl>
    <w:p w14:paraId="196476B2" w14:textId="77777777" w:rsidR="006F2FF7" w:rsidRDefault="006F2FF7">
      <w:pPr>
        <w:ind w:left="720"/>
        <w:jc w:val="both"/>
        <w:rPr>
          <w:rFonts w:ascii="Calibri" w:eastAsia="Calibri" w:hAnsi="Calibri" w:cs="Calibri"/>
        </w:rPr>
      </w:pPr>
    </w:p>
    <w:p w14:paraId="3E2A4CFA"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 2023 report by the Eurasian Women’s Network on AIDS</w:t>
      </w:r>
      <w:r>
        <w:rPr>
          <w:rFonts w:ascii="Calibri" w:eastAsia="Calibri" w:hAnsi="Calibri" w:cs="Calibri"/>
          <w:vertAlign w:val="superscript"/>
        </w:rPr>
        <w:footnoteReference w:id="20"/>
      </w:r>
      <w:r>
        <w:rPr>
          <w:rFonts w:ascii="Calibri" w:eastAsia="Calibri" w:hAnsi="Calibri" w:cs="Calibri"/>
        </w:rPr>
        <w:t xml:space="preserve"> found that law enforcement officers planted drugs, demanded bribes, and used humiliation to control women who use drugs, especially in synthetic drug scenes. Women reported police abuse, unlawful searches, and violence, but many chose to not report it due to shame, fear of public exposure, and the assumption that nothing will be done.</w:t>
      </w:r>
    </w:p>
    <w:p w14:paraId="77D7E324" w14:textId="77777777" w:rsidR="006F2FF7" w:rsidRDefault="006F2FF7">
      <w:pPr>
        <w:jc w:val="both"/>
        <w:rPr>
          <w:rFonts w:ascii="Calibri" w:eastAsia="Calibri" w:hAnsi="Calibri" w:cs="Calibri"/>
        </w:rPr>
      </w:pPr>
    </w:p>
    <w:p w14:paraId="3031D17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The community consultation held for this shadow report also revealed that police misconduct, harassment and fabricated charges were still ongoing problems in Kazakhstan. Women who use drugs explained that the police </w:t>
      </w:r>
      <w:proofErr w:type="gramStart"/>
      <w:r>
        <w:rPr>
          <w:rFonts w:ascii="Calibri" w:eastAsia="Calibri" w:hAnsi="Calibri" w:cs="Calibri"/>
        </w:rPr>
        <w:t>have to</w:t>
      </w:r>
      <w:proofErr w:type="gramEnd"/>
      <w:r>
        <w:rPr>
          <w:rFonts w:ascii="Calibri" w:eastAsia="Calibri" w:hAnsi="Calibri" w:cs="Calibri"/>
        </w:rPr>
        <w:t xml:space="preserve"> achieve quotas for arrests, and drug planting remains a common tactic used to recruit informants or extort individuals.</w:t>
      </w:r>
    </w:p>
    <w:p w14:paraId="023E9A88" w14:textId="77777777" w:rsidR="006F2FF7" w:rsidRDefault="006F2FF7">
      <w:pPr>
        <w:rPr>
          <w:rFonts w:ascii="Calibri" w:eastAsia="Calibri" w:hAnsi="Calibri" w:cs="Calibri"/>
        </w:rPr>
      </w:pPr>
    </w:p>
    <w:p w14:paraId="36BAF905" w14:textId="77777777" w:rsidR="006F2FF7" w:rsidRDefault="00000000">
      <w:pPr>
        <w:pStyle w:val="Heading3"/>
        <w:keepNext w:val="0"/>
        <w:keepLines w:val="0"/>
        <w:spacing w:before="0" w:after="0"/>
        <w:jc w:val="both"/>
        <w:rPr>
          <w:rFonts w:ascii="Calibri" w:eastAsia="Calibri" w:hAnsi="Calibri" w:cs="Calibri"/>
          <w:b/>
          <w:color w:val="000000"/>
          <w:sz w:val="22"/>
          <w:szCs w:val="22"/>
        </w:rPr>
      </w:pPr>
      <w:bookmarkStart w:id="6" w:name="_heading=h.bwbwv43hpxbx" w:colFirst="0" w:colLast="0"/>
      <w:bookmarkEnd w:id="6"/>
      <w:r>
        <w:rPr>
          <w:rFonts w:ascii="Calibri" w:eastAsia="Calibri" w:hAnsi="Calibri" w:cs="Calibri"/>
          <w:b/>
          <w:color w:val="000000"/>
          <w:sz w:val="22"/>
          <w:szCs w:val="22"/>
        </w:rPr>
        <w:t>B. Drug user registration and the right to privacy (art. 17)</w:t>
      </w:r>
    </w:p>
    <w:p w14:paraId="3DF015B4" w14:textId="77777777" w:rsidR="006F2FF7" w:rsidRDefault="006F2FF7">
      <w:pPr>
        <w:rPr>
          <w:rFonts w:ascii="Calibri" w:eastAsia="Calibri" w:hAnsi="Calibri" w:cs="Calibri"/>
        </w:rPr>
      </w:pPr>
    </w:p>
    <w:p w14:paraId="3E7D5F8D" w14:textId="77777777" w:rsidR="006F2FF7" w:rsidRDefault="00000000">
      <w:pPr>
        <w:rPr>
          <w:rFonts w:ascii="Calibri" w:eastAsia="Calibri" w:hAnsi="Calibri" w:cs="Calibri"/>
        </w:rPr>
      </w:pPr>
      <w:r>
        <w:rPr>
          <w:rFonts w:ascii="Calibri" w:eastAsia="Calibri" w:hAnsi="Calibri" w:cs="Calibri"/>
          <w:i/>
        </w:rPr>
        <w:t>Relevant paragraph in the List of Issues: 23.</w:t>
      </w:r>
    </w:p>
    <w:p w14:paraId="6AC770CC" w14:textId="77777777" w:rsidR="006F2FF7" w:rsidRDefault="006F2FF7">
      <w:pPr>
        <w:pBdr>
          <w:top w:val="nil"/>
          <w:left w:val="nil"/>
          <w:bottom w:val="nil"/>
          <w:right w:val="nil"/>
          <w:between w:val="nil"/>
        </w:pBdr>
        <w:ind w:left="720"/>
        <w:jc w:val="both"/>
        <w:rPr>
          <w:rFonts w:ascii="Calibri" w:eastAsia="Calibri" w:hAnsi="Calibri" w:cs="Calibri"/>
        </w:rPr>
      </w:pPr>
    </w:p>
    <w:p w14:paraId="003F3461"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Drug user registration - that is, the practice of keeping a State-run registry of people who use drugs - is still in place in Kazakhstan, as well as in several former Soviet states. Its theoretical purpose is to keep track of persons with drug use problems and facilitate access to treatment. In practice, they operate as systems of surveillance that label and stigmatise people who use drugs. Because registration data is often shared widely and without consent, the discrimination driven by drug registration is effective across all spheres of interaction with society and with public services, including the police, health and social care providers, and employers. </w:t>
      </w:r>
    </w:p>
    <w:p w14:paraId="13C920DE" w14:textId="77777777" w:rsidR="006F2FF7" w:rsidRDefault="006F2FF7">
      <w:pPr>
        <w:pBdr>
          <w:top w:val="nil"/>
          <w:left w:val="nil"/>
          <w:bottom w:val="nil"/>
          <w:right w:val="nil"/>
          <w:between w:val="nil"/>
        </w:pBdr>
        <w:ind w:left="720"/>
        <w:jc w:val="both"/>
        <w:rPr>
          <w:rFonts w:ascii="Calibri" w:eastAsia="Calibri" w:hAnsi="Calibri" w:cs="Calibri"/>
        </w:rPr>
      </w:pPr>
    </w:p>
    <w:p w14:paraId="25FE9DE6"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Whilst drug user registration impinges most directly on the right to privacy, the consultations conducted for this report showed that it has pervasive impacts on the enjoyment of all human </w:t>
      </w:r>
      <w:proofErr w:type="gramStart"/>
      <w:r>
        <w:rPr>
          <w:rFonts w:ascii="Calibri" w:eastAsia="Calibri" w:hAnsi="Calibri" w:cs="Calibri"/>
        </w:rPr>
        <w:t>rights, and</w:t>
      </w:r>
      <w:proofErr w:type="gramEnd"/>
      <w:r>
        <w:rPr>
          <w:rFonts w:ascii="Calibri" w:eastAsia="Calibri" w:hAnsi="Calibri" w:cs="Calibri"/>
        </w:rPr>
        <w:t xml:space="preserve"> constitutes a State-sponsored mechanism for society-wide stigma and discrimination. </w:t>
      </w:r>
    </w:p>
    <w:p w14:paraId="33FC39B5" w14:textId="77777777" w:rsidR="006F2FF7" w:rsidRDefault="006F2FF7">
      <w:pPr>
        <w:pBdr>
          <w:top w:val="nil"/>
          <w:left w:val="nil"/>
          <w:bottom w:val="nil"/>
          <w:right w:val="nil"/>
          <w:between w:val="nil"/>
        </w:pBdr>
        <w:ind w:left="720"/>
        <w:jc w:val="both"/>
        <w:rPr>
          <w:rFonts w:ascii="Calibri" w:eastAsia="Calibri" w:hAnsi="Calibri" w:cs="Calibri"/>
        </w:rPr>
      </w:pPr>
    </w:p>
    <w:p w14:paraId="6E3EA6CC"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Ministry of Internal Affairs has recently stated that one of the purposes of expanding administrative liability for drug use is to be able to include more people in the registry</w:t>
      </w:r>
      <w:r>
        <w:rPr>
          <w:rFonts w:ascii="Calibri" w:eastAsia="Calibri" w:hAnsi="Calibri" w:cs="Calibri"/>
          <w:vertAlign w:val="superscript"/>
        </w:rPr>
        <w:footnoteReference w:id="21"/>
      </w:r>
      <w:r>
        <w:rPr>
          <w:rFonts w:ascii="Calibri" w:eastAsia="Calibri" w:hAnsi="Calibri" w:cs="Calibri"/>
        </w:rPr>
        <w:t>.</w:t>
      </w:r>
    </w:p>
    <w:p w14:paraId="7491DC56" w14:textId="77777777" w:rsidR="006F2FF7" w:rsidRDefault="006F2FF7">
      <w:pPr>
        <w:pBdr>
          <w:top w:val="nil"/>
          <w:left w:val="nil"/>
          <w:bottom w:val="nil"/>
          <w:right w:val="nil"/>
          <w:between w:val="nil"/>
        </w:pBdr>
        <w:ind w:left="720"/>
        <w:jc w:val="both"/>
        <w:rPr>
          <w:rFonts w:ascii="Calibri" w:eastAsia="Calibri" w:hAnsi="Calibri" w:cs="Calibri"/>
        </w:rPr>
      </w:pPr>
    </w:p>
    <w:p w14:paraId="1ABED5B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UN Special Rapporteur on the Right to Health expressed concern at this practice in 2010, noting that: ‘</w:t>
      </w:r>
      <w:r>
        <w:rPr>
          <w:rFonts w:ascii="Calibri" w:eastAsia="Calibri" w:hAnsi="Calibri" w:cs="Calibri"/>
          <w:i/>
        </w:rPr>
        <w:t>Use of drug registries — where people who use drugs are identified and listed, and their civil rights curtailed — also may deter individuals from seeking treatment, as violations of patient confidentiality are documented frequently in such jurisdictions’</w:t>
      </w:r>
      <w:r>
        <w:rPr>
          <w:rFonts w:ascii="Calibri" w:eastAsia="Calibri" w:hAnsi="Calibri" w:cs="Calibri"/>
        </w:rPr>
        <w:t>.</w:t>
      </w:r>
      <w:r>
        <w:rPr>
          <w:rFonts w:ascii="Calibri" w:eastAsia="Calibri" w:hAnsi="Calibri" w:cs="Calibri"/>
          <w:vertAlign w:val="superscript"/>
        </w:rPr>
        <w:footnoteReference w:id="22"/>
      </w:r>
      <w:r>
        <w:rPr>
          <w:rFonts w:ascii="Calibri" w:eastAsia="Calibri" w:hAnsi="Calibri" w:cs="Calibri"/>
        </w:rPr>
        <w:t xml:space="preserve"> In the 5th review of the Philippines, this Committee recommended</w:t>
      </w:r>
      <w:r>
        <w:rPr>
          <w:rFonts w:ascii="Calibri" w:eastAsia="Calibri" w:hAnsi="Calibri" w:cs="Calibri"/>
          <w:vertAlign w:val="superscript"/>
        </w:rPr>
        <w:footnoteReference w:id="23"/>
      </w:r>
      <w:r>
        <w:rPr>
          <w:rFonts w:ascii="Calibri" w:eastAsia="Calibri" w:hAnsi="Calibri" w:cs="Calibri"/>
        </w:rPr>
        <w:t xml:space="preserve"> the abolition of the ‘use of “drug watch lists” of individuals suspected of drug use or trade and the practice of </w:t>
      </w:r>
      <w:proofErr w:type="spellStart"/>
      <w:r>
        <w:rPr>
          <w:rFonts w:ascii="Calibri" w:eastAsia="Calibri" w:hAnsi="Calibri" w:cs="Calibri"/>
        </w:rPr>
        <w:t>Oplan</w:t>
      </w:r>
      <w:proofErr w:type="spellEnd"/>
      <w:r>
        <w:rPr>
          <w:rFonts w:ascii="Calibri" w:eastAsia="Calibri" w:hAnsi="Calibri" w:cs="Calibri"/>
        </w:rPr>
        <w:t xml:space="preserve"> </w:t>
      </w:r>
      <w:proofErr w:type="spellStart"/>
      <w:r>
        <w:rPr>
          <w:rFonts w:ascii="Calibri" w:eastAsia="Calibri" w:hAnsi="Calibri" w:cs="Calibri"/>
        </w:rPr>
        <w:t>Tokan</w:t>
      </w:r>
      <w:proofErr w:type="spellEnd"/>
      <w:r>
        <w:rPr>
          <w:rFonts w:ascii="Calibri" w:eastAsia="Calibri" w:hAnsi="Calibri" w:cs="Calibri"/>
        </w:rPr>
        <w:t>’, whose operation presents clear similarities with registration.</w:t>
      </w:r>
    </w:p>
    <w:p w14:paraId="261A8F4D" w14:textId="77777777" w:rsidR="006F2FF7" w:rsidRDefault="006F2FF7">
      <w:pPr>
        <w:pBdr>
          <w:top w:val="nil"/>
          <w:left w:val="nil"/>
          <w:bottom w:val="nil"/>
          <w:right w:val="nil"/>
          <w:between w:val="nil"/>
        </w:pBdr>
        <w:ind w:left="720"/>
        <w:jc w:val="both"/>
        <w:rPr>
          <w:rFonts w:ascii="Calibri" w:eastAsia="Calibri" w:hAnsi="Calibri" w:cs="Calibri"/>
        </w:rPr>
      </w:pPr>
    </w:p>
    <w:p w14:paraId="63F83611"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In Kazakhstan, persons reported for drug use are included in the drug user registry (also called ‘narcological registry’), for a period of three years. (Very concerningly, the period of compulsory registration was increased from one to three years in 2025).</w:t>
      </w:r>
      <w:r>
        <w:rPr>
          <w:rFonts w:ascii="Calibri" w:eastAsia="Calibri" w:hAnsi="Calibri" w:cs="Calibri"/>
          <w:vertAlign w:val="superscript"/>
        </w:rPr>
        <w:footnoteReference w:id="24"/>
      </w:r>
      <w:r>
        <w:rPr>
          <w:rFonts w:ascii="Calibri" w:eastAsia="Calibri" w:hAnsi="Calibri" w:cs="Calibri"/>
        </w:rPr>
        <w:t xml:space="preserve"> People are added to the registry either because they accessed state-provided drug treatment, or because they were referred by the police or medical professionals</w:t>
      </w:r>
      <w:r>
        <w:rPr>
          <w:rFonts w:ascii="Calibri" w:eastAsia="Calibri" w:hAnsi="Calibri" w:cs="Calibri"/>
          <w:vertAlign w:val="superscript"/>
        </w:rPr>
        <w:footnoteReference w:id="25"/>
      </w:r>
      <w:r>
        <w:rPr>
          <w:rFonts w:ascii="Calibri" w:eastAsia="Calibri" w:hAnsi="Calibri" w:cs="Calibri"/>
        </w:rPr>
        <w:t>.  As of 2020, 20,259 persons were listed in the registry, including 1,215 women.</w:t>
      </w:r>
      <w:r>
        <w:rPr>
          <w:rFonts w:ascii="Calibri" w:eastAsia="Calibri" w:hAnsi="Calibri" w:cs="Calibri"/>
          <w:vertAlign w:val="superscript"/>
        </w:rPr>
        <w:footnoteReference w:id="26"/>
      </w:r>
    </w:p>
    <w:p w14:paraId="443F13C0" w14:textId="77777777" w:rsidR="006F2FF7" w:rsidRDefault="006F2FF7">
      <w:pPr>
        <w:pBdr>
          <w:top w:val="nil"/>
          <w:left w:val="nil"/>
          <w:bottom w:val="nil"/>
          <w:right w:val="nil"/>
          <w:between w:val="nil"/>
        </w:pBdr>
        <w:ind w:left="720"/>
        <w:jc w:val="both"/>
        <w:rPr>
          <w:rFonts w:ascii="Calibri" w:eastAsia="Calibri" w:hAnsi="Calibri" w:cs="Calibri"/>
        </w:rPr>
      </w:pPr>
    </w:p>
    <w:p w14:paraId="42E583F7"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One of the methods used to avoid registration is to access private treatment, which can be anonymous. However, this option is only available for those who can afford it.</w:t>
      </w:r>
    </w:p>
    <w:p w14:paraId="7A04850D" w14:textId="77777777" w:rsidR="006F2FF7" w:rsidRDefault="006F2FF7">
      <w:pPr>
        <w:pBdr>
          <w:top w:val="nil"/>
          <w:left w:val="nil"/>
          <w:bottom w:val="nil"/>
          <w:right w:val="nil"/>
          <w:between w:val="nil"/>
        </w:pBdr>
        <w:ind w:left="720"/>
        <w:jc w:val="both"/>
        <w:rPr>
          <w:rFonts w:ascii="Calibri" w:eastAsia="Calibri" w:hAnsi="Calibri" w:cs="Calibri"/>
        </w:rPr>
      </w:pPr>
    </w:p>
    <w:p w14:paraId="1A713A43"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Formally, the registry operates as a means of state control and for the restrictions of civic rights, barring people in the register from accessing certain jobs (including law enforcement, professions that require driving, and jobs in the education and medical sectors), and from obtaining a driver license. The restriction goes on for the entire time in which a person is in the registry, no matter how their personal circumstances (including drug use) evolve. We submit that this constitutes an arbitrary interference with the rights of people in the registry, as any restriction on their capacity to drive or to work should be based on an individual, case-by-case assessment of a person’s abilities, rather than a blanket assumption linked to current or past drug use, or to their access to opioid agonist treatment such as methadone. </w:t>
      </w:r>
    </w:p>
    <w:p w14:paraId="04D4DD9B" w14:textId="77777777" w:rsidR="006F2FF7" w:rsidRDefault="006F2FF7">
      <w:pPr>
        <w:pBdr>
          <w:top w:val="nil"/>
          <w:left w:val="nil"/>
          <w:bottom w:val="nil"/>
          <w:right w:val="nil"/>
          <w:between w:val="nil"/>
        </w:pBdr>
        <w:ind w:left="720"/>
        <w:jc w:val="both"/>
        <w:rPr>
          <w:rFonts w:ascii="Calibri" w:eastAsia="Calibri" w:hAnsi="Calibri" w:cs="Calibri"/>
        </w:rPr>
      </w:pPr>
    </w:p>
    <w:p w14:paraId="75463ECC"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Furthermore, the Kazakh authorities, including health care providers and the police, do not maintain confidentiality on the identity of people included in the registry. Instead, information is often shared with other authorities and with potential employers, which constitutes a serious violation of the right to privacy. Women consulted for this report explained that being added to the registry is an enduring mark of stigma and fear that limits their livelihoods and rights.</w:t>
      </w:r>
    </w:p>
    <w:p w14:paraId="22E420DB" w14:textId="77777777" w:rsidR="006F2FF7" w:rsidRDefault="006F2FF7">
      <w:pPr>
        <w:pStyle w:val="Heading3"/>
        <w:keepNext w:val="0"/>
        <w:keepLines w:val="0"/>
        <w:pBdr>
          <w:top w:val="nil"/>
          <w:left w:val="nil"/>
          <w:bottom w:val="nil"/>
          <w:right w:val="nil"/>
          <w:between w:val="nil"/>
        </w:pBdr>
        <w:spacing w:before="0" w:after="0"/>
        <w:jc w:val="both"/>
        <w:rPr>
          <w:rFonts w:ascii="Calibri" w:eastAsia="Calibri" w:hAnsi="Calibri" w:cs="Calibri"/>
          <w:b/>
          <w:color w:val="000000"/>
          <w:sz w:val="22"/>
          <w:szCs w:val="22"/>
        </w:rPr>
      </w:pPr>
      <w:bookmarkStart w:id="7" w:name="_heading=h.62976cpxr81b" w:colFirst="0" w:colLast="0"/>
      <w:bookmarkEnd w:id="7"/>
    </w:p>
    <w:p w14:paraId="24CD3811" w14:textId="77777777" w:rsidR="006F2FF7" w:rsidRDefault="00000000">
      <w:pPr>
        <w:pStyle w:val="Heading3"/>
        <w:keepNext w:val="0"/>
        <w:keepLines w:val="0"/>
        <w:pBdr>
          <w:top w:val="nil"/>
          <w:left w:val="nil"/>
          <w:bottom w:val="nil"/>
          <w:right w:val="nil"/>
          <w:between w:val="nil"/>
        </w:pBdr>
        <w:spacing w:before="0" w:after="0"/>
        <w:jc w:val="both"/>
        <w:rPr>
          <w:rFonts w:ascii="Calibri" w:eastAsia="Calibri" w:hAnsi="Calibri" w:cs="Calibri"/>
          <w:b/>
          <w:color w:val="000000"/>
          <w:sz w:val="22"/>
          <w:szCs w:val="22"/>
        </w:rPr>
      </w:pPr>
      <w:bookmarkStart w:id="8" w:name="_heading=h.2m80xup6zitm" w:colFirst="0" w:colLast="0"/>
      <w:bookmarkEnd w:id="8"/>
      <w:r>
        <w:rPr>
          <w:rFonts w:ascii="Calibri" w:eastAsia="Calibri" w:hAnsi="Calibri" w:cs="Calibri"/>
          <w:b/>
          <w:color w:val="000000"/>
          <w:sz w:val="22"/>
          <w:szCs w:val="22"/>
        </w:rPr>
        <w:t>C. Non-discrimination and people who use drugs (arts. 2, 19, 20 and 26)</w:t>
      </w:r>
    </w:p>
    <w:p w14:paraId="6FECBB17" w14:textId="77777777" w:rsidR="006F2FF7" w:rsidRDefault="006F2FF7">
      <w:pPr>
        <w:pStyle w:val="Heading3"/>
        <w:keepNext w:val="0"/>
        <w:keepLines w:val="0"/>
        <w:pBdr>
          <w:top w:val="nil"/>
          <w:left w:val="nil"/>
          <w:bottom w:val="nil"/>
          <w:right w:val="nil"/>
          <w:between w:val="nil"/>
        </w:pBdr>
        <w:spacing w:before="0" w:after="0"/>
        <w:jc w:val="both"/>
        <w:rPr>
          <w:rFonts w:ascii="Calibri" w:eastAsia="Calibri" w:hAnsi="Calibri" w:cs="Calibri"/>
          <w:b/>
          <w:color w:val="000000"/>
          <w:sz w:val="22"/>
          <w:szCs w:val="22"/>
        </w:rPr>
      </w:pPr>
      <w:bookmarkStart w:id="9" w:name="_heading=h.dvn7gq2a7jf7" w:colFirst="0" w:colLast="0"/>
      <w:bookmarkEnd w:id="9"/>
    </w:p>
    <w:p w14:paraId="67D2562B" w14:textId="77777777" w:rsidR="006F2FF7" w:rsidRDefault="00000000">
      <w:pPr>
        <w:pStyle w:val="Heading3"/>
        <w:keepNext w:val="0"/>
        <w:keepLines w:val="0"/>
        <w:pBdr>
          <w:top w:val="nil"/>
          <w:left w:val="nil"/>
          <w:bottom w:val="nil"/>
          <w:right w:val="nil"/>
          <w:between w:val="nil"/>
        </w:pBdr>
        <w:spacing w:before="0" w:after="0"/>
        <w:jc w:val="both"/>
        <w:rPr>
          <w:rFonts w:ascii="Calibri" w:eastAsia="Calibri" w:hAnsi="Calibri" w:cs="Calibri"/>
          <w:i/>
          <w:color w:val="000000"/>
          <w:sz w:val="22"/>
          <w:szCs w:val="22"/>
        </w:rPr>
      </w:pPr>
      <w:bookmarkStart w:id="10" w:name="_heading=h.d54az677gob4" w:colFirst="0" w:colLast="0"/>
      <w:bookmarkEnd w:id="10"/>
      <w:r>
        <w:rPr>
          <w:rFonts w:ascii="Calibri" w:eastAsia="Calibri" w:hAnsi="Calibri" w:cs="Calibri"/>
          <w:i/>
          <w:color w:val="000000"/>
          <w:sz w:val="22"/>
          <w:szCs w:val="22"/>
        </w:rPr>
        <w:t xml:space="preserve">Relevant paragraph in the List of Issues: 6. </w:t>
      </w:r>
    </w:p>
    <w:p w14:paraId="0B40905B" w14:textId="77777777" w:rsidR="006F2FF7" w:rsidRDefault="006F2FF7">
      <w:pPr>
        <w:rPr>
          <w:rFonts w:ascii="Calibri" w:eastAsia="Calibri" w:hAnsi="Calibri" w:cs="Calibri"/>
        </w:rPr>
      </w:pPr>
    </w:p>
    <w:p w14:paraId="46EEB9A4"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societal stereotype equating drug users with criminals was described in the consultation as pervasive, and particularly damaging when applied to women. The stereotype is constantly reinforced by State policies, chief of which is the criminalisation of drug use and possession for personal use.</w:t>
      </w:r>
    </w:p>
    <w:p w14:paraId="4F54A676" w14:textId="77777777" w:rsidR="006F2FF7" w:rsidRDefault="006F2FF7">
      <w:pPr>
        <w:pBdr>
          <w:top w:val="nil"/>
          <w:left w:val="nil"/>
          <w:bottom w:val="nil"/>
          <w:right w:val="nil"/>
          <w:between w:val="nil"/>
        </w:pBdr>
        <w:ind w:left="720"/>
        <w:jc w:val="both"/>
        <w:rPr>
          <w:rFonts w:ascii="Calibri" w:eastAsia="Calibri" w:hAnsi="Calibri" w:cs="Calibri"/>
        </w:rPr>
      </w:pPr>
    </w:p>
    <w:p w14:paraId="7D82ED8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During the consultation, several testimonies described verbal abuse and threats from the police and from medical professionals. In clinics and hospitals, women were called names or accused of criminal behaviour based on their history of drug use.</w:t>
      </w:r>
    </w:p>
    <w:p w14:paraId="22E067FC" w14:textId="77777777" w:rsidR="006F2FF7" w:rsidRDefault="006F2FF7">
      <w:pPr>
        <w:pBdr>
          <w:top w:val="nil"/>
          <w:left w:val="nil"/>
          <w:bottom w:val="nil"/>
          <w:right w:val="nil"/>
          <w:between w:val="nil"/>
        </w:pBdr>
        <w:ind w:left="720"/>
        <w:jc w:val="both"/>
        <w:rPr>
          <w:rFonts w:ascii="Calibri" w:eastAsia="Calibri" w:hAnsi="Calibri" w:cs="Calibri"/>
        </w:rPr>
      </w:pPr>
    </w:p>
    <w:p w14:paraId="1601EAB8" w14:textId="77777777" w:rsidR="006F2FF7" w:rsidRDefault="00000000">
      <w:pPr>
        <w:numPr>
          <w:ilvl w:val="0"/>
          <w:numId w:val="3"/>
        </w:numPr>
        <w:pBdr>
          <w:top w:val="nil"/>
          <w:left w:val="nil"/>
          <w:bottom w:val="nil"/>
          <w:right w:val="nil"/>
          <w:between w:val="nil"/>
        </w:pBdr>
        <w:ind w:left="425" w:hanging="425"/>
        <w:jc w:val="both"/>
      </w:pPr>
      <w:proofErr w:type="gramStart"/>
      <w:r>
        <w:rPr>
          <w:rFonts w:ascii="Calibri" w:eastAsia="Calibri" w:hAnsi="Calibri" w:cs="Calibri"/>
        </w:rPr>
        <w:t>The registry of drug users (see Section III),</w:t>
      </w:r>
      <w:proofErr w:type="gramEnd"/>
      <w:r>
        <w:rPr>
          <w:rFonts w:ascii="Calibri" w:eastAsia="Calibri" w:hAnsi="Calibri" w:cs="Calibri"/>
        </w:rPr>
        <w:t xml:space="preserve"> is widely seen as a centrepiece of the societal system that produces stigma against women who use drugs, as registration details are shared widely amongst public employees and potential employers, contributing to the pervasive labelling of people who use drugs.</w:t>
      </w:r>
    </w:p>
    <w:p w14:paraId="629642D9" w14:textId="77777777" w:rsidR="006F2FF7" w:rsidRDefault="006F2FF7">
      <w:pPr>
        <w:pBdr>
          <w:top w:val="nil"/>
          <w:left w:val="nil"/>
          <w:bottom w:val="nil"/>
          <w:right w:val="nil"/>
          <w:between w:val="nil"/>
        </w:pBdr>
        <w:ind w:left="720"/>
        <w:jc w:val="both"/>
        <w:rPr>
          <w:rFonts w:ascii="Calibri" w:eastAsia="Calibri" w:hAnsi="Calibri" w:cs="Calibri"/>
        </w:rPr>
      </w:pPr>
    </w:p>
    <w:p w14:paraId="398F6CE7"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Institutional discrimination limits employment opportunities for people with a history of drug use or with HIV. This happens through two main mechanisms: </w:t>
      </w:r>
    </w:p>
    <w:p w14:paraId="4E51AD3D" w14:textId="77777777" w:rsidR="006F2FF7" w:rsidRDefault="00000000">
      <w:pPr>
        <w:numPr>
          <w:ilvl w:val="1"/>
          <w:numId w:val="3"/>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Certain professions are legally off-limits for people who are in the registry of drug users. These professions may include law enforcement officers, military personnel, drivers of all types of transport, teachers, educators, medical workers, or pharmacists, amongst </w:t>
      </w:r>
      <w:proofErr w:type="gramStart"/>
      <w:r>
        <w:rPr>
          <w:rFonts w:ascii="Calibri" w:eastAsia="Calibri" w:hAnsi="Calibri" w:cs="Calibri"/>
        </w:rPr>
        <w:t>others ;</w:t>
      </w:r>
      <w:proofErr w:type="gramEnd"/>
    </w:p>
    <w:p w14:paraId="2E6FD667" w14:textId="77777777" w:rsidR="006F2FF7" w:rsidRDefault="00000000">
      <w:pPr>
        <w:numPr>
          <w:ilvl w:val="1"/>
          <w:numId w:val="3"/>
        </w:numPr>
        <w:pBdr>
          <w:top w:val="nil"/>
          <w:left w:val="nil"/>
          <w:bottom w:val="nil"/>
          <w:right w:val="nil"/>
          <w:between w:val="nil"/>
        </w:pBdr>
        <w:jc w:val="both"/>
        <w:rPr>
          <w:rFonts w:ascii="Calibri" w:eastAsia="Calibri" w:hAnsi="Calibri" w:cs="Calibri"/>
        </w:rPr>
      </w:pPr>
      <w:r>
        <w:rPr>
          <w:rFonts w:ascii="Calibri" w:eastAsia="Calibri" w:hAnsi="Calibri" w:cs="Calibri"/>
        </w:rPr>
        <w:t xml:space="preserve">In some job selection processes, applicants must provide medical certificates, which are expensive to obtain and reveal histories of drug use, often leading to discrimination against people who use or have used drugs. </w:t>
      </w:r>
    </w:p>
    <w:p w14:paraId="1380EDB6" w14:textId="77777777" w:rsidR="006F2FF7" w:rsidRDefault="006F2FF7">
      <w:pPr>
        <w:pBdr>
          <w:top w:val="nil"/>
          <w:left w:val="nil"/>
          <w:bottom w:val="nil"/>
          <w:right w:val="nil"/>
          <w:between w:val="nil"/>
        </w:pBdr>
        <w:ind w:left="720"/>
        <w:jc w:val="both"/>
        <w:rPr>
          <w:rFonts w:ascii="Calibri" w:eastAsia="Calibri" w:hAnsi="Calibri" w:cs="Calibri"/>
        </w:rPr>
      </w:pPr>
    </w:p>
    <w:p w14:paraId="542C0CBF"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At the same time, women explained that digital health records accessed through e-government platforms may indirectly expose someone’s past drug use, as narcology records differ in format. Employers can interpret these discrepancies as a sign of addiction history, which in turn leads to stigma and rejection. This results in systemic exclusion from the workforce, deepening cycles of poverty and marginalization.</w:t>
      </w:r>
    </w:p>
    <w:p w14:paraId="38F1ECFB" w14:textId="77777777" w:rsidR="006F2FF7" w:rsidRDefault="006F2FF7">
      <w:pPr>
        <w:ind w:left="720"/>
        <w:jc w:val="both"/>
        <w:rPr>
          <w:rFonts w:ascii="Calibri" w:eastAsia="Calibri" w:hAnsi="Calibri" w:cs="Calibri"/>
        </w:rPr>
      </w:pPr>
    </w:p>
    <w:tbl>
      <w:tblPr>
        <w:tblStyle w:val="ad"/>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6F2FF7" w14:paraId="6DC90602" w14:textId="77777777">
        <w:tc>
          <w:tcPr>
            <w:tcW w:w="8309" w:type="dxa"/>
            <w:shd w:val="clear" w:color="auto" w:fill="auto"/>
            <w:tcMar>
              <w:top w:w="100" w:type="dxa"/>
              <w:left w:w="100" w:type="dxa"/>
              <w:bottom w:w="100" w:type="dxa"/>
              <w:right w:w="100" w:type="dxa"/>
            </w:tcMar>
          </w:tcPr>
          <w:p w14:paraId="341D1ABF" w14:textId="77777777" w:rsidR="006F2FF7" w:rsidRDefault="00000000">
            <w:pPr>
              <w:rPr>
                <w:rFonts w:ascii="Calibri" w:eastAsia="Calibri" w:hAnsi="Calibri" w:cs="Calibri"/>
              </w:rPr>
            </w:pPr>
            <w:r>
              <w:rPr>
                <w:rFonts w:ascii="Calibri" w:eastAsia="Calibri" w:hAnsi="Calibri" w:cs="Calibri"/>
                <w:b/>
              </w:rPr>
              <w:t>Quote from survey: Loss of employment opportunities</w:t>
            </w:r>
          </w:p>
          <w:p w14:paraId="5B97E8C0" w14:textId="77777777" w:rsidR="006F2FF7" w:rsidRDefault="00000000">
            <w:pPr>
              <w:rPr>
                <w:rFonts w:ascii="Calibri" w:eastAsia="Calibri" w:hAnsi="Calibri" w:cs="Calibri"/>
                <w:b/>
              </w:rPr>
            </w:pPr>
            <w:r w:rsidRPr="00B01C20">
              <w:rPr>
                <w:rFonts w:ascii="Calibri" w:eastAsia="Calibri" w:hAnsi="Calibri" w:cs="Calibri"/>
                <w:lang w:val="ru-RU"/>
              </w:rPr>
              <w:t xml:space="preserve">‘Из-за наличия учета отказали в приеме на работу’. </w:t>
            </w:r>
            <w:r>
              <w:rPr>
                <w:rFonts w:ascii="Calibri" w:eastAsia="Calibri" w:hAnsi="Calibri" w:cs="Calibri"/>
              </w:rPr>
              <w:t>(‘Because of being listed in the registry, I was denied employment.)</w:t>
            </w:r>
            <w:r>
              <w:rPr>
                <w:rFonts w:ascii="Calibri" w:eastAsia="Calibri" w:hAnsi="Calibri" w:cs="Calibri"/>
                <w:vertAlign w:val="superscript"/>
              </w:rPr>
              <w:footnoteReference w:id="27"/>
            </w:r>
          </w:p>
        </w:tc>
      </w:tr>
    </w:tbl>
    <w:p w14:paraId="53F86905" w14:textId="77777777" w:rsidR="006F2FF7" w:rsidRDefault="006F2FF7">
      <w:pPr>
        <w:rPr>
          <w:rFonts w:ascii="Calibri" w:eastAsia="Calibri" w:hAnsi="Calibri" w:cs="Calibri"/>
        </w:rPr>
      </w:pPr>
    </w:p>
    <w:p w14:paraId="7BE1CD0A"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consultation also revealed that, upon release from incarceration or drug treatment programs, people who use drugs face significant hurdles in reintegrating into society. Many lack residency registration (also called ‘</w:t>
      </w:r>
      <w:proofErr w:type="spellStart"/>
      <w:r>
        <w:rPr>
          <w:rFonts w:ascii="Calibri" w:eastAsia="Calibri" w:hAnsi="Calibri" w:cs="Calibri"/>
        </w:rPr>
        <w:t>propiska</w:t>
      </w:r>
      <w:proofErr w:type="spellEnd"/>
      <w:r>
        <w:rPr>
          <w:rFonts w:ascii="Calibri" w:eastAsia="Calibri" w:hAnsi="Calibri" w:cs="Calibri"/>
        </w:rPr>
        <w:t>’), which prevents them from registering at local clinics or accessing basic medical services. ‘</w:t>
      </w:r>
      <w:proofErr w:type="spellStart"/>
      <w:r>
        <w:rPr>
          <w:rFonts w:ascii="Calibri" w:eastAsia="Calibri" w:hAnsi="Calibri" w:cs="Calibri"/>
        </w:rPr>
        <w:t>Propiska</w:t>
      </w:r>
      <w:proofErr w:type="spellEnd"/>
      <w:r>
        <w:rPr>
          <w:rFonts w:ascii="Calibri" w:eastAsia="Calibri" w:hAnsi="Calibri" w:cs="Calibri"/>
        </w:rPr>
        <w:t>’ is an essential requirement to access social benefits, including disability support, unemployment registration, and insurance. Without documentation, individuals are exposed to legal and financial penalties, and continually struggle to access essential services, especially if they live with HIV or other chronic illnesses.</w:t>
      </w:r>
    </w:p>
    <w:p w14:paraId="2083EBE0" w14:textId="77777777" w:rsidR="006F2FF7" w:rsidRDefault="00000000">
      <w:pPr>
        <w:pStyle w:val="Heading3"/>
        <w:keepNext w:val="0"/>
        <w:keepLines w:val="0"/>
        <w:spacing w:before="280"/>
        <w:jc w:val="both"/>
        <w:rPr>
          <w:rFonts w:ascii="Calibri" w:eastAsia="Calibri" w:hAnsi="Calibri" w:cs="Calibri"/>
          <w:color w:val="000000"/>
          <w:sz w:val="22"/>
          <w:szCs w:val="22"/>
        </w:rPr>
      </w:pPr>
      <w:bookmarkStart w:id="11" w:name="_heading=h.4j36rx9o1hel" w:colFirst="0" w:colLast="0"/>
      <w:bookmarkEnd w:id="11"/>
      <w:r>
        <w:rPr>
          <w:rFonts w:ascii="Calibri" w:eastAsia="Calibri" w:hAnsi="Calibri" w:cs="Calibri"/>
          <w:color w:val="000000"/>
          <w:sz w:val="22"/>
          <w:szCs w:val="22"/>
          <w:u w:val="single"/>
        </w:rPr>
        <w:t>Discrimination against women with a criminal record</w:t>
      </w:r>
    </w:p>
    <w:p w14:paraId="7FFCB1EF" w14:textId="77777777" w:rsidR="006F2FF7" w:rsidRDefault="006F2FF7">
      <w:pPr>
        <w:ind w:left="720"/>
        <w:jc w:val="both"/>
        <w:rPr>
          <w:rFonts w:ascii="Calibri" w:eastAsia="Calibri" w:hAnsi="Calibri" w:cs="Calibri"/>
        </w:rPr>
      </w:pPr>
    </w:p>
    <w:p w14:paraId="1C431B8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Criminal records - which can be obtained simply for mere possession for personal use - constitute a powerful instrument for discrimination against women who use drugs. </w:t>
      </w:r>
    </w:p>
    <w:p w14:paraId="5584E8A2" w14:textId="77777777" w:rsidR="006F2FF7" w:rsidRDefault="006F2FF7">
      <w:pPr>
        <w:pBdr>
          <w:top w:val="nil"/>
          <w:left w:val="nil"/>
          <w:bottom w:val="nil"/>
          <w:right w:val="nil"/>
          <w:between w:val="nil"/>
        </w:pBdr>
        <w:ind w:left="720"/>
        <w:jc w:val="both"/>
        <w:rPr>
          <w:rFonts w:ascii="Calibri" w:eastAsia="Calibri" w:hAnsi="Calibri" w:cs="Calibri"/>
        </w:rPr>
      </w:pPr>
    </w:p>
    <w:p w14:paraId="66DD64B8"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Civil society organisations from Almaty reported that in that city it is extremely difficult for formerly incarcerated women to find stable housing. When a person registers their residence - often with great difficulty - the owner of the house or apartment is sometimes visited by a probation officer or district police officer. During these visits, the officer often discloses the woman’s criminal history, including the articles under which she was convicted. As a result, the homeowner typically evicts her immediately.</w:t>
      </w:r>
    </w:p>
    <w:p w14:paraId="566DC6D3" w14:textId="77777777" w:rsidR="006F2FF7" w:rsidRDefault="006F2FF7">
      <w:pPr>
        <w:pBdr>
          <w:top w:val="nil"/>
          <w:left w:val="nil"/>
          <w:bottom w:val="nil"/>
          <w:right w:val="nil"/>
          <w:between w:val="nil"/>
        </w:pBdr>
        <w:ind w:left="720"/>
        <w:jc w:val="both"/>
        <w:rPr>
          <w:rFonts w:ascii="Calibri" w:eastAsia="Calibri" w:hAnsi="Calibri" w:cs="Calibri"/>
        </w:rPr>
      </w:pPr>
    </w:p>
    <w:p w14:paraId="4C7180A4"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other cases, probation or police officers visit a woman’s workplace to photograph her on-site. When the employer sees someone in uniform, they often realise the woman's background and terminate her employment without explanation. </w:t>
      </w:r>
    </w:p>
    <w:p w14:paraId="3960F450" w14:textId="77777777" w:rsidR="006F2FF7" w:rsidRDefault="006F2FF7">
      <w:pPr>
        <w:ind w:left="720"/>
        <w:jc w:val="both"/>
        <w:rPr>
          <w:rFonts w:ascii="Calibri" w:eastAsia="Calibri" w:hAnsi="Calibri" w:cs="Calibri"/>
        </w:rPr>
      </w:pPr>
    </w:p>
    <w:tbl>
      <w:tblPr>
        <w:tblStyle w:val="ae"/>
        <w:tblW w:w="8188" w:type="dxa"/>
        <w:tblInd w:w="8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8"/>
      </w:tblGrid>
      <w:tr w:rsidR="006F2FF7" w14:paraId="44A99600" w14:textId="77777777">
        <w:tc>
          <w:tcPr>
            <w:tcW w:w="8188" w:type="dxa"/>
            <w:shd w:val="clear" w:color="auto" w:fill="auto"/>
            <w:tcMar>
              <w:top w:w="100" w:type="dxa"/>
              <w:left w:w="100" w:type="dxa"/>
              <w:bottom w:w="100" w:type="dxa"/>
              <w:right w:w="100" w:type="dxa"/>
            </w:tcMar>
          </w:tcPr>
          <w:p w14:paraId="578967A5" w14:textId="77777777" w:rsidR="006F2FF7" w:rsidRDefault="00000000">
            <w:pPr>
              <w:rPr>
                <w:rFonts w:ascii="Calibri" w:eastAsia="Calibri" w:hAnsi="Calibri" w:cs="Calibri"/>
                <w:b/>
              </w:rPr>
            </w:pPr>
            <w:r>
              <w:rPr>
                <w:rFonts w:ascii="Calibri" w:eastAsia="Calibri" w:hAnsi="Calibri" w:cs="Calibri"/>
                <w:b/>
              </w:rPr>
              <w:t>Case study: The experience of a shelter.</w:t>
            </w:r>
          </w:p>
          <w:p w14:paraId="4D5A02D3" w14:textId="77777777" w:rsidR="006F2FF7" w:rsidRDefault="006F2FF7">
            <w:pPr>
              <w:rPr>
                <w:rFonts w:ascii="Calibri" w:eastAsia="Calibri" w:hAnsi="Calibri" w:cs="Calibri"/>
                <w:i/>
              </w:rPr>
            </w:pPr>
          </w:p>
          <w:p w14:paraId="112B4959" w14:textId="77777777" w:rsidR="006F2FF7" w:rsidRDefault="00000000">
            <w:pPr>
              <w:rPr>
                <w:rFonts w:ascii="Calibri" w:eastAsia="Calibri" w:hAnsi="Calibri" w:cs="Calibri"/>
              </w:rPr>
            </w:pPr>
            <w:r>
              <w:rPr>
                <w:rFonts w:ascii="Calibri" w:eastAsia="Calibri" w:hAnsi="Calibri" w:cs="Calibri"/>
              </w:rPr>
              <w:t>´There have been cases where district police officers have pressured women who left our shelter, insisting they cannot live in the officer’s area simply because they previously served sentences for drug-related offenses. One officer explicitly told a woman he did not want “such people” in his district, creating unlawful and discriminatory barriers to resettlement’.</w:t>
            </w:r>
          </w:p>
        </w:tc>
      </w:tr>
    </w:tbl>
    <w:p w14:paraId="38EC6075" w14:textId="77777777" w:rsidR="006F2FF7" w:rsidRDefault="006F2FF7">
      <w:pPr>
        <w:jc w:val="both"/>
        <w:rPr>
          <w:rFonts w:ascii="Calibri" w:eastAsia="Calibri" w:hAnsi="Calibri" w:cs="Calibri"/>
        </w:rPr>
      </w:pPr>
    </w:p>
    <w:p w14:paraId="5F3D35E7" w14:textId="77777777" w:rsidR="006F2FF7" w:rsidRDefault="006F2FF7">
      <w:pPr>
        <w:rPr>
          <w:rFonts w:ascii="Calibri" w:eastAsia="Calibri" w:hAnsi="Calibri" w:cs="Calibri"/>
        </w:rPr>
      </w:pPr>
    </w:p>
    <w:p w14:paraId="4A49D11C" w14:textId="77777777" w:rsidR="006F2FF7" w:rsidRDefault="00000000">
      <w:pPr>
        <w:pStyle w:val="Heading3"/>
        <w:keepNext w:val="0"/>
        <w:keepLines w:val="0"/>
        <w:pBdr>
          <w:top w:val="nil"/>
          <w:left w:val="nil"/>
          <w:bottom w:val="nil"/>
          <w:right w:val="nil"/>
          <w:between w:val="nil"/>
        </w:pBdr>
        <w:spacing w:before="0" w:after="0"/>
        <w:jc w:val="both"/>
        <w:rPr>
          <w:rFonts w:ascii="Calibri" w:eastAsia="Calibri" w:hAnsi="Calibri" w:cs="Calibri"/>
          <w:color w:val="000000"/>
          <w:sz w:val="22"/>
          <w:szCs w:val="22"/>
        </w:rPr>
      </w:pPr>
      <w:bookmarkStart w:id="12" w:name="_heading=h.rwlg4twar49j" w:colFirst="0" w:colLast="0"/>
      <w:bookmarkEnd w:id="12"/>
      <w:r>
        <w:rPr>
          <w:rFonts w:ascii="Calibri" w:eastAsia="Calibri" w:hAnsi="Calibri" w:cs="Calibri"/>
          <w:b/>
          <w:color w:val="000000"/>
          <w:sz w:val="22"/>
          <w:szCs w:val="22"/>
        </w:rPr>
        <w:t>D. Gender equality (arts. 3 and 26) &amp; Violence against women and domestic violence (arts. 2, 3, 6, 7 and 26)</w:t>
      </w:r>
    </w:p>
    <w:p w14:paraId="0CE7F21F" w14:textId="77777777" w:rsidR="006F2FF7" w:rsidRDefault="006F2FF7">
      <w:pPr>
        <w:pStyle w:val="Heading3"/>
        <w:keepNext w:val="0"/>
        <w:keepLines w:val="0"/>
        <w:pBdr>
          <w:top w:val="nil"/>
          <w:left w:val="nil"/>
          <w:bottom w:val="nil"/>
          <w:right w:val="nil"/>
          <w:between w:val="nil"/>
        </w:pBdr>
        <w:spacing w:before="0" w:after="0"/>
        <w:jc w:val="both"/>
        <w:rPr>
          <w:rFonts w:ascii="Calibri" w:eastAsia="Calibri" w:hAnsi="Calibri" w:cs="Calibri"/>
          <w:color w:val="000000"/>
          <w:sz w:val="22"/>
          <w:szCs w:val="22"/>
        </w:rPr>
      </w:pPr>
      <w:bookmarkStart w:id="13" w:name="_heading=h.t5c2d9md67oo" w:colFirst="0" w:colLast="0"/>
      <w:bookmarkEnd w:id="13"/>
    </w:p>
    <w:p w14:paraId="394045A9" w14:textId="77777777" w:rsidR="006F2FF7" w:rsidRDefault="00000000">
      <w:pPr>
        <w:pStyle w:val="Heading3"/>
        <w:keepNext w:val="0"/>
        <w:keepLines w:val="0"/>
        <w:pBdr>
          <w:top w:val="nil"/>
          <w:left w:val="nil"/>
          <w:bottom w:val="nil"/>
          <w:right w:val="nil"/>
          <w:between w:val="nil"/>
        </w:pBdr>
        <w:spacing w:before="0" w:after="0"/>
        <w:jc w:val="both"/>
        <w:rPr>
          <w:rFonts w:ascii="Calibri" w:eastAsia="Calibri" w:hAnsi="Calibri" w:cs="Calibri"/>
          <w:i/>
          <w:color w:val="000000"/>
          <w:sz w:val="22"/>
          <w:szCs w:val="22"/>
        </w:rPr>
      </w:pPr>
      <w:bookmarkStart w:id="14" w:name="_heading=h.hwuz7m7n4voh" w:colFirst="0" w:colLast="0"/>
      <w:bookmarkEnd w:id="14"/>
      <w:r>
        <w:rPr>
          <w:rFonts w:ascii="Calibri" w:eastAsia="Calibri" w:hAnsi="Calibri" w:cs="Calibri"/>
          <w:i/>
          <w:color w:val="000000"/>
          <w:sz w:val="22"/>
          <w:szCs w:val="22"/>
        </w:rPr>
        <w:t>Relevant paragraph in the List of Issues: 11.</w:t>
      </w:r>
    </w:p>
    <w:p w14:paraId="71BD3949" w14:textId="77777777" w:rsidR="006F2FF7" w:rsidRDefault="006F2FF7">
      <w:pPr>
        <w:rPr>
          <w:rFonts w:ascii="Calibri" w:eastAsia="Calibri" w:hAnsi="Calibri" w:cs="Calibri"/>
        </w:rPr>
      </w:pPr>
    </w:p>
    <w:p w14:paraId="034B9E02" w14:textId="77777777" w:rsidR="006F2FF7" w:rsidRDefault="00000000">
      <w:pPr>
        <w:pStyle w:val="Heading3"/>
        <w:keepNext w:val="0"/>
        <w:keepLines w:val="0"/>
        <w:pBdr>
          <w:top w:val="nil"/>
          <w:left w:val="nil"/>
          <w:bottom w:val="nil"/>
          <w:right w:val="nil"/>
          <w:between w:val="nil"/>
        </w:pBdr>
        <w:spacing w:before="0" w:after="0"/>
        <w:jc w:val="both"/>
        <w:rPr>
          <w:rFonts w:ascii="Calibri" w:eastAsia="Calibri" w:hAnsi="Calibri" w:cs="Calibri"/>
          <w:color w:val="000000"/>
          <w:sz w:val="22"/>
          <w:szCs w:val="22"/>
          <w:u w:val="single"/>
        </w:rPr>
      </w:pPr>
      <w:bookmarkStart w:id="15" w:name="_heading=h.vi31jvtqh1tb" w:colFirst="0" w:colLast="0"/>
      <w:bookmarkEnd w:id="15"/>
      <w:r>
        <w:rPr>
          <w:rFonts w:ascii="Calibri" w:eastAsia="Calibri" w:hAnsi="Calibri" w:cs="Calibri"/>
          <w:color w:val="000000"/>
          <w:sz w:val="22"/>
          <w:szCs w:val="22"/>
          <w:u w:val="single"/>
        </w:rPr>
        <w:t>Wrongful gender stereotypes against women who use drugs</w:t>
      </w:r>
    </w:p>
    <w:p w14:paraId="06F96934" w14:textId="77777777" w:rsidR="006F2FF7" w:rsidRDefault="006F2FF7">
      <w:pPr>
        <w:rPr>
          <w:rFonts w:ascii="Calibri" w:eastAsia="Calibri" w:hAnsi="Calibri" w:cs="Calibri"/>
        </w:rPr>
      </w:pPr>
    </w:p>
    <w:p w14:paraId="2945A565"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Global evidence</w:t>
      </w:r>
      <w:r>
        <w:rPr>
          <w:rFonts w:ascii="Calibri" w:eastAsia="Calibri" w:hAnsi="Calibri" w:cs="Calibri"/>
          <w:vertAlign w:val="superscript"/>
        </w:rPr>
        <w:footnoteReference w:id="28"/>
      </w:r>
      <w:r>
        <w:rPr>
          <w:rFonts w:ascii="Calibri" w:eastAsia="Calibri" w:hAnsi="Calibri" w:cs="Calibri"/>
        </w:rPr>
        <w:t xml:space="preserve"> indicates that women who use drugs experience general stigmatising attitudes which, combined with punitive legal frameworks, contribute to discrimination against them. In 2023, the High Commissioner for Human Rights noted that ‘Women face higher levels of stigma and discrimination than men who use drugs’</w:t>
      </w:r>
      <w:r>
        <w:rPr>
          <w:rFonts w:ascii="Calibri" w:eastAsia="Calibri" w:hAnsi="Calibri" w:cs="Calibri"/>
          <w:vertAlign w:val="superscript"/>
        </w:rPr>
        <w:footnoteReference w:id="29"/>
      </w:r>
      <w:r>
        <w:rPr>
          <w:rFonts w:ascii="Calibri" w:eastAsia="Calibri" w:hAnsi="Calibri" w:cs="Calibri"/>
        </w:rPr>
        <w:t>. The stigmatisation of women who use drugs has also been recognised by the CEDAW Committee in recent reviews of Armenia (2023)</w:t>
      </w:r>
      <w:r>
        <w:rPr>
          <w:rFonts w:ascii="Calibri" w:eastAsia="Calibri" w:hAnsi="Calibri" w:cs="Calibri"/>
          <w:vertAlign w:val="superscript"/>
        </w:rPr>
        <w:footnoteReference w:id="30"/>
      </w:r>
      <w:r>
        <w:rPr>
          <w:rFonts w:ascii="Calibri" w:eastAsia="Calibri" w:hAnsi="Calibri" w:cs="Calibri"/>
        </w:rPr>
        <w:t xml:space="preserve"> and Russia (2021)</w:t>
      </w:r>
      <w:r>
        <w:rPr>
          <w:rFonts w:ascii="Calibri" w:eastAsia="Calibri" w:hAnsi="Calibri" w:cs="Calibri"/>
          <w:vertAlign w:val="superscript"/>
        </w:rPr>
        <w:footnoteReference w:id="31"/>
      </w:r>
      <w:r>
        <w:rPr>
          <w:rFonts w:ascii="Calibri" w:eastAsia="Calibri" w:hAnsi="Calibri" w:cs="Calibri"/>
        </w:rPr>
        <w:t>, amongst others.</w:t>
      </w:r>
    </w:p>
    <w:p w14:paraId="6FE6D252" w14:textId="77777777" w:rsidR="006F2FF7" w:rsidRDefault="006F2FF7">
      <w:pPr>
        <w:pBdr>
          <w:top w:val="nil"/>
          <w:left w:val="nil"/>
          <w:bottom w:val="nil"/>
          <w:right w:val="nil"/>
          <w:between w:val="nil"/>
        </w:pBdr>
        <w:ind w:left="720"/>
        <w:jc w:val="both"/>
        <w:rPr>
          <w:rFonts w:ascii="Calibri" w:eastAsia="Calibri" w:hAnsi="Calibri" w:cs="Calibri"/>
        </w:rPr>
      </w:pPr>
    </w:p>
    <w:p w14:paraId="051F7F0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Participants in the consultation highlighted that women face intersectional stigma </w:t>
      </w:r>
      <w:proofErr w:type="gramStart"/>
      <w:r>
        <w:rPr>
          <w:rFonts w:ascii="Calibri" w:eastAsia="Calibri" w:hAnsi="Calibri" w:cs="Calibri"/>
        </w:rPr>
        <w:t>on a daily basis</w:t>
      </w:r>
      <w:proofErr w:type="gramEnd"/>
      <w:r>
        <w:rPr>
          <w:rFonts w:ascii="Calibri" w:eastAsia="Calibri" w:hAnsi="Calibri" w:cs="Calibri"/>
        </w:rPr>
        <w:t xml:space="preserve">. Women who use drugs in Kazakhstan are often labelled as unfit mothers, criminals, or morally deficient. </w:t>
      </w:r>
    </w:p>
    <w:p w14:paraId="2459DD22" w14:textId="77777777" w:rsidR="006F2FF7" w:rsidRDefault="006F2FF7">
      <w:pPr>
        <w:jc w:val="both"/>
        <w:rPr>
          <w:rFonts w:ascii="Calibri" w:eastAsia="Calibri" w:hAnsi="Calibri" w:cs="Calibri"/>
        </w:rPr>
      </w:pPr>
    </w:p>
    <w:p w14:paraId="268518CD" w14:textId="77777777" w:rsidR="006F2FF7" w:rsidRDefault="006F2FF7">
      <w:pPr>
        <w:jc w:val="both"/>
        <w:rPr>
          <w:rFonts w:ascii="Calibri" w:eastAsia="Calibri" w:hAnsi="Calibri" w:cs="Calibri"/>
        </w:rPr>
      </w:pPr>
    </w:p>
    <w:p w14:paraId="5B1533D5" w14:textId="77777777" w:rsidR="006F2FF7" w:rsidRDefault="006F2FF7">
      <w:pPr>
        <w:jc w:val="both"/>
        <w:rPr>
          <w:rFonts w:ascii="Calibri" w:eastAsia="Calibri" w:hAnsi="Calibri" w:cs="Calibri"/>
        </w:rPr>
      </w:pPr>
    </w:p>
    <w:p w14:paraId="57725788" w14:textId="77777777" w:rsidR="006F2FF7" w:rsidRDefault="006F2FF7">
      <w:pPr>
        <w:jc w:val="both"/>
        <w:rPr>
          <w:rFonts w:ascii="Calibri" w:eastAsia="Calibri" w:hAnsi="Calibri" w:cs="Calibri"/>
        </w:rPr>
      </w:pPr>
    </w:p>
    <w:tbl>
      <w:tblPr>
        <w:tblStyle w:val="af"/>
        <w:tblW w:w="8188" w:type="dxa"/>
        <w:tblInd w:w="8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8"/>
      </w:tblGrid>
      <w:tr w:rsidR="006F2FF7" w14:paraId="4D2E1922" w14:textId="77777777">
        <w:tc>
          <w:tcPr>
            <w:tcW w:w="8188" w:type="dxa"/>
            <w:shd w:val="clear" w:color="auto" w:fill="auto"/>
            <w:tcMar>
              <w:top w:w="100" w:type="dxa"/>
              <w:left w:w="100" w:type="dxa"/>
              <w:bottom w:w="100" w:type="dxa"/>
              <w:right w:w="100" w:type="dxa"/>
            </w:tcMar>
          </w:tcPr>
          <w:p w14:paraId="5894DE7C" w14:textId="77777777" w:rsidR="006F2FF7" w:rsidRDefault="00000000">
            <w:pPr>
              <w:jc w:val="both"/>
              <w:rPr>
                <w:rFonts w:ascii="Calibri" w:eastAsia="Calibri" w:hAnsi="Calibri" w:cs="Calibri"/>
                <w:b/>
              </w:rPr>
            </w:pPr>
            <w:r>
              <w:rPr>
                <w:rFonts w:ascii="Calibri" w:eastAsia="Calibri" w:hAnsi="Calibri" w:cs="Calibri"/>
                <w:b/>
              </w:rPr>
              <w:t>Quote from the consultation:</w:t>
            </w:r>
          </w:p>
          <w:p w14:paraId="62283255" w14:textId="77777777" w:rsidR="006F2FF7" w:rsidRDefault="006F2FF7">
            <w:pPr>
              <w:jc w:val="both"/>
              <w:rPr>
                <w:rFonts w:ascii="Calibri" w:eastAsia="Calibri" w:hAnsi="Calibri" w:cs="Calibri"/>
                <w:b/>
              </w:rPr>
            </w:pPr>
          </w:p>
          <w:p w14:paraId="3B1FC750" w14:textId="77777777" w:rsidR="006F2FF7" w:rsidRDefault="00000000">
            <w:pPr>
              <w:jc w:val="both"/>
              <w:rPr>
                <w:rFonts w:ascii="Calibri" w:eastAsia="Calibri" w:hAnsi="Calibri" w:cs="Calibri"/>
              </w:rPr>
            </w:pPr>
            <w:r>
              <w:rPr>
                <w:rFonts w:ascii="Calibri" w:eastAsia="Calibri" w:hAnsi="Calibri" w:cs="Calibri"/>
                <w:i/>
              </w:rPr>
              <w:t>‘“You’re a woman, you are a mother, how can you do this?” is a common phrase used to shame women more harshly than men’.</w:t>
            </w:r>
            <w:r>
              <w:rPr>
                <w:rFonts w:ascii="Calibri" w:eastAsia="Calibri" w:hAnsi="Calibri" w:cs="Calibri"/>
                <w:i/>
                <w:vertAlign w:val="superscript"/>
              </w:rPr>
              <w:footnoteReference w:id="32"/>
            </w:r>
          </w:p>
        </w:tc>
      </w:tr>
    </w:tbl>
    <w:p w14:paraId="7C871BB8" w14:textId="77777777" w:rsidR="006F2FF7" w:rsidRDefault="006F2FF7">
      <w:pPr>
        <w:pBdr>
          <w:top w:val="nil"/>
          <w:left w:val="nil"/>
          <w:bottom w:val="nil"/>
          <w:right w:val="nil"/>
          <w:between w:val="nil"/>
        </w:pBdr>
        <w:ind w:left="720"/>
        <w:jc w:val="both"/>
        <w:rPr>
          <w:rFonts w:ascii="Calibri" w:eastAsia="Calibri" w:hAnsi="Calibri" w:cs="Calibri"/>
        </w:rPr>
      </w:pPr>
    </w:p>
    <w:p w14:paraId="663F5109"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HIV prevalence has been consistently higher for women who inject drugs than for men, with data from 2020 indicating 8.5% for women and 7.9% for men</w:t>
      </w:r>
      <w:r>
        <w:rPr>
          <w:rFonts w:ascii="Calibri" w:eastAsia="Calibri" w:hAnsi="Calibri" w:cs="Calibri"/>
          <w:vertAlign w:val="superscript"/>
        </w:rPr>
        <w:footnoteReference w:id="33"/>
      </w:r>
      <w:r>
        <w:rPr>
          <w:rFonts w:ascii="Calibri" w:eastAsia="Calibri" w:hAnsi="Calibri" w:cs="Calibri"/>
        </w:rPr>
        <w:t xml:space="preserve">. The consistently higher prevalence of HIV amongst women who use drugs illustrates the direct impact of stigmatising and punitive attitudes, which drive women away from the necessary health services. </w:t>
      </w:r>
    </w:p>
    <w:p w14:paraId="2614B564" w14:textId="77777777" w:rsidR="006F2FF7" w:rsidRDefault="006F2FF7">
      <w:pPr>
        <w:pBdr>
          <w:top w:val="nil"/>
          <w:left w:val="nil"/>
          <w:bottom w:val="nil"/>
          <w:right w:val="nil"/>
          <w:between w:val="nil"/>
        </w:pBdr>
        <w:ind w:left="425"/>
        <w:jc w:val="both"/>
        <w:rPr>
          <w:rFonts w:ascii="Calibri" w:eastAsia="Calibri" w:hAnsi="Calibri" w:cs="Calibri"/>
        </w:rPr>
      </w:pPr>
    </w:p>
    <w:p w14:paraId="037F7F1F" w14:textId="77777777" w:rsidR="006F2FF7" w:rsidRDefault="00000000">
      <w:pPr>
        <w:ind w:left="720"/>
        <w:jc w:val="both"/>
        <w:rPr>
          <w:rFonts w:ascii="Calibri" w:eastAsia="Calibri" w:hAnsi="Calibri" w:cs="Calibri"/>
        </w:rPr>
      </w:pPr>
      <w:r>
        <w:rPr>
          <w:rFonts w:ascii="Calibri" w:eastAsia="Calibri" w:hAnsi="Calibri" w:cs="Calibri"/>
          <w:noProof/>
          <w:highlight w:val="white"/>
        </w:rPr>
        <w:drawing>
          <wp:inline distT="114300" distB="114300" distL="114300" distR="114300" wp14:anchorId="4EAFEA65" wp14:editId="4DC01562">
            <wp:extent cx="3890963" cy="2292284"/>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3890963" cy="2292284"/>
                    </a:xfrm>
                    <a:prstGeom prst="rect">
                      <a:avLst/>
                    </a:prstGeom>
                    <a:ln/>
                  </pic:spPr>
                </pic:pic>
              </a:graphicData>
            </a:graphic>
          </wp:inline>
        </w:drawing>
      </w:r>
    </w:p>
    <w:p w14:paraId="4D3C67CE" w14:textId="77777777" w:rsidR="006F2FF7" w:rsidRDefault="00000000">
      <w:pPr>
        <w:pBdr>
          <w:top w:val="nil"/>
          <w:left w:val="nil"/>
          <w:bottom w:val="nil"/>
          <w:right w:val="nil"/>
          <w:between w:val="nil"/>
        </w:pBdr>
        <w:ind w:left="720"/>
        <w:jc w:val="both"/>
        <w:rPr>
          <w:rFonts w:ascii="Calibri" w:eastAsia="Calibri" w:hAnsi="Calibri" w:cs="Calibri"/>
        </w:rPr>
      </w:pPr>
      <w:r>
        <w:rPr>
          <w:rFonts w:ascii="Calibri" w:eastAsia="Calibri" w:hAnsi="Calibri" w:cs="Calibri"/>
        </w:rPr>
        <w:tab/>
        <w:t>Source: CADAP (2023)</w:t>
      </w:r>
      <w:r>
        <w:rPr>
          <w:rFonts w:ascii="Calibri" w:eastAsia="Calibri" w:hAnsi="Calibri" w:cs="Calibri"/>
          <w:vertAlign w:val="superscript"/>
        </w:rPr>
        <w:footnoteReference w:id="34"/>
      </w:r>
      <w:r>
        <w:rPr>
          <w:rFonts w:ascii="Calibri" w:eastAsia="Calibri" w:hAnsi="Calibri" w:cs="Calibri"/>
        </w:rPr>
        <w:t>.</w:t>
      </w:r>
    </w:p>
    <w:p w14:paraId="216735BC" w14:textId="77777777" w:rsidR="006F2FF7" w:rsidRDefault="006F2FF7">
      <w:pPr>
        <w:pBdr>
          <w:top w:val="nil"/>
          <w:left w:val="nil"/>
          <w:bottom w:val="nil"/>
          <w:right w:val="nil"/>
          <w:between w:val="nil"/>
        </w:pBdr>
        <w:jc w:val="both"/>
        <w:rPr>
          <w:rFonts w:ascii="Calibri" w:eastAsia="Calibri" w:hAnsi="Calibri" w:cs="Calibri"/>
        </w:rPr>
      </w:pPr>
    </w:p>
    <w:p w14:paraId="0F85365B"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The prevailing judgemental attitudes towards women who use drugs are intimately linked to patriarchal expectations about their role within families. In the consultation conducted for this report, participants explained that a woman who uses drugs is not only seen as an </w:t>
      </w:r>
      <w:proofErr w:type="gramStart"/>
      <w:r>
        <w:rPr>
          <w:rFonts w:ascii="Calibri" w:eastAsia="Calibri" w:hAnsi="Calibri" w:cs="Calibri"/>
        </w:rPr>
        <w:t>addict, but</w:t>
      </w:r>
      <w:proofErr w:type="gramEnd"/>
      <w:r>
        <w:rPr>
          <w:rFonts w:ascii="Calibri" w:eastAsia="Calibri" w:hAnsi="Calibri" w:cs="Calibri"/>
        </w:rPr>
        <w:t xml:space="preserve"> also judged as a failed mother and woman. </w:t>
      </w:r>
    </w:p>
    <w:p w14:paraId="0482F85C" w14:textId="77777777" w:rsidR="006F2FF7" w:rsidRDefault="006F2FF7">
      <w:pPr>
        <w:pBdr>
          <w:top w:val="nil"/>
          <w:left w:val="nil"/>
          <w:bottom w:val="nil"/>
          <w:right w:val="nil"/>
          <w:between w:val="nil"/>
        </w:pBdr>
        <w:ind w:left="720"/>
        <w:jc w:val="both"/>
        <w:rPr>
          <w:rFonts w:ascii="Calibri" w:eastAsia="Calibri" w:hAnsi="Calibri" w:cs="Calibri"/>
        </w:rPr>
      </w:pPr>
    </w:p>
    <w:p w14:paraId="2F7E96D9"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This double standard exacerbates the discrimination faced by women who use drugs, particularly in the contexts of the potential separation from their children. In the consultation, it emerged that law enforcement and child protection agencies routinely threaten women who use drugs with the loss of parental rights, often based on stigma rather than objective criteria.</w:t>
      </w:r>
    </w:p>
    <w:p w14:paraId="266DC9DE" w14:textId="77777777" w:rsidR="006F2FF7" w:rsidRDefault="006F2FF7">
      <w:pPr>
        <w:pBdr>
          <w:top w:val="nil"/>
          <w:left w:val="nil"/>
          <w:bottom w:val="nil"/>
          <w:right w:val="nil"/>
          <w:between w:val="nil"/>
        </w:pBdr>
        <w:jc w:val="both"/>
        <w:rPr>
          <w:rFonts w:ascii="Calibri" w:eastAsia="Calibri" w:hAnsi="Calibri" w:cs="Calibri"/>
        </w:rPr>
      </w:pPr>
    </w:p>
    <w:p w14:paraId="5CE6049E" w14:textId="77777777" w:rsidR="006F2FF7" w:rsidRDefault="00000000">
      <w:pPr>
        <w:numPr>
          <w:ilvl w:val="0"/>
          <w:numId w:val="3"/>
        </w:numPr>
        <w:pBdr>
          <w:top w:val="nil"/>
          <w:left w:val="nil"/>
          <w:bottom w:val="nil"/>
          <w:right w:val="nil"/>
          <w:between w:val="nil"/>
        </w:pBdr>
        <w:ind w:left="425" w:hanging="425"/>
        <w:jc w:val="both"/>
      </w:pPr>
      <w:proofErr w:type="gramStart"/>
      <w:r>
        <w:rPr>
          <w:rFonts w:ascii="Calibri" w:eastAsia="Calibri" w:hAnsi="Calibri" w:cs="Calibri"/>
        </w:rPr>
        <w:t>In particular, women</w:t>
      </w:r>
      <w:proofErr w:type="gramEnd"/>
      <w:r>
        <w:rPr>
          <w:rFonts w:ascii="Calibri" w:eastAsia="Calibri" w:hAnsi="Calibri" w:cs="Calibri"/>
        </w:rPr>
        <w:t xml:space="preserve"> reported frequent police visits and pressure from authorities threatening to remove custody. It was also mentioned that medical personnel would flag drug use to child protection services without proper investigation. Even if those threats are not followed by formal procedure, they can trigger enormous anxiety for </w:t>
      </w:r>
      <w:proofErr w:type="gramStart"/>
      <w:r>
        <w:rPr>
          <w:rFonts w:ascii="Calibri" w:eastAsia="Calibri" w:hAnsi="Calibri" w:cs="Calibri"/>
        </w:rPr>
        <w:t>mothers, and</w:t>
      </w:r>
      <w:proofErr w:type="gramEnd"/>
      <w:r>
        <w:rPr>
          <w:rFonts w:ascii="Calibri" w:eastAsia="Calibri" w:hAnsi="Calibri" w:cs="Calibri"/>
        </w:rPr>
        <w:t xml:space="preserve"> exacerbate their vulnerability and their reluctance to engage with the institutions that should provide them with care and support.</w:t>
      </w:r>
    </w:p>
    <w:p w14:paraId="7F4BF95C" w14:textId="77777777" w:rsidR="006F2FF7" w:rsidRDefault="006F2FF7">
      <w:pPr>
        <w:pBdr>
          <w:top w:val="nil"/>
          <w:left w:val="nil"/>
          <w:bottom w:val="nil"/>
          <w:right w:val="nil"/>
          <w:between w:val="nil"/>
        </w:pBdr>
        <w:ind w:left="720"/>
        <w:jc w:val="both"/>
        <w:rPr>
          <w:rFonts w:ascii="Calibri" w:eastAsia="Calibri" w:hAnsi="Calibri" w:cs="Calibri"/>
        </w:rPr>
      </w:pPr>
    </w:p>
    <w:p w14:paraId="20AA4811"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Kazakhstan, drug use </w:t>
      </w:r>
      <w:proofErr w:type="gramStart"/>
      <w:r>
        <w:rPr>
          <w:rFonts w:ascii="Calibri" w:eastAsia="Calibri" w:hAnsi="Calibri" w:cs="Calibri"/>
        </w:rPr>
        <w:t>in itself is</w:t>
      </w:r>
      <w:proofErr w:type="gramEnd"/>
      <w:r>
        <w:rPr>
          <w:rFonts w:ascii="Calibri" w:eastAsia="Calibri" w:hAnsi="Calibri" w:cs="Calibri"/>
        </w:rPr>
        <w:t xml:space="preserve"> not an automatic basis for the final deprivation of parental rights, but it is an important factor that the court </w:t>
      </w:r>
      <w:proofErr w:type="gramStart"/>
      <w:r>
        <w:rPr>
          <w:rFonts w:ascii="Calibri" w:eastAsia="Calibri" w:hAnsi="Calibri" w:cs="Calibri"/>
        </w:rPr>
        <w:t>takes into account</w:t>
      </w:r>
      <w:proofErr w:type="gramEnd"/>
      <w:r>
        <w:rPr>
          <w:rFonts w:ascii="Calibri" w:eastAsia="Calibri" w:hAnsi="Calibri" w:cs="Calibri"/>
        </w:rPr>
        <w:t xml:space="preserve"> when </w:t>
      </w:r>
      <w:proofErr w:type="gramStart"/>
      <w:r>
        <w:rPr>
          <w:rFonts w:ascii="Calibri" w:eastAsia="Calibri" w:hAnsi="Calibri" w:cs="Calibri"/>
        </w:rPr>
        <w:t>making a decision</w:t>
      </w:r>
      <w:proofErr w:type="gramEnd"/>
      <w:r>
        <w:rPr>
          <w:rFonts w:ascii="Calibri" w:eastAsia="Calibri" w:hAnsi="Calibri" w:cs="Calibri"/>
        </w:rPr>
        <w:t xml:space="preserve"> in the interests of the child. Article 75 of the Family Code states that drug use is one of the grounds for deprivation of parental rights.</w:t>
      </w:r>
    </w:p>
    <w:p w14:paraId="3F9B8194" w14:textId="77777777" w:rsidR="006F2FF7" w:rsidRDefault="006F2FF7">
      <w:pPr>
        <w:pBdr>
          <w:top w:val="nil"/>
          <w:left w:val="nil"/>
          <w:bottom w:val="nil"/>
          <w:right w:val="nil"/>
          <w:between w:val="nil"/>
        </w:pBdr>
        <w:ind w:left="720"/>
        <w:jc w:val="both"/>
        <w:rPr>
          <w:rFonts w:ascii="Calibri" w:eastAsia="Calibri" w:hAnsi="Calibri" w:cs="Calibri"/>
        </w:rPr>
      </w:pPr>
    </w:p>
    <w:p w14:paraId="4BC6D698" w14:textId="77777777" w:rsidR="006F2FF7" w:rsidRDefault="00000000">
      <w:pPr>
        <w:pBdr>
          <w:top w:val="nil"/>
          <w:left w:val="nil"/>
          <w:bottom w:val="nil"/>
          <w:right w:val="nil"/>
          <w:between w:val="nil"/>
        </w:pBdr>
        <w:jc w:val="both"/>
        <w:rPr>
          <w:rFonts w:ascii="Calibri" w:eastAsia="Calibri" w:hAnsi="Calibri" w:cs="Calibri"/>
          <w:u w:val="single"/>
        </w:rPr>
      </w:pPr>
      <w:r>
        <w:rPr>
          <w:rFonts w:ascii="Calibri" w:eastAsia="Calibri" w:hAnsi="Calibri" w:cs="Calibri"/>
          <w:u w:val="single"/>
        </w:rPr>
        <w:t>Lack of appropriate response to gender-based violence</w:t>
      </w:r>
    </w:p>
    <w:p w14:paraId="2623582B" w14:textId="77777777" w:rsidR="006F2FF7" w:rsidRDefault="006F2FF7">
      <w:pPr>
        <w:pBdr>
          <w:top w:val="nil"/>
          <w:left w:val="nil"/>
          <w:bottom w:val="nil"/>
          <w:right w:val="nil"/>
          <w:between w:val="nil"/>
        </w:pBdr>
        <w:jc w:val="both"/>
        <w:rPr>
          <w:rFonts w:ascii="Calibri" w:eastAsia="Calibri" w:hAnsi="Calibri" w:cs="Calibri"/>
        </w:rPr>
      </w:pPr>
    </w:p>
    <w:p w14:paraId="34FA2005"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the preparatory consultations for this report, women who use drugs reported that gender-based violence at the hands of intimate partners and family relations is widespread and underreported. However, women who use drugs often find themselves with no state services or protection. This is because fear of stigma or abuse by the police deters women from reporting cases, whilst shelters often exclude women who are using drugs. </w:t>
      </w:r>
    </w:p>
    <w:p w14:paraId="7AAB34B5" w14:textId="77777777" w:rsidR="006F2FF7" w:rsidRDefault="006F2FF7">
      <w:pPr>
        <w:pBdr>
          <w:top w:val="nil"/>
          <w:left w:val="nil"/>
          <w:bottom w:val="nil"/>
          <w:right w:val="nil"/>
          <w:between w:val="nil"/>
        </w:pBdr>
        <w:ind w:left="720"/>
        <w:jc w:val="both"/>
        <w:rPr>
          <w:rFonts w:ascii="Calibri" w:eastAsia="Calibri" w:hAnsi="Calibri" w:cs="Calibri"/>
        </w:rPr>
      </w:pPr>
    </w:p>
    <w:p w14:paraId="1511FC3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 2023 report</w:t>
      </w:r>
      <w:r>
        <w:rPr>
          <w:rFonts w:ascii="Calibri" w:eastAsia="Calibri" w:hAnsi="Calibri" w:cs="Calibri"/>
          <w:vertAlign w:val="superscript"/>
        </w:rPr>
        <w:footnoteReference w:id="35"/>
      </w:r>
      <w:r>
        <w:rPr>
          <w:rFonts w:ascii="Calibri" w:eastAsia="Calibri" w:hAnsi="Calibri" w:cs="Calibri"/>
        </w:rPr>
        <w:t xml:space="preserve"> by the community-led Eurasian Women’s Network on AIDS reached a similar conclusion. It found that many women </w:t>
      </w:r>
      <w:proofErr w:type="gramStart"/>
      <w:r>
        <w:rPr>
          <w:rFonts w:ascii="Calibri" w:eastAsia="Calibri" w:hAnsi="Calibri" w:cs="Calibri"/>
        </w:rPr>
        <w:t>living</w:t>
      </w:r>
      <w:proofErr w:type="gramEnd"/>
      <w:r>
        <w:rPr>
          <w:rFonts w:ascii="Calibri" w:eastAsia="Calibri" w:hAnsi="Calibri" w:cs="Calibri"/>
        </w:rPr>
        <w:t xml:space="preserve"> with HIV and/or who use drugs frequently experience violence, particularly in intimate relationships. However, law enforcement often dismisses their complaints. Rather than receiving protection and support, these women are frequently subjected to shame rooted in religious beliefs, patriarchal norms, or stigma related to their HIV status.</w:t>
      </w:r>
      <w:r>
        <w:rPr>
          <w:rFonts w:ascii="Calibri" w:eastAsia="Calibri" w:hAnsi="Calibri" w:cs="Calibri"/>
          <w:vertAlign w:val="superscript"/>
        </w:rPr>
        <w:footnoteReference w:id="36"/>
      </w:r>
    </w:p>
    <w:p w14:paraId="6E068CFE" w14:textId="77777777" w:rsidR="006F2FF7" w:rsidRDefault="006F2FF7">
      <w:pPr>
        <w:rPr>
          <w:rFonts w:ascii="Calibri" w:eastAsia="Calibri" w:hAnsi="Calibri" w:cs="Calibri"/>
          <w:i/>
        </w:rPr>
      </w:pPr>
    </w:p>
    <w:tbl>
      <w:tblPr>
        <w:tblStyle w:val="af0"/>
        <w:tblW w:w="8330" w:type="dxa"/>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30"/>
      </w:tblGrid>
      <w:tr w:rsidR="006F2FF7" w14:paraId="5A103573" w14:textId="77777777">
        <w:tc>
          <w:tcPr>
            <w:tcW w:w="8330" w:type="dxa"/>
            <w:shd w:val="clear" w:color="auto" w:fill="auto"/>
            <w:tcMar>
              <w:top w:w="100" w:type="dxa"/>
              <w:left w:w="100" w:type="dxa"/>
              <w:bottom w:w="100" w:type="dxa"/>
              <w:right w:w="100" w:type="dxa"/>
            </w:tcMar>
          </w:tcPr>
          <w:p w14:paraId="0C5BEE81" w14:textId="77777777" w:rsidR="006F2FF7" w:rsidRDefault="00000000">
            <w:pPr>
              <w:rPr>
                <w:rFonts w:ascii="Calibri" w:eastAsia="Calibri" w:hAnsi="Calibri" w:cs="Calibri"/>
                <w:b/>
              </w:rPr>
            </w:pPr>
            <w:r>
              <w:rPr>
                <w:rFonts w:ascii="Calibri" w:eastAsia="Calibri" w:hAnsi="Calibri" w:cs="Calibri"/>
                <w:b/>
                <w:i/>
              </w:rPr>
              <w:t xml:space="preserve">Quote from survey: </w:t>
            </w:r>
            <w:r>
              <w:rPr>
                <w:rFonts w:ascii="Calibri" w:eastAsia="Calibri" w:hAnsi="Calibri" w:cs="Calibri"/>
                <w:b/>
              </w:rPr>
              <w:t xml:space="preserve">Fear of reporting gender-based violence to the police. </w:t>
            </w:r>
          </w:p>
          <w:p w14:paraId="3DD972A7" w14:textId="77777777" w:rsidR="006F2FF7" w:rsidRDefault="00000000">
            <w:pPr>
              <w:rPr>
                <w:rFonts w:ascii="Calibri" w:eastAsia="Calibri" w:hAnsi="Calibri" w:cs="Calibri"/>
                <w:i/>
              </w:rPr>
            </w:pPr>
            <w:r w:rsidRPr="00B01C20">
              <w:rPr>
                <w:rFonts w:ascii="Calibri" w:eastAsia="Calibri" w:hAnsi="Calibri" w:cs="Calibri"/>
                <w:i/>
                <w:lang w:val="ru-RU"/>
              </w:rPr>
              <w:t xml:space="preserve">"Люди боятся обращаться в суд, чтобы не стало хуже." </w:t>
            </w:r>
            <w:r>
              <w:rPr>
                <w:rFonts w:ascii="Calibri" w:eastAsia="Calibri" w:hAnsi="Calibri" w:cs="Calibri"/>
                <w:i/>
              </w:rPr>
              <w:t>("People are afraid to go to court for fear it will make things worse.")</w:t>
            </w:r>
            <w:r>
              <w:rPr>
                <w:rFonts w:ascii="Calibri" w:eastAsia="Calibri" w:hAnsi="Calibri" w:cs="Calibri"/>
                <w:i/>
                <w:vertAlign w:val="superscript"/>
              </w:rPr>
              <w:footnoteReference w:id="37"/>
            </w:r>
          </w:p>
        </w:tc>
      </w:tr>
    </w:tbl>
    <w:p w14:paraId="3ADF733D" w14:textId="77777777" w:rsidR="006F2FF7" w:rsidRDefault="006F2FF7">
      <w:pPr>
        <w:jc w:val="both"/>
        <w:rPr>
          <w:rFonts w:ascii="Calibri" w:eastAsia="Calibri" w:hAnsi="Calibri" w:cs="Calibri"/>
        </w:rPr>
      </w:pPr>
    </w:p>
    <w:p w14:paraId="2954CBAB" w14:textId="77777777" w:rsidR="006F2FF7" w:rsidRDefault="00000000">
      <w:pPr>
        <w:numPr>
          <w:ilvl w:val="0"/>
          <w:numId w:val="3"/>
        </w:numPr>
        <w:ind w:left="425"/>
        <w:jc w:val="both"/>
      </w:pPr>
      <w:r>
        <w:rPr>
          <w:rFonts w:ascii="Calibri" w:eastAsia="Calibri" w:hAnsi="Calibri" w:cs="Calibri"/>
        </w:rPr>
        <w:t xml:space="preserve">On top of that, women who use drugs often endure gender-based violence at the hands of law enforcement itself. 18 out of the 177 women who use drugs surveyed in the preparation of this paper reported that they had endured police abuse. </w:t>
      </w:r>
    </w:p>
    <w:p w14:paraId="3516372A" w14:textId="77777777" w:rsidR="006F2FF7" w:rsidRDefault="006F2FF7">
      <w:pPr>
        <w:rPr>
          <w:rFonts w:ascii="Calibri" w:eastAsia="Calibri" w:hAnsi="Calibri" w:cs="Calibri"/>
        </w:rPr>
      </w:pPr>
    </w:p>
    <w:p w14:paraId="304F0A25" w14:textId="77777777" w:rsidR="006F2FF7" w:rsidRDefault="00000000">
      <w:pPr>
        <w:pStyle w:val="Heading3"/>
        <w:keepNext w:val="0"/>
        <w:keepLines w:val="0"/>
        <w:spacing w:before="0" w:after="0"/>
        <w:jc w:val="both"/>
        <w:rPr>
          <w:rFonts w:ascii="Calibri" w:eastAsia="Calibri" w:hAnsi="Calibri" w:cs="Calibri"/>
          <w:color w:val="000000"/>
          <w:sz w:val="22"/>
          <w:szCs w:val="22"/>
        </w:rPr>
      </w:pPr>
      <w:bookmarkStart w:id="16" w:name="_heading=h.742e6bu5xj2x" w:colFirst="0" w:colLast="0"/>
      <w:bookmarkEnd w:id="16"/>
      <w:r>
        <w:rPr>
          <w:rFonts w:ascii="Calibri" w:eastAsia="Calibri" w:hAnsi="Calibri" w:cs="Calibri"/>
          <w:b/>
          <w:color w:val="000000"/>
          <w:sz w:val="22"/>
          <w:szCs w:val="22"/>
        </w:rPr>
        <w:t>E. Violation of sexual and reproductive rights against women who use drugs (arts. 3, 6 and 7)</w:t>
      </w:r>
    </w:p>
    <w:p w14:paraId="6344F6A5" w14:textId="77777777" w:rsidR="006F2FF7" w:rsidRDefault="006F2FF7">
      <w:pPr>
        <w:rPr>
          <w:rFonts w:ascii="Calibri" w:eastAsia="Calibri" w:hAnsi="Calibri" w:cs="Calibri"/>
        </w:rPr>
      </w:pPr>
    </w:p>
    <w:p w14:paraId="67B70389" w14:textId="77777777" w:rsidR="006F2FF7" w:rsidRDefault="00000000">
      <w:pPr>
        <w:rPr>
          <w:rFonts w:ascii="Calibri" w:eastAsia="Calibri" w:hAnsi="Calibri" w:cs="Calibri"/>
          <w:i/>
        </w:rPr>
      </w:pPr>
      <w:r>
        <w:rPr>
          <w:rFonts w:ascii="Calibri" w:eastAsia="Calibri" w:hAnsi="Calibri" w:cs="Calibri"/>
          <w:i/>
        </w:rPr>
        <w:t>Relevant paragraph in the List of Issues: 12.</w:t>
      </w:r>
    </w:p>
    <w:p w14:paraId="730F98AD" w14:textId="77777777" w:rsidR="006F2FF7" w:rsidRDefault="006F2FF7">
      <w:pPr>
        <w:rPr>
          <w:rFonts w:ascii="Calibri" w:eastAsia="Calibri" w:hAnsi="Calibri" w:cs="Calibri"/>
        </w:rPr>
      </w:pPr>
    </w:p>
    <w:p w14:paraId="386112F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the preparatory consultations for the report, women reported a systemic lack of gender-appropriate health care and a pervasive presence of stigma and discrimination against women who use drugs in health settings. This had a very serious detrimental impact on their sexual and reproductive rights, including cases of coerced sterilisation and abortion, and the denial of care for pregnant women and pain relief and substandard care in childbirth. </w:t>
      </w:r>
    </w:p>
    <w:p w14:paraId="7F2274B5" w14:textId="77777777" w:rsidR="006F2FF7" w:rsidRDefault="006F2FF7">
      <w:pPr>
        <w:pBdr>
          <w:top w:val="nil"/>
          <w:left w:val="nil"/>
          <w:bottom w:val="nil"/>
          <w:right w:val="nil"/>
          <w:between w:val="nil"/>
        </w:pBdr>
        <w:jc w:val="both"/>
        <w:rPr>
          <w:rFonts w:ascii="Calibri" w:eastAsia="Calibri" w:hAnsi="Calibri" w:cs="Calibri"/>
        </w:rPr>
      </w:pPr>
    </w:p>
    <w:p w14:paraId="67E44D2C"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Healthcare workers frequently stigmatise women with histories of drug use and/or HIV. There are numerous reports of medical discrimination, such as denial of necessary surgeries and procedures once a patient’s HIV status is known. In some cases, entire hospital wards would refuse service upon discovering the patient's status. Confidentiality breaches are rampant, with personal health information, including HIV status, openly discussed by medical staff.</w:t>
      </w:r>
    </w:p>
    <w:p w14:paraId="3C716FEB" w14:textId="77777777" w:rsidR="006F2FF7" w:rsidRDefault="006F2FF7">
      <w:pPr>
        <w:pStyle w:val="Heading3"/>
        <w:keepNext w:val="0"/>
        <w:keepLines w:val="0"/>
        <w:spacing w:before="0" w:after="0"/>
        <w:jc w:val="both"/>
        <w:rPr>
          <w:rFonts w:ascii="Calibri" w:eastAsia="Calibri" w:hAnsi="Calibri" w:cs="Calibri"/>
          <w:b/>
          <w:color w:val="000000"/>
          <w:sz w:val="22"/>
          <w:szCs w:val="22"/>
        </w:rPr>
      </w:pPr>
      <w:bookmarkStart w:id="17" w:name="_heading=h.a4z24y134998" w:colFirst="0" w:colLast="0"/>
      <w:bookmarkEnd w:id="17"/>
    </w:p>
    <w:p w14:paraId="66DF6987"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Women who use drugs report severely unmet needs in the context of sexual and reproductive health.</w:t>
      </w:r>
      <w:r>
        <w:rPr>
          <w:rFonts w:ascii="Calibri" w:eastAsia="Calibri" w:hAnsi="Calibri" w:cs="Calibri"/>
          <w:vertAlign w:val="superscript"/>
        </w:rPr>
        <w:footnoteReference w:id="38"/>
      </w:r>
      <w:r>
        <w:rPr>
          <w:rFonts w:ascii="Calibri" w:eastAsia="Calibri" w:hAnsi="Calibri" w:cs="Calibri"/>
        </w:rPr>
        <w:t xml:space="preserve"> They experience discrimination, violence, and stigma when seeking sexual and reproductive health services, especially during pregnancy and childbirth. According to community-led studies, these include cases of coerced abortion linked to drug use, and being denied pain relief during childbirth</w:t>
      </w:r>
      <w:r>
        <w:rPr>
          <w:rFonts w:ascii="Calibri" w:eastAsia="Calibri" w:hAnsi="Calibri" w:cs="Calibri"/>
          <w:vertAlign w:val="superscript"/>
        </w:rPr>
        <w:footnoteReference w:id="39"/>
      </w:r>
      <w:r>
        <w:rPr>
          <w:rFonts w:ascii="Calibri" w:eastAsia="Calibri" w:hAnsi="Calibri" w:cs="Calibri"/>
        </w:rPr>
        <w:t xml:space="preserve">. </w:t>
      </w:r>
    </w:p>
    <w:p w14:paraId="23E0541C" w14:textId="77777777" w:rsidR="006F2FF7" w:rsidRDefault="006F2FF7">
      <w:pPr>
        <w:pBdr>
          <w:top w:val="nil"/>
          <w:left w:val="nil"/>
          <w:bottom w:val="nil"/>
          <w:right w:val="nil"/>
          <w:between w:val="nil"/>
        </w:pBdr>
        <w:jc w:val="both"/>
        <w:rPr>
          <w:rFonts w:ascii="Calibri" w:eastAsia="Calibri" w:hAnsi="Calibri" w:cs="Calibri"/>
        </w:rPr>
      </w:pPr>
    </w:p>
    <w:tbl>
      <w:tblPr>
        <w:tblStyle w:val="af1"/>
        <w:tblW w:w="8275" w:type="dxa"/>
        <w:tblInd w:w="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275"/>
      </w:tblGrid>
      <w:tr w:rsidR="006F2FF7" w14:paraId="0ED6D13A" w14:textId="77777777">
        <w:tc>
          <w:tcPr>
            <w:tcW w:w="8275" w:type="dxa"/>
            <w:shd w:val="clear" w:color="auto" w:fill="auto"/>
            <w:tcMar>
              <w:top w:w="100" w:type="dxa"/>
              <w:left w:w="100" w:type="dxa"/>
              <w:bottom w:w="100" w:type="dxa"/>
              <w:right w:w="100" w:type="dxa"/>
            </w:tcMar>
          </w:tcPr>
          <w:p w14:paraId="70077782" w14:textId="77777777" w:rsidR="006F2FF7" w:rsidRDefault="00000000">
            <w:pPr>
              <w:widowControl w:val="0"/>
              <w:spacing w:after="240"/>
              <w:rPr>
                <w:rFonts w:ascii="Calibri" w:eastAsia="Calibri" w:hAnsi="Calibri" w:cs="Calibri"/>
                <w:b/>
              </w:rPr>
            </w:pPr>
            <w:r>
              <w:rPr>
                <w:rFonts w:ascii="Calibri" w:eastAsia="Calibri" w:hAnsi="Calibri" w:cs="Calibri"/>
                <w:b/>
              </w:rPr>
              <w:t>Examples from consultation: Violation of sexual and reproductive health</w:t>
            </w:r>
          </w:p>
          <w:p w14:paraId="69809F0D" w14:textId="77777777" w:rsidR="006F2FF7" w:rsidRDefault="00000000">
            <w:pPr>
              <w:widowControl w:val="0"/>
              <w:spacing w:after="240"/>
              <w:rPr>
                <w:rFonts w:ascii="Calibri" w:eastAsia="Calibri" w:hAnsi="Calibri" w:cs="Calibri"/>
                <w:i/>
              </w:rPr>
            </w:pPr>
            <w:r>
              <w:rPr>
                <w:rFonts w:ascii="Calibri" w:eastAsia="Calibri" w:hAnsi="Calibri" w:cs="Calibri"/>
              </w:rPr>
              <w:t xml:space="preserve">One of the participants in the consultation shared that after giving birth, she was pressured to undergo sterilization. Medical staff told her, </w:t>
            </w:r>
            <w:r>
              <w:rPr>
                <w:rFonts w:ascii="Calibri" w:eastAsia="Calibri" w:hAnsi="Calibri" w:cs="Calibri"/>
                <w:i/>
              </w:rPr>
              <w:t>“You’re a drug addict—why are you even giving birth?”</w:t>
            </w:r>
          </w:p>
          <w:p w14:paraId="06629410" w14:textId="77777777" w:rsidR="006F2FF7" w:rsidRDefault="00000000">
            <w:pPr>
              <w:widowControl w:val="0"/>
              <w:spacing w:before="240" w:after="240"/>
              <w:rPr>
                <w:rFonts w:ascii="Calibri" w:eastAsia="Calibri" w:hAnsi="Calibri" w:cs="Calibri"/>
              </w:rPr>
            </w:pPr>
            <w:r>
              <w:rPr>
                <w:rFonts w:ascii="Calibri" w:eastAsia="Calibri" w:hAnsi="Calibri" w:cs="Calibri"/>
              </w:rPr>
              <w:t>Another participant recounted that she underwent a medically necessary abortion in a public hospital ward. During the procedure, a group of male medical interns observed her, which left her feeling deeply humiliated and dehumanized.</w:t>
            </w:r>
          </w:p>
        </w:tc>
      </w:tr>
    </w:tbl>
    <w:p w14:paraId="62256660" w14:textId="77777777" w:rsidR="006F2FF7" w:rsidRDefault="006F2FF7">
      <w:pPr>
        <w:jc w:val="both"/>
        <w:rPr>
          <w:rFonts w:ascii="Calibri" w:eastAsia="Calibri" w:hAnsi="Calibri" w:cs="Calibri"/>
          <w:highlight w:val="red"/>
        </w:rPr>
      </w:pPr>
    </w:p>
    <w:p w14:paraId="4FD55594"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Women who use drugs reported that they are often denied pain relief during hospitalization and receive substandard care. The lack of coordination between addiction specialists (also called narcologists), </w:t>
      </w:r>
      <w:proofErr w:type="spellStart"/>
      <w:r>
        <w:rPr>
          <w:rFonts w:ascii="Calibri" w:eastAsia="Calibri" w:hAnsi="Calibri" w:cs="Calibri"/>
        </w:rPr>
        <w:t>gynecologists</w:t>
      </w:r>
      <w:proofErr w:type="spellEnd"/>
      <w:r>
        <w:rPr>
          <w:rFonts w:ascii="Calibri" w:eastAsia="Calibri" w:hAnsi="Calibri" w:cs="Calibri"/>
        </w:rPr>
        <w:t>, and midwives increases the prevalence of unsafe practices, and means that pregnant women who use drugs fall through the cracks of the medical system. As a result, pregnant women avoid hospitalisation due to expected mistreatment and fear of being denied pain management.</w:t>
      </w:r>
    </w:p>
    <w:p w14:paraId="4640ED66" w14:textId="77777777" w:rsidR="006F2FF7" w:rsidRDefault="006F2FF7">
      <w:pPr>
        <w:ind w:left="720"/>
        <w:jc w:val="both"/>
        <w:rPr>
          <w:rFonts w:ascii="Calibri" w:eastAsia="Calibri" w:hAnsi="Calibri" w:cs="Calibri"/>
        </w:rPr>
      </w:pPr>
    </w:p>
    <w:tbl>
      <w:tblPr>
        <w:tblStyle w:val="af2"/>
        <w:tblW w:w="8330" w:type="dxa"/>
        <w:tblInd w:w="6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30"/>
      </w:tblGrid>
      <w:tr w:rsidR="006F2FF7" w14:paraId="39FFEB9B" w14:textId="77777777">
        <w:tc>
          <w:tcPr>
            <w:tcW w:w="8330" w:type="dxa"/>
            <w:shd w:val="clear" w:color="auto" w:fill="auto"/>
            <w:tcMar>
              <w:top w:w="100" w:type="dxa"/>
              <w:left w:w="100" w:type="dxa"/>
              <w:bottom w:w="100" w:type="dxa"/>
              <w:right w:w="100" w:type="dxa"/>
            </w:tcMar>
          </w:tcPr>
          <w:p w14:paraId="43E04BB4" w14:textId="77777777" w:rsidR="006F2FF7" w:rsidRDefault="00000000">
            <w:pPr>
              <w:rPr>
                <w:rFonts w:ascii="Calibri" w:eastAsia="Calibri" w:hAnsi="Calibri" w:cs="Calibri"/>
                <w:i/>
              </w:rPr>
            </w:pPr>
            <w:r>
              <w:rPr>
                <w:rFonts w:ascii="Calibri" w:eastAsia="Calibri" w:hAnsi="Calibri" w:cs="Calibri"/>
                <w:b/>
                <w:i/>
              </w:rPr>
              <w:t xml:space="preserve">Quote from survey: </w:t>
            </w:r>
            <w:r>
              <w:rPr>
                <w:rFonts w:ascii="Calibri" w:eastAsia="Calibri" w:hAnsi="Calibri" w:cs="Calibri"/>
                <w:b/>
              </w:rPr>
              <w:t xml:space="preserve"> </w:t>
            </w:r>
            <w:r>
              <w:rPr>
                <w:rFonts w:ascii="Calibri" w:eastAsia="Calibri" w:hAnsi="Calibri" w:cs="Calibri"/>
                <w:b/>
                <w:i/>
              </w:rPr>
              <w:t>Gender-sensitive care gap</w:t>
            </w:r>
            <w:r>
              <w:rPr>
                <w:rFonts w:ascii="Calibri" w:eastAsia="Calibri" w:hAnsi="Calibri" w:cs="Calibri"/>
                <w:i/>
              </w:rPr>
              <w:t xml:space="preserve">. </w:t>
            </w:r>
          </w:p>
          <w:p w14:paraId="0EC51694" w14:textId="77777777" w:rsidR="006F2FF7" w:rsidRDefault="00000000">
            <w:pPr>
              <w:rPr>
                <w:rFonts w:ascii="Calibri" w:eastAsia="Calibri" w:hAnsi="Calibri" w:cs="Calibri"/>
                <w:b/>
                <w:shd w:val="clear" w:color="auto" w:fill="FFF2CC"/>
              </w:rPr>
            </w:pPr>
            <w:r w:rsidRPr="00B01C20">
              <w:rPr>
                <w:rFonts w:ascii="Calibri" w:eastAsia="Calibri" w:hAnsi="Calibri" w:cs="Calibri"/>
                <w:i/>
                <w:lang w:val="ru-RU"/>
              </w:rPr>
              <w:t xml:space="preserve">‘Нет протокола для беременных женщин, проходящих </w:t>
            </w:r>
            <w:proofErr w:type="spellStart"/>
            <w:r w:rsidRPr="00B01C20">
              <w:rPr>
                <w:rFonts w:ascii="Calibri" w:eastAsia="Calibri" w:hAnsi="Calibri" w:cs="Calibri"/>
                <w:i/>
                <w:lang w:val="ru-RU"/>
              </w:rPr>
              <w:t>нарколечение</w:t>
            </w:r>
            <w:proofErr w:type="spellEnd"/>
            <w:r w:rsidRPr="00B01C20">
              <w:rPr>
                <w:rFonts w:ascii="Calibri" w:eastAsia="Calibri" w:hAnsi="Calibri" w:cs="Calibri"/>
                <w:i/>
                <w:lang w:val="ru-RU"/>
              </w:rPr>
              <w:t xml:space="preserve">’. </w:t>
            </w:r>
            <w:r>
              <w:rPr>
                <w:rFonts w:ascii="Calibri" w:eastAsia="Calibri" w:hAnsi="Calibri" w:cs="Calibri"/>
                <w:i/>
              </w:rPr>
              <w:t>(‘There is no protocol for treating pregnant women undergoing drug treatment’).</w:t>
            </w:r>
            <w:r>
              <w:rPr>
                <w:rFonts w:ascii="Calibri" w:eastAsia="Calibri" w:hAnsi="Calibri" w:cs="Calibri"/>
                <w:i/>
                <w:vertAlign w:val="superscript"/>
              </w:rPr>
              <w:footnoteReference w:id="40"/>
            </w:r>
          </w:p>
        </w:tc>
      </w:tr>
    </w:tbl>
    <w:p w14:paraId="29FE69DC" w14:textId="77777777" w:rsidR="006F2FF7" w:rsidRDefault="006F2FF7">
      <w:pPr>
        <w:pStyle w:val="Heading3"/>
        <w:keepNext w:val="0"/>
        <w:keepLines w:val="0"/>
        <w:spacing w:before="0" w:after="0"/>
        <w:jc w:val="both"/>
        <w:rPr>
          <w:rFonts w:ascii="Calibri" w:eastAsia="Calibri" w:hAnsi="Calibri" w:cs="Calibri"/>
          <w:b/>
          <w:color w:val="000000"/>
          <w:sz w:val="22"/>
          <w:szCs w:val="22"/>
        </w:rPr>
      </w:pPr>
      <w:bookmarkStart w:id="18" w:name="_heading=h.lq71b5ntdxzv" w:colFirst="0" w:colLast="0"/>
      <w:bookmarkEnd w:id="18"/>
    </w:p>
    <w:p w14:paraId="202FDA84" w14:textId="77777777" w:rsidR="006F2FF7" w:rsidRDefault="006F2FF7">
      <w:pPr>
        <w:rPr>
          <w:rFonts w:ascii="Calibri" w:eastAsia="Calibri" w:hAnsi="Calibri" w:cs="Calibri"/>
          <w:b/>
        </w:rPr>
      </w:pPr>
    </w:p>
    <w:p w14:paraId="66DEB944" w14:textId="77777777" w:rsidR="006F2FF7" w:rsidRDefault="006F2FF7">
      <w:pPr>
        <w:rPr>
          <w:rFonts w:ascii="Calibri" w:eastAsia="Calibri" w:hAnsi="Calibri" w:cs="Calibri"/>
          <w:b/>
        </w:rPr>
      </w:pPr>
    </w:p>
    <w:p w14:paraId="09765234" w14:textId="77777777" w:rsidR="006F2FF7" w:rsidRDefault="006F2FF7">
      <w:pPr>
        <w:rPr>
          <w:rFonts w:ascii="Calibri" w:eastAsia="Calibri" w:hAnsi="Calibri" w:cs="Calibri"/>
          <w:b/>
        </w:rPr>
      </w:pPr>
    </w:p>
    <w:p w14:paraId="1B3C48F8" w14:textId="77777777" w:rsidR="006F2FF7" w:rsidRDefault="006F2FF7">
      <w:pPr>
        <w:rPr>
          <w:rFonts w:ascii="Calibri" w:eastAsia="Calibri" w:hAnsi="Calibri" w:cs="Calibri"/>
          <w:b/>
        </w:rPr>
      </w:pPr>
    </w:p>
    <w:p w14:paraId="72C80EC8" w14:textId="77777777" w:rsidR="006F2FF7" w:rsidRDefault="006F2FF7">
      <w:pPr>
        <w:rPr>
          <w:rFonts w:ascii="Calibri" w:eastAsia="Calibri" w:hAnsi="Calibri" w:cs="Calibri"/>
          <w:b/>
        </w:rPr>
      </w:pPr>
    </w:p>
    <w:p w14:paraId="7FEC13CD" w14:textId="77777777" w:rsidR="006F2FF7" w:rsidRDefault="006F2FF7">
      <w:pPr>
        <w:rPr>
          <w:rFonts w:ascii="Calibri" w:eastAsia="Calibri" w:hAnsi="Calibri" w:cs="Calibri"/>
          <w:b/>
        </w:rPr>
      </w:pPr>
    </w:p>
    <w:p w14:paraId="1EC09723" w14:textId="77777777" w:rsidR="006F2FF7" w:rsidRDefault="00000000">
      <w:pPr>
        <w:rPr>
          <w:rFonts w:ascii="Calibri" w:eastAsia="Calibri" w:hAnsi="Calibri" w:cs="Calibri"/>
          <w:b/>
        </w:rPr>
      </w:pPr>
      <w:r>
        <w:rPr>
          <w:rFonts w:ascii="Calibri" w:eastAsia="Calibri" w:hAnsi="Calibri" w:cs="Calibri"/>
          <w:b/>
        </w:rPr>
        <w:t xml:space="preserve">F. Denial of essential harm reduction and HIV treatment in the community, hospitals and prisons </w:t>
      </w:r>
    </w:p>
    <w:p w14:paraId="5D72D056" w14:textId="77777777" w:rsidR="006F2FF7" w:rsidRDefault="006F2FF7">
      <w:pPr>
        <w:rPr>
          <w:rFonts w:ascii="Calibri" w:eastAsia="Calibri" w:hAnsi="Calibri" w:cs="Calibri"/>
        </w:rPr>
      </w:pPr>
    </w:p>
    <w:p w14:paraId="18AF5D0B" w14:textId="77777777" w:rsidR="006F2FF7" w:rsidRDefault="00000000">
      <w:pPr>
        <w:rPr>
          <w:rFonts w:ascii="Calibri" w:eastAsia="Calibri" w:hAnsi="Calibri" w:cs="Calibri"/>
          <w:i/>
        </w:rPr>
      </w:pPr>
      <w:r>
        <w:rPr>
          <w:rFonts w:ascii="Calibri" w:eastAsia="Calibri" w:hAnsi="Calibri" w:cs="Calibri"/>
          <w:i/>
        </w:rPr>
        <w:t>Relevant paragraph in the List of Issues: 16.</w:t>
      </w:r>
    </w:p>
    <w:p w14:paraId="1A9134C2" w14:textId="77777777" w:rsidR="006F2FF7" w:rsidRDefault="006F2FF7">
      <w:pPr>
        <w:rPr>
          <w:rFonts w:ascii="Calibri" w:eastAsia="Calibri" w:hAnsi="Calibri" w:cs="Calibri"/>
        </w:rPr>
      </w:pPr>
    </w:p>
    <w:p w14:paraId="4FA1AE13"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denial of life-saving harm reduction services for people who use drugs raises serious concerns with regards to the rights to life, to personal security, and to be from ill-treatment, particularly when individuals are in inpatient care, or in prison.</w:t>
      </w:r>
    </w:p>
    <w:p w14:paraId="089FE034" w14:textId="77777777" w:rsidR="006F2FF7" w:rsidRDefault="006F2FF7">
      <w:pPr>
        <w:pBdr>
          <w:top w:val="nil"/>
          <w:left w:val="nil"/>
          <w:bottom w:val="nil"/>
          <w:right w:val="nil"/>
          <w:between w:val="nil"/>
        </w:pBdr>
        <w:ind w:left="720"/>
        <w:jc w:val="both"/>
        <w:rPr>
          <w:rFonts w:ascii="Calibri" w:eastAsia="Calibri" w:hAnsi="Calibri" w:cs="Calibri"/>
        </w:rPr>
      </w:pPr>
    </w:p>
    <w:p w14:paraId="7868E16F"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2013, the then-UN Special Rapporteur on torture Juan Méndez found that the systemic denial of harm reduction can be tantamount to ill-treatment, stating that: </w:t>
      </w:r>
    </w:p>
    <w:p w14:paraId="6A9D6884" w14:textId="77777777" w:rsidR="006F2FF7" w:rsidRDefault="006F2FF7">
      <w:pPr>
        <w:ind w:left="720"/>
        <w:jc w:val="both"/>
        <w:rPr>
          <w:rFonts w:ascii="Calibri" w:eastAsia="Calibri" w:hAnsi="Calibri" w:cs="Calibri"/>
        </w:rPr>
      </w:pPr>
    </w:p>
    <w:p w14:paraId="33BF8046" w14:textId="77777777" w:rsidR="006F2FF7" w:rsidRDefault="00000000">
      <w:pPr>
        <w:ind w:left="720"/>
        <w:jc w:val="both"/>
        <w:rPr>
          <w:rFonts w:ascii="Calibri" w:eastAsia="Calibri" w:hAnsi="Calibri" w:cs="Calibri"/>
        </w:rPr>
      </w:pPr>
      <w:r>
        <w:rPr>
          <w:rFonts w:ascii="Calibri" w:eastAsia="Calibri" w:hAnsi="Calibri" w:cs="Calibri"/>
        </w:rPr>
        <w:t>‘</w:t>
      </w:r>
      <w:r>
        <w:rPr>
          <w:rFonts w:ascii="Calibri" w:eastAsia="Calibri" w:hAnsi="Calibri" w:cs="Calibri"/>
          <w:i/>
        </w:rPr>
        <w:t>By denying effective drug treatment, State drug policies intentionally subject a large group of people to severe physical pain, suffering and humiliation, effectively punishing them for using drugs and trying to coerce them into abstinence, in complete disregard of the chronic nature of dependency and of the scientific evidence pointing to the ineffectiveness of punitive measures’</w:t>
      </w:r>
      <w:r>
        <w:rPr>
          <w:rFonts w:ascii="Calibri" w:eastAsia="Calibri" w:hAnsi="Calibri" w:cs="Calibri"/>
        </w:rPr>
        <w:t>.</w:t>
      </w:r>
      <w:r>
        <w:rPr>
          <w:rFonts w:ascii="Calibri" w:eastAsia="Calibri" w:hAnsi="Calibri" w:cs="Calibri"/>
          <w:vertAlign w:val="superscript"/>
        </w:rPr>
        <w:footnoteReference w:id="41"/>
      </w:r>
    </w:p>
    <w:p w14:paraId="54A8BB9F" w14:textId="77777777" w:rsidR="006F2FF7" w:rsidRDefault="006F2FF7">
      <w:pPr>
        <w:pBdr>
          <w:top w:val="nil"/>
          <w:left w:val="nil"/>
          <w:bottom w:val="nil"/>
          <w:right w:val="nil"/>
          <w:between w:val="nil"/>
        </w:pBdr>
        <w:jc w:val="both"/>
        <w:rPr>
          <w:rFonts w:ascii="Calibri" w:eastAsia="Calibri" w:hAnsi="Calibri" w:cs="Calibri"/>
        </w:rPr>
      </w:pPr>
    </w:p>
    <w:p w14:paraId="68329375"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Within the context of injecting drug use, the World Health Organization has indicated that harm reduction includes - but is not limited to - interventions such as needle and syringe programmes, opioid agonist treatment, and naloxone for overdose management</w:t>
      </w:r>
      <w:r>
        <w:rPr>
          <w:rFonts w:ascii="Calibri" w:eastAsia="Calibri" w:hAnsi="Calibri" w:cs="Calibri"/>
          <w:vertAlign w:val="superscript"/>
        </w:rPr>
        <w:footnoteReference w:id="42"/>
      </w:r>
      <w:r>
        <w:rPr>
          <w:rFonts w:ascii="Calibri" w:eastAsia="Calibri" w:hAnsi="Calibri" w:cs="Calibri"/>
        </w:rPr>
        <w:t xml:space="preserve">. </w:t>
      </w:r>
    </w:p>
    <w:p w14:paraId="774FE164" w14:textId="77777777" w:rsidR="006F2FF7" w:rsidRDefault="00000000">
      <w:pPr>
        <w:numPr>
          <w:ilvl w:val="1"/>
          <w:numId w:val="3"/>
        </w:numPr>
        <w:jc w:val="both"/>
        <w:rPr>
          <w:rFonts w:ascii="Calibri" w:eastAsia="Calibri" w:hAnsi="Calibri" w:cs="Calibri"/>
        </w:rPr>
      </w:pPr>
      <w:r>
        <w:rPr>
          <w:rFonts w:ascii="Calibri" w:eastAsia="Calibri" w:hAnsi="Calibri" w:cs="Calibri"/>
        </w:rPr>
        <w:t>Needle and Syringe Programmes (NSPs) supply sterile injecting equipment to people who use drugs, to reduce prevalence of HIV and other blood-borne infections</w:t>
      </w:r>
      <w:r>
        <w:rPr>
          <w:rFonts w:ascii="Calibri" w:eastAsia="Calibri" w:hAnsi="Calibri" w:cs="Calibri"/>
          <w:vertAlign w:val="superscript"/>
        </w:rPr>
        <w:footnoteReference w:id="43"/>
      </w:r>
      <w:r>
        <w:rPr>
          <w:rFonts w:ascii="Calibri" w:eastAsia="Calibri" w:hAnsi="Calibri" w:cs="Calibri"/>
        </w:rPr>
        <w:t>.</w:t>
      </w:r>
    </w:p>
    <w:p w14:paraId="4E86BD20" w14:textId="77777777" w:rsidR="006F2FF7" w:rsidRDefault="00000000">
      <w:pPr>
        <w:numPr>
          <w:ilvl w:val="1"/>
          <w:numId w:val="3"/>
        </w:numPr>
        <w:jc w:val="both"/>
        <w:rPr>
          <w:rFonts w:ascii="Calibri" w:eastAsia="Calibri" w:hAnsi="Calibri" w:cs="Calibri"/>
        </w:rPr>
      </w:pPr>
      <w:r>
        <w:rPr>
          <w:rFonts w:ascii="Calibri" w:eastAsia="Calibri" w:hAnsi="Calibri" w:cs="Calibri"/>
        </w:rPr>
        <w:t xml:space="preserve">Opioid Agonist Treatment (OAT), involve the provision of opioid agonist medicines such as methadone </w:t>
      </w:r>
      <w:proofErr w:type="gramStart"/>
      <w:r>
        <w:rPr>
          <w:rFonts w:ascii="Calibri" w:eastAsia="Calibri" w:hAnsi="Calibri" w:cs="Calibri"/>
        </w:rPr>
        <w:t>in order to</w:t>
      </w:r>
      <w:proofErr w:type="gramEnd"/>
      <w:r>
        <w:rPr>
          <w:rFonts w:ascii="Calibri" w:eastAsia="Calibri" w:hAnsi="Calibri" w:cs="Calibri"/>
        </w:rPr>
        <w:t xml:space="preserve"> manage opioid dependence, avoid withdrawal symptoms, and reduce injecting drug use, thus minimising both the risks of transmitting blood-borne diseases, and the risk of overdosing</w:t>
      </w:r>
      <w:r>
        <w:rPr>
          <w:rFonts w:ascii="Calibri" w:eastAsia="Calibri" w:hAnsi="Calibri" w:cs="Calibri"/>
          <w:vertAlign w:val="superscript"/>
        </w:rPr>
        <w:footnoteReference w:id="44"/>
      </w:r>
      <w:r>
        <w:rPr>
          <w:rFonts w:ascii="Calibri" w:eastAsia="Calibri" w:hAnsi="Calibri" w:cs="Calibri"/>
        </w:rPr>
        <w:t>.</w:t>
      </w:r>
    </w:p>
    <w:p w14:paraId="221261F3" w14:textId="77777777" w:rsidR="006F2FF7" w:rsidRDefault="00000000">
      <w:pPr>
        <w:numPr>
          <w:ilvl w:val="1"/>
          <w:numId w:val="3"/>
        </w:numPr>
        <w:jc w:val="both"/>
        <w:rPr>
          <w:rFonts w:ascii="Calibri" w:eastAsia="Calibri" w:hAnsi="Calibri" w:cs="Calibri"/>
        </w:rPr>
      </w:pPr>
      <w:r>
        <w:rPr>
          <w:rFonts w:ascii="Calibri" w:eastAsia="Calibri" w:hAnsi="Calibri" w:cs="Calibri"/>
        </w:rPr>
        <w:t>Naloxone is an opioid antagonist that is used as an emergency medicine the effects of opioid overdose and is critical to prevent deaths caused by overdoses</w:t>
      </w:r>
      <w:r>
        <w:rPr>
          <w:rFonts w:ascii="Calibri" w:eastAsia="Calibri" w:hAnsi="Calibri" w:cs="Calibri"/>
          <w:vertAlign w:val="superscript"/>
        </w:rPr>
        <w:footnoteReference w:id="45"/>
      </w:r>
      <w:r>
        <w:rPr>
          <w:rFonts w:ascii="Calibri" w:eastAsia="Calibri" w:hAnsi="Calibri" w:cs="Calibri"/>
        </w:rPr>
        <w:t xml:space="preserve">. </w:t>
      </w:r>
    </w:p>
    <w:p w14:paraId="36445B47" w14:textId="77777777" w:rsidR="006F2FF7" w:rsidRDefault="006F2FF7">
      <w:pPr>
        <w:jc w:val="both"/>
        <w:rPr>
          <w:rFonts w:ascii="Calibri" w:eastAsia="Calibri" w:hAnsi="Calibri" w:cs="Calibri"/>
        </w:rPr>
      </w:pPr>
    </w:p>
    <w:p w14:paraId="776E8EE0"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Concerningly, the availability of certain crucial harm reduction interventions in Kazakhstan falls well beyond the minimum necessary to address the needs of people who use drugs. </w:t>
      </w:r>
    </w:p>
    <w:p w14:paraId="676C30A4" w14:textId="77777777" w:rsidR="006F2FF7" w:rsidRDefault="00000000">
      <w:pPr>
        <w:numPr>
          <w:ilvl w:val="1"/>
          <w:numId w:val="3"/>
        </w:numPr>
        <w:pBdr>
          <w:top w:val="nil"/>
          <w:left w:val="nil"/>
          <w:bottom w:val="nil"/>
          <w:right w:val="nil"/>
          <w:between w:val="nil"/>
        </w:pBdr>
        <w:jc w:val="both"/>
        <w:rPr>
          <w:rFonts w:ascii="Calibri" w:eastAsia="Calibri" w:hAnsi="Calibri" w:cs="Calibri"/>
        </w:rPr>
      </w:pPr>
      <w:r>
        <w:rPr>
          <w:rFonts w:ascii="Calibri" w:eastAsia="Calibri" w:hAnsi="Calibri" w:cs="Calibri"/>
        </w:rPr>
        <w:t>According to academic estimates, coverage of OAT remains extremely low at approximately 0.4%.</w:t>
      </w:r>
      <w:r>
        <w:rPr>
          <w:rFonts w:ascii="Calibri" w:eastAsia="Calibri" w:hAnsi="Calibri" w:cs="Calibri"/>
          <w:vertAlign w:val="superscript"/>
        </w:rPr>
        <w:footnoteReference w:id="46"/>
      </w:r>
      <w:r>
        <w:rPr>
          <w:rFonts w:ascii="Calibri" w:eastAsia="Calibri" w:hAnsi="Calibri" w:cs="Calibri"/>
        </w:rPr>
        <w:t xml:space="preserve">  Where programs exist, no new enrolments are allowed, due to bureaucratic quotas or institutional reluctance. Patients must go in person to a clinic </w:t>
      </w:r>
      <w:proofErr w:type="gramStart"/>
      <w:r>
        <w:rPr>
          <w:rFonts w:ascii="Calibri" w:eastAsia="Calibri" w:hAnsi="Calibri" w:cs="Calibri"/>
        </w:rPr>
        <w:t>in order to</w:t>
      </w:r>
      <w:proofErr w:type="gramEnd"/>
      <w:r>
        <w:rPr>
          <w:rFonts w:ascii="Calibri" w:eastAsia="Calibri" w:hAnsi="Calibri" w:cs="Calibri"/>
        </w:rPr>
        <w:t xml:space="preserve"> take their dose under medical supervision, whilst in other countries people can take home with them several doses of OAT, which they can use for an extended </w:t>
      </w:r>
      <w:proofErr w:type="gramStart"/>
      <w:r>
        <w:rPr>
          <w:rFonts w:ascii="Calibri" w:eastAsia="Calibri" w:hAnsi="Calibri" w:cs="Calibri"/>
        </w:rPr>
        <w:t>period of time</w:t>
      </w:r>
      <w:proofErr w:type="gramEnd"/>
      <w:r>
        <w:rPr>
          <w:rFonts w:ascii="Calibri" w:eastAsia="Calibri" w:hAnsi="Calibri" w:cs="Calibri"/>
        </w:rPr>
        <w:t>.</w:t>
      </w:r>
    </w:p>
    <w:p w14:paraId="3C92FACA" w14:textId="77777777" w:rsidR="006F2FF7" w:rsidRDefault="00000000">
      <w:pPr>
        <w:numPr>
          <w:ilvl w:val="1"/>
          <w:numId w:val="4"/>
        </w:numPr>
        <w:jc w:val="both"/>
        <w:rPr>
          <w:rFonts w:ascii="Calibri" w:eastAsia="Calibri" w:hAnsi="Calibri" w:cs="Calibri"/>
        </w:rPr>
      </w:pPr>
      <w:r>
        <w:rPr>
          <w:rFonts w:ascii="Calibri" w:eastAsia="Calibri" w:hAnsi="Calibri" w:cs="Calibri"/>
        </w:rPr>
        <w:t>Naloxone is not registered in governmental purchase list</w:t>
      </w:r>
      <w:r>
        <w:rPr>
          <w:rFonts w:ascii="Calibri" w:eastAsia="Calibri" w:hAnsi="Calibri" w:cs="Calibri"/>
          <w:vertAlign w:val="superscript"/>
        </w:rPr>
        <w:footnoteReference w:id="47"/>
      </w:r>
      <w:r>
        <w:rPr>
          <w:rFonts w:ascii="Calibri" w:eastAsia="Calibri" w:hAnsi="Calibri" w:cs="Calibri"/>
        </w:rPr>
        <w:t>, which means that it is not available in pharmacies, and not even ambulances or hospitals have it.</w:t>
      </w:r>
    </w:p>
    <w:p w14:paraId="6DABF0D8" w14:textId="77777777" w:rsidR="006F2FF7" w:rsidRDefault="006F2FF7">
      <w:pPr>
        <w:jc w:val="both"/>
        <w:rPr>
          <w:rFonts w:ascii="Calibri" w:eastAsia="Calibri" w:hAnsi="Calibri" w:cs="Calibri"/>
        </w:rPr>
      </w:pPr>
    </w:p>
    <w:p w14:paraId="78438A06"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Different crises in recent years have revealed a critical fragility in the already very </w:t>
      </w:r>
      <w:proofErr w:type="gramStart"/>
      <w:r>
        <w:rPr>
          <w:rFonts w:ascii="Calibri" w:eastAsia="Calibri" w:hAnsi="Calibri" w:cs="Calibri"/>
        </w:rPr>
        <w:t>limited  OAT</w:t>
      </w:r>
      <w:proofErr w:type="gramEnd"/>
      <w:r>
        <w:rPr>
          <w:rFonts w:ascii="Calibri" w:eastAsia="Calibri" w:hAnsi="Calibri" w:cs="Calibri"/>
        </w:rPr>
        <w:t xml:space="preserve"> programme. In addition to service disruptions during the 2020 pandemic and the 2022 mass riots, in 2021 the OAT programme was at risk of closure due to the absence of a methadone supplier. Doctors were forced to reduce the dosage of the medication, which led to disruption of treatment, patient withdrawal from the program, and cases of overdose.</w:t>
      </w:r>
    </w:p>
    <w:p w14:paraId="5212F640" w14:textId="77777777" w:rsidR="006F2FF7" w:rsidRDefault="006F2FF7">
      <w:pPr>
        <w:jc w:val="both"/>
        <w:rPr>
          <w:rFonts w:ascii="Calibri" w:eastAsia="Calibri" w:hAnsi="Calibri" w:cs="Calibri"/>
        </w:rPr>
      </w:pPr>
    </w:p>
    <w:p w14:paraId="3C7DC8A5" w14:textId="77777777" w:rsidR="006F2FF7" w:rsidRDefault="00000000">
      <w:pPr>
        <w:jc w:val="both"/>
        <w:rPr>
          <w:rFonts w:ascii="Calibri" w:eastAsia="Calibri" w:hAnsi="Calibri" w:cs="Calibri"/>
          <w:u w:val="single"/>
        </w:rPr>
      </w:pPr>
      <w:r>
        <w:rPr>
          <w:rFonts w:ascii="Calibri" w:eastAsia="Calibri" w:hAnsi="Calibri" w:cs="Calibri"/>
          <w:u w:val="single"/>
        </w:rPr>
        <w:t>Continuity of access to OAT for people in hospitals</w:t>
      </w:r>
    </w:p>
    <w:p w14:paraId="40874226" w14:textId="77777777" w:rsidR="006F2FF7" w:rsidRDefault="006F2FF7">
      <w:pPr>
        <w:jc w:val="both"/>
        <w:rPr>
          <w:rFonts w:ascii="Calibri" w:eastAsia="Calibri" w:hAnsi="Calibri" w:cs="Calibri"/>
        </w:rPr>
      </w:pPr>
    </w:p>
    <w:p w14:paraId="20018E56"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Even for people who have access to OAT in the community, continuity of treatment is often disrupted when they go to the hospital. Order 112</w:t>
      </w:r>
      <w:r>
        <w:rPr>
          <w:rFonts w:ascii="Calibri" w:eastAsia="Calibri" w:hAnsi="Calibri" w:cs="Calibri"/>
          <w:vertAlign w:val="superscript"/>
        </w:rPr>
        <w:footnoteReference w:id="48"/>
      </w:r>
      <w:r>
        <w:rPr>
          <w:rFonts w:ascii="Calibri" w:eastAsia="Calibri" w:hAnsi="Calibri" w:cs="Calibri"/>
        </w:rPr>
        <w:t xml:space="preserve">, which bans the ‘transfer’ of narcotic drugs, including of liquid methadone in bottles, creates severe barriers in that regard. </w:t>
      </w:r>
      <w:proofErr w:type="gramStart"/>
      <w:r>
        <w:rPr>
          <w:rFonts w:ascii="Calibri" w:eastAsia="Calibri" w:hAnsi="Calibri" w:cs="Calibri"/>
        </w:rPr>
        <w:t>People  consulted</w:t>
      </w:r>
      <w:proofErr w:type="gramEnd"/>
      <w:r>
        <w:rPr>
          <w:rFonts w:ascii="Calibri" w:eastAsia="Calibri" w:hAnsi="Calibri" w:cs="Calibri"/>
        </w:rPr>
        <w:t xml:space="preserve"> for this submission explained that if they are interned in a hospital they will often find they have no access to methadone, because Order 112 is interpreted as banning the transfer of liquid methadone from an outpatient clinic to an inpatient facility, or even within different units of the same facility. </w:t>
      </w:r>
    </w:p>
    <w:p w14:paraId="76BE4D9C" w14:textId="77777777" w:rsidR="006F2FF7" w:rsidRDefault="006F2FF7">
      <w:pPr>
        <w:pBdr>
          <w:top w:val="nil"/>
          <w:left w:val="nil"/>
          <w:bottom w:val="nil"/>
          <w:right w:val="nil"/>
          <w:between w:val="nil"/>
        </w:pBdr>
        <w:ind w:left="720"/>
        <w:jc w:val="both"/>
        <w:rPr>
          <w:rFonts w:ascii="Calibri" w:eastAsia="Calibri" w:hAnsi="Calibri" w:cs="Calibri"/>
        </w:rPr>
      </w:pPr>
    </w:p>
    <w:p w14:paraId="7DB447BD"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As a result, people who have been on OAT suddenly see their treatment discontinued. This is extremely troubling because without access to methadone they will suffer withdrawal symptoms, which can amount to severe pain. </w:t>
      </w:r>
    </w:p>
    <w:p w14:paraId="0831176C" w14:textId="77777777" w:rsidR="006F2FF7" w:rsidRDefault="006F2FF7">
      <w:pPr>
        <w:pBdr>
          <w:top w:val="nil"/>
          <w:left w:val="nil"/>
          <w:bottom w:val="nil"/>
          <w:right w:val="nil"/>
          <w:between w:val="nil"/>
        </w:pBdr>
        <w:jc w:val="both"/>
        <w:rPr>
          <w:rFonts w:ascii="Calibri" w:eastAsia="Calibri" w:hAnsi="Calibri" w:cs="Calibri"/>
        </w:rPr>
      </w:pPr>
    </w:p>
    <w:tbl>
      <w:tblPr>
        <w:tblStyle w:val="af3"/>
        <w:tblW w:w="8188" w:type="dxa"/>
        <w:tblInd w:w="8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8"/>
      </w:tblGrid>
      <w:tr w:rsidR="006F2FF7" w14:paraId="223F4405" w14:textId="77777777">
        <w:tc>
          <w:tcPr>
            <w:tcW w:w="8188" w:type="dxa"/>
            <w:shd w:val="clear" w:color="auto" w:fill="auto"/>
            <w:tcMar>
              <w:top w:w="100" w:type="dxa"/>
              <w:left w:w="100" w:type="dxa"/>
              <w:bottom w:w="100" w:type="dxa"/>
              <w:right w:w="100" w:type="dxa"/>
            </w:tcMar>
          </w:tcPr>
          <w:p w14:paraId="5E5C4427" w14:textId="77777777" w:rsidR="006F2FF7" w:rsidRDefault="00000000">
            <w:pPr>
              <w:spacing w:after="160"/>
              <w:rPr>
                <w:rFonts w:ascii="Calibri" w:eastAsia="Calibri" w:hAnsi="Calibri" w:cs="Calibri"/>
              </w:rPr>
            </w:pPr>
            <w:r>
              <w:rPr>
                <w:rFonts w:ascii="Calibri" w:eastAsia="Calibri" w:hAnsi="Calibri" w:cs="Calibri"/>
                <w:b/>
              </w:rPr>
              <w:t>Case study</w:t>
            </w:r>
            <w:r>
              <w:rPr>
                <w:rFonts w:ascii="Calibri" w:eastAsia="Calibri" w:hAnsi="Calibri" w:cs="Calibri"/>
              </w:rPr>
              <w:t>. Woman 55 years old</w:t>
            </w:r>
          </w:p>
          <w:p w14:paraId="14AF75AC" w14:textId="77777777" w:rsidR="006F2FF7" w:rsidRDefault="00000000">
            <w:pPr>
              <w:spacing w:after="160"/>
              <w:rPr>
                <w:rFonts w:ascii="Calibri" w:eastAsia="Calibri" w:hAnsi="Calibri" w:cs="Calibri"/>
              </w:rPr>
            </w:pPr>
            <w:r>
              <w:rPr>
                <w:rFonts w:ascii="Calibri" w:eastAsia="Calibri" w:hAnsi="Calibri" w:cs="Calibri"/>
              </w:rPr>
              <w:t>Through outreach workers from XX organization, a client contacted our human rights monitoring tool. She had been diagnosed with trophic ulcers and was hospitalized at City Clinical Hospital No. XX in the surgery department under a state-funded quota.</w:t>
            </w:r>
          </w:p>
          <w:p w14:paraId="2A41F15F" w14:textId="77777777" w:rsidR="006F2FF7" w:rsidRDefault="00000000">
            <w:pPr>
              <w:spacing w:after="160"/>
              <w:rPr>
                <w:rFonts w:ascii="Calibri" w:eastAsia="Calibri" w:hAnsi="Calibri" w:cs="Calibri"/>
              </w:rPr>
            </w:pPr>
            <w:r>
              <w:rPr>
                <w:rFonts w:ascii="Calibri" w:eastAsia="Calibri" w:hAnsi="Calibri" w:cs="Calibri"/>
              </w:rPr>
              <w:t>During a conversation with her attending physician, she explained that she is registered with a drug treatment clinic and is a patient of the OST program. She asked for permission to leave the hospital briefly in the mornings to attend the OST site, as the medication is not dispensed for take-home use and daily intake is vital for her health.</w:t>
            </w:r>
          </w:p>
          <w:p w14:paraId="3ED59198" w14:textId="77777777" w:rsidR="006F2FF7" w:rsidRDefault="00000000">
            <w:pPr>
              <w:spacing w:after="160"/>
              <w:rPr>
                <w:rFonts w:ascii="Calibri" w:eastAsia="Calibri" w:hAnsi="Calibri" w:cs="Calibri"/>
              </w:rPr>
            </w:pPr>
            <w:r>
              <w:rPr>
                <w:rFonts w:ascii="Calibri" w:eastAsia="Calibri" w:hAnsi="Calibri" w:cs="Calibri"/>
              </w:rPr>
              <w:t>The doctor responded harshly, called her a "drug addict," and threatened to discharge her from the hospital.</w:t>
            </w:r>
          </w:p>
        </w:tc>
      </w:tr>
    </w:tbl>
    <w:p w14:paraId="70213873" w14:textId="77777777" w:rsidR="006F2FF7" w:rsidRDefault="006F2FF7">
      <w:pPr>
        <w:pBdr>
          <w:top w:val="nil"/>
          <w:left w:val="nil"/>
          <w:bottom w:val="nil"/>
          <w:right w:val="nil"/>
          <w:between w:val="nil"/>
        </w:pBdr>
        <w:jc w:val="both"/>
        <w:rPr>
          <w:rFonts w:ascii="Calibri" w:eastAsia="Calibri" w:hAnsi="Calibri" w:cs="Calibri"/>
        </w:rPr>
      </w:pPr>
    </w:p>
    <w:p w14:paraId="457F7C4D" w14:textId="77777777" w:rsidR="006F2FF7" w:rsidRDefault="00000000">
      <w:pPr>
        <w:pStyle w:val="Heading3"/>
        <w:keepNext w:val="0"/>
        <w:keepLines w:val="0"/>
        <w:spacing w:before="0" w:after="0"/>
        <w:jc w:val="both"/>
        <w:rPr>
          <w:rFonts w:ascii="Calibri" w:eastAsia="Calibri" w:hAnsi="Calibri" w:cs="Calibri"/>
          <w:color w:val="000000"/>
          <w:sz w:val="22"/>
          <w:szCs w:val="22"/>
          <w:u w:val="single"/>
        </w:rPr>
      </w:pPr>
      <w:bookmarkStart w:id="19" w:name="_heading=h.c8zmjgz1zyq1" w:colFirst="0" w:colLast="0"/>
      <w:bookmarkEnd w:id="19"/>
      <w:r>
        <w:rPr>
          <w:rFonts w:ascii="Calibri" w:eastAsia="Calibri" w:hAnsi="Calibri" w:cs="Calibri"/>
          <w:color w:val="000000"/>
          <w:sz w:val="22"/>
          <w:szCs w:val="22"/>
          <w:u w:val="single"/>
        </w:rPr>
        <w:t>Harm reduction and HIV treatment in prisons</w:t>
      </w:r>
    </w:p>
    <w:p w14:paraId="46D07ECC" w14:textId="77777777" w:rsidR="006F2FF7" w:rsidRDefault="006F2FF7">
      <w:pPr>
        <w:pBdr>
          <w:top w:val="nil"/>
          <w:left w:val="nil"/>
          <w:bottom w:val="nil"/>
          <w:right w:val="nil"/>
          <w:between w:val="nil"/>
        </w:pBdr>
        <w:jc w:val="both"/>
        <w:rPr>
          <w:rFonts w:ascii="Calibri" w:eastAsia="Calibri" w:hAnsi="Calibri" w:cs="Calibri"/>
        </w:rPr>
      </w:pPr>
    </w:p>
    <w:p w14:paraId="479D365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As of 31 December 2017, 1,532 people were in prison for offences related to unlawful possession of drugs without intention to sell, or 4,9% of the total prison population. Approximately 60% of them had been diagnosed as drug dependent.</w:t>
      </w:r>
      <w:r>
        <w:rPr>
          <w:rFonts w:ascii="Calibri" w:eastAsia="Calibri" w:hAnsi="Calibri" w:cs="Calibri"/>
          <w:vertAlign w:val="superscript"/>
        </w:rPr>
        <w:footnoteReference w:id="49"/>
      </w:r>
      <w:r>
        <w:rPr>
          <w:rFonts w:ascii="Calibri" w:eastAsia="Calibri" w:hAnsi="Calibri" w:cs="Calibri"/>
        </w:rPr>
        <w:t xml:space="preserve"> </w:t>
      </w:r>
    </w:p>
    <w:p w14:paraId="753BA151" w14:textId="77777777" w:rsidR="006F2FF7" w:rsidRDefault="006F2FF7">
      <w:pPr>
        <w:ind w:left="720"/>
        <w:jc w:val="both"/>
        <w:rPr>
          <w:rFonts w:ascii="Calibri" w:eastAsia="Calibri" w:hAnsi="Calibri" w:cs="Calibri"/>
        </w:rPr>
      </w:pPr>
    </w:p>
    <w:p w14:paraId="0BA89338"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Community reporting has showed that life-saving harm reduction interventions, such as NSPs and OAT, includes the treatment with methadone, are not </w:t>
      </w:r>
      <w:proofErr w:type="gramStart"/>
      <w:r>
        <w:rPr>
          <w:rFonts w:ascii="Calibri" w:eastAsia="Calibri" w:hAnsi="Calibri" w:cs="Calibri"/>
        </w:rPr>
        <w:t>provided  in</w:t>
      </w:r>
      <w:proofErr w:type="gramEnd"/>
      <w:r>
        <w:rPr>
          <w:rFonts w:ascii="Calibri" w:eastAsia="Calibri" w:hAnsi="Calibri" w:cs="Calibri"/>
        </w:rPr>
        <w:t xml:space="preserve"> Kazakh prisons</w:t>
      </w:r>
      <w:r>
        <w:rPr>
          <w:rFonts w:ascii="Calibri" w:eastAsia="Calibri" w:hAnsi="Calibri" w:cs="Calibri"/>
          <w:vertAlign w:val="superscript"/>
        </w:rPr>
        <w:footnoteReference w:id="50"/>
      </w:r>
      <w:r>
        <w:rPr>
          <w:rFonts w:ascii="Calibri" w:eastAsia="Calibri" w:hAnsi="Calibri" w:cs="Calibri"/>
        </w:rPr>
        <w:t xml:space="preserve">. This means that people who are undergoing OAT in the community see their treatment suddenly interrupted when they are incarcerated, putting them at risk of severe pain and withdrawal symptoms unless they decide to use illegal drugs within prison. </w:t>
      </w:r>
    </w:p>
    <w:p w14:paraId="5D24894F" w14:textId="77777777" w:rsidR="006F2FF7" w:rsidRDefault="006F2FF7">
      <w:pPr>
        <w:pBdr>
          <w:top w:val="nil"/>
          <w:left w:val="nil"/>
          <w:bottom w:val="nil"/>
          <w:right w:val="nil"/>
          <w:between w:val="nil"/>
        </w:pBdr>
        <w:ind w:left="720"/>
        <w:jc w:val="both"/>
        <w:rPr>
          <w:rFonts w:ascii="Calibri" w:eastAsia="Calibri" w:hAnsi="Calibri" w:cs="Calibri"/>
        </w:rPr>
      </w:pPr>
    </w:p>
    <w:p w14:paraId="5DB47DDB"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Furthermore, people who are incarcerated - particularly those with a drug dependence - often see their HIV treatment disrupted</w:t>
      </w:r>
      <w:r>
        <w:rPr>
          <w:rFonts w:ascii="Calibri" w:eastAsia="Calibri" w:hAnsi="Calibri" w:cs="Calibri"/>
          <w:vertAlign w:val="superscript"/>
        </w:rPr>
        <w:footnoteReference w:id="51"/>
      </w:r>
      <w:r>
        <w:rPr>
          <w:rFonts w:ascii="Calibri" w:eastAsia="Calibri" w:hAnsi="Calibri" w:cs="Calibri"/>
        </w:rPr>
        <w:t xml:space="preserve">, thus posing a significant threat to their health and life. This also blatantly violates the principle of equivalence of care between treatment in prisons and the community, which is central to the right to health </w:t>
      </w:r>
      <w:proofErr w:type="gramStart"/>
      <w:r>
        <w:rPr>
          <w:rFonts w:ascii="Calibri" w:eastAsia="Calibri" w:hAnsi="Calibri" w:cs="Calibri"/>
        </w:rPr>
        <w:t>and also</w:t>
      </w:r>
      <w:proofErr w:type="gramEnd"/>
      <w:r>
        <w:rPr>
          <w:rFonts w:ascii="Calibri" w:eastAsia="Calibri" w:hAnsi="Calibri" w:cs="Calibri"/>
        </w:rPr>
        <w:t xml:space="preserve"> extends to drug services</w:t>
      </w:r>
      <w:r>
        <w:rPr>
          <w:rFonts w:ascii="Calibri" w:eastAsia="Calibri" w:hAnsi="Calibri" w:cs="Calibri"/>
          <w:vertAlign w:val="superscript"/>
        </w:rPr>
        <w:footnoteReference w:id="52"/>
      </w:r>
      <w:r>
        <w:rPr>
          <w:rFonts w:ascii="Calibri" w:eastAsia="Calibri" w:hAnsi="Calibri" w:cs="Calibri"/>
        </w:rPr>
        <w:t>.</w:t>
      </w:r>
    </w:p>
    <w:p w14:paraId="704D1272" w14:textId="77777777" w:rsidR="006F2FF7" w:rsidRDefault="006F2FF7">
      <w:pPr>
        <w:pBdr>
          <w:top w:val="nil"/>
          <w:left w:val="nil"/>
          <w:bottom w:val="nil"/>
          <w:right w:val="nil"/>
          <w:between w:val="nil"/>
        </w:pBdr>
        <w:ind w:left="720"/>
        <w:jc w:val="both"/>
        <w:rPr>
          <w:rFonts w:ascii="Calibri" w:eastAsia="Calibri" w:hAnsi="Calibri" w:cs="Calibri"/>
        </w:rPr>
      </w:pPr>
    </w:p>
    <w:p w14:paraId="57C9A216"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In the consultation with women who use drugs, it became clear that incarcerated women are denied timely, appropriate, and dignified healthcare. Some examples include: </w:t>
      </w:r>
    </w:p>
    <w:p w14:paraId="6D5C1DCD" w14:textId="77777777" w:rsidR="006F2FF7" w:rsidRDefault="00000000">
      <w:pPr>
        <w:numPr>
          <w:ilvl w:val="1"/>
          <w:numId w:val="3"/>
        </w:numPr>
        <w:jc w:val="both"/>
        <w:rPr>
          <w:rFonts w:ascii="Calibri" w:eastAsia="Calibri" w:hAnsi="Calibri" w:cs="Calibri"/>
        </w:rPr>
      </w:pPr>
      <w:r>
        <w:rPr>
          <w:rFonts w:ascii="Calibri" w:eastAsia="Calibri" w:hAnsi="Calibri" w:cs="Calibri"/>
        </w:rPr>
        <w:t xml:space="preserve">Whilst access to antiretroviral therapy (ART) in prisons has improved, significant problems persist in terms of long waits, as doctors only visit quarterly. </w:t>
      </w:r>
    </w:p>
    <w:p w14:paraId="01F02C53" w14:textId="77777777" w:rsidR="006F2FF7" w:rsidRDefault="00000000">
      <w:pPr>
        <w:numPr>
          <w:ilvl w:val="1"/>
          <w:numId w:val="3"/>
        </w:numPr>
        <w:jc w:val="both"/>
        <w:rPr>
          <w:rFonts w:ascii="Calibri" w:eastAsia="Calibri" w:hAnsi="Calibri" w:cs="Calibri"/>
        </w:rPr>
      </w:pPr>
      <w:r>
        <w:rPr>
          <w:rFonts w:ascii="Calibri" w:eastAsia="Calibri" w:hAnsi="Calibri" w:cs="Calibri"/>
        </w:rPr>
        <w:t xml:space="preserve">Treatment for Hepatitis C is effectively unavailable, and medical staff within correctional facilities are generally uninformed about how to support people living with HIV or co-infections. </w:t>
      </w:r>
    </w:p>
    <w:p w14:paraId="75E12086" w14:textId="77777777" w:rsidR="006F2FF7" w:rsidRDefault="00000000">
      <w:pPr>
        <w:numPr>
          <w:ilvl w:val="1"/>
          <w:numId w:val="3"/>
        </w:numPr>
        <w:jc w:val="both"/>
        <w:rPr>
          <w:rFonts w:ascii="Calibri" w:eastAsia="Calibri" w:hAnsi="Calibri" w:cs="Calibri"/>
        </w:rPr>
      </w:pPr>
      <w:r>
        <w:rPr>
          <w:rFonts w:ascii="Calibri" w:eastAsia="Calibri" w:hAnsi="Calibri" w:cs="Calibri"/>
        </w:rPr>
        <w:t>Bodily autonomy in prisons is non-existent: vaccinations and treatments are administered without informed consent.</w:t>
      </w:r>
    </w:p>
    <w:p w14:paraId="58A9B39C" w14:textId="77777777" w:rsidR="006F2FF7" w:rsidRDefault="006F2FF7">
      <w:pPr>
        <w:pStyle w:val="Heading3"/>
        <w:keepNext w:val="0"/>
        <w:keepLines w:val="0"/>
        <w:pBdr>
          <w:top w:val="nil"/>
          <w:left w:val="nil"/>
          <w:bottom w:val="nil"/>
          <w:right w:val="nil"/>
          <w:between w:val="nil"/>
        </w:pBdr>
        <w:spacing w:before="0" w:after="0"/>
        <w:jc w:val="both"/>
        <w:rPr>
          <w:rFonts w:ascii="Calibri" w:eastAsia="Calibri" w:hAnsi="Calibri" w:cs="Calibri"/>
          <w:b/>
          <w:color w:val="000000"/>
          <w:sz w:val="22"/>
          <w:szCs w:val="22"/>
        </w:rPr>
      </w:pPr>
      <w:bookmarkStart w:id="20" w:name="_heading=h.gyj5fmcdyxww" w:colFirst="0" w:colLast="0"/>
      <w:bookmarkEnd w:id="20"/>
    </w:p>
    <w:p w14:paraId="015C4D0E"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Human Rights Committee has already recommended that ‘inmates have access to an adequate level of health-care services, including psychiatric services, and that harm reduction programmes, including opioid substitution therapy and needle and syringe programmes, are available to drug-dependent inmates’</w:t>
      </w:r>
      <w:r>
        <w:rPr>
          <w:rFonts w:ascii="Calibri" w:eastAsia="Calibri" w:hAnsi="Calibri" w:cs="Calibri"/>
          <w:vertAlign w:val="superscript"/>
        </w:rPr>
        <w:footnoteReference w:id="53"/>
      </w:r>
      <w:r>
        <w:rPr>
          <w:rFonts w:ascii="Calibri" w:eastAsia="Calibri" w:hAnsi="Calibri" w:cs="Calibri"/>
        </w:rPr>
        <w:t>. The Working Group on Arbitrary Detention has also recommended that detainees are given access to effective medical treatment to address withdrawal symptoms in detention</w:t>
      </w:r>
      <w:r>
        <w:rPr>
          <w:rFonts w:ascii="Calibri" w:eastAsia="Calibri" w:hAnsi="Calibri" w:cs="Calibri"/>
          <w:vertAlign w:val="superscript"/>
        </w:rPr>
        <w:footnoteReference w:id="54"/>
      </w:r>
      <w:r>
        <w:rPr>
          <w:rFonts w:ascii="Calibri" w:eastAsia="Calibri" w:hAnsi="Calibri" w:cs="Calibri"/>
        </w:rPr>
        <w:t>.</w:t>
      </w:r>
    </w:p>
    <w:p w14:paraId="4D04BC58" w14:textId="77777777" w:rsidR="006F2FF7" w:rsidRDefault="006F2FF7">
      <w:pPr>
        <w:pStyle w:val="Heading3"/>
        <w:keepNext w:val="0"/>
        <w:keepLines w:val="0"/>
        <w:pBdr>
          <w:top w:val="nil"/>
          <w:left w:val="nil"/>
          <w:bottom w:val="nil"/>
          <w:right w:val="nil"/>
          <w:between w:val="nil"/>
        </w:pBdr>
        <w:spacing w:before="0" w:after="0"/>
        <w:jc w:val="both"/>
        <w:rPr>
          <w:rFonts w:ascii="Calibri" w:eastAsia="Calibri" w:hAnsi="Calibri" w:cs="Calibri"/>
          <w:b/>
          <w:color w:val="000000"/>
          <w:sz w:val="22"/>
          <w:szCs w:val="22"/>
        </w:rPr>
      </w:pPr>
      <w:bookmarkStart w:id="21" w:name="_heading=h.82ssb2sjd148" w:colFirst="0" w:colLast="0"/>
      <w:bookmarkEnd w:id="21"/>
    </w:p>
    <w:p w14:paraId="49BA66E4" w14:textId="77777777" w:rsidR="006F2FF7" w:rsidRDefault="00000000">
      <w:pPr>
        <w:pStyle w:val="Heading3"/>
        <w:keepNext w:val="0"/>
        <w:keepLines w:val="0"/>
        <w:pBdr>
          <w:top w:val="nil"/>
          <w:left w:val="nil"/>
          <w:bottom w:val="nil"/>
          <w:right w:val="nil"/>
          <w:between w:val="nil"/>
        </w:pBdr>
        <w:spacing w:before="0" w:after="0"/>
        <w:jc w:val="both"/>
        <w:rPr>
          <w:rFonts w:ascii="Calibri" w:eastAsia="Calibri" w:hAnsi="Calibri" w:cs="Calibri"/>
          <w:b/>
          <w:color w:val="000000"/>
          <w:sz w:val="22"/>
          <w:szCs w:val="22"/>
        </w:rPr>
      </w:pPr>
      <w:bookmarkStart w:id="22" w:name="_heading=h.8pkoi3dmez40" w:colFirst="0" w:colLast="0"/>
      <w:bookmarkEnd w:id="22"/>
      <w:r>
        <w:rPr>
          <w:rFonts w:ascii="Calibri" w:eastAsia="Calibri" w:hAnsi="Calibri" w:cs="Calibri"/>
          <w:b/>
          <w:color w:val="000000"/>
          <w:sz w:val="22"/>
          <w:szCs w:val="22"/>
        </w:rPr>
        <w:t>G. Discrimination in access to justice for people who use drugs (arts. 2 and 14 ICCPR)</w:t>
      </w:r>
    </w:p>
    <w:p w14:paraId="0F0A25DA" w14:textId="77777777" w:rsidR="006F2FF7" w:rsidRDefault="006F2FF7">
      <w:pPr>
        <w:rPr>
          <w:rFonts w:ascii="Calibri" w:eastAsia="Calibri" w:hAnsi="Calibri" w:cs="Calibri"/>
        </w:rPr>
      </w:pPr>
    </w:p>
    <w:p w14:paraId="135ADAB0" w14:textId="77777777" w:rsidR="006F2FF7" w:rsidRDefault="00000000">
      <w:pPr>
        <w:rPr>
          <w:rFonts w:ascii="Calibri" w:eastAsia="Calibri" w:hAnsi="Calibri" w:cs="Calibri"/>
          <w:i/>
        </w:rPr>
      </w:pPr>
      <w:r>
        <w:rPr>
          <w:rFonts w:ascii="Calibri" w:eastAsia="Calibri" w:hAnsi="Calibri" w:cs="Calibri"/>
          <w:i/>
        </w:rPr>
        <w:t>Relevant paragraph in the List of Issues: 21.</w:t>
      </w:r>
    </w:p>
    <w:p w14:paraId="1F845826" w14:textId="77777777" w:rsidR="006F2FF7" w:rsidRDefault="006F2FF7">
      <w:pPr>
        <w:jc w:val="both"/>
        <w:rPr>
          <w:rFonts w:ascii="Calibri" w:eastAsia="Calibri" w:hAnsi="Calibri" w:cs="Calibri"/>
        </w:rPr>
      </w:pPr>
    </w:p>
    <w:p w14:paraId="333664D9"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 xml:space="preserve">A key issue emerging from the preparatory consultation was that people who use drugs are unable to have access to legal aid and are unaware of their legal rights, which places them in a situation of extreme vulnerability in judicial contexts, both in criminal and civil proceedings (including child custody cases). </w:t>
      </w:r>
    </w:p>
    <w:p w14:paraId="48C7B7C4" w14:textId="77777777" w:rsidR="006F2FF7" w:rsidRDefault="006F2FF7">
      <w:pPr>
        <w:ind w:left="720"/>
        <w:jc w:val="both"/>
        <w:rPr>
          <w:rFonts w:ascii="Calibri" w:eastAsia="Calibri" w:hAnsi="Calibri" w:cs="Calibri"/>
        </w:rPr>
      </w:pPr>
    </w:p>
    <w:p w14:paraId="30E1B95D"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Participants reported that prosecutors sometimes demand cessation of treatment with methadone as a condition for leniency, although methadone is a crucial intervention to manage dependence, and reduces the risk of HIV/AIDS and overdoses. Court proceedings often reveal to the public sensitive health information, such as HIV status or participation in opioid agonist treatment, increasing stigma. Mandatory HIV testing without consent also takes place in detention settings. In sum, the criminal justice system operates as a tool of repression rather than rehabilitation for women who use drugs.</w:t>
      </w:r>
    </w:p>
    <w:p w14:paraId="5E90F27C" w14:textId="77777777" w:rsidR="006F2FF7" w:rsidRDefault="006F2FF7">
      <w:pPr>
        <w:ind w:left="720"/>
        <w:jc w:val="both"/>
        <w:rPr>
          <w:rFonts w:ascii="Calibri" w:eastAsia="Calibri" w:hAnsi="Calibri" w:cs="Calibri"/>
        </w:rPr>
      </w:pPr>
    </w:p>
    <w:p w14:paraId="79B366BF"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In the preparatory consultation for this report, people who use drugs made clear that many of them are unaware of their rights and the legal mechanisms available for their protection. This lack of awareness results in hesitance to challenge abuse or discrimination. Community members emphasized the need for targeted education and empowerment initiatives to build legal literacy and self-advocacy skills. Suggestions included establishing hotlines for women using drugs, where they could receive legal and social support.</w:t>
      </w:r>
    </w:p>
    <w:p w14:paraId="72799635" w14:textId="77777777" w:rsidR="006F2FF7" w:rsidRDefault="006F2FF7">
      <w:pPr>
        <w:rPr>
          <w:rFonts w:ascii="Calibri" w:eastAsia="Calibri" w:hAnsi="Calibri" w:cs="Calibri"/>
        </w:rPr>
      </w:pPr>
    </w:p>
    <w:p w14:paraId="3D8473F4" w14:textId="77777777" w:rsidR="006F2FF7" w:rsidRDefault="00000000">
      <w:pPr>
        <w:pStyle w:val="Heading3"/>
        <w:keepNext w:val="0"/>
        <w:keepLines w:val="0"/>
        <w:spacing w:before="0" w:after="0"/>
        <w:jc w:val="both"/>
        <w:rPr>
          <w:rFonts w:ascii="Calibri" w:eastAsia="Calibri" w:hAnsi="Calibri" w:cs="Calibri"/>
          <w:color w:val="000000"/>
          <w:sz w:val="22"/>
          <w:szCs w:val="22"/>
        </w:rPr>
      </w:pPr>
      <w:bookmarkStart w:id="23" w:name="_heading=h.wm0d1xsow841" w:colFirst="0" w:colLast="0"/>
      <w:bookmarkEnd w:id="23"/>
      <w:r>
        <w:rPr>
          <w:rFonts w:ascii="Calibri" w:eastAsia="Calibri" w:hAnsi="Calibri" w:cs="Calibri"/>
          <w:b/>
          <w:color w:val="000000"/>
          <w:sz w:val="22"/>
          <w:szCs w:val="22"/>
        </w:rPr>
        <w:t>H. Freedom of association and the right to participate in public life (arts. 22, 25 and 26)</w:t>
      </w:r>
    </w:p>
    <w:p w14:paraId="1D61257E" w14:textId="77777777" w:rsidR="006F2FF7" w:rsidRDefault="006F2FF7">
      <w:pPr>
        <w:rPr>
          <w:rFonts w:ascii="Calibri" w:eastAsia="Calibri" w:hAnsi="Calibri" w:cs="Calibri"/>
        </w:rPr>
      </w:pPr>
    </w:p>
    <w:p w14:paraId="32E8220C" w14:textId="77777777" w:rsidR="006F2FF7" w:rsidRDefault="00000000">
      <w:pPr>
        <w:rPr>
          <w:rFonts w:ascii="Calibri" w:eastAsia="Calibri" w:hAnsi="Calibri" w:cs="Calibri"/>
          <w:i/>
        </w:rPr>
      </w:pPr>
      <w:r>
        <w:rPr>
          <w:rFonts w:ascii="Calibri" w:eastAsia="Calibri" w:hAnsi="Calibri" w:cs="Calibri"/>
          <w:i/>
        </w:rPr>
        <w:t>Relevant paragraph in the list of issues: 25</w:t>
      </w:r>
    </w:p>
    <w:p w14:paraId="0E6F06F2" w14:textId="77777777" w:rsidR="006F2FF7" w:rsidRDefault="006F2FF7">
      <w:pPr>
        <w:rPr>
          <w:rFonts w:ascii="Calibri" w:eastAsia="Calibri" w:hAnsi="Calibri" w:cs="Calibri"/>
        </w:rPr>
      </w:pPr>
    </w:p>
    <w:p w14:paraId="546A2A8F"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participation of people who use drugs - in particular women who use drugs - in the articulation of drug policies and programmes should not be an afterthought or a box-ticking exercise, but a centrepiece of an effective human rights approach to drugs. In that regard, the CESCR has established</w:t>
      </w:r>
      <w:r>
        <w:rPr>
          <w:rFonts w:ascii="Calibri" w:eastAsia="Calibri" w:hAnsi="Calibri" w:cs="Calibri"/>
          <w:vertAlign w:val="superscript"/>
        </w:rPr>
        <w:footnoteReference w:id="55"/>
      </w:r>
      <w:r>
        <w:rPr>
          <w:rFonts w:ascii="Calibri" w:eastAsia="Calibri" w:hAnsi="Calibri" w:cs="Calibri"/>
        </w:rPr>
        <w:t xml:space="preserve"> that the right to health extends to participation in health-related decision-making at the community, national and international levels, and the OHCHR recommended that Member States:</w:t>
      </w:r>
    </w:p>
    <w:p w14:paraId="07EF9615" w14:textId="77777777" w:rsidR="006F2FF7" w:rsidRDefault="006F2FF7">
      <w:pPr>
        <w:ind w:left="720"/>
        <w:jc w:val="both"/>
        <w:rPr>
          <w:rFonts w:ascii="Calibri" w:eastAsia="Calibri" w:hAnsi="Calibri" w:cs="Calibri"/>
        </w:rPr>
      </w:pPr>
    </w:p>
    <w:p w14:paraId="0D5D46D9" w14:textId="77777777" w:rsidR="006F2FF7" w:rsidRDefault="00000000">
      <w:pPr>
        <w:ind w:left="720"/>
        <w:jc w:val="both"/>
        <w:rPr>
          <w:rFonts w:ascii="Calibri" w:eastAsia="Calibri" w:hAnsi="Calibri" w:cs="Calibri"/>
        </w:rPr>
      </w:pPr>
      <w:r>
        <w:rPr>
          <w:rFonts w:ascii="Calibri" w:eastAsia="Calibri" w:hAnsi="Calibri" w:cs="Calibri"/>
        </w:rPr>
        <w:t>‘Meaningfully engage civil society organizations, people who use drugs, affected communities and youth in the design, implementation and evaluation of drug policies, to ensure that their knowledge and experiences are considered´</w:t>
      </w:r>
      <w:r>
        <w:rPr>
          <w:rFonts w:ascii="Calibri" w:eastAsia="Calibri" w:hAnsi="Calibri" w:cs="Calibri"/>
          <w:vertAlign w:val="superscript"/>
        </w:rPr>
        <w:footnoteReference w:id="56"/>
      </w:r>
      <w:r>
        <w:rPr>
          <w:rFonts w:ascii="Calibri" w:eastAsia="Calibri" w:hAnsi="Calibri" w:cs="Calibri"/>
        </w:rPr>
        <w:t>.</w:t>
      </w:r>
    </w:p>
    <w:p w14:paraId="4E73B48B" w14:textId="77777777" w:rsidR="006F2FF7" w:rsidRDefault="006F2FF7">
      <w:pPr>
        <w:jc w:val="both"/>
        <w:rPr>
          <w:rFonts w:ascii="Calibri" w:eastAsia="Calibri" w:hAnsi="Calibri" w:cs="Calibri"/>
        </w:rPr>
      </w:pPr>
    </w:p>
    <w:p w14:paraId="47E21DCD"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Historically, Kazakh civil society organisations reported limited involvement in national policy planning, and a lack of structural support for outreach programs working with people who use drugs.</w:t>
      </w:r>
      <w:r>
        <w:rPr>
          <w:rFonts w:ascii="Calibri" w:eastAsia="Calibri" w:hAnsi="Calibri" w:cs="Calibri"/>
          <w:vertAlign w:val="superscript"/>
        </w:rPr>
        <w:footnoteReference w:id="57"/>
      </w:r>
      <w:r>
        <w:rPr>
          <w:rFonts w:ascii="Calibri" w:eastAsia="Calibri" w:hAnsi="Calibri" w:cs="Calibri"/>
        </w:rPr>
        <w:t xml:space="preserve"> Organisations led by women who use drugs are particularly underfunded and side-lined in state consultations or HIV platforms.</w:t>
      </w:r>
      <w:r>
        <w:rPr>
          <w:rFonts w:ascii="Calibri" w:eastAsia="Calibri" w:hAnsi="Calibri" w:cs="Calibri"/>
          <w:vertAlign w:val="superscript"/>
        </w:rPr>
        <w:footnoteReference w:id="58"/>
      </w:r>
    </w:p>
    <w:p w14:paraId="489E0B21" w14:textId="77777777" w:rsidR="006F2FF7" w:rsidRDefault="006F2FF7">
      <w:pPr>
        <w:ind w:left="720"/>
        <w:jc w:val="both"/>
        <w:rPr>
          <w:rFonts w:ascii="Calibri" w:eastAsia="Calibri" w:hAnsi="Calibri" w:cs="Calibri"/>
        </w:rPr>
      </w:pPr>
    </w:p>
    <w:p w14:paraId="721DB9AA"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On top of this already concerning situation, Kazakhstan is one of the countries where civil society organisations are facing threats for delivering harm reduction services and advocacy</w:t>
      </w:r>
      <w:r>
        <w:rPr>
          <w:rFonts w:ascii="Calibri" w:eastAsia="Calibri" w:hAnsi="Calibri" w:cs="Calibri"/>
          <w:vertAlign w:val="superscript"/>
        </w:rPr>
        <w:footnoteReference w:id="59"/>
      </w:r>
      <w:r>
        <w:rPr>
          <w:rFonts w:ascii="Calibri" w:eastAsia="Calibri" w:hAnsi="Calibri" w:cs="Calibri"/>
        </w:rPr>
        <w:t xml:space="preserve">. Civil society organizations working on harm reduction or representing people who use drugs have seen restricted access to </w:t>
      </w:r>
      <w:proofErr w:type="gramStart"/>
      <w:r>
        <w:rPr>
          <w:rFonts w:ascii="Calibri" w:eastAsia="Calibri" w:hAnsi="Calibri" w:cs="Calibri"/>
        </w:rPr>
        <w:t>funding, and</w:t>
      </w:r>
      <w:proofErr w:type="gramEnd"/>
      <w:r>
        <w:rPr>
          <w:rFonts w:ascii="Calibri" w:eastAsia="Calibri" w:hAnsi="Calibri" w:cs="Calibri"/>
        </w:rPr>
        <w:t xml:space="preserve"> have been labelled as pursuing foreign interests.</w:t>
      </w:r>
      <w:r>
        <w:rPr>
          <w:rFonts w:ascii="Calibri" w:eastAsia="Calibri" w:hAnsi="Calibri" w:cs="Calibri"/>
          <w:vertAlign w:val="superscript"/>
        </w:rPr>
        <w:footnoteReference w:id="60"/>
      </w:r>
      <w:r>
        <w:rPr>
          <w:rFonts w:ascii="Calibri" w:eastAsia="Calibri" w:hAnsi="Calibri" w:cs="Calibri"/>
        </w:rPr>
        <w:t xml:space="preserve"> As a result, they face reprisal and bureaucratic barriers to registration and funding</w:t>
      </w:r>
      <w:r>
        <w:rPr>
          <w:rFonts w:ascii="Calibri" w:eastAsia="Calibri" w:hAnsi="Calibri" w:cs="Calibri"/>
          <w:vertAlign w:val="superscript"/>
        </w:rPr>
        <w:footnoteReference w:id="61"/>
      </w:r>
      <w:r>
        <w:rPr>
          <w:rFonts w:ascii="Calibri" w:eastAsia="Calibri" w:hAnsi="Calibri" w:cs="Calibri"/>
        </w:rPr>
        <w:t xml:space="preserve">. </w:t>
      </w:r>
    </w:p>
    <w:p w14:paraId="7968B64D" w14:textId="77777777" w:rsidR="006F2FF7" w:rsidRDefault="006F2FF7">
      <w:pPr>
        <w:pBdr>
          <w:top w:val="nil"/>
          <w:left w:val="nil"/>
          <w:bottom w:val="nil"/>
          <w:right w:val="nil"/>
          <w:between w:val="nil"/>
        </w:pBdr>
        <w:ind w:left="720"/>
        <w:jc w:val="both"/>
        <w:rPr>
          <w:rFonts w:ascii="Calibri" w:eastAsia="Calibri" w:hAnsi="Calibri" w:cs="Calibri"/>
        </w:rPr>
      </w:pPr>
    </w:p>
    <w:p w14:paraId="41269871" w14:textId="77777777" w:rsidR="006F2FF7" w:rsidRDefault="006F2FF7">
      <w:pPr>
        <w:pBdr>
          <w:top w:val="nil"/>
          <w:left w:val="nil"/>
          <w:bottom w:val="nil"/>
          <w:right w:val="nil"/>
          <w:between w:val="nil"/>
        </w:pBdr>
        <w:ind w:left="720"/>
        <w:jc w:val="both"/>
        <w:rPr>
          <w:rFonts w:ascii="Calibri" w:eastAsia="Calibri" w:hAnsi="Calibri" w:cs="Calibri"/>
        </w:rPr>
      </w:pPr>
    </w:p>
    <w:tbl>
      <w:tblPr>
        <w:tblStyle w:val="af4"/>
        <w:tblW w:w="8309"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09"/>
      </w:tblGrid>
      <w:tr w:rsidR="006F2FF7" w14:paraId="460966C3" w14:textId="77777777">
        <w:tc>
          <w:tcPr>
            <w:tcW w:w="8309" w:type="dxa"/>
            <w:shd w:val="clear" w:color="auto" w:fill="auto"/>
            <w:tcMar>
              <w:top w:w="100" w:type="dxa"/>
              <w:left w:w="100" w:type="dxa"/>
              <w:bottom w:w="100" w:type="dxa"/>
              <w:right w:w="100" w:type="dxa"/>
            </w:tcMar>
          </w:tcPr>
          <w:p w14:paraId="00B2F342" w14:textId="77777777" w:rsidR="006F2FF7" w:rsidRDefault="00000000">
            <w:pPr>
              <w:widowControl w:val="0"/>
              <w:pBdr>
                <w:top w:val="nil"/>
                <w:left w:val="nil"/>
                <w:bottom w:val="nil"/>
                <w:right w:val="nil"/>
                <w:between w:val="nil"/>
              </w:pBdr>
              <w:rPr>
                <w:rFonts w:ascii="Calibri" w:eastAsia="Calibri" w:hAnsi="Calibri" w:cs="Calibri"/>
                <w:b/>
              </w:rPr>
            </w:pPr>
            <w:r>
              <w:rPr>
                <w:rFonts w:ascii="Calibri" w:eastAsia="Calibri" w:hAnsi="Calibri" w:cs="Calibri"/>
                <w:b/>
              </w:rPr>
              <w:t>Example of restrictions on freedom of peaceful assembly by women with HIV</w:t>
            </w:r>
          </w:p>
          <w:p w14:paraId="6C2AD409" w14:textId="77777777" w:rsidR="006F2FF7" w:rsidRDefault="006F2FF7">
            <w:pPr>
              <w:jc w:val="both"/>
              <w:rPr>
                <w:rFonts w:ascii="Calibri" w:eastAsia="Calibri" w:hAnsi="Calibri" w:cs="Calibri"/>
              </w:rPr>
            </w:pPr>
          </w:p>
          <w:p w14:paraId="42154BCA" w14:textId="77777777" w:rsidR="006F2FF7" w:rsidRDefault="00000000">
            <w:pPr>
              <w:jc w:val="both"/>
              <w:rPr>
                <w:rFonts w:ascii="Calibri" w:eastAsia="Calibri" w:hAnsi="Calibri" w:cs="Calibri"/>
              </w:rPr>
            </w:pPr>
            <w:r>
              <w:rPr>
                <w:rFonts w:ascii="Calibri" w:eastAsia="Calibri" w:hAnsi="Calibri" w:cs="Calibri"/>
              </w:rPr>
              <w:t xml:space="preserve">Atavists of the feminist movement, which includes women living with HIV, submitted 30 requests to the Almaty city administration to hold rallies and the occasions of International Women’s Day in 2024 and 2025, as well as countless requests to hold peaceful assemblies in defence of women’s rights on other dates. The authorities routinely refused </w:t>
            </w:r>
            <w:proofErr w:type="gramStart"/>
            <w:r>
              <w:rPr>
                <w:rFonts w:ascii="Calibri" w:eastAsia="Calibri" w:hAnsi="Calibri" w:cs="Calibri"/>
              </w:rPr>
              <w:t>all of</w:t>
            </w:r>
            <w:proofErr w:type="gramEnd"/>
            <w:r>
              <w:rPr>
                <w:rFonts w:ascii="Calibri" w:eastAsia="Calibri" w:hAnsi="Calibri" w:cs="Calibri"/>
              </w:rPr>
              <w:t xml:space="preserve"> these applications, citing threats to public order</w:t>
            </w:r>
            <w:r>
              <w:rPr>
                <w:rFonts w:ascii="Calibri" w:eastAsia="Calibri" w:hAnsi="Calibri" w:cs="Calibri"/>
                <w:vertAlign w:val="superscript"/>
              </w:rPr>
              <w:footnoteReference w:id="62"/>
            </w:r>
            <w:r>
              <w:rPr>
                <w:rFonts w:ascii="Calibri" w:eastAsia="Calibri" w:hAnsi="Calibri" w:cs="Calibri"/>
              </w:rPr>
              <w:t>.</w:t>
            </w:r>
          </w:p>
        </w:tc>
      </w:tr>
    </w:tbl>
    <w:p w14:paraId="71B833A2" w14:textId="77777777" w:rsidR="006F2FF7" w:rsidRDefault="006F2FF7">
      <w:pPr>
        <w:jc w:val="both"/>
        <w:rPr>
          <w:rFonts w:ascii="Calibri" w:eastAsia="Calibri" w:hAnsi="Calibri" w:cs="Calibri"/>
        </w:rPr>
      </w:pPr>
    </w:p>
    <w:p w14:paraId="42A1C42A"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The crackdown on civil society has largely taken place under the guise of Russian-style anti-foreign agent policies. In 2023, the Ministry of Finance published a register of organisations and individuals - including NGO, media, and journalists - who received foreign funding</w:t>
      </w:r>
      <w:r>
        <w:rPr>
          <w:rFonts w:ascii="Calibri" w:eastAsia="Calibri" w:hAnsi="Calibri" w:cs="Calibri"/>
          <w:vertAlign w:val="superscript"/>
        </w:rPr>
        <w:footnoteReference w:id="63"/>
      </w:r>
      <w:r>
        <w:rPr>
          <w:rFonts w:ascii="Calibri" w:eastAsia="Calibri" w:hAnsi="Calibri" w:cs="Calibri"/>
        </w:rPr>
        <w:t>. This move has been criticized by civil society and international organizations as creating a ‘chilling effect’ and echoing the stigmatization seen in Russia, though it does not legally designate anyone as a ‘foreign agent’.</w:t>
      </w:r>
    </w:p>
    <w:p w14:paraId="52EF51E7" w14:textId="77777777" w:rsidR="006F2FF7" w:rsidRDefault="006F2FF7">
      <w:pPr>
        <w:pBdr>
          <w:top w:val="nil"/>
          <w:left w:val="nil"/>
          <w:bottom w:val="nil"/>
          <w:right w:val="nil"/>
          <w:between w:val="nil"/>
        </w:pBdr>
        <w:ind w:left="720"/>
        <w:jc w:val="both"/>
        <w:rPr>
          <w:rFonts w:ascii="Calibri" w:eastAsia="Calibri" w:hAnsi="Calibri" w:cs="Calibri"/>
        </w:rPr>
      </w:pPr>
    </w:p>
    <w:p w14:paraId="4225F22B" w14:textId="77777777" w:rsidR="006F2FF7" w:rsidRDefault="00000000">
      <w:pPr>
        <w:numPr>
          <w:ilvl w:val="0"/>
          <w:numId w:val="3"/>
        </w:numPr>
        <w:pBdr>
          <w:top w:val="nil"/>
          <w:left w:val="nil"/>
          <w:bottom w:val="nil"/>
          <w:right w:val="nil"/>
          <w:between w:val="nil"/>
        </w:pBdr>
        <w:ind w:left="425" w:hanging="425"/>
        <w:jc w:val="both"/>
      </w:pPr>
      <w:r>
        <w:rPr>
          <w:rFonts w:ascii="Calibri" w:eastAsia="Calibri" w:hAnsi="Calibri" w:cs="Calibri"/>
        </w:rPr>
        <w:t>At the start of 2025, certain lawmakers proposed legislation targeting such ‘foreign agent’ actors, and the government announced that it would set up a working group to explore this possibility</w:t>
      </w:r>
      <w:r>
        <w:rPr>
          <w:rFonts w:ascii="Calibri" w:eastAsia="Calibri" w:hAnsi="Calibri" w:cs="Calibri"/>
          <w:vertAlign w:val="superscript"/>
        </w:rPr>
        <w:footnoteReference w:id="64"/>
      </w:r>
      <w:r>
        <w:rPr>
          <w:rFonts w:ascii="Calibri" w:eastAsia="Calibri" w:hAnsi="Calibri" w:cs="Calibri"/>
        </w:rPr>
        <w:t>. In countries like Georgia and the Russian Federation</w:t>
      </w:r>
      <w:r>
        <w:rPr>
          <w:rFonts w:ascii="Calibri" w:eastAsia="Calibri" w:hAnsi="Calibri" w:cs="Calibri"/>
          <w:vertAlign w:val="superscript"/>
        </w:rPr>
        <w:footnoteReference w:id="65"/>
      </w:r>
      <w:r>
        <w:rPr>
          <w:rFonts w:ascii="Calibri" w:eastAsia="Calibri" w:hAnsi="Calibri" w:cs="Calibri"/>
        </w:rPr>
        <w:t>, ‘foreign agent’ laws have already targeted harm reduction organisations. Therefore, it is extremely concerning that the same dynamic is taking place in Kazakhstan.</w:t>
      </w:r>
    </w:p>
    <w:p w14:paraId="44C84100" w14:textId="77777777" w:rsidR="006F2FF7" w:rsidRDefault="006F2FF7">
      <w:pPr>
        <w:pStyle w:val="Heading3"/>
        <w:keepNext w:val="0"/>
        <w:keepLines w:val="0"/>
        <w:spacing w:before="0" w:after="0"/>
        <w:jc w:val="both"/>
        <w:rPr>
          <w:rFonts w:ascii="Calibri" w:eastAsia="Calibri" w:hAnsi="Calibri" w:cs="Calibri"/>
          <w:color w:val="000000"/>
          <w:sz w:val="22"/>
          <w:szCs w:val="22"/>
        </w:rPr>
      </w:pPr>
      <w:bookmarkStart w:id="24" w:name="_heading=h.hkp6su12yqp3" w:colFirst="0" w:colLast="0"/>
      <w:bookmarkEnd w:id="24"/>
    </w:p>
    <w:p w14:paraId="51726D9F" w14:textId="77777777" w:rsidR="006F2FF7" w:rsidRDefault="006F2FF7">
      <w:pPr>
        <w:pStyle w:val="Heading3"/>
        <w:keepNext w:val="0"/>
        <w:keepLines w:val="0"/>
        <w:spacing w:before="0" w:after="0"/>
        <w:jc w:val="both"/>
        <w:rPr>
          <w:rFonts w:ascii="Calibri" w:eastAsia="Calibri" w:hAnsi="Calibri" w:cs="Calibri"/>
          <w:color w:val="000000"/>
          <w:sz w:val="22"/>
          <w:szCs w:val="22"/>
        </w:rPr>
      </w:pPr>
      <w:bookmarkStart w:id="25" w:name="_heading=h.f9veornin8pa" w:colFirst="0" w:colLast="0"/>
      <w:bookmarkEnd w:id="25"/>
    </w:p>
    <w:p w14:paraId="2DE457B0" w14:textId="77777777" w:rsidR="006F2FF7" w:rsidRDefault="006F2FF7">
      <w:pPr>
        <w:ind w:left="720"/>
        <w:jc w:val="both"/>
        <w:rPr>
          <w:rFonts w:ascii="Calibri" w:eastAsia="Calibri" w:hAnsi="Calibri" w:cs="Calibri"/>
        </w:rPr>
      </w:pPr>
    </w:p>
    <w:sectPr w:rsidR="006F2FF7">
      <w:pgSz w:w="11909" w:h="16834"/>
      <w:pgMar w:top="1440" w:right="1440" w:bottom="1440" w:left="1440" w:header="720" w:footer="720"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2B6F3" w14:textId="77777777" w:rsidR="00A914DE" w:rsidRDefault="00A914DE">
      <w:pPr>
        <w:spacing w:line="240" w:lineRule="auto"/>
      </w:pPr>
      <w:r>
        <w:separator/>
      </w:r>
    </w:p>
  </w:endnote>
  <w:endnote w:type="continuationSeparator" w:id="0">
    <w:p w14:paraId="0B50A956" w14:textId="77777777" w:rsidR="00A914DE" w:rsidRDefault="00A914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02BA9" w14:textId="77777777" w:rsidR="006F2FF7" w:rsidRDefault="00000000">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777BD3F" w14:textId="77777777" w:rsidR="006F2FF7" w:rsidRDefault="006F2FF7">
    <w:pPr>
      <w:pBdr>
        <w:top w:val="nil"/>
        <w:left w:val="nil"/>
        <w:bottom w:val="nil"/>
        <w:right w:val="nil"/>
        <w:between w:val="nil"/>
      </w:pBdr>
      <w:tabs>
        <w:tab w:val="center" w:pos="4513"/>
        <w:tab w:val="right" w:pos="9026"/>
      </w:tabs>
      <w:spacing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D79FF" w14:textId="77777777" w:rsidR="006F2FF7" w:rsidRDefault="00000000">
    <w:pPr>
      <w:pBdr>
        <w:top w:val="nil"/>
        <w:left w:val="nil"/>
        <w:bottom w:val="nil"/>
        <w:right w:val="nil"/>
        <w:between w:val="nil"/>
      </w:pBdr>
      <w:tabs>
        <w:tab w:val="center" w:pos="4513"/>
        <w:tab w:val="right" w:pos="9026"/>
      </w:tabs>
      <w:spacing w:line="240" w:lineRule="auto"/>
      <w:jc w:val="right"/>
      <w:rPr>
        <w:color w:val="000000"/>
      </w:rPr>
    </w:pP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separate"/>
    </w:r>
    <w:r w:rsidR="00B01C20">
      <w:rPr>
        <w:rFonts w:ascii="Calibri" w:eastAsia="Calibri" w:hAnsi="Calibri" w:cs="Calibri"/>
        <w:noProof/>
        <w:color w:val="000000"/>
        <w:sz w:val="20"/>
        <w:szCs w:val="20"/>
      </w:rPr>
      <w:t>1</w:t>
    </w:r>
    <w:r>
      <w:rPr>
        <w:rFonts w:ascii="Calibri" w:eastAsia="Calibri" w:hAnsi="Calibri" w:cs="Calibri"/>
        <w:color w:val="000000"/>
        <w:sz w:val="20"/>
        <w:szCs w:val="20"/>
      </w:rPr>
      <w:fldChar w:fldCharType="end"/>
    </w:r>
  </w:p>
  <w:p w14:paraId="54EE2FF6" w14:textId="77777777" w:rsidR="006F2FF7" w:rsidRDefault="006F2FF7">
    <w:pPr>
      <w:pBdr>
        <w:top w:val="nil"/>
        <w:left w:val="nil"/>
        <w:bottom w:val="nil"/>
        <w:right w:val="nil"/>
        <w:between w:val="nil"/>
      </w:pBdr>
      <w:tabs>
        <w:tab w:val="center" w:pos="4513"/>
        <w:tab w:val="right" w:pos="9026"/>
      </w:tabs>
      <w:spacing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E1157" w14:textId="77777777" w:rsidR="00A914DE" w:rsidRDefault="00A914DE">
      <w:pPr>
        <w:spacing w:line="240" w:lineRule="auto"/>
      </w:pPr>
      <w:r>
        <w:separator/>
      </w:r>
    </w:p>
  </w:footnote>
  <w:footnote w:type="continuationSeparator" w:id="0">
    <w:p w14:paraId="13A11145" w14:textId="77777777" w:rsidR="00A914DE" w:rsidRDefault="00A914DE">
      <w:pPr>
        <w:spacing w:line="240" w:lineRule="auto"/>
      </w:pPr>
      <w:r>
        <w:continuationSeparator/>
      </w:r>
    </w:p>
  </w:footnote>
  <w:footnote w:id="1">
    <w:p w14:paraId="593B1DBB"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UNAIDS (2024), </w:t>
      </w:r>
      <w:r w:rsidRPr="00B01C20">
        <w:rPr>
          <w:rFonts w:asciiTheme="majorHAnsi" w:eastAsia="Calibri" w:hAnsiTheme="majorHAnsi" w:cstheme="majorHAnsi"/>
          <w:i/>
          <w:sz w:val="20"/>
          <w:szCs w:val="20"/>
        </w:rPr>
        <w:t>UNAIDS Data 2024</w:t>
      </w:r>
      <w:r w:rsidRPr="00B01C20">
        <w:rPr>
          <w:rFonts w:asciiTheme="majorHAnsi" w:eastAsia="Calibri" w:hAnsiTheme="majorHAnsi" w:cstheme="majorHAnsi"/>
          <w:sz w:val="20"/>
          <w:szCs w:val="20"/>
        </w:rPr>
        <w:t xml:space="preserve">, </w:t>
      </w:r>
      <w:hyperlink r:id="rId1">
        <w:r w:rsidRPr="00B01C20">
          <w:rPr>
            <w:rFonts w:asciiTheme="majorHAnsi" w:eastAsia="Calibri" w:hAnsiTheme="majorHAnsi" w:cstheme="majorHAnsi"/>
            <w:color w:val="1155CC"/>
            <w:sz w:val="20"/>
            <w:szCs w:val="20"/>
            <w:u w:val="single"/>
          </w:rPr>
          <w:t>https://www.unaids.org/en/resources/documents/2024/2024_unaids_data</w:t>
        </w:r>
      </w:hyperlink>
      <w:r w:rsidRPr="00B01C20">
        <w:rPr>
          <w:rFonts w:asciiTheme="majorHAnsi" w:eastAsia="Calibri" w:hAnsiTheme="majorHAnsi" w:cstheme="majorHAnsi"/>
          <w:sz w:val="20"/>
          <w:szCs w:val="20"/>
        </w:rPr>
        <w:t xml:space="preserve"> </w:t>
      </w:r>
    </w:p>
  </w:footnote>
  <w:footnote w:id="2">
    <w:p w14:paraId="4BF08000"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CADAP (2023),</w:t>
      </w:r>
      <w:r w:rsidRPr="00B01C20">
        <w:rPr>
          <w:rFonts w:asciiTheme="majorHAnsi" w:eastAsia="Calibri" w:hAnsiTheme="majorHAnsi" w:cstheme="majorHAnsi"/>
          <w:i/>
          <w:sz w:val="20"/>
          <w:szCs w:val="20"/>
        </w:rPr>
        <w:t xml:space="preserve"> Current situation of data collection and early warning system in Kazakhstan</w:t>
      </w:r>
      <w:r w:rsidRPr="00B01C20">
        <w:rPr>
          <w:rFonts w:asciiTheme="majorHAnsi" w:eastAsia="Calibri" w:hAnsiTheme="majorHAnsi" w:cstheme="majorHAnsi"/>
          <w:sz w:val="20"/>
          <w:szCs w:val="20"/>
        </w:rPr>
        <w:t xml:space="preserve">, </w:t>
      </w:r>
      <w:hyperlink r:id="rId2">
        <w:r w:rsidRPr="00B01C20">
          <w:rPr>
            <w:rFonts w:asciiTheme="majorHAnsi" w:eastAsia="Calibri" w:hAnsiTheme="majorHAnsi" w:cstheme="majorHAnsi"/>
            <w:color w:val="1155CC"/>
            <w:sz w:val="20"/>
            <w:szCs w:val="20"/>
            <w:u w:val="single"/>
          </w:rPr>
          <w:t>https://www.eu-cadap.org/wp-content/uploads/2024/04/Kazakhstan-REPORT.pdf</w:t>
        </w:r>
      </w:hyperlink>
      <w:r w:rsidRPr="00B01C20">
        <w:rPr>
          <w:rFonts w:asciiTheme="majorHAnsi" w:eastAsia="Calibri" w:hAnsiTheme="majorHAnsi" w:cstheme="majorHAnsi"/>
          <w:sz w:val="20"/>
          <w:szCs w:val="20"/>
        </w:rPr>
        <w:t>, p. 10</w:t>
      </w:r>
    </w:p>
  </w:footnote>
  <w:footnote w:id="3">
    <w:p w14:paraId="646B5D82"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Ibid.</w:t>
      </w:r>
    </w:p>
  </w:footnote>
  <w:footnote w:id="4">
    <w:p w14:paraId="05EF3872"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Kurcevic, E. &amp; Lines, R. (2020), ‘New psychoactive substances in Eurasia: a qualitative study of people who use drugs and harm reduction services in six countries’, </w:t>
      </w:r>
      <w:r w:rsidRPr="00B01C20">
        <w:rPr>
          <w:rFonts w:asciiTheme="majorHAnsi" w:eastAsia="Calibri" w:hAnsiTheme="majorHAnsi" w:cstheme="majorHAnsi"/>
          <w:i/>
          <w:sz w:val="20"/>
          <w:szCs w:val="20"/>
        </w:rPr>
        <w:t>Harm Reduction Journal</w:t>
      </w:r>
      <w:r w:rsidRPr="00B01C20">
        <w:rPr>
          <w:rFonts w:asciiTheme="majorHAnsi" w:eastAsia="Calibri" w:hAnsiTheme="majorHAnsi" w:cstheme="majorHAnsi"/>
          <w:sz w:val="20"/>
          <w:szCs w:val="20"/>
        </w:rPr>
        <w:t xml:space="preserve"> </w:t>
      </w:r>
      <w:r w:rsidRPr="00B01C20">
        <w:rPr>
          <w:rFonts w:asciiTheme="majorHAnsi" w:eastAsia="Calibri" w:hAnsiTheme="majorHAnsi" w:cstheme="majorHAnsi"/>
          <w:b/>
          <w:sz w:val="20"/>
          <w:szCs w:val="20"/>
        </w:rPr>
        <w:t xml:space="preserve">17, </w:t>
      </w:r>
      <w:hyperlink r:id="rId3">
        <w:r w:rsidRPr="00B01C20">
          <w:rPr>
            <w:rFonts w:asciiTheme="majorHAnsi" w:eastAsia="Calibri" w:hAnsiTheme="majorHAnsi" w:cstheme="majorHAnsi"/>
            <w:color w:val="1155CC"/>
            <w:sz w:val="20"/>
            <w:szCs w:val="20"/>
            <w:u w:val="single"/>
          </w:rPr>
          <w:t>https://harmreductionjournal.biomedcentral.com/articles/10.1186/s12954-020-00448-2</w:t>
        </w:r>
      </w:hyperlink>
      <w:r w:rsidRPr="00B01C20">
        <w:rPr>
          <w:rFonts w:asciiTheme="majorHAnsi" w:eastAsia="Calibri" w:hAnsiTheme="majorHAnsi" w:cstheme="majorHAnsi"/>
          <w:sz w:val="20"/>
          <w:szCs w:val="20"/>
        </w:rPr>
        <w:t xml:space="preserve"> </w:t>
      </w:r>
    </w:p>
  </w:footnote>
  <w:footnote w:id="5">
    <w:p w14:paraId="45551653"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UNAIDS (2024), </w:t>
      </w:r>
      <w:r w:rsidRPr="00B01C20">
        <w:rPr>
          <w:rFonts w:asciiTheme="majorHAnsi" w:eastAsia="Calibri" w:hAnsiTheme="majorHAnsi" w:cstheme="majorHAnsi"/>
          <w:i/>
          <w:sz w:val="20"/>
          <w:szCs w:val="20"/>
        </w:rPr>
        <w:t>UNAIDS Data 2024</w:t>
      </w:r>
      <w:r w:rsidRPr="00B01C20">
        <w:rPr>
          <w:rFonts w:asciiTheme="majorHAnsi" w:eastAsia="Calibri" w:hAnsiTheme="majorHAnsi" w:cstheme="majorHAnsi"/>
          <w:sz w:val="20"/>
          <w:szCs w:val="20"/>
        </w:rPr>
        <w:t xml:space="preserve">, </w:t>
      </w:r>
      <w:hyperlink r:id="rId4">
        <w:r w:rsidRPr="00B01C20">
          <w:rPr>
            <w:rFonts w:asciiTheme="majorHAnsi" w:eastAsia="Calibri" w:hAnsiTheme="majorHAnsi" w:cstheme="majorHAnsi"/>
            <w:color w:val="1155CC"/>
            <w:sz w:val="20"/>
            <w:szCs w:val="20"/>
            <w:u w:val="single"/>
          </w:rPr>
          <w:t>https://www.unaids.org/en/resources/documents/2024/2024_unaids_data</w:t>
        </w:r>
      </w:hyperlink>
      <w:r w:rsidRPr="00B01C20">
        <w:rPr>
          <w:rFonts w:asciiTheme="majorHAnsi" w:eastAsia="Calibri" w:hAnsiTheme="majorHAnsi" w:cstheme="majorHAnsi"/>
          <w:sz w:val="20"/>
          <w:szCs w:val="20"/>
        </w:rPr>
        <w:t xml:space="preserve">, p. 151.  </w:t>
      </w:r>
    </w:p>
  </w:footnote>
  <w:footnote w:id="6">
    <w:p w14:paraId="6C464EBC"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UNAIDS (2021), </w:t>
      </w:r>
      <w:r w:rsidRPr="00B01C20">
        <w:rPr>
          <w:rFonts w:asciiTheme="majorHAnsi" w:eastAsia="Calibri" w:hAnsiTheme="majorHAnsi" w:cstheme="majorHAnsi"/>
          <w:i/>
          <w:sz w:val="20"/>
          <w:szCs w:val="20"/>
        </w:rPr>
        <w:t>UNAIDS Data 2021</w:t>
      </w:r>
      <w:r w:rsidRPr="00B01C20">
        <w:rPr>
          <w:rFonts w:asciiTheme="majorHAnsi" w:eastAsia="Calibri" w:hAnsiTheme="majorHAnsi" w:cstheme="majorHAnsi"/>
          <w:sz w:val="20"/>
          <w:szCs w:val="20"/>
        </w:rPr>
        <w:t xml:space="preserve">, </w:t>
      </w:r>
      <w:hyperlink r:id="rId5">
        <w:r w:rsidRPr="00B01C20">
          <w:rPr>
            <w:rFonts w:asciiTheme="majorHAnsi" w:eastAsia="Calibri" w:hAnsiTheme="majorHAnsi" w:cstheme="majorHAnsi"/>
            <w:color w:val="1155CC"/>
            <w:sz w:val="20"/>
            <w:szCs w:val="20"/>
            <w:u w:val="single"/>
          </w:rPr>
          <w:t>https://www.unaids.org/en/resources/documents/2021/2021_unaids_data</w:t>
        </w:r>
      </w:hyperlink>
      <w:r w:rsidRPr="00B01C20">
        <w:rPr>
          <w:rFonts w:asciiTheme="majorHAnsi" w:eastAsia="Calibri" w:hAnsiTheme="majorHAnsi" w:cstheme="majorHAnsi"/>
          <w:sz w:val="20"/>
          <w:szCs w:val="20"/>
        </w:rPr>
        <w:t xml:space="preserve"> </w:t>
      </w:r>
    </w:p>
  </w:footnote>
  <w:footnote w:id="7">
    <w:p w14:paraId="6047614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 Working Group on Arbitrary Detention (2021), </w:t>
      </w:r>
      <w:r w:rsidRPr="00B01C20">
        <w:rPr>
          <w:rFonts w:asciiTheme="majorHAnsi" w:eastAsia="Calibri" w:hAnsiTheme="majorHAnsi" w:cstheme="majorHAnsi"/>
          <w:i/>
          <w:sz w:val="20"/>
          <w:szCs w:val="20"/>
        </w:rPr>
        <w:t>Study on drug policies</w:t>
      </w:r>
      <w:r w:rsidRPr="00B01C20">
        <w:rPr>
          <w:rFonts w:asciiTheme="majorHAnsi" w:eastAsia="Calibri" w:hAnsiTheme="majorHAnsi" w:cstheme="majorHAnsi"/>
          <w:sz w:val="20"/>
          <w:szCs w:val="20"/>
        </w:rPr>
        <w:t xml:space="preserve">, </w:t>
      </w:r>
      <w:hyperlink r:id="rId6">
        <w:r w:rsidRPr="00B01C20">
          <w:rPr>
            <w:rFonts w:asciiTheme="majorHAnsi" w:eastAsia="Calibri" w:hAnsiTheme="majorHAnsi" w:cstheme="majorHAnsi"/>
            <w:color w:val="1155CC"/>
            <w:sz w:val="20"/>
            <w:szCs w:val="20"/>
            <w:u w:val="single"/>
          </w:rPr>
          <w:t>https://docs.un.org/en/A/HRC/47/40</w:t>
        </w:r>
      </w:hyperlink>
      <w:r w:rsidRPr="00B01C20">
        <w:rPr>
          <w:rFonts w:asciiTheme="majorHAnsi" w:eastAsia="Calibri" w:hAnsiTheme="majorHAnsi" w:cstheme="majorHAnsi"/>
          <w:sz w:val="20"/>
          <w:szCs w:val="20"/>
        </w:rPr>
        <w:t>, paras. 121-122.</w:t>
      </w:r>
    </w:p>
  </w:footnote>
  <w:footnote w:id="8">
    <w:p w14:paraId="2D6CD377"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CEDAW (2021), </w:t>
      </w:r>
      <w:r w:rsidRPr="00B01C20">
        <w:rPr>
          <w:rFonts w:asciiTheme="majorHAnsi" w:eastAsia="Calibri" w:hAnsiTheme="majorHAnsi" w:cstheme="majorHAnsi"/>
          <w:i/>
          <w:sz w:val="20"/>
          <w:szCs w:val="20"/>
        </w:rPr>
        <w:t>Concluding observations for the fifth periodic report of Kyrgyzstan</w:t>
      </w:r>
      <w:r w:rsidRPr="00B01C20">
        <w:rPr>
          <w:rFonts w:asciiTheme="majorHAnsi" w:eastAsia="Calibri" w:hAnsiTheme="majorHAnsi" w:cstheme="majorHAnsi"/>
          <w:sz w:val="20"/>
          <w:szCs w:val="20"/>
        </w:rPr>
        <w:t xml:space="preserve">, </w:t>
      </w:r>
      <w:hyperlink r:id="rId7">
        <w:r w:rsidRPr="00B01C20">
          <w:rPr>
            <w:rFonts w:asciiTheme="majorHAnsi" w:eastAsia="Calibri" w:hAnsiTheme="majorHAnsi" w:cstheme="majorHAnsi"/>
            <w:color w:val="1155CC"/>
            <w:sz w:val="20"/>
            <w:szCs w:val="20"/>
            <w:u w:val="single"/>
          </w:rPr>
          <w:t>https://uhri.ohchr.org/en/document/056438da-eac1-4a0f-9af3-02eb1b9595fc</w:t>
        </w:r>
      </w:hyperlink>
      <w:r w:rsidRPr="00B01C20">
        <w:rPr>
          <w:rFonts w:asciiTheme="majorHAnsi" w:eastAsia="Calibri" w:hAnsiTheme="majorHAnsi" w:cstheme="majorHAnsi"/>
          <w:sz w:val="20"/>
          <w:szCs w:val="20"/>
        </w:rPr>
        <w:t xml:space="preserve">  </w:t>
      </w:r>
    </w:p>
  </w:footnote>
  <w:footnote w:id="9">
    <w:p w14:paraId="42F945CF"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CESCR (2024), </w:t>
      </w:r>
      <w:r w:rsidRPr="00B01C20">
        <w:rPr>
          <w:rFonts w:asciiTheme="majorHAnsi" w:eastAsia="Calibri" w:hAnsiTheme="majorHAnsi" w:cstheme="majorHAnsi"/>
          <w:i/>
          <w:sz w:val="20"/>
          <w:szCs w:val="20"/>
        </w:rPr>
        <w:t>Concluding observation for the fifth periodic report of Iceland</w:t>
      </w:r>
      <w:r w:rsidRPr="00B01C20">
        <w:rPr>
          <w:rFonts w:asciiTheme="majorHAnsi" w:eastAsia="Calibri" w:hAnsiTheme="majorHAnsi" w:cstheme="majorHAnsi"/>
          <w:sz w:val="20"/>
          <w:szCs w:val="20"/>
        </w:rPr>
        <w:t xml:space="preserve">, </w:t>
      </w:r>
      <w:hyperlink r:id="rId8">
        <w:r w:rsidRPr="00B01C20">
          <w:rPr>
            <w:rFonts w:asciiTheme="majorHAnsi" w:eastAsia="Calibri" w:hAnsiTheme="majorHAnsi" w:cstheme="majorHAnsi"/>
            <w:color w:val="1155CC"/>
            <w:sz w:val="20"/>
            <w:szCs w:val="20"/>
            <w:u w:val="single"/>
          </w:rPr>
          <w:t>https://uhri.ohchr.org/en/document/91f178a6-48b7-44c6-83bf-b599b390190f</w:t>
        </w:r>
      </w:hyperlink>
      <w:r w:rsidRPr="00B01C20">
        <w:rPr>
          <w:rFonts w:asciiTheme="majorHAnsi" w:eastAsia="Calibri" w:hAnsiTheme="majorHAnsi" w:cstheme="majorHAnsi"/>
          <w:sz w:val="20"/>
          <w:szCs w:val="20"/>
        </w:rPr>
        <w:t xml:space="preserve"> </w:t>
      </w:r>
    </w:p>
  </w:footnote>
  <w:footnote w:id="10">
    <w:p w14:paraId="6FF7FE46"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CESCR (2024),</w:t>
      </w:r>
      <w:r w:rsidRPr="00B01C20">
        <w:rPr>
          <w:rFonts w:asciiTheme="majorHAnsi" w:eastAsia="Calibri" w:hAnsiTheme="majorHAnsi" w:cstheme="majorHAnsi"/>
          <w:i/>
          <w:sz w:val="20"/>
          <w:szCs w:val="20"/>
        </w:rPr>
        <w:t xml:space="preserve"> Concluding observations for the fourth periodic report of Kyrgyzstan</w:t>
      </w:r>
      <w:r w:rsidRPr="00B01C20">
        <w:rPr>
          <w:rFonts w:asciiTheme="majorHAnsi" w:eastAsia="Calibri" w:hAnsiTheme="majorHAnsi" w:cstheme="majorHAnsi"/>
          <w:sz w:val="20"/>
          <w:szCs w:val="20"/>
        </w:rPr>
        <w:t xml:space="preserve">, </w:t>
      </w:r>
      <w:hyperlink r:id="rId9">
        <w:r w:rsidRPr="00B01C20">
          <w:rPr>
            <w:rFonts w:asciiTheme="majorHAnsi" w:eastAsia="Calibri" w:hAnsiTheme="majorHAnsi" w:cstheme="majorHAnsi"/>
            <w:color w:val="1155CC"/>
            <w:sz w:val="20"/>
            <w:szCs w:val="20"/>
            <w:u w:val="single"/>
          </w:rPr>
          <w:t>https://uhri.ohchr.org/en/document/b593d337-1eda-453d-97a0-7c52ab1ded82</w:t>
        </w:r>
      </w:hyperlink>
      <w:r w:rsidRPr="00B01C20">
        <w:rPr>
          <w:rFonts w:asciiTheme="majorHAnsi" w:eastAsia="Calibri" w:hAnsiTheme="majorHAnsi" w:cstheme="majorHAnsi"/>
          <w:sz w:val="20"/>
          <w:szCs w:val="20"/>
        </w:rPr>
        <w:t xml:space="preserve"> </w:t>
      </w:r>
    </w:p>
  </w:footnote>
  <w:footnote w:id="11">
    <w:p w14:paraId="17E2A8BC"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UNSR Health (2024), </w:t>
      </w:r>
      <w:r w:rsidRPr="00B01C20">
        <w:rPr>
          <w:rFonts w:asciiTheme="majorHAnsi" w:eastAsia="Calibri" w:hAnsiTheme="majorHAnsi" w:cstheme="majorHAnsi"/>
          <w:i/>
          <w:sz w:val="20"/>
          <w:szCs w:val="20"/>
        </w:rPr>
        <w:t>Report on harm reduction for sustainable peace and development</w:t>
      </w:r>
      <w:r w:rsidRPr="00B01C20">
        <w:rPr>
          <w:rFonts w:asciiTheme="majorHAnsi" w:eastAsia="Calibri" w:hAnsiTheme="majorHAnsi" w:cstheme="majorHAnsi"/>
          <w:sz w:val="20"/>
          <w:szCs w:val="20"/>
        </w:rPr>
        <w:t xml:space="preserve">, </w:t>
      </w:r>
      <w:hyperlink r:id="rId10">
        <w:r w:rsidRPr="00B01C20">
          <w:rPr>
            <w:rFonts w:asciiTheme="majorHAnsi" w:eastAsia="Calibri" w:hAnsiTheme="majorHAnsi" w:cstheme="majorHAnsi"/>
            <w:color w:val="1155CC"/>
            <w:sz w:val="20"/>
            <w:szCs w:val="20"/>
            <w:u w:val="single"/>
          </w:rPr>
          <w:t>https://www.ohchr.org/en/documents/thematic-reports/a79177-report-special-rapporteur-right-everyone-enjoyment-highest</w:t>
        </w:r>
      </w:hyperlink>
      <w:r w:rsidRPr="00B01C20">
        <w:rPr>
          <w:rFonts w:asciiTheme="majorHAnsi" w:eastAsia="Calibri" w:hAnsiTheme="majorHAnsi" w:cstheme="majorHAnsi"/>
          <w:sz w:val="20"/>
          <w:szCs w:val="20"/>
        </w:rPr>
        <w:t xml:space="preserve"> </w:t>
      </w:r>
    </w:p>
  </w:footnote>
  <w:footnote w:id="12">
    <w:p w14:paraId="6D6FFDF3"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 Working Group on Arbitrary Detention (2021), </w:t>
      </w:r>
      <w:r w:rsidRPr="00B01C20">
        <w:rPr>
          <w:rFonts w:asciiTheme="majorHAnsi" w:eastAsia="Calibri" w:hAnsiTheme="majorHAnsi" w:cstheme="majorHAnsi"/>
          <w:i/>
          <w:sz w:val="20"/>
          <w:szCs w:val="20"/>
        </w:rPr>
        <w:t>Study on drug policies</w:t>
      </w:r>
      <w:r w:rsidRPr="00B01C20">
        <w:rPr>
          <w:rFonts w:asciiTheme="majorHAnsi" w:eastAsia="Calibri" w:hAnsiTheme="majorHAnsi" w:cstheme="majorHAnsi"/>
          <w:sz w:val="20"/>
          <w:szCs w:val="20"/>
        </w:rPr>
        <w:t xml:space="preserve">, </w:t>
      </w:r>
      <w:hyperlink r:id="rId11">
        <w:r w:rsidRPr="00B01C20">
          <w:rPr>
            <w:rFonts w:asciiTheme="majorHAnsi" w:eastAsia="Calibri" w:hAnsiTheme="majorHAnsi" w:cstheme="majorHAnsi"/>
            <w:color w:val="1155CC"/>
            <w:sz w:val="20"/>
            <w:szCs w:val="20"/>
            <w:u w:val="single"/>
          </w:rPr>
          <w:t>https://docs.un.org/en/A/HRC/47/40</w:t>
        </w:r>
      </w:hyperlink>
    </w:p>
  </w:footnote>
  <w:footnote w:id="13">
    <w:p w14:paraId="7C6E4251"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OHCHR (2024), </w:t>
      </w:r>
      <w:r w:rsidRPr="00B01C20">
        <w:rPr>
          <w:rFonts w:asciiTheme="majorHAnsi" w:eastAsia="Calibri" w:hAnsiTheme="majorHAnsi" w:cstheme="majorHAnsi"/>
          <w:i/>
          <w:sz w:val="20"/>
          <w:szCs w:val="20"/>
        </w:rPr>
        <w:t>Human rights challenges in addressing the world drug situation</w:t>
      </w:r>
      <w:r w:rsidRPr="00B01C20">
        <w:rPr>
          <w:rFonts w:asciiTheme="majorHAnsi" w:eastAsia="Calibri" w:hAnsiTheme="majorHAnsi" w:cstheme="majorHAnsi"/>
          <w:sz w:val="20"/>
          <w:szCs w:val="20"/>
        </w:rPr>
        <w:t xml:space="preserve">, </w:t>
      </w:r>
      <w:hyperlink r:id="rId12">
        <w:r w:rsidRPr="00B01C20">
          <w:rPr>
            <w:rFonts w:asciiTheme="majorHAnsi" w:eastAsia="Calibri" w:hAnsiTheme="majorHAnsi" w:cstheme="majorHAnsi"/>
            <w:color w:val="1155CC"/>
            <w:sz w:val="20"/>
            <w:szCs w:val="20"/>
            <w:u w:val="single"/>
          </w:rPr>
          <w:t>https://docs.un.org/en/A/HRC/54/53</w:t>
        </w:r>
      </w:hyperlink>
      <w:r w:rsidRPr="00B01C20">
        <w:rPr>
          <w:rFonts w:asciiTheme="majorHAnsi" w:eastAsia="Calibri" w:hAnsiTheme="majorHAnsi" w:cstheme="majorHAnsi"/>
          <w:sz w:val="20"/>
          <w:szCs w:val="20"/>
        </w:rPr>
        <w:t xml:space="preserve"> </w:t>
      </w:r>
    </w:p>
  </w:footnote>
  <w:footnote w:id="14">
    <w:p w14:paraId="2CF3251F"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 Women (2014),</w:t>
      </w:r>
      <w:r w:rsidRPr="00B01C20">
        <w:rPr>
          <w:rFonts w:asciiTheme="majorHAnsi" w:eastAsia="Calibri" w:hAnsiTheme="majorHAnsi" w:cstheme="majorHAnsi"/>
          <w:i/>
          <w:sz w:val="20"/>
          <w:szCs w:val="20"/>
        </w:rPr>
        <w:t xml:space="preserve"> A gender perspective on the impact of drug use, drug trade, and the drug control regimes</w:t>
      </w:r>
      <w:r w:rsidRPr="00B01C20">
        <w:rPr>
          <w:rFonts w:asciiTheme="majorHAnsi" w:eastAsia="Calibri" w:hAnsiTheme="majorHAnsi" w:cstheme="majorHAnsi"/>
          <w:sz w:val="20"/>
          <w:szCs w:val="20"/>
        </w:rPr>
        <w:t xml:space="preserve">, </w:t>
      </w:r>
      <w:hyperlink r:id="rId13">
        <w:r w:rsidRPr="00B01C20">
          <w:rPr>
            <w:rFonts w:asciiTheme="majorHAnsi" w:eastAsia="Calibri" w:hAnsiTheme="majorHAnsi" w:cstheme="majorHAnsi"/>
            <w:color w:val="1155CC"/>
            <w:sz w:val="20"/>
            <w:szCs w:val="20"/>
            <w:u w:val="single"/>
          </w:rPr>
          <w:t>https://www.unodc.org/documents/ungass2016//Contributions/UN/Gender_and_Drugs_-_UN_Women_Policy_Brief.pdf</w:t>
        </w:r>
      </w:hyperlink>
      <w:r w:rsidRPr="00B01C20">
        <w:rPr>
          <w:rFonts w:asciiTheme="majorHAnsi" w:eastAsia="Calibri" w:hAnsiTheme="majorHAnsi" w:cstheme="majorHAnsi"/>
          <w:sz w:val="20"/>
          <w:szCs w:val="20"/>
        </w:rPr>
        <w:t xml:space="preserve">  </w:t>
      </w:r>
    </w:p>
  </w:footnote>
  <w:footnote w:id="15">
    <w:p w14:paraId="06E3EE4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Legal information system of Regulatory Legal Acts of the Republic of Kazakhstan (Website), </w:t>
      </w:r>
      <w:hyperlink r:id="rId14">
        <w:r w:rsidRPr="00B01C20">
          <w:rPr>
            <w:rFonts w:asciiTheme="majorHAnsi" w:eastAsia="Calibri" w:hAnsiTheme="majorHAnsi" w:cstheme="majorHAnsi"/>
            <w:color w:val="1155CC"/>
            <w:sz w:val="20"/>
            <w:szCs w:val="20"/>
            <w:u w:val="single"/>
          </w:rPr>
          <w:t>https://adilet.zan.kz/eng/docs/K1400000226</w:t>
        </w:r>
      </w:hyperlink>
      <w:r w:rsidRPr="00B01C20">
        <w:rPr>
          <w:rFonts w:asciiTheme="majorHAnsi" w:eastAsia="Calibri" w:hAnsiTheme="majorHAnsi" w:cstheme="majorHAnsi"/>
          <w:sz w:val="20"/>
          <w:szCs w:val="20"/>
        </w:rPr>
        <w:t xml:space="preserve"> (accessed: 21st May 2025)</w:t>
      </w:r>
    </w:p>
  </w:footnote>
  <w:footnote w:id="16">
    <w:p w14:paraId="7139EA38"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Government of Kazakhstan (Website), </w:t>
      </w:r>
      <w:r w:rsidRPr="00B01C20">
        <w:rPr>
          <w:rFonts w:asciiTheme="majorHAnsi" w:eastAsia="Calibri" w:hAnsiTheme="majorHAnsi" w:cstheme="majorHAnsi"/>
          <w:i/>
          <w:sz w:val="20"/>
          <w:szCs w:val="20"/>
        </w:rPr>
        <w:t>Statistical page</w:t>
      </w:r>
      <w:r w:rsidRPr="00B01C20">
        <w:rPr>
          <w:rFonts w:asciiTheme="majorHAnsi" w:eastAsia="Calibri" w:hAnsiTheme="majorHAnsi" w:cstheme="majorHAnsi"/>
          <w:sz w:val="20"/>
          <w:szCs w:val="20"/>
        </w:rPr>
        <w:t xml:space="preserve">, </w:t>
      </w:r>
      <w:hyperlink r:id="rId15">
        <w:r w:rsidRPr="00B01C20">
          <w:rPr>
            <w:rFonts w:asciiTheme="majorHAnsi" w:eastAsia="Calibri" w:hAnsiTheme="majorHAnsi" w:cstheme="majorHAnsi"/>
            <w:sz w:val="20"/>
            <w:szCs w:val="20"/>
            <w:u w:val="single"/>
          </w:rPr>
          <w:t>https://stat.gov.kz/en/industries/labor-and-income/stat-wags/publications/186232</w:t>
        </w:r>
      </w:hyperlink>
      <w:r w:rsidRPr="00B01C20">
        <w:rPr>
          <w:rFonts w:asciiTheme="majorHAnsi" w:eastAsia="Calibri" w:hAnsiTheme="majorHAnsi" w:cstheme="majorHAnsi"/>
          <w:sz w:val="20"/>
          <w:szCs w:val="20"/>
        </w:rPr>
        <w:t xml:space="preserve"> (accessed: </w:t>
      </w:r>
      <w:r w:rsidRPr="00B01C20">
        <w:rPr>
          <w:rFonts w:asciiTheme="majorHAnsi" w:eastAsia="Calibri" w:hAnsiTheme="majorHAnsi" w:cstheme="majorHAnsi"/>
          <w:color w:val="1155CC"/>
          <w:sz w:val="20"/>
          <w:szCs w:val="20"/>
          <w:u w:val="single"/>
        </w:rPr>
        <w:t>21st</w:t>
      </w:r>
      <w:r w:rsidRPr="00B01C20">
        <w:rPr>
          <w:rFonts w:asciiTheme="majorHAnsi" w:eastAsia="Calibri" w:hAnsiTheme="majorHAnsi" w:cstheme="majorHAnsi"/>
          <w:sz w:val="20"/>
          <w:szCs w:val="20"/>
        </w:rPr>
        <w:t xml:space="preserve"> May 2025) </w:t>
      </w:r>
    </w:p>
  </w:footnote>
  <w:footnote w:id="17">
    <w:p w14:paraId="55DB55E9"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100 MCIs are equivalent to 3,925 Kazakh tenge for 2025.</w:t>
      </w:r>
    </w:p>
  </w:footnote>
  <w:footnote w:id="18">
    <w:p w14:paraId="5A7BB751"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Government of Kazakhstan (2021), </w:t>
      </w:r>
      <w:r w:rsidRPr="00B01C20">
        <w:rPr>
          <w:rFonts w:asciiTheme="majorHAnsi" w:eastAsia="Calibri" w:hAnsiTheme="majorHAnsi" w:cstheme="majorHAnsi"/>
          <w:i/>
          <w:sz w:val="20"/>
          <w:szCs w:val="20"/>
        </w:rPr>
        <w:t>Contribution to the UN Working Group on Arbitrary Detention</w:t>
      </w:r>
      <w:r w:rsidRPr="00B01C20">
        <w:rPr>
          <w:rFonts w:asciiTheme="majorHAnsi" w:eastAsia="Calibri" w:hAnsiTheme="majorHAnsi" w:cstheme="majorHAnsi"/>
          <w:sz w:val="20"/>
          <w:szCs w:val="20"/>
        </w:rPr>
        <w:t xml:space="preserve">, </w:t>
      </w:r>
      <w:hyperlink r:id="rId16">
        <w:r w:rsidRPr="00B01C20">
          <w:rPr>
            <w:rFonts w:asciiTheme="majorHAnsi" w:eastAsia="Calibri" w:hAnsiTheme="majorHAnsi" w:cstheme="majorHAnsi"/>
            <w:color w:val="1155CC"/>
            <w:sz w:val="20"/>
            <w:szCs w:val="20"/>
            <w:u w:val="single"/>
          </w:rPr>
          <w:t>https://www.ohchr.org/sites/default/files/Documents/Issues/Detention/Call/Country/Kazakhstan.pdf</w:t>
        </w:r>
      </w:hyperlink>
      <w:r w:rsidRPr="00B01C20">
        <w:rPr>
          <w:rFonts w:asciiTheme="majorHAnsi" w:eastAsia="Calibri" w:hAnsiTheme="majorHAnsi" w:cstheme="majorHAnsi"/>
          <w:sz w:val="20"/>
          <w:szCs w:val="20"/>
          <w:u w:val="single"/>
        </w:rPr>
        <w:t xml:space="preserve">  </w:t>
      </w:r>
    </w:p>
  </w:footnote>
  <w:footnote w:id="19">
    <w:p w14:paraId="573478F0"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Боярский, А. (28 </w:t>
      </w:r>
      <w:r w:rsidRPr="00B01C20">
        <w:rPr>
          <w:rFonts w:asciiTheme="majorHAnsi" w:eastAsia="Calibri" w:hAnsiTheme="majorHAnsi" w:cstheme="majorHAnsi"/>
          <w:sz w:val="20"/>
          <w:szCs w:val="20"/>
        </w:rPr>
        <w:t>May</w:t>
      </w:r>
      <w:r w:rsidRPr="00B01C20">
        <w:rPr>
          <w:rFonts w:asciiTheme="majorHAnsi" w:eastAsia="Calibri" w:hAnsiTheme="majorHAnsi" w:cstheme="majorHAnsi"/>
          <w:sz w:val="20"/>
          <w:szCs w:val="20"/>
          <w:lang w:val="ru-RU"/>
        </w:rPr>
        <w:t xml:space="preserve"> 2024), ‘Как в Казахстане наказывают за граффити с рекламой наркотиков’, </w:t>
      </w:r>
      <w:r w:rsidRPr="00B01C20">
        <w:rPr>
          <w:rFonts w:asciiTheme="majorHAnsi" w:eastAsia="Calibri" w:hAnsiTheme="majorHAnsi" w:cstheme="majorHAnsi"/>
          <w:i/>
          <w:sz w:val="20"/>
          <w:szCs w:val="20"/>
        </w:rPr>
        <w:t>IAPN</w:t>
      </w:r>
      <w:r w:rsidRPr="00B01C20">
        <w:rPr>
          <w:rFonts w:asciiTheme="majorHAnsi" w:eastAsia="Calibri" w:hAnsiTheme="majorHAnsi" w:cstheme="majorHAnsi"/>
          <w:sz w:val="20"/>
          <w:szCs w:val="20"/>
          <w:lang w:val="ru-RU"/>
        </w:rPr>
        <w:t xml:space="preserve">, </w:t>
      </w:r>
      <w:hyperlink r:id="rId17">
        <w:r w:rsidRPr="00B01C20">
          <w:rPr>
            <w:rFonts w:asciiTheme="majorHAnsi" w:eastAsia="Calibri" w:hAnsiTheme="majorHAnsi" w:cstheme="majorHAnsi"/>
            <w:color w:val="1155CC"/>
            <w:sz w:val="20"/>
            <w:szCs w:val="20"/>
            <w:u w:val="single"/>
          </w:rPr>
          <w:t>https</w:t>
        </w:r>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iapn</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kz</w:t>
        </w:r>
        <w:proofErr w:type="spellEnd"/>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articles</w:t>
        </w:r>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Incidents</w:t>
        </w:r>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kak</w:t>
        </w:r>
        <w:proofErr w:type="spellEnd"/>
        <w:r w:rsidRPr="00B01C20">
          <w:rPr>
            <w:rFonts w:asciiTheme="majorHAnsi" w:eastAsia="Calibri" w:hAnsiTheme="majorHAnsi" w:cstheme="majorHAnsi"/>
            <w:color w:val="1155CC"/>
            <w:sz w:val="20"/>
            <w:szCs w:val="20"/>
            <w:u w:val="single"/>
            <w:lang w:val="ru-RU"/>
          </w:rPr>
          <w:t>_</w:t>
        </w:r>
        <w:r w:rsidRPr="00B01C20">
          <w:rPr>
            <w:rFonts w:asciiTheme="majorHAnsi" w:eastAsia="Calibri" w:hAnsiTheme="majorHAnsi" w:cstheme="majorHAnsi"/>
            <w:color w:val="1155CC"/>
            <w:sz w:val="20"/>
            <w:szCs w:val="20"/>
            <w:u w:val="single"/>
          </w:rPr>
          <w:t>v</w:t>
        </w:r>
        <w:r w:rsidRPr="00B01C20">
          <w:rPr>
            <w:rFonts w:asciiTheme="majorHAnsi" w:eastAsia="Calibri" w:hAnsiTheme="majorHAnsi" w:cstheme="majorHAnsi"/>
            <w:color w:val="1155CC"/>
            <w:sz w:val="20"/>
            <w:szCs w:val="20"/>
            <w:u w:val="single"/>
            <w:lang w:val="ru-RU"/>
          </w:rPr>
          <w:t>_</w:t>
        </w:r>
        <w:proofErr w:type="spellStart"/>
        <w:r w:rsidRPr="00B01C20">
          <w:rPr>
            <w:rFonts w:asciiTheme="majorHAnsi" w:eastAsia="Calibri" w:hAnsiTheme="majorHAnsi" w:cstheme="majorHAnsi"/>
            <w:color w:val="1155CC"/>
            <w:sz w:val="20"/>
            <w:szCs w:val="20"/>
            <w:u w:val="single"/>
          </w:rPr>
          <w:t>kazakhstane</w:t>
        </w:r>
        <w:proofErr w:type="spellEnd"/>
        <w:r w:rsidRPr="00B01C20">
          <w:rPr>
            <w:rFonts w:asciiTheme="majorHAnsi" w:eastAsia="Calibri" w:hAnsiTheme="majorHAnsi" w:cstheme="majorHAnsi"/>
            <w:color w:val="1155CC"/>
            <w:sz w:val="20"/>
            <w:szCs w:val="20"/>
            <w:u w:val="single"/>
            <w:lang w:val="ru-RU"/>
          </w:rPr>
          <w:t>_</w:t>
        </w:r>
        <w:proofErr w:type="spellStart"/>
        <w:r w:rsidRPr="00B01C20">
          <w:rPr>
            <w:rFonts w:asciiTheme="majorHAnsi" w:eastAsia="Calibri" w:hAnsiTheme="majorHAnsi" w:cstheme="majorHAnsi"/>
            <w:color w:val="1155CC"/>
            <w:sz w:val="20"/>
            <w:szCs w:val="20"/>
            <w:u w:val="single"/>
          </w:rPr>
          <w:t>nakazyvayut</w:t>
        </w:r>
        <w:proofErr w:type="spellEnd"/>
        <w:r w:rsidRPr="00B01C20">
          <w:rPr>
            <w:rFonts w:asciiTheme="majorHAnsi" w:eastAsia="Calibri" w:hAnsiTheme="majorHAnsi" w:cstheme="majorHAnsi"/>
            <w:color w:val="1155CC"/>
            <w:sz w:val="20"/>
            <w:szCs w:val="20"/>
            <w:u w:val="single"/>
            <w:lang w:val="ru-RU"/>
          </w:rPr>
          <w:t>_</w:t>
        </w:r>
        <w:r w:rsidRPr="00B01C20">
          <w:rPr>
            <w:rFonts w:asciiTheme="majorHAnsi" w:eastAsia="Calibri" w:hAnsiTheme="majorHAnsi" w:cstheme="majorHAnsi"/>
            <w:color w:val="1155CC"/>
            <w:sz w:val="20"/>
            <w:szCs w:val="20"/>
            <w:u w:val="single"/>
          </w:rPr>
          <w:t>za</w:t>
        </w:r>
        <w:r w:rsidRPr="00B01C20">
          <w:rPr>
            <w:rFonts w:asciiTheme="majorHAnsi" w:eastAsia="Calibri" w:hAnsiTheme="majorHAnsi" w:cstheme="majorHAnsi"/>
            <w:color w:val="1155CC"/>
            <w:sz w:val="20"/>
            <w:szCs w:val="20"/>
            <w:u w:val="single"/>
            <w:lang w:val="ru-RU"/>
          </w:rPr>
          <w:t>_</w:t>
        </w:r>
        <w:r w:rsidRPr="00B01C20">
          <w:rPr>
            <w:rFonts w:asciiTheme="majorHAnsi" w:eastAsia="Calibri" w:hAnsiTheme="majorHAnsi" w:cstheme="majorHAnsi"/>
            <w:color w:val="1155CC"/>
            <w:sz w:val="20"/>
            <w:szCs w:val="20"/>
            <w:u w:val="single"/>
          </w:rPr>
          <w:t>graffiti</w:t>
        </w:r>
        <w:r w:rsidRPr="00B01C20">
          <w:rPr>
            <w:rFonts w:asciiTheme="majorHAnsi" w:eastAsia="Calibri" w:hAnsiTheme="majorHAnsi" w:cstheme="majorHAnsi"/>
            <w:color w:val="1155CC"/>
            <w:sz w:val="20"/>
            <w:szCs w:val="20"/>
            <w:u w:val="single"/>
            <w:lang w:val="ru-RU"/>
          </w:rPr>
          <w:t>_</w:t>
        </w:r>
        <w:r w:rsidRPr="00B01C20">
          <w:rPr>
            <w:rFonts w:asciiTheme="majorHAnsi" w:eastAsia="Calibri" w:hAnsiTheme="majorHAnsi" w:cstheme="majorHAnsi"/>
            <w:color w:val="1155CC"/>
            <w:sz w:val="20"/>
            <w:szCs w:val="20"/>
            <w:u w:val="single"/>
          </w:rPr>
          <w:t>s</w:t>
        </w:r>
        <w:r w:rsidRPr="00B01C20">
          <w:rPr>
            <w:rFonts w:asciiTheme="majorHAnsi" w:eastAsia="Calibri" w:hAnsiTheme="majorHAnsi" w:cstheme="majorHAnsi"/>
            <w:color w:val="1155CC"/>
            <w:sz w:val="20"/>
            <w:szCs w:val="20"/>
            <w:u w:val="single"/>
            <w:lang w:val="ru-RU"/>
          </w:rPr>
          <w:t>_</w:t>
        </w:r>
        <w:proofErr w:type="spellStart"/>
        <w:r w:rsidRPr="00B01C20">
          <w:rPr>
            <w:rFonts w:asciiTheme="majorHAnsi" w:eastAsia="Calibri" w:hAnsiTheme="majorHAnsi" w:cstheme="majorHAnsi"/>
            <w:color w:val="1155CC"/>
            <w:sz w:val="20"/>
            <w:szCs w:val="20"/>
            <w:u w:val="single"/>
          </w:rPr>
          <w:t>reklamoy</w:t>
        </w:r>
        <w:proofErr w:type="spellEnd"/>
        <w:r w:rsidRPr="00B01C20">
          <w:rPr>
            <w:rFonts w:asciiTheme="majorHAnsi" w:eastAsia="Calibri" w:hAnsiTheme="majorHAnsi" w:cstheme="majorHAnsi"/>
            <w:color w:val="1155CC"/>
            <w:sz w:val="20"/>
            <w:szCs w:val="20"/>
            <w:u w:val="single"/>
            <w:lang w:val="ru-RU"/>
          </w:rPr>
          <w:t>_</w:t>
        </w:r>
        <w:proofErr w:type="spellStart"/>
        <w:r w:rsidRPr="00B01C20">
          <w:rPr>
            <w:rFonts w:asciiTheme="majorHAnsi" w:eastAsia="Calibri" w:hAnsiTheme="majorHAnsi" w:cstheme="majorHAnsi"/>
            <w:color w:val="1155CC"/>
            <w:sz w:val="20"/>
            <w:szCs w:val="20"/>
            <w:u w:val="single"/>
          </w:rPr>
          <w:t>narkotikov</w:t>
        </w:r>
        <w:proofErr w:type="spellEnd"/>
        <w:r w:rsidRPr="00B01C20">
          <w:rPr>
            <w:rFonts w:asciiTheme="majorHAnsi" w:eastAsia="Calibri" w:hAnsiTheme="majorHAnsi" w:cstheme="majorHAnsi"/>
            <w:color w:val="1155CC"/>
            <w:sz w:val="20"/>
            <w:szCs w:val="20"/>
            <w:u w:val="single"/>
            <w:lang w:val="ru-RU"/>
          </w:rPr>
          <w:t>/</w:t>
        </w:r>
      </w:hyperlink>
      <w:r w:rsidRPr="00B01C20">
        <w:rPr>
          <w:rFonts w:asciiTheme="majorHAnsi" w:eastAsia="Calibri" w:hAnsiTheme="majorHAnsi" w:cstheme="majorHAnsi"/>
          <w:sz w:val="20"/>
          <w:szCs w:val="20"/>
          <w:lang w:val="ru-RU"/>
        </w:rPr>
        <w:t xml:space="preserve"> </w:t>
      </w:r>
    </w:p>
  </w:footnote>
  <w:footnote w:id="20">
    <w:p w14:paraId="13107937"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EWNA (2023), </w:t>
      </w:r>
      <w:r w:rsidRPr="00B01C20">
        <w:rPr>
          <w:rFonts w:asciiTheme="majorHAnsi" w:eastAsia="Calibri" w:hAnsiTheme="majorHAnsi" w:cstheme="majorHAnsi"/>
          <w:i/>
          <w:sz w:val="20"/>
          <w:szCs w:val="20"/>
        </w:rPr>
        <w:t xml:space="preserve">HIV infection risks, use of health services, and unmet needs of people who use synthetic and new psychoactive substances in Kyrgyzstan, Kazakhstan, and Tajikistan </w:t>
      </w:r>
      <w:hyperlink r:id="rId18">
        <w:r w:rsidRPr="00B01C20">
          <w:rPr>
            <w:rFonts w:asciiTheme="majorHAnsi" w:eastAsia="Calibri" w:hAnsiTheme="majorHAnsi" w:cstheme="majorHAnsi"/>
            <w:color w:val="1155CC"/>
            <w:sz w:val="20"/>
            <w:szCs w:val="20"/>
            <w:u w:val="single"/>
          </w:rPr>
          <w:t>https://ewna.org/wp-content/uploads/2024/01/ewna_fhi360-snps-assessment-final-report_2023_eng.pdf</w:t>
        </w:r>
      </w:hyperlink>
    </w:p>
  </w:footnote>
  <w:footnote w:id="21">
    <w:p w14:paraId="7A06E747"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w:t>
      </w:r>
      <w:hyperlink r:id="rId19">
        <w:r w:rsidRPr="00B01C20">
          <w:rPr>
            <w:rFonts w:asciiTheme="majorHAnsi" w:eastAsia="Calibri" w:hAnsiTheme="majorHAnsi" w:cstheme="majorHAnsi"/>
            <w:color w:val="0B57D0"/>
            <w:sz w:val="20"/>
            <w:szCs w:val="20"/>
          </w:rPr>
          <w:t>https://kz.kursiv.media/2024-05-21/tksh-narkomany-statistika-mvd/</w:t>
        </w:r>
      </w:hyperlink>
      <w:r w:rsidRPr="00B01C20">
        <w:rPr>
          <w:rFonts w:asciiTheme="majorHAnsi" w:eastAsia="Calibri" w:hAnsiTheme="majorHAnsi" w:cstheme="majorHAnsi"/>
          <w:sz w:val="20"/>
          <w:szCs w:val="20"/>
        </w:rPr>
        <w:t xml:space="preserve"> </w:t>
      </w:r>
    </w:p>
  </w:footnote>
  <w:footnote w:id="22">
    <w:p w14:paraId="75E386C0"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OHCHR (2015), </w:t>
      </w:r>
      <w:r w:rsidRPr="00B01C20">
        <w:rPr>
          <w:rFonts w:asciiTheme="majorHAnsi" w:eastAsia="Calibri" w:hAnsiTheme="majorHAnsi" w:cstheme="majorHAnsi"/>
          <w:i/>
          <w:sz w:val="20"/>
          <w:szCs w:val="20"/>
        </w:rPr>
        <w:t>Study on the impact of the world drug problem on the enjoyment of human rights</w:t>
      </w:r>
      <w:r w:rsidRPr="00B01C20">
        <w:rPr>
          <w:rFonts w:asciiTheme="majorHAnsi" w:eastAsia="Calibri" w:hAnsiTheme="majorHAnsi" w:cstheme="majorHAnsi"/>
          <w:sz w:val="20"/>
          <w:szCs w:val="20"/>
        </w:rPr>
        <w:t xml:space="preserve">,   </w:t>
      </w:r>
      <w:hyperlink r:id="rId20">
        <w:r w:rsidRPr="00B01C20">
          <w:rPr>
            <w:rFonts w:asciiTheme="majorHAnsi" w:eastAsia="Calibri" w:hAnsiTheme="majorHAnsi" w:cstheme="majorHAnsi"/>
            <w:color w:val="1155CC"/>
            <w:sz w:val="20"/>
            <w:szCs w:val="20"/>
            <w:u w:val="single"/>
          </w:rPr>
          <w:t>https://ap.ohchr.org/documents/dpage_e.aspx?si=A/HRC/30/65</w:t>
        </w:r>
      </w:hyperlink>
      <w:r w:rsidRPr="00B01C20">
        <w:rPr>
          <w:rFonts w:asciiTheme="majorHAnsi" w:eastAsia="Calibri" w:hAnsiTheme="majorHAnsi" w:cstheme="majorHAnsi"/>
          <w:sz w:val="20"/>
          <w:szCs w:val="20"/>
        </w:rPr>
        <w:t xml:space="preserve">, para. 24. </w:t>
      </w:r>
    </w:p>
  </w:footnote>
  <w:footnote w:id="23">
    <w:p w14:paraId="34B56C9C"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Human Rights Committee (2022), </w:t>
      </w:r>
      <w:r w:rsidRPr="00B01C20">
        <w:rPr>
          <w:rFonts w:asciiTheme="majorHAnsi" w:eastAsia="Calibri" w:hAnsiTheme="majorHAnsi" w:cstheme="majorHAnsi"/>
          <w:i/>
          <w:sz w:val="20"/>
          <w:szCs w:val="20"/>
        </w:rPr>
        <w:t xml:space="preserve">Concluding observations to the fifth periodic report of the Philippines, </w:t>
      </w:r>
      <w:hyperlink r:id="rId21">
        <w:r w:rsidRPr="00B01C20">
          <w:rPr>
            <w:rFonts w:asciiTheme="majorHAnsi" w:eastAsia="Calibri" w:hAnsiTheme="majorHAnsi" w:cstheme="majorHAnsi"/>
            <w:color w:val="1155CC"/>
            <w:sz w:val="20"/>
            <w:szCs w:val="20"/>
            <w:u w:val="single"/>
          </w:rPr>
          <w:t>https://uhri.ohchr.org/en/document/9a831cbf-7964-422f-9cb5-057bea24bb76</w:t>
        </w:r>
      </w:hyperlink>
      <w:r w:rsidRPr="00B01C20">
        <w:rPr>
          <w:rFonts w:asciiTheme="majorHAnsi" w:eastAsia="Calibri" w:hAnsiTheme="majorHAnsi" w:cstheme="majorHAnsi"/>
          <w:sz w:val="20"/>
          <w:szCs w:val="20"/>
        </w:rPr>
        <w:t xml:space="preserve"> </w:t>
      </w:r>
    </w:p>
  </w:footnote>
  <w:footnote w:id="24">
    <w:p w14:paraId="2F147610"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Adilet</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Website</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i/>
          <w:sz w:val="20"/>
          <w:szCs w:val="20"/>
          <w:lang w:val="ru-RU"/>
        </w:rPr>
        <w:t>О некоторых вопросах оказания медико-социальной помощи в области психического здоровья</w:t>
      </w:r>
      <w:r w:rsidRPr="00B01C20">
        <w:rPr>
          <w:rFonts w:asciiTheme="majorHAnsi" w:eastAsia="Calibri" w:hAnsiTheme="majorHAnsi" w:cstheme="majorHAnsi"/>
          <w:sz w:val="20"/>
          <w:szCs w:val="20"/>
          <w:lang w:val="ru-RU"/>
        </w:rPr>
        <w:t xml:space="preserve">, </w:t>
      </w:r>
      <w:hyperlink r:id="rId22" w:anchor="z274">
        <w:r w:rsidRPr="00B01C20">
          <w:rPr>
            <w:rFonts w:asciiTheme="majorHAnsi" w:eastAsia="Calibri" w:hAnsiTheme="majorHAnsi" w:cstheme="majorHAnsi"/>
            <w:color w:val="0563C1"/>
            <w:sz w:val="20"/>
            <w:szCs w:val="20"/>
            <w:u w:val="single"/>
          </w:rPr>
          <w:t>https</w:t>
        </w:r>
        <w:r w:rsidRPr="00B01C20">
          <w:rPr>
            <w:rFonts w:asciiTheme="majorHAnsi" w:eastAsia="Calibri" w:hAnsiTheme="majorHAnsi" w:cstheme="majorHAnsi"/>
            <w:color w:val="0563C1"/>
            <w:sz w:val="20"/>
            <w:szCs w:val="20"/>
            <w:u w:val="single"/>
            <w:lang w:val="ru-RU"/>
          </w:rPr>
          <w:t>://</w:t>
        </w:r>
        <w:proofErr w:type="spellStart"/>
        <w:r w:rsidRPr="00B01C20">
          <w:rPr>
            <w:rFonts w:asciiTheme="majorHAnsi" w:eastAsia="Calibri" w:hAnsiTheme="majorHAnsi" w:cstheme="majorHAnsi"/>
            <w:color w:val="0563C1"/>
            <w:sz w:val="20"/>
            <w:szCs w:val="20"/>
            <w:u w:val="single"/>
          </w:rPr>
          <w:t>adilet</w:t>
        </w:r>
        <w:proofErr w:type="spellEnd"/>
        <w:r w:rsidRPr="00B01C20">
          <w:rPr>
            <w:rFonts w:asciiTheme="majorHAnsi" w:eastAsia="Calibri" w:hAnsiTheme="majorHAnsi" w:cstheme="majorHAnsi"/>
            <w:color w:val="0563C1"/>
            <w:sz w:val="20"/>
            <w:szCs w:val="20"/>
            <w:u w:val="single"/>
            <w:lang w:val="ru-RU"/>
          </w:rPr>
          <w:t>.</w:t>
        </w:r>
        <w:proofErr w:type="spellStart"/>
        <w:r w:rsidRPr="00B01C20">
          <w:rPr>
            <w:rFonts w:asciiTheme="majorHAnsi" w:eastAsia="Calibri" w:hAnsiTheme="majorHAnsi" w:cstheme="majorHAnsi"/>
            <w:color w:val="0563C1"/>
            <w:sz w:val="20"/>
            <w:szCs w:val="20"/>
            <w:u w:val="single"/>
          </w:rPr>
          <w:t>zan</w:t>
        </w:r>
        <w:proofErr w:type="spellEnd"/>
        <w:r w:rsidRPr="00B01C20">
          <w:rPr>
            <w:rFonts w:asciiTheme="majorHAnsi" w:eastAsia="Calibri" w:hAnsiTheme="majorHAnsi" w:cstheme="majorHAnsi"/>
            <w:color w:val="0563C1"/>
            <w:sz w:val="20"/>
            <w:szCs w:val="20"/>
            <w:u w:val="single"/>
            <w:lang w:val="ru-RU"/>
          </w:rPr>
          <w:t>.</w:t>
        </w:r>
        <w:proofErr w:type="spellStart"/>
        <w:r w:rsidRPr="00B01C20">
          <w:rPr>
            <w:rFonts w:asciiTheme="majorHAnsi" w:eastAsia="Calibri" w:hAnsiTheme="majorHAnsi" w:cstheme="majorHAnsi"/>
            <w:color w:val="0563C1"/>
            <w:sz w:val="20"/>
            <w:szCs w:val="20"/>
            <w:u w:val="single"/>
          </w:rPr>
          <w:t>kz</w:t>
        </w:r>
        <w:proofErr w:type="spellEnd"/>
        <w:r w:rsidRPr="00B01C20">
          <w:rPr>
            <w:rFonts w:asciiTheme="majorHAnsi" w:eastAsia="Calibri" w:hAnsiTheme="majorHAnsi" w:cstheme="majorHAnsi"/>
            <w:color w:val="0563C1"/>
            <w:sz w:val="20"/>
            <w:szCs w:val="20"/>
            <w:u w:val="single"/>
            <w:lang w:val="ru-RU"/>
          </w:rPr>
          <w:t>/</w:t>
        </w:r>
        <w:proofErr w:type="spellStart"/>
        <w:r w:rsidRPr="00B01C20">
          <w:rPr>
            <w:rFonts w:asciiTheme="majorHAnsi" w:eastAsia="Calibri" w:hAnsiTheme="majorHAnsi" w:cstheme="majorHAnsi"/>
            <w:color w:val="0563C1"/>
            <w:sz w:val="20"/>
            <w:szCs w:val="20"/>
            <w:u w:val="single"/>
          </w:rPr>
          <w:t>rus</w:t>
        </w:r>
        <w:proofErr w:type="spellEnd"/>
        <w:r w:rsidRPr="00B01C20">
          <w:rPr>
            <w:rFonts w:asciiTheme="majorHAnsi" w:eastAsia="Calibri" w:hAnsiTheme="majorHAnsi" w:cstheme="majorHAnsi"/>
            <w:color w:val="0563C1"/>
            <w:sz w:val="20"/>
            <w:szCs w:val="20"/>
            <w:u w:val="single"/>
            <w:lang w:val="ru-RU"/>
          </w:rPr>
          <w:t>/</w:t>
        </w:r>
        <w:r w:rsidRPr="00B01C20">
          <w:rPr>
            <w:rFonts w:asciiTheme="majorHAnsi" w:eastAsia="Calibri" w:hAnsiTheme="majorHAnsi" w:cstheme="majorHAnsi"/>
            <w:color w:val="0563C1"/>
            <w:sz w:val="20"/>
            <w:szCs w:val="20"/>
            <w:u w:val="single"/>
          </w:rPr>
          <w:t>docs</w:t>
        </w:r>
        <w:r w:rsidRPr="00B01C20">
          <w:rPr>
            <w:rFonts w:asciiTheme="majorHAnsi" w:eastAsia="Calibri" w:hAnsiTheme="majorHAnsi" w:cstheme="majorHAnsi"/>
            <w:color w:val="0563C1"/>
            <w:sz w:val="20"/>
            <w:szCs w:val="20"/>
            <w:u w:val="single"/>
            <w:lang w:val="ru-RU"/>
          </w:rPr>
          <w:t>/</w:t>
        </w:r>
        <w:r w:rsidRPr="00B01C20">
          <w:rPr>
            <w:rFonts w:asciiTheme="majorHAnsi" w:eastAsia="Calibri" w:hAnsiTheme="majorHAnsi" w:cstheme="majorHAnsi"/>
            <w:color w:val="0563C1"/>
            <w:sz w:val="20"/>
            <w:szCs w:val="20"/>
            <w:u w:val="single"/>
          </w:rPr>
          <w:t>V</w:t>
        </w:r>
        <w:r w:rsidRPr="00B01C20">
          <w:rPr>
            <w:rFonts w:asciiTheme="majorHAnsi" w:eastAsia="Calibri" w:hAnsiTheme="majorHAnsi" w:cstheme="majorHAnsi"/>
            <w:color w:val="0563C1"/>
            <w:sz w:val="20"/>
            <w:szCs w:val="20"/>
            <w:u w:val="single"/>
            <w:lang w:val="ru-RU"/>
          </w:rPr>
          <w:t>2000021680#</w:t>
        </w:r>
        <w:r w:rsidRPr="00B01C20">
          <w:rPr>
            <w:rFonts w:asciiTheme="majorHAnsi" w:eastAsia="Calibri" w:hAnsiTheme="majorHAnsi" w:cstheme="majorHAnsi"/>
            <w:color w:val="0563C1"/>
            <w:sz w:val="20"/>
            <w:szCs w:val="20"/>
            <w:u w:val="single"/>
          </w:rPr>
          <w:t>z</w:t>
        </w:r>
        <w:r w:rsidRPr="00B01C20">
          <w:rPr>
            <w:rFonts w:asciiTheme="majorHAnsi" w:eastAsia="Calibri" w:hAnsiTheme="majorHAnsi" w:cstheme="majorHAnsi"/>
            <w:color w:val="0563C1"/>
            <w:sz w:val="20"/>
            <w:szCs w:val="20"/>
            <w:u w:val="single"/>
            <w:lang w:val="ru-RU"/>
          </w:rPr>
          <w:t>274</w:t>
        </w:r>
      </w:hyperlink>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accessed</w:t>
      </w:r>
      <w:r w:rsidRPr="00B01C20">
        <w:rPr>
          <w:rFonts w:asciiTheme="majorHAnsi" w:eastAsia="Calibri" w:hAnsiTheme="majorHAnsi" w:cstheme="majorHAnsi"/>
          <w:sz w:val="20"/>
          <w:szCs w:val="20"/>
          <w:lang w:val="ru-RU"/>
        </w:rPr>
        <w:t xml:space="preserve">: 21 </w:t>
      </w:r>
      <w:r w:rsidRPr="00B01C20">
        <w:rPr>
          <w:rFonts w:asciiTheme="majorHAnsi" w:eastAsia="Calibri" w:hAnsiTheme="majorHAnsi" w:cstheme="majorHAnsi"/>
          <w:sz w:val="20"/>
          <w:szCs w:val="20"/>
        </w:rPr>
        <w:t>May</w:t>
      </w:r>
      <w:r w:rsidRPr="00B01C20">
        <w:rPr>
          <w:rFonts w:asciiTheme="majorHAnsi" w:eastAsia="Calibri" w:hAnsiTheme="majorHAnsi" w:cstheme="majorHAnsi"/>
          <w:sz w:val="20"/>
          <w:szCs w:val="20"/>
          <w:lang w:val="ru-RU"/>
        </w:rPr>
        <w:t xml:space="preserve"> 2025)</w:t>
      </w:r>
    </w:p>
  </w:footnote>
  <w:footnote w:id="25">
    <w:p w14:paraId="3F02120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CADAP (2023),</w:t>
      </w:r>
      <w:r w:rsidRPr="00B01C20">
        <w:rPr>
          <w:rFonts w:asciiTheme="majorHAnsi" w:eastAsia="Calibri" w:hAnsiTheme="majorHAnsi" w:cstheme="majorHAnsi"/>
          <w:i/>
          <w:sz w:val="20"/>
          <w:szCs w:val="20"/>
        </w:rPr>
        <w:t xml:space="preserve"> Current situation of data collection and early warning system in Kazakhstan</w:t>
      </w:r>
      <w:r w:rsidRPr="00B01C20">
        <w:rPr>
          <w:rFonts w:asciiTheme="majorHAnsi" w:eastAsia="Calibri" w:hAnsiTheme="majorHAnsi" w:cstheme="majorHAnsi"/>
          <w:sz w:val="20"/>
          <w:szCs w:val="20"/>
        </w:rPr>
        <w:t xml:space="preserve">, </w:t>
      </w:r>
      <w:hyperlink r:id="rId23">
        <w:r w:rsidRPr="00B01C20">
          <w:rPr>
            <w:rFonts w:asciiTheme="majorHAnsi" w:eastAsia="Calibri" w:hAnsiTheme="majorHAnsi" w:cstheme="majorHAnsi"/>
            <w:color w:val="1155CC"/>
            <w:sz w:val="20"/>
            <w:szCs w:val="20"/>
            <w:u w:val="single"/>
          </w:rPr>
          <w:t>https://www.eu-cadap.org/wp-content/uploads/2024/04/Kazakhstan-REPORT.pdf</w:t>
        </w:r>
      </w:hyperlink>
      <w:r w:rsidRPr="00B01C20">
        <w:rPr>
          <w:rFonts w:asciiTheme="majorHAnsi" w:eastAsia="Calibri" w:hAnsiTheme="majorHAnsi" w:cstheme="majorHAnsi"/>
          <w:sz w:val="20"/>
          <w:szCs w:val="20"/>
        </w:rPr>
        <w:t>, p. 9</w:t>
      </w:r>
    </w:p>
  </w:footnote>
  <w:footnote w:id="26">
    <w:p w14:paraId="4D7AD563"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Ibid, p. 10. </w:t>
      </w:r>
    </w:p>
  </w:footnote>
  <w:footnote w:id="27">
    <w:p w14:paraId="7C5902F0"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Quote from the survey of women who use drugs conducted in April 2025.</w:t>
      </w:r>
    </w:p>
  </w:footnote>
  <w:footnote w:id="28">
    <w:p w14:paraId="7DD2B86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See literature review here: Meyers, S.A., et al. (2021), ‘The intersection of gender and drug use-related stigma: A mixed methods systematic review and synthesis of the literature’, </w:t>
      </w:r>
      <w:r w:rsidRPr="00B01C20">
        <w:rPr>
          <w:rFonts w:asciiTheme="majorHAnsi" w:eastAsia="Calibri" w:hAnsiTheme="majorHAnsi" w:cstheme="majorHAnsi"/>
          <w:i/>
          <w:sz w:val="20"/>
          <w:szCs w:val="20"/>
        </w:rPr>
        <w:t xml:space="preserve">Drug and Alcohol Dependence </w:t>
      </w:r>
      <w:r w:rsidRPr="00B01C20">
        <w:rPr>
          <w:rFonts w:asciiTheme="majorHAnsi" w:eastAsia="Calibri" w:hAnsiTheme="majorHAnsi" w:cstheme="majorHAnsi"/>
          <w:b/>
          <w:sz w:val="20"/>
          <w:szCs w:val="20"/>
        </w:rPr>
        <w:t>223</w:t>
      </w:r>
      <w:r w:rsidRPr="00B01C20">
        <w:rPr>
          <w:rFonts w:asciiTheme="majorHAnsi" w:eastAsia="Calibri" w:hAnsiTheme="majorHAnsi" w:cstheme="majorHAnsi"/>
          <w:sz w:val="20"/>
          <w:szCs w:val="20"/>
        </w:rPr>
        <w:t xml:space="preserve">, </w:t>
      </w:r>
      <w:hyperlink r:id="rId24">
        <w:r w:rsidRPr="00B01C20">
          <w:rPr>
            <w:rFonts w:asciiTheme="majorHAnsi" w:eastAsia="Calibri" w:hAnsiTheme="majorHAnsi" w:cstheme="majorHAnsi"/>
            <w:color w:val="1155CC"/>
            <w:sz w:val="20"/>
            <w:szCs w:val="20"/>
            <w:u w:val="single"/>
          </w:rPr>
          <w:t>https://www.sciencedirect.com/science/article/abs/pii/S0376871621002015</w:t>
        </w:r>
      </w:hyperlink>
      <w:r w:rsidRPr="00B01C20">
        <w:rPr>
          <w:rFonts w:asciiTheme="majorHAnsi" w:eastAsia="Calibri" w:hAnsiTheme="majorHAnsi" w:cstheme="majorHAnsi"/>
          <w:sz w:val="20"/>
          <w:szCs w:val="20"/>
        </w:rPr>
        <w:t xml:space="preserve"> </w:t>
      </w:r>
    </w:p>
  </w:footnote>
  <w:footnote w:id="29">
    <w:p w14:paraId="17FA4EEC"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OHCHR (2024), </w:t>
      </w:r>
      <w:r w:rsidRPr="00B01C20">
        <w:rPr>
          <w:rFonts w:asciiTheme="majorHAnsi" w:eastAsia="Calibri" w:hAnsiTheme="majorHAnsi" w:cstheme="majorHAnsi"/>
          <w:i/>
          <w:sz w:val="20"/>
          <w:szCs w:val="20"/>
        </w:rPr>
        <w:t>Human rights challenges in addressing the world drug situation</w:t>
      </w:r>
      <w:r w:rsidRPr="00B01C20">
        <w:rPr>
          <w:rFonts w:asciiTheme="majorHAnsi" w:eastAsia="Calibri" w:hAnsiTheme="majorHAnsi" w:cstheme="majorHAnsi"/>
          <w:sz w:val="20"/>
          <w:szCs w:val="20"/>
        </w:rPr>
        <w:t xml:space="preserve">, </w:t>
      </w:r>
      <w:hyperlink r:id="rId25">
        <w:r w:rsidRPr="00B01C20">
          <w:rPr>
            <w:rFonts w:asciiTheme="majorHAnsi" w:eastAsia="Calibri" w:hAnsiTheme="majorHAnsi" w:cstheme="majorHAnsi"/>
            <w:color w:val="1155CC"/>
            <w:sz w:val="20"/>
            <w:szCs w:val="20"/>
            <w:u w:val="single"/>
          </w:rPr>
          <w:t>https://docs.un.org/en/A/HRC/54/53</w:t>
        </w:r>
      </w:hyperlink>
      <w:r w:rsidRPr="00B01C20">
        <w:rPr>
          <w:rFonts w:asciiTheme="majorHAnsi" w:eastAsia="Calibri" w:hAnsiTheme="majorHAnsi" w:cstheme="majorHAnsi"/>
          <w:sz w:val="20"/>
          <w:szCs w:val="20"/>
        </w:rPr>
        <w:t>, para. 45</w:t>
      </w:r>
    </w:p>
  </w:footnote>
  <w:footnote w:id="30">
    <w:p w14:paraId="78B26A0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CEDAW (2023), </w:t>
      </w:r>
      <w:r w:rsidRPr="00B01C20">
        <w:rPr>
          <w:rFonts w:asciiTheme="majorHAnsi" w:eastAsia="Calibri" w:hAnsiTheme="majorHAnsi" w:cstheme="majorHAnsi"/>
          <w:i/>
          <w:sz w:val="20"/>
          <w:szCs w:val="20"/>
        </w:rPr>
        <w:t>Concluding observations to the 7th periodic report of Armenia</w:t>
      </w:r>
      <w:r w:rsidRPr="00B01C20">
        <w:rPr>
          <w:rFonts w:asciiTheme="majorHAnsi" w:eastAsia="Calibri" w:hAnsiTheme="majorHAnsi" w:cstheme="majorHAnsi"/>
          <w:sz w:val="20"/>
          <w:szCs w:val="20"/>
        </w:rPr>
        <w:t xml:space="preserve">, </w:t>
      </w:r>
      <w:hyperlink r:id="rId26">
        <w:r w:rsidRPr="00B01C20">
          <w:rPr>
            <w:rFonts w:asciiTheme="majorHAnsi" w:eastAsia="Calibri" w:hAnsiTheme="majorHAnsi" w:cstheme="majorHAnsi"/>
            <w:color w:val="1155CC"/>
            <w:sz w:val="20"/>
            <w:szCs w:val="20"/>
            <w:u w:val="single"/>
          </w:rPr>
          <w:t>https://uhri.ohchr.org/en/document/5badc4b5-952f-42e1-9f61-78d2ed4bce5a</w:t>
        </w:r>
      </w:hyperlink>
      <w:r w:rsidRPr="00B01C20">
        <w:rPr>
          <w:rFonts w:asciiTheme="majorHAnsi" w:eastAsia="Calibri" w:hAnsiTheme="majorHAnsi" w:cstheme="majorHAnsi"/>
          <w:sz w:val="20"/>
          <w:szCs w:val="20"/>
        </w:rPr>
        <w:t xml:space="preserve"> </w:t>
      </w:r>
    </w:p>
  </w:footnote>
  <w:footnote w:id="31">
    <w:p w14:paraId="6F9B8F5F"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CEDAW (2021), </w:t>
      </w:r>
      <w:r w:rsidRPr="00B01C20">
        <w:rPr>
          <w:rFonts w:asciiTheme="majorHAnsi" w:eastAsia="Calibri" w:hAnsiTheme="majorHAnsi" w:cstheme="majorHAnsi"/>
          <w:i/>
          <w:sz w:val="20"/>
          <w:szCs w:val="20"/>
        </w:rPr>
        <w:t xml:space="preserve">Concluding observations </w:t>
      </w:r>
      <w:proofErr w:type="spellStart"/>
      <w:r w:rsidRPr="00B01C20">
        <w:rPr>
          <w:rFonts w:asciiTheme="majorHAnsi" w:eastAsia="Calibri" w:hAnsiTheme="majorHAnsi" w:cstheme="majorHAnsi"/>
          <w:i/>
          <w:sz w:val="20"/>
          <w:szCs w:val="20"/>
        </w:rPr>
        <w:t>ot</w:t>
      </w:r>
      <w:proofErr w:type="spellEnd"/>
      <w:r w:rsidRPr="00B01C20">
        <w:rPr>
          <w:rFonts w:asciiTheme="majorHAnsi" w:eastAsia="Calibri" w:hAnsiTheme="majorHAnsi" w:cstheme="majorHAnsi"/>
          <w:i/>
          <w:sz w:val="20"/>
          <w:szCs w:val="20"/>
        </w:rPr>
        <w:t xml:space="preserve"> the 9th periodic report of the Russian Federation</w:t>
      </w:r>
      <w:r w:rsidRPr="00B01C20">
        <w:rPr>
          <w:rFonts w:asciiTheme="majorHAnsi" w:eastAsia="Calibri" w:hAnsiTheme="majorHAnsi" w:cstheme="majorHAnsi"/>
          <w:sz w:val="20"/>
          <w:szCs w:val="20"/>
        </w:rPr>
        <w:t xml:space="preserve">, </w:t>
      </w:r>
      <w:hyperlink r:id="rId27">
        <w:r w:rsidRPr="00B01C20">
          <w:rPr>
            <w:rFonts w:asciiTheme="majorHAnsi" w:eastAsia="Calibri" w:hAnsiTheme="majorHAnsi" w:cstheme="majorHAnsi"/>
            <w:color w:val="1155CC"/>
            <w:sz w:val="20"/>
            <w:szCs w:val="20"/>
            <w:u w:val="single"/>
          </w:rPr>
          <w:t>https://uhri.ohchr.org/en/document/80aa8259-f9b0-4a54-870e-fd1d111dfdc3</w:t>
        </w:r>
      </w:hyperlink>
      <w:r w:rsidRPr="00B01C20">
        <w:rPr>
          <w:rFonts w:asciiTheme="majorHAnsi" w:eastAsia="Calibri" w:hAnsiTheme="majorHAnsi" w:cstheme="majorHAnsi"/>
          <w:sz w:val="20"/>
          <w:szCs w:val="20"/>
        </w:rPr>
        <w:t xml:space="preserve"> </w:t>
      </w:r>
    </w:p>
  </w:footnote>
  <w:footnote w:id="32">
    <w:p w14:paraId="3DD82C1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Excerpt from the consultation carried out on 5 May 2025.</w:t>
      </w:r>
    </w:p>
  </w:footnote>
  <w:footnote w:id="33">
    <w:p w14:paraId="29215770"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CADAP (2023),</w:t>
      </w:r>
      <w:r w:rsidRPr="00B01C20">
        <w:rPr>
          <w:rFonts w:asciiTheme="majorHAnsi" w:eastAsia="Calibri" w:hAnsiTheme="majorHAnsi" w:cstheme="majorHAnsi"/>
          <w:i/>
          <w:sz w:val="20"/>
          <w:szCs w:val="20"/>
        </w:rPr>
        <w:t xml:space="preserve"> Current situation of data collection and early warning system in Kazakhstan</w:t>
      </w:r>
      <w:r w:rsidRPr="00B01C20">
        <w:rPr>
          <w:rFonts w:asciiTheme="majorHAnsi" w:eastAsia="Calibri" w:hAnsiTheme="majorHAnsi" w:cstheme="majorHAnsi"/>
          <w:sz w:val="20"/>
          <w:szCs w:val="20"/>
        </w:rPr>
        <w:t xml:space="preserve">, </w:t>
      </w:r>
      <w:hyperlink r:id="rId28">
        <w:r w:rsidRPr="00B01C20">
          <w:rPr>
            <w:rFonts w:asciiTheme="majorHAnsi" w:eastAsia="Calibri" w:hAnsiTheme="majorHAnsi" w:cstheme="majorHAnsi"/>
            <w:color w:val="1155CC"/>
            <w:sz w:val="20"/>
            <w:szCs w:val="20"/>
            <w:u w:val="single"/>
          </w:rPr>
          <w:t>https://www.eu-cadap.org/wp-content/uploads/2024/04/Kazakhstan-REPORT.pdf</w:t>
        </w:r>
      </w:hyperlink>
      <w:r w:rsidRPr="00B01C20">
        <w:rPr>
          <w:rFonts w:asciiTheme="majorHAnsi" w:eastAsia="Calibri" w:hAnsiTheme="majorHAnsi" w:cstheme="majorHAnsi"/>
          <w:sz w:val="20"/>
          <w:szCs w:val="20"/>
        </w:rPr>
        <w:t>, p. 12.</w:t>
      </w:r>
    </w:p>
  </w:footnote>
  <w:footnote w:id="34">
    <w:p w14:paraId="7F2423AC"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Ibid.</w:t>
      </w:r>
    </w:p>
  </w:footnote>
  <w:footnote w:id="35">
    <w:p w14:paraId="28798256"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EWNA (2023), </w:t>
      </w:r>
      <w:r w:rsidRPr="00B01C20">
        <w:rPr>
          <w:rFonts w:asciiTheme="majorHAnsi" w:eastAsia="Calibri" w:hAnsiTheme="majorHAnsi" w:cstheme="majorHAnsi"/>
          <w:i/>
          <w:sz w:val="20"/>
          <w:szCs w:val="20"/>
        </w:rPr>
        <w:t xml:space="preserve">Community-led monitoring: Types of violence against women living with HIV in Kazakhstan </w:t>
      </w:r>
      <w:hyperlink r:id="rId29">
        <w:r w:rsidRPr="00B01C20">
          <w:rPr>
            <w:rFonts w:asciiTheme="majorHAnsi" w:eastAsia="Calibri" w:hAnsiTheme="majorHAnsi" w:cstheme="majorHAnsi"/>
            <w:color w:val="1155CC"/>
            <w:sz w:val="20"/>
            <w:szCs w:val="20"/>
            <w:u w:val="single"/>
          </w:rPr>
          <w:t>https://ewna.org/wp-content/uploads/2024/01/ewna_gbv-clm-final-report_kazakhstan_2023_eng-1.pdf</w:t>
        </w:r>
      </w:hyperlink>
    </w:p>
  </w:footnote>
  <w:footnote w:id="36">
    <w:p w14:paraId="5889D2A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Ibid.</w:t>
      </w:r>
    </w:p>
  </w:footnote>
  <w:footnote w:id="37">
    <w:p w14:paraId="3A63B127"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Quote form the survey of women who use drugs carried out in April 2025.</w:t>
      </w:r>
    </w:p>
  </w:footnote>
  <w:footnote w:id="38">
    <w:p w14:paraId="1D900681"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Community</w:t>
      </w:r>
      <w:r w:rsidRPr="00B01C20">
        <w:rPr>
          <w:rFonts w:asciiTheme="majorHAnsi" w:eastAsia="Calibri" w:hAnsiTheme="majorHAnsi" w:cstheme="majorHAnsi"/>
          <w:sz w:val="20"/>
          <w:szCs w:val="20"/>
          <w:lang w:val="ru-RU"/>
        </w:rPr>
        <w:t>-</w:t>
      </w:r>
      <w:r w:rsidRPr="00B01C20">
        <w:rPr>
          <w:rFonts w:asciiTheme="majorHAnsi" w:eastAsia="Calibri" w:hAnsiTheme="majorHAnsi" w:cstheme="majorHAnsi"/>
          <w:sz w:val="20"/>
          <w:szCs w:val="20"/>
        </w:rPr>
        <w:t>Led</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Study</w:t>
      </w:r>
      <w:r w:rsidRPr="00B01C20">
        <w:rPr>
          <w:rFonts w:asciiTheme="majorHAnsi" w:eastAsia="Calibri" w:hAnsiTheme="majorHAnsi" w:cstheme="majorHAnsi"/>
          <w:sz w:val="20"/>
          <w:szCs w:val="20"/>
          <w:lang w:val="ru-RU"/>
        </w:rPr>
        <w:t xml:space="preserve"> (2024): </w:t>
      </w:r>
      <w:r w:rsidRPr="00B01C20">
        <w:rPr>
          <w:rFonts w:asciiTheme="majorHAnsi" w:eastAsia="Calibri" w:hAnsiTheme="majorHAnsi" w:cstheme="majorHAnsi"/>
          <w:i/>
          <w:sz w:val="20"/>
          <w:szCs w:val="20"/>
          <w:lang w:val="ru-RU"/>
        </w:rPr>
        <w:t>Отчет о проведении исследования удовлетворенности услугами Пунктов Доверия среди людей, употребляющих наркотики в г. Темиртау, Караганда и Павлодар</w:t>
      </w:r>
    </w:p>
  </w:footnote>
  <w:footnote w:id="39">
    <w:p w14:paraId="39563477"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Любовь Воронцова (2018),</w:t>
      </w:r>
      <w:r w:rsidRPr="00B01C20">
        <w:rPr>
          <w:rFonts w:asciiTheme="majorHAnsi" w:eastAsia="Calibri" w:hAnsiTheme="majorHAnsi" w:cstheme="majorHAnsi"/>
          <w:b/>
          <w:sz w:val="20"/>
          <w:szCs w:val="20"/>
          <w:lang w:val="ru-RU"/>
        </w:rPr>
        <w:t xml:space="preserve"> </w:t>
      </w:r>
      <w:r w:rsidRPr="00B01C20">
        <w:rPr>
          <w:rFonts w:asciiTheme="majorHAnsi" w:eastAsia="Calibri" w:hAnsiTheme="majorHAnsi" w:cstheme="majorHAnsi"/>
          <w:i/>
          <w:sz w:val="20"/>
          <w:szCs w:val="20"/>
          <w:lang w:val="ru-RU"/>
        </w:rPr>
        <w:t xml:space="preserve">Обязанность государства — обеспечить свободу от пыток и жестокого обращения для женщин с наркозависимостью во время беременности и родов, </w:t>
      </w:r>
      <w:hyperlink r:id="rId30">
        <w:r w:rsidRPr="00B01C20">
          <w:rPr>
            <w:rFonts w:asciiTheme="majorHAnsi" w:eastAsia="Calibri" w:hAnsiTheme="majorHAnsi" w:cstheme="majorHAnsi"/>
            <w:color w:val="1155CC"/>
            <w:sz w:val="20"/>
            <w:szCs w:val="20"/>
            <w:u w:val="single"/>
          </w:rPr>
          <w:t>https</w:t>
        </w:r>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www</w:t>
        </w:r>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soros</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kz</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wp</w:t>
        </w:r>
        <w:proofErr w:type="spellEnd"/>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content</w:t>
        </w:r>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uploads</w:t>
        </w:r>
        <w:r w:rsidRPr="00B01C20">
          <w:rPr>
            <w:rFonts w:asciiTheme="majorHAnsi" w:eastAsia="Calibri" w:hAnsiTheme="majorHAnsi" w:cstheme="majorHAnsi"/>
            <w:color w:val="1155CC"/>
            <w:sz w:val="20"/>
            <w:szCs w:val="20"/>
            <w:u w:val="single"/>
            <w:lang w:val="ru-RU"/>
          </w:rPr>
          <w:t>/2019/03/</w:t>
        </w:r>
        <w:r w:rsidRPr="00B01C20">
          <w:rPr>
            <w:rFonts w:asciiTheme="majorHAnsi" w:eastAsia="Calibri" w:hAnsiTheme="majorHAnsi" w:cstheme="majorHAnsi"/>
            <w:color w:val="1155CC"/>
            <w:sz w:val="20"/>
            <w:szCs w:val="20"/>
            <w:u w:val="single"/>
          </w:rPr>
          <w:t>VORONCOVA</w:t>
        </w:r>
        <w:r w:rsidRPr="00B01C20">
          <w:rPr>
            <w:rFonts w:asciiTheme="majorHAnsi" w:eastAsia="Calibri" w:hAnsiTheme="majorHAnsi" w:cstheme="majorHAnsi"/>
            <w:color w:val="1155CC"/>
            <w:sz w:val="20"/>
            <w:szCs w:val="20"/>
            <w:u w:val="single"/>
            <w:lang w:val="ru-RU"/>
          </w:rPr>
          <w:t>_</w:t>
        </w:r>
        <w:r w:rsidRPr="00B01C20">
          <w:rPr>
            <w:rFonts w:asciiTheme="majorHAnsi" w:eastAsia="Calibri" w:hAnsiTheme="majorHAnsi" w:cstheme="majorHAnsi"/>
            <w:color w:val="1155CC"/>
            <w:sz w:val="20"/>
            <w:szCs w:val="20"/>
            <w:u w:val="single"/>
          </w:rPr>
          <w:t>web</w:t>
        </w:r>
        <w:r w:rsidRPr="00B01C20">
          <w:rPr>
            <w:rFonts w:asciiTheme="majorHAnsi" w:eastAsia="Calibri" w:hAnsiTheme="majorHAnsi" w:cstheme="majorHAnsi"/>
            <w:color w:val="1155CC"/>
            <w:sz w:val="20"/>
            <w:szCs w:val="20"/>
            <w:u w:val="single"/>
            <w:lang w:val="ru-RU"/>
          </w:rPr>
          <w:t>_.</w:t>
        </w:r>
        <w:r w:rsidRPr="00B01C20">
          <w:rPr>
            <w:rFonts w:asciiTheme="majorHAnsi" w:eastAsia="Calibri" w:hAnsiTheme="majorHAnsi" w:cstheme="majorHAnsi"/>
            <w:color w:val="1155CC"/>
            <w:sz w:val="20"/>
            <w:szCs w:val="20"/>
            <w:u w:val="single"/>
          </w:rPr>
          <w:t>pdf</w:t>
        </w:r>
      </w:hyperlink>
      <w:r w:rsidRPr="00B01C20">
        <w:rPr>
          <w:rFonts w:asciiTheme="majorHAnsi" w:eastAsia="Calibri" w:hAnsiTheme="majorHAnsi" w:cstheme="majorHAnsi"/>
          <w:color w:val="38761D"/>
          <w:sz w:val="20"/>
          <w:szCs w:val="20"/>
          <w:lang w:val="ru-RU"/>
        </w:rPr>
        <w:t xml:space="preserve"> </w:t>
      </w:r>
    </w:p>
  </w:footnote>
  <w:footnote w:id="40">
    <w:p w14:paraId="3B279C83"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Quote from the survey of women who use drugs carried out in April 2025.</w:t>
      </w:r>
    </w:p>
  </w:footnote>
  <w:footnote w:id="41">
    <w:p w14:paraId="79AC1AE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UNSR on torture (2013), </w:t>
      </w:r>
      <w:r w:rsidRPr="00B01C20">
        <w:rPr>
          <w:rFonts w:asciiTheme="majorHAnsi" w:eastAsia="Calibri" w:hAnsiTheme="majorHAnsi" w:cstheme="majorHAnsi"/>
          <w:i/>
          <w:sz w:val="20"/>
          <w:szCs w:val="20"/>
        </w:rPr>
        <w:t>Report of the Special Rapporteur on Torture and Other Cruel, Inhuman or Degrading Treatment or Punishment, Juan Méndez</w:t>
      </w:r>
      <w:r w:rsidRPr="00B01C20">
        <w:rPr>
          <w:rFonts w:asciiTheme="majorHAnsi" w:eastAsia="Calibri" w:hAnsiTheme="majorHAnsi" w:cstheme="majorHAnsi"/>
          <w:sz w:val="20"/>
          <w:szCs w:val="20"/>
        </w:rPr>
        <w:t xml:space="preserve">, </w:t>
      </w:r>
      <w:hyperlink r:id="rId31">
        <w:r w:rsidRPr="00B01C20">
          <w:rPr>
            <w:rFonts w:asciiTheme="majorHAnsi" w:eastAsia="Calibri" w:hAnsiTheme="majorHAnsi" w:cstheme="majorHAnsi"/>
            <w:color w:val="1155CC"/>
            <w:sz w:val="20"/>
            <w:szCs w:val="20"/>
            <w:u w:val="single"/>
          </w:rPr>
          <w:t>https://docs.un.org/A/HRC/22/53</w:t>
        </w:r>
      </w:hyperlink>
      <w:r w:rsidRPr="00B01C20">
        <w:rPr>
          <w:rFonts w:asciiTheme="majorHAnsi" w:eastAsia="Calibri" w:hAnsiTheme="majorHAnsi" w:cstheme="majorHAnsi"/>
          <w:sz w:val="20"/>
          <w:szCs w:val="20"/>
        </w:rPr>
        <w:t>, paras. 73-74.</w:t>
      </w:r>
    </w:p>
  </w:footnote>
  <w:footnote w:id="42">
    <w:p w14:paraId="5A916E3B"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WHO, UNODC, INPUD (2023), </w:t>
      </w:r>
      <w:r w:rsidRPr="00B01C20">
        <w:rPr>
          <w:rFonts w:asciiTheme="majorHAnsi" w:eastAsia="Calibri" w:hAnsiTheme="majorHAnsi" w:cstheme="majorHAnsi"/>
          <w:i/>
          <w:sz w:val="20"/>
          <w:szCs w:val="20"/>
        </w:rPr>
        <w:t>Recommended package of HIV, viral hepatitis and STI prevention, diagnosis, treatment, and care for people who inject drugs</w:t>
      </w:r>
      <w:r w:rsidRPr="00B01C20">
        <w:rPr>
          <w:rFonts w:asciiTheme="majorHAnsi" w:eastAsia="Calibri" w:hAnsiTheme="majorHAnsi" w:cstheme="majorHAnsi"/>
          <w:sz w:val="20"/>
          <w:szCs w:val="20"/>
        </w:rPr>
        <w:t xml:space="preserve">, </w:t>
      </w:r>
      <w:hyperlink r:id="rId32">
        <w:r w:rsidRPr="00B01C20">
          <w:rPr>
            <w:rFonts w:asciiTheme="majorHAnsi" w:eastAsia="Calibri" w:hAnsiTheme="majorHAnsi" w:cstheme="majorHAnsi"/>
            <w:color w:val="1155CC"/>
            <w:sz w:val="20"/>
            <w:szCs w:val="20"/>
            <w:u w:val="single"/>
          </w:rPr>
          <w:t>https://iris.who.int/bitstream/handle/10665/366820/9789240071858-eng.pdf</w:t>
        </w:r>
      </w:hyperlink>
      <w:r w:rsidRPr="00B01C20">
        <w:rPr>
          <w:rFonts w:asciiTheme="majorHAnsi" w:eastAsia="Calibri" w:hAnsiTheme="majorHAnsi" w:cstheme="majorHAnsi"/>
          <w:sz w:val="20"/>
          <w:szCs w:val="20"/>
        </w:rPr>
        <w:t xml:space="preserve"> </w:t>
      </w:r>
    </w:p>
  </w:footnote>
  <w:footnote w:id="43">
    <w:p w14:paraId="183EA494"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WHO (2007), </w:t>
      </w:r>
      <w:r w:rsidRPr="00B01C20">
        <w:rPr>
          <w:rFonts w:asciiTheme="majorHAnsi" w:eastAsia="Calibri" w:hAnsiTheme="majorHAnsi" w:cstheme="majorHAnsi"/>
          <w:i/>
          <w:sz w:val="20"/>
          <w:szCs w:val="20"/>
        </w:rPr>
        <w:t>Guide to starting and managing needle and syringe programmes</w:t>
      </w:r>
      <w:r w:rsidRPr="00B01C20">
        <w:rPr>
          <w:rFonts w:asciiTheme="majorHAnsi" w:eastAsia="Calibri" w:hAnsiTheme="majorHAnsi" w:cstheme="majorHAnsi"/>
          <w:sz w:val="20"/>
          <w:szCs w:val="20"/>
        </w:rPr>
        <w:t xml:space="preserve">, </w:t>
      </w:r>
      <w:hyperlink r:id="rId33">
        <w:r w:rsidRPr="00B01C20">
          <w:rPr>
            <w:rFonts w:asciiTheme="majorHAnsi" w:eastAsia="Calibri" w:hAnsiTheme="majorHAnsi" w:cstheme="majorHAnsi"/>
            <w:color w:val="1155CC"/>
            <w:sz w:val="20"/>
            <w:szCs w:val="20"/>
            <w:u w:val="single"/>
          </w:rPr>
          <w:t>https://www.who.int/publications/i/item/guide-to-starting-and-managing-needle-and-syringe-programmes</w:t>
        </w:r>
      </w:hyperlink>
      <w:r w:rsidRPr="00B01C20">
        <w:rPr>
          <w:rFonts w:asciiTheme="majorHAnsi" w:eastAsia="Calibri" w:hAnsiTheme="majorHAnsi" w:cstheme="majorHAnsi"/>
          <w:sz w:val="20"/>
          <w:szCs w:val="20"/>
        </w:rPr>
        <w:t xml:space="preserve"> </w:t>
      </w:r>
    </w:p>
  </w:footnote>
  <w:footnote w:id="44">
    <w:p w14:paraId="363C7EC2"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WHO (Website), Opioid agonist pharmacotherapy used for the treatment of opioid dependence (maintenance), </w:t>
      </w:r>
    </w:p>
    <w:p w14:paraId="49D7ACC5"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eastAsia="Calibri" w:hAnsiTheme="majorHAnsi" w:cstheme="majorHAnsi"/>
          <w:sz w:val="20"/>
          <w:szCs w:val="20"/>
        </w:rPr>
        <w:t xml:space="preserve"> </w:t>
      </w:r>
      <w:hyperlink r:id="rId34">
        <w:r w:rsidRPr="00B01C20">
          <w:rPr>
            <w:rFonts w:asciiTheme="majorHAnsi" w:eastAsia="Calibri" w:hAnsiTheme="majorHAnsi" w:cstheme="majorHAnsi"/>
            <w:color w:val="1155CC"/>
            <w:sz w:val="20"/>
            <w:szCs w:val="20"/>
            <w:u w:val="single"/>
          </w:rPr>
          <w:t>https://www.who.int/data/gho/indicator-metadata-registry/imr-details/2718</w:t>
        </w:r>
      </w:hyperlink>
      <w:r w:rsidRPr="00B01C20">
        <w:rPr>
          <w:rFonts w:asciiTheme="majorHAnsi" w:eastAsia="Calibri" w:hAnsiTheme="majorHAnsi" w:cstheme="majorHAnsi"/>
          <w:sz w:val="20"/>
          <w:szCs w:val="20"/>
        </w:rPr>
        <w:t xml:space="preserve"> (accessed 21 May 2025)</w:t>
      </w:r>
    </w:p>
  </w:footnote>
  <w:footnote w:id="45">
    <w:p w14:paraId="720BE8A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WHO (Website), Opioid overdose,  </w:t>
      </w:r>
      <w:hyperlink r:id="rId35">
        <w:r w:rsidRPr="00B01C20">
          <w:rPr>
            <w:rFonts w:asciiTheme="majorHAnsi" w:eastAsia="Calibri" w:hAnsiTheme="majorHAnsi" w:cstheme="majorHAnsi"/>
            <w:color w:val="0B57D0"/>
            <w:sz w:val="20"/>
            <w:szCs w:val="20"/>
            <w:u w:val="single"/>
          </w:rPr>
          <w:t>https://www.who.int/news-room/fact-sheets/detail/opioid-overdose</w:t>
        </w:r>
      </w:hyperlink>
      <w:r w:rsidRPr="00B01C20">
        <w:rPr>
          <w:rFonts w:asciiTheme="majorHAnsi" w:eastAsia="Calibri" w:hAnsiTheme="majorHAnsi" w:cstheme="majorHAnsi"/>
          <w:color w:val="0B57D0"/>
          <w:sz w:val="20"/>
          <w:szCs w:val="20"/>
        </w:rPr>
        <w:t xml:space="preserve"> </w:t>
      </w:r>
      <w:r w:rsidRPr="00B01C20">
        <w:rPr>
          <w:rFonts w:asciiTheme="majorHAnsi" w:eastAsia="Calibri" w:hAnsiTheme="majorHAnsi" w:cstheme="majorHAnsi"/>
          <w:sz w:val="20"/>
          <w:szCs w:val="20"/>
        </w:rPr>
        <w:t>(accessed 21 May 2025)</w:t>
      </w:r>
    </w:p>
  </w:footnote>
  <w:footnote w:id="46">
    <w:p w14:paraId="4DE9BF90" w14:textId="77777777" w:rsidR="006F2FF7" w:rsidRPr="00B01C20" w:rsidRDefault="00000000">
      <w:pPr>
        <w:spacing w:line="240" w:lineRule="auto"/>
        <w:rPr>
          <w:rFonts w:asciiTheme="majorHAnsi" w:eastAsia="Calibri" w:hAnsiTheme="majorHAnsi" w:cstheme="majorHAnsi"/>
          <w:sz w:val="20"/>
          <w:szCs w:val="20"/>
          <w:u w:val="single"/>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Lieberman, A. et al (Website), Stalled Scale-Up of Opioid Agonist Therapies for HIV Prevention in Kazakhstan: History, Policy, and Recommendations for Change, </w:t>
      </w:r>
      <w:hyperlink r:id="rId36">
        <w:r w:rsidRPr="00B01C20">
          <w:rPr>
            <w:rFonts w:asciiTheme="majorHAnsi" w:eastAsia="Calibri" w:hAnsiTheme="majorHAnsi" w:cstheme="majorHAnsi"/>
            <w:color w:val="0B57D0"/>
            <w:sz w:val="20"/>
            <w:szCs w:val="20"/>
            <w:u w:val="single"/>
          </w:rPr>
          <w:t>https://jied.lse.ac.uk/articles/10.31389/jied.208</w:t>
        </w:r>
      </w:hyperlink>
    </w:p>
    <w:p w14:paraId="1B66D041"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eastAsia="Calibri" w:hAnsiTheme="majorHAnsi" w:cstheme="majorHAnsi"/>
          <w:sz w:val="20"/>
          <w:szCs w:val="20"/>
        </w:rPr>
        <w:t>(accessed: 21 May 2025)</w:t>
      </w:r>
    </w:p>
  </w:footnote>
  <w:footnote w:id="47">
    <w:p w14:paraId="52501864"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Sameer </w:t>
      </w:r>
      <w:proofErr w:type="spellStart"/>
      <w:r w:rsidRPr="00B01C20">
        <w:rPr>
          <w:rFonts w:asciiTheme="majorHAnsi" w:eastAsia="Calibri" w:hAnsiTheme="majorHAnsi" w:cstheme="majorHAnsi"/>
          <w:sz w:val="20"/>
          <w:szCs w:val="20"/>
        </w:rPr>
        <w:t>Sajwani</w:t>
      </w:r>
      <w:proofErr w:type="spellEnd"/>
      <w:r w:rsidRPr="00B01C20">
        <w:rPr>
          <w:rFonts w:asciiTheme="majorHAnsi" w:eastAsia="Calibri" w:hAnsiTheme="majorHAnsi" w:cstheme="majorHAnsi"/>
          <w:sz w:val="20"/>
          <w:szCs w:val="20"/>
        </w:rPr>
        <w:t xml:space="preserve">, H. &amp; Williams, A. (2022), ‘A systematic review of the distribution of take-home naloxone in lower and middle-income country’, </w:t>
      </w:r>
      <w:r w:rsidRPr="00B01C20">
        <w:rPr>
          <w:rFonts w:asciiTheme="majorHAnsi" w:eastAsia="Calibri" w:hAnsiTheme="majorHAnsi" w:cstheme="majorHAnsi"/>
          <w:i/>
          <w:sz w:val="20"/>
          <w:szCs w:val="20"/>
        </w:rPr>
        <w:t xml:space="preserve">Harm Reduction Journal </w:t>
      </w:r>
      <w:r w:rsidRPr="00B01C20">
        <w:rPr>
          <w:rFonts w:asciiTheme="majorHAnsi" w:eastAsia="Calibri" w:hAnsiTheme="majorHAnsi" w:cstheme="majorHAnsi"/>
          <w:sz w:val="20"/>
          <w:szCs w:val="20"/>
        </w:rPr>
        <w:t xml:space="preserve">19, </w:t>
      </w:r>
      <w:hyperlink r:id="rId37">
        <w:r w:rsidRPr="00B01C20">
          <w:rPr>
            <w:rFonts w:asciiTheme="majorHAnsi" w:eastAsia="Calibri" w:hAnsiTheme="majorHAnsi" w:cstheme="majorHAnsi"/>
            <w:color w:val="0B57D0"/>
            <w:sz w:val="20"/>
            <w:szCs w:val="20"/>
            <w:u w:val="single"/>
          </w:rPr>
          <w:t>https://harmreductionjournal.biomedcentral.com/articles/10.1186/s12954-022-00700-x</w:t>
        </w:r>
      </w:hyperlink>
    </w:p>
  </w:footnote>
  <w:footnote w:id="48">
    <w:p w14:paraId="65C498CE"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Available</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at</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Adilet</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Website</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i/>
          <w:sz w:val="20"/>
          <w:szCs w:val="20"/>
          <w:lang w:val="ru-RU"/>
        </w:rPr>
        <w:t>Об утверждении Правил использования в медицинских целях наркотических средств, психотропных веществ и их прекурсоров, подлежащих контролю в Республике Казахстан</w:t>
      </w:r>
      <w:r w:rsidRPr="00B01C20">
        <w:rPr>
          <w:rFonts w:asciiTheme="majorHAnsi" w:eastAsia="Calibri" w:hAnsiTheme="majorHAnsi" w:cstheme="majorHAnsi"/>
          <w:sz w:val="20"/>
          <w:szCs w:val="20"/>
          <w:lang w:val="ru-RU"/>
        </w:rPr>
        <w:t xml:space="preserve">, </w:t>
      </w:r>
      <w:hyperlink r:id="rId38">
        <w:r w:rsidRPr="00B01C20">
          <w:rPr>
            <w:rFonts w:asciiTheme="majorHAnsi" w:eastAsia="Calibri" w:hAnsiTheme="majorHAnsi" w:cstheme="majorHAnsi"/>
            <w:color w:val="1155CC"/>
            <w:sz w:val="20"/>
            <w:szCs w:val="20"/>
            <w:u w:val="single"/>
          </w:rPr>
          <w:t>https</w:t>
        </w:r>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adilet</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zan</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kz</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rus</w:t>
        </w:r>
        <w:proofErr w:type="spellEnd"/>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docs</w:t>
        </w:r>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V</w:t>
        </w:r>
        <w:r w:rsidRPr="00B01C20">
          <w:rPr>
            <w:rFonts w:asciiTheme="majorHAnsi" w:eastAsia="Calibri" w:hAnsiTheme="majorHAnsi" w:cstheme="majorHAnsi"/>
            <w:color w:val="1155CC"/>
            <w:sz w:val="20"/>
            <w:szCs w:val="20"/>
            <w:u w:val="single"/>
            <w:lang w:val="ru-RU"/>
          </w:rPr>
          <w:t>1500010404</w:t>
        </w:r>
      </w:hyperlink>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accessed</w:t>
      </w:r>
      <w:r w:rsidRPr="00B01C20">
        <w:rPr>
          <w:rFonts w:asciiTheme="majorHAnsi" w:eastAsia="Calibri" w:hAnsiTheme="majorHAnsi" w:cstheme="majorHAnsi"/>
          <w:sz w:val="20"/>
          <w:szCs w:val="20"/>
          <w:lang w:val="ru-RU"/>
        </w:rPr>
        <w:t xml:space="preserve"> 21 </w:t>
      </w:r>
      <w:r w:rsidRPr="00B01C20">
        <w:rPr>
          <w:rFonts w:asciiTheme="majorHAnsi" w:eastAsia="Calibri" w:hAnsiTheme="majorHAnsi" w:cstheme="majorHAnsi"/>
          <w:sz w:val="20"/>
          <w:szCs w:val="20"/>
        </w:rPr>
        <w:t>May</w:t>
      </w:r>
      <w:r w:rsidRPr="00B01C20">
        <w:rPr>
          <w:rFonts w:asciiTheme="majorHAnsi" w:eastAsia="Calibri" w:hAnsiTheme="majorHAnsi" w:cstheme="majorHAnsi"/>
          <w:sz w:val="20"/>
          <w:szCs w:val="20"/>
          <w:lang w:val="ru-RU"/>
        </w:rPr>
        <w:t xml:space="preserve"> 2025)</w:t>
      </w:r>
    </w:p>
  </w:footnote>
  <w:footnote w:id="49">
    <w:p w14:paraId="422706E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CADAP (2023), Current situation of data collection and early warning system in Kazakhstan, </w:t>
      </w:r>
      <w:hyperlink r:id="rId39">
        <w:r w:rsidRPr="00B01C20">
          <w:rPr>
            <w:rFonts w:asciiTheme="majorHAnsi" w:eastAsia="Calibri" w:hAnsiTheme="majorHAnsi" w:cstheme="majorHAnsi"/>
            <w:sz w:val="20"/>
            <w:szCs w:val="20"/>
          </w:rPr>
          <w:t>https://www.eu-cadap.org/wp-content/uploads/2024/04/Kazakhstan-REPORT.pdf</w:t>
        </w:r>
      </w:hyperlink>
      <w:r w:rsidRPr="00B01C20">
        <w:rPr>
          <w:rFonts w:asciiTheme="majorHAnsi" w:eastAsia="Calibri" w:hAnsiTheme="majorHAnsi" w:cstheme="majorHAnsi"/>
          <w:sz w:val="20"/>
          <w:szCs w:val="20"/>
        </w:rPr>
        <w:t xml:space="preserve">, p. 9 </w:t>
      </w:r>
    </w:p>
  </w:footnote>
  <w:footnote w:id="50">
    <w:p w14:paraId="6E41A81B" w14:textId="77777777" w:rsidR="006F2FF7" w:rsidRPr="00B01C20" w:rsidRDefault="00000000">
      <w:pPr>
        <w:spacing w:line="240" w:lineRule="auto"/>
        <w:rPr>
          <w:rFonts w:asciiTheme="majorHAnsi" w:eastAsia="Calibri" w:hAnsiTheme="majorHAnsi" w:cstheme="majorHAnsi"/>
          <w:i/>
          <w:color w:val="38761D"/>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Community</w:t>
      </w:r>
      <w:r w:rsidRPr="00B01C20">
        <w:rPr>
          <w:rFonts w:asciiTheme="majorHAnsi" w:eastAsia="Calibri" w:hAnsiTheme="majorHAnsi" w:cstheme="majorHAnsi"/>
          <w:sz w:val="20"/>
          <w:szCs w:val="20"/>
          <w:lang w:val="ru-RU"/>
        </w:rPr>
        <w:t>-</w:t>
      </w:r>
      <w:r w:rsidRPr="00B01C20">
        <w:rPr>
          <w:rFonts w:asciiTheme="majorHAnsi" w:eastAsia="Calibri" w:hAnsiTheme="majorHAnsi" w:cstheme="majorHAnsi"/>
          <w:sz w:val="20"/>
          <w:szCs w:val="20"/>
        </w:rPr>
        <w:t>Led</w:t>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Study</w:t>
      </w:r>
      <w:r w:rsidRPr="00B01C20">
        <w:rPr>
          <w:rFonts w:asciiTheme="majorHAnsi" w:eastAsia="Calibri" w:hAnsiTheme="majorHAnsi" w:cstheme="majorHAnsi"/>
          <w:sz w:val="20"/>
          <w:szCs w:val="20"/>
          <w:lang w:val="ru-RU"/>
        </w:rPr>
        <w:t xml:space="preserve"> (2024): </w:t>
      </w:r>
      <w:r w:rsidRPr="00B01C20">
        <w:rPr>
          <w:rFonts w:asciiTheme="majorHAnsi" w:eastAsia="Calibri" w:hAnsiTheme="majorHAnsi" w:cstheme="majorHAnsi"/>
          <w:i/>
          <w:sz w:val="20"/>
          <w:szCs w:val="20"/>
          <w:lang w:val="ru-RU"/>
        </w:rPr>
        <w:t>Отчет о проведении исследования удовлетворенности услугами Пунктов Доверия среди людей, употребляющих наркотики в г. Темиртау, Караганда и Павлодар</w:t>
      </w:r>
    </w:p>
  </w:footnote>
  <w:footnote w:id="51">
    <w:p w14:paraId="67DB173B"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EWNA (2023), </w:t>
      </w:r>
      <w:r w:rsidRPr="00B01C20">
        <w:rPr>
          <w:rFonts w:asciiTheme="majorHAnsi" w:eastAsia="Calibri" w:hAnsiTheme="majorHAnsi" w:cstheme="majorHAnsi"/>
          <w:i/>
          <w:sz w:val="20"/>
          <w:szCs w:val="20"/>
        </w:rPr>
        <w:t xml:space="preserve">Women-led Gender Assessment: How countries address barriers to HIV services for women living with HIV, sex workers and women who use drugs, </w:t>
      </w:r>
      <w:hyperlink r:id="rId40">
        <w:r w:rsidRPr="00B01C20">
          <w:rPr>
            <w:rFonts w:asciiTheme="majorHAnsi" w:eastAsia="Calibri" w:hAnsiTheme="majorHAnsi" w:cstheme="majorHAnsi"/>
            <w:color w:val="1155CC"/>
            <w:sz w:val="20"/>
            <w:szCs w:val="20"/>
            <w:u w:val="single"/>
          </w:rPr>
          <w:t>https://ewna.org/wp-content/uploads/2023/07/ewna-gender-assessment-report_2023_eng-1.pdf</w:t>
        </w:r>
      </w:hyperlink>
    </w:p>
  </w:footnote>
  <w:footnote w:id="52">
    <w:p w14:paraId="5B172359"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UNSR Health (2010),</w:t>
      </w:r>
      <w:r w:rsidRPr="00B01C20">
        <w:rPr>
          <w:rFonts w:asciiTheme="majorHAnsi" w:eastAsia="Calibri" w:hAnsiTheme="majorHAnsi" w:cstheme="majorHAnsi"/>
          <w:i/>
          <w:sz w:val="20"/>
          <w:szCs w:val="20"/>
        </w:rPr>
        <w:t xml:space="preserve"> Report of the Special Rapporteur on the Right of Everyone to the Enjoyment of the Highest Attainable Standard of Physical and Mental Health, Anand </w:t>
      </w:r>
      <w:proofErr w:type="spellStart"/>
      <w:r w:rsidRPr="00B01C20">
        <w:rPr>
          <w:rFonts w:asciiTheme="majorHAnsi" w:eastAsia="Calibri" w:hAnsiTheme="majorHAnsi" w:cstheme="majorHAnsi"/>
          <w:i/>
          <w:sz w:val="20"/>
          <w:szCs w:val="20"/>
        </w:rPr>
        <w:t>Grover</w:t>
      </w:r>
      <w:r w:rsidRPr="00B01C20">
        <w:rPr>
          <w:rFonts w:asciiTheme="majorHAnsi" w:eastAsia="Calibri" w:hAnsiTheme="majorHAnsi" w:cstheme="majorHAnsi"/>
          <w:sz w:val="20"/>
          <w:szCs w:val="20"/>
        </w:rPr>
        <w:t>,</w:t>
      </w:r>
      <w:hyperlink r:id="rId41">
        <w:r w:rsidRPr="00B01C20">
          <w:rPr>
            <w:rFonts w:asciiTheme="majorHAnsi" w:eastAsia="Calibri" w:hAnsiTheme="majorHAnsi" w:cstheme="majorHAnsi"/>
            <w:color w:val="1155CC"/>
            <w:sz w:val="20"/>
            <w:szCs w:val="20"/>
            <w:u w:val="single"/>
          </w:rPr>
          <w:t>https</w:t>
        </w:r>
        <w:proofErr w:type="spellEnd"/>
        <w:r w:rsidRPr="00B01C20">
          <w:rPr>
            <w:rFonts w:asciiTheme="majorHAnsi" w:eastAsia="Calibri" w:hAnsiTheme="majorHAnsi" w:cstheme="majorHAnsi"/>
            <w:color w:val="1155CC"/>
            <w:sz w:val="20"/>
            <w:szCs w:val="20"/>
            <w:u w:val="single"/>
          </w:rPr>
          <w:t>://docs.un.org/A/65/255</w:t>
        </w:r>
      </w:hyperlink>
      <w:r w:rsidRPr="00B01C20">
        <w:rPr>
          <w:rFonts w:asciiTheme="majorHAnsi" w:eastAsia="Calibri" w:hAnsiTheme="majorHAnsi" w:cstheme="majorHAnsi"/>
          <w:sz w:val="20"/>
          <w:szCs w:val="20"/>
        </w:rPr>
        <w:t>, para. 60.</w:t>
      </w:r>
    </w:p>
  </w:footnote>
  <w:footnote w:id="53">
    <w:p w14:paraId="21B40345"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Human Rights Committee (2019), </w:t>
      </w:r>
      <w:r w:rsidRPr="00B01C20">
        <w:rPr>
          <w:rFonts w:asciiTheme="majorHAnsi" w:eastAsia="Calibri" w:hAnsiTheme="majorHAnsi" w:cstheme="majorHAnsi"/>
          <w:i/>
          <w:sz w:val="20"/>
          <w:szCs w:val="20"/>
        </w:rPr>
        <w:t>Concluding observations to the 5th periodic report of the Netherlands</w:t>
      </w:r>
      <w:r w:rsidRPr="00B01C20">
        <w:rPr>
          <w:rFonts w:asciiTheme="majorHAnsi" w:eastAsia="Calibri" w:hAnsiTheme="majorHAnsi" w:cstheme="majorHAnsi"/>
          <w:sz w:val="20"/>
          <w:szCs w:val="20"/>
        </w:rPr>
        <w:t xml:space="preserve">, </w:t>
      </w:r>
      <w:hyperlink r:id="rId42">
        <w:r w:rsidRPr="00B01C20">
          <w:rPr>
            <w:rFonts w:asciiTheme="majorHAnsi" w:eastAsia="Calibri" w:hAnsiTheme="majorHAnsi" w:cstheme="majorHAnsi"/>
            <w:color w:val="1155CC"/>
            <w:sz w:val="20"/>
            <w:szCs w:val="20"/>
            <w:u w:val="single"/>
          </w:rPr>
          <w:t>https://uhri.ohchr.org/en/document/8ff5af9b-45b2-4220-8f2e-0f1fd5624898</w:t>
        </w:r>
      </w:hyperlink>
      <w:r w:rsidRPr="00B01C20">
        <w:rPr>
          <w:rFonts w:asciiTheme="majorHAnsi" w:eastAsia="Calibri" w:hAnsiTheme="majorHAnsi" w:cstheme="majorHAnsi"/>
          <w:sz w:val="20"/>
          <w:szCs w:val="20"/>
        </w:rPr>
        <w:t xml:space="preserve"> </w:t>
      </w:r>
    </w:p>
  </w:footnote>
  <w:footnote w:id="54">
    <w:p w14:paraId="11EE442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 Working Group on Arbitrary Detention (2019), </w:t>
      </w:r>
      <w:r w:rsidRPr="00B01C20">
        <w:rPr>
          <w:rFonts w:asciiTheme="majorHAnsi" w:eastAsia="Calibri" w:hAnsiTheme="majorHAnsi" w:cstheme="majorHAnsi"/>
          <w:i/>
          <w:sz w:val="20"/>
          <w:szCs w:val="20"/>
        </w:rPr>
        <w:t>Report of the Working Group on Arbitrary Detention: Visit to Bhutan</w:t>
      </w:r>
      <w:r w:rsidRPr="00B01C20">
        <w:rPr>
          <w:rFonts w:asciiTheme="majorHAnsi" w:eastAsia="Calibri" w:hAnsiTheme="majorHAnsi" w:cstheme="majorHAnsi"/>
          <w:sz w:val="20"/>
          <w:szCs w:val="20"/>
        </w:rPr>
        <w:t xml:space="preserve">, </w:t>
      </w:r>
      <w:hyperlink r:id="rId43">
        <w:r w:rsidRPr="00B01C20">
          <w:rPr>
            <w:rFonts w:asciiTheme="majorHAnsi" w:eastAsia="Calibri" w:hAnsiTheme="majorHAnsi" w:cstheme="majorHAnsi"/>
            <w:color w:val="1155CC"/>
            <w:sz w:val="20"/>
            <w:szCs w:val="20"/>
            <w:u w:val="single"/>
          </w:rPr>
          <w:t>https://docs.un.org/A/HRC/42/39/Add.1</w:t>
        </w:r>
      </w:hyperlink>
      <w:r w:rsidRPr="00B01C20">
        <w:rPr>
          <w:rFonts w:asciiTheme="majorHAnsi" w:eastAsia="Calibri" w:hAnsiTheme="majorHAnsi" w:cstheme="majorHAnsi"/>
          <w:sz w:val="20"/>
          <w:szCs w:val="20"/>
        </w:rPr>
        <w:t>, para. 93</w:t>
      </w:r>
    </w:p>
  </w:footnote>
  <w:footnote w:id="55">
    <w:p w14:paraId="7CB9A76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 Committee on Economic, Social, and Cultural Rights, </w:t>
      </w:r>
      <w:r w:rsidRPr="00B01C20">
        <w:rPr>
          <w:rFonts w:asciiTheme="majorHAnsi" w:eastAsia="Calibri" w:hAnsiTheme="majorHAnsi" w:cstheme="majorHAnsi"/>
          <w:i/>
          <w:sz w:val="20"/>
          <w:szCs w:val="20"/>
        </w:rPr>
        <w:t>General Comment No. 14: The Right to the Highest Attainable Standard of Health (Art. 12 of the Covenant)</w:t>
      </w:r>
      <w:r w:rsidRPr="00B01C20">
        <w:rPr>
          <w:rFonts w:asciiTheme="majorHAnsi" w:eastAsia="Calibri" w:hAnsiTheme="majorHAnsi" w:cstheme="majorHAnsi"/>
          <w:sz w:val="20"/>
          <w:szCs w:val="20"/>
        </w:rPr>
        <w:t xml:space="preserve">, </w:t>
      </w:r>
      <w:hyperlink r:id="rId44">
        <w:r w:rsidRPr="00B01C20">
          <w:rPr>
            <w:rFonts w:asciiTheme="majorHAnsi" w:eastAsia="Calibri" w:hAnsiTheme="majorHAnsi" w:cstheme="majorHAnsi"/>
            <w:color w:val="1155CC"/>
            <w:sz w:val="20"/>
            <w:szCs w:val="20"/>
            <w:u w:val="single"/>
          </w:rPr>
          <w:t>https://www.refworld.org/legal/general/cescr/2000/en/36991</w:t>
        </w:r>
      </w:hyperlink>
      <w:r w:rsidRPr="00B01C20">
        <w:rPr>
          <w:rFonts w:asciiTheme="majorHAnsi" w:eastAsia="Calibri" w:hAnsiTheme="majorHAnsi" w:cstheme="majorHAnsi"/>
          <w:sz w:val="20"/>
          <w:szCs w:val="20"/>
        </w:rPr>
        <w:t xml:space="preserve">,  para. 11. </w:t>
      </w:r>
    </w:p>
  </w:footnote>
  <w:footnote w:id="56">
    <w:p w14:paraId="79589B7E"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UNSR Health (2024), </w:t>
      </w:r>
      <w:r w:rsidRPr="00B01C20">
        <w:rPr>
          <w:rFonts w:asciiTheme="majorHAnsi" w:eastAsia="Calibri" w:hAnsiTheme="majorHAnsi" w:cstheme="majorHAnsi"/>
          <w:i/>
          <w:sz w:val="20"/>
          <w:szCs w:val="20"/>
        </w:rPr>
        <w:t>Drug use, harm reduction, and the right to health</w:t>
      </w:r>
      <w:r w:rsidRPr="00B01C20">
        <w:rPr>
          <w:rFonts w:asciiTheme="majorHAnsi" w:eastAsia="Calibri" w:hAnsiTheme="majorHAnsi" w:cstheme="majorHAnsi"/>
          <w:sz w:val="20"/>
          <w:szCs w:val="20"/>
        </w:rPr>
        <w:t xml:space="preserve">,  </w:t>
      </w:r>
      <w:hyperlink r:id="rId45">
        <w:r w:rsidRPr="00B01C20">
          <w:rPr>
            <w:rFonts w:asciiTheme="majorHAnsi" w:eastAsia="Calibri" w:hAnsiTheme="majorHAnsi" w:cstheme="majorHAnsi"/>
            <w:color w:val="1155CC"/>
            <w:sz w:val="20"/>
            <w:szCs w:val="20"/>
            <w:u w:val="single"/>
          </w:rPr>
          <w:t>https://docs.un.org/en/A/HRC/54/53</w:t>
        </w:r>
      </w:hyperlink>
      <w:r w:rsidRPr="00B01C20">
        <w:rPr>
          <w:rFonts w:asciiTheme="majorHAnsi" w:eastAsia="Calibri" w:hAnsiTheme="majorHAnsi" w:cstheme="majorHAnsi"/>
          <w:sz w:val="20"/>
          <w:szCs w:val="20"/>
        </w:rPr>
        <w:t xml:space="preserve">, para. </w:t>
      </w:r>
      <w:r w:rsidRPr="00B01C20">
        <w:rPr>
          <w:rFonts w:asciiTheme="majorHAnsi" w:eastAsia="Calibri" w:hAnsiTheme="majorHAnsi" w:cstheme="majorHAnsi"/>
          <w:sz w:val="20"/>
          <w:szCs w:val="20"/>
          <w:lang w:val="ru-RU"/>
        </w:rPr>
        <w:t>68(</w:t>
      </w:r>
      <w:r w:rsidRPr="00B01C20">
        <w:rPr>
          <w:rFonts w:asciiTheme="majorHAnsi" w:eastAsia="Calibri" w:hAnsiTheme="majorHAnsi" w:cstheme="majorHAnsi"/>
          <w:sz w:val="20"/>
          <w:szCs w:val="20"/>
        </w:rPr>
        <w:t>k</w:t>
      </w:r>
      <w:r w:rsidRPr="00B01C20">
        <w:rPr>
          <w:rFonts w:asciiTheme="majorHAnsi" w:eastAsia="Calibri" w:hAnsiTheme="majorHAnsi" w:cstheme="majorHAnsi"/>
          <w:sz w:val="20"/>
          <w:szCs w:val="20"/>
          <w:lang w:val="ru-RU"/>
        </w:rPr>
        <w:t>)</w:t>
      </w:r>
    </w:p>
  </w:footnote>
  <w:footnote w:id="57">
    <w:p w14:paraId="57523911" w14:textId="77777777" w:rsidR="006F2FF7" w:rsidRPr="00B01C20" w:rsidRDefault="00000000">
      <w:pPr>
        <w:spacing w:line="240" w:lineRule="auto"/>
        <w:rPr>
          <w:rFonts w:asciiTheme="majorHAnsi" w:eastAsia="Calibri" w:hAnsiTheme="majorHAnsi" w:cstheme="majorHAns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EHRA</w:t>
      </w:r>
      <w:r w:rsidRPr="00B01C20">
        <w:rPr>
          <w:rFonts w:asciiTheme="majorHAnsi" w:eastAsia="Calibri" w:hAnsiTheme="majorHAnsi" w:cstheme="majorHAnsi"/>
          <w:sz w:val="20"/>
          <w:szCs w:val="20"/>
          <w:lang w:val="ru-RU"/>
        </w:rPr>
        <w:t xml:space="preserve"> (2024). </w:t>
      </w:r>
      <w:r w:rsidRPr="00B01C20">
        <w:rPr>
          <w:rFonts w:asciiTheme="majorHAnsi" w:eastAsia="Calibri" w:hAnsiTheme="majorHAnsi" w:cstheme="majorHAnsi"/>
          <w:i/>
          <w:sz w:val="20"/>
          <w:szCs w:val="20"/>
          <w:lang w:val="ru-RU"/>
        </w:rPr>
        <w:t>Региональный отчет: Трехсторонние диалоги в странах ВЕЦА: Укрепление взаимодействия для устойчивости и качества программ снижения вреда</w:t>
      </w:r>
    </w:p>
  </w:footnote>
  <w:footnote w:id="58">
    <w:p w14:paraId="08642A9B" w14:textId="77777777" w:rsidR="006F2FF7" w:rsidRPr="00B01C20" w:rsidRDefault="00000000">
      <w:pPr>
        <w:spacing w:line="240" w:lineRule="auto"/>
        <w:rPr>
          <w:rFonts w:asciiTheme="majorHAnsi" w:eastAsia="Calibri" w:hAnsiTheme="majorHAnsi" w:cstheme="majorHAnsi"/>
          <w:color w:val="6AA84F"/>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EWNA (2023), </w:t>
      </w:r>
      <w:r w:rsidRPr="00B01C20">
        <w:rPr>
          <w:rFonts w:asciiTheme="majorHAnsi" w:eastAsia="Calibri" w:hAnsiTheme="majorHAnsi" w:cstheme="majorHAnsi"/>
          <w:i/>
          <w:sz w:val="20"/>
          <w:szCs w:val="20"/>
        </w:rPr>
        <w:t xml:space="preserve">Women-led Gender Assessment: How countries address barriers to HIV services for women living with HIV, sex workers and women who use drugs, </w:t>
      </w:r>
      <w:hyperlink r:id="rId46">
        <w:r w:rsidRPr="00B01C20">
          <w:rPr>
            <w:rFonts w:asciiTheme="majorHAnsi" w:eastAsia="Calibri" w:hAnsiTheme="majorHAnsi" w:cstheme="majorHAnsi"/>
            <w:color w:val="1155CC"/>
            <w:sz w:val="20"/>
            <w:szCs w:val="20"/>
            <w:u w:val="single"/>
          </w:rPr>
          <w:t>https://ewna.org/wp-content/uploads/2023/07/ewna-gender-assessment-report_2023_eng-1.pdf</w:t>
        </w:r>
      </w:hyperlink>
    </w:p>
  </w:footnote>
  <w:footnote w:id="59">
    <w:p w14:paraId="05C31F3B"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Harm Reduction International (2024), </w:t>
      </w:r>
      <w:r w:rsidRPr="00B01C20">
        <w:rPr>
          <w:rFonts w:asciiTheme="majorHAnsi" w:eastAsia="Calibri" w:hAnsiTheme="majorHAnsi" w:cstheme="majorHAnsi"/>
          <w:i/>
          <w:sz w:val="20"/>
          <w:szCs w:val="20"/>
        </w:rPr>
        <w:t>Global State of Harm Reduction Eurasia chapter</w:t>
      </w:r>
      <w:r w:rsidRPr="00B01C20">
        <w:rPr>
          <w:rFonts w:asciiTheme="majorHAnsi" w:eastAsia="Calibri" w:hAnsiTheme="majorHAnsi" w:cstheme="majorHAnsi"/>
          <w:color w:val="1155CC"/>
          <w:sz w:val="20"/>
          <w:szCs w:val="20"/>
        </w:rPr>
        <w:t>,</w:t>
      </w:r>
      <w:hyperlink r:id="rId47">
        <w:r w:rsidRPr="00B01C20">
          <w:rPr>
            <w:rFonts w:asciiTheme="majorHAnsi" w:eastAsia="Calibri" w:hAnsiTheme="majorHAnsi" w:cstheme="majorHAnsi"/>
            <w:color w:val="1155CC"/>
            <w:sz w:val="20"/>
            <w:szCs w:val="20"/>
            <w:u w:val="single"/>
          </w:rPr>
          <w:t>https://hri.global/flagship-research/the-global-state-of-harm-reduction/the-global-state-of-harm-reduction-2024</w:t>
        </w:r>
      </w:hyperlink>
      <w:hyperlink r:id="rId48">
        <w:r w:rsidRPr="00B01C20">
          <w:rPr>
            <w:rFonts w:asciiTheme="majorHAnsi" w:eastAsia="Calibri" w:hAnsiTheme="majorHAnsi" w:cstheme="majorHAnsi"/>
            <w:sz w:val="20"/>
            <w:szCs w:val="20"/>
            <w:u w:val="single"/>
          </w:rPr>
          <w:t>/</w:t>
        </w:r>
      </w:hyperlink>
      <w:r w:rsidRPr="00B01C20">
        <w:rPr>
          <w:rFonts w:asciiTheme="majorHAnsi" w:eastAsia="Calibri" w:hAnsiTheme="majorHAnsi" w:cstheme="majorHAnsi"/>
          <w:sz w:val="20"/>
          <w:szCs w:val="20"/>
        </w:rPr>
        <w:t xml:space="preserve">  p. 6</w:t>
      </w:r>
    </w:p>
  </w:footnote>
  <w:footnote w:id="60">
    <w:p w14:paraId="2991C046"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Eastern Europe and Central Asia Commission on Drugs (Golichenko, M., &amp; Elliott, R.) (2021), </w:t>
      </w:r>
      <w:r w:rsidRPr="00B01C20">
        <w:rPr>
          <w:rFonts w:asciiTheme="majorHAnsi" w:eastAsia="Calibri" w:hAnsiTheme="majorHAnsi" w:cstheme="majorHAnsi"/>
          <w:i/>
          <w:sz w:val="20"/>
          <w:szCs w:val="20"/>
        </w:rPr>
        <w:t>Drug Laws and Policies in Four Regions of Eurasia</w:t>
      </w:r>
      <w:r w:rsidRPr="00B01C20">
        <w:rPr>
          <w:rFonts w:asciiTheme="majorHAnsi" w:eastAsia="Calibri" w:hAnsiTheme="majorHAnsi" w:cstheme="majorHAnsi"/>
          <w:sz w:val="20"/>
          <w:szCs w:val="20"/>
        </w:rPr>
        <w:t xml:space="preserve">, </w:t>
      </w:r>
      <w:hyperlink r:id="rId49">
        <w:r w:rsidRPr="00B01C20">
          <w:rPr>
            <w:rFonts w:asciiTheme="majorHAnsi" w:eastAsia="Calibri" w:hAnsiTheme="majorHAnsi" w:cstheme="majorHAnsi"/>
            <w:color w:val="1155CC"/>
            <w:sz w:val="20"/>
            <w:szCs w:val="20"/>
            <w:u w:val="single"/>
          </w:rPr>
          <w:t>https://ececacd.org/wp-content/uploads/2021/08/Drug-Laws-and-Policies.pdf</w:t>
        </w:r>
      </w:hyperlink>
    </w:p>
  </w:footnote>
  <w:footnote w:id="61">
    <w:p w14:paraId="578A0CDA"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EWNA (2023), </w:t>
      </w:r>
      <w:r w:rsidRPr="00B01C20">
        <w:rPr>
          <w:rFonts w:asciiTheme="majorHAnsi" w:eastAsia="Calibri" w:hAnsiTheme="majorHAnsi" w:cstheme="majorHAnsi"/>
          <w:i/>
          <w:sz w:val="20"/>
          <w:szCs w:val="20"/>
        </w:rPr>
        <w:t xml:space="preserve">Women-led Gender Assessment: How countries address barriers to HIV services for women living with HIV, sex workers and women who use drugs, </w:t>
      </w:r>
      <w:hyperlink r:id="rId50">
        <w:r w:rsidRPr="00B01C20">
          <w:rPr>
            <w:rFonts w:asciiTheme="majorHAnsi" w:eastAsia="Calibri" w:hAnsiTheme="majorHAnsi" w:cstheme="majorHAnsi"/>
            <w:color w:val="1155CC"/>
            <w:sz w:val="20"/>
            <w:szCs w:val="20"/>
            <w:u w:val="single"/>
          </w:rPr>
          <w:t>https://ewna.org/wp-content/uploads/2023/07/ewna-gender-assessment-report_2023_eng-1.pdf</w:t>
        </w:r>
      </w:hyperlink>
    </w:p>
  </w:footnote>
  <w:footnote w:id="62">
    <w:p w14:paraId="661BF5B6" w14:textId="77777777" w:rsidR="006F2FF7" w:rsidRPr="00B01C20" w:rsidRDefault="00000000">
      <w:pPr>
        <w:spacing w:line="240" w:lineRule="auto"/>
        <w:rPr>
          <w:rFonts w:asciiTheme="majorHAnsi" w:eastAsia="Calibri" w:hAnsiTheme="majorHAnsi" w:cstheme="majorHAnsi"/>
          <w:i/>
          <w:sz w:val="20"/>
          <w:szCs w:val="20"/>
          <w:lang w:val="ru-RU"/>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lang w:val="ru-RU"/>
        </w:rPr>
        <w:t xml:space="preserve"> </w:t>
      </w:r>
      <w:r w:rsidRPr="00B01C20">
        <w:rPr>
          <w:rFonts w:asciiTheme="majorHAnsi" w:eastAsia="Calibri" w:hAnsiTheme="majorHAnsi" w:cstheme="majorHAnsi"/>
          <w:sz w:val="20"/>
          <w:szCs w:val="20"/>
        </w:rPr>
        <w:t>EWNA</w:t>
      </w:r>
      <w:r w:rsidRPr="00B01C20">
        <w:rPr>
          <w:rFonts w:asciiTheme="majorHAnsi" w:eastAsia="Calibri" w:hAnsiTheme="majorHAnsi" w:cstheme="majorHAnsi"/>
          <w:sz w:val="20"/>
          <w:szCs w:val="20"/>
          <w:lang w:val="ru-RU"/>
        </w:rPr>
        <w:t xml:space="preserve"> (2022), </w:t>
      </w:r>
      <w:r w:rsidRPr="00B01C20">
        <w:rPr>
          <w:rFonts w:asciiTheme="majorHAnsi" w:eastAsia="Calibri" w:hAnsiTheme="majorHAnsi" w:cstheme="majorHAnsi"/>
          <w:i/>
          <w:sz w:val="20"/>
          <w:szCs w:val="20"/>
          <w:lang w:val="ru-RU"/>
        </w:rPr>
        <w:t xml:space="preserve">История одного женского марша. Почему государство против </w:t>
      </w:r>
      <w:proofErr w:type="gramStart"/>
      <w:r w:rsidRPr="00B01C20">
        <w:rPr>
          <w:rFonts w:asciiTheme="majorHAnsi" w:eastAsia="Calibri" w:hAnsiTheme="majorHAnsi" w:cstheme="majorHAnsi"/>
          <w:i/>
          <w:sz w:val="20"/>
          <w:szCs w:val="20"/>
          <w:lang w:val="ru-RU"/>
        </w:rPr>
        <w:t>феминисток?,</w:t>
      </w:r>
      <w:proofErr w:type="gramEnd"/>
    </w:p>
    <w:p w14:paraId="59AE443F" w14:textId="77777777" w:rsidR="006F2FF7" w:rsidRPr="00B01C20" w:rsidRDefault="00000000">
      <w:pPr>
        <w:spacing w:line="240" w:lineRule="auto"/>
        <w:rPr>
          <w:rFonts w:asciiTheme="majorHAnsi" w:eastAsia="Calibri" w:hAnsiTheme="majorHAnsi" w:cstheme="majorHAnsi"/>
          <w:sz w:val="20"/>
          <w:szCs w:val="20"/>
          <w:lang w:val="ru-RU"/>
        </w:rPr>
      </w:pPr>
      <w:hyperlink r:id="rId51">
        <w:r w:rsidRPr="00B01C20">
          <w:rPr>
            <w:rFonts w:asciiTheme="majorHAnsi" w:eastAsia="Calibri" w:hAnsiTheme="majorHAnsi" w:cstheme="majorHAnsi"/>
            <w:color w:val="1155CC"/>
            <w:sz w:val="20"/>
            <w:szCs w:val="20"/>
            <w:u w:val="single"/>
          </w:rPr>
          <w:t>https</w:t>
        </w:r>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ewna</w:t>
        </w:r>
        <w:proofErr w:type="spellEnd"/>
        <w:r w:rsidRPr="00B01C20">
          <w:rPr>
            <w:rFonts w:asciiTheme="majorHAnsi" w:eastAsia="Calibri" w:hAnsiTheme="majorHAnsi" w:cstheme="majorHAnsi"/>
            <w:color w:val="1155CC"/>
            <w:sz w:val="20"/>
            <w:szCs w:val="20"/>
            <w:u w:val="single"/>
            <w:lang w:val="ru-RU"/>
          </w:rPr>
          <w:t>.</w:t>
        </w:r>
        <w:r w:rsidRPr="00B01C20">
          <w:rPr>
            <w:rFonts w:asciiTheme="majorHAnsi" w:eastAsia="Calibri" w:hAnsiTheme="majorHAnsi" w:cstheme="majorHAnsi"/>
            <w:color w:val="1155CC"/>
            <w:sz w:val="20"/>
            <w:szCs w:val="20"/>
            <w:u w:val="single"/>
          </w:rPr>
          <w:t>org</w:t>
        </w:r>
        <w:r w:rsidRPr="00B01C20">
          <w:rPr>
            <w:rFonts w:asciiTheme="majorHAnsi" w:eastAsia="Calibri" w:hAnsiTheme="majorHAnsi" w:cstheme="majorHAnsi"/>
            <w:color w:val="1155CC"/>
            <w:sz w:val="20"/>
            <w:szCs w:val="20"/>
            <w:u w:val="single"/>
            <w:lang w:val="ru-RU"/>
          </w:rPr>
          <w:t>/2025/03/07/</w:t>
        </w:r>
        <w:proofErr w:type="spellStart"/>
        <w:r w:rsidRPr="00B01C20">
          <w:rPr>
            <w:rFonts w:asciiTheme="majorHAnsi" w:eastAsia="Calibri" w:hAnsiTheme="majorHAnsi" w:cstheme="majorHAnsi"/>
            <w:color w:val="1155CC"/>
            <w:sz w:val="20"/>
            <w:szCs w:val="20"/>
            <w:u w:val="single"/>
          </w:rPr>
          <w:t>istoriya</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odnogo</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zhenskogo</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marsha</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pochemu</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gosudarstvo</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protiv</w:t>
        </w:r>
        <w:proofErr w:type="spellEnd"/>
        <w:r w:rsidRPr="00B01C20">
          <w:rPr>
            <w:rFonts w:asciiTheme="majorHAnsi" w:eastAsia="Calibri" w:hAnsiTheme="majorHAnsi" w:cstheme="majorHAnsi"/>
            <w:color w:val="1155CC"/>
            <w:sz w:val="20"/>
            <w:szCs w:val="20"/>
            <w:u w:val="single"/>
            <w:lang w:val="ru-RU"/>
          </w:rPr>
          <w:t>-</w:t>
        </w:r>
        <w:proofErr w:type="spellStart"/>
        <w:r w:rsidRPr="00B01C20">
          <w:rPr>
            <w:rFonts w:asciiTheme="majorHAnsi" w:eastAsia="Calibri" w:hAnsiTheme="majorHAnsi" w:cstheme="majorHAnsi"/>
            <w:color w:val="1155CC"/>
            <w:sz w:val="20"/>
            <w:szCs w:val="20"/>
            <w:u w:val="single"/>
          </w:rPr>
          <w:t>feministo</w:t>
        </w:r>
        <w:proofErr w:type="spellEnd"/>
      </w:hyperlink>
    </w:p>
  </w:footnote>
  <w:footnote w:id="63">
    <w:p w14:paraId="0D7D0BC4"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Transparency International (10 October 2023), </w:t>
      </w:r>
      <w:r w:rsidRPr="00B01C20">
        <w:rPr>
          <w:rFonts w:asciiTheme="majorHAnsi" w:eastAsia="Calibri" w:hAnsiTheme="majorHAnsi" w:cstheme="majorHAnsi"/>
          <w:i/>
          <w:sz w:val="20"/>
          <w:szCs w:val="20"/>
        </w:rPr>
        <w:t>Transparency International expresses concerns over the release of Kazakhstan's "foreign agents" list</w:t>
      </w:r>
      <w:r w:rsidRPr="00B01C20">
        <w:rPr>
          <w:rFonts w:asciiTheme="majorHAnsi" w:eastAsia="Calibri" w:hAnsiTheme="majorHAnsi" w:cstheme="majorHAnsi"/>
          <w:sz w:val="20"/>
          <w:szCs w:val="20"/>
        </w:rPr>
        <w:t xml:space="preserve">, </w:t>
      </w:r>
      <w:hyperlink r:id="rId52">
        <w:r w:rsidRPr="00B01C20">
          <w:rPr>
            <w:rFonts w:asciiTheme="majorHAnsi" w:eastAsia="Calibri" w:hAnsiTheme="majorHAnsi" w:cstheme="majorHAnsi"/>
            <w:color w:val="1155CC"/>
            <w:sz w:val="20"/>
            <w:szCs w:val="20"/>
            <w:u w:val="single"/>
          </w:rPr>
          <w:t>https://www.transparency.org/en/press/transparency-international-concerned-kazakhstan-foreign-agents-list</w:t>
        </w:r>
      </w:hyperlink>
      <w:r w:rsidRPr="00B01C20">
        <w:rPr>
          <w:rFonts w:asciiTheme="majorHAnsi" w:eastAsia="Calibri" w:hAnsiTheme="majorHAnsi" w:cstheme="majorHAnsi"/>
          <w:sz w:val="20"/>
          <w:szCs w:val="20"/>
        </w:rPr>
        <w:t>,</w:t>
      </w:r>
    </w:p>
  </w:footnote>
  <w:footnote w:id="64">
    <w:p w14:paraId="113920BE"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w:t>
      </w:r>
      <w:proofErr w:type="spellStart"/>
      <w:r w:rsidRPr="00B01C20">
        <w:rPr>
          <w:rFonts w:asciiTheme="majorHAnsi" w:eastAsia="Calibri" w:hAnsiTheme="majorHAnsi" w:cstheme="majorHAnsi"/>
          <w:sz w:val="20"/>
          <w:szCs w:val="20"/>
        </w:rPr>
        <w:t>Seitmuratova</w:t>
      </w:r>
      <w:proofErr w:type="spellEnd"/>
      <w:r w:rsidRPr="00B01C20">
        <w:rPr>
          <w:rFonts w:asciiTheme="majorHAnsi" w:eastAsia="Calibri" w:hAnsiTheme="majorHAnsi" w:cstheme="majorHAnsi"/>
          <w:sz w:val="20"/>
          <w:szCs w:val="20"/>
        </w:rPr>
        <w:t>, A. (18 April 2025),</w:t>
      </w:r>
      <w:r w:rsidRPr="00B01C20">
        <w:rPr>
          <w:rFonts w:asciiTheme="majorHAnsi" w:eastAsia="Calibri" w:hAnsiTheme="majorHAnsi" w:cstheme="majorHAnsi"/>
          <w:i/>
          <w:sz w:val="20"/>
          <w:szCs w:val="20"/>
        </w:rPr>
        <w:t xml:space="preserve"> Kazakhstani MPs start working on foreign agent law</w:t>
      </w:r>
      <w:r w:rsidRPr="00B01C20">
        <w:rPr>
          <w:rFonts w:asciiTheme="majorHAnsi" w:eastAsia="Calibri" w:hAnsiTheme="majorHAnsi" w:cstheme="majorHAnsi"/>
          <w:sz w:val="20"/>
          <w:szCs w:val="20"/>
        </w:rPr>
        <w:t>,</w:t>
      </w:r>
    </w:p>
    <w:p w14:paraId="57A9D7E3" w14:textId="77777777" w:rsidR="006F2FF7" w:rsidRPr="00B01C20" w:rsidRDefault="00000000">
      <w:pPr>
        <w:spacing w:line="240" w:lineRule="auto"/>
        <w:rPr>
          <w:rFonts w:asciiTheme="majorHAnsi" w:eastAsia="Calibri" w:hAnsiTheme="majorHAnsi" w:cstheme="majorHAnsi"/>
          <w:sz w:val="20"/>
          <w:szCs w:val="20"/>
        </w:rPr>
      </w:pPr>
      <w:hyperlink r:id="rId53">
        <w:r w:rsidRPr="00B01C20">
          <w:rPr>
            <w:rFonts w:asciiTheme="majorHAnsi" w:eastAsia="Calibri" w:hAnsiTheme="majorHAnsi" w:cstheme="majorHAnsi"/>
            <w:color w:val="1155CC"/>
            <w:sz w:val="20"/>
            <w:szCs w:val="20"/>
            <w:u w:val="single"/>
          </w:rPr>
          <w:t>https://kz.kursiv.media/en/2025-04-18/engk-tank-kazakhstani-mps-start-working-on-foreign-agent-law/</w:t>
        </w:r>
      </w:hyperlink>
      <w:r w:rsidRPr="00B01C20">
        <w:rPr>
          <w:rFonts w:asciiTheme="majorHAnsi" w:eastAsia="Calibri" w:hAnsiTheme="majorHAnsi" w:cstheme="majorHAnsi"/>
          <w:sz w:val="20"/>
          <w:szCs w:val="20"/>
        </w:rPr>
        <w:t xml:space="preserve"> </w:t>
      </w:r>
    </w:p>
  </w:footnote>
  <w:footnote w:id="65">
    <w:p w14:paraId="29CC0884" w14:textId="77777777" w:rsidR="006F2FF7" w:rsidRPr="00B01C20" w:rsidRDefault="00000000">
      <w:pPr>
        <w:spacing w:line="240" w:lineRule="auto"/>
        <w:rPr>
          <w:rFonts w:asciiTheme="majorHAnsi" w:eastAsia="Calibri" w:hAnsiTheme="majorHAnsi" w:cstheme="majorHAnsi"/>
          <w:sz w:val="20"/>
          <w:szCs w:val="20"/>
        </w:rPr>
      </w:pPr>
      <w:r w:rsidRPr="00B01C20">
        <w:rPr>
          <w:rFonts w:asciiTheme="majorHAnsi" w:hAnsiTheme="majorHAnsi" w:cstheme="majorHAnsi"/>
          <w:sz w:val="20"/>
          <w:szCs w:val="20"/>
          <w:vertAlign w:val="superscript"/>
        </w:rPr>
        <w:footnoteRef/>
      </w:r>
      <w:r w:rsidRPr="00B01C20">
        <w:rPr>
          <w:rFonts w:asciiTheme="majorHAnsi" w:eastAsia="Calibri" w:hAnsiTheme="majorHAnsi" w:cstheme="majorHAnsi"/>
          <w:sz w:val="20"/>
          <w:szCs w:val="20"/>
        </w:rPr>
        <w:t xml:space="preserve"> HIT (Website), </w:t>
      </w:r>
      <w:r w:rsidRPr="00B01C20">
        <w:rPr>
          <w:rFonts w:asciiTheme="majorHAnsi" w:eastAsia="Calibri" w:hAnsiTheme="majorHAnsi" w:cstheme="majorHAnsi"/>
          <w:i/>
          <w:sz w:val="20"/>
          <w:szCs w:val="20"/>
        </w:rPr>
        <w:t>Russian Harm Reduction NGO Declared ‘Foreign Agent’</w:t>
      </w:r>
      <w:r w:rsidRPr="00B01C20">
        <w:rPr>
          <w:rFonts w:asciiTheme="majorHAnsi" w:eastAsia="Calibri" w:hAnsiTheme="majorHAnsi" w:cstheme="majorHAnsi"/>
          <w:sz w:val="20"/>
          <w:szCs w:val="20"/>
        </w:rPr>
        <w:t xml:space="preserve">, </w:t>
      </w:r>
      <w:hyperlink r:id="rId54">
        <w:r w:rsidRPr="00B01C20">
          <w:rPr>
            <w:rFonts w:asciiTheme="majorHAnsi" w:eastAsia="Calibri" w:hAnsiTheme="majorHAnsi" w:cstheme="majorHAnsi"/>
            <w:color w:val="1155CC"/>
            <w:sz w:val="20"/>
            <w:szCs w:val="20"/>
            <w:u w:val="single"/>
          </w:rPr>
          <w:t>https://hit.org.uk/russian-harm-reduction-ngo-declared-foreign-agent/</w:t>
        </w:r>
      </w:hyperlink>
      <w:r w:rsidRPr="00B01C20">
        <w:rPr>
          <w:rFonts w:asciiTheme="majorHAnsi" w:eastAsia="Calibri" w:hAnsiTheme="majorHAnsi" w:cstheme="majorHAnsi"/>
          <w:sz w:val="20"/>
          <w:szCs w:val="20"/>
        </w:rPr>
        <w:t xml:space="preserve"> (accessed: 21 May 2025)</w:t>
      </w:r>
    </w:p>
    <w:p w14:paraId="136F7CC2" w14:textId="77777777" w:rsidR="006F2FF7" w:rsidRDefault="006F2FF7">
      <w:pPr>
        <w:spacing w:line="240" w:lineRule="auto"/>
        <w:rPr>
          <w:rFonts w:ascii="Calibri" w:eastAsia="Calibri" w:hAnsi="Calibri" w:cs="Calibri"/>
          <w:sz w:val="20"/>
          <w:szCs w:val="20"/>
          <w:highlight w:val="red"/>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D33EF"/>
    <w:multiLevelType w:val="multilevel"/>
    <w:tmpl w:val="344A87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5CE71D1"/>
    <w:multiLevelType w:val="multilevel"/>
    <w:tmpl w:val="784C875A"/>
    <w:lvl w:ilvl="0">
      <w:start w:val="1"/>
      <w:numFmt w:val="bullet"/>
      <w:lvlText w:val="●"/>
      <w:lvlJc w:val="left"/>
      <w:pPr>
        <w:ind w:left="1080" w:hanging="360"/>
      </w:pPr>
      <w:rPr>
        <w:u w:val="none"/>
      </w:rPr>
    </w:lvl>
    <w:lvl w:ilvl="1">
      <w:start w:val="1"/>
      <w:numFmt w:val="bullet"/>
      <w:lvlText w:val="○"/>
      <w:lvlJc w:val="left"/>
      <w:pPr>
        <w:ind w:left="2160" w:hanging="720"/>
      </w:pPr>
      <w:rPr>
        <w:u w:val="none"/>
      </w:rPr>
    </w:lvl>
    <w:lvl w:ilvl="2">
      <w:start w:val="1"/>
      <w:numFmt w:val="bullet"/>
      <w:lvlText w:val="■"/>
      <w:lvlJc w:val="left"/>
      <w:pPr>
        <w:ind w:left="2880" w:hanging="720"/>
      </w:pPr>
      <w:rPr>
        <w:u w:val="none"/>
      </w:rPr>
    </w:lvl>
    <w:lvl w:ilvl="3">
      <w:start w:val="1"/>
      <w:numFmt w:val="bullet"/>
      <w:lvlText w:val="●"/>
      <w:lvlJc w:val="left"/>
      <w:pPr>
        <w:ind w:left="3960" w:hanging="1080"/>
      </w:pPr>
      <w:rPr>
        <w:u w:val="none"/>
      </w:rPr>
    </w:lvl>
    <w:lvl w:ilvl="4">
      <w:start w:val="1"/>
      <w:numFmt w:val="bullet"/>
      <w:lvlText w:val="○"/>
      <w:lvlJc w:val="left"/>
      <w:pPr>
        <w:ind w:left="4680" w:hanging="1080"/>
      </w:pPr>
      <w:rPr>
        <w:u w:val="none"/>
      </w:rPr>
    </w:lvl>
    <w:lvl w:ilvl="5">
      <w:start w:val="1"/>
      <w:numFmt w:val="bullet"/>
      <w:lvlText w:val="■"/>
      <w:lvlJc w:val="left"/>
      <w:pPr>
        <w:ind w:left="5760" w:hanging="1440"/>
      </w:pPr>
      <w:rPr>
        <w:u w:val="none"/>
      </w:rPr>
    </w:lvl>
    <w:lvl w:ilvl="6">
      <w:start w:val="1"/>
      <w:numFmt w:val="bullet"/>
      <w:lvlText w:val="●"/>
      <w:lvlJc w:val="left"/>
      <w:pPr>
        <w:ind w:left="6480" w:hanging="1440"/>
      </w:pPr>
      <w:rPr>
        <w:u w:val="none"/>
      </w:rPr>
    </w:lvl>
    <w:lvl w:ilvl="7">
      <w:start w:val="1"/>
      <w:numFmt w:val="bullet"/>
      <w:lvlText w:val="○"/>
      <w:lvlJc w:val="left"/>
      <w:pPr>
        <w:ind w:left="7560" w:hanging="1800"/>
      </w:pPr>
      <w:rPr>
        <w:u w:val="none"/>
      </w:rPr>
    </w:lvl>
    <w:lvl w:ilvl="8">
      <w:start w:val="1"/>
      <w:numFmt w:val="bullet"/>
      <w:lvlText w:val="■"/>
      <w:lvlJc w:val="left"/>
      <w:pPr>
        <w:ind w:left="8280" w:hanging="1800"/>
      </w:pPr>
      <w:rPr>
        <w:u w:val="none"/>
      </w:rPr>
    </w:lvl>
  </w:abstractNum>
  <w:abstractNum w:abstractNumId="2" w15:restartNumberingAfterBreak="0">
    <w:nsid w:val="3DB1695F"/>
    <w:multiLevelType w:val="multilevel"/>
    <w:tmpl w:val="3A7AC1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54CD0600"/>
    <w:multiLevelType w:val="multilevel"/>
    <w:tmpl w:val="9C5AA126"/>
    <w:lvl w:ilvl="0">
      <w:start w:val="1"/>
      <w:numFmt w:val="decimal"/>
      <w:lvlText w:val="%1."/>
      <w:lvlJc w:val="left"/>
      <w:pPr>
        <w:ind w:left="720" w:hanging="360"/>
      </w:pPr>
      <w:rPr>
        <w:rFonts w:ascii="Calibri" w:eastAsia="Calibri" w:hAnsi="Calibri" w:cs="Calibri"/>
        <w:b w:val="0"/>
        <w:color w:val="00000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54839616">
    <w:abstractNumId w:val="0"/>
  </w:num>
  <w:num w:numId="2" w16cid:durableId="1251741561">
    <w:abstractNumId w:val="1"/>
  </w:num>
  <w:num w:numId="3" w16cid:durableId="1076173530">
    <w:abstractNumId w:val="3"/>
  </w:num>
  <w:num w:numId="4" w16cid:durableId="20029236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2FF7"/>
    <w:rsid w:val="00144229"/>
    <w:rsid w:val="006F2FF7"/>
    <w:rsid w:val="00A914DE"/>
    <w:rsid w:val="00B01C2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4:docId w14:val="33740149"/>
  <w15:docId w15:val="{4321B811-244D-4E6A-9E38-16A84A7F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lt-LT"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2D07C3"/>
    <w:pPr>
      <w:tabs>
        <w:tab w:val="center" w:pos="4513"/>
        <w:tab w:val="right" w:pos="9026"/>
      </w:tabs>
      <w:spacing w:line="240" w:lineRule="auto"/>
    </w:pPr>
  </w:style>
  <w:style w:type="character" w:customStyle="1" w:styleId="FooterChar">
    <w:name w:val="Footer Char"/>
    <w:basedOn w:val="DefaultParagraphFont"/>
    <w:link w:val="Footer"/>
    <w:uiPriority w:val="99"/>
    <w:rsid w:val="002D07C3"/>
  </w:style>
  <w:style w:type="character" w:styleId="PageNumber">
    <w:name w:val="page number"/>
    <w:basedOn w:val="DefaultParagraphFont"/>
    <w:uiPriority w:val="99"/>
    <w:semiHidden/>
    <w:unhideWhenUsed/>
    <w:rsid w:val="002D07C3"/>
  </w:style>
  <w:style w:type="paragraph" w:styleId="Header">
    <w:name w:val="header"/>
    <w:basedOn w:val="Normal"/>
    <w:link w:val="HeaderChar"/>
    <w:uiPriority w:val="99"/>
    <w:unhideWhenUsed/>
    <w:rsid w:val="002D07C3"/>
    <w:pPr>
      <w:tabs>
        <w:tab w:val="center" w:pos="4513"/>
        <w:tab w:val="right" w:pos="9026"/>
      </w:tabs>
      <w:spacing w:line="240" w:lineRule="auto"/>
    </w:pPr>
  </w:style>
  <w:style w:type="character" w:customStyle="1" w:styleId="HeaderChar">
    <w:name w:val="Header Char"/>
    <w:basedOn w:val="DefaultParagraphFont"/>
    <w:link w:val="Header"/>
    <w:uiPriority w:val="99"/>
    <w:rsid w:val="002D07C3"/>
  </w:style>
  <w:style w:type="paragraph" w:styleId="ListParagraph">
    <w:name w:val="List Paragraph"/>
    <w:basedOn w:val="Normal"/>
    <w:uiPriority w:val="34"/>
    <w:qFormat/>
    <w:rsid w:val="002D07C3"/>
    <w:pPr>
      <w:ind w:left="720"/>
      <w:contextualSpacing/>
    </w:p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eliza@harmreductioneurasia.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e.mail.ru/compose/?mailto=mailto%3Aibragimova.plwh%40gmail.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unodc.org/documents/ungass2016//Contributions/UN/Gender_and_Drugs_-_UN_Women_Policy_Brief.pdf" TargetMode="External"/><Relationship Id="rId18" Type="http://schemas.openxmlformats.org/officeDocument/2006/relationships/hyperlink" Target="https://ewna.org/wp-content/uploads/2024/01/ewna_fhi360-snps-assessment-final-report_2023_eng.pdf" TargetMode="External"/><Relationship Id="rId26" Type="http://schemas.openxmlformats.org/officeDocument/2006/relationships/hyperlink" Target="https://uhri.ohchr.org/en/document/5badc4b5-952f-42e1-9f61-78d2ed4bce5a" TargetMode="External"/><Relationship Id="rId39" Type="http://schemas.openxmlformats.org/officeDocument/2006/relationships/hyperlink" Target="https://www.eu-cadap.org/wp-content/uploads/2024/04/Kazakhstan-REPORT.pdf" TargetMode="External"/><Relationship Id="rId21" Type="http://schemas.openxmlformats.org/officeDocument/2006/relationships/hyperlink" Target="https://uhri.ohchr.org/en/document/9a831cbf-7964-422f-9cb5-057bea24bb76" TargetMode="External"/><Relationship Id="rId34" Type="http://schemas.openxmlformats.org/officeDocument/2006/relationships/hyperlink" Target="https://www.who.int/data/gho/indicator-metadata-registry/imr-details/2718" TargetMode="External"/><Relationship Id="rId42" Type="http://schemas.openxmlformats.org/officeDocument/2006/relationships/hyperlink" Target="https://uhri.ohchr.org/en/document/8ff5af9b-45b2-4220-8f2e-0f1fd5624898" TargetMode="External"/><Relationship Id="rId47" Type="http://schemas.openxmlformats.org/officeDocument/2006/relationships/hyperlink" Target="https://hri.global/flagship-research/the-global-state-of-harm-reduction/the-global-state-of-harm-reduction-2024/" TargetMode="External"/><Relationship Id="rId50" Type="http://schemas.openxmlformats.org/officeDocument/2006/relationships/hyperlink" Target="https://ewna.org/wp-content/uploads/2023/07/ewna-gender-assessment-report_2023_eng-1.pdf" TargetMode="External"/><Relationship Id="rId7" Type="http://schemas.openxmlformats.org/officeDocument/2006/relationships/hyperlink" Target="https://uhri.ohchr.org/en/document/056438da-eac1-4a0f-9af3-02eb1b9595fc" TargetMode="External"/><Relationship Id="rId2" Type="http://schemas.openxmlformats.org/officeDocument/2006/relationships/hyperlink" Target="https://www.eu-cadap.org/wp-content/uploads/2024/04/Kazakhstan-REPORT.pdf" TargetMode="External"/><Relationship Id="rId16" Type="http://schemas.openxmlformats.org/officeDocument/2006/relationships/hyperlink" Target="https://www.ohchr.org/sites/default/files/Documents/Issues/Detention/Call/Country/Kazakhstan.pdf" TargetMode="External"/><Relationship Id="rId29" Type="http://schemas.openxmlformats.org/officeDocument/2006/relationships/hyperlink" Target="https://ewna.org/wp-content/uploads/2024/01/ewna_gbv-clm-final-report_kazakhstan_2023_eng-1.pdf" TargetMode="External"/><Relationship Id="rId11" Type="http://schemas.openxmlformats.org/officeDocument/2006/relationships/hyperlink" Target="https://docs.un.org/en/A/HRC/47/40" TargetMode="External"/><Relationship Id="rId24" Type="http://schemas.openxmlformats.org/officeDocument/2006/relationships/hyperlink" Target="https://www.sciencedirect.com/science/article/abs/pii/S0376871621002015" TargetMode="External"/><Relationship Id="rId32" Type="http://schemas.openxmlformats.org/officeDocument/2006/relationships/hyperlink" Target="https://iris.who.int/bitstream/handle/10665/366820/9789240071858-eng.pdf" TargetMode="External"/><Relationship Id="rId37" Type="http://schemas.openxmlformats.org/officeDocument/2006/relationships/hyperlink" Target="https://harmreductionjournal.biomedcentral.com/articles/10.1186/s12954-022-00700-x" TargetMode="External"/><Relationship Id="rId40" Type="http://schemas.openxmlformats.org/officeDocument/2006/relationships/hyperlink" Target="https://ewna.org/wp-content/uploads/2023/07/ewna-gender-assessment-report_2023_eng-1.pdf" TargetMode="External"/><Relationship Id="rId45" Type="http://schemas.openxmlformats.org/officeDocument/2006/relationships/hyperlink" Target="https://docs.un.org/en/A/HRC/54/53" TargetMode="External"/><Relationship Id="rId53" Type="http://schemas.openxmlformats.org/officeDocument/2006/relationships/hyperlink" Target="https://kz.kursiv.media/en/2025-04-18/engk-tank-kazakhstani-mps-start-working-on-foreign-agent-law/" TargetMode="External"/><Relationship Id="rId5" Type="http://schemas.openxmlformats.org/officeDocument/2006/relationships/hyperlink" Target="https://www.unaids.org/en/resources/documents/2021/2021_unaids_data" TargetMode="External"/><Relationship Id="rId10" Type="http://schemas.openxmlformats.org/officeDocument/2006/relationships/hyperlink" Target="https://www.ohchr.org/en/documents/thematic-reports/a79177-report-special-rapporteur-right-everyone-enjoyment-highest" TargetMode="External"/><Relationship Id="rId19" Type="http://schemas.openxmlformats.org/officeDocument/2006/relationships/hyperlink" Target="https://kz.kursiv.media/2024-05-21/tksh-narkomany-statistika-mvd/" TargetMode="External"/><Relationship Id="rId31" Type="http://schemas.openxmlformats.org/officeDocument/2006/relationships/hyperlink" Target="https://docs.un.org/A/HRC/22/53" TargetMode="External"/><Relationship Id="rId44" Type="http://schemas.openxmlformats.org/officeDocument/2006/relationships/hyperlink" Target="https://www.refworld.org/legal/general/cescr/2000/en/36991" TargetMode="External"/><Relationship Id="rId52" Type="http://schemas.openxmlformats.org/officeDocument/2006/relationships/hyperlink" Target="https://www.transparency.org/en/press/transparency-international-concerned-kazakhstan-foreign-agents-list" TargetMode="External"/><Relationship Id="rId4" Type="http://schemas.openxmlformats.org/officeDocument/2006/relationships/hyperlink" Target="https://www.unaids.org/en/resources/documents/2024/2024_unaids_data" TargetMode="External"/><Relationship Id="rId9" Type="http://schemas.openxmlformats.org/officeDocument/2006/relationships/hyperlink" Target="https://uhri.ohchr.org/en/document/b593d337-1eda-453d-97a0-7c52ab1ded82" TargetMode="External"/><Relationship Id="rId14" Type="http://schemas.openxmlformats.org/officeDocument/2006/relationships/hyperlink" Target="https://adilet.zan.kz/eng/docs/K1400000226" TargetMode="External"/><Relationship Id="rId22" Type="http://schemas.openxmlformats.org/officeDocument/2006/relationships/hyperlink" Target="https://adilet.zan.kz/rus/docs/V2000021680" TargetMode="External"/><Relationship Id="rId27" Type="http://schemas.openxmlformats.org/officeDocument/2006/relationships/hyperlink" Target="https://uhri.ohchr.org/en/document/80aa8259-f9b0-4a54-870e-fd1d111dfdc3" TargetMode="External"/><Relationship Id="rId30" Type="http://schemas.openxmlformats.org/officeDocument/2006/relationships/hyperlink" Target="https://www.soros.kz/wp-content/uploads/2019/03/VORONCOVA_web_.pdf" TargetMode="External"/><Relationship Id="rId35" Type="http://schemas.openxmlformats.org/officeDocument/2006/relationships/hyperlink" Target="https://www.who.int/news-room/fact-sheets/detail/opioid-overdose" TargetMode="External"/><Relationship Id="rId43" Type="http://schemas.openxmlformats.org/officeDocument/2006/relationships/hyperlink" Target="https://docs.un.org/A/HRC/42/39/Add.1" TargetMode="External"/><Relationship Id="rId48" Type="http://schemas.openxmlformats.org/officeDocument/2006/relationships/hyperlink" Target="https://hri.global/flagship-research/the-global-state-of-harm-reduction/the-global-state-of-harm-reduction-2024/" TargetMode="External"/><Relationship Id="rId8" Type="http://schemas.openxmlformats.org/officeDocument/2006/relationships/hyperlink" Target="https://uhri.ohchr.org/en/document/91f178a6-48b7-44c6-83bf-b599b390190f" TargetMode="External"/><Relationship Id="rId51" Type="http://schemas.openxmlformats.org/officeDocument/2006/relationships/hyperlink" Target="https://ewna.org/2025/03/07/istoriya-odnogo-zhenskogo-marsha-pochemu-gosudarstvo-protiv-feministok/" TargetMode="External"/><Relationship Id="rId3" Type="http://schemas.openxmlformats.org/officeDocument/2006/relationships/hyperlink" Target="https://harmreductionjournal.biomedcentral.com/articles/10.1186/s12954-020-00448-2" TargetMode="External"/><Relationship Id="rId12" Type="http://schemas.openxmlformats.org/officeDocument/2006/relationships/hyperlink" Target="https://docs.un.org/en/A/HRC/54/53" TargetMode="External"/><Relationship Id="rId17" Type="http://schemas.openxmlformats.org/officeDocument/2006/relationships/hyperlink" Target="https://iapn.kz/articles/Incidents/kak_v_kazakhstane_nakazyvayut_za_graffiti_s_reklamoy_narkotikov/" TargetMode="External"/><Relationship Id="rId25" Type="http://schemas.openxmlformats.org/officeDocument/2006/relationships/hyperlink" Target="https://docs.un.org/en/A/HRC/54/53" TargetMode="External"/><Relationship Id="rId33" Type="http://schemas.openxmlformats.org/officeDocument/2006/relationships/hyperlink" Target="https://www.who.int/publications/i/item/guide-to-starting-and-managing-needle-and-syringe-programmes" TargetMode="External"/><Relationship Id="rId38" Type="http://schemas.openxmlformats.org/officeDocument/2006/relationships/hyperlink" Target="https://adilet.zan.kz/rus/docs/V1500010404" TargetMode="External"/><Relationship Id="rId46" Type="http://schemas.openxmlformats.org/officeDocument/2006/relationships/hyperlink" Target="https://ewna.org/wp-content/uploads/2023/07/ewna-gender-assessment-report_2023_eng-1.pdf" TargetMode="External"/><Relationship Id="rId20" Type="http://schemas.openxmlformats.org/officeDocument/2006/relationships/hyperlink" Target="https://ap.ohchr.org/documents/dpage_e.aspx?si=A/HRC/30/65" TargetMode="External"/><Relationship Id="rId41" Type="http://schemas.openxmlformats.org/officeDocument/2006/relationships/hyperlink" Target="https://docs.un.org/A/65/255" TargetMode="External"/><Relationship Id="rId54" Type="http://schemas.openxmlformats.org/officeDocument/2006/relationships/hyperlink" Target="https://hit.org.uk/russian-harm-reduction-ngo-declared-foreign-agent/" TargetMode="External"/><Relationship Id="rId1" Type="http://schemas.openxmlformats.org/officeDocument/2006/relationships/hyperlink" Target="https://www.unaids.org/en/resources/documents/2024/2024_unaids_data" TargetMode="External"/><Relationship Id="rId6" Type="http://schemas.openxmlformats.org/officeDocument/2006/relationships/hyperlink" Target="https://docs.un.org/en/A/HRC/47/40" TargetMode="External"/><Relationship Id="rId15" Type="http://schemas.openxmlformats.org/officeDocument/2006/relationships/hyperlink" Target="https://stat.gov.kz/en/industries/labor-and-income/stat-wags/publications/186232" TargetMode="External"/><Relationship Id="rId23" Type="http://schemas.openxmlformats.org/officeDocument/2006/relationships/hyperlink" Target="https://www.eu-cadap.org/wp-content/uploads/2024/04/Kazakhstan-REPORT.pdf" TargetMode="External"/><Relationship Id="rId28" Type="http://schemas.openxmlformats.org/officeDocument/2006/relationships/hyperlink" Target="https://www.eu-cadap.org/wp-content/uploads/2024/04/Kazakhstan-REPORT.pdf" TargetMode="External"/><Relationship Id="rId36" Type="http://schemas.openxmlformats.org/officeDocument/2006/relationships/hyperlink" Target="https://jied.lse.ac.uk/articles/10.31389/jied.208" TargetMode="External"/><Relationship Id="rId49" Type="http://schemas.openxmlformats.org/officeDocument/2006/relationships/hyperlink" Target="https://ececacd.org/wp-content/uploads/2021/08/Drug-Laws-and-Polici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Hj2CRl1ZUYfTMdL8pOt3QqwnGA==">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30708</Words>
  <Characters>17505</Characters>
  <Application>Microsoft Office Word</Application>
  <DocSecurity>0</DocSecurity>
  <Lines>145</Lines>
  <Paragraphs>96</Paragraphs>
  <ScaleCrop>false</ScaleCrop>
  <Company/>
  <LinksUpToDate>false</LinksUpToDate>
  <CharactersWithSpaces>48117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Eliza Kurcevic</cp:lastModifiedBy>
  <cp:revision>2</cp:revision>
  <dcterms:created xsi:type="dcterms:W3CDTF">2025-05-26T09:56:00Z</dcterms:created>
  <dcterms:modified xsi:type="dcterms:W3CDTF">2025-05-26T12:19:00Z</dcterms:modified>
</cp:coreProperties>
</file>