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23E5" w:rsidRDefault="005723E5">
      <w:pPr>
        <w:jc w:val="center"/>
        <w:rPr>
          <w:rFonts w:ascii="Arial Black" w:hAnsi="Arial Black"/>
          <w:b/>
          <w:sz w:val="28"/>
          <w:szCs w:val="28"/>
          <w:u w:val="single"/>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5pt;height:132pt">
            <v:imagedata r:id="rId7" o:title=""/>
          </v:shape>
        </w:pict>
      </w:r>
    </w:p>
    <w:p w:rsidR="005723E5" w:rsidRDefault="005723E5" w:rsidP="00E24EB5">
      <w:pPr>
        <w:jc w:val="center"/>
      </w:pPr>
      <w:r w:rsidRPr="00FE1332">
        <w:rPr>
          <w:b/>
          <w:sz w:val="28"/>
          <w:szCs w:val="28"/>
        </w:rPr>
        <w:t xml:space="preserve">BRIEFING ON </w:t>
      </w:r>
      <w:r>
        <w:rPr>
          <w:b/>
          <w:sz w:val="28"/>
          <w:szCs w:val="28"/>
          <w:u w:val="single"/>
        </w:rPr>
        <w:t>YEMEN</w:t>
      </w:r>
      <w:r w:rsidRPr="00FE1332">
        <w:rPr>
          <w:b/>
          <w:sz w:val="28"/>
          <w:szCs w:val="28"/>
        </w:rPr>
        <w:t xml:space="preserve"> FOR THE </w:t>
      </w:r>
      <w:r>
        <w:rPr>
          <w:b/>
          <w:sz w:val="28"/>
          <w:szCs w:val="28"/>
        </w:rPr>
        <w:br/>
      </w:r>
      <w:r w:rsidRPr="00FE1332">
        <w:rPr>
          <w:b/>
          <w:sz w:val="28"/>
          <w:szCs w:val="28"/>
        </w:rPr>
        <w:t xml:space="preserve">COMMITTEE </w:t>
      </w:r>
      <w:r>
        <w:rPr>
          <w:b/>
          <w:sz w:val="28"/>
          <w:szCs w:val="28"/>
        </w:rPr>
        <w:t xml:space="preserve">ON THE RIGHTS OF THE CHILD, </w:t>
      </w:r>
      <w:r>
        <w:rPr>
          <w:b/>
          <w:sz w:val="28"/>
          <w:szCs w:val="28"/>
        </w:rPr>
        <w:br/>
      </w:r>
      <w:r w:rsidRPr="00FE1332">
        <w:rPr>
          <w:b/>
          <w:sz w:val="28"/>
          <w:szCs w:val="28"/>
        </w:rPr>
        <w:t>PRESESSIONAL WORKING GROUP –</w:t>
      </w:r>
      <w:r>
        <w:rPr>
          <w:b/>
          <w:sz w:val="28"/>
          <w:szCs w:val="28"/>
        </w:rPr>
        <w:t xml:space="preserve">  </w:t>
      </w:r>
      <w:r>
        <w:rPr>
          <w:b/>
          <w:sz w:val="28"/>
          <w:szCs w:val="28"/>
          <w:u w:val="single"/>
        </w:rPr>
        <w:t>June</w:t>
      </w:r>
      <w:bookmarkStart w:id="0" w:name="_GoBack"/>
      <w:bookmarkEnd w:id="0"/>
      <w:r>
        <w:rPr>
          <w:b/>
          <w:sz w:val="28"/>
          <w:szCs w:val="28"/>
          <w:u w:val="single"/>
        </w:rPr>
        <w:t xml:space="preserve"> 2013</w:t>
      </w:r>
    </w:p>
    <w:p w:rsidR="005723E5" w:rsidRDefault="005723E5">
      <w:pPr>
        <w:jc w:val="center"/>
        <w:rPr>
          <w:i/>
        </w:rPr>
      </w:pPr>
      <w:r>
        <w:rPr>
          <w:i/>
        </w:rPr>
        <w:t>From Peter Newell, Coordinator, Global Initiative</w:t>
      </w:r>
    </w:p>
    <w:p w:rsidR="005723E5" w:rsidRDefault="005723E5" w:rsidP="00E24EB5">
      <w:pPr>
        <w:jc w:val="center"/>
        <w:rPr>
          <w:rStyle w:val="Hyperlink"/>
          <w:i/>
        </w:rPr>
      </w:pPr>
      <w:hyperlink r:id="rId8" w:history="1">
        <w:r>
          <w:rPr>
            <w:rStyle w:val="Hyperlink"/>
            <w:i/>
          </w:rPr>
          <w:t>info@endcorporalpunishment.org</w:t>
        </w:r>
      </w:hyperlink>
    </w:p>
    <w:p w:rsidR="005723E5" w:rsidRPr="00E24EB5" w:rsidRDefault="005723E5" w:rsidP="00E24EB5">
      <w:pPr>
        <w:jc w:val="center"/>
        <w:rPr>
          <w:i/>
          <w:color w:val="0000FF"/>
          <w:u w:val="single"/>
        </w:rPr>
      </w:pPr>
      <w:r>
        <w:rPr>
          <w:noProof/>
          <w:lang w:val="en-US" w:eastAsia="en-US"/>
        </w:rPr>
        <w:pict>
          <v:shapetype id="_x0000_t202" coordsize="21600,21600" o:spt="202" path="m,l,21600r21600,l21600,xe">
            <v:stroke joinstyle="miter"/>
            <v:path gradientshapeok="t" o:connecttype="rect"/>
          </v:shapetype>
          <v:shape id="Text Box 2" o:spid="_x0000_s1026" type="#_x0000_t202" style="position:absolute;left:0;text-align:left;margin-left:0;margin-top:19.95pt;width:480.35pt;height:147.45pt;z-index:251658240;visibility:visible;mso-position-horizontal: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5723E5" w:rsidRPr="000D3716" w:rsidRDefault="005723E5" w:rsidP="001C0859">
                  <w:pPr>
                    <w:spacing w:after="120"/>
                    <w:rPr>
                      <w:b/>
                      <w:iCs/>
                      <w:sz w:val="28"/>
                      <w:szCs w:val="28"/>
                    </w:rPr>
                  </w:pPr>
                  <w:r w:rsidRPr="000D3716">
                    <w:rPr>
                      <w:b/>
                      <w:sz w:val="28"/>
                      <w:szCs w:val="28"/>
                    </w:rPr>
                    <w:t xml:space="preserve">This briefing describes the legality of corporal punishment of children in </w:t>
                  </w:r>
                  <w:r>
                    <w:rPr>
                      <w:b/>
                      <w:sz w:val="28"/>
                      <w:szCs w:val="28"/>
                    </w:rPr>
                    <w:t>Yemen</w:t>
                  </w:r>
                  <w:r w:rsidRPr="000D3716">
                    <w:rPr>
                      <w:b/>
                      <w:sz w:val="28"/>
                      <w:szCs w:val="28"/>
                    </w:rPr>
                    <w:t>. In light of the Committee’s General Comment No. 8 on “The right of the child to protection from corporal punishment and other cruel or degrading forms of punishment”</w:t>
                  </w:r>
                  <w:r>
                    <w:rPr>
                      <w:b/>
                      <w:sz w:val="28"/>
                      <w:szCs w:val="28"/>
                    </w:rPr>
                    <w:t xml:space="preserve">, previous treaty body recommendations on the issue, </w:t>
                  </w:r>
                  <w:r w:rsidRPr="000D3716">
                    <w:rPr>
                      <w:b/>
                      <w:sz w:val="28"/>
                      <w:szCs w:val="28"/>
                    </w:rPr>
                    <w:t>the importance of eradicating this form of violence given by the UN Secretary General’s Study on Violence against Children</w:t>
                  </w:r>
                  <w:r>
                    <w:rPr>
                      <w:b/>
                      <w:sz w:val="28"/>
                      <w:szCs w:val="28"/>
                    </w:rPr>
                    <w:t xml:space="preserve"> and the Government’s mixed responses to recommendations made during the UPR in 2009</w:t>
                  </w:r>
                  <w:r w:rsidRPr="000D3716">
                    <w:rPr>
                      <w:b/>
                      <w:sz w:val="28"/>
                      <w:szCs w:val="28"/>
                    </w:rPr>
                    <w:t>, w</w:t>
                  </w:r>
                  <w:r w:rsidRPr="000D3716">
                    <w:rPr>
                      <w:b/>
                      <w:iCs/>
                      <w:sz w:val="28"/>
                      <w:szCs w:val="28"/>
                    </w:rPr>
                    <w:t>e hope the Committee will:</w:t>
                  </w:r>
                </w:p>
                <w:p w:rsidR="005723E5" w:rsidRPr="000D3716" w:rsidRDefault="005723E5" w:rsidP="001C0859">
                  <w:pPr>
                    <w:numPr>
                      <w:ilvl w:val="0"/>
                      <w:numId w:val="8"/>
                    </w:numPr>
                    <w:spacing w:after="120"/>
                    <w:rPr>
                      <w:b/>
                      <w:iCs/>
                      <w:sz w:val="28"/>
                      <w:szCs w:val="28"/>
                    </w:rPr>
                  </w:pPr>
                  <w:r w:rsidRPr="000D3716">
                    <w:rPr>
                      <w:b/>
                      <w:iCs/>
                      <w:sz w:val="28"/>
                      <w:szCs w:val="28"/>
                    </w:rPr>
                    <w:t xml:space="preserve">in its List of Issues for </w:t>
                  </w:r>
                  <w:r>
                    <w:rPr>
                      <w:b/>
                      <w:iCs/>
                      <w:sz w:val="28"/>
                      <w:szCs w:val="28"/>
                    </w:rPr>
                    <w:t>Yemen</w:t>
                  </w:r>
                  <w:r w:rsidRPr="000D3716">
                    <w:rPr>
                      <w:b/>
                      <w:iCs/>
                      <w:sz w:val="28"/>
                      <w:szCs w:val="28"/>
                    </w:rPr>
                    <w:t>, raise the issue of corporal punishment of children, in particular asking w</w:t>
                  </w:r>
                  <w:r w:rsidRPr="000D3716">
                    <w:rPr>
                      <w:b/>
                      <w:sz w:val="28"/>
                      <w:szCs w:val="28"/>
                    </w:rPr>
                    <w:t>hat measures have been taken to</w:t>
                  </w:r>
                  <w:r>
                    <w:rPr>
                      <w:b/>
                      <w:sz w:val="28"/>
                      <w:szCs w:val="28"/>
                    </w:rPr>
                    <w:t>wards explicitly prohibiting corporal punishment in the home and other settings</w:t>
                  </w:r>
                  <w:r w:rsidRPr="000D3716">
                    <w:rPr>
                      <w:b/>
                      <w:sz w:val="28"/>
                      <w:szCs w:val="28"/>
                    </w:rPr>
                    <w:t>?</w:t>
                  </w:r>
                </w:p>
                <w:p w:rsidR="005723E5" w:rsidRPr="00E105D0" w:rsidRDefault="005723E5" w:rsidP="000D3716">
                  <w:pPr>
                    <w:numPr>
                      <w:ilvl w:val="0"/>
                      <w:numId w:val="8"/>
                    </w:numPr>
                    <w:spacing w:after="120"/>
                    <w:rPr>
                      <w:sz w:val="28"/>
                      <w:szCs w:val="28"/>
                    </w:rPr>
                  </w:pPr>
                  <w:r w:rsidRPr="00E105D0">
                    <w:rPr>
                      <w:b/>
                      <w:iCs/>
                      <w:sz w:val="28"/>
                      <w:szCs w:val="28"/>
                    </w:rPr>
                    <w:t xml:space="preserve">in its concluding observations on </w:t>
                  </w:r>
                  <w:r>
                    <w:rPr>
                      <w:b/>
                      <w:iCs/>
                      <w:sz w:val="28"/>
                      <w:szCs w:val="28"/>
                    </w:rPr>
                    <w:t xml:space="preserve">Yemen’s fourth </w:t>
                  </w:r>
                  <w:r w:rsidRPr="00E105D0">
                    <w:rPr>
                      <w:b/>
                      <w:iCs/>
                      <w:sz w:val="28"/>
                      <w:szCs w:val="28"/>
                    </w:rPr>
                    <w:t>report, recommend that legislation is enacted to explicitly prohibit corporal punishment in all settings, including the home</w:t>
                  </w:r>
                  <w:r>
                    <w:rPr>
                      <w:b/>
                      <w:iCs/>
                      <w:sz w:val="28"/>
                      <w:szCs w:val="28"/>
                    </w:rPr>
                    <w:t xml:space="preserve"> and as a sentence of the courts</w:t>
                  </w:r>
                  <w:r w:rsidRPr="00E105D0">
                    <w:rPr>
                      <w:b/>
                      <w:iCs/>
                      <w:sz w:val="28"/>
                      <w:szCs w:val="28"/>
                    </w:rPr>
                    <w:t xml:space="preserve">, as a matter of </w:t>
                  </w:r>
                  <w:r w:rsidRPr="00E105D0">
                    <w:rPr>
                      <w:b/>
                      <w:sz w:val="28"/>
                      <w:szCs w:val="28"/>
                    </w:rPr>
                    <w:t>urgency, and that prohibition is enforced through appropriate public education and professional training on positive, participatory and non-violent forms of education and childrearing.</w:t>
                  </w:r>
                </w:p>
              </w:txbxContent>
            </v:textbox>
            <w10:wrap type="topAndBottom"/>
          </v:shape>
        </w:pict>
      </w:r>
      <w:r w:rsidRPr="00E24EB5">
        <w:rPr>
          <w:i/>
          <w:sz w:val="28"/>
          <w:szCs w:val="28"/>
        </w:rPr>
        <w:t xml:space="preserve"> </w:t>
      </w:r>
    </w:p>
    <w:p w:rsidR="005723E5" w:rsidRDefault="005723E5">
      <w:pPr>
        <w:spacing w:after="120"/>
        <w:jc w:val="center"/>
      </w:pPr>
    </w:p>
    <w:p w:rsidR="005723E5" w:rsidRPr="00F01BFF" w:rsidRDefault="005723E5" w:rsidP="005E7FE5">
      <w:pPr>
        <w:spacing w:after="120"/>
        <w:ind w:left="482" w:hanging="482"/>
        <w:rPr>
          <w:b/>
          <w:sz w:val="28"/>
          <w:szCs w:val="28"/>
        </w:rPr>
      </w:pPr>
      <w:r>
        <w:rPr>
          <w:b/>
          <w:sz w:val="28"/>
          <w:szCs w:val="28"/>
        </w:rPr>
        <w:t xml:space="preserve">1 Yemen’s </w:t>
      </w:r>
      <w:r w:rsidRPr="00F01BFF">
        <w:rPr>
          <w:b/>
          <w:sz w:val="28"/>
          <w:szCs w:val="28"/>
        </w:rPr>
        <w:t>report to the Committee</w:t>
      </w:r>
      <w:r>
        <w:rPr>
          <w:b/>
          <w:sz w:val="28"/>
          <w:szCs w:val="28"/>
        </w:rPr>
        <w:t xml:space="preserve"> on the Rights of the Child</w:t>
      </w:r>
    </w:p>
    <w:p w:rsidR="005723E5" w:rsidRDefault="005723E5" w:rsidP="005E7FE5">
      <w:pPr>
        <w:pStyle w:val="Header"/>
        <w:spacing w:after="120"/>
        <w:ind w:left="482" w:hanging="482"/>
        <w:rPr>
          <w:sz w:val="26"/>
          <w:szCs w:val="26"/>
        </w:rPr>
      </w:pPr>
      <w:r>
        <w:rPr>
          <w:sz w:val="26"/>
          <w:szCs w:val="26"/>
        </w:rPr>
        <w:t xml:space="preserve">1.1 At the time of preparing this briefing, the fourth </w:t>
      </w:r>
      <w:r w:rsidRPr="00483F29">
        <w:rPr>
          <w:sz w:val="26"/>
          <w:szCs w:val="26"/>
        </w:rPr>
        <w:t xml:space="preserve">state party report to the Committee on </w:t>
      </w:r>
      <w:r>
        <w:rPr>
          <w:sz w:val="26"/>
          <w:szCs w:val="26"/>
        </w:rPr>
        <w:t>the Rights of the Child</w:t>
      </w:r>
      <w:r w:rsidRPr="00483F29">
        <w:rPr>
          <w:sz w:val="26"/>
          <w:szCs w:val="26"/>
        </w:rPr>
        <w:t xml:space="preserve"> </w:t>
      </w:r>
      <w:r>
        <w:rPr>
          <w:sz w:val="26"/>
          <w:szCs w:val="26"/>
        </w:rPr>
        <w:t>is available only in Arabic.</w:t>
      </w:r>
    </w:p>
    <w:p w:rsidR="005723E5" w:rsidRDefault="005723E5" w:rsidP="005E7FE5">
      <w:pPr>
        <w:pStyle w:val="Header"/>
        <w:spacing w:after="120"/>
        <w:ind w:left="482" w:hanging="482"/>
        <w:rPr>
          <w:sz w:val="26"/>
          <w:szCs w:val="26"/>
        </w:rPr>
      </w:pPr>
    </w:p>
    <w:p w:rsidR="005723E5" w:rsidRPr="00F01BFF" w:rsidRDefault="005723E5" w:rsidP="005E7FE5">
      <w:pPr>
        <w:spacing w:after="120"/>
        <w:ind w:left="482" w:hanging="482"/>
        <w:rPr>
          <w:sz w:val="28"/>
          <w:szCs w:val="28"/>
        </w:rPr>
      </w:pPr>
      <w:r>
        <w:rPr>
          <w:b/>
          <w:sz w:val="28"/>
          <w:szCs w:val="28"/>
        </w:rPr>
        <w:t>2 The legality of c</w:t>
      </w:r>
      <w:r w:rsidRPr="00F01BFF">
        <w:rPr>
          <w:b/>
          <w:sz w:val="28"/>
          <w:szCs w:val="28"/>
        </w:rPr>
        <w:t xml:space="preserve">orporal punishment of children in </w:t>
      </w:r>
      <w:r>
        <w:rPr>
          <w:b/>
          <w:sz w:val="28"/>
          <w:szCs w:val="28"/>
        </w:rPr>
        <w:t>Yemen</w:t>
      </w:r>
    </w:p>
    <w:p w:rsidR="005723E5" w:rsidRPr="00584C6C" w:rsidRDefault="005723E5" w:rsidP="00584C6C">
      <w:pPr>
        <w:spacing w:after="120"/>
        <w:ind w:left="482" w:hanging="482"/>
        <w:rPr>
          <w:sz w:val="26"/>
          <w:szCs w:val="26"/>
        </w:rPr>
      </w:pPr>
      <w:r w:rsidRPr="00584C6C">
        <w:rPr>
          <w:sz w:val="26"/>
          <w:szCs w:val="26"/>
        </w:rPr>
        <w:t xml:space="preserve">2.1 </w:t>
      </w:r>
      <w:r w:rsidRPr="00584C6C">
        <w:rPr>
          <w:i/>
          <w:sz w:val="26"/>
          <w:szCs w:val="26"/>
        </w:rPr>
        <w:t>Summary:</w:t>
      </w:r>
      <w:r w:rsidRPr="00584C6C">
        <w:rPr>
          <w:sz w:val="26"/>
          <w:szCs w:val="26"/>
        </w:rPr>
        <w:t xml:space="preserve"> In Yemen, corporal punishment of children is unlawful in schools and penal institutions but it is lawful in the home, alternative care settings and as a sentence for crime.</w:t>
      </w:r>
    </w:p>
    <w:p w:rsidR="005723E5" w:rsidRPr="00584C6C" w:rsidRDefault="005723E5" w:rsidP="00584C6C">
      <w:pPr>
        <w:spacing w:after="120"/>
        <w:ind w:left="482" w:hanging="482"/>
        <w:rPr>
          <w:sz w:val="26"/>
          <w:szCs w:val="26"/>
        </w:rPr>
      </w:pPr>
      <w:r w:rsidRPr="00584C6C">
        <w:rPr>
          <w:sz w:val="26"/>
          <w:szCs w:val="26"/>
        </w:rPr>
        <w:t xml:space="preserve">2.2 </w:t>
      </w:r>
      <w:r w:rsidRPr="00584C6C">
        <w:rPr>
          <w:i/>
          <w:sz w:val="26"/>
          <w:szCs w:val="26"/>
        </w:rPr>
        <w:t>Home (</w:t>
      </w:r>
      <w:r w:rsidRPr="00584C6C">
        <w:rPr>
          <w:i/>
          <w:sz w:val="26"/>
          <w:szCs w:val="26"/>
          <w:u w:val="single"/>
        </w:rPr>
        <w:t>lawful</w:t>
      </w:r>
      <w:r w:rsidRPr="00584C6C">
        <w:rPr>
          <w:i/>
          <w:sz w:val="26"/>
          <w:szCs w:val="26"/>
        </w:rPr>
        <w:t>):</w:t>
      </w:r>
      <w:r w:rsidRPr="00584C6C">
        <w:rPr>
          <w:sz w:val="26"/>
          <w:szCs w:val="26"/>
        </w:rPr>
        <w:t xml:space="preserve"> Article 146 of the Children’s Rights Act 2002 confirms “the legal and legislative rights of parents to discipline their children”. Provisions against violence and abuse in the Children’s Rights Act, the Criminal Code 1994 and the Protection Against Domestic Violence Act 2008 are not interpreted as prohibiting corporal punishment in childrearing. In 2010, amendments to the Criminal Code and the Children’s Rights Act were under discussion which had been drafted with a view to addressing corporal punishment but at that time proposed provisions included confirmation of the “right to discipline children”: we have no further information. In 2011, the Constitution was under review.</w:t>
      </w:r>
    </w:p>
    <w:p w:rsidR="005723E5" w:rsidRPr="00584C6C" w:rsidRDefault="005723E5" w:rsidP="00584C6C">
      <w:pPr>
        <w:spacing w:after="120"/>
        <w:ind w:left="482" w:hanging="482"/>
        <w:rPr>
          <w:b/>
          <w:i/>
          <w:iCs/>
          <w:sz w:val="26"/>
          <w:szCs w:val="26"/>
          <w:u w:val="single"/>
        </w:rPr>
      </w:pPr>
      <w:r>
        <w:rPr>
          <w:sz w:val="26"/>
          <w:szCs w:val="26"/>
        </w:rPr>
        <w:t xml:space="preserve">2.3 </w:t>
      </w:r>
      <w:r w:rsidRPr="00584C6C">
        <w:rPr>
          <w:i/>
          <w:sz w:val="26"/>
          <w:szCs w:val="26"/>
        </w:rPr>
        <w:t>Schools (</w:t>
      </w:r>
      <w:r w:rsidRPr="00584C6C">
        <w:rPr>
          <w:i/>
          <w:sz w:val="26"/>
          <w:szCs w:val="26"/>
          <w:u w:val="single"/>
        </w:rPr>
        <w:t>unlawful</w:t>
      </w:r>
      <w:r w:rsidRPr="00584C6C">
        <w:rPr>
          <w:i/>
          <w:sz w:val="26"/>
          <w:szCs w:val="26"/>
        </w:rPr>
        <w:t xml:space="preserve">): </w:t>
      </w:r>
      <w:r w:rsidRPr="00584C6C">
        <w:rPr>
          <w:sz w:val="26"/>
          <w:szCs w:val="26"/>
        </w:rPr>
        <w:t>Corporal punishment is explicitly prohibited in schools by article 68 of the regulations governing school punishment 2001. The Ministry of Education developed a manual on alternatives to corporal punishment for inclusion in the 2008 teacher training package.</w:t>
      </w:r>
    </w:p>
    <w:p w:rsidR="005723E5" w:rsidRPr="00584C6C" w:rsidRDefault="005723E5" w:rsidP="00584C6C">
      <w:pPr>
        <w:spacing w:after="120"/>
        <w:ind w:left="482" w:hanging="482"/>
        <w:rPr>
          <w:sz w:val="26"/>
          <w:szCs w:val="26"/>
        </w:rPr>
      </w:pPr>
      <w:r>
        <w:rPr>
          <w:sz w:val="26"/>
          <w:szCs w:val="26"/>
        </w:rPr>
        <w:t xml:space="preserve">2.4 </w:t>
      </w:r>
      <w:r w:rsidRPr="00584C6C">
        <w:rPr>
          <w:i/>
          <w:sz w:val="26"/>
          <w:szCs w:val="26"/>
        </w:rPr>
        <w:t>Penal system – sentence for crime (</w:t>
      </w:r>
      <w:r w:rsidRPr="00584C6C">
        <w:rPr>
          <w:i/>
          <w:sz w:val="26"/>
          <w:szCs w:val="26"/>
          <w:u w:val="single"/>
        </w:rPr>
        <w:t>lawful</w:t>
      </w:r>
      <w:r w:rsidRPr="00584C6C">
        <w:rPr>
          <w:i/>
          <w:sz w:val="26"/>
          <w:szCs w:val="26"/>
        </w:rPr>
        <w:t xml:space="preserve">): </w:t>
      </w:r>
      <w:r w:rsidRPr="00584C6C">
        <w:rPr>
          <w:sz w:val="26"/>
          <w:szCs w:val="26"/>
        </w:rPr>
        <w:t>Article 38 of the Criminal Code 1994 provides for amputation, retribution-in-kind and flogging; according to article 31, children between 15 and 18 may be given reduced sentences; children between 7 and 15 years may receive the measures provided for in the Juvenile Welfare Act 1992, which do not include corporal punishment though it is not explicitly prohibited. The Children’s Rights Act 2002 does not prohibit doctrinal punishment (see below): a child aged 10 or under is not liable to the punishments prescribed in the Criminal Code, but a child “in full possession of his mental faculties” is liable to up to a third of the maximum penalty prescribed for the offence (article 125).</w:t>
      </w:r>
    </w:p>
    <w:p w:rsidR="005723E5" w:rsidRPr="00584C6C" w:rsidRDefault="005723E5" w:rsidP="00584C6C">
      <w:pPr>
        <w:spacing w:after="120"/>
        <w:ind w:left="482" w:hanging="482"/>
        <w:rPr>
          <w:sz w:val="26"/>
          <w:szCs w:val="26"/>
        </w:rPr>
      </w:pPr>
      <w:r>
        <w:rPr>
          <w:sz w:val="26"/>
          <w:szCs w:val="26"/>
        </w:rPr>
        <w:t xml:space="preserve">2.5 </w:t>
      </w:r>
      <w:r w:rsidRPr="00584C6C">
        <w:rPr>
          <w:sz w:val="26"/>
          <w:szCs w:val="26"/>
        </w:rPr>
        <w:t>The Criminal Code and the Code of Criminal Procedure 1994 allow for sentences of retribution (</w:t>
      </w:r>
      <w:r w:rsidRPr="00584C6C">
        <w:rPr>
          <w:i/>
          <w:sz w:val="26"/>
          <w:szCs w:val="26"/>
        </w:rPr>
        <w:t>qisas</w:t>
      </w:r>
      <w:r w:rsidRPr="00584C6C">
        <w:rPr>
          <w:sz w:val="26"/>
          <w:szCs w:val="26"/>
        </w:rPr>
        <w:t>) and doctrinal punishment (</w:t>
      </w:r>
      <w:r w:rsidRPr="00584C6C">
        <w:rPr>
          <w:i/>
          <w:sz w:val="26"/>
          <w:szCs w:val="26"/>
        </w:rPr>
        <w:t>hadd</w:t>
      </w:r>
      <w:r w:rsidRPr="00584C6C">
        <w:rPr>
          <w:sz w:val="26"/>
          <w:szCs w:val="26"/>
        </w:rPr>
        <w:t xml:space="preserve">) (Criminal Code, article 11; Criminal Procedure Code, articles 477 to 493). </w:t>
      </w:r>
      <w:r w:rsidRPr="00584C6C">
        <w:rPr>
          <w:i/>
          <w:sz w:val="26"/>
          <w:szCs w:val="26"/>
        </w:rPr>
        <w:t>Qisas</w:t>
      </w:r>
      <w:r w:rsidRPr="00584C6C">
        <w:rPr>
          <w:sz w:val="26"/>
          <w:szCs w:val="26"/>
        </w:rPr>
        <w:t xml:space="preserve"> punishments are ordered for offences against the person leading to injury or death (Criminal Code, article 13), and they involve the infliction on the defendant of the same injury for which he or she was convicted of inflicting on the victim. Many of the provisions in criminal law which protect the dignity of the offender or prohibit inhuman treatment include the clause that they “shall be without prejudice to the right of victims to claim retribution”.  </w:t>
      </w:r>
      <w:r w:rsidRPr="00584C6C">
        <w:rPr>
          <w:i/>
          <w:sz w:val="26"/>
          <w:szCs w:val="26"/>
        </w:rPr>
        <w:t>Hadd</w:t>
      </w:r>
      <w:r w:rsidRPr="00584C6C">
        <w:rPr>
          <w:sz w:val="26"/>
          <w:szCs w:val="26"/>
        </w:rPr>
        <w:t xml:space="preserve"> punishments are mandatory punishments for the offences of transgression, apostasy, banditry, theft, adultery, slander and drinking alcohol (Criminal Code, article 12). Under certain circumstances, doctrinal punishments do not apply (e.g. see Criminal Code articles 266 on adultery and 299 on theft), and the Government has stated that these grounds for non-applicability “are such as to make the use of those punishments nearly impossible”.</w:t>
      </w:r>
      <w:r w:rsidRPr="00584C6C">
        <w:rPr>
          <w:rStyle w:val="FootnoteReference"/>
          <w:sz w:val="26"/>
          <w:szCs w:val="26"/>
        </w:rPr>
        <w:footnoteReference w:id="1"/>
      </w:r>
    </w:p>
    <w:p w:rsidR="005723E5" w:rsidRPr="00584C6C" w:rsidRDefault="005723E5" w:rsidP="00584C6C">
      <w:pPr>
        <w:autoSpaceDE w:val="0"/>
        <w:spacing w:after="120"/>
        <w:ind w:left="482" w:hanging="482"/>
        <w:rPr>
          <w:sz w:val="26"/>
          <w:szCs w:val="26"/>
        </w:rPr>
      </w:pPr>
      <w:r>
        <w:rPr>
          <w:sz w:val="26"/>
          <w:szCs w:val="26"/>
        </w:rPr>
        <w:t xml:space="preserve">2.6 </w:t>
      </w:r>
      <w:r w:rsidRPr="00584C6C">
        <w:rPr>
          <w:sz w:val="26"/>
          <w:szCs w:val="26"/>
        </w:rPr>
        <w:t>The Criminal Procedure Code describes in detail how corporal punishment should be inflicted: amputation “shall be carried out by a sharp tool on the right hand at the wrist and on the foot at the ankle” (article 489); injuries inflicted in fulfilment of retribution-in-kind sentences must be carried out “by the severance of the organ described in the verdict, by means of the appropriate sharp tool, at the joint or boundary where such organ terminates” (article 491). Flogging should be inflicted with “a single soft strap, without any knots at its end”, in the presence of witnesses; men may sit or stand, women must sit; the lashing proceeds from the foot to the neck, avoiding the head, and is more severe in cases of adultery (article 492).</w:t>
      </w:r>
    </w:p>
    <w:p w:rsidR="005723E5" w:rsidRPr="00584C6C" w:rsidRDefault="005723E5" w:rsidP="00584C6C">
      <w:pPr>
        <w:autoSpaceDE w:val="0"/>
        <w:spacing w:after="120"/>
        <w:ind w:left="482" w:hanging="482"/>
        <w:rPr>
          <w:sz w:val="26"/>
          <w:szCs w:val="26"/>
        </w:rPr>
      </w:pPr>
      <w:r>
        <w:rPr>
          <w:sz w:val="26"/>
          <w:szCs w:val="26"/>
        </w:rPr>
        <w:t xml:space="preserve">2.7 </w:t>
      </w:r>
      <w:r w:rsidRPr="00584C6C">
        <w:rPr>
          <w:i/>
          <w:sz w:val="26"/>
          <w:szCs w:val="26"/>
        </w:rPr>
        <w:t>Penal system – disciplinary measure in penal institutions (</w:t>
      </w:r>
      <w:r w:rsidRPr="00584C6C">
        <w:rPr>
          <w:i/>
          <w:sz w:val="26"/>
          <w:szCs w:val="26"/>
          <w:u w:val="single"/>
        </w:rPr>
        <w:t>unlawful</w:t>
      </w:r>
      <w:r w:rsidRPr="00584C6C">
        <w:rPr>
          <w:i/>
          <w:sz w:val="26"/>
          <w:szCs w:val="26"/>
        </w:rPr>
        <w:t xml:space="preserve">): </w:t>
      </w:r>
      <w:r w:rsidRPr="00584C6C">
        <w:rPr>
          <w:sz w:val="26"/>
          <w:szCs w:val="26"/>
        </w:rPr>
        <w:t>The Constitution states in article 47(b): “Physical punishment and inhumane treatment during arrest, detention or imprisonment are prohibited.” Under article 4 of the Organisation of Prisons Act 1991 the prison director must ensure that prison staff members treat detainees humanely and with respect for their dignity. The Juvenile Welfare Act (article 14) prohibits the mistreatment of juveniles and the use of physical coercion when enforcing court rulings, though does not explicitly prohibit corporal punishment.</w:t>
      </w:r>
    </w:p>
    <w:p w:rsidR="005723E5" w:rsidRPr="00584C6C" w:rsidRDefault="005723E5" w:rsidP="00584C6C">
      <w:pPr>
        <w:autoSpaceDE w:val="0"/>
        <w:spacing w:after="120"/>
        <w:ind w:left="482" w:hanging="482"/>
        <w:rPr>
          <w:sz w:val="26"/>
          <w:szCs w:val="26"/>
        </w:rPr>
      </w:pPr>
      <w:r>
        <w:rPr>
          <w:sz w:val="26"/>
          <w:szCs w:val="26"/>
        </w:rPr>
        <w:t xml:space="preserve">2.8 </w:t>
      </w:r>
      <w:r w:rsidRPr="00584C6C">
        <w:rPr>
          <w:i/>
          <w:sz w:val="26"/>
          <w:szCs w:val="26"/>
        </w:rPr>
        <w:t>Alternative care settings (</w:t>
      </w:r>
      <w:r w:rsidRPr="00584C6C">
        <w:rPr>
          <w:i/>
          <w:sz w:val="26"/>
          <w:szCs w:val="26"/>
          <w:u w:val="single"/>
        </w:rPr>
        <w:t>lawful</w:t>
      </w:r>
      <w:r w:rsidRPr="00584C6C">
        <w:rPr>
          <w:i/>
          <w:sz w:val="26"/>
          <w:szCs w:val="26"/>
        </w:rPr>
        <w:t xml:space="preserve">): </w:t>
      </w:r>
      <w:r w:rsidRPr="00584C6C">
        <w:rPr>
          <w:sz w:val="26"/>
          <w:szCs w:val="26"/>
        </w:rPr>
        <w:t>Article 146(c) of the Children’s Rights Act 2002 applies (see under “Home”).</w:t>
      </w:r>
    </w:p>
    <w:p w:rsidR="005723E5" w:rsidRPr="005E7FE5" w:rsidRDefault="005723E5" w:rsidP="005E7FE5">
      <w:pPr>
        <w:spacing w:after="120"/>
        <w:ind w:left="482" w:hanging="482"/>
        <w:rPr>
          <w:b/>
          <w:sz w:val="26"/>
          <w:szCs w:val="26"/>
        </w:rPr>
      </w:pPr>
    </w:p>
    <w:p w:rsidR="005723E5" w:rsidRPr="00B902F0" w:rsidRDefault="005723E5" w:rsidP="005E7FE5">
      <w:pPr>
        <w:spacing w:after="120"/>
        <w:ind w:left="482" w:hanging="482"/>
        <w:rPr>
          <w:b/>
          <w:sz w:val="28"/>
          <w:szCs w:val="28"/>
        </w:rPr>
      </w:pPr>
      <w:r>
        <w:rPr>
          <w:b/>
          <w:sz w:val="28"/>
          <w:szCs w:val="28"/>
        </w:rPr>
        <w:t xml:space="preserve">3 </w:t>
      </w:r>
      <w:r w:rsidRPr="00B902F0">
        <w:rPr>
          <w:b/>
          <w:sz w:val="28"/>
          <w:szCs w:val="28"/>
        </w:rPr>
        <w:t>Recommendations by human rights treaty bodies</w:t>
      </w:r>
      <w:r>
        <w:rPr>
          <w:b/>
          <w:sz w:val="28"/>
          <w:szCs w:val="28"/>
        </w:rPr>
        <w:t xml:space="preserve"> and during the UPR</w:t>
      </w:r>
    </w:p>
    <w:p w:rsidR="005723E5" w:rsidRPr="009F2822" w:rsidRDefault="005723E5" w:rsidP="009F2822">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9F2822">
        <w:rPr>
          <w:sz w:val="26"/>
          <w:szCs w:val="26"/>
        </w:rPr>
        <w:t xml:space="preserve">3.1 </w:t>
      </w:r>
      <w:r w:rsidRPr="009F2822">
        <w:rPr>
          <w:i/>
          <w:sz w:val="26"/>
          <w:szCs w:val="26"/>
        </w:rPr>
        <w:t>CRC:</w:t>
      </w:r>
      <w:r w:rsidRPr="009F2822">
        <w:rPr>
          <w:sz w:val="26"/>
          <w:szCs w:val="26"/>
        </w:rPr>
        <w:t xml:space="preserve"> The Committee on the Rights of the Child first raised concerns about corporal punishment in Yemen in 1999 and made recommendations to address its use in families, schools and all institutions including detention centres.</w:t>
      </w:r>
      <w:r w:rsidRPr="009F2822">
        <w:rPr>
          <w:rStyle w:val="FootnoteReference"/>
          <w:sz w:val="26"/>
          <w:szCs w:val="26"/>
        </w:rPr>
        <w:footnoteReference w:id="2"/>
      </w:r>
      <w:r w:rsidRPr="009F2822">
        <w:rPr>
          <w:sz w:val="26"/>
          <w:szCs w:val="26"/>
        </w:rPr>
        <w:t xml:space="preserve"> In 2005, the again expressed concern and recommended explicit prohibition of all forms of corporal punishment, including as a sentence for crime.</w:t>
      </w:r>
      <w:r w:rsidRPr="009F2822">
        <w:rPr>
          <w:rStyle w:val="FootnoteReference"/>
          <w:sz w:val="26"/>
          <w:szCs w:val="26"/>
        </w:rPr>
        <w:footnoteReference w:id="3"/>
      </w:r>
    </w:p>
    <w:p w:rsidR="005723E5" w:rsidRPr="009F2822" w:rsidRDefault="005723E5" w:rsidP="009F2822">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9F2822">
        <w:rPr>
          <w:sz w:val="26"/>
          <w:szCs w:val="26"/>
        </w:rPr>
        <w:t xml:space="preserve">3.2 </w:t>
      </w:r>
      <w:r w:rsidRPr="009F2822">
        <w:rPr>
          <w:i/>
          <w:sz w:val="26"/>
          <w:szCs w:val="26"/>
        </w:rPr>
        <w:t>HRC:</w:t>
      </w:r>
      <w:r w:rsidRPr="009F2822">
        <w:rPr>
          <w:sz w:val="26"/>
          <w:szCs w:val="26"/>
        </w:rPr>
        <w:t xml:space="preserve"> The Human Rights Committee has recommended abolition of corporal punishment four times – in 1995</w:t>
      </w:r>
      <w:r w:rsidRPr="009F2822">
        <w:rPr>
          <w:rStyle w:val="FootnoteReference"/>
          <w:sz w:val="26"/>
          <w:szCs w:val="26"/>
        </w:rPr>
        <w:footnoteReference w:id="4"/>
      </w:r>
      <w:r w:rsidRPr="009F2822">
        <w:rPr>
          <w:sz w:val="26"/>
          <w:szCs w:val="26"/>
        </w:rPr>
        <w:t>, 2002</w:t>
      </w:r>
      <w:r w:rsidRPr="009F2822">
        <w:rPr>
          <w:rStyle w:val="FootnoteReference"/>
          <w:sz w:val="26"/>
          <w:szCs w:val="26"/>
        </w:rPr>
        <w:footnoteReference w:id="5"/>
      </w:r>
      <w:r w:rsidRPr="009F2822">
        <w:rPr>
          <w:sz w:val="26"/>
          <w:szCs w:val="26"/>
        </w:rPr>
        <w:t>, 2005</w:t>
      </w:r>
      <w:r w:rsidRPr="009F2822">
        <w:rPr>
          <w:rStyle w:val="FootnoteReference"/>
          <w:sz w:val="26"/>
          <w:szCs w:val="26"/>
        </w:rPr>
        <w:footnoteReference w:id="6"/>
      </w:r>
      <w:r w:rsidRPr="009F2822">
        <w:rPr>
          <w:sz w:val="26"/>
          <w:szCs w:val="26"/>
        </w:rPr>
        <w:t xml:space="preserve"> and 2012.</w:t>
      </w:r>
      <w:r w:rsidRPr="009F2822">
        <w:rPr>
          <w:rStyle w:val="FootnoteReference"/>
          <w:sz w:val="26"/>
          <w:szCs w:val="26"/>
        </w:rPr>
        <w:footnoteReference w:id="7"/>
      </w:r>
    </w:p>
    <w:p w:rsidR="005723E5" w:rsidRPr="009F2822" w:rsidRDefault="005723E5" w:rsidP="009F2822">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9F2822">
        <w:rPr>
          <w:sz w:val="26"/>
          <w:szCs w:val="26"/>
        </w:rPr>
        <w:t xml:space="preserve">3.3 </w:t>
      </w:r>
      <w:r w:rsidRPr="009F2822">
        <w:rPr>
          <w:i/>
          <w:sz w:val="26"/>
          <w:szCs w:val="26"/>
        </w:rPr>
        <w:t>CAT:</w:t>
      </w:r>
      <w:r w:rsidRPr="009F2822">
        <w:rPr>
          <w:sz w:val="26"/>
          <w:szCs w:val="26"/>
        </w:rPr>
        <w:t xml:space="preserve"> The Committee Against Torture recommended an end to sentences of flogging and amputation in 2004</w:t>
      </w:r>
      <w:r w:rsidRPr="009F2822">
        <w:rPr>
          <w:rStyle w:val="FootnoteReference"/>
          <w:sz w:val="26"/>
          <w:szCs w:val="26"/>
        </w:rPr>
        <w:footnoteReference w:id="8"/>
      </w:r>
      <w:r w:rsidRPr="009F2822">
        <w:rPr>
          <w:sz w:val="26"/>
          <w:szCs w:val="26"/>
        </w:rPr>
        <w:t xml:space="preserve"> and in 2010.</w:t>
      </w:r>
      <w:r w:rsidRPr="009F2822">
        <w:rPr>
          <w:rStyle w:val="FootnoteReference"/>
          <w:sz w:val="26"/>
          <w:szCs w:val="26"/>
        </w:rPr>
        <w:footnoteReference w:id="9"/>
      </w:r>
    </w:p>
    <w:p w:rsidR="005723E5" w:rsidRPr="009F2822" w:rsidRDefault="005723E5" w:rsidP="009F2822">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9F2822">
        <w:rPr>
          <w:sz w:val="26"/>
          <w:szCs w:val="26"/>
        </w:rPr>
        <w:t xml:space="preserve">3.4 </w:t>
      </w:r>
      <w:r w:rsidRPr="009F2822">
        <w:rPr>
          <w:i/>
          <w:sz w:val="26"/>
          <w:szCs w:val="26"/>
        </w:rPr>
        <w:t>CESCR:</w:t>
      </w:r>
      <w:r w:rsidRPr="009F2822">
        <w:rPr>
          <w:sz w:val="26"/>
          <w:szCs w:val="26"/>
        </w:rPr>
        <w:t xml:space="preserve"> In 2011, the Committee on Economic, Social and Cultural Rights recommended that corporal punishment of children in Yemen be prohibited in all settings, including the home.</w:t>
      </w:r>
      <w:r w:rsidRPr="009F2822">
        <w:rPr>
          <w:rStyle w:val="FootnoteReference"/>
          <w:sz w:val="26"/>
          <w:szCs w:val="26"/>
        </w:rPr>
        <w:footnoteReference w:id="10"/>
      </w:r>
    </w:p>
    <w:p w:rsidR="005723E5" w:rsidRPr="009F2822" w:rsidRDefault="005723E5" w:rsidP="009F2822">
      <w:pPr>
        <w:pStyle w:val="SingleTxtG"/>
        <w:spacing w:line="240" w:lineRule="auto"/>
        <w:ind w:left="482" w:right="0" w:hanging="482"/>
        <w:jc w:val="left"/>
        <w:rPr>
          <w:rFonts w:eastAsia="SimSun"/>
          <w:sz w:val="26"/>
          <w:szCs w:val="26"/>
          <w:lang w:eastAsia="zh-CN"/>
        </w:rPr>
      </w:pPr>
      <w:r w:rsidRPr="009F2822">
        <w:rPr>
          <w:sz w:val="26"/>
          <w:szCs w:val="26"/>
        </w:rPr>
        <w:t xml:space="preserve">3.5 </w:t>
      </w:r>
      <w:r w:rsidRPr="009F2822">
        <w:rPr>
          <w:i/>
          <w:sz w:val="26"/>
          <w:szCs w:val="26"/>
        </w:rPr>
        <w:t>UPR:</w:t>
      </w:r>
      <w:r w:rsidRPr="009F2822">
        <w:rPr>
          <w:sz w:val="26"/>
          <w:szCs w:val="26"/>
        </w:rPr>
        <w:t xml:space="preserve"> </w:t>
      </w:r>
      <w:r w:rsidRPr="009F2822">
        <w:rPr>
          <w:rFonts w:eastAsia="SimSun"/>
          <w:sz w:val="26"/>
          <w:szCs w:val="26"/>
          <w:lang w:eastAsia="zh-CN"/>
        </w:rPr>
        <w:t>Yemen was reviewed in the first cycle of the Universal Periodic Review in 2009 (session 5). The Government accepted a recommendation to “stop the sentencing of children to any form of physical punishment” but rejected recommendations to “abolish torture and other cruel, inhuman and degrading treatment in all forms, in particular stoning, flogging and the amputation of limbs, and the execution of minors, as recommended by the Human Rights Committee and the relevant special mandate holders, respectively” and to “abolish corporal punishments such as flogging and, in a few cases, amputation of limbs, as they are in violation of article 7 of ICCPR”.</w:t>
      </w:r>
      <w:r w:rsidRPr="009F2822">
        <w:rPr>
          <w:rStyle w:val="FootnoteReference"/>
          <w:rFonts w:eastAsia="SimSun"/>
          <w:sz w:val="26"/>
          <w:szCs w:val="26"/>
          <w:lang w:eastAsia="zh-CN"/>
        </w:rPr>
        <w:footnoteReference w:id="11"/>
      </w:r>
    </w:p>
    <w:p w:rsidR="005723E5" w:rsidRPr="009F2822" w:rsidRDefault="005723E5" w:rsidP="009F2822">
      <w:pPr>
        <w:tabs>
          <w:tab w:val="left" w:pos="8244"/>
          <w:tab w:val="left" w:pos="9160"/>
          <w:tab w:val="left" w:pos="10076"/>
          <w:tab w:val="left" w:pos="10992"/>
          <w:tab w:val="left" w:pos="11908"/>
          <w:tab w:val="left" w:pos="12824"/>
          <w:tab w:val="left" w:pos="13740"/>
          <w:tab w:val="left" w:pos="14656"/>
        </w:tabs>
        <w:spacing w:after="120"/>
        <w:ind w:left="482" w:hanging="482"/>
        <w:rPr>
          <w:i/>
          <w:sz w:val="26"/>
          <w:szCs w:val="26"/>
        </w:rPr>
      </w:pPr>
    </w:p>
    <w:p w:rsidR="005723E5" w:rsidRDefault="005723E5" w:rsidP="001C0859">
      <w:pPr>
        <w:tabs>
          <w:tab w:val="left" w:pos="8244"/>
          <w:tab w:val="left" w:pos="9160"/>
          <w:tab w:val="left" w:pos="10076"/>
          <w:tab w:val="left" w:pos="10992"/>
          <w:tab w:val="left" w:pos="11908"/>
          <w:tab w:val="left" w:pos="12824"/>
          <w:tab w:val="left" w:pos="13740"/>
          <w:tab w:val="left" w:pos="14656"/>
        </w:tabs>
        <w:rPr>
          <w:i/>
        </w:rPr>
      </w:pPr>
      <w:r>
        <w:rPr>
          <w:i/>
        </w:rPr>
        <w:t>Briefing prepared by the Global Initiative to End All Corporal Punishment of Children</w:t>
      </w:r>
    </w:p>
    <w:p w:rsidR="005723E5" w:rsidRDefault="005723E5" w:rsidP="001C0859">
      <w:pPr>
        <w:tabs>
          <w:tab w:val="left" w:pos="8244"/>
          <w:tab w:val="left" w:pos="9160"/>
          <w:tab w:val="left" w:pos="10076"/>
          <w:tab w:val="left" w:pos="10992"/>
          <w:tab w:val="left" w:pos="11908"/>
          <w:tab w:val="left" w:pos="12824"/>
          <w:tab w:val="left" w:pos="13740"/>
          <w:tab w:val="left" w:pos="14656"/>
        </w:tabs>
        <w:rPr>
          <w:i/>
        </w:rPr>
      </w:pPr>
      <w:hyperlink r:id="rId9" w:history="1">
        <w:r w:rsidRPr="00572F5B">
          <w:rPr>
            <w:rStyle w:val="Hyperlink"/>
            <w:i/>
          </w:rPr>
          <w:t>www.endcorporalpunishment.org</w:t>
        </w:r>
      </w:hyperlink>
      <w:r>
        <w:rPr>
          <w:i/>
        </w:rPr>
        <w:t xml:space="preserve">; </w:t>
      </w:r>
      <w:hyperlink r:id="rId10" w:history="1">
        <w:r w:rsidRPr="00572F5B">
          <w:rPr>
            <w:rStyle w:val="Hyperlink"/>
            <w:i/>
          </w:rPr>
          <w:t>info@endcorporalpunishment.org</w:t>
        </w:r>
      </w:hyperlink>
    </w:p>
    <w:p w:rsidR="005723E5" w:rsidRDefault="005723E5" w:rsidP="009F2822">
      <w:pPr>
        <w:tabs>
          <w:tab w:val="left" w:pos="8244"/>
          <w:tab w:val="left" w:pos="9160"/>
          <w:tab w:val="left" w:pos="10076"/>
          <w:tab w:val="left" w:pos="10992"/>
          <w:tab w:val="left" w:pos="11908"/>
          <w:tab w:val="left" w:pos="12824"/>
          <w:tab w:val="left" w:pos="13740"/>
          <w:tab w:val="left" w:pos="14656"/>
        </w:tabs>
      </w:pPr>
      <w:r>
        <w:rPr>
          <w:i/>
        </w:rPr>
        <w:t>March 2013</w:t>
      </w:r>
    </w:p>
    <w:sectPr w:rsidR="005723E5" w:rsidSect="00E90F1D">
      <w:headerReference w:type="even" r:id="rId11"/>
      <w:headerReference w:type="default" r:id="rId12"/>
      <w:footerReference w:type="even" r:id="rId13"/>
      <w:footerReference w:type="default" r:id="rId14"/>
      <w:headerReference w:type="first" r:id="rId15"/>
      <w:footerReference w:type="first" r:id="rId16"/>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23E5" w:rsidRDefault="005723E5">
      <w:r>
        <w:separator/>
      </w:r>
    </w:p>
  </w:endnote>
  <w:endnote w:type="continuationSeparator" w:id="0">
    <w:p w:rsidR="005723E5" w:rsidRDefault="005723E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Courier New"/>
    <w:panose1 w:val="00000000000000000000"/>
    <w:charset w:val="00"/>
    <w:family w:val="auto"/>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SimSun">
    <w:altName w:val="??¨¬?"/>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3E5" w:rsidRDefault="005723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723E5" w:rsidRDefault="005723E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3E5" w:rsidRDefault="005723E5">
    <w:pPr>
      <w:pStyle w:val="Footer"/>
      <w:jc w:val="center"/>
    </w:pPr>
    <w:fldSimple w:instr=" PAGE   \* MERGEFORMAT ">
      <w:r>
        <w:rPr>
          <w:noProof/>
        </w:rPr>
        <w:t>1</w:t>
      </w:r>
    </w:fldSimple>
  </w:p>
  <w:p w:rsidR="005723E5" w:rsidRDefault="005723E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3E5" w:rsidRDefault="005723E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23E5" w:rsidRDefault="005723E5">
      <w:r>
        <w:separator/>
      </w:r>
    </w:p>
  </w:footnote>
  <w:footnote w:type="continuationSeparator" w:id="0">
    <w:p w:rsidR="005723E5" w:rsidRDefault="005723E5">
      <w:r>
        <w:continuationSeparator/>
      </w:r>
    </w:p>
  </w:footnote>
  <w:footnote w:id="1">
    <w:p w:rsidR="005723E5" w:rsidRDefault="005723E5">
      <w:pPr>
        <w:pStyle w:val="FootnoteText"/>
      </w:pPr>
      <w:r w:rsidRPr="009F2822">
        <w:rPr>
          <w:rStyle w:val="FootnoteReference"/>
        </w:rPr>
        <w:footnoteRef/>
      </w:r>
      <w:r w:rsidRPr="009F2822">
        <w:t xml:space="preserve"> 23 February 2004, CCPR/C/YEM/2004/4, Fourth state party report to the Human Rights Committee, para. 167</w:t>
      </w:r>
    </w:p>
  </w:footnote>
  <w:footnote w:id="2">
    <w:p w:rsidR="005723E5" w:rsidRDefault="005723E5">
      <w:pPr>
        <w:pStyle w:val="FootnoteText"/>
      </w:pPr>
      <w:r w:rsidRPr="009F2822">
        <w:rPr>
          <w:rStyle w:val="FootnoteReference"/>
        </w:rPr>
        <w:footnoteRef/>
      </w:r>
      <w:r w:rsidRPr="009F2822">
        <w:t xml:space="preserve"> 10 May 1999, CRC/C/15/Add.102, Concluding observations on second report, paras. 21 and 34</w:t>
      </w:r>
    </w:p>
  </w:footnote>
  <w:footnote w:id="3">
    <w:p w:rsidR="005723E5" w:rsidRDefault="005723E5">
      <w:pPr>
        <w:pStyle w:val="FootnoteText"/>
      </w:pPr>
      <w:r w:rsidRPr="009F2822">
        <w:rPr>
          <w:rStyle w:val="FootnoteReference"/>
        </w:rPr>
        <w:footnoteRef/>
      </w:r>
      <w:r w:rsidRPr="009F2822">
        <w:t xml:space="preserve"> 21 September 2005, CRC/C/15/Add.267, Concluding observations on third report, paras. 41, 42 and 43</w:t>
      </w:r>
    </w:p>
  </w:footnote>
  <w:footnote w:id="4">
    <w:p w:rsidR="005723E5" w:rsidRDefault="005723E5">
      <w:pPr>
        <w:pStyle w:val="FootnoteText"/>
      </w:pPr>
      <w:r w:rsidRPr="009F2822">
        <w:rPr>
          <w:rStyle w:val="FootnoteReference"/>
        </w:rPr>
        <w:footnoteRef/>
      </w:r>
      <w:r w:rsidRPr="009F2822">
        <w:t xml:space="preserve"> 3 October 1995, CCPR/C/79/Add.51; A/50/40, paras. 242-265, Concluding observations on second report, paras. 256 and 262</w:t>
      </w:r>
    </w:p>
  </w:footnote>
  <w:footnote w:id="5">
    <w:p w:rsidR="005723E5" w:rsidRDefault="005723E5">
      <w:pPr>
        <w:pStyle w:val="FootnoteText"/>
      </w:pPr>
      <w:r w:rsidRPr="009F2822">
        <w:rPr>
          <w:rStyle w:val="FootnoteReference"/>
        </w:rPr>
        <w:footnoteRef/>
      </w:r>
      <w:r w:rsidRPr="009F2822">
        <w:t xml:space="preserve"> 26 July 2002, CCPR/CO/75/YEM, Concluding observations on third report, para. 16</w:t>
      </w:r>
    </w:p>
  </w:footnote>
  <w:footnote w:id="6">
    <w:p w:rsidR="005723E5" w:rsidRDefault="005723E5">
      <w:pPr>
        <w:pStyle w:val="FootnoteText"/>
      </w:pPr>
      <w:r w:rsidRPr="009F2822">
        <w:rPr>
          <w:rStyle w:val="FootnoteReference"/>
        </w:rPr>
        <w:footnoteRef/>
      </w:r>
      <w:r w:rsidRPr="009F2822">
        <w:t xml:space="preserve"> 9 August 2005, CCPR/CO/84/YEM, Concluding observations on fourth report, para. 16</w:t>
      </w:r>
    </w:p>
  </w:footnote>
  <w:footnote w:id="7">
    <w:p w:rsidR="005723E5" w:rsidRDefault="005723E5">
      <w:pPr>
        <w:pStyle w:val="FootnoteText"/>
      </w:pPr>
      <w:r w:rsidRPr="009F2822">
        <w:rPr>
          <w:rStyle w:val="FootnoteReference"/>
        </w:rPr>
        <w:footnoteRef/>
      </w:r>
      <w:r w:rsidRPr="009F2822">
        <w:t xml:space="preserve"> ([April 2012], CCPR/C/YEM/CO/5 Advance Unedited Version, Concluding observations on fifth report, para. 20</w:t>
      </w:r>
    </w:p>
  </w:footnote>
  <w:footnote w:id="8">
    <w:p w:rsidR="005723E5" w:rsidRDefault="005723E5">
      <w:pPr>
        <w:pStyle w:val="FootnoteText"/>
      </w:pPr>
      <w:r w:rsidRPr="009F2822">
        <w:rPr>
          <w:rStyle w:val="FootnoteReference"/>
        </w:rPr>
        <w:footnoteRef/>
      </w:r>
      <w:r w:rsidRPr="009F2822">
        <w:t xml:space="preserve"> 5 February 2004, CAT/C/CR/31/4, Concluding observations on initial report, paras. 6 and 7</w:t>
      </w:r>
    </w:p>
  </w:footnote>
  <w:footnote w:id="9">
    <w:p w:rsidR="005723E5" w:rsidRDefault="005723E5">
      <w:pPr>
        <w:pStyle w:val="FootnoteText"/>
      </w:pPr>
      <w:r w:rsidRPr="009F2822">
        <w:rPr>
          <w:rStyle w:val="FootnoteReference"/>
        </w:rPr>
        <w:footnoteRef/>
      </w:r>
      <w:r w:rsidRPr="009F2822">
        <w:t xml:space="preserve"> 25 May 2010, CAT/C/YEM/CO/2/Rev.1, Concluding observations on second report, para. 18</w:t>
      </w:r>
    </w:p>
  </w:footnote>
  <w:footnote w:id="10">
    <w:p w:rsidR="005723E5" w:rsidRDefault="005723E5">
      <w:pPr>
        <w:pStyle w:val="FootnoteText"/>
      </w:pPr>
      <w:r w:rsidRPr="009F2822">
        <w:rPr>
          <w:rStyle w:val="FootnoteReference"/>
        </w:rPr>
        <w:footnoteRef/>
      </w:r>
      <w:r w:rsidRPr="009F2822">
        <w:t xml:space="preserve"> 1 June 2011, E/C.12/YEM/CO/2, Concluding observations on second report, para. 22</w:t>
      </w:r>
    </w:p>
  </w:footnote>
  <w:footnote w:id="11">
    <w:p w:rsidR="005723E5" w:rsidRDefault="005723E5">
      <w:pPr>
        <w:pStyle w:val="FootnoteText"/>
      </w:pPr>
      <w:r w:rsidRPr="009F2822">
        <w:rPr>
          <w:rStyle w:val="FootnoteReference"/>
        </w:rPr>
        <w:footnoteRef/>
      </w:r>
      <w:r w:rsidRPr="009F2822">
        <w:t xml:space="preserve"> </w:t>
      </w:r>
      <w:r w:rsidRPr="009F2822">
        <w:rPr>
          <w:rFonts w:eastAsia="SimSun"/>
          <w:lang w:val="en-US" w:eastAsia="zh-CN"/>
        </w:rPr>
        <w:t>5 June 2009, A/HRC/12/13, Report of the working group, paras. 91(54), 94(9) and 94(10)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3E5" w:rsidRDefault="005723E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3E5" w:rsidRDefault="005723E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3E5" w:rsidRDefault="005723E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3A228E"/>
    <w:multiLevelType w:val="hybridMultilevel"/>
    <w:tmpl w:val="CDD88022"/>
    <w:lvl w:ilvl="0" w:tplc="100C0017">
      <w:start w:val="1"/>
      <w:numFmt w:val="lowerLetter"/>
      <w:lvlText w:val="%1)"/>
      <w:lvlJc w:val="left"/>
      <w:pPr>
        <w:ind w:left="720" w:hanging="360"/>
      </w:pPr>
      <w:rPr>
        <w:rFonts w:cs="Times New Roman"/>
      </w:rPr>
    </w:lvl>
    <w:lvl w:ilvl="1" w:tplc="100C0017">
      <w:start w:val="1"/>
      <w:numFmt w:val="lowerLetter"/>
      <w:lvlText w:val="%2)"/>
      <w:lvlJc w:val="left"/>
      <w:pPr>
        <w:ind w:left="1440" w:hanging="360"/>
      </w:pPr>
      <w:rPr>
        <w:rFonts w:cs="Times New Roman"/>
      </w:rPr>
    </w:lvl>
    <w:lvl w:ilvl="2" w:tplc="100C001B" w:tentative="1">
      <w:start w:val="1"/>
      <w:numFmt w:val="lowerRoman"/>
      <w:lvlText w:val="%3."/>
      <w:lvlJc w:val="right"/>
      <w:pPr>
        <w:ind w:left="2160" w:hanging="180"/>
      </w:pPr>
      <w:rPr>
        <w:rFonts w:cs="Times New Roman"/>
      </w:rPr>
    </w:lvl>
    <w:lvl w:ilvl="3" w:tplc="100C000F" w:tentative="1">
      <w:start w:val="1"/>
      <w:numFmt w:val="decimal"/>
      <w:lvlText w:val="%4."/>
      <w:lvlJc w:val="left"/>
      <w:pPr>
        <w:ind w:left="2880" w:hanging="360"/>
      </w:pPr>
      <w:rPr>
        <w:rFonts w:cs="Times New Roman"/>
      </w:rPr>
    </w:lvl>
    <w:lvl w:ilvl="4" w:tplc="100C0019" w:tentative="1">
      <w:start w:val="1"/>
      <w:numFmt w:val="lowerLetter"/>
      <w:lvlText w:val="%5."/>
      <w:lvlJc w:val="left"/>
      <w:pPr>
        <w:ind w:left="3600" w:hanging="360"/>
      </w:pPr>
      <w:rPr>
        <w:rFonts w:cs="Times New Roman"/>
      </w:rPr>
    </w:lvl>
    <w:lvl w:ilvl="5" w:tplc="100C001B" w:tentative="1">
      <w:start w:val="1"/>
      <w:numFmt w:val="lowerRoman"/>
      <w:lvlText w:val="%6."/>
      <w:lvlJc w:val="right"/>
      <w:pPr>
        <w:ind w:left="4320" w:hanging="180"/>
      </w:pPr>
      <w:rPr>
        <w:rFonts w:cs="Times New Roman"/>
      </w:rPr>
    </w:lvl>
    <w:lvl w:ilvl="6" w:tplc="100C000F" w:tentative="1">
      <w:start w:val="1"/>
      <w:numFmt w:val="decimal"/>
      <w:lvlText w:val="%7."/>
      <w:lvlJc w:val="left"/>
      <w:pPr>
        <w:ind w:left="5040" w:hanging="360"/>
      </w:pPr>
      <w:rPr>
        <w:rFonts w:cs="Times New Roman"/>
      </w:rPr>
    </w:lvl>
    <w:lvl w:ilvl="7" w:tplc="100C0019" w:tentative="1">
      <w:start w:val="1"/>
      <w:numFmt w:val="lowerLetter"/>
      <w:lvlText w:val="%8."/>
      <w:lvlJc w:val="left"/>
      <w:pPr>
        <w:ind w:left="5760" w:hanging="360"/>
      </w:pPr>
      <w:rPr>
        <w:rFonts w:cs="Times New Roman"/>
      </w:rPr>
    </w:lvl>
    <w:lvl w:ilvl="8" w:tplc="100C001B" w:tentative="1">
      <w:start w:val="1"/>
      <w:numFmt w:val="lowerRoman"/>
      <w:lvlText w:val="%9."/>
      <w:lvlJc w:val="right"/>
      <w:pPr>
        <w:ind w:left="6480" w:hanging="180"/>
      </w:pPr>
      <w:rPr>
        <w:rFonts w:cs="Times New Roman"/>
      </w:rPr>
    </w:lvl>
  </w:abstractNum>
  <w:abstractNum w:abstractNumId="2">
    <w:nsid w:val="314F6E8D"/>
    <w:multiLevelType w:val="hybridMultilevel"/>
    <w:tmpl w:val="4030E9B6"/>
    <w:lvl w:ilvl="0" w:tplc="2F367962">
      <w:start w:val="1"/>
      <w:numFmt w:val="lowerRoman"/>
      <w:lvlText w:val="(%1)"/>
      <w:lvlJc w:val="left"/>
      <w:pPr>
        <w:ind w:left="720" w:hanging="72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66B758E7"/>
    <w:multiLevelType w:val="hybridMultilevel"/>
    <w:tmpl w:val="C450D132"/>
    <w:lvl w:ilvl="0" w:tplc="04090017">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7"/>
  </w:num>
  <w:num w:numId="3">
    <w:abstractNumId w:val="8"/>
  </w:num>
  <w:num w:numId="4">
    <w:abstractNumId w:val="2"/>
  </w:num>
  <w:num w:numId="5">
    <w:abstractNumId w:val="5"/>
  </w:num>
  <w:num w:numId="6">
    <w:abstractNumId w:val="4"/>
  </w:num>
  <w:num w:numId="7">
    <w:abstractNumId w:val="6"/>
  </w:num>
  <w:num w:numId="8">
    <w:abstractNumId w:val="0"/>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noPunctuationKerning/>
  <w:characterSpacingControl w:val="doNotCompres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25EE"/>
    <w:rsid w:val="000002B3"/>
    <w:rsid w:val="000176F0"/>
    <w:rsid w:val="000217BF"/>
    <w:rsid w:val="000622FD"/>
    <w:rsid w:val="00065B23"/>
    <w:rsid w:val="00095574"/>
    <w:rsid w:val="000A2278"/>
    <w:rsid w:val="000C1BFB"/>
    <w:rsid w:val="000C258F"/>
    <w:rsid w:val="000C2E75"/>
    <w:rsid w:val="000C4E7B"/>
    <w:rsid w:val="000D2264"/>
    <w:rsid w:val="000D3716"/>
    <w:rsid w:val="00102ECE"/>
    <w:rsid w:val="00105C4C"/>
    <w:rsid w:val="001174EC"/>
    <w:rsid w:val="00131A88"/>
    <w:rsid w:val="001356A2"/>
    <w:rsid w:val="0014488F"/>
    <w:rsid w:val="00147F85"/>
    <w:rsid w:val="00150855"/>
    <w:rsid w:val="00162F5A"/>
    <w:rsid w:val="00170DED"/>
    <w:rsid w:val="00186346"/>
    <w:rsid w:val="00187E2A"/>
    <w:rsid w:val="001C0859"/>
    <w:rsid w:val="001D53F4"/>
    <w:rsid w:val="001D56D4"/>
    <w:rsid w:val="001E140B"/>
    <w:rsid w:val="001F68F0"/>
    <w:rsid w:val="00205A1A"/>
    <w:rsid w:val="00215035"/>
    <w:rsid w:val="00220BD0"/>
    <w:rsid w:val="002230EE"/>
    <w:rsid w:val="00232740"/>
    <w:rsid w:val="00237875"/>
    <w:rsid w:val="00242520"/>
    <w:rsid w:val="002638C7"/>
    <w:rsid w:val="00264AF9"/>
    <w:rsid w:val="00272F68"/>
    <w:rsid w:val="002A01E3"/>
    <w:rsid w:val="002A06FC"/>
    <w:rsid w:val="002A7206"/>
    <w:rsid w:val="002C2E26"/>
    <w:rsid w:val="002D6FD4"/>
    <w:rsid w:val="002E09C9"/>
    <w:rsid w:val="002E4E5B"/>
    <w:rsid w:val="002E70F4"/>
    <w:rsid w:val="002F0ECE"/>
    <w:rsid w:val="003054F7"/>
    <w:rsid w:val="00306C1D"/>
    <w:rsid w:val="00307A90"/>
    <w:rsid w:val="00315F04"/>
    <w:rsid w:val="00316151"/>
    <w:rsid w:val="00322E14"/>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414428"/>
    <w:rsid w:val="00425F3B"/>
    <w:rsid w:val="00437B2C"/>
    <w:rsid w:val="00441CD3"/>
    <w:rsid w:val="00452298"/>
    <w:rsid w:val="00463C10"/>
    <w:rsid w:val="004720C4"/>
    <w:rsid w:val="004737EE"/>
    <w:rsid w:val="00483F29"/>
    <w:rsid w:val="00490379"/>
    <w:rsid w:val="00496A97"/>
    <w:rsid w:val="004C053B"/>
    <w:rsid w:val="004C3E11"/>
    <w:rsid w:val="004D0FF8"/>
    <w:rsid w:val="004D4BCC"/>
    <w:rsid w:val="004D68EA"/>
    <w:rsid w:val="004E25EB"/>
    <w:rsid w:val="004E431B"/>
    <w:rsid w:val="004E4E1B"/>
    <w:rsid w:val="004E691B"/>
    <w:rsid w:val="004F5801"/>
    <w:rsid w:val="004F70CD"/>
    <w:rsid w:val="00501B6B"/>
    <w:rsid w:val="00517458"/>
    <w:rsid w:val="00520D79"/>
    <w:rsid w:val="005223A5"/>
    <w:rsid w:val="00543B9A"/>
    <w:rsid w:val="0055414A"/>
    <w:rsid w:val="0056432B"/>
    <w:rsid w:val="005723E5"/>
    <w:rsid w:val="00572F5B"/>
    <w:rsid w:val="00574FE3"/>
    <w:rsid w:val="00581B3E"/>
    <w:rsid w:val="00581D48"/>
    <w:rsid w:val="00584C6C"/>
    <w:rsid w:val="00597780"/>
    <w:rsid w:val="00597BD9"/>
    <w:rsid w:val="005A66D2"/>
    <w:rsid w:val="005B26CA"/>
    <w:rsid w:val="005C4DDD"/>
    <w:rsid w:val="005E2DC2"/>
    <w:rsid w:val="005E35E7"/>
    <w:rsid w:val="005E7FE5"/>
    <w:rsid w:val="00605D18"/>
    <w:rsid w:val="006101B1"/>
    <w:rsid w:val="0061376B"/>
    <w:rsid w:val="0061399F"/>
    <w:rsid w:val="00620FAB"/>
    <w:rsid w:val="006215DC"/>
    <w:rsid w:val="0062349A"/>
    <w:rsid w:val="00623A0A"/>
    <w:rsid w:val="0062663B"/>
    <w:rsid w:val="00635B11"/>
    <w:rsid w:val="00655F1A"/>
    <w:rsid w:val="00681915"/>
    <w:rsid w:val="00683622"/>
    <w:rsid w:val="0069614F"/>
    <w:rsid w:val="006A2DC8"/>
    <w:rsid w:val="006B237E"/>
    <w:rsid w:val="006B76CE"/>
    <w:rsid w:val="006C6EBB"/>
    <w:rsid w:val="006D40C4"/>
    <w:rsid w:val="006E3A2C"/>
    <w:rsid w:val="006E6660"/>
    <w:rsid w:val="00716CCE"/>
    <w:rsid w:val="00723CE2"/>
    <w:rsid w:val="00737E41"/>
    <w:rsid w:val="007604D4"/>
    <w:rsid w:val="0076254A"/>
    <w:rsid w:val="00766D98"/>
    <w:rsid w:val="00767639"/>
    <w:rsid w:val="0077355C"/>
    <w:rsid w:val="00784AEA"/>
    <w:rsid w:val="007915BB"/>
    <w:rsid w:val="00797CC8"/>
    <w:rsid w:val="007A6173"/>
    <w:rsid w:val="007B15F5"/>
    <w:rsid w:val="007B398A"/>
    <w:rsid w:val="007B4603"/>
    <w:rsid w:val="007C1A2A"/>
    <w:rsid w:val="007C22B7"/>
    <w:rsid w:val="007C6E27"/>
    <w:rsid w:val="007D2F31"/>
    <w:rsid w:val="007F25EE"/>
    <w:rsid w:val="007F791E"/>
    <w:rsid w:val="00816537"/>
    <w:rsid w:val="00817D13"/>
    <w:rsid w:val="00825FA5"/>
    <w:rsid w:val="00827320"/>
    <w:rsid w:val="008320BF"/>
    <w:rsid w:val="008331E5"/>
    <w:rsid w:val="00835EFC"/>
    <w:rsid w:val="008407E0"/>
    <w:rsid w:val="00841425"/>
    <w:rsid w:val="00847A77"/>
    <w:rsid w:val="00861D14"/>
    <w:rsid w:val="008644FA"/>
    <w:rsid w:val="00867929"/>
    <w:rsid w:val="0087342C"/>
    <w:rsid w:val="0088280B"/>
    <w:rsid w:val="008925A3"/>
    <w:rsid w:val="00896326"/>
    <w:rsid w:val="008A26A7"/>
    <w:rsid w:val="008A3955"/>
    <w:rsid w:val="008A633C"/>
    <w:rsid w:val="008B273F"/>
    <w:rsid w:val="008B74E3"/>
    <w:rsid w:val="008C11CA"/>
    <w:rsid w:val="008C78D6"/>
    <w:rsid w:val="008D4985"/>
    <w:rsid w:val="008D4A87"/>
    <w:rsid w:val="008D5519"/>
    <w:rsid w:val="008E2F21"/>
    <w:rsid w:val="008E4894"/>
    <w:rsid w:val="00902C77"/>
    <w:rsid w:val="00921E92"/>
    <w:rsid w:val="00923377"/>
    <w:rsid w:val="00924C1F"/>
    <w:rsid w:val="00963DD6"/>
    <w:rsid w:val="0098296F"/>
    <w:rsid w:val="00982E63"/>
    <w:rsid w:val="00994D13"/>
    <w:rsid w:val="009A201E"/>
    <w:rsid w:val="009A2D05"/>
    <w:rsid w:val="009B2828"/>
    <w:rsid w:val="009C24BF"/>
    <w:rsid w:val="009C25E9"/>
    <w:rsid w:val="009C2A38"/>
    <w:rsid w:val="009E0C08"/>
    <w:rsid w:val="009E25C5"/>
    <w:rsid w:val="009F2822"/>
    <w:rsid w:val="009F4B59"/>
    <w:rsid w:val="009F5901"/>
    <w:rsid w:val="00A1392E"/>
    <w:rsid w:val="00A436C7"/>
    <w:rsid w:val="00A460B6"/>
    <w:rsid w:val="00A52185"/>
    <w:rsid w:val="00A66F36"/>
    <w:rsid w:val="00AB131E"/>
    <w:rsid w:val="00AB1753"/>
    <w:rsid w:val="00AD5E1A"/>
    <w:rsid w:val="00AE43FB"/>
    <w:rsid w:val="00AF4016"/>
    <w:rsid w:val="00B1020E"/>
    <w:rsid w:val="00B14123"/>
    <w:rsid w:val="00B2447D"/>
    <w:rsid w:val="00B36E76"/>
    <w:rsid w:val="00B438B7"/>
    <w:rsid w:val="00B55728"/>
    <w:rsid w:val="00B57CFD"/>
    <w:rsid w:val="00B61ACB"/>
    <w:rsid w:val="00B73008"/>
    <w:rsid w:val="00B803B9"/>
    <w:rsid w:val="00B87C69"/>
    <w:rsid w:val="00B902F0"/>
    <w:rsid w:val="00B95040"/>
    <w:rsid w:val="00B9545D"/>
    <w:rsid w:val="00BA2A8D"/>
    <w:rsid w:val="00BB5726"/>
    <w:rsid w:val="00BB7182"/>
    <w:rsid w:val="00BD259A"/>
    <w:rsid w:val="00BD4B13"/>
    <w:rsid w:val="00C02A56"/>
    <w:rsid w:val="00C17385"/>
    <w:rsid w:val="00C252DE"/>
    <w:rsid w:val="00C37622"/>
    <w:rsid w:val="00C518E3"/>
    <w:rsid w:val="00C61D88"/>
    <w:rsid w:val="00C63547"/>
    <w:rsid w:val="00C7296B"/>
    <w:rsid w:val="00C901EC"/>
    <w:rsid w:val="00C90493"/>
    <w:rsid w:val="00C91BB2"/>
    <w:rsid w:val="00C97C42"/>
    <w:rsid w:val="00CF3C9D"/>
    <w:rsid w:val="00CF6F86"/>
    <w:rsid w:val="00D04D81"/>
    <w:rsid w:val="00D146FD"/>
    <w:rsid w:val="00D14AE4"/>
    <w:rsid w:val="00D35287"/>
    <w:rsid w:val="00D46AF1"/>
    <w:rsid w:val="00D47ABA"/>
    <w:rsid w:val="00D5594E"/>
    <w:rsid w:val="00D64999"/>
    <w:rsid w:val="00D67B66"/>
    <w:rsid w:val="00D90209"/>
    <w:rsid w:val="00DB4C9E"/>
    <w:rsid w:val="00DE45C9"/>
    <w:rsid w:val="00DE4FD8"/>
    <w:rsid w:val="00DF2A6A"/>
    <w:rsid w:val="00DF6F07"/>
    <w:rsid w:val="00DF6FBF"/>
    <w:rsid w:val="00E105D0"/>
    <w:rsid w:val="00E120C8"/>
    <w:rsid w:val="00E144EC"/>
    <w:rsid w:val="00E218F1"/>
    <w:rsid w:val="00E24EB5"/>
    <w:rsid w:val="00E262BB"/>
    <w:rsid w:val="00E348D1"/>
    <w:rsid w:val="00E37399"/>
    <w:rsid w:val="00E376CA"/>
    <w:rsid w:val="00E37F64"/>
    <w:rsid w:val="00E40781"/>
    <w:rsid w:val="00E745E0"/>
    <w:rsid w:val="00E74E94"/>
    <w:rsid w:val="00E8745C"/>
    <w:rsid w:val="00E90F1D"/>
    <w:rsid w:val="00EB5CC6"/>
    <w:rsid w:val="00EE7077"/>
    <w:rsid w:val="00EF577B"/>
    <w:rsid w:val="00EF6D99"/>
    <w:rsid w:val="00F01BFF"/>
    <w:rsid w:val="00F03CDA"/>
    <w:rsid w:val="00F22B10"/>
    <w:rsid w:val="00F27919"/>
    <w:rsid w:val="00F325F7"/>
    <w:rsid w:val="00F33F0E"/>
    <w:rsid w:val="00F47779"/>
    <w:rsid w:val="00F51705"/>
    <w:rsid w:val="00F63112"/>
    <w:rsid w:val="00F63B63"/>
    <w:rsid w:val="00F7085F"/>
    <w:rsid w:val="00F70EFA"/>
    <w:rsid w:val="00F8476D"/>
    <w:rsid w:val="00FB3818"/>
    <w:rsid w:val="00FC3D6C"/>
    <w:rsid w:val="00FD148E"/>
    <w:rsid w:val="00FE1332"/>
    <w:rsid w:val="00FE17B4"/>
    <w:rsid w:val="00FF155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lang w:val="en-GB"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en-US" w:eastAsia="en-US"/>
    </w:rPr>
  </w:style>
  <w:style w:type="paragraph" w:styleId="Heading2">
    <w:name w:val="heading 2"/>
    <w:basedOn w:val="Normal"/>
    <w:next w:val="Normal"/>
    <w:link w:val="Heading2Char"/>
    <w:uiPriority w:val="99"/>
    <w:qFormat/>
    <w:rsid w:val="00E90F1D"/>
    <w:pPr>
      <w:keepNext/>
      <w:outlineLvl w:val="1"/>
    </w:pPr>
    <w:rPr>
      <w:b/>
      <w:bCs/>
      <w:lang w:val="en-US"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9"/>
    <w:qFormat/>
    <w:rsid w:val="003C2A68"/>
    <w:pPr>
      <w:keepNext/>
      <w:spacing w:before="240" w:after="60"/>
      <w:outlineLvl w:val="3"/>
    </w:pPr>
    <w:rPr>
      <w:rFonts w:ascii="Calibri" w:hAnsi="Calibri"/>
      <w:b/>
      <w:bCs/>
      <w:sz w:val="28"/>
      <w:szCs w:val="28"/>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eading 1 Char Char"/>
    <w:basedOn w:val="DefaultParagraphFont"/>
    <w:link w:val="Heading1"/>
    <w:uiPriority w:val="99"/>
    <w:locked/>
    <w:rsid w:val="0055414A"/>
    <w:rPr>
      <w:b/>
      <w:sz w:val="24"/>
      <w:lang w:eastAsia="en-US"/>
    </w:rPr>
  </w:style>
  <w:style w:type="character" w:customStyle="1" w:styleId="Heading2Char">
    <w:name w:val="Heading 2 Char"/>
    <w:basedOn w:val="DefaultParagraphFont"/>
    <w:link w:val="Heading2"/>
    <w:uiPriority w:val="99"/>
    <w:locked/>
    <w:rsid w:val="00CF6F86"/>
    <w:rPr>
      <w:b/>
      <w:sz w:val="24"/>
      <w:lang w:eastAsia="en-US"/>
    </w:rPr>
  </w:style>
  <w:style w:type="character" w:customStyle="1" w:styleId="Heading3Char">
    <w:name w:val="Heading 3 Char"/>
    <w:basedOn w:val="DefaultParagraphFont"/>
    <w:link w:val="Heading3"/>
    <w:uiPriority w:val="99"/>
    <w:locked/>
    <w:rsid w:val="00C97C42"/>
    <w:rPr>
      <w:rFonts w:ascii="Arial" w:hAnsi="Arial"/>
      <w:sz w:val="24"/>
      <w:lang w:val="fr-FR" w:eastAsia="fr-FR"/>
    </w:rPr>
  </w:style>
  <w:style w:type="character" w:customStyle="1" w:styleId="Heading4Char">
    <w:name w:val="Heading 4 Char"/>
    <w:basedOn w:val="DefaultParagraphFont"/>
    <w:link w:val="Heading4"/>
    <w:uiPriority w:val="99"/>
    <w:semiHidden/>
    <w:locked/>
    <w:rsid w:val="003C2A68"/>
    <w:rPr>
      <w:rFonts w:ascii="Calibri" w:hAnsi="Calibri"/>
      <w:b/>
      <w:sz w:val="28"/>
    </w:rPr>
  </w:style>
  <w:style w:type="character" w:styleId="Hyperlink">
    <w:name w:val="Hyperlink"/>
    <w:basedOn w:val="DefaultParagraphFont"/>
    <w:uiPriority w:val="99"/>
    <w:rsid w:val="00E90F1D"/>
    <w:rPr>
      <w:rFonts w:cs="Times New Roman"/>
      <w:color w:val="0000FF"/>
      <w:u w:val="single"/>
    </w:rPr>
  </w:style>
  <w:style w:type="paragraph" w:styleId="FootnoteText">
    <w:name w:val="footnote text"/>
    <w:aliases w:val="single space,FOOTNOTES,fn,ft,ADB,pod carou,Footnote Text Char1 Char,Footnote Text Char2 Char Char,Footnote Text Char Char2 Char Char,Footnote Text Char1 Char Char Char,Footnote Text Char Char Char Char Char,Schriftart: 9 pt"/>
    <w:basedOn w:val="Normal"/>
    <w:link w:val="FootnoteTextChar"/>
    <w:uiPriority w:val="99"/>
    <w:rsid w:val="00E90F1D"/>
    <w:rPr>
      <w:sz w:val="20"/>
      <w:szCs w:val="20"/>
    </w:rPr>
  </w:style>
  <w:style w:type="character" w:customStyle="1" w:styleId="FootnoteTextChar">
    <w:name w:val="Footnote Text Char"/>
    <w:aliases w:val="single space Char,FOOTNOTES Char,fn Char,ft Char,ADB Char,pod carou Char,Footnote Text Char1 Char Char,Footnote Text Char2 Char Char Char,Footnote Text Char Char2 Char Char Char,Footnote Text Char1 Char Char Char Char"/>
    <w:basedOn w:val="DefaultParagraphFont"/>
    <w:link w:val="FootnoteText"/>
    <w:uiPriority w:val="99"/>
    <w:semiHidden/>
    <w:rsid w:val="00F9612A"/>
    <w:rPr>
      <w:sz w:val="20"/>
      <w:szCs w:val="20"/>
      <w:lang w:val="en-GB" w:eastAsia="en-GB"/>
    </w:rPr>
  </w:style>
  <w:style w:type="character" w:styleId="FootnoteReference">
    <w:name w:val="footnote reference"/>
    <w:aliases w:val="Footnotes refss,Appel note de bas de p.,Footnote text,ftref,4_G"/>
    <w:basedOn w:val="DefaultParagraphFont"/>
    <w:uiPriority w:val="99"/>
    <w:rsid w:val="00E90F1D"/>
    <w:rPr>
      <w:rFonts w:cs="Times New Roman"/>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en-US" w:eastAsia="en-US"/>
    </w:rPr>
  </w:style>
  <w:style w:type="character" w:customStyle="1" w:styleId="FooterChar">
    <w:name w:val="Footer Char"/>
    <w:basedOn w:val="DefaultParagraphFont"/>
    <w:link w:val="Footer"/>
    <w:uiPriority w:val="99"/>
    <w:locked/>
    <w:rsid w:val="000002B3"/>
    <w:rPr>
      <w:sz w:val="24"/>
    </w:rPr>
  </w:style>
  <w:style w:type="character" w:styleId="PageNumber">
    <w:name w:val="page number"/>
    <w:basedOn w:val="DefaultParagraphFont"/>
    <w:uiPriority w:val="99"/>
    <w:semiHidden/>
    <w:rsid w:val="00E90F1D"/>
    <w:rPr>
      <w:rFonts w:cs="Times New Roman"/>
    </w:rPr>
  </w:style>
  <w:style w:type="paragraph" w:styleId="Header">
    <w:name w:val="header"/>
    <w:basedOn w:val="Normal"/>
    <w:link w:val="HeaderChar"/>
    <w:uiPriority w:val="99"/>
    <w:rsid w:val="00E90F1D"/>
    <w:pPr>
      <w:tabs>
        <w:tab w:val="center" w:pos="4153"/>
        <w:tab w:val="right" w:pos="8306"/>
      </w:tabs>
    </w:pPr>
    <w:rPr>
      <w:lang w:val="en-US" w:eastAsia="en-US"/>
    </w:rPr>
  </w:style>
  <w:style w:type="character" w:customStyle="1" w:styleId="HeaderChar">
    <w:name w:val="Header Char"/>
    <w:basedOn w:val="DefaultParagraphFont"/>
    <w:link w:val="Header"/>
    <w:uiPriority w:val="99"/>
    <w:locked/>
    <w:rsid w:val="008B273F"/>
    <w:rPr>
      <w:sz w:val="24"/>
    </w:rPr>
  </w:style>
  <w:style w:type="paragraph" w:styleId="Title">
    <w:name w:val="Title"/>
    <w:basedOn w:val="Normal"/>
    <w:link w:val="TitleChar"/>
    <w:uiPriority w:val="99"/>
    <w:qFormat/>
    <w:rsid w:val="00E90F1D"/>
    <w:pPr>
      <w:jc w:val="center"/>
    </w:pPr>
    <w:rPr>
      <w:b/>
      <w:bCs/>
      <w:lang w:val="es-ES" w:eastAsia="es-ES"/>
    </w:rPr>
  </w:style>
  <w:style w:type="character" w:customStyle="1" w:styleId="TitleChar">
    <w:name w:val="Title Char"/>
    <w:basedOn w:val="DefaultParagraphFont"/>
    <w:link w:val="Title"/>
    <w:uiPriority w:val="10"/>
    <w:rsid w:val="00F9612A"/>
    <w:rPr>
      <w:rFonts w:asciiTheme="majorHAnsi" w:eastAsiaTheme="majorEastAsia" w:hAnsiTheme="majorHAnsi" w:cstheme="majorBidi"/>
      <w:b/>
      <w:bCs/>
      <w:kern w:val="28"/>
      <w:sz w:val="32"/>
      <w:szCs w:val="32"/>
      <w:lang w:val="en-GB" w:eastAsia="en-GB"/>
    </w:rPr>
  </w:style>
  <w:style w:type="character" w:customStyle="1" w:styleId="medium">
    <w:name w:val="medium"/>
    <w:basedOn w:val="DefaultParagraphFont"/>
    <w:uiPriority w:val="99"/>
    <w:rsid w:val="00E90F1D"/>
    <w:rPr>
      <w:rFonts w:cs="Times New Roman"/>
    </w:rPr>
  </w:style>
  <w:style w:type="paragraph" w:styleId="BalloonText">
    <w:name w:val="Balloon Text"/>
    <w:basedOn w:val="Normal"/>
    <w:link w:val="BalloonTextChar"/>
    <w:uiPriority w:val="99"/>
    <w:rsid w:val="00E90F1D"/>
    <w:rPr>
      <w:rFonts w:ascii="Tahoma" w:hAnsi="Tahoma" w:cs="Tahoma"/>
      <w:sz w:val="16"/>
      <w:szCs w:val="16"/>
    </w:rPr>
  </w:style>
  <w:style w:type="character" w:customStyle="1" w:styleId="BalloonTextChar">
    <w:name w:val="Balloon Text Char"/>
    <w:basedOn w:val="DefaultParagraphFont"/>
    <w:link w:val="BalloonText"/>
    <w:uiPriority w:val="99"/>
    <w:rsid w:val="00E90F1D"/>
    <w:rPr>
      <w:rFonts w:ascii="Tahoma" w:hAnsi="Tahoma"/>
      <w:sz w:val="16"/>
    </w:rPr>
  </w:style>
  <w:style w:type="character" w:customStyle="1" w:styleId="FootnoteTextChar1">
    <w:name w:val="Footnote Text Char1"/>
    <w:aliases w:val="single space Char1,footnote text Char,FOOTNOTES Char1,fn Char1,ft Char1,ADB Char1,pod carou Char1,Footnote Text Char1 Char Char1,Footnote Text Char2 Char Char Char1,Footnote Text Char Char2 Char Char Char1"/>
    <w:basedOn w:val="DefaultParagraphFont"/>
    <w:uiPriority w:val="99"/>
    <w:rsid w:val="00E90F1D"/>
    <w:rPr>
      <w:rFonts w:cs="Times New Roman"/>
    </w:rPr>
  </w:style>
  <w:style w:type="paragraph" w:styleId="BodyText2">
    <w:name w:val="Body Text 2"/>
    <w:basedOn w:val="Normal"/>
    <w:link w:val="BodyText2Char"/>
    <w:uiPriority w:val="99"/>
    <w:semiHidden/>
    <w:rsid w:val="00E90F1D"/>
    <w:pPr>
      <w:autoSpaceDE w:val="0"/>
      <w:autoSpaceDN w:val="0"/>
      <w:adjustRightInd w:val="0"/>
    </w:pPr>
    <w:rPr>
      <w:b/>
      <w:bCs/>
    </w:rPr>
  </w:style>
  <w:style w:type="character" w:customStyle="1" w:styleId="BodyText2Char">
    <w:name w:val="Body Text 2 Char"/>
    <w:basedOn w:val="DefaultParagraphFont"/>
    <w:link w:val="BodyText2"/>
    <w:uiPriority w:val="99"/>
    <w:semiHidden/>
    <w:rsid w:val="00E90F1D"/>
    <w:rPr>
      <w:b/>
      <w:sz w:val="24"/>
    </w:rPr>
  </w:style>
  <w:style w:type="paragraph" w:styleId="BodyText">
    <w:name w:val="Body Text"/>
    <w:basedOn w:val="Normal"/>
    <w:link w:val="BodyTextChar"/>
    <w:uiPriority w:val="99"/>
    <w:semiHidden/>
    <w:rsid w:val="00E90F1D"/>
    <w:pPr>
      <w:spacing w:after="120"/>
    </w:pPr>
  </w:style>
  <w:style w:type="character" w:customStyle="1" w:styleId="BodyTextChar">
    <w:name w:val="Body Text Char"/>
    <w:basedOn w:val="DefaultParagraphFont"/>
    <w:link w:val="BodyText"/>
    <w:uiPriority w:val="99"/>
    <w:semiHidden/>
    <w:rsid w:val="00E90F1D"/>
    <w:rPr>
      <w:sz w:val="24"/>
    </w:rPr>
  </w:style>
  <w:style w:type="character" w:customStyle="1" w:styleId="A5">
    <w:name w:val="A5"/>
    <w:uiPriority w:val="99"/>
    <w:rsid w:val="00E74E94"/>
    <w:rPr>
      <w:color w:val="262424"/>
      <w:sz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hAnsi="SVQXQB+Univers-Light"/>
    </w:rPr>
  </w:style>
  <w:style w:type="character" w:styleId="FollowedHyperlink">
    <w:name w:val="FollowedHyperlink"/>
    <w:basedOn w:val="DefaultParagraphFont"/>
    <w:uiPriority w:val="99"/>
    <w:semiHidden/>
    <w:rsid w:val="003F1015"/>
    <w:rPr>
      <w:rFonts w:cs="Times New Roman"/>
      <w:color w:val="800080"/>
      <w:u w:val="single"/>
    </w:rPr>
  </w:style>
  <w:style w:type="paragraph" w:customStyle="1" w:styleId="Default">
    <w:name w:val="Default"/>
    <w:uiPriority w:val="99"/>
    <w:rsid w:val="00490379"/>
    <w:pPr>
      <w:widowControl w:val="0"/>
      <w:autoSpaceDE w:val="0"/>
      <w:autoSpaceDN w:val="0"/>
      <w:adjustRightInd w:val="0"/>
    </w:pPr>
    <w:rPr>
      <w:rFonts w:ascii="Gill Sans" w:hAnsi="Gill Sans"/>
      <w:color w:val="000000"/>
      <w:sz w:val="24"/>
      <w:szCs w:val="24"/>
    </w:rPr>
  </w:style>
  <w:style w:type="paragraph" w:customStyle="1" w:styleId="SingleTxtG">
    <w:name w:val="_ Single Txt_G"/>
    <w:basedOn w:val="Normal"/>
    <w:link w:val="SingleTxtGChar1"/>
    <w:uiPriority w:val="99"/>
    <w:rsid w:val="00861D14"/>
    <w:pPr>
      <w:suppressAutoHyphens/>
      <w:spacing w:after="120" w:line="240" w:lineRule="atLeast"/>
      <w:ind w:left="1134" w:right="1134"/>
      <w:jc w:val="both"/>
    </w:pPr>
    <w:rPr>
      <w:sz w:val="20"/>
      <w:szCs w:val="20"/>
      <w:lang w:val="en-US" w:eastAsia="en-US"/>
    </w:rPr>
  </w:style>
  <w:style w:type="paragraph" w:customStyle="1" w:styleId="H23G">
    <w:name w:val="_ H_2/3_G"/>
    <w:basedOn w:val="Normal"/>
    <w:next w:val="Normal"/>
    <w:link w:val="H23GChar"/>
    <w:uiPriority w:val="99"/>
    <w:rsid w:val="0061399F"/>
    <w:pPr>
      <w:keepNext/>
      <w:keepLines/>
      <w:tabs>
        <w:tab w:val="right" w:pos="851"/>
      </w:tabs>
      <w:suppressAutoHyphens/>
      <w:spacing w:before="240" w:after="120" w:line="240" w:lineRule="exact"/>
      <w:ind w:left="1134" w:right="1134" w:hanging="1134"/>
    </w:pPr>
    <w:rPr>
      <w:b/>
      <w:sz w:val="20"/>
      <w:szCs w:val="20"/>
      <w:lang w:val="en-US" w:eastAsia="en-US"/>
    </w:rPr>
  </w:style>
  <w:style w:type="character" w:customStyle="1" w:styleId="H23GChar">
    <w:name w:val="_ H_2/3_G Char"/>
    <w:link w:val="H23G"/>
    <w:uiPriority w:val="99"/>
    <w:locked/>
    <w:rsid w:val="0061399F"/>
    <w:rPr>
      <w:b/>
      <w:lang w:eastAsia="en-US"/>
    </w:rPr>
  </w:style>
  <w:style w:type="paragraph" w:styleId="NoSpacing">
    <w:name w:val="No Spacing"/>
    <w:aliases w:val="Reference"/>
    <w:basedOn w:val="Normal"/>
    <w:link w:val="NoSpacingChar"/>
    <w:uiPriority w:val="99"/>
    <w:qFormat/>
    <w:rsid w:val="00574FE3"/>
    <w:pPr>
      <w:spacing w:after="120" w:line="276" w:lineRule="auto"/>
      <w:jc w:val="right"/>
    </w:pPr>
    <w:rPr>
      <w:bCs/>
      <w:iCs/>
      <w:sz w:val="20"/>
      <w:szCs w:val="20"/>
      <w:lang w:val="en-US" w:eastAsia="en-US"/>
    </w:rPr>
  </w:style>
  <w:style w:type="character" w:customStyle="1" w:styleId="NoSpacingChar">
    <w:name w:val="No Spacing Char"/>
    <w:aliases w:val="Reference Char"/>
    <w:link w:val="NoSpacing"/>
    <w:uiPriority w:val="99"/>
    <w:locked/>
    <w:rsid w:val="00574FE3"/>
    <w:rPr>
      <w:rFonts w:eastAsia="Times New Roman"/>
      <w:lang w:eastAsia="en-US"/>
    </w:rPr>
  </w:style>
  <w:style w:type="paragraph" w:customStyle="1" w:styleId="reference">
    <w:name w:val="reference"/>
    <w:basedOn w:val="Normal"/>
    <w:uiPriority w:val="99"/>
    <w:rsid w:val="0056432B"/>
    <w:pPr>
      <w:spacing w:before="100" w:beforeAutospacing="1" w:after="100" w:afterAutospacing="1"/>
    </w:pPr>
  </w:style>
  <w:style w:type="character" w:customStyle="1" w:styleId="SingleTxtGChar1">
    <w:name w:val="_ Single Txt_G Char1"/>
    <w:link w:val="SingleTxtG"/>
    <w:uiPriority w:val="99"/>
    <w:locked/>
    <w:rsid w:val="009F2822"/>
    <w:rPr>
      <w:lang w:eastAsia="en-US"/>
    </w:rPr>
  </w:style>
</w:styles>
</file>

<file path=word/webSettings.xml><?xml version="1.0" encoding="utf-8"?>
<w:webSettings xmlns:r="http://schemas.openxmlformats.org/officeDocument/2006/relationships" xmlns:w="http://schemas.openxmlformats.org/wordprocessingml/2006/main">
  <w:divs>
    <w:div w:id="1288973403">
      <w:marLeft w:val="0"/>
      <w:marRight w:val="0"/>
      <w:marTop w:val="0"/>
      <w:marBottom w:val="0"/>
      <w:divBdr>
        <w:top w:val="none" w:sz="0" w:space="0" w:color="auto"/>
        <w:left w:val="none" w:sz="0" w:space="0" w:color="auto"/>
        <w:bottom w:val="none" w:sz="0" w:space="0" w:color="auto"/>
        <w:right w:val="none" w:sz="0" w:space="0" w:color="auto"/>
      </w:divBdr>
      <w:divsChild>
        <w:div w:id="1288973406">
          <w:marLeft w:val="0"/>
          <w:marRight w:val="0"/>
          <w:marTop w:val="100"/>
          <w:marBottom w:val="100"/>
          <w:divBdr>
            <w:top w:val="none" w:sz="0" w:space="0" w:color="auto"/>
            <w:left w:val="none" w:sz="0" w:space="0" w:color="auto"/>
            <w:bottom w:val="none" w:sz="0" w:space="0" w:color="auto"/>
            <w:right w:val="none" w:sz="0" w:space="0" w:color="auto"/>
          </w:divBdr>
          <w:divsChild>
            <w:div w:id="1288973418">
              <w:marLeft w:val="0"/>
              <w:marRight w:val="0"/>
              <w:marTop w:val="0"/>
              <w:marBottom w:val="0"/>
              <w:divBdr>
                <w:top w:val="none" w:sz="0" w:space="0" w:color="auto"/>
                <w:left w:val="none" w:sz="0" w:space="0" w:color="auto"/>
                <w:bottom w:val="none" w:sz="0" w:space="0" w:color="auto"/>
                <w:right w:val="none" w:sz="0" w:space="0" w:color="auto"/>
              </w:divBdr>
              <w:divsChild>
                <w:div w:id="1288973412">
                  <w:marLeft w:val="0"/>
                  <w:marRight w:val="0"/>
                  <w:marTop w:val="0"/>
                  <w:marBottom w:val="240"/>
                  <w:divBdr>
                    <w:top w:val="single" w:sz="6" w:space="0" w:color="8CB1BA"/>
                    <w:left w:val="single" w:sz="6" w:space="0" w:color="8CB1BA"/>
                    <w:bottom w:val="single" w:sz="6" w:space="0" w:color="8CB1BA"/>
                    <w:right w:val="single" w:sz="6" w:space="0" w:color="8CB1BA"/>
                  </w:divBdr>
                  <w:divsChild>
                    <w:div w:id="1288973415">
                      <w:marLeft w:val="0"/>
                      <w:marRight w:val="0"/>
                      <w:marTop w:val="0"/>
                      <w:marBottom w:val="0"/>
                      <w:divBdr>
                        <w:top w:val="none" w:sz="0" w:space="0" w:color="auto"/>
                        <w:left w:val="none" w:sz="0" w:space="0" w:color="auto"/>
                        <w:bottom w:val="none" w:sz="0" w:space="0" w:color="auto"/>
                        <w:right w:val="none" w:sz="0" w:space="0" w:color="auto"/>
                      </w:divBdr>
                      <w:divsChild>
                        <w:div w:id="1288973414">
                          <w:marLeft w:val="0"/>
                          <w:marRight w:val="0"/>
                          <w:marTop w:val="120"/>
                          <w:marBottom w:val="0"/>
                          <w:divBdr>
                            <w:top w:val="none" w:sz="0" w:space="0" w:color="auto"/>
                            <w:left w:val="none" w:sz="0" w:space="0" w:color="auto"/>
                            <w:bottom w:val="none" w:sz="0" w:space="0" w:color="auto"/>
                            <w:right w:val="none" w:sz="0" w:space="0" w:color="auto"/>
                          </w:divBdr>
                          <w:divsChild>
                            <w:div w:id="128897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8973407">
      <w:marLeft w:val="0"/>
      <w:marRight w:val="0"/>
      <w:marTop w:val="0"/>
      <w:marBottom w:val="0"/>
      <w:divBdr>
        <w:top w:val="none" w:sz="0" w:space="0" w:color="auto"/>
        <w:left w:val="none" w:sz="0" w:space="0" w:color="auto"/>
        <w:bottom w:val="none" w:sz="0" w:space="0" w:color="auto"/>
        <w:right w:val="none" w:sz="0" w:space="0" w:color="auto"/>
      </w:divBdr>
      <w:divsChild>
        <w:div w:id="1288973409">
          <w:marLeft w:val="0"/>
          <w:marRight w:val="0"/>
          <w:marTop w:val="0"/>
          <w:marBottom w:val="0"/>
          <w:divBdr>
            <w:top w:val="none" w:sz="0" w:space="0" w:color="auto"/>
            <w:left w:val="none" w:sz="0" w:space="0" w:color="auto"/>
            <w:bottom w:val="none" w:sz="0" w:space="0" w:color="auto"/>
            <w:right w:val="none" w:sz="0" w:space="0" w:color="auto"/>
          </w:divBdr>
        </w:div>
      </w:divsChild>
    </w:div>
    <w:div w:id="1288973408">
      <w:marLeft w:val="0"/>
      <w:marRight w:val="0"/>
      <w:marTop w:val="0"/>
      <w:marBottom w:val="0"/>
      <w:divBdr>
        <w:top w:val="none" w:sz="0" w:space="0" w:color="auto"/>
        <w:left w:val="none" w:sz="0" w:space="0" w:color="auto"/>
        <w:bottom w:val="none" w:sz="0" w:space="0" w:color="auto"/>
        <w:right w:val="none" w:sz="0" w:space="0" w:color="auto"/>
      </w:divBdr>
      <w:divsChild>
        <w:div w:id="1288973405">
          <w:marLeft w:val="0"/>
          <w:marRight w:val="0"/>
          <w:marTop w:val="0"/>
          <w:marBottom w:val="0"/>
          <w:divBdr>
            <w:top w:val="none" w:sz="0" w:space="0" w:color="auto"/>
            <w:left w:val="none" w:sz="0" w:space="0" w:color="auto"/>
            <w:bottom w:val="none" w:sz="0" w:space="0" w:color="auto"/>
            <w:right w:val="none" w:sz="0" w:space="0" w:color="auto"/>
          </w:divBdr>
        </w:div>
      </w:divsChild>
    </w:div>
    <w:div w:id="1288973410">
      <w:marLeft w:val="0"/>
      <w:marRight w:val="0"/>
      <w:marTop w:val="0"/>
      <w:marBottom w:val="0"/>
      <w:divBdr>
        <w:top w:val="none" w:sz="0" w:space="0" w:color="auto"/>
        <w:left w:val="none" w:sz="0" w:space="0" w:color="auto"/>
        <w:bottom w:val="none" w:sz="0" w:space="0" w:color="auto"/>
        <w:right w:val="none" w:sz="0" w:space="0" w:color="auto"/>
      </w:divBdr>
    </w:div>
    <w:div w:id="1288973417">
      <w:marLeft w:val="0"/>
      <w:marRight w:val="0"/>
      <w:marTop w:val="0"/>
      <w:marBottom w:val="0"/>
      <w:divBdr>
        <w:top w:val="none" w:sz="0" w:space="0" w:color="auto"/>
        <w:left w:val="none" w:sz="0" w:space="0" w:color="auto"/>
        <w:bottom w:val="none" w:sz="0" w:space="0" w:color="auto"/>
        <w:right w:val="none" w:sz="0" w:space="0" w:color="auto"/>
      </w:divBdr>
      <w:divsChild>
        <w:div w:id="1288973416">
          <w:marLeft w:val="0"/>
          <w:marRight w:val="0"/>
          <w:marTop w:val="100"/>
          <w:marBottom w:val="100"/>
          <w:divBdr>
            <w:top w:val="none" w:sz="0" w:space="0" w:color="auto"/>
            <w:left w:val="none" w:sz="0" w:space="0" w:color="auto"/>
            <w:bottom w:val="none" w:sz="0" w:space="0" w:color="auto"/>
            <w:right w:val="none" w:sz="0" w:space="0" w:color="auto"/>
          </w:divBdr>
          <w:divsChild>
            <w:div w:id="1288973404">
              <w:marLeft w:val="0"/>
              <w:marRight w:val="0"/>
              <w:marTop w:val="0"/>
              <w:marBottom w:val="0"/>
              <w:divBdr>
                <w:top w:val="none" w:sz="0" w:space="0" w:color="auto"/>
                <w:left w:val="none" w:sz="0" w:space="0" w:color="auto"/>
                <w:bottom w:val="none" w:sz="0" w:space="0" w:color="auto"/>
                <w:right w:val="none" w:sz="0" w:space="0" w:color="auto"/>
              </w:divBdr>
              <w:divsChild>
                <w:div w:id="1288973401">
                  <w:marLeft w:val="0"/>
                  <w:marRight w:val="0"/>
                  <w:marTop w:val="0"/>
                  <w:marBottom w:val="240"/>
                  <w:divBdr>
                    <w:top w:val="single" w:sz="6" w:space="0" w:color="8CB1BA"/>
                    <w:left w:val="single" w:sz="6" w:space="0" w:color="8CB1BA"/>
                    <w:bottom w:val="single" w:sz="6" w:space="0" w:color="8CB1BA"/>
                    <w:right w:val="single" w:sz="6" w:space="0" w:color="8CB1BA"/>
                  </w:divBdr>
                  <w:divsChild>
                    <w:div w:id="1288973402">
                      <w:marLeft w:val="0"/>
                      <w:marRight w:val="0"/>
                      <w:marTop w:val="0"/>
                      <w:marBottom w:val="0"/>
                      <w:divBdr>
                        <w:top w:val="none" w:sz="0" w:space="0" w:color="auto"/>
                        <w:left w:val="none" w:sz="0" w:space="0" w:color="auto"/>
                        <w:bottom w:val="none" w:sz="0" w:space="0" w:color="auto"/>
                        <w:right w:val="none" w:sz="0" w:space="0" w:color="auto"/>
                      </w:divBdr>
                      <w:divsChild>
                        <w:div w:id="1288973411">
                          <w:marLeft w:val="0"/>
                          <w:marRight w:val="0"/>
                          <w:marTop w:val="120"/>
                          <w:marBottom w:val="0"/>
                          <w:divBdr>
                            <w:top w:val="none" w:sz="0" w:space="0" w:color="auto"/>
                            <w:left w:val="none" w:sz="0" w:space="0" w:color="auto"/>
                            <w:bottom w:val="none" w:sz="0" w:space="0" w:color="auto"/>
                            <w:right w:val="none" w:sz="0" w:space="0" w:color="auto"/>
                          </w:divBdr>
                          <w:divsChild>
                            <w:div w:id="128897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89734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endcorporalpunishment.org"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e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info@endcorporalpunishment.org"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www.endcorporalpunishment.org"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227D52-CF5C-4903-A46B-10CF815A9F58}"/>
</file>

<file path=customXml/itemProps2.xml><?xml version="1.0" encoding="utf-8"?>
<ds:datastoreItem xmlns:ds="http://schemas.openxmlformats.org/officeDocument/2006/customXml" ds:itemID="{F7B8B605-2561-487D-BEB0-9DD3BA88F11B}"/>
</file>

<file path=customXml/itemProps3.xml><?xml version="1.0" encoding="utf-8"?>
<ds:datastoreItem xmlns:ds="http://schemas.openxmlformats.org/officeDocument/2006/customXml" ds:itemID="{893CCC25-D9BF-45D8-85D8-8BA34A99FA4D}"/>
</file>

<file path=docProps/app.xml><?xml version="1.0" encoding="utf-8"?>
<Properties xmlns="http://schemas.openxmlformats.org/officeDocument/2006/extended-properties" xmlns:vt="http://schemas.openxmlformats.org/officeDocument/2006/docPropsVTypes">
  <Template>Normal_Wordconv</Template>
  <TotalTime>1</TotalTime>
  <Pages>3</Pages>
  <Words>1017</Words>
  <Characters>5799</Characters>
  <Application>Microsoft Office Outlook</Application>
  <DocSecurity>0</DocSecurity>
  <Lines>0</Lines>
  <Paragraphs>0</Paragraphs>
  <ScaleCrop>false</ScaleCrop>
  <Company>Freelance Writing &amp; Research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subject/>
  <dc:creator>Sharon Owen</dc:creator>
  <cp:keywords/>
  <dc:description/>
  <cp:lastModifiedBy>intern</cp:lastModifiedBy>
  <cp:revision>2</cp:revision>
  <cp:lastPrinted>2005-01-04T09:45:00Z</cp:lastPrinted>
  <dcterms:created xsi:type="dcterms:W3CDTF">2013-03-12T11:09:00Z</dcterms:created>
  <dcterms:modified xsi:type="dcterms:W3CDTF">2013-03-12T11:09:00Z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