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33B" w:rsidRDefault="00D50FFD" w:rsidP="00D5133B">
      <w:pPr>
        <w:rPr>
          <w:rFonts w:ascii="FangSong" w:eastAsia="FangSong" w:hAnsi="FangSong"/>
          <w:b/>
          <w:sz w:val="36"/>
        </w:rPr>
      </w:pPr>
      <w:r>
        <w:rPr>
          <w:noProof/>
          <w:lang w:val="en-US"/>
        </w:rPr>
        <w:drawing>
          <wp:anchor distT="0" distB="0" distL="114300" distR="114300" simplePos="0" relativeHeight="251664384" behindDoc="0" locked="0" layoutInCell="1" allowOverlap="1">
            <wp:simplePos x="0" y="0"/>
            <wp:positionH relativeFrom="column">
              <wp:posOffset>2533650</wp:posOffset>
            </wp:positionH>
            <wp:positionV relativeFrom="paragraph">
              <wp:posOffset>171450</wp:posOffset>
            </wp:positionV>
            <wp:extent cx="1905000" cy="390525"/>
            <wp:effectExtent l="19050" t="0" r="0" b="0"/>
            <wp:wrapThrough wrapText="bothSides">
              <wp:wrapPolygon edited="0">
                <wp:start x="-216" y="0"/>
                <wp:lineTo x="-216" y="21073"/>
                <wp:lineTo x="21600" y="21073"/>
                <wp:lineTo x="21600" y="0"/>
                <wp:lineTo x="-216" y="0"/>
              </wp:wrapPolygon>
            </wp:wrapThrough>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905000" cy="390525"/>
                    </a:xfrm>
                    <a:prstGeom prst="rect">
                      <a:avLst/>
                    </a:prstGeom>
                    <a:noFill/>
                    <a:ln w="9525">
                      <a:noFill/>
                      <a:miter lim="800000"/>
                      <a:headEnd/>
                      <a:tailEnd/>
                    </a:ln>
                  </pic:spPr>
                </pic:pic>
              </a:graphicData>
            </a:graphic>
          </wp:anchor>
        </w:drawing>
      </w:r>
      <w:r w:rsidR="00221DBA">
        <w:rPr>
          <w:noProof/>
          <w:lang w:val="en-US"/>
        </w:rPr>
        <w:drawing>
          <wp:anchor distT="0" distB="0" distL="114300" distR="114300" simplePos="0" relativeHeight="251660288" behindDoc="1" locked="0" layoutInCell="1" allowOverlap="1">
            <wp:simplePos x="0" y="0"/>
            <wp:positionH relativeFrom="page">
              <wp:posOffset>1962150</wp:posOffset>
            </wp:positionH>
            <wp:positionV relativeFrom="paragraph">
              <wp:posOffset>38100</wp:posOffset>
            </wp:positionV>
            <wp:extent cx="1200150" cy="600075"/>
            <wp:effectExtent l="19050" t="0" r="0" b="0"/>
            <wp:wrapThrough wrapText="bothSides">
              <wp:wrapPolygon edited="0">
                <wp:start x="-343" y="0"/>
                <wp:lineTo x="-343" y="21257"/>
                <wp:lineTo x="21600" y="21257"/>
                <wp:lineTo x="21600" y="0"/>
                <wp:lineTo x="-343"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1200150" cy="600075"/>
                    </a:xfrm>
                    <a:prstGeom prst="rect">
                      <a:avLst/>
                    </a:prstGeom>
                    <a:noFill/>
                  </pic:spPr>
                </pic:pic>
              </a:graphicData>
            </a:graphic>
          </wp:anchor>
        </w:drawing>
      </w:r>
      <w:r w:rsidR="00221DBA">
        <w:rPr>
          <w:noProof/>
          <w:lang w:val="en-US"/>
        </w:rPr>
        <w:drawing>
          <wp:anchor distT="0" distB="0" distL="114300" distR="114300" simplePos="0" relativeHeight="251662336" behindDoc="0" locked="0" layoutInCell="1" allowOverlap="1">
            <wp:simplePos x="0" y="0"/>
            <wp:positionH relativeFrom="column">
              <wp:posOffset>142875</wp:posOffset>
            </wp:positionH>
            <wp:positionV relativeFrom="paragraph">
              <wp:posOffset>47625</wp:posOffset>
            </wp:positionV>
            <wp:extent cx="600075" cy="619125"/>
            <wp:effectExtent l="19050" t="0" r="9525" b="0"/>
            <wp:wrapThrough wrapText="bothSides">
              <wp:wrapPolygon edited="0">
                <wp:start x="-686" y="0"/>
                <wp:lineTo x="-686" y="21268"/>
                <wp:lineTo x="21943" y="21268"/>
                <wp:lineTo x="21943" y="0"/>
                <wp:lineTo x="-686" y="0"/>
              </wp:wrapPolygon>
            </wp:wrapThrough>
            <wp:docPr id="8" name="Picture 7" descr="C:\Ashina\HJ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shina\HJ Logo.png"/>
                    <pic:cNvPicPr>
                      <a:picLocks noChangeAspect="1" noChangeArrowheads="1"/>
                    </pic:cNvPicPr>
                  </pic:nvPicPr>
                  <pic:blipFill>
                    <a:blip r:embed="rId11" cstate="print"/>
                    <a:srcRect/>
                    <a:stretch>
                      <a:fillRect/>
                    </a:stretch>
                  </pic:blipFill>
                  <pic:spPr bwMode="auto">
                    <a:xfrm>
                      <a:off x="0" y="0"/>
                      <a:ext cx="600075" cy="619125"/>
                    </a:xfrm>
                    <a:prstGeom prst="rect">
                      <a:avLst/>
                    </a:prstGeom>
                    <a:noFill/>
                    <a:ln w="9525">
                      <a:noFill/>
                      <a:miter lim="800000"/>
                      <a:headEnd/>
                      <a:tailEnd/>
                    </a:ln>
                  </pic:spPr>
                </pic:pic>
              </a:graphicData>
            </a:graphic>
          </wp:anchor>
        </w:drawing>
      </w:r>
      <w:r w:rsidR="00D5133B">
        <w:rPr>
          <w:noProof/>
          <w:lang w:val="en-US"/>
        </w:rPr>
        <w:drawing>
          <wp:anchor distT="0" distB="0" distL="114300" distR="114300" simplePos="0" relativeHeight="251661312" behindDoc="1" locked="0" layoutInCell="1" allowOverlap="1">
            <wp:simplePos x="0" y="0"/>
            <wp:positionH relativeFrom="page">
              <wp:posOffset>5629275</wp:posOffset>
            </wp:positionH>
            <wp:positionV relativeFrom="page">
              <wp:posOffset>895350</wp:posOffset>
            </wp:positionV>
            <wp:extent cx="755650" cy="752475"/>
            <wp:effectExtent l="1905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755650" cy="752475"/>
                    </a:xfrm>
                    <a:prstGeom prst="rect">
                      <a:avLst/>
                    </a:prstGeom>
                    <a:noFill/>
                  </pic:spPr>
                </pic:pic>
              </a:graphicData>
            </a:graphic>
          </wp:anchor>
        </w:drawing>
      </w:r>
    </w:p>
    <w:p w:rsidR="00D5133B" w:rsidRDefault="00D5133B" w:rsidP="00D1731B">
      <w:pPr>
        <w:jc w:val="center"/>
        <w:rPr>
          <w:rFonts w:ascii="FangSong" w:eastAsia="FangSong" w:hAnsi="FangSong"/>
          <w:b/>
          <w:sz w:val="36"/>
        </w:rPr>
      </w:pPr>
    </w:p>
    <w:p w:rsidR="00D5133B" w:rsidRDefault="00D334C7" w:rsidP="00D1731B">
      <w:pPr>
        <w:jc w:val="center"/>
        <w:rPr>
          <w:rFonts w:ascii="FangSong" w:eastAsia="FangSong" w:hAnsi="FangSong"/>
          <w:b/>
          <w:sz w:val="36"/>
        </w:rPr>
      </w:pPr>
      <w:r>
        <w:rPr>
          <w:rFonts w:ascii="FangSong" w:eastAsia="FangSong" w:hAnsi="FangSong"/>
          <w:b/>
          <w:noProof/>
          <w:sz w:val="36"/>
          <w:lang w:val="en-US"/>
        </w:rPr>
        <w:drawing>
          <wp:anchor distT="0" distB="0" distL="114300" distR="114300" simplePos="0" relativeHeight="251663360" behindDoc="0" locked="0" layoutInCell="1" allowOverlap="1">
            <wp:simplePos x="0" y="0"/>
            <wp:positionH relativeFrom="column">
              <wp:posOffset>3009900</wp:posOffset>
            </wp:positionH>
            <wp:positionV relativeFrom="paragraph">
              <wp:posOffset>35560</wp:posOffset>
            </wp:positionV>
            <wp:extent cx="1790700" cy="685800"/>
            <wp:effectExtent l="19050" t="0" r="0" b="0"/>
            <wp:wrapThrough wrapText="bothSides">
              <wp:wrapPolygon edited="0">
                <wp:start x="-230" y="0"/>
                <wp:lineTo x="-230" y="21000"/>
                <wp:lineTo x="21600" y="21000"/>
                <wp:lineTo x="21600" y="0"/>
                <wp:lineTo x="-23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790700" cy="685800"/>
                    </a:xfrm>
                    <a:prstGeom prst="rect">
                      <a:avLst/>
                    </a:prstGeom>
                    <a:noFill/>
                    <a:ln w="9525">
                      <a:noFill/>
                      <a:miter lim="800000"/>
                      <a:headEnd/>
                      <a:tailEnd/>
                    </a:ln>
                  </pic:spPr>
                </pic:pic>
              </a:graphicData>
            </a:graphic>
          </wp:anchor>
        </w:drawing>
      </w:r>
      <w:r>
        <w:rPr>
          <w:rFonts w:ascii="FangSong" w:eastAsia="FangSong" w:hAnsi="FangSong"/>
          <w:b/>
          <w:noProof/>
          <w:sz w:val="36"/>
          <w:lang w:val="en-US"/>
        </w:rPr>
        <w:drawing>
          <wp:anchor distT="0" distB="0" distL="114300" distR="114300" simplePos="0" relativeHeight="251665408" behindDoc="1" locked="0" layoutInCell="1" allowOverlap="1">
            <wp:simplePos x="0" y="0"/>
            <wp:positionH relativeFrom="column">
              <wp:posOffset>752475</wp:posOffset>
            </wp:positionH>
            <wp:positionV relativeFrom="line">
              <wp:posOffset>140335</wp:posOffset>
            </wp:positionV>
            <wp:extent cx="2095500" cy="495300"/>
            <wp:effectExtent l="19050" t="0" r="0" b="0"/>
            <wp:wrapTight wrapText="bothSides">
              <wp:wrapPolygon edited="0">
                <wp:start x="-196" y="0"/>
                <wp:lineTo x="-196" y="20769"/>
                <wp:lineTo x="21600" y="20769"/>
                <wp:lineTo x="21600" y="0"/>
                <wp:lineTo x="-196" y="0"/>
              </wp:wrapPolygon>
            </wp:wrapTight>
            <wp:docPr id="11" name="Picture 7" descr="https://www.escr-net.org/sites/default/files/styles/medium/public/members/kituo_cha_sheria_0.jpg?itok=g9Un2x7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escr-net.org/sites/default/files/styles/medium/public/members/kituo_cha_sheria_0.jpg?itok=g9Un2x7z"/>
                    <pic:cNvPicPr>
                      <a:picLocks noChangeAspect="1" noChangeArrowheads="1"/>
                    </pic:cNvPicPr>
                  </pic:nvPicPr>
                  <pic:blipFill>
                    <a:blip r:embed="rId14" cstate="print"/>
                    <a:srcRect/>
                    <a:stretch>
                      <a:fillRect/>
                    </a:stretch>
                  </pic:blipFill>
                  <pic:spPr bwMode="auto">
                    <a:xfrm>
                      <a:off x="0" y="0"/>
                      <a:ext cx="2095500" cy="495300"/>
                    </a:xfrm>
                    <a:prstGeom prst="rect">
                      <a:avLst/>
                    </a:prstGeom>
                    <a:noFill/>
                    <a:ln w="9525">
                      <a:noFill/>
                      <a:miter lim="800000"/>
                      <a:headEnd/>
                      <a:tailEnd/>
                    </a:ln>
                  </pic:spPr>
                </pic:pic>
              </a:graphicData>
            </a:graphic>
          </wp:anchor>
        </w:drawing>
      </w:r>
    </w:p>
    <w:p w:rsidR="00D5133B" w:rsidRDefault="00D5133B" w:rsidP="00D1731B">
      <w:pPr>
        <w:jc w:val="center"/>
        <w:rPr>
          <w:rFonts w:ascii="FangSong" w:eastAsia="FangSong" w:hAnsi="FangSong"/>
          <w:b/>
          <w:sz w:val="36"/>
        </w:rPr>
      </w:pPr>
    </w:p>
    <w:p w:rsidR="00221DBA" w:rsidRDefault="00221DBA" w:rsidP="00D1731B">
      <w:pPr>
        <w:jc w:val="center"/>
        <w:rPr>
          <w:rFonts w:ascii="FangSong" w:eastAsia="FangSong" w:hAnsi="FangSong"/>
          <w:b/>
          <w:color w:val="1F497D" w:themeColor="text2"/>
          <w:sz w:val="36"/>
        </w:rPr>
      </w:pPr>
    </w:p>
    <w:p w:rsidR="00221DBA" w:rsidRDefault="00221DBA" w:rsidP="00D1731B">
      <w:pPr>
        <w:jc w:val="center"/>
        <w:rPr>
          <w:rFonts w:ascii="FangSong" w:eastAsia="FangSong" w:hAnsi="FangSong"/>
          <w:b/>
          <w:color w:val="1F497D" w:themeColor="text2"/>
          <w:sz w:val="36"/>
        </w:rPr>
      </w:pPr>
    </w:p>
    <w:p w:rsidR="00D1731B" w:rsidRPr="00D334C7" w:rsidRDefault="00D1731B" w:rsidP="00D1731B">
      <w:pPr>
        <w:jc w:val="center"/>
        <w:rPr>
          <w:rFonts w:ascii="FangSong" w:eastAsia="FangSong" w:hAnsi="FangSong"/>
          <w:b/>
          <w:color w:val="1F497D" w:themeColor="text2"/>
          <w:sz w:val="52"/>
          <w:szCs w:val="42"/>
        </w:rPr>
      </w:pPr>
      <w:r w:rsidRPr="00D334C7">
        <w:rPr>
          <w:rFonts w:ascii="FangSong" w:eastAsia="FangSong" w:hAnsi="FangSong"/>
          <w:b/>
          <w:color w:val="1F497D" w:themeColor="text2"/>
          <w:sz w:val="52"/>
          <w:szCs w:val="42"/>
        </w:rPr>
        <w:t>Education under Threat:</w:t>
      </w:r>
    </w:p>
    <w:p w:rsidR="00D1731B" w:rsidRPr="00221DBA" w:rsidRDefault="00D1731B" w:rsidP="00D1731B">
      <w:pPr>
        <w:jc w:val="center"/>
        <w:rPr>
          <w:rFonts w:ascii="FangSong" w:eastAsia="FangSong" w:hAnsi="FangSong"/>
          <w:b/>
          <w:color w:val="1F497D" w:themeColor="text2"/>
          <w:sz w:val="42"/>
          <w:szCs w:val="42"/>
        </w:rPr>
      </w:pPr>
      <w:r w:rsidRPr="00221DBA">
        <w:rPr>
          <w:rFonts w:ascii="FangSong" w:eastAsia="FangSong" w:hAnsi="FangSong"/>
          <w:b/>
          <w:color w:val="1F497D" w:themeColor="text2"/>
          <w:sz w:val="42"/>
          <w:szCs w:val="42"/>
        </w:rPr>
        <w:t>The Commercialization of Education in Kenya</w:t>
      </w:r>
    </w:p>
    <w:p w:rsidR="00D1731B" w:rsidRDefault="00D1731B" w:rsidP="00D1731B">
      <w:pPr>
        <w:jc w:val="center"/>
        <w:rPr>
          <w:rFonts w:ascii="FangSong" w:eastAsia="FangSong" w:hAnsi="FangSong"/>
          <w:b/>
          <w:sz w:val="36"/>
        </w:rPr>
      </w:pPr>
    </w:p>
    <w:p w:rsidR="00221DBA" w:rsidRDefault="00221DBA" w:rsidP="00D1731B">
      <w:pPr>
        <w:jc w:val="center"/>
        <w:rPr>
          <w:rFonts w:ascii="FangSong" w:eastAsia="FangSong" w:hAnsi="FangSong"/>
          <w:b/>
          <w:sz w:val="36"/>
        </w:rPr>
      </w:pPr>
    </w:p>
    <w:p w:rsidR="00221DBA" w:rsidRDefault="00D5133B" w:rsidP="00D1731B">
      <w:pPr>
        <w:jc w:val="center"/>
        <w:rPr>
          <w:rFonts w:ascii="FangSong" w:eastAsia="FangSong" w:hAnsi="FangSong"/>
          <w:b/>
          <w:sz w:val="24"/>
        </w:rPr>
      </w:pPr>
      <w:r>
        <w:rPr>
          <w:rFonts w:ascii="FangSong" w:eastAsia="FangSong" w:hAnsi="FangSong"/>
          <w:b/>
          <w:sz w:val="24"/>
        </w:rPr>
        <w:t xml:space="preserve">Supplementary report submitted by the Economic and </w:t>
      </w:r>
      <w:r w:rsidR="00221DBA">
        <w:rPr>
          <w:rFonts w:ascii="FangSong" w:eastAsia="FangSong" w:hAnsi="FangSong"/>
          <w:b/>
          <w:sz w:val="24"/>
        </w:rPr>
        <w:t>Social</w:t>
      </w:r>
      <w:r>
        <w:rPr>
          <w:rFonts w:ascii="FangSong" w:eastAsia="FangSong" w:hAnsi="FangSong"/>
          <w:b/>
          <w:sz w:val="24"/>
        </w:rPr>
        <w:t xml:space="preserve"> Rights Centre</w:t>
      </w:r>
      <w:r w:rsidR="00221DBA">
        <w:rPr>
          <w:rFonts w:ascii="FangSong" w:eastAsia="FangSong" w:hAnsi="FangSong"/>
          <w:b/>
          <w:sz w:val="24"/>
        </w:rPr>
        <w:t xml:space="preserve"> (</w:t>
      </w:r>
      <w:r>
        <w:rPr>
          <w:rFonts w:ascii="FangSong" w:eastAsia="FangSong" w:hAnsi="FangSong"/>
          <w:b/>
          <w:sz w:val="24"/>
        </w:rPr>
        <w:t>Hakijamii</w:t>
      </w:r>
      <w:r w:rsidR="00221DBA">
        <w:rPr>
          <w:rFonts w:ascii="FangSong" w:eastAsia="FangSong" w:hAnsi="FangSong"/>
          <w:b/>
          <w:sz w:val="24"/>
        </w:rPr>
        <w:t>),the East African Centre for Human Rights (EACHRights), the CRADLE, Kituo cha Sheria, the Kenya National Union of Teachers</w:t>
      </w:r>
      <w:r>
        <w:rPr>
          <w:rFonts w:ascii="FangSong" w:eastAsia="FangSong" w:hAnsi="FangSong"/>
          <w:b/>
          <w:sz w:val="24"/>
        </w:rPr>
        <w:t xml:space="preserve"> and the Global Initiative for Economic, Social and Cultural Rights </w:t>
      </w:r>
      <w:r w:rsidR="00221DBA">
        <w:rPr>
          <w:rFonts w:ascii="FangSong" w:eastAsia="FangSong" w:hAnsi="FangSong"/>
          <w:b/>
          <w:sz w:val="24"/>
        </w:rPr>
        <w:t xml:space="preserve">to the </w:t>
      </w:r>
      <w:r w:rsidR="00D50FFD">
        <w:rPr>
          <w:rFonts w:ascii="FangSong" w:eastAsia="FangSong" w:hAnsi="FangSong"/>
          <w:b/>
          <w:sz w:val="24"/>
        </w:rPr>
        <w:t>57</w:t>
      </w:r>
      <w:r w:rsidR="00D50FFD" w:rsidRPr="00D50FFD">
        <w:rPr>
          <w:rFonts w:ascii="FangSong" w:eastAsia="FangSong" w:hAnsi="FangSong"/>
          <w:b/>
          <w:sz w:val="24"/>
          <w:vertAlign w:val="superscript"/>
        </w:rPr>
        <w:t>th</w:t>
      </w:r>
      <w:r w:rsidR="00D50FFD">
        <w:rPr>
          <w:rFonts w:ascii="FangSong" w:eastAsia="FangSong" w:hAnsi="FangSong"/>
          <w:b/>
          <w:sz w:val="24"/>
        </w:rPr>
        <w:t xml:space="preserve"> S</w:t>
      </w:r>
      <w:r w:rsidR="00221DBA">
        <w:rPr>
          <w:rFonts w:ascii="FangSong" w:eastAsia="FangSong" w:hAnsi="FangSong"/>
          <w:b/>
          <w:sz w:val="24"/>
        </w:rPr>
        <w:t xml:space="preserve">ession of the  Committee </w:t>
      </w:r>
      <w:r w:rsidR="00D50FFD">
        <w:rPr>
          <w:rFonts w:ascii="FangSong" w:eastAsia="FangSong" w:hAnsi="FangSong"/>
          <w:b/>
          <w:sz w:val="24"/>
        </w:rPr>
        <w:t>on Economic, Social and Cultural Rights</w:t>
      </w:r>
      <w:r w:rsidR="00221DBA">
        <w:rPr>
          <w:rFonts w:ascii="FangSong" w:eastAsia="FangSong" w:hAnsi="FangSong"/>
          <w:b/>
          <w:sz w:val="24"/>
        </w:rPr>
        <w:t>.</w:t>
      </w:r>
    </w:p>
    <w:p w:rsidR="00221DBA" w:rsidRDefault="00221DBA" w:rsidP="00D1731B">
      <w:pPr>
        <w:jc w:val="center"/>
        <w:rPr>
          <w:rFonts w:ascii="FangSong" w:eastAsia="FangSong" w:hAnsi="FangSong"/>
          <w:b/>
          <w:sz w:val="24"/>
        </w:rPr>
      </w:pPr>
    </w:p>
    <w:p w:rsidR="00221DBA" w:rsidRDefault="00221DBA" w:rsidP="00D1731B">
      <w:pPr>
        <w:jc w:val="center"/>
        <w:rPr>
          <w:rFonts w:ascii="FangSong" w:eastAsia="FangSong" w:hAnsi="FangSong"/>
          <w:b/>
          <w:sz w:val="24"/>
        </w:rPr>
      </w:pPr>
    </w:p>
    <w:p w:rsidR="00D5133B" w:rsidRDefault="00221DBA" w:rsidP="00D1731B">
      <w:pPr>
        <w:jc w:val="center"/>
        <w:rPr>
          <w:rFonts w:ascii="FangSong" w:eastAsia="FangSong" w:hAnsi="FangSong"/>
          <w:b/>
          <w:sz w:val="24"/>
        </w:rPr>
      </w:pPr>
      <w:r>
        <w:rPr>
          <w:rFonts w:ascii="FangSong" w:eastAsia="FangSong" w:hAnsi="FangSong"/>
          <w:b/>
          <w:sz w:val="24"/>
        </w:rPr>
        <w:t xml:space="preserve">January 2016 </w:t>
      </w:r>
    </w:p>
    <w:p w:rsidR="00221DBA" w:rsidRDefault="00221DBA">
      <w:pPr>
        <w:rPr>
          <w:rFonts w:ascii="FangSong" w:eastAsia="FangSong" w:hAnsi="FangSong" w:cstheme="majorBidi"/>
          <w:bCs/>
          <w:color w:val="365F91" w:themeColor="accent1" w:themeShade="BF"/>
          <w:sz w:val="24"/>
          <w:szCs w:val="28"/>
          <w:lang w:val="en-US"/>
        </w:rPr>
      </w:pPr>
      <w:r>
        <w:rPr>
          <w:rFonts w:ascii="FangSong" w:eastAsia="FangSong" w:hAnsi="FangSong"/>
          <w:b/>
          <w:sz w:val="24"/>
        </w:rPr>
        <w:br w:type="page"/>
      </w:r>
    </w:p>
    <w:p w:rsidR="00221DBA" w:rsidRDefault="00221DBA">
      <w:pPr>
        <w:pStyle w:val="TOCHeading"/>
        <w:rPr>
          <w:rFonts w:ascii="FangSong" w:eastAsia="FangSong" w:hAnsi="FangSong"/>
          <w:b w:val="0"/>
          <w:sz w:val="24"/>
        </w:rPr>
      </w:pPr>
    </w:p>
    <w:sdt>
      <w:sdtPr>
        <w:rPr>
          <w:rFonts w:asciiTheme="minorHAnsi" w:eastAsiaTheme="minorHAnsi" w:hAnsiTheme="minorHAnsi" w:cstheme="minorBidi"/>
          <w:b w:val="0"/>
          <w:bCs w:val="0"/>
          <w:color w:val="auto"/>
          <w:sz w:val="22"/>
          <w:szCs w:val="22"/>
        </w:rPr>
        <w:id w:val="14289509"/>
        <w:docPartObj>
          <w:docPartGallery w:val="Table of Contents"/>
          <w:docPartUnique/>
        </w:docPartObj>
      </w:sdtPr>
      <w:sdtEndPr>
        <w:rPr>
          <w:rFonts w:eastAsiaTheme="minorEastAsia"/>
        </w:rPr>
      </w:sdtEndPr>
      <w:sdtContent>
        <w:bookmarkStart w:id="0" w:name="_Toc440367398" w:displacedByCustomXml="prev"/>
        <w:p w:rsidR="00D1731B" w:rsidRDefault="00D1731B" w:rsidP="00221DBA">
          <w:pPr>
            <w:pStyle w:val="Heading1"/>
          </w:pPr>
          <w:r>
            <w:t>Contents</w:t>
          </w:r>
          <w:bookmarkEnd w:id="0"/>
        </w:p>
        <w:p w:rsidR="00EF743C" w:rsidRDefault="00E66D6A">
          <w:pPr>
            <w:pStyle w:val="TOC1"/>
            <w:tabs>
              <w:tab w:val="right" w:leader="dot" w:pos="9350"/>
            </w:tabs>
            <w:rPr>
              <w:noProof/>
              <w:lang w:val="en-US"/>
            </w:rPr>
          </w:pPr>
          <w:r w:rsidRPr="00D1731B">
            <w:rPr>
              <w:sz w:val="24"/>
              <w:szCs w:val="24"/>
            </w:rPr>
            <w:fldChar w:fldCharType="begin"/>
          </w:r>
          <w:r w:rsidR="00D1731B" w:rsidRPr="00D1731B">
            <w:rPr>
              <w:sz w:val="24"/>
              <w:szCs w:val="24"/>
            </w:rPr>
            <w:instrText xml:space="preserve"> TOC \o "1-3" \h \z \u </w:instrText>
          </w:r>
          <w:r w:rsidRPr="00D1731B">
            <w:rPr>
              <w:sz w:val="24"/>
              <w:szCs w:val="24"/>
            </w:rPr>
            <w:fldChar w:fldCharType="separate"/>
          </w:r>
          <w:hyperlink w:anchor="_Toc440367398" w:history="1">
            <w:r w:rsidR="00EF743C" w:rsidRPr="00474F08">
              <w:rPr>
                <w:rStyle w:val="Hyperlink"/>
                <w:noProof/>
              </w:rPr>
              <w:t>Contents</w:t>
            </w:r>
            <w:r w:rsidR="00EF743C">
              <w:rPr>
                <w:noProof/>
                <w:webHidden/>
              </w:rPr>
              <w:tab/>
            </w:r>
            <w:r w:rsidR="00EF743C">
              <w:rPr>
                <w:noProof/>
                <w:webHidden/>
              </w:rPr>
              <w:fldChar w:fldCharType="begin"/>
            </w:r>
            <w:r w:rsidR="00EF743C">
              <w:rPr>
                <w:noProof/>
                <w:webHidden/>
              </w:rPr>
              <w:instrText xml:space="preserve"> PAGEREF _Toc440367398 \h </w:instrText>
            </w:r>
            <w:r w:rsidR="00EF743C">
              <w:rPr>
                <w:noProof/>
                <w:webHidden/>
              </w:rPr>
            </w:r>
            <w:r w:rsidR="00EF743C">
              <w:rPr>
                <w:noProof/>
                <w:webHidden/>
              </w:rPr>
              <w:fldChar w:fldCharType="separate"/>
            </w:r>
            <w:r w:rsidR="00EF743C">
              <w:rPr>
                <w:noProof/>
                <w:webHidden/>
              </w:rPr>
              <w:t>2</w:t>
            </w:r>
            <w:r w:rsidR="00EF743C">
              <w:rPr>
                <w:noProof/>
                <w:webHidden/>
              </w:rPr>
              <w:fldChar w:fldCharType="end"/>
            </w:r>
          </w:hyperlink>
        </w:p>
        <w:p w:rsidR="00EF743C" w:rsidRDefault="00980DF6">
          <w:pPr>
            <w:pStyle w:val="TOC1"/>
            <w:tabs>
              <w:tab w:val="right" w:leader="dot" w:pos="9350"/>
            </w:tabs>
            <w:rPr>
              <w:noProof/>
              <w:lang w:val="en-US"/>
            </w:rPr>
          </w:pPr>
          <w:hyperlink w:anchor="_Toc440367399" w:history="1">
            <w:r w:rsidR="00EF743C" w:rsidRPr="00474F08">
              <w:rPr>
                <w:rStyle w:val="Hyperlink"/>
                <w:noProof/>
              </w:rPr>
              <w:t>Background</w:t>
            </w:r>
            <w:r w:rsidR="00EF743C">
              <w:rPr>
                <w:noProof/>
                <w:webHidden/>
              </w:rPr>
              <w:tab/>
            </w:r>
            <w:r w:rsidR="00EF743C">
              <w:rPr>
                <w:noProof/>
                <w:webHidden/>
              </w:rPr>
              <w:fldChar w:fldCharType="begin"/>
            </w:r>
            <w:r w:rsidR="00EF743C">
              <w:rPr>
                <w:noProof/>
                <w:webHidden/>
              </w:rPr>
              <w:instrText xml:space="preserve"> PAGEREF _Toc440367399 \h </w:instrText>
            </w:r>
            <w:r w:rsidR="00EF743C">
              <w:rPr>
                <w:noProof/>
                <w:webHidden/>
              </w:rPr>
            </w:r>
            <w:r w:rsidR="00EF743C">
              <w:rPr>
                <w:noProof/>
                <w:webHidden/>
              </w:rPr>
              <w:fldChar w:fldCharType="separate"/>
            </w:r>
            <w:r w:rsidR="00EF743C">
              <w:rPr>
                <w:noProof/>
                <w:webHidden/>
              </w:rPr>
              <w:t>3</w:t>
            </w:r>
            <w:r w:rsidR="00EF743C">
              <w:rPr>
                <w:noProof/>
                <w:webHidden/>
              </w:rPr>
              <w:fldChar w:fldCharType="end"/>
            </w:r>
          </w:hyperlink>
        </w:p>
        <w:p w:rsidR="00EF743C" w:rsidRDefault="00980DF6">
          <w:pPr>
            <w:pStyle w:val="TOC1"/>
            <w:tabs>
              <w:tab w:val="right" w:leader="dot" w:pos="9350"/>
            </w:tabs>
            <w:rPr>
              <w:noProof/>
              <w:lang w:val="en-US"/>
            </w:rPr>
          </w:pPr>
          <w:hyperlink w:anchor="_Toc440367400" w:history="1">
            <w:r w:rsidR="00EF743C" w:rsidRPr="00474F08">
              <w:rPr>
                <w:rStyle w:val="Hyperlink"/>
                <w:noProof/>
              </w:rPr>
              <w:t>The CRC List of Issues</w:t>
            </w:r>
            <w:r w:rsidR="00EF743C">
              <w:rPr>
                <w:noProof/>
                <w:webHidden/>
              </w:rPr>
              <w:tab/>
            </w:r>
            <w:r w:rsidR="00EF743C">
              <w:rPr>
                <w:noProof/>
                <w:webHidden/>
              </w:rPr>
              <w:fldChar w:fldCharType="begin"/>
            </w:r>
            <w:r w:rsidR="00EF743C">
              <w:rPr>
                <w:noProof/>
                <w:webHidden/>
              </w:rPr>
              <w:instrText xml:space="preserve"> PAGEREF _Toc440367400 \h </w:instrText>
            </w:r>
            <w:r w:rsidR="00EF743C">
              <w:rPr>
                <w:noProof/>
                <w:webHidden/>
              </w:rPr>
            </w:r>
            <w:r w:rsidR="00EF743C">
              <w:rPr>
                <w:noProof/>
                <w:webHidden/>
              </w:rPr>
              <w:fldChar w:fldCharType="separate"/>
            </w:r>
            <w:r w:rsidR="00EF743C">
              <w:rPr>
                <w:noProof/>
                <w:webHidden/>
              </w:rPr>
              <w:t>3</w:t>
            </w:r>
            <w:r w:rsidR="00EF743C">
              <w:rPr>
                <w:noProof/>
                <w:webHidden/>
              </w:rPr>
              <w:fldChar w:fldCharType="end"/>
            </w:r>
          </w:hyperlink>
        </w:p>
        <w:p w:rsidR="00EF743C" w:rsidRDefault="00980DF6">
          <w:pPr>
            <w:pStyle w:val="TOC1"/>
            <w:tabs>
              <w:tab w:val="right" w:leader="dot" w:pos="9350"/>
            </w:tabs>
            <w:rPr>
              <w:noProof/>
              <w:lang w:val="en-US"/>
            </w:rPr>
          </w:pPr>
          <w:hyperlink w:anchor="_Toc440367401" w:history="1">
            <w:r w:rsidR="00EF743C" w:rsidRPr="00474F08">
              <w:rPr>
                <w:rStyle w:val="Hyperlink"/>
                <w:noProof/>
              </w:rPr>
              <w:t>Legal Framework</w:t>
            </w:r>
            <w:r w:rsidR="00EF743C">
              <w:rPr>
                <w:noProof/>
                <w:webHidden/>
              </w:rPr>
              <w:tab/>
            </w:r>
            <w:r w:rsidR="00EF743C">
              <w:rPr>
                <w:noProof/>
                <w:webHidden/>
              </w:rPr>
              <w:fldChar w:fldCharType="begin"/>
            </w:r>
            <w:r w:rsidR="00EF743C">
              <w:rPr>
                <w:noProof/>
                <w:webHidden/>
              </w:rPr>
              <w:instrText xml:space="preserve"> PAGEREF _Toc440367401 \h </w:instrText>
            </w:r>
            <w:r w:rsidR="00EF743C">
              <w:rPr>
                <w:noProof/>
                <w:webHidden/>
              </w:rPr>
            </w:r>
            <w:r w:rsidR="00EF743C">
              <w:rPr>
                <w:noProof/>
                <w:webHidden/>
              </w:rPr>
              <w:fldChar w:fldCharType="separate"/>
            </w:r>
            <w:r w:rsidR="00EF743C">
              <w:rPr>
                <w:noProof/>
                <w:webHidden/>
              </w:rPr>
              <w:t>4</w:t>
            </w:r>
            <w:r w:rsidR="00EF743C">
              <w:rPr>
                <w:noProof/>
                <w:webHidden/>
              </w:rPr>
              <w:fldChar w:fldCharType="end"/>
            </w:r>
          </w:hyperlink>
        </w:p>
        <w:p w:rsidR="00EF743C" w:rsidRDefault="00980DF6">
          <w:pPr>
            <w:pStyle w:val="TOC1"/>
            <w:tabs>
              <w:tab w:val="right" w:leader="dot" w:pos="9350"/>
            </w:tabs>
            <w:rPr>
              <w:noProof/>
              <w:lang w:val="en-US"/>
            </w:rPr>
          </w:pPr>
          <w:hyperlink w:anchor="_Toc440367402" w:history="1">
            <w:r w:rsidR="00EF743C" w:rsidRPr="00474F08">
              <w:rPr>
                <w:rStyle w:val="Hyperlink"/>
                <w:noProof/>
              </w:rPr>
              <w:t>Challenges in Public Schools</w:t>
            </w:r>
            <w:r w:rsidR="00EF743C">
              <w:rPr>
                <w:noProof/>
                <w:webHidden/>
              </w:rPr>
              <w:tab/>
            </w:r>
            <w:r w:rsidR="00EF743C">
              <w:rPr>
                <w:noProof/>
                <w:webHidden/>
              </w:rPr>
              <w:fldChar w:fldCharType="begin"/>
            </w:r>
            <w:r w:rsidR="00EF743C">
              <w:rPr>
                <w:noProof/>
                <w:webHidden/>
              </w:rPr>
              <w:instrText xml:space="preserve"> PAGEREF _Toc440367402 \h </w:instrText>
            </w:r>
            <w:r w:rsidR="00EF743C">
              <w:rPr>
                <w:noProof/>
                <w:webHidden/>
              </w:rPr>
            </w:r>
            <w:r w:rsidR="00EF743C">
              <w:rPr>
                <w:noProof/>
                <w:webHidden/>
              </w:rPr>
              <w:fldChar w:fldCharType="separate"/>
            </w:r>
            <w:r w:rsidR="00EF743C">
              <w:rPr>
                <w:noProof/>
                <w:webHidden/>
              </w:rPr>
              <w:t>13</w:t>
            </w:r>
            <w:r w:rsidR="00EF743C">
              <w:rPr>
                <w:noProof/>
                <w:webHidden/>
              </w:rPr>
              <w:fldChar w:fldCharType="end"/>
            </w:r>
          </w:hyperlink>
        </w:p>
        <w:p w:rsidR="00EF743C" w:rsidRDefault="00980DF6">
          <w:pPr>
            <w:pStyle w:val="TOC1"/>
            <w:tabs>
              <w:tab w:val="right" w:leader="dot" w:pos="9350"/>
            </w:tabs>
            <w:rPr>
              <w:noProof/>
              <w:lang w:val="en-US"/>
            </w:rPr>
          </w:pPr>
          <w:hyperlink w:anchor="_Toc440367403" w:history="1">
            <w:r w:rsidR="00EF743C" w:rsidRPr="00474F08">
              <w:rPr>
                <w:rStyle w:val="Hyperlink"/>
                <w:noProof/>
              </w:rPr>
              <w:t>Regulation of Private Actors in the Education Sector</w:t>
            </w:r>
            <w:r w:rsidR="00EF743C">
              <w:rPr>
                <w:noProof/>
                <w:webHidden/>
              </w:rPr>
              <w:tab/>
            </w:r>
            <w:r w:rsidR="00EF743C">
              <w:rPr>
                <w:noProof/>
                <w:webHidden/>
              </w:rPr>
              <w:fldChar w:fldCharType="begin"/>
            </w:r>
            <w:r w:rsidR="00EF743C">
              <w:rPr>
                <w:noProof/>
                <w:webHidden/>
              </w:rPr>
              <w:instrText xml:space="preserve"> PAGEREF _Toc440367403 \h </w:instrText>
            </w:r>
            <w:r w:rsidR="00EF743C">
              <w:rPr>
                <w:noProof/>
                <w:webHidden/>
              </w:rPr>
            </w:r>
            <w:r w:rsidR="00EF743C">
              <w:rPr>
                <w:noProof/>
                <w:webHidden/>
              </w:rPr>
              <w:fldChar w:fldCharType="separate"/>
            </w:r>
            <w:r w:rsidR="00EF743C">
              <w:rPr>
                <w:noProof/>
                <w:webHidden/>
              </w:rPr>
              <w:t>15</w:t>
            </w:r>
            <w:r w:rsidR="00EF743C">
              <w:rPr>
                <w:noProof/>
                <w:webHidden/>
              </w:rPr>
              <w:fldChar w:fldCharType="end"/>
            </w:r>
          </w:hyperlink>
        </w:p>
        <w:p w:rsidR="00EF743C" w:rsidRDefault="00980DF6">
          <w:pPr>
            <w:pStyle w:val="TOC1"/>
            <w:tabs>
              <w:tab w:val="right" w:leader="dot" w:pos="9350"/>
            </w:tabs>
            <w:rPr>
              <w:noProof/>
              <w:lang w:val="en-US"/>
            </w:rPr>
          </w:pPr>
          <w:hyperlink w:anchor="_Toc440367404" w:history="1">
            <w:r w:rsidR="00EF743C" w:rsidRPr="00474F08">
              <w:rPr>
                <w:rStyle w:val="Hyperlink"/>
                <w:noProof/>
              </w:rPr>
              <w:t>Role of Development Partners</w:t>
            </w:r>
            <w:r w:rsidR="00EF743C">
              <w:rPr>
                <w:noProof/>
                <w:webHidden/>
              </w:rPr>
              <w:tab/>
            </w:r>
            <w:r w:rsidR="00EF743C">
              <w:rPr>
                <w:noProof/>
                <w:webHidden/>
              </w:rPr>
              <w:fldChar w:fldCharType="begin"/>
            </w:r>
            <w:r w:rsidR="00EF743C">
              <w:rPr>
                <w:noProof/>
                <w:webHidden/>
              </w:rPr>
              <w:instrText xml:space="preserve"> PAGEREF _Toc440367404 \h </w:instrText>
            </w:r>
            <w:r w:rsidR="00EF743C">
              <w:rPr>
                <w:noProof/>
                <w:webHidden/>
              </w:rPr>
            </w:r>
            <w:r w:rsidR="00EF743C">
              <w:rPr>
                <w:noProof/>
                <w:webHidden/>
              </w:rPr>
              <w:fldChar w:fldCharType="separate"/>
            </w:r>
            <w:r w:rsidR="00EF743C">
              <w:rPr>
                <w:noProof/>
                <w:webHidden/>
              </w:rPr>
              <w:t>16</w:t>
            </w:r>
            <w:r w:rsidR="00EF743C">
              <w:rPr>
                <w:noProof/>
                <w:webHidden/>
              </w:rPr>
              <w:fldChar w:fldCharType="end"/>
            </w:r>
          </w:hyperlink>
        </w:p>
        <w:p w:rsidR="00EF743C" w:rsidRDefault="00980DF6">
          <w:pPr>
            <w:pStyle w:val="TOC1"/>
            <w:tabs>
              <w:tab w:val="right" w:leader="dot" w:pos="9350"/>
            </w:tabs>
            <w:rPr>
              <w:noProof/>
              <w:lang w:val="en-US"/>
            </w:rPr>
          </w:pPr>
          <w:hyperlink w:anchor="_Toc440367405" w:history="1">
            <w:r w:rsidR="00EF743C" w:rsidRPr="00474F08">
              <w:rPr>
                <w:rStyle w:val="Hyperlink"/>
                <w:noProof/>
              </w:rPr>
              <w:t>Recommendations</w:t>
            </w:r>
            <w:r w:rsidR="00EF743C">
              <w:rPr>
                <w:noProof/>
                <w:webHidden/>
              </w:rPr>
              <w:tab/>
            </w:r>
            <w:r w:rsidR="00EF743C">
              <w:rPr>
                <w:noProof/>
                <w:webHidden/>
              </w:rPr>
              <w:fldChar w:fldCharType="begin"/>
            </w:r>
            <w:r w:rsidR="00EF743C">
              <w:rPr>
                <w:noProof/>
                <w:webHidden/>
              </w:rPr>
              <w:instrText xml:space="preserve"> PAGEREF _Toc440367405 \h </w:instrText>
            </w:r>
            <w:r w:rsidR="00EF743C">
              <w:rPr>
                <w:noProof/>
                <w:webHidden/>
              </w:rPr>
            </w:r>
            <w:r w:rsidR="00EF743C">
              <w:rPr>
                <w:noProof/>
                <w:webHidden/>
              </w:rPr>
              <w:fldChar w:fldCharType="separate"/>
            </w:r>
            <w:r w:rsidR="00EF743C">
              <w:rPr>
                <w:noProof/>
                <w:webHidden/>
              </w:rPr>
              <w:t>19</w:t>
            </w:r>
            <w:r w:rsidR="00EF743C">
              <w:rPr>
                <w:noProof/>
                <w:webHidden/>
              </w:rPr>
              <w:fldChar w:fldCharType="end"/>
            </w:r>
          </w:hyperlink>
        </w:p>
        <w:p w:rsidR="00D1731B" w:rsidRDefault="00E66D6A">
          <w:r w:rsidRPr="00D1731B">
            <w:rPr>
              <w:sz w:val="24"/>
              <w:szCs w:val="24"/>
            </w:rPr>
            <w:fldChar w:fldCharType="end"/>
          </w:r>
        </w:p>
      </w:sdtContent>
    </w:sdt>
    <w:p w:rsidR="00D5133B" w:rsidRDefault="00D5133B">
      <w:pPr>
        <w:rPr>
          <w:highlight w:val="yellow"/>
        </w:rPr>
      </w:pPr>
      <w:r>
        <w:rPr>
          <w:highlight w:val="yellow"/>
        </w:rPr>
        <w:br w:type="page"/>
      </w:r>
    </w:p>
    <w:p w:rsidR="00145442" w:rsidRPr="00D5133B" w:rsidRDefault="002E07D4" w:rsidP="002E07D4">
      <w:pPr>
        <w:pStyle w:val="Heading1"/>
      </w:pPr>
      <w:bookmarkStart w:id="1" w:name="_Toc440367399"/>
      <w:r w:rsidRPr="00D5133B">
        <w:lastRenderedPageBreak/>
        <w:t>Background</w:t>
      </w:r>
      <w:bookmarkEnd w:id="1"/>
      <w:r w:rsidR="00145442" w:rsidRPr="00D5133B">
        <w:t xml:space="preserve"> </w:t>
      </w:r>
    </w:p>
    <w:p w:rsidR="009171C6" w:rsidRPr="009171C6" w:rsidRDefault="009171C6" w:rsidP="00D5133B">
      <w:pPr>
        <w:spacing w:before="240"/>
        <w:jc w:val="both"/>
        <w:rPr>
          <w:sz w:val="24"/>
          <w:szCs w:val="24"/>
        </w:rPr>
      </w:pPr>
      <w:r w:rsidRPr="009171C6">
        <w:rPr>
          <w:sz w:val="24"/>
          <w:szCs w:val="24"/>
        </w:rPr>
        <w:t>Of the approximately 500,000 children in Nairobi, about 60% are enrolled in low-fee private schools.</w:t>
      </w:r>
      <w:r>
        <w:rPr>
          <w:rStyle w:val="FootnoteReference"/>
          <w:sz w:val="24"/>
          <w:szCs w:val="24"/>
        </w:rPr>
        <w:footnoteReference w:id="1"/>
      </w:r>
      <w:r>
        <w:rPr>
          <w:sz w:val="24"/>
          <w:szCs w:val="24"/>
        </w:rPr>
        <w:t xml:space="preserve"> Most of these children are found in the </w:t>
      </w:r>
      <w:r w:rsidR="009D3F16">
        <w:rPr>
          <w:sz w:val="24"/>
          <w:szCs w:val="24"/>
        </w:rPr>
        <w:t>informal</w:t>
      </w:r>
      <w:r>
        <w:rPr>
          <w:sz w:val="24"/>
          <w:szCs w:val="24"/>
        </w:rPr>
        <w:t xml:space="preserve"> settlement and come from households that survive on less than $1 a day.</w:t>
      </w:r>
      <w:r>
        <w:rPr>
          <w:rStyle w:val="FootnoteReference"/>
          <w:sz w:val="24"/>
          <w:szCs w:val="24"/>
        </w:rPr>
        <w:footnoteReference w:id="2"/>
      </w:r>
      <w:r>
        <w:rPr>
          <w:sz w:val="24"/>
          <w:szCs w:val="24"/>
        </w:rPr>
        <w:t xml:space="preserve"> School fees have been identified as one of the biggest barriers to access to education, especially in developing countries where these costs bar children from accessing or completing quality basic education or force these families to sacrifice other essentials needs</w:t>
      </w:r>
      <w:r w:rsidR="008C57C4">
        <w:rPr>
          <w:sz w:val="24"/>
          <w:szCs w:val="24"/>
        </w:rPr>
        <w:t xml:space="preserve"> or make tough choices like which child will remain out of school</w:t>
      </w:r>
      <w:r>
        <w:rPr>
          <w:sz w:val="24"/>
          <w:szCs w:val="24"/>
        </w:rPr>
        <w:t>.</w:t>
      </w:r>
      <w:r>
        <w:rPr>
          <w:rStyle w:val="FootnoteReference"/>
          <w:sz w:val="24"/>
          <w:szCs w:val="24"/>
        </w:rPr>
        <w:footnoteReference w:id="3"/>
      </w:r>
    </w:p>
    <w:p w:rsidR="00B45B8D" w:rsidRDefault="00945A5F" w:rsidP="00945A5F">
      <w:pPr>
        <w:jc w:val="both"/>
        <w:rPr>
          <w:sz w:val="24"/>
          <w:szCs w:val="24"/>
        </w:rPr>
      </w:pPr>
      <w:r w:rsidRPr="00945A5F">
        <w:rPr>
          <w:sz w:val="24"/>
          <w:szCs w:val="24"/>
        </w:rPr>
        <w:t xml:space="preserve">In February 2012 </w:t>
      </w:r>
      <w:r w:rsidR="00A85124" w:rsidRPr="00945A5F">
        <w:rPr>
          <w:sz w:val="24"/>
          <w:szCs w:val="24"/>
        </w:rPr>
        <w:t xml:space="preserve">the </w:t>
      </w:r>
      <w:r w:rsidR="00B45B8D" w:rsidRPr="00945A5F">
        <w:rPr>
          <w:sz w:val="24"/>
          <w:szCs w:val="24"/>
        </w:rPr>
        <w:t xml:space="preserve">Taskforce </w:t>
      </w:r>
      <w:r w:rsidR="005308D6" w:rsidRPr="00945A5F">
        <w:rPr>
          <w:sz w:val="24"/>
          <w:szCs w:val="24"/>
        </w:rPr>
        <w:t>on the R</w:t>
      </w:r>
      <w:r w:rsidR="00A85124" w:rsidRPr="00945A5F">
        <w:rPr>
          <w:sz w:val="24"/>
          <w:szCs w:val="24"/>
        </w:rPr>
        <w:t>ealignment of the Education Sector to the Constitution 2010</w:t>
      </w:r>
      <w:r w:rsidRPr="00945A5F">
        <w:rPr>
          <w:sz w:val="24"/>
          <w:szCs w:val="24"/>
        </w:rPr>
        <w:t xml:space="preserve"> acknowledged the State had failed to provide </w:t>
      </w:r>
      <w:r w:rsidR="00B45B8D" w:rsidRPr="00945A5F">
        <w:rPr>
          <w:sz w:val="24"/>
          <w:szCs w:val="24"/>
        </w:rPr>
        <w:t xml:space="preserve">the </w:t>
      </w:r>
      <w:r w:rsidRPr="00945A5F">
        <w:rPr>
          <w:sz w:val="24"/>
          <w:szCs w:val="24"/>
        </w:rPr>
        <w:t xml:space="preserve">stringent </w:t>
      </w:r>
      <w:r w:rsidR="00B45B8D" w:rsidRPr="00945A5F">
        <w:rPr>
          <w:sz w:val="24"/>
          <w:szCs w:val="24"/>
        </w:rPr>
        <w:t xml:space="preserve">supervision required to </w:t>
      </w:r>
      <w:r w:rsidRPr="00945A5F">
        <w:rPr>
          <w:sz w:val="24"/>
          <w:szCs w:val="24"/>
        </w:rPr>
        <w:t xml:space="preserve">ensure that commercialization of education does not compromise </w:t>
      </w:r>
      <w:r w:rsidR="00652175" w:rsidRPr="00945A5F">
        <w:rPr>
          <w:sz w:val="24"/>
          <w:szCs w:val="24"/>
        </w:rPr>
        <w:t>access to and quality of education</w:t>
      </w:r>
      <w:r w:rsidR="00B45B8D" w:rsidRPr="00945A5F">
        <w:rPr>
          <w:sz w:val="24"/>
          <w:szCs w:val="24"/>
        </w:rPr>
        <w:t>.</w:t>
      </w:r>
      <w:r w:rsidR="00B45B8D" w:rsidRPr="00945A5F">
        <w:rPr>
          <w:rStyle w:val="FootnoteReference"/>
          <w:sz w:val="24"/>
          <w:szCs w:val="24"/>
        </w:rPr>
        <w:footnoteReference w:id="4"/>
      </w:r>
      <w:r w:rsidR="001F4E0D" w:rsidRPr="00945A5F">
        <w:rPr>
          <w:sz w:val="24"/>
          <w:szCs w:val="24"/>
        </w:rPr>
        <w:t xml:space="preserve"> To make matters worse, no clear policy on the role of private actors in education is in effect and </w:t>
      </w:r>
      <w:r w:rsidR="00FA4A1E" w:rsidRPr="00945A5F">
        <w:rPr>
          <w:sz w:val="24"/>
          <w:szCs w:val="24"/>
        </w:rPr>
        <w:t xml:space="preserve">generally, </w:t>
      </w:r>
      <w:r w:rsidR="001F4E0D" w:rsidRPr="00945A5F">
        <w:rPr>
          <w:sz w:val="24"/>
          <w:szCs w:val="24"/>
        </w:rPr>
        <w:t xml:space="preserve">children in private institutions do not benefit from free education grants. </w:t>
      </w:r>
    </w:p>
    <w:p w:rsidR="007D762F" w:rsidRDefault="007D762F" w:rsidP="00945A5F">
      <w:pPr>
        <w:jc w:val="both"/>
        <w:rPr>
          <w:sz w:val="24"/>
          <w:szCs w:val="24"/>
        </w:rPr>
      </w:pPr>
      <w:r>
        <w:rPr>
          <w:sz w:val="24"/>
          <w:szCs w:val="24"/>
        </w:rPr>
        <w:t>In the context of education as a human right and a public good, the persistent, unregulated commercialization of education entrenches inequalities by making it inaccessible to the poorest, most vulnerable members of community.</w:t>
      </w:r>
    </w:p>
    <w:p w:rsidR="00D765A7" w:rsidRPr="006D021F" w:rsidRDefault="00D765A7" w:rsidP="00D765A7">
      <w:pPr>
        <w:pStyle w:val="Heading1"/>
      </w:pPr>
      <w:bookmarkStart w:id="2" w:name="_Toc440367401"/>
      <w:bookmarkStart w:id="3" w:name="_GoBack"/>
      <w:bookmarkEnd w:id="3"/>
      <w:r w:rsidRPr="006D021F">
        <w:t>Legal Framework</w:t>
      </w:r>
      <w:bookmarkEnd w:id="2"/>
    </w:p>
    <w:p w:rsidR="00481831" w:rsidRPr="00481831" w:rsidRDefault="00481831" w:rsidP="00481831">
      <w:pPr>
        <w:spacing w:before="240"/>
        <w:jc w:val="both"/>
        <w:rPr>
          <w:bCs/>
          <w:sz w:val="24"/>
          <w:lang w:val="en-US"/>
        </w:rPr>
      </w:pPr>
      <w:bookmarkStart w:id="4" w:name="_Toc431783118"/>
      <w:r w:rsidRPr="00481831">
        <w:rPr>
          <w:sz w:val="24"/>
        </w:rPr>
        <w:t>The number of ‘low-cost’ for-profit private schools in Kenya has increased drastically over the last</w:t>
      </w:r>
      <w:r w:rsidRPr="00481831">
        <w:rPr>
          <w:bCs/>
          <w:sz w:val="24"/>
          <w:lang w:val="en-US"/>
        </w:rPr>
        <w:t xml:space="preserve"> few years</w:t>
      </w:r>
      <w:r w:rsidRPr="00481831">
        <w:rPr>
          <w:sz w:val="24"/>
          <w:lang w:val="en-US"/>
        </w:rPr>
        <w:t xml:space="preserve"> without a corresponding implementation of stringent regulations to ensure that the quality of education is not </w:t>
      </w:r>
      <w:r w:rsidRPr="00481831">
        <w:rPr>
          <w:bCs/>
          <w:sz w:val="24"/>
          <w:lang w:val="en-US"/>
        </w:rPr>
        <w:t>compromised, h</w:t>
      </w:r>
      <w:r w:rsidRPr="00481831">
        <w:rPr>
          <w:sz w:val="24"/>
          <w:lang w:val="en-US"/>
        </w:rPr>
        <w:t>uman rights standards are maintained</w:t>
      </w:r>
      <w:r w:rsidRPr="00481831">
        <w:rPr>
          <w:bCs/>
          <w:sz w:val="24"/>
          <w:lang w:val="en-US"/>
        </w:rPr>
        <w:t xml:space="preserve"> and basic education remains economically accessible to all. </w:t>
      </w:r>
      <w:r w:rsidRPr="00481831">
        <w:rPr>
          <w:sz w:val="24"/>
          <w:lang w:val="en-US"/>
        </w:rPr>
        <w:t>The legal framework governing the</w:t>
      </w:r>
      <w:r w:rsidRPr="00481831">
        <w:rPr>
          <w:bCs/>
          <w:sz w:val="24"/>
          <w:lang w:val="en-US"/>
        </w:rPr>
        <w:t>se</w:t>
      </w:r>
      <w:r w:rsidRPr="00481831">
        <w:rPr>
          <w:sz w:val="24"/>
          <w:lang w:val="en-US"/>
        </w:rPr>
        <w:t xml:space="preserve"> low-cost private schools is unclear. It appeared the Basic Education Act 2013 sought to eliminate them because it does not provide for them, but the Policy for Alternative Provision of Basic Education and Training (APBET), 2009</w:t>
      </w:r>
      <w:r w:rsidRPr="00481831">
        <w:rPr>
          <w:bCs/>
          <w:sz w:val="24"/>
          <w:lang w:val="en-US"/>
        </w:rPr>
        <w:t xml:space="preserve"> remains in force, despite the fact that it has not been aligned with the Constitution of Kenya</w:t>
      </w:r>
      <w:r w:rsidRPr="00481831">
        <w:rPr>
          <w:sz w:val="24"/>
          <w:lang w:val="en-US"/>
        </w:rPr>
        <w:t xml:space="preserve"> </w:t>
      </w:r>
      <w:r w:rsidRPr="00481831">
        <w:rPr>
          <w:bCs/>
          <w:sz w:val="24"/>
          <w:lang w:val="en-US"/>
        </w:rPr>
        <w:t xml:space="preserve">2010. </w:t>
      </w:r>
      <w:r w:rsidRPr="00481831">
        <w:rPr>
          <w:sz w:val="24"/>
          <w:lang w:val="en-US"/>
        </w:rPr>
        <w:t xml:space="preserve">The cumulative effect of this </w:t>
      </w:r>
      <w:r w:rsidRPr="00481831">
        <w:rPr>
          <w:bCs/>
          <w:sz w:val="24"/>
          <w:lang w:val="en-US"/>
        </w:rPr>
        <w:t xml:space="preserve">ambiguity in the legal framework for education </w:t>
      </w:r>
      <w:r w:rsidRPr="00481831">
        <w:rPr>
          <w:sz w:val="24"/>
          <w:lang w:val="en-US"/>
        </w:rPr>
        <w:t>is a violation of the right to a quality free basic education for every child.</w:t>
      </w:r>
      <w:r w:rsidRPr="00481831">
        <w:rPr>
          <w:bCs/>
          <w:sz w:val="24"/>
          <w:lang w:val="en-US"/>
        </w:rPr>
        <w:t xml:space="preserve"> </w:t>
      </w:r>
    </w:p>
    <w:p w:rsidR="00481831" w:rsidRPr="00481831" w:rsidRDefault="00481831" w:rsidP="00481831">
      <w:pPr>
        <w:jc w:val="both"/>
        <w:rPr>
          <w:b/>
          <w:bCs/>
          <w:sz w:val="24"/>
        </w:rPr>
      </w:pPr>
      <w:r w:rsidRPr="00481831">
        <w:rPr>
          <w:b/>
          <w:bCs/>
          <w:sz w:val="24"/>
        </w:rPr>
        <w:t xml:space="preserve">The Constitution of Kenya 2010 </w:t>
      </w:r>
    </w:p>
    <w:p w:rsidR="00481831" w:rsidRPr="00481831" w:rsidRDefault="00481831" w:rsidP="00481831">
      <w:pPr>
        <w:jc w:val="both"/>
        <w:rPr>
          <w:sz w:val="24"/>
        </w:rPr>
      </w:pPr>
      <w:r w:rsidRPr="00481831">
        <w:rPr>
          <w:sz w:val="24"/>
        </w:rPr>
        <w:lastRenderedPageBreak/>
        <w:t xml:space="preserve">Basic education in Kenya is recognised as a human right in article 43(1) (f) of the Constitution of Kenya 2010 which acknowledges that every person has the right to education. Every child’s right to free and compulsory basic education is entrenched in article 53 (1), and is not subject to progressive realisation – contrary to article 43. </w:t>
      </w:r>
    </w:p>
    <w:p w:rsidR="00481831" w:rsidRPr="00481831" w:rsidRDefault="00481831" w:rsidP="00481831">
      <w:pPr>
        <w:jc w:val="both"/>
        <w:rPr>
          <w:sz w:val="24"/>
        </w:rPr>
      </w:pPr>
      <w:r w:rsidRPr="00481831">
        <w:rPr>
          <w:sz w:val="24"/>
        </w:rPr>
        <w:t xml:space="preserve">Article 2 (6) of the Constitution recognises that “any treaty or convention ratified by Kenya shall form part of the law of Kenya under this Constitution”. Kenya has ratified the African Charter on Human and Peoples’ Rights (Banjul Charter) in 1992, the International Covenant on Economic, Social and Cultural Rights ratified in 1972, Convention on the Rights of the Child, ratified in 1990 - all of which protect the right to basic education and now form part of the laws of Kenya, legally binding on the State. </w:t>
      </w:r>
    </w:p>
    <w:p w:rsidR="00481831" w:rsidRPr="00481831" w:rsidRDefault="00481831" w:rsidP="00481831">
      <w:pPr>
        <w:jc w:val="both"/>
        <w:rPr>
          <w:sz w:val="24"/>
        </w:rPr>
      </w:pPr>
      <w:r w:rsidRPr="00481831">
        <w:rPr>
          <w:sz w:val="24"/>
        </w:rPr>
        <w:t xml:space="preserve">However, the protection and enforcement of this right cannot be achieved by providing for it in the Constitution alone. It is also necessary to enact supporting legislation to further expound on this right and set out the specific procedures that will facilitate its realization, along with the administrative structures that will enforce the processes. </w:t>
      </w:r>
    </w:p>
    <w:p w:rsidR="00481831" w:rsidRPr="00481831" w:rsidRDefault="00481831" w:rsidP="00481831">
      <w:pPr>
        <w:jc w:val="both"/>
        <w:rPr>
          <w:b/>
          <w:bCs/>
          <w:sz w:val="24"/>
        </w:rPr>
      </w:pPr>
      <w:r w:rsidRPr="00481831">
        <w:rPr>
          <w:b/>
          <w:bCs/>
          <w:sz w:val="24"/>
        </w:rPr>
        <w:t>The 2009 Kenya Policy on Alternative Provision of Basic Education and Training</w:t>
      </w:r>
    </w:p>
    <w:p w:rsidR="00481831" w:rsidRPr="00481831" w:rsidRDefault="00481831" w:rsidP="00481831">
      <w:pPr>
        <w:jc w:val="both"/>
        <w:rPr>
          <w:sz w:val="24"/>
        </w:rPr>
      </w:pPr>
      <w:r w:rsidRPr="00481831">
        <w:rPr>
          <w:sz w:val="24"/>
        </w:rPr>
        <w:t xml:space="preserve">The 2009 Kenya Policy on Alternative Provision of Basic Education and Training (APBET Policy) was enacted before the 2010 Constitution and is still the policy in force guiding provision of alternative basic education in Kenya. The Policy has not been reviewed to align with the 2010 Constitution and therefore should not be relied on fully. This situation is aggravated by the fact that no specific legislation has been enacted to operationalize the policy and it was not comprehensively incorporated into the Basic Education Act 2013. </w:t>
      </w:r>
    </w:p>
    <w:p w:rsidR="00481831" w:rsidRPr="00481831" w:rsidRDefault="00481831" w:rsidP="00481831">
      <w:pPr>
        <w:jc w:val="both"/>
        <w:rPr>
          <w:sz w:val="24"/>
        </w:rPr>
      </w:pPr>
      <w:r w:rsidRPr="00481831">
        <w:rPr>
          <w:sz w:val="24"/>
        </w:rPr>
        <w:t>Nonetheless, according to then Minister for Education, Professor Sam Ongeri, the APBET Policy was intended to “provide the necessary guidelines to streamline the development and management of alternative channels that provide education and training to needy Kenyans.” The Policy acknowledges that non-formal education programmes should maintain links to the formal education system or else it may degenerate into a parallel, inferior system for disadvantaged learners. Ideally therefore, non formal schools should follow the official primary school curriculum leading to national examinations and should be regulated closely to ensure the right quality and standards of education are maintained.  Towards this end, the Policy declares that the Ministry of Education (MoE) should take measures to protect children from exploitation through provision of sub-standard education and services, by ensuring that all institutions meet minimum quality standards.</w:t>
      </w:r>
      <w:r w:rsidRPr="00481831">
        <w:rPr>
          <w:sz w:val="24"/>
          <w:vertAlign w:val="superscript"/>
        </w:rPr>
        <w:footnoteReference w:id="5"/>
      </w:r>
      <w:r w:rsidRPr="00481831">
        <w:rPr>
          <w:sz w:val="24"/>
        </w:rPr>
        <w:t xml:space="preserve"> The Government is therefore aware of the danger of leaving non profit schools insufficiently regulated and should do more to effectively regulate these schools. </w:t>
      </w:r>
    </w:p>
    <w:p w:rsidR="00481831" w:rsidRPr="00481831" w:rsidRDefault="00481831" w:rsidP="00481831">
      <w:pPr>
        <w:jc w:val="both"/>
        <w:rPr>
          <w:sz w:val="24"/>
        </w:rPr>
      </w:pPr>
      <w:r w:rsidRPr="00481831">
        <w:rPr>
          <w:sz w:val="24"/>
        </w:rPr>
        <w:lastRenderedPageBreak/>
        <w:t xml:space="preserve">The APBET Policy defines basic education as ‘a wide range of educational activities offered in formal, informal and non-formal settings.’ The policy does not provide a definition for informal education, but describes non formal education as ‘any organized, systematic and quality education and training programs, outside the formal school system, that are consciously aimed at meeting specific learning needs of children...’ This provision creates ambiguity on what then is informal education and how does this differ- if at all – from non-formal education. The APBET Policy also provides that ‘non-formal schools’ are institutions that resemble formal schools in that they aim at transmitting a formalised curriculum leading to formal school examinations. They however differ in school practices, management, financing, staffing conditions, registration, operating environment and school structures. </w:t>
      </w:r>
    </w:p>
    <w:p w:rsidR="00481831" w:rsidRPr="00481831" w:rsidRDefault="00481831" w:rsidP="00481831">
      <w:pPr>
        <w:jc w:val="both"/>
        <w:rPr>
          <w:sz w:val="24"/>
        </w:rPr>
      </w:pPr>
      <w:r w:rsidRPr="00481831">
        <w:rPr>
          <w:sz w:val="24"/>
        </w:rPr>
        <w:t>The policy also addresses ‘alternative provision’ of basic education, which seeks to provide an option/choice that is responsive and relevant to the needs of the targeted population; ‘these options must have parity of esteem and convey comparable chances.’ On the other hand it also creates ‘complimentary provision’ of education which is that which adds on or complements education. The Policy further explains that complementary education seeks to integrate the school with community and social realities. In practice, there has been confusion among institutions on what schools amount to non-formal, informal or complementary.</w:t>
      </w:r>
      <w:r w:rsidRPr="00481831">
        <w:rPr>
          <w:sz w:val="24"/>
          <w:vertAlign w:val="superscript"/>
        </w:rPr>
        <w:footnoteReference w:id="6"/>
      </w:r>
      <w:r w:rsidRPr="00481831">
        <w:rPr>
          <w:sz w:val="24"/>
        </w:rPr>
        <w:t xml:space="preserve"> The fragmentation in the sector is a reflection of the confusion in the legal structure. </w:t>
      </w:r>
    </w:p>
    <w:p w:rsidR="00481831" w:rsidRPr="00481831" w:rsidRDefault="00481831" w:rsidP="00481831">
      <w:pPr>
        <w:jc w:val="both"/>
        <w:rPr>
          <w:sz w:val="24"/>
        </w:rPr>
      </w:pPr>
      <w:r w:rsidRPr="00481831">
        <w:rPr>
          <w:sz w:val="24"/>
        </w:rPr>
        <w:t>The guiding principles for APBET institutions are:</w:t>
      </w:r>
    </w:p>
    <w:p w:rsidR="00481831" w:rsidRPr="00481831" w:rsidRDefault="00481831" w:rsidP="00481831">
      <w:pPr>
        <w:numPr>
          <w:ilvl w:val="0"/>
          <w:numId w:val="7"/>
        </w:numPr>
        <w:spacing w:after="0"/>
        <w:jc w:val="both"/>
        <w:rPr>
          <w:sz w:val="24"/>
        </w:rPr>
      </w:pPr>
      <w:r w:rsidRPr="00481831">
        <w:rPr>
          <w:sz w:val="24"/>
        </w:rPr>
        <w:t>Access to education</w:t>
      </w:r>
    </w:p>
    <w:p w:rsidR="00481831" w:rsidRPr="00481831" w:rsidRDefault="00481831" w:rsidP="00481831">
      <w:pPr>
        <w:numPr>
          <w:ilvl w:val="0"/>
          <w:numId w:val="7"/>
        </w:numPr>
        <w:spacing w:after="0"/>
        <w:jc w:val="both"/>
        <w:rPr>
          <w:sz w:val="24"/>
        </w:rPr>
      </w:pPr>
      <w:r w:rsidRPr="00481831">
        <w:rPr>
          <w:sz w:val="24"/>
        </w:rPr>
        <w:t>Inclusion</w:t>
      </w:r>
    </w:p>
    <w:p w:rsidR="00481831" w:rsidRPr="00481831" w:rsidRDefault="00481831" w:rsidP="00481831">
      <w:pPr>
        <w:numPr>
          <w:ilvl w:val="0"/>
          <w:numId w:val="7"/>
        </w:numPr>
        <w:spacing w:after="0"/>
        <w:jc w:val="both"/>
        <w:rPr>
          <w:sz w:val="24"/>
        </w:rPr>
      </w:pPr>
      <w:r w:rsidRPr="00481831">
        <w:rPr>
          <w:sz w:val="24"/>
        </w:rPr>
        <w:t>Equity of provision</w:t>
      </w:r>
    </w:p>
    <w:p w:rsidR="00481831" w:rsidRPr="00481831" w:rsidRDefault="00481831" w:rsidP="00481831">
      <w:pPr>
        <w:numPr>
          <w:ilvl w:val="0"/>
          <w:numId w:val="7"/>
        </w:numPr>
        <w:spacing w:after="0"/>
        <w:jc w:val="both"/>
        <w:rPr>
          <w:sz w:val="24"/>
        </w:rPr>
      </w:pPr>
      <w:r w:rsidRPr="00481831">
        <w:rPr>
          <w:sz w:val="24"/>
        </w:rPr>
        <w:t>Alternative education provisions (providing formal education to those excluded)</w:t>
      </w:r>
    </w:p>
    <w:p w:rsidR="00481831" w:rsidRPr="00481831" w:rsidRDefault="00481831" w:rsidP="00481831">
      <w:pPr>
        <w:numPr>
          <w:ilvl w:val="0"/>
          <w:numId w:val="7"/>
        </w:numPr>
        <w:spacing w:after="0"/>
        <w:jc w:val="both"/>
        <w:rPr>
          <w:sz w:val="24"/>
        </w:rPr>
      </w:pPr>
      <w:r w:rsidRPr="00481831">
        <w:rPr>
          <w:sz w:val="24"/>
        </w:rPr>
        <w:t xml:space="preserve">Safe, friendly, protective learning environments </w:t>
      </w:r>
    </w:p>
    <w:p w:rsidR="00481831" w:rsidRPr="00481831" w:rsidRDefault="00481831" w:rsidP="00481831">
      <w:pPr>
        <w:numPr>
          <w:ilvl w:val="0"/>
          <w:numId w:val="7"/>
        </w:numPr>
        <w:spacing w:after="0"/>
        <w:jc w:val="both"/>
        <w:rPr>
          <w:sz w:val="24"/>
        </w:rPr>
      </w:pPr>
      <w:r w:rsidRPr="00481831">
        <w:rPr>
          <w:sz w:val="24"/>
        </w:rPr>
        <w:t>Quality education</w:t>
      </w:r>
    </w:p>
    <w:p w:rsidR="00481831" w:rsidRPr="00481831" w:rsidRDefault="00481831" w:rsidP="00481831">
      <w:pPr>
        <w:spacing w:after="0"/>
        <w:jc w:val="both"/>
        <w:rPr>
          <w:sz w:val="24"/>
        </w:rPr>
      </w:pPr>
      <w:r w:rsidRPr="00481831">
        <w:rPr>
          <w:sz w:val="24"/>
        </w:rPr>
        <w:t>The APBET Policy provides that all the APBET institutions must be registered with the Ministry of Education.</w:t>
      </w:r>
      <w:r w:rsidRPr="00481831">
        <w:rPr>
          <w:sz w:val="24"/>
          <w:vertAlign w:val="superscript"/>
        </w:rPr>
        <w:footnoteReference w:id="7"/>
      </w:r>
      <w:r w:rsidRPr="00481831">
        <w:rPr>
          <w:sz w:val="24"/>
        </w:rPr>
        <w:t xml:space="preserve"> Registration is only granted upon evidence of need and the learning institution should meet the accepted minimum standards of quality as stipulated by law.</w:t>
      </w:r>
      <w:r w:rsidRPr="00481831">
        <w:rPr>
          <w:sz w:val="24"/>
          <w:vertAlign w:val="superscript"/>
        </w:rPr>
        <w:footnoteReference w:id="8"/>
      </w:r>
      <w:r w:rsidRPr="00481831">
        <w:rPr>
          <w:sz w:val="24"/>
        </w:rPr>
        <w:t xml:space="preserve"> However, special guidelines are to be developed for non-formal education institutions in urban areas that take into account acreage limitations. This is the foundation for the Registration Guidelines for Alternative Provision of Basic Education and Training, issued in March 2015.</w:t>
      </w:r>
    </w:p>
    <w:p w:rsidR="00481831" w:rsidRPr="00481831" w:rsidRDefault="00481831" w:rsidP="00481831">
      <w:pPr>
        <w:jc w:val="both"/>
        <w:rPr>
          <w:sz w:val="24"/>
        </w:rPr>
      </w:pPr>
      <w:r w:rsidRPr="00481831">
        <w:rPr>
          <w:sz w:val="24"/>
        </w:rPr>
        <w:t xml:space="preserve">For an institution providing alternative basic education and/or training, registration or attachment to a registered institution is a prerequisite for benefiting from resource allocation </w:t>
      </w:r>
      <w:r w:rsidRPr="00481831">
        <w:rPr>
          <w:sz w:val="24"/>
        </w:rPr>
        <w:lastRenderedPageBreak/>
        <w:t>from the government, although the policy also supports public-private partnerships, encouraging the private sector to contribute to alternative learning institutions within the limits of the policy framework</w:t>
      </w:r>
      <w:r w:rsidRPr="00481831">
        <w:rPr>
          <w:sz w:val="24"/>
          <w:vertAlign w:val="superscript"/>
        </w:rPr>
        <w:t xml:space="preserve"> </w:t>
      </w:r>
      <w:r w:rsidRPr="00481831">
        <w:rPr>
          <w:sz w:val="24"/>
        </w:rPr>
        <w:t>.</w:t>
      </w:r>
      <w:r w:rsidRPr="00481831">
        <w:rPr>
          <w:sz w:val="24"/>
          <w:vertAlign w:val="superscript"/>
        </w:rPr>
        <w:footnoteReference w:id="9"/>
      </w:r>
      <w:r w:rsidRPr="00481831">
        <w:rPr>
          <w:sz w:val="24"/>
        </w:rPr>
        <w:t xml:space="preserve"> It calls upon communities, organizations, the government and other partners to work together for resource mobilization, and adds that any alternative institution financed by the government shall not charge levies without approval as per guidelines enacted by the Ministry of Education.</w:t>
      </w:r>
      <w:r w:rsidRPr="00481831">
        <w:rPr>
          <w:sz w:val="24"/>
          <w:vertAlign w:val="superscript"/>
        </w:rPr>
        <w:footnoteReference w:id="10"/>
      </w:r>
    </w:p>
    <w:p w:rsidR="00481831" w:rsidRPr="00481831" w:rsidRDefault="00481831" w:rsidP="00481831">
      <w:pPr>
        <w:jc w:val="both"/>
        <w:rPr>
          <w:sz w:val="24"/>
        </w:rPr>
      </w:pPr>
      <w:r w:rsidRPr="00481831">
        <w:rPr>
          <w:sz w:val="24"/>
        </w:rPr>
        <w:t>These institutions may use borrowed or rented space provided it meets acceptable standards of size, quality, safety, sanitation and play facilities. Further, all alternative provisions shall be staffed by trained teachers and the Ministry of Education is to facilitate further teacher training.</w:t>
      </w:r>
      <w:r w:rsidRPr="00481831">
        <w:rPr>
          <w:sz w:val="24"/>
          <w:vertAlign w:val="superscript"/>
        </w:rPr>
        <w:footnoteReference w:id="11"/>
      </w:r>
      <w:r w:rsidRPr="00481831">
        <w:rPr>
          <w:sz w:val="24"/>
        </w:rPr>
        <w:t xml:space="preserve"> In practice many of these guidelines have not been complied with but the Government is not doing much to enforce compliance. In the meantime the right to free, quality basic education is violated.</w:t>
      </w:r>
    </w:p>
    <w:p w:rsidR="00481831" w:rsidRPr="00481831" w:rsidRDefault="00481831" w:rsidP="00481831">
      <w:pPr>
        <w:jc w:val="both"/>
        <w:rPr>
          <w:sz w:val="24"/>
        </w:rPr>
      </w:pPr>
      <w:r w:rsidRPr="00481831">
        <w:rPr>
          <w:sz w:val="24"/>
        </w:rPr>
        <w:t>The issue of quality assurance and standards is addressed briefly in the APBET Policy which provides that this function should include supervision of curriculum implementation and monitoring educational institutions and facilitators. This process should entail:</w:t>
      </w:r>
    </w:p>
    <w:p w:rsidR="00481831" w:rsidRPr="00481831" w:rsidRDefault="00481831" w:rsidP="00481831">
      <w:pPr>
        <w:numPr>
          <w:ilvl w:val="0"/>
          <w:numId w:val="8"/>
        </w:numPr>
        <w:spacing w:after="0"/>
        <w:jc w:val="both"/>
        <w:rPr>
          <w:sz w:val="24"/>
        </w:rPr>
      </w:pPr>
      <w:r w:rsidRPr="00481831">
        <w:rPr>
          <w:sz w:val="24"/>
        </w:rPr>
        <w:t>Assessing all the institutions offering alternative education, including those not registered under the Ministry of Education</w:t>
      </w:r>
    </w:p>
    <w:p w:rsidR="00481831" w:rsidRPr="00481831" w:rsidRDefault="00481831" w:rsidP="00481831">
      <w:pPr>
        <w:numPr>
          <w:ilvl w:val="0"/>
          <w:numId w:val="8"/>
        </w:numPr>
        <w:spacing w:after="0"/>
        <w:jc w:val="both"/>
        <w:rPr>
          <w:sz w:val="24"/>
        </w:rPr>
      </w:pPr>
      <w:r w:rsidRPr="00481831">
        <w:rPr>
          <w:sz w:val="24"/>
        </w:rPr>
        <w:t xml:space="preserve">Reviewing the learning and teaching materials </w:t>
      </w:r>
    </w:p>
    <w:p w:rsidR="00481831" w:rsidRPr="00481831" w:rsidRDefault="00481831" w:rsidP="00481831">
      <w:pPr>
        <w:numPr>
          <w:ilvl w:val="0"/>
          <w:numId w:val="8"/>
        </w:numPr>
        <w:spacing w:after="0"/>
        <w:jc w:val="both"/>
        <w:rPr>
          <w:sz w:val="24"/>
        </w:rPr>
      </w:pPr>
      <w:r w:rsidRPr="00481831">
        <w:rPr>
          <w:sz w:val="24"/>
        </w:rPr>
        <w:t>Advising on the curriculum evaluation</w:t>
      </w:r>
    </w:p>
    <w:p w:rsidR="00481831" w:rsidRPr="00481831" w:rsidRDefault="00481831" w:rsidP="00481831">
      <w:pPr>
        <w:numPr>
          <w:ilvl w:val="0"/>
          <w:numId w:val="8"/>
        </w:numPr>
        <w:spacing w:after="0"/>
        <w:jc w:val="both"/>
        <w:rPr>
          <w:sz w:val="24"/>
        </w:rPr>
      </w:pPr>
      <w:r w:rsidRPr="00481831">
        <w:rPr>
          <w:sz w:val="24"/>
        </w:rPr>
        <w:t>Designing in-service training for teachers in alternative education institutions</w:t>
      </w:r>
    </w:p>
    <w:p w:rsidR="00481831" w:rsidRPr="00481831" w:rsidRDefault="00481831" w:rsidP="00481831">
      <w:pPr>
        <w:numPr>
          <w:ilvl w:val="0"/>
          <w:numId w:val="8"/>
        </w:numPr>
        <w:spacing w:after="0"/>
        <w:jc w:val="both"/>
        <w:rPr>
          <w:sz w:val="24"/>
        </w:rPr>
      </w:pPr>
      <w:r w:rsidRPr="00481831">
        <w:rPr>
          <w:sz w:val="24"/>
        </w:rPr>
        <w:t>Supervision of curriculum delivery</w:t>
      </w:r>
    </w:p>
    <w:p w:rsidR="00481831" w:rsidRPr="00481831" w:rsidRDefault="00481831" w:rsidP="00481831">
      <w:pPr>
        <w:spacing w:after="0"/>
        <w:jc w:val="both"/>
        <w:rPr>
          <w:sz w:val="24"/>
        </w:rPr>
      </w:pPr>
    </w:p>
    <w:p w:rsidR="00481831" w:rsidRPr="00481831" w:rsidRDefault="00481831" w:rsidP="00481831">
      <w:pPr>
        <w:jc w:val="both"/>
        <w:rPr>
          <w:b/>
          <w:bCs/>
          <w:sz w:val="24"/>
        </w:rPr>
      </w:pPr>
      <w:r w:rsidRPr="00481831">
        <w:rPr>
          <w:b/>
          <w:bCs/>
          <w:sz w:val="24"/>
        </w:rPr>
        <w:t>The Basic Education Act, No.  14 of 2013</w:t>
      </w:r>
    </w:p>
    <w:p w:rsidR="00481831" w:rsidRPr="00481831" w:rsidRDefault="00481831" w:rsidP="00481831">
      <w:pPr>
        <w:jc w:val="both"/>
        <w:rPr>
          <w:sz w:val="24"/>
        </w:rPr>
      </w:pPr>
      <w:r w:rsidRPr="00481831">
        <w:rPr>
          <w:sz w:val="24"/>
        </w:rPr>
        <w:t>The Basic Education Act, 2013 repealed the Education Act, enacted in 1980 (last revised in 2012). The Basic Education Act sought to streamline the provision of education in institutions of basic education, in line with the 2010 Constitution. The Act applies to all institutions of basic education, whether public or private.</w:t>
      </w:r>
      <w:r w:rsidRPr="00481831">
        <w:rPr>
          <w:sz w:val="24"/>
          <w:lang w:val="en-US"/>
        </w:rPr>
        <w:t xml:space="preserve"> According to the Act, private schools are those established, owned or operated by private individuals, entrepreneurs and institutions,</w:t>
      </w:r>
      <w:r w:rsidRPr="00481831">
        <w:rPr>
          <w:sz w:val="24"/>
          <w:vertAlign w:val="superscript"/>
          <w:lang w:val="en-US"/>
        </w:rPr>
        <w:footnoteReference w:id="12"/>
      </w:r>
      <w:r w:rsidRPr="00481831">
        <w:rPr>
          <w:sz w:val="24"/>
          <w:lang w:val="en-US"/>
        </w:rPr>
        <w:t xml:space="preserve"> under this definition therefore, institutions offering APBET may be classified as ‘private schools’. </w:t>
      </w:r>
    </w:p>
    <w:p w:rsidR="00481831" w:rsidRPr="00481831" w:rsidRDefault="00481831" w:rsidP="00481831">
      <w:pPr>
        <w:jc w:val="both"/>
        <w:rPr>
          <w:sz w:val="24"/>
          <w:lang w:val="en-US"/>
        </w:rPr>
      </w:pPr>
      <w:r w:rsidRPr="00481831">
        <w:rPr>
          <w:sz w:val="24"/>
        </w:rPr>
        <w:t xml:space="preserve">The Act does not mention APBET expressly, but defines non-formal education as </w:t>
      </w:r>
      <w:r w:rsidRPr="00481831">
        <w:rPr>
          <w:sz w:val="24"/>
          <w:lang w:val="en-US"/>
        </w:rPr>
        <w:t xml:space="preserve">any organized educational activity taking place outside the framework of the formal education system and </w:t>
      </w:r>
      <w:r w:rsidRPr="00481831">
        <w:rPr>
          <w:sz w:val="24"/>
          <w:lang w:val="en-US"/>
        </w:rPr>
        <w:lastRenderedPageBreak/>
        <w:t>targets specific groups/categories of persons with life skills, values and attitudes for personal and community development.</w:t>
      </w:r>
      <w:r w:rsidRPr="00481831">
        <w:rPr>
          <w:sz w:val="24"/>
          <w:vertAlign w:val="superscript"/>
          <w:lang w:val="en-US"/>
        </w:rPr>
        <w:footnoteReference w:id="13"/>
      </w:r>
      <w:r w:rsidRPr="00481831">
        <w:rPr>
          <w:sz w:val="24"/>
          <w:lang w:val="en-US"/>
        </w:rPr>
        <w:t xml:space="preserve"> This definition elaborates on the definition for non-formal schools given in the APBET Policy which was in more general terms. </w:t>
      </w:r>
    </w:p>
    <w:p w:rsidR="00481831" w:rsidRPr="00481831" w:rsidRDefault="00481831" w:rsidP="00481831">
      <w:pPr>
        <w:jc w:val="both"/>
        <w:rPr>
          <w:sz w:val="24"/>
          <w:lang w:val="en-US"/>
        </w:rPr>
      </w:pPr>
      <w:r w:rsidRPr="00481831">
        <w:rPr>
          <w:sz w:val="24"/>
          <w:lang w:val="en-US"/>
        </w:rPr>
        <w:t>The Act goes on to set out very elaborate guiding principles for the provision of basic education, starting with the right of every child to free and compulsory basic education.</w:t>
      </w:r>
      <w:r w:rsidRPr="00481831">
        <w:rPr>
          <w:sz w:val="24"/>
          <w:vertAlign w:val="superscript"/>
          <w:lang w:val="en-US"/>
        </w:rPr>
        <w:footnoteReference w:id="14"/>
      </w:r>
      <w:r w:rsidRPr="00481831">
        <w:rPr>
          <w:sz w:val="24"/>
          <w:lang w:val="en-US"/>
        </w:rPr>
        <w:t xml:space="preserve"> The guiding principles also include:</w:t>
      </w:r>
    </w:p>
    <w:p w:rsidR="00481831" w:rsidRPr="00481831" w:rsidRDefault="00481831" w:rsidP="00481831">
      <w:pPr>
        <w:numPr>
          <w:ilvl w:val="0"/>
          <w:numId w:val="10"/>
        </w:numPr>
        <w:spacing w:after="0"/>
        <w:jc w:val="both"/>
        <w:rPr>
          <w:sz w:val="24"/>
        </w:rPr>
      </w:pPr>
      <w:r w:rsidRPr="00481831">
        <w:rPr>
          <w:sz w:val="24"/>
          <w:lang w:val="en-US"/>
        </w:rPr>
        <w:t xml:space="preserve">the importance of quality and relevance,  </w:t>
      </w:r>
    </w:p>
    <w:p w:rsidR="00481831" w:rsidRPr="00481831" w:rsidRDefault="00481831" w:rsidP="00481831">
      <w:pPr>
        <w:numPr>
          <w:ilvl w:val="0"/>
          <w:numId w:val="10"/>
        </w:numPr>
        <w:spacing w:after="0"/>
        <w:jc w:val="both"/>
        <w:rPr>
          <w:sz w:val="24"/>
          <w:lang w:val="en-US"/>
        </w:rPr>
      </w:pPr>
      <w:r w:rsidRPr="00481831">
        <w:rPr>
          <w:sz w:val="24"/>
          <w:lang w:val="en-US"/>
        </w:rPr>
        <w:t xml:space="preserve">equitable access for the youth to basic education </w:t>
      </w:r>
    </w:p>
    <w:p w:rsidR="00481831" w:rsidRPr="00481831" w:rsidRDefault="00481831" w:rsidP="00481831">
      <w:pPr>
        <w:numPr>
          <w:ilvl w:val="0"/>
          <w:numId w:val="10"/>
        </w:numPr>
        <w:spacing w:after="0"/>
        <w:jc w:val="both"/>
        <w:rPr>
          <w:sz w:val="24"/>
          <w:lang w:val="en-US"/>
        </w:rPr>
      </w:pPr>
      <w:r w:rsidRPr="00481831">
        <w:rPr>
          <w:sz w:val="24"/>
          <w:lang w:val="en-US"/>
        </w:rPr>
        <w:t xml:space="preserve">accountability and democratic decision making within the institutions of basic education; </w:t>
      </w:r>
    </w:p>
    <w:p w:rsidR="00481831" w:rsidRPr="00481831" w:rsidRDefault="00481831" w:rsidP="00481831">
      <w:pPr>
        <w:numPr>
          <w:ilvl w:val="0"/>
          <w:numId w:val="10"/>
        </w:numPr>
        <w:spacing w:after="0"/>
        <w:jc w:val="both"/>
        <w:rPr>
          <w:sz w:val="24"/>
          <w:lang w:val="en-US"/>
        </w:rPr>
      </w:pPr>
      <w:r w:rsidRPr="00481831">
        <w:rPr>
          <w:sz w:val="24"/>
          <w:lang w:val="en-US"/>
        </w:rPr>
        <w:t>protection of every child against discrimination within or by an education department or education institution on any ground  whatsoever;</w:t>
      </w:r>
    </w:p>
    <w:p w:rsidR="00481831" w:rsidRPr="00481831" w:rsidRDefault="00481831" w:rsidP="00481831">
      <w:pPr>
        <w:numPr>
          <w:ilvl w:val="0"/>
          <w:numId w:val="10"/>
        </w:numPr>
        <w:spacing w:after="0"/>
        <w:jc w:val="both"/>
        <w:rPr>
          <w:sz w:val="24"/>
          <w:lang w:val="en-US"/>
        </w:rPr>
      </w:pPr>
      <w:r w:rsidRPr="00481831">
        <w:rPr>
          <w:sz w:val="24"/>
          <w:lang w:val="en-US"/>
        </w:rPr>
        <w:t>protection of the right of every child in a public school to equal standards of education including the medium of instructions used in schools for all children of the same educational level,</w:t>
      </w:r>
    </w:p>
    <w:p w:rsidR="00481831" w:rsidRPr="00481831" w:rsidRDefault="00481831" w:rsidP="00481831">
      <w:pPr>
        <w:numPr>
          <w:ilvl w:val="0"/>
          <w:numId w:val="10"/>
        </w:numPr>
        <w:spacing w:after="0"/>
        <w:jc w:val="both"/>
        <w:rPr>
          <w:sz w:val="24"/>
        </w:rPr>
      </w:pPr>
      <w:r w:rsidRPr="00481831">
        <w:rPr>
          <w:sz w:val="24"/>
          <w:lang w:val="en-US"/>
        </w:rPr>
        <w:t xml:space="preserve">promotion of good governance, participation and inclusiveness of parents, communities, private sector in the development and management of basic education, </w:t>
      </w:r>
    </w:p>
    <w:p w:rsidR="00481831" w:rsidRPr="00481831" w:rsidRDefault="00481831" w:rsidP="00481831">
      <w:pPr>
        <w:numPr>
          <w:ilvl w:val="0"/>
          <w:numId w:val="10"/>
        </w:numPr>
        <w:spacing w:after="0"/>
        <w:jc w:val="both"/>
        <w:rPr>
          <w:sz w:val="24"/>
          <w:lang w:val="en-US"/>
        </w:rPr>
      </w:pPr>
      <w:r w:rsidRPr="00481831">
        <w:rPr>
          <w:sz w:val="24"/>
          <w:lang w:val="en-US"/>
        </w:rPr>
        <w:t>transparency and cost effective use of educational resources and sustainable implementation of educational services;</w:t>
      </w:r>
    </w:p>
    <w:p w:rsidR="00481831" w:rsidRPr="00481831" w:rsidRDefault="00481831" w:rsidP="00481831">
      <w:pPr>
        <w:numPr>
          <w:ilvl w:val="0"/>
          <w:numId w:val="10"/>
        </w:numPr>
        <w:spacing w:after="0"/>
        <w:jc w:val="both"/>
        <w:rPr>
          <w:sz w:val="24"/>
          <w:lang w:val="en-US"/>
        </w:rPr>
      </w:pPr>
      <w:r w:rsidRPr="00481831">
        <w:rPr>
          <w:sz w:val="24"/>
          <w:lang w:val="en-US"/>
        </w:rPr>
        <w:t xml:space="preserve">non-discrimination, encouragement and protection of the marginalized, </w:t>
      </w:r>
    </w:p>
    <w:p w:rsidR="00481831" w:rsidRPr="00481831" w:rsidRDefault="00481831" w:rsidP="00481831">
      <w:pPr>
        <w:numPr>
          <w:ilvl w:val="0"/>
          <w:numId w:val="10"/>
        </w:numPr>
        <w:spacing w:after="0"/>
        <w:jc w:val="both"/>
        <w:rPr>
          <w:sz w:val="24"/>
        </w:rPr>
      </w:pPr>
      <w:r w:rsidRPr="00481831">
        <w:rPr>
          <w:sz w:val="24"/>
          <w:lang w:val="en-US"/>
        </w:rPr>
        <w:t>provision of appropriate human resource, funds, equipment, infrastructure and related resources that meet the needs of every child in basic education.</w:t>
      </w:r>
    </w:p>
    <w:p w:rsidR="00481831" w:rsidRPr="00481831" w:rsidRDefault="00481831" w:rsidP="00481831">
      <w:pPr>
        <w:spacing w:after="0"/>
        <w:jc w:val="both"/>
        <w:rPr>
          <w:sz w:val="24"/>
        </w:rPr>
      </w:pPr>
    </w:p>
    <w:p w:rsidR="00481831" w:rsidRPr="00481831" w:rsidRDefault="00481831" w:rsidP="00481831">
      <w:pPr>
        <w:jc w:val="both"/>
        <w:rPr>
          <w:sz w:val="24"/>
        </w:rPr>
      </w:pPr>
      <w:r w:rsidRPr="00481831">
        <w:rPr>
          <w:sz w:val="24"/>
        </w:rPr>
        <w:t xml:space="preserve">The Act provides for ‘sponsors’ who are </w:t>
      </w:r>
      <w:r w:rsidRPr="00481831">
        <w:rPr>
          <w:sz w:val="24"/>
          <w:lang w:val="en-US"/>
        </w:rPr>
        <w:t>person or institution making a significant contribution and impact on the academic, financial, infrastructural and spiritual development of an institution of basic education, and their role under Section 27 includes offering financial and infrastructural support, participating in reviewing the syllabus, curriculum, and so forth.</w:t>
      </w:r>
      <w:r w:rsidRPr="00481831">
        <w:rPr>
          <w:sz w:val="24"/>
          <w:vertAlign w:val="superscript"/>
          <w:lang w:val="en-US"/>
        </w:rPr>
        <w:footnoteReference w:id="15"/>
      </w:r>
      <w:r w:rsidRPr="00481831">
        <w:rPr>
          <w:sz w:val="24"/>
          <w:lang w:val="en-US"/>
        </w:rPr>
        <w:t xml:space="preserve"> It therefore appears that provision of financial support as is done by the World Bank for Bridge International Academies is approved under this provision. However, the Basic Education (Amendment) Bill 2014 seeks to redefine the term sponsor to mean a person or institution that owns land or property on which an institution of basic education is instituted, and who provides foundational objectives to the institution and ensures that the educational and non-curricular objectives of the institution of basic education are met. Under this definition, entities that </w:t>
      </w:r>
      <w:r w:rsidRPr="00481831">
        <w:rPr>
          <w:sz w:val="24"/>
          <w:lang w:val="en-US"/>
        </w:rPr>
        <w:lastRenderedPageBreak/>
        <w:t xml:space="preserve">contribute to the school only through financial donations would no longer be considered sponsors. </w:t>
      </w:r>
    </w:p>
    <w:p w:rsidR="00481831" w:rsidRPr="00481831" w:rsidRDefault="00481831" w:rsidP="00481831">
      <w:pPr>
        <w:jc w:val="both"/>
        <w:rPr>
          <w:sz w:val="24"/>
        </w:rPr>
      </w:pPr>
      <w:r w:rsidRPr="00481831">
        <w:rPr>
          <w:sz w:val="24"/>
        </w:rPr>
        <w:t xml:space="preserve">Section 28 of the Act reaffirms the right of every child to free and compulsory basic education, and towards the realisation of this right the Cabinet Secretary for Education is mandated to establish primary schools within a reasonably accessible distance within a county. The State’s failure to establish a sufficient number of schools within the Mathare area is therefore contradiction of this provision. </w:t>
      </w:r>
    </w:p>
    <w:p w:rsidR="00481831" w:rsidRPr="00481831" w:rsidRDefault="00481831" w:rsidP="00481831">
      <w:pPr>
        <w:jc w:val="both"/>
        <w:rPr>
          <w:sz w:val="24"/>
          <w:lang w:val="en-US"/>
        </w:rPr>
      </w:pPr>
      <w:r w:rsidRPr="00481831">
        <w:rPr>
          <w:sz w:val="24"/>
        </w:rPr>
        <w:t>Public schools are prohibited from charging tuition fees; however other charges may be imposed by the schools with the approval of the Cabinet Secretary in charge of education.</w:t>
      </w:r>
      <w:r w:rsidRPr="00481831">
        <w:rPr>
          <w:sz w:val="24"/>
          <w:vertAlign w:val="superscript"/>
        </w:rPr>
        <w:footnoteReference w:id="16"/>
      </w:r>
      <w:r w:rsidRPr="00481831">
        <w:rPr>
          <w:sz w:val="24"/>
        </w:rPr>
        <w:t xml:space="preserve"> Regardless of the proviso stating that no child should be prohibited from attending school because of failure to pay these added charges, this calls into question whether basic education is actually ‘free’ in Kenya when the State allows imposition of prohibitive costs. The responsibility of the Government is further highlighted in Section 39 of the Act. The Cabinet Secretary has the duty to provide free and compulsory basic education to every child and also, importantly, the State is obliged to “</w:t>
      </w:r>
      <w:r w:rsidRPr="00481831">
        <w:rPr>
          <w:sz w:val="24"/>
          <w:lang w:val="en-US"/>
        </w:rPr>
        <w:t xml:space="preserve">ensure that children belonging to marginalized, vulnerable or disadvantaged groups are not discriminated against and prevented from pursuing and completing basic education.” The under-regulated low-fee private schools have been found to perpetuate discrimination and segregation is the society, primarily in children from the urban slums, who are already considered vulnerable and marginalized. </w:t>
      </w:r>
    </w:p>
    <w:p w:rsidR="00481831" w:rsidRPr="00481831" w:rsidRDefault="00481831" w:rsidP="00481831">
      <w:pPr>
        <w:jc w:val="both"/>
        <w:rPr>
          <w:sz w:val="24"/>
        </w:rPr>
      </w:pPr>
      <w:r w:rsidRPr="00481831">
        <w:rPr>
          <w:sz w:val="24"/>
          <w:lang w:val="en-US"/>
        </w:rPr>
        <w:t xml:space="preserve">The standards and quality of basic education institutions is to be established by the Cabinet Secretary in consultation with stakeholders, and monitored and enforced by the Education Standards and Quality Assurance Council established in Section 64 of the Act. </w:t>
      </w:r>
    </w:p>
    <w:p w:rsidR="00481831" w:rsidRPr="00481831" w:rsidRDefault="00481831" w:rsidP="00481831">
      <w:pPr>
        <w:jc w:val="both"/>
        <w:rPr>
          <w:sz w:val="24"/>
        </w:rPr>
      </w:pPr>
      <w:r w:rsidRPr="00481831">
        <w:rPr>
          <w:sz w:val="24"/>
        </w:rPr>
        <w:t xml:space="preserve">Section 76 of the Basic Education Act of 2013 provides that a person shall not offer basic education in Kenya unless that person is accredited and registered as provided for under the Act. This would exclude APBET institutions from validity because many of them are not run by accredited, registered persons. </w:t>
      </w:r>
    </w:p>
    <w:p w:rsidR="00481831" w:rsidRPr="00481831" w:rsidRDefault="00481831" w:rsidP="00481831">
      <w:pPr>
        <w:jc w:val="both"/>
        <w:rPr>
          <w:b/>
          <w:sz w:val="24"/>
        </w:rPr>
      </w:pPr>
      <w:r w:rsidRPr="00481831">
        <w:rPr>
          <w:sz w:val="24"/>
        </w:rPr>
        <w:t xml:space="preserve">Section 95 (3)(i) and (j) provides that the Cabinet Secretary, upon consultation with the National Education Board, may prescribe regulations on how schools shall be classified, and make different provisions with respect to different classes or kinds of schools, impose </w:t>
      </w:r>
      <w:r w:rsidRPr="00481831">
        <w:rPr>
          <w:sz w:val="24"/>
        </w:rPr>
        <w:lastRenderedPageBreak/>
        <w:t xml:space="preserve">conditions and make exemptions. Pursuant to this power, the Cabinet Secretary drafted the Basic Education Regulations in April 2015 and the Registration Guidelines for APBET institutions. </w:t>
      </w:r>
    </w:p>
    <w:p w:rsidR="006D021F" w:rsidRDefault="006D021F" w:rsidP="00481831">
      <w:pPr>
        <w:jc w:val="both"/>
        <w:rPr>
          <w:b/>
          <w:bCs/>
          <w:sz w:val="24"/>
        </w:rPr>
      </w:pPr>
    </w:p>
    <w:p w:rsidR="00481831" w:rsidRPr="00481831" w:rsidRDefault="00481831" w:rsidP="00481831">
      <w:pPr>
        <w:jc w:val="both"/>
        <w:rPr>
          <w:b/>
          <w:bCs/>
          <w:sz w:val="24"/>
        </w:rPr>
      </w:pPr>
      <w:r w:rsidRPr="00481831">
        <w:rPr>
          <w:b/>
          <w:bCs/>
          <w:sz w:val="24"/>
        </w:rPr>
        <w:lastRenderedPageBreak/>
        <w:t>The Basic Education Regulations, 2015</w:t>
      </w:r>
    </w:p>
    <w:p w:rsidR="00481831" w:rsidRPr="00481831" w:rsidRDefault="00481831" w:rsidP="00481831">
      <w:pPr>
        <w:jc w:val="both"/>
        <w:rPr>
          <w:sz w:val="24"/>
        </w:rPr>
      </w:pPr>
      <w:r w:rsidRPr="00481831">
        <w:rPr>
          <w:sz w:val="24"/>
        </w:rPr>
        <w:t>The Basic Education Regulations gazetted on 4</w:t>
      </w:r>
      <w:r w:rsidRPr="00481831">
        <w:rPr>
          <w:sz w:val="24"/>
          <w:vertAlign w:val="superscript"/>
        </w:rPr>
        <w:t>th</w:t>
      </w:r>
      <w:r w:rsidRPr="00481831">
        <w:rPr>
          <w:sz w:val="24"/>
        </w:rPr>
        <w:t xml:space="preserve"> April 2015 by the Cabinet Secretary for Education, Science and Technology apply to both public and private institutions drawing from the provision on application in the parent Act. The issue of teacher training is addressed under Regulation 49 which provides that all persons deployed to teach in basic education institutions of learning and training shall be required to have undertaken a training program approved or recognized by the Cabinet Secretary (CS) and be registered by the Teachers Service Commission (TSC). The regulations define ‘institution of basic education and training’ broadly to include pre-primary, primary and secondary school. Therefore alternative institutions of education should also ensure they have teachers who have undergone the appropriate training. </w:t>
      </w:r>
    </w:p>
    <w:p w:rsidR="00481831" w:rsidRPr="00481831" w:rsidRDefault="00481831" w:rsidP="00481831">
      <w:pPr>
        <w:jc w:val="both"/>
        <w:rPr>
          <w:sz w:val="24"/>
          <w:lang w:val="en-US"/>
        </w:rPr>
      </w:pPr>
      <w:r w:rsidRPr="00481831">
        <w:rPr>
          <w:sz w:val="24"/>
        </w:rPr>
        <w:t xml:space="preserve">With regard to the curricula, Regulation 54(1) mandates the management in both public and private schools to ensure that the curriculum and instructional materials used in their institution have </w:t>
      </w:r>
      <w:r w:rsidRPr="00481831">
        <w:rPr>
          <w:sz w:val="24"/>
          <w:lang w:val="en-US"/>
        </w:rPr>
        <w:t xml:space="preserve">been either developed or approved by the Kenya Institute of Curriculum Development (KICD). However, Regulation 55 seems to override regulation 54 and permits institutions, in consultation with the respective parents association to recommend supplementary instructional materials for the pupils. There is no provision requiring the approval of KICD for this supplementary instructional materials and this may compromise the standards of education the children receive. </w:t>
      </w:r>
    </w:p>
    <w:p w:rsidR="00481831" w:rsidRPr="00481831" w:rsidRDefault="00481831" w:rsidP="00481831">
      <w:pPr>
        <w:jc w:val="both"/>
        <w:rPr>
          <w:sz w:val="24"/>
          <w:lang w:val="en-US"/>
        </w:rPr>
      </w:pPr>
      <w:r w:rsidRPr="00481831">
        <w:rPr>
          <w:sz w:val="24"/>
          <w:lang w:val="en-US"/>
        </w:rPr>
        <w:t>The mandatory facilities to be required in every institution of basic education and training are set out in Regulation 64. These include:</w:t>
      </w:r>
    </w:p>
    <w:p w:rsidR="00481831" w:rsidRPr="00481831" w:rsidRDefault="00481831" w:rsidP="006D021F">
      <w:pPr>
        <w:numPr>
          <w:ilvl w:val="0"/>
          <w:numId w:val="9"/>
        </w:numPr>
        <w:spacing w:after="0"/>
        <w:jc w:val="both"/>
        <w:rPr>
          <w:sz w:val="24"/>
          <w:lang w:val="en-US"/>
        </w:rPr>
      </w:pPr>
      <w:r w:rsidRPr="00481831">
        <w:rPr>
          <w:sz w:val="24"/>
          <w:lang w:val="en-US"/>
        </w:rPr>
        <w:t>outdoor playing facilities and equipment, both for outdoors and indoors with provisions for persons with disabilities;</w:t>
      </w:r>
    </w:p>
    <w:p w:rsidR="00481831" w:rsidRPr="00481831" w:rsidRDefault="00481831" w:rsidP="006D021F">
      <w:pPr>
        <w:numPr>
          <w:ilvl w:val="0"/>
          <w:numId w:val="9"/>
        </w:numPr>
        <w:spacing w:after="0"/>
        <w:jc w:val="both"/>
        <w:rPr>
          <w:sz w:val="24"/>
          <w:lang w:val="en-US"/>
        </w:rPr>
      </w:pPr>
      <w:r w:rsidRPr="00481831">
        <w:rPr>
          <w:sz w:val="24"/>
          <w:lang w:val="en-US"/>
        </w:rPr>
        <w:t>administrative offices;</w:t>
      </w:r>
    </w:p>
    <w:p w:rsidR="00481831" w:rsidRPr="00481831" w:rsidRDefault="00481831" w:rsidP="006D021F">
      <w:pPr>
        <w:numPr>
          <w:ilvl w:val="0"/>
          <w:numId w:val="9"/>
        </w:numPr>
        <w:spacing w:after="0"/>
        <w:jc w:val="both"/>
        <w:rPr>
          <w:sz w:val="24"/>
          <w:lang w:val="en-US"/>
        </w:rPr>
      </w:pPr>
      <w:r w:rsidRPr="00481831">
        <w:rPr>
          <w:sz w:val="24"/>
          <w:lang w:val="en-US"/>
        </w:rPr>
        <w:t>sanitary facilities segregated by gender and age;</w:t>
      </w:r>
    </w:p>
    <w:p w:rsidR="00481831" w:rsidRPr="00481831" w:rsidRDefault="00481831" w:rsidP="006D021F">
      <w:pPr>
        <w:numPr>
          <w:ilvl w:val="0"/>
          <w:numId w:val="9"/>
        </w:numPr>
        <w:spacing w:after="0"/>
        <w:jc w:val="both"/>
        <w:rPr>
          <w:sz w:val="24"/>
          <w:lang w:val="en-US"/>
        </w:rPr>
      </w:pPr>
      <w:r w:rsidRPr="00481831">
        <w:rPr>
          <w:sz w:val="24"/>
          <w:lang w:val="en-US"/>
        </w:rPr>
        <w:t>kitchen and dining room;</w:t>
      </w:r>
    </w:p>
    <w:p w:rsidR="00481831" w:rsidRPr="00481831" w:rsidRDefault="00481831" w:rsidP="006D021F">
      <w:pPr>
        <w:numPr>
          <w:ilvl w:val="0"/>
          <w:numId w:val="9"/>
        </w:numPr>
        <w:spacing w:after="0"/>
        <w:jc w:val="both"/>
        <w:rPr>
          <w:sz w:val="24"/>
          <w:lang w:val="en-US"/>
        </w:rPr>
      </w:pPr>
      <w:r w:rsidRPr="00481831">
        <w:rPr>
          <w:sz w:val="24"/>
          <w:lang w:val="en-US"/>
        </w:rPr>
        <w:t>standard classrooms measuring 7m x 8m for 50 learners for primary school or 45 learners for secondary schools or standard classrooms measuring 7m x 6m for 25 learners for pre-primary learners;</w:t>
      </w:r>
    </w:p>
    <w:p w:rsidR="00481831" w:rsidRPr="00481831" w:rsidRDefault="00481831" w:rsidP="006D021F">
      <w:pPr>
        <w:numPr>
          <w:ilvl w:val="0"/>
          <w:numId w:val="9"/>
        </w:numPr>
        <w:spacing w:after="0"/>
        <w:jc w:val="both"/>
        <w:rPr>
          <w:sz w:val="24"/>
          <w:lang w:val="en-US"/>
        </w:rPr>
      </w:pPr>
      <w:r w:rsidRPr="00481831">
        <w:rPr>
          <w:sz w:val="24"/>
          <w:lang w:val="en-US"/>
        </w:rPr>
        <w:t xml:space="preserve">store rooms; and </w:t>
      </w:r>
    </w:p>
    <w:p w:rsidR="00481831" w:rsidRDefault="00481831" w:rsidP="006D021F">
      <w:pPr>
        <w:numPr>
          <w:ilvl w:val="0"/>
          <w:numId w:val="9"/>
        </w:numPr>
        <w:spacing w:after="0"/>
        <w:jc w:val="both"/>
        <w:rPr>
          <w:sz w:val="24"/>
          <w:lang w:val="en-US"/>
        </w:rPr>
      </w:pPr>
      <w:r w:rsidRPr="00481831">
        <w:rPr>
          <w:sz w:val="24"/>
          <w:lang w:val="en-US"/>
        </w:rPr>
        <w:t>a science room or other rooms for specialized subjects.</w:t>
      </w:r>
    </w:p>
    <w:p w:rsidR="006D021F" w:rsidRPr="00481831" w:rsidRDefault="006D021F" w:rsidP="006D021F">
      <w:pPr>
        <w:spacing w:after="0"/>
        <w:ind w:left="720"/>
        <w:jc w:val="both"/>
        <w:rPr>
          <w:sz w:val="24"/>
          <w:lang w:val="en-US"/>
        </w:rPr>
      </w:pPr>
    </w:p>
    <w:p w:rsidR="00481831" w:rsidRPr="00481831" w:rsidRDefault="00481831" w:rsidP="006D021F">
      <w:pPr>
        <w:spacing w:after="0"/>
        <w:jc w:val="both"/>
        <w:rPr>
          <w:sz w:val="24"/>
          <w:lang w:val="en-US"/>
        </w:rPr>
      </w:pPr>
      <w:r w:rsidRPr="00481831">
        <w:rPr>
          <w:sz w:val="24"/>
          <w:lang w:val="en-US"/>
        </w:rPr>
        <w:lastRenderedPageBreak/>
        <w:t>Drawing from the APBET Policy, APBET schools may be allowed to share the facilities of other institutions subject to their approval.</w:t>
      </w:r>
      <w:r w:rsidRPr="00481831">
        <w:rPr>
          <w:sz w:val="24"/>
          <w:vertAlign w:val="superscript"/>
          <w:lang w:val="en-US"/>
        </w:rPr>
        <w:footnoteReference w:id="17"/>
      </w:r>
      <w:r w:rsidRPr="00481831">
        <w:rPr>
          <w:sz w:val="24"/>
          <w:lang w:val="en-US"/>
        </w:rPr>
        <w:t xml:space="preserve"> </w:t>
      </w:r>
    </w:p>
    <w:p w:rsidR="00481831" w:rsidRPr="00481831" w:rsidRDefault="00481831" w:rsidP="00481831">
      <w:pPr>
        <w:jc w:val="both"/>
        <w:rPr>
          <w:sz w:val="24"/>
          <w:lang w:val="en-US"/>
        </w:rPr>
      </w:pPr>
      <w:r w:rsidRPr="00481831">
        <w:rPr>
          <w:sz w:val="24"/>
          <w:lang w:val="en-US"/>
        </w:rPr>
        <w:t>Alternative provision of basic education and training is dealt with expressly in Part V of the Regulations; this is despite there being no mention of APBET institutions in the parent Act. In Regulation 68, APBET institutions are permitted to utilize facilities of other institutions upon request, and only curricula approved by the KICD shall be offered in all APBET institutions.</w:t>
      </w:r>
      <w:r w:rsidRPr="00481831">
        <w:rPr>
          <w:sz w:val="24"/>
          <w:vertAlign w:val="superscript"/>
          <w:lang w:val="en-US"/>
        </w:rPr>
        <w:footnoteReference w:id="18"/>
      </w:r>
    </w:p>
    <w:p w:rsidR="00481831" w:rsidRPr="00481831" w:rsidRDefault="00481831" w:rsidP="00481831">
      <w:pPr>
        <w:jc w:val="both"/>
        <w:rPr>
          <w:sz w:val="24"/>
          <w:lang w:val="en-US"/>
        </w:rPr>
      </w:pPr>
      <w:r w:rsidRPr="00481831">
        <w:rPr>
          <w:sz w:val="24"/>
          <w:lang w:val="en-US"/>
        </w:rPr>
        <w:t xml:space="preserve">With regard to financial grants, Regulation 69 provides that “learners under the age of eighteen in (APBET institutions) shall be eligible for capitation grants under the free and compulsory education programme.” Further, under Regulation 75, institutions of alternative basic education shall be provided with grants for infrastructure improvement by the national government through the relevant Ministries. This is the justification </w:t>
      </w:r>
    </w:p>
    <w:p w:rsidR="00481831" w:rsidRPr="00481831" w:rsidRDefault="00481831" w:rsidP="00481831">
      <w:pPr>
        <w:jc w:val="both"/>
        <w:rPr>
          <w:sz w:val="24"/>
          <w:lang w:val="en-US"/>
        </w:rPr>
      </w:pPr>
      <w:r w:rsidRPr="00481831">
        <w:rPr>
          <w:sz w:val="24"/>
          <w:lang w:val="en-US"/>
        </w:rPr>
        <w:t>The regulations also refer to public institutions of alternative basic adult and continuing education, and provide that they may charge such levies as may be approved by the CS in consultation with the County Education Board.</w:t>
      </w:r>
      <w:r w:rsidRPr="00481831">
        <w:rPr>
          <w:sz w:val="24"/>
          <w:vertAlign w:val="superscript"/>
          <w:lang w:val="en-US"/>
        </w:rPr>
        <w:footnoteReference w:id="19"/>
      </w:r>
    </w:p>
    <w:p w:rsidR="00481831" w:rsidRPr="00481831" w:rsidRDefault="00481831" w:rsidP="00481831">
      <w:pPr>
        <w:jc w:val="both"/>
        <w:rPr>
          <w:b/>
          <w:bCs/>
          <w:sz w:val="24"/>
        </w:rPr>
      </w:pPr>
      <w:r w:rsidRPr="00481831">
        <w:rPr>
          <w:b/>
          <w:bCs/>
          <w:sz w:val="24"/>
        </w:rPr>
        <w:t>Registration Guidelines for Alternative Provision of Basic Education and Training, March 2015</w:t>
      </w:r>
    </w:p>
    <w:p w:rsidR="00481831" w:rsidRPr="00481831" w:rsidRDefault="00481831" w:rsidP="00481831">
      <w:pPr>
        <w:jc w:val="both"/>
        <w:rPr>
          <w:sz w:val="24"/>
        </w:rPr>
      </w:pPr>
      <w:r w:rsidRPr="00481831">
        <w:rPr>
          <w:sz w:val="24"/>
        </w:rPr>
        <w:t>The APBET Registration Guidelines 2015 were developed with the intention of formally substituting the notion of non-formal schools with that of APBET institutions,</w:t>
      </w:r>
      <w:r w:rsidRPr="00481831">
        <w:rPr>
          <w:sz w:val="24"/>
          <w:vertAlign w:val="superscript"/>
        </w:rPr>
        <w:footnoteReference w:id="20"/>
      </w:r>
      <w:r w:rsidRPr="00481831">
        <w:rPr>
          <w:sz w:val="24"/>
        </w:rPr>
        <w:t xml:space="preserve"> this contradicts the position in the Basic Education Act which only refers to non-formal schools in limited terms and does not mention APBET institutions. </w:t>
      </w:r>
    </w:p>
    <w:p w:rsidR="00481831" w:rsidRPr="00481831" w:rsidRDefault="00481831" w:rsidP="00481831">
      <w:pPr>
        <w:jc w:val="both"/>
        <w:rPr>
          <w:sz w:val="24"/>
        </w:rPr>
      </w:pPr>
      <w:r w:rsidRPr="00481831">
        <w:rPr>
          <w:sz w:val="24"/>
        </w:rPr>
        <w:t xml:space="preserve">According to the Guidelines, APBETs are intended to supplement/compliment the government’s efforts to provide education and training for all. </w:t>
      </w:r>
      <w:r w:rsidRPr="00481831">
        <w:rPr>
          <w:sz w:val="24"/>
          <w:vertAlign w:val="superscript"/>
        </w:rPr>
        <w:footnoteReference w:id="21"/>
      </w:r>
      <w:r w:rsidRPr="00481831">
        <w:rPr>
          <w:sz w:val="24"/>
        </w:rPr>
        <w:t xml:space="preserve"> They express the hope that registration of APBET institutions will enhance accuracy of Education Management Information System (EMIS) data, which is important for national planning, and will also assist in enhancing the provision and coordination of support to the institutions.</w:t>
      </w:r>
    </w:p>
    <w:p w:rsidR="00481831" w:rsidRPr="00481831" w:rsidRDefault="00481831" w:rsidP="00481831">
      <w:pPr>
        <w:jc w:val="both"/>
        <w:rPr>
          <w:sz w:val="24"/>
        </w:rPr>
      </w:pPr>
      <w:r w:rsidRPr="00481831">
        <w:rPr>
          <w:sz w:val="24"/>
        </w:rPr>
        <w:t>The guidelines give a clearer definition of APBET as “an organised form of learning set up to deliver basic education and training to the disadvantaged persons who due to various circumstances cannot access formal schools.”</w:t>
      </w:r>
      <w:r w:rsidRPr="00481831">
        <w:rPr>
          <w:sz w:val="24"/>
          <w:vertAlign w:val="superscript"/>
        </w:rPr>
        <w:footnoteReference w:id="22"/>
      </w:r>
      <w:r w:rsidRPr="00481831">
        <w:rPr>
          <w:sz w:val="24"/>
        </w:rPr>
        <w:t xml:space="preserve"> It also provides that non-formal education is a component within APBET while non-formal education centres are institutions outside the </w:t>
      </w:r>
      <w:r w:rsidRPr="00481831">
        <w:rPr>
          <w:sz w:val="24"/>
        </w:rPr>
        <w:lastRenderedPageBreak/>
        <w:t>formal education framework where specific categories of children, youth and adult learners acquire relevant knowledge, skills and attitudes.</w:t>
      </w:r>
    </w:p>
    <w:p w:rsidR="00481831" w:rsidRPr="00481831" w:rsidRDefault="00481831" w:rsidP="00481831">
      <w:pPr>
        <w:jc w:val="both"/>
        <w:rPr>
          <w:sz w:val="24"/>
          <w:lang w:val="en-US"/>
        </w:rPr>
      </w:pPr>
      <w:r w:rsidRPr="00481831">
        <w:rPr>
          <w:sz w:val="24"/>
          <w:lang w:val="en-US"/>
        </w:rPr>
        <w:t>A registered APBET institution can be de-registered for non-compliance with Basic Education Act, 2013 and any other applicable existing legal provisions, regulations and guidelines provided by the Ministry of Education, or if a petition before a court of law has been heard and determined against the institution.</w:t>
      </w:r>
      <w:r w:rsidRPr="00481831">
        <w:rPr>
          <w:sz w:val="24"/>
          <w:vertAlign w:val="superscript"/>
          <w:lang w:val="en-US"/>
        </w:rPr>
        <w:footnoteReference w:id="23"/>
      </w:r>
    </w:p>
    <w:p w:rsidR="00481831" w:rsidRPr="00481831" w:rsidRDefault="00481831" w:rsidP="00481831">
      <w:pPr>
        <w:jc w:val="both"/>
        <w:rPr>
          <w:sz w:val="24"/>
        </w:rPr>
      </w:pPr>
      <w:r w:rsidRPr="00481831">
        <w:rPr>
          <w:sz w:val="24"/>
          <w:lang w:val="en-US"/>
        </w:rPr>
        <w:t xml:space="preserve">Regarding curriculum, the registration guidelines require APBET institutions to avail copies of the approved syllabi, and adhere to timetabling guidelines, only departing from these with the approval of the County Director of Education or the sub-county education office. The institutions are further mandated to provide a variety of co-curricular and entertainment activities to enhance holistic development. The learners in these institutions should sit for prescribed national examinations as provided for under the Basic Education Act and the </w:t>
      </w:r>
      <w:r w:rsidRPr="00481831">
        <w:rPr>
          <w:sz w:val="24"/>
        </w:rPr>
        <w:t>Kenya National Examinations Council (KNEC) Act 2012.</w:t>
      </w:r>
    </w:p>
    <w:p w:rsidR="00481831" w:rsidRPr="00481831" w:rsidRDefault="00481831" w:rsidP="00481831">
      <w:pPr>
        <w:jc w:val="both"/>
        <w:rPr>
          <w:sz w:val="24"/>
          <w:lang w:val="en-US"/>
        </w:rPr>
      </w:pPr>
      <w:r w:rsidRPr="00481831">
        <w:rPr>
          <w:sz w:val="24"/>
        </w:rPr>
        <w:t>The teachers in APBET schools must meet the minimum entry requirements for teaching training for the level he/she will be teaching. However, at least one third of the teachers at the institution should have the relevant teacher training certificate from a recognised training institution and the rest of the teachers who have not received this certification must be undertaking a three year recognised in-service training.</w:t>
      </w:r>
      <w:r w:rsidRPr="00481831">
        <w:rPr>
          <w:sz w:val="24"/>
          <w:vertAlign w:val="superscript"/>
        </w:rPr>
        <w:footnoteReference w:id="24"/>
      </w:r>
      <w:r w:rsidRPr="00481831">
        <w:rPr>
          <w:sz w:val="24"/>
        </w:rPr>
        <w:t xml:space="preserve"> This is not the case in many non-formal schools where the teachers have not undergone any training and are not enrolled in in-service training. </w:t>
      </w:r>
    </w:p>
    <w:p w:rsidR="00481831" w:rsidRPr="00481831" w:rsidRDefault="00481831" w:rsidP="00481831">
      <w:pPr>
        <w:jc w:val="both"/>
        <w:rPr>
          <w:sz w:val="24"/>
        </w:rPr>
      </w:pPr>
      <w:r w:rsidRPr="00481831">
        <w:rPr>
          <w:sz w:val="24"/>
        </w:rPr>
        <w:t xml:space="preserve">With respect to quality, the Education Standards and Quality Assurance Council (ESQAC) is mandated to carry out </w:t>
      </w:r>
      <w:r w:rsidRPr="00481831">
        <w:rPr>
          <w:sz w:val="24"/>
          <w:lang w:val="en-US"/>
        </w:rPr>
        <w:t>standards assessments, quality assure, monitor, evaluate and oversee the implementation of the APBET programmes for quality education.</w:t>
      </w:r>
      <w:r w:rsidRPr="00481831">
        <w:rPr>
          <w:sz w:val="24"/>
          <w:vertAlign w:val="superscript"/>
          <w:lang w:val="en-US"/>
        </w:rPr>
        <w:footnoteReference w:id="25"/>
      </w:r>
      <w:r w:rsidRPr="00481831">
        <w:rPr>
          <w:sz w:val="24"/>
          <w:lang w:val="en-US"/>
        </w:rPr>
        <w:t xml:space="preserve">Despite being created in early 2015 the impact of ESQAC is yet to be felt. </w:t>
      </w:r>
    </w:p>
    <w:p w:rsidR="00481831" w:rsidRPr="00481831" w:rsidRDefault="00481831" w:rsidP="00481831">
      <w:pPr>
        <w:jc w:val="both"/>
        <w:rPr>
          <w:sz w:val="24"/>
        </w:rPr>
      </w:pPr>
      <w:r w:rsidRPr="00481831">
        <w:rPr>
          <w:sz w:val="24"/>
        </w:rPr>
        <w:t>APBET institutions which receive funds from the government are to be managed by a Board of Management, guided by the provisions of the Basic Education Act 2013 on governance and management of basic education and training.</w:t>
      </w:r>
    </w:p>
    <w:p w:rsidR="00481831" w:rsidRPr="00481831" w:rsidRDefault="00481831" w:rsidP="00481831">
      <w:pPr>
        <w:jc w:val="both"/>
        <w:rPr>
          <w:sz w:val="24"/>
        </w:rPr>
      </w:pPr>
      <w:r w:rsidRPr="00481831">
        <w:rPr>
          <w:sz w:val="24"/>
        </w:rPr>
        <w:t>With reference to physical facilities, APBET institutions may have classrooms, libraries, and other facilities that are smaller than the standard set for public schools, but shall maintain a spacing of at least 0.3 metre aisles in schools, and comply with the guidelines on health and safety for all learners as per the School Safety Manual published by the education Ministry.</w:t>
      </w:r>
    </w:p>
    <w:p w:rsidR="002E07D4" w:rsidRPr="006D021F" w:rsidRDefault="00945A5F" w:rsidP="002E07D4">
      <w:pPr>
        <w:pStyle w:val="Heading1"/>
      </w:pPr>
      <w:bookmarkStart w:id="5" w:name="_Toc440367402"/>
      <w:bookmarkEnd w:id="4"/>
      <w:r w:rsidRPr="006D021F">
        <w:lastRenderedPageBreak/>
        <w:t>Challenges in Public Schools</w:t>
      </w:r>
      <w:bookmarkEnd w:id="5"/>
    </w:p>
    <w:p w:rsidR="00945A5F" w:rsidRDefault="00945A5F" w:rsidP="00D916F6">
      <w:pPr>
        <w:spacing w:before="240"/>
        <w:jc w:val="both"/>
        <w:rPr>
          <w:sz w:val="24"/>
          <w:szCs w:val="24"/>
        </w:rPr>
      </w:pPr>
      <w:r w:rsidRPr="00D916F6">
        <w:rPr>
          <w:sz w:val="24"/>
          <w:szCs w:val="24"/>
        </w:rPr>
        <w:t xml:space="preserve">According to the Fourth State of Human Rights Report by the Kenya National Commission on Human Rights </w:t>
      </w:r>
      <w:r w:rsidR="00D916F6">
        <w:rPr>
          <w:sz w:val="24"/>
          <w:szCs w:val="24"/>
        </w:rPr>
        <w:t xml:space="preserve">public primary schools in Kenya are struggling under the huge number of children </w:t>
      </w:r>
      <w:r w:rsidR="002F6D80">
        <w:rPr>
          <w:sz w:val="24"/>
          <w:szCs w:val="24"/>
        </w:rPr>
        <w:t>enrolled into primary schools following the introduction of free primary education.</w:t>
      </w:r>
      <w:r w:rsidR="002F6D80">
        <w:rPr>
          <w:rStyle w:val="FootnoteReference"/>
          <w:sz w:val="24"/>
          <w:szCs w:val="24"/>
        </w:rPr>
        <w:footnoteReference w:id="26"/>
      </w:r>
      <w:r w:rsidR="000E6E87">
        <w:rPr>
          <w:sz w:val="24"/>
          <w:szCs w:val="24"/>
        </w:rPr>
        <w:t xml:space="preserve"> The report cites</w:t>
      </w:r>
      <w:r w:rsidR="00C66546">
        <w:rPr>
          <w:sz w:val="24"/>
          <w:szCs w:val="24"/>
        </w:rPr>
        <w:t xml:space="preserve"> important barriers to accessing quality education </w:t>
      </w:r>
      <w:r w:rsidR="00A33601">
        <w:rPr>
          <w:sz w:val="24"/>
          <w:szCs w:val="24"/>
        </w:rPr>
        <w:t>including low teacher-pupil ratio, shortage of teachers because of the high enrolment of pupils, insufficient lear</w:t>
      </w:r>
      <w:r w:rsidR="00BE4358">
        <w:rPr>
          <w:sz w:val="24"/>
          <w:szCs w:val="24"/>
        </w:rPr>
        <w:t>n</w:t>
      </w:r>
      <w:r w:rsidR="00A33601">
        <w:rPr>
          <w:sz w:val="24"/>
          <w:szCs w:val="24"/>
        </w:rPr>
        <w:t>ing facilities and poor learning environment especially in urban slums.</w:t>
      </w:r>
      <w:r w:rsidR="00A33601">
        <w:rPr>
          <w:rStyle w:val="FootnoteReference"/>
          <w:sz w:val="24"/>
          <w:szCs w:val="24"/>
        </w:rPr>
        <w:footnoteReference w:id="27"/>
      </w:r>
      <w:r w:rsidR="00BE4358">
        <w:rPr>
          <w:sz w:val="24"/>
          <w:szCs w:val="24"/>
        </w:rPr>
        <w:t xml:space="preserve"> It further identifies frequent teacher strikes, high cost of education and poor quality of education </w:t>
      </w:r>
      <w:r w:rsidR="009E4FFE">
        <w:rPr>
          <w:sz w:val="24"/>
          <w:szCs w:val="24"/>
        </w:rPr>
        <w:t>as the main</w:t>
      </w:r>
      <w:r w:rsidR="00BE4358">
        <w:rPr>
          <w:sz w:val="24"/>
          <w:szCs w:val="24"/>
        </w:rPr>
        <w:t xml:space="preserve"> challenges facing the realization of the right to education</w:t>
      </w:r>
      <w:r w:rsidR="009E4FFE">
        <w:rPr>
          <w:sz w:val="24"/>
          <w:szCs w:val="24"/>
        </w:rPr>
        <w:t xml:space="preserve">. </w:t>
      </w:r>
    </w:p>
    <w:p w:rsidR="009E4FFE" w:rsidRDefault="009E4FFE" w:rsidP="009E4FFE">
      <w:pPr>
        <w:jc w:val="both"/>
      </w:pPr>
      <w:r>
        <w:rPr>
          <w:sz w:val="24"/>
          <w:szCs w:val="24"/>
        </w:rPr>
        <w:t xml:space="preserve">These observations are echoed by the Ministry of Education, </w:t>
      </w:r>
      <w:r>
        <w:t xml:space="preserve">Science and Technology (MoEST) </w:t>
      </w:r>
      <w:r>
        <w:rPr>
          <w:sz w:val="24"/>
          <w:szCs w:val="24"/>
        </w:rPr>
        <w:t>i</w:t>
      </w:r>
      <w:r w:rsidRPr="00E06472">
        <w:t xml:space="preserve">n </w:t>
      </w:r>
      <w:r>
        <w:t>its</w:t>
      </w:r>
      <w:r w:rsidRPr="00E06472">
        <w:t xml:space="preserve"> Strategic Plan 2013-2016</w:t>
      </w:r>
      <w:r>
        <w:t>. The MoEST highlights access and equity as a strategic issue, focusing on the high teacher-pupil ratio, overcrowded class rooms, high dropout rates, inadequate infrastructure, limited availability of teaching and learning materials and gender and regional disparities witnessed in primary school.</w:t>
      </w:r>
      <w:r>
        <w:rPr>
          <w:rStyle w:val="FootnoteReference"/>
        </w:rPr>
        <w:footnoteReference w:id="28"/>
      </w:r>
      <w:r>
        <w:t xml:space="preserve"> In response to these challenges, the Strategic Objective One is to increase access and enhance quality in education using specific strategies which include:</w:t>
      </w:r>
    </w:p>
    <w:p w:rsidR="009E4FFE" w:rsidRDefault="009E4FFE" w:rsidP="009E4FFE">
      <w:pPr>
        <w:pStyle w:val="ListParagraph"/>
        <w:numPr>
          <w:ilvl w:val="0"/>
          <w:numId w:val="4"/>
        </w:numPr>
        <w:jc w:val="both"/>
      </w:pPr>
      <w:r>
        <w:t>Reviewing and implementing the policy framework on APBET</w:t>
      </w:r>
    </w:p>
    <w:p w:rsidR="009E4FFE" w:rsidRDefault="009E4FFE" w:rsidP="009E4FFE">
      <w:pPr>
        <w:pStyle w:val="ListParagraph"/>
        <w:numPr>
          <w:ilvl w:val="0"/>
          <w:numId w:val="4"/>
        </w:numPr>
        <w:jc w:val="both"/>
      </w:pPr>
      <w:r>
        <w:t>Improving and expanding infrastructure in education and training facilities</w:t>
      </w:r>
    </w:p>
    <w:p w:rsidR="009E4FFE" w:rsidRDefault="009E4FFE" w:rsidP="009E4FFE">
      <w:pPr>
        <w:pStyle w:val="ListParagraph"/>
        <w:numPr>
          <w:ilvl w:val="0"/>
          <w:numId w:val="4"/>
        </w:numPr>
        <w:jc w:val="both"/>
      </w:pPr>
      <w:r>
        <w:t>Review Free Primary Education Policy with a view to targeting children from poor backgrounds</w:t>
      </w:r>
    </w:p>
    <w:p w:rsidR="009E4FFE" w:rsidRDefault="009E4FFE" w:rsidP="009E4FFE">
      <w:pPr>
        <w:pStyle w:val="ListParagraph"/>
        <w:numPr>
          <w:ilvl w:val="0"/>
          <w:numId w:val="4"/>
        </w:numPr>
        <w:jc w:val="both"/>
      </w:pPr>
      <w:r>
        <w:t>Control escalating fees and other levies</w:t>
      </w:r>
    </w:p>
    <w:p w:rsidR="009E4FFE" w:rsidRDefault="009E4FFE" w:rsidP="009E4FFE">
      <w:pPr>
        <w:pStyle w:val="ListParagraph"/>
        <w:numPr>
          <w:ilvl w:val="0"/>
          <w:numId w:val="4"/>
        </w:numPr>
        <w:jc w:val="both"/>
      </w:pPr>
      <w:r>
        <w:t xml:space="preserve">Enhance participation in informal settlements and </w:t>
      </w:r>
    </w:p>
    <w:p w:rsidR="009E4FFE" w:rsidRDefault="009E4FFE" w:rsidP="009E4FFE">
      <w:pPr>
        <w:pStyle w:val="ListParagraph"/>
        <w:numPr>
          <w:ilvl w:val="0"/>
          <w:numId w:val="4"/>
        </w:numPr>
        <w:jc w:val="both"/>
      </w:pPr>
      <w:r>
        <w:t>Strengthen public-private partnerships towards offering affordable education and training.</w:t>
      </w:r>
      <w:r>
        <w:rPr>
          <w:rStyle w:val="FootnoteReference"/>
        </w:rPr>
        <w:footnoteReference w:id="29"/>
      </w:r>
    </w:p>
    <w:p w:rsidR="009E4FFE" w:rsidRDefault="009E4FFE" w:rsidP="005743D3">
      <w:pPr>
        <w:jc w:val="both"/>
      </w:pPr>
      <w:r>
        <w:t>With respect to challenges with financial and human resources, the Strategic Plan acknowledges the inadequacy in both quality assurance and standards in education and education officers in the field, inefficient utilization of teachers, unplanned establishment of new schools (especially through the Constituency Development Fund) which further strains the existing supply of teachers.</w:t>
      </w:r>
      <w:r>
        <w:rPr>
          <w:rStyle w:val="FootnoteReference"/>
        </w:rPr>
        <w:footnoteReference w:id="30"/>
      </w:r>
      <w:r>
        <w:t xml:space="preserve"> In response to these challenges, the Ministry aims to increase the financing in the Ministry by, among other things, strengthening public-private partnerships towards offering affordable education and training.</w:t>
      </w:r>
      <w:r>
        <w:rPr>
          <w:rStyle w:val="FootnoteReference"/>
        </w:rPr>
        <w:footnoteReference w:id="31"/>
      </w:r>
      <w:r>
        <w:t xml:space="preserve"> </w:t>
      </w:r>
    </w:p>
    <w:p w:rsidR="009E4FFE" w:rsidRDefault="009E4FFE" w:rsidP="005743D3">
      <w:pPr>
        <w:jc w:val="both"/>
      </w:pPr>
      <w:r>
        <w:t xml:space="preserve">While these initiatives are necessary and commendable, 2 years into the life of the Strategic Plan there is only minimal progress noted, particularly in the area of access and quality, particularly for the most disadvantaged groups in informal settlements who </w:t>
      </w:r>
      <w:r w:rsidR="005743D3">
        <w:t>to date are still being served by poorly regulated, low fee</w:t>
      </w:r>
      <w:r>
        <w:t xml:space="preserve"> complimentary schools.</w:t>
      </w:r>
    </w:p>
    <w:p w:rsidR="000E33CD" w:rsidRDefault="000E33CD" w:rsidP="00DB5078">
      <w:pPr>
        <w:jc w:val="both"/>
        <w:rPr>
          <w:sz w:val="24"/>
          <w:lang w:val="en-US"/>
        </w:rPr>
      </w:pPr>
      <w:r w:rsidRPr="009D521B">
        <w:rPr>
          <w:sz w:val="24"/>
          <w:lang w:val="en-US"/>
        </w:rPr>
        <w:lastRenderedPageBreak/>
        <w:t>Hidden costs</w:t>
      </w:r>
      <w:r w:rsidRPr="009D521B">
        <w:rPr>
          <w:sz w:val="18"/>
          <w:lang w:val="en-US"/>
        </w:rPr>
        <w:t xml:space="preserve"> </w:t>
      </w:r>
      <w:r>
        <w:rPr>
          <w:sz w:val="24"/>
          <w:lang w:val="en-US"/>
        </w:rPr>
        <w:t xml:space="preserve">in what is supposed to be and is advertised as free primary education are also a great </w:t>
      </w:r>
      <w:r w:rsidR="001A2616">
        <w:rPr>
          <w:sz w:val="24"/>
          <w:lang w:val="en-US"/>
        </w:rPr>
        <w:t>barrier</w:t>
      </w:r>
      <w:r>
        <w:rPr>
          <w:sz w:val="24"/>
          <w:lang w:val="en-US"/>
        </w:rPr>
        <w:t xml:space="preserve"> to basic education fo</w:t>
      </w:r>
      <w:r w:rsidR="00C72D20">
        <w:rPr>
          <w:sz w:val="24"/>
          <w:lang w:val="en-US"/>
        </w:rPr>
        <w:t>r many disadvantaged families. The CRC echoed this</w:t>
      </w:r>
      <w:r>
        <w:rPr>
          <w:sz w:val="24"/>
          <w:lang w:val="en-US"/>
        </w:rPr>
        <w:t xml:space="preserve"> concern in the</w:t>
      </w:r>
      <w:r w:rsidR="00C72D20">
        <w:rPr>
          <w:sz w:val="24"/>
          <w:lang w:val="en-US"/>
        </w:rPr>
        <w:t>ir</w:t>
      </w:r>
      <w:r>
        <w:rPr>
          <w:sz w:val="24"/>
          <w:lang w:val="en-US"/>
        </w:rPr>
        <w:t xml:space="preserve"> latest List of Issues, requesting the Kenyan Government to provide information on measures being taken to eliminate the hidden costs of education. </w:t>
      </w:r>
      <w:r w:rsidR="001B11B9">
        <w:rPr>
          <w:sz w:val="24"/>
          <w:lang w:val="en-US"/>
        </w:rPr>
        <w:t>Like the CESCR, the CRC</w:t>
      </w:r>
      <w:r>
        <w:rPr>
          <w:sz w:val="24"/>
          <w:lang w:val="en-US"/>
        </w:rPr>
        <w:t xml:space="preserve"> further probed on measures taken to improve the quality of education and to ensure the enrollment in school of children belonging to disadvantaged and marginalized communities such as children in informal settlements.</w:t>
      </w:r>
      <w:r>
        <w:rPr>
          <w:rStyle w:val="FootnoteReference"/>
          <w:sz w:val="24"/>
          <w:lang w:val="en-US"/>
        </w:rPr>
        <w:footnoteReference w:id="32"/>
      </w:r>
    </w:p>
    <w:p w:rsidR="000E33CD" w:rsidRPr="00CD1D6D" w:rsidRDefault="00A7452A" w:rsidP="00A03813">
      <w:pPr>
        <w:jc w:val="both"/>
        <w:rPr>
          <w:sz w:val="24"/>
        </w:rPr>
      </w:pPr>
      <w:r>
        <w:rPr>
          <w:sz w:val="24"/>
          <w:szCs w:val="24"/>
        </w:rPr>
        <w:t>F</w:t>
      </w:r>
      <w:r w:rsidR="000E33CD" w:rsidRPr="00A226BB">
        <w:rPr>
          <w:sz w:val="24"/>
          <w:szCs w:val="24"/>
        </w:rPr>
        <w:t xml:space="preserve">rom interviews carried out in with residents of Mathare slum in Nairobi the issue of additional costs being a barrier to accessing </w:t>
      </w:r>
      <w:r w:rsidR="00663349">
        <w:rPr>
          <w:sz w:val="24"/>
          <w:szCs w:val="24"/>
        </w:rPr>
        <w:t>public primary</w:t>
      </w:r>
      <w:r w:rsidR="000E33CD" w:rsidRPr="00A226BB">
        <w:rPr>
          <w:sz w:val="24"/>
          <w:szCs w:val="24"/>
        </w:rPr>
        <w:t xml:space="preserve"> schools was still cited as a major challenge. The circulars and directives issued by the Ministry of Education, Science and Technology remain mere pieces of paper that the schools disregard and the residents cannot rely on. The residents reported that the public schools demand a hefty charge before the child is admitted into the school, which covers admission fee, a desk, chair and ‘facilitation fee’ or bribe to the head teacher.</w:t>
      </w:r>
      <w:r w:rsidR="00A03813">
        <w:rPr>
          <w:sz w:val="24"/>
          <w:szCs w:val="24"/>
        </w:rPr>
        <w:t xml:space="preserve"> This is despite Section 32 of the Basic Education Act 2013 expressly prohibiting the collection of any admission fee in public schools.</w:t>
      </w:r>
      <w:r w:rsidR="000E33CD" w:rsidRPr="00A226BB">
        <w:rPr>
          <w:sz w:val="24"/>
          <w:szCs w:val="24"/>
        </w:rPr>
        <w:t xml:space="preserve"> Once the child is admitted, some public schools charge levies for security, lunch, extra tuition, at </w:t>
      </w:r>
      <w:r w:rsidR="00365BF6">
        <w:rPr>
          <w:sz w:val="24"/>
          <w:szCs w:val="24"/>
        </w:rPr>
        <w:t xml:space="preserve">exorbitant amounts. </w:t>
      </w:r>
      <w:r w:rsidR="000E33CD" w:rsidRPr="00A226BB">
        <w:rPr>
          <w:sz w:val="24"/>
          <w:szCs w:val="24"/>
        </w:rPr>
        <w:t>Additionally, despite the provisions of the Basic Education Act 2013 requiring a receipt to be issued for every extra levy charged,</w:t>
      </w:r>
      <w:r w:rsidR="000E33CD" w:rsidRPr="00A226BB">
        <w:rPr>
          <w:rStyle w:val="FootnoteReference"/>
          <w:sz w:val="24"/>
          <w:szCs w:val="24"/>
        </w:rPr>
        <w:footnoteReference w:id="33"/>
      </w:r>
      <w:r w:rsidR="000E33CD" w:rsidRPr="00A226BB">
        <w:rPr>
          <w:sz w:val="24"/>
          <w:szCs w:val="24"/>
        </w:rPr>
        <w:t xml:space="preserve"> parents and guardians</w:t>
      </w:r>
      <w:r w:rsidR="000E33CD">
        <w:rPr>
          <w:sz w:val="24"/>
        </w:rPr>
        <w:t xml:space="preserve"> rarely receive receipts for these extra money they pay; this alludes to the illegality of these extra payments. </w:t>
      </w:r>
      <w:r w:rsidR="00DB5078">
        <w:rPr>
          <w:sz w:val="24"/>
        </w:rPr>
        <w:t xml:space="preserve">Worse still, </w:t>
      </w:r>
      <w:r w:rsidR="00A03813">
        <w:rPr>
          <w:sz w:val="24"/>
        </w:rPr>
        <w:t>children are still denied access to school by the school management for fa</w:t>
      </w:r>
      <w:r w:rsidR="00803227">
        <w:rPr>
          <w:sz w:val="24"/>
        </w:rPr>
        <w:t>i</w:t>
      </w:r>
      <w:r w:rsidR="00A03813">
        <w:rPr>
          <w:sz w:val="24"/>
        </w:rPr>
        <w:t xml:space="preserve">ling to pay these extra charges and levies, which is in violation of </w:t>
      </w:r>
      <w:r w:rsidR="00DB5078">
        <w:rPr>
          <w:sz w:val="24"/>
        </w:rPr>
        <w:t>Section</w:t>
      </w:r>
      <w:r w:rsidR="00A03813">
        <w:rPr>
          <w:sz w:val="24"/>
        </w:rPr>
        <w:t xml:space="preserve"> 29</w:t>
      </w:r>
      <w:r w:rsidR="00DB5078">
        <w:rPr>
          <w:sz w:val="24"/>
        </w:rPr>
        <w:t xml:space="preserve"> of the Basic Education Act</w:t>
      </w:r>
      <w:r w:rsidR="00A03813">
        <w:rPr>
          <w:sz w:val="24"/>
        </w:rPr>
        <w:t xml:space="preserve"> which provides that where extra levies are approved by the Ministry of Education ‘</w:t>
      </w:r>
      <w:r w:rsidR="00A03813" w:rsidRPr="00A03813">
        <w:rPr>
          <w:sz w:val="24"/>
          <w:lang w:val="en-US"/>
        </w:rPr>
        <w:t>no child shall be refused to attend school because of</w:t>
      </w:r>
      <w:r w:rsidR="00A03813">
        <w:rPr>
          <w:sz w:val="24"/>
          <w:lang w:val="en-US"/>
        </w:rPr>
        <w:t xml:space="preserve"> </w:t>
      </w:r>
      <w:r w:rsidR="00A03813" w:rsidRPr="00A03813">
        <w:rPr>
          <w:sz w:val="24"/>
          <w:lang w:val="en-US"/>
        </w:rPr>
        <w:t>failure to pay such charges</w:t>
      </w:r>
      <w:r w:rsidR="00A03813">
        <w:rPr>
          <w:sz w:val="24"/>
          <w:lang w:val="en-US"/>
        </w:rPr>
        <w:t>’.</w:t>
      </w:r>
      <w:r w:rsidR="00A03813">
        <w:rPr>
          <w:sz w:val="24"/>
        </w:rPr>
        <w:t xml:space="preserve"> </w:t>
      </w:r>
      <w:r w:rsidR="000E33CD">
        <w:rPr>
          <w:sz w:val="24"/>
        </w:rPr>
        <w:t>The government does not appear to be do</w:t>
      </w:r>
      <w:r w:rsidR="00A03813">
        <w:rPr>
          <w:sz w:val="24"/>
        </w:rPr>
        <w:t>ing much to really enforce the law and</w:t>
      </w:r>
      <w:r w:rsidR="000E33CD">
        <w:rPr>
          <w:sz w:val="24"/>
        </w:rPr>
        <w:t xml:space="preserve"> directives </w:t>
      </w:r>
      <w:r w:rsidR="00A03813">
        <w:rPr>
          <w:sz w:val="24"/>
        </w:rPr>
        <w:t>issued to</w:t>
      </w:r>
      <w:r w:rsidR="000E33CD">
        <w:rPr>
          <w:sz w:val="24"/>
        </w:rPr>
        <w:t xml:space="preserve"> ensure that basic education remains economically accessible to all children, including the poor.</w:t>
      </w:r>
    </w:p>
    <w:p w:rsidR="00DB5078" w:rsidRDefault="009E4FFE" w:rsidP="00DB5078">
      <w:pPr>
        <w:jc w:val="both"/>
        <w:rPr>
          <w:lang w:val="en-US"/>
        </w:rPr>
      </w:pPr>
      <w:r w:rsidRPr="009D521B">
        <w:rPr>
          <w:sz w:val="24"/>
          <w:szCs w:val="24"/>
        </w:rPr>
        <w:t>Public perception of public schools vis-a-vis private schools is</w:t>
      </w:r>
      <w:r w:rsidRPr="009D521B">
        <w:rPr>
          <w:sz w:val="18"/>
        </w:rPr>
        <w:t xml:space="preserve"> </w:t>
      </w:r>
      <w:r w:rsidRPr="00A03813">
        <w:rPr>
          <w:sz w:val="24"/>
          <w:szCs w:val="24"/>
        </w:rPr>
        <w:t xml:space="preserve">another factor contributing to the growth of low cost private schools. There is the general assumption that there is no space in public schools and the quality of education in these schools is poor. This is not always the case. </w:t>
      </w:r>
      <w:r w:rsidR="00DB5078" w:rsidRPr="00A03813">
        <w:rPr>
          <w:sz w:val="24"/>
          <w:szCs w:val="24"/>
          <w:lang w:val="en-US"/>
        </w:rPr>
        <w:t xml:space="preserve">Interviews in Mathare informal settlement revealed that some of the public schools actually still had space to take in more students, and the Head teachers confirmed that the Teacher’s Service Commission would be willing to supply more teachers </w:t>
      </w:r>
      <w:r w:rsidR="00DB5078" w:rsidRPr="00A03813">
        <w:rPr>
          <w:sz w:val="24"/>
          <w:szCs w:val="24"/>
        </w:rPr>
        <w:t>if only more students enrolled in the public schools.</w:t>
      </w:r>
      <w:r w:rsidR="00DB5078" w:rsidRPr="00A03813">
        <w:rPr>
          <w:sz w:val="24"/>
          <w:szCs w:val="24"/>
          <w:lang w:val="en-US"/>
        </w:rPr>
        <w:t xml:space="preserve"> However, most parents preferred to send their children to the low cost complimentary schools, even if it meant having to make sacrifices such as going without meals, or not accessing toilets and sanitation facilities.</w:t>
      </w:r>
      <w:r w:rsidR="00DB5078" w:rsidRPr="00CB45FE">
        <w:rPr>
          <w:lang w:val="en-US"/>
        </w:rPr>
        <w:t xml:space="preserve"> </w:t>
      </w:r>
    </w:p>
    <w:p w:rsidR="008C58AD" w:rsidRDefault="008C58AD" w:rsidP="00DB5078">
      <w:pPr>
        <w:jc w:val="both"/>
        <w:rPr>
          <w:lang w:val="en-US"/>
        </w:rPr>
      </w:pPr>
      <w:r>
        <w:rPr>
          <w:lang w:val="en-US"/>
        </w:rPr>
        <w:lastRenderedPageBreak/>
        <w:t xml:space="preserve">Despite public schools asserting that they still had space to accommodate more pupils, the facilities were already overstretched with one public school having 24 teachers for a population of 1094 pupils. This ratio of about 1:45 is still higher than </w:t>
      </w:r>
      <w:r w:rsidR="00EF480F">
        <w:rPr>
          <w:lang w:val="en-US"/>
        </w:rPr>
        <w:t>ideal.</w:t>
      </w:r>
      <w:r>
        <w:rPr>
          <w:lang w:val="en-US"/>
        </w:rPr>
        <w:t xml:space="preserve"> </w:t>
      </w:r>
    </w:p>
    <w:p w:rsidR="0061060A" w:rsidRPr="002F4233" w:rsidRDefault="00803227" w:rsidP="002F4233">
      <w:pPr>
        <w:jc w:val="both"/>
      </w:pPr>
      <w:r w:rsidRPr="00803227">
        <w:rPr>
          <w:sz w:val="24"/>
          <w:szCs w:val="24"/>
        </w:rPr>
        <w:t>Residents of Mathare also mentioned c</w:t>
      </w:r>
      <w:r w:rsidR="00934668" w:rsidRPr="00803227">
        <w:rPr>
          <w:sz w:val="24"/>
          <w:szCs w:val="24"/>
        </w:rPr>
        <w:t>orruption as a major impediment to expansion of access to basic servic</w:t>
      </w:r>
      <w:r w:rsidRPr="00803227">
        <w:rPr>
          <w:sz w:val="24"/>
          <w:szCs w:val="24"/>
        </w:rPr>
        <w:t xml:space="preserve">es including education. In several instances bribes had to be paid by a parent to have their child admitted to a public school while on a larger scale </w:t>
      </w:r>
      <w:r w:rsidR="00934668" w:rsidRPr="00803227">
        <w:rPr>
          <w:sz w:val="24"/>
          <w:szCs w:val="24"/>
        </w:rPr>
        <w:t>billions of shillings intended to be spent on increasing capacity in public schools is misappropriated. The Report of the Auditor General, 2013-2014 expressed an adverse opinion for the Ministry of Education due to material misstatements, citing unauthorized reallocations; irregular expenditure, irregular tendering processes, diverted project funds, under expenditure in school projects, and payments for uncompleted, overdue projects.</w:t>
      </w:r>
      <w:r w:rsidR="00934668" w:rsidRPr="00803227">
        <w:rPr>
          <w:sz w:val="24"/>
          <w:szCs w:val="24"/>
          <w:vertAlign w:val="superscript"/>
        </w:rPr>
        <w:footnoteReference w:id="34"/>
      </w:r>
      <w:r>
        <w:rPr>
          <w:sz w:val="24"/>
          <w:szCs w:val="24"/>
        </w:rPr>
        <w:t xml:space="preserve"> This undercuts the State’s capacity to invest in building the capacity of State schools in order to increase access and quality of education. </w:t>
      </w:r>
    </w:p>
    <w:p w:rsidR="00E44F84" w:rsidRPr="006D021F" w:rsidRDefault="002E07D4" w:rsidP="002F4233">
      <w:pPr>
        <w:pStyle w:val="Heading1"/>
      </w:pPr>
      <w:bookmarkStart w:id="6" w:name="_Toc440367403"/>
      <w:r w:rsidRPr="006D021F">
        <w:t xml:space="preserve">Regulation of </w:t>
      </w:r>
      <w:r w:rsidR="009D521B" w:rsidRPr="006D021F">
        <w:t>P</w:t>
      </w:r>
      <w:r w:rsidRPr="006D021F">
        <w:t xml:space="preserve">rivate </w:t>
      </w:r>
      <w:r w:rsidR="009D521B" w:rsidRPr="006D021F">
        <w:t>A</w:t>
      </w:r>
      <w:r w:rsidRPr="006D021F">
        <w:t>ctors</w:t>
      </w:r>
      <w:r w:rsidR="009D521B" w:rsidRPr="006D021F">
        <w:t xml:space="preserve"> in the Education Sector</w:t>
      </w:r>
      <w:bookmarkEnd w:id="6"/>
    </w:p>
    <w:p w:rsidR="0041014C" w:rsidRDefault="00E44F84" w:rsidP="006D021F">
      <w:pPr>
        <w:spacing w:before="240"/>
        <w:jc w:val="both"/>
        <w:rPr>
          <w:sz w:val="24"/>
          <w:szCs w:val="24"/>
        </w:rPr>
      </w:pPr>
      <w:r w:rsidRPr="002F4233">
        <w:rPr>
          <w:sz w:val="24"/>
          <w:szCs w:val="24"/>
        </w:rPr>
        <w:t xml:space="preserve">The State position on Public Private Partnerships </w:t>
      </w:r>
      <w:r w:rsidR="003839AE" w:rsidRPr="002F4233">
        <w:rPr>
          <w:sz w:val="24"/>
          <w:szCs w:val="24"/>
        </w:rPr>
        <w:t xml:space="preserve">(PPPs) </w:t>
      </w:r>
      <w:r w:rsidRPr="002F4233">
        <w:rPr>
          <w:sz w:val="24"/>
          <w:szCs w:val="24"/>
        </w:rPr>
        <w:t xml:space="preserve">in education is set out in the </w:t>
      </w:r>
      <w:r w:rsidRPr="002F4233">
        <w:rPr>
          <w:b/>
          <w:sz w:val="24"/>
          <w:szCs w:val="24"/>
        </w:rPr>
        <w:t>Policy Framework on Reforming Education and Training Sectors in Kenya.</w:t>
      </w:r>
      <w:r w:rsidRPr="002F4233">
        <w:rPr>
          <w:rStyle w:val="FootnoteReference"/>
          <w:sz w:val="24"/>
          <w:szCs w:val="24"/>
        </w:rPr>
        <w:footnoteReference w:id="35"/>
      </w:r>
      <w:r w:rsidRPr="002F4233">
        <w:rPr>
          <w:sz w:val="24"/>
          <w:szCs w:val="24"/>
        </w:rPr>
        <w:t xml:space="preserve"> </w:t>
      </w:r>
      <w:r w:rsidR="003839AE" w:rsidRPr="002F4233">
        <w:rPr>
          <w:sz w:val="24"/>
          <w:szCs w:val="24"/>
        </w:rPr>
        <w:t xml:space="preserve">These PPPs will take various forms including direct private investment to establish institutions or investment in particular elements of education. </w:t>
      </w:r>
      <w:r w:rsidRPr="002F4233">
        <w:rPr>
          <w:sz w:val="24"/>
          <w:szCs w:val="24"/>
        </w:rPr>
        <w:t>Whereas the Government acknowledges that encouraging private sector involvement in the education sector is complex, it is still determined to</w:t>
      </w:r>
      <w:r w:rsidR="000C1EF6" w:rsidRPr="002F4233">
        <w:rPr>
          <w:sz w:val="24"/>
          <w:szCs w:val="24"/>
        </w:rPr>
        <w:t xml:space="preserve"> encourage growth of private sector education by</w:t>
      </w:r>
      <w:r w:rsidRPr="002F4233">
        <w:rPr>
          <w:sz w:val="24"/>
          <w:szCs w:val="24"/>
        </w:rPr>
        <w:t xml:space="preserve"> remove constraints on private participation in education, </w:t>
      </w:r>
      <w:r w:rsidR="00CE526C" w:rsidRPr="002F4233">
        <w:rPr>
          <w:sz w:val="24"/>
          <w:szCs w:val="24"/>
        </w:rPr>
        <w:t xml:space="preserve">incentivise investment in private education and create a conducive regulatory framework </w:t>
      </w:r>
      <w:r w:rsidRPr="002F4233">
        <w:rPr>
          <w:sz w:val="24"/>
          <w:szCs w:val="24"/>
        </w:rPr>
        <w:t>to realize significant progress in the sector.</w:t>
      </w:r>
      <w:r w:rsidR="00CE526C" w:rsidRPr="002F4233">
        <w:rPr>
          <w:rStyle w:val="FootnoteReference"/>
          <w:sz w:val="24"/>
          <w:szCs w:val="24"/>
        </w:rPr>
        <w:footnoteReference w:id="36"/>
      </w:r>
      <w:r w:rsidRPr="002F4233">
        <w:rPr>
          <w:sz w:val="24"/>
          <w:szCs w:val="24"/>
        </w:rPr>
        <w:t xml:space="preserve"> </w:t>
      </w:r>
      <w:r w:rsidR="000C1EF6" w:rsidRPr="002F4233">
        <w:rPr>
          <w:sz w:val="24"/>
          <w:szCs w:val="24"/>
        </w:rPr>
        <w:t>These incentives could include tax and relief and provision of low-interest start up loans and addressing the challenges faced by international education investors with regard to their legal identity as international school.</w:t>
      </w:r>
      <w:r w:rsidR="000C1EF6" w:rsidRPr="002F4233">
        <w:rPr>
          <w:rStyle w:val="FootnoteReference"/>
          <w:sz w:val="24"/>
          <w:szCs w:val="24"/>
        </w:rPr>
        <w:footnoteReference w:id="37"/>
      </w:r>
      <w:r w:rsidR="000C1EF6" w:rsidRPr="002F4233">
        <w:rPr>
          <w:sz w:val="24"/>
          <w:szCs w:val="24"/>
        </w:rPr>
        <w:t xml:space="preserve"> Increasing the presence of private actors in the education sector is intended to release more resources to the State to invest in smaller and better resourced classes in State schools.</w:t>
      </w:r>
    </w:p>
    <w:p w:rsidR="001E5950" w:rsidRDefault="001040B1" w:rsidP="001E5950">
      <w:pPr>
        <w:jc w:val="both"/>
        <w:rPr>
          <w:sz w:val="24"/>
          <w:szCs w:val="24"/>
        </w:rPr>
      </w:pPr>
      <w:r>
        <w:rPr>
          <w:sz w:val="24"/>
          <w:szCs w:val="24"/>
        </w:rPr>
        <w:t>This is a dangerous trajectory as it could easily lead to the State absconding its duty to provide education for all. Whereas the Government’s limited capacity to meet this obligation is conceded, and the creative attempt to meet this need is appreciated, the State must ensure that the entry of private interests in the provision of this public good does not reverse the gains made towards achieving education for all</w:t>
      </w:r>
      <w:r w:rsidR="00FC7CDE">
        <w:rPr>
          <w:sz w:val="24"/>
          <w:szCs w:val="24"/>
        </w:rPr>
        <w:t xml:space="preserve">. </w:t>
      </w:r>
      <w:r w:rsidR="000F7298">
        <w:rPr>
          <w:sz w:val="24"/>
          <w:szCs w:val="24"/>
        </w:rPr>
        <w:t xml:space="preserve">The State should also take the lead in developing creative partnership models such as </w:t>
      </w:r>
      <w:r w:rsidR="000F7298" w:rsidRPr="000F7298">
        <w:rPr>
          <w:sz w:val="24"/>
          <w:szCs w:val="24"/>
        </w:rPr>
        <w:t xml:space="preserve">provision of capitation grants to learners in private schools, </w:t>
      </w:r>
      <w:r w:rsidR="000F7298" w:rsidRPr="000F7298">
        <w:rPr>
          <w:sz w:val="24"/>
          <w:szCs w:val="24"/>
        </w:rPr>
        <w:lastRenderedPageBreak/>
        <w:t>provision of teacher</w:t>
      </w:r>
      <w:r w:rsidR="000F7298">
        <w:rPr>
          <w:sz w:val="24"/>
          <w:szCs w:val="24"/>
        </w:rPr>
        <w:t xml:space="preserve">s to private institutions, </w:t>
      </w:r>
      <w:r w:rsidR="000F7298" w:rsidRPr="000F7298">
        <w:rPr>
          <w:sz w:val="24"/>
          <w:szCs w:val="24"/>
        </w:rPr>
        <w:t>leasing facilities built by private individuals, or leasing out a built up public school to a private individual</w:t>
      </w:r>
      <w:r w:rsidR="00A92AFC">
        <w:rPr>
          <w:sz w:val="24"/>
          <w:szCs w:val="24"/>
        </w:rPr>
        <w:t>, as suggested by the Taskforce.</w:t>
      </w:r>
      <w:r w:rsidR="00A92AFC">
        <w:rPr>
          <w:rStyle w:val="FootnoteReference"/>
          <w:sz w:val="24"/>
          <w:szCs w:val="24"/>
        </w:rPr>
        <w:footnoteReference w:id="38"/>
      </w:r>
      <w:r w:rsidR="000F7298">
        <w:rPr>
          <w:sz w:val="24"/>
          <w:szCs w:val="24"/>
        </w:rPr>
        <w:t xml:space="preserve"> </w:t>
      </w:r>
      <w:r w:rsidR="00FC7CDE">
        <w:rPr>
          <w:sz w:val="24"/>
          <w:szCs w:val="24"/>
        </w:rPr>
        <w:t xml:space="preserve">Chiefly, they should ensure that any parent who turns to a private school does so out of choice and not because they were unable to access </w:t>
      </w:r>
      <w:r w:rsidR="000D287A">
        <w:rPr>
          <w:sz w:val="24"/>
          <w:szCs w:val="24"/>
        </w:rPr>
        <w:t>free education in public schools.</w:t>
      </w:r>
      <w:r>
        <w:rPr>
          <w:sz w:val="24"/>
          <w:szCs w:val="24"/>
        </w:rPr>
        <w:t xml:space="preserve"> </w:t>
      </w:r>
    </w:p>
    <w:p w:rsidR="00F60099" w:rsidRDefault="00F60099" w:rsidP="00F60099">
      <w:pPr>
        <w:pStyle w:val="Heading1"/>
      </w:pPr>
      <w:bookmarkStart w:id="7" w:name="_Toc440367404"/>
      <w:r w:rsidRPr="006D021F">
        <w:t xml:space="preserve">Role of </w:t>
      </w:r>
      <w:r w:rsidR="00783A05" w:rsidRPr="006D021F">
        <w:t>D</w:t>
      </w:r>
      <w:r w:rsidRPr="006D021F">
        <w:t xml:space="preserve">evelopment </w:t>
      </w:r>
      <w:r w:rsidR="00783A05" w:rsidRPr="006D021F">
        <w:t>P</w:t>
      </w:r>
      <w:r w:rsidRPr="006D021F">
        <w:t>artners</w:t>
      </w:r>
      <w:bookmarkEnd w:id="7"/>
      <w:r w:rsidRPr="00F60099">
        <w:t xml:space="preserve"> </w:t>
      </w:r>
    </w:p>
    <w:p w:rsidR="00D16230" w:rsidRPr="00783A05" w:rsidRDefault="00D16230" w:rsidP="006D021F">
      <w:pPr>
        <w:spacing w:before="240"/>
        <w:jc w:val="both"/>
        <w:rPr>
          <w:sz w:val="24"/>
          <w:szCs w:val="24"/>
        </w:rPr>
      </w:pPr>
      <w:r w:rsidRPr="00783A05">
        <w:rPr>
          <w:sz w:val="24"/>
          <w:szCs w:val="24"/>
        </w:rPr>
        <w:t xml:space="preserve">The International Finance Corporation </w:t>
      </w:r>
      <w:r w:rsidR="00E32662" w:rsidRPr="00783A05">
        <w:rPr>
          <w:sz w:val="24"/>
          <w:szCs w:val="24"/>
        </w:rPr>
        <w:t xml:space="preserve">(IFC) </w:t>
      </w:r>
      <w:r w:rsidRPr="00783A05">
        <w:rPr>
          <w:sz w:val="24"/>
          <w:szCs w:val="24"/>
        </w:rPr>
        <w:t>is the member of the World Bank Group responsible for providing funding for private sector entities in developing countries with the aim of ending extreme poverty by 2030 and boosting shared prosperity.</w:t>
      </w:r>
      <w:r w:rsidRPr="00783A05">
        <w:rPr>
          <w:rStyle w:val="FootnoteReference"/>
          <w:sz w:val="24"/>
          <w:szCs w:val="24"/>
        </w:rPr>
        <w:footnoteReference w:id="39"/>
      </w:r>
      <w:r w:rsidRPr="00783A05">
        <w:rPr>
          <w:sz w:val="24"/>
          <w:szCs w:val="24"/>
        </w:rPr>
        <w:t xml:space="preserve"> </w:t>
      </w:r>
      <w:r w:rsidR="00E32662" w:rsidRPr="00783A05">
        <w:rPr>
          <w:sz w:val="24"/>
          <w:szCs w:val="24"/>
        </w:rPr>
        <w:t xml:space="preserve">The IFC has invested </w:t>
      </w:r>
      <w:r w:rsidR="00020EB6" w:rsidRPr="00783A05">
        <w:rPr>
          <w:sz w:val="24"/>
          <w:szCs w:val="24"/>
        </w:rPr>
        <w:t>10 million USD into B</w:t>
      </w:r>
      <w:r w:rsidR="00783A05">
        <w:rPr>
          <w:sz w:val="24"/>
          <w:szCs w:val="24"/>
        </w:rPr>
        <w:t>ridge International Academy</w:t>
      </w:r>
      <w:r w:rsidR="00020EB6" w:rsidRPr="00783A05">
        <w:rPr>
          <w:sz w:val="24"/>
          <w:szCs w:val="24"/>
        </w:rPr>
        <w:t xml:space="preserve"> with the expected development </w:t>
      </w:r>
      <w:r w:rsidR="00373006" w:rsidRPr="00783A05">
        <w:rPr>
          <w:sz w:val="24"/>
          <w:szCs w:val="24"/>
        </w:rPr>
        <w:t>result of increa</w:t>
      </w:r>
      <w:r w:rsidR="009E04EA" w:rsidRPr="00783A05">
        <w:rPr>
          <w:sz w:val="24"/>
          <w:szCs w:val="24"/>
        </w:rPr>
        <w:t xml:space="preserve">sing access to basic education and </w:t>
      </w:r>
      <w:r w:rsidR="00373006" w:rsidRPr="00783A05">
        <w:rPr>
          <w:sz w:val="24"/>
          <w:szCs w:val="24"/>
        </w:rPr>
        <w:t xml:space="preserve">promoting affordability of education by providing education at a significantly lower cost than alternative low cost private schools </w:t>
      </w:r>
      <w:r w:rsidR="009E04EA" w:rsidRPr="00783A05">
        <w:rPr>
          <w:sz w:val="24"/>
          <w:szCs w:val="24"/>
        </w:rPr>
        <w:t>and public schools</w:t>
      </w:r>
      <w:r w:rsidR="00373006" w:rsidRPr="00783A05">
        <w:rPr>
          <w:sz w:val="24"/>
          <w:szCs w:val="24"/>
        </w:rPr>
        <w:t>.</w:t>
      </w:r>
      <w:r w:rsidR="00373006" w:rsidRPr="00783A05">
        <w:rPr>
          <w:rStyle w:val="FootnoteReference"/>
          <w:sz w:val="24"/>
          <w:szCs w:val="24"/>
        </w:rPr>
        <w:footnoteReference w:id="40"/>
      </w:r>
      <w:r w:rsidR="00373006" w:rsidRPr="00783A05">
        <w:rPr>
          <w:sz w:val="24"/>
          <w:szCs w:val="24"/>
        </w:rPr>
        <w:t xml:space="preserve"> </w:t>
      </w:r>
      <w:r w:rsidR="00D9217A" w:rsidRPr="00783A05">
        <w:rPr>
          <w:sz w:val="24"/>
          <w:szCs w:val="24"/>
        </w:rPr>
        <w:t xml:space="preserve">The IFC is not constrained to funding only the base of the pyramid but believe that funding the private profit-making sector will eventually have a </w:t>
      </w:r>
      <w:r w:rsidR="006D021F" w:rsidRPr="00783A05">
        <w:rPr>
          <w:sz w:val="24"/>
          <w:szCs w:val="24"/>
        </w:rPr>
        <w:t>trickledown</w:t>
      </w:r>
      <w:r w:rsidR="00D9217A" w:rsidRPr="00783A05">
        <w:rPr>
          <w:sz w:val="24"/>
          <w:szCs w:val="24"/>
        </w:rPr>
        <w:t xml:space="preserve"> effect that will ultimately reduce poverty.</w:t>
      </w:r>
    </w:p>
    <w:p w:rsidR="001A2616" w:rsidRDefault="00D66193" w:rsidP="00783A05">
      <w:pPr>
        <w:jc w:val="both"/>
      </w:pPr>
      <w:r w:rsidRPr="00783A05">
        <w:rPr>
          <w:sz w:val="24"/>
          <w:szCs w:val="24"/>
        </w:rPr>
        <w:t>On the other hand, the UK’s Department for International Development (DFID) spearheads the British governmen</w:t>
      </w:r>
      <w:r w:rsidR="005F3BCB" w:rsidRPr="00783A05">
        <w:rPr>
          <w:sz w:val="24"/>
          <w:szCs w:val="24"/>
        </w:rPr>
        <w:t>t’s work to end extreme poverty</w:t>
      </w:r>
      <w:r w:rsidRPr="00783A05">
        <w:rPr>
          <w:rStyle w:val="FootnoteReference"/>
          <w:sz w:val="24"/>
          <w:szCs w:val="24"/>
        </w:rPr>
        <w:footnoteReference w:id="41"/>
      </w:r>
      <w:r w:rsidR="005F3BCB" w:rsidRPr="00783A05">
        <w:rPr>
          <w:sz w:val="24"/>
          <w:szCs w:val="24"/>
        </w:rPr>
        <w:t xml:space="preserve">  and is listed as one of BIA’s biggest investors.</w:t>
      </w:r>
      <w:r w:rsidR="005F3BCB" w:rsidRPr="00783A05">
        <w:rPr>
          <w:rStyle w:val="FootnoteReference"/>
          <w:sz w:val="24"/>
          <w:szCs w:val="24"/>
        </w:rPr>
        <w:footnoteReference w:id="42"/>
      </w:r>
      <w:r w:rsidR="005F3BCB" w:rsidRPr="00783A05">
        <w:rPr>
          <w:sz w:val="24"/>
          <w:szCs w:val="24"/>
        </w:rPr>
        <w:t xml:space="preserve"> This is ironic considering that in April 2014 DFID published a rigorous literature review on the role and impact of private schools in developing countries where, despite admitting a there was limited evidence on the issue, the report conceded that </w:t>
      </w:r>
      <w:r w:rsidR="005F3BCB" w:rsidRPr="00481831">
        <w:rPr>
          <w:sz w:val="24"/>
          <w:szCs w:val="24"/>
        </w:rPr>
        <w:t>‘financial constraints are a key factor limiting or preventing poorer households from enrolling their children in private schools. Where children of poorer households do attend private schools, research indicates that welfare sacrifices are made and continued attendance is difficult to sustain.’</w:t>
      </w:r>
      <w:r w:rsidR="005F3BCB" w:rsidRPr="00481831">
        <w:rPr>
          <w:rStyle w:val="FootnoteReference"/>
          <w:sz w:val="24"/>
          <w:szCs w:val="24"/>
        </w:rPr>
        <w:footnoteReference w:id="43"/>
      </w:r>
      <w:r w:rsidR="005F3BCB" w:rsidRPr="00481831">
        <w:t xml:space="preserve"> </w:t>
      </w:r>
    </w:p>
    <w:p w:rsidR="001A2616" w:rsidRDefault="001A2616">
      <w:r>
        <w:br w:type="page"/>
      </w:r>
    </w:p>
    <w:p w:rsidR="00783A05" w:rsidRDefault="00985434" w:rsidP="00783A05">
      <w:pPr>
        <w:jc w:val="both"/>
      </w:pPr>
      <w:r>
        <w:rPr>
          <w:noProof/>
          <w:lang w:val="en-US" w:eastAsia="en-US"/>
        </w:rPr>
        <w:lastRenderedPageBreak/>
        <mc:AlternateContent>
          <mc:Choice Requires="wps">
            <w:drawing>
              <wp:anchor distT="0" distB="0" distL="114300" distR="114300" simplePos="0" relativeHeight="251659264" behindDoc="0" locked="0" layoutInCell="1" allowOverlap="1">
                <wp:simplePos x="0" y="0"/>
                <wp:positionH relativeFrom="column">
                  <wp:posOffset>-147320</wp:posOffset>
                </wp:positionH>
                <wp:positionV relativeFrom="paragraph">
                  <wp:posOffset>-238125</wp:posOffset>
                </wp:positionV>
                <wp:extent cx="6239510" cy="8559800"/>
                <wp:effectExtent l="5080" t="9525" r="13335"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9510" cy="8559800"/>
                        </a:xfrm>
                        <a:prstGeom prst="rect">
                          <a:avLst/>
                        </a:prstGeom>
                        <a:solidFill>
                          <a:srgbClr val="FFFFFF"/>
                        </a:solidFill>
                        <a:ln w="9525">
                          <a:solidFill>
                            <a:srgbClr val="000000"/>
                          </a:solidFill>
                          <a:miter lim="800000"/>
                          <a:headEnd/>
                          <a:tailEnd/>
                        </a:ln>
                      </wps:spPr>
                      <wps:txbx>
                        <w:txbxContent>
                          <w:p w:rsidR="00511E29" w:rsidRPr="000F7298" w:rsidRDefault="00511E29" w:rsidP="000F7298">
                            <w:pPr>
                              <w:jc w:val="both"/>
                              <w:rPr>
                                <w:b/>
                                <w:bCs/>
                                <w:sz w:val="24"/>
                                <w:szCs w:val="24"/>
                              </w:rPr>
                            </w:pPr>
                            <w:r w:rsidRPr="000F7298">
                              <w:rPr>
                                <w:b/>
                                <w:bCs/>
                                <w:sz w:val="24"/>
                                <w:szCs w:val="24"/>
                              </w:rPr>
                              <w:t>Bridge International Academies</w:t>
                            </w:r>
                          </w:p>
                          <w:p w:rsidR="00511E29" w:rsidRPr="000F7298" w:rsidRDefault="00511E29" w:rsidP="000F7298">
                            <w:pPr>
                              <w:jc w:val="both"/>
                              <w:rPr>
                                <w:sz w:val="24"/>
                                <w:szCs w:val="24"/>
                              </w:rPr>
                            </w:pPr>
                            <w:r w:rsidRPr="000F7298">
                              <w:rPr>
                                <w:sz w:val="24"/>
                                <w:szCs w:val="24"/>
                              </w:rPr>
                              <w:t xml:space="preserve">Bridge International Academy (BIA) is a for-profit private chain of nursery and primary schools with over 400 institutions in Kenya, serving informal settlements and poor rural areas. BIA has received a loan from the International Finance Corporation (IFC) and has also received funding from the UK Department for International Development (DFID), and other private philanthropists and institutions. </w:t>
                            </w:r>
                          </w:p>
                          <w:p w:rsidR="00511E29" w:rsidRPr="000F7298" w:rsidRDefault="00511E29" w:rsidP="000F7298">
                            <w:pPr>
                              <w:jc w:val="both"/>
                              <w:rPr>
                                <w:sz w:val="24"/>
                                <w:szCs w:val="24"/>
                              </w:rPr>
                            </w:pPr>
                            <w:r w:rsidRPr="000F7298">
                              <w:rPr>
                                <w:sz w:val="24"/>
                                <w:szCs w:val="24"/>
                              </w:rPr>
                              <w:t>Moving away from charging ‘just $6 a month’, Bridge International Academy intends to begin charging fees termly from 2016, charging an average of Kshs 2,760 or $27.6 per term.</w:t>
                            </w:r>
                            <w:r w:rsidRPr="000F7298">
                              <w:rPr>
                                <w:sz w:val="24"/>
                                <w:szCs w:val="24"/>
                                <w:vertAlign w:val="superscript"/>
                              </w:rPr>
                              <w:footnoteRef/>
                            </w:r>
                            <w:r w:rsidRPr="000F7298">
                              <w:rPr>
                                <w:sz w:val="24"/>
                                <w:szCs w:val="24"/>
                              </w:rPr>
                              <w:t xml:space="preserve"> However, this is not the only cost imposed on the parent. The parents are also required to pay a one-time admission fee of about Kshs 700 ($7), termly exam fee of Kshs 150 ($1.50) and each child is expected to attend school in full school uniform - the uniform costs depend on the age of the child but on average full uniform for a child in primary will cost about Kshs 2,332 ($23.32) excluding school shoes. This is also exclusive of charges for lunch and remedial tuition.  For an area where majority of the people live below the poverty line, this cost is prohibitive and actually does more to deny access to education rather than making it available to those who need it and are unable to afford it. </w:t>
                            </w:r>
                          </w:p>
                          <w:p w:rsidR="00511E29" w:rsidRPr="000F7298" w:rsidRDefault="00511E29" w:rsidP="000F7298">
                            <w:pPr>
                              <w:jc w:val="both"/>
                              <w:rPr>
                                <w:sz w:val="24"/>
                                <w:szCs w:val="24"/>
                              </w:rPr>
                            </w:pPr>
                            <w:r w:rsidRPr="000F7298">
                              <w:rPr>
                                <w:sz w:val="24"/>
                                <w:szCs w:val="24"/>
                              </w:rPr>
                              <w:t xml:space="preserve">Ironically, BIA markets itself as targeting families who live on less than $2USD per day, and to date has over 400 schools established in Kenya. This is despite a recent order by the Ministry of Education in Kenya ordering a halt to the rapid expansion of BIA. Currently, the curriculum offered in BIA has not been approved by the Kenya Institute of Curriculum Development and it is therefore an illegality for BIA to continue operating with this curriculum. Education stakeholders and leaders have criticized it as failing to give a sufficient foundation for the children, leaving them ill-prepared for secondary school. </w:t>
                            </w:r>
                          </w:p>
                          <w:p w:rsidR="00511E29" w:rsidRPr="000F7298" w:rsidRDefault="00511E29" w:rsidP="000F7298">
                            <w:pPr>
                              <w:jc w:val="both"/>
                              <w:rPr>
                                <w:sz w:val="24"/>
                                <w:szCs w:val="24"/>
                              </w:rPr>
                            </w:pPr>
                            <w:r w:rsidRPr="000F7298">
                              <w:rPr>
                                <w:sz w:val="24"/>
                                <w:szCs w:val="24"/>
                              </w:rPr>
                              <w:t xml:space="preserve">BIA has been circumventing due process, neglecting the rules and regulations in place and establishing their schools without the approval of the Ministry of Education (MoE) and the Institute of Curriculum Development, and resisting efforts by education officials to enforce the regulations against them, at the expense of rule of law and quality education. The MoE has informed BIA severally that they do not meet the requisite standards and they risk closure but regardless of this BIA has continued its expansion program, setting up more schools with the same deficiencies as those sanctioned by the MoE. </w:t>
                            </w:r>
                          </w:p>
                          <w:p w:rsidR="00511E29" w:rsidRPr="000F7298" w:rsidRDefault="00511E29" w:rsidP="000F7298">
                            <w:pPr>
                              <w:jc w:val="both"/>
                              <w:rPr>
                                <w:sz w:val="24"/>
                                <w:szCs w:val="24"/>
                              </w:rPr>
                            </w:pPr>
                            <w:r w:rsidRPr="000F7298">
                              <w:rPr>
                                <w:sz w:val="24"/>
                                <w:szCs w:val="24"/>
                              </w:rPr>
                              <w:t xml:space="preserve">In addition, BIA is operating so called APBET institutions outside of the seven municipalities identified as in need of Alternative Provision of Basic Education and Training by the Ministry of Education. The Ministry is also concerned that the development partners such as the World Bank through its private finance arm the International Finance Corporation, and the Department for International Development (DFID) did not consult with or seek the approval of the Ministry before supporting the BIA school chain. </w:t>
                            </w:r>
                          </w:p>
                          <w:p w:rsidR="00511E29" w:rsidRPr="000F7298" w:rsidRDefault="00511E29" w:rsidP="000F7298">
                            <w:pPr>
                              <w:jc w:val="both"/>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6pt;margin-top:-18.75pt;width:491.3pt;height:6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LzNKwIAAFEEAAAOAAAAZHJzL2Uyb0RvYy54bWysVNuO0zAQfUfiHyy/06ShWdqo6WrpUoS0&#10;XKRdPsBxnMTC8RjbbVK+nrHTLRHwhMiD5fGMj2fOmcn2duwVOQnrJOiSLhcpJUJzqKVuS/r16fBq&#10;TYnzTNdMgRYlPQtHb3cvX2wHU4gMOlC1sARBtCsGU9LOe1MkieOd6JlbgBEanQ3Ynnk0bZvUlg2I&#10;3qskS9ObZABbGwtcOIen95OT7iJ+0wjuPzeNE56okmJuPq42rlVYk92WFa1lppP8kgb7hyx6JjU+&#10;eoW6Z56Ro5V/QPWSW3DQ+AWHPoGmkVzEGrCaZfpbNY8dMyLWguQ4c6XJ/T9Y/un0xRJZo3aUaNaj&#10;RE9i9OQtjCQL7AzGFRj0aDDMj3gcIkOlzjwA/+aIhn3HdCvurIWhE6zG7JbhZjK7OuG4AFINH6HG&#10;Z9jRQwQaG9sHQCSDIDqqdL4qE1LheHiTvd7kS3Rx9K3zfLNOo3YJK56vG+v8ewE9CZuSWpQ+wrPT&#10;g/MhHVY8h8T0Qcn6IJWKhm2rvbLkxLBNDvGLFWCV8zClyVDSTZ7lEwNzn5tDpPH7G0QvPfa7kj2W&#10;cQ1iReDtna5jN3om1bTHlJW+EBm4m1j0YzVehKmgPiOlFqa+xjnETQf2ByUD9nRJ3fcjs4IS9UGj&#10;LJvlahWGIBqr/E2Ghp17qrmHaY5QJfWUTNu9nwbnaKxsO3xpagQNdyhlIyPJQfMpq0ve2LeR+8uM&#10;hcGY2zHq159g9xMAAP//AwBQSwMEFAAGAAgAAAAhAHEiAE3iAAAADAEAAA8AAABkcnMvZG93bnJl&#10;di54bWxMj8tOwzAQRfdI/IM1SGxQ6zRp2ibEqRASiO6gINi68TSJ8CPYbhr+nmEFuxnN0Z1zq+1k&#10;NBvRh95ZAYt5Agxt41RvWwFvrw+zDbAQpVVSO4sCvjHAtr68qGSp3Nm+4LiPLaMQG0opoItxKDkP&#10;TYdGhrkb0NLt6LyRkVbfcuXlmcKN5mmSrLiRvaUPnRzwvsPmc38yAjbLp/Ej7LLn92Z11EW8WY+P&#10;X16I66vp7hZYxCn+wfCrT+pQk9PBnawKTAuYpVlKKA3ZOgdGRJEXS2AHQrNFkgOvK/6/RP0DAAD/&#10;/wMAUEsBAi0AFAAGAAgAAAAhALaDOJL+AAAA4QEAABMAAAAAAAAAAAAAAAAAAAAAAFtDb250ZW50&#10;X1R5cGVzXS54bWxQSwECLQAUAAYACAAAACEAOP0h/9YAAACUAQAACwAAAAAAAAAAAAAAAAAvAQAA&#10;X3JlbHMvLnJlbHNQSwECLQAUAAYACAAAACEACsi8zSsCAABRBAAADgAAAAAAAAAAAAAAAAAuAgAA&#10;ZHJzL2Uyb0RvYy54bWxQSwECLQAUAAYACAAAACEAcSIATeIAAAAMAQAADwAAAAAAAAAAAAAAAACF&#10;BAAAZHJzL2Rvd25yZXYueG1sUEsFBgAAAAAEAAQA8wAAAJQFAAAAAA==&#10;">
                <v:textbox>
                  <w:txbxContent>
                    <w:p w:rsidR="00511E29" w:rsidRPr="000F7298" w:rsidRDefault="00511E29" w:rsidP="000F7298">
                      <w:pPr>
                        <w:jc w:val="both"/>
                        <w:rPr>
                          <w:b/>
                          <w:bCs/>
                          <w:sz w:val="24"/>
                          <w:szCs w:val="24"/>
                        </w:rPr>
                      </w:pPr>
                      <w:r w:rsidRPr="000F7298">
                        <w:rPr>
                          <w:b/>
                          <w:bCs/>
                          <w:sz w:val="24"/>
                          <w:szCs w:val="24"/>
                        </w:rPr>
                        <w:t>Bridge International Academies</w:t>
                      </w:r>
                    </w:p>
                    <w:p w:rsidR="00511E29" w:rsidRPr="000F7298" w:rsidRDefault="00511E29" w:rsidP="000F7298">
                      <w:pPr>
                        <w:jc w:val="both"/>
                        <w:rPr>
                          <w:sz w:val="24"/>
                          <w:szCs w:val="24"/>
                        </w:rPr>
                      </w:pPr>
                      <w:r w:rsidRPr="000F7298">
                        <w:rPr>
                          <w:sz w:val="24"/>
                          <w:szCs w:val="24"/>
                        </w:rPr>
                        <w:t xml:space="preserve">Bridge International Academy (BIA) is a for-profit private chain of nursery and primary schools with over 400 institutions in Kenya, serving informal settlements and poor rural areas. BIA has received a loan from the International Finance Corporation (IFC) and has also received funding from the UK Department for International Development (DFID), and other private philanthropists and institutions. </w:t>
                      </w:r>
                    </w:p>
                    <w:p w:rsidR="00511E29" w:rsidRPr="000F7298" w:rsidRDefault="00511E29" w:rsidP="000F7298">
                      <w:pPr>
                        <w:jc w:val="both"/>
                        <w:rPr>
                          <w:sz w:val="24"/>
                          <w:szCs w:val="24"/>
                        </w:rPr>
                      </w:pPr>
                      <w:r w:rsidRPr="000F7298">
                        <w:rPr>
                          <w:sz w:val="24"/>
                          <w:szCs w:val="24"/>
                        </w:rPr>
                        <w:t>Moving away from charging ‘just $6 a month’, Bridge International Academy intends to begin charging fees termly from 2016, charging an average of Kshs 2,760 or $27.6 per term.</w:t>
                      </w:r>
                      <w:r w:rsidRPr="000F7298">
                        <w:rPr>
                          <w:sz w:val="24"/>
                          <w:szCs w:val="24"/>
                          <w:vertAlign w:val="superscript"/>
                        </w:rPr>
                        <w:footnoteRef/>
                      </w:r>
                      <w:r w:rsidRPr="000F7298">
                        <w:rPr>
                          <w:sz w:val="24"/>
                          <w:szCs w:val="24"/>
                        </w:rPr>
                        <w:t xml:space="preserve"> However, this is not the only cost imposed on the parent. The parents are also required to pay a one-time admission fee of about Kshs 700 ($7), termly exam fee of Kshs 150 ($1.50) and each child is expected to attend school in full school uniform - the uniform costs depend on the age of the child but on average full uniform for a child in primary will cost about Kshs 2,332 ($23.32) excluding school shoes. This is also exclusive of charges for lunch and remedial tuition.  For an area where majority of the people live below the poverty line, this cost is prohibitive and actually does more to deny access to education rather than making it available to those who need it and are unable to afford it. </w:t>
                      </w:r>
                    </w:p>
                    <w:p w:rsidR="00511E29" w:rsidRPr="000F7298" w:rsidRDefault="00511E29" w:rsidP="000F7298">
                      <w:pPr>
                        <w:jc w:val="both"/>
                        <w:rPr>
                          <w:sz w:val="24"/>
                          <w:szCs w:val="24"/>
                        </w:rPr>
                      </w:pPr>
                      <w:r w:rsidRPr="000F7298">
                        <w:rPr>
                          <w:sz w:val="24"/>
                          <w:szCs w:val="24"/>
                        </w:rPr>
                        <w:t xml:space="preserve">Ironically, BIA markets itself as targeting families who live on less than $2USD per day, and to date has over 400 schools established in Kenya. This is despite a recent order by the Ministry of Education in Kenya ordering a halt to the rapid expansion of BIA. Currently, the curriculum offered in BIA has not been approved by the Kenya Institute of Curriculum Development and it is therefore an illegality for BIA to continue operating with this curriculum. Education stakeholders and leaders have criticized it as failing to give a sufficient foundation for the children, leaving them ill-prepared for secondary school. </w:t>
                      </w:r>
                    </w:p>
                    <w:p w:rsidR="00511E29" w:rsidRPr="000F7298" w:rsidRDefault="00511E29" w:rsidP="000F7298">
                      <w:pPr>
                        <w:jc w:val="both"/>
                        <w:rPr>
                          <w:sz w:val="24"/>
                          <w:szCs w:val="24"/>
                        </w:rPr>
                      </w:pPr>
                      <w:r w:rsidRPr="000F7298">
                        <w:rPr>
                          <w:sz w:val="24"/>
                          <w:szCs w:val="24"/>
                        </w:rPr>
                        <w:t xml:space="preserve">BIA has been circumventing due process, neglecting the rules and regulations in place and establishing their schools without the approval of the Ministry of Education (MoE) and the Institute of Curriculum Development, and resisting efforts by education officials to enforce the regulations against them, at the expense of rule of law and quality education. The MoE has informed BIA severally that they do not meet the requisite standards and they risk closure but regardless of this BIA has continued its expansion program, setting up more schools with the same deficiencies as those sanctioned by the MoE. </w:t>
                      </w:r>
                    </w:p>
                    <w:p w:rsidR="00511E29" w:rsidRPr="000F7298" w:rsidRDefault="00511E29" w:rsidP="000F7298">
                      <w:pPr>
                        <w:jc w:val="both"/>
                        <w:rPr>
                          <w:sz w:val="24"/>
                          <w:szCs w:val="24"/>
                        </w:rPr>
                      </w:pPr>
                      <w:r w:rsidRPr="000F7298">
                        <w:rPr>
                          <w:sz w:val="24"/>
                          <w:szCs w:val="24"/>
                        </w:rPr>
                        <w:t xml:space="preserve">In addition, BIA is operating so called APBET institutions outside of the seven municipalities identified as in need of Alternative Provision of Basic Education and Training by the Ministry of Education. The Ministry is also concerned that the development partners such as the World Bank through its private finance arm the International Finance Corporation, and the Department for International Development (DFID) did not consult with or seek the approval of the Ministry before supporting the BIA school chain. </w:t>
                      </w:r>
                    </w:p>
                    <w:p w:rsidR="00511E29" w:rsidRPr="000F7298" w:rsidRDefault="00511E29" w:rsidP="000F7298">
                      <w:pPr>
                        <w:jc w:val="both"/>
                        <w:rPr>
                          <w:sz w:val="24"/>
                          <w:szCs w:val="24"/>
                        </w:rPr>
                      </w:pPr>
                    </w:p>
                  </w:txbxContent>
                </v:textbox>
              </v:shape>
            </w:pict>
          </mc:Fallback>
        </mc:AlternateContent>
      </w:r>
    </w:p>
    <w:p w:rsidR="001A2616" w:rsidRDefault="001A2616">
      <w:r>
        <w:br w:type="page"/>
      </w:r>
    </w:p>
    <w:p w:rsidR="0061060A" w:rsidRDefault="0061060A" w:rsidP="000F7298">
      <w:pPr>
        <w:jc w:val="both"/>
        <w:rPr>
          <w:sz w:val="24"/>
          <w:szCs w:val="24"/>
        </w:rPr>
      </w:pPr>
      <w:r>
        <w:rPr>
          <w:sz w:val="24"/>
          <w:szCs w:val="24"/>
        </w:rPr>
        <w:lastRenderedPageBreak/>
        <w:t>The Taskforce report on realigning the education sector to the Constitution 2010 highlighted issues and challenges faced by the Government when working with development partners, including the concern that the development partners implement their programmes without involving the Ministry of Education which can cause duplication and inequity.</w:t>
      </w:r>
      <w:r>
        <w:rPr>
          <w:rStyle w:val="FootnoteReference"/>
          <w:sz w:val="24"/>
          <w:szCs w:val="24"/>
        </w:rPr>
        <w:footnoteReference w:id="44"/>
      </w:r>
      <w:r>
        <w:rPr>
          <w:sz w:val="24"/>
          <w:szCs w:val="24"/>
        </w:rPr>
        <w:t xml:space="preserve"> In response to this the taskforce recommended that all interventions by development partners in the education sector should be coordinated and approved by the Ministry of Education before implementation and frequent joint Monitoring and Evaluation missions should be undertaken, and the findings of these evaluations made public.</w:t>
      </w:r>
      <w:r>
        <w:rPr>
          <w:rStyle w:val="FootnoteReference"/>
          <w:sz w:val="24"/>
          <w:szCs w:val="24"/>
        </w:rPr>
        <w:footnoteReference w:id="45"/>
      </w:r>
      <w:r>
        <w:rPr>
          <w:sz w:val="24"/>
          <w:szCs w:val="24"/>
        </w:rPr>
        <w:t xml:space="preserve"> They further recommended that all partners supporting education should channel their assistance through the financial flow procedures agreed upon after consultation.</w:t>
      </w:r>
      <w:r>
        <w:rPr>
          <w:rStyle w:val="FootnoteReference"/>
          <w:sz w:val="24"/>
          <w:szCs w:val="24"/>
        </w:rPr>
        <w:footnoteReference w:id="46"/>
      </w:r>
    </w:p>
    <w:p w:rsidR="006A231B" w:rsidRDefault="002010C1" w:rsidP="00F60099">
      <w:pPr>
        <w:pStyle w:val="Heading1"/>
        <w:rPr>
          <w:sz w:val="32"/>
        </w:rPr>
      </w:pPr>
      <w:bookmarkStart w:id="8" w:name="_Toc440367405"/>
      <w:r w:rsidRPr="001A2616">
        <w:rPr>
          <w:sz w:val="32"/>
        </w:rPr>
        <w:t>Recommendations</w:t>
      </w:r>
      <w:bookmarkEnd w:id="8"/>
    </w:p>
    <w:p w:rsidR="00481831" w:rsidRPr="00481831" w:rsidRDefault="00481831" w:rsidP="000252FD">
      <w:pPr>
        <w:jc w:val="both"/>
        <w:rPr>
          <w:sz w:val="24"/>
          <w:szCs w:val="24"/>
        </w:rPr>
      </w:pPr>
      <w:r>
        <w:rPr>
          <w:sz w:val="24"/>
          <w:szCs w:val="24"/>
        </w:rPr>
        <w:t>Remaining cognizant of the place of education as an empowerment right and a public good, the challenges arising with the commercialization of education must be addressed comprehensively. Towards this end, the following recommendations are made:</w:t>
      </w:r>
    </w:p>
    <w:p w:rsidR="002A7EF2" w:rsidRDefault="000252FD" w:rsidP="000252FD">
      <w:pPr>
        <w:pStyle w:val="ListParagraph"/>
        <w:numPr>
          <w:ilvl w:val="0"/>
          <w:numId w:val="2"/>
        </w:numPr>
        <w:jc w:val="both"/>
        <w:rPr>
          <w:sz w:val="24"/>
        </w:rPr>
      </w:pPr>
      <w:r w:rsidRPr="001E5950">
        <w:rPr>
          <w:sz w:val="24"/>
        </w:rPr>
        <w:t xml:space="preserve">The </w:t>
      </w:r>
      <w:r>
        <w:rPr>
          <w:sz w:val="24"/>
        </w:rPr>
        <w:t>State should expand the physical facilities</w:t>
      </w:r>
      <w:r w:rsidR="002A7EF2">
        <w:rPr>
          <w:sz w:val="24"/>
        </w:rPr>
        <w:t xml:space="preserve"> and personnel</w:t>
      </w:r>
      <w:r>
        <w:rPr>
          <w:sz w:val="24"/>
        </w:rPr>
        <w:t xml:space="preserve"> in </w:t>
      </w:r>
      <w:r w:rsidRPr="001E5950">
        <w:rPr>
          <w:sz w:val="24"/>
        </w:rPr>
        <w:t xml:space="preserve">public </w:t>
      </w:r>
      <w:r w:rsidR="002A7EF2">
        <w:rPr>
          <w:sz w:val="24"/>
        </w:rPr>
        <w:t xml:space="preserve">primary </w:t>
      </w:r>
      <w:r w:rsidRPr="001E5950">
        <w:rPr>
          <w:sz w:val="24"/>
        </w:rPr>
        <w:t xml:space="preserve">schools to enable them </w:t>
      </w:r>
      <w:r w:rsidR="002A7EF2">
        <w:rPr>
          <w:sz w:val="24"/>
        </w:rPr>
        <w:t xml:space="preserve">effectively </w:t>
      </w:r>
      <w:r w:rsidRPr="001E5950">
        <w:rPr>
          <w:sz w:val="24"/>
        </w:rPr>
        <w:t>accommodate more pupils</w:t>
      </w:r>
      <w:r w:rsidR="002A7EF2">
        <w:rPr>
          <w:sz w:val="24"/>
        </w:rPr>
        <w:t>, to increase access to free quality basic education.</w:t>
      </w:r>
      <w:r w:rsidRPr="001E5950">
        <w:rPr>
          <w:sz w:val="24"/>
        </w:rPr>
        <w:t xml:space="preserve"> </w:t>
      </w:r>
    </w:p>
    <w:p w:rsidR="00372654" w:rsidRPr="00372654" w:rsidRDefault="002A7EF2" w:rsidP="000252FD">
      <w:pPr>
        <w:pStyle w:val="ListParagraph"/>
        <w:numPr>
          <w:ilvl w:val="0"/>
          <w:numId w:val="2"/>
        </w:numPr>
        <w:jc w:val="both"/>
        <w:rPr>
          <w:sz w:val="24"/>
          <w:lang w:val="en-US"/>
        </w:rPr>
      </w:pPr>
      <w:r w:rsidRPr="000C2905">
        <w:rPr>
          <w:sz w:val="24"/>
        </w:rPr>
        <w:t xml:space="preserve">The State should also </w:t>
      </w:r>
      <w:r w:rsidR="000C2905" w:rsidRPr="000C2905">
        <w:rPr>
          <w:sz w:val="24"/>
        </w:rPr>
        <w:t>fast track</w:t>
      </w:r>
      <w:r w:rsidR="000252FD" w:rsidRPr="000C2905">
        <w:rPr>
          <w:sz w:val="24"/>
        </w:rPr>
        <w:t xml:space="preserve"> the </w:t>
      </w:r>
      <w:r w:rsidRPr="000C2905">
        <w:rPr>
          <w:sz w:val="24"/>
        </w:rPr>
        <w:t>integration of the complimentary or non-formal schools into the formal system by reviewing the outdated 2009 Policy on Alternative Provision of Basic Education and Training</w:t>
      </w:r>
      <w:r w:rsidR="000C2905" w:rsidRPr="000C2905">
        <w:rPr>
          <w:sz w:val="24"/>
        </w:rPr>
        <w:t xml:space="preserve"> and </w:t>
      </w:r>
      <w:r w:rsidRPr="000C2905">
        <w:rPr>
          <w:sz w:val="24"/>
        </w:rPr>
        <w:t xml:space="preserve">enacting the </w:t>
      </w:r>
      <w:r w:rsidR="000C2905" w:rsidRPr="000C2905">
        <w:rPr>
          <w:sz w:val="24"/>
        </w:rPr>
        <w:t>registration guidelines for these institutions. A reasonable timeline should be given for compliance with the new regulations to ensure that no child’s right to education is infringed, but the rule of law and quality of education is upheld.</w:t>
      </w:r>
      <w:r w:rsidRPr="000C2905">
        <w:rPr>
          <w:sz w:val="24"/>
        </w:rPr>
        <w:t xml:space="preserve"> </w:t>
      </w:r>
    </w:p>
    <w:p w:rsidR="000C2905" w:rsidRPr="000C2905" w:rsidRDefault="00372654" w:rsidP="000252FD">
      <w:pPr>
        <w:pStyle w:val="ListParagraph"/>
        <w:numPr>
          <w:ilvl w:val="0"/>
          <w:numId w:val="2"/>
        </w:numPr>
        <w:jc w:val="both"/>
        <w:rPr>
          <w:sz w:val="24"/>
          <w:lang w:val="en-US"/>
        </w:rPr>
      </w:pPr>
      <w:r>
        <w:rPr>
          <w:sz w:val="24"/>
        </w:rPr>
        <w:t>To ensure</w:t>
      </w:r>
      <w:r w:rsidR="00907F01">
        <w:rPr>
          <w:sz w:val="24"/>
        </w:rPr>
        <w:t xml:space="preserve"> that economic access to education is maintained,</w:t>
      </w:r>
      <w:r>
        <w:rPr>
          <w:sz w:val="24"/>
        </w:rPr>
        <w:t xml:space="preserve"> </w:t>
      </w:r>
      <w:r w:rsidR="00356899">
        <w:rPr>
          <w:sz w:val="24"/>
        </w:rPr>
        <w:t>the State should resume issuance of capitation grants for children in these</w:t>
      </w:r>
      <w:r w:rsidR="00907F01">
        <w:rPr>
          <w:sz w:val="24"/>
        </w:rPr>
        <w:t xml:space="preserve"> low fee private primary schools</w:t>
      </w:r>
      <w:r w:rsidR="006A7E75">
        <w:rPr>
          <w:sz w:val="24"/>
        </w:rPr>
        <w:t xml:space="preserve"> once the schools are duly registered and monitored</w:t>
      </w:r>
      <w:r w:rsidR="00586060">
        <w:rPr>
          <w:sz w:val="24"/>
        </w:rPr>
        <w:t>.</w:t>
      </w:r>
      <w:r w:rsidR="00356899">
        <w:rPr>
          <w:sz w:val="24"/>
        </w:rPr>
        <w:t xml:space="preserve"> </w:t>
      </w:r>
    </w:p>
    <w:p w:rsidR="000252FD" w:rsidRPr="000C2905" w:rsidRDefault="000252FD" w:rsidP="000252FD">
      <w:pPr>
        <w:pStyle w:val="ListParagraph"/>
        <w:numPr>
          <w:ilvl w:val="0"/>
          <w:numId w:val="2"/>
        </w:numPr>
        <w:jc w:val="both"/>
        <w:rPr>
          <w:sz w:val="24"/>
          <w:lang w:val="en-US"/>
        </w:rPr>
      </w:pPr>
      <w:r w:rsidRPr="000C2905">
        <w:rPr>
          <w:sz w:val="24"/>
          <w:lang w:val="en-US"/>
        </w:rPr>
        <w:t xml:space="preserve">The State should take bolder steps to enforce the rules and regulations it issues governing public schools </w:t>
      </w:r>
      <w:r w:rsidR="00EF480F" w:rsidRPr="000C2905">
        <w:rPr>
          <w:sz w:val="24"/>
          <w:lang w:val="en-US"/>
        </w:rPr>
        <w:t>by imposing penalties for heads of institutions found imposing surplus charges.</w:t>
      </w:r>
      <w:r w:rsidRPr="000C2905">
        <w:rPr>
          <w:sz w:val="24"/>
          <w:lang w:val="en-US"/>
        </w:rPr>
        <w:t xml:space="preserve"> In the public schools, the cost limitations should be adhered to and no school should be allowed to impose exorbitant charges on the children, which limits access to education.  </w:t>
      </w:r>
    </w:p>
    <w:p w:rsidR="00500E92" w:rsidRPr="00356899" w:rsidRDefault="000E0416" w:rsidP="00356899">
      <w:pPr>
        <w:pStyle w:val="ListParagraph"/>
        <w:numPr>
          <w:ilvl w:val="0"/>
          <w:numId w:val="2"/>
        </w:numPr>
        <w:jc w:val="both"/>
        <w:rPr>
          <w:sz w:val="24"/>
          <w:lang w:val="en-US"/>
        </w:rPr>
      </w:pPr>
      <w:r>
        <w:rPr>
          <w:sz w:val="24"/>
          <w:lang w:val="en-US"/>
        </w:rPr>
        <w:lastRenderedPageBreak/>
        <w:t>The State should expedite the development of the policy to govern and regulate the role of private actors</w:t>
      </w:r>
      <w:r w:rsidR="00500E92">
        <w:rPr>
          <w:sz w:val="24"/>
          <w:lang w:val="en-US"/>
        </w:rPr>
        <w:t xml:space="preserve"> and development</w:t>
      </w:r>
      <w:r>
        <w:rPr>
          <w:sz w:val="24"/>
          <w:lang w:val="en-US"/>
        </w:rPr>
        <w:t xml:space="preserve"> in the education sector, and this should be done with comprehensive consultation with stakeholders.</w:t>
      </w:r>
    </w:p>
    <w:p w:rsidR="001A1743" w:rsidRDefault="004F730B" w:rsidP="000252FD">
      <w:pPr>
        <w:pStyle w:val="ListParagraph"/>
        <w:numPr>
          <w:ilvl w:val="0"/>
          <w:numId w:val="2"/>
        </w:numPr>
        <w:jc w:val="both"/>
        <w:rPr>
          <w:sz w:val="24"/>
          <w:lang w:val="en-US"/>
        </w:rPr>
      </w:pPr>
      <w:r>
        <w:rPr>
          <w:sz w:val="24"/>
          <w:lang w:val="en-US"/>
        </w:rPr>
        <w:t xml:space="preserve">Specific timelines and procedures for phasing out complimentary schools should be developed and enacted to ensure they do not supplant the formal education system and also do not perpetuate the inequalities already suffered by children from low income households. </w:t>
      </w:r>
    </w:p>
    <w:p w:rsidR="006A6E97" w:rsidRDefault="001D70D1" w:rsidP="000252FD">
      <w:pPr>
        <w:pStyle w:val="ListParagraph"/>
        <w:numPr>
          <w:ilvl w:val="0"/>
          <w:numId w:val="2"/>
        </w:numPr>
        <w:jc w:val="both"/>
        <w:rPr>
          <w:sz w:val="24"/>
          <w:lang w:val="en-US"/>
        </w:rPr>
      </w:pPr>
      <w:r>
        <w:rPr>
          <w:sz w:val="24"/>
          <w:lang w:val="en-US"/>
        </w:rPr>
        <w:t>It is imperative for the State to also i</w:t>
      </w:r>
      <w:r w:rsidR="006A6E97">
        <w:rPr>
          <w:sz w:val="24"/>
          <w:lang w:val="en-US"/>
        </w:rPr>
        <w:t xml:space="preserve">ncrease </w:t>
      </w:r>
      <w:r w:rsidR="00865D51">
        <w:rPr>
          <w:sz w:val="24"/>
          <w:lang w:val="en-US"/>
        </w:rPr>
        <w:t xml:space="preserve">the human resource </w:t>
      </w:r>
      <w:r w:rsidR="006A6E97">
        <w:rPr>
          <w:sz w:val="24"/>
          <w:lang w:val="en-US"/>
        </w:rPr>
        <w:t xml:space="preserve">capacity of the Ministry of Education to monitor </w:t>
      </w:r>
      <w:r w:rsidR="00865D51">
        <w:rPr>
          <w:sz w:val="24"/>
          <w:lang w:val="en-US"/>
        </w:rPr>
        <w:t>education providers</w:t>
      </w:r>
      <w:r w:rsidR="00356899">
        <w:rPr>
          <w:sz w:val="24"/>
          <w:lang w:val="en-US"/>
        </w:rPr>
        <w:t xml:space="preserve"> to ensure they are complying with the law and no child’s right to education is being infringed.</w:t>
      </w:r>
    </w:p>
    <w:p w:rsidR="004F730B" w:rsidRPr="00356899" w:rsidRDefault="00356899" w:rsidP="00356899">
      <w:pPr>
        <w:pStyle w:val="ListParagraph"/>
        <w:numPr>
          <w:ilvl w:val="0"/>
          <w:numId w:val="2"/>
        </w:numPr>
        <w:rPr>
          <w:sz w:val="24"/>
          <w:lang w:val="en-US"/>
        </w:rPr>
      </w:pPr>
      <w:r>
        <w:rPr>
          <w:sz w:val="24"/>
          <w:lang w:val="en-US"/>
        </w:rPr>
        <w:t>The State should further develop</w:t>
      </w:r>
      <w:r w:rsidR="00865D51">
        <w:rPr>
          <w:sz w:val="24"/>
          <w:lang w:val="en-US"/>
        </w:rPr>
        <w:t xml:space="preserve"> a harmonized national plan for school building to ensure equitable distribution of learning institutions and teachers. </w:t>
      </w:r>
    </w:p>
    <w:sectPr w:rsidR="004F730B" w:rsidRPr="00356899" w:rsidSect="00CC0F7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DF6" w:rsidRDefault="00980DF6" w:rsidP="00FB43C8">
      <w:pPr>
        <w:spacing w:after="0" w:line="240" w:lineRule="auto"/>
      </w:pPr>
      <w:r>
        <w:separator/>
      </w:r>
    </w:p>
  </w:endnote>
  <w:endnote w:type="continuationSeparator" w:id="0">
    <w:p w:rsidR="00980DF6" w:rsidRDefault="00980DF6" w:rsidP="00FB4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angSong">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57087"/>
      <w:docPartObj>
        <w:docPartGallery w:val="Page Numbers (Bottom of Page)"/>
        <w:docPartUnique/>
      </w:docPartObj>
    </w:sdtPr>
    <w:sdtEndPr/>
    <w:sdtContent>
      <w:p w:rsidR="00511E29" w:rsidRDefault="00980DF6">
        <w:pPr>
          <w:pStyle w:val="Footer"/>
          <w:jc w:val="right"/>
        </w:pPr>
        <w:r>
          <w:fldChar w:fldCharType="begin"/>
        </w:r>
        <w:r>
          <w:instrText xml:space="preserve"> PAGE   \* MERGEFORMAT </w:instrText>
        </w:r>
        <w:r>
          <w:fldChar w:fldCharType="separate"/>
        </w:r>
        <w:r w:rsidR="00985434">
          <w:rPr>
            <w:noProof/>
          </w:rPr>
          <w:t>7</w:t>
        </w:r>
        <w:r>
          <w:rPr>
            <w:noProof/>
          </w:rPr>
          <w:fldChar w:fldCharType="end"/>
        </w:r>
      </w:p>
    </w:sdtContent>
  </w:sdt>
  <w:p w:rsidR="00511E29" w:rsidRDefault="00511E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DF6" w:rsidRDefault="00980DF6" w:rsidP="00FB43C8">
      <w:pPr>
        <w:spacing w:after="0" w:line="240" w:lineRule="auto"/>
      </w:pPr>
      <w:r>
        <w:separator/>
      </w:r>
    </w:p>
  </w:footnote>
  <w:footnote w:type="continuationSeparator" w:id="0">
    <w:p w:rsidR="00980DF6" w:rsidRDefault="00980DF6" w:rsidP="00FB43C8">
      <w:pPr>
        <w:spacing w:after="0" w:line="240" w:lineRule="auto"/>
      </w:pPr>
      <w:r>
        <w:continuationSeparator/>
      </w:r>
    </w:p>
  </w:footnote>
  <w:footnote w:id="1">
    <w:p w:rsidR="00511E29" w:rsidRPr="009171C6" w:rsidRDefault="00511E29">
      <w:pPr>
        <w:pStyle w:val="FootnoteText"/>
        <w:rPr>
          <w:lang w:val="en-US"/>
        </w:rPr>
      </w:pPr>
      <w:r>
        <w:rPr>
          <w:rStyle w:val="FootnoteReference"/>
        </w:rPr>
        <w:footnoteRef/>
      </w:r>
      <w:r>
        <w:t xml:space="preserve"> </w:t>
      </w:r>
      <w:r w:rsidRPr="009171C6">
        <w:t xml:space="preserve">Moses Ngware, APHRC, ‘Kenya’s Free Education Policy Could Actually be Deepening Inequality’, 2 October 2015, </w:t>
      </w:r>
      <w:hyperlink r:id="rId1" w:history="1">
        <w:r w:rsidRPr="009171C6">
          <w:rPr>
            <w:rStyle w:val="Hyperlink"/>
          </w:rPr>
          <w:t>http://aphrc.org/kenyas-free-education-policy-could-actually-be-deepening-inequality/</w:t>
        </w:r>
      </w:hyperlink>
    </w:p>
  </w:footnote>
  <w:footnote w:id="2">
    <w:p w:rsidR="00511E29" w:rsidRPr="009171C6" w:rsidRDefault="00511E29">
      <w:pPr>
        <w:pStyle w:val="FootnoteText"/>
        <w:rPr>
          <w:lang w:val="en-US"/>
        </w:rPr>
      </w:pPr>
      <w:r>
        <w:rPr>
          <w:rStyle w:val="FootnoteReference"/>
        </w:rPr>
        <w:footnoteRef/>
      </w:r>
      <w:r>
        <w:t xml:space="preserve"> </w:t>
      </w:r>
      <w:r>
        <w:rPr>
          <w:lang w:val="en-US"/>
        </w:rPr>
        <w:t xml:space="preserve">Ibid. </w:t>
      </w:r>
    </w:p>
  </w:footnote>
  <w:footnote w:id="3">
    <w:p w:rsidR="00511E29" w:rsidRPr="00945A5F" w:rsidRDefault="00511E29">
      <w:pPr>
        <w:pStyle w:val="FootnoteText"/>
        <w:rPr>
          <w:bCs/>
        </w:rPr>
      </w:pPr>
      <w:r>
        <w:rPr>
          <w:rStyle w:val="FootnoteReference"/>
        </w:rPr>
        <w:footnoteRef/>
      </w:r>
      <w:r>
        <w:t xml:space="preserve"> </w:t>
      </w:r>
      <w:r w:rsidRPr="009171C6">
        <w:rPr>
          <w:bCs/>
        </w:rPr>
        <w:t>UNGEI School Fees Abolition Initiative - School Fees: A Major Barrier to Education Access,</w:t>
      </w:r>
      <w:r>
        <w:rPr>
          <w:bCs/>
        </w:rPr>
        <w:t xml:space="preserve"> </w:t>
      </w:r>
      <w:hyperlink r:id="rId2" w:history="1">
        <w:r w:rsidRPr="009171C6">
          <w:rPr>
            <w:rStyle w:val="Hyperlink"/>
            <w:bCs/>
          </w:rPr>
          <w:t>http://www.ungei.org/infobycountry/247_712.html</w:t>
        </w:r>
      </w:hyperlink>
    </w:p>
  </w:footnote>
  <w:footnote w:id="4">
    <w:p w:rsidR="00511E29" w:rsidRPr="00B45B8D" w:rsidRDefault="00511E29">
      <w:pPr>
        <w:pStyle w:val="FootnoteText"/>
        <w:rPr>
          <w:lang w:val="en-US"/>
        </w:rPr>
      </w:pPr>
      <w:r>
        <w:rPr>
          <w:rStyle w:val="FootnoteReference"/>
        </w:rPr>
        <w:footnoteRef/>
      </w:r>
      <w:r>
        <w:t xml:space="preserve"> </w:t>
      </w:r>
      <w:r w:rsidRPr="00B45B8D">
        <w:rPr>
          <w:lang w:val="en-US"/>
        </w:rPr>
        <w:t>Ministry of Education, Report of the Task Force on the Realignment of the Education Sector to the Constitution of Kenya 2010, February 2012, pg 25</w:t>
      </w:r>
      <w:r>
        <w:rPr>
          <w:lang w:val="en-US"/>
        </w:rPr>
        <w:t>4</w:t>
      </w:r>
    </w:p>
  </w:footnote>
  <w:footnote w:id="5">
    <w:p w:rsidR="00511E29" w:rsidRPr="00DA2CB2" w:rsidRDefault="00511E29" w:rsidP="00481831">
      <w:pPr>
        <w:pStyle w:val="FootnoteText"/>
        <w:rPr>
          <w:lang w:val="en-US"/>
        </w:rPr>
      </w:pPr>
      <w:r>
        <w:rPr>
          <w:rStyle w:val="FootnoteReference"/>
        </w:rPr>
        <w:footnoteRef/>
      </w:r>
      <w:r>
        <w:t xml:space="preserve"> T</w:t>
      </w:r>
      <w:r w:rsidRPr="00F00E19">
        <w:t xml:space="preserve">he Kenya Policy </w:t>
      </w:r>
      <w:r>
        <w:t>for</w:t>
      </w:r>
      <w:r w:rsidRPr="00F00E19">
        <w:t xml:space="preserve"> Alternative Provision of Basic Education and Training</w:t>
      </w:r>
      <w:r>
        <w:t xml:space="preserve">, May </w:t>
      </w:r>
      <w:r w:rsidRPr="00F00E19">
        <w:t>2009</w:t>
      </w:r>
      <w:r>
        <w:t>,</w:t>
      </w:r>
      <w:r w:rsidRPr="00F00E19">
        <w:rPr>
          <w:lang w:val="en-US"/>
        </w:rPr>
        <w:t xml:space="preserve"> </w:t>
      </w:r>
      <w:r>
        <w:rPr>
          <w:lang w:val="en-US"/>
        </w:rPr>
        <w:t>p 17</w:t>
      </w:r>
    </w:p>
  </w:footnote>
  <w:footnote w:id="6">
    <w:p w:rsidR="00511E29" w:rsidRPr="00AE5387" w:rsidRDefault="00511E29" w:rsidP="00481831">
      <w:pPr>
        <w:pStyle w:val="FootnoteText"/>
        <w:rPr>
          <w:lang w:val="en-US"/>
        </w:rPr>
      </w:pPr>
      <w:r>
        <w:rPr>
          <w:rStyle w:val="FootnoteReference"/>
        </w:rPr>
        <w:footnoteRef/>
      </w:r>
      <w:r>
        <w:t xml:space="preserve"> </w:t>
      </w:r>
      <w:hyperlink r:id="rId3" w:tgtFrame="_blank" w:history="1">
        <w:r w:rsidRPr="00AE5387">
          <w:rPr>
            <w:rStyle w:val="Hyperlink"/>
          </w:rPr>
          <w:t>https://mtaaniinsight.wordpress.com/2015/02/19/non-formal-education-sector-squabbles-a-threat-to-their-survival/</w:t>
        </w:r>
      </w:hyperlink>
      <w:r>
        <w:t xml:space="preserve"> </w:t>
      </w:r>
    </w:p>
  </w:footnote>
  <w:footnote w:id="7">
    <w:p w:rsidR="00511E29" w:rsidRPr="00794671" w:rsidRDefault="00511E29" w:rsidP="00481831">
      <w:pPr>
        <w:pStyle w:val="FootnoteText"/>
        <w:rPr>
          <w:lang w:val="en-US"/>
        </w:rPr>
      </w:pPr>
      <w:r>
        <w:rPr>
          <w:rStyle w:val="FootnoteReference"/>
        </w:rPr>
        <w:footnoteRef/>
      </w:r>
      <w:r>
        <w:t xml:space="preserve"> </w:t>
      </w:r>
      <w:r w:rsidRPr="004617F0">
        <w:t>The Kenya Policy for Alternative Provision of Basic Education and Training, May 2009,</w:t>
      </w:r>
      <w:r>
        <w:t xml:space="preserve"> p</w:t>
      </w:r>
      <w:r>
        <w:rPr>
          <w:lang w:val="en-US"/>
        </w:rPr>
        <w:t xml:space="preserve"> 21</w:t>
      </w:r>
    </w:p>
  </w:footnote>
  <w:footnote w:id="8">
    <w:p w:rsidR="00511E29" w:rsidRPr="005D2D5B" w:rsidRDefault="00511E29" w:rsidP="00481831">
      <w:pPr>
        <w:pStyle w:val="FootnoteText"/>
        <w:rPr>
          <w:lang w:val="en-US"/>
        </w:rPr>
      </w:pPr>
      <w:r>
        <w:rPr>
          <w:rStyle w:val="FootnoteReference"/>
        </w:rPr>
        <w:footnoteRef/>
      </w:r>
      <w:r>
        <w:t xml:space="preserve"> </w:t>
      </w:r>
      <w:r>
        <w:rPr>
          <w:lang w:val="en-US"/>
        </w:rPr>
        <w:t xml:space="preserve">Ibid </w:t>
      </w:r>
    </w:p>
  </w:footnote>
  <w:footnote w:id="9">
    <w:p w:rsidR="00511E29" w:rsidRPr="008F66D3" w:rsidRDefault="00511E29" w:rsidP="00481831">
      <w:pPr>
        <w:pStyle w:val="FootnoteText"/>
        <w:rPr>
          <w:lang w:val="en-US"/>
        </w:rPr>
      </w:pPr>
      <w:r>
        <w:rPr>
          <w:rStyle w:val="FootnoteReference"/>
        </w:rPr>
        <w:footnoteRef/>
      </w:r>
      <w:r>
        <w:t xml:space="preserve"> </w:t>
      </w:r>
      <w:r>
        <w:rPr>
          <w:lang w:val="en-US"/>
        </w:rPr>
        <w:t>Ibid p 21-22</w:t>
      </w:r>
    </w:p>
  </w:footnote>
  <w:footnote w:id="10">
    <w:p w:rsidR="00511E29" w:rsidRPr="002E04E0" w:rsidRDefault="00511E29" w:rsidP="00481831">
      <w:pPr>
        <w:pStyle w:val="FootnoteText"/>
        <w:rPr>
          <w:lang w:val="en-US"/>
        </w:rPr>
      </w:pPr>
      <w:r>
        <w:rPr>
          <w:rStyle w:val="FootnoteReference"/>
        </w:rPr>
        <w:footnoteRef/>
      </w:r>
      <w:r>
        <w:t xml:space="preserve"> </w:t>
      </w:r>
      <w:r>
        <w:rPr>
          <w:lang w:val="en-US"/>
        </w:rPr>
        <w:t>Ibid, p 24</w:t>
      </w:r>
    </w:p>
  </w:footnote>
  <w:footnote w:id="11">
    <w:p w:rsidR="00511E29" w:rsidRPr="00E36857" w:rsidRDefault="00511E29" w:rsidP="00481831">
      <w:pPr>
        <w:pStyle w:val="FootnoteText"/>
        <w:rPr>
          <w:lang w:val="en-US"/>
        </w:rPr>
      </w:pPr>
      <w:r>
        <w:rPr>
          <w:rStyle w:val="FootnoteReference"/>
        </w:rPr>
        <w:footnoteRef/>
      </w:r>
      <w:r>
        <w:t xml:space="preserve"> Ibid, at </w:t>
      </w:r>
      <w:r>
        <w:rPr>
          <w:lang w:val="en-US"/>
        </w:rPr>
        <w:t>22</w:t>
      </w:r>
    </w:p>
  </w:footnote>
  <w:footnote w:id="12">
    <w:p w:rsidR="00511E29" w:rsidRPr="00902655" w:rsidRDefault="00511E29" w:rsidP="00481831">
      <w:pPr>
        <w:pStyle w:val="FootnoteText"/>
        <w:rPr>
          <w:lang w:val="en-US"/>
        </w:rPr>
      </w:pPr>
      <w:r>
        <w:rPr>
          <w:rStyle w:val="FootnoteReference"/>
        </w:rPr>
        <w:footnoteRef/>
      </w:r>
      <w:r>
        <w:t xml:space="preserve"> </w:t>
      </w:r>
      <w:r w:rsidRPr="00902655">
        <w:t xml:space="preserve">The Basic Education Act, No. 14 of 2013, Laws of Kenya, </w:t>
      </w:r>
      <w:r w:rsidRPr="00902655">
        <w:rPr>
          <w:lang w:val="en-US"/>
        </w:rPr>
        <w:t>Section 2</w:t>
      </w:r>
    </w:p>
  </w:footnote>
  <w:footnote w:id="13">
    <w:p w:rsidR="00511E29" w:rsidRPr="00BD79E5" w:rsidRDefault="00511E29" w:rsidP="00481831">
      <w:pPr>
        <w:pStyle w:val="FootnoteText"/>
        <w:rPr>
          <w:lang w:val="en-US"/>
        </w:rPr>
      </w:pPr>
      <w:r>
        <w:rPr>
          <w:rStyle w:val="FootnoteReference"/>
        </w:rPr>
        <w:footnoteRef/>
      </w:r>
      <w:r>
        <w:t xml:space="preserve"> Ibid </w:t>
      </w:r>
    </w:p>
  </w:footnote>
  <w:footnote w:id="14">
    <w:p w:rsidR="00511E29" w:rsidRPr="00B80A2D" w:rsidRDefault="00511E29" w:rsidP="00481831">
      <w:pPr>
        <w:pStyle w:val="FootnoteText"/>
        <w:rPr>
          <w:lang w:val="en-US"/>
        </w:rPr>
      </w:pPr>
      <w:r>
        <w:rPr>
          <w:rStyle w:val="FootnoteReference"/>
        </w:rPr>
        <w:footnoteRef/>
      </w:r>
      <w:r>
        <w:t xml:space="preserve"> </w:t>
      </w:r>
      <w:r>
        <w:rPr>
          <w:lang w:val="en-US"/>
        </w:rPr>
        <w:t>Ibid, Section 4 (a).</w:t>
      </w:r>
    </w:p>
  </w:footnote>
  <w:footnote w:id="15">
    <w:p w:rsidR="00511E29" w:rsidRPr="006070BE" w:rsidRDefault="00511E29" w:rsidP="00481831">
      <w:pPr>
        <w:pStyle w:val="FootnoteText"/>
        <w:rPr>
          <w:lang w:val="en-US"/>
        </w:rPr>
      </w:pPr>
      <w:r>
        <w:rPr>
          <w:rStyle w:val="FootnoteReference"/>
        </w:rPr>
        <w:footnoteRef/>
      </w:r>
      <w:r>
        <w:t xml:space="preserve"> </w:t>
      </w:r>
      <w:r>
        <w:rPr>
          <w:lang w:val="en-US"/>
        </w:rPr>
        <w:t xml:space="preserve">Ibid, Section 2 and Section 27(a) and (e). </w:t>
      </w:r>
    </w:p>
  </w:footnote>
  <w:footnote w:id="16">
    <w:p w:rsidR="00511E29" w:rsidRPr="002F3206" w:rsidRDefault="00511E29" w:rsidP="00481831">
      <w:pPr>
        <w:pStyle w:val="FootnoteText"/>
        <w:rPr>
          <w:lang w:val="en-US"/>
        </w:rPr>
      </w:pPr>
      <w:r>
        <w:rPr>
          <w:rStyle w:val="FootnoteReference"/>
        </w:rPr>
        <w:footnoteRef/>
      </w:r>
      <w:r>
        <w:t xml:space="preserve"> </w:t>
      </w:r>
      <w:r>
        <w:rPr>
          <w:lang w:val="en-US"/>
        </w:rPr>
        <w:t>Ibid, Section 29</w:t>
      </w:r>
    </w:p>
  </w:footnote>
  <w:footnote w:id="17">
    <w:p w:rsidR="00511E29" w:rsidRPr="00877A30" w:rsidRDefault="00511E29" w:rsidP="00481831">
      <w:pPr>
        <w:pStyle w:val="FootnoteText"/>
        <w:rPr>
          <w:lang w:val="en-US"/>
        </w:rPr>
      </w:pPr>
      <w:r>
        <w:rPr>
          <w:rStyle w:val="FootnoteReference"/>
        </w:rPr>
        <w:footnoteRef/>
      </w:r>
      <w:r>
        <w:t xml:space="preserve"> Ibid, Regulation 68</w:t>
      </w:r>
    </w:p>
  </w:footnote>
  <w:footnote w:id="18">
    <w:p w:rsidR="00511E29" w:rsidRPr="008F20B2" w:rsidRDefault="00511E29" w:rsidP="00481831">
      <w:pPr>
        <w:pStyle w:val="FootnoteText"/>
        <w:rPr>
          <w:b/>
        </w:rPr>
      </w:pPr>
      <w:r>
        <w:rPr>
          <w:rStyle w:val="FootnoteReference"/>
        </w:rPr>
        <w:footnoteRef/>
      </w:r>
      <w:r>
        <w:t xml:space="preserve"> ibid, Regulation 69</w:t>
      </w:r>
    </w:p>
  </w:footnote>
  <w:footnote w:id="19">
    <w:p w:rsidR="00511E29" w:rsidRPr="00CC4A58" w:rsidRDefault="00511E29" w:rsidP="00481831">
      <w:pPr>
        <w:pStyle w:val="FootnoteText"/>
        <w:rPr>
          <w:lang w:val="en-US"/>
        </w:rPr>
      </w:pPr>
      <w:r>
        <w:rPr>
          <w:rStyle w:val="FootnoteReference"/>
        </w:rPr>
        <w:footnoteRef/>
      </w:r>
      <w:r>
        <w:t xml:space="preserve"> </w:t>
      </w:r>
      <w:r>
        <w:rPr>
          <w:lang w:val="en-US"/>
        </w:rPr>
        <w:t>Ibid, Regulation 75</w:t>
      </w:r>
    </w:p>
  </w:footnote>
  <w:footnote w:id="20">
    <w:p w:rsidR="00511E29" w:rsidRPr="0037754A" w:rsidRDefault="00511E29" w:rsidP="00481831">
      <w:pPr>
        <w:pStyle w:val="FootnoteText"/>
        <w:rPr>
          <w:lang w:val="en-US"/>
        </w:rPr>
      </w:pPr>
      <w:r>
        <w:rPr>
          <w:rStyle w:val="FootnoteReference"/>
        </w:rPr>
        <w:footnoteRef/>
      </w:r>
      <w:r>
        <w:t xml:space="preserve"> </w:t>
      </w:r>
      <w:r w:rsidRPr="0037754A">
        <w:t>Ministry of Education, Science and Technology, State Department of Education, Registration Guidelines for Alternative Provision of Basic Education and Training (APBET), March 2015</w:t>
      </w:r>
      <w:r>
        <w:t>, p 1</w:t>
      </w:r>
    </w:p>
  </w:footnote>
  <w:footnote w:id="21">
    <w:p w:rsidR="00511E29" w:rsidRPr="00B26675" w:rsidRDefault="00511E29" w:rsidP="00481831">
      <w:pPr>
        <w:pStyle w:val="FootnoteText"/>
        <w:rPr>
          <w:lang w:val="en-US"/>
        </w:rPr>
      </w:pPr>
      <w:r>
        <w:rPr>
          <w:rStyle w:val="FootnoteReference"/>
        </w:rPr>
        <w:footnoteRef/>
      </w:r>
      <w:r>
        <w:t xml:space="preserve"> </w:t>
      </w:r>
      <w:r>
        <w:rPr>
          <w:lang w:val="en-US"/>
        </w:rPr>
        <w:t>Ibid  p 2</w:t>
      </w:r>
    </w:p>
  </w:footnote>
  <w:footnote w:id="22">
    <w:p w:rsidR="00511E29" w:rsidRPr="00C02B3B" w:rsidRDefault="00511E29" w:rsidP="00481831">
      <w:pPr>
        <w:pStyle w:val="FootnoteText"/>
        <w:rPr>
          <w:b/>
        </w:rPr>
      </w:pPr>
      <w:r>
        <w:rPr>
          <w:rStyle w:val="FootnoteReference"/>
        </w:rPr>
        <w:footnoteRef/>
      </w:r>
      <w:r>
        <w:t xml:space="preserve"> Ibid, p viii.</w:t>
      </w:r>
    </w:p>
  </w:footnote>
  <w:footnote w:id="23">
    <w:p w:rsidR="00511E29" w:rsidRPr="00EC3604" w:rsidRDefault="00511E29" w:rsidP="00481831">
      <w:pPr>
        <w:pStyle w:val="FootnoteText"/>
        <w:rPr>
          <w:lang w:val="en-US"/>
        </w:rPr>
      </w:pPr>
      <w:r>
        <w:rPr>
          <w:rStyle w:val="FootnoteReference"/>
        </w:rPr>
        <w:footnoteRef/>
      </w:r>
      <w:r>
        <w:t xml:space="preserve"> </w:t>
      </w:r>
      <w:r>
        <w:rPr>
          <w:lang w:val="en-US"/>
        </w:rPr>
        <w:t>Ibid, p 4</w:t>
      </w:r>
    </w:p>
  </w:footnote>
  <w:footnote w:id="24">
    <w:p w:rsidR="00511E29" w:rsidRPr="00A8015B" w:rsidRDefault="00511E29" w:rsidP="00481831">
      <w:pPr>
        <w:pStyle w:val="FootnoteText"/>
        <w:rPr>
          <w:lang w:val="en-US"/>
        </w:rPr>
      </w:pPr>
      <w:r>
        <w:rPr>
          <w:rStyle w:val="FootnoteReference"/>
        </w:rPr>
        <w:footnoteRef/>
      </w:r>
      <w:r>
        <w:t xml:space="preserve"> </w:t>
      </w:r>
      <w:r>
        <w:rPr>
          <w:lang w:val="en-US"/>
        </w:rPr>
        <w:t>Ibid, p4</w:t>
      </w:r>
    </w:p>
  </w:footnote>
  <w:footnote w:id="25">
    <w:p w:rsidR="00511E29" w:rsidRPr="00E638C4" w:rsidRDefault="00511E29" w:rsidP="00481831">
      <w:pPr>
        <w:pStyle w:val="FootnoteText"/>
        <w:rPr>
          <w:lang w:val="en-US"/>
        </w:rPr>
      </w:pPr>
      <w:r>
        <w:rPr>
          <w:rStyle w:val="FootnoteReference"/>
        </w:rPr>
        <w:footnoteRef/>
      </w:r>
      <w:r>
        <w:t xml:space="preserve"> Ibid, p5</w:t>
      </w:r>
    </w:p>
  </w:footnote>
  <w:footnote w:id="26">
    <w:p w:rsidR="00511E29" w:rsidRPr="002F6D80" w:rsidRDefault="00511E29">
      <w:pPr>
        <w:pStyle w:val="FootnoteText"/>
        <w:rPr>
          <w:lang w:val="en-US"/>
        </w:rPr>
      </w:pPr>
      <w:r>
        <w:rPr>
          <w:rStyle w:val="FootnoteReference"/>
        </w:rPr>
        <w:footnoteRef/>
      </w:r>
      <w:r>
        <w:t xml:space="preserve"> Kenya National Commission on Human Rights, Fourth State of Human Rights Report, 2010-2014 – Human Rights: The Elusive Mirage, pg 58.</w:t>
      </w:r>
    </w:p>
  </w:footnote>
  <w:footnote w:id="27">
    <w:p w:rsidR="00511E29" w:rsidRPr="00A33601" w:rsidRDefault="00511E29">
      <w:pPr>
        <w:pStyle w:val="FootnoteText"/>
        <w:rPr>
          <w:lang w:val="en-US"/>
        </w:rPr>
      </w:pPr>
      <w:r>
        <w:rPr>
          <w:rStyle w:val="FootnoteReference"/>
        </w:rPr>
        <w:footnoteRef/>
      </w:r>
      <w:r>
        <w:t xml:space="preserve"> </w:t>
      </w:r>
      <w:r>
        <w:rPr>
          <w:lang w:val="en-US"/>
        </w:rPr>
        <w:t xml:space="preserve">Ibid </w:t>
      </w:r>
    </w:p>
  </w:footnote>
  <w:footnote w:id="28">
    <w:p w:rsidR="00511E29" w:rsidRPr="00E06472" w:rsidRDefault="00511E29" w:rsidP="009E4FFE">
      <w:pPr>
        <w:pStyle w:val="FootnoteText"/>
        <w:rPr>
          <w:lang w:val="en-US"/>
        </w:rPr>
      </w:pPr>
      <w:r>
        <w:rPr>
          <w:rStyle w:val="FootnoteReference"/>
        </w:rPr>
        <w:footnoteRef/>
      </w:r>
      <w:r>
        <w:t xml:space="preserve"> Ministry of Education, Science and Technology, Strategic Plan, p</w:t>
      </w:r>
      <w:r>
        <w:rPr>
          <w:lang w:val="en-US"/>
        </w:rPr>
        <w:t>g 21.</w:t>
      </w:r>
    </w:p>
  </w:footnote>
  <w:footnote w:id="29">
    <w:p w:rsidR="00511E29" w:rsidRPr="00407148" w:rsidRDefault="00511E29" w:rsidP="009E4FFE">
      <w:pPr>
        <w:pStyle w:val="FootnoteText"/>
        <w:rPr>
          <w:lang w:val="en-US"/>
        </w:rPr>
      </w:pPr>
      <w:r>
        <w:rPr>
          <w:rStyle w:val="FootnoteReference"/>
        </w:rPr>
        <w:footnoteRef/>
      </w:r>
      <w:r>
        <w:t xml:space="preserve"> </w:t>
      </w:r>
      <w:r>
        <w:rPr>
          <w:lang w:val="en-US"/>
        </w:rPr>
        <w:t>Ibid, pg 23</w:t>
      </w:r>
    </w:p>
  </w:footnote>
  <w:footnote w:id="30">
    <w:p w:rsidR="00511E29" w:rsidRPr="00407148" w:rsidRDefault="00511E29" w:rsidP="009E4FFE">
      <w:pPr>
        <w:pStyle w:val="FootnoteText"/>
        <w:rPr>
          <w:lang w:val="en-US"/>
        </w:rPr>
      </w:pPr>
      <w:r>
        <w:rPr>
          <w:rStyle w:val="FootnoteReference"/>
        </w:rPr>
        <w:footnoteRef/>
      </w:r>
      <w:r>
        <w:t xml:space="preserve"> </w:t>
      </w:r>
      <w:r>
        <w:rPr>
          <w:lang w:val="en-US"/>
        </w:rPr>
        <w:t>Ibid, pg 27.</w:t>
      </w:r>
    </w:p>
  </w:footnote>
  <w:footnote w:id="31">
    <w:p w:rsidR="00511E29" w:rsidRPr="00407148" w:rsidRDefault="00511E29" w:rsidP="009E4FFE">
      <w:pPr>
        <w:pStyle w:val="FootnoteText"/>
        <w:rPr>
          <w:lang w:val="en-US"/>
        </w:rPr>
      </w:pPr>
      <w:r>
        <w:rPr>
          <w:rStyle w:val="FootnoteReference"/>
        </w:rPr>
        <w:footnoteRef/>
      </w:r>
      <w:r>
        <w:t xml:space="preserve"> </w:t>
      </w:r>
      <w:r>
        <w:rPr>
          <w:lang w:val="en-US"/>
        </w:rPr>
        <w:t>Ibid, pg 28</w:t>
      </w:r>
    </w:p>
  </w:footnote>
  <w:footnote w:id="32">
    <w:p w:rsidR="00511E29" w:rsidRPr="0049662A" w:rsidRDefault="00511E29" w:rsidP="000E33CD">
      <w:pPr>
        <w:pStyle w:val="FootnoteText"/>
        <w:rPr>
          <w:lang w:val="en-US"/>
        </w:rPr>
      </w:pPr>
      <w:r>
        <w:rPr>
          <w:rStyle w:val="FootnoteReference"/>
        </w:rPr>
        <w:footnoteRef/>
      </w:r>
      <w:r>
        <w:t xml:space="preserve"> </w:t>
      </w:r>
      <w:r w:rsidRPr="0049662A">
        <w:t xml:space="preserve">Committee on the Rights of the Child, </w:t>
      </w:r>
      <w:r w:rsidRPr="0049662A">
        <w:rPr>
          <w:bCs/>
          <w:lang w:val="en-US"/>
        </w:rPr>
        <w:t>List of issues in relation to the combined third to fifth periodic reports of Kenya, CRC/C/KEN/Q/3-5</w:t>
      </w:r>
      <w:r>
        <w:rPr>
          <w:bCs/>
          <w:lang w:val="en-US"/>
        </w:rPr>
        <w:t xml:space="preserve">, </w:t>
      </w:r>
      <w:r w:rsidRPr="00052223">
        <w:rPr>
          <w:bCs/>
          <w:lang w:val="en-US"/>
        </w:rPr>
        <w:t>15</w:t>
      </w:r>
      <w:r w:rsidRPr="00052223">
        <w:rPr>
          <w:bCs/>
          <w:vertAlign w:val="superscript"/>
          <w:lang w:val="en-US"/>
        </w:rPr>
        <w:t>th</w:t>
      </w:r>
      <w:r w:rsidRPr="00052223">
        <w:rPr>
          <w:bCs/>
          <w:lang w:val="en-US"/>
        </w:rPr>
        <w:t xml:space="preserve"> July 2015</w:t>
      </w:r>
      <w:r>
        <w:rPr>
          <w:bCs/>
          <w:lang w:val="en-US"/>
        </w:rPr>
        <w:t>, para 15</w:t>
      </w:r>
      <w:r w:rsidRPr="0049662A">
        <w:rPr>
          <w:bCs/>
          <w:lang w:val="en-US"/>
        </w:rPr>
        <w:t>.</w:t>
      </w:r>
    </w:p>
  </w:footnote>
  <w:footnote w:id="33">
    <w:p w:rsidR="00511E29" w:rsidRPr="00297841" w:rsidRDefault="00511E29" w:rsidP="000E33CD">
      <w:pPr>
        <w:pStyle w:val="FootnoteText"/>
        <w:rPr>
          <w:lang w:val="en-US"/>
        </w:rPr>
      </w:pPr>
      <w:r>
        <w:rPr>
          <w:rStyle w:val="FootnoteReference"/>
        </w:rPr>
        <w:footnoteRef/>
      </w:r>
      <w:r>
        <w:t xml:space="preserve"> </w:t>
      </w:r>
      <w:r>
        <w:rPr>
          <w:lang w:val="en-US"/>
        </w:rPr>
        <w:t>Basic Education Act, No. 14 of 2013, Laws of Kenya, Section 29(2)(c).</w:t>
      </w:r>
    </w:p>
  </w:footnote>
  <w:footnote w:id="34">
    <w:p w:rsidR="00511E29" w:rsidRPr="004571AB" w:rsidRDefault="00511E29" w:rsidP="00934668">
      <w:pPr>
        <w:pStyle w:val="FootnoteText"/>
        <w:rPr>
          <w:lang w:val="en-US"/>
        </w:rPr>
      </w:pPr>
      <w:r>
        <w:rPr>
          <w:rStyle w:val="FootnoteReference"/>
        </w:rPr>
        <w:footnoteRef/>
      </w:r>
      <w:r>
        <w:t xml:space="preserve"> </w:t>
      </w:r>
      <w:r>
        <w:rPr>
          <w:lang w:val="en-US"/>
        </w:rPr>
        <w:t>Report of the Auditor-General on the Financial Statements for National Government for the Year 2013/2014</w:t>
      </w:r>
    </w:p>
  </w:footnote>
  <w:footnote w:id="35">
    <w:p w:rsidR="00511E29" w:rsidRPr="00E44F84" w:rsidRDefault="00511E29">
      <w:pPr>
        <w:pStyle w:val="FootnoteText"/>
      </w:pPr>
      <w:r>
        <w:rPr>
          <w:rStyle w:val="FootnoteReference"/>
        </w:rPr>
        <w:footnoteRef/>
      </w:r>
      <w:r>
        <w:t xml:space="preserve"> </w:t>
      </w:r>
      <w:r w:rsidRPr="00E44F84">
        <w:t>Sessional Paper No 14 of 2012</w:t>
      </w:r>
    </w:p>
  </w:footnote>
  <w:footnote w:id="36">
    <w:p w:rsidR="00511E29" w:rsidRPr="00CE526C" w:rsidRDefault="00511E29">
      <w:pPr>
        <w:pStyle w:val="FootnoteText"/>
        <w:rPr>
          <w:lang w:val="en-US"/>
        </w:rPr>
      </w:pPr>
      <w:r>
        <w:rPr>
          <w:rStyle w:val="FootnoteReference"/>
        </w:rPr>
        <w:footnoteRef/>
      </w:r>
      <w:r>
        <w:t xml:space="preserve"> </w:t>
      </w:r>
      <w:r>
        <w:rPr>
          <w:lang w:val="en-US"/>
        </w:rPr>
        <w:t>Ibid, pg 85</w:t>
      </w:r>
    </w:p>
  </w:footnote>
  <w:footnote w:id="37">
    <w:p w:rsidR="00511E29" w:rsidRPr="000C1EF6" w:rsidRDefault="00511E29">
      <w:pPr>
        <w:pStyle w:val="FootnoteText"/>
        <w:rPr>
          <w:lang w:val="en-US"/>
        </w:rPr>
      </w:pPr>
      <w:r>
        <w:rPr>
          <w:rStyle w:val="FootnoteReference"/>
        </w:rPr>
        <w:footnoteRef/>
      </w:r>
      <w:r>
        <w:t xml:space="preserve"> </w:t>
      </w:r>
      <w:r>
        <w:rPr>
          <w:lang w:val="en-US"/>
        </w:rPr>
        <w:t xml:space="preserve">Ibid. </w:t>
      </w:r>
    </w:p>
  </w:footnote>
  <w:footnote w:id="38">
    <w:p w:rsidR="00511E29" w:rsidRPr="00A92AFC" w:rsidRDefault="00511E29">
      <w:pPr>
        <w:pStyle w:val="FootnoteText"/>
        <w:rPr>
          <w:lang w:val="en-US"/>
        </w:rPr>
      </w:pPr>
      <w:r>
        <w:rPr>
          <w:rStyle w:val="FootnoteReference"/>
        </w:rPr>
        <w:footnoteRef/>
      </w:r>
      <w:r>
        <w:t xml:space="preserve"> </w:t>
      </w:r>
      <w:r w:rsidRPr="00A92AFC">
        <w:rPr>
          <w:lang w:val="en-US"/>
        </w:rPr>
        <w:t>Ministry of Education, Report of the Task Force on the Realignment of the Education Sector to the Constitution of Kenya 2010, February 2012, pg 25</w:t>
      </w:r>
      <w:r>
        <w:rPr>
          <w:lang w:val="en-US"/>
        </w:rPr>
        <w:t>8</w:t>
      </w:r>
    </w:p>
  </w:footnote>
  <w:footnote w:id="39">
    <w:p w:rsidR="00511E29" w:rsidRPr="00D16230" w:rsidRDefault="00511E29">
      <w:pPr>
        <w:pStyle w:val="FootnoteText"/>
        <w:rPr>
          <w:lang w:val="en-US"/>
        </w:rPr>
      </w:pPr>
      <w:r>
        <w:rPr>
          <w:rStyle w:val="FootnoteReference"/>
        </w:rPr>
        <w:footnoteRef/>
      </w:r>
      <w:r>
        <w:t xml:space="preserve"> </w:t>
      </w:r>
      <w:hyperlink r:id="rId4" w:history="1">
        <w:r w:rsidRPr="00232D4D">
          <w:rPr>
            <w:rStyle w:val="Hyperlink"/>
          </w:rPr>
          <w:t>http://www.ifc.org/wps/wcm/connect/corp_ext_content/ifc_external_corporate_site/about+ifc_new</w:t>
        </w:r>
      </w:hyperlink>
      <w:r>
        <w:t xml:space="preserve"> </w:t>
      </w:r>
    </w:p>
  </w:footnote>
  <w:footnote w:id="40">
    <w:p w:rsidR="00511E29" w:rsidRPr="00373006" w:rsidRDefault="00511E29">
      <w:pPr>
        <w:pStyle w:val="FootnoteText"/>
        <w:rPr>
          <w:lang w:val="en-US"/>
        </w:rPr>
      </w:pPr>
      <w:r>
        <w:rPr>
          <w:rStyle w:val="FootnoteReference"/>
        </w:rPr>
        <w:footnoteRef/>
      </w:r>
      <w:hyperlink r:id="rId5" w:history="1">
        <w:r w:rsidRPr="00232D4D">
          <w:rPr>
            <w:rStyle w:val="Hyperlink"/>
          </w:rPr>
          <w:t>http://ifcextapps.ifc.org/ifcext/spiwebsite1.nsf/78e3b305216fcdba85257a8b0075079d/2354398b8630c4d085257c140067863f?opendocument</w:t>
        </w:r>
      </w:hyperlink>
      <w:r>
        <w:t xml:space="preserve"> </w:t>
      </w:r>
    </w:p>
  </w:footnote>
  <w:footnote w:id="41">
    <w:p w:rsidR="00511E29" w:rsidRPr="00D66193" w:rsidRDefault="00511E29">
      <w:pPr>
        <w:pStyle w:val="FootnoteText"/>
        <w:rPr>
          <w:lang w:val="en-US"/>
        </w:rPr>
      </w:pPr>
      <w:r>
        <w:rPr>
          <w:rStyle w:val="FootnoteReference"/>
        </w:rPr>
        <w:footnoteRef/>
      </w:r>
      <w:r>
        <w:t xml:space="preserve"> </w:t>
      </w:r>
      <w:hyperlink r:id="rId6" w:history="1">
        <w:r w:rsidRPr="00232D4D">
          <w:rPr>
            <w:rStyle w:val="Hyperlink"/>
          </w:rPr>
          <w:t>https://www.gov.uk/government/organisations/department-for-international-development</w:t>
        </w:r>
      </w:hyperlink>
      <w:r>
        <w:t xml:space="preserve"> </w:t>
      </w:r>
    </w:p>
  </w:footnote>
  <w:footnote w:id="42">
    <w:p w:rsidR="00511E29" w:rsidRPr="005F3BCB" w:rsidRDefault="00511E29">
      <w:pPr>
        <w:pStyle w:val="FootnoteText"/>
        <w:rPr>
          <w:lang w:val="en-US"/>
        </w:rPr>
      </w:pPr>
      <w:r>
        <w:rPr>
          <w:rStyle w:val="FootnoteReference"/>
        </w:rPr>
        <w:footnoteRef/>
      </w:r>
      <w:r>
        <w:t xml:space="preserve"> </w:t>
      </w:r>
      <w:hyperlink r:id="rId7" w:history="1">
        <w:r w:rsidRPr="00232D4D">
          <w:rPr>
            <w:rStyle w:val="Hyperlink"/>
          </w:rPr>
          <w:t>http://www.bridgeinternationalacademies.com/company/investors/</w:t>
        </w:r>
      </w:hyperlink>
      <w:r>
        <w:t xml:space="preserve"> </w:t>
      </w:r>
    </w:p>
  </w:footnote>
  <w:footnote w:id="43">
    <w:p w:rsidR="00511E29" w:rsidRPr="005F3BCB" w:rsidRDefault="00511E29">
      <w:pPr>
        <w:pStyle w:val="FootnoteText"/>
        <w:rPr>
          <w:lang w:val="en-US"/>
        </w:rPr>
      </w:pPr>
      <w:r>
        <w:rPr>
          <w:rStyle w:val="FootnoteReference"/>
        </w:rPr>
        <w:footnoteRef/>
      </w:r>
      <w:r>
        <w:t xml:space="preserve"> Ashley, D. L., et al, The Role and Impact of Private Schools in Developing Countries, April 2014, </w:t>
      </w:r>
      <w:hyperlink r:id="rId8" w:history="1">
        <w:r w:rsidRPr="00232D4D">
          <w:rPr>
            <w:rStyle w:val="Hyperlink"/>
          </w:rPr>
          <w:t>https://www.gov.uk/government/uploads/system/uploads/attachment_data/file/439702/private-schools-full-report.pdf</w:t>
        </w:r>
      </w:hyperlink>
      <w:r>
        <w:t xml:space="preserve"> </w:t>
      </w:r>
      <w:r>
        <w:rPr>
          <w:lang w:val="en-US"/>
        </w:rPr>
        <w:t>pg 2</w:t>
      </w:r>
    </w:p>
  </w:footnote>
  <w:footnote w:id="44">
    <w:p w:rsidR="00511E29" w:rsidRPr="00F60099" w:rsidRDefault="00511E29" w:rsidP="0061060A">
      <w:pPr>
        <w:pStyle w:val="FootnoteText"/>
        <w:rPr>
          <w:lang w:val="en-US"/>
        </w:rPr>
      </w:pPr>
      <w:r>
        <w:rPr>
          <w:rStyle w:val="FootnoteReference"/>
        </w:rPr>
        <w:footnoteRef/>
      </w:r>
      <w:r>
        <w:t xml:space="preserve"> </w:t>
      </w:r>
      <w:r w:rsidRPr="00F60099">
        <w:rPr>
          <w:lang w:val="en-US"/>
        </w:rPr>
        <w:t>Ministry of Education, Report of the Task Force on the Realignment of the Education Sector to the Constitution of Kenya 2010, February 2012</w:t>
      </w:r>
      <w:r>
        <w:rPr>
          <w:lang w:val="en-US"/>
        </w:rPr>
        <w:t>, pg 250</w:t>
      </w:r>
    </w:p>
  </w:footnote>
  <w:footnote w:id="45">
    <w:p w:rsidR="00511E29" w:rsidRPr="00E83489" w:rsidRDefault="00511E29" w:rsidP="0061060A">
      <w:pPr>
        <w:pStyle w:val="FootnoteText"/>
        <w:rPr>
          <w:lang w:val="en-US"/>
        </w:rPr>
      </w:pPr>
      <w:r>
        <w:rPr>
          <w:rStyle w:val="FootnoteReference"/>
        </w:rPr>
        <w:footnoteRef/>
      </w:r>
      <w:r>
        <w:t xml:space="preserve"> </w:t>
      </w:r>
      <w:r>
        <w:rPr>
          <w:lang w:val="en-US"/>
        </w:rPr>
        <w:t>Ibid.</w:t>
      </w:r>
    </w:p>
  </w:footnote>
  <w:footnote w:id="46">
    <w:p w:rsidR="00511E29" w:rsidRPr="00B45B8D" w:rsidRDefault="00511E29" w:rsidP="0061060A">
      <w:pPr>
        <w:pStyle w:val="FootnoteText"/>
        <w:rPr>
          <w:lang w:val="en-US"/>
        </w:rPr>
      </w:pPr>
      <w:r>
        <w:rPr>
          <w:rStyle w:val="FootnoteReference"/>
        </w:rPr>
        <w:footnoteRef/>
      </w:r>
      <w:r>
        <w:t xml:space="preserve"> </w:t>
      </w:r>
      <w:r>
        <w:rPr>
          <w:lang w:val="en-US"/>
        </w:rPr>
        <w:t>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7621"/>
    <w:multiLevelType w:val="hybridMultilevel"/>
    <w:tmpl w:val="4904A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45310"/>
    <w:multiLevelType w:val="hybridMultilevel"/>
    <w:tmpl w:val="5BF078DC"/>
    <w:lvl w:ilvl="0" w:tplc="1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9B2220"/>
    <w:multiLevelType w:val="hybridMultilevel"/>
    <w:tmpl w:val="269802C0"/>
    <w:lvl w:ilvl="0" w:tplc="A350BD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85CE4"/>
    <w:multiLevelType w:val="hybridMultilevel"/>
    <w:tmpl w:val="AA6C90EE"/>
    <w:lvl w:ilvl="0" w:tplc="3490F8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8E4FB4"/>
    <w:multiLevelType w:val="hybridMultilevel"/>
    <w:tmpl w:val="21A0573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AB76834"/>
    <w:multiLevelType w:val="hybridMultilevel"/>
    <w:tmpl w:val="BE96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C66E39"/>
    <w:multiLevelType w:val="hybridMultilevel"/>
    <w:tmpl w:val="934AE7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200340"/>
    <w:multiLevelType w:val="hybridMultilevel"/>
    <w:tmpl w:val="AD30B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201BE9"/>
    <w:multiLevelType w:val="multilevel"/>
    <w:tmpl w:val="DCA6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92717"/>
    <w:multiLevelType w:val="hybridMultilevel"/>
    <w:tmpl w:val="BA4209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0"/>
  </w:num>
  <w:num w:numId="3">
    <w:abstractNumId w:val="9"/>
  </w:num>
  <w:num w:numId="4">
    <w:abstractNumId w:val="5"/>
  </w:num>
  <w:num w:numId="5">
    <w:abstractNumId w:val="4"/>
  </w:num>
  <w:num w:numId="6">
    <w:abstractNumId w:val="6"/>
  </w:num>
  <w:num w:numId="7">
    <w:abstractNumId w:val="7"/>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97B"/>
    <w:rsid w:val="00020EB6"/>
    <w:rsid w:val="00024ADB"/>
    <w:rsid w:val="000252FD"/>
    <w:rsid w:val="00041F8C"/>
    <w:rsid w:val="00052223"/>
    <w:rsid w:val="00062A8A"/>
    <w:rsid w:val="00077FC0"/>
    <w:rsid w:val="000869D1"/>
    <w:rsid w:val="000A1E51"/>
    <w:rsid w:val="000C1EF6"/>
    <w:rsid w:val="000C2905"/>
    <w:rsid w:val="000D287A"/>
    <w:rsid w:val="000E0416"/>
    <w:rsid w:val="000E33CD"/>
    <w:rsid w:val="000E48C4"/>
    <w:rsid w:val="000E6E87"/>
    <w:rsid w:val="000F7298"/>
    <w:rsid w:val="001040B1"/>
    <w:rsid w:val="001103A5"/>
    <w:rsid w:val="00123D96"/>
    <w:rsid w:val="00145442"/>
    <w:rsid w:val="001611BE"/>
    <w:rsid w:val="00163C93"/>
    <w:rsid w:val="00184EBE"/>
    <w:rsid w:val="00191D96"/>
    <w:rsid w:val="00193D28"/>
    <w:rsid w:val="001A1743"/>
    <w:rsid w:val="001A2616"/>
    <w:rsid w:val="001A5483"/>
    <w:rsid w:val="001B11B9"/>
    <w:rsid w:val="001C0770"/>
    <w:rsid w:val="001D70D1"/>
    <w:rsid w:val="001E54CD"/>
    <w:rsid w:val="001E582D"/>
    <w:rsid w:val="001E5950"/>
    <w:rsid w:val="001F4E0D"/>
    <w:rsid w:val="002010C1"/>
    <w:rsid w:val="002015DC"/>
    <w:rsid w:val="00203250"/>
    <w:rsid w:val="00203893"/>
    <w:rsid w:val="00221DBA"/>
    <w:rsid w:val="00231870"/>
    <w:rsid w:val="002330A0"/>
    <w:rsid w:val="002526E5"/>
    <w:rsid w:val="0026114D"/>
    <w:rsid w:val="0027771F"/>
    <w:rsid w:val="00296C42"/>
    <w:rsid w:val="00296E04"/>
    <w:rsid w:val="00297841"/>
    <w:rsid w:val="002A7EF2"/>
    <w:rsid w:val="002D5EA8"/>
    <w:rsid w:val="002E07D4"/>
    <w:rsid w:val="002F4233"/>
    <w:rsid w:val="002F6D80"/>
    <w:rsid w:val="003112CC"/>
    <w:rsid w:val="00332D21"/>
    <w:rsid w:val="00336D85"/>
    <w:rsid w:val="00352192"/>
    <w:rsid w:val="00356899"/>
    <w:rsid w:val="00365BF6"/>
    <w:rsid w:val="003712A1"/>
    <w:rsid w:val="00372654"/>
    <w:rsid w:val="00373006"/>
    <w:rsid w:val="003839AE"/>
    <w:rsid w:val="003A242D"/>
    <w:rsid w:val="003B6435"/>
    <w:rsid w:val="003B6BD3"/>
    <w:rsid w:val="003C6A79"/>
    <w:rsid w:val="003D1E74"/>
    <w:rsid w:val="003E3EDA"/>
    <w:rsid w:val="00401AE4"/>
    <w:rsid w:val="00407148"/>
    <w:rsid w:val="0041014C"/>
    <w:rsid w:val="00411665"/>
    <w:rsid w:val="00417CD3"/>
    <w:rsid w:val="00446E3D"/>
    <w:rsid w:val="00456D7A"/>
    <w:rsid w:val="004571AB"/>
    <w:rsid w:val="00467A64"/>
    <w:rsid w:val="00481831"/>
    <w:rsid w:val="004844FC"/>
    <w:rsid w:val="004915FC"/>
    <w:rsid w:val="00493CAF"/>
    <w:rsid w:val="0049662A"/>
    <w:rsid w:val="004A1277"/>
    <w:rsid w:val="004D09F8"/>
    <w:rsid w:val="004F4AE7"/>
    <w:rsid w:val="004F59C6"/>
    <w:rsid w:val="004F730B"/>
    <w:rsid w:val="00500E92"/>
    <w:rsid w:val="00511E29"/>
    <w:rsid w:val="00523C1E"/>
    <w:rsid w:val="005308D6"/>
    <w:rsid w:val="005447A9"/>
    <w:rsid w:val="00546EFA"/>
    <w:rsid w:val="00556947"/>
    <w:rsid w:val="00561211"/>
    <w:rsid w:val="0056138E"/>
    <w:rsid w:val="005743D3"/>
    <w:rsid w:val="00583EB7"/>
    <w:rsid w:val="00586060"/>
    <w:rsid w:val="00597118"/>
    <w:rsid w:val="005A3EFA"/>
    <w:rsid w:val="005A6AEB"/>
    <w:rsid w:val="005B406B"/>
    <w:rsid w:val="005B4E16"/>
    <w:rsid w:val="005C3E05"/>
    <w:rsid w:val="005E06AD"/>
    <w:rsid w:val="005E7A99"/>
    <w:rsid w:val="005F0462"/>
    <w:rsid w:val="005F3BCB"/>
    <w:rsid w:val="0061060A"/>
    <w:rsid w:val="00617525"/>
    <w:rsid w:val="00652175"/>
    <w:rsid w:val="006603A8"/>
    <w:rsid w:val="00663349"/>
    <w:rsid w:val="00692436"/>
    <w:rsid w:val="00694C63"/>
    <w:rsid w:val="006A231B"/>
    <w:rsid w:val="006A6E97"/>
    <w:rsid w:val="006A7E75"/>
    <w:rsid w:val="006B1DCD"/>
    <w:rsid w:val="006D021F"/>
    <w:rsid w:val="006F297B"/>
    <w:rsid w:val="00702EC5"/>
    <w:rsid w:val="007315D6"/>
    <w:rsid w:val="00734442"/>
    <w:rsid w:val="00735EFD"/>
    <w:rsid w:val="0076298F"/>
    <w:rsid w:val="007637B3"/>
    <w:rsid w:val="00783721"/>
    <w:rsid w:val="00783A05"/>
    <w:rsid w:val="007A7626"/>
    <w:rsid w:val="007C1F2C"/>
    <w:rsid w:val="007D20AD"/>
    <w:rsid w:val="007D762F"/>
    <w:rsid w:val="007F1E86"/>
    <w:rsid w:val="007F4E14"/>
    <w:rsid w:val="00803227"/>
    <w:rsid w:val="00804774"/>
    <w:rsid w:val="008102E7"/>
    <w:rsid w:val="00814CD9"/>
    <w:rsid w:val="00823E0E"/>
    <w:rsid w:val="008350BD"/>
    <w:rsid w:val="008454F8"/>
    <w:rsid w:val="00850DF3"/>
    <w:rsid w:val="00856490"/>
    <w:rsid w:val="00865D51"/>
    <w:rsid w:val="00865E95"/>
    <w:rsid w:val="008721E4"/>
    <w:rsid w:val="00885756"/>
    <w:rsid w:val="00894D16"/>
    <w:rsid w:val="00896EE7"/>
    <w:rsid w:val="008B5CF7"/>
    <w:rsid w:val="008C57C4"/>
    <w:rsid w:val="008C58AD"/>
    <w:rsid w:val="008E4C21"/>
    <w:rsid w:val="008F0AB7"/>
    <w:rsid w:val="00905D5F"/>
    <w:rsid w:val="00907F01"/>
    <w:rsid w:val="009171C6"/>
    <w:rsid w:val="00934668"/>
    <w:rsid w:val="00945A5F"/>
    <w:rsid w:val="009665C4"/>
    <w:rsid w:val="00980DF6"/>
    <w:rsid w:val="00984070"/>
    <w:rsid w:val="00985434"/>
    <w:rsid w:val="0099710F"/>
    <w:rsid w:val="009A3CE3"/>
    <w:rsid w:val="009B7405"/>
    <w:rsid w:val="009D3F16"/>
    <w:rsid w:val="009D521B"/>
    <w:rsid w:val="009E04EA"/>
    <w:rsid w:val="009E4FFE"/>
    <w:rsid w:val="00A03813"/>
    <w:rsid w:val="00A119FD"/>
    <w:rsid w:val="00A11BE9"/>
    <w:rsid w:val="00A127DC"/>
    <w:rsid w:val="00A14655"/>
    <w:rsid w:val="00A1472E"/>
    <w:rsid w:val="00A226BB"/>
    <w:rsid w:val="00A32109"/>
    <w:rsid w:val="00A33601"/>
    <w:rsid w:val="00A457E9"/>
    <w:rsid w:val="00A60050"/>
    <w:rsid w:val="00A64FAE"/>
    <w:rsid w:val="00A7452A"/>
    <w:rsid w:val="00A85124"/>
    <w:rsid w:val="00A8794E"/>
    <w:rsid w:val="00A92AFC"/>
    <w:rsid w:val="00AA7600"/>
    <w:rsid w:val="00AD3002"/>
    <w:rsid w:val="00B10685"/>
    <w:rsid w:val="00B1143E"/>
    <w:rsid w:val="00B353FA"/>
    <w:rsid w:val="00B37095"/>
    <w:rsid w:val="00B45B8D"/>
    <w:rsid w:val="00B6089A"/>
    <w:rsid w:val="00B8482B"/>
    <w:rsid w:val="00BA0706"/>
    <w:rsid w:val="00BD529C"/>
    <w:rsid w:val="00BE4358"/>
    <w:rsid w:val="00BF46A8"/>
    <w:rsid w:val="00C04179"/>
    <w:rsid w:val="00C05FEE"/>
    <w:rsid w:val="00C2125A"/>
    <w:rsid w:val="00C421A7"/>
    <w:rsid w:val="00C550FB"/>
    <w:rsid w:val="00C627C1"/>
    <w:rsid w:val="00C657EB"/>
    <w:rsid w:val="00C66546"/>
    <w:rsid w:val="00C72D20"/>
    <w:rsid w:val="00C8227E"/>
    <w:rsid w:val="00C82D15"/>
    <w:rsid w:val="00C87B99"/>
    <w:rsid w:val="00C96B22"/>
    <w:rsid w:val="00CB45FE"/>
    <w:rsid w:val="00CB4A38"/>
    <w:rsid w:val="00CC0F79"/>
    <w:rsid w:val="00CD1D6D"/>
    <w:rsid w:val="00CE4E08"/>
    <w:rsid w:val="00CE526C"/>
    <w:rsid w:val="00D106D4"/>
    <w:rsid w:val="00D1072C"/>
    <w:rsid w:val="00D10809"/>
    <w:rsid w:val="00D130B3"/>
    <w:rsid w:val="00D16230"/>
    <w:rsid w:val="00D1731B"/>
    <w:rsid w:val="00D26ACE"/>
    <w:rsid w:val="00D31A14"/>
    <w:rsid w:val="00D334C7"/>
    <w:rsid w:val="00D50FFD"/>
    <w:rsid w:val="00D5133B"/>
    <w:rsid w:val="00D62716"/>
    <w:rsid w:val="00D66193"/>
    <w:rsid w:val="00D71C56"/>
    <w:rsid w:val="00D765A7"/>
    <w:rsid w:val="00D76949"/>
    <w:rsid w:val="00D916F6"/>
    <w:rsid w:val="00D9217A"/>
    <w:rsid w:val="00D92FE7"/>
    <w:rsid w:val="00DB3AB5"/>
    <w:rsid w:val="00DB5078"/>
    <w:rsid w:val="00DC2447"/>
    <w:rsid w:val="00DC322F"/>
    <w:rsid w:val="00DC3304"/>
    <w:rsid w:val="00DD69B1"/>
    <w:rsid w:val="00DE58AB"/>
    <w:rsid w:val="00DF0828"/>
    <w:rsid w:val="00DF787D"/>
    <w:rsid w:val="00E06472"/>
    <w:rsid w:val="00E30AA0"/>
    <w:rsid w:val="00E32662"/>
    <w:rsid w:val="00E41976"/>
    <w:rsid w:val="00E44F84"/>
    <w:rsid w:val="00E66D6A"/>
    <w:rsid w:val="00E83489"/>
    <w:rsid w:val="00E91691"/>
    <w:rsid w:val="00E933AE"/>
    <w:rsid w:val="00E979FE"/>
    <w:rsid w:val="00EA1C24"/>
    <w:rsid w:val="00EA2452"/>
    <w:rsid w:val="00EB4256"/>
    <w:rsid w:val="00EC4EEE"/>
    <w:rsid w:val="00EF480F"/>
    <w:rsid w:val="00EF743C"/>
    <w:rsid w:val="00F109FD"/>
    <w:rsid w:val="00F219E9"/>
    <w:rsid w:val="00F26298"/>
    <w:rsid w:val="00F53810"/>
    <w:rsid w:val="00F60099"/>
    <w:rsid w:val="00F63F1A"/>
    <w:rsid w:val="00F659D6"/>
    <w:rsid w:val="00F726AA"/>
    <w:rsid w:val="00F73AD7"/>
    <w:rsid w:val="00FA4A1E"/>
    <w:rsid w:val="00FB43C8"/>
    <w:rsid w:val="00FB47C8"/>
    <w:rsid w:val="00FC7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07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933A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118"/>
    <w:rPr>
      <w:color w:val="0000FF" w:themeColor="hyperlink"/>
      <w:u w:val="single"/>
    </w:rPr>
  </w:style>
  <w:style w:type="paragraph" w:styleId="NormalWeb">
    <w:name w:val="Normal (Web)"/>
    <w:basedOn w:val="Normal"/>
    <w:uiPriority w:val="99"/>
    <w:semiHidden/>
    <w:unhideWhenUsed/>
    <w:rsid w:val="00597118"/>
    <w:rPr>
      <w:rFonts w:ascii="Times New Roman" w:hAnsi="Times New Roman" w:cs="Times New Roman"/>
      <w:sz w:val="24"/>
      <w:szCs w:val="24"/>
    </w:rPr>
  </w:style>
  <w:style w:type="character" w:customStyle="1" w:styleId="Heading3Char">
    <w:name w:val="Heading 3 Char"/>
    <w:basedOn w:val="DefaultParagraphFont"/>
    <w:link w:val="Heading3"/>
    <w:uiPriority w:val="9"/>
    <w:rsid w:val="00E933AE"/>
    <w:rPr>
      <w:rFonts w:ascii="Times New Roman" w:eastAsia="Times New Roman" w:hAnsi="Times New Roman" w:cs="Times New Roman"/>
      <w:b/>
      <w:bCs/>
      <w:sz w:val="27"/>
      <w:szCs w:val="27"/>
    </w:rPr>
  </w:style>
  <w:style w:type="paragraph" w:styleId="FootnoteText">
    <w:name w:val="footnote text"/>
    <w:basedOn w:val="Normal"/>
    <w:link w:val="FootnoteTextChar"/>
    <w:uiPriority w:val="99"/>
    <w:unhideWhenUsed/>
    <w:rsid w:val="00FB43C8"/>
    <w:pPr>
      <w:spacing w:after="0" w:line="240" w:lineRule="auto"/>
    </w:pPr>
    <w:rPr>
      <w:sz w:val="20"/>
      <w:szCs w:val="20"/>
    </w:rPr>
  </w:style>
  <w:style w:type="character" w:customStyle="1" w:styleId="FootnoteTextChar">
    <w:name w:val="Footnote Text Char"/>
    <w:basedOn w:val="DefaultParagraphFont"/>
    <w:link w:val="FootnoteText"/>
    <w:uiPriority w:val="99"/>
    <w:rsid w:val="00FB43C8"/>
    <w:rPr>
      <w:sz w:val="20"/>
      <w:szCs w:val="20"/>
      <w:lang w:val="en-GB"/>
    </w:rPr>
  </w:style>
  <w:style w:type="character" w:styleId="FootnoteReference">
    <w:name w:val="footnote reference"/>
    <w:basedOn w:val="DefaultParagraphFont"/>
    <w:uiPriority w:val="99"/>
    <w:unhideWhenUsed/>
    <w:rsid w:val="00FB43C8"/>
    <w:rPr>
      <w:vertAlign w:val="superscript"/>
    </w:rPr>
  </w:style>
  <w:style w:type="character" w:styleId="PageNumber">
    <w:name w:val="page number"/>
    <w:aliases w:val="7_G"/>
    <w:rsid w:val="005E06AD"/>
    <w:rPr>
      <w:rFonts w:ascii="Times New Roman" w:hAnsi="Times New Roman"/>
      <w:b/>
      <w:sz w:val="18"/>
    </w:rPr>
  </w:style>
  <w:style w:type="paragraph" w:styleId="ListParagraph">
    <w:name w:val="List Paragraph"/>
    <w:basedOn w:val="Normal"/>
    <w:uiPriority w:val="34"/>
    <w:qFormat/>
    <w:rsid w:val="006A231B"/>
    <w:pPr>
      <w:ind w:left="720"/>
      <w:contextualSpacing/>
    </w:pPr>
  </w:style>
  <w:style w:type="character" w:customStyle="1" w:styleId="Heading1Char">
    <w:name w:val="Heading 1 Char"/>
    <w:basedOn w:val="DefaultParagraphFont"/>
    <w:link w:val="Heading1"/>
    <w:uiPriority w:val="9"/>
    <w:rsid w:val="002E07D4"/>
    <w:rPr>
      <w:rFonts w:asciiTheme="majorHAnsi" w:eastAsiaTheme="majorEastAsia" w:hAnsiTheme="majorHAnsi" w:cstheme="majorBidi"/>
      <w:b/>
      <w:bCs/>
      <w:color w:val="365F91" w:themeColor="accent1" w:themeShade="BF"/>
      <w:sz w:val="28"/>
      <w:szCs w:val="28"/>
      <w:lang w:val="en-GB"/>
    </w:rPr>
  </w:style>
  <w:style w:type="paragraph" w:styleId="DocumentMap">
    <w:name w:val="Document Map"/>
    <w:basedOn w:val="Normal"/>
    <w:link w:val="DocumentMapChar"/>
    <w:uiPriority w:val="99"/>
    <w:semiHidden/>
    <w:unhideWhenUsed/>
    <w:rsid w:val="00AD300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D3002"/>
    <w:rPr>
      <w:rFonts w:ascii="Tahoma" w:hAnsi="Tahoma" w:cs="Tahoma"/>
      <w:sz w:val="16"/>
      <w:szCs w:val="16"/>
      <w:lang w:val="en-GB"/>
    </w:rPr>
  </w:style>
  <w:style w:type="paragraph" w:styleId="Header">
    <w:name w:val="header"/>
    <w:basedOn w:val="Normal"/>
    <w:link w:val="HeaderChar"/>
    <w:uiPriority w:val="99"/>
    <w:semiHidden/>
    <w:unhideWhenUsed/>
    <w:rsid w:val="00896E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6EE7"/>
    <w:rPr>
      <w:lang w:val="en-GB"/>
    </w:rPr>
  </w:style>
  <w:style w:type="paragraph" w:styleId="Footer">
    <w:name w:val="footer"/>
    <w:basedOn w:val="Normal"/>
    <w:link w:val="FooterChar"/>
    <w:uiPriority w:val="99"/>
    <w:unhideWhenUsed/>
    <w:rsid w:val="00896E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EE7"/>
    <w:rPr>
      <w:lang w:val="en-GB"/>
    </w:rPr>
  </w:style>
  <w:style w:type="character" w:styleId="CommentReference">
    <w:name w:val="annotation reference"/>
    <w:basedOn w:val="DefaultParagraphFont"/>
    <w:uiPriority w:val="99"/>
    <w:semiHidden/>
    <w:unhideWhenUsed/>
    <w:rsid w:val="00EA2452"/>
    <w:rPr>
      <w:sz w:val="16"/>
      <w:szCs w:val="16"/>
    </w:rPr>
  </w:style>
  <w:style w:type="paragraph" w:styleId="CommentText">
    <w:name w:val="annotation text"/>
    <w:basedOn w:val="Normal"/>
    <w:link w:val="CommentTextChar"/>
    <w:uiPriority w:val="99"/>
    <w:semiHidden/>
    <w:unhideWhenUsed/>
    <w:rsid w:val="00EA2452"/>
    <w:pPr>
      <w:spacing w:line="240" w:lineRule="auto"/>
    </w:pPr>
    <w:rPr>
      <w:sz w:val="20"/>
      <w:szCs w:val="20"/>
    </w:rPr>
  </w:style>
  <w:style w:type="character" w:customStyle="1" w:styleId="CommentTextChar">
    <w:name w:val="Comment Text Char"/>
    <w:basedOn w:val="DefaultParagraphFont"/>
    <w:link w:val="CommentText"/>
    <w:uiPriority w:val="99"/>
    <w:semiHidden/>
    <w:rsid w:val="00EA2452"/>
    <w:rPr>
      <w:sz w:val="20"/>
      <w:szCs w:val="20"/>
      <w:lang w:val="en-GB"/>
    </w:rPr>
  </w:style>
  <w:style w:type="paragraph" w:styleId="CommentSubject">
    <w:name w:val="annotation subject"/>
    <w:basedOn w:val="CommentText"/>
    <w:next w:val="CommentText"/>
    <w:link w:val="CommentSubjectChar"/>
    <w:uiPriority w:val="99"/>
    <w:semiHidden/>
    <w:unhideWhenUsed/>
    <w:rsid w:val="00EA2452"/>
    <w:rPr>
      <w:b/>
      <w:bCs/>
    </w:rPr>
  </w:style>
  <w:style w:type="character" w:customStyle="1" w:styleId="CommentSubjectChar">
    <w:name w:val="Comment Subject Char"/>
    <w:basedOn w:val="CommentTextChar"/>
    <w:link w:val="CommentSubject"/>
    <w:uiPriority w:val="99"/>
    <w:semiHidden/>
    <w:rsid w:val="00EA2452"/>
    <w:rPr>
      <w:b/>
      <w:bCs/>
      <w:sz w:val="20"/>
      <w:szCs w:val="20"/>
      <w:lang w:val="en-GB"/>
    </w:rPr>
  </w:style>
  <w:style w:type="paragraph" w:styleId="BalloonText">
    <w:name w:val="Balloon Text"/>
    <w:basedOn w:val="Normal"/>
    <w:link w:val="BalloonTextChar"/>
    <w:uiPriority w:val="99"/>
    <w:semiHidden/>
    <w:unhideWhenUsed/>
    <w:rsid w:val="00EA2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452"/>
    <w:rPr>
      <w:rFonts w:ascii="Tahoma" w:hAnsi="Tahoma" w:cs="Tahoma"/>
      <w:sz w:val="16"/>
      <w:szCs w:val="16"/>
      <w:lang w:val="en-GB"/>
    </w:rPr>
  </w:style>
  <w:style w:type="paragraph" w:styleId="TOCHeading">
    <w:name w:val="TOC Heading"/>
    <w:basedOn w:val="Heading1"/>
    <w:next w:val="Normal"/>
    <w:uiPriority w:val="39"/>
    <w:semiHidden/>
    <w:unhideWhenUsed/>
    <w:qFormat/>
    <w:rsid w:val="00D1731B"/>
    <w:pPr>
      <w:outlineLvl w:val="9"/>
    </w:pPr>
    <w:rPr>
      <w:lang w:val="en-US"/>
    </w:rPr>
  </w:style>
  <w:style w:type="paragraph" w:styleId="TOC1">
    <w:name w:val="toc 1"/>
    <w:basedOn w:val="Normal"/>
    <w:next w:val="Normal"/>
    <w:autoRedefine/>
    <w:uiPriority w:val="39"/>
    <w:unhideWhenUsed/>
    <w:rsid w:val="00D1731B"/>
    <w:pPr>
      <w:spacing w:after="100"/>
    </w:pPr>
  </w:style>
  <w:style w:type="paragraph" w:styleId="TOC3">
    <w:name w:val="toc 3"/>
    <w:basedOn w:val="Normal"/>
    <w:next w:val="Normal"/>
    <w:autoRedefine/>
    <w:uiPriority w:val="39"/>
    <w:unhideWhenUsed/>
    <w:rsid w:val="00D1731B"/>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07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933A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118"/>
    <w:rPr>
      <w:color w:val="0000FF" w:themeColor="hyperlink"/>
      <w:u w:val="single"/>
    </w:rPr>
  </w:style>
  <w:style w:type="paragraph" w:styleId="NormalWeb">
    <w:name w:val="Normal (Web)"/>
    <w:basedOn w:val="Normal"/>
    <w:uiPriority w:val="99"/>
    <w:semiHidden/>
    <w:unhideWhenUsed/>
    <w:rsid w:val="00597118"/>
    <w:rPr>
      <w:rFonts w:ascii="Times New Roman" w:hAnsi="Times New Roman" w:cs="Times New Roman"/>
      <w:sz w:val="24"/>
      <w:szCs w:val="24"/>
    </w:rPr>
  </w:style>
  <w:style w:type="character" w:customStyle="1" w:styleId="Heading3Char">
    <w:name w:val="Heading 3 Char"/>
    <w:basedOn w:val="DefaultParagraphFont"/>
    <w:link w:val="Heading3"/>
    <w:uiPriority w:val="9"/>
    <w:rsid w:val="00E933AE"/>
    <w:rPr>
      <w:rFonts w:ascii="Times New Roman" w:eastAsia="Times New Roman" w:hAnsi="Times New Roman" w:cs="Times New Roman"/>
      <w:b/>
      <w:bCs/>
      <w:sz w:val="27"/>
      <w:szCs w:val="27"/>
    </w:rPr>
  </w:style>
  <w:style w:type="paragraph" w:styleId="FootnoteText">
    <w:name w:val="footnote text"/>
    <w:basedOn w:val="Normal"/>
    <w:link w:val="FootnoteTextChar"/>
    <w:uiPriority w:val="99"/>
    <w:unhideWhenUsed/>
    <w:rsid w:val="00FB43C8"/>
    <w:pPr>
      <w:spacing w:after="0" w:line="240" w:lineRule="auto"/>
    </w:pPr>
    <w:rPr>
      <w:sz w:val="20"/>
      <w:szCs w:val="20"/>
    </w:rPr>
  </w:style>
  <w:style w:type="character" w:customStyle="1" w:styleId="FootnoteTextChar">
    <w:name w:val="Footnote Text Char"/>
    <w:basedOn w:val="DefaultParagraphFont"/>
    <w:link w:val="FootnoteText"/>
    <w:uiPriority w:val="99"/>
    <w:rsid w:val="00FB43C8"/>
    <w:rPr>
      <w:sz w:val="20"/>
      <w:szCs w:val="20"/>
      <w:lang w:val="en-GB"/>
    </w:rPr>
  </w:style>
  <w:style w:type="character" w:styleId="FootnoteReference">
    <w:name w:val="footnote reference"/>
    <w:basedOn w:val="DefaultParagraphFont"/>
    <w:uiPriority w:val="99"/>
    <w:unhideWhenUsed/>
    <w:rsid w:val="00FB43C8"/>
    <w:rPr>
      <w:vertAlign w:val="superscript"/>
    </w:rPr>
  </w:style>
  <w:style w:type="character" w:styleId="PageNumber">
    <w:name w:val="page number"/>
    <w:aliases w:val="7_G"/>
    <w:rsid w:val="005E06AD"/>
    <w:rPr>
      <w:rFonts w:ascii="Times New Roman" w:hAnsi="Times New Roman"/>
      <w:b/>
      <w:sz w:val="18"/>
    </w:rPr>
  </w:style>
  <w:style w:type="paragraph" w:styleId="ListParagraph">
    <w:name w:val="List Paragraph"/>
    <w:basedOn w:val="Normal"/>
    <w:uiPriority w:val="34"/>
    <w:qFormat/>
    <w:rsid w:val="006A231B"/>
    <w:pPr>
      <w:ind w:left="720"/>
      <w:contextualSpacing/>
    </w:pPr>
  </w:style>
  <w:style w:type="character" w:customStyle="1" w:styleId="Heading1Char">
    <w:name w:val="Heading 1 Char"/>
    <w:basedOn w:val="DefaultParagraphFont"/>
    <w:link w:val="Heading1"/>
    <w:uiPriority w:val="9"/>
    <w:rsid w:val="002E07D4"/>
    <w:rPr>
      <w:rFonts w:asciiTheme="majorHAnsi" w:eastAsiaTheme="majorEastAsia" w:hAnsiTheme="majorHAnsi" w:cstheme="majorBidi"/>
      <w:b/>
      <w:bCs/>
      <w:color w:val="365F91" w:themeColor="accent1" w:themeShade="BF"/>
      <w:sz w:val="28"/>
      <w:szCs w:val="28"/>
      <w:lang w:val="en-GB"/>
    </w:rPr>
  </w:style>
  <w:style w:type="paragraph" w:styleId="DocumentMap">
    <w:name w:val="Document Map"/>
    <w:basedOn w:val="Normal"/>
    <w:link w:val="DocumentMapChar"/>
    <w:uiPriority w:val="99"/>
    <w:semiHidden/>
    <w:unhideWhenUsed/>
    <w:rsid w:val="00AD300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D3002"/>
    <w:rPr>
      <w:rFonts w:ascii="Tahoma" w:hAnsi="Tahoma" w:cs="Tahoma"/>
      <w:sz w:val="16"/>
      <w:szCs w:val="16"/>
      <w:lang w:val="en-GB"/>
    </w:rPr>
  </w:style>
  <w:style w:type="paragraph" w:styleId="Header">
    <w:name w:val="header"/>
    <w:basedOn w:val="Normal"/>
    <w:link w:val="HeaderChar"/>
    <w:uiPriority w:val="99"/>
    <w:semiHidden/>
    <w:unhideWhenUsed/>
    <w:rsid w:val="00896E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6EE7"/>
    <w:rPr>
      <w:lang w:val="en-GB"/>
    </w:rPr>
  </w:style>
  <w:style w:type="paragraph" w:styleId="Footer">
    <w:name w:val="footer"/>
    <w:basedOn w:val="Normal"/>
    <w:link w:val="FooterChar"/>
    <w:uiPriority w:val="99"/>
    <w:unhideWhenUsed/>
    <w:rsid w:val="00896E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EE7"/>
    <w:rPr>
      <w:lang w:val="en-GB"/>
    </w:rPr>
  </w:style>
  <w:style w:type="character" w:styleId="CommentReference">
    <w:name w:val="annotation reference"/>
    <w:basedOn w:val="DefaultParagraphFont"/>
    <w:uiPriority w:val="99"/>
    <w:semiHidden/>
    <w:unhideWhenUsed/>
    <w:rsid w:val="00EA2452"/>
    <w:rPr>
      <w:sz w:val="16"/>
      <w:szCs w:val="16"/>
    </w:rPr>
  </w:style>
  <w:style w:type="paragraph" w:styleId="CommentText">
    <w:name w:val="annotation text"/>
    <w:basedOn w:val="Normal"/>
    <w:link w:val="CommentTextChar"/>
    <w:uiPriority w:val="99"/>
    <w:semiHidden/>
    <w:unhideWhenUsed/>
    <w:rsid w:val="00EA2452"/>
    <w:pPr>
      <w:spacing w:line="240" w:lineRule="auto"/>
    </w:pPr>
    <w:rPr>
      <w:sz w:val="20"/>
      <w:szCs w:val="20"/>
    </w:rPr>
  </w:style>
  <w:style w:type="character" w:customStyle="1" w:styleId="CommentTextChar">
    <w:name w:val="Comment Text Char"/>
    <w:basedOn w:val="DefaultParagraphFont"/>
    <w:link w:val="CommentText"/>
    <w:uiPriority w:val="99"/>
    <w:semiHidden/>
    <w:rsid w:val="00EA2452"/>
    <w:rPr>
      <w:sz w:val="20"/>
      <w:szCs w:val="20"/>
      <w:lang w:val="en-GB"/>
    </w:rPr>
  </w:style>
  <w:style w:type="paragraph" w:styleId="CommentSubject">
    <w:name w:val="annotation subject"/>
    <w:basedOn w:val="CommentText"/>
    <w:next w:val="CommentText"/>
    <w:link w:val="CommentSubjectChar"/>
    <w:uiPriority w:val="99"/>
    <w:semiHidden/>
    <w:unhideWhenUsed/>
    <w:rsid w:val="00EA2452"/>
    <w:rPr>
      <w:b/>
      <w:bCs/>
    </w:rPr>
  </w:style>
  <w:style w:type="character" w:customStyle="1" w:styleId="CommentSubjectChar">
    <w:name w:val="Comment Subject Char"/>
    <w:basedOn w:val="CommentTextChar"/>
    <w:link w:val="CommentSubject"/>
    <w:uiPriority w:val="99"/>
    <w:semiHidden/>
    <w:rsid w:val="00EA2452"/>
    <w:rPr>
      <w:b/>
      <w:bCs/>
      <w:sz w:val="20"/>
      <w:szCs w:val="20"/>
      <w:lang w:val="en-GB"/>
    </w:rPr>
  </w:style>
  <w:style w:type="paragraph" w:styleId="BalloonText">
    <w:name w:val="Balloon Text"/>
    <w:basedOn w:val="Normal"/>
    <w:link w:val="BalloonTextChar"/>
    <w:uiPriority w:val="99"/>
    <w:semiHidden/>
    <w:unhideWhenUsed/>
    <w:rsid w:val="00EA2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452"/>
    <w:rPr>
      <w:rFonts w:ascii="Tahoma" w:hAnsi="Tahoma" w:cs="Tahoma"/>
      <w:sz w:val="16"/>
      <w:szCs w:val="16"/>
      <w:lang w:val="en-GB"/>
    </w:rPr>
  </w:style>
  <w:style w:type="paragraph" w:styleId="TOCHeading">
    <w:name w:val="TOC Heading"/>
    <w:basedOn w:val="Heading1"/>
    <w:next w:val="Normal"/>
    <w:uiPriority w:val="39"/>
    <w:semiHidden/>
    <w:unhideWhenUsed/>
    <w:qFormat/>
    <w:rsid w:val="00D1731B"/>
    <w:pPr>
      <w:outlineLvl w:val="9"/>
    </w:pPr>
    <w:rPr>
      <w:lang w:val="en-US"/>
    </w:rPr>
  </w:style>
  <w:style w:type="paragraph" w:styleId="TOC1">
    <w:name w:val="toc 1"/>
    <w:basedOn w:val="Normal"/>
    <w:next w:val="Normal"/>
    <w:autoRedefine/>
    <w:uiPriority w:val="39"/>
    <w:unhideWhenUsed/>
    <w:rsid w:val="00D1731B"/>
    <w:pPr>
      <w:spacing w:after="100"/>
    </w:pPr>
  </w:style>
  <w:style w:type="paragraph" w:styleId="TOC3">
    <w:name w:val="toc 3"/>
    <w:basedOn w:val="Normal"/>
    <w:next w:val="Normal"/>
    <w:autoRedefine/>
    <w:uiPriority w:val="39"/>
    <w:unhideWhenUsed/>
    <w:rsid w:val="00D173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265801">
      <w:bodyDiv w:val="1"/>
      <w:marLeft w:val="0"/>
      <w:marRight w:val="0"/>
      <w:marTop w:val="0"/>
      <w:marBottom w:val="0"/>
      <w:divBdr>
        <w:top w:val="none" w:sz="0" w:space="0" w:color="auto"/>
        <w:left w:val="none" w:sz="0" w:space="0" w:color="auto"/>
        <w:bottom w:val="none" w:sz="0" w:space="0" w:color="auto"/>
        <w:right w:val="none" w:sz="0" w:space="0" w:color="auto"/>
      </w:divBdr>
    </w:div>
    <w:div w:id="477038884">
      <w:bodyDiv w:val="1"/>
      <w:marLeft w:val="0"/>
      <w:marRight w:val="0"/>
      <w:marTop w:val="0"/>
      <w:marBottom w:val="0"/>
      <w:divBdr>
        <w:top w:val="none" w:sz="0" w:space="0" w:color="auto"/>
        <w:left w:val="none" w:sz="0" w:space="0" w:color="auto"/>
        <w:bottom w:val="none" w:sz="0" w:space="0" w:color="auto"/>
        <w:right w:val="none" w:sz="0" w:space="0" w:color="auto"/>
      </w:divBdr>
    </w:div>
    <w:div w:id="530142758">
      <w:bodyDiv w:val="1"/>
      <w:marLeft w:val="0"/>
      <w:marRight w:val="0"/>
      <w:marTop w:val="0"/>
      <w:marBottom w:val="0"/>
      <w:divBdr>
        <w:top w:val="none" w:sz="0" w:space="0" w:color="auto"/>
        <w:left w:val="none" w:sz="0" w:space="0" w:color="auto"/>
        <w:bottom w:val="none" w:sz="0" w:space="0" w:color="auto"/>
        <w:right w:val="none" w:sz="0" w:space="0" w:color="auto"/>
      </w:divBdr>
    </w:div>
    <w:div w:id="644506708">
      <w:bodyDiv w:val="1"/>
      <w:marLeft w:val="0"/>
      <w:marRight w:val="0"/>
      <w:marTop w:val="0"/>
      <w:marBottom w:val="0"/>
      <w:divBdr>
        <w:top w:val="none" w:sz="0" w:space="0" w:color="auto"/>
        <w:left w:val="none" w:sz="0" w:space="0" w:color="auto"/>
        <w:bottom w:val="none" w:sz="0" w:space="0" w:color="auto"/>
        <w:right w:val="none" w:sz="0" w:space="0" w:color="auto"/>
      </w:divBdr>
    </w:div>
    <w:div w:id="674646617">
      <w:bodyDiv w:val="1"/>
      <w:marLeft w:val="0"/>
      <w:marRight w:val="0"/>
      <w:marTop w:val="0"/>
      <w:marBottom w:val="0"/>
      <w:divBdr>
        <w:top w:val="none" w:sz="0" w:space="0" w:color="auto"/>
        <w:left w:val="none" w:sz="0" w:space="0" w:color="auto"/>
        <w:bottom w:val="none" w:sz="0" w:space="0" w:color="auto"/>
        <w:right w:val="none" w:sz="0" w:space="0" w:color="auto"/>
      </w:divBdr>
      <w:divsChild>
        <w:div w:id="1169520349">
          <w:marLeft w:val="0"/>
          <w:marRight w:val="0"/>
          <w:marTop w:val="150"/>
          <w:marBottom w:val="0"/>
          <w:divBdr>
            <w:top w:val="none" w:sz="0" w:space="0" w:color="auto"/>
            <w:left w:val="none" w:sz="0" w:space="0" w:color="auto"/>
            <w:bottom w:val="none" w:sz="0" w:space="0" w:color="auto"/>
            <w:right w:val="none" w:sz="0" w:space="0" w:color="auto"/>
          </w:divBdr>
          <w:divsChild>
            <w:div w:id="1764304470">
              <w:marLeft w:val="0"/>
              <w:marRight w:val="0"/>
              <w:marTop w:val="0"/>
              <w:marBottom w:val="0"/>
              <w:divBdr>
                <w:top w:val="none" w:sz="0" w:space="0" w:color="auto"/>
                <w:left w:val="none" w:sz="0" w:space="0" w:color="auto"/>
                <w:bottom w:val="none" w:sz="0" w:space="0" w:color="auto"/>
                <w:right w:val="none" w:sz="0" w:space="0" w:color="auto"/>
              </w:divBdr>
            </w:div>
          </w:divsChild>
        </w:div>
        <w:div w:id="522595390">
          <w:marLeft w:val="0"/>
          <w:marRight w:val="0"/>
          <w:marTop w:val="0"/>
          <w:marBottom w:val="0"/>
          <w:divBdr>
            <w:top w:val="none" w:sz="0" w:space="0" w:color="auto"/>
            <w:left w:val="none" w:sz="0" w:space="0" w:color="auto"/>
            <w:bottom w:val="none" w:sz="0" w:space="0" w:color="auto"/>
            <w:right w:val="none" w:sz="0" w:space="0" w:color="auto"/>
          </w:divBdr>
        </w:div>
      </w:divsChild>
    </w:div>
    <w:div w:id="865757551">
      <w:bodyDiv w:val="1"/>
      <w:marLeft w:val="0"/>
      <w:marRight w:val="0"/>
      <w:marTop w:val="0"/>
      <w:marBottom w:val="0"/>
      <w:divBdr>
        <w:top w:val="none" w:sz="0" w:space="0" w:color="auto"/>
        <w:left w:val="none" w:sz="0" w:space="0" w:color="auto"/>
        <w:bottom w:val="none" w:sz="0" w:space="0" w:color="auto"/>
        <w:right w:val="none" w:sz="0" w:space="0" w:color="auto"/>
      </w:divBdr>
    </w:div>
    <w:div w:id="870193531">
      <w:bodyDiv w:val="1"/>
      <w:marLeft w:val="0"/>
      <w:marRight w:val="0"/>
      <w:marTop w:val="0"/>
      <w:marBottom w:val="0"/>
      <w:divBdr>
        <w:top w:val="none" w:sz="0" w:space="0" w:color="auto"/>
        <w:left w:val="none" w:sz="0" w:space="0" w:color="auto"/>
        <w:bottom w:val="none" w:sz="0" w:space="0" w:color="auto"/>
        <w:right w:val="none" w:sz="0" w:space="0" w:color="auto"/>
      </w:divBdr>
    </w:div>
    <w:div w:id="917403585">
      <w:bodyDiv w:val="1"/>
      <w:marLeft w:val="0"/>
      <w:marRight w:val="0"/>
      <w:marTop w:val="0"/>
      <w:marBottom w:val="0"/>
      <w:divBdr>
        <w:top w:val="none" w:sz="0" w:space="0" w:color="auto"/>
        <w:left w:val="none" w:sz="0" w:space="0" w:color="auto"/>
        <w:bottom w:val="none" w:sz="0" w:space="0" w:color="auto"/>
        <w:right w:val="none" w:sz="0" w:space="0" w:color="auto"/>
      </w:divBdr>
    </w:div>
    <w:div w:id="1159921776">
      <w:bodyDiv w:val="1"/>
      <w:marLeft w:val="0"/>
      <w:marRight w:val="0"/>
      <w:marTop w:val="0"/>
      <w:marBottom w:val="0"/>
      <w:divBdr>
        <w:top w:val="none" w:sz="0" w:space="0" w:color="auto"/>
        <w:left w:val="none" w:sz="0" w:space="0" w:color="auto"/>
        <w:bottom w:val="none" w:sz="0" w:space="0" w:color="auto"/>
        <w:right w:val="none" w:sz="0" w:space="0" w:color="auto"/>
      </w:divBdr>
    </w:div>
    <w:div w:id="1202474128">
      <w:bodyDiv w:val="1"/>
      <w:marLeft w:val="0"/>
      <w:marRight w:val="0"/>
      <w:marTop w:val="0"/>
      <w:marBottom w:val="0"/>
      <w:divBdr>
        <w:top w:val="none" w:sz="0" w:space="0" w:color="auto"/>
        <w:left w:val="none" w:sz="0" w:space="0" w:color="auto"/>
        <w:bottom w:val="none" w:sz="0" w:space="0" w:color="auto"/>
        <w:right w:val="none" w:sz="0" w:space="0" w:color="auto"/>
      </w:divBdr>
    </w:div>
    <w:div w:id="1457261917">
      <w:bodyDiv w:val="1"/>
      <w:marLeft w:val="0"/>
      <w:marRight w:val="0"/>
      <w:marTop w:val="0"/>
      <w:marBottom w:val="0"/>
      <w:divBdr>
        <w:top w:val="none" w:sz="0" w:space="0" w:color="auto"/>
        <w:left w:val="none" w:sz="0" w:space="0" w:color="auto"/>
        <w:bottom w:val="none" w:sz="0" w:space="0" w:color="auto"/>
        <w:right w:val="none" w:sz="0" w:space="0" w:color="auto"/>
      </w:divBdr>
      <w:divsChild>
        <w:div w:id="1744329380">
          <w:marLeft w:val="0"/>
          <w:marRight w:val="0"/>
          <w:marTop w:val="0"/>
          <w:marBottom w:val="0"/>
          <w:divBdr>
            <w:top w:val="none" w:sz="0" w:space="0" w:color="auto"/>
            <w:left w:val="none" w:sz="0" w:space="0" w:color="auto"/>
            <w:bottom w:val="none" w:sz="0" w:space="0" w:color="auto"/>
            <w:right w:val="none" w:sz="0" w:space="0" w:color="auto"/>
          </w:divBdr>
          <w:divsChild>
            <w:div w:id="1109200613">
              <w:marLeft w:val="0"/>
              <w:marRight w:val="0"/>
              <w:marTop w:val="0"/>
              <w:marBottom w:val="0"/>
              <w:divBdr>
                <w:top w:val="none" w:sz="0" w:space="0" w:color="auto"/>
                <w:left w:val="none" w:sz="0" w:space="0" w:color="auto"/>
                <w:bottom w:val="none" w:sz="0" w:space="0" w:color="auto"/>
                <w:right w:val="none" w:sz="0" w:space="0" w:color="auto"/>
              </w:divBdr>
              <w:divsChild>
                <w:div w:id="81776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06112">
      <w:bodyDiv w:val="1"/>
      <w:marLeft w:val="0"/>
      <w:marRight w:val="0"/>
      <w:marTop w:val="0"/>
      <w:marBottom w:val="0"/>
      <w:divBdr>
        <w:top w:val="none" w:sz="0" w:space="0" w:color="auto"/>
        <w:left w:val="none" w:sz="0" w:space="0" w:color="auto"/>
        <w:bottom w:val="none" w:sz="0" w:space="0" w:color="auto"/>
        <w:right w:val="none" w:sz="0" w:space="0" w:color="auto"/>
      </w:divBdr>
    </w:div>
    <w:div w:id="1553419331">
      <w:bodyDiv w:val="1"/>
      <w:marLeft w:val="0"/>
      <w:marRight w:val="0"/>
      <w:marTop w:val="0"/>
      <w:marBottom w:val="0"/>
      <w:divBdr>
        <w:top w:val="none" w:sz="0" w:space="0" w:color="auto"/>
        <w:left w:val="none" w:sz="0" w:space="0" w:color="auto"/>
        <w:bottom w:val="none" w:sz="0" w:space="0" w:color="auto"/>
        <w:right w:val="none" w:sz="0" w:space="0" w:color="auto"/>
      </w:divBdr>
    </w:div>
    <w:div w:id="1554384117">
      <w:bodyDiv w:val="1"/>
      <w:marLeft w:val="0"/>
      <w:marRight w:val="0"/>
      <w:marTop w:val="0"/>
      <w:marBottom w:val="0"/>
      <w:divBdr>
        <w:top w:val="none" w:sz="0" w:space="0" w:color="auto"/>
        <w:left w:val="none" w:sz="0" w:space="0" w:color="auto"/>
        <w:bottom w:val="none" w:sz="0" w:space="0" w:color="auto"/>
        <w:right w:val="none" w:sz="0" w:space="0" w:color="auto"/>
      </w:divBdr>
    </w:div>
    <w:div w:id="1567647368">
      <w:bodyDiv w:val="1"/>
      <w:marLeft w:val="0"/>
      <w:marRight w:val="0"/>
      <w:marTop w:val="0"/>
      <w:marBottom w:val="0"/>
      <w:divBdr>
        <w:top w:val="none" w:sz="0" w:space="0" w:color="auto"/>
        <w:left w:val="none" w:sz="0" w:space="0" w:color="auto"/>
        <w:bottom w:val="none" w:sz="0" w:space="0" w:color="auto"/>
        <w:right w:val="none" w:sz="0" w:space="0" w:color="auto"/>
      </w:divBdr>
    </w:div>
    <w:div w:id="1651980749">
      <w:bodyDiv w:val="1"/>
      <w:marLeft w:val="0"/>
      <w:marRight w:val="0"/>
      <w:marTop w:val="0"/>
      <w:marBottom w:val="0"/>
      <w:divBdr>
        <w:top w:val="none" w:sz="0" w:space="0" w:color="auto"/>
        <w:left w:val="none" w:sz="0" w:space="0" w:color="auto"/>
        <w:bottom w:val="none" w:sz="0" w:space="0" w:color="auto"/>
        <w:right w:val="none" w:sz="0" w:space="0" w:color="auto"/>
      </w:divBdr>
      <w:divsChild>
        <w:div w:id="1365133195">
          <w:marLeft w:val="0"/>
          <w:marRight w:val="0"/>
          <w:marTop w:val="150"/>
          <w:marBottom w:val="0"/>
          <w:divBdr>
            <w:top w:val="none" w:sz="0" w:space="0" w:color="auto"/>
            <w:left w:val="none" w:sz="0" w:space="0" w:color="auto"/>
            <w:bottom w:val="none" w:sz="0" w:space="0" w:color="auto"/>
            <w:right w:val="none" w:sz="0" w:space="0" w:color="auto"/>
          </w:divBdr>
          <w:divsChild>
            <w:div w:id="2146652294">
              <w:marLeft w:val="0"/>
              <w:marRight w:val="0"/>
              <w:marTop w:val="0"/>
              <w:marBottom w:val="0"/>
              <w:divBdr>
                <w:top w:val="none" w:sz="0" w:space="0" w:color="auto"/>
                <w:left w:val="none" w:sz="0" w:space="0" w:color="auto"/>
                <w:bottom w:val="none" w:sz="0" w:space="0" w:color="auto"/>
                <w:right w:val="none" w:sz="0" w:space="0" w:color="auto"/>
              </w:divBdr>
            </w:div>
          </w:divsChild>
        </w:div>
        <w:div w:id="1068385277">
          <w:marLeft w:val="0"/>
          <w:marRight w:val="0"/>
          <w:marTop w:val="0"/>
          <w:marBottom w:val="0"/>
          <w:divBdr>
            <w:top w:val="none" w:sz="0" w:space="0" w:color="auto"/>
            <w:left w:val="none" w:sz="0" w:space="0" w:color="auto"/>
            <w:bottom w:val="none" w:sz="0" w:space="0" w:color="auto"/>
            <w:right w:val="none" w:sz="0" w:space="0" w:color="auto"/>
          </w:divBdr>
        </w:div>
      </w:divsChild>
    </w:div>
    <w:div w:id="214277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439702/private-schools-full-report.pdf" TargetMode="External"/><Relationship Id="rId3" Type="http://schemas.openxmlformats.org/officeDocument/2006/relationships/hyperlink" Target="https://mtaaniinsight.wordpress.com/2015/02/19/non-formal-education-sector-squabbles-a-threat-to-their-survival/" TargetMode="External"/><Relationship Id="rId7" Type="http://schemas.openxmlformats.org/officeDocument/2006/relationships/hyperlink" Target="http://www.bridgeinternationalacademies.com/company/investors/" TargetMode="External"/><Relationship Id="rId2" Type="http://schemas.openxmlformats.org/officeDocument/2006/relationships/hyperlink" Target="http://www.ungei.org/infobycountry/247_712.html" TargetMode="External"/><Relationship Id="rId1" Type="http://schemas.openxmlformats.org/officeDocument/2006/relationships/hyperlink" Target="http://aphrc.org/kenyas-free-education-policy-could-actually-be-deepening-inequality/" TargetMode="External"/><Relationship Id="rId6" Type="http://schemas.openxmlformats.org/officeDocument/2006/relationships/hyperlink" Target="https://www.gov.uk/government/organisations/department-for-international-development" TargetMode="External"/><Relationship Id="rId5" Type="http://schemas.openxmlformats.org/officeDocument/2006/relationships/hyperlink" Target="http://ifcextapps.ifc.org/ifcext/spiwebsite1.nsf/78e3b305216fcdba85257a8b0075079d/2354398b8630c4d085257c140067863f?opendocument" TargetMode="External"/><Relationship Id="rId4" Type="http://schemas.openxmlformats.org/officeDocument/2006/relationships/hyperlink" Target="http://www.ifc.org/wps/wcm/connect/corp_ext_content/ifc_external_corporate_site/about+ifc_n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94448-8492-4AB1-9D5D-7145BE78EB84}"/>
</file>

<file path=customXml/itemProps2.xml><?xml version="1.0" encoding="utf-8"?>
<ds:datastoreItem xmlns:ds="http://schemas.openxmlformats.org/officeDocument/2006/customXml" ds:itemID="{DAA4E651-7C5C-4906-8BCA-7691225E53D0}"/>
</file>

<file path=customXml/itemProps3.xml><?xml version="1.0" encoding="utf-8"?>
<ds:datastoreItem xmlns:ds="http://schemas.openxmlformats.org/officeDocument/2006/customXml" ds:itemID="{9501D809-3E7C-432F-A4AB-A0E166AFA47A}"/>
</file>

<file path=customXml/itemProps4.xml><?xml version="1.0" encoding="utf-8"?>
<ds:datastoreItem xmlns:ds="http://schemas.openxmlformats.org/officeDocument/2006/customXml" ds:itemID="{1F65D08B-96E3-496E-8D49-B9986F354FCA}"/>
</file>

<file path=docProps/app.xml><?xml version="1.0" encoding="utf-8"?>
<Properties xmlns="http://schemas.openxmlformats.org/officeDocument/2006/extended-properties" xmlns:vt="http://schemas.openxmlformats.org/officeDocument/2006/docPropsVTypes">
  <Template>Normal.dotm</Template>
  <TotalTime>0</TotalTime>
  <Pages>19</Pages>
  <Words>5532</Words>
  <Characters>31537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Pauline</cp:lastModifiedBy>
  <cp:revision>2</cp:revision>
  <dcterms:created xsi:type="dcterms:W3CDTF">2016-01-12T12:09:00Z</dcterms:created>
  <dcterms:modified xsi:type="dcterms:W3CDTF">2016-01-12T12:09:00Z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