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E498C" w:rsidRPr="009C41E2" w:rsidTr="00DE4B2F">
        <w:trPr>
          <w:cantSplit/>
          <w:trHeight w:hRule="exact" w:val="851"/>
        </w:trPr>
        <w:tc>
          <w:tcPr>
            <w:tcW w:w="1276" w:type="dxa"/>
            <w:tcBorders>
              <w:bottom w:val="single" w:sz="4" w:space="0" w:color="auto"/>
            </w:tcBorders>
            <w:shd w:val="clear" w:color="auto" w:fill="auto"/>
            <w:vAlign w:val="bottom"/>
          </w:tcPr>
          <w:p w:rsidR="001E498C" w:rsidRPr="009C41E2" w:rsidRDefault="001E498C" w:rsidP="00DE4B2F">
            <w:pPr>
              <w:spacing w:after="80"/>
            </w:pPr>
            <w:bookmarkStart w:id="0" w:name="_GoBack"/>
            <w:bookmarkEnd w:id="0"/>
          </w:p>
        </w:tc>
        <w:tc>
          <w:tcPr>
            <w:tcW w:w="2268" w:type="dxa"/>
            <w:tcBorders>
              <w:bottom w:val="single" w:sz="4" w:space="0" w:color="auto"/>
            </w:tcBorders>
            <w:shd w:val="clear" w:color="auto" w:fill="auto"/>
            <w:vAlign w:val="bottom"/>
          </w:tcPr>
          <w:p w:rsidR="001E498C" w:rsidRPr="00DE4B2F" w:rsidRDefault="001E498C" w:rsidP="00DE4B2F">
            <w:pPr>
              <w:spacing w:after="80" w:line="300" w:lineRule="exact"/>
              <w:rPr>
                <w:sz w:val="24"/>
                <w:szCs w:val="24"/>
              </w:rPr>
            </w:pPr>
            <w:r w:rsidRPr="00DE4B2F">
              <w:rPr>
                <w:sz w:val="28"/>
                <w:szCs w:val="28"/>
              </w:rPr>
              <w:t>United Nations</w:t>
            </w:r>
          </w:p>
        </w:tc>
        <w:tc>
          <w:tcPr>
            <w:tcW w:w="6095" w:type="dxa"/>
            <w:gridSpan w:val="2"/>
            <w:tcBorders>
              <w:bottom w:val="single" w:sz="4" w:space="0" w:color="auto"/>
            </w:tcBorders>
            <w:shd w:val="clear" w:color="auto" w:fill="auto"/>
            <w:vAlign w:val="bottom"/>
          </w:tcPr>
          <w:p w:rsidR="001E498C" w:rsidRPr="009C41E2" w:rsidRDefault="003D3938" w:rsidP="00DE4B2F">
            <w:pPr>
              <w:suppressAutoHyphens w:val="0"/>
              <w:spacing w:after="20"/>
              <w:jc w:val="right"/>
            </w:pPr>
            <w:r w:rsidRPr="00DE4B2F">
              <w:rPr>
                <w:sz w:val="40"/>
              </w:rPr>
              <w:t>C</w:t>
            </w:r>
            <w:r w:rsidR="0053631F" w:rsidRPr="00DE4B2F">
              <w:rPr>
                <w:sz w:val="40"/>
              </w:rPr>
              <w:t>AT</w:t>
            </w:r>
            <w:r w:rsidR="001E498C" w:rsidRPr="009C41E2">
              <w:t>/</w:t>
            </w:r>
            <w:r w:rsidR="003B0B0F" w:rsidRPr="009C41E2">
              <w:t>C/SR.</w:t>
            </w:r>
            <w:r w:rsidR="00257838" w:rsidRPr="009C41E2">
              <w:t>1667</w:t>
            </w:r>
          </w:p>
        </w:tc>
      </w:tr>
      <w:tr w:rsidR="001E498C" w:rsidRPr="00B65FCA" w:rsidTr="00DE4B2F">
        <w:trPr>
          <w:cantSplit/>
          <w:trHeight w:hRule="exact" w:val="2835"/>
        </w:trPr>
        <w:tc>
          <w:tcPr>
            <w:tcW w:w="1276" w:type="dxa"/>
            <w:tcBorders>
              <w:top w:val="single" w:sz="4" w:space="0" w:color="auto"/>
              <w:bottom w:val="single" w:sz="12" w:space="0" w:color="auto"/>
            </w:tcBorders>
            <w:shd w:val="clear" w:color="auto" w:fill="auto"/>
          </w:tcPr>
          <w:p w:rsidR="001E498C" w:rsidRPr="009C41E2" w:rsidRDefault="00DE4B2F" w:rsidP="00DE4B2F">
            <w:pPr>
              <w:spacing w:before="120"/>
              <w:jc w:val="center"/>
            </w:pPr>
            <w:r w:rsidRPr="005E2E1D">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4pt;height:46.8pt;visibility:visible;mso-wrap-style:square">
                  <v:imagedata r:id="rId7" o:title="_unlogo"/>
                </v:shape>
              </w:pict>
            </w:r>
          </w:p>
        </w:tc>
        <w:tc>
          <w:tcPr>
            <w:tcW w:w="5528" w:type="dxa"/>
            <w:gridSpan w:val="2"/>
            <w:tcBorders>
              <w:top w:val="single" w:sz="4" w:space="0" w:color="auto"/>
              <w:bottom w:val="single" w:sz="12" w:space="0" w:color="auto"/>
            </w:tcBorders>
            <w:shd w:val="clear" w:color="auto" w:fill="auto"/>
          </w:tcPr>
          <w:p w:rsidR="001E498C" w:rsidRPr="00DE4B2F" w:rsidRDefault="005B75E3" w:rsidP="00DE4B2F">
            <w:pPr>
              <w:spacing w:before="120" w:line="380" w:lineRule="exact"/>
              <w:rPr>
                <w:b/>
                <w:bCs/>
                <w:sz w:val="34"/>
                <w:szCs w:val="40"/>
              </w:rPr>
            </w:pPr>
            <w:r w:rsidRPr="00DE4B2F">
              <w:rPr>
                <w:b/>
                <w:sz w:val="34"/>
                <w:szCs w:val="40"/>
              </w:rPr>
              <w:t>Convention against Torture</w:t>
            </w:r>
            <w:r w:rsidRPr="00DE4B2F">
              <w:rPr>
                <w:b/>
                <w:sz w:val="34"/>
                <w:szCs w:val="40"/>
              </w:rPr>
              <w:br/>
              <w:t>and Other Cruel, Inhuman</w:t>
            </w:r>
            <w:r w:rsidRPr="00DE4B2F">
              <w:rPr>
                <w:b/>
                <w:sz w:val="34"/>
                <w:szCs w:val="40"/>
              </w:rPr>
              <w:br/>
              <w:t>or Degrading Treatment</w:t>
            </w:r>
            <w:r w:rsidRPr="00DE4B2F">
              <w:rPr>
                <w:b/>
                <w:sz w:val="34"/>
                <w:szCs w:val="40"/>
              </w:rPr>
              <w:br/>
              <w:t>or Punishment</w:t>
            </w:r>
          </w:p>
        </w:tc>
        <w:tc>
          <w:tcPr>
            <w:tcW w:w="2835" w:type="dxa"/>
            <w:tcBorders>
              <w:top w:val="single" w:sz="4" w:space="0" w:color="auto"/>
              <w:bottom w:val="single" w:sz="12" w:space="0" w:color="auto"/>
            </w:tcBorders>
            <w:shd w:val="clear" w:color="auto" w:fill="auto"/>
          </w:tcPr>
          <w:p w:rsidR="001E498C" w:rsidRPr="00DE4B2F" w:rsidRDefault="006748CF" w:rsidP="00DE4B2F">
            <w:pPr>
              <w:suppressAutoHyphens w:val="0"/>
              <w:spacing w:before="240" w:line="240" w:lineRule="exact"/>
            </w:pPr>
            <w:r w:rsidRPr="00DE4B2F">
              <w:t>Distr.</w:t>
            </w:r>
            <w:r w:rsidR="0046257D" w:rsidRPr="00DE4B2F">
              <w:t>:</w:t>
            </w:r>
            <w:r w:rsidR="001E498C" w:rsidRPr="00DE4B2F">
              <w:t xml:space="preserve"> </w:t>
            </w:r>
            <w:r w:rsidR="00257838" w:rsidRPr="00DE4B2F">
              <w:t>General</w:t>
            </w:r>
          </w:p>
          <w:p w:rsidR="001E498C" w:rsidRPr="00DE4B2F" w:rsidRDefault="0082047F" w:rsidP="00DE4B2F">
            <w:pPr>
              <w:suppressAutoHyphens w:val="0"/>
            </w:pPr>
            <w:r>
              <w:t>10</w:t>
            </w:r>
            <w:r w:rsidR="002A13F6">
              <w:t xml:space="preserve"> </w:t>
            </w:r>
            <w:r w:rsidR="00233A20">
              <w:t>August 2018</w:t>
            </w:r>
          </w:p>
          <w:p w:rsidR="003B0B0F" w:rsidRPr="00DE4B2F" w:rsidRDefault="003B0B0F" w:rsidP="00DE4B2F">
            <w:pPr>
              <w:suppressAutoHyphens w:val="0"/>
            </w:pPr>
          </w:p>
          <w:p w:rsidR="006056E0" w:rsidRPr="00DE4B2F" w:rsidRDefault="00707C98" w:rsidP="00DE4B2F">
            <w:pPr>
              <w:suppressAutoHyphens w:val="0"/>
            </w:pPr>
            <w:r w:rsidRPr="00DE4B2F">
              <w:t>Original :</w:t>
            </w:r>
            <w:r w:rsidR="00CB43B4" w:rsidRPr="00DE4B2F">
              <w:t xml:space="preserve"> English</w:t>
            </w:r>
          </w:p>
        </w:tc>
      </w:tr>
    </w:tbl>
    <w:p w:rsidR="00CB43B4" w:rsidRPr="004E6D0A" w:rsidRDefault="005B75E3" w:rsidP="00CB43B4">
      <w:pPr>
        <w:spacing w:before="120"/>
        <w:rPr>
          <w:b/>
          <w:bCs/>
          <w:sz w:val="24"/>
          <w:szCs w:val="24"/>
        </w:rPr>
      </w:pPr>
      <w:r w:rsidRPr="004E6D0A">
        <w:rPr>
          <w:b/>
          <w:sz w:val="24"/>
        </w:rPr>
        <w:t>Committee against Torture</w:t>
      </w:r>
    </w:p>
    <w:p w:rsidR="003B0B0F" w:rsidRPr="004E6D0A" w:rsidRDefault="00257838" w:rsidP="00CB43B4">
      <w:pPr>
        <w:spacing w:after="120"/>
        <w:rPr>
          <w:b/>
          <w:bCs/>
        </w:rPr>
      </w:pPr>
      <w:r w:rsidRPr="004E6D0A">
        <w:rPr>
          <w:b/>
          <w:bCs/>
        </w:rPr>
        <w:t>Sixty-fourth</w:t>
      </w:r>
      <w:r w:rsidR="003B0B0F" w:rsidRPr="004E6D0A">
        <w:rPr>
          <w:b/>
          <w:bCs/>
        </w:rPr>
        <w:t xml:space="preserve"> session</w:t>
      </w:r>
    </w:p>
    <w:p w:rsidR="003B0B0F" w:rsidRPr="004E6D0A" w:rsidRDefault="003B0B0F" w:rsidP="002E6AF8">
      <w:pPr>
        <w:rPr>
          <w:b/>
          <w:bCs/>
        </w:rPr>
      </w:pPr>
      <w:r w:rsidRPr="004E6D0A">
        <w:rPr>
          <w:b/>
          <w:bCs/>
        </w:rPr>
        <w:t xml:space="preserve">Summary record of the </w:t>
      </w:r>
      <w:r w:rsidR="002E6AF8" w:rsidRPr="004E6D0A">
        <w:rPr>
          <w:b/>
          <w:bCs/>
        </w:rPr>
        <w:t xml:space="preserve">1667th </w:t>
      </w:r>
      <w:r w:rsidRPr="004E6D0A">
        <w:rPr>
          <w:b/>
          <w:bCs/>
        </w:rPr>
        <w:t>meeting</w:t>
      </w:r>
    </w:p>
    <w:p w:rsidR="003B0B0F" w:rsidRPr="004E6D0A" w:rsidRDefault="003B0B0F" w:rsidP="00F24D6D">
      <w:pPr>
        <w:spacing w:after="120"/>
      </w:pPr>
      <w:r w:rsidRPr="004E6D0A">
        <w:t xml:space="preserve">Held at the </w:t>
      </w:r>
      <w:r w:rsidR="00AE7729" w:rsidRPr="004E6D0A">
        <w:t>Palais Wilson, Geneva</w:t>
      </w:r>
      <w:r w:rsidRPr="004E6D0A">
        <w:t xml:space="preserve">, on </w:t>
      </w:r>
      <w:r w:rsidR="00AE7729" w:rsidRPr="004E6D0A">
        <w:t>Tuesday, 31 July 2018, at 3 p.m.</w:t>
      </w:r>
      <w:r w:rsidRPr="004E6D0A">
        <w:rPr>
          <w:color w:val="FF0000"/>
        </w:rPr>
        <w:t xml:space="preserve"> </w:t>
      </w:r>
    </w:p>
    <w:p w:rsidR="003B0B0F" w:rsidRPr="004E6D0A" w:rsidRDefault="003B0B0F" w:rsidP="00AE7729">
      <w:pPr>
        <w:tabs>
          <w:tab w:val="left" w:pos="1134"/>
          <w:tab w:val="right" w:leader="dot" w:pos="8504"/>
        </w:tabs>
        <w:spacing w:after="120"/>
      </w:pPr>
      <w:r w:rsidRPr="004E6D0A">
        <w:rPr>
          <w:i/>
        </w:rPr>
        <w:t>Chair</w:t>
      </w:r>
      <w:r w:rsidRPr="004E6D0A">
        <w:t>:</w:t>
      </w:r>
      <w:r w:rsidRPr="004E6D0A">
        <w:tab/>
      </w:r>
      <w:r w:rsidR="00AE7729" w:rsidRPr="004E6D0A">
        <w:t>Mr. Modvig</w:t>
      </w:r>
    </w:p>
    <w:p w:rsidR="003B0B0F" w:rsidRPr="004E6D0A" w:rsidRDefault="003B0B0F" w:rsidP="003B0B0F">
      <w:pPr>
        <w:tabs>
          <w:tab w:val="right" w:pos="992"/>
          <w:tab w:val="left" w:pos="1276"/>
          <w:tab w:val="right" w:leader="dot" w:pos="8504"/>
        </w:tabs>
        <w:spacing w:before="360" w:after="240"/>
        <w:rPr>
          <w:sz w:val="28"/>
        </w:rPr>
      </w:pPr>
      <w:r w:rsidRPr="004E6D0A">
        <w:rPr>
          <w:sz w:val="28"/>
        </w:rPr>
        <w:t>Contents</w:t>
      </w:r>
    </w:p>
    <w:p w:rsidR="00EA4D37" w:rsidRPr="004E6D0A" w:rsidRDefault="00EA4D37" w:rsidP="002A13F6">
      <w:pPr>
        <w:pStyle w:val="SingleTxtG"/>
        <w:jc w:val="left"/>
      </w:pPr>
      <w:r w:rsidRPr="004E6D0A">
        <w:t>Consideration of reports submitted by States parties under article 19 of the Convention (</w:t>
      </w:r>
      <w:r w:rsidRPr="004E6D0A">
        <w:rPr>
          <w:i/>
          <w:iCs/>
        </w:rPr>
        <w:t>continued</w:t>
      </w:r>
      <w:r w:rsidRPr="004E6D0A">
        <w:t>)</w:t>
      </w:r>
    </w:p>
    <w:p w:rsidR="00EA4D37" w:rsidRPr="004E6D0A" w:rsidRDefault="00EA4D37" w:rsidP="00EA4D37">
      <w:pPr>
        <w:pStyle w:val="SingleTxtG"/>
      </w:pPr>
      <w:r w:rsidRPr="004E6D0A">
        <w:tab/>
      </w:r>
      <w:r w:rsidRPr="004E6D0A">
        <w:rPr>
          <w:i/>
          <w:iCs/>
        </w:rPr>
        <w:t xml:space="preserve">Sixth periodic report of </w:t>
      </w:r>
      <w:r w:rsidR="00312462" w:rsidRPr="004E6D0A">
        <w:rPr>
          <w:i/>
          <w:iCs/>
        </w:rPr>
        <w:t>Chile</w:t>
      </w:r>
      <w:r w:rsidRPr="004E6D0A">
        <w:rPr>
          <w:i/>
          <w:iCs/>
        </w:rPr>
        <w:t xml:space="preserve"> </w:t>
      </w:r>
      <w:r w:rsidRPr="004E6D0A">
        <w:t>(</w:t>
      </w:r>
      <w:r w:rsidRPr="004E6D0A">
        <w:rPr>
          <w:i/>
          <w:iCs/>
        </w:rPr>
        <w:t>continued</w:t>
      </w:r>
      <w:r w:rsidRPr="004E6D0A">
        <w:t>)</w:t>
      </w:r>
    </w:p>
    <w:p w:rsidR="006D4D6A" w:rsidRPr="004E6D0A" w:rsidRDefault="000C2BDC" w:rsidP="00AE7729">
      <w:pPr>
        <w:pStyle w:val="SingleTxtG"/>
        <w:rPr>
          <w:i/>
          <w:iCs/>
        </w:rPr>
      </w:pPr>
      <w:r w:rsidRPr="004E6D0A">
        <w:br w:type="page"/>
      </w:r>
      <w:r w:rsidRPr="004E6D0A">
        <w:rPr>
          <w:i/>
          <w:iCs/>
        </w:rPr>
        <w:lastRenderedPageBreak/>
        <w:t>The meeting was called to order at 3 p.m.</w:t>
      </w:r>
    </w:p>
    <w:p w:rsidR="00DD350C" w:rsidRPr="004E6D0A" w:rsidRDefault="003444CC" w:rsidP="003444CC">
      <w:pPr>
        <w:pStyle w:val="H23G"/>
        <w:rPr>
          <w:b w:val="0"/>
          <w:bCs/>
        </w:rPr>
      </w:pPr>
      <w:r w:rsidRPr="004E6D0A">
        <w:tab/>
      </w:r>
      <w:r w:rsidRPr="004E6D0A">
        <w:tab/>
      </w:r>
      <w:r w:rsidR="00DD350C" w:rsidRPr="004E6D0A">
        <w:t xml:space="preserve">Consideration of reports submitted by States parties under article 19 of the Convention </w:t>
      </w:r>
      <w:r w:rsidR="00DD350C" w:rsidRPr="004E6D0A">
        <w:rPr>
          <w:b w:val="0"/>
          <w:bCs/>
        </w:rPr>
        <w:t>(</w:t>
      </w:r>
      <w:r w:rsidR="00DD350C" w:rsidRPr="004E6D0A">
        <w:rPr>
          <w:b w:val="0"/>
          <w:bCs/>
          <w:i/>
          <w:iCs/>
        </w:rPr>
        <w:t>continued</w:t>
      </w:r>
      <w:r w:rsidR="00DD350C" w:rsidRPr="004E6D0A">
        <w:rPr>
          <w:b w:val="0"/>
          <w:bCs/>
        </w:rPr>
        <w:t>)</w:t>
      </w:r>
    </w:p>
    <w:p w:rsidR="00DD350C" w:rsidRPr="004E6D0A" w:rsidRDefault="00DD350C" w:rsidP="003444CC">
      <w:pPr>
        <w:pStyle w:val="SingleTxtG"/>
        <w:jc w:val="left"/>
      </w:pPr>
      <w:r w:rsidRPr="004E6D0A">
        <w:tab/>
      </w:r>
      <w:r w:rsidRPr="004E6D0A">
        <w:rPr>
          <w:i/>
          <w:iCs/>
        </w:rPr>
        <w:t>Sixth periodic report of Chile</w:t>
      </w:r>
      <w:r w:rsidRPr="004E6D0A">
        <w:t xml:space="preserve"> (</w:t>
      </w:r>
      <w:r w:rsidRPr="004E6D0A">
        <w:rPr>
          <w:i/>
          <w:iCs/>
        </w:rPr>
        <w:t>continued</w:t>
      </w:r>
      <w:r w:rsidRPr="004E6D0A">
        <w:t>) (</w:t>
      </w:r>
      <w:hyperlink r:id="rId8" w:history="1">
        <w:r w:rsidRPr="000A2CED">
          <w:rPr>
            <w:rStyle w:val="Hyperlink"/>
          </w:rPr>
          <w:t>CAT/C/CHL/6</w:t>
        </w:r>
      </w:hyperlink>
      <w:r w:rsidRPr="004E6D0A">
        <w:t xml:space="preserve">; </w:t>
      </w:r>
      <w:hyperlink r:id="rId9" w:history="1">
        <w:r w:rsidRPr="000A2CED">
          <w:rPr>
            <w:rStyle w:val="Hyperlink"/>
          </w:rPr>
          <w:t>CAT/C/CHL/Q/6</w:t>
        </w:r>
      </w:hyperlink>
      <w:r w:rsidRPr="004E6D0A">
        <w:t>)</w:t>
      </w:r>
    </w:p>
    <w:p w:rsidR="00DD350C" w:rsidRPr="004E6D0A" w:rsidRDefault="00DD350C" w:rsidP="003444CC">
      <w:pPr>
        <w:pStyle w:val="ParNoG"/>
      </w:pPr>
      <w:r w:rsidRPr="004E6D0A">
        <w:rPr>
          <w:i/>
          <w:iCs/>
        </w:rPr>
        <w:t>At the invitation of the Chair, the delegation of Chile took places at the Committee table</w:t>
      </w:r>
      <w:r w:rsidRPr="004E6D0A">
        <w:t>.</w:t>
      </w:r>
    </w:p>
    <w:p w:rsidR="00DD350C" w:rsidRPr="004E6D0A" w:rsidRDefault="00DD350C" w:rsidP="0082047F">
      <w:pPr>
        <w:pStyle w:val="ParNoG"/>
      </w:pPr>
      <w:r w:rsidRPr="004E6D0A">
        <w:rPr>
          <w:b/>
          <w:bCs/>
        </w:rPr>
        <w:t>Mr. Künsemüller</w:t>
      </w:r>
      <w:r w:rsidRPr="004E6D0A">
        <w:t xml:space="preserve"> (Chile) said that following the reform of criminal procedure, investigations fell exclusively within the purview of the Public Prosecution Service, which was independent from the judiciary.</w:t>
      </w:r>
      <w:r w:rsidR="00E67C7F" w:rsidRPr="004E6D0A">
        <w:t xml:space="preserve"> </w:t>
      </w:r>
      <w:r w:rsidRPr="004E6D0A">
        <w:t xml:space="preserve">Due process judges did not conduct investigations but were responsible for guaranteeing respect </w:t>
      </w:r>
      <w:r w:rsidR="0082047F" w:rsidRPr="004E6D0A">
        <w:t xml:space="preserve">for </w:t>
      </w:r>
      <w:r w:rsidRPr="004E6D0A">
        <w:t>the rights of the parties during proceedings. Cases involving allegations of torture committed during the dictatorship, however, were investigated and prosecuted by specialized judges under the former inquisitorial system.</w:t>
      </w:r>
      <w:r w:rsidR="00E67C7F" w:rsidRPr="004E6D0A">
        <w:t xml:space="preserve"> </w:t>
      </w:r>
    </w:p>
    <w:p w:rsidR="00DD350C" w:rsidRPr="004E6D0A" w:rsidRDefault="00DD350C" w:rsidP="00847878">
      <w:pPr>
        <w:pStyle w:val="ParNoG"/>
      </w:pPr>
      <w:r w:rsidRPr="004E6D0A">
        <w:rPr>
          <w:b/>
          <w:bCs/>
        </w:rPr>
        <w:t>Mr. Soto</w:t>
      </w:r>
      <w:r w:rsidRPr="004E6D0A">
        <w:t xml:space="preserve"> (Chile) said that Act No. 20.968 defined the crime of torture and provided for penalties, in line with the Convention </w:t>
      </w:r>
      <w:r w:rsidR="0082047F" w:rsidRPr="004E6D0A">
        <w:t xml:space="preserve">against Torture </w:t>
      </w:r>
      <w:r w:rsidRPr="004E6D0A">
        <w:t>and the Inter-American Convention to Prevent and Punish Torture. Article 150 of the Criminal Code laid down a graded penalty system for prison officials found guilty of torture. For torture proper, the minimum sentence was imprisonment of seven and half years and for aggravated torture, which included the commission of another offence such as murder, the minimum sentence was imprisonment of 15 years and the maximum was life imprisonment. The majority of prosecutions for torture fell under those provisions, for which the statute of limitations was 15 years. In addition, following extensive parliamentary debate, legislative amendments had been made to article 150 to distinguish between acts which caused suffering and those which diminished the detainee</w:t>
      </w:r>
      <w:r w:rsidR="004E6D0A">
        <w:t>’</w:t>
      </w:r>
      <w:r w:rsidRPr="004E6D0A">
        <w:t>s free will, and to reduce sentences pertaining to the latter, for which a statute of limitations of five years had been set. Statutes of limitations were not applicable to offences under Act No. 20.357, which criminalized crimes against humanity, genocide and war crimes, in line with</w:t>
      </w:r>
      <w:r w:rsidR="00E67C7F" w:rsidRPr="004E6D0A">
        <w:t xml:space="preserve"> </w:t>
      </w:r>
      <w:r w:rsidRPr="004E6D0A">
        <w:t xml:space="preserve">applicable international standards. The Code of Criminal Procedure also </w:t>
      </w:r>
      <w:r w:rsidR="00847878" w:rsidRPr="004E6D0A">
        <w:t>provided for</w:t>
      </w:r>
      <w:r w:rsidRPr="004E6D0A">
        <w:t xml:space="preserve"> statutes of limitations ranging from </w:t>
      </w:r>
      <w:r w:rsidR="002A13F6" w:rsidRPr="004E6D0A">
        <w:t>5</w:t>
      </w:r>
      <w:r w:rsidRPr="004E6D0A">
        <w:t xml:space="preserve"> to 15 years for other crimes associated with torture or ill-treatment. Strict oversight mechanisms were in place to eliminate impunity for all such crimes. </w:t>
      </w:r>
    </w:p>
    <w:p w:rsidR="00DD350C" w:rsidRPr="004E6D0A" w:rsidRDefault="00DD350C" w:rsidP="002A13F6">
      <w:pPr>
        <w:pStyle w:val="ParNoG"/>
      </w:pPr>
      <w:r w:rsidRPr="004E6D0A">
        <w:t xml:space="preserve">The case of Alex Lemun, who had been killed in 2002, had been reopened by the Supreme Court despite the expiry of the statute of limitations and was currently under investigation. Regarding the allegations of torture in detention by Vicente Retamal Salgado in June 2018, an investigation was under way, conducted by special prosecutors in Valparaiso. With respect to the so-called </w:t>
      </w:r>
      <w:r w:rsidR="004E6D0A">
        <w:t>“</w:t>
      </w:r>
      <w:r w:rsidRPr="004E6D0A">
        <w:t>Operation Hurricane</w:t>
      </w:r>
      <w:r w:rsidR="004E6D0A">
        <w:t>”</w:t>
      </w:r>
      <w:r w:rsidRPr="004E6D0A">
        <w:t xml:space="preserve"> case, nine officials from the police and national intelligence units were being investigated or were subject to precautionary measures for falsifying documents, among other offences. One official had been placed in preventive detention. The case of Rodrigo Donoso Jiménez, who had been shot at the Talagante remand centre on 29 January 2012, had been suspended. The official involved had not been found guilty as evidence had shown that his acts might have been in accordance with protocols on prison escapes. Allegations of torture under interrogation by José Peralino, who was represented by private counsel and a member of the National Human Rights Institute, were being investigated in accordance with due process. </w:t>
      </w:r>
    </w:p>
    <w:p w:rsidR="00DD350C" w:rsidRPr="004E6D0A" w:rsidRDefault="00DD350C" w:rsidP="003444CC">
      <w:pPr>
        <w:pStyle w:val="ParNoG"/>
      </w:pPr>
      <w:r w:rsidRPr="004E6D0A">
        <w:t xml:space="preserve">Various cases relating to crimes committed by members of the National Service for Minors were being investigated, including more than 250 cases regarding children who had died between 2005 and 2016. Investigations were also under way into more than 50 cases of torture and ill-treatment, and some 25 cases of sexual or commercial exploitation of children. All cases of sexual abuse committed by members of the Catholic Church from 2000 were to be prosecuted, even where the statute of limitations had expired, in order to afford justice to all victims. Coordinated efforts were being made with all bodies involved in prosecuting cases of torture in prisons to encourage complaints and reduce reprisals. </w:t>
      </w:r>
    </w:p>
    <w:p w:rsidR="00DD350C" w:rsidRPr="004E6D0A" w:rsidRDefault="00DD350C" w:rsidP="003444CC">
      <w:pPr>
        <w:pStyle w:val="ParNoG"/>
      </w:pPr>
      <w:r w:rsidRPr="004E6D0A">
        <w:rPr>
          <w:b/>
          <w:bCs/>
        </w:rPr>
        <w:t>Mr. Torres</w:t>
      </w:r>
      <w:r w:rsidRPr="004E6D0A">
        <w:t xml:space="preserve"> (Chile) said that between 2009 and May 2018, more than 1,000 cases of torture or ill-treatment had come before the courts, 810 of them between 2014 and May 2018. Almost 600 of the total number of cases had been closed and various prison sentences had been handed down in around 45 cases between 2014 and May 2018. Regulations in line with international standards were in place to determine compensation </w:t>
      </w:r>
      <w:r w:rsidRPr="004E6D0A">
        <w:lastRenderedPageBreak/>
        <w:t>for victims of torture. With regard to the death in 2011 of Manuel Gutiérrez, a criminal investigation had been launched,</w:t>
      </w:r>
      <w:r w:rsidR="00E67C7F" w:rsidRPr="004E6D0A">
        <w:t xml:space="preserve"> </w:t>
      </w:r>
      <w:r w:rsidRPr="004E6D0A">
        <w:t xml:space="preserve">and sentences were pending. No appeals for redress had been registered with regard to the case of Jaime Faundo Mendoza Collio who had been shot by a police officer during a dispute over indigenous territory in 2009. </w:t>
      </w:r>
    </w:p>
    <w:p w:rsidR="00DD350C" w:rsidRPr="004E6D0A" w:rsidRDefault="00DD350C" w:rsidP="003444CC">
      <w:pPr>
        <w:pStyle w:val="ParNoG"/>
      </w:pPr>
      <w:r w:rsidRPr="004E6D0A">
        <w:rPr>
          <w:b/>
          <w:bCs/>
        </w:rPr>
        <w:t>Mr. Candia</w:t>
      </w:r>
      <w:r w:rsidRPr="004E6D0A">
        <w:t xml:space="preserve"> (Chile) said that Act No. 20.476 of 2010 and Act No. 20.968 of 2016 restricted the jurisdiction of the military courts to cases associated with military personnel. Act No. 20.477, amending the Code of Military Justice, prohibited prosecutions by military courts of all cases involving civilians and minors, and oversight mechanisms were in place in that regard. Conflicts over jurisdiction were resolved by the Supreme Court, which, over the previous two years, had dealt with 17 such cases and referred all to the ordinary courts. </w:t>
      </w:r>
    </w:p>
    <w:p w:rsidR="00DD350C" w:rsidRPr="004E6D0A" w:rsidRDefault="00DD350C" w:rsidP="003444CC">
      <w:pPr>
        <w:pStyle w:val="ParNoG"/>
      </w:pPr>
      <w:r w:rsidRPr="004E6D0A">
        <w:rPr>
          <w:b/>
          <w:bCs/>
        </w:rPr>
        <w:t>Mr. Arévalo</w:t>
      </w:r>
      <w:r w:rsidRPr="004E6D0A">
        <w:t xml:space="preserve"> (Chile) said that all persons deprived of their liberty had the legal right to notify a relative within 24 hours of being taken into custody or transferred to another centre by means of a single telephone call. As at June 2018, over 12,500 women were being held in detention. Of those, around 30 per cent were in penitentiary establishments and around 70 per cent were serving alternative sentences in open institutions. Various intervention programmes were available to women detainees, such as a credit initiative that had been rolled out in the women</w:t>
      </w:r>
      <w:r w:rsidR="004E6D0A">
        <w:t>’</w:t>
      </w:r>
      <w:r w:rsidRPr="004E6D0A">
        <w:t xml:space="preserve">s prison in Santiago to assist women in setting up their own businesses and starting a family, and a vocational training programme. National social reintegration programmes were conducted with a view to reducing recidivism, which offered psychosocial and sports modules. For women in San Miguel prison, an educational initiative had been established which involved arts, sports and training modules. In coordination with the national service for rehabilitation and prevention of drug and alcohol abuse, just over 20 units for the treatment for persons with drug or alcohol addictions had been established within penitentiary establishments, which, as at June 2018, were assisting some 150 persons. </w:t>
      </w:r>
    </w:p>
    <w:p w:rsidR="00DD350C" w:rsidRPr="004E6D0A" w:rsidRDefault="00DD350C" w:rsidP="003444CC">
      <w:pPr>
        <w:pStyle w:val="ParNoG"/>
      </w:pPr>
      <w:r w:rsidRPr="004E6D0A">
        <w:t xml:space="preserve">A technical committee was being set up under the Institute for Judicial Studies to consider the main issues for inclusion in a bill on sentence enforcement. Sentences were currently regulated under Exempt Resolution No. 4247 of 2013. Standards were also being developed on the use of solitary confinement in prisons, which never exceeded two consecutive days and to which currently just over 20 per cent of the prison population was subject. There was one maximum-security prison in the country, which currently held 85 persons, who were entitled to contact with officials and their families, and to time outdoors. In addition, certain prisons housed maximum-security units, the detainees of which had contact with officials, family members, lawyers and representatives of the National Human Rights Institute. </w:t>
      </w:r>
    </w:p>
    <w:p w:rsidR="00DD350C" w:rsidRPr="004E6D0A" w:rsidRDefault="00DD350C" w:rsidP="003444CC">
      <w:pPr>
        <w:pStyle w:val="ParNoG"/>
      </w:pPr>
      <w:r w:rsidRPr="004E6D0A">
        <w:t>While the Prison Service was a hierarchical institution with army-trained senior officials, it was not a military establishment. Just under 30 medical professionals were employed in the Service. By law, security searches of</w:t>
      </w:r>
      <w:r w:rsidR="00E67C7F" w:rsidRPr="004E6D0A">
        <w:t xml:space="preserve"> </w:t>
      </w:r>
      <w:r w:rsidRPr="004E6D0A">
        <w:t xml:space="preserve">visitors to penitentiary institutions were conducted by officials of the same sex. Steps were being taken to introduce technology, such as body scans, to guarantee security while protecting the dignity of visitors. In order to protect the dignity of detainees and improve their living conditions, significant investments were being made for various projects in several prisons, including construction, renovation, and the improvement of services. Further construction was envisaged. With a view to reducing fire risk, works were being carried out to standardize electrical systems and basic fire prevention systems were being introduced in over 50 establishments. Under the national human rights plan, human rights units operated in all prisons in the country, tasked with raising awareness of the rights of all vulnerable groups in regard, inter alia, to the use of force and the prevention of torture. In 2017, the human rights units had received around 540 complaints from various sources, including families of inmates, most of which concerned violations of physical and personal integrity. </w:t>
      </w:r>
    </w:p>
    <w:p w:rsidR="00CA23FB" w:rsidRPr="004E6D0A" w:rsidRDefault="00DD350C" w:rsidP="003444CC">
      <w:pPr>
        <w:pStyle w:val="ParNoG"/>
      </w:pPr>
      <w:r w:rsidRPr="004E6D0A">
        <w:t xml:space="preserve">Any offences committed by prison officials were reported to the Public Prosecution Service within 24 hours of being detected. More than 250 deaths had been reported in prisons between 2013 and May 2018 and, a programme to address that issue had been introduced. The Government had signed an agreement with the National Human Rights Institute on the prevention of torture in penitentiary establishments, and work was being done to improve the reporting and investigating procedures relating to complaints of torture, in cooperation with the Public Prosecution Service and other relevant actors. </w:t>
      </w:r>
      <w:r w:rsidRPr="004E6D0A">
        <w:lastRenderedPageBreak/>
        <w:t xml:space="preserve">Training and awareness programmes in human rights were being rolled out for prison guards with a view to fostering a culture of prevention of torture. </w:t>
      </w:r>
    </w:p>
    <w:p w:rsidR="00DD350C" w:rsidRPr="004E6D0A" w:rsidRDefault="00DD350C" w:rsidP="003444CC">
      <w:pPr>
        <w:pStyle w:val="ParNoG"/>
      </w:pPr>
      <w:r w:rsidRPr="004E6D0A">
        <w:t xml:space="preserve">The case of Celestino Cordoba had been dealt with in accordance with the International Labour Organization (ILO) Indigenous and Tribal Peoples Convention, 1989 (No. 169) and national procedural rules. </w:t>
      </w:r>
    </w:p>
    <w:p w:rsidR="00DD350C" w:rsidRPr="004E6D0A" w:rsidRDefault="00DD350C" w:rsidP="003444CC">
      <w:pPr>
        <w:pStyle w:val="ParNoG"/>
      </w:pPr>
      <w:r w:rsidRPr="004E6D0A">
        <w:rPr>
          <w:b/>
          <w:bCs/>
        </w:rPr>
        <w:t>Mr. Latorre</w:t>
      </w:r>
      <w:r w:rsidRPr="004E6D0A">
        <w:t xml:space="preserve"> (Chile) said that laws were enacted by the lower and upper houses of Congress, namely the Chamber of Deputies and the Senate, both of which established committees to undertake in-depth studies of proposed legislation. Despite being subject to a deadline, the approval of bills was sometimes a slow process, as had been the case with the bill designating the National Human Rights Institute as the national preventive mechanism tasked with visiting detention facilities in order to prevent torture and ill-treatment. Under the bill, members of an independent committee of experts to be established by the National Human Rights Institute would be selected by means of a competitive examination. The bill had been approved unanimously by the Chamber of Deputies in January 2018 and on 9 July 2018 the executive had proposed a number of amendments to ensure that the legislation was consistent with the provisions of the Optional Protocol. High priority had now been accorded to the adoption and promulgation of the bill and to the launching of the national preventive mechanism. </w:t>
      </w:r>
    </w:p>
    <w:p w:rsidR="00DD350C" w:rsidRPr="004E6D0A" w:rsidRDefault="00DD350C" w:rsidP="003444CC">
      <w:pPr>
        <w:pStyle w:val="ParNoG"/>
      </w:pPr>
      <w:r w:rsidRPr="004E6D0A">
        <w:rPr>
          <w:b/>
          <w:bCs/>
        </w:rPr>
        <w:t>Ms. Soza</w:t>
      </w:r>
      <w:r w:rsidRPr="004E6D0A">
        <w:t xml:space="preserve"> (Chile) said that the Carabineros (police) were monitored by a number of oversight and accountability mechanisms. A Department of Internal Affairs investigated complaints and imposed disciplinary sanctions for all forms of misconduct. The general public could also lodge complaints via the Internet or an anonymous telephone number. Since the establishment of the Human Rights Department of the Carabineros in 2012, a number of measures had been taken to align domestic legislation with international human rights standards. The Carabineros had also signed a memorandum of understanding in 2012 with the International Committee of the Red Cross (ICRC) with a view to ensuring that law enforcement officers complied with international human rights law during the performance of their duties. Ten training courses for Carabinero human rights instructors had been held since the signing of the memorandum of understanding. </w:t>
      </w:r>
    </w:p>
    <w:p w:rsidR="00DD350C" w:rsidRPr="004E6D0A" w:rsidRDefault="00DD350C" w:rsidP="003444CC">
      <w:pPr>
        <w:pStyle w:val="ParNoG"/>
      </w:pPr>
      <w:r w:rsidRPr="004E6D0A">
        <w:t>A circular containing rules applicable to the use of force, including firearms, by the Carabineros had been published in 2013. It was fully consistent with the Code of Conduct for Law Enforcement Officials and the Basic Principles on the Use of Force and Firearms by Law Enforcement Officials. Thirty protocols governing the maintenance of law and order had been issued in 2014. They were publicly available and addressed issues such as protection by the Carabineros of the right to demonstrate, and interaction with the National Human Rights Institute, the media and civil society organizations. The only publications that remained restricted were certain operational manuals of the Carabineros. The Chilean Transparency Council had endorsed such restrictions in cases where there were sound reasons for non-disclosure in a ruling handed down on 14</w:t>
      </w:r>
      <w:r w:rsidR="00E67C7F" w:rsidRPr="004E6D0A">
        <w:t xml:space="preserve"> </w:t>
      </w:r>
      <w:r w:rsidRPr="004E6D0A">
        <w:t>June 2017.</w:t>
      </w:r>
    </w:p>
    <w:p w:rsidR="00DD350C" w:rsidRPr="004E6D0A" w:rsidRDefault="00DD350C" w:rsidP="003444CC">
      <w:pPr>
        <w:pStyle w:val="ParNoG"/>
      </w:pPr>
      <w:r w:rsidRPr="004E6D0A">
        <w:t xml:space="preserve">There had admittedly been cases involving excessive use of force by the Carabineros, for instance in order to suppress demonstrations. All complaints concerning such acts by public officials were investigated at the administrative level and subsequently, where appropriate, at the level of the criminal courts. In 2017, for example, 34 public officials had been investigated, subjected to administrative sanctions ranging from reprimands to dismissal and, in some cases, referred to the courts. Twenty cases had been investigated to date in 2018. </w:t>
      </w:r>
    </w:p>
    <w:p w:rsidR="00DD350C" w:rsidRPr="004E6D0A" w:rsidRDefault="00DD350C" w:rsidP="003444CC">
      <w:pPr>
        <w:pStyle w:val="ParNoG"/>
      </w:pPr>
      <w:r w:rsidRPr="004E6D0A">
        <w:t>Administrative action and criminal proceedings had also been instituted against public officials involved in the suppression of student demonstrations. A working group had been established for the purpose in June 2018 by the Ministry of the Interior. The National Human Rights Institute, the Public Prosecution Service and other stakeholders had been invited to participate in reviewing standard operational protocols for Carabineros and aligning them with international human rights norms governing the right to demonstrate. Officers were now prohibited from carrying firearms when monitoring demonstrations.</w:t>
      </w:r>
    </w:p>
    <w:p w:rsidR="00DD350C" w:rsidRPr="004E6D0A" w:rsidRDefault="00DD350C" w:rsidP="003444CC">
      <w:pPr>
        <w:pStyle w:val="ParNoG"/>
      </w:pPr>
      <w:r w:rsidRPr="004E6D0A">
        <w:t>The authorities had issued guidelines aimed at reducing the time spent by minor offenders in police custody and ensuring that families, teaching staff and National Human Rights Institute monitors were immediately informed of their whereabouts. The Institute</w:t>
      </w:r>
      <w:r w:rsidR="004E6D0A">
        <w:t>’</w:t>
      </w:r>
      <w:r w:rsidRPr="004E6D0A">
        <w:t xml:space="preserve">s </w:t>
      </w:r>
      <w:r w:rsidRPr="004E6D0A">
        <w:lastRenderedPageBreak/>
        <w:t>monitors had been entitled since 2015 to enter police stations and vehicles in order to verify their compliance with relevant regulations. Closed-circuit television had been installed</w:t>
      </w:r>
      <w:r w:rsidR="00E67C7F" w:rsidRPr="004E6D0A">
        <w:t xml:space="preserve"> </w:t>
      </w:r>
      <w:r w:rsidRPr="004E6D0A">
        <w:t>in 451 of the country</w:t>
      </w:r>
      <w:r w:rsidR="004E6D0A">
        <w:t>’</w:t>
      </w:r>
      <w:r w:rsidRPr="004E6D0A">
        <w:t>s 805 police stations, and in 50.3 per cent of</w:t>
      </w:r>
      <w:r w:rsidR="00E67C7F" w:rsidRPr="004E6D0A">
        <w:t xml:space="preserve"> </w:t>
      </w:r>
      <w:r w:rsidRPr="004E6D0A">
        <w:t xml:space="preserve">the special force transport vehicles used by the Carabineros. Women officers had recently been recruited for the purpose of working exclusively with women and minor detainees. </w:t>
      </w:r>
    </w:p>
    <w:p w:rsidR="00DD350C" w:rsidRPr="004E6D0A" w:rsidRDefault="00DD350C" w:rsidP="00847878">
      <w:pPr>
        <w:pStyle w:val="ParNoG"/>
      </w:pPr>
      <w:r w:rsidRPr="004E6D0A">
        <w:t>All officials who used unlawful violence against indigenous communities in rural areas were sanctioned. Peaceful patrols had been conducted since 2013 on behalf of the indigenous comm</w:t>
      </w:r>
      <w:r w:rsidR="00847878" w:rsidRPr="004E6D0A">
        <w:t>unities by highly qualified Cara</w:t>
      </w:r>
      <w:r w:rsidRPr="004E6D0A">
        <w:t>bineros of indigenous origin. A training course for human rights instructors organized in 2016 for 22 Car</w:t>
      </w:r>
      <w:r w:rsidR="00847878" w:rsidRPr="004E6D0A">
        <w:t>a</w:t>
      </w:r>
      <w:r w:rsidRPr="004E6D0A">
        <w:t xml:space="preserve">bineros in the provinces had highlighted issues of particular relevance to the indigenous communities. </w:t>
      </w:r>
    </w:p>
    <w:p w:rsidR="00DD350C" w:rsidRPr="004E6D0A" w:rsidRDefault="00DD350C" w:rsidP="00847878">
      <w:pPr>
        <w:pStyle w:val="ParNoG"/>
      </w:pPr>
      <w:r w:rsidRPr="004E6D0A">
        <w:rPr>
          <w:b/>
          <w:bCs/>
        </w:rPr>
        <w:t>Mr. Celedón</w:t>
      </w:r>
      <w:r w:rsidRPr="004E6D0A">
        <w:t xml:space="preserve"> (Chile) said that the bill tabled by bulletin No. 9692-7 in November 2014 was intended to align counter-terroris</w:t>
      </w:r>
      <w:r w:rsidR="00847878" w:rsidRPr="004E6D0A">
        <w:t>m</w:t>
      </w:r>
      <w:r w:rsidRPr="004E6D0A">
        <w:t xml:space="preserve"> legislation with international norms. The definition of conduct deemed to constitute terrorist activity had been redefined, for instance the placement of explosive or other devices in locations that posed a threat to people</w:t>
      </w:r>
      <w:r w:rsidR="004E6D0A">
        <w:t>’</w:t>
      </w:r>
      <w:r w:rsidRPr="004E6D0A">
        <w:t xml:space="preserve">s life or physical integrity, and the use or possession of radioactive, bacteriological or chemical material or any device that could be used to disseminate such substances. The bill provided for amendments to the Code of Criminal Procedure applicable to special investigative techniques, such as covert agents and surveillance, which would require authorization by the judicial authorities. None of the proposed amendments would impose harsher sentences. Covert agents who failed to comply with their legal mandate were liable to sanctions. The same applied to members of the Public Prosecution Service who failed to report such irregularities within a 24-hour time frame. It had been decided to omit a reference to the vindication of terrorism, since it could be deemed to undermine freedom of expression. </w:t>
      </w:r>
    </w:p>
    <w:p w:rsidR="00DD350C" w:rsidRPr="004E6D0A" w:rsidRDefault="00DD350C" w:rsidP="003444CC">
      <w:pPr>
        <w:pStyle w:val="ParNoG"/>
      </w:pPr>
      <w:r w:rsidRPr="004E6D0A">
        <w:t xml:space="preserve">With regard to the presumption of a terrorist objective, which had been raised in connection with the case of </w:t>
      </w:r>
      <w:r w:rsidRPr="004E6D0A">
        <w:rPr>
          <w:i/>
          <w:iCs/>
        </w:rPr>
        <w:t>Norín Catrimán et al. v. Chile</w:t>
      </w:r>
      <w:r w:rsidRPr="004E6D0A">
        <w:t>, the 2010 amendment to the Co</w:t>
      </w:r>
      <w:r w:rsidR="005B63EB" w:rsidRPr="004E6D0A">
        <w:t>unter-terrorism Act (Act No. 18.</w:t>
      </w:r>
      <w:r w:rsidRPr="004E6D0A">
        <w:t>314) deleted the reference to such a presumption. All detainees must be examined by a doctor appointed by an investigating judge, and any negligence in that regard would entail sanctions. With regard to the protection of witnesses, it was not unlawful to reveal their identity provided that certain requirements, such as reasonableness and judicial oversight, were met. Moreover, verdicts could not be based solely on statements that could not be published. The authorities had launched a dialogue with the Mapuche people, including more than 140 leaders, in Araucanía with a view to concluding a national agreement on peace in the region. However, the judiciary was required to investigate and prosecute all illegal acts of violence that could be defined as terrorism.</w:t>
      </w:r>
    </w:p>
    <w:p w:rsidR="00DD350C" w:rsidRPr="004E6D0A" w:rsidRDefault="00DD350C" w:rsidP="003444CC">
      <w:pPr>
        <w:pStyle w:val="ParNoG"/>
      </w:pPr>
      <w:r w:rsidRPr="004E6D0A">
        <w:rPr>
          <w:b/>
          <w:bCs/>
        </w:rPr>
        <w:t>Ms. Recabarren</w:t>
      </w:r>
      <w:r w:rsidRPr="004E6D0A">
        <w:t xml:space="preserve"> (Chile) said that her country had made significant progress in recent years in promoting non-discrimination and respect for diversity. Violations of those principles could constitute an aggravating circumstance under article 12 of Act No. 20.609, which was known informally as the Zamudio Act in memory of Daniel Zamudio, who had been brutally murdered on account of his sexual orientation.</w:t>
      </w:r>
    </w:p>
    <w:p w:rsidR="00DD350C" w:rsidRPr="004E6D0A" w:rsidRDefault="00DD350C" w:rsidP="003444CC">
      <w:pPr>
        <w:pStyle w:val="ParNoG"/>
      </w:pPr>
      <w:r w:rsidRPr="004E6D0A">
        <w:t>Unfortunately, no statistics were available concerning the number of lesbian, gay, bisexual, transgender and intersex (LGBTI) persons deprived of their liberty who had allegedly been subjected to torture or ill-treatment.</w:t>
      </w:r>
    </w:p>
    <w:p w:rsidR="00DD350C" w:rsidRPr="004E6D0A" w:rsidRDefault="00DD350C" w:rsidP="003444CC">
      <w:pPr>
        <w:pStyle w:val="ParNoG"/>
      </w:pPr>
      <w:r w:rsidRPr="004E6D0A">
        <w:rPr>
          <w:b/>
          <w:bCs/>
        </w:rPr>
        <w:t>Mr. Celedón</w:t>
      </w:r>
      <w:r w:rsidRPr="004E6D0A">
        <w:t xml:space="preserve"> (Chile) said that steps were being taken to align Act No. 20.430 with international standards. The bill that was currently being discussed sought to regulate the inflow, outflow and transfer of migrants, as well as the status of refugees and asylum seekers and their families. It provided for non-discriminatory admissibility criteria, and covered the right to employment, health care, social security, education, family reunion and the dispatch and receipt of remittances. It also addressed issues such as access to temporary housing, safeguarding of the best interests of the child, the right of migrants in an irregular situation to health care, and the right to a fair trial. Vigorous action would be taken to prevent and prosecute trafficking in human beings. </w:t>
      </w:r>
    </w:p>
    <w:p w:rsidR="00DD350C" w:rsidRPr="004E6D0A" w:rsidRDefault="00DD350C" w:rsidP="003444CC">
      <w:pPr>
        <w:pStyle w:val="ParNoG"/>
      </w:pPr>
      <w:r w:rsidRPr="004E6D0A">
        <w:t xml:space="preserve">On 11 April 2018, Chile had acceded to the Convention on the Reduction of Statelessness and the Convention relating to the Status of Stateless Persons. Measures to address the needs of undocumented children of migrants were being taken under the </w:t>
      </w:r>
      <w:r w:rsidR="004E6D0A">
        <w:t>“</w:t>
      </w:r>
      <w:r w:rsidRPr="004E6D0A">
        <w:rPr>
          <w:i/>
          <w:iCs/>
        </w:rPr>
        <w:t>Chile Reconoce</w:t>
      </w:r>
      <w:r w:rsidR="004E6D0A">
        <w:t>”</w:t>
      </w:r>
      <w:r w:rsidRPr="004E6D0A">
        <w:t xml:space="preserve"> programme by the Migration Department of the Ministry of the Interior and </w:t>
      </w:r>
      <w:r w:rsidRPr="004E6D0A">
        <w:lastRenderedPageBreak/>
        <w:t xml:space="preserve">Public Security, in cooperation with the National Human Rights Institute, the Human Rights Centre of Diego Portales University, the Office of the United Nations High Commissioner for Refugees (UNHCR) and other bodies. In 2017 Chilean citizenship had been granted to 137 children of migrants. The ultimate aim was to abolish statelessness. </w:t>
      </w:r>
    </w:p>
    <w:p w:rsidR="00DD350C" w:rsidRPr="004E6D0A" w:rsidRDefault="00DD350C" w:rsidP="003444CC">
      <w:pPr>
        <w:pStyle w:val="ParNoG"/>
      </w:pPr>
      <w:r w:rsidRPr="004E6D0A">
        <w:t xml:space="preserve">Persons threatened with expulsion could lodge administrative or constitutional appeals, including the remedies of </w:t>
      </w:r>
      <w:r w:rsidRPr="004E6D0A">
        <w:rPr>
          <w:i/>
          <w:iCs/>
        </w:rPr>
        <w:t>amparo</w:t>
      </w:r>
      <w:r w:rsidRPr="004E6D0A">
        <w:t xml:space="preserve"> and habeas corpus. The deadline for appeals had been increased from 24 to 48 hours under the current bill.</w:t>
      </w:r>
    </w:p>
    <w:p w:rsidR="00DD350C" w:rsidRPr="004E6D0A" w:rsidRDefault="00DD350C" w:rsidP="003444CC">
      <w:pPr>
        <w:pStyle w:val="ParNoG"/>
      </w:pPr>
      <w:r w:rsidRPr="004E6D0A">
        <w:t xml:space="preserve">A total of 10,811 applications for refugee status had been received since 2015, including 5,093 from Colombians, 3,196 from Cubans and 2,989 from Venezuelans. Additional statistical data would be provided in due course. </w:t>
      </w:r>
    </w:p>
    <w:p w:rsidR="00DD350C" w:rsidRPr="004E6D0A" w:rsidRDefault="00DD350C" w:rsidP="003444CC">
      <w:pPr>
        <w:pStyle w:val="ParNoG"/>
      </w:pPr>
      <w:r w:rsidRPr="004E6D0A">
        <w:rPr>
          <w:b/>
          <w:bCs/>
        </w:rPr>
        <w:t>Mr. Rosas</w:t>
      </w:r>
      <w:r w:rsidRPr="004E6D0A">
        <w:t xml:space="preserve"> (Chile) said that an institutional protocol specified the procedures to be followed by the Directorate General of Investigative Police when persons requested refugee status at border crossings. A written statement was taken from applicants and submitted to the relevant authority. Persons who had crossed the border clandestinely were informed of the requirement to appear before the relevant authority within 10 days. </w:t>
      </w:r>
    </w:p>
    <w:p w:rsidR="00DD350C" w:rsidRPr="004E6D0A" w:rsidRDefault="00DD350C" w:rsidP="003444CC">
      <w:pPr>
        <w:pStyle w:val="ParNoG"/>
      </w:pPr>
      <w:r w:rsidRPr="004E6D0A">
        <w:t>Migrants who were subject to administrative expulsion were accommodated temporarily at the headquarters of the Directorate General in Santiago. It provided optimal living and sanitary conditions, and foreign nationals could move about under police supervision. Migrants who had perpetrated offences and were subject to legal expulsion were detained in various detention facilities.</w:t>
      </w:r>
    </w:p>
    <w:p w:rsidR="00DD350C" w:rsidRPr="004E6D0A" w:rsidRDefault="00DD350C" w:rsidP="003444CC">
      <w:pPr>
        <w:pStyle w:val="ParNoG"/>
      </w:pPr>
      <w:r w:rsidRPr="004E6D0A">
        <w:t>With regard to conditions in Santiago International Airport, there was a transit hall for persons with pending applications and a waiting room for persons who had been declared inadmissible and would shortly be boarding flights. There were no migrant detention centres at the airport.</w:t>
      </w:r>
    </w:p>
    <w:p w:rsidR="00DD350C" w:rsidRPr="004E6D0A" w:rsidRDefault="00DD350C" w:rsidP="003444CC">
      <w:pPr>
        <w:pStyle w:val="ParNoG"/>
      </w:pPr>
      <w:r w:rsidRPr="004E6D0A">
        <w:t>Special training on border control and best practices was provided at the Police Academy for 300 Investigative Police candidates. Courses were also organized by the Directorate General on human trafficking, international policing, cybercrime, homicide and other issues.</w:t>
      </w:r>
    </w:p>
    <w:p w:rsidR="00DD350C" w:rsidRPr="004E6D0A" w:rsidRDefault="00DD350C" w:rsidP="003444CC">
      <w:pPr>
        <w:pStyle w:val="ParNoG"/>
      </w:pPr>
      <w:r w:rsidRPr="004E6D0A">
        <w:rPr>
          <w:b/>
          <w:bCs/>
        </w:rPr>
        <w:t>Ms. Contreras</w:t>
      </w:r>
      <w:r w:rsidRPr="004E6D0A">
        <w:t xml:space="preserve"> (Chile) said that gender-based violence was of grave concern to the Government, which had introduced the Gender Agenda in May of that year and had tabled a bill on the right of women to a life free of violence. The aim of the bill was to improve government services for women victims of violence and achieve cultural change with a view to eradicating violence against women. The bill was in its first reading by the parliamentary committee on family and older person affairs, in which the Minister for Women and </w:t>
      </w:r>
      <w:r w:rsidR="001A7192" w:rsidRPr="004E6D0A">
        <w:t>Gender Equity</w:t>
      </w:r>
      <w:r w:rsidRPr="004E6D0A">
        <w:t xml:space="preserve"> took part. A bill on violence between non-cohabiting partners was in its second reading. </w:t>
      </w:r>
    </w:p>
    <w:p w:rsidR="00DD350C" w:rsidRPr="004E6D0A" w:rsidRDefault="00DD350C" w:rsidP="003444CC">
      <w:pPr>
        <w:pStyle w:val="ParNoG"/>
      </w:pPr>
      <w:r w:rsidRPr="004E6D0A">
        <w:t xml:space="preserve">In order to step up violence prevention efforts, a round table had been established in early July of that year and was composed of representatives of the Ministry of the Interior, the Carabineros, the Investigative Police, the National Service for Minors, the </w:t>
      </w:r>
      <w:r w:rsidR="001A7192" w:rsidRPr="004E6D0A">
        <w:t>Forensic Medical</w:t>
      </w:r>
      <w:r w:rsidRPr="004E6D0A">
        <w:t xml:space="preserve"> Service, the judiciary and the Public Prosecution Service, to be coordinated by the Ministry for Women and Gender Equity. The round table</w:t>
      </w:r>
      <w:r w:rsidR="004E6D0A">
        <w:t>’</w:t>
      </w:r>
      <w:r w:rsidRPr="004E6D0A">
        <w:t>s mandate was to make tangible and realistic proposals to: establish a single register of victims so that a woman</w:t>
      </w:r>
      <w:r w:rsidR="004E6D0A">
        <w:t>’</w:t>
      </w:r>
      <w:r w:rsidRPr="004E6D0A">
        <w:t xml:space="preserve">s history was available as a means of preventing femicide, strengthen institutions that received complaints of violence and improve the enforcement of protection measures such as restraining orders. </w:t>
      </w:r>
    </w:p>
    <w:p w:rsidR="00DD350C" w:rsidRPr="004E6D0A" w:rsidRDefault="00DD350C" w:rsidP="00CA23FB">
      <w:pPr>
        <w:pStyle w:val="ParNoG"/>
      </w:pPr>
      <w:r w:rsidRPr="004E6D0A">
        <w:t>Between 2011 and 2017, there had been 11 complaints of various types of violence committed against female protesters; they had been transmitted to the relevant office of the Attorney General. No data were available on violence against indigenous women and girls, specifically because the law did not distinguish between victims of different ethnicities. In the femicide cases referred to in paragraph 108 of Chile</w:t>
      </w:r>
      <w:r w:rsidR="004E6D0A">
        <w:t>’</w:t>
      </w:r>
      <w:r w:rsidRPr="004E6D0A">
        <w:t>s report to the Committee (</w:t>
      </w:r>
      <w:hyperlink r:id="rId10" w:history="1">
        <w:r w:rsidRPr="000A2CED">
          <w:rPr>
            <w:rStyle w:val="Hyperlink"/>
          </w:rPr>
          <w:t>CAT/C/CHL/6</w:t>
        </w:r>
      </w:hyperlink>
      <w:r w:rsidRPr="004E6D0A">
        <w:t xml:space="preserve">), the male perpetrators had committed suicide immediately after killing the women and the cases had been closed in accordance with article 93 of the Criminal Code and article 50 of the Code of Criminal Procedure, which stipulated that criminal responsibility ended with the death of the perpetrator. </w:t>
      </w:r>
    </w:p>
    <w:p w:rsidR="00DD350C" w:rsidRPr="004E6D0A" w:rsidRDefault="00DD350C" w:rsidP="003444CC">
      <w:pPr>
        <w:pStyle w:val="ParNoG"/>
      </w:pPr>
      <w:r w:rsidRPr="004E6D0A">
        <w:lastRenderedPageBreak/>
        <w:t>The National Service for Women, in cooperation with the municipality of Recoleta, had been running a shelter for women victims of trafficking and women migrants in exploitative situations since 2012. It had a capacity of 10 women, with or without children, and provided temporary secure accommodation. Since 2015, 20 women had been housed there with their children. The budget allocated to the shelter had increased steadily from 85 million pesos in 2015 to 141 million pesos in 2018. Nine women migrants had been trained as trafficking prevention trainers.</w:t>
      </w:r>
    </w:p>
    <w:p w:rsidR="00DD350C" w:rsidRPr="004E6D0A" w:rsidRDefault="00DD350C" w:rsidP="003444CC">
      <w:pPr>
        <w:pStyle w:val="ParNoG"/>
      </w:pPr>
      <w:r w:rsidRPr="004E6D0A">
        <w:rPr>
          <w:b/>
          <w:bCs/>
        </w:rPr>
        <w:t>Ms. Fuentes</w:t>
      </w:r>
      <w:r w:rsidRPr="004E6D0A">
        <w:t xml:space="preserve"> (Chile) said that juvenile detention centres were not overcrowded: the current average occupancy rate was below 50 per cent. Whenever the National Service for Minors was informed of a possible offence by a prison guard against a detained minor, it applied the provisions of the relevant circular, took the necessary protection measures for the victim and referred the case to the Public Prosecution Service. The implementing regulations of Act No. 20.084 on the criminal responsibility of adolescents provided for the Prison Service and the National Service for Minors to coordinate on matters of mutual concern. The Ministry of Education, with support from partners, provided personalized education services to detained adolescents. Academic instruction was the central pillar of the curriculum at all juvenile detention centres and was supplemented by sports and recreational activities, as well as skills training. However, the activities were not sufficient or varied enough to fully engage juvenile detainees, so efforts were being made to enhance them and encourage adherence to activity plans.</w:t>
      </w:r>
    </w:p>
    <w:p w:rsidR="00DD350C" w:rsidRPr="004E6D0A" w:rsidRDefault="00DD350C" w:rsidP="003444CC">
      <w:pPr>
        <w:pStyle w:val="ParNoG"/>
      </w:pPr>
      <w:r w:rsidRPr="004E6D0A">
        <w:t>Juvenile detainees could file complaints or requests in a confidential manner during the twice-yearly visits of the inter-agency oversight committee for juvenile detention centres, which was made up of representatives of the Ministry of Justice, partner organizations, civil society organizations, academia and the Public Criminal Defender Service. The committee</w:t>
      </w:r>
      <w:r w:rsidR="004E6D0A">
        <w:t>’</w:t>
      </w:r>
      <w:r w:rsidRPr="004E6D0A">
        <w:t xml:space="preserve">s coordinator also invited representatives of the judiciary, the Public Prosecution Service and UNICEF to take part. </w:t>
      </w:r>
    </w:p>
    <w:p w:rsidR="00DD350C" w:rsidRPr="004E6D0A" w:rsidRDefault="00DD350C" w:rsidP="003444CC">
      <w:pPr>
        <w:pStyle w:val="ParNoG"/>
      </w:pPr>
      <w:r w:rsidRPr="004E6D0A">
        <w:t>According to data supplied by the National Service for Minors, the number of juveniles in pretrial detention as a percentage of all detained juveniles had been roughly stable since 2015 at around 12 per cent, though the percentage was substantially lower thus far in 2018. As a result of cases where the rights of juveniles had been violated in pretrial detention, the issue was now on the government agenda and the National Service for Minors had set up an internal procedure to collect and publicize information on all deaths in residential and non-custodial programmes. The deaths of minors in homes run by the National Service or civil society partners were not necessarily the consequence of negligence, torture or ill-treatment; investigations into the cases were under way.</w:t>
      </w:r>
    </w:p>
    <w:p w:rsidR="00DD350C" w:rsidRPr="004E6D0A" w:rsidRDefault="00DD350C" w:rsidP="003444CC">
      <w:pPr>
        <w:pStyle w:val="ParNoG"/>
      </w:pPr>
      <w:r w:rsidRPr="004E6D0A">
        <w:t>Regarding children in alternative care, more than 10,800 children were housed in residential establishments, while nearly 8,400 were in foster families, usually relatives. Some 160,000 took part in day programmes. In the face of the tremendous challenge of improving the quality of child services, the National Service for Minors had developed a work plan that included an audit of all residential establishments, a joint study with UNICEF on foster families, the review of technical oversight mechanisms and a procedural audit by, inter alia, the Office of the Comptroller General and the Ministry of Justice. The most important initiative, however, was the new model of alternative care that would replace residential establishments currently run by the National Service for Minors</w:t>
      </w:r>
      <w:r w:rsidR="00E67C7F" w:rsidRPr="004E6D0A">
        <w:t xml:space="preserve"> </w:t>
      </w:r>
      <w:r w:rsidRPr="004E6D0A">
        <w:t>with</w:t>
      </w:r>
      <w:r w:rsidR="00E67C7F" w:rsidRPr="004E6D0A">
        <w:t xml:space="preserve"> </w:t>
      </w:r>
      <w:r w:rsidRPr="004E6D0A">
        <w:t>family homes for no more than 15 children. The homes would offer more extensive daily activities and the possibility to interact with relatives. They would be staffed by qualified professionals, to be selected through a redesigned recruitment process, who would provide children with comprehensive tailored support.</w:t>
      </w:r>
      <w:r w:rsidR="00E67C7F" w:rsidRPr="004E6D0A">
        <w:t xml:space="preserve"> </w:t>
      </w:r>
      <w:r w:rsidRPr="004E6D0A">
        <w:t>The first four family homes would open in 2018, and a total of</w:t>
      </w:r>
      <w:r w:rsidR="00E67C7F" w:rsidRPr="004E6D0A">
        <w:t xml:space="preserve"> </w:t>
      </w:r>
      <w:r w:rsidRPr="004E6D0A">
        <w:t>27 were scheduled to be in operation by 2020. The new model also included a temporary protection mechanism for adolescents with mental health problems who were referred by emergency assistance programmes and required time to adapt before returning to their families.</w:t>
      </w:r>
    </w:p>
    <w:p w:rsidR="00DD350C" w:rsidRPr="004E6D0A" w:rsidRDefault="00DD350C" w:rsidP="003444CC">
      <w:pPr>
        <w:pStyle w:val="ParNoG"/>
      </w:pPr>
      <w:r w:rsidRPr="004E6D0A">
        <w:rPr>
          <w:b/>
          <w:bCs/>
        </w:rPr>
        <w:t>Ms. Racu</w:t>
      </w:r>
      <w:r w:rsidRPr="004E6D0A">
        <w:t xml:space="preserve"> (Country Rapporteur) said that she welcomed the information that had been provided on the recent debates regarding the definition of torture and the statute of limitations for that offence. However, she had not received a reply to questions regarding the Amnesty Decree-Law or Act No. 19.992, which prevented access to information on the Valech Commission. Similarly, she would appreciate a response regarding inspections of </w:t>
      </w:r>
      <w:r w:rsidRPr="004E6D0A">
        <w:lastRenderedPageBreak/>
        <w:t>childcare centres and psychiatric institutions. In addition, further details would be useful regarding how access to legal counsel during police custody was monitored, how relatives were notified of a person</w:t>
      </w:r>
      <w:r w:rsidR="004E6D0A">
        <w:t>’</w:t>
      </w:r>
      <w:r w:rsidRPr="004E6D0A">
        <w:t xml:space="preserve">s arrest, whether medical examinations were confidential, to what extent injuries were documented and how many injury reports had resulted in investigations and penalties. </w:t>
      </w:r>
    </w:p>
    <w:p w:rsidR="00DD350C" w:rsidRPr="004E6D0A" w:rsidRDefault="00DD350C" w:rsidP="003444CC">
      <w:pPr>
        <w:pStyle w:val="ParNoG"/>
      </w:pPr>
      <w:r w:rsidRPr="004E6D0A">
        <w:t>The Committee had also asked about access to medical care, including drug abuse and psychiatric treatment, the prevention of violent incidents, such as self-harm and suicide, and investigations into deaths in custody. The delegation</w:t>
      </w:r>
      <w:r w:rsidR="004E6D0A">
        <w:t>’</w:t>
      </w:r>
      <w:r w:rsidRPr="004E6D0A">
        <w:t xml:space="preserve">s comments would be welcome on the steps taken to address overcrowding and poor material conditions in prisons. The programmes for women prisoners were impressive, but it would be interesting to know what initiatives were in place for men. </w:t>
      </w:r>
    </w:p>
    <w:p w:rsidR="00DD350C" w:rsidRPr="004E6D0A" w:rsidRDefault="00DD350C" w:rsidP="003444CC">
      <w:pPr>
        <w:pStyle w:val="ParNoG"/>
      </w:pPr>
      <w:r w:rsidRPr="004E6D0A">
        <w:t>She would appreciate an update on any measures taken to improve the appeals procedure for migrants and asylum seekers.</w:t>
      </w:r>
      <w:r w:rsidR="00E67C7F" w:rsidRPr="004E6D0A">
        <w:t xml:space="preserve"> </w:t>
      </w:r>
      <w:r w:rsidRPr="004E6D0A">
        <w:t>She applauded the fact that the Ministry of Justice had published the investigation report of the Committee on the Rights of the Child regarding the treatment of children living in residential centres (</w:t>
      </w:r>
      <w:hyperlink r:id="rId11" w:history="1">
        <w:r w:rsidRPr="000A2CED">
          <w:rPr>
            <w:rStyle w:val="Hyperlink"/>
          </w:rPr>
          <w:t>CRC/C/CHL/INQ/1</w:t>
        </w:r>
      </w:hyperlink>
      <w:r w:rsidRPr="004E6D0A">
        <w:t>) and would like to know whether the cases of abuse or death in such centres had been investigated and what had been done to enhance the skills of personnel. Lastly, an update on the implementation of circular No. 18 on the protection of intersex persons, as well as statistics on that group, would be welcome.</w:t>
      </w:r>
    </w:p>
    <w:p w:rsidR="00DD350C" w:rsidRPr="004E6D0A" w:rsidRDefault="00DD350C" w:rsidP="003444CC">
      <w:pPr>
        <w:pStyle w:val="ParNoG"/>
      </w:pPr>
      <w:r w:rsidRPr="004E6D0A">
        <w:rPr>
          <w:b/>
          <w:bCs/>
        </w:rPr>
        <w:t>Mr. Rodríguez-Pinzón</w:t>
      </w:r>
      <w:r w:rsidRPr="004E6D0A">
        <w:t xml:space="preserve"> (Country Rapporteur) said that the State party was to be commended</w:t>
      </w:r>
      <w:r w:rsidR="00E67C7F" w:rsidRPr="004E6D0A">
        <w:t xml:space="preserve"> </w:t>
      </w:r>
      <w:r w:rsidRPr="004E6D0A">
        <w:t>on its comprehensive replies. In reference to the investigation into the case of Vicente Retamal</w:t>
      </w:r>
      <w:r w:rsidR="00F979D4" w:rsidRPr="004E6D0A">
        <w:t xml:space="preserve"> Salgado</w:t>
      </w:r>
      <w:r w:rsidRPr="004E6D0A">
        <w:t xml:space="preserve">, who had allegedly been tortured by the Carabineros, he said that he wished to know what was meant by the term </w:t>
      </w:r>
      <w:r w:rsidR="004E6D0A">
        <w:t>“</w:t>
      </w:r>
      <w:r w:rsidRPr="004E6D0A">
        <w:rPr>
          <w:i/>
          <w:iCs/>
        </w:rPr>
        <w:t>fiscal preferente</w:t>
      </w:r>
      <w:r w:rsidR="004E6D0A">
        <w:t>”</w:t>
      </w:r>
      <w:r w:rsidRPr="004E6D0A">
        <w:t xml:space="preserve"> in relation to other types of prosecutors. Similarly, in the case of Rodrigo Donoso Jiménez, who had died at the prison in Talagante, it was not clear whether </w:t>
      </w:r>
      <w:r w:rsidR="004E6D0A">
        <w:t>“</w:t>
      </w:r>
      <w:r w:rsidRPr="004E6D0A">
        <w:rPr>
          <w:i/>
          <w:iCs/>
        </w:rPr>
        <w:t>archivo provisional</w:t>
      </w:r>
      <w:r w:rsidR="004E6D0A">
        <w:t>”</w:t>
      </w:r>
      <w:r w:rsidRPr="004E6D0A">
        <w:t xml:space="preserve"> (temporary closure) meant that the case could be reopened. In the case of José Miguel Peralino, it would be useful to know what remedies were available against the use of evidence obtained under torture. He wondered if and how the statute of limitations on civil claims for compensation applied to cases that had originally been heard by the military courts. </w:t>
      </w:r>
    </w:p>
    <w:p w:rsidR="00DD350C" w:rsidRPr="004E6D0A" w:rsidRDefault="00DD350C" w:rsidP="003444CC">
      <w:pPr>
        <w:pStyle w:val="ParNoG"/>
      </w:pPr>
      <w:r w:rsidRPr="004E6D0A">
        <w:t xml:space="preserve">Although he welcomed the fact that the Carabineros had set up an internal oversight mechanism and that human rights training was being provided, it would be helpful to know what disciplinary measures had been imposed over the entire reporting period. He would appreciate further information in writing about the </w:t>
      </w:r>
      <w:r w:rsidR="004E6D0A">
        <w:t>“</w:t>
      </w:r>
      <w:r w:rsidRPr="004E6D0A">
        <w:rPr>
          <w:i/>
          <w:iCs/>
        </w:rPr>
        <w:t>patrullas de paz</w:t>
      </w:r>
      <w:r w:rsidR="004E6D0A">
        <w:t>”</w:t>
      </w:r>
      <w:r w:rsidRPr="004E6D0A">
        <w:t xml:space="preserve"> (peace patrols), in particular about the training they underwent. It would be important to clarify whether the National Human Rights Institute had access to the vehicles used in school evictions. </w:t>
      </w:r>
    </w:p>
    <w:p w:rsidR="005A7EC7" w:rsidRPr="004E6D0A" w:rsidRDefault="00DD350C" w:rsidP="003444CC">
      <w:pPr>
        <w:pStyle w:val="ParNoG"/>
      </w:pPr>
      <w:r w:rsidRPr="004E6D0A">
        <w:t>While commending the State party on its clear commitment to aligning domestic legislation with the decisions of regional bodies and international law, as illustrated by the amendments to counter-terrorism laws, he stressed the need for action on other challenges, such as dialogue with indigenous communities, and the proper investigation of the consequences of Operation Hurricane,</w:t>
      </w:r>
      <w:r w:rsidR="00E67C7F" w:rsidRPr="004E6D0A">
        <w:t xml:space="preserve"> </w:t>
      </w:r>
      <w:r w:rsidRPr="004E6D0A">
        <w:t>so as to improve the credibility of the authorities.</w:t>
      </w:r>
    </w:p>
    <w:p w:rsidR="00DD350C" w:rsidRPr="004E6D0A" w:rsidRDefault="00DD350C" w:rsidP="004E6D0A">
      <w:pPr>
        <w:pStyle w:val="ParNoG"/>
      </w:pPr>
      <w:r w:rsidRPr="004E6D0A">
        <w:t>The antiterrorism law was unnecessary given that the Criminal Code applied in all cases where antiterrorism legislation had been invoked. It would be useful to have statistics on the use of antiterrorism laws disaggregated by social group in order to establish the impact of the law on different segments of society and thus determine whether the provisions were discriminatory.</w:t>
      </w:r>
    </w:p>
    <w:p w:rsidR="00DD350C" w:rsidRPr="004E6D0A" w:rsidRDefault="00DD350C" w:rsidP="003444CC">
      <w:pPr>
        <w:pStyle w:val="ParNoG"/>
      </w:pPr>
      <w:r w:rsidRPr="004E6D0A">
        <w:t>He would be interested to hear how the State party would improve the services provided under the Compensation and Comprehensive Health-Care Programme and whether a permanent mechanism for classifying victims of torture would be introduced. He wondered whether the Government would consider putting forward a bill for a new compensation law with an adequate level of funding. He would appreciate comments from the delegation on the human rights training provided to the armed forces as well as the Carabineros and the Investigative Police.</w:t>
      </w:r>
    </w:p>
    <w:p w:rsidR="00DD350C" w:rsidRPr="004E6D0A" w:rsidRDefault="00DD350C" w:rsidP="003444CC">
      <w:pPr>
        <w:pStyle w:val="ParNoG"/>
      </w:pPr>
      <w:r w:rsidRPr="004E6D0A">
        <w:rPr>
          <w:b/>
          <w:bCs/>
        </w:rPr>
        <w:t>Mr. Heller Rouassant</w:t>
      </w:r>
      <w:r w:rsidRPr="004E6D0A">
        <w:t xml:space="preserve"> asked how many cases had been opened concerning crimes committed in the context of Operation Condor. It would be useful to know whether the </w:t>
      </w:r>
      <w:r w:rsidRPr="004E6D0A">
        <w:lastRenderedPageBreak/>
        <w:t>State party had a cooperation agreement or policy with governments of other Latin American countries that had been involved in the Operation.</w:t>
      </w:r>
    </w:p>
    <w:p w:rsidR="00DD350C" w:rsidRPr="004E6D0A" w:rsidRDefault="00DD350C" w:rsidP="003444CC">
      <w:pPr>
        <w:pStyle w:val="ParNoG"/>
      </w:pPr>
      <w:r w:rsidRPr="004E6D0A">
        <w:rPr>
          <w:b/>
          <w:bCs/>
        </w:rPr>
        <w:t>Mr. Hani</w:t>
      </w:r>
      <w:r w:rsidRPr="004E6D0A">
        <w:t>, noting that some regions had made greater progress than others in affording redress to victims of torture, enquired whether the Government had conducted a study of the difficulties faced in some areas of the country in providing reparations.</w:t>
      </w:r>
    </w:p>
    <w:p w:rsidR="00DD350C" w:rsidRPr="004E6D0A" w:rsidRDefault="00DD350C" w:rsidP="003444CC">
      <w:pPr>
        <w:pStyle w:val="ParNoG"/>
      </w:pPr>
      <w:r w:rsidRPr="004E6D0A">
        <w:rPr>
          <w:b/>
          <w:bCs/>
        </w:rPr>
        <w:t>Ms. Gaer</w:t>
      </w:r>
      <w:r w:rsidRPr="004E6D0A">
        <w:t xml:space="preserve"> said that the Special Rapporteur on the rights to freedom of peaceful assembly and of association had expressed concerns about the sexual harassment by State authorities of women who had been detained during protests. She wished to know how many complaints of harassment had resulted in investigations and disciplinary or criminal action.</w:t>
      </w:r>
    </w:p>
    <w:p w:rsidR="00DD350C" w:rsidRPr="004E6D0A" w:rsidRDefault="00DD350C" w:rsidP="003444CC">
      <w:pPr>
        <w:pStyle w:val="ParNoG"/>
      </w:pPr>
      <w:r w:rsidRPr="004E6D0A">
        <w:t>The Committee was concerned by reports from Amnesty International that women in need of emergency medical treatment after having undergone an illegal abortion continued to be at risk of being forced to confess. She would appreciate further clarification and updated information as to whether the practice indeed continued and, if so, whether the State party would consider amending the rules currently in place.</w:t>
      </w:r>
    </w:p>
    <w:p w:rsidR="00DD350C" w:rsidRPr="004E6D0A" w:rsidRDefault="00DD350C" w:rsidP="003444CC">
      <w:pPr>
        <w:pStyle w:val="ParNoG"/>
      </w:pPr>
      <w:r w:rsidRPr="004E6D0A">
        <w:rPr>
          <w:b/>
          <w:bCs/>
        </w:rPr>
        <w:t>The Chair</w:t>
      </w:r>
      <w:r w:rsidRPr="004E6D0A">
        <w:t xml:space="preserve"> said that it had been reported that the abuse of children in the care of the National Service for Minors had included cigarette burns and the withholding of meals. He wished to know what the opinions of the doctors who worked for the Service had been with regard to those injuries. He was concerned that the doctors might have been complicit in the ill-treatment.</w:t>
      </w:r>
    </w:p>
    <w:p w:rsidR="00DD350C" w:rsidRPr="004E6D0A" w:rsidRDefault="00DD350C" w:rsidP="003444CC">
      <w:pPr>
        <w:pStyle w:val="ParNoG"/>
      </w:pPr>
      <w:r w:rsidRPr="004E6D0A">
        <w:rPr>
          <w:b/>
          <w:bCs/>
        </w:rPr>
        <w:t>Ms. Recabarren</w:t>
      </w:r>
      <w:r w:rsidRPr="004E6D0A">
        <w:t xml:space="preserve"> (Chile) said that truth and reconciliation commissions only existed for a predetermined period, which could be extended where it was deemed appropriate. The mandate of the Presidential Advisory Commission for the Recognition of Disappeared and Executed Political Prisoners and the Victims of Political Imprisonment and Torture had been extended by six months. No single body was responsible for classifying victims and there would be no new commission. However, victims of the dictatorship were able to bring their cases to court.</w:t>
      </w:r>
    </w:p>
    <w:p w:rsidR="00DD350C" w:rsidRPr="004E6D0A" w:rsidRDefault="00DD350C" w:rsidP="003444CC">
      <w:pPr>
        <w:pStyle w:val="ParNoG"/>
      </w:pPr>
      <w:r w:rsidRPr="004E6D0A">
        <w:t>The information and testimonies submitted to the Valech Commission were subject to the rules of confidentiality. However, the victims themselves were not obliged to keep their testimonies confidential and were entitled to use them in court. The confidentiality obligation therefore did not result in impunity; in fact, it had been found to be lawful, proportionate and reasonable by the Inter-American Court of Human Rights. In March 2018, the previous Administration had brought a bill before Congress to pro</w:t>
      </w:r>
      <w:r w:rsidR="00E67C7F" w:rsidRPr="004E6D0A">
        <w:t>vide reparatory contributions —</w:t>
      </w:r>
      <w:r w:rsidRPr="004E6D0A">
        <w:t xml:space="preserve"> which di</w:t>
      </w:r>
      <w:r w:rsidR="00E67C7F" w:rsidRPr="004E6D0A">
        <w:t>d not constitute compensation —</w:t>
      </w:r>
      <w:r w:rsidRPr="004E6D0A">
        <w:t xml:space="preserve"> to political prisoners and victims of torture. However, after assessing the bill, the current Administration had determined that it would be unable to meet the financial commitments that would be required and had thus withdrawn the bill. </w:t>
      </w:r>
    </w:p>
    <w:p w:rsidR="00DD350C" w:rsidRPr="004E6D0A" w:rsidRDefault="00DD350C" w:rsidP="003444CC">
      <w:pPr>
        <w:pStyle w:val="ParNoG"/>
      </w:pPr>
      <w:r w:rsidRPr="004E6D0A">
        <w:t xml:space="preserve">Although it had been established under a law that covered a range of issues relating to reparations, the Compensation and Comprehensive Health-Care Programme only covered health care. The Programme had identified over 823,000 direct and indirect victims of human rights violations committed between 1973 and 1990. In recent years, the Programme had shifted its focus from providing mental health care to physical health services, given the changing needs of ageing victims. Furthermore, the Government had undertaken to review the Programme, improve its management and train its managerial staff. The training included elements of the human rights policy that was being developed as part of the national human rights plan. According to data from the judiciary, 46 criminal cases had been opened in which more than US$ 227,000 had been awarded in compensation. </w:t>
      </w:r>
    </w:p>
    <w:p w:rsidR="00DD350C" w:rsidRPr="004E6D0A" w:rsidRDefault="00DD350C" w:rsidP="003444CC">
      <w:pPr>
        <w:pStyle w:val="ParNoG"/>
      </w:pPr>
      <w:r w:rsidRPr="004E6D0A">
        <w:t xml:space="preserve">Two sets of court proceedings had been initiated in connection with Operation Condor. In the first, which was in the trial stage, 59 individuals stood accused of the enforced disappearance of 12 victims. The second, named Operation Condor BIS, concerned the disappearance of 12 victims and was in the investigation stage. No one had yet been formally charged. In 2001, the remains of four victims of enforced disappearance had been discovered in a mining area in Los Bronces. The first victim had been identified as Hernán Soto Gálvez in 2012 and the remaining three had been identified as Ricardo </w:t>
      </w:r>
      <w:r w:rsidRPr="004E6D0A">
        <w:lastRenderedPageBreak/>
        <w:t>Ramírez, Jacobo Stoulman and his wife Matilde Pessa in 2015. The victims had been kidnapped in Buenos Aires in 1977. In connection with the task of identifying remains, a collaboration agreement had been established with an Argentine forensic anthropology team.</w:t>
      </w:r>
    </w:p>
    <w:p w:rsidR="00DD350C" w:rsidRPr="004E6D0A" w:rsidRDefault="00DD350C" w:rsidP="003444CC">
      <w:pPr>
        <w:pStyle w:val="ParNoG"/>
      </w:pPr>
      <w:r w:rsidRPr="004E6D0A">
        <w:t>Under the national human rights plan, two human rights courses were organized under Ministry of Defence auspices. The first covered the core elements of human rights and was taught at the armed forces</w:t>
      </w:r>
      <w:r w:rsidR="004E6D0A">
        <w:t>’</w:t>
      </w:r>
      <w:r w:rsidRPr="004E6D0A">
        <w:t xml:space="preserve"> training schools, while the second incorporated human rights in various areas of special military training. The document issued by the Office of the Undersecretary for the Armed Forces contained additional information in that regard and would be made available to the Committee. Approximately 800 public officials had received training since the creation of the Office of the Undersecretary for Human Rights. The national human rights plan provided for 118 training courses on human rights. As a small body with few resources, the Office of the Undersecretary was responsible for coordinating training programmes rather than teaching the courses and was unable to provide information as to the number of officials who received training under those programmes.</w:t>
      </w:r>
    </w:p>
    <w:p w:rsidR="00DD350C" w:rsidRPr="004E6D0A" w:rsidRDefault="00DD350C" w:rsidP="003444CC">
      <w:pPr>
        <w:pStyle w:val="ParNoG"/>
      </w:pPr>
      <w:r w:rsidRPr="004E6D0A">
        <w:rPr>
          <w:b/>
          <w:bCs/>
        </w:rPr>
        <w:t>Mr. Torres</w:t>
      </w:r>
      <w:r w:rsidRPr="004E6D0A">
        <w:t xml:space="preserve"> (Chile) said that a prosecutor had been trained to deal with the case of Vicente Retamal Salgado from a human rights perspective. Regional attorneys general specializing in human rights had been appointed and were supported by the Attorney General in an effort to promote a more human rights-oriented judicial system. The case of Rodrigo Donoso Jiménez had been provisionally closed due to insufficient evidence for prosecution. The case would be reopened should further evidence come to light. José Miguel Peralino had been charged with terrorism but the proceedings were still under way. The appeals court was considering a motion for a retrial in order to determine whether evidence had been obtained through coercion. If </w:t>
      </w:r>
      <w:r w:rsidR="00405F33" w:rsidRPr="004E6D0A">
        <w:t>that was</w:t>
      </w:r>
      <w:r w:rsidRPr="004E6D0A">
        <w:t xml:space="preserve"> found to have been the case, the prosecutor would take further action to punish those responsible.</w:t>
      </w:r>
    </w:p>
    <w:p w:rsidR="00DD350C" w:rsidRPr="004E6D0A" w:rsidRDefault="00DD350C" w:rsidP="003444CC">
      <w:pPr>
        <w:pStyle w:val="ParNoG"/>
      </w:pPr>
      <w:r w:rsidRPr="004E6D0A">
        <w:t>Nearly all of the relatively few deaths in children</w:t>
      </w:r>
      <w:r w:rsidR="004E6D0A">
        <w:t>’</w:t>
      </w:r>
      <w:r w:rsidRPr="004E6D0A">
        <w:t xml:space="preserve">s residential centres had been due to negligence rather than wilful intent. Investigations were ongoing and it was currently impossible to determine their potential outcome. If any evidence of wrongdoing by medical </w:t>
      </w:r>
      <w:r w:rsidR="00405F33" w:rsidRPr="004E6D0A">
        <w:t>professionals was</w:t>
      </w:r>
      <w:r w:rsidRPr="004E6D0A">
        <w:t xml:space="preserve"> found, they would be charged accordingly.</w:t>
      </w:r>
    </w:p>
    <w:p w:rsidR="00DD350C" w:rsidRPr="004E6D0A" w:rsidRDefault="00DD350C" w:rsidP="003444CC">
      <w:pPr>
        <w:pStyle w:val="ParNoG"/>
      </w:pPr>
      <w:r w:rsidRPr="004E6D0A">
        <w:t>The new law decriminalized abortion under certain circumstances and the Government monitored the implementation of the law on a case-by-case basis. As at the end of June 2018, 51 victims of rape had undergone abortions and the crime of rape was under investigation in each case.</w:t>
      </w:r>
    </w:p>
    <w:p w:rsidR="00DD350C" w:rsidRPr="004E6D0A" w:rsidRDefault="00DD350C" w:rsidP="003444CC">
      <w:pPr>
        <w:pStyle w:val="ParNoG"/>
      </w:pPr>
      <w:r w:rsidRPr="004E6D0A">
        <w:rPr>
          <w:b/>
          <w:bCs/>
        </w:rPr>
        <w:t>Mr. Celedón</w:t>
      </w:r>
      <w:r w:rsidRPr="004E6D0A">
        <w:t xml:space="preserve"> (Chile) said that the appeals procedure for migrants and asylum seekers mentioned by Ms. Racu was in fact an administrative remedy. There had been no amendments to the Aliens Act other than the bill currently being considered, under which the deadline for lodging an appeal would be extended from 24 to 48 hours after arrest and the appeal would be heard by the local appeals court rather than the Supreme Court. The legislative process was ongoing and further provisions might be introduced to enhance migrants</w:t>
      </w:r>
      <w:r w:rsidR="004E6D0A">
        <w:t>’</w:t>
      </w:r>
      <w:r w:rsidRPr="004E6D0A">
        <w:t xml:space="preserve"> rights.</w:t>
      </w:r>
    </w:p>
    <w:p w:rsidR="00DD350C" w:rsidRPr="004E6D0A" w:rsidRDefault="00DD350C" w:rsidP="003444CC">
      <w:pPr>
        <w:pStyle w:val="ParNoG"/>
      </w:pPr>
      <w:r w:rsidRPr="004E6D0A">
        <w:rPr>
          <w:b/>
          <w:bCs/>
        </w:rPr>
        <w:t>Mr. Candia</w:t>
      </w:r>
      <w:r w:rsidRPr="004E6D0A">
        <w:t xml:space="preserve"> (Chile) said that</w:t>
      </w:r>
      <w:r w:rsidR="00E67C7F" w:rsidRPr="004E6D0A">
        <w:t xml:space="preserve"> </w:t>
      </w:r>
      <w:r w:rsidRPr="004E6D0A">
        <w:t>Chile had ceased to apply Amnesty Decree-Law No. 2191 in 1999. The Supreme Court had established a precedent whereby amnesty as provided for in the Decree-Law would not apply in cases of enforced disappearance. Moreover, the social and cultural context in Chile made it difficult, if not impossible, to invoke the Decree-Law. Act No. 20.357 of 2009 had removed the statute of limitations for torture where it was classified as a crime against humanity, meaning that no amnesty could be invoked.</w:t>
      </w:r>
    </w:p>
    <w:p w:rsidR="00DD350C" w:rsidRPr="004E6D0A" w:rsidRDefault="00DD350C" w:rsidP="003444CC">
      <w:pPr>
        <w:pStyle w:val="ParNoG"/>
      </w:pPr>
      <w:r w:rsidRPr="004E6D0A">
        <w:rPr>
          <w:b/>
          <w:bCs/>
        </w:rPr>
        <w:t>Mr. Eguiguren</w:t>
      </w:r>
      <w:r w:rsidRPr="004E6D0A">
        <w:t xml:space="preserve"> (Chile) said that the United Nations Voluntary Fund for Victims of Torture had supported victims of torture under the dictatorship. The Government had contributed to the fund since the country</w:t>
      </w:r>
      <w:r w:rsidR="004E6D0A">
        <w:t>’</w:t>
      </w:r>
      <w:r w:rsidRPr="004E6D0A">
        <w:t>s transition to a democratic system. The modest contribution by Chile in 2018 had been a symbolic gesture, but he hoped that the country would be in a position to increase its support in the near future.</w:t>
      </w:r>
    </w:p>
    <w:p w:rsidR="00DD350C" w:rsidRPr="004E6D0A" w:rsidRDefault="00DD350C" w:rsidP="003444CC">
      <w:pPr>
        <w:pStyle w:val="ParNoG"/>
      </w:pPr>
      <w:r w:rsidRPr="004E6D0A">
        <w:rPr>
          <w:b/>
          <w:bCs/>
        </w:rPr>
        <w:t>Mr. Arévalo</w:t>
      </w:r>
      <w:r w:rsidRPr="004E6D0A">
        <w:t xml:space="preserve"> (Chile) said that more detailed information on the deaths of prisoners would be submitted in writing. By way of an overview, 586 persons deprived of their </w:t>
      </w:r>
      <w:r w:rsidRPr="004E6D0A">
        <w:lastRenderedPageBreak/>
        <w:t xml:space="preserve">liberty had died between 2014 and June 2018. Suicide had accounted for approximately 60 of those deaths, and the other causes had included assault and illness. Programmes were being designed to reduce the suicide rate. </w:t>
      </w:r>
    </w:p>
    <w:p w:rsidR="00DD350C" w:rsidRPr="004E6D0A" w:rsidRDefault="00DD350C" w:rsidP="003444CC">
      <w:pPr>
        <w:pStyle w:val="ParNoG"/>
      </w:pPr>
      <w:r w:rsidRPr="004E6D0A">
        <w:t>The infrastructure at Colina II, Santiago Sur and Valparaíso prisons was undergoing improvement. A vocational training centre would be established and the visiting area would be renovated at Santiago Sur and Colina II prisons. Various units at Valparaíso prison would be refurbished. The State funded 10 social reintegration programmes for persons deprived of their liberty.</w:t>
      </w:r>
    </w:p>
    <w:p w:rsidR="00DD350C" w:rsidRPr="004E6D0A" w:rsidRDefault="00DD350C" w:rsidP="003444CC">
      <w:pPr>
        <w:pStyle w:val="ParNoG"/>
      </w:pPr>
      <w:r w:rsidRPr="004E6D0A">
        <w:rPr>
          <w:b/>
          <w:bCs/>
        </w:rPr>
        <w:t>Ms. Pesse</w:t>
      </w:r>
      <w:r w:rsidRPr="004E6D0A">
        <w:t xml:space="preserve"> (Chile) said that the Forensic Medical Service had a network of 98 experts, including medical practitioners and psychologists, who provided services all over the country. They intervened at the request of a judicial body and not on their own initiative. The provision of expert training was a difficult task given the highly complex and specialist skills required. Nonetheless, an e-learning training system had been developed and the Government had recently held consultations with the International Rehabilitation Council for Torture Victims in order to continue receiving support in training experts. The Forensic Medical Service had provided training courses to prosecutors, defenders and professionals working for the Compensation and Comprehensive Health-Care Programme, whose opinions were often sought in assessing the effects of torture on victims. The Service had also organized awareness-raising campaigns for the human rights team of the Investigative Police.</w:t>
      </w:r>
    </w:p>
    <w:p w:rsidR="00DD350C" w:rsidRPr="004E6D0A" w:rsidRDefault="00DD350C" w:rsidP="003444CC">
      <w:pPr>
        <w:pStyle w:val="ParNoG"/>
      </w:pPr>
      <w:r w:rsidRPr="004E6D0A">
        <w:t>The Government had begun work on the implementation of the Model Protocol for a Legal Investigation of Extra-legal, Arbitrary and Summary Executions (Minnesota Protocol) and the Latin American Model Protocol for the Investigation of Gender-related Killing of Women. The protocols had been incorporated into the national human rights plan.</w:t>
      </w:r>
    </w:p>
    <w:p w:rsidR="00DD350C" w:rsidRPr="004E6D0A" w:rsidRDefault="00DD350C" w:rsidP="003444CC">
      <w:pPr>
        <w:pStyle w:val="ParNoG"/>
      </w:pPr>
      <w:r w:rsidRPr="004E6D0A">
        <w:t>Injuries detected by the emergency services were examined by doctors who were not forensic experts and who did not currently receive training on international human rights standards. Nevertheless, under the national human rights plan, the Forensic Medical Service undertook the training of doctors to detect and record injuries in accordance with United Nations standards.</w:t>
      </w:r>
    </w:p>
    <w:p w:rsidR="00DD350C" w:rsidRPr="004E6D0A" w:rsidRDefault="00DD350C" w:rsidP="003444CC">
      <w:pPr>
        <w:pStyle w:val="ParNoG"/>
      </w:pPr>
      <w:r w:rsidRPr="004E6D0A">
        <w:rPr>
          <w:b/>
          <w:bCs/>
        </w:rPr>
        <w:t>Ms. Recabarren</w:t>
      </w:r>
      <w:r w:rsidRPr="004E6D0A">
        <w:t xml:space="preserve"> (Chile) said that any information not presented during the constructive dialogue would be submitted to the Committee in writing. Democracy and the rule of law were the best mechanisms to prevent and punish torture as well as to protect human rights in general. The Government remained committed in its efforts to protect vulnerable groups, improve its data collection and enhance the quality of human rights training. It would take into serious consideration all of the Committee</w:t>
      </w:r>
      <w:r w:rsidR="004E6D0A">
        <w:t>’</w:t>
      </w:r>
      <w:r w:rsidRPr="004E6D0A">
        <w:t>s comments and recommendations to that end.</w:t>
      </w:r>
    </w:p>
    <w:p w:rsidR="000C2BDC" w:rsidRPr="004E6D0A" w:rsidRDefault="00DD350C" w:rsidP="00405F33">
      <w:pPr>
        <w:pStyle w:val="SingleTxtG"/>
      </w:pPr>
      <w:r w:rsidRPr="004E6D0A">
        <w:rPr>
          <w:i/>
          <w:iCs/>
        </w:rPr>
        <w:t>The meeting rose at 6.05 p.m</w:t>
      </w:r>
      <w:r w:rsidRPr="004E6D0A">
        <w:t>.</w:t>
      </w:r>
    </w:p>
    <w:sectPr w:rsidR="000C2BDC" w:rsidRPr="004E6D0A"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4614" w:rsidRDefault="00AE4614" w:rsidP="00F95C08">
      <w:pPr>
        <w:spacing w:line="240" w:lineRule="auto"/>
      </w:pPr>
    </w:p>
  </w:endnote>
  <w:endnote w:type="continuationSeparator" w:id="0">
    <w:p w:rsidR="00AE4614" w:rsidRPr="00AC3823" w:rsidRDefault="00AE4614" w:rsidP="00AC3823">
      <w:pPr>
        <w:pStyle w:val="Footer"/>
      </w:pPr>
    </w:p>
  </w:endnote>
  <w:endnote w:type="continuationNotice" w:id="1">
    <w:p w:rsidR="00AE4614" w:rsidRDefault="00AE461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56E0" w:rsidRPr="006D4D6A" w:rsidRDefault="006D4D6A" w:rsidP="006D4D6A">
    <w:pPr>
      <w:pStyle w:val="Footer"/>
      <w:tabs>
        <w:tab w:val="right" w:pos="9638"/>
      </w:tabs>
    </w:pPr>
    <w:r>
      <w:t>GE.18-12724</w:t>
    </w:r>
    <w:r>
      <w:tab/>
    </w:r>
    <w:r w:rsidRPr="006D4D6A">
      <w:rPr>
        <w:b/>
        <w:bCs/>
        <w:sz w:val="18"/>
      </w:rPr>
      <w:fldChar w:fldCharType="begin"/>
    </w:r>
    <w:r w:rsidRPr="006D4D6A">
      <w:rPr>
        <w:b/>
        <w:bCs/>
        <w:sz w:val="18"/>
      </w:rPr>
      <w:instrText xml:space="preserve"> PAGE  \* MERGEFORMAT </w:instrText>
    </w:r>
    <w:r w:rsidRPr="006D4D6A">
      <w:rPr>
        <w:b/>
        <w:bCs/>
        <w:sz w:val="18"/>
      </w:rPr>
      <w:fldChar w:fldCharType="separate"/>
    </w:r>
    <w:r w:rsidR="00DE4B2F">
      <w:rPr>
        <w:b/>
        <w:bCs/>
        <w:noProof/>
        <w:sz w:val="18"/>
      </w:rPr>
      <w:t>2</w:t>
    </w:r>
    <w:r w:rsidRPr="006D4D6A">
      <w:rPr>
        <w:b/>
        <w:bCs/>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498C" w:rsidRPr="006D4D6A" w:rsidRDefault="006D4D6A" w:rsidP="006D4D6A">
    <w:pPr>
      <w:pStyle w:val="Footer"/>
      <w:tabs>
        <w:tab w:val="right" w:pos="9638"/>
      </w:tabs>
    </w:pPr>
    <w:r w:rsidRPr="006D4D6A">
      <w:rPr>
        <w:b/>
        <w:bCs/>
        <w:sz w:val="18"/>
      </w:rPr>
      <w:fldChar w:fldCharType="begin"/>
    </w:r>
    <w:r w:rsidRPr="006D4D6A">
      <w:rPr>
        <w:b/>
        <w:bCs/>
        <w:sz w:val="18"/>
      </w:rPr>
      <w:instrText xml:space="preserve"> PAGE  \* MERGEFORMAT </w:instrText>
    </w:r>
    <w:r w:rsidRPr="006D4D6A">
      <w:rPr>
        <w:b/>
        <w:bCs/>
        <w:sz w:val="18"/>
      </w:rPr>
      <w:fldChar w:fldCharType="separate"/>
    </w:r>
    <w:r w:rsidR="00DE4B2F">
      <w:rPr>
        <w:b/>
        <w:bCs/>
        <w:noProof/>
        <w:sz w:val="18"/>
      </w:rPr>
      <w:t>11</w:t>
    </w:r>
    <w:r w:rsidRPr="006D4D6A">
      <w:rPr>
        <w:b/>
        <w:bCs/>
        <w:sz w:val="18"/>
      </w:rPr>
      <w:fldChar w:fldCharType="end"/>
    </w:r>
    <w:r>
      <w:tab/>
      <w:t>GE.18-12724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DE4B2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42" type="#_x0000_t75" style="position:absolute;left:0;text-align:left;margin-left:340.2pt;margin-top:720.1pt;width:73.4pt;height:18.1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v:imagedata r:id="rId1" o:title=""/>
          <w10:wrap type="tight" anchorx="margin" anchory="margin"/>
          <w10:anchorlock/>
        </v:shape>
      </w:pict>
    </w:r>
  </w:p>
  <w:p w:rsidR="006D4D6A" w:rsidRDefault="006D4D6A" w:rsidP="00365C18">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GE.18-12724  (E)</w:t>
    </w:r>
    <w:r w:rsidR="00A1528F">
      <w:rPr>
        <w:rFonts w:eastAsia="SimSun"/>
        <w:sz w:val="20"/>
        <w:szCs w:val="18"/>
        <w:lang w:eastAsia="zh-CN"/>
      </w:rPr>
      <w:t xml:space="preserve">    060818    </w:t>
    </w:r>
    <w:r w:rsidR="00365C18">
      <w:rPr>
        <w:rFonts w:eastAsia="SimSun"/>
        <w:sz w:val="20"/>
        <w:szCs w:val="18"/>
        <w:lang w:eastAsia="zh-CN"/>
      </w:rPr>
      <w:t>10</w:t>
    </w:r>
    <w:r w:rsidR="0082047F">
      <w:rPr>
        <w:rFonts w:eastAsia="SimSun"/>
        <w:sz w:val="20"/>
        <w:szCs w:val="18"/>
        <w:lang w:eastAsia="zh-CN"/>
      </w:rPr>
      <w:t>0</w:t>
    </w:r>
    <w:r w:rsidR="00A1528F">
      <w:rPr>
        <w:rFonts w:eastAsia="SimSun"/>
        <w:sz w:val="20"/>
        <w:szCs w:val="18"/>
        <w:lang w:eastAsia="zh-CN"/>
      </w:rPr>
      <w:t>818</w:t>
    </w:r>
  </w:p>
  <w:p w:rsidR="006D4D6A" w:rsidRPr="006D4D6A" w:rsidRDefault="006D4D6A" w:rsidP="006D4D6A">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sidR="00DE4B2F">
      <w:rPr>
        <w:noProof/>
      </w:rPr>
      <w:pict>
        <v:shape id="Picture 1" o:spid="_x0000_s10241" type="#_x0000_t75" alt="https://undocs.org/m2/QRCode.ashx?DS=CAT/C/SR.1667&amp;Size=2 &amp;Lang=E" style="position:absolute;margin-left:431.4pt;margin-top:692.5pt;width:50.25pt;height:50.2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
          <v:imagedata r:id="rId2" o:title="SR"/>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4614" w:rsidRPr="00AC3823" w:rsidRDefault="00AE4614" w:rsidP="00AC3823">
      <w:pPr>
        <w:pStyle w:val="Footer"/>
        <w:tabs>
          <w:tab w:val="right" w:pos="2155"/>
        </w:tabs>
        <w:spacing w:after="80" w:line="240" w:lineRule="atLeast"/>
        <w:ind w:left="680"/>
        <w:rPr>
          <w:u w:val="single"/>
        </w:rPr>
      </w:pPr>
      <w:r>
        <w:rPr>
          <w:u w:val="single"/>
        </w:rPr>
        <w:tab/>
      </w:r>
    </w:p>
  </w:footnote>
  <w:footnote w:type="continuationSeparator" w:id="0">
    <w:p w:rsidR="00AE4614" w:rsidRPr="00AC3823" w:rsidRDefault="00AE4614" w:rsidP="00AC3823">
      <w:pPr>
        <w:pStyle w:val="Footer"/>
        <w:tabs>
          <w:tab w:val="right" w:pos="2155"/>
        </w:tabs>
        <w:spacing w:after="80" w:line="240" w:lineRule="atLeast"/>
        <w:ind w:left="680"/>
        <w:rPr>
          <w:u w:val="single"/>
        </w:rPr>
      </w:pPr>
      <w:r>
        <w:rPr>
          <w:u w:val="single"/>
        </w:rPr>
        <w:tab/>
      </w:r>
    </w:p>
  </w:footnote>
  <w:footnote w:type="continuationNotice" w:id="1">
    <w:p w:rsidR="00AE4614" w:rsidRPr="00AC3823" w:rsidRDefault="00AE4614">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56E0" w:rsidRDefault="00DD55C8">
    <w:pPr>
      <w:pStyle w:val="Header"/>
    </w:pPr>
    <w:fldSimple w:instr=" DOCPROPERTY  symh  \* MERGEFORMAT ">
      <w:r>
        <w:t>CAT/C/SR.1667</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6BC9" w:rsidRDefault="00DD55C8" w:rsidP="005B6BC9">
    <w:pPr>
      <w:pStyle w:val="Header"/>
      <w:jc w:val="right"/>
    </w:pPr>
    <w:fldSimple w:instr=" DOCPROPERTY  symh  \* MERGEFORMAT ">
      <w:r>
        <w:t>CAT/C/SR.1667</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47426093"/>
    <w:multiLevelType w:val="hybridMultilevel"/>
    <w:tmpl w:val="579A0F84"/>
    <w:lvl w:ilvl="0" w:tplc="7152F4E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78D27373"/>
    <w:multiLevelType w:val="hybridMultilevel"/>
    <w:tmpl w:val="8984F2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1"/>
  </w:num>
  <w:num w:numId="16">
    <w:abstractNumId w:val="10"/>
  </w:num>
  <w:num w:numId="17">
    <w:abstractNumId w:val="12"/>
  </w:num>
  <w:num w:numId="18">
    <w:abstractNumId w:val="15"/>
  </w:num>
  <w:num w:numId="19">
    <w:abstractNumId w:val="14"/>
  </w:num>
  <w:num w:numId="20">
    <w:abstractNumId w:val="17"/>
  </w:num>
  <w:num w:numId="21">
    <w:abstractNumId w:val="18"/>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fr-CH" w:vendorID="64" w:dllVersion="131078" w:nlCheck="1" w:checkStyle="0"/>
  <w:activeWritingStyle w:appName="MSWord" w:lang="en-GB" w:vendorID="64" w:dllVersion="131078" w:nlCheck="1" w:checkStyle="0"/>
  <w:doNotTrackMoves/>
  <w:defaultTabStop w:val="567"/>
  <w:hyphenationZone w:val="425"/>
  <w:evenAndOddHeaders/>
  <w:characterSpacingControl w:val="doNotCompress"/>
  <w:hdrShapeDefaults>
    <o:shapedefaults v:ext="edit" spidmax="10243"/>
    <o:shapelayout v:ext="edit">
      <o:idmap v:ext="edit" data="10"/>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4E9D"/>
    <w:rsid w:val="000047B1"/>
    <w:rsid w:val="00017F94"/>
    <w:rsid w:val="00023842"/>
    <w:rsid w:val="0003281F"/>
    <w:rsid w:val="000334F9"/>
    <w:rsid w:val="00040645"/>
    <w:rsid w:val="0007796D"/>
    <w:rsid w:val="000A2CED"/>
    <w:rsid w:val="000B7790"/>
    <w:rsid w:val="000C2BDC"/>
    <w:rsid w:val="000C390E"/>
    <w:rsid w:val="000C4A15"/>
    <w:rsid w:val="00111F2F"/>
    <w:rsid w:val="0014365E"/>
    <w:rsid w:val="00150724"/>
    <w:rsid w:val="00150DB2"/>
    <w:rsid w:val="00176178"/>
    <w:rsid w:val="00187BBC"/>
    <w:rsid w:val="001A7192"/>
    <w:rsid w:val="001E498C"/>
    <w:rsid w:val="001E6181"/>
    <w:rsid w:val="001F525A"/>
    <w:rsid w:val="00223272"/>
    <w:rsid w:val="00233A20"/>
    <w:rsid w:val="0024779E"/>
    <w:rsid w:val="0025371A"/>
    <w:rsid w:val="00257838"/>
    <w:rsid w:val="00291F1D"/>
    <w:rsid w:val="002A13F6"/>
    <w:rsid w:val="002D0F56"/>
    <w:rsid w:val="002E6AF8"/>
    <w:rsid w:val="002F1C80"/>
    <w:rsid w:val="00312462"/>
    <w:rsid w:val="003227E5"/>
    <w:rsid w:val="003444CC"/>
    <w:rsid w:val="00353ED5"/>
    <w:rsid w:val="00365C18"/>
    <w:rsid w:val="0039005B"/>
    <w:rsid w:val="003B0B0F"/>
    <w:rsid w:val="003D1AD0"/>
    <w:rsid w:val="003D3938"/>
    <w:rsid w:val="00405F33"/>
    <w:rsid w:val="00446FE5"/>
    <w:rsid w:val="00452396"/>
    <w:rsid w:val="00457CD7"/>
    <w:rsid w:val="0046257D"/>
    <w:rsid w:val="00482156"/>
    <w:rsid w:val="004D0848"/>
    <w:rsid w:val="004E6D0A"/>
    <w:rsid w:val="004F4916"/>
    <w:rsid w:val="0053631F"/>
    <w:rsid w:val="005505B7"/>
    <w:rsid w:val="00573BE5"/>
    <w:rsid w:val="00574196"/>
    <w:rsid w:val="00586ED3"/>
    <w:rsid w:val="00596AA9"/>
    <w:rsid w:val="005A14CB"/>
    <w:rsid w:val="005A7EC7"/>
    <w:rsid w:val="005B43E7"/>
    <w:rsid w:val="005B63EB"/>
    <w:rsid w:val="005B6BC9"/>
    <w:rsid w:val="005B75E3"/>
    <w:rsid w:val="005C06D4"/>
    <w:rsid w:val="005C4DAA"/>
    <w:rsid w:val="006056E0"/>
    <w:rsid w:val="00670DFB"/>
    <w:rsid w:val="006748CF"/>
    <w:rsid w:val="006813D2"/>
    <w:rsid w:val="006861E6"/>
    <w:rsid w:val="006B627B"/>
    <w:rsid w:val="006D2BC1"/>
    <w:rsid w:val="006D4D6A"/>
    <w:rsid w:val="006E3F0A"/>
    <w:rsid w:val="00706E82"/>
    <w:rsid w:val="00707C98"/>
    <w:rsid w:val="00713504"/>
    <w:rsid w:val="0071601D"/>
    <w:rsid w:val="00726967"/>
    <w:rsid w:val="00766CEC"/>
    <w:rsid w:val="007A26B7"/>
    <w:rsid w:val="007A62E6"/>
    <w:rsid w:val="0080684C"/>
    <w:rsid w:val="00815502"/>
    <w:rsid w:val="0082047F"/>
    <w:rsid w:val="00831242"/>
    <w:rsid w:val="00847878"/>
    <w:rsid w:val="00861053"/>
    <w:rsid w:val="00871C75"/>
    <w:rsid w:val="008776DC"/>
    <w:rsid w:val="00880106"/>
    <w:rsid w:val="00894D41"/>
    <w:rsid w:val="008C6A4F"/>
    <w:rsid w:val="008C7952"/>
    <w:rsid w:val="008E2BD2"/>
    <w:rsid w:val="008F69EF"/>
    <w:rsid w:val="00957790"/>
    <w:rsid w:val="009705C8"/>
    <w:rsid w:val="009C41E2"/>
    <w:rsid w:val="00A1528F"/>
    <w:rsid w:val="00A319E9"/>
    <w:rsid w:val="00A75EB9"/>
    <w:rsid w:val="00A815AF"/>
    <w:rsid w:val="00AB7E73"/>
    <w:rsid w:val="00AC2CCD"/>
    <w:rsid w:val="00AC3823"/>
    <w:rsid w:val="00AE323C"/>
    <w:rsid w:val="00AE4614"/>
    <w:rsid w:val="00AE7729"/>
    <w:rsid w:val="00B00181"/>
    <w:rsid w:val="00B057CC"/>
    <w:rsid w:val="00B34BE7"/>
    <w:rsid w:val="00B41FDC"/>
    <w:rsid w:val="00B43C66"/>
    <w:rsid w:val="00B65FCA"/>
    <w:rsid w:val="00B765F7"/>
    <w:rsid w:val="00B9024D"/>
    <w:rsid w:val="00BA07AB"/>
    <w:rsid w:val="00BA0CA9"/>
    <w:rsid w:val="00BD0F0C"/>
    <w:rsid w:val="00BE4745"/>
    <w:rsid w:val="00BF30B9"/>
    <w:rsid w:val="00BF3C2C"/>
    <w:rsid w:val="00C02897"/>
    <w:rsid w:val="00C12091"/>
    <w:rsid w:val="00C274C0"/>
    <w:rsid w:val="00C638E5"/>
    <w:rsid w:val="00CA23FB"/>
    <w:rsid w:val="00CB43B4"/>
    <w:rsid w:val="00CB56FC"/>
    <w:rsid w:val="00CC2887"/>
    <w:rsid w:val="00CC71CE"/>
    <w:rsid w:val="00D3439C"/>
    <w:rsid w:val="00D6154B"/>
    <w:rsid w:val="00DA22F4"/>
    <w:rsid w:val="00DA40FE"/>
    <w:rsid w:val="00DB1831"/>
    <w:rsid w:val="00DC0AE6"/>
    <w:rsid w:val="00DD350C"/>
    <w:rsid w:val="00DD3BFD"/>
    <w:rsid w:val="00DD55C8"/>
    <w:rsid w:val="00DE4B2F"/>
    <w:rsid w:val="00DF6678"/>
    <w:rsid w:val="00E22CF2"/>
    <w:rsid w:val="00E52D9F"/>
    <w:rsid w:val="00E56B4F"/>
    <w:rsid w:val="00E67C7F"/>
    <w:rsid w:val="00EA4D37"/>
    <w:rsid w:val="00F01808"/>
    <w:rsid w:val="00F164B0"/>
    <w:rsid w:val="00F24D6D"/>
    <w:rsid w:val="00F4130F"/>
    <w:rsid w:val="00F6121F"/>
    <w:rsid w:val="00F660DF"/>
    <w:rsid w:val="00F80094"/>
    <w:rsid w:val="00F866E1"/>
    <w:rsid w:val="00F95C08"/>
    <w:rsid w:val="00F979D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3"/>
    <o:shapelayout v:ext="edit">
      <o:idmap v:ext="edit" data="1"/>
    </o:shapelayout>
  </w:shapeDefaults>
  <w:decimalSymbol w:val="."/>
  <w:listSeparator w:val=","/>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Calibr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Calibr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Calibr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Calibr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Calibr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Calibr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Calibr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Calibr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Calibri"/>
      <w:b/>
      <w:sz w:val="18"/>
    </w:rPr>
  </w:style>
  <w:style w:type="character" w:customStyle="1" w:styleId="HeaderChar">
    <w:name w:val="Header Char"/>
    <w:aliases w:val="6_G Char"/>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Calibri"/>
      <w:sz w:val="16"/>
    </w:rPr>
  </w:style>
  <w:style w:type="character" w:customStyle="1" w:styleId="FooterChar">
    <w:name w:val="Footer Char"/>
    <w:aliases w:val="3_G Char"/>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Calibr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Calibr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Calibr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Calibr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Calibr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Calibr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Calibr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Calibr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Calibr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Calibri"/>
    </w:rPr>
  </w:style>
  <w:style w:type="character" w:styleId="FootnoteReference">
    <w:name w:val="footnote reference"/>
    <w:aliases w:val="4_G"/>
    <w:qFormat/>
    <w:rsid w:val="00482156"/>
    <w:rPr>
      <w:rFonts w:ascii="Times New Roman" w:hAnsi="Times New Roman"/>
      <w:sz w:val="18"/>
      <w:vertAlign w:val="superscript"/>
      <w:lang w:val="en-GB"/>
    </w:rPr>
  </w:style>
  <w:style w:type="character" w:styleId="EndnoteReference">
    <w:name w:val="endnote reference"/>
    <w:aliases w:val="1_G"/>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line="240" w:lineRule="atLeast"/>
    </w:pPr>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82156"/>
    <w:rPr>
      <w:color w:val="0000FF"/>
      <w:u w:val="none"/>
    </w:rPr>
  </w:style>
  <w:style w:type="character" w:styleId="FollowedHyperlink">
    <w:name w:val="FollowedHyperlink"/>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Calibri"/>
      <w:sz w:val="18"/>
    </w:rPr>
  </w:style>
  <w:style w:type="character" w:customStyle="1" w:styleId="FootnoteTextChar">
    <w:name w:val="Footnote Text Char"/>
    <w:aliases w:val="5_G Char"/>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link w:val="EndnoteText"/>
    <w:rsid w:val="00482156"/>
    <w:rPr>
      <w:rFonts w:ascii="Times New Roman" w:hAnsi="Times New Roman" w:cs="Times New Roman"/>
      <w:sz w:val="18"/>
      <w:szCs w:val="20"/>
      <w:lang w:val="en-GB"/>
    </w:rPr>
  </w:style>
  <w:style w:type="character" w:styleId="PageNumber">
    <w:name w:val="page number"/>
    <w:aliases w:val="7_G"/>
    <w:qFormat/>
    <w:rsid w:val="00482156"/>
    <w:rPr>
      <w:rFonts w:ascii="Times New Roman" w:hAnsi="Times New Roman"/>
      <w:b/>
      <w:sz w:val="18"/>
      <w:lang w:val="en-GB"/>
    </w:rPr>
  </w:style>
  <w:style w:type="character" w:customStyle="1" w:styleId="Heading1Char">
    <w:name w:val="Heading 1 Char"/>
    <w:aliases w:val="Table_G Char"/>
    <w:link w:val="Heading1"/>
    <w:rsid w:val="00482156"/>
    <w:rPr>
      <w:rFonts w:ascii="Times New Roman" w:hAnsi="Times New Roman" w:cs="Times New Roman"/>
      <w:sz w:val="20"/>
      <w:szCs w:val="20"/>
      <w:lang w:val="en-GB"/>
    </w:rPr>
  </w:style>
  <w:style w:type="character" w:customStyle="1" w:styleId="Heading2Char">
    <w:name w:val="Heading 2 Char"/>
    <w:link w:val="Heading2"/>
    <w:semiHidden/>
    <w:rsid w:val="00482156"/>
    <w:rPr>
      <w:rFonts w:ascii="Times New Roman" w:hAnsi="Times New Roman" w:cs="Times New Roman"/>
      <w:sz w:val="20"/>
      <w:szCs w:val="20"/>
    </w:rPr>
  </w:style>
  <w:style w:type="character" w:customStyle="1" w:styleId="Heading3Char">
    <w:name w:val="Heading 3 Char"/>
    <w:link w:val="Heading3"/>
    <w:semiHidden/>
    <w:rsid w:val="00482156"/>
    <w:rPr>
      <w:rFonts w:ascii="Times New Roman" w:hAnsi="Times New Roman" w:cs="Times New Roman"/>
      <w:sz w:val="20"/>
      <w:szCs w:val="20"/>
    </w:rPr>
  </w:style>
  <w:style w:type="character" w:customStyle="1" w:styleId="Heading4Char">
    <w:name w:val="Heading 4 Char"/>
    <w:link w:val="Heading4"/>
    <w:semiHidden/>
    <w:rsid w:val="00482156"/>
    <w:rPr>
      <w:rFonts w:ascii="Times New Roman" w:hAnsi="Times New Roman" w:cs="Times New Roman"/>
      <w:sz w:val="20"/>
      <w:szCs w:val="20"/>
    </w:rPr>
  </w:style>
  <w:style w:type="character" w:customStyle="1" w:styleId="Heading5Char">
    <w:name w:val="Heading 5 Char"/>
    <w:link w:val="Heading5"/>
    <w:semiHidden/>
    <w:rsid w:val="00482156"/>
    <w:rPr>
      <w:rFonts w:ascii="Times New Roman" w:hAnsi="Times New Roman" w:cs="Times New Roman"/>
      <w:sz w:val="20"/>
      <w:szCs w:val="20"/>
    </w:rPr>
  </w:style>
  <w:style w:type="character" w:customStyle="1" w:styleId="Heading6Char">
    <w:name w:val="Heading 6 Char"/>
    <w:link w:val="Heading6"/>
    <w:semiHidden/>
    <w:rsid w:val="00482156"/>
    <w:rPr>
      <w:rFonts w:ascii="Times New Roman" w:hAnsi="Times New Roman" w:cs="Times New Roman"/>
      <w:sz w:val="20"/>
      <w:szCs w:val="20"/>
    </w:rPr>
  </w:style>
  <w:style w:type="character" w:customStyle="1" w:styleId="Heading7Char">
    <w:name w:val="Heading 7 Char"/>
    <w:link w:val="Heading7"/>
    <w:semiHidden/>
    <w:rsid w:val="00482156"/>
    <w:rPr>
      <w:rFonts w:ascii="Times New Roman" w:hAnsi="Times New Roman" w:cs="Times New Roman"/>
      <w:sz w:val="20"/>
      <w:szCs w:val="20"/>
    </w:rPr>
  </w:style>
  <w:style w:type="character" w:customStyle="1" w:styleId="Heading8Char">
    <w:name w:val="Heading 8 Char"/>
    <w:link w:val="Heading8"/>
    <w:semiHidden/>
    <w:rsid w:val="00482156"/>
    <w:rPr>
      <w:rFonts w:ascii="Times New Roman" w:hAnsi="Times New Roman" w:cs="Times New Roman"/>
      <w:sz w:val="20"/>
      <w:szCs w:val="20"/>
    </w:rPr>
  </w:style>
  <w:style w:type="character" w:customStyle="1" w:styleId="Heading9Char">
    <w:name w:val="Heading 9 Char"/>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line="240" w:lineRule="atLeast"/>
    </w:pPr>
    <w:rPr>
      <w:rFonts w:ascii="Times New Roman" w:hAnsi="Times New Roman" w:cs="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CHL/6"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RC/C/CHL/INQ/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AT/C/CHL/6" TargetMode="Externa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http://undocs.org/en/CAT/C/CHL/Q/6"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4C11A0-C03C-47BC-8497-DBB2CB2F03D1}"/>
</file>

<file path=customXml/itemProps2.xml><?xml version="1.0" encoding="utf-8"?>
<ds:datastoreItem xmlns:ds="http://schemas.openxmlformats.org/officeDocument/2006/customXml" ds:itemID="{B86AB474-7A21-44B2-A64C-F482F98987EB}"/>
</file>

<file path=customXml/itemProps3.xml><?xml version="1.0" encoding="utf-8"?>
<ds:datastoreItem xmlns:ds="http://schemas.openxmlformats.org/officeDocument/2006/customXml" ds:itemID="{BBACE372-0F81-4897-8D28-81EC16960846}"/>
</file>

<file path=docProps/app.xml><?xml version="1.0" encoding="utf-8"?>
<Properties xmlns="http://schemas.openxmlformats.org/officeDocument/2006/extended-properties" xmlns:vt="http://schemas.openxmlformats.org/officeDocument/2006/docPropsVTypes">
  <Template>Normal.dotm</Template>
  <TotalTime>0</TotalTime>
  <Pages>11</Pages>
  <Words>6643</Words>
  <Characters>37867</Characters>
  <Application>Microsoft Office Word</Application>
  <DocSecurity>0</DocSecurity>
  <Lines>315</Lines>
  <Paragraphs>88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CAT/C/SR.1667</vt:lpstr>
      <vt:lpstr/>
      <vt:lpstr/>
    </vt:vector>
  </TitlesOfParts>
  <Company>DCM</Company>
  <LinksUpToDate>false</LinksUpToDate>
  <CharactersWithSpaces>44422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CAT/C/SR.1667</dc:title>
  <dc:subject>1812724</dc:subject>
  <dc:creator>MO</dc:creator>
  <cp:keywords/>
  <dc:description/>
  <cp:lastModifiedBy>Hélène Orrü</cp:lastModifiedBy>
  <cp:revision>2</cp:revision>
  <cp:lastPrinted>2018-08-10T14:26:00Z</cp:lastPrinted>
  <dcterms:created xsi:type="dcterms:W3CDTF">2018-09-03T07:49:00Z</dcterms:created>
  <dcterms:modified xsi:type="dcterms:W3CDTF">2018-09-03T07:49:00Z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1667</vt:lpwstr>
  </property>
  <property fmtid="{D5CDD505-2E9C-101B-9397-08002B2CF9AE}" pid="15" name="symh">
    <vt:lpwstr>CAT/C/SR.1667</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31 July 2018, at 3 p.m.</vt:lpwstr>
  </property>
  <property fmtid="{D5CDD505-2E9C-101B-9397-08002B2CF9AE}" pid="20" name="dname">
    <vt:lpwstr>Mr. Modvig</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Sixty-fourth</vt:lpwstr>
  </property>
  <property fmtid="{D5CDD505-2E9C-101B-9397-08002B2CF9AE}" pid="25" name="mnum">
    <vt:lpwstr>1667th</vt:lpwstr>
  </property>
  <property fmtid="{D5CDD505-2E9C-101B-9397-08002B2CF9AE}" pid="26" name="Date-Generated">
    <vt:lpwstr>8/2/2018 10:28:48 AM</vt:lpwstr>
  </property>
  <property fmtid="{D5CDD505-2E9C-101B-9397-08002B2CF9AE}" pid="27" name="ContentTypeId">
    <vt:lpwstr>0x01010022B3C51BB8F9654FB8068485B2E4975B</vt:lpwstr>
  </property>
</Properties>
</file>