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1EBFA" w14:textId="73C96151" w:rsidR="00774CC3" w:rsidRDefault="009E3D3D" w:rsidP="009E3D3D">
      <w:pPr>
        <w:pStyle w:val="Default"/>
        <w:spacing w:after="240"/>
        <w:jc w:val="right"/>
        <w:rPr>
          <w:b/>
          <w:sz w:val="34"/>
          <w:szCs w:val="34"/>
          <w:lang w:val="en-GB"/>
        </w:rPr>
      </w:pPr>
      <w:r>
        <w:rPr>
          <w:noProof/>
          <w:lang w:val="en-GB" w:eastAsia="en-GB"/>
        </w:rPr>
        <w:drawing>
          <wp:inline distT="0" distB="0" distL="0" distR="0" wp14:anchorId="10ABC097" wp14:editId="2FAF5129">
            <wp:extent cx="24574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914400"/>
                    </a:xfrm>
                    <a:prstGeom prst="rect">
                      <a:avLst/>
                    </a:prstGeom>
                    <a:noFill/>
                    <a:ln>
                      <a:noFill/>
                    </a:ln>
                  </pic:spPr>
                </pic:pic>
              </a:graphicData>
            </a:graphic>
          </wp:inline>
        </w:drawing>
      </w:r>
    </w:p>
    <w:p w14:paraId="14F687F3" w14:textId="77777777" w:rsidR="00774CC3" w:rsidRDefault="00774CC3" w:rsidP="00774CC3">
      <w:pPr>
        <w:pStyle w:val="Default"/>
        <w:spacing w:after="240"/>
        <w:jc w:val="center"/>
        <w:rPr>
          <w:b/>
          <w:sz w:val="34"/>
          <w:szCs w:val="34"/>
          <w:lang w:val="en-GB"/>
        </w:rPr>
      </w:pPr>
    </w:p>
    <w:p w14:paraId="50CA3C9C" w14:textId="77777777" w:rsidR="00774CC3" w:rsidRDefault="00774CC3" w:rsidP="00774CC3">
      <w:pPr>
        <w:pStyle w:val="Default"/>
        <w:spacing w:after="240"/>
        <w:jc w:val="center"/>
        <w:rPr>
          <w:b/>
          <w:sz w:val="34"/>
          <w:szCs w:val="34"/>
          <w:lang w:val="en-GB"/>
        </w:rPr>
      </w:pPr>
    </w:p>
    <w:p w14:paraId="6708D540" w14:textId="77777777" w:rsidR="00774CC3" w:rsidRDefault="00774CC3" w:rsidP="009E3D3D">
      <w:pPr>
        <w:pStyle w:val="Default"/>
        <w:spacing w:after="240"/>
        <w:rPr>
          <w:b/>
          <w:sz w:val="34"/>
          <w:szCs w:val="34"/>
          <w:lang w:val="en-GB"/>
        </w:rPr>
      </w:pPr>
    </w:p>
    <w:p w14:paraId="1A0B53A6" w14:textId="4BCACE6B" w:rsidR="00774CC3" w:rsidRPr="00774CC3" w:rsidRDefault="00CA6BA7" w:rsidP="00774CC3">
      <w:pPr>
        <w:pStyle w:val="Default"/>
        <w:spacing w:after="240"/>
        <w:jc w:val="center"/>
        <w:rPr>
          <w:b/>
          <w:sz w:val="34"/>
          <w:szCs w:val="34"/>
          <w:lang w:val="en-GB"/>
        </w:rPr>
      </w:pPr>
      <w:r w:rsidRPr="00774CC3">
        <w:rPr>
          <w:b/>
          <w:sz w:val="34"/>
          <w:szCs w:val="34"/>
          <w:lang w:val="en-GB"/>
        </w:rPr>
        <w:t>Alternative Report</w:t>
      </w:r>
    </w:p>
    <w:p w14:paraId="0B70E787" w14:textId="3E5DB317" w:rsidR="00CA6BA7" w:rsidRPr="00774CC3" w:rsidRDefault="00CA6BA7" w:rsidP="00774CC3">
      <w:pPr>
        <w:pStyle w:val="Default"/>
        <w:spacing w:after="240"/>
        <w:jc w:val="center"/>
        <w:rPr>
          <w:sz w:val="34"/>
          <w:szCs w:val="34"/>
          <w:lang w:val="en-GB"/>
        </w:rPr>
      </w:pPr>
      <w:r w:rsidRPr="00774CC3">
        <w:rPr>
          <w:b/>
          <w:bCs/>
          <w:sz w:val="34"/>
          <w:szCs w:val="34"/>
          <w:lang w:val="en-GB"/>
        </w:rPr>
        <w:t>of the Republic of Latvia on the implementation</w:t>
      </w:r>
    </w:p>
    <w:p w14:paraId="056ECE49" w14:textId="2BAC597D" w:rsidR="00CA6BA7" w:rsidRPr="00774CC3" w:rsidRDefault="00CA6BA7" w:rsidP="00774CC3">
      <w:pPr>
        <w:pStyle w:val="Default"/>
        <w:spacing w:after="240"/>
        <w:jc w:val="center"/>
        <w:rPr>
          <w:b/>
          <w:bCs/>
          <w:sz w:val="34"/>
          <w:szCs w:val="34"/>
          <w:lang w:val="en-GB"/>
        </w:rPr>
      </w:pPr>
      <w:r w:rsidRPr="00774CC3">
        <w:rPr>
          <w:b/>
          <w:bCs/>
          <w:sz w:val="34"/>
          <w:szCs w:val="34"/>
          <w:lang w:val="en-GB"/>
        </w:rPr>
        <w:t>of the 1979 United Nations Convention on the Elimination of All Forms of Discrimination against Women</w:t>
      </w:r>
    </w:p>
    <w:p w14:paraId="06EC6864" w14:textId="77777777" w:rsidR="0021214B" w:rsidRPr="00774CC3" w:rsidRDefault="00CA6BA7" w:rsidP="00774CC3">
      <w:pPr>
        <w:spacing w:after="240"/>
        <w:jc w:val="center"/>
        <w:rPr>
          <w:rFonts w:ascii="Times New Roman" w:hAnsi="Times New Roman" w:cs="Times New Roman"/>
          <w:b/>
          <w:bCs/>
          <w:sz w:val="34"/>
          <w:szCs w:val="34"/>
          <w:lang w:val="en-GB"/>
        </w:rPr>
      </w:pPr>
      <w:r w:rsidRPr="00774CC3">
        <w:rPr>
          <w:rFonts w:ascii="Times New Roman" w:hAnsi="Times New Roman" w:cs="Times New Roman"/>
          <w:b/>
          <w:bCs/>
          <w:sz w:val="34"/>
          <w:szCs w:val="34"/>
          <w:lang w:val="en-GB"/>
        </w:rPr>
        <w:t>1 January 2005 – 31 December 2017</w:t>
      </w:r>
    </w:p>
    <w:p w14:paraId="2B12B3AB" w14:textId="77777777" w:rsidR="009E3D3D" w:rsidRDefault="009E3D3D" w:rsidP="009E3D3D">
      <w:pPr>
        <w:spacing w:after="240"/>
        <w:jc w:val="right"/>
        <w:rPr>
          <w:rFonts w:ascii="Times New Roman" w:hAnsi="Times New Roman" w:cs="Times New Roman"/>
          <w:b/>
          <w:bCs/>
          <w:sz w:val="24"/>
          <w:szCs w:val="24"/>
          <w:lang w:val="en-GB"/>
        </w:rPr>
      </w:pPr>
    </w:p>
    <w:p w14:paraId="5765182A" w14:textId="77777777" w:rsidR="009E3D3D" w:rsidRDefault="009E3D3D" w:rsidP="009E3D3D">
      <w:pPr>
        <w:spacing w:after="240"/>
        <w:jc w:val="right"/>
        <w:rPr>
          <w:rFonts w:ascii="Times New Roman" w:hAnsi="Times New Roman" w:cs="Times New Roman"/>
          <w:b/>
          <w:bCs/>
          <w:sz w:val="24"/>
          <w:szCs w:val="24"/>
          <w:lang w:val="en-GB"/>
        </w:rPr>
      </w:pPr>
    </w:p>
    <w:p w14:paraId="72754FEC" w14:textId="77777777" w:rsidR="009E3D3D" w:rsidRDefault="009E3D3D" w:rsidP="009E3D3D">
      <w:pPr>
        <w:spacing w:after="240"/>
        <w:jc w:val="right"/>
        <w:rPr>
          <w:rFonts w:ascii="Times New Roman" w:hAnsi="Times New Roman" w:cs="Times New Roman"/>
          <w:b/>
          <w:bCs/>
          <w:sz w:val="24"/>
          <w:szCs w:val="24"/>
          <w:lang w:val="en-GB"/>
        </w:rPr>
      </w:pPr>
    </w:p>
    <w:p w14:paraId="12FBE494" w14:textId="77777777" w:rsidR="009E3D3D" w:rsidRDefault="009E3D3D" w:rsidP="009E3D3D">
      <w:pPr>
        <w:spacing w:after="240"/>
        <w:jc w:val="right"/>
        <w:rPr>
          <w:rFonts w:ascii="Times New Roman" w:hAnsi="Times New Roman" w:cs="Times New Roman"/>
          <w:b/>
          <w:bCs/>
          <w:sz w:val="24"/>
          <w:szCs w:val="24"/>
          <w:lang w:val="en-GB"/>
        </w:rPr>
      </w:pPr>
    </w:p>
    <w:p w14:paraId="1E5347EF" w14:textId="77777777" w:rsidR="009E3D3D" w:rsidRDefault="009E3D3D" w:rsidP="009E3D3D">
      <w:pPr>
        <w:spacing w:after="240"/>
        <w:jc w:val="right"/>
        <w:rPr>
          <w:rFonts w:ascii="Times New Roman" w:hAnsi="Times New Roman" w:cs="Times New Roman"/>
          <w:b/>
          <w:bCs/>
          <w:sz w:val="24"/>
          <w:szCs w:val="24"/>
          <w:lang w:val="en-GB"/>
        </w:rPr>
      </w:pPr>
    </w:p>
    <w:p w14:paraId="729134FB" w14:textId="77777777" w:rsidR="009E3D3D" w:rsidRDefault="009E3D3D" w:rsidP="009E3D3D">
      <w:pPr>
        <w:spacing w:after="240"/>
        <w:jc w:val="right"/>
        <w:rPr>
          <w:rFonts w:ascii="Times New Roman" w:hAnsi="Times New Roman" w:cs="Times New Roman"/>
          <w:b/>
          <w:bCs/>
          <w:sz w:val="24"/>
          <w:szCs w:val="24"/>
          <w:lang w:val="en-GB"/>
        </w:rPr>
      </w:pPr>
    </w:p>
    <w:p w14:paraId="6EE8761D" w14:textId="77777777" w:rsidR="009E3D3D" w:rsidRDefault="009E3D3D" w:rsidP="009E3D3D">
      <w:pPr>
        <w:spacing w:after="240"/>
        <w:jc w:val="right"/>
        <w:rPr>
          <w:rFonts w:ascii="Times New Roman" w:hAnsi="Times New Roman" w:cs="Times New Roman"/>
          <w:b/>
          <w:bCs/>
          <w:sz w:val="24"/>
          <w:szCs w:val="24"/>
          <w:lang w:val="en-GB"/>
        </w:rPr>
      </w:pPr>
    </w:p>
    <w:p w14:paraId="3C96D6F8" w14:textId="77777777" w:rsidR="009E3D3D" w:rsidRDefault="009E3D3D" w:rsidP="009E3D3D">
      <w:pPr>
        <w:spacing w:after="240"/>
        <w:jc w:val="right"/>
        <w:rPr>
          <w:rFonts w:ascii="Times New Roman" w:hAnsi="Times New Roman" w:cs="Times New Roman"/>
          <w:b/>
          <w:bCs/>
          <w:sz w:val="24"/>
          <w:szCs w:val="24"/>
          <w:lang w:val="en-GB"/>
        </w:rPr>
      </w:pPr>
    </w:p>
    <w:p w14:paraId="15FC9AE8" w14:textId="6ADE2200" w:rsidR="009E3D3D" w:rsidRPr="009E3D3D" w:rsidRDefault="009E3D3D" w:rsidP="009E3D3D">
      <w:pPr>
        <w:shd w:val="clear" w:color="auto" w:fill="FFFFFF"/>
        <w:spacing w:after="0" w:line="276" w:lineRule="auto"/>
        <w:jc w:val="right"/>
        <w:rPr>
          <w:rFonts w:ascii="Times New Roman" w:hAnsi="Times New Roman" w:cs="Times New Roman"/>
          <w:b/>
          <w:color w:val="000000"/>
          <w:sz w:val="24"/>
          <w:szCs w:val="24"/>
        </w:rPr>
      </w:pPr>
      <w:r w:rsidRPr="009E3D3D">
        <w:rPr>
          <w:rFonts w:ascii="Times New Roman" w:hAnsi="Times New Roman" w:cs="Times New Roman"/>
          <w:b/>
          <w:color w:val="000000"/>
          <w:sz w:val="24"/>
          <w:szCs w:val="24"/>
        </w:rPr>
        <w:t>Contacts:</w:t>
      </w:r>
    </w:p>
    <w:p w14:paraId="548486E5" w14:textId="4A937502" w:rsidR="009E3D3D" w:rsidRPr="009E3D3D" w:rsidRDefault="009E3D3D" w:rsidP="009E3D3D">
      <w:pPr>
        <w:shd w:val="clear" w:color="auto" w:fill="FFFFFF"/>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MARTA Centre</w:t>
      </w:r>
    </w:p>
    <w:p w14:paraId="7B37DB0D" w14:textId="77777777" w:rsidR="009E3D3D" w:rsidRPr="009E3D3D" w:rsidRDefault="009E3D3D" w:rsidP="009E3D3D">
      <w:pPr>
        <w:pStyle w:val="NormalWeb"/>
        <w:shd w:val="clear" w:color="auto" w:fill="FFFFFF"/>
        <w:spacing w:before="0" w:beforeAutospacing="0" w:after="0" w:afterAutospacing="0" w:line="276" w:lineRule="auto"/>
        <w:jc w:val="right"/>
        <w:rPr>
          <w:color w:val="000000"/>
        </w:rPr>
      </w:pPr>
      <w:r w:rsidRPr="009E3D3D">
        <w:rPr>
          <w:rStyle w:val="Strong"/>
          <w:b w:val="0"/>
          <w:color w:val="000000"/>
        </w:rPr>
        <w:t>e-mail</w:t>
      </w:r>
      <w:r w:rsidRPr="009E3D3D">
        <w:rPr>
          <w:rStyle w:val="Strong"/>
          <w:color w:val="000000"/>
        </w:rPr>
        <w:t>:</w:t>
      </w:r>
      <w:r w:rsidRPr="009E3D3D">
        <w:rPr>
          <w:color w:val="000000"/>
        </w:rPr>
        <w:t> </w:t>
      </w:r>
      <w:hyperlink r:id="rId9" w:history="1">
        <w:r w:rsidRPr="009E3D3D">
          <w:rPr>
            <w:rStyle w:val="Hyperlink"/>
            <w:color w:val="000000"/>
          </w:rPr>
          <w:t>centrs@marta.lv</w:t>
        </w:r>
      </w:hyperlink>
    </w:p>
    <w:p w14:paraId="28DB7617" w14:textId="43BD2724" w:rsidR="009E3D3D" w:rsidRPr="009E3D3D" w:rsidRDefault="009E3D3D" w:rsidP="009E3D3D">
      <w:pPr>
        <w:pStyle w:val="NormalWeb"/>
        <w:shd w:val="clear" w:color="auto" w:fill="FFFFFF"/>
        <w:spacing w:before="0" w:beforeAutospacing="0" w:after="0" w:afterAutospacing="0" w:line="276" w:lineRule="auto"/>
        <w:jc w:val="right"/>
        <w:rPr>
          <w:color w:val="000000"/>
        </w:rPr>
      </w:pPr>
      <w:r w:rsidRPr="009E3D3D">
        <w:rPr>
          <w:rStyle w:val="Strong"/>
          <w:b w:val="0"/>
          <w:color w:val="000000"/>
        </w:rPr>
        <w:t>Telephone:</w:t>
      </w:r>
      <w:r w:rsidRPr="009E3D3D">
        <w:rPr>
          <w:color w:val="000000"/>
        </w:rPr>
        <w:t> </w:t>
      </w:r>
      <w:r>
        <w:rPr>
          <w:color w:val="000000"/>
        </w:rPr>
        <w:t xml:space="preserve">+371 </w:t>
      </w:r>
      <w:r w:rsidRPr="009E3D3D">
        <w:rPr>
          <w:color w:val="000000"/>
          <w:shd w:val="clear" w:color="auto" w:fill="FFFFFF"/>
        </w:rPr>
        <w:t>67378539</w:t>
      </w:r>
    </w:p>
    <w:p w14:paraId="7C8F60C7" w14:textId="7078A2D1" w:rsidR="009E3D3D" w:rsidRDefault="00CA6BA7" w:rsidP="009E3D3D">
      <w:pPr>
        <w:spacing w:after="240"/>
        <w:jc w:val="right"/>
        <w:rPr>
          <w:rFonts w:ascii="Times New Roman" w:hAnsi="Times New Roman" w:cs="Times New Roman"/>
          <w:b/>
          <w:bCs/>
          <w:sz w:val="24"/>
          <w:szCs w:val="24"/>
          <w:lang w:val="en-GB"/>
        </w:rPr>
      </w:pPr>
      <w:r w:rsidRPr="00350AFA">
        <w:rPr>
          <w:rFonts w:ascii="Times New Roman" w:hAnsi="Times New Roman" w:cs="Times New Roman"/>
          <w:b/>
          <w:bCs/>
          <w:sz w:val="24"/>
          <w:szCs w:val="24"/>
          <w:lang w:val="en-GB"/>
        </w:rPr>
        <w:br w:type="page"/>
      </w:r>
    </w:p>
    <w:p w14:paraId="0298666D" w14:textId="1D0FCF82" w:rsidR="009E3D3D" w:rsidRPr="009E3D3D" w:rsidRDefault="009E3D3D" w:rsidP="00350ABF">
      <w:pPr>
        <w:spacing w:after="240"/>
        <w:rPr>
          <w:rFonts w:ascii="Times New Roman" w:hAnsi="Times New Roman" w:cs="Times New Roman"/>
          <w:b/>
          <w:bCs/>
          <w:sz w:val="24"/>
          <w:szCs w:val="24"/>
          <w:lang w:val="en-GB"/>
        </w:rPr>
      </w:pPr>
    </w:p>
    <w:p w14:paraId="323A35EF" w14:textId="77777777" w:rsidR="00CA6BA7" w:rsidRPr="00350AFA" w:rsidRDefault="005A3A74" w:rsidP="00350ABF">
      <w:pPr>
        <w:pStyle w:val="Default"/>
        <w:spacing w:after="240"/>
        <w:rPr>
          <w:b/>
          <w:lang w:val="en-GB"/>
        </w:rPr>
      </w:pPr>
      <w:r w:rsidRPr="00350AFA">
        <w:rPr>
          <w:b/>
          <w:lang w:val="en-GB"/>
        </w:rPr>
        <w:t>Introduction</w:t>
      </w:r>
    </w:p>
    <w:p w14:paraId="2452BF11" w14:textId="2E5421CB" w:rsidR="000E277D" w:rsidRPr="00350AFA" w:rsidRDefault="00437E2D" w:rsidP="00350ABF">
      <w:pPr>
        <w:pBdr>
          <w:top w:val="none" w:sz="0" w:space="0" w:color="000000"/>
          <w:left w:val="none" w:sz="0" w:space="0" w:color="000000"/>
          <w:bottom w:val="none" w:sz="0" w:space="0" w:color="000000"/>
          <w:right w:val="none" w:sz="0" w:space="0" w:color="000000"/>
          <w:between w:val="none" w:sz="0" w:space="0" w:color="000000"/>
        </w:pBdr>
        <w:spacing w:after="240" w:line="240" w:lineRule="auto"/>
        <w:jc w:val="both"/>
        <w:rPr>
          <w:rFonts w:ascii="Times New Roman" w:hAnsi="Times New Roman" w:cs="Times New Roman"/>
          <w:sz w:val="24"/>
          <w:szCs w:val="24"/>
          <w:lang w:val="en-GB"/>
        </w:rPr>
      </w:pPr>
      <w:r w:rsidRPr="00350AFA">
        <w:rPr>
          <w:rFonts w:ascii="Times New Roman" w:hAnsi="Times New Roman" w:cs="Times New Roman"/>
          <w:sz w:val="24"/>
          <w:szCs w:val="24"/>
          <w:lang w:val="en-GB"/>
        </w:rPr>
        <w:t xml:space="preserve">MARTA Centre is a non-governmental organization </w:t>
      </w:r>
      <w:r w:rsidR="00784535" w:rsidRPr="00350AFA">
        <w:rPr>
          <w:rFonts w:ascii="Times New Roman" w:hAnsi="Times New Roman" w:cs="Times New Roman"/>
          <w:sz w:val="24"/>
          <w:szCs w:val="24"/>
          <w:lang w:val="en-GB"/>
        </w:rPr>
        <w:t>(NGO)</w:t>
      </w:r>
      <w:r w:rsidR="00860B2D">
        <w:rPr>
          <w:rFonts w:ascii="Times New Roman" w:hAnsi="Times New Roman" w:cs="Times New Roman"/>
          <w:sz w:val="24"/>
          <w:szCs w:val="24"/>
          <w:lang w:val="en-GB"/>
        </w:rPr>
        <w:t xml:space="preserve"> that unites associations of rural women, women in business and education and</w:t>
      </w:r>
      <w:r w:rsidRPr="00350AFA">
        <w:rPr>
          <w:rFonts w:ascii="Times New Roman" w:hAnsi="Times New Roman" w:cs="Times New Roman"/>
          <w:sz w:val="24"/>
          <w:szCs w:val="24"/>
          <w:lang w:val="en-GB"/>
        </w:rPr>
        <w:t xml:space="preserve"> has worked in the field of women</w:t>
      </w:r>
      <w:r w:rsidR="00784535" w:rsidRPr="00350AFA">
        <w:rPr>
          <w:rFonts w:ascii="Times New Roman" w:hAnsi="Times New Roman" w:cs="Times New Roman"/>
          <w:sz w:val="24"/>
          <w:szCs w:val="24"/>
          <w:lang w:val="en-GB"/>
        </w:rPr>
        <w:t>’s</w:t>
      </w:r>
      <w:r w:rsidRPr="00350AFA">
        <w:rPr>
          <w:rFonts w:ascii="Times New Roman" w:hAnsi="Times New Roman" w:cs="Times New Roman"/>
          <w:sz w:val="24"/>
          <w:szCs w:val="24"/>
          <w:lang w:val="en-GB"/>
        </w:rPr>
        <w:t xml:space="preserve"> rights protection for 18 years, supporting women in Latvia – non-citizens and migrants, women with low income and unemployed women, female victims of human trafficking and of domestic violence. MARTA </w:t>
      </w:r>
      <w:r w:rsidR="004871EF" w:rsidRPr="00350AFA">
        <w:rPr>
          <w:rFonts w:ascii="Times New Roman" w:hAnsi="Times New Roman" w:cs="Times New Roman"/>
          <w:sz w:val="24"/>
          <w:szCs w:val="24"/>
          <w:lang w:val="en-GB"/>
        </w:rPr>
        <w:t xml:space="preserve">Centre </w:t>
      </w:r>
      <w:r w:rsidRPr="00350AFA">
        <w:rPr>
          <w:rFonts w:ascii="Times New Roman" w:hAnsi="Times New Roman" w:cs="Times New Roman"/>
          <w:sz w:val="24"/>
          <w:szCs w:val="24"/>
          <w:lang w:val="en-GB"/>
        </w:rPr>
        <w:t xml:space="preserve">is the only women’s rights NGO in Latvia that, in addition to practical (psychological, legal and social) support to victims of </w:t>
      </w:r>
      <w:r w:rsidR="000E277D" w:rsidRPr="00350AFA">
        <w:rPr>
          <w:rFonts w:ascii="Times New Roman" w:hAnsi="Times New Roman" w:cs="Times New Roman"/>
          <w:sz w:val="24"/>
          <w:szCs w:val="24"/>
          <w:lang w:val="en-GB"/>
        </w:rPr>
        <w:t xml:space="preserve">violence and human trafficking </w:t>
      </w:r>
      <w:r w:rsidRPr="00350AFA">
        <w:rPr>
          <w:rFonts w:ascii="Times New Roman" w:hAnsi="Times New Roman" w:cs="Times New Roman"/>
          <w:sz w:val="24"/>
          <w:szCs w:val="24"/>
          <w:lang w:val="en-GB"/>
        </w:rPr>
        <w:t>actively works with advocacy issues.</w:t>
      </w:r>
      <w:r w:rsidR="000E277D" w:rsidRPr="00350AFA">
        <w:rPr>
          <w:rFonts w:ascii="Times New Roman" w:hAnsi="Times New Roman" w:cs="Times New Roman"/>
          <w:sz w:val="24"/>
          <w:szCs w:val="24"/>
          <w:lang w:val="en-GB"/>
        </w:rPr>
        <w:t xml:space="preserve"> Additional</w:t>
      </w:r>
      <w:r w:rsidRPr="00350AFA">
        <w:rPr>
          <w:rFonts w:ascii="Times New Roman" w:hAnsi="Times New Roman" w:cs="Times New Roman"/>
          <w:sz w:val="24"/>
          <w:szCs w:val="24"/>
          <w:lang w:val="en-GB"/>
        </w:rPr>
        <w:t xml:space="preserve"> field of MARTA</w:t>
      </w:r>
      <w:r w:rsidR="00D77056">
        <w:rPr>
          <w:rFonts w:ascii="Times New Roman" w:hAnsi="Times New Roman" w:cs="Times New Roman"/>
          <w:sz w:val="24"/>
          <w:szCs w:val="24"/>
          <w:lang w:val="en-GB"/>
        </w:rPr>
        <w:t xml:space="preserve"> Centre</w:t>
      </w:r>
      <w:r w:rsidRPr="00350AFA">
        <w:rPr>
          <w:rFonts w:ascii="Times New Roman" w:hAnsi="Times New Roman" w:cs="Times New Roman"/>
          <w:sz w:val="24"/>
          <w:szCs w:val="24"/>
          <w:lang w:val="en-GB"/>
        </w:rPr>
        <w:t>’s work is violenc</w:t>
      </w:r>
      <w:r w:rsidR="00784535" w:rsidRPr="00350AFA">
        <w:rPr>
          <w:rFonts w:ascii="Times New Roman" w:hAnsi="Times New Roman" w:cs="Times New Roman"/>
          <w:sz w:val="24"/>
          <w:szCs w:val="24"/>
          <w:lang w:val="en-GB"/>
        </w:rPr>
        <w:t xml:space="preserve">e prevention, achieved by </w:t>
      </w:r>
      <w:r w:rsidRPr="00350AFA">
        <w:rPr>
          <w:rFonts w:ascii="Times New Roman" w:hAnsi="Times New Roman" w:cs="Times New Roman"/>
          <w:sz w:val="24"/>
          <w:szCs w:val="24"/>
          <w:lang w:val="en-GB"/>
        </w:rPr>
        <w:t xml:space="preserve">working with youth to challenge the prevalent gender norms and behaviours that make young people susceptible to becoming victims and/or perpetrators of violence. MARTA </w:t>
      </w:r>
      <w:r w:rsidR="004871EF" w:rsidRPr="00350AFA">
        <w:rPr>
          <w:rFonts w:ascii="Times New Roman" w:hAnsi="Times New Roman" w:cs="Times New Roman"/>
          <w:sz w:val="24"/>
          <w:szCs w:val="24"/>
          <w:lang w:val="en-GB"/>
        </w:rPr>
        <w:t xml:space="preserve">Centre </w:t>
      </w:r>
      <w:r w:rsidRPr="00350AFA">
        <w:rPr>
          <w:rFonts w:ascii="Times New Roman" w:hAnsi="Times New Roman" w:cs="Times New Roman"/>
          <w:sz w:val="24"/>
          <w:szCs w:val="24"/>
          <w:lang w:val="en-GB"/>
        </w:rPr>
        <w:t xml:space="preserve">routinely cooperates with other NGOs and the respective public authorities at </w:t>
      </w:r>
      <w:r w:rsidR="00A0465F">
        <w:rPr>
          <w:rFonts w:ascii="Times New Roman" w:hAnsi="Times New Roman" w:cs="Times New Roman"/>
          <w:sz w:val="24"/>
          <w:szCs w:val="24"/>
          <w:lang w:val="en-GB"/>
        </w:rPr>
        <w:t xml:space="preserve">local, </w:t>
      </w:r>
      <w:r w:rsidRPr="00350AFA">
        <w:rPr>
          <w:rFonts w:ascii="Times New Roman" w:hAnsi="Times New Roman" w:cs="Times New Roman"/>
          <w:sz w:val="24"/>
          <w:szCs w:val="24"/>
          <w:lang w:val="en-GB"/>
        </w:rPr>
        <w:t>national and international level to safeguard the human rights of women</w:t>
      </w:r>
      <w:r w:rsidR="005A6158" w:rsidRPr="00350AFA">
        <w:rPr>
          <w:rFonts w:ascii="Times New Roman" w:hAnsi="Times New Roman" w:cs="Times New Roman"/>
          <w:sz w:val="24"/>
          <w:szCs w:val="24"/>
          <w:lang w:val="en-GB"/>
        </w:rPr>
        <w:t xml:space="preserve"> and to raise awareness of the </w:t>
      </w:r>
      <w:r w:rsidR="007874E2">
        <w:rPr>
          <w:rFonts w:ascii="Times New Roman" w:hAnsi="Times New Roman" w:cs="Times New Roman"/>
          <w:sz w:val="24"/>
          <w:szCs w:val="24"/>
          <w:lang w:val="en-GB"/>
        </w:rPr>
        <w:t>significance</w:t>
      </w:r>
      <w:r w:rsidR="005A6158" w:rsidRPr="00350AFA">
        <w:rPr>
          <w:rFonts w:ascii="Times New Roman" w:hAnsi="Times New Roman" w:cs="Times New Roman"/>
          <w:sz w:val="24"/>
          <w:szCs w:val="24"/>
          <w:lang w:val="en-GB"/>
        </w:rPr>
        <w:t xml:space="preserve"> of the issue</w:t>
      </w:r>
      <w:r w:rsidRPr="00350AFA">
        <w:rPr>
          <w:rFonts w:ascii="Times New Roman" w:hAnsi="Times New Roman" w:cs="Times New Roman"/>
          <w:sz w:val="24"/>
          <w:szCs w:val="24"/>
          <w:lang w:val="en-GB"/>
        </w:rPr>
        <w:t xml:space="preserve">. </w:t>
      </w:r>
    </w:p>
    <w:p w14:paraId="1578BDEE" w14:textId="6B293C59" w:rsidR="000E277D" w:rsidRPr="00350AFA" w:rsidRDefault="000E277D" w:rsidP="00350ABF">
      <w:pPr>
        <w:pStyle w:val="Default"/>
        <w:spacing w:after="240"/>
        <w:jc w:val="both"/>
        <w:rPr>
          <w:lang w:val="en-GB"/>
        </w:rPr>
      </w:pPr>
      <w:r w:rsidRPr="00350AFA">
        <w:rPr>
          <w:lang w:val="en-GB"/>
        </w:rPr>
        <w:t>Recognizing the importance and value of the Latvia</w:t>
      </w:r>
      <w:r w:rsidR="00C75F5B" w:rsidRPr="00350AFA">
        <w:rPr>
          <w:lang w:val="en-GB"/>
        </w:rPr>
        <w:t>n Sate’s</w:t>
      </w:r>
      <w:r w:rsidRPr="00350AFA">
        <w:rPr>
          <w:lang w:val="en-GB"/>
        </w:rPr>
        <w:t xml:space="preserve"> </w:t>
      </w:r>
      <w:r w:rsidRPr="00350AFA">
        <w:rPr>
          <w:bCs/>
          <w:lang w:val="en-GB"/>
        </w:rPr>
        <w:t>Combined fourth, fifth, sixth and seventh periodic report on the implementation of the 1979 United Nations Convention on the Elimination of All Forms of discrimination against Women for the period</w:t>
      </w:r>
      <w:r w:rsidR="006555D7" w:rsidRPr="00350AFA">
        <w:rPr>
          <w:bCs/>
          <w:lang w:val="en-GB"/>
        </w:rPr>
        <w:t xml:space="preserve"> of</w:t>
      </w:r>
      <w:r w:rsidRPr="00350AFA">
        <w:rPr>
          <w:bCs/>
          <w:lang w:val="en-GB"/>
        </w:rPr>
        <w:t xml:space="preserve"> 1 January 2005 to 31 December 2017, MARTA Centre’s experts shall use this opportunity to submit an Alternative Report on the same </w:t>
      </w:r>
      <w:r w:rsidR="00626F94" w:rsidRPr="00350AFA">
        <w:rPr>
          <w:bCs/>
          <w:lang w:val="en-GB"/>
        </w:rPr>
        <w:t>topic</w:t>
      </w:r>
      <w:r w:rsidRPr="00350AFA">
        <w:rPr>
          <w:bCs/>
          <w:lang w:val="en-GB"/>
        </w:rPr>
        <w:t xml:space="preserve"> to highlight how the </w:t>
      </w:r>
      <w:r w:rsidR="00D77056">
        <w:rPr>
          <w:bCs/>
          <w:lang w:val="en-GB"/>
        </w:rPr>
        <w:t>aspects discussed in the State R</w:t>
      </w:r>
      <w:r w:rsidRPr="00350AFA">
        <w:rPr>
          <w:bCs/>
          <w:lang w:val="en-GB"/>
        </w:rPr>
        <w:t xml:space="preserve">eport work on a practical level. </w:t>
      </w:r>
      <w:r w:rsidR="0058580F" w:rsidRPr="00350AFA">
        <w:rPr>
          <w:bCs/>
          <w:lang w:val="en-GB"/>
        </w:rPr>
        <w:t>MARTA Cent</w:t>
      </w:r>
      <w:r w:rsidR="000F394E" w:rsidRPr="00350AFA">
        <w:rPr>
          <w:bCs/>
          <w:lang w:val="en-GB"/>
        </w:rPr>
        <w:t xml:space="preserve">re has chosen to structure </w:t>
      </w:r>
      <w:r w:rsidR="00D77056">
        <w:rPr>
          <w:bCs/>
          <w:lang w:val="en-GB"/>
        </w:rPr>
        <w:t xml:space="preserve">this </w:t>
      </w:r>
      <w:r w:rsidR="000F394E" w:rsidRPr="00627E55">
        <w:rPr>
          <w:bCs/>
          <w:color w:val="000000" w:themeColor="text1"/>
          <w:lang w:val="en-GB"/>
        </w:rPr>
        <w:t>R</w:t>
      </w:r>
      <w:r w:rsidR="0058580F" w:rsidRPr="00627E55">
        <w:rPr>
          <w:bCs/>
          <w:color w:val="000000" w:themeColor="text1"/>
          <w:lang w:val="en-GB"/>
        </w:rPr>
        <w:t>eport in a manne</w:t>
      </w:r>
      <w:r w:rsidR="00D77056">
        <w:rPr>
          <w:bCs/>
          <w:color w:val="000000" w:themeColor="text1"/>
          <w:lang w:val="en-GB"/>
        </w:rPr>
        <w:t>r similar to that of the State R</w:t>
      </w:r>
      <w:r w:rsidR="0058580F" w:rsidRPr="00627E55">
        <w:rPr>
          <w:bCs/>
          <w:color w:val="000000" w:themeColor="text1"/>
          <w:lang w:val="en-GB"/>
        </w:rPr>
        <w:t xml:space="preserve">eport, namely, by commenting on </w:t>
      </w:r>
      <w:r w:rsidR="006555D7" w:rsidRPr="00627E55">
        <w:rPr>
          <w:bCs/>
          <w:color w:val="000000" w:themeColor="text1"/>
          <w:lang w:val="en-GB"/>
        </w:rPr>
        <w:t xml:space="preserve">both </w:t>
      </w:r>
      <w:r w:rsidR="0058580F" w:rsidRPr="00627E55">
        <w:rPr>
          <w:bCs/>
          <w:color w:val="000000" w:themeColor="text1"/>
          <w:lang w:val="en-GB"/>
        </w:rPr>
        <w:t xml:space="preserve">the </w:t>
      </w:r>
      <w:r w:rsidR="00626F94" w:rsidRPr="00627E55">
        <w:rPr>
          <w:bCs/>
          <w:color w:val="000000" w:themeColor="text1"/>
          <w:lang w:val="en-GB"/>
        </w:rPr>
        <w:t xml:space="preserve">Committee’s recommendations </w:t>
      </w:r>
      <w:r w:rsidR="00626F94" w:rsidRPr="00350AFA">
        <w:rPr>
          <w:bCs/>
          <w:lang w:val="en-GB"/>
        </w:rPr>
        <w:t xml:space="preserve">and </w:t>
      </w:r>
      <w:r w:rsidR="0058580F" w:rsidRPr="00350AFA">
        <w:rPr>
          <w:bCs/>
          <w:lang w:val="en-GB"/>
        </w:rPr>
        <w:t xml:space="preserve">information provided by the State. </w:t>
      </w:r>
      <w:r w:rsidR="002438F8" w:rsidRPr="00350AFA">
        <w:rPr>
          <w:bCs/>
          <w:lang w:val="en-GB"/>
        </w:rPr>
        <w:t xml:space="preserve">Due to expert capacity limitations, MARTA Centre will comment </w:t>
      </w:r>
      <w:r w:rsidR="00784535" w:rsidRPr="00350AFA">
        <w:rPr>
          <w:bCs/>
          <w:lang w:val="en-GB"/>
        </w:rPr>
        <w:t xml:space="preserve">exclusively on </w:t>
      </w:r>
      <w:r w:rsidR="002438F8" w:rsidRPr="00350AFA">
        <w:rPr>
          <w:bCs/>
          <w:lang w:val="en-GB"/>
        </w:rPr>
        <w:t>those aspects of Committee’s recommendations and State Report that are part</w:t>
      </w:r>
      <w:r w:rsidR="002764D8">
        <w:rPr>
          <w:bCs/>
          <w:lang w:val="en-GB"/>
        </w:rPr>
        <w:t>i</w:t>
      </w:r>
      <w:r w:rsidR="002438F8" w:rsidRPr="00350AFA">
        <w:rPr>
          <w:bCs/>
          <w:lang w:val="en-GB"/>
        </w:rPr>
        <w:t>cularly urgent in MARTA Centre’s</w:t>
      </w:r>
      <w:r w:rsidR="00C10322" w:rsidRPr="00350AFA">
        <w:rPr>
          <w:bCs/>
          <w:lang w:val="en-GB"/>
        </w:rPr>
        <w:t xml:space="preserve"> view</w:t>
      </w:r>
      <w:r w:rsidR="00D6409A" w:rsidRPr="00350AFA">
        <w:rPr>
          <w:bCs/>
          <w:lang w:val="en-GB"/>
        </w:rPr>
        <w:t xml:space="preserve"> or most closely aligned with the Centre’s expertise</w:t>
      </w:r>
      <w:r w:rsidR="002438F8" w:rsidRPr="00350AFA">
        <w:rPr>
          <w:bCs/>
          <w:lang w:val="en-GB"/>
        </w:rPr>
        <w:t xml:space="preserve">. </w:t>
      </w:r>
    </w:p>
    <w:p w14:paraId="3F74D535" w14:textId="77777777" w:rsidR="00CB7874" w:rsidRPr="00350AFA" w:rsidRDefault="00CB7874" w:rsidP="00350ABF">
      <w:pPr>
        <w:pStyle w:val="Default"/>
        <w:spacing w:after="120"/>
        <w:rPr>
          <w:b/>
          <w:bCs/>
          <w:lang w:val="en-GB"/>
        </w:rPr>
      </w:pPr>
    </w:p>
    <w:p w14:paraId="6E548459" w14:textId="5D1AB80F" w:rsidR="006555D7" w:rsidRPr="00350AFA" w:rsidRDefault="006555D7" w:rsidP="00350ABF">
      <w:pPr>
        <w:pStyle w:val="Default"/>
        <w:spacing w:after="120"/>
        <w:rPr>
          <w:b/>
          <w:bCs/>
          <w:lang w:val="en-GB"/>
        </w:rPr>
      </w:pPr>
      <w:r w:rsidRPr="00350AFA">
        <w:rPr>
          <w:b/>
          <w:bCs/>
          <w:lang w:val="en-GB"/>
        </w:rPr>
        <w:t>Comment</w:t>
      </w:r>
      <w:r w:rsidR="00595F18">
        <w:rPr>
          <w:b/>
          <w:bCs/>
          <w:lang w:val="en-GB"/>
        </w:rPr>
        <w:t>s</w:t>
      </w:r>
      <w:r w:rsidRPr="00350AFA">
        <w:rPr>
          <w:b/>
          <w:bCs/>
          <w:lang w:val="en-GB"/>
        </w:rPr>
        <w:t xml:space="preserve"> on </w:t>
      </w:r>
    </w:p>
    <w:p w14:paraId="3B664F8E" w14:textId="77777777" w:rsidR="000F394E" w:rsidRPr="00350AFA" w:rsidRDefault="00B450AC" w:rsidP="00350ABF">
      <w:pPr>
        <w:pStyle w:val="Default"/>
        <w:rPr>
          <w:b/>
          <w:bCs/>
          <w:lang w:val="en-GB"/>
        </w:rPr>
      </w:pPr>
      <w:r w:rsidRPr="00350AFA">
        <w:rPr>
          <w:b/>
          <w:bCs/>
          <w:lang w:val="en-GB"/>
        </w:rPr>
        <w:t>Committee recommendation in paragraph 46 – definition of discrimination against women</w:t>
      </w:r>
    </w:p>
    <w:p w14:paraId="5F06D2ED" w14:textId="77777777" w:rsidR="00B450AC" w:rsidRPr="00350AFA" w:rsidRDefault="00B450AC" w:rsidP="00350ABF">
      <w:pPr>
        <w:pStyle w:val="Default"/>
        <w:rPr>
          <w:b/>
          <w:bCs/>
          <w:lang w:val="en-GB"/>
        </w:rPr>
      </w:pPr>
      <w:r w:rsidRPr="00350AFA">
        <w:rPr>
          <w:b/>
          <w:bCs/>
          <w:lang w:val="en-GB"/>
        </w:rPr>
        <w:t>And</w:t>
      </w:r>
    </w:p>
    <w:p w14:paraId="7DD889A4" w14:textId="72475708" w:rsidR="00B450AC" w:rsidRPr="00350AFA" w:rsidRDefault="00350ABF" w:rsidP="00350ABF">
      <w:pPr>
        <w:pStyle w:val="Default"/>
        <w:spacing w:after="360"/>
        <w:rPr>
          <w:b/>
          <w:bCs/>
          <w:lang w:val="en-GB"/>
        </w:rPr>
      </w:pPr>
      <w:r w:rsidRPr="00350AFA">
        <w:rPr>
          <w:b/>
          <w:bCs/>
          <w:lang w:val="en-GB"/>
        </w:rPr>
        <w:t>Paragraph 6 in</w:t>
      </w:r>
      <w:r w:rsidR="00C01E02">
        <w:rPr>
          <w:b/>
          <w:bCs/>
          <w:lang w:val="en-GB"/>
        </w:rPr>
        <w:t xml:space="preserve"> State</w:t>
      </w:r>
      <w:r w:rsidRPr="00350AFA">
        <w:rPr>
          <w:b/>
          <w:bCs/>
          <w:lang w:val="en-GB"/>
        </w:rPr>
        <w:t xml:space="preserve"> Report</w:t>
      </w:r>
    </w:p>
    <w:p w14:paraId="772545AC" w14:textId="75D2B06F" w:rsidR="00B450AC" w:rsidRPr="00350AFA" w:rsidRDefault="00B450AC" w:rsidP="00350ABF">
      <w:pPr>
        <w:pStyle w:val="Default"/>
        <w:spacing w:after="240"/>
        <w:jc w:val="both"/>
        <w:rPr>
          <w:color w:val="000000" w:themeColor="text1"/>
          <w:lang w:val="en-GB"/>
        </w:rPr>
      </w:pPr>
      <w:r w:rsidRPr="00350AFA">
        <w:rPr>
          <w:color w:val="000000" w:themeColor="text1"/>
          <w:lang w:val="en-GB"/>
        </w:rPr>
        <w:t>The Constitution of the Republic of Latvia still has no special provisions regarding gender equality</w:t>
      </w:r>
      <w:r w:rsidR="006555D7" w:rsidRPr="00350AFA">
        <w:rPr>
          <w:color w:val="000000" w:themeColor="text1"/>
          <w:lang w:val="en-GB"/>
        </w:rPr>
        <w:t xml:space="preserve"> because it is still </w:t>
      </w:r>
      <w:r w:rsidRPr="00350AFA">
        <w:rPr>
          <w:color w:val="000000" w:themeColor="text1"/>
          <w:lang w:val="en-GB"/>
        </w:rPr>
        <w:t xml:space="preserve">considered that the article 91 </w:t>
      </w:r>
      <w:r w:rsidR="001712BF">
        <w:rPr>
          <w:color w:val="000000" w:themeColor="text1"/>
          <w:lang w:val="en-GB"/>
        </w:rPr>
        <w:t>guarantees</w:t>
      </w:r>
      <w:r w:rsidRPr="00350AFA">
        <w:rPr>
          <w:color w:val="000000" w:themeColor="text1"/>
          <w:lang w:val="en-GB"/>
        </w:rPr>
        <w:t xml:space="preserve"> gender equality. The oth</w:t>
      </w:r>
      <w:r w:rsidR="00A535B7">
        <w:rPr>
          <w:color w:val="000000" w:themeColor="text1"/>
          <w:lang w:val="en-GB"/>
        </w:rPr>
        <w:t>er laws mentioned in the State R</w:t>
      </w:r>
      <w:r w:rsidRPr="00350AFA">
        <w:rPr>
          <w:color w:val="000000" w:themeColor="text1"/>
          <w:lang w:val="en-GB"/>
        </w:rPr>
        <w:t xml:space="preserve">eport indeed do cover the prohibition to discriminate </w:t>
      </w:r>
      <w:r w:rsidR="006335BC" w:rsidRPr="00350AFA">
        <w:rPr>
          <w:color w:val="000000" w:themeColor="text1"/>
          <w:lang w:val="en-GB"/>
        </w:rPr>
        <w:t xml:space="preserve">in general and to discriminate </w:t>
      </w:r>
      <w:r w:rsidRPr="00350AFA">
        <w:rPr>
          <w:color w:val="000000" w:themeColor="text1"/>
          <w:lang w:val="en-GB"/>
        </w:rPr>
        <w:t>women</w:t>
      </w:r>
      <w:r w:rsidR="006335BC" w:rsidRPr="00350AFA">
        <w:rPr>
          <w:color w:val="000000" w:themeColor="text1"/>
          <w:lang w:val="en-GB"/>
        </w:rPr>
        <w:t xml:space="preserve"> or men in particular</w:t>
      </w:r>
      <w:r w:rsidR="006555D7" w:rsidRPr="00350AFA">
        <w:rPr>
          <w:color w:val="000000" w:themeColor="text1"/>
          <w:lang w:val="en-GB"/>
        </w:rPr>
        <w:t>;</w:t>
      </w:r>
      <w:r w:rsidRPr="00350AFA">
        <w:rPr>
          <w:color w:val="000000" w:themeColor="text1"/>
          <w:lang w:val="en-GB"/>
        </w:rPr>
        <w:t xml:space="preserve"> however, MARTA Centre feels that this</w:t>
      </w:r>
      <w:r w:rsidR="006555D7" w:rsidRPr="00350AFA">
        <w:rPr>
          <w:color w:val="000000" w:themeColor="text1"/>
          <w:lang w:val="en-GB"/>
        </w:rPr>
        <w:t xml:space="preserve"> prohibition</w:t>
      </w:r>
      <w:r w:rsidRPr="00350AFA">
        <w:rPr>
          <w:color w:val="000000" w:themeColor="text1"/>
          <w:lang w:val="en-GB"/>
        </w:rPr>
        <w:t xml:space="preserve"> is still </w:t>
      </w:r>
      <w:r w:rsidR="006555D7" w:rsidRPr="00350AFA">
        <w:rPr>
          <w:color w:val="000000" w:themeColor="text1"/>
          <w:lang w:val="en-GB"/>
        </w:rPr>
        <w:t xml:space="preserve">understood </w:t>
      </w:r>
      <w:r w:rsidRPr="00350AFA">
        <w:rPr>
          <w:color w:val="000000" w:themeColor="text1"/>
          <w:lang w:val="en-GB"/>
        </w:rPr>
        <w:t>rather</w:t>
      </w:r>
      <w:r w:rsidR="002764D8">
        <w:rPr>
          <w:color w:val="000000" w:themeColor="text1"/>
          <w:lang w:val="en-GB"/>
        </w:rPr>
        <w:t xml:space="preserve"> vaguely by the general public and the law enforcement</w:t>
      </w:r>
      <w:r w:rsidR="00971507">
        <w:rPr>
          <w:color w:val="000000" w:themeColor="text1"/>
          <w:lang w:val="en-GB"/>
        </w:rPr>
        <w:t>.</w:t>
      </w:r>
      <w:r w:rsidR="000B0B4B">
        <w:rPr>
          <w:color w:val="000000" w:themeColor="text1"/>
          <w:lang w:val="en-GB"/>
        </w:rPr>
        <w:t xml:space="preserve"> </w:t>
      </w:r>
      <w:r w:rsidR="00971507">
        <w:rPr>
          <w:color w:val="000000" w:themeColor="text1"/>
          <w:lang w:val="en-GB"/>
        </w:rPr>
        <w:t>A</w:t>
      </w:r>
      <w:r w:rsidR="007550DC" w:rsidRPr="00350AFA">
        <w:rPr>
          <w:color w:val="000000" w:themeColor="text1"/>
          <w:lang w:val="en-GB"/>
        </w:rPr>
        <w:t xml:space="preserve">s a result, not many people realize if and how they can secure their rights. </w:t>
      </w:r>
    </w:p>
    <w:p w14:paraId="6BEEC34E" w14:textId="27CF9268" w:rsidR="006555D7" w:rsidRPr="00350AFA" w:rsidRDefault="006555D7" w:rsidP="00350ABF">
      <w:pPr>
        <w:pStyle w:val="Default"/>
        <w:spacing w:after="240"/>
        <w:jc w:val="both"/>
        <w:rPr>
          <w:color w:val="000000" w:themeColor="text1"/>
          <w:lang w:val="en-GB"/>
        </w:rPr>
      </w:pPr>
      <w:r w:rsidRPr="00350AFA">
        <w:rPr>
          <w:color w:val="000000" w:themeColor="text1"/>
          <w:lang w:val="en-GB"/>
        </w:rPr>
        <w:t xml:space="preserve">For example, the </w:t>
      </w:r>
      <w:proofErr w:type="spellStart"/>
      <w:r w:rsidRPr="00350AFA">
        <w:rPr>
          <w:color w:val="000000" w:themeColor="text1"/>
          <w:lang w:val="en-GB"/>
        </w:rPr>
        <w:t>Ombud’s</w:t>
      </w:r>
      <w:proofErr w:type="spellEnd"/>
      <w:r w:rsidRPr="00350AFA">
        <w:rPr>
          <w:color w:val="000000" w:themeColor="text1"/>
          <w:lang w:val="en-GB"/>
        </w:rPr>
        <w:t xml:space="preserve"> Office (an entity that is tasked with educating and safeguarding the population with regards to their human rights) has dealt with the following number of cases of gender-based discrimination in the period of 01.01.2007. to 20.09.2011</w:t>
      </w:r>
      <w:r w:rsidR="001B607C">
        <w:rPr>
          <w:color w:val="000000" w:themeColor="text1"/>
          <w:vertAlign w:val="superscript"/>
          <w:lang w:val="en-GB"/>
        </w:rPr>
        <w:t>2</w:t>
      </w:r>
      <w:r w:rsidRPr="00350AFA">
        <w:rPr>
          <w:color w:val="000000" w:themeColor="text1"/>
          <w:lang w:val="en-GB"/>
        </w:rPr>
        <w:t xml:space="preserve">: </w:t>
      </w:r>
    </w:p>
    <w:tbl>
      <w:tblPr>
        <w:tblStyle w:val="TableGrid"/>
        <w:tblW w:w="0" w:type="auto"/>
        <w:tblLook w:val="04A0" w:firstRow="1" w:lastRow="0" w:firstColumn="1" w:lastColumn="0" w:noHBand="0" w:noVBand="1"/>
      </w:tblPr>
      <w:tblGrid>
        <w:gridCol w:w="846"/>
        <w:gridCol w:w="850"/>
        <w:gridCol w:w="993"/>
        <w:gridCol w:w="850"/>
        <w:gridCol w:w="776"/>
      </w:tblGrid>
      <w:tr w:rsidR="006555D7" w:rsidRPr="00350AFA" w14:paraId="6230E0B6" w14:textId="77777777" w:rsidTr="007B0E2F">
        <w:tc>
          <w:tcPr>
            <w:tcW w:w="846" w:type="dxa"/>
          </w:tcPr>
          <w:p w14:paraId="1B1B33C0" w14:textId="77777777" w:rsidR="006555D7" w:rsidRPr="00350AFA" w:rsidRDefault="006555D7" w:rsidP="00350ABF">
            <w:pPr>
              <w:pStyle w:val="Default"/>
              <w:rPr>
                <w:b/>
                <w:lang w:val="en-GB"/>
              </w:rPr>
            </w:pPr>
            <w:r w:rsidRPr="00350AFA">
              <w:rPr>
                <w:b/>
                <w:lang w:val="en-GB"/>
              </w:rPr>
              <w:t>2007</w:t>
            </w:r>
          </w:p>
        </w:tc>
        <w:tc>
          <w:tcPr>
            <w:tcW w:w="850" w:type="dxa"/>
          </w:tcPr>
          <w:p w14:paraId="7D9D04A5" w14:textId="77777777" w:rsidR="006555D7" w:rsidRPr="00350AFA" w:rsidRDefault="006555D7" w:rsidP="00350ABF">
            <w:pPr>
              <w:pStyle w:val="Default"/>
              <w:rPr>
                <w:b/>
                <w:lang w:val="en-GB"/>
              </w:rPr>
            </w:pPr>
            <w:r w:rsidRPr="00350AFA">
              <w:rPr>
                <w:b/>
                <w:lang w:val="en-GB"/>
              </w:rPr>
              <w:t>2008</w:t>
            </w:r>
          </w:p>
        </w:tc>
        <w:tc>
          <w:tcPr>
            <w:tcW w:w="993" w:type="dxa"/>
          </w:tcPr>
          <w:p w14:paraId="0BC81B1E" w14:textId="77777777" w:rsidR="006555D7" w:rsidRPr="00350AFA" w:rsidRDefault="006555D7" w:rsidP="00350ABF">
            <w:pPr>
              <w:pStyle w:val="Default"/>
              <w:rPr>
                <w:b/>
                <w:lang w:val="en-GB"/>
              </w:rPr>
            </w:pPr>
            <w:r w:rsidRPr="00350AFA">
              <w:rPr>
                <w:b/>
                <w:lang w:val="en-GB"/>
              </w:rPr>
              <w:t>2009</w:t>
            </w:r>
          </w:p>
        </w:tc>
        <w:tc>
          <w:tcPr>
            <w:tcW w:w="850" w:type="dxa"/>
          </w:tcPr>
          <w:p w14:paraId="16C4F40A" w14:textId="77777777" w:rsidR="006555D7" w:rsidRPr="00350AFA" w:rsidRDefault="006555D7" w:rsidP="00350ABF">
            <w:pPr>
              <w:pStyle w:val="Default"/>
              <w:rPr>
                <w:b/>
                <w:lang w:val="en-GB"/>
              </w:rPr>
            </w:pPr>
            <w:r w:rsidRPr="00350AFA">
              <w:rPr>
                <w:b/>
                <w:lang w:val="en-GB"/>
              </w:rPr>
              <w:t>2010</w:t>
            </w:r>
          </w:p>
        </w:tc>
        <w:tc>
          <w:tcPr>
            <w:tcW w:w="776" w:type="dxa"/>
          </w:tcPr>
          <w:p w14:paraId="1CD2E892" w14:textId="77777777" w:rsidR="006555D7" w:rsidRPr="00350AFA" w:rsidRDefault="006555D7" w:rsidP="00350ABF">
            <w:pPr>
              <w:pStyle w:val="Default"/>
              <w:rPr>
                <w:b/>
                <w:lang w:val="en-GB"/>
              </w:rPr>
            </w:pPr>
            <w:r w:rsidRPr="00350AFA">
              <w:rPr>
                <w:b/>
                <w:lang w:val="en-GB"/>
              </w:rPr>
              <w:t>2011</w:t>
            </w:r>
          </w:p>
        </w:tc>
      </w:tr>
      <w:tr w:rsidR="006555D7" w:rsidRPr="00350AFA" w14:paraId="22E1D9CA" w14:textId="77777777" w:rsidTr="007B0E2F">
        <w:tc>
          <w:tcPr>
            <w:tcW w:w="846" w:type="dxa"/>
          </w:tcPr>
          <w:p w14:paraId="08297E63" w14:textId="77777777" w:rsidR="006555D7" w:rsidRPr="00350AFA" w:rsidRDefault="006555D7" w:rsidP="00350ABF">
            <w:pPr>
              <w:pStyle w:val="Default"/>
              <w:rPr>
                <w:lang w:val="en-GB"/>
              </w:rPr>
            </w:pPr>
            <w:r w:rsidRPr="00350AFA">
              <w:rPr>
                <w:lang w:val="en-GB"/>
              </w:rPr>
              <w:lastRenderedPageBreak/>
              <w:t>12</w:t>
            </w:r>
          </w:p>
        </w:tc>
        <w:tc>
          <w:tcPr>
            <w:tcW w:w="850" w:type="dxa"/>
          </w:tcPr>
          <w:p w14:paraId="3AE24E64" w14:textId="77777777" w:rsidR="006555D7" w:rsidRPr="00350AFA" w:rsidRDefault="006555D7" w:rsidP="00350ABF">
            <w:pPr>
              <w:pStyle w:val="Default"/>
              <w:rPr>
                <w:lang w:val="en-GB"/>
              </w:rPr>
            </w:pPr>
            <w:r w:rsidRPr="00350AFA">
              <w:rPr>
                <w:lang w:val="en-GB"/>
              </w:rPr>
              <w:t>13</w:t>
            </w:r>
          </w:p>
        </w:tc>
        <w:tc>
          <w:tcPr>
            <w:tcW w:w="993" w:type="dxa"/>
          </w:tcPr>
          <w:p w14:paraId="16E63589" w14:textId="77777777" w:rsidR="006555D7" w:rsidRPr="00350AFA" w:rsidRDefault="006555D7" w:rsidP="00350ABF">
            <w:pPr>
              <w:pStyle w:val="Default"/>
              <w:rPr>
                <w:lang w:val="en-GB"/>
              </w:rPr>
            </w:pPr>
            <w:r w:rsidRPr="00350AFA">
              <w:rPr>
                <w:lang w:val="en-GB"/>
              </w:rPr>
              <w:t>19</w:t>
            </w:r>
          </w:p>
        </w:tc>
        <w:tc>
          <w:tcPr>
            <w:tcW w:w="850" w:type="dxa"/>
          </w:tcPr>
          <w:p w14:paraId="18A08F21" w14:textId="77777777" w:rsidR="006555D7" w:rsidRPr="00350AFA" w:rsidRDefault="006555D7" w:rsidP="00350ABF">
            <w:pPr>
              <w:pStyle w:val="Default"/>
              <w:rPr>
                <w:lang w:val="en-GB"/>
              </w:rPr>
            </w:pPr>
            <w:r w:rsidRPr="00350AFA">
              <w:rPr>
                <w:lang w:val="en-GB"/>
              </w:rPr>
              <w:t>8</w:t>
            </w:r>
          </w:p>
        </w:tc>
        <w:tc>
          <w:tcPr>
            <w:tcW w:w="776" w:type="dxa"/>
          </w:tcPr>
          <w:p w14:paraId="629FADF7" w14:textId="77777777" w:rsidR="006555D7" w:rsidRPr="00350AFA" w:rsidRDefault="006555D7" w:rsidP="00350ABF">
            <w:pPr>
              <w:pStyle w:val="Default"/>
              <w:rPr>
                <w:lang w:val="en-GB"/>
              </w:rPr>
            </w:pPr>
            <w:r w:rsidRPr="00350AFA">
              <w:rPr>
                <w:lang w:val="en-GB"/>
              </w:rPr>
              <w:t>2</w:t>
            </w:r>
          </w:p>
        </w:tc>
      </w:tr>
    </w:tbl>
    <w:p w14:paraId="4D6CD3ED" w14:textId="73730F7B" w:rsidR="006555D7" w:rsidRPr="00350AFA" w:rsidRDefault="006555D7" w:rsidP="00350ABF">
      <w:pPr>
        <w:pStyle w:val="Default"/>
        <w:spacing w:after="240"/>
        <w:jc w:val="both"/>
        <w:rPr>
          <w:lang w:val="en-GB"/>
        </w:rPr>
      </w:pPr>
      <w:r w:rsidRPr="00350AFA">
        <w:rPr>
          <w:lang w:val="en-GB"/>
        </w:rPr>
        <w:t xml:space="preserve">On the website of the Supreme Court, one can </w:t>
      </w:r>
      <w:r w:rsidR="007361D3">
        <w:rPr>
          <w:lang w:val="en-GB"/>
        </w:rPr>
        <w:t xml:space="preserve">find </w:t>
      </w:r>
      <w:r w:rsidRPr="00350AFA">
        <w:rPr>
          <w:lang w:val="en-GB"/>
        </w:rPr>
        <w:t>only 2 cases of</w:t>
      </w:r>
      <w:r w:rsidR="007550DC" w:rsidRPr="00350AFA">
        <w:rPr>
          <w:lang w:val="en-GB"/>
        </w:rPr>
        <w:t xml:space="preserve"> gender</w:t>
      </w:r>
      <w:r w:rsidRPr="00350AFA">
        <w:rPr>
          <w:lang w:val="en-GB"/>
        </w:rPr>
        <w:t xml:space="preserve"> discrimination</w:t>
      </w:r>
      <w:r w:rsidR="007361D3">
        <w:rPr>
          <w:lang w:val="en-GB"/>
        </w:rPr>
        <w:t xml:space="preserve"> </w:t>
      </w:r>
      <w:r w:rsidR="007361D3" w:rsidRPr="00350AFA">
        <w:rPr>
          <w:lang w:val="en-GB"/>
        </w:rPr>
        <w:t>in the workplace</w:t>
      </w:r>
      <w:r w:rsidRPr="00350AFA">
        <w:rPr>
          <w:lang w:val="en-GB"/>
        </w:rPr>
        <w:t xml:space="preserve"> </w:t>
      </w:r>
      <w:r w:rsidR="007361D3">
        <w:rPr>
          <w:lang w:val="en-GB"/>
        </w:rPr>
        <w:t>tried in the reporting period</w:t>
      </w:r>
      <w:r w:rsidRPr="00350AFA">
        <w:rPr>
          <w:lang w:val="en-GB"/>
        </w:rPr>
        <w:t xml:space="preserve">: one in 2007 for unequal </w:t>
      </w:r>
      <w:r w:rsidR="00CF454C">
        <w:rPr>
          <w:lang w:val="en-GB"/>
        </w:rPr>
        <w:t>pay</w:t>
      </w:r>
      <w:r w:rsidRPr="00350AFA">
        <w:rPr>
          <w:lang w:val="en-GB"/>
        </w:rPr>
        <w:t>; another in 2012 for laying off work based on recent maternity</w:t>
      </w:r>
      <w:r w:rsidRPr="00350AFA">
        <w:rPr>
          <w:rStyle w:val="FootnoteReference"/>
          <w:lang w:val="en-GB"/>
        </w:rPr>
        <w:footnoteReference w:id="1"/>
      </w:r>
      <w:r w:rsidRPr="00350AFA">
        <w:rPr>
          <w:lang w:val="en-GB"/>
        </w:rPr>
        <w:t xml:space="preserve">. </w:t>
      </w:r>
    </w:p>
    <w:p w14:paraId="630B181E" w14:textId="3972E93F" w:rsidR="00BB1B59" w:rsidRDefault="006335BC" w:rsidP="00350ABF">
      <w:pPr>
        <w:pStyle w:val="Default"/>
        <w:spacing w:after="240"/>
        <w:jc w:val="both"/>
        <w:rPr>
          <w:color w:val="000000" w:themeColor="text1"/>
          <w:lang w:val="en-GB"/>
        </w:rPr>
      </w:pPr>
      <w:r w:rsidRPr="00350AFA">
        <w:rPr>
          <w:color w:val="000000" w:themeColor="text1"/>
          <w:lang w:val="en-GB"/>
        </w:rPr>
        <w:t xml:space="preserve">There </w:t>
      </w:r>
      <w:r w:rsidR="00066E5E" w:rsidRPr="00350AFA">
        <w:rPr>
          <w:color w:val="000000" w:themeColor="text1"/>
          <w:lang w:val="en-GB"/>
        </w:rPr>
        <w:t xml:space="preserve">is </w:t>
      </w:r>
      <w:r w:rsidRPr="00350AFA">
        <w:rPr>
          <w:color w:val="000000" w:themeColor="text1"/>
          <w:lang w:val="en-GB"/>
        </w:rPr>
        <w:t>still no unified Anti-Discrimination Law</w:t>
      </w:r>
      <w:r w:rsidR="00066E5E">
        <w:rPr>
          <w:color w:val="000000" w:themeColor="text1"/>
          <w:lang w:val="en-GB"/>
        </w:rPr>
        <w:t>. A</w:t>
      </w:r>
      <w:r w:rsidRPr="00350AFA">
        <w:rPr>
          <w:color w:val="000000" w:themeColor="text1"/>
          <w:lang w:val="en-GB"/>
        </w:rPr>
        <w:t xml:space="preserve">s stated in a report by Latvian Centre for Human Rights </w:t>
      </w:r>
      <w:r w:rsidR="00B45E49">
        <w:rPr>
          <w:color w:val="000000" w:themeColor="text1"/>
          <w:lang w:val="en-GB"/>
        </w:rPr>
        <w:t xml:space="preserve">(which is now the </w:t>
      </w:r>
      <w:proofErr w:type="spellStart"/>
      <w:r w:rsidR="00B45E49">
        <w:rPr>
          <w:color w:val="000000" w:themeColor="text1"/>
          <w:lang w:val="en-GB"/>
        </w:rPr>
        <w:t>Ombud’s</w:t>
      </w:r>
      <w:proofErr w:type="spellEnd"/>
      <w:r w:rsidR="00B45E49">
        <w:rPr>
          <w:color w:val="000000" w:themeColor="text1"/>
          <w:lang w:val="en-GB"/>
        </w:rPr>
        <w:t xml:space="preserve"> Office) </w:t>
      </w:r>
      <w:r w:rsidRPr="00350AFA">
        <w:rPr>
          <w:color w:val="000000" w:themeColor="text1"/>
          <w:lang w:val="en-GB"/>
        </w:rPr>
        <w:t>in 2011</w:t>
      </w:r>
      <w:r w:rsidRPr="00350AFA">
        <w:rPr>
          <w:rStyle w:val="FootnoteReference"/>
          <w:color w:val="000000" w:themeColor="text1"/>
          <w:lang w:val="en-GB"/>
        </w:rPr>
        <w:footnoteReference w:id="2"/>
      </w:r>
      <w:r w:rsidR="003E04EF">
        <w:rPr>
          <w:color w:val="000000" w:themeColor="text1"/>
          <w:lang w:val="en-GB"/>
        </w:rPr>
        <w:t>,</w:t>
      </w:r>
      <w:r w:rsidRPr="00350AFA">
        <w:rPr>
          <w:color w:val="000000" w:themeColor="text1"/>
          <w:lang w:val="en-GB"/>
        </w:rPr>
        <w:t xml:space="preserve"> the anti-discrimination norms are</w:t>
      </w:r>
      <w:r w:rsidR="007550DC" w:rsidRPr="00350AFA">
        <w:rPr>
          <w:color w:val="000000" w:themeColor="text1"/>
          <w:lang w:val="en-GB"/>
        </w:rPr>
        <w:t xml:space="preserve"> </w:t>
      </w:r>
      <w:r w:rsidR="004A4726">
        <w:rPr>
          <w:color w:val="000000" w:themeColor="text1"/>
          <w:lang w:val="en-GB"/>
        </w:rPr>
        <w:t>included</w:t>
      </w:r>
      <w:r w:rsidRPr="00350AFA">
        <w:rPr>
          <w:color w:val="000000" w:themeColor="text1"/>
          <w:lang w:val="en-GB"/>
        </w:rPr>
        <w:t xml:space="preserve"> in multiple separate laws</w:t>
      </w:r>
      <w:r w:rsidR="003E04EF">
        <w:rPr>
          <w:color w:val="000000" w:themeColor="text1"/>
          <w:lang w:val="en-GB"/>
        </w:rPr>
        <w:t>, making it difficult for a lay person to understand their rights</w:t>
      </w:r>
      <w:r w:rsidR="001903AF">
        <w:rPr>
          <w:color w:val="000000" w:themeColor="text1"/>
          <w:lang w:val="en-GB"/>
        </w:rPr>
        <w:t>. T</w:t>
      </w:r>
      <w:r w:rsidR="007550DC" w:rsidRPr="00350AFA">
        <w:rPr>
          <w:color w:val="000000" w:themeColor="text1"/>
          <w:lang w:val="en-GB"/>
        </w:rPr>
        <w:t xml:space="preserve">here are </w:t>
      </w:r>
      <w:r w:rsidR="001903AF">
        <w:rPr>
          <w:color w:val="000000" w:themeColor="text1"/>
          <w:lang w:val="en-GB"/>
        </w:rPr>
        <w:t xml:space="preserve">also </w:t>
      </w:r>
      <w:r w:rsidR="007550DC" w:rsidRPr="00350AFA">
        <w:rPr>
          <w:color w:val="000000" w:themeColor="text1"/>
          <w:lang w:val="en-GB"/>
        </w:rPr>
        <w:t>multiple institutions that deal</w:t>
      </w:r>
      <w:r w:rsidR="00767151">
        <w:rPr>
          <w:color w:val="000000" w:themeColor="text1"/>
          <w:lang w:val="en-GB"/>
        </w:rPr>
        <w:t xml:space="preserve"> with discrimination </w:t>
      </w:r>
      <w:r w:rsidR="0024515E">
        <w:rPr>
          <w:color w:val="000000" w:themeColor="text1"/>
          <w:lang w:val="en-GB"/>
        </w:rPr>
        <w:t xml:space="preserve">cases </w:t>
      </w:r>
      <w:r w:rsidR="00767151">
        <w:rPr>
          <w:color w:val="000000" w:themeColor="text1"/>
          <w:lang w:val="en-GB"/>
        </w:rPr>
        <w:t>– each</w:t>
      </w:r>
      <w:r w:rsidR="007550DC" w:rsidRPr="00350AFA">
        <w:rPr>
          <w:color w:val="000000" w:themeColor="text1"/>
          <w:lang w:val="en-GB"/>
        </w:rPr>
        <w:t xml:space="preserve"> in </w:t>
      </w:r>
      <w:r w:rsidR="00767151">
        <w:rPr>
          <w:color w:val="000000" w:themeColor="text1"/>
          <w:lang w:val="en-GB"/>
        </w:rPr>
        <w:t xml:space="preserve">a </w:t>
      </w:r>
      <w:r w:rsidR="007550DC" w:rsidRPr="00350AFA">
        <w:rPr>
          <w:color w:val="000000" w:themeColor="text1"/>
          <w:lang w:val="en-GB"/>
        </w:rPr>
        <w:t xml:space="preserve">separate </w:t>
      </w:r>
      <w:r w:rsidR="00767151">
        <w:rPr>
          <w:color w:val="000000" w:themeColor="text1"/>
          <w:lang w:val="en-GB"/>
        </w:rPr>
        <w:t>field</w:t>
      </w:r>
      <w:r w:rsidRPr="00350AFA">
        <w:rPr>
          <w:color w:val="000000" w:themeColor="text1"/>
          <w:lang w:val="en-GB"/>
        </w:rPr>
        <w:t xml:space="preserve"> (e.g., </w:t>
      </w:r>
      <w:r w:rsidR="001903AF">
        <w:rPr>
          <w:color w:val="000000" w:themeColor="text1"/>
          <w:lang w:val="en-GB"/>
        </w:rPr>
        <w:t>Labou</w:t>
      </w:r>
      <w:r w:rsidR="002D72BA">
        <w:rPr>
          <w:color w:val="000000" w:themeColor="text1"/>
          <w:lang w:val="en-GB"/>
        </w:rPr>
        <w:t>r Inspection in the field</w:t>
      </w:r>
      <w:r w:rsidR="001903AF">
        <w:rPr>
          <w:color w:val="000000" w:themeColor="text1"/>
          <w:lang w:val="en-GB"/>
        </w:rPr>
        <w:t xml:space="preserve"> of employment</w:t>
      </w:r>
      <w:r w:rsidRPr="00350AFA">
        <w:rPr>
          <w:color w:val="000000" w:themeColor="text1"/>
          <w:lang w:val="en-GB"/>
        </w:rPr>
        <w:t xml:space="preserve">, </w:t>
      </w:r>
      <w:r w:rsidR="001903AF" w:rsidRPr="00350AFA">
        <w:rPr>
          <w:lang w:val="en-GB"/>
        </w:rPr>
        <w:t xml:space="preserve">Consumer Rights Protection Centre </w:t>
      </w:r>
      <w:r w:rsidR="002D72BA">
        <w:rPr>
          <w:lang w:val="en-GB"/>
        </w:rPr>
        <w:t xml:space="preserve">- </w:t>
      </w:r>
      <w:r w:rsidR="001903AF">
        <w:rPr>
          <w:lang w:val="en-GB"/>
        </w:rPr>
        <w:t xml:space="preserve">in </w:t>
      </w:r>
      <w:r w:rsidR="001348C9">
        <w:rPr>
          <w:color w:val="000000" w:themeColor="text1"/>
          <w:lang w:val="en-GB"/>
        </w:rPr>
        <w:t>advertising</w:t>
      </w:r>
      <w:r w:rsidRPr="00350AFA">
        <w:rPr>
          <w:color w:val="000000" w:themeColor="text1"/>
          <w:lang w:val="en-GB"/>
        </w:rPr>
        <w:t xml:space="preserve">, etc.). </w:t>
      </w:r>
    </w:p>
    <w:p w14:paraId="3BA91BC1" w14:textId="5AECD30F" w:rsidR="001E242E" w:rsidRPr="00350AFA" w:rsidRDefault="00447C62" w:rsidP="00350ABF">
      <w:pPr>
        <w:pStyle w:val="Default"/>
        <w:spacing w:after="240"/>
        <w:jc w:val="both"/>
        <w:rPr>
          <w:color w:val="000000" w:themeColor="text1"/>
          <w:lang w:val="en-GB"/>
        </w:rPr>
      </w:pPr>
      <w:r w:rsidRPr="00350AFA">
        <w:rPr>
          <w:lang w:val="en-GB"/>
        </w:rPr>
        <w:t xml:space="preserve">The most problematic aspect is </w:t>
      </w:r>
      <w:proofErr w:type="gramStart"/>
      <w:r w:rsidRPr="00350AFA">
        <w:rPr>
          <w:lang w:val="en-GB"/>
        </w:rPr>
        <w:t>that there is no unified information system that would render it possible to look into the statistics on discrimination cases in the courts</w:t>
      </w:r>
      <w:proofErr w:type="gramEnd"/>
      <w:r w:rsidRPr="00350AFA">
        <w:rPr>
          <w:lang w:val="en-GB"/>
        </w:rPr>
        <w:t xml:space="preserve">. Most information </w:t>
      </w:r>
      <w:r w:rsidR="004860ED" w:rsidRPr="00350AFA">
        <w:rPr>
          <w:lang w:val="en-GB"/>
        </w:rPr>
        <w:t xml:space="preserve">on such cases </w:t>
      </w:r>
      <w:r w:rsidRPr="00350AFA">
        <w:rPr>
          <w:lang w:val="en-GB"/>
        </w:rPr>
        <w:t>is coming from the mass media or</w:t>
      </w:r>
      <w:r w:rsidR="00E755F3">
        <w:rPr>
          <w:lang w:val="en-GB"/>
        </w:rPr>
        <w:t xml:space="preserve"> </w:t>
      </w:r>
      <w:r w:rsidRPr="00350AFA">
        <w:rPr>
          <w:color w:val="000000" w:themeColor="text1"/>
          <w:lang w:val="en-GB"/>
        </w:rPr>
        <w:t>by directly contacting the courts</w:t>
      </w:r>
      <w:r w:rsidR="008621EE">
        <w:rPr>
          <w:color w:val="000000" w:themeColor="text1"/>
          <w:lang w:val="en-GB"/>
        </w:rPr>
        <w:t xml:space="preserve"> or searching their webpages</w:t>
      </w:r>
      <w:r w:rsidRPr="00350AFA">
        <w:rPr>
          <w:color w:val="000000" w:themeColor="text1"/>
          <w:lang w:val="en-GB"/>
        </w:rPr>
        <w:t xml:space="preserve">. </w:t>
      </w:r>
    </w:p>
    <w:p w14:paraId="619A8152" w14:textId="56C6A8CA" w:rsidR="00447C62" w:rsidRPr="00350AFA" w:rsidRDefault="00447C62" w:rsidP="00350ABF">
      <w:pPr>
        <w:pStyle w:val="Default"/>
        <w:spacing w:after="240"/>
        <w:jc w:val="both"/>
        <w:rPr>
          <w:color w:val="000000" w:themeColor="text1"/>
          <w:lang w:val="en-GB"/>
        </w:rPr>
      </w:pPr>
      <w:r w:rsidRPr="00350AFA">
        <w:rPr>
          <w:color w:val="000000" w:themeColor="text1"/>
          <w:lang w:val="en-GB"/>
        </w:rPr>
        <w:t>According to the Labour Law (Art. 29, parts 4 and 7) harassment is also considered a form of discrimination. However, despite the E</w:t>
      </w:r>
      <w:r w:rsidR="004143E0">
        <w:rPr>
          <w:color w:val="000000" w:themeColor="text1"/>
          <w:lang w:val="en-GB"/>
        </w:rPr>
        <w:t xml:space="preserve">uropean </w:t>
      </w:r>
      <w:r w:rsidRPr="00350AFA">
        <w:rPr>
          <w:color w:val="000000" w:themeColor="text1"/>
          <w:lang w:val="en-GB"/>
        </w:rPr>
        <w:t>U</w:t>
      </w:r>
      <w:r w:rsidR="00842435">
        <w:rPr>
          <w:color w:val="000000" w:themeColor="text1"/>
          <w:lang w:val="en-GB"/>
        </w:rPr>
        <w:t>nion</w:t>
      </w:r>
      <w:r w:rsidR="00016157" w:rsidRPr="00350AFA">
        <w:rPr>
          <w:color w:val="000000" w:themeColor="text1"/>
          <w:lang w:val="en-GB"/>
        </w:rPr>
        <w:t>’s</w:t>
      </w:r>
      <w:r w:rsidR="004143E0">
        <w:rPr>
          <w:color w:val="000000" w:themeColor="text1"/>
          <w:lang w:val="en-GB"/>
        </w:rPr>
        <w:t xml:space="preserve"> (EU)</w:t>
      </w:r>
      <w:r w:rsidRPr="00350AFA">
        <w:rPr>
          <w:color w:val="000000" w:themeColor="text1"/>
          <w:lang w:val="en-GB"/>
        </w:rPr>
        <w:t xml:space="preserve"> statistics showing workplace (sexual) harassment being of grandiose proportions</w:t>
      </w:r>
      <w:r w:rsidRPr="00350AFA">
        <w:rPr>
          <w:rStyle w:val="FootnoteReference"/>
          <w:color w:val="000000" w:themeColor="text1"/>
          <w:lang w:val="en-GB"/>
        </w:rPr>
        <w:footnoteReference w:id="3"/>
      </w:r>
      <w:r w:rsidRPr="00350AFA">
        <w:rPr>
          <w:color w:val="000000" w:themeColor="text1"/>
          <w:lang w:val="en-GB"/>
        </w:rPr>
        <w:t xml:space="preserve"> and despite the Latvian internet </w:t>
      </w:r>
      <w:r w:rsidR="000F482B">
        <w:rPr>
          <w:color w:val="000000" w:themeColor="text1"/>
          <w:lang w:val="en-GB"/>
        </w:rPr>
        <w:t>news outlets</w:t>
      </w:r>
      <w:r w:rsidRPr="00350AFA">
        <w:rPr>
          <w:color w:val="000000" w:themeColor="text1"/>
          <w:lang w:val="en-GB"/>
        </w:rPr>
        <w:t xml:space="preserve"> and forums being full of articles/ questions regarding what to do if being harassed at the workplace, </w:t>
      </w:r>
      <w:r w:rsidR="007550DC" w:rsidRPr="00350AFA">
        <w:rPr>
          <w:color w:val="000000" w:themeColor="text1"/>
          <w:lang w:val="en-GB"/>
        </w:rPr>
        <w:t xml:space="preserve">there is no official research on the topic in Latvia and </w:t>
      </w:r>
      <w:r w:rsidRPr="00350AFA">
        <w:rPr>
          <w:color w:val="000000" w:themeColor="text1"/>
          <w:lang w:val="en-GB"/>
        </w:rPr>
        <w:t xml:space="preserve">there seem to be no court cases regarding the issue. </w:t>
      </w:r>
    </w:p>
    <w:p w14:paraId="7F600831" w14:textId="77777777" w:rsidR="00380D66" w:rsidRDefault="00380D66" w:rsidP="00350ABF">
      <w:pPr>
        <w:pStyle w:val="Default"/>
        <w:spacing w:after="240"/>
        <w:jc w:val="both"/>
        <w:rPr>
          <w:color w:val="000000" w:themeColor="text1"/>
          <w:lang w:val="en-GB"/>
        </w:rPr>
      </w:pPr>
      <w:r w:rsidRPr="00350AFA">
        <w:rPr>
          <w:color w:val="000000" w:themeColor="text1"/>
          <w:lang w:val="en-GB"/>
        </w:rPr>
        <w:t xml:space="preserve">MARTA Centre therefore recommends </w:t>
      </w:r>
      <w:r w:rsidR="007550DC" w:rsidRPr="00350AFA">
        <w:rPr>
          <w:color w:val="000000" w:themeColor="text1"/>
          <w:lang w:val="en-GB"/>
        </w:rPr>
        <w:t>updating law enforcement statistical systems to better represent statistics on discrimination cases in the workplace</w:t>
      </w:r>
      <w:r w:rsidR="00016157" w:rsidRPr="00350AFA">
        <w:rPr>
          <w:color w:val="000000" w:themeColor="text1"/>
          <w:lang w:val="en-GB"/>
        </w:rPr>
        <w:t xml:space="preserve">, including those on (sexual) harassment, as well as to research the topic thoroughly. </w:t>
      </w:r>
    </w:p>
    <w:p w14:paraId="1355B676" w14:textId="65140E0F" w:rsidR="007756A6" w:rsidRPr="00350AFA" w:rsidRDefault="007756A6" w:rsidP="007756A6">
      <w:pPr>
        <w:pStyle w:val="Default"/>
        <w:spacing w:after="120"/>
        <w:rPr>
          <w:b/>
          <w:bCs/>
          <w:lang w:val="en-GB"/>
        </w:rPr>
      </w:pPr>
      <w:r w:rsidRPr="00350AFA">
        <w:rPr>
          <w:b/>
          <w:bCs/>
          <w:lang w:val="en-GB"/>
        </w:rPr>
        <w:t>Comment</w:t>
      </w:r>
      <w:r w:rsidR="00595F18">
        <w:rPr>
          <w:b/>
          <w:bCs/>
          <w:lang w:val="en-GB"/>
        </w:rPr>
        <w:t>s</w:t>
      </w:r>
      <w:r w:rsidRPr="00350AFA">
        <w:rPr>
          <w:b/>
          <w:bCs/>
          <w:lang w:val="en-GB"/>
        </w:rPr>
        <w:t xml:space="preserve"> on </w:t>
      </w:r>
    </w:p>
    <w:p w14:paraId="44F97B8A" w14:textId="77777777" w:rsidR="007756A6" w:rsidRDefault="007756A6" w:rsidP="007756A6">
      <w:pPr>
        <w:pStyle w:val="Default"/>
        <w:rPr>
          <w:b/>
          <w:bCs/>
          <w:sz w:val="23"/>
          <w:szCs w:val="23"/>
        </w:rPr>
      </w:pPr>
      <w:r>
        <w:rPr>
          <w:b/>
          <w:bCs/>
          <w:sz w:val="23"/>
          <w:szCs w:val="23"/>
        </w:rPr>
        <w:t xml:space="preserve">Committee recommendation in paragraph 50 – gender equality mechanism </w:t>
      </w:r>
    </w:p>
    <w:p w14:paraId="3A647E98" w14:textId="32053A1F" w:rsidR="007756A6" w:rsidRPr="00350AFA" w:rsidRDefault="007756A6" w:rsidP="007756A6">
      <w:pPr>
        <w:pStyle w:val="Default"/>
        <w:rPr>
          <w:b/>
          <w:bCs/>
          <w:lang w:val="en-GB"/>
        </w:rPr>
      </w:pPr>
      <w:r w:rsidRPr="00350AFA">
        <w:rPr>
          <w:b/>
          <w:bCs/>
          <w:lang w:val="en-GB"/>
        </w:rPr>
        <w:t>And</w:t>
      </w:r>
    </w:p>
    <w:p w14:paraId="3C596256" w14:textId="551047B3" w:rsidR="007756A6" w:rsidRPr="00350AFA" w:rsidRDefault="007756A6" w:rsidP="007756A6">
      <w:pPr>
        <w:pStyle w:val="Default"/>
        <w:spacing w:after="360"/>
        <w:rPr>
          <w:b/>
          <w:bCs/>
          <w:lang w:val="en-GB"/>
        </w:rPr>
      </w:pPr>
      <w:r w:rsidRPr="00350AFA">
        <w:rPr>
          <w:b/>
          <w:bCs/>
          <w:lang w:val="en-GB"/>
        </w:rPr>
        <w:t>Paragraph</w:t>
      </w:r>
      <w:r>
        <w:rPr>
          <w:b/>
          <w:bCs/>
          <w:lang w:val="en-GB"/>
        </w:rPr>
        <w:t>s 15 to 19</w:t>
      </w:r>
      <w:r w:rsidRPr="00350AFA">
        <w:rPr>
          <w:b/>
          <w:bCs/>
          <w:lang w:val="en-GB"/>
        </w:rPr>
        <w:t xml:space="preserve"> in</w:t>
      </w:r>
      <w:r w:rsidR="00C01E02">
        <w:rPr>
          <w:b/>
          <w:bCs/>
          <w:lang w:val="en-GB"/>
        </w:rPr>
        <w:t xml:space="preserve"> State</w:t>
      </w:r>
      <w:r w:rsidRPr="00350AFA">
        <w:rPr>
          <w:b/>
          <w:bCs/>
          <w:lang w:val="en-GB"/>
        </w:rPr>
        <w:t xml:space="preserve"> Report</w:t>
      </w:r>
    </w:p>
    <w:p w14:paraId="3ADC5307" w14:textId="19F68141" w:rsidR="007D1E3A" w:rsidRDefault="007756A6" w:rsidP="00350ABF">
      <w:pPr>
        <w:pStyle w:val="Default"/>
        <w:spacing w:after="240"/>
        <w:jc w:val="both"/>
        <w:rPr>
          <w:color w:val="000000" w:themeColor="text1"/>
          <w:lang w:val="en-GB"/>
        </w:rPr>
      </w:pPr>
      <w:r>
        <w:rPr>
          <w:color w:val="000000" w:themeColor="text1"/>
          <w:lang w:val="en-GB"/>
        </w:rPr>
        <w:t xml:space="preserve">MARTA Centre agrees that a lot has been done to </w:t>
      </w:r>
      <w:r w:rsidR="007D1E3A">
        <w:rPr>
          <w:color w:val="000000" w:themeColor="text1"/>
          <w:lang w:val="en-GB"/>
        </w:rPr>
        <w:t xml:space="preserve">mainstream and </w:t>
      </w:r>
      <w:r>
        <w:rPr>
          <w:color w:val="000000" w:themeColor="text1"/>
          <w:lang w:val="en-GB"/>
        </w:rPr>
        <w:t>institutionalize gender equality work. However, one aspect of Committee’s recommendations still has not been fulfilled, namely, allocation of sufficient budget and human resources to efficiently carry out gender equality policies. Ministry of Welfare has worked relentlessly on the issue, and many</w:t>
      </w:r>
      <w:r w:rsidR="00485162">
        <w:rPr>
          <w:color w:val="000000" w:themeColor="text1"/>
          <w:lang w:val="en-GB"/>
        </w:rPr>
        <w:t xml:space="preserve"> victories have been achieved; h</w:t>
      </w:r>
      <w:r>
        <w:rPr>
          <w:color w:val="000000" w:themeColor="text1"/>
          <w:lang w:val="en-GB"/>
        </w:rPr>
        <w:t xml:space="preserve">owever, presently only 2 employees work </w:t>
      </w:r>
      <w:r w:rsidR="00CA7E03">
        <w:rPr>
          <w:color w:val="000000" w:themeColor="text1"/>
          <w:lang w:val="en-GB"/>
        </w:rPr>
        <w:t xml:space="preserve">full time </w:t>
      </w:r>
      <w:r>
        <w:rPr>
          <w:color w:val="000000" w:themeColor="text1"/>
          <w:lang w:val="en-GB"/>
        </w:rPr>
        <w:t>with gender equality issues within</w:t>
      </w:r>
      <w:r w:rsidR="00485162">
        <w:rPr>
          <w:color w:val="000000" w:themeColor="text1"/>
          <w:lang w:val="en-GB"/>
        </w:rPr>
        <w:t xml:space="preserve"> this institution</w:t>
      </w:r>
      <w:r>
        <w:rPr>
          <w:rStyle w:val="FootnoteReference"/>
          <w:color w:val="000000" w:themeColor="text1"/>
          <w:lang w:val="en-GB"/>
        </w:rPr>
        <w:footnoteReference w:id="4"/>
      </w:r>
      <w:r w:rsidR="007D1E3A">
        <w:rPr>
          <w:color w:val="000000" w:themeColor="text1"/>
          <w:lang w:val="en-GB"/>
        </w:rPr>
        <w:t>. Moreover, presently no extra resources are attributed to the gender equality issues</w:t>
      </w:r>
      <w:r w:rsidR="006D4490">
        <w:rPr>
          <w:color w:val="000000" w:themeColor="text1"/>
          <w:lang w:val="en-GB"/>
        </w:rPr>
        <w:t xml:space="preserve"> and </w:t>
      </w:r>
      <w:r w:rsidR="00CA7E03">
        <w:rPr>
          <w:color w:val="000000" w:themeColor="text1"/>
          <w:lang w:val="en-GB"/>
        </w:rPr>
        <w:t>all the public institutions are expected to carry out</w:t>
      </w:r>
      <w:r w:rsidR="00485162">
        <w:rPr>
          <w:color w:val="000000" w:themeColor="text1"/>
          <w:lang w:val="en-GB"/>
        </w:rPr>
        <w:t xml:space="preserve"> gender equality promotion tasks assigned to them</w:t>
      </w:r>
      <w:r w:rsidR="00CA7E03">
        <w:rPr>
          <w:color w:val="000000" w:themeColor="text1"/>
          <w:lang w:val="en-GB"/>
        </w:rPr>
        <w:t xml:space="preserve"> within their existing resources</w:t>
      </w:r>
      <w:r w:rsidR="007D1E3A">
        <w:rPr>
          <w:color w:val="000000" w:themeColor="text1"/>
          <w:lang w:val="en-GB"/>
        </w:rPr>
        <w:t>.</w:t>
      </w:r>
      <w:r w:rsidR="006D4490">
        <w:rPr>
          <w:color w:val="000000" w:themeColor="text1"/>
          <w:lang w:val="en-GB"/>
        </w:rPr>
        <w:t xml:space="preserve"> </w:t>
      </w:r>
      <w:proofErr w:type="gramStart"/>
      <w:r w:rsidR="006D4490">
        <w:rPr>
          <w:color w:val="000000" w:themeColor="text1"/>
          <w:lang w:val="en-GB"/>
        </w:rPr>
        <w:t>Needless to say, gender</w:t>
      </w:r>
      <w:proofErr w:type="gramEnd"/>
      <w:r w:rsidR="006D4490">
        <w:rPr>
          <w:color w:val="000000" w:themeColor="text1"/>
          <w:lang w:val="en-GB"/>
        </w:rPr>
        <w:t xml:space="preserve"> equality is not the priority of most public institutions</w:t>
      </w:r>
      <w:r w:rsidR="00485162">
        <w:rPr>
          <w:color w:val="000000" w:themeColor="text1"/>
          <w:lang w:val="en-GB"/>
        </w:rPr>
        <w:t xml:space="preserve">, and it will </w:t>
      </w:r>
      <w:r w:rsidR="005E61CE">
        <w:rPr>
          <w:color w:val="000000" w:themeColor="text1"/>
          <w:lang w:val="en-GB"/>
        </w:rPr>
        <w:t xml:space="preserve">so </w:t>
      </w:r>
      <w:r w:rsidR="00485162">
        <w:rPr>
          <w:color w:val="000000" w:themeColor="text1"/>
          <w:lang w:val="en-GB"/>
        </w:rPr>
        <w:t>remain unless extra resources are found</w:t>
      </w:r>
      <w:r w:rsidR="006D4490">
        <w:rPr>
          <w:color w:val="000000" w:themeColor="text1"/>
          <w:lang w:val="en-GB"/>
        </w:rPr>
        <w:t>.</w:t>
      </w:r>
    </w:p>
    <w:p w14:paraId="20C9665E" w14:textId="63E38960" w:rsidR="005E61CE" w:rsidRPr="00A14E3D" w:rsidRDefault="007D1E3A" w:rsidP="007D1E3A">
      <w:pPr>
        <w:pStyle w:val="Default"/>
        <w:spacing w:after="240"/>
        <w:jc w:val="both"/>
        <w:rPr>
          <w:color w:val="000000" w:themeColor="text1"/>
        </w:rPr>
      </w:pPr>
      <w:r w:rsidRPr="007D1E3A">
        <w:rPr>
          <w:color w:val="000000" w:themeColor="text1"/>
          <w:lang w:val="en-GB"/>
        </w:rPr>
        <w:t>As stated in the State Report</w:t>
      </w:r>
      <w:r w:rsidRPr="00A14E3D">
        <w:rPr>
          <w:color w:val="000000" w:themeColor="text1"/>
          <w:lang w:val="en-GB"/>
        </w:rPr>
        <w:t>, “</w:t>
      </w:r>
      <w:r w:rsidRPr="00A14E3D">
        <w:rPr>
          <w:color w:val="000000" w:themeColor="text1"/>
        </w:rPr>
        <w:t>Since 2005, all ministries have nominated a high-level official, who is responsible for the implementation of gender mainstreaming in sectoral policies”. MARTA Centre wants to elaborate on this statement. First, it is not at all clear who exactly this official is. For example, by looking at the Ministry of Economics’ web page, it is hard to find a mention of such an official, and the same is true with other ministries. Second, it is very likely that this is merely an additional work assignment to that official’s main obligations, and thus – not a priority. MARTA Centre expresses concern that this nomination of officials in each ministry is just</w:t>
      </w:r>
      <w:r w:rsidR="008F1209" w:rsidRPr="00A14E3D">
        <w:rPr>
          <w:color w:val="000000" w:themeColor="text1"/>
        </w:rPr>
        <w:t xml:space="preserve"> for appearance</w:t>
      </w:r>
      <w:r w:rsidRPr="00A14E3D">
        <w:rPr>
          <w:color w:val="000000" w:themeColor="text1"/>
        </w:rPr>
        <w:t xml:space="preserve"> </w:t>
      </w:r>
      <w:r w:rsidR="008F1209" w:rsidRPr="00A14E3D">
        <w:rPr>
          <w:color w:val="000000" w:themeColor="text1"/>
        </w:rPr>
        <w:t>and</w:t>
      </w:r>
      <w:r w:rsidRPr="00A14E3D">
        <w:rPr>
          <w:color w:val="000000" w:themeColor="text1"/>
        </w:rPr>
        <w:t xml:space="preserve"> actual work is not being done</w:t>
      </w:r>
      <w:r w:rsidR="005D05D8" w:rsidRPr="00A14E3D">
        <w:rPr>
          <w:color w:val="000000" w:themeColor="text1"/>
        </w:rPr>
        <w:t xml:space="preserve"> due to </w:t>
      </w:r>
      <w:r w:rsidR="00BC54BF" w:rsidRPr="00A14E3D">
        <w:rPr>
          <w:color w:val="000000" w:themeColor="text1"/>
        </w:rPr>
        <w:t xml:space="preserve">ongoing </w:t>
      </w:r>
      <w:r w:rsidR="005D05D8" w:rsidRPr="00A14E3D">
        <w:rPr>
          <w:color w:val="000000" w:themeColor="text1"/>
        </w:rPr>
        <w:t>resource limitations</w:t>
      </w:r>
      <w:r w:rsidRPr="00A14E3D">
        <w:rPr>
          <w:color w:val="000000" w:themeColor="text1"/>
        </w:rPr>
        <w:t>.</w:t>
      </w:r>
      <w:r w:rsidR="005D05D8" w:rsidRPr="00A14E3D">
        <w:rPr>
          <w:color w:val="000000" w:themeColor="text1"/>
        </w:rPr>
        <w:t xml:space="preserve"> </w:t>
      </w:r>
    </w:p>
    <w:p w14:paraId="2B1A1F63" w14:textId="3650B29B" w:rsidR="005E61CE" w:rsidRPr="00A14E3D" w:rsidRDefault="005E61CE" w:rsidP="007D1E3A">
      <w:pPr>
        <w:pStyle w:val="Default"/>
        <w:spacing w:after="240"/>
        <w:jc w:val="both"/>
        <w:rPr>
          <w:color w:val="000000" w:themeColor="text1"/>
        </w:rPr>
      </w:pPr>
      <w:r w:rsidRPr="00A14E3D">
        <w:rPr>
          <w:color w:val="000000" w:themeColor="text1"/>
        </w:rPr>
        <w:t xml:space="preserve">MARTA Centre therefore recommends that resources are sought to enlarge the financial and human resource capacity of public institutions to work on gender equality issues. </w:t>
      </w:r>
    </w:p>
    <w:p w14:paraId="315C8B19" w14:textId="4D6C43E5" w:rsidR="00016157" w:rsidRPr="00350AFA" w:rsidRDefault="00016157" w:rsidP="00350AFA">
      <w:pPr>
        <w:pStyle w:val="Default"/>
        <w:spacing w:after="120"/>
        <w:rPr>
          <w:b/>
          <w:bCs/>
          <w:lang w:val="en-GB"/>
        </w:rPr>
      </w:pPr>
      <w:r w:rsidRPr="00350AFA">
        <w:rPr>
          <w:b/>
          <w:bCs/>
          <w:lang w:val="en-GB"/>
        </w:rPr>
        <w:t>Comment</w:t>
      </w:r>
      <w:r w:rsidR="00595F18">
        <w:rPr>
          <w:b/>
          <w:bCs/>
          <w:lang w:val="en-GB"/>
        </w:rPr>
        <w:t>s</w:t>
      </w:r>
      <w:r w:rsidRPr="00350AFA">
        <w:rPr>
          <w:b/>
          <w:bCs/>
          <w:lang w:val="en-GB"/>
        </w:rPr>
        <w:t xml:space="preserve"> on </w:t>
      </w:r>
    </w:p>
    <w:p w14:paraId="4650FB4C" w14:textId="77777777" w:rsidR="002E61DB" w:rsidRPr="00350AFA" w:rsidRDefault="002E61DB" w:rsidP="00350AFA">
      <w:pPr>
        <w:autoSpaceDE w:val="0"/>
        <w:autoSpaceDN w:val="0"/>
        <w:adjustRightInd w:val="0"/>
        <w:spacing w:after="0"/>
        <w:jc w:val="both"/>
        <w:rPr>
          <w:rFonts w:ascii="Times New Roman" w:hAnsi="Times New Roman" w:cs="Times New Roman"/>
          <w:b/>
          <w:bCs/>
          <w:sz w:val="24"/>
          <w:szCs w:val="24"/>
          <w:lang w:val="en-GB"/>
        </w:rPr>
      </w:pPr>
      <w:r w:rsidRPr="00350AFA">
        <w:rPr>
          <w:rFonts w:ascii="Times New Roman" w:hAnsi="Times New Roman" w:cs="Times New Roman"/>
          <w:b/>
          <w:bCs/>
          <w:sz w:val="24"/>
          <w:szCs w:val="24"/>
          <w:lang w:val="en-GB"/>
        </w:rPr>
        <w:t>Committee recommendation in paragraph 54 – the role of women in the family and in society</w:t>
      </w:r>
    </w:p>
    <w:p w14:paraId="2BC57BCF" w14:textId="77777777" w:rsidR="00770F3E" w:rsidRPr="00350AFA" w:rsidRDefault="005B572D" w:rsidP="00350AFA">
      <w:pPr>
        <w:autoSpaceDE w:val="0"/>
        <w:autoSpaceDN w:val="0"/>
        <w:adjustRightInd w:val="0"/>
        <w:spacing w:after="0"/>
        <w:jc w:val="both"/>
        <w:rPr>
          <w:rFonts w:ascii="Times New Roman" w:hAnsi="Times New Roman" w:cs="Times New Roman"/>
          <w:b/>
          <w:bCs/>
          <w:sz w:val="24"/>
          <w:szCs w:val="24"/>
          <w:lang w:val="en-GB"/>
        </w:rPr>
      </w:pPr>
      <w:r w:rsidRPr="00350AFA">
        <w:rPr>
          <w:rFonts w:ascii="Times New Roman" w:hAnsi="Times New Roman" w:cs="Times New Roman"/>
          <w:b/>
          <w:bCs/>
          <w:sz w:val="24"/>
          <w:szCs w:val="24"/>
          <w:lang w:val="en-GB"/>
        </w:rPr>
        <w:t>And</w:t>
      </w:r>
    </w:p>
    <w:p w14:paraId="522B8EF0" w14:textId="6BF48749" w:rsidR="005B572D" w:rsidRPr="00350AFA" w:rsidRDefault="005B572D" w:rsidP="00350AFA">
      <w:pPr>
        <w:autoSpaceDE w:val="0"/>
        <w:autoSpaceDN w:val="0"/>
        <w:adjustRightInd w:val="0"/>
        <w:spacing w:after="240"/>
        <w:jc w:val="both"/>
        <w:rPr>
          <w:rFonts w:ascii="Times New Roman" w:hAnsi="Times New Roman" w:cs="Times New Roman"/>
          <w:b/>
          <w:bCs/>
          <w:sz w:val="24"/>
          <w:szCs w:val="24"/>
          <w:lang w:val="en-GB"/>
        </w:rPr>
      </w:pPr>
      <w:r w:rsidRPr="00350AFA">
        <w:rPr>
          <w:rFonts w:ascii="Times New Roman" w:hAnsi="Times New Roman" w:cs="Times New Roman"/>
          <w:b/>
          <w:bCs/>
          <w:sz w:val="24"/>
          <w:szCs w:val="24"/>
          <w:lang w:val="en-GB"/>
        </w:rPr>
        <w:t xml:space="preserve">Paragraphs 29 to </w:t>
      </w:r>
      <w:r w:rsidRPr="004A64D4">
        <w:rPr>
          <w:rFonts w:ascii="Times New Roman" w:hAnsi="Times New Roman" w:cs="Times New Roman"/>
          <w:b/>
          <w:bCs/>
          <w:sz w:val="24"/>
          <w:szCs w:val="24"/>
          <w:lang w:val="en-GB"/>
        </w:rPr>
        <w:t>34 in</w:t>
      </w:r>
      <w:r w:rsidR="00C01E02" w:rsidRPr="004A64D4">
        <w:rPr>
          <w:rFonts w:ascii="Times New Roman" w:hAnsi="Times New Roman" w:cs="Times New Roman"/>
          <w:b/>
          <w:bCs/>
          <w:sz w:val="24"/>
          <w:szCs w:val="24"/>
          <w:lang w:val="en-GB"/>
        </w:rPr>
        <w:t xml:space="preserve"> State</w:t>
      </w:r>
      <w:r w:rsidRPr="004A64D4">
        <w:rPr>
          <w:rFonts w:ascii="Times New Roman" w:hAnsi="Times New Roman" w:cs="Times New Roman"/>
          <w:b/>
          <w:bCs/>
          <w:sz w:val="24"/>
          <w:szCs w:val="24"/>
          <w:lang w:val="en-GB"/>
        </w:rPr>
        <w:t xml:space="preserve"> Report</w:t>
      </w:r>
    </w:p>
    <w:p w14:paraId="29D0944E" w14:textId="77777777" w:rsidR="00016157" w:rsidRPr="00350AFA" w:rsidRDefault="002E61DB" w:rsidP="00350ABF">
      <w:pPr>
        <w:pStyle w:val="Default"/>
        <w:spacing w:after="240"/>
        <w:jc w:val="both"/>
        <w:rPr>
          <w:lang w:val="en-GB"/>
        </w:rPr>
      </w:pPr>
      <w:r w:rsidRPr="00350AFA">
        <w:rPr>
          <w:lang w:val="en-GB"/>
        </w:rPr>
        <w:t xml:space="preserve">In addition to the activities mentioned in the State Report MARTA Centre wants to inform the Committee that multiple NGOs are working systematically and </w:t>
      </w:r>
      <w:r w:rsidR="00D22FC8" w:rsidRPr="00350AFA">
        <w:rPr>
          <w:lang w:val="en-GB"/>
        </w:rPr>
        <w:t xml:space="preserve">over long term to diminish the stereotypes prevailing in the society in order to promote, among other things, more equal role distributions in family and social life. </w:t>
      </w:r>
    </w:p>
    <w:p w14:paraId="4A4457F2" w14:textId="225DB7F3" w:rsidR="00613CAC" w:rsidRPr="00350AFA" w:rsidRDefault="003F1AB6" w:rsidP="00350ABF">
      <w:pPr>
        <w:pStyle w:val="Default"/>
        <w:spacing w:after="240"/>
        <w:jc w:val="both"/>
        <w:rPr>
          <w:lang w:val="en-GB"/>
        </w:rPr>
      </w:pPr>
      <w:r w:rsidRPr="00350AFA">
        <w:rPr>
          <w:lang w:val="en-GB"/>
        </w:rPr>
        <w:t>MARTA Centre has been</w:t>
      </w:r>
      <w:r w:rsidR="00D22FC8" w:rsidRPr="00350AFA">
        <w:rPr>
          <w:lang w:val="en-GB"/>
        </w:rPr>
        <w:t xml:space="preserve"> running workshops </w:t>
      </w:r>
      <w:r w:rsidR="00CB7874">
        <w:rPr>
          <w:lang w:val="en-GB"/>
        </w:rPr>
        <w:t xml:space="preserve">continuously </w:t>
      </w:r>
      <w:r w:rsidR="00D22FC8" w:rsidRPr="00350AFA">
        <w:rPr>
          <w:lang w:val="en-GB"/>
        </w:rPr>
        <w:t>for youth</w:t>
      </w:r>
      <w:r w:rsidR="00311E17" w:rsidRPr="00350AFA">
        <w:rPr>
          <w:lang w:val="en-GB"/>
        </w:rPr>
        <w:t xml:space="preserve"> since 2010</w:t>
      </w:r>
      <w:r w:rsidR="00016157" w:rsidRPr="00350AFA">
        <w:rPr>
          <w:lang w:val="en-GB"/>
        </w:rPr>
        <w:t xml:space="preserve">. In these workshops, by using tools of informal education, a safe space is provided for youth to critically evaluate </w:t>
      </w:r>
      <w:r w:rsidR="00D61BFA" w:rsidRPr="00350AFA">
        <w:rPr>
          <w:lang w:val="en-GB"/>
        </w:rPr>
        <w:t xml:space="preserve">societal and </w:t>
      </w:r>
      <w:r w:rsidR="00016157" w:rsidRPr="00350AFA">
        <w:rPr>
          <w:lang w:val="en-GB"/>
        </w:rPr>
        <w:t>their own assumptions about relationships, gender roles, power relations, self-worth, and other topics</w:t>
      </w:r>
      <w:r w:rsidR="00D61BFA" w:rsidRPr="00350AFA">
        <w:rPr>
          <w:lang w:val="en-GB"/>
        </w:rPr>
        <w:t xml:space="preserve"> that are relevant for them. They are also encouraged to think critically and challenge societal norms that they feel are harmful and limiting. MARTA Centre’s youth experts note that young people have been lacking safe spaces to talk about such issues</w:t>
      </w:r>
      <w:r w:rsidR="00150F3E">
        <w:rPr>
          <w:lang w:val="en-GB"/>
        </w:rPr>
        <w:t xml:space="preserve"> both at schools and at home</w:t>
      </w:r>
      <w:r w:rsidR="00D61BFA" w:rsidRPr="00350AFA">
        <w:rPr>
          <w:lang w:val="en-GB"/>
        </w:rPr>
        <w:t xml:space="preserve">. These workshops, depending on possibilities, are provided either over multiple months or over shorter </w:t>
      </w:r>
      <w:proofErr w:type="gramStart"/>
      <w:r w:rsidR="00D61BFA" w:rsidRPr="00350AFA">
        <w:rPr>
          <w:lang w:val="en-GB"/>
        </w:rPr>
        <w:t>period of time</w:t>
      </w:r>
      <w:proofErr w:type="gramEnd"/>
      <w:r w:rsidR="00D61BFA" w:rsidRPr="00350AFA">
        <w:rPr>
          <w:lang w:val="en-GB"/>
        </w:rPr>
        <w:t>, preferring, of course, the longer duration.</w:t>
      </w:r>
      <w:r w:rsidR="00613CAC">
        <w:rPr>
          <w:lang w:val="en-GB"/>
        </w:rPr>
        <w:t xml:space="preserve"> In</w:t>
      </w:r>
      <w:r w:rsidR="00D61BFA" w:rsidRPr="00350AFA">
        <w:rPr>
          <w:lang w:val="en-GB"/>
        </w:rPr>
        <w:t xml:space="preserve"> 2017,</w:t>
      </w:r>
      <w:r w:rsidR="00613CAC">
        <w:rPr>
          <w:lang w:val="en-GB"/>
        </w:rPr>
        <w:t xml:space="preserve"> 150 young people took part in these</w:t>
      </w:r>
      <w:r w:rsidR="00D61BFA" w:rsidRPr="00350AFA">
        <w:rPr>
          <w:lang w:val="en-GB"/>
        </w:rPr>
        <w:t xml:space="preserve"> </w:t>
      </w:r>
      <w:r w:rsidR="00613CAC">
        <w:rPr>
          <w:lang w:val="en-GB"/>
        </w:rPr>
        <w:t xml:space="preserve">workshops in 8 different Latvian cities. </w:t>
      </w:r>
    </w:p>
    <w:p w14:paraId="53DB5908" w14:textId="14BA0FCD" w:rsidR="002E61DB" w:rsidRPr="00350AFA" w:rsidRDefault="003F1AB6" w:rsidP="00350ABF">
      <w:pPr>
        <w:pStyle w:val="Default"/>
        <w:spacing w:after="240"/>
        <w:jc w:val="both"/>
        <w:rPr>
          <w:lang w:val="en-GB"/>
        </w:rPr>
      </w:pPr>
      <w:r w:rsidRPr="00350AFA">
        <w:rPr>
          <w:lang w:val="en-GB"/>
        </w:rPr>
        <w:t>Foundation “Fathers”, also a</w:t>
      </w:r>
      <w:r w:rsidR="00D61BFA" w:rsidRPr="00350AFA">
        <w:rPr>
          <w:lang w:val="en-GB"/>
        </w:rPr>
        <w:t>n</w:t>
      </w:r>
      <w:r w:rsidRPr="00350AFA">
        <w:rPr>
          <w:lang w:val="en-GB"/>
        </w:rPr>
        <w:t xml:space="preserve"> NGO, has been working since 2015 to change the harmful stereotyp</w:t>
      </w:r>
      <w:r w:rsidR="008F5C07" w:rsidRPr="00350AFA">
        <w:rPr>
          <w:lang w:val="en-GB"/>
        </w:rPr>
        <w:t xml:space="preserve">es associated with </w:t>
      </w:r>
      <w:r w:rsidR="00404375">
        <w:rPr>
          <w:lang w:val="en-GB"/>
        </w:rPr>
        <w:t xml:space="preserve">masculinity and </w:t>
      </w:r>
      <w:r w:rsidRPr="00350AFA">
        <w:rPr>
          <w:lang w:val="en-GB"/>
        </w:rPr>
        <w:t xml:space="preserve">father’s role in the family, to promote healthier attitudes and involvement of fathers </w:t>
      </w:r>
      <w:r w:rsidR="00D127FC">
        <w:rPr>
          <w:lang w:val="en-GB"/>
        </w:rPr>
        <w:t xml:space="preserve">with </w:t>
      </w:r>
      <w:r w:rsidRPr="00350AFA">
        <w:rPr>
          <w:lang w:val="en-GB"/>
        </w:rPr>
        <w:t xml:space="preserve">their children, more equal labour division at home and </w:t>
      </w:r>
      <w:r w:rsidR="00694891">
        <w:rPr>
          <w:lang w:val="en-GB"/>
        </w:rPr>
        <w:t xml:space="preserve">in </w:t>
      </w:r>
      <w:r w:rsidRPr="00350AFA">
        <w:rPr>
          <w:lang w:val="en-GB"/>
        </w:rPr>
        <w:t xml:space="preserve">society, </w:t>
      </w:r>
      <w:r w:rsidR="00D576B1">
        <w:rPr>
          <w:lang w:val="en-GB"/>
        </w:rPr>
        <w:t xml:space="preserve">as well as </w:t>
      </w:r>
      <w:r w:rsidRPr="00350AFA">
        <w:rPr>
          <w:lang w:val="en-GB"/>
        </w:rPr>
        <w:t xml:space="preserve">to discuss </w:t>
      </w:r>
      <w:r w:rsidR="008F5C07" w:rsidRPr="00350AFA">
        <w:rPr>
          <w:lang w:val="en-GB"/>
        </w:rPr>
        <w:t>the</w:t>
      </w:r>
      <w:r w:rsidR="00D127FC">
        <w:rPr>
          <w:lang w:val="en-GB"/>
        </w:rPr>
        <w:t xml:space="preserve"> practical aspects</w:t>
      </w:r>
      <w:r w:rsidRPr="00350AFA">
        <w:rPr>
          <w:lang w:val="en-GB"/>
        </w:rPr>
        <w:t xml:space="preserve"> of fathers’ involvement with their children, the emotional needs of parents and children, etc. Workshops are organized for fathers on emotional and practical aspects of fatherhood. </w:t>
      </w:r>
    </w:p>
    <w:p w14:paraId="20F35948" w14:textId="3464AA5C" w:rsidR="008F5FB9" w:rsidRPr="00350AFA" w:rsidRDefault="008F5C07" w:rsidP="00350ABF">
      <w:pPr>
        <w:pStyle w:val="Default"/>
        <w:spacing w:after="240"/>
        <w:jc w:val="both"/>
        <w:rPr>
          <w:lang w:val="en-GB"/>
        </w:rPr>
      </w:pPr>
      <w:r w:rsidRPr="00350AFA">
        <w:rPr>
          <w:lang w:val="en-GB"/>
        </w:rPr>
        <w:t>MARTA Centre has repeatedly advocated for more accountability from the media industry regarding the qualitative and quantitative representation of women and men in the media in Latvia. Acknowledging</w:t>
      </w:r>
      <w:r w:rsidR="00380D66" w:rsidRPr="00350AFA">
        <w:rPr>
          <w:lang w:val="en-GB"/>
        </w:rPr>
        <w:t xml:space="preserve"> that media campaigns can be effectiv</w:t>
      </w:r>
      <w:r w:rsidRPr="00350AFA">
        <w:rPr>
          <w:lang w:val="en-GB"/>
        </w:rPr>
        <w:t xml:space="preserve">e in changing social attitudes, MARTA Centre maintains that </w:t>
      </w:r>
      <w:r w:rsidR="00380D66" w:rsidRPr="00350AFA">
        <w:rPr>
          <w:lang w:val="en-GB"/>
        </w:rPr>
        <w:t xml:space="preserve">the day-to-day media messages are equally, if not even more, important. </w:t>
      </w:r>
      <w:r w:rsidR="00467254" w:rsidRPr="00350AFA">
        <w:rPr>
          <w:lang w:val="en-GB"/>
        </w:rPr>
        <w:t xml:space="preserve">For this </w:t>
      </w:r>
      <w:r w:rsidR="00551F2D" w:rsidRPr="00350AFA">
        <w:rPr>
          <w:lang w:val="en-GB"/>
        </w:rPr>
        <w:t>reason,</w:t>
      </w:r>
      <w:r w:rsidR="00467254" w:rsidRPr="00350AFA">
        <w:rPr>
          <w:lang w:val="en-GB"/>
        </w:rPr>
        <w:t xml:space="preserve"> MARTA Centre regrets that </w:t>
      </w:r>
      <w:r w:rsidRPr="00350AFA">
        <w:rPr>
          <w:lang w:val="en-GB"/>
        </w:rPr>
        <w:t>t</w:t>
      </w:r>
      <w:r w:rsidR="00467254" w:rsidRPr="00350AFA">
        <w:rPr>
          <w:lang w:val="en-GB"/>
        </w:rPr>
        <w:t xml:space="preserve">he existing legislation </w:t>
      </w:r>
      <w:r w:rsidRPr="00350AFA">
        <w:rPr>
          <w:lang w:val="en-GB"/>
        </w:rPr>
        <w:t xml:space="preserve">covering the </w:t>
      </w:r>
      <w:r w:rsidR="00467254" w:rsidRPr="00350AFA">
        <w:rPr>
          <w:lang w:val="en-GB"/>
        </w:rPr>
        <w:t>media industry</w:t>
      </w:r>
      <w:r w:rsidR="008F5FB9" w:rsidRPr="00350AFA">
        <w:rPr>
          <w:lang w:val="en-GB"/>
        </w:rPr>
        <w:t xml:space="preserve"> is</w:t>
      </w:r>
      <w:r w:rsidR="00E6648F" w:rsidRPr="00350AFA">
        <w:rPr>
          <w:lang w:val="en-GB"/>
        </w:rPr>
        <w:t xml:space="preserve"> not demanding enough</w:t>
      </w:r>
      <w:r w:rsidR="008F5FB9" w:rsidRPr="00350AFA">
        <w:rPr>
          <w:lang w:val="en-GB"/>
        </w:rPr>
        <w:t xml:space="preserve"> and there is no unified, clear mechanism to demand accountability from companies that disregard equality principles</w:t>
      </w:r>
      <w:r w:rsidR="006B0E05">
        <w:rPr>
          <w:lang w:val="en-GB"/>
        </w:rPr>
        <w:t xml:space="preserve"> in the media</w:t>
      </w:r>
      <w:r w:rsidR="00594610">
        <w:rPr>
          <w:lang w:val="en-GB"/>
        </w:rPr>
        <w:t xml:space="preserve">. As for now there is no Media </w:t>
      </w:r>
      <w:proofErr w:type="spellStart"/>
      <w:r w:rsidR="00594610">
        <w:rPr>
          <w:lang w:val="en-GB"/>
        </w:rPr>
        <w:t>Ombud</w:t>
      </w:r>
      <w:proofErr w:type="spellEnd"/>
      <w:r w:rsidR="00514232">
        <w:rPr>
          <w:lang w:val="en-GB"/>
        </w:rPr>
        <w:t xml:space="preserve"> but there have been discussions on creating such an institution</w:t>
      </w:r>
      <w:r w:rsidR="0075432D">
        <w:rPr>
          <w:lang w:val="en-GB"/>
        </w:rPr>
        <w:t xml:space="preserve"> in the future</w:t>
      </w:r>
      <w:r w:rsidR="00594610">
        <w:rPr>
          <w:lang w:val="en-GB"/>
        </w:rPr>
        <w:t xml:space="preserve">. </w:t>
      </w:r>
    </w:p>
    <w:p w14:paraId="5F829131" w14:textId="52050699" w:rsidR="002E61DB" w:rsidRPr="00350AFA" w:rsidRDefault="00EE1D26" w:rsidP="00350ABF">
      <w:pPr>
        <w:pStyle w:val="Default"/>
        <w:spacing w:after="240"/>
        <w:jc w:val="both"/>
        <w:rPr>
          <w:lang w:val="en-GB"/>
        </w:rPr>
      </w:pPr>
      <w:r w:rsidRPr="00350AFA">
        <w:rPr>
          <w:lang w:val="en-GB"/>
        </w:rPr>
        <w:t xml:space="preserve">During the reporting period </w:t>
      </w:r>
      <w:r w:rsidR="00467254" w:rsidRPr="00350AFA">
        <w:rPr>
          <w:lang w:val="en-GB"/>
        </w:rPr>
        <w:t>MARTA Centre has approached Consumer Rights Protection Centre (PTAC) multiple times with complaints about blatantly discriminatory/ sexist ad</w:t>
      </w:r>
      <w:r w:rsidR="00121A8A">
        <w:rPr>
          <w:lang w:val="en-GB"/>
        </w:rPr>
        <w:t>vertisement</w:t>
      </w:r>
      <w:r w:rsidR="00467254" w:rsidRPr="00350AFA">
        <w:rPr>
          <w:lang w:val="en-GB"/>
        </w:rPr>
        <w:t xml:space="preserve">s, </w:t>
      </w:r>
      <w:r w:rsidR="001F25C0">
        <w:rPr>
          <w:lang w:val="en-GB"/>
        </w:rPr>
        <w:t xml:space="preserve">but </w:t>
      </w:r>
      <w:r w:rsidR="00467254" w:rsidRPr="00350AFA">
        <w:rPr>
          <w:lang w:val="en-GB"/>
        </w:rPr>
        <w:t xml:space="preserve">little or no action has followed from the Centre as a result. </w:t>
      </w:r>
      <w:r w:rsidRPr="00350AFA">
        <w:rPr>
          <w:lang w:val="en-GB"/>
        </w:rPr>
        <w:t>This shows that yet another institution that supposedly works to diminish discrimination can do little in practice due to vague legislation, no established practice in the field and little understanding of the issue</w:t>
      </w:r>
      <w:r w:rsidR="00AF66CD" w:rsidRPr="00350AFA">
        <w:rPr>
          <w:rStyle w:val="FootnoteReference"/>
          <w:lang w:val="en-GB"/>
        </w:rPr>
        <w:footnoteReference w:id="5"/>
      </w:r>
      <w:r w:rsidRPr="00350AFA">
        <w:rPr>
          <w:lang w:val="en-GB"/>
        </w:rPr>
        <w:t>.</w:t>
      </w:r>
    </w:p>
    <w:p w14:paraId="2F08F56B" w14:textId="5266C56E" w:rsidR="00C406D2" w:rsidRPr="00350AFA" w:rsidRDefault="00EE1D26" w:rsidP="00350ABF">
      <w:pPr>
        <w:pStyle w:val="Default"/>
        <w:spacing w:after="240"/>
        <w:jc w:val="both"/>
        <w:rPr>
          <w:lang w:val="en-GB"/>
        </w:rPr>
      </w:pPr>
      <w:r w:rsidRPr="00350AFA">
        <w:rPr>
          <w:lang w:val="en-GB"/>
        </w:rPr>
        <w:t xml:space="preserve">Regarding the policy measures to harmonize the parents’ involvement in childcare and household duties, </w:t>
      </w:r>
      <w:r w:rsidR="00AF66CD" w:rsidRPr="00350AFA">
        <w:rPr>
          <w:lang w:val="en-GB"/>
        </w:rPr>
        <w:t>there have been improvement</w:t>
      </w:r>
      <w:r w:rsidR="001F25C0">
        <w:rPr>
          <w:lang w:val="en-GB"/>
        </w:rPr>
        <w:t>s</w:t>
      </w:r>
      <w:r w:rsidR="00AF66CD" w:rsidRPr="00350AFA">
        <w:rPr>
          <w:lang w:val="en-GB"/>
        </w:rPr>
        <w:t xml:space="preserve"> regarding the increased popularity of paternity leave. However, this leave can still be legally transferred to the other parent, and this chance is often used. MARTA </w:t>
      </w:r>
      <w:r w:rsidR="00AF66CD" w:rsidRPr="001F25C0">
        <w:rPr>
          <w:color w:val="000000" w:themeColor="text1"/>
          <w:lang w:val="en-GB"/>
        </w:rPr>
        <w:t xml:space="preserve">Centre believes that situation of father involvement could be improved by following the </w:t>
      </w:r>
      <w:r w:rsidR="00C406D2" w:rsidRPr="001F25C0">
        <w:rPr>
          <w:color w:val="000000" w:themeColor="text1"/>
          <w:lang w:val="en-GB"/>
        </w:rPr>
        <w:t>Nordic</w:t>
      </w:r>
      <w:r w:rsidR="00AF66CD" w:rsidRPr="001F25C0">
        <w:rPr>
          <w:color w:val="000000" w:themeColor="text1"/>
          <w:lang w:val="en-GB"/>
        </w:rPr>
        <w:t xml:space="preserve"> approach </w:t>
      </w:r>
      <w:r w:rsidR="00C406D2" w:rsidRPr="00350AFA">
        <w:rPr>
          <w:lang w:val="en-GB"/>
        </w:rPr>
        <w:t xml:space="preserve">– namely, </w:t>
      </w:r>
      <w:r w:rsidR="002C48EE">
        <w:rPr>
          <w:lang w:val="en-GB"/>
        </w:rPr>
        <w:t xml:space="preserve">the leave </w:t>
      </w:r>
      <w:r w:rsidR="00C406D2" w:rsidRPr="00350AFA">
        <w:rPr>
          <w:lang w:val="en-GB"/>
        </w:rPr>
        <w:t>cannot be transferred to the mother</w:t>
      </w:r>
      <w:r w:rsidR="00A135E6">
        <w:rPr>
          <w:lang w:val="en-GB"/>
        </w:rPr>
        <w:t>, and unused leave is lost</w:t>
      </w:r>
      <w:r w:rsidR="00121A8A">
        <w:rPr>
          <w:lang w:val="en-GB"/>
        </w:rPr>
        <w:t xml:space="preserve"> (different leave </w:t>
      </w:r>
      <w:r w:rsidR="00776F86">
        <w:rPr>
          <w:lang w:val="en-GB"/>
        </w:rPr>
        <w:t xml:space="preserve">mechanisms </w:t>
      </w:r>
      <w:r w:rsidR="00121A8A">
        <w:rPr>
          <w:lang w:val="en-GB"/>
        </w:rPr>
        <w:t xml:space="preserve">should </w:t>
      </w:r>
      <w:r w:rsidR="00776F86">
        <w:rPr>
          <w:lang w:val="en-GB"/>
        </w:rPr>
        <w:t>be applied</w:t>
      </w:r>
      <w:r w:rsidR="00121A8A">
        <w:rPr>
          <w:lang w:val="en-GB"/>
        </w:rPr>
        <w:t xml:space="preserve"> to single parent household</w:t>
      </w:r>
      <w:r w:rsidR="008A2303">
        <w:rPr>
          <w:lang w:val="en-GB"/>
        </w:rPr>
        <w:t>s</w:t>
      </w:r>
      <w:r w:rsidR="00121A8A">
        <w:rPr>
          <w:lang w:val="en-GB"/>
        </w:rPr>
        <w:t xml:space="preserve"> so that these families are not discriminated)</w:t>
      </w:r>
      <w:r w:rsidR="00C406D2" w:rsidRPr="00350AFA">
        <w:rPr>
          <w:lang w:val="en-GB"/>
        </w:rPr>
        <w:t xml:space="preserve">. This would send a clear signal that fathers should be equally involved </w:t>
      </w:r>
      <w:r w:rsidR="00E001D8">
        <w:rPr>
          <w:lang w:val="en-GB"/>
        </w:rPr>
        <w:t>as parents and it would help</w:t>
      </w:r>
      <w:r w:rsidR="00C406D2" w:rsidRPr="00350AFA">
        <w:rPr>
          <w:lang w:val="en-GB"/>
        </w:rPr>
        <w:t xml:space="preserve"> strengthen the emotional bond between</w:t>
      </w:r>
      <w:r w:rsidR="00E001D8">
        <w:rPr>
          <w:lang w:val="en-GB"/>
        </w:rPr>
        <w:t xml:space="preserve"> the</w:t>
      </w:r>
      <w:r w:rsidR="00C406D2" w:rsidRPr="00350AFA">
        <w:rPr>
          <w:lang w:val="en-GB"/>
        </w:rPr>
        <w:t xml:space="preserve"> father and </w:t>
      </w:r>
      <w:r w:rsidR="00E001D8">
        <w:rPr>
          <w:lang w:val="en-GB"/>
        </w:rPr>
        <w:t xml:space="preserve">the </w:t>
      </w:r>
      <w:r w:rsidR="00C406D2" w:rsidRPr="00350AFA">
        <w:rPr>
          <w:lang w:val="en-GB"/>
        </w:rPr>
        <w:t>child from the child’s early days.</w:t>
      </w:r>
      <w:r w:rsidR="00C11CCC" w:rsidRPr="00350AFA">
        <w:rPr>
          <w:lang w:val="en-GB"/>
        </w:rPr>
        <w:t xml:space="preserve"> This has been discussed amid attempts to harmonize work/life balance, however, this </w:t>
      </w:r>
      <w:r w:rsidR="00DC4ED5">
        <w:rPr>
          <w:lang w:val="en-GB"/>
        </w:rPr>
        <w:t>suggestion</w:t>
      </w:r>
      <w:r w:rsidR="00C11CCC" w:rsidRPr="00350AFA">
        <w:rPr>
          <w:lang w:val="en-GB"/>
        </w:rPr>
        <w:t xml:space="preserve"> has not been widely supported</w:t>
      </w:r>
      <w:r w:rsidR="00AF66CD" w:rsidRPr="00350AFA">
        <w:rPr>
          <w:lang w:val="en-GB"/>
        </w:rPr>
        <w:t xml:space="preserve"> on the political level</w:t>
      </w:r>
      <w:r w:rsidR="00C11CCC" w:rsidRPr="00350AFA">
        <w:rPr>
          <w:lang w:val="en-GB"/>
        </w:rPr>
        <w:t xml:space="preserve">. </w:t>
      </w:r>
    </w:p>
    <w:p w14:paraId="14242E67" w14:textId="4D7577FD" w:rsidR="00A64146" w:rsidRPr="00350AFA" w:rsidRDefault="00A64146" w:rsidP="00350AFA">
      <w:pPr>
        <w:pStyle w:val="Default"/>
        <w:spacing w:after="120"/>
        <w:rPr>
          <w:b/>
          <w:bCs/>
          <w:lang w:val="en-GB"/>
        </w:rPr>
      </w:pPr>
      <w:r w:rsidRPr="00350AFA">
        <w:rPr>
          <w:b/>
          <w:bCs/>
          <w:lang w:val="en-GB"/>
        </w:rPr>
        <w:t>Comment</w:t>
      </w:r>
      <w:r w:rsidR="00595F18">
        <w:rPr>
          <w:b/>
          <w:bCs/>
          <w:lang w:val="en-GB"/>
        </w:rPr>
        <w:t>s</w:t>
      </w:r>
      <w:r w:rsidRPr="00350AFA">
        <w:rPr>
          <w:b/>
          <w:bCs/>
          <w:lang w:val="en-GB"/>
        </w:rPr>
        <w:t xml:space="preserve"> on</w:t>
      </w:r>
    </w:p>
    <w:p w14:paraId="4B14F272" w14:textId="77777777" w:rsidR="00770F3E" w:rsidRPr="00350AFA" w:rsidRDefault="00770F3E" w:rsidP="00350AFA">
      <w:pPr>
        <w:pStyle w:val="Default"/>
        <w:rPr>
          <w:b/>
          <w:bCs/>
          <w:lang w:val="en-GB"/>
        </w:rPr>
      </w:pPr>
      <w:r w:rsidRPr="00350AFA">
        <w:rPr>
          <w:b/>
          <w:bCs/>
          <w:lang w:val="en-GB"/>
        </w:rPr>
        <w:t>Committee recommendation in paragraph 56 – elimination of domestic violence</w:t>
      </w:r>
    </w:p>
    <w:p w14:paraId="7DA5CEC2" w14:textId="77777777" w:rsidR="0058107A" w:rsidRPr="00350AFA" w:rsidRDefault="0058107A" w:rsidP="00350AFA">
      <w:pPr>
        <w:pStyle w:val="Default"/>
        <w:rPr>
          <w:b/>
          <w:bCs/>
          <w:lang w:val="en-GB"/>
        </w:rPr>
      </w:pPr>
      <w:r w:rsidRPr="00350AFA">
        <w:rPr>
          <w:b/>
          <w:bCs/>
          <w:lang w:val="en-GB"/>
        </w:rPr>
        <w:t>And</w:t>
      </w:r>
    </w:p>
    <w:p w14:paraId="5CF9F664" w14:textId="7FD9AB5A" w:rsidR="0058107A" w:rsidRPr="00350AFA" w:rsidRDefault="0058107A" w:rsidP="00350ABF">
      <w:pPr>
        <w:pStyle w:val="Default"/>
        <w:spacing w:after="240"/>
        <w:rPr>
          <w:b/>
          <w:bCs/>
          <w:lang w:val="en-GB"/>
        </w:rPr>
      </w:pPr>
      <w:r w:rsidRPr="00350AFA">
        <w:rPr>
          <w:b/>
          <w:bCs/>
          <w:lang w:val="en-GB"/>
        </w:rPr>
        <w:t xml:space="preserve">Paragraphs 35 to 68 in </w:t>
      </w:r>
      <w:r w:rsidR="00C01E02">
        <w:rPr>
          <w:b/>
          <w:bCs/>
          <w:lang w:val="en-GB"/>
        </w:rPr>
        <w:t>State</w:t>
      </w:r>
      <w:r w:rsidRPr="00350AFA">
        <w:rPr>
          <w:b/>
          <w:bCs/>
          <w:lang w:val="en-GB"/>
        </w:rPr>
        <w:t xml:space="preserve"> Report</w:t>
      </w:r>
    </w:p>
    <w:p w14:paraId="0C5AE00A" w14:textId="48CAC323" w:rsidR="0019293D" w:rsidRDefault="002F60DF" w:rsidP="00350ABF">
      <w:pPr>
        <w:pStyle w:val="Default"/>
        <w:spacing w:after="240"/>
        <w:jc w:val="both"/>
        <w:rPr>
          <w:lang w:val="en-GB"/>
        </w:rPr>
      </w:pPr>
      <w:r w:rsidRPr="00350AFA">
        <w:rPr>
          <w:lang w:val="en-GB"/>
        </w:rPr>
        <w:t xml:space="preserve">Although </w:t>
      </w:r>
      <w:r w:rsidR="002E37E4" w:rsidRPr="00350AFA">
        <w:rPr>
          <w:lang w:val="en-GB"/>
        </w:rPr>
        <w:t xml:space="preserve">marital </w:t>
      </w:r>
      <w:r w:rsidRPr="00350AFA">
        <w:rPr>
          <w:lang w:val="en-GB"/>
        </w:rPr>
        <w:t xml:space="preserve">rape is still not </w:t>
      </w:r>
      <w:r w:rsidR="00E87B82" w:rsidRPr="00350AFA">
        <w:rPr>
          <w:lang w:val="en-GB"/>
        </w:rPr>
        <w:t xml:space="preserve">recognized </w:t>
      </w:r>
      <w:r w:rsidRPr="00350AFA">
        <w:rPr>
          <w:lang w:val="en-GB"/>
        </w:rPr>
        <w:t xml:space="preserve">as a separate crime, there have been </w:t>
      </w:r>
      <w:r w:rsidR="0019293D" w:rsidRPr="00350AFA">
        <w:rPr>
          <w:lang w:val="en-GB"/>
        </w:rPr>
        <w:t xml:space="preserve">other major legal </w:t>
      </w:r>
      <w:r w:rsidRPr="00350AFA">
        <w:rPr>
          <w:lang w:val="en-GB"/>
        </w:rPr>
        <w:t>improvements</w:t>
      </w:r>
      <w:r w:rsidR="0019293D" w:rsidRPr="00350AFA">
        <w:rPr>
          <w:lang w:val="en-GB"/>
        </w:rPr>
        <w:t xml:space="preserve"> in the area of domestic abuse</w:t>
      </w:r>
      <w:r w:rsidR="001470D3" w:rsidRPr="00350AFA">
        <w:rPr>
          <w:lang w:val="en-GB"/>
        </w:rPr>
        <w:t xml:space="preserve"> legislation</w:t>
      </w:r>
      <w:r w:rsidRPr="00350AFA">
        <w:rPr>
          <w:lang w:val="en-GB"/>
        </w:rPr>
        <w:t xml:space="preserve">: since 2014 </w:t>
      </w:r>
      <w:r w:rsidR="001E5BA8">
        <w:rPr>
          <w:lang w:val="en-GB"/>
        </w:rPr>
        <w:t xml:space="preserve">a mechanism for temporary protection against violence is in place, allowing </w:t>
      </w:r>
      <w:r w:rsidRPr="00350AFA">
        <w:rPr>
          <w:lang w:val="en-GB"/>
        </w:rPr>
        <w:t>perpetrator</w:t>
      </w:r>
      <w:r w:rsidR="000854E9" w:rsidRPr="00350AFA">
        <w:rPr>
          <w:lang w:val="en-GB"/>
        </w:rPr>
        <w:t>s</w:t>
      </w:r>
      <w:r w:rsidRPr="00350AFA">
        <w:rPr>
          <w:lang w:val="en-GB"/>
        </w:rPr>
        <w:t xml:space="preserve"> </w:t>
      </w:r>
      <w:r w:rsidR="001E5BA8">
        <w:rPr>
          <w:lang w:val="en-GB"/>
        </w:rPr>
        <w:t xml:space="preserve">to be removed </w:t>
      </w:r>
      <w:r w:rsidRPr="00350AFA">
        <w:rPr>
          <w:lang w:val="en-GB"/>
        </w:rPr>
        <w:t xml:space="preserve">from </w:t>
      </w:r>
      <w:r w:rsidR="000854E9" w:rsidRPr="00350AFA">
        <w:rPr>
          <w:lang w:val="en-GB"/>
        </w:rPr>
        <w:t>the</w:t>
      </w:r>
      <w:r w:rsidR="00B170F3">
        <w:rPr>
          <w:lang w:val="en-GB"/>
        </w:rPr>
        <w:t xml:space="preserve"> proximity of the victim, including the perpetrator’s own dwelling</w:t>
      </w:r>
      <w:r w:rsidR="000854E9" w:rsidRPr="00350AFA">
        <w:rPr>
          <w:lang w:val="en-GB"/>
        </w:rPr>
        <w:t xml:space="preserve">, </w:t>
      </w:r>
      <w:r w:rsidR="0019293D" w:rsidRPr="00350AFA">
        <w:rPr>
          <w:lang w:val="en-GB"/>
        </w:rPr>
        <w:t xml:space="preserve">and </w:t>
      </w:r>
      <w:r w:rsidRPr="00350AFA">
        <w:rPr>
          <w:lang w:val="en-GB"/>
        </w:rPr>
        <w:t xml:space="preserve">there have been various positive amendments to the </w:t>
      </w:r>
      <w:r w:rsidRPr="00350AFA">
        <w:rPr>
          <w:i/>
          <w:lang w:val="en-GB"/>
        </w:rPr>
        <w:t>Criminal</w:t>
      </w:r>
      <w:r w:rsidR="000854E9" w:rsidRPr="00350AFA">
        <w:rPr>
          <w:i/>
          <w:lang w:val="en-GB"/>
        </w:rPr>
        <w:t xml:space="preserve"> Law</w:t>
      </w:r>
      <w:r w:rsidR="0019293D" w:rsidRPr="00350AFA">
        <w:rPr>
          <w:lang w:val="en-GB"/>
        </w:rPr>
        <w:t xml:space="preserve"> that have </w:t>
      </w:r>
      <w:r w:rsidR="00077582">
        <w:rPr>
          <w:lang w:val="en-GB"/>
        </w:rPr>
        <w:t xml:space="preserve">already </w:t>
      </w:r>
      <w:r w:rsidR="0019293D" w:rsidRPr="00350AFA">
        <w:rPr>
          <w:lang w:val="en-GB"/>
        </w:rPr>
        <w:t>been discussed in the State Report</w:t>
      </w:r>
      <w:r w:rsidRPr="00350AFA">
        <w:rPr>
          <w:lang w:val="en-GB"/>
        </w:rPr>
        <w:t>. However,</w:t>
      </w:r>
      <w:r w:rsidR="0019293D" w:rsidRPr="00350AFA">
        <w:rPr>
          <w:lang w:val="en-GB"/>
        </w:rPr>
        <w:t xml:space="preserve"> despite these </w:t>
      </w:r>
      <w:r w:rsidR="008148E4" w:rsidRPr="00350AFA">
        <w:rPr>
          <w:lang w:val="en-GB"/>
        </w:rPr>
        <w:t xml:space="preserve">amazing </w:t>
      </w:r>
      <w:r w:rsidR="0019293D" w:rsidRPr="00350AFA">
        <w:rPr>
          <w:lang w:val="en-GB"/>
        </w:rPr>
        <w:t>legal improvements,</w:t>
      </w:r>
      <w:r w:rsidRPr="00350AFA">
        <w:rPr>
          <w:lang w:val="en-GB"/>
        </w:rPr>
        <w:t xml:space="preserve"> there are still multiple practical shortcomings to the victim protection</w:t>
      </w:r>
      <w:r w:rsidR="0019293D" w:rsidRPr="00350AFA">
        <w:rPr>
          <w:lang w:val="en-GB"/>
        </w:rPr>
        <w:t xml:space="preserve"> and their possibility to seek redress via </w:t>
      </w:r>
      <w:r w:rsidR="007F5375">
        <w:rPr>
          <w:lang w:val="en-GB"/>
        </w:rPr>
        <w:t>law enforcement</w:t>
      </w:r>
      <w:r w:rsidR="0019293D" w:rsidRPr="00350AFA">
        <w:rPr>
          <w:lang w:val="en-GB"/>
        </w:rPr>
        <w:t xml:space="preserve"> system</w:t>
      </w:r>
      <w:r w:rsidR="008148E4" w:rsidRPr="00350AFA">
        <w:rPr>
          <w:lang w:val="en-GB"/>
        </w:rPr>
        <w:t xml:space="preserve">. </w:t>
      </w:r>
    </w:p>
    <w:p w14:paraId="651DF92D" w14:textId="08498F17" w:rsidR="00A6422E" w:rsidRPr="00350AFA" w:rsidRDefault="008148E4" w:rsidP="00350ABF">
      <w:pPr>
        <w:pStyle w:val="Default"/>
        <w:spacing w:after="240"/>
        <w:jc w:val="both"/>
        <w:rPr>
          <w:lang w:val="en-GB"/>
        </w:rPr>
      </w:pPr>
      <w:r w:rsidRPr="00350AFA">
        <w:rPr>
          <w:lang w:val="en-GB"/>
        </w:rPr>
        <w:t xml:space="preserve">Issues with the Police: </w:t>
      </w:r>
      <w:r w:rsidR="002E59A2" w:rsidRPr="00350AFA">
        <w:rPr>
          <w:lang w:val="en-GB"/>
        </w:rPr>
        <w:t xml:space="preserve">Even though MARTA Centre has </w:t>
      </w:r>
      <w:r w:rsidR="00063F40" w:rsidRPr="00350AFA">
        <w:rPr>
          <w:lang w:val="en-GB"/>
        </w:rPr>
        <w:t xml:space="preserve">previously </w:t>
      </w:r>
      <w:r w:rsidR="002E59A2" w:rsidRPr="00350AFA">
        <w:rPr>
          <w:lang w:val="en-GB"/>
        </w:rPr>
        <w:t xml:space="preserve">collaborated with the Ministry of Welfare and the State Police in order to </w:t>
      </w:r>
      <w:r w:rsidRPr="00350AFA">
        <w:rPr>
          <w:lang w:val="en-GB"/>
        </w:rPr>
        <w:t>systematically educate police officers on issues regarding domestic abuse</w:t>
      </w:r>
      <w:r w:rsidR="00063F40" w:rsidRPr="00350AFA">
        <w:rPr>
          <w:lang w:val="en-GB"/>
        </w:rPr>
        <w:t>, still more work needs to be done</w:t>
      </w:r>
      <w:r w:rsidRPr="00350AFA">
        <w:rPr>
          <w:lang w:val="en-GB"/>
        </w:rPr>
        <w:t>. The police officer is often the first responder in cases of emergency</w:t>
      </w:r>
      <w:r w:rsidR="002E59A2" w:rsidRPr="00350AFA">
        <w:rPr>
          <w:lang w:val="en-GB"/>
        </w:rPr>
        <w:t xml:space="preserve"> and has immense responsibility (and potential) to save the victim’s life with a timely, appropriate action</w:t>
      </w:r>
      <w:r w:rsidRPr="00350AFA">
        <w:rPr>
          <w:lang w:val="en-GB"/>
        </w:rPr>
        <w:t xml:space="preserve">, therefore it is not permissible that </w:t>
      </w:r>
      <w:r w:rsidR="002E59A2" w:rsidRPr="00350AFA">
        <w:rPr>
          <w:lang w:val="en-GB"/>
        </w:rPr>
        <w:t>many officers still</w:t>
      </w:r>
      <w:r w:rsidRPr="00350AFA">
        <w:rPr>
          <w:lang w:val="en-GB"/>
        </w:rPr>
        <w:t xml:space="preserve"> tend to ignore victim’s calls, downplay</w:t>
      </w:r>
      <w:r w:rsidR="002F60DF" w:rsidRPr="00350AFA">
        <w:rPr>
          <w:lang w:val="en-GB"/>
        </w:rPr>
        <w:t xml:space="preserve"> the seriousness of their experiences</w:t>
      </w:r>
      <w:r w:rsidRPr="00350AFA">
        <w:rPr>
          <w:lang w:val="en-GB"/>
        </w:rPr>
        <w:t xml:space="preserve">, </w:t>
      </w:r>
      <w:r w:rsidR="002E59A2" w:rsidRPr="00350AFA">
        <w:rPr>
          <w:lang w:val="en-GB"/>
        </w:rPr>
        <w:t xml:space="preserve">ignore the patterned, long-term nature of the violence they have suffered, blame them for provoking the perpetrator, do not inspect the dwelling or the victim’s body unless the blood is obviously visible, are intolerant or condescending towards the victim, </w:t>
      </w:r>
      <w:r w:rsidRPr="00350AFA">
        <w:rPr>
          <w:lang w:val="en-GB"/>
        </w:rPr>
        <w:t>try to console the</w:t>
      </w:r>
      <w:r w:rsidR="00040314">
        <w:rPr>
          <w:lang w:val="en-GB"/>
        </w:rPr>
        <w:t xml:space="preserve"> victi</w:t>
      </w:r>
      <w:r w:rsidRPr="00350AFA">
        <w:rPr>
          <w:lang w:val="en-GB"/>
        </w:rPr>
        <w:t>m with the perpetrator, share jokes with the perpetrator</w:t>
      </w:r>
      <w:r w:rsidR="002E59A2" w:rsidRPr="00350AFA">
        <w:rPr>
          <w:lang w:val="en-GB"/>
        </w:rPr>
        <w:t xml:space="preserve">, try to convince the victim not to file a complaint because the perpetrator is </w:t>
      </w:r>
      <w:r w:rsidR="00040314">
        <w:rPr>
          <w:lang w:val="en-GB"/>
        </w:rPr>
        <w:t>himself</w:t>
      </w:r>
      <w:r w:rsidR="002E59A2" w:rsidRPr="00350AFA">
        <w:rPr>
          <w:lang w:val="en-GB"/>
        </w:rPr>
        <w:t xml:space="preserve"> a police officer and would therefore get into trouble if the victim</w:t>
      </w:r>
      <w:r w:rsidR="002F60DF" w:rsidRPr="00350AFA">
        <w:rPr>
          <w:lang w:val="en-GB"/>
        </w:rPr>
        <w:t xml:space="preserve"> </w:t>
      </w:r>
      <w:r w:rsidR="002E59A2" w:rsidRPr="00350AFA">
        <w:rPr>
          <w:lang w:val="en-GB"/>
        </w:rPr>
        <w:t>filed the complaint, etc.</w:t>
      </w:r>
      <w:r w:rsidR="0019293D" w:rsidRPr="00350AFA">
        <w:rPr>
          <w:rStyle w:val="FootnoteReference"/>
          <w:lang w:val="en-GB"/>
        </w:rPr>
        <w:footnoteReference w:id="6"/>
      </w:r>
      <w:r w:rsidR="0019293D" w:rsidRPr="00350AFA">
        <w:rPr>
          <w:lang w:val="en-GB"/>
        </w:rPr>
        <w:t xml:space="preserve"> </w:t>
      </w:r>
      <w:r w:rsidR="00040314">
        <w:rPr>
          <w:lang w:val="en-GB"/>
        </w:rPr>
        <w:t>Often the</w:t>
      </w:r>
      <w:r w:rsidR="00A6422E" w:rsidRPr="00350AFA">
        <w:rPr>
          <w:lang w:val="en-GB"/>
        </w:rPr>
        <w:t xml:space="preserve"> officers</w:t>
      </w:r>
      <w:r w:rsidR="00040314">
        <w:rPr>
          <w:lang w:val="en-GB"/>
        </w:rPr>
        <w:t xml:space="preserve"> do not inform the victims of their right that the perpetrator be removed from the dwelling, and this action is only performed when asked specifically by those victims who are aware of this regulation. </w:t>
      </w:r>
      <w:r w:rsidR="003163DA">
        <w:rPr>
          <w:lang w:val="en-GB"/>
        </w:rPr>
        <w:t>Moreover, t</w:t>
      </w:r>
      <w:r w:rsidR="00040314">
        <w:rPr>
          <w:lang w:val="en-GB"/>
        </w:rPr>
        <w:t>he police</w:t>
      </w:r>
      <w:r w:rsidR="00A6422E" w:rsidRPr="00350AFA">
        <w:rPr>
          <w:lang w:val="en-GB"/>
        </w:rPr>
        <w:t xml:space="preserve"> tend to detain the perpetrator only for a few hours; afterwards, </w:t>
      </w:r>
      <w:r w:rsidR="00040314">
        <w:rPr>
          <w:lang w:val="en-GB"/>
        </w:rPr>
        <w:t>when the perpetrator return</w:t>
      </w:r>
      <w:r w:rsidR="003163DA">
        <w:rPr>
          <w:lang w:val="en-GB"/>
        </w:rPr>
        <w:t>s</w:t>
      </w:r>
      <w:r w:rsidR="00040314">
        <w:rPr>
          <w:lang w:val="en-GB"/>
        </w:rPr>
        <w:t xml:space="preserve"> to the victim, </w:t>
      </w:r>
      <w:r w:rsidR="00A6422E" w:rsidRPr="00350AFA">
        <w:rPr>
          <w:lang w:val="en-GB"/>
        </w:rPr>
        <w:t xml:space="preserve">the victim is in even more </w:t>
      </w:r>
      <w:r w:rsidR="003163DA">
        <w:rPr>
          <w:lang w:val="en-GB"/>
        </w:rPr>
        <w:t>severe</w:t>
      </w:r>
      <w:r w:rsidR="00A6422E" w:rsidRPr="00350AFA">
        <w:rPr>
          <w:lang w:val="en-GB"/>
        </w:rPr>
        <w:t xml:space="preserve"> danger than </w:t>
      </w:r>
      <w:r w:rsidR="00244E8B">
        <w:rPr>
          <w:lang w:val="en-GB"/>
        </w:rPr>
        <w:t>without</w:t>
      </w:r>
      <w:r w:rsidR="00A6422E" w:rsidRPr="00350AFA">
        <w:rPr>
          <w:lang w:val="en-GB"/>
        </w:rPr>
        <w:t xml:space="preserve"> thi</w:t>
      </w:r>
      <w:r w:rsidR="009B6220">
        <w:rPr>
          <w:lang w:val="en-GB"/>
        </w:rPr>
        <w:t xml:space="preserve">s kind of police intervention. Many of the victims have stated that after such encounters with the police, they avoid calling the police unless in grave danger. </w:t>
      </w:r>
    </w:p>
    <w:p w14:paraId="2B1F22A5" w14:textId="583B2546" w:rsidR="009B6220" w:rsidRDefault="00063F40" w:rsidP="00350ABF">
      <w:pPr>
        <w:pStyle w:val="Default"/>
        <w:spacing w:after="240"/>
        <w:jc w:val="both"/>
        <w:rPr>
          <w:lang w:val="en-GB"/>
        </w:rPr>
      </w:pPr>
      <w:r w:rsidRPr="00350AFA">
        <w:rPr>
          <w:lang w:val="en-GB"/>
        </w:rPr>
        <w:t xml:space="preserve">It is still very hard for victims to be taken seriously when they report stalking which is now also criminalized. </w:t>
      </w:r>
      <w:r w:rsidR="0019293D" w:rsidRPr="00350AFA">
        <w:rPr>
          <w:lang w:val="en-GB"/>
        </w:rPr>
        <w:t xml:space="preserve">Generally, </w:t>
      </w:r>
      <w:r w:rsidR="002E59A2" w:rsidRPr="00350AFA">
        <w:rPr>
          <w:lang w:val="en-GB"/>
        </w:rPr>
        <w:t xml:space="preserve">the victims recognize that </w:t>
      </w:r>
      <w:r w:rsidRPr="00350AFA">
        <w:rPr>
          <w:lang w:val="en-GB"/>
        </w:rPr>
        <w:t>it depends on the police officer’s personal attitudes and knowledge regarding domestic abuse</w:t>
      </w:r>
      <w:r w:rsidR="00E60BB7" w:rsidRPr="00350AFA">
        <w:rPr>
          <w:lang w:val="en-GB"/>
        </w:rPr>
        <w:t xml:space="preserve"> i</w:t>
      </w:r>
      <w:r w:rsidRPr="00350AFA">
        <w:rPr>
          <w:lang w:val="en-GB"/>
        </w:rPr>
        <w:t xml:space="preserve">f the situation </w:t>
      </w:r>
      <w:r w:rsidR="00244E8B">
        <w:rPr>
          <w:lang w:val="en-GB"/>
        </w:rPr>
        <w:t>is</w:t>
      </w:r>
      <w:r w:rsidRPr="00350AFA">
        <w:rPr>
          <w:lang w:val="en-GB"/>
        </w:rPr>
        <w:t xml:space="preserve"> be managed effectively, </w:t>
      </w:r>
      <w:r w:rsidR="002E59A2" w:rsidRPr="00350AFA">
        <w:rPr>
          <w:lang w:val="en-GB"/>
        </w:rPr>
        <w:t xml:space="preserve">and </w:t>
      </w:r>
      <w:r w:rsidRPr="00350AFA">
        <w:rPr>
          <w:lang w:val="en-GB"/>
        </w:rPr>
        <w:t xml:space="preserve">also </w:t>
      </w:r>
      <w:r w:rsidR="002E59A2" w:rsidRPr="00350AFA">
        <w:rPr>
          <w:lang w:val="en-GB"/>
        </w:rPr>
        <w:t>positive experiences</w:t>
      </w:r>
      <w:r w:rsidRPr="00350AFA">
        <w:rPr>
          <w:lang w:val="en-GB"/>
        </w:rPr>
        <w:t xml:space="preserve"> have been reported to MARTA Centre</w:t>
      </w:r>
      <w:r w:rsidR="0019293D" w:rsidRPr="00350AFA">
        <w:rPr>
          <w:lang w:val="en-GB"/>
        </w:rPr>
        <w:t xml:space="preserve">. </w:t>
      </w:r>
    </w:p>
    <w:p w14:paraId="15519B6E" w14:textId="609FEAC2" w:rsidR="002F60DF" w:rsidRPr="00350AFA" w:rsidRDefault="00063F40" w:rsidP="00350ABF">
      <w:pPr>
        <w:pStyle w:val="Default"/>
        <w:spacing w:after="240"/>
        <w:jc w:val="both"/>
        <w:rPr>
          <w:lang w:val="en-GB"/>
        </w:rPr>
      </w:pPr>
      <w:r w:rsidRPr="00350AFA">
        <w:rPr>
          <w:lang w:val="en-GB"/>
        </w:rPr>
        <w:t xml:space="preserve">For this reason, </w:t>
      </w:r>
      <w:r w:rsidR="000B36C7" w:rsidRPr="00350AFA">
        <w:rPr>
          <w:lang w:val="en-GB"/>
        </w:rPr>
        <w:t>a project “</w:t>
      </w:r>
      <w:r w:rsidR="00C53985" w:rsidRPr="00350AFA">
        <w:rPr>
          <w:lang w:val="en-GB"/>
        </w:rPr>
        <w:t>One Step</w:t>
      </w:r>
      <w:r w:rsidR="000B36C7" w:rsidRPr="00350AFA">
        <w:rPr>
          <w:lang w:val="en-GB"/>
        </w:rPr>
        <w:t xml:space="preserve"> C</w:t>
      </w:r>
      <w:r w:rsidR="00C53985" w:rsidRPr="00350AFA">
        <w:rPr>
          <w:lang w:val="en-GB"/>
        </w:rPr>
        <w:t>loser</w:t>
      </w:r>
      <w:r w:rsidR="000B36C7" w:rsidRPr="00350AFA">
        <w:rPr>
          <w:lang w:val="en-GB"/>
        </w:rPr>
        <w:t xml:space="preserve">: Coordinated Community Response to Violence against Women” </w:t>
      </w:r>
      <w:r w:rsidR="00E60BB7" w:rsidRPr="00350AFA">
        <w:rPr>
          <w:lang w:val="en-GB"/>
        </w:rPr>
        <w:t>has been</w:t>
      </w:r>
      <w:r w:rsidR="000B36C7" w:rsidRPr="00350AFA">
        <w:rPr>
          <w:lang w:val="en-GB"/>
        </w:rPr>
        <w:t xml:space="preserve"> carried out with </w:t>
      </w:r>
      <w:r w:rsidR="009B6220">
        <w:rPr>
          <w:lang w:val="en-GB"/>
        </w:rPr>
        <w:t xml:space="preserve">the </w:t>
      </w:r>
      <w:r w:rsidR="000B36C7" w:rsidRPr="00350AFA">
        <w:rPr>
          <w:lang w:val="en-GB"/>
        </w:rPr>
        <w:t>support of the EU funding, uniting Ministry of Welfare, State Police and MARTA Centre to design a multisectoral cooperation model that puts victim’s needs first</w:t>
      </w:r>
      <w:r w:rsidR="009B6220">
        <w:rPr>
          <w:lang w:val="en-GB"/>
        </w:rPr>
        <w:t xml:space="preserve">. The aim is </w:t>
      </w:r>
      <w:r w:rsidR="000B36C7" w:rsidRPr="00350AFA">
        <w:rPr>
          <w:lang w:val="en-GB"/>
        </w:rPr>
        <w:t xml:space="preserve">to </w:t>
      </w:r>
      <w:r w:rsidR="009B6220">
        <w:rPr>
          <w:lang w:val="en-GB"/>
        </w:rPr>
        <w:t xml:space="preserve">educate </w:t>
      </w:r>
      <w:r w:rsidR="000B36C7" w:rsidRPr="00350AFA">
        <w:rPr>
          <w:lang w:val="en-GB"/>
        </w:rPr>
        <w:t xml:space="preserve">first responders </w:t>
      </w:r>
      <w:r w:rsidR="009B6220">
        <w:rPr>
          <w:lang w:val="en-GB"/>
        </w:rPr>
        <w:t xml:space="preserve">so that they can </w:t>
      </w:r>
      <w:r w:rsidR="000B36C7" w:rsidRPr="00350AFA">
        <w:rPr>
          <w:lang w:val="en-GB"/>
        </w:rPr>
        <w:t>act quickly and efficiently</w:t>
      </w:r>
      <w:r w:rsidR="00244E8B">
        <w:rPr>
          <w:lang w:val="en-GB"/>
        </w:rPr>
        <w:t>,</w:t>
      </w:r>
      <w:r w:rsidR="005D671D" w:rsidRPr="00350AFA">
        <w:rPr>
          <w:lang w:val="en-GB"/>
        </w:rPr>
        <w:t xml:space="preserve"> and to educate</w:t>
      </w:r>
      <w:r w:rsidR="006128B6">
        <w:rPr>
          <w:lang w:val="en-GB"/>
        </w:rPr>
        <w:t xml:space="preserve"> the society </w:t>
      </w:r>
      <w:r w:rsidR="005D671D" w:rsidRPr="00350AFA">
        <w:rPr>
          <w:lang w:val="en-GB"/>
        </w:rPr>
        <w:t>on the topic</w:t>
      </w:r>
      <w:r w:rsidR="000B36C7" w:rsidRPr="00350AFA">
        <w:rPr>
          <w:lang w:val="en-GB"/>
        </w:rPr>
        <w:t xml:space="preserve">. </w:t>
      </w:r>
      <w:r w:rsidR="002033DC" w:rsidRPr="00350AFA">
        <w:rPr>
          <w:lang w:val="en-GB"/>
        </w:rPr>
        <w:t>As a result, risk evaluation questionnaires and easy to use action guidelines have been designed for use in domestic violence calls by the police. These materials have thus far been piloted in one municipality (</w:t>
      </w:r>
      <w:proofErr w:type="spellStart"/>
      <w:r w:rsidR="002033DC" w:rsidRPr="00350AFA">
        <w:rPr>
          <w:lang w:val="en-GB"/>
        </w:rPr>
        <w:t>Tukums</w:t>
      </w:r>
      <w:proofErr w:type="spellEnd"/>
      <w:r w:rsidR="002033DC" w:rsidRPr="00350AFA">
        <w:rPr>
          <w:lang w:val="en-GB"/>
        </w:rPr>
        <w:t xml:space="preserve">) and introduced in other municipalities. </w:t>
      </w:r>
      <w:r w:rsidR="00E93254" w:rsidRPr="00350AFA">
        <w:rPr>
          <w:lang w:val="en-GB"/>
        </w:rPr>
        <w:t>An important aspect of these mate</w:t>
      </w:r>
      <w:r w:rsidR="009B6220">
        <w:rPr>
          <w:lang w:val="en-GB"/>
        </w:rPr>
        <w:t>rials is that they also include provision</w:t>
      </w:r>
      <w:r w:rsidR="00E93254" w:rsidRPr="00350AFA">
        <w:rPr>
          <w:lang w:val="en-GB"/>
        </w:rPr>
        <w:t xml:space="preserve"> that police officers establish the sex of both the victim and </w:t>
      </w:r>
      <w:r w:rsidR="009B6220">
        <w:rPr>
          <w:lang w:val="en-GB"/>
        </w:rPr>
        <w:t xml:space="preserve">the </w:t>
      </w:r>
      <w:r w:rsidR="00E93254" w:rsidRPr="00350AFA">
        <w:rPr>
          <w:lang w:val="en-GB"/>
        </w:rPr>
        <w:t xml:space="preserve">perpetrator, as well as the status of their relationship to ensure better data gathering practice in the future. </w:t>
      </w:r>
      <w:r w:rsidR="002033DC" w:rsidRPr="00350AFA">
        <w:rPr>
          <w:lang w:val="en-GB"/>
        </w:rPr>
        <w:t>The project end</w:t>
      </w:r>
      <w:r w:rsidR="00E60BB7" w:rsidRPr="00350AFA">
        <w:rPr>
          <w:lang w:val="en-GB"/>
        </w:rPr>
        <w:t>s</w:t>
      </w:r>
      <w:r w:rsidR="002033DC" w:rsidRPr="00350AFA">
        <w:rPr>
          <w:lang w:val="en-GB"/>
        </w:rPr>
        <w:t xml:space="preserve"> in January 31, 2019. </w:t>
      </w:r>
    </w:p>
    <w:p w14:paraId="4416DFB9" w14:textId="77777777" w:rsidR="00AD1926" w:rsidRDefault="005D671D" w:rsidP="00350ABF">
      <w:pPr>
        <w:pStyle w:val="Default"/>
        <w:spacing w:after="240"/>
        <w:jc w:val="both"/>
        <w:rPr>
          <w:color w:val="000000" w:themeColor="text1"/>
          <w:lang w:val="en-GB"/>
        </w:rPr>
      </w:pPr>
      <w:r w:rsidRPr="00350AFA">
        <w:rPr>
          <w:color w:val="000000" w:themeColor="text1"/>
          <w:lang w:val="en-GB"/>
        </w:rPr>
        <w:t>Issues with the J</w:t>
      </w:r>
      <w:r w:rsidR="0019293D" w:rsidRPr="00350AFA">
        <w:rPr>
          <w:color w:val="000000" w:themeColor="text1"/>
          <w:lang w:val="en-GB"/>
        </w:rPr>
        <w:t xml:space="preserve">udiciary: </w:t>
      </w:r>
      <w:r w:rsidRPr="00350AFA">
        <w:rPr>
          <w:color w:val="000000" w:themeColor="text1"/>
          <w:lang w:val="en-GB"/>
        </w:rPr>
        <w:t xml:space="preserve">MARTA Centre has been involved as experts in multiple educational seminars aimed at Judiciary workers on the topic of domestic abuse and human trafficking for sexual exploitation. Similar problems as with the Police have been noted within the Judiciary: lack of belief in the victim’s experiences and lack of understanding that domestic abuse is not an isolated </w:t>
      </w:r>
      <w:r w:rsidR="00A8160D" w:rsidRPr="00350AFA">
        <w:rPr>
          <w:color w:val="000000" w:themeColor="text1"/>
          <w:lang w:val="en-GB"/>
        </w:rPr>
        <w:t xml:space="preserve">violent </w:t>
      </w:r>
      <w:r w:rsidRPr="00350AFA">
        <w:rPr>
          <w:color w:val="000000" w:themeColor="text1"/>
          <w:lang w:val="en-GB"/>
        </w:rPr>
        <w:t>fight</w:t>
      </w:r>
      <w:r w:rsidR="001A3335" w:rsidRPr="00350AFA">
        <w:rPr>
          <w:color w:val="000000" w:themeColor="text1"/>
          <w:lang w:val="en-GB"/>
        </w:rPr>
        <w:t xml:space="preserve"> among two adults</w:t>
      </w:r>
      <w:r w:rsidR="00861CB1" w:rsidRPr="00350AFA">
        <w:rPr>
          <w:color w:val="000000" w:themeColor="text1"/>
          <w:lang w:val="en-GB"/>
        </w:rPr>
        <w:t xml:space="preserve">. In 2014 a widely covered controversy emerged as the </w:t>
      </w:r>
      <w:r w:rsidR="0019293D" w:rsidRPr="00350AFA">
        <w:rPr>
          <w:color w:val="000000" w:themeColor="text1"/>
          <w:lang w:val="en-GB"/>
        </w:rPr>
        <w:t>Attorney General's Office proclaimed that there are certain rape cases in which victims are at least pa</w:t>
      </w:r>
      <w:r w:rsidR="00B321EA" w:rsidRPr="00350AFA">
        <w:rPr>
          <w:color w:val="000000" w:themeColor="text1"/>
          <w:lang w:val="en-GB"/>
        </w:rPr>
        <w:t xml:space="preserve">rtially to blame for their rape – an incident which sheds some light on the general understanding of gender-based violence </w:t>
      </w:r>
      <w:r w:rsidR="00244E8B">
        <w:rPr>
          <w:color w:val="000000" w:themeColor="text1"/>
          <w:lang w:val="en-GB"/>
        </w:rPr>
        <w:t>with</w:t>
      </w:r>
      <w:r w:rsidR="00B321EA" w:rsidRPr="00350AFA">
        <w:rPr>
          <w:color w:val="000000" w:themeColor="text1"/>
          <w:lang w:val="en-GB"/>
        </w:rPr>
        <w:t>in Latvian Judiciary. Still, i</w:t>
      </w:r>
      <w:r w:rsidR="00784535" w:rsidRPr="00350AFA">
        <w:rPr>
          <w:color w:val="000000" w:themeColor="text1"/>
          <w:lang w:val="en-GB"/>
        </w:rPr>
        <w:t xml:space="preserve">n courts and other institutions </w:t>
      </w:r>
      <w:r w:rsidR="00861CB1" w:rsidRPr="00350AFA">
        <w:rPr>
          <w:color w:val="000000" w:themeColor="text1"/>
          <w:lang w:val="en-GB"/>
        </w:rPr>
        <w:t xml:space="preserve">rape and domestic abuse </w:t>
      </w:r>
      <w:r w:rsidR="00784535" w:rsidRPr="00350AFA">
        <w:rPr>
          <w:color w:val="000000" w:themeColor="text1"/>
          <w:lang w:val="en-GB"/>
        </w:rPr>
        <w:t xml:space="preserve">victims often are forced to </w:t>
      </w:r>
      <w:r w:rsidR="00861CB1" w:rsidRPr="00350AFA">
        <w:rPr>
          <w:color w:val="000000" w:themeColor="text1"/>
          <w:lang w:val="en-GB"/>
        </w:rPr>
        <w:t xml:space="preserve">tell and </w:t>
      </w:r>
      <w:r w:rsidR="00784535" w:rsidRPr="00350AFA">
        <w:rPr>
          <w:color w:val="000000" w:themeColor="text1"/>
          <w:lang w:val="en-GB"/>
        </w:rPr>
        <w:t xml:space="preserve">retell </w:t>
      </w:r>
      <w:r w:rsidR="00861CB1" w:rsidRPr="00350AFA">
        <w:rPr>
          <w:color w:val="000000" w:themeColor="text1"/>
          <w:lang w:val="en-GB"/>
        </w:rPr>
        <w:t xml:space="preserve">multiple times the details of their abuse, which is a practice MARTA Centre has worked to end to insure victims are not re-traumatized and are treated with dignity. </w:t>
      </w:r>
    </w:p>
    <w:p w14:paraId="46872234" w14:textId="3C9197FF" w:rsidR="001A3335" w:rsidRPr="00350AFA" w:rsidRDefault="00A6422E" w:rsidP="00350ABF">
      <w:pPr>
        <w:pStyle w:val="Default"/>
        <w:spacing w:after="240"/>
        <w:jc w:val="both"/>
        <w:rPr>
          <w:color w:val="5B9BD5" w:themeColor="accent1"/>
          <w:lang w:val="en-GB"/>
        </w:rPr>
      </w:pPr>
      <w:r w:rsidRPr="00350AFA">
        <w:rPr>
          <w:color w:val="000000" w:themeColor="text1"/>
          <w:lang w:val="en-GB"/>
        </w:rPr>
        <w:t>An issue that MARTA Centre learns about from its clients is that courts tend to easily grant temporary protection to the woman</w:t>
      </w:r>
      <w:r w:rsidR="00B321EA" w:rsidRPr="00350AFA">
        <w:rPr>
          <w:color w:val="000000" w:themeColor="text1"/>
          <w:lang w:val="en-GB"/>
        </w:rPr>
        <w:t xml:space="preserve"> who has been victim to domestic abuse</w:t>
      </w:r>
      <w:r w:rsidRPr="00350AFA">
        <w:rPr>
          <w:color w:val="000000" w:themeColor="text1"/>
          <w:lang w:val="en-GB"/>
        </w:rPr>
        <w:t xml:space="preserve">, which is good, but not to the children she may share with the perpetrator. In this case children remain a way for the perpetrator to </w:t>
      </w:r>
      <w:r w:rsidR="00B321EA" w:rsidRPr="00350AFA">
        <w:rPr>
          <w:color w:val="000000" w:themeColor="text1"/>
          <w:lang w:val="en-GB"/>
        </w:rPr>
        <w:t>contact and meet, i</w:t>
      </w:r>
      <w:r w:rsidRPr="00350AFA">
        <w:rPr>
          <w:color w:val="000000" w:themeColor="text1"/>
          <w:lang w:val="en-GB"/>
        </w:rPr>
        <w:t xml:space="preserve">ntimidate, influence, and emotionally abuse the victim. </w:t>
      </w:r>
      <w:r w:rsidR="001A3335" w:rsidRPr="00350AFA">
        <w:rPr>
          <w:color w:val="000000" w:themeColor="text1"/>
          <w:lang w:val="en-GB"/>
        </w:rPr>
        <w:t xml:space="preserve">This issue is also present in cases of divorce wherein courts or Orphan Courts, due </w:t>
      </w:r>
      <w:r w:rsidR="004143E0">
        <w:rPr>
          <w:color w:val="000000" w:themeColor="text1"/>
          <w:lang w:val="en-GB"/>
        </w:rPr>
        <w:t>to</w:t>
      </w:r>
      <w:r w:rsidR="001A3335" w:rsidRPr="00350AFA">
        <w:rPr>
          <w:color w:val="000000" w:themeColor="text1"/>
          <w:lang w:val="en-GB"/>
        </w:rPr>
        <w:t xml:space="preserve"> lack of understanding of the dynamics and danger of</w:t>
      </w:r>
      <w:r w:rsidR="00244E8B">
        <w:rPr>
          <w:color w:val="000000" w:themeColor="text1"/>
          <w:lang w:val="en-GB"/>
        </w:rPr>
        <w:t xml:space="preserve"> domestic</w:t>
      </w:r>
      <w:r w:rsidR="001A3335" w:rsidRPr="00350AFA">
        <w:rPr>
          <w:color w:val="000000" w:themeColor="text1"/>
          <w:lang w:val="en-GB"/>
        </w:rPr>
        <w:t xml:space="preserve"> </w:t>
      </w:r>
      <w:r w:rsidR="00B321EA" w:rsidRPr="00350AFA">
        <w:rPr>
          <w:color w:val="000000" w:themeColor="text1"/>
          <w:lang w:val="en-GB"/>
        </w:rPr>
        <w:t xml:space="preserve">violence, </w:t>
      </w:r>
      <w:r w:rsidR="001A3335" w:rsidRPr="00350AFA">
        <w:rPr>
          <w:color w:val="000000" w:themeColor="text1"/>
          <w:lang w:val="en-GB"/>
        </w:rPr>
        <w:t>grant the right to meet the children also to the perpetrator. In non-violent situations MARTA Centre agrees that the ruling that both parents have an equal right to meet the children is</w:t>
      </w:r>
      <w:r w:rsidR="00B321EA" w:rsidRPr="00350AFA">
        <w:rPr>
          <w:color w:val="000000" w:themeColor="text1"/>
          <w:lang w:val="en-GB"/>
        </w:rPr>
        <w:t xml:space="preserve"> supportable. </w:t>
      </w:r>
      <w:r w:rsidR="001A3335" w:rsidRPr="00350AFA">
        <w:rPr>
          <w:color w:val="5B9BD5" w:themeColor="accent1"/>
          <w:lang w:val="en-GB"/>
        </w:rPr>
        <w:t xml:space="preserve"> </w:t>
      </w:r>
    </w:p>
    <w:p w14:paraId="26539AA4" w14:textId="4DFE90F8" w:rsidR="00B321EA" w:rsidRDefault="00B321EA" w:rsidP="00350ABF">
      <w:pPr>
        <w:pStyle w:val="Default"/>
        <w:spacing w:after="240"/>
        <w:jc w:val="both"/>
        <w:rPr>
          <w:color w:val="000000" w:themeColor="text1"/>
          <w:lang w:val="en-GB"/>
        </w:rPr>
      </w:pPr>
      <w:r w:rsidRPr="00350AFA">
        <w:rPr>
          <w:color w:val="000000" w:themeColor="text1"/>
          <w:lang w:val="en-GB"/>
        </w:rPr>
        <w:t>It is mentioned in the State Report that “Since 2015, the State-funded social rehabilitation services are available to persons who have committed violence. … The services are voluntary.” MARTA Centre has advocated that changes are made to render these services mandatory to those perpetrators who are subject to police temporary prot</w:t>
      </w:r>
      <w:r w:rsidR="008F53EF">
        <w:rPr>
          <w:color w:val="000000" w:themeColor="text1"/>
          <w:lang w:val="en-GB"/>
        </w:rPr>
        <w:t>ection decision or court ruling</w:t>
      </w:r>
      <w:r w:rsidRPr="00350AFA">
        <w:rPr>
          <w:color w:val="000000" w:themeColor="text1"/>
          <w:lang w:val="en-GB"/>
        </w:rPr>
        <w:t xml:space="preserve">. This is particularly important since most of </w:t>
      </w:r>
      <w:r w:rsidR="00115D8A">
        <w:rPr>
          <w:color w:val="000000" w:themeColor="text1"/>
          <w:lang w:val="en-GB"/>
        </w:rPr>
        <w:t xml:space="preserve">the </w:t>
      </w:r>
      <w:r w:rsidRPr="00350AFA">
        <w:rPr>
          <w:color w:val="000000" w:themeColor="text1"/>
          <w:lang w:val="en-GB"/>
        </w:rPr>
        <w:t xml:space="preserve">people enrolled in the abovementioned service are women who have been violent to their children. </w:t>
      </w:r>
      <w:proofErr w:type="gramStart"/>
      <w:r w:rsidRPr="00350AFA">
        <w:rPr>
          <w:color w:val="000000" w:themeColor="text1"/>
          <w:lang w:val="en-GB"/>
        </w:rPr>
        <w:t>MARTA Centre admits the importance of reducing the violence towards children by adults, either men or women; however, the fact that voluntary service for violence reduction hosts mainly women as perpetrators of violence amidst the statistics of men being primary violence perpetrators in family settings signals that this service may not attain its ultimate goal if managed in the present manner.</w:t>
      </w:r>
      <w:proofErr w:type="gramEnd"/>
      <w:r w:rsidRPr="00350AFA">
        <w:rPr>
          <w:color w:val="000000" w:themeColor="text1"/>
          <w:lang w:val="en-GB"/>
        </w:rPr>
        <w:t xml:space="preserve"> </w:t>
      </w:r>
    </w:p>
    <w:p w14:paraId="0F087F63" w14:textId="3DE23B02" w:rsidR="004143E0" w:rsidRDefault="004143E0" w:rsidP="00350ABF">
      <w:pPr>
        <w:pStyle w:val="Default"/>
        <w:spacing w:after="240"/>
        <w:jc w:val="both"/>
        <w:rPr>
          <w:color w:val="000000" w:themeColor="text1"/>
          <w:lang w:val="en-GB"/>
        </w:rPr>
      </w:pPr>
      <w:r>
        <w:rPr>
          <w:color w:val="000000" w:themeColor="text1"/>
          <w:lang w:val="en-GB"/>
        </w:rPr>
        <w:t xml:space="preserve">Regarding the statistics of domestic abuse, MARTA Centre alone helps more than 300 </w:t>
      </w:r>
      <w:r w:rsidR="00853020">
        <w:rPr>
          <w:color w:val="000000" w:themeColor="text1"/>
          <w:lang w:val="en-GB"/>
        </w:rPr>
        <w:t>people</w:t>
      </w:r>
      <w:r>
        <w:rPr>
          <w:color w:val="000000" w:themeColor="text1"/>
          <w:lang w:val="en-GB"/>
        </w:rPr>
        <w:t xml:space="preserve"> a year, mostly women who have suffered from domestic violence or human trafficking</w:t>
      </w:r>
      <w:r>
        <w:rPr>
          <w:rStyle w:val="FootnoteReference"/>
          <w:color w:val="000000" w:themeColor="text1"/>
          <w:lang w:val="en-GB"/>
        </w:rPr>
        <w:footnoteReference w:id="7"/>
      </w:r>
      <w:r>
        <w:rPr>
          <w:color w:val="000000" w:themeColor="text1"/>
          <w:lang w:val="en-GB"/>
        </w:rPr>
        <w:t xml:space="preserve">. Often women seek help in their municipality’s social service. However, </w:t>
      </w:r>
      <w:r w:rsidR="00892A4D">
        <w:rPr>
          <w:color w:val="000000" w:themeColor="text1"/>
          <w:lang w:val="en-GB"/>
        </w:rPr>
        <w:t>according to the 2012 study of the EU Agency on Fundamental Rights (FRA), more than 1 in 3 women in Latvia admit that they have suffered physical and/or sexual violence by a partner on a non-partner since the age of 15</w:t>
      </w:r>
      <w:r w:rsidR="00892A4D">
        <w:rPr>
          <w:rStyle w:val="FootnoteReference"/>
          <w:color w:val="000000" w:themeColor="text1"/>
          <w:lang w:val="en-GB"/>
        </w:rPr>
        <w:footnoteReference w:id="8"/>
      </w:r>
      <w:r w:rsidR="00892A4D">
        <w:rPr>
          <w:color w:val="000000" w:themeColor="text1"/>
          <w:lang w:val="en-GB"/>
        </w:rPr>
        <w:t>. Being aware of the widespread violence acceptance among the general public in Latvia, and seeing the trend</w:t>
      </w:r>
      <w:r w:rsidR="00853020">
        <w:rPr>
          <w:color w:val="000000" w:themeColor="text1"/>
          <w:lang w:val="en-GB"/>
        </w:rPr>
        <w:t xml:space="preserve"> in this specific FRA study</w:t>
      </w:r>
      <w:r w:rsidR="00892A4D">
        <w:rPr>
          <w:color w:val="000000" w:themeColor="text1"/>
          <w:lang w:val="en-GB"/>
        </w:rPr>
        <w:t xml:space="preserve"> that the Nordic countries, known for their successful work on illuminating gender-based violence, </w:t>
      </w:r>
      <w:r w:rsidR="00853020">
        <w:rPr>
          <w:color w:val="000000" w:themeColor="text1"/>
          <w:lang w:val="en-GB"/>
        </w:rPr>
        <w:t>score higher</w:t>
      </w:r>
      <w:r w:rsidR="00892A4D">
        <w:rPr>
          <w:color w:val="000000" w:themeColor="text1"/>
          <w:lang w:val="en-GB"/>
        </w:rPr>
        <w:t>, whereas Poland and Croatia, known for not exactly preferring open discussions on such topics</w:t>
      </w:r>
      <w:r w:rsidR="00853020">
        <w:rPr>
          <w:color w:val="000000" w:themeColor="text1"/>
          <w:lang w:val="en-GB"/>
        </w:rPr>
        <w:t>, score lower</w:t>
      </w:r>
      <w:r w:rsidR="00892A4D">
        <w:rPr>
          <w:color w:val="000000" w:themeColor="text1"/>
          <w:lang w:val="en-GB"/>
        </w:rPr>
        <w:t xml:space="preserve">, it can be suspected that the actual number </w:t>
      </w:r>
      <w:r w:rsidR="00E6616C">
        <w:rPr>
          <w:color w:val="000000" w:themeColor="text1"/>
          <w:lang w:val="en-GB"/>
        </w:rPr>
        <w:t xml:space="preserve">of women who have been victims of violence </w:t>
      </w:r>
      <w:r w:rsidR="00853020">
        <w:rPr>
          <w:color w:val="000000" w:themeColor="text1"/>
          <w:lang w:val="en-GB"/>
        </w:rPr>
        <w:t xml:space="preserve">in Latvia </w:t>
      </w:r>
      <w:r w:rsidR="00892A4D">
        <w:rPr>
          <w:color w:val="000000" w:themeColor="text1"/>
          <w:lang w:val="en-GB"/>
        </w:rPr>
        <w:t>might be even greater.</w:t>
      </w:r>
      <w:r w:rsidR="00E6616C">
        <w:rPr>
          <w:color w:val="000000" w:themeColor="text1"/>
          <w:lang w:val="en-GB"/>
        </w:rPr>
        <w:t xml:space="preserve"> Namely, </w:t>
      </w:r>
      <w:r w:rsidR="00F27CD4">
        <w:rPr>
          <w:color w:val="000000" w:themeColor="text1"/>
          <w:lang w:val="en-GB"/>
        </w:rPr>
        <w:t xml:space="preserve">with the present-day awareness of the topic, </w:t>
      </w:r>
      <w:r w:rsidR="00E6616C">
        <w:rPr>
          <w:color w:val="000000" w:themeColor="text1"/>
          <w:lang w:val="en-GB"/>
        </w:rPr>
        <w:t xml:space="preserve">some forms of violence are not </w:t>
      </w:r>
      <w:r w:rsidR="00F27CD4">
        <w:rPr>
          <w:color w:val="000000" w:themeColor="text1"/>
          <w:lang w:val="en-GB"/>
        </w:rPr>
        <w:t xml:space="preserve">yet </w:t>
      </w:r>
      <w:r w:rsidR="00E6616C">
        <w:rPr>
          <w:color w:val="000000" w:themeColor="text1"/>
          <w:lang w:val="en-GB"/>
        </w:rPr>
        <w:t xml:space="preserve">seen as a type of violence even by victims themselves, e.g., some forms of sexual harassment. </w:t>
      </w:r>
      <w:r w:rsidR="00892A4D">
        <w:rPr>
          <w:color w:val="000000" w:themeColor="text1"/>
          <w:lang w:val="en-GB"/>
        </w:rPr>
        <w:t xml:space="preserve"> </w:t>
      </w:r>
    </w:p>
    <w:p w14:paraId="2AFE84EF" w14:textId="76BF8022" w:rsidR="00645D5F" w:rsidRDefault="00645D5F" w:rsidP="00350ABF">
      <w:pPr>
        <w:pStyle w:val="Default"/>
        <w:spacing w:after="240"/>
        <w:jc w:val="both"/>
        <w:rPr>
          <w:color w:val="000000" w:themeColor="text1"/>
          <w:lang w:val="en-GB"/>
        </w:rPr>
      </w:pPr>
      <w:r>
        <w:rPr>
          <w:color w:val="000000" w:themeColor="text1"/>
          <w:lang w:val="en-GB"/>
        </w:rPr>
        <w:t>Regarding the rehabilitation of</w:t>
      </w:r>
      <w:r w:rsidR="009C0035">
        <w:rPr>
          <w:color w:val="000000" w:themeColor="text1"/>
          <w:lang w:val="en-GB"/>
        </w:rPr>
        <w:t xml:space="preserve">  the</w:t>
      </w:r>
      <w:r>
        <w:rPr>
          <w:color w:val="000000" w:themeColor="text1"/>
          <w:lang w:val="en-GB"/>
        </w:rPr>
        <w:t xml:space="preserve"> victims </w:t>
      </w:r>
      <w:r w:rsidR="009C0035">
        <w:rPr>
          <w:color w:val="000000" w:themeColor="text1"/>
          <w:lang w:val="en-GB"/>
        </w:rPr>
        <w:t xml:space="preserve">of domestic violence MARTA Centre would like to point out that the state funded programme offers to the victims very limited help that is not customised to the needs of individual victim unlike in the cases of human trafficking where state funded programme can be customised according to the needs of victim and if needed can cover such expenses as dentist. In cases where victim of domestic violence would like to stay anonymous (for example, is a </w:t>
      </w:r>
      <w:proofErr w:type="spellStart"/>
      <w:r w:rsidR="009C0035">
        <w:rPr>
          <w:color w:val="000000" w:themeColor="text1"/>
          <w:lang w:val="en-GB"/>
        </w:rPr>
        <w:t>well known</w:t>
      </w:r>
      <w:proofErr w:type="spellEnd"/>
      <w:r w:rsidR="009C0035">
        <w:rPr>
          <w:color w:val="000000" w:themeColor="text1"/>
          <w:lang w:val="en-GB"/>
        </w:rPr>
        <w:t xml:space="preserve"> person in public or works in social services or police)</w:t>
      </w:r>
      <w:r w:rsidR="00D521DA">
        <w:rPr>
          <w:color w:val="000000" w:themeColor="text1"/>
          <w:lang w:val="en-GB"/>
        </w:rPr>
        <w:t xml:space="preserve"> </w:t>
      </w:r>
      <w:r w:rsidR="009C0035">
        <w:rPr>
          <w:color w:val="000000" w:themeColor="text1"/>
          <w:lang w:val="en-GB"/>
        </w:rPr>
        <w:t>right now it is not possible for them to be included in state funded programme since the name of victim has to</w:t>
      </w:r>
      <w:r w:rsidR="00D521DA">
        <w:rPr>
          <w:color w:val="000000" w:themeColor="text1"/>
          <w:lang w:val="en-GB"/>
        </w:rPr>
        <w:t xml:space="preserve"> be</w:t>
      </w:r>
      <w:r w:rsidR="009C0035">
        <w:rPr>
          <w:color w:val="000000" w:themeColor="text1"/>
          <w:lang w:val="en-GB"/>
        </w:rPr>
        <w:t xml:space="preserve"> revealed and no other solutions to this, like assigning person to a code, have been accepted</w:t>
      </w:r>
      <w:r w:rsidR="00D521DA">
        <w:rPr>
          <w:color w:val="000000" w:themeColor="text1"/>
          <w:lang w:val="en-GB"/>
        </w:rPr>
        <w:t xml:space="preserve"> or offered from the state</w:t>
      </w:r>
      <w:r w:rsidR="009C0035">
        <w:rPr>
          <w:color w:val="000000" w:themeColor="text1"/>
          <w:lang w:val="en-GB"/>
        </w:rPr>
        <w:t xml:space="preserve">. In these </w:t>
      </w:r>
      <w:r w:rsidR="00D521DA">
        <w:rPr>
          <w:color w:val="000000" w:themeColor="text1"/>
          <w:lang w:val="en-GB"/>
        </w:rPr>
        <w:t>cases,</w:t>
      </w:r>
      <w:r w:rsidR="009C0035">
        <w:rPr>
          <w:color w:val="000000" w:themeColor="text1"/>
          <w:lang w:val="en-GB"/>
        </w:rPr>
        <w:t xml:space="preserve"> MARTA Centre has to find other funds to provide rehabilitation for the </w:t>
      </w:r>
      <w:r w:rsidR="00D521DA">
        <w:rPr>
          <w:color w:val="000000" w:themeColor="text1"/>
          <w:lang w:val="en-GB"/>
        </w:rPr>
        <w:t>victims</w:t>
      </w:r>
      <w:r w:rsidR="009C0035">
        <w:rPr>
          <w:color w:val="000000" w:themeColor="text1"/>
          <w:lang w:val="en-GB"/>
        </w:rPr>
        <w:t>.</w:t>
      </w:r>
    </w:p>
    <w:p w14:paraId="2ED9D75C" w14:textId="19FE5619" w:rsidR="00417142" w:rsidRDefault="00F27CD4" w:rsidP="00D91D62">
      <w:pPr>
        <w:spacing w:before="120" w:after="120"/>
        <w:jc w:val="both"/>
        <w:rPr>
          <w:rFonts w:ascii="Times New Roman" w:hAnsi="Times New Roman" w:cs="Times New Roman"/>
          <w:color w:val="000000" w:themeColor="text1"/>
          <w:sz w:val="24"/>
          <w:szCs w:val="24"/>
          <w:shd w:val="clear" w:color="auto" w:fill="FFFFFF"/>
          <w:lang w:val="en-GB"/>
        </w:rPr>
      </w:pPr>
      <w:r>
        <w:rPr>
          <w:rFonts w:ascii="Times New Roman" w:hAnsi="Times New Roman" w:cs="Times New Roman"/>
          <w:color w:val="000000" w:themeColor="text1"/>
          <w:sz w:val="24"/>
          <w:szCs w:val="24"/>
          <w:lang w:val="en-GB"/>
        </w:rPr>
        <w:t>I</w:t>
      </w:r>
      <w:r w:rsidR="00784535" w:rsidRPr="00D91D62">
        <w:rPr>
          <w:rFonts w:ascii="Times New Roman" w:hAnsi="Times New Roman" w:cs="Times New Roman"/>
          <w:color w:val="000000" w:themeColor="text1"/>
          <w:sz w:val="24"/>
          <w:szCs w:val="24"/>
          <w:lang w:val="en-GB"/>
        </w:rPr>
        <w:t xml:space="preserve">n 2016 Latvia signed </w:t>
      </w:r>
      <w:r w:rsidR="00784535" w:rsidRPr="00D91D62">
        <w:rPr>
          <w:rFonts w:ascii="Times New Roman" w:hAnsi="Times New Roman" w:cs="Times New Roman"/>
          <w:color w:val="000000" w:themeColor="text1"/>
          <w:sz w:val="24"/>
          <w:szCs w:val="24"/>
          <w:shd w:val="clear" w:color="auto" w:fill="FFFFFF"/>
          <w:lang w:val="en-GB"/>
        </w:rPr>
        <w:t>The Council of Europe </w:t>
      </w:r>
      <w:r w:rsidR="00784535" w:rsidRPr="00D91D62">
        <w:rPr>
          <w:rStyle w:val="Emphasis"/>
          <w:rFonts w:ascii="Times New Roman" w:hAnsi="Times New Roman" w:cs="Times New Roman"/>
          <w:bCs/>
          <w:i w:val="0"/>
          <w:iCs w:val="0"/>
          <w:color w:val="000000" w:themeColor="text1"/>
          <w:sz w:val="24"/>
          <w:szCs w:val="24"/>
          <w:shd w:val="clear" w:color="auto" w:fill="FFFFFF"/>
          <w:lang w:val="en-GB"/>
        </w:rPr>
        <w:t>Convention</w:t>
      </w:r>
      <w:r w:rsidR="00784535" w:rsidRPr="00D91D62">
        <w:rPr>
          <w:rFonts w:ascii="Times New Roman" w:hAnsi="Times New Roman" w:cs="Times New Roman"/>
          <w:color w:val="000000" w:themeColor="text1"/>
          <w:sz w:val="24"/>
          <w:szCs w:val="24"/>
          <w:shd w:val="clear" w:color="auto" w:fill="FFFFFF"/>
          <w:lang w:val="en-GB"/>
        </w:rPr>
        <w:t xml:space="preserve"> on preventing and combating violence against women and domestic violence (Istanbul Convention), and many of its provisions have been included in the Latvian legislation since then. </w:t>
      </w:r>
      <w:r w:rsidR="00D91D62" w:rsidRPr="00D91D62">
        <w:rPr>
          <w:rFonts w:ascii="Times New Roman" w:hAnsi="Times New Roman" w:cs="Times New Roman"/>
          <w:color w:val="000000" w:themeColor="text1"/>
          <w:sz w:val="24"/>
          <w:szCs w:val="24"/>
          <w:shd w:val="clear" w:color="auto" w:fill="FFFFFF"/>
          <w:lang w:val="en-GB"/>
        </w:rPr>
        <w:t xml:space="preserve">In July of 2017 the Ministry of Welfare had prepared a draft law for ratification of the Istanbul Convention, and the procedure for the law’s adoption was begun. </w:t>
      </w:r>
      <w:r w:rsidR="00784535" w:rsidRPr="00D91D62">
        <w:rPr>
          <w:rFonts w:ascii="Times New Roman" w:hAnsi="Times New Roman" w:cs="Times New Roman"/>
          <w:color w:val="000000" w:themeColor="text1"/>
          <w:sz w:val="24"/>
          <w:szCs w:val="24"/>
          <w:shd w:val="clear" w:color="auto" w:fill="FFFFFF"/>
          <w:lang w:val="en-GB"/>
        </w:rPr>
        <w:t xml:space="preserve">It was planned that the Convention would be </w:t>
      </w:r>
      <w:r w:rsidR="00C53985" w:rsidRPr="00D91D62">
        <w:rPr>
          <w:rFonts w:ascii="Times New Roman" w:hAnsi="Times New Roman" w:cs="Times New Roman"/>
          <w:color w:val="000000" w:themeColor="text1"/>
          <w:sz w:val="24"/>
          <w:szCs w:val="24"/>
          <w:shd w:val="clear" w:color="auto" w:fill="FFFFFF"/>
          <w:lang w:val="en-GB"/>
        </w:rPr>
        <w:t>ratified</w:t>
      </w:r>
      <w:r>
        <w:rPr>
          <w:rFonts w:ascii="Times New Roman" w:hAnsi="Times New Roman" w:cs="Times New Roman"/>
          <w:color w:val="000000" w:themeColor="text1"/>
          <w:sz w:val="24"/>
          <w:szCs w:val="24"/>
          <w:shd w:val="clear" w:color="auto" w:fill="FFFFFF"/>
          <w:lang w:val="en-GB"/>
        </w:rPr>
        <w:t xml:space="preserve"> in 2018. Ho</w:t>
      </w:r>
      <w:r w:rsidR="00784535" w:rsidRPr="00D91D62">
        <w:rPr>
          <w:rFonts w:ascii="Times New Roman" w:hAnsi="Times New Roman" w:cs="Times New Roman"/>
          <w:color w:val="000000" w:themeColor="text1"/>
          <w:sz w:val="24"/>
          <w:szCs w:val="24"/>
          <w:shd w:val="clear" w:color="auto" w:fill="FFFFFF"/>
          <w:lang w:val="en-GB"/>
        </w:rPr>
        <w:t xml:space="preserve">wever, </w:t>
      </w:r>
      <w:r>
        <w:rPr>
          <w:rFonts w:ascii="Times New Roman" w:hAnsi="Times New Roman" w:cs="Times New Roman"/>
          <w:color w:val="000000" w:themeColor="text1"/>
          <w:sz w:val="24"/>
          <w:szCs w:val="24"/>
          <w:shd w:val="clear" w:color="auto" w:fill="FFFFFF"/>
          <w:lang w:val="en-GB"/>
        </w:rPr>
        <w:t xml:space="preserve">consequently the progress has been halted, the Convention has </w:t>
      </w:r>
      <w:r w:rsidR="00784535" w:rsidRPr="00D91D62">
        <w:rPr>
          <w:rFonts w:ascii="Times New Roman" w:hAnsi="Times New Roman" w:cs="Times New Roman"/>
          <w:color w:val="000000" w:themeColor="text1"/>
          <w:sz w:val="24"/>
          <w:szCs w:val="24"/>
          <w:shd w:val="clear" w:color="auto" w:fill="FFFFFF"/>
          <w:lang w:val="en-GB"/>
        </w:rPr>
        <w:t xml:space="preserve">experienced negative </w:t>
      </w:r>
      <w:r w:rsidR="00C53985" w:rsidRPr="00D91D62">
        <w:rPr>
          <w:rFonts w:ascii="Times New Roman" w:hAnsi="Times New Roman" w:cs="Times New Roman"/>
          <w:color w:val="000000" w:themeColor="text1"/>
          <w:sz w:val="24"/>
          <w:szCs w:val="24"/>
          <w:shd w:val="clear" w:color="auto" w:fill="FFFFFF"/>
          <w:lang w:val="en-GB"/>
        </w:rPr>
        <w:t>coverage</w:t>
      </w:r>
      <w:r w:rsidR="00BA1503" w:rsidRPr="00D91D62">
        <w:rPr>
          <w:rFonts w:ascii="Times New Roman" w:hAnsi="Times New Roman" w:cs="Times New Roman"/>
          <w:color w:val="000000" w:themeColor="text1"/>
          <w:sz w:val="24"/>
          <w:szCs w:val="24"/>
          <w:shd w:val="clear" w:color="auto" w:fill="FFFFFF"/>
          <w:lang w:val="en-GB"/>
        </w:rPr>
        <w:t xml:space="preserve"> in the media</w:t>
      </w:r>
      <w:r w:rsidR="00C53985" w:rsidRPr="00D91D62">
        <w:rPr>
          <w:rFonts w:ascii="Times New Roman" w:hAnsi="Times New Roman" w:cs="Times New Roman"/>
          <w:color w:val="000000" w:themeColor="text1"/>
          <w:sz w:val="24"/>
          <w:szCs w:val="24"/>
          <w:shd w:val="clear" w:color="auto" w:fill="FFFFFF"/>
          <w:lang w:val="en-GB"/>
        </w:rPr>
        <w:t xml:space="preserve"> and </w:t>
      </w:r>
      <w:r w:rsidR="00BA1503" w:rsidRPr="00D91D62">
        <w:rPr>
          <w:rFonts w:ascii="Times New Roman" w:hAnsi="Times New Roman" w:cs="Times New Roman"/>
          <w:color w:val="000000" w:themeColor="text1"/>
          <w:sz w:val="24"/>
          <w:szCs w:val="24"/>
          <w:shd w:val="clear" w:color="auto" w:fill="FFFFFF"/>
          <w:lang w:val="en-GB"/>
        </w:rPr>
        <w:t xml:space="preserve">has been </w:t>
      </w:r>
      <w:r w:rsidR="00C53985" w:rsidRPr="00D91D62">
        <w:rPr>
          <w:rFonts w:ascii="Times New Roman" w:hAnsi="Times New Roman" w:cs="Times New Roman"/>
          <w:color w:val="000000" w:themeColor="text1"/>
          <w:sz w:val="24"/>
          <w:szCs w:val="24"/>
          <w:shd w:val="clear" w:color="auto" w:fill="FFFFFF"/>
          <w:lang w:val="en-GB"/>
        </w:rPr>
        <w:t>used as a populist tool</w:t>
      </w:r>
      <w:r w:rsidR="005338A1" w:rsidRPr="00D91D62">
        <w:rPr>
          <w:rFonts w:ascii="Times New Roman" w:hAnsi="Times New Roman" w:cs="Times New Roman"/>
          <w:color w:val="000000" w:themeColor="text1"/>
          <w:sz w:val="24"/>
          <w:szCs w:val="24"/>
          <w:shd w:val="clear" w:color="auto" w:fill="FFFFFF"/>
          <w:lang w:val="en-GB"/>
        </w:rPr>
        <w:t>, as a result of which its ratification has been delayed</w:t>
      </w:r>
      <w:r w:rsidR="008A5BB0" w:rsidRPr="00D91D62">
        <w:rPr>
          <w:rFonts w:ascii="Times New Roman" w:hAnsi="Times New Roman" w:cs="Times New Roman"/>
          <w:color w:val="000000" w:themeColor="text1"/>
          <w:sz w:val="24"/>
          <w:szCs w:val="24"/>
          <w:shd w:val="clear" w:color="auto" w:fill="FFFFFF"/>
          <w:lang w:val="en-GB"/>
        </w:rPr>
        <w:t xml:space="preserve"> with no clear date set for its ratification</w:t>
      </w:r>
      <w:r w:rsidR="005338A1" w:rsidRPr="00D91D62">
        <w:rPr>
          <w:rFonts w:ascii="Times New Roman" w:hAnsi="Times New Roman" w:cs="Times New Roman"/>
          <w:color w:val="000000" w:themeColor="text1"/>
          <w:sz w:val="24"/>
          <w:szCs w:val="24"/>
          <w:shd w:val="clear" w:color="auto" w:fill="FFFFFF"/>
          <w:lang w:val="en-GB"/>
        </w:rPr>
        <w:t xml:space="preserve">. </w:t>
      </w:r>
    </w:p>
    <w:p w14:paraId="7F4B987C" w14:textId="539BBC95" w:rsidR="00784535" w:rsidRDefault="00DB5AF3" w:rsidP="00CA50E4">
      <w:pPr>
        <w:spacing w:before="120" w:after="240"/>
        <w:jc w:val="both"/>
        <w:rPr>
          <w:rFonts w:ascii="Times New Roman" w:hAnsi="Times New Roman" w:cs="Times New Roman"/>
          <w:color w:val="000000" w:themeColor="text1"/>
          <w:sz w:val="24"/>
          <w:szCs w:val="24"/>
          <w:shd w:val="clear" w:color="auto" w:fill="FFFFFF"/>
          <w:lang w:val="en-GB"/>
        </w:rPr>
      </w:pPr>
      <w:r w:rsidRPr="00D91D62">
        <w:rPr>
          <w:rFonts w:ascii="Times New Roman" w:hAnsi="Times New Roman" w:cs="Times New Roman"/>
          <w:color w:val="000000" w:themeColor="text1"/>
          <w:sz w:val="24"/>
          <w:szCs w:val="24"/>
          <w:shd w:val="clear" w:color="auto" w:fill="FFFFFF"/>
          <w:lang w:val="en-GB"/>
        </w:rPr>
        <w:t>An overarching Gender Equality Law also has not been drafted</w:t>
      </w:r>
      <w:r w:rsidR="00417142">
        <w:rPr>
          <w:rFonts w:ascii="Times New Roman" w:hAnsi="Times New Roman" w:cs="Times New Roman"/>
          <w:color w:val="000000" w:themeColor="text1"/>
          <w:sz w:val="24"/>
          <w:szCs w:val="24"/>
          <w:shd w:val="clear" w:color="auto" w:fill="FFFFFF"/>
          <w:lang w:val="en-GB"/>
        </w:rPr>
        <w:t>, and there are no present discussions that this could happen</w:t>
      </w:r>
      <w:r w:rsidR="00F27CD4">
        <w:rPr>
          <w:rFonts w:ascii="Times New Roman" w:hAnsi="Times New Roman" w:cs="Times New Roman"/>
          <w:color w:val="000000" w:themeColor="text1"/>
          <w:sz w:val="24"/>
          <w:szCs w:val="24"/>
          <w:shd w:val="clear" w:color="auto" w:fill="FFFFFF"/>
          <w:lang w:val="en-GB"/>
        </w:rPr>
        <w:t xml:space="preserve"> in the nearest future</w:t>
      </w:r>
      <w:r w:rsidRPr="00D91D62">
        <w:rPr>
          <w:rFonts w:ascii="Times New Roman" w:hAnsi="Times New Roman" w:cs="Times New Roman"/>
          <w:color w:val="000000" w:themeColor="text1"/>
          <w:sz w:val="24"/>
          <w:szCs w:val="24"/>
          <w:shd w:val="clear" w:color="auto" w:fill="FFFFFF"/>
          <w:lang w:val="en-GB"/>
        </w:rPr>
        <w:t xml:space="preserve">. </w:t>
      </w:r>
    </w:p>
    <w:p w14:paraId="260C845B" w14:textId="2E890FE9" w:rsidR="004F39E1" w:rsidRPr="00350AFA" w:rsidRDefault="00314DF7" w:rsidP="00350AFA">
      <w:pPr>
        <w:pStyle w:val="Default"/>
        <w:spacing w:after="120"/>
        <w:rPr>
          <w:b/>
          <w:lang w:val="en-GB"/>
        </w:rPr>
      </w:pPr>
      <w:r w:rsidRPr="00350AFA">
        <w:rPr>
          <w:b/>
          <w:lang w:val="en-GB"/>
        </w:rPr>
        <w:t>Comment</w:t>
      </w:r>
      <w:r w:rsidR="00595F18">
        <w:rPr>
          <w:b/>
          <w:lang w:val="en-GB"/>
        </w:rPr>
        <w:t>s</w:t>
      </w:r>
      <w:r w:rsidRPr="00350AFA">
        <w:rPr>
          <w:b/>
          <w:lang w:val="en-GB"/>
        </w:rPr>
        <w:t xml:space="preserve"> on</w:t>
      </w:r>
    </w:p>
    <w:p w14:paraId="06F4BFD4" w14:textId="0D7EE848" w:rsidR="00A57676" w:rsidRPr="00350AFA" w:rsidRDefault="00314DF7" w:rsidP="00350AFA">
      <w:pPr>
        <w:pStyle w:val="Default"/>
        <w:rPr>
          <w:b/>
          <w:lang w:val="en-GB"/>
        </w:rPr>
      </w:pPr>
      <w:r w:rsidRPr="00350AFA">
        <w:rPr>
          <w:b/>
          <w:bCs/>
          <w:lang w:val="en-GB"/>
        </w:rPr>
        <w:t>Committee recommendation in paragraph 58 – fight against trafficking in human beings</w:t>
      </w:r>
    </w:p>
    <w:p w14:paraId="58A1C76E" w14:textId="50394072" w:rsidR="00314DF7" w:rsidRPr="00350AFA" w:rsidRDefault="00314DF7" w:rsidP="00350AFA">
      <w:pPr>
        <w:pStyle w:val="Default"/>
        <w:rPr>
          <w:b/>
          <w:lang w:val="en-GB"/>
        </w:rPr>
      </w:pPr>
      <w:r w:rsidRPr="00350AFA">
        <w:rPr>
          <w:b/>
          <w:lang w:val="en-GB"/>
        </w:rPr>
        <w:t>And</w:t>
      </w:r>
    </w:p>
    <w:p w14:paraId="134EF8C7" w14:textId="122A30FC" w:rsidR="00314DF7" w:rsidRPr="00350AFA" w:rsidRDefault="00314DF7" w:rsidP="00350ABF">
      <w:pPr>
        <w:pStyle w:val="Default"/>
        <w:spacing w:after="240"/>
        <w:rPr>
          <w:b/>
          <w:bCs/>
          <w:lang w:val="en-GB"/>
        </w:rPr>
      </w:pPr>
      <w:r w:rsidRPr="00350AFA">
        <w:rPr>
          <w:b/>
          <w:bCs/>
          <w:lang w:val="en-GB"/>
        </w:rPr>
        <w:t>Paragraphs 69 to 100 in</w:t>
      </w:r>
      <w:r w:rsidR="00C01E02">
        <w:rPr>
          <w:b/>
          <w:bCs/>
          <w:lang w:val="en-GB"/>
        </w:rPr>
        <w:t xml:space="preserve"> State</w:t>
      </w:r>
      <w:r w:rsidRPr="00350AFA">
        <w:rPr>
          <w:b/>
          <w:bCs/>
          <w:lang w:val="en-GB"/>
        </w:rPr>
        <w:t xml:space="preserve"> Report</w:t>
      </w:r>
    </w:p>
    <w:p w14:paraId="0CD0D1D9" w14:textId="2622214F" w:rsidR="00FF335F" w:rsidRPr="00350AFA" w:rsidRDefault="00541FAC" w:rsidP="00350ABF">
      <w:pPr>
        <w:pStyle w:val="Default"/>
        <w:spacing w:after="240"/>
        <w:jc w:val="both"/>
        <w:rPr>
          <w:lang w:val="en-GB"/>
        </w:rPr>
      </w:pPr>
      <w:r w:rsidRPr="00350AFA">
        <w:rPr>
          <w:bCs/>
          <w:lang w:val="en-GB"/>
        </w:rPr>
        <w:t xml:space="preserve">MARTA Centre agrees that important progress has been made in legislation regarding human trafficking, particularly </w:t>
      </w:r>
      <w:r w:rsidR="00352D92">
        <w:rPr>
          <w:bCs/>
          <w:lang w:val="en-GB"/>
        </w:rPr>
        <w:t xml:space="preserve">with </w:t>
      </w:r>
      <w:r w:rsidRPr="00350AFA">
        <w:rPr>
          <w:bCs/>
          <w:lang w:val="en-GB"/>
        </w:rPr>
        <w:t xml:space="preserve">the introduction of the term “vulnerability” in the Criminal Law; however, there seems to be insufficient understanding </w:t>
      </w:r>
      <w:r w:rsidR="003330EE">
        <w:rPr>
          <w:bCs/>
          <w:lang w:val="en-GB"/>
        </w:rPr>
        <w:t>among the Police, J</w:t>
      </w:r>
      <w:r w:rsidR="00BF58E3" w:rsidRPr="00350AFA">
        <w:rPr>
          <w:bCs/>
          <w:lang w:val="en-GB"/>
        </w:rPr>
        <w:t xml:space="preserve">udiciary and the general population </w:t>
      </w:r>
      <w:r w:rsidRPr="00350AFA">
        <w:rPr>
          <w:bCs/>
          <w:lang w:val="en-GB"/>
        </w:rPr>
        <w:t>of what this term actually means, as shown by the following extract from the State Report: “</w:t>
      </w:r>
      <w:r w:rsidRPr="00350AFA">
        <w:rPr>
          <w:lang w:val="en-GB"/>
        </w:rPr>
        <w:t>The criminal offence provided for in Article 165¹ (“Sending a Person for Sexual Exploitation with the Person’s Consent”</w:t>
      </w:r>
      <w:r w:rsidR="003053B4">
        <w:rPr>
          <w:lang w:val="en-GB"/>
        </w:rPr>
        <w:t>) is separated from Article 154</w:t>
      </w:r>
      <w:r w:rsidR="003053B4">
        <w:rPr>
          <w:vertAlign w:val="superscript"/>
          <w:lang w:val="en-GB"/>
        </w:rPr>
        <w:t>1</w:t>
      </w:r>
      <w:r w:rsidRPr="00350AFA">
        <w:rPr>
          <w:lang w:val="en-GB"/>
        </w:rPr>
        <w:t xml:space="preserve"> “Trafficking in Human Beings” of the </w:t>
      </w:r>
      <w:r w:rsidRPr="00350AFA">
        <w:rPr>
          <w:i/>
          <w:iCs/>
          <w:lang w:val="en-GB"/>
        </w:rPr>
        <w:t xml:space="preserve">Criminal Law </w:t>
      </w:r>
      <w:r w:rsidRPr="00350AFA">
        <w:rPr>
          <w:lang w:val="en-GB"/>
        </w:rPr>
        <w:t xml:space="preserve">because the person is subjected to sexual exploitation with the person’s consent which is considered a less dangerous criminal offence, consequently, less serious punishments are applicable.” MARTA Centre maintains that there should be no distinction made between prostitution with “consent” versus “forced prostitution”, first, because state of vulnerability means exactly that </w:t>
      </w:r>
      <w:r w:rsidR="00BF58E3" w:rsidRPr="00350AFA">
        <w:rPr>
          <w:lang w:val="en-GB"/>
        </w:rPr>
        <w:t xml:space="preserve">– that </w:t>
      </w:r>
      <w:r w:rsidRPr="00350AFA">
        <w:rPr>
          <w:lang w:val="en-GB"/>
        </w:rPr>
        <w:t xml:space="preserve">“consent” </w:t>
      </w:r>
      <w:r w:rsidR="00BF58E3" w:rsidRPr="00350AFA">
        <w:rPr>
          <w:lang w:val="en-GB"/>
        </w:rPr>
        <w:t xml:space="preserve">of anyone can be acquired, just that </w:t>
      </w:r>
      <w:r w:rsidRPr="00350AFA">
        <w:rPr>
          <w:lang w:val="en-GB"/>
        </w:rPr>
        <w:t xml:space="preserve">the correct influence </w:t>
      </w:r>
      <w:r w:rsidR="00BF58E3" w:rsidRPr="00350AFA">
        <w:rPr>
          <w:lang w:val="en-GB"/>
        </w:rPr>
        <w:t xml:space="preserve">has to be used, and it is easier with a </w:t>
      </w:r>
      <w:r w:rsidRPr="00350AFA">
        <w:rPr>
          <w:lang w:val="en-GB"/>
        </w:rPr>
        <w:t xml:space="preserve">person who is vulnerable in a particular way, thus this “consent” is actually meaningless; second, in both “types” of prostitution </w:t>
      </w:r>
      <w:r w:rsidR="009F472B">
        <w:rPr>
          <w:lang w:val="en-GB"/>
        </w:rPr>
        <w:t xml:space="preserve">an </w:t>
      </w:r>
      <w:r w:rsidRPr="00350AFA">
        <w:rPr>
          <w:lang w:val="en-GB"/>
        </w:rPr>
        <w:t>advantage of a person’s vulnerability is being taken, meaning that it has to be considered human trafficking</w:t>
      </w:r>
      <w:r w:rsidR="00BF58E3" w:rsidRPr="00350AFA">
        <w:rPr>
          <w:lang w:val="en-GB"/>
        </w:rPr>
        <w:t xml:space="preserve"> either way</w:t>
      </w:r>
      <w:r w:rsidRPr="00350AFA">
        <w:rPr>
          <w:lang w:val="en-GB"/>
        </w:rPr>
        <w:t>; third, the psychological, emotional, social and physical consequences for the victims exploited with their “consent”</w:t>
      </w:r>
      <w:r w:rsidR="002F30DA" w:rsidRPr="00350AFA">
        <w:rPr>
          <w:lang w:val="en-GB"/>
        </w:rPr>
        <w:t xml:space="preserve"> or without</w:t>
      </w:r>
      <w:r w:rsidRPr="00350AFA">
        <w:rPr>
          <w:lang w:val="en-GB"/>
        </w:rPr>
        <w:t xml:space="preserve"> are equally grave, therefore the</w:t>
      </w:r>
      <w:r w:rsidR="00BF58E3" w:rsidRPr="00350AFA">
        <w:rPr>
          <w:lang w:val="en-GB"/>
        </w:rPr>
        <w:t>re</w:t>
      </w:r>
      <w:r w:rsidRPr="00350AFA">
        <w:rPr>
          <w:lang w:val="en-GB"/>
        </w:rPr>
        <w:t xml:space="preserve"> should be no difference in the punishment</w:t>
      </w:r>
      <w:r w:rsidR="002F30DA" w:rsidRPr="00350AFA">
        <w:rPr>
          <w:lang w:val="en-GB"/>
        </w:rPr>
        <w:t xml:space="preserve"> applicable </w:t>
      </w:r>
      <w:r w:rsidR="00BF58E3" w:rsidRPr="00350AFA">
        <w:rPr>
          <w:lang w:val="en-GB"/>
        </w:rPr>
        <w:t xml:space="preserve">to </w:t>
      </w:r>
      <w:r w:rsidR="003053B4">
        <w:rPr>
          <w:lang w:val="en-GB"/>
        </w:rPr>
        <w:t xml:space="preserve">the perpetrators in </w:t>
      </w:r>
      <w:r w:rsidR="00BF58E3" w:rsidRPr="00350AFA">
        <w:rPr>
          <w:lang w:val="en-GB"/>
        </w:rPr>
        <w:t>the</w:t>
      </w:r>
      <w:r w:rsidR="00507F5B" w:rsidRPr="00350AFA">
        <w:rPr>
          <w:lang w:val="en-GB"/>
        </w:rPr>
        <w:t xml:space="preserve">se </w:t>
      </w:r>
      <w:r w:rsidR="00BF58E3" w:rsidRPr="00350AFA">
        <w:rPr>
          <w:lang w:val="en-GB"/>
        </w:rPr>
        <w:t>cases</w:t>
      </w:r>
      <w:r w:rsidR="002F30DA" w:rsidRPr="00350AFA">
        <w:rPr>
          <w:lang w:val="en-GB"/>
        </w:rPr>
        <w:t>.</w:t>
      </w:r>
    </w:p>
    <w:p w14:paraId="1B96DD85" w14:textId="60985767" w:rsidR="00E238E2" w:rsidRPr="00350AFA" w:rsidRDefault="00E238E2" w:rsidP="00350ABF">
      <w:pPr>
        <w:pStyle w:val="Default"/>
        <w:spacing w:after="240"/>
        <w:jc w:val="both"/>
        <w:rPr>
          <w:lang w:val="en-GB"/>
        </w:rPr>
      </w:pPr>
      <w:r w:rsidRPr="00350AFA">
        <w:rPr>
          <w:lang w:val="en-GB"/>
        </w:rPr>
        <w:t xml:space="preserve">As a direct result of this, human traffickers routinely are convicted </w:t>
      </w:r>
      <w:r w:rsidR="001F0C3F" w:rsidRPr="00350AFA">
        <w:rPr>
          <w:lang w:val="en-GB"/>
        </w:rPr>
        <w:t>on</w:t>
      </w:r>
      <w:r w:rsidRPr="00350AFA">
        <w:rPr>
          <w:lang w:val="en-GB"/>
        </w:rPr>
        <w:t xml:space="preserve"> Article 165¹, not Article 154</w:t>
      </w:r>
      <w:r w:rsidR="00286791">
        <w:rPr>
          <w:vertAlign w:val="superscript"/>
          <w:lang w:val="en-GB"/>
        </w:rPr>
        <w:t>1</w:t>
      </w:r>
      <w:r w:rsidRPr="00350AFA">
        <w:rPr>
          <w:lang w:val="en-GB"/>
        </w:rPr>
        <w:t>, resulting in smaller penalties</w:t>
      </w:r>
      <w:r w:rsidR="00C77EFC" w:rsidRPr="00350AFA">
        <w:rPr>
          <w:lang w:val="en-GB"/>
        </w:rPr>
        <w:t xml:space="preserve"> for essentially the same crime</w:t>
      </w:r>
      <w:r w:rsidRPr="00350AFA">
        <w:rPr>
          <w:lang w:val="en-GB"/>
        </w:rPr>
        <w:t>.</w:t>
      </w:r>
      <w:r w:rsidR="00505A91" w:rsidRPr="00350AFA">
        <w:rPr>
          <w:lang w:val="en-GB"/>
        </w:rPr>
        <w:t xml:space="preserve"> As shown in the State Report: “In 2016, the convicting judgments for crimes according to Article 154</w:t>
      </w:r>
      <w:r w:rsidR="00350AFA">
        <w:rPr>
          <w:vertAlign w:val="superscript"/>
          <w:lang w:val="en-GB"/>
        </w:rPr>
        <w:t>1</w:t>
      </w:r>
      <w:r w:rsidR="00505A91" w:rsidRPr="00350AFA">
        <w:rPr>
          <w:lang w:val="en-GB"/>
        </w:rPr>
        <w:t xml:space="preserve"> of the </w:t>
      </w:r>
      <w:r w:rsidR="00505A91" w:rsidRPr="00350AFA">
        <w:rPr>
          <w:i/>
          <w:iCs/>
          <w:lang w:val="en-GB"/>
        </w:rPr>
        <w:t xml:space="preserve">Criminal Law </w:t>
      </w:r>
      <w:r w:rsidR="00505A91" w:rsidRPr="00350AFA">
        <w:rPr>
          <w:lang w:val="en-GB"/>
        </w:rPr>
        <w:t xml:space="preserve">entered into force in 3 cases (4 persons were convicted) and 9 convicting judgments for </w:t>
      </w:r>
      <w:r w:rsidR="00286791">
        <w:rPr>
          <w:lang w:val="en-GB"/>
        </w:rPr>
        <w:t>crimes according to Article 165</w:t>
      </w:r>
      <w:r w:rsidR="00286791">
        <w:rPr>
          <w:vertAlign w:val="superscript"/>
          <w:lang w:val="en-GB"/>
        </w:rPr>
        <w:t>1</w:t>
      </w:r>
      <w:r w:rsidR="00505A91" w:rsidRPr="00350AFA">
        <w:rPr>
          <w:lang w:val="en-GB"/>
        </w:rPr>
        <w:t xml:space="preserve"> of the </w:t>
      </w:r>
      <w:r w:rsidR="00505A91" w:rsidRPr="00350AFA">
        <w:rPr>
          <w:i/>
          <w:iCs/>
          <w:lang w:val="en-GB"/>
        </w:rPr>
        <w:t xml:space="preserve">Criminal Law </w:t>
      </w:r>
      <w:r w:rsidR="00505A91" w:rsidRPr="00350AFA">
        <w:rPr>
          <w:lang w:val="en-GB"/>
        </w:rPr>
        <w:t>entered into force (12 persons were convicted).”</w:t>
      </w:r>
      <w:r w:rsidRPr="00350AFA">
        <w:rPr>
          <w:lang w:val="en-GB"/>
        </w:rPr>
        <w:t xml:space="preserve"> </w:t>
      </w:r>
    </w:p>
    <w:p w14:paraId="4989A107" w14:textId="6A6DAFF1" w:rsidR="00F81DE6" w:rsidRPr="00350AFA" w:rsidRDefault="008E2345" w:rsidP="00350ABF">
      <w:pPr>
        <w:autoSpaceDE w:val="0"/>
        <w:autoSpaceDN w:val="0"/>
        <w:adjustRightInd w:val="0"/>
        <w:spacing w:after="240" w:line="240" w:lineRule="auto"/>
        <w:jc w:val="both"/>
        <w:rPr>
          <w:rFonts w:ascii="Times New Roman" w:hAnsi="Times New Roman" w:cs="Times New Roman"/>
          <w:color w:val="000000"/>
          <w:sz w:val="24"/>
          <w:szCs w:val="24"/>
          <w:lang w:val="en-GB"/>
        </w:rPr>
      </w:pPr>
      <w:r w:rsidRPr="00350AFA">
        <w:rPr>
          <w:rFonts w:ascii="Times New Roman" w:hAnsi="Times New Roman" w:cs="Times New Roman"/>
          <w:color w:val="000000"/>
          <w:sz w:val="24"/>
          <w:szCs w:val="24"/>
          <w:lang w:val="en-GB"/>
        </w:rPr>
        <w:t xml:space="preserve">While MARTA Centre acknowledges the efforts taken by Latvian state to support the victims, it has to </w:t>
      </w:r>
      <w:proofErr w:type="gramStart"/>
      <w:r w:rsidRPr="00350AFA">
        <w:rPr>
          <w:rFonts w:ascii="Times New Roman" w:hAnsi="Times New Roman" w:cs="Times New Roman"/>
          <w:color w:val="000000"/>
          <w:sz w:val="24"/>
          <w:szCs w:val="24"/>
          <w:lang w:val="en-GB"/>
        </w:rPr>
        <w:t>be pointed</w:t>
      </w:r>
      <w:proofErr w:type="gramEnd"/>
      <w:r w:rsidRPr="00350AFA">
        <w:rPr>
          <w:rFonts w:ascii="Times New Roman" w:hAnsi="Times New Roman" w:cs="Times New Roman"/>
          <w:color w:val="000000"/>
          <w:sz w:val="24"/>
          <w:szCs w:val="24"/>
          <w:lang w:val="en-GB"/>
        </w:rPr>
        <w:t xml:space="preserve"> out that, unfortunately, the support is insufficient and the mechanism for victim to acquire the official </w:t>
      </w:r>
      <w:r w:rsidR="008F6BA9" w:rsidRPr="00350AFA">
        <w:rPr>
          <w:rFonts w:ascii="Times New Roman" w:hAnsi="Times New Roman" w:cs="Times New Roman"/>
          <w:color w:val="000000"/>
          <w:sz w:val="24"/>
          <w:szCs w:val="24"/>
          <w:lang w:val="en-GB"/>
        </w:rPr>
        <w:t xml:space="preserve">victim’s status </w:t>
      </w:r>
      <w:r w:rsidRPr="00350AFA">
        <w:rPr>
          <w:rFonts w:ascii="Times New Roman" w:hAnsi="Times New Roman" w:cs="Times New Roman"/>
          <w:color w:val="000000"/>
          <w:sz w:val="24"/>
          <w:szCs w:val="24"/>
          <w:lang w:val="en-GB"/>
        </w:rPr>
        <w:t>often te</w:t>
      </w:r>
      <w:r w:rsidR="00053B7C" w:rsidRPr="00350AFA">
        <w:rPr>
          <w:rFonts w:ascii="Times New Roman" w:hAnsi="Times New Roman" w:cs="Times New Roman"/>
          <w:color w:val="000000"/>
          <w:sz w:val="24"/>
          <w:szCs w:val="24"/>
          <w:lang w:val="en-GB"/>
        </w:rPr>
        <w:t>n</w:t>
      </w:r>
      <w:r w:rsidRPr="00350AFA">
        <w:rPr>
          <w:rFonts w:ascii="Times New Roman" w:hAnsi="Times New Roman" w:cs="Times New Roman"/>
          <w:color w:val="000000"/>
          <w:sz w:val="24"/>
          <w:szCs w:val="24"/>
          <w:lang w:val="en-GB"/>
        </w:rPr>
        <w:t xml:space="preserve">ds to be </w:t>
      </w:r>
      <w:r w:rsidR="00F16334">
        <w:rPr>
          <w:rFonts w:ascii="Times New Roman" w:hAnsi="Times New Roman" w:cs="Times New Roman"/>
          <w:color w:val="000000"/>
          <w:sz w:val="24"/>
          <w:szCs w:val="24"/>
          <w:lang w:val="en-GB"/>
        </w:rPr>
        <w:t>sloppy</w:t>
      </w:r>
      <w:r w:rsidRPr="00350AFA">
        <w:rPr>
          <w:rFonts w:ascii="Times New Roman" w:hAnsi="Times New Roman" w:cs="Times New Roman"/>
          <w:color w:val="000000"/>
          <w:sz w:val="24"/>
          <w:szCs w:val="24"/>
          <w:lang w:val="en-GB"/>
        </w:rPr>
        <w:t xml:space="preserve"> and traumatizing.</w:t>
      </w:r>
      <w:r w:rsidR="00286791">
        <w:rPr>
          <w:rFonts w:ascii="Times New Roman" w:hAnsi="Times New Roman" w:cs="Times New Roman"/>
          <w:color w:val="000000"/>
          <w:sz w:val="24"/>
          <w:szCs w:val="24"/>
          <w:lang w:val="en-GB"/>
        </w:rPr>
        <w:t xml:space="preserve"> MARTA Centre regards as positive the fact that the state offers</w:t>
      </w:r>
      <w:r w:rsidR="00B122B1" w:rsidRPr="00350AFA">
        <w:rPr>
          <w:rFonts w:ascii="Times New Roman" w:hAnsi="Times New Roman" w:cs="Times New Roman"/>
          <w:color w:val="000000"/>
          <w:sz w:val="24"/>
          <w:szCs w:val="24"/>
          <w:lang w:val="en-GB"/>
        </w:rPr>
        <w:t xml:space="preserve"> free to victim rehabilitation service that covers the </w:t>
      </w:r>
      <w:proofErr w:type="gramStart"/>
      <w:r w:rsidR="00B122B1" w:rsidRPr="00350AFA">
        <w:rPr>
          <w:rFonts w:ascii="Times New Roman" w:hAnsi="Times New Roman" w:cs="Times New Roman"/>
          <w:color w:val="000000"/>
          <w:sz w:val="24"/>
          <w:szCs w:val="24"/>
          <w:lang w:val="en-GB"/>
        </w:rPr>
        <w:t>basic necessities</w:t>
      </w:r>
      <w:proofErr w:type="gramEnd"/>
      <w:r w:rsidR="00B122B1" w:rsidRPr="00350AFA">
        <w:rPr>
          <w:rFonts w:ascii="Times New Roman" w:hAnsi="Times New Roman" w:cs="Times New Roman"/>
          <w:color w:val="000000"/>
          <w:sz w:val="24"/>
          <w:szCs w:val="24"/>
          <w:lang w:val="en-GB"/>
        </w:rPr>
        <w:t xml:space="preserve"> (food, shelter, medical appointments) and consultations by social worker and psychologist. This is a </w:t>
      </w:r>
      <w:r w:rsidR="00286791">
        <w:rPr>
          <w:rFonts w:ascii="Times New Roman" w:hAnsi="Times New Roman" w:cs="Times New Roman"/>
          <w:color w:val="000000"/>
          <w:sz w:val="24"/>
          <w:szCs w:val="24"/>
          <w:lang w:val="en-GB"/>
        </w:rPr>
        <w:t xml:space="preserve">long </w:t>
      </w:r>
      <w:r w:rsidR="00B122B1" w:rsidRPr="00350AFA">
        <w:rPr>
          <w:rFonts w:ascii="Times New Roman" w:hAnsi="Times New Roman" w:cs="Times New Roman"/>
          <w:color w:val="000000"/>
          <w:sz w:val="24"/>
          <w:szCs w:val="24"/>
          <w:lang w:val="en-GB"/>
        </w:rPr>
        <w:t xml:space="preserve">welcome situation; </w:t>
      </w:r>
      <w:r w:rsidR="00286791">
        <w:rPr>
          <w:rFonts w:ascii="Times New Roman" w:hAnsi="Times New Roman" w:cs="Times New Roman"/>
          <w:color w:val="000000"/>
          <w:sz w:val="24"/>
          <w:szCs w:val="24"/>
          <w:lang w:val="en-GB"/>
        </w:rPr>
        <w:t>h</w:t>
      </w:r>
      <w:r w:rsidR="00B122B1" w:rsidRPr="00350AFA">
        <w:rPr>
          <w:rFonts w:ascii="Times New Roman" w:hAnsi="Times New Roman" w:cs="Times New Roman"/>
          <w:color w:val="000000"/>
          <w:sz w:val="24"/>
          <w:szCs w:val="24"/>
          <w:lang w:val="en-GB"/>
        </w:rPr>
        <w:t xml:space="preserve">owever, MARTA Centre’s experts </w:t>
      </w:r>
      <w:r w:rsidR="003E1D3F">
        <w:rPr>
          <w:rFonts w:ascii="Times New Roman" w:hAnsi="Times New Roman" w:cs="Times New Roman"/>
          <w:color w:val="000000"/>
          <w:sz w:val="24"/>
          <w:szCs w:val="24"/>
          <w:lang w:val="en-GB"/>
        </w:rPr>
        <w:t xml:space="preserve">also </w:t>
      </w:r>
      <w:r w:rsidR="00B122B1" w:rsidRPr="00350AFA">
        <w:rPr>
          <w:rFonts w:ascii="Times New Roman" w:hAnsi="Times New Roman" w:cs="Times New Roman"/>
          <w:color w:val="000000"/>
          <w:sz w:val="24"/>
          <w:szCs w:val="24"/>
          <w:lang w:val="en-GB"/>
        </w:rPr>
        <w:t>recognize that maximum 180 days of rehabilitation is not enough due to m</w:t>
      </w:r>
      <w:r w:rsidR="003D56B0">
        <w:rPr>
          <w:rFonts w:ascii="Times New Roman" w:hAnsi="Times New Roman" w:cs="Times New Roman"/>
          <w:color w:val="000000"/>
          <w:sz w:val="24"/>
          <w:szCs w:val="24"/>
          <w:lang w:val="en-GB"/>
        </w:rPr>
        <w:t>ultiple reasons: for a person as</w:t>
      </w:r>
      <w:r w:rsidR="00B122B1" w:rsidRPr="00350AFA">
        <w:rPr>
          <w:rFonts w:ascii="Times New Roman" w:hAnsi="Times New Roman" w:cs="Times New Roman"/>
          <w:color w:val="000000"/>
          <w:sz w:val="24"/>
          <w:szCs w:val="24"/>
          <w:lang w:val="en-GB"/>
        </w:rPr>
        <w:t xml:space="preserve"> traumatized as a human trafficking victim often is, it takes most of the devoted rehabilitation time to actually establish mutual trust between the specialist and the person in question; after the trust is establish to a reasonable degree, the time left is not enough to help a person who, in many cases, has been abused for multiple years or for most of that person’s life. </w:t>
      </w:r>
      <w:r w:rsidR="00053B7C" w:rsidRPr="00350AFA">
        <w:rPr>
          <w:rFonts w:ascii="Times New Roman" w:hAnsi="Times New Roman" w:cs="Times New Roman"/>
          <w:color w:val="000000"/>
          <w:sz w:val="24"/>
          <w:szCs w:val="24"/>
          <w:lang w:val="en-GB"/>
        </w:rPr>
        <w:t xml:space="preserve">In this case, MARTA Centre </w:t>
      </w:r>
      <w:r w:rsidR="003D56B0">
        <w:rPr>
          <w:rFonts w:ascii="Times New Roman" w:hAnsi="Times New Roman" w:cs="Times New Roman"/>
          <w:color w:val="000000"/>
          <w:sz w:val="24"/>
          <w:szCs w:val="24"/>
          <w:lang w:val="en-GB"/>
        </w:rPr>
        <w:t>hopes the State can secure enough funds to prolong the rehabilitation service</w:t>
      </w:r>
      <w:r w:rsidR="003E1D3F">
        <w:rPr>
          <w:rFonts w:ascii="Times New Roman" w:hAnsi="Times New Roman" w:cs="Times New Roman"/>
          <w:color w:val="000000"/>
          <w:sz w:val="24"/>
          <w:szCs w:val="24"/>
          <w:lang w:val="en-GB"/>
        </w:rPr>
        <w:t>s</w:t>
      </w:r>
      <w:r w:rsidR="003D56B0">
        <w:rPr>
          <w:rFonts w:ascii="Times New Roman" w:hAnsi="Times New Roman" w:cs="Times New Roman"/>
          <w:color w:val="000000"/>
          <w:sz w:val="24"/>
          <w:szCs w:val="24"/>
          <w:lang w:val="en-GB"/>
        </w:rPr>
        <w:t xml:space="preserve"> available. </w:t>
      </w:r>
    </w:p>
    <w:p w14:paraId="5F12787A" w14:textId="114AAF9D" w:rsidR="000C437A" w:rsidRPr="00350AFA" w:rsidRDefault="00053B7C" w:rsidP="00350ABF">
      <w:pPr>
        <w:autoSpaceDE w:val="0"/>
        <w:autoSpaceDN w:val="0"/>
        <w:adjustRightInd w:val="0"/>
        <w:spacing w:after="240" w:line="240" w:lineRule="auto"/>
        <w:jc w:val="both"/>
        <w:rPr>
          <w:rFonts w:ascii="Times New Roman" w:hAnsi="Times New Roman" w:cs="Times New Roman"/>
          <w:color w:val="000000"/>
          <w:sz w:val="24"/>
          <w:szCs w:val="24"/>
          <w:lang w:val="en-GB"/>
        </w:rPr>
      </w:pPr>
      <w:r w:rsidRPr="00350AFA">
        <w:rPr>
          <w:rFonts w:ascii="Times New Roman" w:hAnsi="Times New Roman" w:cs="Times New Roman"/>
          <w:color w:val="000000"/>
          <w:sz w:val="24"/>
          <w:szCs w:val="24"/>
          <w:lang w:val="en-GB"/>
        </w:rPr>
        <w:t xml:space="preserve">Regarding the procedure during which the victim </w:t>
      </w:r>
      <w:proofErr w:type="gramStart"/>
      <w:r w:rsidRPr="00350AFA">
        <w:rPr>
          <w:rFonts w:ascii="Times New Roman" w:hAnsi="Times New Roman" w:cs="Times New Roman"/>
          <w:color w:val="000000"/>
          <w:sz w:val="24"/>
          <w:szCs w:val="24"/>
          <w:lang w:val="en-GB"/>
        </w:rPr>
        <w:t>is allowed</w:t>
      </w:r>
      <w:proofErr w:type="gramEnd"/>
      <w:r w:rsidRPr="00350AFA">
        <w:rPr>
          <w:rFonts w:ascii="Times New Roman" w:hAnsi="Times New Roman" w:cs="Times New Roman"/>
          <w:color w:val="000000"/>
          <w:sz w:val="24"/>
          <w:szCs w:val="24"/>
          <w:lang w:val="en-GB"/>
        </w:rPr>
        <w:t xml:space="preserve"> to receive that rehabilitation, there are problematic aspects as well. If the police grants the person the status of witness or victim in a criminal case, the person automatically is entitled </w:t>
      </w:r>
      <w:r w:rsidR="009E398D" w:rsidRPr="00350AFA">
        <w:rPr>
          <w:rFonts w:ascii="Times New Roman" w:hAnsi="Times New Roman" w:cs="Times New Roman"/>
          <w:color w:val="000000"/>
          <w:sz w:val="24"/>
          <w:szCs w:val="24"/>
          <w:lang w:val="en-GB"/>
        </w:rPr>
        <w:t xml:space="preserve">to the rehabilitation. However, those who for some reason </w:t>
      </w:r>
      <w:proofErr w:type="gramStart"/>
      <w:r w:rsidR="009E398D" w:rsidRPr="00350AFA">
        <w:rPr>
          <w:rFonts w:ascii="Times New Roman" w:hAnsi="Times New Roman" w:cs="Times New Roman"/>
          <w:color w:val="000000"/>
          <w:sz w:val="24"/>
          <w:szCs w:val="24"/>
          <w:lang w:val="en-GB"/>
        </w:rPr>
        <w:t xml:space="preserve">are not </w:t>
      </w:r>
      <w:r w:rsidR="00336B3F" w:rsidRPr="00350AFA">
        <w:rPr>
          <w:rFonts w:ascii="Times New Roman" w:hAnsi="Times New Roman" w:cs="Times New Roman"/>
          <w:color w:val="000000"/>
          <w:sz w:val="24"/>
          <w:szCs w:val="24"/>
          <w:lang w:val="en-GB"/>
        </w:rPr>
        <w:t>granted</w:t>
      </w:r>
      <w:proofErr w:type="gramEnd"/>
      <w:r w:rsidR="00336B3F" w:rsidRPr="00350AFA">
        <w:rPr>
          <w:rFonts w:ascii="Times New Roman" w:hAnsi="Times New Roman" w:cs="Times New Roman"/>
          <w:color w:val="000000"/>
          <w:sz w:val="24"/>
          <w:szCs w:val="24"/>
          <w:lang w:val="en-GB"/>
        </w:rPr>
        <w:t xml:space="preserve"> the status</w:t>
      </w:r>
      <w:r w:rsidR="009E398D" w:rsidRPr="00350AFA">
        <w:rPr>
          <w:rFonts w:ascii="Times New Roman" w:hAnsi="Times New Roman" w:cs="Times New Roman"/>
          <w:color w:val="000000"/>
          <w:sz w:val="24"/>
          <w:szCs w:val="24"/>
          <w:lang w:val="en-GB"/>
        </w:rPr>
        <w:t>, have to go through a meeting with a panel of experts who, by asking questions and examining the facts, establish if the person qualifies as a victim. Unfortunately, not all members assigned on the panel are equally qualified to make the best decision in cases that are not textbook examples</w:t>
      </w:r>
      <w:r w:rsidR="005E5C1C">
        <w:rPr>
          <w:rFonts w:ascii="Times New Roman" w:hAnsi="Times New Roman" w:cs="Times New Roman"/>
          <w:color w:val="000000"/>
          <w:sz w:val="24"/>
          <w:szCs w:val="24"/>
          <w:lang w:val="en-GB"/>
        </w:rPr>
        <w:t xml:space="preserve"> of human trafficking</w:t>
      </w:r>
      <w:r w:rsidR="009E398D" w:rsidRPr="00350AFA">
        <w:rPr>
          <w:rFonts w:ascii="Times New Roman" w:hAnsi="Times New Roman" w:cs="Times New Roman"/>
          <w:color w:val="000000"/>
          <w:sz w:val="24"/>
          <w:szCs w:val="24"/>
          <w:lang w:val="en-GB"/>
        </w:rPr>
        <w:t>.</w:t>
      </w:r>
      <w:r w:rsidR="00B53B5F" w:rsidRPr="00350AFA">
        <w:rPr>
          <w:rFonts w:ascii="Times New Roman" w:hAnsi="Times New Roman" w:cs="Times New Roman"/>
          <w:color w:val="000000"/>
          <w:sz w:val="24"/>
          <w:szCs w:val="24"/>
          <w:lang w:val="en-GB"/>
        </w:rPr>
        <w:t xml:space="preserve"> Moreover, the style of questioning the victim by some members of the expert committee rather resembles questioning a suspect in a criminal case than questioning a </w:t>
      </w:r>
      <w:r w:rsidR="005E5C1C">
        <w:rPr>
          <w:rFonts w:ascii="Times New Roman" w:hAnsi="Times New Roman" w:cs="Times New Roman"/>
          <w:color w:val="000000"/>
          <w:sz w:val="24"/>
          <w:szCs w:val="24"/>
          <w:lang w:val="en-GB"/>
        </w:rPr>
        <w:t xml:space="preserve">victim and </w:t>
      </w:r>
      <w:r w:rsidR="00B53B5F" w:rsidRPr="00350AFA">
        <w:rPr>
          <w:rFonts w:ascii="Times New Roman" w:hAnsi="Times New Roman" w:cs="Times New Roman"/>
          <w:color w:val="000000"/>
          <w:sz w:val="24"/>
          <w:szCs w:val="24"/>
          <w:lang w:val="en-GB"/>
        </w:rPr>
        <w:t xml:space="preserve">a witness, so secondary victimization is often the result. </w:t>
      </w:r>
      <w:r w:rsidR="005C526A" w:rsidRPr="00350AFA">
        <w:rPr>
          <w:rFonts w:ascii="Times New Roman" w:hAnsi="Times New Roman" w:cs="Times New Roman"/>
          <w:color w:val="000000"/>
          <w:sz w:val="24"/>
          <w:szCs w:val="24"/>
          <w:lang w:val="en-GB"/>
        </w:rPr>
        <w:t>T</w:t>
      </w:r>
      <w:r w:rsidR="00DE1EE5" w:rsidRPr="00350AFA">
        <w:rPr>
          <w:rFonts w:ascii="Times New Roman" w:hAnsi="Times New Roman" w:cs="Times New Roman"/>
          <w:color w:val="000000"/>
          <w:sz w:val="24"/>
          <w:szCs w:val="24"/>
          <w:lang w:val="en-GB"/>
        </w:rPr>
        <w:t>ogether t</w:t>
      </w:r>
      <w:r w:rsidR="005C526A" w:rsidRPr="00350AFA">
        <w:rPr>
          <w:rFonts w:ascii="Times New Roman" w:hAnsi="Times New Roman" w:cs="Times New Roman"/>
          <w:color w:val="000000"/>
          <w:sz w:val="24"/>
          <w:szCs w:val="24"/>
          <w:lang w:val="en-GB"/>
        </w:rPr>
        <w:t>his may result in</w:t>
      </w:r>
      <w:r w:rsidR="00336B3F" w:rsidRPr="00350AFA">
        <w:rPr>
          <w:rFonts w:ascii="Times New Roman" w:hAnsi="Times New Roman" w:cs="Times New Roman"/>
          <w:color w:val="000000"/>
          <w:sz w:val="24"/>
          <w:szCs w:val="24"/>
          <w:lang w:val="en-GB"/>
        </w:rPr>
        <w:t xml:space="preserve"> some</w:t>
      </w:r>
      <w:r w:rsidR="005E5C1C">
        <w:rPr>
          <w:rFonts w:ascii="Times New Roman" w:hAnsi="Times New Roman" w:cs="Times New Roman"/>
          <w:color w:val="000000"/>
          <w:sz w:val="24"/>
          <w:szCs w:val="24"/>
          <w:lang w:val="en-GB"/>
        </w:rPr>
        <w:t xml:space="preserve"> actual trafficking</w:t>
      </w:r>
      <w:r w:rsidR="005C526A" w:rsidRPr="00350AFA">
        <w:rPr>
          <w:rFonts w:ascii="Times New Roman" w:hAnsi="Times New Roman" w:cs="Times New Roman"/>
          <w:color w:val="000000"/>
          <w:sz w:val="24"/>
          <w:szCs w:val="24"/>
          <w:lang w:val="en-GB"/>
        </w:rPr>
        <w:t xml:space="preserve"> victims being denied the status</w:t>
      </w:r>
      <w:r w:rsidR="00336B3F" w:rsidRPr="00350AFA">
        <w:rPr>
          <w:rFonts w:ascii="Times New Roman" w:hAnsi="Times New Roman" w:cs="Times New Roman"/>
          <w:color w:val="000000"/>
          <w:sz w:val="24"/>
          <w:szCs w:val="24"/>
          <w:lang w:val="en-GB"/>
        </w:rPr>
        <w:t>, protection</w:t>
      </w:r>
      <w:r w:rsidR="005C526A" w:rsidRPr="00350AFA">
        <w:rPr>
          <w:rFonts w:ascii="Times New Roman" w:hAnsi="Times New Roman" w:cs="Times New Roman"/>
          <w:color w:val="000000"/>
          <w:sz w:val="24"/>
          <w:szCs w:val="24"/>
          <w:lang w:val="en-GB"/>
        </w:rPr>
        <w:t xml:space="preserve"> and the needed state-funded rehabilitation; in other cases, victims have to wait for multiple meetings to take place (multiple months) before they get the help they need. </w:t>
      </w:r>
      <w:r w:rsidR="00336B3F" w:rsidRPr="00350AFA">
        <w:rPr>
          <w:rFonts w:ascii="Times New Roman" w:hAnsi="Times New Roman" w:cs="Times New Roman"/>
          <w:color w:val="000000"/>
          <w:sz w:val="24"/>
          <w:szCs w:val="24"/>
          <w:lang w:val="en-GB"/>
        </w:rPr>
        <w:t xml:space="preserve">In such extreme cases, </w:t>
      </w:r>
      <w:r w:rsidR="005C526A" w:rsidRPr="00350AFA">
        <w:rPr>
          <w:rFonts w:ascii="Times New Roman" w:hAnsi="Times New Roman" w:cs="Times New Roman"/>
          <w:color w:val="000000"/>
          <w:sz w:val="24"/>
          <w:szCs w:val="24"/>
          <w:lang w:val="en-GB"/>
        </w:rPr>
        <w:t xml:space="preserve">MARTA Centre has </w:t>
      </w:r>
      <w:r w:rsidR="00336B3F" w:rsidRPr="00350AFA">
        <w:rPr>
          <w:rFonts w:ascii="Times New Roman" w:hAnsi="Times New Roman" w:cs="Times New Roman"/>
          <w:color w:val="000000"/>
          <w:sz w:val="24"/>
          <w:szCs w:val="24"/>
          <w:lang w:val="en-GB"/>
        </w:rPr>
        <w:t xml:space="preserve">worked hard to secure funding from other sources to </w:t>
      </w:r>
      <w:r w:rsidR="00350AFA" w:rsidRPr="00350AFA">
        <w:rPr>
          <w:rFonts w:ascii="Times New Roman" w:hAnsi="Times New Roman" w:cs="Times New Roman"/>
          <w:color w:val="000000"/>
          <w:sz w:val="24"/>
          <w:szCs w:val="24"/>
          <w:lang w:val="en-GB"/>
        </w:rPr>
        <w:t>enrol</w:t>
      </w:r>
      <w:r w:rsidR="00336B3F" w:rsidRPr="00350AFA">
        <w:rPr>
          <w:rFonts w:ascii="Times New Roman" w:hAnsi="Times New Roman" w:cs="Times New Roman"/>
          <w:color w:val="000000"/>
          <w:sz w:val="24"/>
          <w:szCs w:val="24"/>
          <w:lang w:val="en-GB"/>
        </w:rPr>
        <w:t xml:space="preserve"> a person who was not granted the status by expert committee in the rehabilitation program nonetheless; MARTA Centre has also </w:t>
      </w:r>
      <w:r w:rsidR="005C526A" w:rsidRPr="00350AFA">
        <w:rPr>
          <w:rFonts w:ascii="Times New Roman" w:hAnsi="Times New Roman" w:cs="Times New Roman"/>
          <w:color w:val="000000"/>
          <w:sz w:val="24"/>
          <w:szCs w:val="24"/>
          <w:lang w:val="en-GB"/>
        </w:rPr>
        <w:t>witnessed a case where a person was hospitalized after a suicide attempt because the expert meeting failed to grant the needed help to the victim as soon as possible.</w:t>
      </w:r>
      <w:r w:rsidR="005E5C1C">
        <w:rPr>
          <w:rFonts w:ascii="Times New Roman" w:hAnsi="Times New Roman" w:cs="Times New Roman"/>
          <w:color w:val="000000"/>
          <w:sz w:val="24"/>
          <w:szCs w:val="24"/>
          <w:lang w:val="en-GB"/>
        </w:rPr>
        <w:t xml:space="preserve"> The present mechanism has to be </w:t>
      </w:r>
      <w:r w:rsidR="0036548C">
        <w:rPr>
          <w:rFonts w:ascii="Times New Roman" w:hAnsi="Times New Roman" w:cs="Times New Roman"/>
          <w:color w:val="000000"/>
          <w:sz w:val="24"/>
          <w:szCs w:val="24"/>
          <w:lang w:val="en-GB"/>
        </w:rPr>
        <w:t>improved</w:t>
      </w:r>
      <w:r w:rsidR="005E5C1C">
        <w:rPr>
          <w:rFonts w:ascii="Times New Roman" w:hAnsi="Times New Roman" w:cs="Times New Roman"/>
          <w:color w:val="000000"/>
          <w:sz w:val="24"/>
          <w:szCs w:val="24"/>
          <w:lang w:val="en-GB"/>
        </w:rPr>
        <w:t xml:space="preserve">. </w:t>
      </w:r>
    </w:p>
    <w:p w14:paraId="34281F4B" w14:textId="4ACBD422" w:rsidR="00053B7C" w:rsidRPr="00350AFA" w:rsidRDefault="000C437A" w:rsidP="00350ABF">
      <w:pPr>
        <w:autoSpaceDE w:val="0"/>
        <w:autoSpaceDN w:val="0"/>
        <w:adjustRightInd w:val="0"/>
        <w:spacing w:after="240" w:line="240" w:lineRule="auto"/>
        <w:jc w:val="both"/>
        <w:rPr>
          <w:rFonts w:ascii="Times New Roman" w:hAnsi="Times New Roman" w:cs="Times New Roman"/>
          <w:color w:val="000000"/>
          <w:sz w:val="24"/>
          <w:szCs w:val="24"/>
          <w:lang w:val="en-GB"/>
        </w:rPr>
      </w:pPr>
      <w:r w:rsidRPr="00350AFA">
        <w:rPr>
          <w:rFonts w:ascii="Times New Roman" w:hAnsi="Times New Roman" w:cs="Times New Roman"/>
          <w:color w:val="000000"/>
          <w:sz w:val="24"/>
          <w:szCs w:val="24"/>
          <w:lang w:val="en-GB"/>
        </w:rPr>
        <w:t xml:space="preserve">Even though there have been attempts to educate the </w:t>
      </w:r>
      <w:r w:rsidR="005E5C1C">
        <w:rPr>
          <w:rFonts w:ascii="Times New Roman" w:hAnsi="Times New Roman" w:cs="Times New Roman"/>
          <w:color w:val="000000"/>
          <w:sz w:val="24"/>
          <w:szCs w:val="24"/>
          <w:lang w:val="en-GB"/>
        </w:rPr>
        <w:t>Border Guard on the issues of human trafficking</w:t>
      </w:r>
      <w:r w:rsidRPr="00350AFA">
        <w:rPr>
          <w:rFonts w:ascii="Times New Roman" w:hAnsi="Times New Roman" w:cs="Times New Roman"/>
          <w:color w:val="000000"/>
          <w:sz w:val="24"/>
          <w:szCs w:val="24"/>
          <w:lang w:val="en-GB"/>
        </w:rPr>
        <w:t>, MARTA Centre has come across a new situation in the last years – namely,</w:t>
      </w:r>
      <w:r w:rsidR="00BC78F0" w:rsidRPr="00350AFA">
        <w:rPr>
          <w:rFonts w:ascii="Times New Roman" w:hAnsi="Times New Roman" w:cs="Times New Roman"/>
          <w:color w:val="000000"/>
          <w:sz w:val="24"/>
          <w:szCs w:val="24"/>
          <w:lang w:val="en-GB"/>
        </w:rPr>
        <w:t xml:space="preserve"> citizens of a third country, trafficked through Latvia</w:t>
      </w:r>
      <w:r w:rsidRPr="00350AFA">
        <w:rPr>
          <w:rFonts w:ascii="Times New Roman" w:hAnsi="Times New Roman" w:cs="Times New Roman"/>
          <w:color w:val="000000"/>
          <w:sz w:val="24"/>
          <w:szCs w:val="24"/>
          <w:lang w:val="en-GB"/>
        </w:rPr>
        <w:t xml:space="preserve"> presumably to other EU states, are detained on the border and, without any investigation on their situation, declared illegal immigrants and sent back to their country of origin. These people are usually sent back </w:t>
      </w:r>
      <w:r w:rsidR="00BC78F0" w:rsidRPr="00350AFA">
        <w:rPr>
          <w:rFonts w:ascii="Times New Roman" w:hAnsi="Times New Roman" w:cs="Times New Roman"/>
          <w:color w:val="000000"/>
          <w:sz w:val="24"/>
          <w:szCs w:val="24"/>
          <w:lang w:val="en-GB"/>
        </w:rPr>
        <w:t xml:space="preserve">to their countries </w:t>
      </w:r>
      <w:r w:rsidRPr="00350AFA">
        <w:rPr>
          <w:rFonts w:ascii="Times New Roman" w:hAnsi="Times New Roman" w:cs="Times New Roman"/>
          <w:color w:val="000000"/>
          <w:sz w:val="24"/>
          <w:szCs w:val="24"/>
          <w:lang w:val="en-GB"/>
        </w:rPr>
        <w:t>before MARTA Centre has a chance to meet them for inquiry. MARTA Centre suspects that these are not cases of illegal immigration but cases of human trafficking. The</w:t>
      </w:r>
      <w:r w:rsidR="00BC78F0" w:rsidRPr="00350AFA">
        <w:rPr>
          <w:rFonts w:ascii="Times New Roman" w:hAnsi="Times New Roman" w:cs="Times New Roman"/>
          <w:color w:val="000000"/>
          <w:sz w:val="24"/>
          <w:szCs w:val="24"/>
          <w:lang w:val="en-GB"/>
        </w:rPr>
        <w:t xml:space="preserve"> collaboration has to </w:t>
      </w:r>
      <w:proofErr w:type="gramStart"/>
      <w:r w:rsidR="00BC78F0" w:rsidRPr="00350AFA">
        <w:rPr>
          <w:rFonts w:ascii="Times New Roman" w:hAnsi="Times New Roman" w:cs="Times New Roman"/>
          <w:color w:val="000000"/>
          <w:sz w:val="24"/>
          <w:szCs w:val="24"/>
          <w:lang w:val="en-GB"/>
        </w:rPr>
        <w:t>be extended</w:t>
      </w:r>
      <w:proofErr w:type="gramEnd"/>
      <w:r w:rsidR="00BC78F0" w:rsidRPr="00350AFA">
        <w:rPr>
          <w:rFonts w:ascii="Times New Roman" w:hAnsi="Times New Roman" w:cs="Times New Roman"/>
          <w:color w:val="000000"/>
          <w:sz w:val="24"/>
          <w:szCs w:val="24"/>
          <w:lang w:val="en-GB"/>
        </w:rPr>
        <w:t xml:space="preserve"> and sufficient resources allocated to the Border Guard to better manage this situation. </w:t>
      </w:r>
      <w:r w:rsidR="007F1B0F" w:rsidRPr="00350AFA">
        <w:rPr>
          <w:rFonts w:ascii="Times New Roman" w:hAnsi="Times New Roman" w:cs="Times New Roman"/>
          <w:color w:val="000000"/>
          <w:sz w:val="24"/>
          <w:szCs w:val="24"/>
          <w:lang w:val="en-GB"/>
        </w:rPr>
        <w:t xml:space="preserve"> </w:t>
      </w:r>
    </w:p>
    <w:p w14:paraId="47FF7723" w14:textId="5B341FCE" w:rsidR="00350AFA" w:rsidRPr="00350AFA" w:rsidRDefault="00350AFA" w:rsidP="00350AFA">
      <w:pPr>
        <w:pStyle w:val="Default"/>
        <w:spacing w:after="120"/>
        <w:rPr>
          <w:b/>
          <w:lang w:val="en-GB"/>
        </w:rPr>
      </w:pPr>
      <w:r w:rsidRPr="00350AFA">
        <w:rPr>
          <w:b/>
          <w:lang w:val="en-GB"/>
        </w:rPr>
        <w:t>Comment</w:t>
      </w:r>
      <w:r w:rsidR="00595F18">
        <w:rPr>
          <w:b/>
          <w:lang w:val="en-GB"/>
        </w:rPr>
        <w:t>s</w:t>
      </w:r>
      <w:r w:rsidRPr="00350AFA">
        <w:rPr>
          <w:b/>
          <w:lang w:val="en-GB"/>
        </w:rPr>
        <w:t xml:space="preserve"> on</w:t>
      </w:r>
    </w:p>
    <w:p w14:paraId="61636768" w14:textId="09004113" w:rsidR="00541FAC" w:rsidRDefault="00745291" w:rsidP="00350AFA">
      <w:pPr>
        <w:autoSpaceDE w:val="0"/>
        <w:autoSpaceDN w:val="0"/>
        <w:adjustRightInd w:val="0"/>
        <w:spacing w:after="0"/>
        <w:jc w:val="both"/>
        <w:rPr>
          <w:rFonts w:ascii="Times New Roman" w:hAnsi="Times New Roman" w:cs="Times New Roman"/>
          <w:b/>
          <w:bCs/>
          <w:sz w:val="24"/>
          <w:szCs w:val="24"/>
          <w:lang w:val="en-GB"/>
        </w:rPr>
      </w:pPr>
      <w:r w:rsidRPr="00350AFA">
        <w:rPr>
          <w:rFonts w:ascii="Times New Roman" w:hAnsi="Times New Roman" w:cs="Times New Roman"/>
          <w:b/>
          <w:bCs/>
          <w:sz w:val="24"/>
          <w:szCs w:val="24"/>
          <w:lang w:val="en-GB"/>
        </w:rPr>
        <w:t>Committee recommendation in paragraph 60 – reduction of prostitution</w:t>
      </w:r>
    </w:p>
    <w:p w14:paraId="2E8A5BDF" w14:textId="6D99E73A" w:rsidR="00350AFA" w:rsidRDefault="00350AFA" w:rsidP="00350AFA">
      <w:pPr>
        <w:autoSpaceDE w:val="0"/>
        <w:autoSpaceDN w:val="0"/>
        <w:adjustRightInd w:val="0"/>
        <w:spacing w:after="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And</w:t>
      </w:r>
    </w:p>
    <w:p w14:paraId="45A579F3" w14:textId="1311A21D" w:rsidR="00350AFA" w:rsidRPr="00350AFA" w:rsidRDefault="00350AFA" w:rsidP="00350AFA">
      <w:pPr>
        <w:pStyle w:val="Default"/>
        <w:spacing w:after="240"/>
        <w:rPr>
          <w:b/>
          <w:bCs/>
          <w:lang w:val="en-GB"/>
        </w:rPr>
      </w:pPr>
      <w:r>
        <w:rPr>
          <w:b/>
          <w:bCs/>
          <w:lang w:val="en-GB"/>
        </w:rPr>
        <w:t>Paragraphs 101 to 114</w:t>
      </w:r>
      <w:r w:rsidRPr="00350AFA">
        <w:rPr>
          <w:b/>
          <w:bCs/>
          <w:lang w:val="en-GB"/>
        </w:rPr>
        <w:t xml:space="preserve"> in</w:t>
      </w:r>
      <w:r w:rsidR="00C01E02">
        <w:rPr>
          <w:b/>
          <w:bCs/>
          <w:lang w:val="en-GB"/>
        </w:rPr>
        <w:t xml:space="preserve"> State</w:t>
      </w:r>
      <w:r w:rsidRPr="00350AFA">
        <w:rPr>
          <w:b/>
          <w:bCs/>
          <w:lang w:val="en-GB"/>
        </w:rPr>
        <w:t xml:space="preserve"> Report</w:t>
      </w:r>
    </w:p>
    <w:p w14:paraId="2DFBE0FD" w14:textId="78B5BCB1" w:rsidR="00A13028" w:rsidRPr="00350AFA" w:rsidRDefault="00A13028" w:rsidP="00350ABF">
      <w:pPr>
        <w:autoSpaceDE w:val="0"/>
        <w:autoSpaceDN w:val="0"/>
        <w:adjustRightInd w:val="0"/>
        <w:spacing w:after="240"/>
        <w:jc w:val="both"/>
        <w:rPr>
          <w:rFonts w:ascii="Times New Roman" w:hAnsi="Times New Roman" w:cs="Times New Roman"/>
          <w:iCs/>
          <w:color w:val="000000"/>
          <w:sz w:val="24"/>
          <w:szCs w:val="24"/>
          <w:lang w:val="en-GB"/>
        </w:rPr>
      </w:pPr>
      <w:r w:rsidRPr="00350AFA">
        <w:rPr>
          <w:rFonts w:ascii="Times New Roman" w:hAnsi="Times New Roman" w:cs="Times New Roman"/>
          <w:sz w:val="24"/>
          <w:szCs w:val="24"/>
          <w:lang w:val="en-GB"/>
        </w:rPr>
        <w:t xml:space="preserve">As stated in the State Report, prostitution up until present has been regulated by Cabinet </w:t>
      </w:r>
      <w:r w:rsidR="00E701C5">
        <w:rPr>
          <w:rFonts w:ascii="Times New Roman" w:hAnsi="Times New Roman" w:cs="Times New Roman"/>
          <w:sz w:val="24"/>
          <w:szCs w:val="24"/>
          <w:lang w:val="en-GB"/>
        </w:rPr>
        <w:t>of Ministers</w:t>
      </w:r>
      <w:r w:rsidR="005A2C47">
        <w:rPr>
          <w:rFonts w:ascii="Times New Roman" w:hAnsi="Times New Roman" w:cs="Times New Roman"/>
          <w:sz w:val="24"/>
          <w:szCs w:val="24"/>
          <w:lang w:val="en-GB"/>
        </w:rPr>
        <w:t>’</w:t>
      </w:r>
      <w:r w:rsidR="00E701C5">
        <w:rPr>
          <w:rFonts w:ascii="Times New Roman" w:hAnsi="Times New Roman" w:cs="Times New Roman"/>
          <w:sz w:val="24"/>
          <w:szCs w:val="24"/>
          <w:lang w:val="en-GB"/>
        </w:rPr>
        <w:t xml:space="preserve"> R</w:t>
      </w:r>
      <w:r w:rsidRPr="00350AFA">
        <w:rPr>
          <w:rFonts w:ascii="Times New Roman" w:hAnsi="Times New Roman" w:cs="Times New Roman"/>
          <w:sz w:val="24"/>
          <w:szCs w:val="24"/>
          <w:lang w:val="en-GB"/>
        </w:rPr>
        <w:t>egulation</w:t>
      </w:r>
      <w:r w:rsidR="005A2C47">
        <w:rPr>
          <w:rFonts w:ascii="Times New Roman" w:hAnsi="Times New Roman" w:cs="Times New Roman"/>
          <w:sz w:val="24"/>
          <w:szCs w:val="24"/>
          <w:lang w:val="en-GB"/>
        </w:rPr>
        <w:t xml:space="preserve">. </w:t>
      </w:r>
      <w:r w:rsidR="00551F2D">
        <w:rPr>
          <w:rFonts w:ascii="Times New Roman" w:hAnsi="Times New Roman" w:cs="Times New Roman"/>
          <w:sz w:val="24"/>
          <w:szCs w:val="24"/>
          <w:lang w:val="en-GB"/>
        </w:rPr>
        <w:t>Few years ago</w:t>
      </w:r>
      <w:r w:rsidR="002636FD" w:rsidRPr="00350AFA">
        <w:rPr>
          <w:rFonts w:ascii="Times New Roman" w:hAnsi="Times New Roman" w:cs="Times New Roman"/>
          <w:color w:val="FF0000"/>
          <w:sz w:val="24"/>
          <w:szCs w:val="24"/>
          <w:lang w:val="en-GB"/>
        </w:rPr>
        <w:t xml:space="preserve"> </w:t>
      </w:r>
      <w:r w:rsidR="002636FD" w:rsidRPr="00350AFA">
        <w:rPr>
          <w:rFonts w:ascii="Times New Roman" w:hAnsi="Times New Roman" w:cs="Times New Roman"/>
          <w:color w:val="000000" w:themeColor="text1"/>
          <w:sz w:val="24"/>
          <w:szCs w:val="24"/>
          <w:lang w:val="en-GB"/>
        </w:rPr>
        <w:t xml:space="preserve">a working group </w:t>
      </w:r>
      <w:r w:rsidR="005A2C47">
        <w:rPr>
          <w:rFonts w:ascii="Times New Roman" w:hAnsi="Times New Roman" w:cs="Times New Roman"/>
          <w:color w:val="000000" w:themeColor="text1"/>
          <w:sz w:val="24"/>
          <w:szCs w:val="24"/>
          <w:lang w:val="en-GB"/>
        </w:rPr>
        <w:t xml:space="preserve">including </w:t>
      </w:r>
      <w:r w:rsidR="00A1723F">
        <w:rPr>
          <w:rFonts w:ascii="Times New Roman" w:hAnsi="Times New Roman" w:cs="Times New Roman"/>
          <w:color w:val="000000" w:themeColor="text1"/>
          <w:sz w:val="24"/>
          <w:szCs w:val="24"/>
          <w:lang w:val="en-GB"/>
        </w:rPr>
        <w:t>NGOs, P</w:t>
      </w:r>
      <w:r w:rsidR="002636FD" w:rsidRPr="00350AFA">
        <w:rPr>
          <w:rFonts w:ascii="Times New Roman" w:hAnsi="Times New Roman" w:cs="Times New Roman"/>
          <w:color w:val="000000" w:themeColor="text1"/>
          <w:sz w:val="24"/>
          <w:szCs w:val="24"/>
          <w:lang w:val="en-GB"/>
        </w:rPr>
        <w:t xml:space="preserve">olice, ministry representatives and other actors was </w:t>
      </w:r>
      <w:r w:rsidR="005A2C47">
        <w:rPr>
          <w:rFonts w:ascii="Times New Roman" w:hAnsi="Times New Roman" w:cs="Times New Roman"/>
          <w:color w:val="000000" w:themeColor="text1"/>
          <w:sz w:val="24"/>
          <w:szCs w:val="24"/>
          <w:lang w:val="en-GB"/>
        </w:rPr>
        <w:t>set up</w:t>
      </w:r>
      <w:r w:rsidR="002636FD" w:rsidRPr="00350AFA">
        <w:rPr>
          <w:rFonts w:ascii="Times New Roman" w:hAnsi="Times New Roman" w:cs="Times New Roman"/>
          <w:color w:val="000000" w:themeColor="text1"/>
          <w:sz w:val="24"/>
          <w:szCs w:val="24"/>
          <w:lang w:val="en-GB"/>
        </w:rPr>
        <w:t xml:space="preserve"> to draft a</w:t>
      </w:r>
      <w:r w:rsidR="00E701C5">
        <w:rPr>
          <w:rFonts w:ascii="Times New Roman" w:hAnsi="Times New Roman" w:cs="Times New Roman"/>
          <w:color w:val="000000" w:themeColor="text1"/>
          <w:sz w:val="24"/>
          <w:szCs w:val="24"/>
          <w:lang w:val="en-GB"/>
        </w:rPr>
        <w:t xml:space="preserve"> </w:t>
      </w:r>
      <w:r w:rsidR="002636FD" w:rsidRPr="00350AFA">
        <w:rPr>
          <w:rFonts w:ascii="Times New Roman" w:hAnsi="Times New Roman" w:cs="Times New Roman"/>
          <w:i/>
          <w:iCs/>
          <w:color w:val="000000"/>
          <w:sz w:val="24"/>
          <w:szCs w:val="24"/>
          <w:lang w:val="en-GB"/>
        </w:rPr>
        <w:t>“Law on Prostitution Restrictions”</w:t>
      </w:r>
      <w:r w:rsidR="00A1723F">
        <w:rPr>
          <w:rFonts w:ascii="Times New Roman" w:hAnsi="Times New Roman" w:cs="Times New Roman"/>
          <w:i/>
          <w:iCs/>
          <w:color w:val="000000"/>
          <w:sz w:val="24"/>
          <w:szCs w:val="24"/>
          <w:lang w:val="en-GB"/>
        </w:rPr>
        <w:t xml:space="preserve"> </w:t>
      </w:r>
      <w:r w:rsidR="00A1723F">
        <w:rPr>
          <w:rFonts w:ascii="Times New Roman" w:hAnsi="Times New Roman" w:cs="Times New Roman"/>
          <w:iCs/>
          <w:color w:val="000000"/>
          <w:sz w:val="24"/>
          <w:szCs w:val="24"/>
          <w:lang w:val="en-GB"/>
        </w:rPr>
        <w:t>which will become the main legislative norm to regulate the issue</w:t>
      </w:r>
      <w:r w:rsidR="002636FD" w:rsidRPr="00350AFA">
        <w:rPr>
          <w:rFonts w:ascii="Times New Roman" w:hAnsi="Times New Roman" w:cs="Times New Roman"/>
          <w:i/>
          <w:iCs/>
          <w:color w:val="000000"/>
          <w:sz w:val="24"/>
          <w:szCs w:val="24"/>
          <w:lang w:val="en-GB"/>
        </w:rPr>
        <w:t xml:space="preserve">. </w:t>
      </w:r>
      <w:r w:rsidR="004A4D6F" w:rsidRPr="00350AFA">
        <w:rPr>
          <w:rFonts w:ascii="Times New Roman" w:hAnsi="Times New Roman" w:cs="Times New Roman"/>
          <w:iCs/>
          <w:color w:val="000000"/>
          <w:sz w:val="24"/>
          <w:szCs w:val="24"/>
          <w:lang w:val="en-GB"/>
        </w:rPr>
        <w:t xml:space="preserve">MARTA Centre experts were also </w:t>
      </w:r>
      <w:r w:rsidR="00F96880">
        <w:rPr>
          <w:rFonts w:ascii="Times New Roman" w:hAnsi="Times New Roman" w:cs="Times New Roman"/>
          <w:iCs/>
          <w:color w:val="000000"/>
          <w:sz w:val="24"/>
          <w:szCs w:val="24"/>
          <w:lang w:val="en-GB"/>
        </w:rPr>
        <w:t>members</w:t>
      </w:r>
      <w:r w:rsidR="004A4D6F" w:rsidRPr="00350AFA">
        <w:rPr>
          <w:rFonts w:ascii="Times New Roman" w:hAnsi="Times New Roman" w:cs="Times New Roman"/>
          <w:iCs/>
          <w:color w:val="000000"/>
          <w:sz w:val="24"/>
          <w:szCs w:val="24"/>
          <w:lang w:val="en-GB"/>
        </w:rPr>
        <w:t xml:space="preserve"> of the law drafting </w:t>
      </w:r>
      <w:r w:rsidR="00E701C5">
        <w:rPr>
          <w:rFonts w:ascii="Times New Roman" w:hAnsi="Times New Roman" w:cs="Times New Roman"/>
          <w:iCs/>
          <w:color w:val="000000"/>
          <w:sz w:val="24"/>
          <w:szCs w:val="24"/>
          <w:lang w:val="en-GB"/>
        </w:rPr>
        <w:t>group</w:t>
      </w:r>
      <w:r w:rsidR="00A1723F">
        <w:rPr>
          <w:rFonts w:ascii="Times New Roman" w:hAnsi="Times New Roman" w:cs="Times New Roman"/>
          <w:iCs/>
          <w:color w:val="000000"/>
          <w:sz w:val="24"/>
          <w:szCs w:val="24"/>
          <w:lang w:val="en-GB"/>
        </w:rPr>
        <w:t>, and the process has taken up until the present</w:t>
      </w:r>
      <w:r w:rsidR="004A4D6F" w:rsidRPr="00350AFA">
        <w:rPr>
          <w:rFonts w:ascii="Times New Roman" w:hAnsi="Times New Roman" w:cs="Times New Roman"/>
          <w:iCs/>
          <w:color w:val="000000"/>
          <w:sz w:val="24"/>
          <w:szCs w:val="24"/>
          <w:lang w:val="en-GB"/>
        </w:rPr>
        <w:t xml:space="preserve">. </w:t>
      </w:r>
    </w:p>
    <w:p w14:paraId="79C8B097" w14:textId="22E719AD" w:rsidR="00F96880" w:rsidRDefault="004A4D6F" w:rsidP="00350ABF">
      <w:pPr>
        <w:autoSpaceDE w:val="0"/>
        <w:autoSpaceDN w:val="0"/>
        <w:adjustRightInd w:val="0"/>
        <w:spacing w:after="240"/>
        <w:jc w:val="both"/>
        <w:rPr>
          <w:rFonts w:ascii="Times New Roman" w:hAnsi="Times New Roman" w:cs="Times New Roman"/>
          <w:iCs/>
          <w:color w:val="000000"/>
          <w:sz w:val="24"/>
          <w:szCs w:val="24"/>
          <w:lang w:val="en-GB"/>
        </w:rPr>
      </w:pPr>
      <w:r w:rsidRPr="00350AFA">
        <w:rPr>
          <w:rFonts w:ascii="Times New Roman" w:hAnsi="Times New Roman" w:cs="Times New Roman"/>
          <w:iCs/>
          <w:color w:val="000000"/>
          <w:sz w:val="24"/>
          <w:szCs w:val="24"/>
          <w:lang w:val="en-GB"/>
        </w:rPr>
        <w:t>Regarding the co</w:t>
      </w:r>
      <w:r w:rsidR="00A7100B" w:rsidRPr="00350AFA">
        <w:rPr>
          <w:rFonts w:ascii="Times New Roman" w:hAnsi="Times New Roman" w:cs="Times New Roman"/>
          <w:iCs/>
          <w:color w:val="000000"/>
          <w:sz w:val="24"/>
          <w:szCs w:val="24"/>
          <w:lang w:val="en-GB"/>
        </w:rPr>
        <w:t>n</w:t>
      </w:r>
      <w:r w:rsidRPr="00350AFA">
        <w:rPr>
          <w:rFonts w:ascii="Times New Roman" w:hAnsi="Times New Roman" w:cs="Times New Roman"/>
          <w:iCs/>
          <w:color w:val="000000"/>
          <w:sz w:val="24"/>
          <w:szCs w:val="24"/>
          <w:lang w:val="en-GB"/>
        </w:rPr>
        <w:t>tent of the</w:t>
      </w:r>
      <w:r w:rsidR="00F96880">
        <w:rPr>
          <w:rFonts w:ascii="Times New Roman" w:hAnsi="Times New Roman" w:cs="Times New Roman"/>
          <w:iCs/>
          <w:color w:val="000000"/>
          <w:sz w:val="24"/>
          <w:szCs w:val="24"/>
          <w:lang w:val="en-GB"/>
        </w:rPr>
        <w:t xml:space="preserve"> new</w:t>
      </w:r>
      <w:r w:rsidRPr="00350AFA">
        <w:rPr>
          <w:rFonts w:ascii="Times New Roman" w:hAnsi="Times New Roman" w:cs="Times New Roman"/>
          <w:iCs/>
          <w:color w:val="000000"/>
          <w:sz w:val="24"/>
          <w:szCs w:val="24"/>
          <w:lang w:val="en-GB"/>
        </w:rPr>
        <w:t xml:space="preserve"> law: </w:t>
      </w:r>
      <w:r w:rsidR="001331DE" w:rsidRPr="00350AFA">
        <w:rPr>
          <w:rFonts w:ascii="Times New Roman" w:hAnsi="Times New Roman" w:cs="Times New Roman"/>
          <w:iCs/>
          <w:color w:val="000000"/>
          <w:sz w:val="24"/>
          <w:szCs w:val="24"/>
          <w:lang w:val="en-GB"/>
        </w:rPr>
        <w:t xml:space="preserve">MARTA Centre has expressed repeatedly that according to </w:t>
      </w:r>
      <w:r w:rsidR="00541CAF">
        <w:rPr>
          <w:rFonts w:ascii="Times New Roman" w:hAnsi="Times New Roman" w:cs="Times New Roman"/>
          <w:iCs/>
          <w:color w:val="000000"/>
          <w:sz w:val="24"/>
          <w:szCs w:val="24"/>
          <w:lang w:val="en-GB"/>
        </w:rPr>
        <w:t xml:space="preserve">data and </w:t>
      </w:r>
      <w:r w:rsidR="001331DE" w:rsidRPr="00350AFA">
        <w:rPr>
          <w:rFonts w:ascii="Times New Roman" w:hAnsi="Times New Roman" w:cs="Times New Roman"/>
          <w:iCs/>
          <w:color w:val="000000"/>
          <w:sz w:val="24"/>
          <w:szCs w:val="24"/>
          <w:lang w:val="en-GB"/>
        </w:rPr>
        <w:t xml:space="preserve">our understanding of </w:t>
      </w:r>
      <w:r w:rsidR="003615D8">
        <w:rPr>
          <w:rFonts w:ascii="Times New Roman" w:hAnsi="Times New Roman" w:cs="Times New Roman"/>
          <w:iCs/>
          <w:color w:val="000000"/>
          <w:sz w:val="24"/>
          <w:szCs w:val="24"/>
          <w:lang w:val="en-GB"/>
        </w:rPr>
        <w:t xml:space="preserve">the </w:t>
      </w:r>
      <w:r w:rsidR="001331DE" w:rsidRPr="00350AFA">
        <w:rPr>
          <w:rFonts w:ascii="Times New Roman" w:hAnsi="Times New Roman" w:cs="Times New Roman"/>
          <w:iCs/>
          <w:color w:val="000000"/>
          <w:sz w:val="24"/>
          <w:szCs w:val="24"/>
          <w:lang w:val="en-GB"/>
        </w:rPr>
        <w:t>sexual exploitation victims’ situation, the present Regulation does not reach its aim due to unfounded assumptions being included there</w:t>
      </w:r>
      <w:r w:rsidR="00F96880">
        <w:rPr>
          <w:rFonts w:ascii="Times New Roman" w:hAnsi="Times New Roman" w:cs="Times New Roman"/>
          <w:iCs/>
          <w:color w:val="000000"/>
          <w:sz w:val="24"/>
          <w:szCs w:val="24"/>
          <w:lang w:val="en-GB"/>
        </w:rPr>
        <w:t>in</w:t>
      </w:r>
      <w:r w:rsidR="001331DE" w:rsidRPr="00350AFA">
        <w:rPr>
          <w:rFonts w:ascii="Times New Roman" w:hAnsi="Times New Roman" w:cs="Times New Roman"/>
          <w:iCs/>
          <w:color w:val="000000"/>
          <w:sz w:val="24"/>
          <w:szCs w:val="24"/>
          <w:lang w:val="en-GB"/>
        </w:rPr>
        <w:t xml:space="preserve"> (e.g., that prostituted persons have a lot of choice regarding when and where they are bought for sex, and therefore fining them will change their behavio</w:t>
      </w:r>
      <w:r w:rsidR="00350AFA">
        <w:rPr>
          <w:rFonts w:ascii="Times New Roman" w:hAnsi="Times New Roman" w:cs="Times New Roman"/>
          <w:iCs/>
          <w:color w:val="000000"/>
          <w:sz w:val="24"/>
          <w:szCs w:val="24"/>
          <w:lang w:val="en-GB"/>
        </w:rPr>
        <w:t>u</w:t>
      </w:r>
      <w:r w:rsidR="001331DE" w:rsidRPr="00350AFA">
        <w:rPr>
          <w:rFonts w:ascii="Times New Roman" w:hAnsi="Times New Roman" w:cs="Times New Roman"/>
          <w:iCs/>
          <w:color w:val="000000"/>
          <w:sz w:val="24"/>
          <w:szCs w:val="24"/>
          <w:lang w:val="en-GB"/>
        </w:rPr>
        <w:t xml:space="preserve">r). Unfortunately, despite our repeated objections, this provision </w:t>
      </w:r>
      <w:r w:rsidR="00F96880">
        <w:rPr>
          <w:rFonts w:ascii="Times New Roman" w:hAnsi="Times New Roman" w:cs="Times New Roman"/>
          <w:iCs/>
          <w:color w:val="000000"/>
          <w:sz w:val="24"/>
          <w:szCs w:val="24"/>
          <w:lang w:val="en-GB"/>
        </w:rPr>
        <w:t>(</w:t>
      </w:r>
      <w:r w:rsidR="0069316E">
        <w:rPr>
          <w:rFonts w:ascii="Times New Roman" w:hAnsi="Times New Roman" w:cs="Times New Roman"/>
          <w:iCs/>
          <w:color w:val="000000"/>
          <w:sz w:val="24"/>
          <w:szCs w:val="24"/>
          <w:lang w:val="en-GB"/>
        </w:rPr>
        <w:t>fining the prostituted persons)</w:t>
      </w:r>
      <w:r w:rsidR="001331DE" w:rsidRPr="00350AFA">
        <w:rPr>
          <w:rFonts w:ascii="Times New Roman" w:hAnsi="Times New Roman" w:cs="Times New Roman"/>
          <w:iCs/>
          <w:color w:val="000000"/>
          <w:sz w:val="24"/>
          <w:szCs w:val="24"/>
          <w:lang w:val="en-GB"/>
        </w:rPr>
        <w:t xml:space="preserve"> </w:t>
      </w:r>
      <w:r w:rsidR="00F96880">
        <w:rPr>
          <w:rFonts w:ascii="Times New Roman" w:hAnsi="Times New Roman" w:cs="Times New Roman"/>
          <w:iCs/>
          <w:color w:val="000000"/>
          <w:sz w:val="24"/>
          <w:szCs w:val="24"/>
          <w:lang w:val="en-GB"/>
        </w:rPr>
        <w:t xml:space="preserve">not only </w:t>
      </w:r>
      <w:r w:rsidR="0069316E">
        <w:rPr>
          <w:rFonts w:ascii="Times New Roman" w:hAnsi="Times New Roman" w:cs="Times New Roman"/>
          <w:iCs/>
          <w:color w:val="000000"/>
          <w:sz w:val="24"/>
          <w:szCs w:val="24"/>
          <w:lang w:val="en-GB"/>
        </w:rPr>
        <w:t xml:space="preserve">has not been </w:t>
      </w:r>
      <w:r w:rsidR="00F96880">
        <w:rPr>
          <w:rFonts w:ascii="Times New Roman" w:hAnsi="Times New Roman" w:cs="Times New Roman"/>
          <w:iCs/>
          <w:color w:val="000000"/>
          <w:sz w:val="24"/>
          <w:szCs w:val="24"/>
          <w:lang w:val="en-GB"/>
        </w:rPr>
        <w:t xml:space="preserve">rejected, it has been included in the new law. This means that </w:t>
      </w:r>
      <w:r w:rsidR="001331DE" w:rsidRPr="00350AFA">
        <w:rPr>
          <w:rFonts w:ascii="Times New Roman" w:hAnsi="Times New Roman" w:cs="Times New Roman"/>
          <w:iCs/>
          <w:color w:val="000000"/>
          <w:sz w:val="24"/>
          <w:szCs w:val="24"/>
          <w:lang w:val="en-GB"/>
        </w:rPr>
        <w:t xml:space="preserve">prostituted persons </w:t>
      </w:r>
      <w:r w:rsidR="0069316E">
        <w:rPr>
          <w:rFonts w:ascii="Times New Roman" w:hAnsi="Times New Roman" w:cs="Times New Roman"/>
          <w:iCs/>
          <w:color w:val="000000"/>
          <w:sz w:val="24"/>
          <w:szCs w:val="24"/>
          <w:lang w:val="en-GB"/>
        </w:rPr>
        <w:t>will</w:t>
      </w:r>
      <w:r w:rsidR="001331DE" w:rsidRPr="00350AFA">
        <w:rPr>
          <w:rFonts w:ascii="Times New Roman" w:hAnsi="Times New Roman" w:cs="Times New Roman"/>
          <w:iCs/>
          <w:color w:val="000000"/>
          <w:sz w:val="24"/>
          <w:szCs w:val="24"/>
          <w:lang w:val="en-GB"/>
        </w:rPr>
        <w:t xml:space="preserve"> still be fined if they are bought </w:t>
      </w:r>
      <w:r w:rsidR="00F96880">
        <w:rPr>
          <w:rFonts w:ascii="Times New Roman" w:hAnsi="Times New Roman" w:cs="Times New Roman"/>
          <w:iCs/>
          <w:color w:val="000000"/>
          <w:sz w:val="24"/>
          <w:szCs w:val="24"/>
          <w:lang w:val="en-GB"/>
        </w:rPr>
        <w:t xml:space="preserve">for sex </w:t>
      </w:r>
      <w:r w:rsidR="001331DE" w:rsidRPr="00350AFA">
        <w:rPr>
          <w:rFonts w:ascii="Times New Roman" w:hAnsi="Times New Roman" w:cs="Times New Roman"/>
          <w:iCs/>
          <w:color w:val="000000"/>
          <w:sz w:val="24"/>
          <w:szCs w:val="24"/>
          <w:lang w:val="en-GB"/>
        </w:rPr>
        <w:t xml:space="preserve">in places prohibited by this </w:t>
      </w:r>
      <w:r w:rsidR="0069316E">
        <w:rPr>
          <w:rFonts w:ascii="Times New Roman" w:hAnsi="Times New Roman" w:cs="Times New Roman"/>
          <w:iCs/>
          <w:color w:val="000000"/>
          <w:sz w:val="24"/>
          <w:szCs w:val="24"/>
          <w:lang w:val="en-GB"/>
        </w:rPr>
        <w:t xml:space="preserve">new </w:t>
      </w:r>
      <w:r w:rsidR="001331DE" w:rsidRPr="00350AFA">
        <w:rPr>
          <w:rFonts w:ascii="Times New Roman" w:hAnsi="Times New Roman" w:cs="Times New Roman"/>
          <w:iCs/>
          <w:color w:val="000000"/>
          <w:sz w:val="24"/>
          <w:szCs w:val="24"/>
          <w:lang w:val="en-GB"/>
        </w:rPr>
        <w:t xml:space="preserve">law. </w:t>
      </w:r>
    </w:p>
    <w:p w14:paraId="5FE999C0" w14:textId="6F13FC7F" w:rsidR="00904A1C" w:rsidRDefault="001331DE" w:rsidP="00350ABF">
      <w:pPr>
        <w:autoSpaceDE w:val="0"/>
        <w:autoSpaceDN w:val="0"/>
        <w:adjustRightInd w:val="0"/>
        <w:spacing w:after="240"/>
        <w:jc w:val="both"/>
        <w:rPr>
          <w:rFonts w:ascii="Times New Roman" w:hAnsi="Times New Roman" w:cs="Times New Roman"/>
          <w:iCs/>
          <w:color w:val="000000"/>
          <w:sz w:val="24"/>
          <w:szCs w:val="24"/>
          <w:lang w:val="en-GB"/>
        </w:rPr>
      </w:pPr>
      <w:r w:rsidRPr="00350AFA">
        <w:rPr>
          <w:rFonts w:ascii="Times New Roman" w:hAnsi="Times New Roman" w:cs="Times New Roman"/>
          <w:iCs/>
          <w:color w:val="000000"/>
          <w:sz w:val="24"/>
          <w:szCs w:val="24"/>
          <w:lang w:val="en-GB"/>
        </w:rPr>
        <w:t xml:space="preserve">Another measure </w:t>
      </w:r>
      <w:r w:rsidR="00D82673">
        <w:rPr>
          <w:rFonts w:ascii="Times New Roman" w:hAnsi="Times New Roman" w:cs="Times New Roman"/>
          <w:iCs/>
          <w:color w:val="000000"/>
          <w:sz w:val="24"/>
          <w:szCs w:val="24"/>
          <w:lang w:val="en-GB"/>
        </w:rPr>
        <w:t>included in the new law</w:t>
      </w:r>
      <w:r w:rsidR="00D82673" w:rsidRPr="00350AFA">
        <w:rPr>
          <w:rFonts w:ascii="Times New Roman" w:hAnsi="Times New Roman" w:cs="Times New Roman"/>
          <w:iCs/>
          <w:color w:val="000000"/>
          <w:sz w:val="24"/>
          <w:szCs w:val="24"/>
          <w:lang w:val="en-GB"/>
        </w:rPr>
        <w:t xml:space="preserve"> </w:t>
      </w:r>
      <w:r w:rsidRPr="00350AFA">
        <w:rPr>
          <w:rFonts w:ascii="Times New Roman" w:hAnsi="Times New Roman" w:cs="Times New Roman"/>
          <w:iCs/>
          <w:color w:val="000000"/>
          <w:sz w:val="24"/>
          <w:szCs w:val="24"/>
          <w:lang w:val="en-GB"/>
        </w:rPr>
        <w:t>that MARTA Centre has called out multiple times is the prohibition</w:t>
      </w:r>
      <w:r w:rsidR="00F96880">
        <w:rPr>
          <w:rFonts w:ascii="Times New Roman" w:hAnsi="Times New Roman" w:cs="Times New Roman"/>
          <w:iCs/>
          <w:color w:val="000000"/>
          <w:sz w:val="24"/>
          <w:szCs w:val="24"/>
          <w:lang w:val="en-GB"/>
        </w:rPr>
        <w:t xml:space="preserve"> </w:t>
      </w:r>
      <w:r w:rsidRPr="00350AFA">
        <w:rPr>
          <w:rFonts w:ascii="Times New Roman" w:hAnsi="Times New Roman" w:cs="Times New Roman"/>
          <w:iCs/>
          <w:color w:val="000000"/>
          <w:sz w:val="24"/>
          <w:szCs w:val="24"/>
          <w:lang w:val="en-GB"/>
        </w:rPr>
        <w:t xml:space="preserve">to be involved in prostitution below the age of 25, and to use the prostitution of a person who is under 25. MARTA Centre’s knowledge shows that most prostituted persons have been involved as minors, and that sex buyers </w:t>
      </w:r>
      <w:r w:rsidR="00D82673">
        <w:rPr>
          <w:rFonts w:ascii="Times New Roman" w:hAnsi="Times New Roman" w:cs="Times New Roman"/>
          <w:iCs/>
          <w:color w:val="000000"/>
          <w:sz w:val="24"/>
          <w:szCs w:val="24"/>
          <w:lang w:val="en-GB"/>
        </w:rPr>
        <w:t xml:space="preserve">either </w:t>
      </w:r>
      <w:r w:rsidRPr="00350AFA">
        <w:rPr>
          <w:rFonts w:ascii="Times New Roman" w:hAnsi="Times New Roman" w:cs="Times New Roman"/>
          <w:iCs/>
          <w:color w:val="000000"/>
          <w:sz w:val="24"/>
          <w:szCs w:val="24"/>
          <w:lang w:val="en-GB"/>
        </w:rPr>
        <w:t>do not bother with getting to know the age of</w:t>
      </w:r>
      <w:r w:rsidR="0069316E">
        <w:rPr>
          <w:rFonts w:ascii="Times New Roman" w:hAnsi="Times New Roman" w:cs="Times New Roman"/>
          <w:iCs/>
          <w:color w:val="000000"/>
          <w:sz w:val="24"/>
          <w:szCs w:val="24"/>
          <w:lang w:val="en-GB"/>
        </w:rPr>
        <w:t xml:space="preserve"> the </w:t>
      </w:r>
      <w:proofErr w:type="gramStart"/>
      <w:r w:rsidR="0069316E">
        <w:rPr>
          <w:rFonts w:ascii="Times New Roman" w:hAnsi="Times New Roman" w:cs="Times New Roman"/>
          <w:iCs/>
          <w:color w:val="000000"/>
          <w:sz w:val="24"/>
          <w:szCs w:val="24"/>
          <w:lang w:val="en-GB"/>
        </w:rPr>
        <w:t>person</w:t>
      </w:r>
      <w:proofErr w:type="gramEnd"/>
      <w:r w:rsidR="0069316E">
        <w:rPr>
          <w:rFonts w:ascii="Times New Roman" w:hAnsi="Times New Roman" w:cs="Times New Roman"/>
          <w:iCs/>
          <w:color w:val="000000"/>
          <w:sz w:val="24"/>
          <w:szCs w:val="24"/>
          <w:lang w:val="en-GB"/>
        </w:rPr>
        <w:t xml:space="preserve"> they buy or</w:t>
      </w:r>
      <w:r w:rsidR="00D82673">
        <w:rPr>
          <w:rFonts w:ascii="Times New Roman" w:hAnsi="Times New Roman" w:cs="Times New Roman"/>
          <w:iCs/>
          <w:color w:val="000000"/>
          <w:sz w:val="24"/>
          <w:szCs w:val="24"/>
          <w:lang w:val="en-GB"/>
        </w:rPr>
        <w:t xml:space="preserve"> they</w:t>
      </w:r>
      <w:r w:rsidR="0069316E">
        <w:rPr>
          <w:rFonts w:ascii="Times New Roman" w:hAnsi="Times New Roman" w:cs="Times New Roman"/>
          <w:iCs/>
          <w:color w:val="000000"/>
          <w:sz w:val="24"/>
          <w:szCs w:val="24"/>
          <w:lang w:val="en-GB"/>
        </w:rPr>
        <w:t xml:space="preserve"> buy </w:t>
      </w:r>
      <w:r w:rsidR="00B52B94">
        <w:rPr>
          <w:rFonts w:ascii="Times New Roman" w:hAnsi="Times New Roman" w:cs="Times New Roman"/>
          <w:iCs/>
          <w:color w:val="000000"/>
          <w:sz w:val="24"/>
          <w:szCs w:val="24"/>
          <w:lang w:val="en-GB"/>
        </w:rPr>
        <w:t>very-young-looking or even underage</w:t>
      </w:r>
      <w:r w:rsidR="0069316E">
        <w:rPr>
          <w:rFonts w:ascii="Times New Roman" w:hAnsi="Times New Roman" w:cs="Times New Roman"/>
          <w:iCs/>
          <w:color w:val="000000"/>
          <w:sz w:val="24"/>
          <w:szCs w:val="24"/>
          <w:lang w:val="en-GB"/>
        </w:rPr>
        <w:t xml:space="preserve"> girls purposefully</w:t>
      </w:r>
      <w:r w:rsidRPr="00350AFA">
        <w:rPr>
          <w:rFonts w:ascii="Times New Roman" w:hAnsi="Times New Roman" w:cs="Times New Roman"/>
          <w:iCs/>
          <w:color w:val="000000"/>
          <w:sz w:val="24"/>
          <w:szCs w:val="24"/>
          <w:lang w:val="en-GB"/>
        </w:rPr>
        <w:t>.</w:t>
      </w:r>
      <w:r w:rsidR="00904A1C">
        <w:rPr>
          <w:rFonts w:ascii="Times New Roman" w:hAnsi="Times New Roman" w:cs="Times New Roman"/>
          <w:iCs/>
          <w:color w:val="000000"/>
          <w:sz w:val="24"/>
          <w:szCs w:val="24"/>
          <w:lang w:val="en-GB"/>
        </w:rPr>
        <w:t xml:space="preserve"> Taking into account the context and grave circumstances of persons involved in prostitution, this norm does not protect them, but rather makes the</w:t>
      </w:r>
      <w:r w:rsidR="00A90B0A">
        <w:rPr>
          <w:rFonts w:ascii="Times New Roman" w:hAnsi="Times New Roman" w:cs="Times New Roman"/>
          <w:iCs/>
          <w:color w:val="000000"/>
          <w:sz w:val="24"/>
          <w:szCs w:val="24"/>
          <w:lang w:val="en-GB"/>
        </w:rPr>
        <w:t>m</w:t>
      </w:r>
      <w:r w:rsidR="00904A1C">
        <w:rPr>
          <w:rFonts w:ascii="Times New Roman" w:hAnsi="Times New Roman" w:cs="Times New Roman"/>
          <w:iCs/>
          <w:color w:val="000000"/>
          <w:sz w:val="24"/>
          <w:szCs w:val="24"/>
          <w:lang w:val="en-GB"/>
        </w:rPr>
        <w:t xml:space="preserve"> more vulnerable to abuse, including from the police. </w:t>
      </w:r>
    </w:p>
    <w:p w14:paraId="1391CB47" w14:textId="592C142D" w:rsidR="00481E34" w:rsidRDefault="00481E34" w:rsidP="00350ABF">
      <w:pPr>
        <w:autoSpaceDE w:val="0"/>
        <w:autoSpaceDN w:val="0"/>
        <w:adjustRightInd w:val="0"/>
        <w:spacing w:after="240"/>
        <w:jc w:val="both"/>
        <w:rPr>
          <w:rFonts w:ascii="Times New Roman" w:hAnsi="Times New Roman" w:cs="Times New Roman"/>
          <w:iCs/>
          <w:color w:val="000000"/>
          <w:sz w:val="24"/>
          <w:szCs w:val="24"/>
          <w:lang w:val="en-GB"/>
        </w:rPr>
      </w:pPr>
      <w:r>
        <w:rPr>
          <w:rFonts w:ascii="Times New Roman" w:hAnsi="Times New Roman" w:cs="Times New Roman"/>
          <w:iCs/>
          <w:color w:val="000000"/>
          <w:sz w:val="24"/>
          <w:szCs w:val="24"/>
          <w:lang w:val="en-GB"/>
        </w:rPr>
        <w:t xml:space="preserve">The same goes for the prohibition to use the prostitution of a human trafficking victim. France had a similar provision before adopting the new law, and it became clear </w:t>
      </w:r>
      <w:r w:rsidR="002241A3">
        <w:rPr>
          <w:rFonts w:ascii="Times New Roman" w:hAnsi="Times New Roman" w:cs="Times New Roman"/>
          <w:iCs/>
          <w:color w:val="000000"/>
          <w:sz w:val="24"/>
          <w:szCs w:val="24"/>
          <w:lang w:val="en-GB"/>
        </w:rPr>
        <w:t xml:space="preserve">eventually </w:t>
      </w:r>
      <w:r>
        <w:rPr>
          <w:rFonts w:ascii="Times New Roman" w:hAnsi="Times New Roman" w:cs="Times New Roman"/>
          <w:iCs/>
          <w:color w:val="000000"/>
          <w:sz w:val="24"/>
          <w:szCs w:val="24"/>
          <w:lang w:val="en-GB"/>
        </w:rPr>
        <w:t>that</w:t>
      </w:r>
      <w:r w:rsidR="00A90B0A">
        <w:rPr>
          <w:rFonts w:ascii="Times New Roman" w:hAnsi="Times New Roman" w:cs="Times New Roman"/>
          <w:iCs/>
          <w:color w:val="000000"/>
          <w:sz w:val="24"/>
          <w:szCs w:val="24"/>
          <w:lang w:val="en-GB"/>
        </w:rPr>
        <w:t xml:space="preserve"> the distinction between “consented” and “forced” prostitution</w:t>
      </w:r>
      <w:r>
        <w:rPr>
          <w:rFonts w:ascii="Times New Roman" w:hAnsi="Times New Roman" w:cs="Times New Roman"/>
          <w:iCs/>
          <w:color w:val="000000"/>
          <w:sz w:val="24"/>
          <w:szCs w:val="24"/>
          <w:lang w:val="en-GB"/>
        </w:rPr>
        <w:t xml:space="preserve"> is meaningless as almost no person is involved in prostitution out of persona</w:t>
      </w:r>
      <w:r w:rsidR="00662111">
        <w:rPr>
          <w:rFonts w:ascii="Times New Roman" w:hAnsi="Times New Roman" w:cs="Times New Roman"/>
          <w:iCs/>
          <w:color w:val="000000"/>
          <w:sz w:val="24"/>
          <w:szCs w:val="24"/>
          <w:lang w:val="en-GB"/>
        </w:rPr>
        <w:t>l</w:t>
      </w:r>
      <w:r w:rsidR="00A90B0A">
        <w:rPr>
          <w:rFonts w:ascii="Times New Roman" w:hAnsi="Times New Roman" w:cs="Times New Roman"/>
          <w:iCs/>
          <w:color w:val="000000"/>
          <w:sz w:val="24"/>
          <w:szCs w:val="24"/>
          <w:lang w:val="en-GB"/>
        </w:rPr>
        <w:t xml:space="preserve"> preference.</w:t>
      </w:r>
    </w:p>
    <w:p w14:paraId="00F33E17" w14:textId="5B6C04EF" w:rsidR="00694DCA" w:rsidRPr="00350AFA" w:rsidRDefault="001331DE" w:rsidP="00350ABF">
      <w:pPr>
        <w:autoSpaceDE w:val="0"/>
        <w:autoSpaceDN w:val="0"/>
        <w:adjustRightInd w:val="0"/>
        <w:spacing w:after="240"/>
        <w:jc w:val="both"/>
        <w:rPr>
          <w:rFonts w:ascii="Times New Roman" w:hAnsi="Times New Roman" w:cs="Times New Roman"/>
          <w:iCs/>
          <w:color w:val="000000"/>
          <w:sz w:val="24"/>
          <w:szCs w:val="24"/>
          <w:lang w:val="en-GB"/>
        </w:rPr>
      </w:pPr>
      <w:r w:rsidRPr="00350AFA">
        <w:rPr>
          <w:rFonts w:ascii="Times New Roman" w:hAnsi="Times New Roman" w:cs="Times New Roman"/>
          <w:iCs/>
          <w:color w:val="000000"/>
          <w:sz w:val="24"/>
          <w:szCs w:val="24"/>
          <w:lang w:val="en-GB"/>
        </w:rPr>
        <w:t xml:space="preserve">Theoretically the </w:t>
      </w:r>
      <w:r w:rsidR="002241A3">
        <w:rPr>
          <w:rFonts w:ascii="Times New Roman" w:hAnsi="Times New Roman" w:cs="Times New Roman"/>
          <w:iCs/>
          <w:color w:val="000000"/>
          <w:sz w:val="24"/>
          <w:szCs w:val="24"/>
          <w:lang w:val="en-GB"/>
        </w:rPr>
        <w:t xml:space="preserve">new </w:t>
      </w:r>
      <w:r w:rsidR="009B1D8D">
        <w:rPr>
          <w:rFonts w:ascii="Times New Roman" w:hAnsi="Times New Roman" w:cs="Times New Roman"/>
          <w:iCs/>
          <w:color w:val="000000"/>
          <w:sz w:val="24"/>
          <w:szCs w:val="24"/>
          <w:lang w:val="en-GB"/>
        </w:rPr>
        <w:t>Latvia</w:t>
      </w:r>
      <w:r w:rsidR="00B56BFC">
        <w:rPr>
          <w:rFonts w:ascii="Times New Roman" w:hAnsi="Times New Roman" w:cs="Times New Roman"/>
          <w:iCs/>
          <w:color w:val="000000"/>
          <w:sz w:val="24"/>
          <w:szCs w:val="24"/>
          <w:lang w:val="en-GB"/>
        </w:rPr>
        <w:t>n</w:t>
      </w:r>
      <w:r w:rsidR="009B1D8D">
        <w:rPr>
          <w:rFonts w:ascii="Times New Roman" w:hAnsi="Times New Roman" w:cs="Times New Roman"/>
          <w:iCs/>
          <w:color w:val="000000"/>
          <w:sz w:val="24"/>
          <w:szCs w:val="24"/>
          <w:lang w:val="en-GB"/>
        </w:rPr>
        <w:t xml:space="preserve"> </w:t>
      </w:r>
      <w:r w:rsidRPr="00350AFA">
        <w:rPr>
          <w:rFonts w:ascii="Times New Roman" w:hAnsi="Times New Roman" w:cs="Times New Roman"/>
          <w:iCs/>
          <w:color w:val="000000"/>
          <w:sz w:val="24"/>
          <w:szCs w:val="24"/>
          <w:lang w:val="en-GB"/>
        </w:rPr>
        <w:t>law includes a provision to fine both, the prostituted person and the sex buyer,</w:t>
      </w:r>
      <w:r w:rsidR="00D82673">
        <w:rPr>
          <w:rFonts w:ascii="Times New Roman" w:hAnsi="Times New Roman" w:cs="Times New Roman"/>
          <w:iCs/>
          <w:color w:val="000000"/>
          <w:sz w:val="24"/>
          <w:szCs w:val="24"/>
          <w:lang w:val="en-GB"/>
        </w:rPr>
        <w:t xml:space="preserve"> in case this provision is breached; </w:t>
      </w:r>
      <w:r w:rsidRPr="00350AFA">
        <w:rPr>
          <w:rFonts w:ascii="Times New Roman" w:hAnsi="Times New Roman" w:cs="Times New Roman"/>
          <w:iCs/>
          <w:color w:val="000000"/>
          <w:sz w:val="24"/>
          <w:szCs w:val="24"/>
          <w:lang w:val="en-GB"/>
        </w:rPr>
        <w:t>however, multiple instances in Latvian and Lithuanian experience</w:t>
      </w:r>
      <w:r w:rsidR="00662111">
        <w:rPr>
          <w:rFonts w:ascii="Times New Roman" w:hAnsi="Times New Roman" w:cs="Times New Roman"/>
          <w:iCs/>
          <w:color w:val="000000"/>
          <w:sz w:val="24"/>
          <w:szCs w:val="24"/>
          <w:lang w:val="en-GB"/>
        </w:rPr>
        <w:t>s</w:t>
      </w:r>
      <w:r w:rsidRPr="00350AFA">
        <w:rPr>
          <w:rFonts w:ascii="Times New Roman" w:hAnsi="Times New Roman" w:cs="Times New Roman"/>
          <w:iCs/>
          <w:color w:val="000000"/>
          <w:sz w:val="24"/>
          <w:szCs w:val="24"/>
          <w:lang w:val="en-GB"/>
        </w:rPr>
        <w:t xml:space="preserve"> show that sex buyers are not generally targeted for fining. </w:t>
      </w:r>
      <w:r w:rsidR="00694DCA" w:rsidRPr="00350AFA">
        <w:rPr>
          <w:rFonts w:ascii="Times New Roman" w:hAnsi="Times New Roman" w:cs="Times New Roman"/>
          <w:iCs/>
          <w:color w:val="000000"/>
          <w:sz w:val="24"/>
          <w:szCs w:val="24"/>
          <w:lang w:val="en-GB"/>
        </w:rPr>
        <w:t xml:space="preserve">Another problem with </w:t>
      </w:r>
      <w:r w:rsidR="00625A1C">
        <w:rPr>
          <w:rFonts w:ascii="Times New Roman" w:hAnsi="Times New Roman" w:cs="Times New Roman"/>
          <w:iCs/>
          <w:color w:val="000000"/>
          <w:sz w:val="24"/>
          <w:szCs w:val="24"/>
          <w:lang w:val="en-GB"/>
        </w:rPr>
        <w:t>including</w:t>
      </w:r>
      <w:r w:rsidR="00694DCA" w:rsidRPr="00350AFA">
        <w:rPr>
          <w:rFonts w:ascii="Times New Roman" w:hAnsi="Times New Roman" w:cs="Times New Roman"/>
          <w:iCs/>
          <w:color w:val="000000"/>
          <w:sz w:val="24"/>
          <w:szCs w:val="24"/>
          <w:lang w:val="en-GB"/>
        </w:rPr>
        <w:t xml:space="preserve"> the fining</w:t>
      </w:r>
      <w:r w:rsidR="00F96880">
        <w:rPr>
          <w:rFonts w:ascii="Times New Roman" w:hAnsi="Times New Roman" w:cs="Times New Roman"/>
          <w:iCs/>
          <w:color w:val="000000"/>
          <w:sz w:val="24"/>
          <w:szCs w:val="24"/>
          <w:lang w:val="en-GB"/>
        </w:rPr>
        <w:t xml:space="preserve"> in </w:t>
      </w:r>
      <w:r w:rsidR="00625A1C">
        <w:rPr>
          <w:rFonts w:ascii="Times New Roman" w:hAnsi="Times New Roman" w:cs="Times New Roman"/>
          <w:iCs/>
          <w:color w:val="000000"/>
          <w:sz w:val="24"/>
          <w:szCs w:val="24"/>
          <w:lang w:val="en-GB"/>
        </w:rPr>
        <w:t>the new law</w:t>
      </w:r>
      <w:r w:rsidR="00694DCA" w:rsidRPr="00350AFA">
        <w:rPr>
          <w:rFonts w:ascii="Times New Roman" w:hAnsi="Times New Roman" w:cs="Times New Roman"/>
          <w:iCs/>
          <w:color w:val="000000"/>
          <w:sz w:val="24"/>
          <w:szCs w:val="24"/>
          <w:lang w:val="en-GB"/>
        </w:rPr>
        <w:t xml:space="preserve"> is that victims remain seen as criminals and thus the police is not perceived as an ally, but a threat. Fining also allows for abuse of the so-called “control purchases”. MARTA Centre has knowledge of situations wherein the police carry out the “control purchases” to establish if there has been a breach of the prostitution Regulations. Dressed in civil clothing the police routinely use the prostituted women, in the end presenting t</w:t>
      </w:r>
      <w:r w:rsidR="005D3303">
        <w:rPr>
          <w:rFonts w:ascii="Times New Roman" w:hAnsi="Times New Roman" w:cs="Times New Roman"/>
          <w:iCs/>
          <w:color w:val="000000"/>
          <w:sz w:val="24"/>
          <w:szCs w:val="24"/>
          <w:lang w:val="en-GB"/>
        </w:rPr>
        <w:t>heir badge and stating that the prostituted person now has</w:t>
      </w:r>
      <w:r w:rsidR="00694DCA" w:rsidRPr="00350AFA">
        <w:rPr>
          <w:rFonts w:ascii="Times New Roman" w:hAnsi="Times New Roman" w:cs="Times New Roman"/>
          <w:iCs/>
          <w:color w:val="000000"/>
          <w:sz w:val="24"/>
          <w:szCs w:val="24"/>
          <w:lang w:val="en-GB"/>
        </w:rPr>
        <w:t xml:space="preserve"> to pay the fine. </w:t>
      </w:r>
      <w:r w:rsidR="00C1762F" w:rsidRPr="00350AFA">
        <w:rPr>
          <w:rFonts w:ascii="Times New Roman" w:hAnsi="Times New Roman" w:cs="Times New Roman"/>
          <w:iCs/>
          <w:color w:val="000000"/>
          <w:sz w:val="24"/>
          <w:szCs w:val="24"/>
          <w:lang w:val="en-GB"/>
        </w:rPr>
        <w:t xml:space="preserve">Another objection to fines is – how exactly are prostituted persons going to get the money to pay the fine? </w:t>
      </w:r>
    </w:p>
    <w:p w14:paraId="76E98CAF" w14:textId="2AA5D3DA" w:rsidR="00B00B73" w:rsidRDefault="00694DCA" w:rsidP="00350ABF">
      <w:pPr>
        <w:autoSpaceDE w:val="0"/>
        <w:autoSpaceDN w:val="0"/>
        <w:adjustRightInd w:val="0"/>
        <w:spacing w:after="240"/>
        <w:jc w:val="both"/>
        <w:rPr>
          <w:rFonts w:ascii="Times New Roman" w:hAnsi="Times New Roman" w:cs="Times New Roman"/>
          <w:iCs/>
          <w:color w:val="000000"/>
          <w:sz w:val="24"/>
          <w:szCs w:val="24"/>
          <w:lang w:val="en-GB"/>
        </w:rPr>
      </w:pPr>
      <w:r w:rsidRPr="00350AFA">
        <w:rPr>
          <w:rFonts w:ascii="Times New Roman" w:hAnsi="Times New Roman" w:cs="Times New Roman"/>
          <w:iCs/>
          <w:color w:val="000000"/>
          <w:sz w:val="24"/>
          <w:szCs w:val="24"/>
          <w:lang w:val="en-GB"/>
        </w:rPr>
        <w:t xml:space="preserve">For these reasons </w:t>
      </w:r>
      <w:r w:rsidR="001331DE" w:rsidRPr="00350AFA">
        <w:rPr>
          <w:rFonts w:ascii="Times New Roman" w:hAnsi="Times New Roman" w:cs="Times New Roman"/>
          <w:iCs/>
          <w:color w:val="000000"/>
          <w:sz w:val="24"/>
          <w:szCs w:val="24"/>
          <w:lang w:val="en-GB"/>
        </w:rPr>
        <w:t xml:space="preserve">MARTA Centre has called for the </w:t>
      </w:r>
      <w:r w:rsidR="00DF4492" w:rsidRPr="00350AFA">
        <w:rPr>
          <w:rFonts w:ascii="Times New Roman" w:hAnsi="Times New Roman" w:cs="Times New Roman"/>
          <w:iCs/>
          <w:color w:val="000000"/>
          <w:sz w:val="24"/>
          <w:szCs w:val="24"/>
          <w:lang w:val="en-GB"/>
        </w:rPr>
        <w:t xml:space="preserve">introduction of the </w:t>
      </w:r>
      <w:r w:rsidR="001331DE" w:rsidRPr="00350AFA">
        <w:rPr>
          <w:rFonts w:ascii="Times New Roman" w:hAnsi="Times New Roman" w:cs="Times New Roman"/>
          <w:iCs/>
          <w:color w:val="000000"/>
          <w:sz w:val="24"/>
          <w:szCs w:val="24"/>
          <w:lang w:val="en-GB"/>
        </w:rPr>
        <w:t xml:space="preserve">so-called Nordic model in Latvia, namely, </w:t>
      </w:r>
      <w:r w:rsidR="00625A1C">
        <w:rPr>
          <w:rFonts w:ascii="Times New Roman" w:hAnsi="Times New Roman" w:cs="Times New Roman"/>
          <w:iCs/>
          <w:color w:val="000000"/>
          <w:sz w:val="24"/>
          <w:szCs w:val="24"/>
          <w:lang w:val="en-GB"/>
        </w:rPr>
        <w:t xml:space="preserve">offering sex should be neither a criminal, nor administrative offence </w:t>
      </w:r>
      <w:r w:rsidR="001331DE" w:rsidRPr="00350AFA">
        <w:rPr>
          <w:rFonts w:ascii="Times New Roman" w:hAnsi="Times New Roman" w:cs="Times New Roman"/>
          <w:iCs/>
          <w:color w:val="000000"/>
          <w:sz w:val="24"/>
          <w:szCs w:val="24"/>
          <w:lang w:val="en-GB"/>
        </w:rPr>
        <w:t>while the buying of sex</w:t>
      </w:r>
      <w:r w:rsidR="00625A1C">
        <w:rPr>
          <w:rFonts w:ascii="Times New Roman" w:hAnsi="Times New Roman" w:cs="Times New Roman"/>
          <w:iCs/>
          <w:color w:val="000000"/>
          <w:sz w:val="24"/>
          <w:szCs w:val="24"/>
          <w:lang w:val="en-GB"/>
        </w:rPr>
        <w:t xml:space="preserve"> should be criminalized</w:t>
      </w:r>
      <w:r w:rsidR="001331DE" w:rsidRPr="00350AFA">
        <w:rPr>
          <w:rFonts w:ascii="Times New Roman" w:hAnsi="Times New Roman" w:cs="Times New Roman"/>
          <w:iCs/>
          <w:color w:val="000000"/>
          <w:sz w:val="24"/>
          <w:szCs w:val="24"/>
          <w:lang w:val="en-GB"/>
        </w:rPr>
        <w:t xml:space="preserve">. This idea has been rejected repeatedly citing political reasons, no support from the public, as well as by citing numerous unfounded myths (e.g., if men do not have access to prostituted women, they will rape “normal” women; note that this </w:t>
      </w:r>
      <w:r w:rsidR="00DF4492" w:rsidRPr="00350AFA">
        <w:rPr>
          <w:rFonts w:ascii="Times New Roman" w:hAnsi="Times New Roman" w:cs="Times New Roman"/>
          <w:iCs/>
          <w:color w:val="000000"/>
          <w:sz w:val="24"/>
          <w:szCs w:val="24"/>
          <w:lang w:val="en-GB"/>
        </w:rPr>
        <w:t>exact</w:t>
      </w:r>
      <w:r w:rsidR="001331DE" w:rsidRPr="00350AFA">
        <w:rPr>
          <w:rFonts w:ascii="Times New Roman" w:hAnsi="Times New Roman" w:cs="Times New Roman"/>
          <w:iCs/>
          <w:color w:val="000000"/>
          <w:sz w:val="24"/>
          <w:szCs w:val="24"/>
          <w:lang w:val="en-GB"/>
        </w:rPr>
        <w:t xml:space="preserve"> wording is routinely used</w:t>
      </w:r>
      <w:r w:rsidR="003A21EE">
        <w:rPr>
          <w:rFonts w:ascii="Times New Roman" w:hAnsi="Times New Roman" w:cs="Times New Roman"/>
          <w:iCs/>
          <w:color w:val="000000"/>
          <w:sz w:val="24"/>
          <w:szCs w:val="24"/>
          <w:lang w:val="en-GB"/>
        </w:rPr>
        <w:t xml:space="preserve"> by representatives of the public authorities</w:t>
      </w:r>
      <w:r w:rsidR="001331DE" w:rsidRPr="00350AFA">
        <w:rPr>
          <w:rFonts w:ascii="Times New Roman" w:hAnsi="Times New Roman" w:cs="Times New Roman"/>
          <w:iCs/>
          <w:color w:val="000000"/>
          <w:sz w:val="24"/>
          <w:szCs w:val="24"/>
          <w:lang w:val="en-GB"/>
        </w:rPr>
        <w:t>).</w:t>
      </w:r>
      <w:r w:rsidR="00037F74" w:rsidRPr="00350AFA">
        <w:rPr>
          <w:rFonts w:ascii="Times New Roman" w:hAnsi="Times New Roman" w:cs="Times New Roman"/>
          <w:iCs/>
          <w:color w:val="000000"/>
          <w:sz w:val="24"/>
          <w:szCs w:val="24"/>
          <w:lang w:val="en-GB"/>
        </w:rPr>
        <w:t xml:space="preserve"> </w:t>
      </w:r>
      <w:r w:rsidR="00B00B73" w:rsidRPr="00350AFA">
        <w:rPr>
          <w:rFonts w:ascii="Times New Roman" w:hAnsi="Times New Roman" w:cs="Times New Roman"/>
          <w:iCs/>
          <w:color w:val="000000"/>
          <w:sz w:val="24"/>
          <w:szCs w:val="24"/>
          <w:lang w:val="en-GB"/>
        </w:rPr>
        <w:t>Another myth used widely is that of “consent</w:t>
      </w:r>
      <w:r w:rsidR="00F96880">
        <w:rPr>
          <w:rFonts w:ascii="Times New Roman" w:hAnsi="Times New Roman" w:cs="Times New Roman"/>
          <w:iCs/>
          <w:color w:val="000000"/>
          <w:sz w:val="24"/>
          <w:szCs w:val="24"/>
          <w:lang w:val="en-GB"/>
        </w:rPr>
        <w:t>ed prostitution</w:t>
      </w:r>
      <w:r w:rsidR="00B00B73" w:rsidRPr="00350AFA">
        <w:rPr>
          <w:rFonts w:ascii="Times New Roman" w:hAnsi="Times New Roman" w:cs="Times New Roman"/>
          <w:iCs/>
          <w:color w:val="000000"/>
          <w:sz w:val="24"/>
          <w:szCs w:val="24"/>
          <w:lang w:val="en-GB"/>
        </w:rPr>
        <w:t>” as an objection ag</w:t>
      </w:r>
      <w:r w:rsidR="00917FD6" w:rsidRPr="00350AFA">
        <w:rPr>
          <w:rFonts w:ascii="Times New Roman" w:hAnsi="Times New Roman" w:cs="Times New Roman"/>
          <w:iCs/>
          <w:color w:val="000000"/>
          <w:sz w:val="24"/>
          <w:szCs w:val="24"/>
          <w:lang w:val="en-GB"/>
        </w:rPr>
        <w:t>a</w:t>
      </w:r>
      <w:r w:rsidR="00B00B73" w:rsidRPr="00350AFA">
        <w:rPr>
          <w:rFonts w:ascii="Times New Roman" w:hAnsi="Times New Roman" w:cs="Times New Roman"/>
          <w:iCs/>
          <w:color w:val="000000"/>
          <w:sz w:val="24"/>
          <w:szCs w:val="24"/>
          <w:lang w:val="en-GB"/>
        </w:rPr>
        <w:t xml:space="preserve">inst the Nordic model. </w:t>
      </w:r>
      <w:r w:rsidR="003D3281" w:rsidRPr="00350AFA">
        <w:rPr>
          <w:rFonts w:ascii="Times New Roman" w:hAnsi="Times New Roman" w:cs="Times New Roman"/>
          <w:iCs/>
          <w:color w:val="000000"/>
          <w:sz w:val="24"/>
          <w:szCs w:val="24"/>
          <w:lang w:val="en-GB"/>
        </w:rPr>
        <w:t xml:space="preserve">The police often cite the idea that, first, prostitution will </w:t>
      </w:r>
      <w:r w:rsidR="003A21EE">
        <w:rPr>
          <w:rFonts w:ascii="Times New Roman" w:hAnsi="Times New Roman" w:cs="Times New Roman"/>
          <w:iCs/>
          <w:color w:val="000000"/>
          <w:sz w:val="24"/>
          <w:szCs w:val="24"/>
          <w:lang w:val="en-GB"/>
        </w:rPr>
        <w:t xml:space="preserve">become latent </w:t>
      </w:r>
      <w:r w:rsidR="003D3281" w:rsidRPr="00350AFA">
        <w:rPr>
          <w:rFonts w:ascii="Times New Roman" w:hAnsi="Times New Roman" w:cs="Times New Roman"/>
          <w:iCs/>
          <w:color w:val="000000"/>
          <w:sz w:val="24"/>
          <w:szCs w:val="24"/>
          <w:lang w:val="en-GB"/>
        </w:rPr>
        <w:t xml:space="preserve">once the Nordic model is introduced, and, second, that it will be impossible to find and punish sex buyers. Therefore </w:t>
      </w:r>
      <w:r w:rsidR="00013EC8" w:rsidRPr="00350AFA">
        <w:rPr>
          <w:rFonts w:ascii="Times New Roman" w:hAnsi="Times New Roman" w:cs="Times New Roman"/>
          <w:iCs/>
          <w:color w:val="000000"/>
          <w:sz w:val="24"/>
          <w:szCs w:val="24"/>
          <w:lang w:val="en-GB"/>
        </w:rPr>
        <w:t>MARTA Centre has organized exchange of good practices and lectures, inviting Nordic</w:t>
      </w:r>
      <w:r w:rsidR="00AF509C">
        <w:rPr>
          <w:rFonts w:ascii="Times New Roman" w:hAnsi="Times New Roman" w:cs="Times New Roman"/>
          <w:iCs/>
          <w:color w:val="000000"/>
          <w:sz w:val="24"/>
          <w:szCs w:val="24"/>
          <w:lang w:val="en-GB"/>
        </w:rPr>
        <w:t>, French</w:t>
      </w:r>
      <w:r w:rsidR="00013EC8" w:rsidRPr="00350AFA">
        <w:rPr>
          <w:rFonts w:ascii="Times New Roman" w:hAnsi="Times New Roman" w:cs="Times New Roman"/>
          <w:iCs/>
          <w:color w:val="000000"/>
          <w:sz w:val="24"/>
          <w:szCs w:val="24"/>
          <w:lang w:val="en-GB"/>
        </w:rPr>
        <w:t xml:space="preserve"> and Canadian experts to </w:t>
      </w:r>
      <w:r w:rsidR="003A21EE">
        <w:rPr>
          <w:rFonts w:ascii="Times New Roman" w:hAnsi="Times New Roman" w:cs="Times New Roman"/>
          <w:iCs/>
          <w:color w:val="000000"/>
          <w:sz w:val="24"/>
          <w:szCs w:val="24"/>
          <w:lang w:val="en-GB"/>
        </w:rPr>
        <w:t xml:space="preserve">Latvia to </w:t>
      </w:r>
      <w:r w:rsidR="00013EC8" w:rsidRPr="00350AFA">
        <w:rPr>
          <w:rFonts w:ascii="Times New Roman" w:hAnsi="Times New Roman" w:cs="Times New Roman"/>
          <w:iCs/>
          <w:color w:val="000000"/>
          <w:sz w:val="24"/>
          <w:szCs w:val="24"/>
          <w:lang w:val="en-GB"/>
        </w:rPr>
        <w:t>explain not only the ideological but also practical aspects of</w:t>
      </w:r>
      <w:r w:rsidR="008516BC" w:rsidRPr="00350AFA">
        <w:rPr>
          <w:rFonts w:ascii="Times New Roman" w:hAnsi="Times New Roman" w:cs="Times New Roman"/>
          <w:iCs/>
          <w:color w:val="000000"/>
          <w:sz w:val="24"/>
          <w:szCs w:val="24"/>
          <w:lang w:val="en-GB"/>
        </w:rPr>
        <w:t xml:space="preserve"> the Nordic model</w:t>
      </w:r>
      <w:r w:rsidR="00013EC8" w:rsidRPr="00350AFA">
        <w:rPr>
          <w:rFonts w:ascii="Times New Roman" w:hAnsi="Times New Roman" w:cs="Times New Roman"/>
          <w:iCs/>
          <w:color w:val="000000"/>
          <w:sz w:val="24"/>
          <w:szCs w:val="24"/>
          <w:lang w:val="en-GB"/>
        </w:rPr>
        <w:t xml:space="preserve">, e.g. </w:t>
      </w:r>
      <w:r w:rsidR="008516BC" w:rsidRPr="00350AFA">
        <w:rPr>
          <w:rFonts w:ascii="Times New Roman" w:hAnsi="Times New Roman" w:cs="Times New Roman"/>
          <w:iCs/>
          <w:color w:val="000000"/>
          <w:sz w:val="24"/>
          <w:szCs w:val="24"/>
          <w:lang w:val="en-GB"/>
        </w:rPr>
        <w:t xml:space="preserve">how it affects </w:t>
      </w:r>
      <w:r w:rsidR="00013EC8" w:rsidRPr="00350AFA">
        <w:rPr>
          <w:rFonts w:ascii="Times New Roman" w:hAnsi="Times New Roman" w:cs="Times New Roman"/>
          <w:iCs/>
          <w:color w:val="000000"/>
          <w:sz w:val="24"/>
          <w:szCs w:val="24"/>
          <w:lang w:val="en-GB"/>
        </w:rPr>
        <w:t>the police work</w:t>
      </w:r>
      <w:r w:rsidR="008516BC" w:rsidRPr="00350AFA">
        <w:rPr>
          <w:rFonts w:ascii="Times New Roman" w:hAnsi="Times New Roman" w:cs="Times New Roman"/>
          <w:iCs/>
          <w:color w:val="000000"/>
          <w:sz w:val="24"/>
          <w:szCs w:val="24"/>
          <w:lang w:val="en-GB"/>
        </w:rPr>
        <w:t xml:space="preserve"> practically</w:t>
      </w:r>
      <w:r w:rsidR="00013EC8" w:rsidRPr="00350AFA">
        <w:rPr>
          <w:rFonts w:ascii="Times New Roman" w:hAnsi="Times New Roman" w:cs="Times New Roman"/>
          <w:iCs/>
          <w:color w:val="000000"/>
          <w:sz w:val="24"/>
          <w:szCs w:val="24"/>
          <w:lang w:val="en-GB"/>
        </w:rPr>
        <w:t xml:space="preserve">. </w:t>
      </w:r>
    </w:p>
    <w:p w14:paraId="065AD67F" w14:textId="3ACBC6F5" w:rsidR="004A4D6F" w:rsidRPr="00350AFA" w:rsidRDefault="00037F74" w:rsidP="00350ABF">
      <w:pPr>
        <w:autoSpaceDE w:val="0"/>
        <w:autoSpaceDN w:val="0"/>
        <w:adjustRightInd w:val="0"/>
        <w:spacing w:after="240"/>
        <w:jc w:val="both"/>
        <w:rPr>
          <w:rFonts w:ascii="Times New Roman" w:hAnsi="Times New Roman" w:cs="Times New Roman"/>
          <w:iCs/>
          <w:color w:val="000000"/>
          <w:sz w:val="24"/>
          <w:szCs w:val="24"/>
          <w:lang w:val="en-GB"/>
        </w:rPr>
      </w:pPr>
      <w:r w:rsidRPr="00350AFA">
        <w:rPr>
          <w:rFonts w:ascii="Times New Roman" w:hAnsi="Times New Roman" w:cs="Times New Roman"/>
          <w:iCs/>
          <w:color w:val="000000"/>
          <w:sz w:val="24"/>
          <w:szCs w:val="24"/>
          <w:lang w:val="en-GB"/>
        </w:rPr>
        <w:t xml:space="preserve">Positive aspect </w:t>
      </w:r>
      <w:r w:rsidR="003A21EE">
        <w:rPr>
          <w:rFonts w:ascii="Times New Roman" w:hAnsi="Times New Roman" w:cs="Times New Roman"/>
          <w:iCs/>
          <w:color w:val="000000"/>
          <w:sz w:val="24"/>
          <w:szCs w:val="24"/>
          <w:lang w:val="en-GB"/>
        </w:rPr>
        <w:t xml:space="preserve">of the new law </w:t>
      </w:r>
      <w:r w:rsidRPr="00350AFA">
        <w:rPr>
          <w:rFonts w:ascii="Times New Roman" w:hAnsi="Times New Roman" w:cs="Times New Roman"/>
          <w:iCs/>
          <w:color w:val="000000"/>
          <w:sz w:val="24"/>
          <w:szCs w:val="24"/>
          <w:lang w:val="en-GB"/>
        </w:rPr>
        <w:t xml:space="preserve">is that rehabilitation </w:t>
      </w:r>
      <w:r w:rsidR="00F96880">
        <w:rPr>
          <w:rFonts w:ascii="Times New Roman" w:hAnsi="Times New Roman" w:cs="Times New Roman"/>
          <w:iCs/>
          <w:color w:val="000000"/>
          <w:sz w:val="24"/>
          <w:szCs w:val="24"/>
          <w:lang w:val="en-GB"/>
        </w:rPr>
        <w:t xml:space="preserve">for both the prostituted persons and the sex buyers </w:t>
      </w:r>
      <w:r w:rsidRPr="00350AFA">
        <w:rPr>
          <w:rFonts w:ascii="Times New Roman" w:hAnsi="Times New Roman" w:cs="Times New Roman"/>
          <w:iCs/>
          <w:color w:val="000000"/>
          <w:sz w:val="24"/>
          <w:szCs w:val="24"/>
          <w:lang w:val="en-GB"/>
        </w:rPr>
        <w:t xml:space="preserve">is included; however, it is not yet clear exactly how this will work in practice. MARTA Centre objects to the proposal to offer rehabilitation to the prostituted persons as a means to escape the fine as this </w:t>
      </w:r>
      <w:r w:rsidR="007C04DF" w:rsidRPr="00350AFA">
        <w:rPr>
          <w:rFonts w:ascii="Times New Roman" w:hAnsi="Times New Roman" w:cs="Times New Roman"/>
          <w:iCs/>
          <w:color w:val="000000"/>
          <w:sz w:val="24"/>
          <w:szCs w:val="24"/>
          <w:lang w:val="en-GB"/>
        </w:rPr>
        <w:t xml:space="preserve">sends the message that the person </w:t>
      </w:r>
      <w:r w:rsidR="00334C4F" w:rsidRPr="00350AFA">
        <w:rPr>
          <w:rFonts w:ascii="Times New Roman" w:hAnsi="Times New Roman" w:cs="Times New Roman"/>
          <w:iCs/>
          <w:color w:val="000000"/>
          <w:sz w:val="24"/>
          <w:szCs w:val="24"/>
          <w:lang w:val="en-GB"/>
        </w:rPr>
        <w:t xml:space="preserve">is a criminal either way and </w:t>
      </w:r>
      <w:r w:rsidR="00F96880">
        <w:rPr>
          <w:rFonts w:ascii="Times New Roman" w:hAnsi="Times New Roman" w:cs="Times New Roman"/>
          <w:iCs/>
          <w:color w:val="000000"/>
          <w:sz w:val="24"/>
          <w:szCs w:val="24"/>
          <w:lang w:val="en-GB"/>
        </w:rPr>
        <w:t xml:space="preserve">merely </w:t>
      </w:r>
      <w:r w:rsidR="007C04DF" w:rsidRPr="00350AFA">
        <w:rPr>
          <w:rFonts w:ascii="Times New Roman" w:hAnsi="Times New Roman" w:cs="Times New Roman"/>
          <w:iCs/>
          <w:color w:val="000000"/>
          <w:sz w:val="24"/>
          <w:szCs w:val="24"/>
          <w:lang w:val="en-GB"/>
        </w:rPr>
        <w:t xml:space="preserve">has to choose between two different punishments. </w:t>
      </w:r>
    </w:p>
    <w:p w14:paraId="46BCDD62" w14:textId="62943EBE" w:rsidR="00C7088A" w:rsidRPr="00350AFA" w:rsidRDefault="00C7088A" w:rsidP="00350AFA">
      <w:pPr>
        <w:autoSpaceDE w:val="0"/>
        <w:autoSpaceDN w:val="0"/>
        <w:adjustRightInd w:val="0"/>
        <w:spacing w:after="240" w:line="240" w:lineRule="auto"/>
        <w:jc w:val="both"/>
        <w:rPr>
          <w:rFonts w:ascii="Times New Roman" w:hAnsi="Times New Roman" w:cs="Times New Roman"/>
          <w:iCs/>
          <w:color w:val="000000"/>
          <w:sz w:val="24"/>
          <w:szCs w:val="24"/>
          <w:lang w:val="en-GB"/>
        </w:rPr>
      </w:pPr>
      <w:r w:rsidRPr="00350AFA">
        <w:rPr>
          <w:rFonts w:ascii="Times New Roman" w:hAnsi="Times New Roman" w:cs="Times New Roman"/>
          <w:iCs/>
          <w:color w:val="000000"/>
          <w:sz w:val="24"/>
          <w:szCs w:val="24"/>
          <w:lang w:val="en-GB"/>
        </w:rPr>
        <w:t>MARTA Centre maintains that the cited aims of the new law, namely “</w:t>
      </w:r>
      <w:r w:rsidRPr="00350AFA">
        <w:rPr>
          <w:rFonts w:ascii="Times New Roman" w:hAnsi="Times New Roman" w:cs="Times New Roman"/>
          <w:color w:val="000000"/>
          <w:sz w:val="24"/>
          <w:szCs w:val="24"/>
          <w:lang w:val="en-GB"/>
        </w:rPr>
        <w:t>to restrict and reduce the prostitution, reduce the risks of trafficking in human beings, prevent involvement of children and young people in prostitution, reduce risks of violence against persons engaged in prostitution, and</w:t>
      </w:r>
      <w:r w:rsidR="00350AFA">
        <w:rPr>
          <w:rFonts w:ascii="Times New Roman" w:hAnsi="Times New Roman" w:cs="Times New Roman"/>
          <w:color w:val="000000"/>
          <w:sz w:val="24"/>
          <w:szCs w:val="24"/>
          <w:lang w:val="en-GB"/>
        </w:rPr>
        <w:t xml:space="preserve"> </w:t>
      </w:r>
      <w:r w:rsidRPr="00350AFA">
        <w:rPr>
          <w:rFonts w:ascii="Times New Roman" w:hAnsi="Times New Roman" w:cs="Times New Roman"/>
          <w:sz w:val="24"/>
          <w:szCs w:val="24"/>
          <w:lang w:val="en-GB"/>
        </w:rPr>
        <w:t>promote the termination of engagement in the prostitution and use of prostitution</w:t>
      </w:r>
      <w:r w:rsidRPr="00350AFA">
        <w:rPr>
          <w:rFonts w:ascii="Times New Roman" w:hAnsi="Times New Roman" w:cs="Times New Roman"/>
          <w:iCs/>
          <w:color w:val="000000"/>
          <w:sz w:val="24"/>
          <w:szCs w:val="24"/>
          <w:lang w:val="en-GB"/>
        </w:rPr>
        <w:t xml:space="preserve">” will not be achieved with the </w:t>
      </w:r>
      <w:r w:rsidR="00F16621">
        <w:rPr>
          <w:rFonts w:ascii="Times New Roman" w:hAnsi="Times New Roman" w:cs="Times New Roman"/>
          <w:iCs/>
          <w:color w:val="000000"/>
          <w:sz w:val="24"/>
          <w:szCs w:val="24"/>
          <w:lang w:val="en-GB"/>
        </w:rPr>
        <w:t xml:space="preserve">draft </w:t>
      </w:r>
      <w:r w:rsidRPr="00350AFA">
        <w:rPr>
          <w:rFonts w:ascii="Times New Roman" w:hAnsi="Times New Roman" w:cs="Times New Roman"/>
          <w:iCs/>
          <w:color w:val="000000"/>
          <w:sz w:val="24"/>
          <w:szCs w:val="24"/>
          <w:lang w:val="en-GB"/>
        </w:rPr>
        <w:t>law as it now</w:t>
      </w:r>
      <w:r w:rsidR="00F16621">
        <w:rPr>
          <w:rFonts w:ascii="Times New Roman" w:hAnsi="Times New Roman" w:cs="Times New Roman"/>
          <w:iCs/>
          <w:color w:val="000000"/>
          <w:sz w:val="24"/>
          <w:szCs w:val="24"/>
          <w:lang w:val="en-GB"/>
        </w:rPr>
        <w:t xml:space="preserve"> stands; however, it could</w:t>
      </w:r>
      <w:r w:rsidRPr="00350AFA">
        <w:rPr>
          <w:rFonts w:ascii="Times New Roman" w:hAnsi="Times New Roman" w:cs="Times New Roman"/>
          <w:iCs/>
          <w:color w:val="000000"/>
          <w:sz w:val="24"/>
          <w:szCs w:val="24"/>
          <w:lang w:val="en-GB"/>
        </w:rPr>
        <w:t xml:space="preserve"> be achieved by introducing the Nordic model. </w:t>
      </w:r>
    </w:p>
    <w:p w14:paraId="629ACF42" w14:textId="3495D058" w:rsidR="004A4D6F" w:rsidRPr="00350AFA" w:rsidRDefault="00F16621" w:rsidP="00350ABF">
      <w:pPr>
        <w:autoSpaceDE w:val="0"/>
        <w:autoSpaceDN w:val="0"/>
        <w:adjustRightInd w:val="0"/>
        <w:spacing w:after="240"/>
        <w:jc w:val="both"/>
        <w:rPr>
          <w:rFonts w:ascii="Times New Roman" w:hAnsi="Times New Roman" w:cs="Times New Roman"/>
          <w:iCs/>
          <w:color w:val="000000"/>
          <w:sz w:val="24"/>
          <w:szCs w:val="24"/>
          <w:lang w:val="en-GB"/>
        </w:rPr>
      </w:pPr>
      <w:r>
        <w:rPr>
          <w:rFonts w:ascii="Times New Roman" w:hAnsi="Times New Roman" w:cs="Times New Roman"/>
          <w:iCs/>
          <w:color w:val="000000"/>
          <w:sz w:val="24"/>
          <w:szCs w:val="24"/>
          <w:lang w:val="en-GB"/>
        </w:rPr>
        <w:t xml:space="preserve">It is mentioned in The </w:t>
      </w:r>
      <w:r w:rsidR="004A4D6F" w:rsidRPr="00350AFA">
        <w:rPr>
          <w:rFonts w:ascii="Times New Roman" w:hAnsi="Times New Roman" w:cs="Times New Roman"/>
          <w:iCs/>
          <w:color w:val="000000"/>
          <w:sz w:val="24"/>
          <w:szCs w:val="24"/>
          <w:lang w:val="en-GB"/>
        </w:rPr>
        <w:t>State Report that “</w:t>
      </w:r>
      <w:r w:rsidR="004A4D6F" w:rsidRPr="00350AFA">
        <w:rPr>
          <w:rFonts w:ascii="Times New Roman" w:hAnsi="Times New Roman" w:cs="Times New Roman"/>
          <w:color w:val="000000"/>
          <w:sz w:val="24"/>
          <w:szCs w:val="24"/>
          <w:lang w:val="en-GB"/>
        </w:rPr>
        <w:t xml:space="preserve">Latvia informs that draft law </w:t>
      </w:r>
      <w:r w:rsidR="004A4D6F" w:rsidRPr="00350AFA">
        <w:rPr>
          <w:rFonts w:ascii="Times New Roman" w:hAnsi="Times New Roman" w:cs="Times New Roman"/>
          <w:i/>
          <w:iCs/>
          <w:color w:val="000000"/>
          <w:sz w:val="24"/>
          <w:szCs w:val="24"/>
          <w:lang w:val="en-GB"/>
        </w:rPr>
        <w:t xml:space="preserve">“Law on Prostitution Restrictions” </w:t>
      </w:r>
      <w:r w:rsidR="004A4D6F" w:rsidRPr="00350AFA">
        <w:rPr>
          <w:rFonts w:ascii="Times New Roman" w:hAnsi="Times New Roman" w:cs="Times New Roman"/>
          <w:color w:val="000000"/>
          <w:sz w:val="24"/>
          <w:szCs w:val="24"/>
          <w:lang w:val="en-GB"/>
        </w:rPr>
        <w:t>has been drafted and supported in the Cabinet of Ministers, envisaging its ent</w:t>
      </w:r>
      <w:r>
        <w:rPr>
          <w:rFonts w:ascii="Times New Roman" w:hAnsi="Times New Roman" w:cs="Times New Roman"/>
          <w:color w:val="000000"/>
          <w:sz w:val="24"/>
          <w:szCs w:val="24"/>
          <w:lang w:val="en-GB"/>
        </w:rPr>
        <w:t>ry into force on 1 January 2019</w:t>
      </w:r>
      <w:r w:rsidR="004A4D6F" w:rsidRPr="00350AFA">
        <w:rPr>
          <w:rFonts w:ascii="Times New Roman" w:hAnsi="Times New Roman" w:cs="Times New Roman"/>
          <w:iCs/>
          <w:color w:val="000000"/>
          <w:sz w:val="24"/>
          <w:szCs w:val="24"/>
          <w:lang w:val="en-GB"/>
        </w:rPr>
        <w:t>”</w:t>
      </w:r>
      <w:r>
        <w:rPr>
          <w:rFonts w:ascii="Times New Roman" w:hAnsi="Times New Roman" w:cs="Times New Roman"/>
          <w:iCs/>
          <w:color w:val="000000"/>
          <w:sz w:val="24"/>
          <w:szCs w:val="24"/>
          <w:lang w:val="en-GB"/>
        </w:rPr>
        <w:t>.</w:t>
      </w:r>
      <w:r w:rsidR="004A4D6F" w:rsidRPr="00350AFA">
        <w:rPr>
          <w:rFonts w:ascii="Times New Roman" w:hAnsi="Times New Roman" w:cs="Times New Roman"/>
          <w:iCs/>
          <w:color w:val="000000"/>
          <w:sz w:val="24"/>
          <w:szCs w:val="24"/>
          <w:lang w:val="en-GB"/>
        </w:rPr>
        <w:t xml:space="preserve"> MARTA Centre, being one of the partners involved in the process</w:t>
      </w:r>
      <w:r w:rsidR="003A21EE">
        <w:rPr>
          <w:rFonts w:ascii="Times New Roman" w:hAnsi="Times New Roman" w:cs="Times New Roman"/>
          <w:iCs/>
          <w:color w:val="000000"/>
          <w:sz w:val="24"/>
          <w:szCs w:val="24"/>
          <w:lang w:val="en-GB"/>
        </w:rPr>
        <w:t xml:space="preserve"> of drafting the new law</w:t>
      </w:r>
      <w:r w:rsidR="004A4D6F" w:rsidRPr="00350AFA">
        <w:rPr>
          <w:rFonts w:ascii="Times New Roman" w:hAnsi="Times New Roman" w:cs="Times New Roman"/>
          <w:iCs/>
          <w:color w:val="000000"/>
          <w:sz w:val="24"/>
          <w:szCs w:val="24"/>
          <w:lang w:val="en-GB"/>
        </w:rPr>
        <w:t>, is not aware of the fact that</w:t>
      </w:r>
      <w:r w:rsidR="003A21EE">
        <w:rPr>
          <w:rFonts w:ascii="Times New Roman" w:hAnsi="Times New Roman" w:cs="Times New Roman"/>
          <w:iCs/>
          <w:color w:val="000000"/>
          <w:sz w:val="24"/>
          <w:szCs w:val="24"/>
          <w:lang w:val="en-GB"/>
        </w:rPr>
        <w:t xml:space="preserve"> it</w:t>
      </w:r>
      <w:r w:rsidR="004A4D6F" w:rsidRPr="00350AFA">
        <w:rPr>
          <w:rFonts w:ascii="Times New Roman" w:hAnsi="Times New Roman" w:cs="Times New Roman"/>
          <w:iCs/>
          <w:color w:val="000000"/>
          <w:sz w:val="24"/>
          <w:szCs w:val="24"/>
          <w:lang w:val="en-GB"/>
        </w:rPr>
        <w:t xml:space="preserve"> had been</w:t>
      </w:r>
      <w:r>
        <w:rPr>
          <w:rFonts w:ascii="Times New Roman" w:hAnsi="Times New Roman" w:cs="Times New Roman"/>
          <w:iCs/>
          <w:color w:val="000000"/>
          <w:sz w:val="24"/>
          <w:szCs w:val="24"/>
          <w:lang w:val="en-GB"/>
        </w:rPr>
        <w:t xml:space="preserve"> discussed or</w:t>
      </w:r>
      <w:r w:rsidR="004A4D6F" w:rsidRPr="00350AFA">
        <w:rPr>
          <w:rFonts w:ascii="Times New Roman" w:hAnsi="Times New Roman" w:cs="Times New Roman"/>
          <w:iCs/>
          <w:color w:val="000000"/>
          <w:sz w:val="24"/>
          <w:szCs w:val="24"/>
          <w:lang w:val="en-GB"/>
        </w:rPr>
        <w:t xml:space="preserve"> supported in the Cabinet of Ministers; in that case such information </w:t>
      </w:r>
      <w:r w:rsidR="003A21EE">
        <w:rPr>
          <w:rFonts w:ascii="Times New Roman" w:hAnsi="Times New Roman" w:cs="Times New Roman"/>
          <w:iCs/>
          <w:color w:val="000000"/>
          <w:sz w:val="24"/>
          <w:szCs w:val="24"/>
          <w:lang w:val="en-GB"/>
        </w:rPr>
        <w:t>w</w:t>
      </w:r>
      <w:r w:rsidR="004A4D6F" w:rsidRPr="00350AFA">
        <w:rPr>
          <w:rFonts w:ascii="Times New Roman" w:hAnsi="Times New Roman" w:cs="Times New Roman"/>
          <w:iCs/>
          <w:color w:val="000000"/>
          <w:sz w:val="24"/>
          <w:szCs w:val="24"/>
          <w:lang w:val="en-GB"/>
        </w:rPr>
        <w:t xml:space="preserve">ould be available on the Cabinet of Ministers’ web page, and it is not. Moreover, for a law to enter into force, it has to </w:t>
      </w:r>
      <w:proofErr w:type="gramStart"/>
      <w:r w:rsidR="004A4D6F" w:rsidRPr="00350AFA">
        <w:rPr>
          <w:rFonts w:ascii="Times New Roman" w:hAnsi="Times New Roman" w:cs="Times New Roman"/>
          <w:iCs/>
          <w:color w:val="000000"/>
          <w:sz w:val="24"/>
          <w:szCs w:val="24"/>
          <w:lang w:val="en-GB"/>
        </w:rPr>
        <w:t>be reviewed</w:t>
      </w:r>
      <w:proofErr w:type="gramEnd"/>
      <w:r w:rsidR="004A4D6F" w:rsidRPr="00350AFA">
        <w:rPr>
          <w:rFonts w:ascii="Times New Roman" w:hAnsi="Times New Roman" w:cs="Times New Roman"/>
          <w:iCs/>
          <w:color w:val="000000"/>
          <w:sz w:val="24"/>
          <w:szCs w:val="24"/>
          <w:lang w:val="en-GB"/>
        </w:rPr>
        <w:t xml:space="preserve"> by the Parliament, and MARTA Centre has no knowledge that this has happened. Moreover, in 2018 there was a halt in the drafting process because certain agreements could not be reached among the involved parties, and since then there has been no moving forward. </w:t>
      </w:r>
      <w:proofErr w:type="gramStart"/>
      <w:r w:rsidR="004A4D6F" w:rsidRPr="00350AFA">
        <w:rPr>
          <w:rFonts w:ascii="Times New Roman" w:hAnsi="Times New Roman" w:cs="Times New Roman"/>
          <w:iCs/>
          <w:color w:val="000000"/>
          <w:sz w:val="24"/>
          <w:szCs w:val="24"/>
          <w:lang w:val="en-GB"/>
        </w:rPr>
        <w:t>Therefore</w:t>
      </w:r>
      <w:proofErr w:type="gramEnd"/>
      <w:r w:rsidR="004A4D6F" w:rsidRPr="00350AFA">
        <w:rPr>
          <w:rFonts w:ascii="Times New Roman" w:hAnsi="Times New Roman" w:cs="Times New Roman"/>
          <w:iCs/>
          <w:color w:val="000000"/>
          <w:sz w:val="24"/>
          <w:szCs w:val="24"/>
          <w:lang w:val="en-GB"/>
        </w:rPr>
        <w:t xml:space="preserve"> MARTA Centre shares its confusion regarding this information as it is presented in the State Report</w:t>
      </w:r>
      <w:r>
        <w:rPr>
          <w:rFonts w:ascii="Times New Roman" w:hAnsi="Times New Roman" w:cs="Times New Roman"/>
          <w:iCs/>
          <w:color w:val="000000"/>
          <w:sz w:val="24"/>
          <w:szCs w:val="24"/>
          <w:lang w:val="en-GB"/>
        </w:rPr>
        <w:t xml:space="preserve"> regarding the progress of the draft law</w:t>
      </w:r>
      <w:r w:rsidR="004A4D6F" w:rsidRPr="00350AFA">
        <w:rPr>
          <w:rFonts w:ascii="Times New Roman" w:hAnsi="Times New Roman" w:cs="Times New Roman"/>
          <w:iCs/>
          <w:color w:val="000000"/>
          <w:sz w:val="24"/>
          <w:szCs w:val="24"/>
          <w:lang w:val="en-GB"/>
        </w:rPr>
        <w:t xml:space="preserve">. </w:t>
      </w:r>
    </w:p>
    <w:p w14:paraId="157584F9" w14:textId="79B50A95" w:rsidR="00E167E3" w:rsidRPr="00350AFA" w:rsidRDefault="00350AFA" w:rsidP="00350ABF">
      <w:pPr>
        <w:pStyle w:val="Default"/>
        <w:spacing w:after="240"/>
        <w:rPr>
          <w:b/>
          <w:lang w:val="en-GB"/>
        </w:rPr>
      </w:pPr>
      <w:r>
        <w:rPr>
          <w:b/>
          <w:lang w:val="en-GB"/>
        </w:rPr>
        <w:t>Comment</w:t>
      </w:r>
      <w:r w:rsidR="00595F18">
        <w:rPr>
          <w:b/>
          <w:lang w:val="en-GB"/>
        </w:rPr>
        <w:t>s</w:t>
      </w:r>
      <w:r>
        <w:rPr>
          <w:b/>
          <w:lang w:val="en-GB"/>
        </w:rPr>
        <w:t xml:space="preserve"> on</w:t>
      </w:r>
    </w:p>
    <w:p w14:paraId="73E7A0AB" w14:textId="77777777" w:rsidR="00350AFA" w:rsidRDefault="00350AFA" w:rsidP="00350AFA">
      <w:pPr>
        <w:pStyle w:val="Default"/>
        <w:rPr>
          <w:b/>
          <w:bCs/>
          <w:lang w:val="en-GB"/>
        </w:rPr>
      </w:pPr>
      <w:r w:rsidRPr="00350AFA">
        <w:rPr>
          <w:b/>
          <w:bCs/>
          <w:lang w:val="en-GB"/>
        </w:rPr>
        <w:t>Committee recommendation in paragraph 70 – effective access to health-care information and services</w:t>
      </w:r>
    </w:p>
    <w:p w14:paraId="180BC6B2" w14:textId="16D256D6" w:rsidR="00350AFA" w:rsidRDefault="00350AFA" w:rsidP="00350AFA">
      <w:pPr>
        <w:pStyle w:val="Default"/>
        <w:rPr>
          <w:b/>
          <w:bCs/>
          <w:lang w:val="en-GB"/>
        </w:rPr>
      </w:pPr>
      <w:r>
        <w:rPr>
          <w:b/>
          <w:bCs/>
          <w:lang w:val="en-GB"/>
        </w:rPr>
        <w:t>And</w:t>
      </w:r>
    </w:p>
    <w:p w14:paraId="75C2FCBF" w14:textId="2C7D90EA" w:rsidR="00964ED6" w:rsidRPr="00350AFA" w:rsidRDefault="00401598" w:rsidP="00350AFA">
      <w:pPr>
        <w:pStyle w:val="Default"/>
        <w:rPr>
          <w:b/>
          <w:bCs/>
          <w:lang w:val="en-GB"/>
        </w:rPr>
      </w:pPr>
      <w:r w:rsidRPr="00350AFA">
        <w:rPr>
          <w:b/>
          <w:bCs/>
          <w:lang w:val="en-GB"/>
        </w:rPr>
        <w:t>Committee recommendation in paragraph 72 – HIV/AIDS</w:t>
      </w:r>
    </w:p>
    <w:p w14:paraId="5C7ABC4A" w14:textId="01EE657B" w:rsidR="00350AFA" w:rsidRDefault="00350AFA" w:rsidP="00350AFA">
      <w:pPr>
        <w:pStyle w:val="Default"/>
        <w:rPr>
          <w:b/>
          <w:bCs/>
          <w:lang w:val="en-GB"/>
        </w:rPr>
      </w:pPr>
      <w:r>
        <w:rPr>
          <w:b/>
          <w:bCs/>
          <w:lang w:val="en-GB"/>
        </w:rPr>
        <w:t>And</w:t>
      </w:r>
    </w:p>
    <w:p w14:paraId="599EED4A" w14:textId="5AF620D8" w:rsidR="00350AFA" w:rsidRPr="00350AFA" w:rsidRDefault="00350AFA" w:rsidP="00350AFA">
      <w:pPr>
        <w:pStyle w:val="Default"/>
        <w:spacing w:after="240"/>
        <w:rPr>
          <w:b/>
          <w:bCs/>
          <w:lang w:val="en-GB"/>
        </w:rPr>
      </w:pPr>
      <w:r>
        <w:rPr>
          <w:b/>
          <w:bCs/>
          <w:lang w:val="en-GB"/>
        </w:rPr>
        <w:t>Paragraphs 171 to 197</w:t>
      </w:r>
      <w:r w:rsidRPr="00350AFA">
        <w:rPr>
          <w:b/>
          <w:bCs/>
          <w:lang w:val="en-GB"/>
        </w:rPr>
        <w:t xml:space="preserve"> in</w:t>
      </w:r>
      <w:r w:rsidR="00C01E02">
        <w:rPr>
          <w:b/>
          <w:bCs/>
          <w:lang w:val="en-GB"/>
        </w:rPr>
        <w:t xml:space="preserve"> State</w:t>
      </w:r>
      <w:r w:rsidRPr="00350AFA">
        <w:rPr>
          <w:b/>
          <w:bCs/>
          <w:lang w:val="en-GB"/>
        </w:rPr>
        <w:t xml:space="preserve"> Report</w:t>
      </w:r>
    </w:p>
    <w:p w14:paraId="0A5D7C06" w14:textId="77777777" w:rsidR="00543077" w:rsidRDefault="00ED6685" w:rsidP="007320F7">
      <w:pPr>
        <w:pStyle w:val="Default"/>
        <w:spacing w:after="240"/>
        <w:jc w:val="both"/>
        <w:rPr>
          <w:bCs/>
          <w:color w:val="000000" w:themeColor="text1"/>
          <w:lang w:val="en-GB"/>
        </w:rPr>
      </w:pPr>
      <w:r w:rsidRPr="00350AFA">
        <w:rPr>
          <w:bCs/>
          <w:color w:val="000000" w:themeColor="text1"/>
          <w:lang w:val="en-GB"/>
        </w:rPr>
        <w:t xml:space="preserve">MARTA Centre informs the Committee that in 2015 the Parliament voted on amendments in Latvian Law on Education which state that schools have to provide “virtuous/ value-based education” especially promoting the values established in the Latvian Constitution such as marriage and family (family </w:t>
      </w:r>
      <w:r w:rsidR="006F0B86">
        <w:rPr>
          <w:bCs/>
          <w:color w:val="000000" w:themeColor="text1"/>
          <w:lang w:val="en-GB"/>
        </w:rPr>
        <w:t xml:space="preserve">in this context </w:t>
      </w:r>
      <w:r w:rsidRPr="00350AFA">
        <w:rPr>
          <w:bCs/>
          <w:color w:val="000000" w:themeColor="text1"/>
          <w:lang w:val="en-GB"/>
        </w:rPr>
        <w:t xml:space="preserve">means </w:t>
      </w:r>
      <w:r w:rsidR="006F0B86">
        <w:rPr>
          <w:bCs/>
          <w:color w:val="000000" w:themeColor="text1"/>
          <w:lang w:val="en-GB"/>
        </w:rPr>
        <w:t xml:space="preserve">almost </w:t>
      </w:r>
      <w:r w:rsidRPr="00350AFA">
        <w:rPr>
          <w:bCs/>
          <w:color w:val="000000" w:themeColor="text1"/>
          <w:lang w:val="en-GB"/>
        </w:rPr>
        <w:t>exclusively a married father and a mo</w:t>
      </w:r>
      <w:r w:rsidR="006F0B86">
        <w:rPr>
          <w:bCs/>
          <w:color w:val="000000" w:themeColor="text1"/>
          <w:lang w:val="en-GB"/>
        </w:rPr>
        <w:t>ther, and children</w:t>
      </w:r>
      <w:r w:rsidRPr="00350AFA">
        <w:rPr>
          <w:bCs/>
          <w:color w:val="000000" w:themeColor="text1"/>
          <w:lang w:val="en-GB"/>
        </w:rPr>
        <w:t>)</w:t>
      </w:r>
      <w:r w:rsidR="008D11AF" w:rsidRPr="00350AFA">
        <w:rPr>
          <w:rStyle w:val="FootnoteReference"/>
          <w:bCs/>
          <w:color w:val="000000" w:themeColor="text1"/>
          <w:lang w:val="en-GB"/>
        </w:rPr>
        <w:footnoteReference w:id="9"/>
      </w:r>
      <w:r w:rsidRPr="00350AFA">
        <w:rPr>
          <w:bCs/>
          <w:color w:val="000000" w:themeColor="text1"/>
          <w:lang w:val="en-GB"/>
        </w:rPr>
        <w:t xml:space="preserve">. </w:t>
      </w:r>
    </w:p>
    <w:p w14:paraId="1F0F9798" w14:textId="4D1EB990" w:rsidR="00543077" w:rsidRDefault="00ED6685" w:rsidP="007320F7">
      <w:pPr>
        <w:pStyle w:val="Default"/>
        <w:spacing w:after="240"/>
        <w:jc w:val="both"/>
        <w:rPr>
          <w:bCs/>
          <w:color w:val="000000" w:themeColor="text1"/>
          <w:lang w:val="en-GB"/>
        </w:rPr>
      </w:pPr>
      <w:r w:rsidRPr="00350AFA">
        <w:rPr>
          <w:bCs/>
          <w:color w:val="000000" w:themeColor="text1"/>
          <w:lang w:val="en-GB"/>
        </w:rPr>
        <w:t>This amendment also implies that schools</w:t>
      </w:r>
      <w:r w:rsidR="0090375B" w:rsidRPr="00350AFA">
        <w:rPr>
          <w:bCs/>
          <w:color w:val="000000" w:themeColor="text1"/>
          <w:lang w:val="en-GB"/>
        </w:rPr>
        <w:t>’</w:t>
      </w:r>
      <w:r w:rsidRPr="00350AFA">
        <w:rPr>
          <w:bCs/>
          <w:color w:val="000000" w:themeColor="text1"/>
          <w:lang w:val="en-GB"/>
        </w:rPr>
        <w:t xml:space="preserve"> pupils have to </w:t>
      </w:r>
      <w:proofErr w:type="gramStart"/>
      <w:r w:rsidRPr="00350AFA">
        <w:rPr>
          <w:bCs/>
          <w:color w:val="000000" w:themeColor="text1"/>
          <w:lang w:val="en-GB"/>
        </w:rPr>
        <w:t>be protected</w:t>
      </w:r>
      <w:proofErr w:type="gramEnd"/>
      <w:r w:rsidRPr="00350AFA">
        <w:rPr>
          <w:bCs/>
          <w:color w:val="000000" w:themeColor="text1"/>
          <w:lang w:val="en-GB"/>
        </w:rPr>
        <w:t xml:space="preserve"> </w:t>
      </w:r>
      <w:r w:rsidR="00681667">
        <w:rPr>
          <w:bCs/>
          <w:color w:val="000000" w:themeColor="text1"/>
          <w:lang w:val="en-GB"/>
        </w:rPr>
        <w:t>from</w:t>
      </w:r>
      <w:r w:rsidR="002C0104">
        <w:rPr>
          <w:bCs/>
          <w:color w:val="000000" w:themeColor="text1"/>
          <w:lang w:val="en-GB"/>
        </w:rPr>
        <w:t xml:space="preserve"> such information that goes</w:t>
      </w:r>
      <w:r w:rsidRPr="00350AFA">
        <w:rPr>
          <w:bCs/>
          <w:color w:val="000000" w:themeColor="text1"/>
          <w:lang w:val="en-GB"/>
        </w:rPr>
        <w:t xml:space="preserve"> against the abovementioned “virtuous” values (this might imply a wide range of issues from homosexuality specifically to sexuality at large, reproductive health and rights, and ot</w:t>
      </w:r>
      <w:r w:rsidR="00BF3436" w:rsidRPr="00350AFA">
        <w:rPr>
          <w:bCs/>
          <w:color w:val="000000" w:themeColor="text1"/>
          <w:lang w:val="en-GB"/>
        </w:rPr>
        <w:t>h</w:t>
      </w:r>
      <w:r w:rsidRPr="00350AFA">
        <w:rPr>
          <w:bCs/>
          <w:color w:val="000000" w:themeColor="text1"/>
          <w:lang w:val="en-GB"/>
        </w:rPr>
        <w:t>er issues).</w:t>
      </w:r>
      <w:r w:rsidR="00E44FBB">
        <w:rPr>
          <w:bCs/>
          <w:color w:val="000000" w:themeColor="text1"/>
          <w:lang w:val="en-GB"/>
        </w:rPr>
        <w:t xml:space="preserve"> Initially the author of these amendments, a Parliament deputy</w:t>
      </w:r>
      <w:r w:rsidR="006F0B86">
        <w:rPr>
          <w:bCs/>
          <w:color w:val="000000" w:themeColor="text1"/>
          <w:lang w:val="en-GB"/>
        </w:rPr>
        <w:t xml:space="preserve">, </w:t>
      </w:r>
      <w:r w:rsidR="00E44FBB">
        <w:rPr>
          <w:bCs/>
          <w:color w:val="000000" w:themeColor="text1"/>
          <w:lang w:val="en-GB"/>
        </w:rPr>
        <w:t>also suggested</w:t>
      </w:r>
      <w:r w:rsidR="00464546" w:rsidRPr="00350AFA">
        <w:rPr>
          <w:bCs/>
          <w:color w:val="000000" w:themeColor="text1"/>
          <w:lang w:val="en-GB"/>
        </w:rPr>
        <w:t xml:space="preserve"> that</w:t>
      </w:r>
      <w:r w:rsidR="009E19A3" w:rsidRPr="00350AFA">
        <w:rPr>
          <w:bCs/>
          <w:color w:val="000000" w:themeColor="text1"/>
          <w:lang w:val="en-GB"/>
        </w:rPr>
        <w:t xml:space="preserve"> those</w:t>
      </w:r>
      <w:r w:rsidR="00464546" w:rsidRPr="00350AFA">
        <w:rPr>
          <w:bCs/>
          <w:color w:val="000000" w:themeColor="text1"/>
          <w:lang w:val="en-GB"/>
        </w:rPr>
        <w:t xml:space="preserve"> </w:t>
      </w:r>
      <w:r w:rsidR="00BF3436" w:rsidRPr="00350AFA">
        <w:rPr>
          <w:bCs/>
          <w:color w:val="000000" w:themeColor="text1"/>
          <w:lang w:val="en-GB"/>
        </w:rPr>
        <w:t xml:space="preserve">methods and informative materials </w:t>
      </w:r>
      <w:r w:rsidR="009E19A3" w:rsidRPr="00350AFA">
        <w:rPr>
          <w:bCs/>
          <w:color w:val="000000" w:themeColor="text1"/>
          <w:lang w:val="en-GB"/>
        </w:rPr>
        <w:t xml:space="preserve">not in line with the state’s idea of “virtue” have to </w:t>
      </w:r>
      <w:proofErr w:type="gramStart"/>
      <w:r w:rsidR="009E19A3" w:rsidRPr="00350AFA">
        <w:rPr>
          <w:bCs/>
          <w:color w:val="000000" w:themeColor="text1"/>
          <w:lang w:val="en-GB"/>
        </w:rPr>
        <w:t>be prohibited</w:t>
      </w:r>
      <w:proofErr w:type="gramEnd"/>
      <w:r w:rsidR="009E19A3" w:rsidRPr="00350AFA">
        <w:rPr>
          <w:bCs/>
          <w:color w:val="000000" w:themeColor="text1"/>
          <w:lang w:val="en-GB"/>
        </w:rPr>
        <w:t xml:space="preserve"> </w:t>
      </w:r>
      <w:r w:rsidR="00464546" w:rsidRPr="00350AFA">
        <w:rPr>
          <w:bCs/>
          <w:color w:val="000000" w:themeColor="text1"/>
          <w:lang w:val="en-GB"/>
        </w:rPr>
        <w:t>(thankfully</w:t>
      </w:r>
      <w:r w:rsidR="009E19A3" w:rsidRPr="00350AFA">
        <w:rPr>
          <w:bCs/>
          <w:color w:val="000000" w:themeColor="text1"/>
          <w:lang w:val="en-GB"/>
        </w:rPr>
        <w:t>,</w:t>
      </w:r>
      <w:r w:rsidR="00464546" w:rsidRPr="00350AFA">
        <w:rPr>
          <w:bCs/>
          <w:color w:val="000000" w:themeColor="text1"/>
          <w:lang w:val="en-GB"/>
        </w:rPr>
        <w:t xml:space="preserve"> this suggestion was not sup</w:t>
      </w:r>
      <w:r w:rsidR="00F2361F" w:rsidRPr="00350AFA">
        <w:rPr>
          <w:bCs/>
          <w:color w:val="000000" w:themeColor="text1"/>
          <w:lang w:val="en-GB"/>
        </w:rPr>
        <w:t>p</w:t>
      </w:r>
      <w:r w:rsidR="00464546" w:rsidRPr="00350AFA">
        <w:rPr>
          <w:bCs/>
          <w:color w:val="000000" w:themeColor="text1"/>
          <w:lang w:val="en-GB"/>
        </w:rPr>
        <w:t>orted</w:t>
      </w:r>
      <w:r w:rsidR="00E44FBB">
        <w:rPr>
          <w:bCs/>
          <w:color w:val="000000" w:themeColor="text1"/>
          <w:lang w:val="en-GB"/>
        </w:rPr>
        <w:t xml:space="preserve"> by the Parliament</w:t>
      </w:r>
      <w:r w:rsidR="009E19A3" w:rsidRPr="00350AFA">
        <w:rPr>
          <w:bCs/>
          <w:color w:val="000000" w:themeColor="text1"/>
          <w:lang w:val="en-GB"/>
        </w:rPr>
        <w:t xml:space="preserve"> even though </w:t>
      </w:r>
      <w:r w:rsidR="00131DED" w:rsidRPr="00350AFA">
        <w:rPr>
          <w:bCs/>
          <w:color w:val="000000" w:themeColor="text1"/>
          <w:lang w:val="en-GB"/>
        </w:rPr>
        <w:t xml:space="preserve">some </w:t>
      </w:r>
      <w:r w:rsidR="00F2361F" w:rsidRPr="00350AFA">
        <w:rPr>
          <w:bCs/>
          <w:color w:val="000000" w:themeColor="text1"/>
          <w:lang w:val="en-GB"/>
        </w:rPr>
        <w:t>politicians</w:t>
      </w:r>
      <w:r w:rsidR="00131DED" w:rsidRPr="00350AFA">
        <w:rPr>
          <w:bCs/>
          <w:color w:val="000000" w:themeColor="text1"/>
          <w:lang w:val="en-GB"/>
        </w:rPr>
        <w:t xml:space="preserve"> and </w:t>
      </w:r>
      <w:r w:rsidR="009E19A3" w:rsidRPr="00350AFA">
        <w:rPr>
          <w:bCs/>
          <w:color w:val="000000" w:themeColor="text1"/>
          <w:lang w:val="en-GB"/>
        </w:rPr>
        <w:t>priests of some confessions openly supported them</w:t>
      </w:r>
      <w:r w:rsidR="00401598" w:rsidRPr="00350AFA">
        <w:rPr>
          <w:rStyle w:val="FootnoteReference"/>
          <w:bCs/>
          <w:color w:val="000000" w:themeColor="text1"/>
          <w:lang w:val="en-GB"/>
        </w:rPr>
        <w:footnoteReference w:id="10"/>
      </w:r>
      <w:r w:rsidR="00464546" w:rsidRPr="00350AFA">
        <w:rPr>
          <w:bCs/>
          <w:color w:val="000000" w:themeColor="text1"/>
          <w:lang w:val="en-GB"/>
        </w:rPr>
        <w:t xml:space="preserve">). </w:t>
      </w:r>
    </w:p>
    <w:p w14:paraId="387BB125" w14:textId="34376A73" w:rsidR="00E748B0" w:rsidRPr="00350AFA" w:rsidRDefault="00797DA0" w:rsidP="007320F7">
      <w:pPr>
        <w:pStyle w:val="Default"/>
        <w:spacing w:after="240"/>
        <w:jc w:val="both"/>
        <w:rPr>
          <w:b/>
          <w:color w:val="000000" w:themeColor="text1"/>
          <w:lang w:val="en-GB"/>
        </w:rPr>
      </w:pPr>
      <w:r w:rsidRPr="00350AFA">
        <w:rPr>
          <w:bCs/>
          <w:color w:val="000000" w:themeColor="text1"/>
          <w:lang w:val="en-GB"/>
        </w:rPr>
        <w:t>Many school teachers have objected to these amendments stating that they not only limit the quality of education on important topics, they also amount to censorship of certain topics</w:t>
      </w:r>
      <w:r w:rsidR="00E44FBB">
        <w:rPr>
          <w:bCs/>
          <w:color w:val="000000" w:themeColor="text1"/>
          <w:lang w:val="en-GB"/>
        </w:rPr>
        <w:t>,</w:t>
      </w:r>
      <w:r w:rsidR="00E748B0" w:rsidRPr="00350AFA">
        <w:rPr>
          <w:bCs/>
          <w:color w:val="000000" w:themeColor="text1"/>
          <w:lang w:val="en-GB"/>
        </w:rPr>
        <w:t xml:space="preserve"> and admit that this move seems to be a result of </w:t>
      </w:r>
      <w:r w:rsidR="00F2361F" w:rsidRPr="00350AFA">
        <w:rPr>
          <w:bCs/>
          <w:color w:val="000000" w:themeColor="text1"/>
          <w:lang w:val="en-GB"/>
        </w:rPr>
        <w:t>deputies’</w:t>
      </w:r>
      <w:r w:rsidR="00E748B0" w:rsidRPr="00350AFA">
        <w:rPr>
          <w:bCs/>
          <w:color w:val="000000" w:themeColor="text1"/>
          <w:lang w:val="en-GB"/>
        </w:rPr>
        <w:t xml:space="preserve"> wish to limit the rights of same-sex couples rather than improve the quality of education.</w:t>
      </w:r>
      <w:r w:rsidR="00E748B0" w:rsidRPr="00350AFA">
        <w:rPr>
          <w:rStyle w:val="FootnoteReference"/>
          <w:color w:val="000000" w:themeColor="text1"/>
          <w:shd w:val="clear" w:color="auto" w:fill="FFFFFF"/>
          <w:lang w:val="en-GB"/>
        </w:rPr>
        <w:footnoteReference w:id="11"/>
      </w:r>
      <w:r w:rsidR="007624AC" w:rsidRPr="00350AFA">
        <w:rPr>
          <w:bCs/>
          <w:color w:val="000000" w:themeColor="text1"/>
          <w:lang w:val="en-GB"/>
        </w:rPr>
        <w:t xml:space="preserve"> Many experts have condoned these amendments as counterproductive to managing such public health issues as teenage pregnancies, abortions, </w:t>
      </w:r>
      <w:r w:rsidR="0090375B" w:rsidRPr="00350AFA">
        <w:rPr>
          <w:bCs/>
          <w:color w:val="000000" w:themeColor="text1"/>
          <w:lang w:val="en-GB"/>
        </w:rPr>
        <w:t xml:space="preserve">spread of </w:t>
      </w:r>
      <w:r w:rsidR="007624AC" w:rsidRPr="00350AFA">
        <w:rPr>
          <w:bCs/>
          <w:color w:val="000000" w:themeColor="text1"/>
          <w:lang w:val="en-GB"/>
        </w:rPr>
        <w:t>HIV/AIDS, and other</w:t>
      </w:r>
      <w:r w:rsidR="00933B6E" w:rsidRPr="00350AFA">
        <w:rPr>
          <w:bCs/>
          <w:color w:val="000000" w:themeColor="text1"/>
          <w:lang w:val="en-GB"/>
        </w:rPr>
        <w:t xml:space="preserve">. </w:t>
      </w:r>
      <w:r w:rsidR="007624AC" w:rsidRPr="00350AFA">
        <w:rPr>
          <w:bCs/>
          <w:color w:val="000000" w:themeColor="text1"/>
          <w:lang w:val="en-GB"/>
        </w:rPr>
        <w:t xml:space="preserve">The NGO that </w:t>
      </w:r>
      <w:proofErr w:type="gramStart"/>
      <w:r w:rsidR="007624AC" w:rsidRPr="00350AFA">
        <w:rPr>
          <w:bCs/>
          <w:color w:val="000000" w:themeColor="text1"/>
          <w:lang w:val="en-GB"/>
        </w:rPr>
        <w:t>is also mentioned</w:t>
      </w:r>
      <w:proofErr w:type="gramEnd"/>
      <w:r w:rsidR="007624AC" w:rsidRPr="00350AFA">
        <w:rPr>
          <w:bCs/>
          <w:color w:val="000000" w:themeColor="text1"/>
          <w:lang w:val="en-GB"/>
        </w:rPr>
        <w:t xml:space="preserve"> in the State Report, “</w:t>
      </w:r>
      <w:proofErr w:type="spellStart"/>
      <w:r w:rsidR="007624AC" w:rsidRPr="00350AFA">
        <w:rPr>
          <w:bCs/>
          <w:color w:val="000000" w:themeColor="text1"/>
          <w:lang w:val="en-GB"/>
        </w:rPr>
        <w:t>Papardes</w:t>
      </w:r>
      <w:proofErr w:type="spellEnd"/>
      <w:r w:rsidR="007624AC" w:rsidRPr="00350AFA">
        <w:rPr>
          <w:bCs/>
          <w:color w:val="000000" w:themeColor="text1"/>
          <w:lang w:val="en-GB"/>
        </w:rPr>
        <w:t xml:space="preserve"> </w:t>
      </w:r>
      <w:proofErr w:type="spellStart"/>
      <w:r w:rsidR="007624AC" w:rsidRPr="00350AFA">
        <w:rPr>
          <w:bCs/>
          <w:color w:val="000000" w:themeColor="text1"/>
          <w:lang w:val="en-GB"/>
        </w:rPr>
        <w:t>zieds</w:t>
      </w:r>
      <w:proofErr w:type="spellEnd"/>
      <w:r w:rsidR="007624AC" w:rsidRPr="00350AFA">
        <w:rPr>
          <w:bCs/>
          <w:color w:val="000000" w:themeColor="text1"/>
          <w:lang w:val="en-GB"/>
        </w:rPr>
        <w:t xml:space="preserve">”, has worked particularly hard to protest against these amendments. These amendments are </w:t>
      </w:r>
      <w:r w:rsidR="00F2361F" w:rsidRPr="00350AFA">
        <w:rPr>
          <w:bCs/>
          <w:color w:val="000000" w:themeColor="text1"/>
          <w:lang w:val="en-GB"/>
        </w:rPr>
        <w:t>stil</w:t>
      </w:r>
      <w:r w:rsidR="007624AC" w:rsidRPr="00350AFA">
        <w:rPr>
          <w:bCs/>
          <w:color w:val="000000" w:themeColor="text1"/>
          <w:lang w:val="en-GB"/>
        </w:rPr>
        <w:t>l</w:t>
      </w:r>
      <w:r w:rsidR="00F2361F" w:rsidRPr="00350AFA">
        <w:rPr>
          <w:bCs/>
          <w:color w:val="000000" w:themeColor="text1"/>
          <w:lang w:val="en-GB"/>
        </w:rPr>
        <w:t xml:space="preserve"> </w:t>
      </w:r>
      <w:r w:rsidR="007624AC" w:rsidRPr="00350AFA">
        <w:rPr>
          <w:bCs/>
          <w:color w:val="000000" w:themeColor="text1"/>
          <w:lang w:val="en-GB"/>
        </w:rPr>
        <w:t xml:space="preserve">in force. </w:t>
      </w:r>
    </w:p>
    <w:p w14:paraId="26CF6D93" w14:textId="3163F3C9" w:rsidR="007320F7" w:rsidRPr="00350AFA" w:rsidRDefault="007320F7" w:rsidP="007320F7">
      <w:pPr>
        <w:pStyle w:val="Default"/>
        <w:spacing w:after="240"/>
        <w:rPr>
          <w:b/>
          <w:lang w:val="en-GB"/>
        </w:rPr>
      </w:pPr>
      <w:r>
        <w:rPr>
          <w:b/>
          <w:lang w:val="en-GB"/>
        </w:rPr>
        <w:t>Comment</w:t>
      </w:r>
      <w:r w:rsidR="00595F18">
        <w:rPr>
          <w:b/>
          <w:lang w:val="en-GB"/>
        </w:rPr>
        <w:t>s</w:t>
      </w:r>
      <w:r>
        <w:rPr>
          <w:b/>
          <w:lang w:val="en-GB"/>
        </w:rPr>
        <w:t xml:space="preserve"> on</w:t>
      </w:r>
    </w:p>
    <w:p w14:paraId="1142E823" w14:textId="685A2554" w:rsidR="00964ED6" w:rsidRDefault="0090375B" w:rsidP="007320F7">
      <w:pPr>
        <w:pStyle w:val="Default"/>
        <w:rPr>
          <w:b/>
          <w:bCs/>
          <w:lang w:val="en-GB"/>
        </w:rPr>
      </w:pPr>
      <w:r w:rsidRPr="00350AFA">
        <w:rPr>
          <w:b/>
          <w:bCs/>
          <w:lang w:val="en-GB"/>
        </w:rPr>
        <w:t>Committee recommendation in paragraph 74 – situation of minority women and older women</w:t>
      </w:r>
    </w:p>
    <w:p w14:paraId="7EAB748B" w14:textId="1111DE04" w:rsidR="007320F7" w:rsidRDefault="007320F7" w:rsidP="007320F7">
      <w:pPr>
        <w:pStyle w:val="Default"/>
        <w:rPr>
          <w:b/>
          <w:bCs/>
          <w:lang w:val="en-GB"/>
        </w:rPr>
      </w:pPr>
      <w:r>
        <w:rPr>
          <w:b/>
          <w:bCs/>
          <w:lang w:val="en-GB"/>
        </w:rPr>
        <w:t>And</w:t>
      </w:r>
    </w:p>
    <w:p w14:paraId="4B35DB2B" w14:textId="2FDCA7E8" w:rsidR="007320F7" w:rsidRPr="00350AFA" w:rsidRDefault="007320F7" w:rsidP="007320F7">
      <w:pPr>
        <w:pStyle w:val="Default"/>
        <w:spacing w:after="240"/>
        <w:rPr>
          <w:b/>
          <w:bCs/>
          <w:lang w:val="en-GB"/>
        </w:rPr>
      </w:pPr>
      <w:r>
        <w:rPr>
          <w:b/>
          <w:bCs/>
          <w:lang w:val="en-GB"/>
        </w:rPr>
        <w:t>Paragraphs 215 to 220</w:t>
      </w:r>
      <w:r w:rsidRPr="00350AFA">
        <w:rPr>
          <w:b/>
          <w:bCs/>
          <w:lang w:val="en-GB"/>
        </w:rPr>
        <w:t xml:space="preserve"> in</w:t>
      </w:r>
      <w:r w:rsidR="00C01E02">
        <w:rPr>
          <w:b/>
          <w:bCs/>
          <w:lang w:val="en-GB"/>
        </w:rPr>
        <w:t xml:space="preserve"> State</w:t>
      </w:r>
      <w:r w:rsidRPr="00350AFA">
        <w:rPr>
          <w:b/>
          <w:bCs/>
          <w:lang w:val="en-GB"/>
        </w:rPr>
        <w:t xml:space="preserve"> Report</w:t>
      </w:r>
    </w:p>
    <w:p w14:paraId="682285DA" w14:textId="48E07B41" w:rsidR="00170221" w:rsidRDefault="0090375B" w:rsidP="00350ABF">
      <w:pPr>
        <w:autoSpaceDE w:val="0"/>
        <w:autoSpaceDN w:val="0"/>
        <w:adjustRightInd w:val="0"/>
        <w:spacing w:after="240"/>
        <w:jc w:val="both"/>
        <w:rPr>
          <w:rFonts w:ascii="Times New Roman" w:hAnsi="Times New Roman" w:cs="Times New Roman"/>
          <w:bCs/>
          <w:color w:val="000000" w:themeColor="text1"/>
          <w:sz w:val="24"/>
          <w:szCs w:val="24"/>
          <w:lang w:val="en-GB"/>
        </w:rPr>
      </w:pPr>
      <w:r w:rsidRPr="00350AFA">
        <w:rPr>
          <w:rFonts w:ascii="Times New Roman" w:hAnsi="Times New Roman" w:cs="Times New Roman"/>
          <w:bCs/>
          <w:color w:val="000000" w:themeColor="text1"/>
          <w:sz w:val="24"/>
          <w:szCs w:val="24"/>
          <w:lang w:val="en-GB"/>
        </w:rPr>
        <w:t xml:space="preserve">MARTA Centre informs that together with partners from </w:t>
      </w:r>
      <w:r w:rsidR="00F2361F" w:rsidRPr="00350AFA">
        <w:rPr>
          <w:rFonts w:ascii="Times New Roman" w:hAnsi="Times New Roman" w:cs="Times New Roman"/>
          <w:bCs/>
          <w:color w:val="000000" w:themeColor="text1"/>
          <w:sz w:val="24"/>
          <w:szCs w:val="24"/>
          <w:lang w:val="en-GB"/>
        </w:rPr>
        <w:t>Austria, Estonia, Finland, Greece and the United Kingdom in 2017 and 2018 a WHOSEFVA (Working with Healthcare Organizations to Support Elderly Female Victims of Abuse</w:t>
      </w:r>
      <w:r w:rsidR="00F2361F" w:rsidRPr="00350AFA">
        <w:rPr>
          <w:rStyle w:val="FootnoteReference"/>
          <w:rFonts w:ascii="Times New Roman" w:hAnsi="Times New Roman" w:cs="Times New Roman"/>
          <w:bCs/>
          <w:color w:val="000000" w:themeColor="text1"/>
          <w:sz w:val="24"/>
          <w:szCs w:val="24"/>
          <w:lang w:val="en-GB"/>
        </w:rPr>
        <w:footnoteReference w:id="12"/>
      </w:r>
      <w:r w:rsidR="00F2361F" w:rsidRPr="00350AFA">
        <w:rPr>
          <w:rFonts w:ascii="Times New Roman" w:hAnsi="Times New Roman" w:cs="Times New Roman"/>
          <w:bCs/>
          <w:color w:val="000000" w:themeColor="text1"/>
          <w:sz w:val="24"/>
          <w:szCs w:val="24"/>
          <w:lang w:val="en-GB"/>
        </w:rPr>
        <w:t>) project was carried out. The main findings were that healthcare providers are critical to help elderly victims of domestic abuse and that the situation of elderly victims of domestic ab</w:t>
      </w:r>
      <w:r w:rsidR="00170221">
        <w:rPr>
          <w:rFonts w:ascii="Times New Roman" w:hAnsi="Times New Roman" w:cs="Times New Roman"/>
          <w:bCs/>
          <w:color w:val="000000" w:themeColor="text1"/>
          <w:sz w:val="24"/>
          <w:szCs w:val="24"/>
          <w:lang w:val="en-GB"/>
        </w:rPr>
        <w:t>use is often extreme, uniting intersecting types of inequality and abuse.</w:t>
      </w:r>
      <w:r w:rsidR="00E44FBB">
        <w:rPr>
          <w:rFonts w:ascii="Times New Roman" w:hAnsi="Times New Roman" w:cs="Times New Roman"/>
          <w:bCs/>
          <w:color w:val="000000" w:themeColor="text1"/>
          <w:sz w:val="24"/>
          <w:szCs w:val="24"/>
          <w:lang w:val="en-GB"/>
        </w:rPr>
        <w:t xml:space="preserve"> These domestic violence victims in particular lack the means and knowledge on ways to get help when needed and on their human rights. </w:t>
      </w:r>
      <w:r w:rsidR="006331ED">
        <w:rPr>
          <w:rFonts w:ascii="Times New Roman" w:hAnsi="Times New Roman" w:cs="Times New Roman"/>
          <w:bCs/>
          <w:color w:val="000000" w:themeColor="text1"/>
          <w:sz w:val="24"/>
          <w:szCs w:val="24"/>
          <w:lang w:val="en-GB"/>
        </w:rPr>
        <w:t xml:space="preserve">There is no official statistical data on the prevalence of violence against the elderly in Latvia. </w:t>
      </w:r>
    </w:p>
    <w:p w14:paraId="727A45EB" w14:textId="35FFCBB8" w:rsidR="00170221" w:rsidRDefault="00F2361F" w:rsidP="00350ABF">
      <w:pPr>
        <w:autoSpaceDE w:val="0"/>
        <w:autoSpaceDN w:val="0"/>
        <w:adjustRightInd w:val="0"/>
        <w:spacing w:after="240"/>
        <w:jc w:val="both"/>
        <w:rPr>
          <w:rFonts w:ascii="Times New Roman" w:hAnsi="Times New Roman" w:cs="Times New Roman"/>
          <w:color w:val="000000" w:themeColor="text1"/>
          <w:sz w:val="24"/>
          <w:szCs w:val="24"/>
          <w:lang w:val="en-GB"/>
        </w:rPr>
      </w:pPr>
      <w:r w:rsidRPr="00350AFA">
        <w:rPr>
          <w:rFonts w:ascii="Times New Roman" w:hAnsi="Times New Roman" w:cs="Times New Roman"/>
          <w:bCs/>
          <w:color w:val="000000" w:themeColor="text1"/>
          <w:sz w:val="24"/>
          <w:szCs w:val="24"/>
          <w:lang w:val="en-GB"/>
        </w:rPr>
        <w:t>As mentioned in the State Report: “</w:t>
      </w:r>
      <w:r w:rsidR="00E61E81" w:rsidRPr="00350AFA">
        <w:rPr>
          <w:rFonts w:ascii="Times New Roman" w:hAnsi="Times New Roman" w:cs="Times New Roman"/>
          <w:color w:val="000000" w:themeColor="text1"/>
          <w:sz w:val="24"/>
          <w:szCs w:val="24"/>
          <w:lang w:val="en-GB"/>
        </w:rPr>
        <w:t xml:space="preserve">In accordance with Article 561 of the </w:t>
      </w:r>
      <w:r w:rsidR="00E61E81" w:rsidRPr="00350AFA">
        <w:rPr>
          <w:rFonts w:ascii="Times New Roman" w:hAnsi="Times New Roman" w:cs="Times New Roman"/>
          <w:i/>
          <w:iCs/>
          <w:color w:val="000000" w:themeColor="text1"/>
          <w:sz w:val="24"/>
          <w:szCs w:val="24"/>
          <w:lang w:val="en-GB"/>
        </w:rPr>
        <w:t>Medical Treatment Law</w:t>
      </w:r>
      <w:r w:rsidR="00E61E81" w:rsidRPr="00350AFA">
        <w:rPr>
          <w:rFonts w:ascii="Times New Roman" w:hAnsi="Times New Roman" w:cs="Times New Roman"/>
          <w:color w:val="000000" w:themeColor="text1"/>
          <w:sz w:val="24"/>
          <w:szCs w:val="24"/>
          <w:lang w:val="en-GB"/>
        </w:rPr>
        <w:t>, if a medical treatment institution provides assistance to a patient and there are grounds for considering that the patient has suffered from violence, the medical treatment institution must notify the State Police thereof without delay but not later than within 12 hours</w:t>
      </w:r>
      <w:r w:rsidRPr="00350AFA">
        <w:rPr>
          <w:rFonts w:ascii="Times New Roman" w:hAnsi="Times New Roman" w:cs="Times New Roman"/>
          <w:color w:val="000000" w:themeColor="text1"/>
          <w:sz w:val="24"/>
          <w:szCs w:val="24"/>
          <w:lang w:val="en-GB"/>
        </w:rPr>
        <w:t xml:space="preserve">”. </w:t>
      </w:r>
      <w:r w:rsidR="00E61E81" w:rsidRPr="00350AFA">
        <w:rPr>
          <w:rFonts w:ascii="Times New Roman" w:hAnsi="Times New Roman" w:cs="Times New Roman"/>
          <w:color w:val="000000" w:themeColor="text1"/>
          <w:sz w:val="24"/>
          <w:szCs w:val="24"/>
          <w:lang w:val="en-GB"/>
        </w:rPr>
        <w:t xml:space="preserve">MARTA Centre </w:t>
      </w:r>
      <w:r w:rsidRPr="00350AFA">
        <w:rPr>
          <w:rFonts w:ascii="Times New Roman" w:hAnsi="Times New Roman" w:cs="Times New Roman"/>
          <w:color w:val="000000" w:themeColor="text1"/>
          <w:sz w:val="24"/>
          <w:szCs w:val="24"/>
          <w:lang w:val="en-GB"/>
        </w:rPr>
        <w:t xml:space="preserve">generally approves this provision; however, focus groups with healthcare providers </w:t>
      </w:r>
      <w:r w:rsidR="00170221">
        <w:rPr>
          <w:rFonts w:ascii="Times New Roman" w:hAnsi="Times New Roman" w:cs="Times New Roman"/>
          <w:color w:val="000000" w:themeColor="text1"/>
          <w:sz w:val="24"/>
          <w:szCs w:val="24"/>
          <w:lang w:val="en-GB"/>
        </w:rPr>
        <w:t xml:space="preserve">carried out within the project </w:t>
      </w:r>
      <w:r w:rsidR="00350ABF" w:rsidRPr="00350AFA">
        <w:rPr>
          <w:rFonts w:ascii="Times New Roman" w:hAnsi="Times New Roman" w:cs="Times New Roman"/>
          <w:color w:val="000000" w:themeColor="text1"/>
          <w:sz w:val="24"/>
          <w:szCs w:val="24"/>
          <w:lang w:val="en-GB"/>
        </w:rPr>
        <w:t xml:space="preserve">showed an issue that is rather common to domestic violence victims, but is especially true for elderly domestic abuse victims </w:t>
      </w:r>
      <w:r w:rsidR="00170221">
        <w:rPr>
          <w:rFonts w:ascii="Times New Roman" w:hAnsi="Times New Roman" w:cs="Times New Roman"/>
          <w:color w:val="000000" w:themeColor="text1"/>
          <w:sz w:val="24"/>
          <w:szCs w:val="24"/>
          <w:lang w:val="en-GB"/>
        </w:rPr>
        <w:t xml:space="preserve">– namely, these victims often </w:t>
      </w:r>
      <w:r w:rsidR="00350ABF" w:rsidRPr="00350AFA">
        <w:rPr>
          <w:rFonts w:ascii="Times New Roman" w:hAnsi="Times New Roman" w:cs="Times New Roman"/>
          <w:color w:val="000000" w:themeColor="text1"/>
          <w:sz w:val="24"/>
          <w:szCs w:val="24"/>
          <w:lang w:val="en-GB"/>
        </w:rPr>
        <w:t xml:space="preserve">request that medical providers do </w:t>
      </w:r>
      <w:r w:rsidR="00E61E81" w:rsidRPr="00350AFA">
        <w:rPr>
          <w:rFonts w:ascii="Times New Roman" w:hAnsi="Times New Roman" w:cs="Times New Roman"/>
          <w:color w:val="000000" w:themeColor="text1"/>
          <w:sz w:val="24"/>
          <w:szCs w:val="24"/>
          <w:lang w:val="en-GB"/>
        </w:rPr>
        <w:t xml:space="preserve">not notify the police about suspected violence, </w:t>
      </w:r>
      <w:r w:rsidR="00170221">
        <w:rPr>
          <w:rFonts w:ascii="Times New Roman" w:hAnsi="Times New Roman" w:cs="Times New Roman"/>
          <w:color w:val="000000" w:themeColor="text1"/>
          <w:sz w:val="24"/>
          <w:szCs w:val="24"/>
          <w:lang w:val="en-GB"/>
        </w:rPr>
        <w:t xml:space="preserve">threatening to </w:t>
      </w:r>
      <w:r w:rsidR="00E61E81" w:rsidRPr="00350AFA">
        <w:rPr>
          <w:rFonts w:ascii="Times New Roman" w:hAnsi="Times New Roman" w:cs="Times New Roman"/>
          <w:color w:val="000000" w:themeColor="text1"/>
          <w:sz w:val="24"/>
          <w:szCs w:val="24"/>
          <w:lang w:val="en-GB"/>
        </w:rPr>
        <w:t>commit suicide or never again approach medical professionals for treatment</w:t>
      </w:r>
      <w:r w:rsidR="00170221">
        <w:rPr>
          <w:rFonts w:ascii="Times New Roman" w:hAnsi="Times New Roman" w:cs="Times New Roman"/>
          <w:color w:val="000000" w:themeColor="text1"/>
          <w:sz w:val="24"/>
          <w:szCs w:val="24"/>
          <w:lang w:val="en-GB"/>
        </w:rPr>
        <w:t xml:space="preserve"> if their request is not respected</w:t>
      </w:r>
      <w:r w:rsidR="00E61E81" w:rsidRPr="00350AFA">
        <w:rPr>
          <w:rFonts w:ascii="Times New Roman" w:hAnsi="Times New Roman" w:cs="Times New Roman"/>
          <w:color w:val="000000" w:themeColor="text1"/>
          <w:sz w:val="24"/>
          <w:szCs w:val="24"/>
          <w:lang w:val="en-GB"/>
        </w:rPr>
        <w:t>.</w:t>
      </w:r>
      <w:r w:rsidR="00350ABF" w:rsidRPr="00350AFA">
        <w:rPr>
          <w:rFonts w:ascii="Times New Roman" w:hAnsi="Times New Roman" w:cs="Times New Roman"/>
          <w:color w:val="000000" w:themeColor="text1"/>
          <w:sz w:val="24"/>
          <w:szCs w:val="24"/>
          <w:lang w:val="en-GB"/>
        </w:rPr>
        <w:t xml:space="preserve"> Elderly domestic violence victims often tend to call the medical providers instead of calling the police after an incidence of violence. </w:t>
      </w:r>
      <w:r w:rsidR="003E005E">
        <w:rPr>
          <w:rFonts w:ascii="Times New Roman" w:hAnsi="Times New Roman" w:cs="Times New Roman"/>
          <w:color w:val="000000" w:themeColor="text1"/>
          <w:sz w:val="24"/>
          <w:szCs w:val="24"/>
          <w:lang w:val="en-GB"/>
        </w:rPr>
        <w:t xml:space="preserve">Partially this is </w:t>
      </w:r>
      <w:proofErr w:type="gramStart"/>
      <w:r w:rsidR="003E005E">
        <w:rPr>
          <w:rFonts w:ascii="Times New Roman" w:hAnsi="Times New Roman" w:cs="Times New Roman"/>
          <w:color w:val="000000" w:themeColor="text1"/>
          <w:sz w:val="24"/>
          <w:szCs w:val="24"/>
          <w:lang w:val="en-GB"/>
        </w:rPr>
        <w:t>due to the fact that</w:t>
      </w:r>
      <w:proofErr w:type="gramEnd"/>
      <w:r w:rsidR="003E005E">
        <w:rPr>
          <w:rFonts w:ascii="Times New Roman" w:hAnsi="Times New Roman" w:cs="Times New Roman"/>
          <w:color w:val="000000" w:themeColor="text1"/>
          <w:sz w:val="24"/>
          <w:szCs w:val="24"/>
          <w:lang w:val="en-GB"/>
        </w:rPr>
        <w:t xml:space="preserve"> the elderly are especially dependent on their abusers. </w:t>
      </w:r>
    </w:p>
    <w:p w14:paraId="2DE1F574" w14:textId="27EC1DA6" w:rsidR="00E61E81" w:rsidRPr="00350AFA" w:rsidRDefault="00E44FBB" w:rsidP="00170221">
      <w:pPr>
        <w:autoSpaceDE w:val="0"/>
        <w:autoSpaceDN w:val="0"/>
        <w:adjustRightInd w:val="0"/>
        <w:spacing w:after="240"/>
        <w:jc w:val="both"/>
        <w:rPr>
          <w:b/>
          <w:lang w:val="en-GB"/>
        </w:rPr>
      </w:pPr>
      <w:r>
        <w:rPr>
          <w:rFonts w:ascii="Times New Roman" w:hAnsi="Times New Roman" w:cs="Times New Roman"/>
          <w:color w:val="000000" w:themeColor="text1"/>
          <w:sz w:val="24"/>
          <w:szCs w:val="24"/>
          <w:lang w:val="en-GB"/>
        </w:rPr>
        <w:t xml:space="preserve">In the light of these results, </w:t>
      </w:r>
      <w:r w:rsidR="00E61E81" w:rsidRPr="00350AFA">
        <w:rPr>
          <w:rFonts w:ascii="Times New Roman" w:hAnsi="Times New Roman" w:cs="Times New Roman"/>
          <w:color w:val="000000" w:themeColor="text1"/>
          <w:sz w:val="24"/>
          <w:szCs w:val="24"/>
          <w:lang w:val="en-GB"/>
        </w:rPr>
        <w:t xml:space="preserve">MARTA Centre has suggested that medical professionals take note of the physical signs of abuse nonetheless (e.g., in the form of X-Ray and written notes) so that when/ if the individual is ever ready to settle the matters via the police and court, there would be enough documentation to support the case. </w:t>
      </w:r>
      <w:r w:rsidR="00B03908">
        <w:rPr>
          <w:rFonts w:ascii="Times New Roman" w:hAnsi="Times New Roman" w:cs="Times New Roman"/>
          <w:color w:val="000000" w:themeColor="text1"/>
          <w:sz w:val="24"/>
          <w:szCs w:val="24"/>
          <w:lang w:val="en-GB"/>
        </w:rPr>
        <w:t>Workshops have been carried out intended for healthcare professionals to be able to better respond to violence cases</w:t>
      </w:r>
      <w:r w:rsidR="00197A90">
        <w:rPr>
          <w:rFonts w:ascii="Times New Roman" w:hAnsi="Times New Roman" w:cs="Times New Roman"/>
          <w:color w:val="000000" w:themeColor="text1"/>
          <w:sz w:val="24"/>
          <w:szCs w:val="24"/>
          <w:lang w:val="en-GB"/>
        </w:rPr>
        <w:t xml:space="preserve"> in the elderly population</w:t>
      </w:r>
      <w:r w:rsidR="00B03908">
        <w:rPr>
          <w:rFonts w:ascii="Times New Roman" w:hAnsi="Times New Roman" w:cs="Times New Roman"/>
          <w:color w:val="000000" w:themeColor="text1"/>
          <w:sz w:val="24"/>
          <w:szCs w:val="24"/>
          <w:lang w:val="en-GB"/>
        </w:rPr>
        <w:t xml:space="preserve">. </w:t>
      </w:r>
      <w:bookmarkStart w:id="0" w:name="_GoBack"/>
      <w:bookmarkEnd w:id="0"/>
      <w:permStart w:id="326771103" w:edGrp="everyone"/>
      <w:permEnd w:id="326771103"/>
    </w:p>
    <w:sectPr w:rsidR="00E61E81" w:rsidRPr="00350AFA" w:rsidSect="005D44C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FDA19" w14:textId="77777777" w:rsidR="00804C3B" w:rsidRDefault="00804C3B" w:rsidP="006335BC">
      <w:pPr>
        <w:spacing w:after="0" w:line="240" w:lineRule="auto"/>
      </w:pPr>
      <w:r>
        <w:separator/>
      </w:r>
    </w:p>
  </w:endnote>
  <w:endnote w:type="continuationSeparator" w:id="0">
    <w:p w14:paraId="0A842078" w14:textId="77777777" w:rsidR="00804C3B" w:rsidRDefault="00804C3B" w:rsidP="0063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864648"/>
      <w:docPartObj>
        <w:docPartGallery w:val="Page Numbers (Bottom of Page)"/>
        <w:docPartUnique/>
      </w:docPartObj>
    </w:sdtPr>
    <w:sdtEndPr>
      <w:rPr>
        <w:noProof/>
      </w:rPr>
    </w:sdtEndPr>
    <w:sdtContent>
      <w:p w14:paraId="03FBC4E3" w14:textId="45CBB196" w:rsidR="005D44C9" w:rsidRDefault="005D44C9">
        <w:pPr>
          <w:pStyle w:val="Footer"/>
          <w:jc w:val="right"/>
        </w:pPr>
        <w:r>
          <w:fldChar w:fldCharType="begin"/>
        </w:r>
        <w:r>
          <w:instrText xml:space="preserve"> PAGE   \* MERGEFORMAT </w:instrText>
        </w:r>
        <w:r>
          <w:fldChar w:fldCharType="separate"/>
        </w:r>
        <w:r w:rsidR="00025526">
          <w:rPr>
            <w:noProof/>
          </w:rPr>
          <w:t>13</w:t>
        </w:r>
        <w:r>
          <w:rPr>
            <w:noProof/>
          </w:rPr>
          <w:fldChar w:fldCharType="end"/>
        </w:r>
      </w:p>
    </w:sdtContent>
  </w:sdt>
  <w:p w14:paraId="76EDFD65" w14:textId="77777777" w:rsidR="005D44C9" w:rsidRDefault="005D4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300A2" w14:textId="77777777" w:rsidR="00804C3B" w:rsidRDefault="00804C3B" w:rsidP="006335BC">
      <w:pPr>
        <w:spacing w:after="0" w:line="240" w:lineRule="auto"/>
      </w:pPr>
      <w:r>
        <w:separator/>
      </w:r>
    </w:p>
  </w:footnote>
  <w:footnote w:type="continuationSeparator" w:id="0">
    <w:p w14:paraId="5D1A1608" w14:textId="77777777" w:rsidR="00804C3B" w:rsidRDefault="00804C3B" w:rsidP="006335BC">
      <w:pPr>
        <w:spacing w:after="0" w:line="240" w:lineRule="auto"/>
      </w:pPr>
      <w:r>
        <w:continuationSeparator/>
      </w:r>
    </w:p>
  </w:footnote>
  <w:footnote w:id="1">
    <w:p w14:paraId="626B8939" w14:textId="77777777" w:rsidR="006555D7" w:rsidRPr="00447C62" w:rsidRDefault="006555D7" w:rsidP="006555D7">
      <w:pPr>
        <w:pStyle w:val="FootnoteText"/>
        <w:rPr>
          <w:lang w:val="lv-LV"/>
        </w:rPr>
      </w:pPr>
      <w:r>
        <w:rPr>
          <w:rStyle w:val="FootnoteReference"/>
        </w:rPr>
        <w:footnoteRef/>
      </w:r>
      <w:r>
        <w:t xml:space="preserve"> </w:t>
      </w:r>
      <w:r w:rsidRPr="00447C62">
        <w:t>http://www.at.gov.lv/lv/judikatura/judikaturas-nolemumu-arhivs/civillietu-departaments/klasifikators-pec-lietu-kategorijam/darba-tiesibas/darba-likums/a-dala-visparigie-noteikumi-1-16pants?lawfilter=1</w:t>
      </w:r>
    </w:p>
  </w:footnote>
  <w:footnote w:id="2">
    <w:p w14:paraId="527C438C" w14:textId="77777777" w:rsidR="006335BC" w:rsidRPr="006335BC" w:rsidRDefault="006335BC">
      <w:pPr>
        <w:pStyle w:val="FootnoteText"/>
        <w:rPr>
          <w:lang w:val="lv-LV"/>
        </w:rPr>
      </w:pPr>
      <w:r>
        <w:rPr>
          <w:rStyle w:val="FootnoteReference"/>
        </w:rPr>
        <w:footnoteRef/>
      </w:r>
      <w:r w:rsidRPr="00025526">
        <w:rPr>
          <w:lang w:val="lv-LV"/>
        </w:rPr>
        <w:t xml:space="preserve"> http://cilvektiesibas.org.lv/site/attachments/29/01/2012/Diskriminacijas_noversana_Latvija_II_Screen.pdf</w:t>
      </w:r>
    </w:p>
  </w:footnote>
  <w:footnote w:id="3">
    <w:p w14:paraId="043824A9" w14:textId="77777777" w:rsidR="00447C62" w:rsidRPr="00447C62" w:rsidRDefault="00447C62">
      <w:pPr>
        <w:pStyle w:val="FootnoteText"/>
        <w:rPr>
          <w:lang w:val="lv-LV"/>
        </w:rPr>
      </w:pPr>
      <w:r>
        <w:rPr>
          <w:rStyle w:val="FootnoteReference"/>
        </w:rPr>
        <w:footnoteRef/>
      </w:r>
      <w:r w:rsidRPr="00025526">
        <w:rPr>
          <w:lang w:val="pt-BR"/>
        </w:rPr>
        <w:t xml:space="preserve"> EU-OSHA-infographic-Sexual-Harassment.pdf</w:t>
      </w:r>
    </w:p>
  </w:footnote>
  <w:footnote w:id="4">
    <w:p w14:paraId="43B0E3CD" w14:textId="70EC82A7" w:rsidR="007756A6" w:rsidRPr="007756A6" w:rsidRDefault="007756A6">
      <w:pPr>
        <w:pStyle w:val="FootnoteText"/>
        <w:rPr>
          <w:lang w:val="lv-LV"/>
        </w:rPr>
      </w:pPr>
      <w:r>
        <w:rPr>
          <w:rStyle w:val="FootnoteReference"/>
        </w:rPr>
        <w:footnoteRef/>
      </w:r>
      <w:r w:rsidRPr="00025526">
        <w:rPr>
          <w:lang w:val="lv-LV"/>
        </w:rPr>
        <w:t xml:space="preserve"> http://www.lm.gov.lv/upload/dzimumu_lidztiesiba/dokumenti_un_tiesibu_akti/lmpl_29052018.pdf</w:t>
      </w:r>
    </w:p>
  </w:footnote>
  <w:footnote w:id="5">
    <w:p w14:paraId="78E30FDA" w14:textId="77777777" w:rsidR="00AF66CD" w:rsidRPr="00AF66CD" w:rsidRDefault="00AF66CD">
      <w:pPr>
        <w:pStyle w:val="FootnoteText"/>
        <w:rPr>
          <w:lang w:val="lv-LV"/>
        </w:rPr>
      </w:pPr>
      <w:r>
        <w:rPr>
          <w:rStyle w:val="FootnoteReference"/>
        </w:rPr>
        <w:footnoteRef/>
      </w:r>
      <w:r w:rsidRPr="00025526">
        <w:rPr>
          <w:lang w:val="lv-LV"/>
        </w:rPr>
        <w:t xml:space="preserve"> http://marta.lv/docs/1283/2016/2_2_217Par_seks_reklPTAC21102016.pdf</w:t>
      </w:r>
    </w:p>
  </w:footnote>
  <w:footnote w:id="6">
    <w:p w14:paraId="39E421B2" w14:textId="77777777" w:rsidR="0019293D" w:rsidRPr="0019293D" w:rsidRDefault="0019293D">
      <w:pPr>
        <w:pStyle w:val="FootnoteText"/>
        <w:rPr>
          <w:lang w:val="lv-LV"/>
        </w:rPr>
      </w:pPr>
      <w:r>
        <w:rPr>
          <w:rStyle w:val="FootnoteReference"/>
        </w:rPr>
        <w:footnoteRef/>
      </w:r>
      <w:r w:rsidRPr="00025526">
        <w:rPr>
          <w:lang w:val="lv-LV"/>
        </w:rPr>
        <w:t xml:space="preserve"> http://marta.lv/marta-runa/soli-tuvak--ko-sievietes-stasta-par-to-ka-institucijas-sniedz-palidzibu-vardarbibas-gadijumos?gads=2017&amp;pp=</w:t>
      </w:r>
    </w:p>
  </w:footnote>
  <w:footnote w:id="7">
    <w:p w14:paraId="09491CEF" w14:textId="0A07CA64" w:rsidR="004143E0" w:rsidRPr="004143E0" w:rsidRDefault="004143E0">
      <w:pPr>
        <w:pStyle w:val="FootnoteText"/>
        <w:rPr>
          <w:lang w:val="lv-LV"/>
        </w:rPr>
      </w:pPr>
      <w:r>
        <w:rPr>
          <w:rStyle w:val="FootnoteReference"/>
        </w:rPr>
        <w:footnoteRef/>
      </w:r>
      <w:r w:rsidRPr="00025526">
        <w:rPr>
          <w:lang w:val="lv-LV"/>
        </w:rPr>
        <w:t xml:space="preserve"> http://marta.lv/about-marta/annual-reports</w:t>
      </w:r>
    </w:p>
  </w:footnote>
  <w:footnote w:id="8">
    <w:p w14:paraId="573EC41B" w14:textId="7B51490E" w:rsidR="00892A4D" w:rsidRPr="00892A4D" w:rsidRDefault="00892A4D">
      <w:pPr>
        <w:pStyle w:val="FootnoteText"/>
        <w:rPr>
          <w:lang w:val="lv-LV"/>
        </w:rPr>
      </w:pPr>
      <w:r>
        <w:rPr>
          <w:rStyle w:val="FootnoteReference"/>
        </w:rPr>
        <w:footnoteRef/>
      </w:r>
      <w:r w:rsidRPr="00025526">
        <w:rPr>
          <w:lang w:val="lv-LV"/>
        </w:rPr>
        <w:t xml:space="preserve"> https://fra.europa.eu/en/publications-and-resources/data-and-maps/survey-data-explorer-violence-against-women-survey</w:t>
      </w:r>
    </w:p>
  </w:footnote>
  <w:footnote w:id="9">
    <w:p w14:paraId="7A0587AB" w14:textId="05190B89" w:rsidR="008D11AF" w:rsidRPr="008D11AF" w:rsidRDefault="008D11AF">
      <w:pPr>
        <w:pStyle w:val="FootnoteText"/>
        <w:rPr>
          <w:lang w:val="lv-LV"/>
        </w:rPr>
      </w:pPr>
      <w:r>
        <w:rPr>
          <w:rStyle w:val="FootnoteReference"/>
        </w:rPr>
        <w:footnoteRef/>
      </w:r>
      <w:r w:rsidRPr="00025526">
        <w:rPr>
          <w:lang w:val="lv-LV"/>
        </w:rPr>
        <w:t xml:space="preserve"> https://www.lsm.lv/raksts/zinas/latvija/saeima-atbalsta-pretrunigi-vertetas-normas-par-tikumisko-audzinasanu-skolas.a134457/</w:t>
      </w:r>
    </w:p>
  </w:footnote>
  <w:footnote w:id="10">
    <w:p w14:paraId="68ACE26D" w14:textId="6782E370" w:rsidR="00401598" w:rsidRPr="00401598" w:rsidRDefault="00401598">
      <w:pPr>
        <w:pStyle w:val="FootnoteText"/>
        <w:rPr>
          <w:lang w:val="lv-LV"/>
        </w:rPr>
      </w:pPr>
      <w:r>
        <w:rPr>
          <w:rStyle w:val="FootnoteReference"/>
        </w:rPr>
        <w:footnoteRef/>
      </w:r>
      <w:r w:rsidRPr="00025526">
        <w:rPr>
          <w:lang w:val="lv-LV"/>
        </w:rPr>
        <w:t xml:space="preserve"> https://www.lsm.lv/raksts/zinas/latvija/saeima-vienojas-neaizliegt-materialus-kas-var-negativi-ietekmet-tikumisko-audzinasanu.a126708/</w:t>
      </w:r>
    </w:p>
  </w:footnote>
  <w:footnote w:id="11">
    <w:p w14:paraId="7C479967" w14:textId="77777777" w:rsidR="00E748B0" w:rsidRPr="00A73011" w:rsidRDefault="00E748B0" w:rsidP="00E748B0">
      <w:pPr>
        <w:pStyle w:val="FootnoteText"/>
        <w:rPr>
          <w:lang w:val="lv-LV"/>
        </w:rPr>
      </w:pPr>
      <w:r>
        <w:rPr>
          <w:rStyle w:val="FootnoteReference"/>
        </w:rPr>
        <w:footnoteRef/>
      </w:r>
      <w:r w:rsidRPr="00025526">
        <w:rPr>
          <w:lang w:val="lv-LV"/>
        </w:rPr>
        <w:t xml:space="preserve"> http://papardeszieds.lv/seksuala-izglitiba-skolas-nepieciesama/</w:t>
      </w:r>
    </w:p>
  </w:footnote>
  <w:footnote w:id="12">
    <w:p w14:paraId="0029E36C" w14:textId="16155A8D" w:rsidR="00F2361F" w:rsidRPr="00F2361F" w:rsidRDefault="00F2361F">
      <w:pPr>
        <w:pStyle w:val="FootnoteText"/>
        <w:rPr>
          <w:lang w:val="lv-LV"/>
        </w:rPr>
      </w:pPr>
      <w:r>
        <w:rPr>
          <w:rStyle w:val="FootnoteReference"/>
        </w:rPr>
        <w:footnoteRef/>
      </w:r>
      <w:r>
        <w:t xml:space="preserve"> </w:t>
      </w:r>
      <w:r w:rsidRPr="00F2361F">
        <w:t>http://whosefva-gbv.eu/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21502"/>
    <w:multiLevelType w:val="hybridMultilevel"/>
    <w:tmpl w:val="3CCCB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readOnly" w:formatting="1" w:enforcement="1" w:cryptProviderType="rsaAES" w:cryptAlgorithmClass="hash" w:cryptAlgorithmType="typeAny" w:cryptAlgorithmSid="14" w:cryptSpinCount="100000" w:hash="gdTo8yskce5fiYFjDY/L/EGaf39JHqi2DnIwFD9dCwhBVE5oG9vbOcPo3zpaVUTkX9VUWt6jNoVX8E5kveikRQ==" w:salt="YdwwY2725zRwQrJTKCkn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A8"/>
    <w:rsid w:val="00002FEE"/>
    <w:rsid w:val="00013EC8"/>
    <w:rsid w:val="00016157"/>
    <w:rsid w:val="00025526"/>
    <w:rsid w:val="00037F74"/>
    <w:rsid w:val="00040314"/>
    <w:rsid w:val="0004653B"/>
    <w:rsid w:val="00053B7C"/>
    <w:rsid w:val="00062579"/>
    <w:rsid w:val="00063F40"/>
    <w:rsid w:val="00066E5E"/>
    <w:rsid w:val="000759A5"/>
    <w:rsid w:val="00077582"/>
    <w:rsid w:val="000838E9"/>
    <w:rsid w:val="000854E9"/>
    <w:rsid w:val="000B0B4B"/>
    <w:rsid w:val="000B36C7"/>
    <w:rsid w:val="000C437A"/>
    <w:rsid w:val="000E277D"/>
    <w:rsid w:val="000F394E"/>
    <w:rsid w:val="000F482B"/>
    <w:rsid w:val="00112874"/>
    <w:rsid w:val="00115D8A"/>
    <w:rsid w:val="00121A8A"/>
    <w:rsid w:val="00131DED"/>
    <w:rsid w:val="001331DE"/>
    <w:rsid w:val="001348C9"/>
    <w:rsid w:val="001470D3"/>
    <w:rsid w:val="00150F3E"/>
    <w:rsid w:val="00170221"/>
    <w:rsid w:val="001712BF"/>
    <w:rsid w:val="001903AF"/>
    <w:rsid w:val="0019293D"/>
    <w:rsid w:val="00193CA4"/>
    <w:rsid w:val="00197A90"/>
    <w:rsid w:val="001A2781"/>
    <w:rsid w:val="001A3335"/>
    <w:rsid w:val="001B607C"/>
    <w:rsid w:val="001E242E"/>
    <w:rsid w:val="001E5BA8"/>
    <w:rsid w:val="001F0C3F"/>
    <w:rsid w:val="001F25C0"/>
    <w:rsid w:val="001F481B"/>
    <w:rsid w:val="001F5EFD"/>
    <w:rsid w:val="002033DC"/>
    <w:rsid w:val="0021214B"/>
    <w:rsid w:val="002241A3"/>
    <w:rsid w:val="002438F8"/>
    <w:rsid w:val="00244E8B"/>
    <w:rsid w:val="0024515E"/>
    <w:rsid w:val="002636FD"/>
    <w:rsid w:val="002764D8"/>
    <w:rsid w:val="002838F0"/>
    <w:rsid w:val="00286791"/>
    <w:rsid w:val="00295645"/>
    <w:rsid w:val="002A759E"/>
    <w:rsid w:val="002C0104"/>
    <w:rsid w:val="002C48EE"/>
    <w:rsid w:val="002D72BA"/>
    <w:rsid w:val="002E37E4"/>
    <w:rsid w:val="002E59A2"/>
    <w:rsid w:val="002E61DB"/>
    <w:rsid w:val="002F30DA"/>
    <w:rsid w:val="002F60DF"/>
    <w:rsid w:val="003053B4"/>
    <w:rsid w:val="00311E17"/>
    <w:rsid w:val="00314DF7"/>
    <w:rsid w:val="003163DA"/>
    <w:rsid w:val="003243A3"/>
    <w:rsid w:val="003330EE"/>
    <w:rsid w:val="00334C4F"/>
    <w:rsid w:val="00336B3F"/>
    <w:rsid w:val="00347E5D"/>
    <w:rsid w:val="00350ABF"/>
    <w:rsid w:val="00350AFA"/>
    <w:rsid w:val="00352D92"/>
    <w:rsid w:val="003615D8"/>
    <w:rsid w:val="0036548C"/>
    <w:rsid w:val="003731BB"/>
    <w:rsid w:val="00380D66"/>
    <w:rsid w:val="00383F20"/>
    <w:rsid w:val="003A21EE"/>
    <w:rsid w:val="003B3101"/>
    <w:rsid w:val="003C6C14"/>
    <w:rsid w:val="003D3281"/>
    <w:rsid w:val="003D56B0"/>
    <w:rsid w:val="003E005E"/>
    <w:rsid w:val="003E04EF"/>
    <w:rsid w:val="003E1D3F"/>
    <w:rsid w:val="003E7803"/>
    <w:rsid w:val="003E7FAC"/>
    <w:rsid w:val="003F101A"/>
    <w:rsid w:val="003F1AB6"/>
    <w:rsid w:val="003F2E82"/>
    <w:rsid w:val="00401598"/>
    <w:rsid w:val="00404375"/>
    <w:rsid w:val="004143E0"/>
    <w:rsid w:val="00417142"/>
    <w:rsid w:val="00437E2D"/>
    <w:rsid w:val="00447C62"/>
    <w:rsid w:val="004511A8"/>
    <w:rsid w:val="00464119"/>
    <w:rsid w:val="00464546"/>
    <w:rsid w:val="004649C3"/>
    <w:rsid w:val="00467254"/>
    <w:rsid w:val="00481E34"/>
    <w:rsid w:val="00485162"/>
    <w:rsid w:val="004860ED"/>
    <w:rsid w:val="004871EF"/>
    <w:rsid w:val="004A4726"/>
    <w:rsid w:val="004A4D6F"/>
    <w:rsid w:val="004A64D4"/>
    <w:rsid w:val="004D5E33"/>
    <w:rsid w:val="004E4067"/>
    <w:rsid w:val="004F0100"/>
    <w:rsid w:val="004F39E1"/>
    <w:rsid w:val="00505A91"/>
    <w:rsid w:val="00507F5B"/>
    <w:rsid w:val="00510627"/>
    <w:rsid w:val="00514232"/>
    <w:rsid w:val="00524BB0"/>
    <w:rsid w:val="005338A1"/>
    <w:rsid w:val="00541CAF"/>
    <w:rsid w:val="00541FAC"/>
    <w:rsid w:val="00543077"/>
    <w:rsid w:val="00551F2D"/>
    <w:rsid w:val="005615EA"/>
    <w:rsid w:val="00564511"/>
    <w:rsid w:val="0058107A"/>
    <w:rsid w:val="0058580F"/>
    <w:rsid w:val="0058774F"/>
    <w:rsid w:val="00594610"/>
    <w:rsid w:val="0059483C"/>
    <w:rsid w:val="005950FB"/>
    <w:rsid w:val="00595F18"/>
    <w:rsid w:val="005A2C47"/>
    <w:rsid w:val="005A3A74"/>
    <w:rsid w:val="005A6158"/>
    <w:rsid w:val="005B572D"/>
    <w:rsid w:val="005C526A"/>
    <w:rsid w:val="005D05D8"/>
    <w:rsid w:val="005D3303"/>
    <w:rsid w:val="005D44C9"/>
    <w:rsid w:val="005D671D"/>
    <w:rsid w:val="005E5C1C"/>
    <w:rsid w:val="005E61CE"/>
    <w:rsid w:val="005E78F2"/>
    <w:rsid w:val="006128B6"/>
    <w:rsid w:val="00613CAC"/>
    <w:rsid w:val="00625A1C"/>
    <w:rsid w:val="00626F94"/>
    <w:rsid w:val="00627E55"/>
    <w:rsid w:val="006331ED"/>
    <w:rsid w:val="006335BC"/>
    <w:rsid w:val="006458EF"/>
    <w:rsid w:val="00645D5F"/>
    <w:rsid w:val="006555D7"/>
    <w:rsid w:val="00662111"/>
    <w:rsid w:val="00676835"/>
    <w:rsid w:val="0068091C"/>
    <w:rsid w:val="00681667"/>
    <w:rsid w:val="0069316E"/>
    <w:rsid w:val="00694891"/>
    <w:rsid w:val="00694DCA"/>
    <w:rsid w:val="006B0E05"/>
    <w:rsid w:val="006D4490"/>
    <w:rsid w:val="006F0B86"/>
    <w:rsid w:val="00702E90"/>
    <w:rsid w:val="00705C0C"/>
    <w:rsid w:val="00707B44"/>
    <w:rsid w:val="007320F7"/>
    <w:rsid w:val="007361D3"/>
    <w:rsid w:val="00745291"/>
    <w:rsid w:val="0075432D"/>
    <w:rsid w:val="007550DC"/>
    <w:rsid w:val="007624AC"/>
    <w:rsid w:val="00767151"/>
    <w:rsid w:val="00770F3E"/>
    <w:rsid w:val="007722FA"/>
    <w:rsid w:val="00774CC3"/>
    <w:rsid w:val="007756A6"/>
    <w:rsid w:val="00776F86"/>
    <w:rsid w:val="007827A8"/>
    <w:rsid w:val="00784535"/>
    <w:rsid w:val="007874E2"/>
    <w:rsid w:val="00797DA0"/>
    <w:rsid w:val="007C04DF"/>
    <w:rsid w:val="007D1E3A"/>
    <w:rsid w:val="007F1B0F"/>
    <w:rsid w:val="007F5375"/>
    <w:rsid w:val="007F7952"/>
    <w:rsid w:val="00804C3B"/>
    <w:rsid w:val="008148E4"/>
    <w:rsid w:val="00830B7D"/>
    <w:rsid w:val="00842435"/>
    <w:rsid w:val="008516BC"/>
    <w:rsid w:val="00853020"/>
    <w:rsid w:val="00860B2D"/>
    <w:rsid w:val="00861CB1"/>
    <w:rsid w:val="008621EE"/>
    <w:rsid w:val="00892A4D"/>
    <w:rsid w:val="008A2303"/>
    <w:rsid w:val="008A5BB0"/>
    <w:rsid w:val="008C1C37"/>
    <w:rsid w:val="008C3D73"/>
    <w:rsid w:val="008D11AF"/>
    <w:rsid w:val="008E2345"/>
    <w:rsid w:val="008E5D9C"/>
    <w:rsid w:val="008F1209"/>
    <w:rsid w:val="008F179E"/>
    <w:rsid w:val="008F53EF"/>
    <w:rsid w:val="008F5C07"/>
    <w:rsid w:val="008F5C50"/>
    <w:rsid w:val="008F5FB9"/>
    <w:rsid w:val="008F6BA9"/>
    <w:rsid w:val="0090375B"/>
    <w:rsid w:val="00904A1C"/>
    <w:rsid w:val="00917E94"/>
    <w:rsid w:val="00917FD6"/>
    <w:rsid w:val="00933B6E"/>
    <w:rsid w:val="00964ED6"/>
    <w:rsid w:val="00971507"/>
    <w:rsid w:val="00980F1D"/>
    <w:rsid w:val="00990E90"/>
    <w:rsid w:val="00994116"/>
    <w:rsid w:val="00994933"/>
    <w:rsid w:val="009A5668"/>
    <w:rsid w:val="009A7E30"/>
    <w:rsid w:val="009B1D8D"/>
    <w:rsid w:val="009B6220"/>
    <w:rsid w:val="009C0035"/>
    <w:rsid w:val="009C6180"/>
    <w:rsid w:val="009D662D"/>
    <w:rsid w:val="009E19A3"/>
    <w:rsid w:val="009E398D"/>
    <w:rsid w:val="009E3D3D"/>
    <w:rsid w:val="009F472B"/>
    <w:rsid w:val="00A0465F"/>
    <w:rsid w:val="00A13028"/>
    <w:rsid w:val="00A135E6"/>
    <w:rsid w:val="00A14E3D"/>
    <w:rsid w:val="00A1723F"/>
    <w:rsid w:val="00A430B7"/>
    <w:rsid w:val="00A535B7"/>
    <w:rsid w:val="00A57676"/>
    <w:rsid w:val="00A63910"/>
    <w:rsid w:val="00A64146"/>
    <w:rsid w:val="00A6422E"/>
    <w:rsid w:val="00A67289"/>
    <w:rsid w:val="00A7100B"/>
    <w:rsid w:val="00A73011"/>
    <w:rsid w:val="00A8160D"/>
    <w:rsid w:val="00A90B0A"/>
    <w:rsid w:val="00A95F24"/>
    <w:rsid w:val="00AC402C"/>
    <w:rsid w:val="00AD1926"/>
    <w:rsid w:val="00AE1EE2"/>
    <w:rsid w:val="00AF509C"/>
    <w:rsid w:val="00AF66CD"/>
    <w:rsid w:val="00B00B73"/>
    <w:rsid w:val="00B03908"/>
    <w:rsid w:val="00B122B1"/>
    <w:rsid w:val="00B170F3"/>
    <w:rsid w:val="00B321EA"/>
    <w:rsid w:val="00B43D87"/>
    <w:rsid w:val="00B450AC"/>
    <w:rsid w:val="00B45E49"/>
    <w:rsid w:val="00B52B94"/>
    <w:rsid w:val="00B53B5F"/>
    <w:rsid w:val="00B56BFC"/>
    <w:rsid w:val="00B6126B"/>
    <w:rsid w:val="00B84219"/>
    <w:rsid w:val="00BA1503"/>
    <w:rsid w:val="00BA6733"/>
    <w:rsid w:val="00BB1B59"/>
    <w:rsid w:val="00BC54BF"/>
    <w:rsid w:val="00BC78F0"/>
    <w:rsid w:val="00BE207C"/>
    <w:rsid w:val="00BF3436"/>
    <w:rsid w:val="00BF5895"/>
    <w:rsid w:val="00BF58E3"/>
    <w:rsid w:val="00C01E02"/>
    <w:rsid w:val="00C10322"/>
    <w:rsid w:val="00C11CCC"/>
    <w:rsid w:val="00C1762F"/>
    <w:rsid w:val="00C23775"/>
    <w:rsid w:val="00C406D2"/>
    <w:rsid w:val="00C433AC"/>
    <w:rsid w:val="00C512A5"/>
    <w:rsid w:val="00C53985"/>
    <w:rsid w:val="00C61FCF"/>
    <w:rsid w:val="00C7088A"/>
    <w:rsid w:val="00C75F5B"/>
    <w:rsid w:val="00C77EFC"/>
    <w:rsid w:val="00C96EC4"/>
    <w:rsid w:val="00CA2029"/>
    <w:rsid w:val="00CA50E4"/>
    <w:rsid w:val="00CA6BA7"/>
    <w:rsid w:val="00CA7E03"/>
    <w:rsid w:val="00CB7874"/>
    <w:rsid w:val="00CC47EC"/>
    <w:rsid w:val="00CD1EBF"/>
    <w:rsid w:val="00CD2882"/>
    <w:rsid w:val="00CD711F"/>
    <w:rsid w:val="00CF1665"/>
    <w:rsid w:val="00CF454C"/>
    <w:rsid w:val="00D127FC"/>
    <w:rsid w:val="00D22FC8"/>
    <w:rsid w:val="00D27448"/>
    <w:rsid w:val="00D51D11"/>
    <w:rsid w:val="00D521DA"/>
    <w:rsid w:val="00D576B1"/>
    <w:rsid w:val="00D61BFA"/>
    <w:rsid w:val="00D6409A"/>
    <w:rsid w:val="00D77056"/>
    <w:rsid w:val="00D82673"/>
    <w:rsid w:val="00D91D62"/>
    <w:rsid w:val="00D91F02"/>
    <w:rsid w:val="00D93F57"/>
    <w:rsid w:val="00DA6CCD"/>
    <w:rsid w:val="00DB1DC0"/>
    <w:rsid w:val="00DB5AF3"/>
    <w:rsid w:val="00DC4ED5"/>
    <w:rsid w:val="00DD01C5"/>
    <w:rsid w:val="00DE1EE5"/>
    <w:rsid w:val="00DF1F4B"/>
    <w:rsid w:val="00DF4492"/>
    <w:rsid w:val="00E001D8"/>
    <w:rsid w:val="00E167E3"/>
    <w:rsid w:val="00E238E2"/>
    <w:rsid w:val="00E24A74"/>
    <w:rsid w:val="00E44FBB"/>
    <w:rsid w:val="00E60BB7"/>
    <w:rsid w:val="00E61E81"/>
    <w:rsid w:val="00E6616C"/>
    <w:rsid w:val="00E6648F"/>
    <w:rsid w:val="00E701C5"/>
    <w:rsid w:val="00E748B0"/>
    <w:rsid w:val="00E755F3"/>
    <w:rsid w:val="00E838DC"/>
    <w:rsid w:val="00E87B82"/>
    <w:rsid w:val="00E93254"/>
    <w:rsid w:val="00ED6685"/>
    <w:rsid w:val="00EE1D26"/>
    <w:rsid w:val="00F12A96"/>
    <w:rsid w:val="00F16334"/>
    <w:rsid w:val="00F16621"/>
    <w:rsid w:val="00F2361F"/>
    <w:rsid w:val="00F27CD4"/>
    <w:rsid w:val="00F435A8"/>
    <w:rsid w:val="00F81DE6"/>
    <w:rsid w:val="00F96880"/>
    <w:rsid w:val="00FB46A5"/>
    <w:rsid w:val="00FF1D34"/>
    <w:rsid w:val="00FF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FBD6"/>
  <w15:chartTrackingRefBased/>
  <w15:docId w15:val="{D7C9A227-EBF2-499F-B396-DF4F71C7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B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C433A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33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5BC"/>
    <w:rPr>
      <w:sz w:val="20"/>
      <w:szCs w:val="20"/>
    </w:rPr>
  </w:style>
  <w:style w:type="character" w:styleId="FootnoteReference">
    <w:name w:val="footnote reference"/>
    <w:basedOn w:val="DefaultParagraphFont"/>
    <w:uiPriority w:val="99"/>
    <w:semiHidden/>
    <w:unhideWhenUsed/>
    <w:rsid w:val="006335BC"/>
    <w:rPr>
      <w:vertAlign w:val="superscript"/>
    </w:rPr>
  </w:style>
  <w:style w:type="table" w:styleId="TableGrid">
    <w:name w:val="Table Grid"/>
    <w:basedOn w:val="TableNormal"/>
    <w:uiPriority w:val="39"/>
    <w:rsid w:val="00447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E90"/>
    <w:rPr>
      <w:color w:val="0563C1" w:themeColor="hyperlink"/>
      <w:u w:val="single"/>
    </w:rPr>
  </w:style>
  <w:style w:type="character" w:styleId="Emphasis">
    <w:name w:val="Emphasis"/>
    <w:basedOn w:val="DefaultParagraphFont"/>
    <w:uiPriority w:val="20"/>
    <w:qFormat/>
    <w:rsid w:val="00784535"/>
    <w:rPr>
      <w:i/>
      <w:iCs/>
    </w:rPr>
  </w:style>
  <w:style w:type="character" w:styleId="CommentReference">
    <w:name w:val="annotation reference"/>
    <w:basedOn w:val="DefaultParagraphFont"/>
    <w:uiPriority w:val="99"/>
    <w:semiHidden/>
    <w:unhideWhenUsed/>
    <w:rsid w:val="004511A8"/>
    <w:rPr>
      <w:sz w:val="16"/>
      <w:szCs w:val="16"/>
    </w:rPr>
  </w:style>
  <w:style w:type="paragraph" w:styleId="CommentText">
    <w:name w:val="annotation text"/>
    <w:basedOn w:val="Normal"/>
    <w:link w:val="CommentTextChar"/>
    <w:uiPriority w:val="99"/>
    <w:semiHidden/>
    <w:unhideWhenUsed/>
    <w:rsid w:val="004511A8"/>
    <w:pPr>
      <w:spacing w:line="240" w:lineRule="auto"/>
    </w:pPr>
    <w:rPr>
      <w:sz w:val="20"/>
      <w:szCs w:val="20"/>
    </w:rPr>
  </w:style>
  <w:style w:type="character" w:customStyle="1" w:styleId="CommentTextChar">
    <w:name w:val="Comment Text Char"/>
    <w:basedOn w:val="DefaultParagraphFont"/>
    <w:link w:val="CommentText"/>
    <w:uiPriority w:val="99"/>
    <w:semiHidden/>
    <w:rsid w:val="004511A8"/>
    <w:rPr>
      <w:sz w:val="20"/>
      <w:szCs w:val="20"/>
    </w:rPr>
  </w:style>
  <w:style w:type="paragraph" w:styleId="CommentSubject">
    <w:name w:val="annotation subject"/>
    <w:basedOn w:val="CommentText"/>
    <w:next w:val="CommentText"/>
    <w:link w:val="CommentSubjectChar"/>
    <w:uiPriority w:val="99"/>
    <w:semiHidden/>
    <w:unhideWhenUsed/>
    <w:rsid w:val="004511A8"/>
    <w:rPr>
      <w:b/>
      <w:bCs/>
    </w:rPr>
  </w:style>
  <w:style w:type="character" w:customStyle="1" w:styleId="CommentSubjectChar">
    <w:name w:val="Comment Subject Char"/>
    <w:basedOn w:val="CommentTextChar"/>
    <w:link w:val="CommentSubject"/>
    <w:uiPriority w:val="99"/>
    <w:semiHidden/>
    <w:rsid w:val="004511A8"/>
    <w:rPr>
      <w:b/>
      <w:bCs/>
      <w:sz w:val="20"/>
      <w:szCs w:val="20"/>
    </w:rPr>
  </w:style>
  <w:style w:type="paragraph" w:styleId="BalloonText">
    <w:name w:val="Balloon Text"/>
    <w:basedOn w:val="Normal"/>
    <w:link w:val="BalloonTextChar"/>
    <w:uiPriority w:val="99"/>
    <w:semiHidden/>
    <w:unhideWhenUsed/>
    <w:rsid w:val="00451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1A8"/>
    <w:rPr>
      <w:rFonts w:ascii="Segoe UI" w:hAnsi="Segoe UI" w:cs="Segoe UI"/>
      <w:sz w:val="18"/>
      <w:szCs w:val="18"/>
    </w:rPr>
  </w:style>
  <w:style w:type="paragraph" w:styleId="Header">
    <w:name w:val="header"/>
    <w:basedOn w:val="Normal"/>
    <w:link w:val="HeaderChar"/>
    <w:uiPriority w:val="99"/>
    <w:unhideWhenUsed/>
    <w:rsid w:val="005D4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4C9"/>
  </w:style>
  <w:style w:type="paragraph" w:styleId="Footer">
    <w:name w:val="footer"/>
    <w:basedOn w:val="Normal"/>
    <w:link w:val="FooterChar"/>
    <w:uiPriority w:val="99"/>
    <w:unhideWhenUsed/>
    <w:rsid w:val="005D4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4C9"/>
  </w:style>
  <w:style w:type="paragraph" w:styleId="NormalWeb">
    <w:name w:val="Normal (Web)"/>
    <w:basedOn w:val="Normal"/>
    <w:uiPriority w:val="99"/>
    <w:semiHidden/>
    <w:unhideWhenUsed/>
    <w:rsid w:val="009E3D3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9E3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0004">
      <w:bodyDiv w:val="1"/>
      <w:marLeft w:val="0"/>
      <w:marRight w:val="0"/>
      <w:marTop w:val="0"/>
      <w:marBottom w:val="0"/>
      <w:divBdr>
        <w:top w:val="none" w:sz="0" w:space="0" w:color="auto"/>
        <w:left w:val="none" w:sz="0" w:space="0" w:color="auto"/>
        <w:bottom w:val="none" w:sz="0" w:space="0" w:color="auto"/>
        <w:right w:val="none" w:sz="0" w:space="0" w:color="auto"/>
      </w:divBdr>
    </w:div>
    <w:div w:id="435714532">
      <w:bodyDiv w:val="1"/>
      <w:marLeft w:val="0"/>
      <w:marRight w:val="0"/>
      <w:marTop w:val="0"/>
      <w:marBottom w:val="0"/>
      <w:divBdr>
        <w:top w:val="none" w:sz="0" w:space="0" w:color="auto"/>
        <w:left w:val="none" w:sz="0" w:space="0" w:color="auto"/>
        <w:bottom w:val="none" w:sz="0" w:space="0" w:color="auto"/>
        <w:right w:val="none" w:sz="0" w:space="0" w:color="auto"/>
      </w:divBdr>
    </w:div>
    <w:div w:id="600796883">
      <w:bodyDiv w:val="1"/>
      <w:marLeft w:val="0"/>
      <w:marRight w:val="0"/>
      <w:marTop w:val="0"/>
      <w:marBottom w:val="0"/>
      <w:divBdr>
        <w:top w:val="none" w:sz="0" w:space="0" w:color="auto"/>
        <w:left w:val="none" w:sz="0" w:space="0" w:color="auto"/>
        <w:bottom w:val="none" w:sz="0" w:space="0" w:color="auto"/>
        <w:right w:val="none" w:sz="0" w:space="0" w:color="auto"/>
      </w:divBdr>
    </w:div>
    <w:div w:id="641227542">
      <w:bodyDiv w:val="1"/>
      <w:marLeft w:val="0"/>
      <w:marRight w:val="0"/>
      <w:marTop w:val="0"/>
      <w:marBottom w:val="0"/>
      <w:divBdr>
        <w:top w:val="none" w:sz="0" w:space="0" w:color="auto"/>
        <w:left w:val="none" w:sz="0" w:space="0" w:color="auto"/>
        <w:bottom w:val="none" w:sz="0" w:space="0" w:color="auto"/>
        <w:right w:val="none" w:sz="0" w:space="0" w:color="auto"/>
      </w:divBdr>
    </w:div>
    <w:div w:id="698506758">
      <w:bodyDiv w:val="1"/>
      <w:marLeft w:val="0"/>
      <w:marRight w:val="0"/>
      <w:marTop w:val="0"/>
      <w:marBottom w:val="0"/>
      <w:divBdr>
        <w:top w:val="none" w:sz="0" w:space="0" w:color="auto"/>
        <w:left w:val="none" w:sz="0" w:space="0" w:color="auto"/>
        <w:bottom w:val="none" w:sz="0" w:space="0" w:color="auto"/>
        <w:right w:val="none" w:sz="0" w:space="0" w:color="auto"/>
      </w:divBdr>
    </w:div>
    <w:div w:id="752901109">
      <w:bodyDiv w:val="1"/>
      <w:marLeft w:val="0"/>
      <w:marRight w:val="0"/>
      <w:marTop w:val="0"/>
      <w:marBottom w:val="0"/>
      <w:divBdr>
        <w:top w:val="none" w:sz="0" w:space="0" w:color="auto"/>
        <w:left w:val="none" w:sz="0" w:space="0" w:color="auto"/>
        <w:bottom w:val="none" w:sz="0" w:space="0" w:color="auto"/>
        <w:right w:val="none" w:sz="0" w:space="0" w:color="auto"/>
      </w:divBdr>
    </w:div>
    <w:div w:id="932973471">
      <w:bodyDiv w:val="1"/>
      <w:marLeft w:val="0"/>
      <w:marRight w:val="0"/>
      <w:marTop w:val="0"/>
      <w:marBottom w:val="0"/>
      <w:divBdr>
        <w:top w:val="none" w:sz="0" w:space="0" w:color="auto"/>
        <w:left w:val="none" w:sz="0" w:space="0" w:color="auto"/>
        <w:bottom w:val="none" w:sz="0" w:space="0" w:color="auto"/>
        <w:right w:val="none" w:sz="0" w:space="0" w:color="auto"/>
      </w:divBdr>
    </w:div>
    <w:div w:id="1031689437">
      <w:bodyDiv w:val="1"/>
      <w:marLeft w:val="0"/>
      <w:marRight w:val="0"/>
      <w:marTop w:val="0"/>
      <w:marBottom w:val="0"/>
      <w:divBdr>
        <w:top w:val="none" w:sz="0" w:space="0" w:color="auto"/>
        <w:left w:val="none" w:sz="0" w:space="0" w:color="auto"/>
        <w:bottom w:val="none" w:sz="0" w:space="0" w:color="auto"/>
        <w:right w:val="none" w:sz="0" w:space="0" w:color="auto"/>
      </w:divBdr>
    </w:div>
    <w:div w:id="1305694944">
      <w:bodyDiv w:val="1"/>
      <w:marLeft w:val="0"/>
      <w:marRight w:val="0"/>
      <w:marTop w:val="0"/>
      <w:marBottom w:val="0"/>
      <w:divBdr>
        <w:top w:val="none" w:sz="0" w:space="0" w:color="auto"/>
        <w:left w:val="none" w:sz="0" w:space="0" w:color="auto"/>
        <w:bottom w:val="none" w:sz="0" w:space="0" w:color="auto"/>
        <w:right w:val="none" w:sz="0" w:space="0" w:color="auto"/>
      </w:divBdr>
    </w:div>
    <w:div w:id="1383552240">
      <w:bodyDiv w:val="1"/>
      <w:marLeft w:val="0"/>
      <w:marRight w:val="0"/>
      <w:marTop w:val="0"/>
      <w:marBottom w:val="0"/>
      <w:divBdr>
        <w:top w:val="none" w:sz="0" w:space="0" w:color="auto"/>
        <w:left w:val="none" w:sz="0" w:space="0" w:color="auto"/>
        <w:bottom w:val="none" w:sz="0" w:space="0" w:color="auto"/>
        <w:right w:val="none" w:sz="0" w:space="0" w:color="auto"/>
      </w:divBdr>
    </w:div>
    <w:div w:id="201156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ntrs@marta.l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91504-87E4-4D8B-8A8F-01EA6AE74842}">
  <ds:schemaRefs>
    <ds:schemaRef ds:uri="http://schemas.openxmlformats.org/officeDocument/2006/bibliography"/>
  </ds:schemaRefs>
</ds:datastoreItem>
</file>

<file path=customXml/itemProps2.xml><?xml version="1.0" encoding="utf-8"?>
<ds:datastoreItem xmlns:ds="http://schemas.openxmlformats.org/officeDocument/2006/customXml" ds:itemID="{D79CB5A1-4A01-4D02-A34D-4D71C954FA88}"/>
</file>

<file path=customXml/itemProps3.xml><?xml version="1.0" encoding="utf-8"?>
<ds:datastoreItem xmlns:ds="http://schemas.openxmlformats.org/officeDocument/2006/customXml" ds:itemID="{C06605A1-294E-44F5-BA95-246ECF614FF7}"/>
</file>

<file path=customXml/itemProps4.xml><?xml version="1.0" encoding="utf-8"?>
<ds:datastoreItem xmlns:ds="http://schemas.openxmlformats.org/officeDocument/2006/customXml" ds:itemID="{93283FCC-F0FE-4C3C-9DA0-212843487F91}"/>
</file>

<file path=docProps/app.xml><?xml version="1.0" encoding="utf-8"?>
<Properties xmlns="http://schemas.openxmlformats.org/officeDocument/2006/extended-properties" xmlns:vt="http://schemas.openxmlformats.org/officeDocument/2006/docPropsVTypes">
  <Template>Normal.dotm</Template>
  <TotalTime>1070</TotalTime>
  <Pages>13</Pages>
  <Words>5451</Words>
  <Characters>31071</Characters>
  <Application>Microsoft Office Word</Application>
  <DocSecurity>8</DocSecurity>
  <Lines>258</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Fleche Isabelle</cp:lastModifiedBy>
  <cp:revision>319</cp:revision>
  <dcterms:created xsi:type="dcterms:W3CDTF">2019-01-26T08:45:00Z</dcterms:created>
  <dcterms:modified xsi:type="dcterms:W3CDTF">2020-01-09T14:56:00Z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