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2C03" w:rsidRDefault="006E2C03">
      <w:pPr>
        <w:spacing w:after="200" w:line="240" w:lineRule="auto"/>
        <w:jc w:val="center"/>
        <w:rPr>
          <w:b/>
          <w:sz w:val="24"/>
          <w:szCs w:val="24"/>
        </w:rPr>
      </w:pPr>
      <w:bookmarkStart w:id="0" w:name="_GoBack"/>
      <w:bookmarkEnd w:id="0"/>
    </w:p>
    <w:p w:rsidR="006E2C03" w:rsidRDefault="006E2C03">
      <w:pPr>
        <w:spacing w:after="200" w:line="240" w:lineRule="auto"/>
        <w:jc w:val="center"/>
        <w:rPr>
          <w:b/>
          <w:sz w:val="24"/>
          <w:szCs w:val="24"/>
        </w:rPr>
      </w:pPr>
    </w:p>
    <w:p w:rsidR="006E2C03" w:rsidRDefault="006E2C03">
      <w:pPr>
        <w:spacing w:after="200" w:line="240" w:lineRule="auto"/>
        <w:jc w:val="center"/>
        <w:rPr>
          <w:b/>
          <w:sz w:val="38"/>
          <w:szCs w:val="38"/>
        </w:rPr>
      </w:pPr>
    </w:p>
    <w:p w:rsidR="006E2C03" w:rsidRDefault="006E2C03">
      <w:pPr>
        <w:spacing w:after="200" w:line="240" w:lineRule="auto"/>
        <w:jc w:val="center"/>
        <w:rPr>
          <w:b/>
          <w:sz w:val="38"/>
          <w:szCs w:val="38"/>
        </w:rPr>
      </w:pPr>
    </w:p>
    <w:p w:rsidR="006E2C03" w:rsidRDefault="00FD32A9">
      <w:pPr>
        <w:spacing w:after="200" w:line="240" w:lineRule="auto"/>
        <w:jc w:val="center"/>
        <w:rPr>
          <w:b/>
          <w:sz w:val="38"/>
          <w:szCs w:val="38"/>
        </w:rPr>
      </w:pPr>
      <w:r>
        <w:rPr>
          <w:b/>
          <w:sz w:val="38"/>
          <w:szCs w:val="38"/>
        </w:rPr>
        <w:t xml:space="preserve">Alternative Report </w:t>
      </w:r>
    </w:p>
    <w:p w:rsidR="006E2C03" w:rsidRDefault="00FD32A9">
      <w:pPr>
        <w:spacing w:after="200" w:line="240" w:lineRule="auto"/>
        <w:jc w:val="center"/>
        <w:rPr>
          <w:b/>
          <w:sz w:val="38"/>
          <w:szCs w:val="38"/>
        </w:rPr>
      </w:pPr>
      <w:r>
        <w:rPr>
          <w:b/>
          <w:sz w:val="38"/>
          <w:szCs w:val="38"/>
        </w:rPr>
        <w:t xml:space="preserve">From the National Coalition of Civil Society Organisations of Paraguay – CDIA – for the United Nations Committee on the Rights of the Child  </w:t>
      </w:r>
    </w:p>
    <w:p w:rsidR="006E2C03" w:rsidRDefault="006E2C03">
      <w:pPr>
        <w:spacing w:after="200" w:line="240" w:lineRule="auto"/>
        <w:jc w:val="center"/>
        <w:rPr>
          <w:b/>
          <w:sz w:val="38"/>
          <w:szCs w:val="38"/>
        </w:rPr>
      </w:pPr>
    </w:p>
    <w:p w:rsidR="006E2C03" w:rsidRDefault="006E2C03">
      <w:pPr>
        <w:spacing w:after="200" w:line="240" w:lineRule="auto"/>
        <w:jc w:val="center"/>
        <w:rPr>
          <w:b/>
          <w:sz w:val="24"/>
          <w:szCs w:val="24"/>
        </w:rPr>
      </w:pPr>
    </w:p>
    <w:p w:rsidR="006E2C03" w:rsidRDefault="006E2C03">
      <w:pPr>
        <w:spacing w:after="200" w:line="240" w:lineRule="auto"/>
        <w:jc w:val="center"/>
        <w:rPr>
          <w:b/>
          <w:sz w:val="24"/>
          <w:szCs w:val="24"/>
        </w:rPr>
      </w:pPr>
    </w:p>
    <w:p w:rsidR="006E2C03" w:rsidRDefault="006E2C03">
      <w:pPr>
        <w:spacing w:after="200" w:line="240" w:lineRule="auto"/>
        <w:jc w:val="center"/>
        <w:rPr>
          <w:b/>
          <w:sz w:val="24"/>
          <w:szCs w:val="24"/>
        </w:rPr>
      </w:pPr>
    </w:p>
    <w:p w:rsidR="006E2C03" w:rsidRDefault="00FD32A9">
      <w:pPr>
        <w:spacing w:after="200" w:line="240" w:lineRule="auto"/>
        <w:jc w:val="center"/>
        <w:rPr>
          <w:b/>
          <w:sz w:val="26"/>
          <w:szCs w:val="26"/>
        </w:rPr>
      </w:pPr>
      <w:r>
        <w:rPr>
          <w:b/>
          <w:sz w:val="26"/>
          <w:szCs w:val="26"/>
        </w:rPr>
        <w:t>Comprehensive Report from the Convention on the Rights of the Child, the Optional Protocol on the Sale of Children, Child Prostitution and Child Pornography, and the Optional Protocol on the Involvement of Children in Armed Conflicts</w:t>
      </w:r>
    </w:p>
    <w:p w:rsidR="006E2C03" w:rsidRDefault="00FD32A9">
      <w:pPr>
        <w:spacing w:after="200" w:line="240" w:lineRule="auto"/>
        <w:jc w:val="center"/>
        <w:rPr>
          <w:b/>
          <w:sz w:val="26"/>
          <w:szCs w:val="26"/>
        </w:rPr>
      </w:pPr>
      <w:r>
        <w:rPr>
          <w:b/>
          <w:sz w:val="26"/>
          <w:szCs w:val="26"/>
        </w:rPr>
        <w:t>Session Period 95, May</w:t>
      </w:r>
      <w:r>
        <w:rPr>
          <w:b/>
          <w:sz w:val="26"/>
          <w:szCs w:val="26"/>
        </w:rPr>
        <w:t xml:space="preserve"> 2023</w:t>
      </w:r>
    </w:p>
    <w:p w:rsidR="006E2C03" w:rsidRDefault="006E2C03">
      <w:pPr>
        <w:spacing w:after="200" w:line="240" w:lineRule="auto"/>
        <w:jc w:val="center"/>
        <w:rPr>
          <w:b/>
          <w:sz w:val="24"/>
          <w:szCs w:val="24"/>
        </w:rPr>
      </w:pPr>
    </w:p>
    <w:p w:rsidR="006E2C03" w:rsidRDefault="006E2C03">
      <w:pPr>
        <w:spacing w:after="200" w:line="240" w:lineRule="auto"/>
        <w:rPr>
          <w:b/>
          <w:sz w:val="24"/>
          <w:szCs w:val="24"/>
        </w:rPr>
      </w:pPr>
    </w:p>
    <w:p w:rsidR="006E2C03" w:rsidRDefault="006E2C03">
      <w:pPr>
        <w:spacing w:after="200" w:line="240" w:lineRule="auto"/>
        <w:jc w:val="center"/>
        <w:rPr>
          <w:b/>
          <w:sz w:val="24"/>
          <w:szCs w:val="24"/>
        </w:rPr>
      </w:pPr>
    </w:p>
    <w:p w:rsidR="006E2C03" w:rsidRDefault="00FD32A9">
      <w:pPr>
        <w:spacing w:after="200" w:line="240" w:lineRule="auto"/>
        <w:jc w:val="center"/>
        <w:rPr>
          <w:b/>
          <w:sz w:val="24"/>
          <w:szCs w:val="24"/>
        </w:rPr>
      </w:pPr>
      <w:r>
        <w:rPr>
          <w:b/>
          <w:sz w:val="24"/>
          <w:szCs w:val="24"/>
        </w:rPr>
        <w:t>March 2023</w:t>
      </w:r>
      <w:r>
        <w:rPr>
          <w:noProof/>
        </w:rPr>
        <w:drawing>
          <wp:anchor distT="0" distB="0" distL="114300" distR="114300" simplePos="0" relativeHeight="251658240" behindDoc="0" locked="0" layoutInCell="1" hidden="0" allowOverlap="1">
            <wp:simplePos x="0" y="0"/>
            <wp:positionH relativeFrom="margin">
              <wp:posOffset>-153523</wp:posOffset>
            </wp:positionH>
            <wp:positionV relativeFrom="margin">
              <wp:posOffset>7111404</wp:posOffset>
            </wp:positionV>
            <wp:extent cx="6573375" cy="138489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6573375" cy="1384895"/>
                    </a:xfrm>
                    <a:prstGeom prst="rect">
                      <a:avLst/>
                    </a:prstGeom>
                    <a:ln/>
                  </pic:spPr>
                </pic:pic>
              </a:graphicData>
            </a:graphic>
          </wp:anchor>
        </w:drawing>
      </w:r>
    </w:p>
    <w:p w:rsidR="006E2C03" w:rsidRDefault="006E2C03">
      <w:pPr>
        <w:spacing w:after="200" w:line="240" w:lineRule="auto"/>
        <w:jc w:val="center"/>
        <w:rPr>
          <w:b/>
          <w:sz w:val="24"/>
          <w:szCs w:val="24"/>
        </w:rPr>
      </w:pPr>
    </w:p>
    <w:p w:rsidR="006E2C03" w:rsidRDefault="006E2C03">
      <w:pPr>
        <w:spacing w:after="200" w:line="240" w:lineRule="auto"/>
        <w:jc w:val="center"/>
        <w:rPr>
          <w:b/>
          <w:sz w:val="24"/>
          <w:szCs w:val="24"/>
        </w:rPr>
      </w:pPr>
    </w:p>
    <w:p w:rsidR="006E2C03" w:rsidRDefault="006E2C03">
      <w:pPr>
        <w:spacing w:after="200" w:line="240" w:lineRule="auto"/>
        <w:jc w:val="center"/>
        <w:rPr>
          <w:b/>
          <w:sz w:val="24"/>
          <w:szCs w:val="24"/>
        </w:rPr>
      </w:pPr>
    </w:p>
    <w:p w:rsidR="006E2C03" w:rsidRDefault="006E2C03">
      <w:pPr>
        <w:spacing w:after="200" w:line="240" w:lineRule="auto"/>
        <w:jc w:val="center"/>
        <w:rPr>
          <w:b/>
          <w:sz w:val="24"/>
          <w:szCs w:val="24"/>
        </w:rPr>
      </w:pPr>
    </w:p>
    <w:p w:rsidR="006E2C03" w:rsidRDefault="006E2C03">
      <w:pPr>
        <w:spacing w:after="200" w:line="240" w:lineRule="auto"/>
        <w:jc w:val="center"/>
        <w:rPr>
          <w:b/>
          <w:sz w:val="24"/>
          <w:szCs w:val="24"/>
        </w:rPr>
      </w:pPr>
    </w:p>
    <w:p w:rsidR="006E2C03" w:rsidRDefault="006E2C03">
      <w:pPr>
        <w:spacing w:after="200" w:line="240" w:lineRule="auto"/>
        <w:jc w:val="center"/>
        <w:rPr>
          <w:b/>
          <w:sz w:val="24"/>
          <w:szCs w:val="24"/>
        </w:rPr>
      </w:pPr>
    </w:p>
    <w:p w:rsidR="006E2C03" w:rsidRDefault="006E2C03">
      <w:pPr>
        <w:spacing w:after="200" w:line="240" w:lineRule="auto"/>
        <w:jc w:val="center"/>
        <w:rPr>
          <w:b/>
          <w:sz w:val="24"/>
          <w:szCs w:val="24"/>
        </w:rPr>
      </w:pPr>
    </w:p>
    <w:p w:rsidR="006E2C03" w:rsidRDefault="00FD32A9">
      <w:pPr>
        <w:spacing w:after="200" w:line="240" w:lineRule="auto"/>
        <w:jc w:val="center"/>
        <w:rPr>
          <w:b/>
          <w:sz w:val="24"/>
          <w:szCs w:val="24"/>
        </w:rPr>
      </w:pPr>
      <w:r>
        <w:rPr>
          <w:rFonts w:ascii="Quattrocento Sans" w:eastAsia="Quattrocento Sans" w:hAnsi="Quattrocento Sans" w:cs="Quattrocento Sans"/>
          <w:b/>
          <w:noProof/>
          <w:color w:val="1B7AB4"/>
          <w:sz w:val="18"/>
          <w:szCs w:val="18"/>
        </w:rPr>
        <w:drawing>
          <wp:inline distT="0" distB="0" distL="0" distR="0">
            <wp:extent cx="4733900" cy="232271"/>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t="14693" b="14693"/>
                    <a:stretch>
                      <a:fillRect/>
                    </a:stretch>
                  </pic:blipFill>
                  <pic:spPr>
                    <a:xfrm>
                      <a:off x="0" y="0"/>
                      <a:ext cx="4733900" cy="232271"/>
                    </a:xfrm>
                    <a:prstGeom prst="rect">
                      <a:avLst/>
                    </a:prstGeom>
                    <a:ln/>
                  </pic:spPr>
                </pic:pic>
              </a:graphicData>
            </a:graphic>
          </wp:inline>
        </w:drawing>
      </w:r>
    </w:p>
    <w:p w:rsidR="006E2C03" w:rsidRDefault="006E2C03">
      <w:pPr>
        <w:spacing w:after="200" w:line="275" w:lineRule="auto"/>
        <w:ind w:left="360" w:right="359"/>
        <w:jc w:val="center"/>
      </w:pPr>
    </w:p>
    <w:p w:rsidR="006E2C03" w:rsidRDefault="00FD32A9">
      <w:pPr>
        <w:pStyle w:val="Title"/>
        <w:spacing w:before="200" w:after="200" w:line="259" w:lineRule="auto"/>
        <w:rPr>
          <w:sz w:val="24"/>
          <w:szCs w:val="24"/>
        </w:rPr>
      </w:pPr>
      <w:bookmarkStart w:id="1" w:name="_heading=h.gjdgxs" w:colFirst="0" w:colLast="0"/>
      <w:bookmarkEnd w:id="1"/>
      <w:r>
        <w:rPr>
          <w:b/>
          <w:sz w:val="24"/>
          <w:szCs w:val="24"/>
        </w:rPr>
        <w:lastRenderedPageBreak/>
        <w:t xml:space="preserve">INTRODUCTION </w:t>
      </w:r>
    </w:p>
    <w:p w:rsidR="006E2C03" w:rsidRDefault="00FD32A9">
      <w:pPr>
        <w:numPr>
          <w:ilvl w:val="0"/>
          <w:numId w:val="41"/>
        </w:numPr>
        <w:spacing w:before="200" w:after="200" w:line="259" w:lineRule="auto"/>
        <w:jc w:val="both"/>
        <w:rPr>
          <w:sz w:val="24"/>
          <w:szCs w:val="24"/>
        </w:rPr>
      </w:pPr>
      <w:r>
        <w:rPr>
          <w:sz w:val="24"/>
          <w:szCs w:val="24"/>
        </w:rPr>
        <w:t>This alternative report is presented by Paraguay’s Coordinator for the Rights of Children and Adolescents (CDIA, for its Spanish initials), which, since 1993, has been working as an association that brings together various organisations through actions tha</w:t>
      </w:r>
      <w:r>
        <w:rPr>
          <w:sz w:val="24"/>
          <w:szCs w:val="24"/>
        </w:rPr>
        <w:t>t promote, defend, and monitor the rights of children and adolescents at national and regional levels. It is made up of 29 civil society organisations. The report was published with support from Girls Not Brides, The Global Partnership to End Child Marriag</w:t>
      </w:r>
      <w:r>
        <w:rPr>
          <w:sz w:val="24"/>
          <w:szCs w:val="24"/>
        </w:rPr>
        <w:t>e, Red de Coaliciones Sur, and Proyecto Regional Defendiendo Nuestro Derechos Sexuales y Reproductivos (Plan/SIDA).</w:t>
      </w:r>
    </w:p>
    <w:p w:rsidR="006E2C03" w:rsidRDefault="00FD32A9">
      <w:pPr>
        <w:numPr>
          <w:ilvl w:val="0"/>
          <w:numId w:val="41"/>
        </w:numPr>
        <w:spacing w:before="200" w:after="200" w:line="259" w:lineRule="auto"/>
        <w:jc w:val="both"/>
        <w:rPr>
          <w:sz w:val="24"/>
          <w:szCs w:val="24"/>
        </w:rPr>
      </w:pPr>
      <w:r>
        <w:rPr>
          <w:sz w:val="24"/>
          <w:szCs w:val="24"/>
        </w:rPr>
        <w:t xml:space="preserve">In 1990, Paraguay ratified the International Convention on the Rights of the Child, assuming the obligation and responsibility to adapt its </w:t>
      </w:r>
      <w:r>
        <w:rPr>
          <w:sz w:val="24"/>
          <w:szCs w:val="24"/>
        </w:rPr>
        <w:t>legislation to this instrument’s terms in order to guarantee the rights of all children and adolescents in the country.</w:t>
      </w:r>
    </w:p>
    <w:p w:rsidR="006E2C03" w:rsidRDefault="00FD32A9">
      <w:pPr>
        <w:numPr>
          <w:ilvl w:val="0"/>
          <w:numId w:val="41"/>
        </w:numPr>
        <w:spacing w:before="200" w:after="200" w:line="259" w:lineRule="auto"/>
        <w:jc w:val="both"/>
        <w:rPr>
          <w:rFonts w:ascii="Calibri" w:eastAsia="Calibri" w:hAnsi="Calibri" w:cs="Calibri"/>
          <w:sz w:val="24"/>
          <w:szCs w:val="24"/>
        </w:rPr>
      </w:pPr>
      <w:r>
        <w:rPr>
          <w:sz w:val="24"/>
          <w:szCs w:val="24"/>
        </w:rPr>
        <w:t>This alternative report is based on the concluding observations to the Paraguay State in response to Paraguay’s third periodic report (C</w:t>
      </w:r>
      <w:r>
        <w:rPr>
          <w:sz w:val="24"/>
          <w:szCs w:val="24"/>
        </w:rPr>
        <w:t>RC/C/PRY/3) at its 1457</w:t>
      </w:r>
      <w:r>
        <w:rPr>
          <w:sz w:val="24"/>
          <w:szCs w:val="24"/>
          <w:vertAlign w:val="superscript"/>
        </w:rPr>
        <w:t>th</w:t>
      </w:r>
      <w:r>
        <w:rPr>
          <w:sz w:val="24"/>
          <w:szCs w:val="24"/>
        </w:rPr>
        <w:t xml:space="preserve"> and 1459</w:t>
      </w:r>
      <w:r>
        <w:rPr>
          <w:sz w:val="24"/>
          <w:szCs w:val="24"/>
          <w:vertAlign w:val="superscript"/>
        </w:rPr>
        <w:t>th</w:t>
      </w:r>
      <w:r>
        <w:rPr>
          <w:sz w:val="24"/>
          <w:szCs w:val="24"/>
        </w:rPr>
        <w:t xml:space="preserve"> sessions, held on January 12, 2010, and at the 1501</w:t>
      </w:r>
      <w:r>
        <w:rPr>
          <w:sz w:val="24"/>
          <w:szCs w:val="24"/>
          <w:vertAlign w:val="superscript"/>
        </w:rPr>
        <w:t>st</w:t>
      </w:r>
      <w:r>
        <w:rPr>
          <w:sz w:val="24"/>
          <w:szCs w:val="24"/>
        </w:rPr>
        <w:t xml:space="preserve"> session, held on January 29, 2010, where these observations were approved.</w:t>
      </w:r>
    </w:p>
    <w:p w:rsidR="006E2C03" w:rsidRDefault="00FD32A9">
      <w:pPr>
        <w:pStyle w:val="Heading1"/>
        <w:numPr>
          <w:ilvl w:val="0"/>
          <w:numId w:val="21"/>
        </w:numPr>
        <w:spacing w:before="200" w:line="240" w:lineRule="auto"/>
      </w:pPr>
      <w:bookmarkStart w:id="2" w:name="_heading=h.30j0zll" w:colFirst="0" w:colLast="0"/>
      <w:bookmarkEnd w:id="2"/>
      <w:r>
        <w:t>General Implementation Measures (Articles 4, 42, 44[6])</w:t>
      </w:r>
    </w:p>
    <w:p w:rsidR="006E2C03" w:rsidRDefault="00FD32A9">
      <w:pPr>
        <w:numPr>
          <w:ilvl w:val="0"/>
          <w:numId w:val="53"/>
        </w:numPr>
        <w:spacing w:after="200"/>
        <w:rPr>
          <w:b/>
          <w:sz w:val="24"/>
          <w:szCs w:val="24"/>
        </w:rPr>
      </w:pPr>
      <w:r>
        <w:rPr>
          <w:b/>
          <w:sz w:val="24"/>
          <w:szCs w:val="24"/>
        </w:rPr>
        <w:t xml:space="preserve">Legislation </w:t>
      </w:r>
    </w:p>
    <w:p w:rsidR="006E2C03" w:rsidRDefault="00FD32A9">
      <w:pPr>
        <w:numPr>
          <w:ilvl w:val="0"/>
          <w:numId w:val="41"/>
        </w:numPr>
        <w:spacing w:after="200"/>
        <w:jc w:val="both"/>
        <w:rPr>
          <w:sz w:val="24"/>
          <w:szCs w:val="24"/>
        </w:rPr>
      </w:pPr>
      <w:r>
        <w:rPr>
          <w:sz w:val="24"/>
          <w:szCs w:val="24"/>
        </w:rPr>
        <w:t>It is recognized that</w:t>
      </w:r>
      <w:r>
        <w:rPr>
          <w:sz w:val="24"/>
          <w:szCs w:val="24"/>
        </w:rPr>
        <w:t xml:space="preserve"> Paraguay has vast legislation on the protection of the rights of children and adolescents, and that the Paraguayan Criminal Code</w:t>
      </w:r>
      <w:r>
        <w:rPr>
          <w:sz w:val="24"/>
          <w:szCs w:val="24"/>
          <w:vertAlign w:val="superscript"/>
        </w:rPr>
        <w:footnoteReference w:id="1"/>
      </w:r>
      <w:r>
        <w:rPr>
          <w:sz w:val="24"/>
          <w:szCs w:val="24"/>
        </w:rPr>
        <w:t xml:space="preserve"> has undergone several reforms where articles affecting children and adolescents have been modified; however, the data show th</w:t>
      </w:r>
      <w:r>
        <w:rPr>
          <w:sz w:val="24"/>
          <w:szCs w:val="24"/>
        </w:rPr>
        <w:t xml:space="preserve">at these laws are mostly ineffective. The country does not have a system for measuring the laws’ effectiveness, but rights compliance indicators reveal insufficiency in the normative system’s implementation; that is, normative responses have been offered, </w:t>
      </w:r>
      <w:r>
        <w:rPr>
          <w:sz w:val="24"/>
          <w:szCs w:val="24"/>
        </w:rPr>
        <w:t xml:space="preserve">but the guarantee of rights and their compliance are merely declarative statements. </w:t>
      </w:r>
    </w:p>
    <w:p w:rsidR="006E2C03" w:rsidRDefault="00FD32A9">
      <w:pPr>
        <w:numPr>
          <w:ilvl w:val="0"/>
          <w:numId w:val="30"/>
        </w:numPr>
        <w:spacing w:after="200"/>
        <w:jc w:val="both"/>
        <w:rPr>
          <w:b/>
          <w:sz w:val="24"/>
          <w:szCs w:val="24"/>
        </w:rPr>
      </w:pPr>
      <w:r>
        <w:rPr>
          <w:b/>
          <w:sz w:val="24"/>
          <w:szCs w:val="24"/>
        </w:rPr>
        <w:t xml:space="preserve">Coordination </w:t>
      </w:r>
    </w:p>
    <w:p w:rsidR="006E2C03" w:rsidRDefault="00FD32A9">
      <w:pPr>
        <w:numPr>
          <w:ilvl w:val="0"/>
          <w:numId w:val="41"/>
        </w:numPr>
        <w:spacing w:after="200"/>
        <w:jc w:val="both"/>
        <w:rPr>
          <w:sz w:val="24"/>
          <w:szCs w:val="24"/>
        </w:rPr>
      </w:pPr>
      <w:r>
        <w:rPr>
          <w:sz w:val="24"/>
          <w:szCs w:val="24"/>
        </w:rPr>
        <w:t>It is relevant that the rank of the National Secretariat for Children and Adolescents was promoted to the Ministry of Children and Adolescents (MINNA, for it</w:t>
      </w:r>
      <w:r>
        <w:rPr>
          <w:sz w:val="24"/>
          <w:szCs w:val="24"/>
        </w:rPr>
        <w:t>s Spanish initials),</w:t>
      </w:r>
      <w:r>
        <w:rPr>
          <w:sz w:val="24"/>
          <w:szCs w:val="24"/>
          <w:vertAlign w:val="superscript"/>
        </w:rPr>
        <w:footnoteReference w:id="2"/>
      </w:r>
      <w:r>
        <w:rPr>
          <w:sz w:val="24"/>
          <w:szCs w:val="24"/>
        </w:rPr>
        <w:t xml:space="preserve"> which did not result in progress on investment and actions of the governing body that creates public policies for children and adolescents. The National Council for Children and Adolescents has played a key role in inter-institutional</w:t>
      </w:r>
      <w:r>
        <w:rPr>
          <w:sz w:val="24"/>
          <w:szCs w:val="24"/>
        </w:rPr>
        <w:t xml:space="preserve"> and inter-sectoral coordination; in the last four years, it only met seven times per year on average, rather than every 15 days, as the State had indicated.</w:t>
      </w:r>
      <w:r>
        <w:rPr>
          <w:sz w:val="24"/>
          <w:szCs w:val="24"/>
          <w:vertAlign w:val="superscript"/>
        </w:rPr>
        <w:footnoteReference w:id="3"/>
      </w:r>
      <w:r>
        <w:rPr>
          <w:sz w:val="24"/>
          <w:szCs w:val="24"/>
        </w:rPr>
        <w:t xml:space="preserve"> There is still a limited number of departmental and municipal Children Councils; only 68.7% of the </w:t>
      </w:r>
      <w:r>
        <w:rPr>
          <w:sz w:val="24"/>
          <w:szCs w:val="24"/>
        </w:rPr>
        <w:lastRenderedPageBreak/>
        <w:t>departments</w:t>
      </w:r>
      <w:r>
        <w:rPr>
          <w:sz w:val="24"/>
          <w:szCs w:val="24"/>
          <w:vertAlign w:val="superscript"/>
        </w:rPr>
        <w:footnoteReference w:id="4"/>
      </w:r>
      <w:r>
        <w:rPr>
          <w:sz w:val="24"/>
          <w:szCs w:val="24"/>
        </w:rPr>
        <w:t xml:space="preserve"> and 29.9% of the municipalities had councils in 2020. Nearly 10% of the municipalities</w:t>
      </w:r>
      <w:r>
        <w:rPr>
          <w:sz w:val="24"/>
          <w:szCs w:val="24"/>
          <w:vertAlign w:val="superscript"/>
        </w:rPr>
        <w:footnoteReference w:id="5"/>
      </w:r>
      <w:r>
        <w:rPr>
          <w:sz w:val="24"/>
          <w:szCs w:val="24"/>
        </w:rPr>
        <w:t xml:space="preserve"> did not have a Municipal Council for the Rights of the </w:t>
      </w:r>
      <w:r>
        <w:rPr>
          <w:sz w:val="24"/>
          <w:szCs w:val="24"/>
        </w:rPr>
        <w:t>Child (Codeni, for its Spanish acronym).</w:t>
      </w:r>
      <w:r>
        <w:rPr>
          <w:sz w:val="24"/>
          <w:szCs w:val="24"/>
          <w:vertAlign w:val="superscript"/>
        </w:rPr>
        <w:footnoteReference w:id="6"/>
      </w:r>
      <w:r>
        <w:rPr>
          <w:sz w:val="24"/>
          <w:szCs w:val="24"/>
        </w:rPr>
        <w:t xml:space="preserve"> In terms of resource provision, only 15% of the Codenis and 12.5% of the Departmental Secretariats for Children have their own budget;</w:t>
      </w:r>
      <w:r>
        <w:rPr>
          <w:sz w:val="24"/>
          <w:szCs w:val="24"/>
          <w:vertAlign w:val="superscript"/>
        </w:rPr>
        <w:footnoteReference w:id="7"/>
      </w:r>
      <w:r>
        <w:rPr>
          <w:sz w:val="24"/>
          <w:szCs w:val="24"/>
        </w:rPr>
        <w:t xml:space="preserve"> 74.9% of the municipalities only have one person on the council, and 12% have </w:t>
      </w:r>
      <w:r>
        <w:rPr>
          <w:sz w:val="24"/>
          <w:szCs w:val="24"/>
        </w:rPr>
        <w:t>two people;</w:t>
      </w:r>
      <w:r>
        <w:rPr>
          <w:sz w:val="24"/>
          <w:szCs w:val="24"/>
          <w:vertAlign w:val="superscript"/>
        </w:rPr>
        <w:footnoteReference w:id="8"/>
      </w:r>
      <w:r>
        <w:rPr>
          <w:sz w:val="24"/>
          <w:szCs w:val="24"/>
        </w:rPr>
        <w:t xml:space="preserve"> therefore, they do not have the minimum interdisciplinary team required to provide the appropriate service. </w:t>
      </w:r>
    </w:p>
    <w:p w:rsidR="006E2C03" w:rsidRDefault="00FD32A9">
      <w:pPr>
        <w:numPr>
          <w:ilvl w:val="0"/>
          <w:numId w:val="50"/>
        </w:numPr>
        <w:spacing w:after="200" w:line="240" w:lineRule="auto"/>
        <w:rPr>
          <w:b/>
          <w:sz w:val="24"/>
          <w:szCs w:val="24"/>
        </w:rPr>
      </w:pPr>
      <w:r>
        <w:rPr>
          <w:b/>
          <w:sz w:val="24"/>
          <w:szCs w:val="24"/>
        </w:rPr>
        <w:t>National Action Plan</w:t>
      </w:r>
    </w:p>
    <w:p w:rsidR="006E2C03" w:rsidRDefault="00FD32A9">
      <w:pPr>
        <w:numPr>
          <w:ilvl w:val="0"/>
          <w:numId w:val="41"/>
        </w:numPr>
        <w:spacing w:after="200"/>
        <w:jc w:val="both"/>
        <w:rPr>
          <w:sz w:val="24"/>
          <w:szCs w:val="24"/>
        </w:rPr>
      </w:pPr>
      <w:r>
        <w:rPr>
          <w:sz w:val="24"/>
          <w:szCs w:val="24"/>
        </w:rPr>
        <w:t>In 2020, the National Plan for Children and Adolescents (PNA, for its Spanish initials) 2020–2024 was approved. H</w:t>
      </w:r>
      <w:r>
        <w:rPr>
          <w:sz w:val="24"/>
          <w:szCs w:val="24"/>
        </w:rPr>
        <w:t>owever, anti-rights groups opposed the document; they created attack campaigns and demanded to make it ineffective due to its approaches based on gender, participation, diversity, inclusion, and interculturalism. The State yielded, annulling the PNA and st</w:t>
      </w:r>
      <w:r>
        <w:rPr>
          <w:sz w:val="24"/>
          <w:szCs w:val="24"/>
        </w:rPr>
        <w:t>arting a new draft that incorporated the non-existent “family approach”, which meant a setback due to the exclusion of the human rights-based approach. The process concluded with the approval of the new 2022–2024 PNA,</w:t>
      </w:r>
      <w:r>
        <w:rPr>
          <w:sz w:val="24"/>
          <w:szCs w:val="24"/>
          <w:vertAlign w:val="superscript"/>
        </w:rPr>
        <w:footnoteReference w:id="9"/>
      </w:r>
      <w:r>
        <w:rPr>
          <w:sz w:val="24"/>
          <w:szCs w:val="24"/>
        </w:rPr>
        <w:t xml:space="preserve"> which goes against the standards of t</w:t>
      </w:r>
      <w:r>
        <w:rPr>
          <w:sz w:val="24"/>
          <w:szCs w:val="24"/>
        </w:rPr>
        <w:t>he current legal system.</w:t>
      </w:r>
    </w:p>
    <w:p w:rsidR="006E2C03" w:rsidRDefault="00FD32A9">
      <w:pPr>
        <w:numPr>
          <w:ilvl w:val="0"/>
          <w:numId w:val="56"/>
        </w:numPr>
        <w:spacing w:after="200" w:line="240" w:lineRule="auto"/>
        <w:rPr>
          <w:b/>
          <w:sz w:val="24"/>
          <w:szCs w:val="24"/>
        </w:rPr>
      </w:pPr>
      <w:r>
        <w:rPr>
          <w:b/>
          <w:sz w:val="24"/>
          <w:szCs w:val="24"/>
        </w:rPr>
        <w:t xml:space="preserve">Independent Surveillance  </w:t>
      </w:r>
    </w:p>
    <w:p w:rsidR="006E2C03" w:rsidRDefault="00FD32A9">
      <w:pPr>
        <w:numPr>
          <w:ilvl w:val="0"/>
          <w:numId w:val="41"/>
        </w:numPr>
        <w:spacing w:after="200"/>
        <w:jc w:val="both"/>
        <w:rPr>
          <w:sz w:val="24"/>
          <w:szCs w:val="24"/>
        </w:rPr>
      </w:pPr>
      <w:r>
        <w:rPr>
          <w:sz w:val="24"/>
          <w:szCs w:val="24"/>
        </w:rPr>
        <w:t>The Organic Law No. 631/1995 of the Ombudsman’s Office</w:t>
      </w:r>
      <w:r>
        <w:rPr>
          <w:sz w:val="24"/>
          <w:szCs w:val="24"/>
          <w:vertAlign w:val="superscript"/>
        </w:rPr>
        <w:footnoteReference w:id="10"/>
      </w:r>
      <w:r>
        <w:rPr>
          <w:sz w:val="24"/>
          <w:szCs w:val="24"/>
        </w:rPr>
        <w:t xml:space="preserve"> has no regulations, and its priorities and approaches exclusively depend on the will of the current head of the institution. There is not clarity su</w:t>
      </w:r>
      <w:r>
        <w:rPr>
          <w:sz w:val="24"/>
          <w:szCs w:val="24"/>
        </w:rPr>
        <w:t>rrounding the functions of the Children’s Department. Disaggregated data on children and adolescents are not published in institutional reports; they are included as general data on “vulnerable persons”, and accurate information is not available. Complaint</w:t>
      </w:r>
      <w:r>
        <w:rPr>
          <w:sz w:val="24"/>
          <w:szCs w:val="24"/>
        </w:rPr>
        <w:t xml:space="preserve"> mechanisms for children and adolescents are not adapted to the provisions included in the General Comment No. 2.</w:t>
      </w:r>
    </w:p>
    <w:p w:rsidR="006E2C03" w:rsidRDefault="00FD32A9">
      <w:pPr>
        <w:pStyle w:val="Heading3"/>
        <w:numPr>
          <w:ilvl w:val="0"/>
          <w:numId w:val="61"/>
        </w:numPr>
        <w:jc w:val="both"/>
        <w:rPr>
          <w:i w:val="0"/>
        </w:rPr>
      </w:pPr>
      <w:bookmarkStart w:id="4" w:name="_heading=h.1fob9te" w:colFirst="0" w:colLast="0"/>
      <w:bookmarkEnd w:id="4"/>
      <w:r>
        <w:rPr>
          <w:i w:val="0"/>
        </w:rPr>
        <w:t xml:space="preserve">Resource Allocation </w:t>
      </w:r>
    </w:p>
    <w:p w:rsidR="006E2C03" w:rsidRDefault="00FD32A9">
      <w:pPr>
        <w:numPr>
          <w:ilvl w:val="0"/>
          <w:numId w:val="41"/>
        </w:numPr>
        <w:spacing w:after="200"/>
        <w:jc w:val="both"/>
        <w:rPr>
          <w:sz w:val="24"/>
          <w:szCs w:val="24"/>
        </w:rPr>
      </w:pPr>
      <w:r>
        <w:rPr>
          <w:sz w:val="24"/>
          <w:szCs w:val="24"/>
        </w:rPr>
        <w:t>In the National General Budget (NGB), budget items for children and adolescents are often not specified, making monitorin</w:t>
      </w:r>
      <w:r>
        <w:rPr>
          <w:sz w:val="24"/>
          <w:szCs w:val="24"/>
        </w:rPr>
        <w:t>g and planning difficult. Beginning in 2014, the “Methodology for Measuring Investment in Children and Adolescents”</w:t>
      </w:r>
      <w:r>
        <w:rPr>
          <w:sz w:val="24"/>
          <w:szCs w:val="24"/>
          <w:vertAlign w:val="superscript"/>
        </w:rPr>
        <w:footnoteReference w:id="11"/>
      </w:r>
      <w:r>
        <w:rPr>
          <w:sz w:val="24"/>
          <w:szCs w:val="24"/>
        </w:rPr>
        <w:t xml:space="preserve"> was developed and established together with UNICEF, but it is presented in a format that is not accessible for the non-technical public. Cu</w:t>
      </w:r>
      <w:r>
        <w:rPr>
          <w:sz w:val="24"/>
          <w:szCs w:val="24"/>
        </w:rPr>
        <w:t>rrently, the State does not even invest the necessary minimum in children and adolescents; in reality, the budget for this population group is reduced year after year, 2018: 5.7%; 2019: 4.6%; 2020: 4.7%; 2021: 4.2%</w:t>
      </w:r>
      <w:r>
        <w:rPr>
          <w:sz w:val="24"/>
          <w:szCs w:val="24"/>
          <w:vertAlign w:val="superscript"/>
        </w:rPr>
        <w:footnoteReference w:id="12"/>
      </w:r>
      <w:r>
        <w:rPr>
          <w:sz w:val="24"/>
          <w:szCs w:val="24"/>
        </w:rPr>
        <w:t xml:space="preserve"> in relation to GDP. Paraguay’s tax inequ</w:t>
      </w:r>
      <w:r>
        <w:rPr>
          <w:sz w:val="24"/>
          <w:szCs w:val="24"/>
        </w:rPr>
        <w:t>ity and low rates of tax collection, along with corruption, impunity, and a lack of transparency and accountability, mean there are not enough resources to finance public services at all levels of government.</w:t>
      </w:r>
    </w:p>
    <w:p w:rsidR="006E2C03" w:rsidRDefault="00FD32A9">
      <w:pPr>
        <w:numPr>
          <w:ilvl w:val="0"/>
          <w:numId w:val="4"/>
        </w:numPr>
        <w:spacing w:after="200"/>
        <w:jc w:val="both"/>
        <w:rPr>
          <w:b/>
          <w:sz w:val="24"/>
          <w:szCs w:val="24"/>
        </w:rPr>
      </w:pPr>
      <w:r>
        <w:rPr>
          <w:b/>
          <w:sz w:val="24"/>
          <w:szCs w:val="24"/>
        </w:rPr>
        <w:t xml:space="preserve">Data Collection </w:t>
      </w:r>
    </w:p>
    <w:p w:rsidR="006E2C03" w:rsidRDefault="00FD32A9">
      <w:pPr>
        <w:numPr>
          <w:ilvl w:val="0"/>
          <w:numId w:val="41"/>
        </w:numPr>
        <w:spacing w:after="200"/>
        <w:jc w:val="both"/>
        <w:rPr>
          <w:sz w:val="24"/>
          <w:szCs w:val="24"/>
        </w:rPr>
      </w:pPr>
      <w:r>
        <w:rPr>
          <w:sz w:val="24"/>
          <w:szCs w:val="24"/>
        </w:rPr>
        <w:t>In 2020, the Directorate of St</w:t>
      </w:r>
      <w:r>
        <w:rPr>
          <w:sz w:val="24"/>
          <w:szCs w:val="24"/>
        </w:rPr>
        <w:t>atistical Surveys and Census was recategorized as the National Institute of Statistics,</w:t>
      </w:r>
      <w:r>
        <w:rPr>
          <w:sz w:val="24"/>
          <w:szCs w:val="24"/>
          <w:vertAlign w:val="superscript"/>
        </w:rPr>
        <w:footnoteReference w:id="13"/>
      </w:r>
      <w:r>
        <w:rPr>
          <w:sz w:val="24"/>
          <w:szCs w:val="24"/>
        </w:rPr>
        <w:t xml:space="preserve"> thus becoming the governing body of the national statistical system. Yet, there is still a lack of updated and quality data, especially for children and adolescents, i</w:t>
      </w:r>
      <w:r>
        <w:rPr>
          <w:sz w:val="24"/>
          <w:szCs w:val="24"/>
        </w:rPr>
        <w:t>ndigenous people, and people with disabilities. In the last National Census,</w:t>
      </w:r>
      <w:r>
        <w:rPr>
          <w:sz w:val="24"/>
          <w:szCs w:val="24"/>
          <w:vertAlign w:val="superscript"/>
        </w:rPr>
        <w:footnoteReference w:id="14"/>
      </w:r>
      <w:r>
        <w:rPr>
          <w:sz w:val="24"/>
          <w:szCs w:val="24"/>
        </w:rPr>
        <w:t xml:space="preserve"> questions about ethnic identity as well as intellectual and/or psychosocial disabilities were excluded, which hinders effective planning and evaluation of public policies and soc</w:t>
      </w:r>
      <w:r>
        <w:rPr>
          <w:sz w:val="24"/>
          <w:szCs w:val="24"/>
        </w:rPr>
        <w:t>ial investment.</w:t>
      </w:r>
      <w:r>
        <w:rPr>
          <w:sz w:val="24"/>
          <w:szCs w:val="24"/>
          <w:vertAlign w:val="superscript"/>
        </w:rPr>
        <w:footnoteReference w:id="15"/>
      </w:r>
      <w:r>
        <w:rPr>
          <w:sz w:val="24"/>
          <w:szCs w:val="24"/>
        </w:rPr>
        <w:t xml:space="preserve"> In 2014, Law No. 5282 on Citizen Access to Public Information</w:t>
      </w:r>
      <w:r>
        <w:rPr>
          <w:sz w:val="24"/>
          <w:szCs w:val="24"/>
          <w:vertAlign w:val="superscript"/>
        </w:rPr>
        <w:footnoteReference w:id="16"/>
      </w:r>
      <w:r>
        <w:rPr>
          <w:sz w:val="24"/>
          <w:szCs w:val="24"/>
        </w:rPr>
        <w:t xml:space="preserve"> was established, and a system for accessing information was created; however, obstacles for accessing updated and disaggregated data remain. </w:t>
      </w:r>
    </w:p>
    <w:p w:rsidR="006E2C03" w:rsidRDefault="00FD32A9">
      <w:pPr>
        <w:pStyle w:val="Heading3"/>
        <w:numPr>
          <w:ilvl w:val="0"/>
          <w:numId w:val="37"/>
        </w:numPr>
        <w:jc w:val="both"/>
        <w:rPr>
          <w:i w:val="0"/>
        </w:rPr>
      </w:pPr>
      <w:bookmarkStart w:id="5" w:name="_heading=h.3znysh7" w:colFirst="0" w:colLast="0"/>
      <w:bookmarkEnd w:id="5"/>
      <w:r>
        <w:rPr>
          <w:i w:val="0"/>
        </w:rPr>
        <w:t>Convention Outreach and Training</w:t>
      </w:r>
    </w:p>
    <w:p w:rsidR="006E2C03" w:rsidRDefault="00FD32A9">
      <w:pPr>
        <w:numPr>
          <w:ilvl w:val="0"/>
          <w:numId w:val="41"/>
        </w:numPr>
        <w:spacing w:after="200"/>
        <w:jc w:val="both"/>
        <w:rPr>
          <w:sz w:val="24"/>
          <w:szCs w:val="24"/>
        </w:rPr>
      </w:pPr>
      <w:r>
        <w:rPr>
          <w:sz w:val="24"/>
          <w:szCs w:val="24"/>
        </w:rPr>
        <w:t>The State’s promotion of informative materials on the convention is limited and exclusively in Spanish; there are no materials in Guarani</w:t>
      </w:r>
      <w:r>
        <w:rPr>
          <w:sz w:val="24"/>
          <w:szCs w:val="24"/>
          <w:vertAlign w:val="superscript"/>
        </w:rPr>
        <w:footnoteReference w:id="17"/>
      </w:r>
      <w:r>
        <w:rPr>
          <w:sz w:val="24"/>
          <w:szCs w:val="24"/>
        </w:rPr>
        <w:t xml:space="preserve"> or other indigenous languages. In the educational sphere, the need remains to truly incorporate the rights approach i</w:t>
      </w:r>
      <w:r>
        <w:rPr>
          <w:sz w:val="24"/>
          <w:szCs w:val="24"/>
        </w:rPr>
        <w:t>n a way that is cross-cutting in both teacher training and teaching practices.</w:t>
      </w:r>
    </w:p>
    <w:p w:rsidR="006E2C03" w:rsidRDefault="00FD32A9">
      <w:pPr>
        <w:spacing w:after="200"/>
        <w:jc w:val="both"/>
        <w:rPr>
          <w:b/>
          <w:sz w:val="24"/>
          <w:szCs w:val="24"/>
        </w:rPr>
      </w:pPr>
      <w:r>
        <w:rPr>
          <w:b/>
          <w:sz w:val="24"/>
          <w:szCs w:val="24"/>
        </w:rPr>
        <w:t xml:space="preserve">Recommendations: </w:t>
      </w:r>
    </w:p>
    <w:p w:rsidR="006E2C03" w:rsidRDefault="00FD32A9">
      <w:pPr>
        <w:numPr>
          <w:ilvl w:val="0"/>
          <w:numId w:val="41"/>
        </w:numPr>
        <w:spacing w:after="200"/>
        <w:jc w:val="both"/>
        <w:rPr>
          <w:sz w:val="24"/>
          <w:szCs w:val="24"/>
        </w:rPr>
      </w:pPr>
      <w:r>
        <w:rPr>
          <w:sz w:val="24"/>
          <w:szCs w:val="24"/>
        </w:rPr>
        <w:t xml:space="preserve">Improve the joint efforts and coordination of the National System for the Protection and Promotion of the Rights of Children and Adolescents (SIPPINA, for its </w:t>
      </w:r>
      <w:r>
        <w:rPr>
          <w:sz w:val="24"/>
          <w:szCs w:val="24"/>
        </w:rPr>
        <w:t>Spanish initials) on the three levels of government in a way that is inter-institutional, multilevel and inter-sectoral by strengthening the existing Councils for Children and Adolescents, creating additional councils in the remaining territories, incorpor</w:t>
      </w:r>
      <w:r>
        <w:rPr>
          <w:sz w:val="24"/>
          <w:szCs w:val="24"/>
        </w:rPr>
        <w:t>ating human-rights, gender, inclusion and inter-cultural approaches in the developed plans, and providing a budget for them.</w:t>
      </w:r>
    </w:p>
    <w:p w:rsidR="006E2C03" w:rsidRDefault="00FD32A9">
      <w:pPr>
        <w:numPr>
          <w:ilvl w:val="0"/>
          <w:numId w:val="41"/>
        </w:numPr>
        <w:spacing w:after="200"/>
        <w:jc w:val="both"/>
        <w:rPr>
          <w:sz w:val="24"/>
          <w:szCs w:val="24"/>
        </w:rPr>
      </w:pPr>
      <w:r>
        <w:rPr>
          <w:sz w:val="24"/>
          <w:szCs w:val="24"/>
        </w:rPr>
        <w:t>Regulate the Organic Law of the Ombudsman’s Office (631/1995) by clearly establishing the functions of the Children’s Department in</w:t>
      </w:r>
      <w:r>
        <w:rPr>
          <w:sz w:val="24"/>
          <w:szCs w:val="24"/>
        </w:rPr>
        <w:t xml:space="preserve"> the organisational chart, and guarantee that it is strengthened by providing it with a budget and decentralizing it. </w:t>
      </w:r>
    </w:p>
    <w:p w:rsidR="006E2C03" w:rsidRDefault="00FD32A9">
      <w:pPr>
        <w:numPr>
          <w:ilvl w:val="0"/>
          <w:numId w:val="41"/>
        </w:numPr>
        <w:spacing w:after="200"/>
        <w:jc w:val="both"/>
        <w:rPr>
          <w:sz w:val="24"/>
          <w:szCs w:val="24"/>
        </w:rPr>
      </w:pPr>
      <w:r>
        <w:rPr>
          <w:sz w:val="24"/>
          <w:szCs w:val="24"/>
        </w:rPr>
        <w:t>Increase tax collection through equitable taxation, whereby the wealthier population groups pay more taxes, in order to redistribute reso</w:t>
      </w:r>
      <w:r>
        <w:rPr>
          <w:sz w:val="24"/>
          <w:szCs w:val="24"/>
        </w:rPr>
        <w:t>urces to quality public services throughout the country.</w:t>
      </w:r>
    </w:p>
    <w:p w:rsidR="006E2C03" w:rsidRDefault="00FD32A9">
      <w:pPr>
        <w:numPr>
          <w:ilvl w:val="0"/>
          <w:numId w:val="41"/>
        </w:numPr>
        <w:spacing w:after="200"/>
        <w:jc w:val="both"/>
        <w:rPr>
          <w:sz w:val="24"/>
          <w:szCs w:val="24"/>
        </w:rPr>
      </w:pPr>
      <w:r>
        <w:rPr>
          <w:sz w:val="24"/>
          <w:szCs w:val="24"/>
        </w:rPr>
        <w:t xml:space="preserve">Guarantee the necessary budget for compliance with the laws in force and the effective operation of SIPPINA at the three levels of government. </w:t>
      </w:r>
    </w:p>
    <w:p w:rsidR="006E2C03" w:rsidRDefault="00FD32A9">
      <w:pPr>
        <w:numPr>
          <w:ilvl w:val="0"/>
          <w:numId w:val="41"/>
        </w:numPr>
        <w:spacing w:after="200"/>
        <w:jc w:val="both"/>
        <w:rPr>
          <w:sz w:val="24"/>
          <w:szCs w:val="24"/>
        </w:rPr>
      </w:pPr>
      <w:r>
        <w:rPr>
          <w:sz w:val="24"/>
          <w:szCs w:val="24"/>
        </w:rPr>
        <w:t>Create specific indicators for programs and budgets rel</w:t>
      </w:r>
      <w:r>
        <w:rPr>
          <w:sz w:val="24"/>
          <w:szCs w:val="24"/>
        </w:rPr>
        <w:t>ated to children and adolescents that allow for monitoring the quantity and quality of public spending on the fulfilment of their rights, thus guaranteeing access to information on resource allocation and execution.</w:t>
      </w:r>
    </w:p>
    <w:p w:rsidR="006E2C03" w:rsidRDefault="00FD32A9">
      <w:pPr>
        <w:numPr>
          <w:ilvl w:val="0"/>
          <w:numId w:val="41"/>
        </w:numPr>
        <w:spacing w:after="200"/>
        <w:jc w:val="both"/>
        <w:rPr>
          <w:sz w:val="24"/>
          <w:szCs w:val="24"/>
        </w:rPr>
      </w:pPr>
      <w:r>
        <w:rPr>
          <w:sz w:val="24"/>
          <w:szCs w:val="24"/>
        </w:rPr>
        <w:t>Strengthen the statistical system for ch</w:t>
      </w:r>
      <w:r>
        <w:rPr>
          <w:sz w:val="24"/>
          <w:szCs w:val="24"/>
        </w:rPr>
        <w:t>ildren and adolescents by connecting the results of the Continuous Permanent Household Survey (EPHC, for its Spanish initials) with institutions’ administrative and vital records, thus strengthening official data generation and processing and disaggregatin</w:t>
      </w:r>
      <w:r>
        <w:rPr>
          <w:sz w:val="24"/>
          <w:szCs w:val="24"/>
        </w:rPr>
        <w:t>g them by territory, age, gender, ethnicity, family income and disability, among others.</w:t>
      </w:r>
    </w:p>
    <w:p w:rsidR="006E2C03" w:rsidRDefault="00FD32A9">
      <w:pPr>
        <w:numPr>
          <w:ilvl w:val="0"/>
          <w:numId w:val="41"/>
        </w:numPr>
        <w:spacing w:after="200"/>
        <w:jc w:val="both"/>
        <w:rPr>
          <w:sz w:val="24"/>
          <w:szCs w:val="24"/>
        </w:rPr>
      </w:pPr>
      <w:r>
        <w:rPr>
          <w:sz w:val="24"/>
          <w:szCs w:val="24"/>
        </w:rPr>
        <w:t>Make various formats of the convention’s communication materials available and accessible in a clear and timely manner in both official languages as well as indigenous</w:t>
      </w:r>
      <w:r>
        <w:rPr>
          <w:sz w:val="24"/>
          <w:szCs w:val="24"/>
        </w:rPr>
        <w:t xml:space="preserve"> languages, and include a budget line item for annual communication campaigns in the MINNA.</w:t>
      </w:r>
    </w:p>
    <w:p w:rsidR="006E2C03" w:rsidRDefault="00FD32A9">
      <w:pPr>
        <w:numPr>
          <w:ilvl w:val="0"/>
          <w:numId w:val="21"/>
        </w:numPr>
        <w:spacing w:after="200"/>
        <w:rPr>
          <w:sz w:val="24"/>
          <w:szCs w:val="24"/>
        </w:rPr>
      </w:pPr>
      <w:r>
        <w:rPr>
          <w:b/>
          <w:sz w:val="24"/>
          <w:szCs w:val="24"/>
        </w:rPr>
        <w:t>Definition of the Child (Art. 1)</w:t>
      </w:r>
    </w:p>
    <w:p w:rsidR="006E2C03" w:rsidRDefault="00FD32A9">
      <w:pPr>
        <w:numPr>
          <w:ilvl w:val="0"/>
          <w:numId w:val="41"/>
        </w:numPr>
        <w:spacing w:after="200"/>
        <w:jc w:val="both"/>
        <w:rPr>
          <w:sz w:val="24"/>
          <w:szCs w:val="24"/>
        </w:rPr>
      </w:pPr>
      <w:r>
        <w:rPr>
          <w:sz w:val="24"/>
          <w:szCs w:val="24"/>
        </w:rPr>
        <w:t xml:space="preserve">Law No. 5419/2015 modified the minimum age for marriage; in its report, the State does not specify that it provides for exceptions </w:t>
      </w:r>
      <w:r>
        <w:rPr>
          <w:sz w:val="24"/>
          <w:szCs w:val="24"/>
        </w:rPr>
        <w:t>so that adolescents may marry from the age of 16 with the family’s authorisation. In 2021, the State recorded one male child who married between the ages of 10 and 14, although the law prohibits it;</w:t>
      </w:r>
      <w:r>
        <w:rPr>
          <w:sz w:val="24"/>
          <w:szCs w:val="24"/>
          <w:vertAlign w:val="superscript"/>
        </w:rPr>
        <w:footnoteReference w:id="18"/>
      </w:r>
      <w:r>
        <w:rPr>
          <w:sz w:val="24"/>
          <w:szCs w:val="24"/>
        </w:rPr>
        <w:t xml:space="preserve"> in addition, there were 1,857 marriages in the age range</w:t>
      </w:r>
      <w:r>
        <w:rPr>
          <w:sz w:val="24"/>
          <w:szCs w:val="24"/>
        </w:rPr>
        <w:t xml:space="preserve"> of 15 to 19.</w:t>
      </w:r>
      <w:r>
        <w:rPr>
          <w:sz w:val="24"/>
          <w:szCs w:val="24"/>
          <w:vertAlign w:val="superscript"/>
        </w:rPr>
        <w:footnoteReference w:id="19"/>
      </w:r>
      <w:r>
        <w:rPr>
          <w:sz w:val="24"/>
          <w:szCs w:val="24"/>
        </w:rPr>
        <w:t xml:space="preserve"> </w:t>
      </w:r>
    </w:p>
    <w:p w:rsidR="006E2C03" w:rsidRDefault="00FD32A9">
      <w:pPr>
        <w:spacing w:after="200"/>
        <w:jc w:val="both"/>
        <w:rPr>
          <w:b/>
          <w:sz w:val="24"/>
          <w:szCs w:val="24"/>
        </w:rPr>
      </w:pPr>
      <w:r>
        <w:rPr>
          <w:b/>
          <w:sz w:val="24"/>
          <w:szCs w:val="24"/>
        </w:rPr>
        <w:t xml:space="preserve">Recommendations: </w:t>
      </w:r>
    </w:p>
    <w:p w:rsidR="006E2C03" w:rsidRDefault="00FD32A9">
      <w:pPr>
        <w:numPr>
          <w:ilvl w:val="0"/>
          <w:numId w:val="41"/>
        </w:numPr>
        <w:spacing w:after="200"/>
        <w:jc w:val="both"/>
        <w:rPr>
          <w:sz w:val="24"/>
          <w:szCs w:val="24"/>
        </w:rPr>
      </w:pPr>
      <w:r>
        <w:rPr>
          <w:sz w:val="24"/>
          <w:szCs w:val="24"/>
        </w:rPr>
        <w:t>Promote legislative measures and public policies focused on preventing child, early and forced marriage and unions as well as support measures for adolescent girls who are married or in a union; do so from a multi-sectoral</w:t>
      </w:r>
      <w:r>
        <w:rPr>
          <w:sz w:val="24"/>
          <w:szCs w:val="24"/>
        </w:rPr>
        <w:t xml:space="preserve"> approach, with resources and with significant participation from children and adolescents as well as organisations working on these issues for their development, monitoring and evaluation. </w:t>
      </w:r>
    </w:p>
    <w:p w:rsidR="006E2C03" w:rsidRDefault="00FD32A9">
      <w:pPr>
        <w:pStyle w:val="Heading2"/>
        <w:numPr>
          <w:ilvl w:val="0"/>
          <w:numId w:val="21"/>
        </w:numPr>
        <w:jc w:val="both"/>
      </w:pPr>
      <w:bookmarkStart w:id="6" w:name="_heading=h.2et92p0" w:colFirst="0" w:colLast="0"/>
      <w:bookmarkEnd w:id="6"/>
      <w:r>
        <w:t>General Principles</w:t>
      </w:r>
    </w:p>
    <w:p w:rsidR="006E2C03" w:rsidRDefault="00FD32A9">
      <w:pPr>
        <w:pStyle w:val="Heading3"/>
        <w:numPr>
          <w:ilvl w:val="0"/>
          <w:numId w:val="15"/>
        </w:numPr>
        <w:jc w:val="both"/>
        <w:rPr>
          <w:i w:val="0"/>
        </w:rPr>
      </w:pPr>
      <w:bookmarkStart w:id="7" w:name="_heading=h.tyjcwt" w:colFirst="0" w:colLast="0"/>
      <w:bookmarkEnd w:id="7"/>
      <w:r>
        <w:rPr>
          <w:i w:val="0"/>
        </w:rPr>
        <w:t>Non-Discrimination (Art. 2)</w:t>
      </w:r>
    </w:p>
    <w:p w:rsidR="006E2C03" w:rsidRDefault="00FD32A9">
      <w:pPr>
        <w:numPr>
          <w:ilvl w:val="0"/>
          <w:numId w:val="41"/>
        </w:numPr>
        <w:spacing w:after="200"/>
        <w:jc w:val="both"/>
        <w:rPr>
          <w:rFonts w:ascii="Calibri" w:eastAsia="Calibri" w:hAnsi="Calibri" w:cs="Calibri"/>
          <w:sz w:val="24"/>
          <w:szCs w:val="24"/>
        </w:rPr>
      </w:pPr>
      <w:r>
        <w:rPr>
          <w:sz w:val="24"/>
          <w:szCs w:val="24"/>
        </w:rPr>
        <w:t>In Paraguay, the law against all forms of discrimination has not been approved; therefore, it remains without a legal framework.</w:t>
      </w:r>
      <w:r>
        <w:rPr>
          <w:color w:val="666666"/>
          <w:sz w:val="24"/>
          <w:szCs w:val="24"/>
        </w:rPr>
        <w:t xml:space="preserve"> </w:t>
      </w:r>
      <w:r>
        <w:rPr>
          <w:sz w:val="24"/>
          <w:szCs w:val="24"/>
        </w:rPr>
        <w:t xml:space="preserve">Indigenous peoples suffer structural and systematic discrimination. The State does not guarantee comprehensive approaches that </w:t>
      </w:r>
      <w:r>
        <w:rPr>
          <w:sz w:val="24"/>
          <w:szCs w:val="24"/>
        </w:rPr>
        <w:t>provide real and sustained responses to their demands, and it is complicit in multiple violations, such as forcing evictions</w:t>
      </w:r>
      <w:r>
        <w:rPr>
          <w:sz w:val="24"/>
          <w:szCs w:val="24"/>
          <w:vertAlign w:val="superscript"/>
        </w:rPr>
        <w:footnoteReference w:id="20"/>
      </w:r>
      <w:r>
        <w:rPr>
          <w:sz w:val="24"/>
          <w:szCs w:val="24"/>
        </w:rPr>
        <w:t xml:space="preserve"> and imposing obstacles to access services and rights.</w:t>
      </w:r>
    </w:p>
    <w:p w:rsidR="006E2C03" w:rsidRDefault="00FD32A9">
      <w:pPr>
        <w:pStyle w:val="Heading3"/>
        <w:numPr>
          <w:ilvl w:val="0"/>
          <w:numId w:val="55"/>
        </w:numPr>
        <w:jc w:val="both"/>
        <w:rPr>
          <w:i w:val="0"/>
        </w:rPr>
      </w:pPr>
      <w:bookmarkStart w:id="8" w:name="_heading=h.3dy6vkm" w:colFirst="0" w:colLast="0"/>
      <w:bookmarkEnd w:id="8"/>
      <w:r>
        <w:rPr>
          <w:i w:val="0"/>
        </w:rPr>
        <w:t>The Best Interest of the Child</w:t>
      </w:r>
    </w:p>
    <w:p w:rsidR="006E2C03" w:rsidRDefault="00FD32A9">
      <w:pPr>
        <w:numPr>
          <w:ilvl w:val="0"/>
          <w:numId w:val="41"/>
        </w:numPr>
        <w:spacing w:after="200"/>
        <w:jc w:val="both"/>
        <w:rPr>
          <w:rFonts w:ascii="Calibri" w:eastAsia="Calibri" w:hAnsi="Calibri" w:cs="Calibri"/>
          <w:sz w:val="24"/>
          <w:szCs w:val="24"/>
        </w:rPr>
      </w:pPr>
      <w:r>
        <w:rPr>
          <w:sz w:val="24"/>
          <w:szCs w:val="24"/>
        </w:rPr>
        <w:t>There is a wide gap between the convention an</w:t>
      </w:r>
      <w:r>
        <w:rPr>
          <w:sz w:val="24"/>
          <w:szCs w:val="24"/>
        </w:rPr>
        <w:t>d the practices of SIPPINA operators, mainly in the areas of justice and education.</w:t>
      </w:r>
      <w:r>
        <w:rPr>
          <w:color w:val="666666"/>
          <w:sz w:val="24"/>
          <w:szCs w:val="24"/>
        </w:rPr>
        <w:t xml:space="preserve"> </w:t>
      </w:r>
      <w:r>
        <w:rPr>
          <w:sz w:val="24"/>
          <w:szCs w:val="24"/>
        </w:rPr>
        <w:t>As a clear example, with distance education at the beginning of the pandemic, the Minister of Education and Science declared that only students who turned in their homework</w:t>
      </w:r>
      <w:r>
        <w:rPr>
          <w:sz w:val="24"/>
          <w:szCs w:val="24"/>
        </w:rPr>
        <w:t xml:space="preserve"> would benefit from food packages.</w:t>
      </w:r>
      <w:r>
        <w:rPr>
          <w:sz w:val="24"/>
          <w:szCs w:val="24"/>
          <w:vertAlign w:val="superscript"/>
        </w:rPr>
        <w:footnoteReference w:id="21"/>
      </w:r>
      <w:r>
        <w:rPr>
          <w:sz w:val="24"/>
          <w:szCs w:val="24"/>
        </w:rPr>
        <w:t xml:space="preserve"> The wording of judicial rulings does not necessarily focus on children’s best interest, as demonstrated by an investigation carried out by CDIA together with the Supreme Court of Justice (CSJ, for its Spanish initials) o</w:t>
      </w:r>
      <w:r>
        <w:rPr>
          <w:sz w:val="24"/>
          <w:szCs w:val="24"/>
        </w:rPr>
        <w:t>f Paraguay.</w:t>
      </w:r>
      <w:r>
        <w:rPr>
          <w:sz w:val="24"/>
          <w:szCs w:val="24"/>
          <w:vertAlign w:val="superscript"/>
        </w:rPr>
        <w:footnoteReference w:id="22"/>
      </w:r>
      <w:r>
        <w:rPr>
          <w:sz w:val="24"/>
          <w:szCs w:val="24"/>
        </w:rPr>
        <w:t xml:space="preserve"> </w:t>
      </w:r>
    </w:p>
    <w:p w:rsidR="006E2C03" w:rsidRDefault="00FD32A9">
      <w:pPr>
        <w:numPr>
          <w:ilvl w:val="0"/>
          <w:numId w:val="46"/>
        </w:numPr>
        <w:spacing w:after="200"/>
        <w:jc w:val="both"/>
        <w:rPr>
          <w:sz w:val="24"/>
          <w:szCs w:val="24"/>
        </w:rPr>
      </w:pPr>
      <w:r>
        <w:rPr>
          <w:b/>
          <w:sz w:val="24"/>
          <w:szCs w:val="24"/>
        </w:rPr>
        <w:t>The Right to Life, Survival and Development (Art. 6)</w:t>
      </w:r>
    </w:p>
    <w:p w:rsidR="006E2C03" w:rsidRDefault="00FD32A9">
      <w:pPr>
        <w:numPr>
          <w:ilvl w:val="0"/>
          <w:numId w:val="41"/>
        </w:numPr>
        <w:spacing w:after="200"/>
        <w:jc w:val="both"/>
        <w:rPr>
          <w:sz w:val="24"/>
          <w:szCs w:val="24"/>
        </w:rPr>
      </w:pPr>
      <w:r>
        <w:rPr>
          <w:sz w:val="24"/>
          <w:szCs w:val="24"/>
        </w:rPr>
        <w:t>In 2023, children and adolescents represent 33.4% of the country’s population.</w:t>
      </w:r>
      <w:r>
        <w:rPr>
          <w:sz w:val="24"/>
          <w:szCs w:val="24"/>
          <w:vertAlign w:val="superscript"/>
        </w:rPr>
        <w:footnoteReference w:id="23"/>
      </w:r>
      <w:r>
        <w:rPr>
          <w:sz w:val="24"/>
          <w:szCs w:val="24"/>
        </w:rPr>
        <w:t xml:space="preserve">  According to the 2021 EPHC, 40.7% live in rural areas and 59.3% in urban areas; about 1% are indigenous; 37.</w:t>
      </w:r>
      <w:r>
        <w:rPr>
          <w:sz w:val="24"/>
          <w:szCs w:val="24"/>
        </w:rPr>
        <w:t>8% are living in poverty and 6.3% are in extreme poverty,</w:t>
      </w:r>
      <w:r>
        <w:rPr>
          <w:sz w:val="24"/>
          <w:szCs w:val="24"/>
          <w:vertAlign w:val="superscript"/>
        </w:rPr>
        <w:footnoteReference w:id="24"/>
      </w:r>
      <w:r>
        <w:rPr>
          <w:sz w:val="24"/>
          <w:szCs w:val="24"/>
        </w:rPr>
        <w:t xml:space="preserve"> making it impossible for them to live in decent conditions and have a comprehensive development. There are children and adolescents living in flood zones and precarious settlements without adequate</w:t>
      </w:r>
      <w:r>
        <w:rPr>
          <w:sz w:val="24"/>
          <w:szCs w:val="24"/>
        </w:rPr>
        <w:t xml:space="preserve"> housing, without access to basic services such as health and education, or all-weather roads, among others. </w:t>
      </w:r>
    </w:p>
    <w:p w:rsidR="006E2C03" w:rsidRDefault="00FD32A9">
      <w:pPr>
        <w:numPr>
          <w:ilvl w:val="0"/>
          <w:numId w:val="41"/>
        </w:numPr>
        <w:spacing w:after="200"/>
        <w:jc w:val="both"/>
        <w:rPr>
          <w:sz w:val="24"/>
          <w:szCs w:val="24"/>
        </w:rPr>
      </w:pPr>
      <w:r>
        <w:rPr>
          <w:sz w:val="24"/>
          <w:szCs w:val="24"/>
        </w:rPr>
        <w:t>In Paraguay, a high number of forced disappearances of children and adolescents persists at a national level. In 2021, more than 2,500 missing per</w:t>
      </w:r>
      <w:r>
        <w:rPr>
          <w:sz w:val="24"/>
          <w:szCs w:val="24"/>
        </w:rPr>
        <w:t>sons were registered, of which, 1,306 were children and adolescents, and 78.6% were girls and female adolescents. At the end of the same year, searches were still being conducted for 646 children and adolescents, that is, they had not yet been located.</w:t>
      </w:r>
      <w:r>
        <w:rPr>
          <w:sz w:val="24"/>
          <w:szCs w:val="24"/>
          <w:vertAlign w:val="superscript"/>
        </w:rPr>
        <w:footnoteReference w:id="25"/>
      </w:r>
      <w:r>
        <w:rPr>
          <w:sz w:val="24"/>
          <w:szCs w:val="24"/>
        </w:rPr>
        <w:t xml:space="preserve"> Th</w:t>
      </w:r>
      <w:r>
        <w:rPr>
          <w:sz w:val="24"/>
          <w:szCs w:val="24"/>
        </w:rPr>
        <w:t xml:space="preserve">e National Police does not have the resources to carry out its work, SIPPINA institutions are not coordinating, and the Ministry of the Interior has not incorporated this issue into the Citizen Security Plan. </w:t>
      </w:r>
    </w:p>
    <w:p w:rsidR="006E2C03" w:rsidRDefault="00FD32A9">
      <w:pPr>
        <w:numPr>
          <w:ilvl w:val="0"/>
          <w:numId w:val="32"/>
        </w:numPr>
        <w:spacing w:after="200"/>
        <w:jc w:val="both"/>
        <w:rPr>
          <w:sz w:val="24"/>
          <w:szCs w:val="24"/>
        </w:rPr>
      </w:pPr>
      <w:r>
        <w:rPr>
          <w:b/>
          <w:sz w:val="24"/>
          <w:szCs w:val="24"/>
        </w:rPr>
        <w:t>Respect for Children’s Opinions (Art. 12)</w:t>
      </w:r>
    </w:p>
    <w:p w:rsidR="006E2C03" w:rsidRDefault="00FD32A9">
      <w:pPr>
        <w:numPr>
          <w:ilvl w:val="0"/>
          <w:numId w:val="41"/>
        </w:numPr>
        <w:spacing w:after="200"/>
        <w:jc w:val="both"/>
        <w:rPr>
          <w:sz w:val="24"/>
          <w:szCs w:val="24"/>
        </w:rPr>
      </w:pPr>
      <w:r>
        <w:rPr>
          <w:sz w:val="24"/>
          <w:szCs w:val="24"/>
        </w:rPr>
        <w:t xml:space="preserve">The participation of children and adolescents and respect for their opinions is limited, restricted and at risk. Since 2020, MINNA’s Directorate of Participation was demoted to a department, thus limiting its autonomy and resources. Moreover, the National </w:t>
      </w:r>
      <w:r>
        <w:rPr>
          <w:sz w:val="24"/>
          <w:szCs w:val="24"/>
        </w:rPr>
        <w:t>Network of Children and Adolescents (REDNNA)</w:t>
      </w:r>
      <w:r>
        <w:rPr>
          <w:sz w:val="24"/>
          <w:szCs w:val="24"/>
          <w:vertAlign w:val="superscript"/>
        </w:rPr>
        <w:footnoteReference w:id="26"/>
      </w:r>
      <w:r>
        <w:rPr>
          <w:sz w:val="24"/>
          <w:szCs w:val="24"/>
        </w:rPr>
        <w:t xml:space="preserve"> stated that they were not receiving answers or technical support from MINNA, as they had in the past. In turn, under pressure from anti-rights groups, the new PNA</w:t>
      </w:r>
      <w:r>
        <w:rPr>
          <w:sz w:val="24"/>
          <w:szCs w:val="24"/>
          <w:vertAlign w:val="superscript"/>
        </w:rPr>
        <w:footnoteReference w:id="27"/>
      </w:r>
      <w:r>
        <w:rPr>
          <w:sz w:val="24"/>
          <w:szCs w:val="24"/>
        </w:rPr>
        <w:t xml:space="preserve"> eliminated the word “leading”, only leaving pa</w:t>
      </w:r>
      <w:r>
        <w:rPr>
          <w:sz w:val="24"/>
          <w:szCs w:val="24"/>
        </w:rPr>
        <w:t xml:space="preserve">rticipation and upholding that children and adolescents are their parents’ property, thus ignoring that they are subjects of rights and have progressive autonomy, the right to organize, to petition authorities and to express themselves. </w:t>
      </w:r>
    </w:p>
    <w:p w:rsidR="006E2C03" w:rsidRDefault="00FD32A9">
      <w:pPr>
        <w:spacing w:after="200"/>
        <w:jc w:val="both"/>
        <w:rPr>
          <w:b/>
          <w:sz w:val="24"/>
          <w:szCs w:val="24"/>
        </w:rPr>
      </w:pPr>
      <w:r>
        <w:rPr>
          <w:b/>
          <w:sz w:val="24"/>
          <w:szCs w:val="24"/>
        </w:rPr>
        <w:t xml:space="preserve">Recommendations: </w:t>
      </w:r>
    </w:p>
    <w:p w:rsidR="006E2C03" w:rsidRDefault="00FD32A9">
      <w:pPr>
        <w:numPr>
          <w:ilvl w:val="0"/>
          <w:numId w:val="41"/>
        </w:numPr>
        <w:spacing w:after="200"/>
        <w:jc w:val="both"/>
        <w:rPr>
          <w:sz w:val="24"/>
          <w:szCs w:val="24"/>
        </w:rPr>
      </w:pPr>
      <w:r>
        <w:rPr>
          <w:sz w:val="24"/>
          <w:szCs w:val="24"/>
        </w:rPr>
        <w:t>Ratify and enact a Law Against All Forms of Discrimination with a human-rights, gender, inclusion and inter-cultural approach and with an adequate budget for its application throughout the entire country.</w:t>
      </w:r>
    </w:p>
    <w:p w:rsidR="006E2C03" w:rsidRDefault="00FD32A9">
      <w:pPr>
        <w:numPr>
          <w:ilvl w:val="0"/>
          <w:numId w:val="41"/>
        </w:numPr>
        <w:spacing w:after="200"/>
        <w:jc w:val="both"/>
        <w:rPr>
          <w:sz w:val="24"/>
          <w:szCs w:val="24"/>
        </w:rPr>
      </w:pPr>
      <w:r>
        <w:rPr>
          <w:sz w:val="24"/>
          <w:szCs w:val="24"/>
        </w:rPr>
        <w:t>Guarantee that public servants—at all levels and br</w:t>
      </w:r>
      <w:r>
        <w:rPr>
          <w:sz w:val="24"/>
          <w:szCs w:val="24"/>
        </w:rPr>
        <w:t>anches of government—incorporate and respect the best interest of children and adolescents and make them prevail in the performance of their duties by securing training for them in human rights and the General Observations issued by the CRC and providing t</w:t>
      </w:r>
      <w:r>
        <w:rPr>
          <w:sz w:val="24"/>
          <w:szCs w:val="24"/>
        </w:rPr>
        <w:t xml:space="preserve">hem with systematic guidance and follow-up in their practices to ensure compliance. </w:t>
      </w:r>
    </w:p>
    <w:p w:rsidR="006E2C03" w:rsidRDefault="00FD32A9">
      <w:pPr>
        <w:numPr>
          <w:ilvl w:val="0"/>
          <w:numId w:val="41"/>
        </w:numPr>
        <w:spacing w:after="200"/>
        <w:jc w:val="both"/>
        <w:rPr>
          <w:sz w:val="24"/>
          <w:szCs w:val="24"/>
        </w:rPr>
      </w:pPr>
      <w:r>
        <w:rPr>
          <w:sz w:val="24"/>
          <w:szCs w:val="24"/>
        </w:rPr>
        <w:t>Guarantee full implementation of the Social Protection System</w:t>
      </w:r>
      <w:r>
        <w:rPr>
          <w:sz w:val="24"/>
          <w:szCs w:val="24"/>
          <w:vertAlign w:val="superscript"/>
        </w:rPr>
        <w:footnoteReference w:id="28"/>
      </w:r>
      <w:r>
        <w:rPr>
          <w:sz w:val="24"/>
          <w:szCs w:val="24"/>
        </w:rPr>
        <w:t xml:space="preserve"> and that priority is granted to children and adolescents and their families who are in conditions of greater</w:t>
      </w:r>
      <w:r>
        <w:rPr>
          <w:sz w:val="24"/>
          <w:szCs w:val="24"/>
        </w:rPr>
        <w:t xml:space="preserve"> social and economic vulnerability, including people with disabilities and indigenous peoples. </w:t>
      </w:r>
    </w:p>
    <w:p w:rsidR="006E2C03" w:rsidRDefault="00FD32A9">
      <w:pPr>
        <w:numPr>
          <w:ilvl w:val="0"/>
          <w:numId w:val="41"/>
        </w:numPr>
        <w:spacing w:after="200"/>
        <w:jc w:val="both"/>
        <w:rPr>
          <w:sz w:val="24"/>
          <w:szCs w:val="24"/>
        </w:rPr>
      </w:pPr>
      <w:r>
        <w:rPr>
          <w:sz w:val="24"/>
          <w:szCs w:val="24"/>
        </w:rPr>
        <w:t xml:space="preserve">Strengthen anti-poverty and conditional cash transfer programs by evaluating them and adjusting their methodologies based on children’s best interest. </w:t>
      </w:r>
    </w:p>
    <w:p w:rsidR="006E2C03" w:rsidRDefault="00FD32A9">
      <w:pPr>
        <w:numPr>
          <w:ilvl w:val="0"/>
          <w:numId w:val="41"/>
        </w:numPr>
        <w:spacing w:after="200"/>
        <w:jc w:val="both"/>
        <w:rPr>
          <w:sz w:val="24"/>
          <w:szCs w:val="24"/>
        </w:rPr>
      </w:pPr>
      <w:r>
        <w:rPr>
          <w:sz w:val="24"/>
          <w:szCs w:val="24"/>
        </w:rPr>
        <w:t>Create a</w:t>
      </w:r>
      <w:r>
        <w:rPr>
          <w:sz w:val="24"/>
          <w:szCs w:val="24"/>
        </w:rPr>
        <w:t xml:space="preserve"> centre for the search and locating of missing persons, with special attention for children and adolescents that is coordinated by the National Police and has sufficient resources to work throughout the national territory; incorporate this issue into the N</w:t>
      </w:r>
      <w:r>
        <w:rPr>
          <w:sz w:val="24"/>
          <w:szCs w:val="24"/>
        </w:rPr>
        <w:t xml:space="preserve">ational Plan for Citizen Security, and adjust legal and administrative procedures to guarantee the lives of children and adolescents. </w:t>
      </w:r>
    </w:p>
    <w:p w:rsidR="006E2C03" w:rsidRDefault="00FD32A9">
      <w:pPr>
        <w:numPr>
          <w:ilvl w:val="0"/>
          <w:numId w:val="41"/>
        </w:numPr>
        <w:spacing w:after="200"/>
        <w:jc w:val="both"/>
        <w:rPr>
          <w:sz w:val="24"/>
          <w:szCs w:val="24"/>
        </w:rPr>
      </w:pPr>
      <w:r>
        <w:rPr>
          <w:sz w:val="24"/>
          <w:szCs w:val="24"/>
        </w:rPr>
        <w:t>Respect the opinions of children and adolescents according to the guidelines of General Comment No. 12 on the right of th</w:t>
      </w:r>
      <w:r>
        <w:rPr>
          <w:sz w:val="24"/>
          <w:szCs w:val="24"/>
        </w:rPr>
        <w:t>e child to be heard, avoiding censorship in all settings, especially in the areas of education, health and formal participation.</w:t>
      </w:r>
    </w:p>
    <w:p w:rsidR="006E2C03" w:rsidRDefault="00FD32A9">
      <w:pPr>
        <w:numPr>
          <w:ilvl w:val="0"/>
          <w:numId w:val="21"/>
        </w:numPr>
        <w:spacing w:after="200"/>
        <w:rPr>
          <w:sz w:val="24"/>
          <w:szCs w:val="24"/>
        </w:rPr>
      </w:pPr>
      <w:r>
        <w:rPr>
          <w:b/>
          <w:sz w:val="24"/>
          <w:szCs w:val="24"/>
        </w:rPr>
        <w:t>Rights and Civil Liberties</w:t>
      </w:r>
    </w:p>
    <w:p w:rsidR="006E2C03" w:rsidRDefault="00FD32A9">
      <w:pPr>
        <w:numPr>
          <w:ilvl w:val="0"/>
          <w:numId w:val="43"/>
        </w:numPr>
        <w:spacing w:after="200"/>
        <w:rPr>
          <w:b/>
          <w:sz w:val="24"/>
          <w:szCs w:val="24"/>
        </w:rPr>
      </w:pPr>
      <w:r>
        <w:rPr>
          <w:b/>
          <w:sz w:val="24"/>
          <w:szCs w:val="24"/>
        </w:rPr>
        <w:t xml:space="preserve">Birth Records </w:t>
      </w:r>
    </w:p>
    <w:p w:rsidR="006E2C03" w:rsidRDefault="00FD32A9">
      <w:pPr>
        <w:numPr>
          <w:ilvl w:val="0"/>
          <w:numId w:val="41"/>
        </w:numPr>
        <w:spacing w:after="200"/>
        <w:jc w:val="both"/>
        <w:rPr>
          <w:sz w:val="24"/>
          <w:szCs w:val="24"/>
        </w:rPr>
      </w:pPr>
      <w:r>
        <w:rPr>
          <w:sz w:val="24"/>
          <w:szCs w:val="24"/>
        </w:rPr>
        <w:t>Of the births in 2021, only 70.5% were recorded in the civil registry that same year,</w:t>
      </w:r>
      <w:r>
        <w:rPr>
          <w:sz w:val="24"/>
          <w:szCs w:val="24"/>
          <w:vertAlign w:val="superscript"/>
        </w:rPr>
        <w:footnoteReference w:id="29"/>
      </w:r>
      <w:r>
        <w:rPr>
          <w:sz w:val="24"/>
          <w:szCs w:val="24"/>
        </w:rPr>
        <w:t xml:space="preserve"> and this figure was worse in rural areas and indigenous communities since these populations do not have direct access to the civil registry at the time of birth and must go elsewhere in order to carry out this procedure. Among indigenous peoples, 55.5% o</w:t>
      </w:r>
      <w:r>
        <w:rPr>
          <w:sz w:val="24"/>
          <w:szCs w:val="24"/>
        </w:rPr>
        <w:t>f children and adolescents did not have a birth certificate and had not registered their birth.</w:t>
      </w:r>
      <w:r>
        <w:rPr>
          <w:sz w:val="24"/>
          <w:szCs w:val="24"/>
          <w:vertAlign w:val="superscript"/>
        </w:rPr>
        <w:footnoteReference w:id="30"/>
      </w:r>
      <w:r>
        <w:rPr>
          <w:sz w:val="24"/>
          <w:szCs w:val="24"/>
        </w:rPr>
        <w:t xml:space="preserve"> This demonstrates the deficiencies of the country’s civil registry and identification system.</w:t>
      </w:r>
    </w:p>
    <w:p w:rsidR="006E2C03" w:rsidRDefault="00FD32A9">
      <w:pPr>
        <w:pStyle w:val="Heading3"/>
        <w:numPr>
          <w:ilvl w:val="0"/>
          <w:numId w:val="57"/>
        </w:numPr>
        <w:jc w:val="both"/>
        <w:rPr>
          <w:i w:val="0"/>
        </w:rPr>
      </w:pPr>
      <w:bookmarkStart w:id="9" w:name="_heading=h.1t3h5sf" w:colFirst="0" w:colLast="0"/>
      <w:bookmarkEnd w:id="9"/>
      <w:r>
        <w:rPr>
          <w:i w:val="0"/>
        </w:rPr>
        <w:t>Torture and Other Cruel, Inhuman or Degrading Treatment or Punish</w:t>
      </w:r>
      <w:r>
        <w:rPr>
          <w:i w:val="0"/>
        </w:rPr>
        <w:t>ment</w:t>
      </w:r>
    </w:p>
    <w:p w:rsidR="006E2C03" w:rsidRDefault="00FD32A9">
      <w:pPr>
        <w:numPr>
          <w:ilvl w:val="0"/>
          <w:numId w:val="41"/>
        </w:numPr>
        <w:spacing w:after="200"/>
        <w:jc w:val="both"/>
        <w:rPr>
          <w:sz w:val="24"/>
          <w:szCs w:val="24"/>
        </w:rPr>
      </w:pPr>
      <w:r>
        <w:rPr>
          <w:sz w:val="24"/>
          <w:szCs w:val="24"/>
        </w:rPr>
        <w:t>The creation of the National Mechanism for the Prevention of Torture (MNP, for its Spanish initials)</w:t>
      </w:r>
      <w:r>
        <w:rPr>
          <w:sz w:val="24"/>
          <w:szCs w:val="24"/>
          <w:vertAlign w:val="superscript"/>
        </w:rPr>
        <w:footnoteReference w:id="31"/>
      </w:r>
      <w:r>
        <w:rPr>
          <w:sz w:val="24"/>
          <w:szCs w:val="24"/>
        </w:rPr>
        <w:t xml:space="preserve"> is noteworthy; however, the recommendations made to institutions have not been implemented as concrete actions to prevent and eradicate these calamit</w:t>
      </w:r>
      <w:r>
        <w:rPr>
          <w:sz w:val="24"/>
          <w:szCs w:val="24"/>
        </w:rPr>
        <w:t>ies. A high percentage of adolescents in conflict with the law have stated that they were beaten and mistreated at the time of arrest, relocation, at police stations and/or at educational centres.</w:t>
      </w:r>
      <w:r>
        <w:rPr>
          <w:sz w:val="24"/>
          <w:szCs w:val="24"/>
          <w:vertAlign w:val="superscript"/>
        </w:rPr>
        <w:footnoteReference w:id="32"/>
      </w:r>
      <w:r>
        <w:rPr>
          <w:sz w:val="24"/>
          <w:szCs w:val="24"/>
        </w:rPr>
        <w:t xml:space="preserve"> Moreover, there are no safe, confidential and accessible mechanisms for making complaints.</w:t>
      </w:r>
    </w:p>
    <w:p w:rsidR="006E2C03" w:rsidRDefault="00FD32A9">
      <w:pPr>
        <w:pStyle w:val="Heading3"/>
        <w:numPr>
          <w:ilvl w:val="0"/>
          <w:numId w:val="5"/>
        </w:numPr>
        <w:jc w:val="both"/>
        <w:rPr>
          <w:i w:val="0"/>
        </w:rPr>
      </w:pPr>
      <w:bookmarkStart w:id="10" w:name="_heading=h.4d34og8" w:colFirst="0" w:colLast="0"/>
      <w:bookmarkEnd w:id="10"/>
      <w:r>
        <w:rPr>
          <w:i w:val="0"/>
        </w:rPr>
        <w:t xml:space="preserve">Corporal Punishment  </w:t>
      </w:r>
    </w:p>
    <w:p w:rsidR="006E2C03" w:rsidRDefault="00FD32A9">
      <w:pPr>
        <w:numPr>
          <w:ilvl w:val="0"/>
          <w:numId w:val="41"/>
        </w:numPr>
        <w:spacing w:after="200"/>
        <w:jc w:val="both"/>
        <w:rPr>
          <w:sz w:val="24"/>
          <w:szCs w:val="24"/>
        </w:rPr>
      </w:pPr>
      <w:r>
        <w:rPr>
          <w:sz w:val="24"/>
          <w:szCs w:val="24"/>
        </w:rPr>
        <w:t>An important step was the approval of Law No. 5659/2016 on proper treatment and the prohibition of physical punishment and humiliating treatme</w:t>
      </w:r>
      <w:r>
        <w:rPr>
          <w:sz w:val="24"/>
          <w:szCs w:val="24"/>
        </w:rPr>
        <w:t>nt.</w:t>
      </w:r>
      <w:r>
        <w:rPr>
          <w:sz w:val="24"/>
          <w:szCs w:val="24"/>
          <w:vertAlign w:val="superscript"/>
        </w:rPr>
        <w:footnoteReference w:id="33"/>
      </w:r>
      <w:r>
        <w:rPr>
          <w:sz w:val="24"/>
          <w:szCs w:val="24"/>
        </w:rPr>
        <w:t xml:space="preserve">  In its report, the State indicated that it was developing a comprehensive public policy to promote positive parenting, which has existed since 2017 but has not been implemented nor granted resources. High percentages of corporal punishment continue t</w:t>
      </w:r>
      <w:r>
        <w:rPr>
          <w:sz w:val="24"/>
          <w:szCs w:val="24"/>
        </w:rPr>
        <w:t>o be registered. Many families continue to see it as the only way to raise children; therefore, violence continues to be normalized within families and among all social classes, and it is justified within the society.</w:t>
      </w:r>
    </w:p>
    <w:p w:rsidR="006E2C03" w:rsidRDefault="00FD32A9">
      <w:pPr>
        <w:spacing w:after="200"/>
        <w:jc w:val="both"/>
        <w:rPr>
          <w:b/>
          <w:sz w:val="24"/>
          <w:szCs w:val="24"/>
        </w:rPr>
      </w:pPr>
      <w:r>
        <w:rPr>
          <w:b/>
          <w:sz w:val="24"/>
          <w:szCs w:val="24"/>
        </w:rPr>
        <w:t xml:space="preserve">Recommendations: </w:t>
      </w:r>
    </w:p>
    <w:p w:rsidR="006E2C03" w:rsidRDefault="00FD32A9">
      <w:pPr>
        <w:numPr>
          <w:ilvl w:val="0"/>
          <w:numId w:val="41"/>
        </w:numPr>
        <w:spacing w:after="200"/>
        <w:jc w:val="both"/>
        <w:rPr>
          <w:sz w:val="24"/>
          <w:szCs w:val="24"/>
        </w:rPr>
      </w:pPr>
      <w:r>
        <w:rPr>
          <w:sz w:val="24"/>
          <w:szCs w:val="24"/>
        </w:rPr>
        <w:t>Form an inter-instit</w:t>
      </w:r>
      <w:r>
        <w:rPr>
          <w:sz w:val="24"/>
          <w:szCs w:val="24"/>
        </w:rPr>
        <w:t>utional partnership between the Ministry of Public Health, the Civil Registry and the Department of Identifications in order to guarantee a legal, immediate, free and timely system through which new-borns leave the health system with their birth certificat</w:t>
      </w:r>
      <w:r>
        <w:rPr>
          <w:sz w:val="24"/>
          <w:szCs w:val="24"/>
        </w:rPr>
        <w:t>e and identity card, thus ensuring this right and avoiding unnecessary bureaucracy and expenses for families.</w:t>
      </w:r>
    </w:p>
    <w:p w:rsidR="006E2C03" w:rsidRDefault="00FD32A9">
      <w:pPr>
        <w:numPr>
          <w:ilvl w:val="0"/>
          <w:numId w:val="41"/>
        </w:numPr>
        <w:spacing w:after="200"/>
        <w:jc w:val="both"/>
        <w:rPr>
          <w:sz w:val="24"/>
          <w:szCs w:val="24"/>
        </w:rPr>
      </w:pPr>
      <w:r>
        <w:rPr>
          <w:sz w:val="24"/>
          <w:szCs w:val="24"/>
        </w:rPr>
        <w:t>That public institutions adopt the MNP recommendations with the seriousness and diligence required to reduce and eradicate mistreatment and tortur</w:t>
      </w:r>
      <w:r>
        <w:rPr>
          <w:sz w:val="24"/>
          <w:szCs w:val="24"/>
        </w:rPr>
        <w:t xml:space="preserve">e of adolescents in conflict with the law. </w:t>
      </w:r>
    </w:p>
    <w:p w:rsidR="006E2C03" w:rsidRDefault="00FD32A9">
      <w:pPr>
        <w:numPr>
          <w:ilvl w:val="0"/>
          <w:numId w:val="41"/>
        </w:numPr>
        <w:spacing w:after="200"/>
        <w:jc w:val="both"/>
        <w:rPr>
          <w:sz w:val="24"/>
          <w:szCs w:val="24"/>
        </w:rPr>
      </w:pPr>
      <w:r>
        <w:rPr>
          <w:sz w:val="24"/>
          <w:szCs w:val="24"/>
        </w:rPr>
        <w:t>Provide the MNP with sufficient budget to fulfil its institutional mandate. In addition, establish a secure, confidential and accessible complaint mechanism for all victims.</w:t>
      </w:r>
    </w:p>
    <w:p w:rsidR="006E2C03" w:rsidRDefault="00FD32A9">
      <w:pPr>
        <w:numPr>
          <w:ilvl w:val="0"/>
          <w:numId w:val="41"/>
        </w:numPr>
        <w:pBdr>
          <w:top w:val="nil"/>
          <w:left w:val="nil"/>
          <w:bottom w:val="nil"/>
          <w:right w:val="nil"/>
          <w:between w:val="nil"/>
        </w:pBdr>
        <w:spacing w:after="200"/>
        <w:jc w:val="both"/>
        <w:rPr>
          <w:sz w:val="24"/>
          <w:szCs w:val="24"/>
        </w:rPr>
      </w:pPr>
      <w:r>
        <w:rPr>
          <w:sz w:val="24"/>
          <w:szCs w:val="24"/>
        </w:rPr>
        <w:t xml:space="preserve">Incorporate technical team training in the Health System and the Educational System in order to support families in the territory with the positive upbringing of children and adolescents and to detect, prevent and address situations of abuse and violence. </w:t>
      </w:r>
    </w:p>
    <w:p w:rsidR="006E2C03" w:rsidRDefault="00FD32A9">
      <w:pPr>
        <w:pStyle w:val="Heading2"/>
        <w:numPr>
          <w:ilvl w:val="0"/>
          <w:numId w:val="21"/>
        </w:numPr>
        <w:jc w:val="both"/>
      </w:pPr>
      <w:bookmarkStart w:id="11" w:name="_heading=h.2s8eyo1" w:colFirst="0" w:colLast="0"/>
      <w:bookmarkEnd w:id="11"/>
      <w:r>
        <w:t>Family Environment and Alternative Care (Articles 5, 18 [paras. 1 and 2], 9–11, 19–21, 25, 27 [para. 4] and 39 of the Convention)</w:t>
      </w:r>
    </w:p>
    <w:p w:rsidR="006E2C03" w:rsidRDefault="00FD32A9">
      <w:pPr>
        <w:pStyle w:val="Heading3"/>
        <w:numPr>
          <w:ilvl w:val="0"/>
          <w:numId w:val="47"/>
        </w:numPr>
        <w:jc w:val="both"/>
        <w:rPr>
          <w:i w:val="0"/>
        </w:rPr>
      </w:pPr>
      <w:bookmarkStart w:id="12" w:name="_heading=h.17dp8vu" w:colFirst="0" w:colLast="0"/>
      <w:bookmarkEnd w:id="12"/>
      <w:r>
        <w:rPr>
          <w:i w:val="0"/>
        </w:rPr>
        <w:t>Family Environment, Alternative Care and Adoption</w:t>
      </w:r>
    </w:p>
    <w:p w:rsidR="006E2C03" w:rsidRDefault="00FD32A9">
      <w:pPr>
        <w:numPr>
          <w:ilvl w:val="0"/>
          <w:numId w:val="41"/>
        </w:numPr>
        <w:spacing w:after="200"/>
        <w:jc w:val="both"/>
        <w:rPr>
          <w:sz w:val="24"/>
          <w:szCs w:val="24"/>
        </w:rPr>
      </w:pPr>
      <w:r>
        <w:rPr>
          <w:sz w:val="24"/>
          <w:szCs w:val="24"/>
        </w:rPr>
        <w:t>There is a new law (No. 6486/2020) on the Promotion and Protection of the R</w:t>
      </w:r>
      <w:r>
        <w:rPr>
          <w:sz w:val="24"/>
          <w:szCs w:val="24"/>
        </w:rPr>
        <w:t>ight of Children and Adolescents to Live in a Family, which Regulates the Measures for Alternative Care and Adoption.</w:t>
      </w:r>
      <w:r>
        <w:rPr>
          <w:sz w:val="24"/>
          <w:szCs w:val="24"/>
          <w:vertAlign w:val="superscript"/>
        </w:rPr>
        <w:footnoteReference w:id="34"/>
      </w:r>
      <w:r>
        <w:rPr>
          <w:sz w:val="24"/>
          <w:szCs w:val="24"/>
        </w:rPr>
        <w:t xml:space="preserve"> However, it is not effectively applied due to a lack of resources, which makes it impossible to form interdisciplinary teams to ensure th</w:t>
      </w:r>
      <w:r>
        <w:rPr>
          <w:sz w:val="24"/>
          <w:szCs w:val="24"/>
        </w:rPr>
        <w:t>e law’s application.</w:t>
      </w:r>
    </w:p>
    <w:p w:rsidR="006E2C03" w:rsidRDefault="00FD32A9">
      <w:pPr>
        <w:numPr>
          <w:ilvl w:val="0"/>
          <w:numId w:val="17"/>
        </w:numPr>
        <w:spacing w:after="200"/>
        <w:jc w:val="both"/>
        <w:rPr>
          <w:b/>
          <w:sz w:val="24"/>
          <w:szCs w:val="24"/>
        </w:rPr>
      </w:pPr>
      <w:r>
        <w:rPr>
          <w:b/>
          <w:sz w:val="24"/>
          <w:szCs w:val="24"/>
        </w:rPr>
        <w:t>Abuse and Neglect</w:t>
      </w:r>
    </w:p>
    <w:p w:rsidR="006E2C03" w:rsidRDefault="00FD32A9">
      <w:pPr>
        <w:pStyle w:val="Heading3"/>
        <w:numPr>
          <w:ilvl w:val="0"/>
          <w:numId w:val="41"/>
        </w:numPr>
        <w:jc w:val="both"/>
        <w:rPr>
          <w:i w:val="0"/>
        </w:rPr>
      </w:pPr>
      <w:bookmarkStart w:id="13" w:name="_heading=h.3rdcrjn" w:colFirst="0" w:colLast="0"/>
      <w:bookmarkEnd w:id="13"/>
      <w:r>
        <w:rPr>
          <w:b w:val="0"/>
          <w:i w:val="0"/>
        </w:rPr>
        <w:t>There has been an increase in reports of abuse, but there is still low coverage in terms of timely care and a comprehensive approach. The Public Prosecutor’s Office has reported 39,323 punishable acts against children</w:t>
      </w:r>
      <w:r>
        <w:rPr>
          <w:b w:val="0"/>
          <w:i w:val="0"/>
        </w:rPr>
        <w:t xml:space="preserve"> and adolescents between 2008 and 2019, of which 25% are for mistreatment.</w:t>
      </w:r>
      <w:r>
        <w:rPr>
          <w:b w:val="0"/>
          <w:i w:val="0"/>
          <w:vertAlign w:val="superscript"/>
        </w:rPr>
        <w:footnoteReference w:id="35"/>
      </w:r>
      <w:r>
        <w:rPr>
          <w:b w:val="0"/>
          <w:i w:val="0"/>
        </w:rPr>
        <w:t xml:space="preserve"> This situation worsened during the pandemic. In 2020, through Fono Ayuda (147), MINNA received 3,809 reports of abuse and 1,313 of violations of the duty of care or negligence towa</w:t>
      </w:r>
      <w:r>
        <w:rPr>
          <w:b w:val="0"/>
          <w:i w:val="0"/>
        </w:rPr>
        <w:t>rds children and adolescents.</w:t>
      </w:r>
      <w:r>
        <w:rPr>
          <w:b w:val="0"/>
          <w:i w:val="0"/>
          <w:vertAlign w:val="superscript"/>
        </w:rPr>
        <w:footnoteReference w:id="36"/>
      </w:r>
      <w:r>
        <w:rPr>
          <w:b w:val="0"/>
          <w:i w:val="0"/>
        </w:rPr>
        <w:t xml:space="preserve"> These data are not cross-referenced between institutions, which makes it hard to provide adequate follow-up.</w:t>
      </w:r>
    </w:p>
    <w:p w:rsidR="006E2C03" w:rsidRDefault="00FD32A9">
      <w:pPr>
        <w:pStyle w:val="Heading3"/>
        <w:jc w:val="both"/>
      </w:pPr>
      <w:bookmarkStart w:id="14" w:name="_heading=h.26in1rg" w:colFirst="0" w:colLast="0"/>
      <w:bookmarkEnd w:id="14"/>
      <w:r>
        <w:t xml:space="preserve">Recommendations: </w:t>
      </w:r>
    </w:p>
    <w:p w:rsidR="006E2C03" w:rsidRDefault="00FD32A9">
      <w:pPr>
        <w:numPr>
          <w:ilvl w:val="0"/>
          <w:numId w:val="41"/>
        </w:numPr>
        <w:spacing w:after="200"/>
        <w:jc w:val="both"/>
        <w:rPr>
          <w:sz w:val="24"/>
          <w:szCs w:val="24"/>
        </w:rPr>
      </w:pPr>
      <w:r>
        <w:rPr>
          <w:sz w:val="24"/>
          <w:szCs w:val="24"/>
        </w:rPr>
        <w:t xml:space="preserve">That the Ministry of Finance provide the MINNA with the necessary budget to exercise an effective </w:t>
      </w:r>
      <w:r>
        <w:rPr>
          <w:sz w:val="24"/>
          <w:szCs w:val="24"/>
        </w:rPr>
        <w:t>governing of public policies for alternative care and to implement Law No. 6486/2020.</w:t>
      </w:r>
    </w:p>
    <w:p w:rsidR="006E2C03" w:rsidRDefault="00FD32A9">
      <w:pPr>
        <w:numPr>
          <w:ilvl w:val="0"/>
          <w:numId w:val="41"/>
        </w:numPr>
        <w:spacing w:after="200"/>
        <w:jc w:val="both"/>
        <w:rPr>
          <w:sz w:val="24"/>
          <w:szCs w:val="24"/>
        </w:rPr>
      </w:pPr>
      <w:r>
        <w:rPr>
          <w:sz w:val="24"/>
          <w:szCs w:val="24"/>
        </w:rPr>
        <w:t>Set up decentralized, interdisciplinary Alternative Care and Adoption teams within MINNA to provide the guarantees established in the law on maintaining bonds, alternativ</w:t>
      </w:r>
      <w:r>
        <w:rPr>
          <w:sz w:val="24"/>
          <w:szCs w:val="24"/>
        </w:rPr>
        <w:t xml:space="preserve">e care and adoption. </w:t>
      </w:r>
    </w:p>
    <w:p w:rsidR="006E2C03" w:rsidRDefault="00FD32A9">
      <w:pPr>
        <w:numPr>
          <w:ilvl w:val="0"/>
          <w:numId w:val="41"/>
        </w:numPr>
        <w:spacing w:after="200"/>
        <w:jc w:val="both"/>
        <w:rPr>
          <w:sz w:val="24"/>
          <w:szCs w:val="24"/>
        </w:rPr>
      </w:pPr>
      <w:r>
        <w:rPr>
          <w:sz w:val="24"/>
          <w:szCs w:val="24"/>
        </w:rPr>
        <w:t>That the municipalities in charge of the Codenis take on an active role in promoting rights and preventing violent situations, such as abuse and neglect in care, and that they designate the necessary human and budgetary resources to f</w:t>
      </w:r>
      <w:r>
        <w:rPr>
          <w:sz w:val="24"/>
          <w:szCs w:val="24"/>
        </w:rPr>
        <w:t>orm interdisciplinary teams.</w:t>
      </w:r>
    </w:p>
    <w:p w:rsidR="006E2C03" w:rsidRDefault="00FD32A9">
      <w:pPr>
        <w:numPr>
          <w:ilvl w:val="0"/>
          <w:numId w:val="21"/>
        </w:numPr>
        <w:spacing w:after="200"/>
        <w:rPr>
          <w:sz w:val="24"/>
          <w:szCs w:val="24"/>
        </w:rPr>
      </w:pPr>
      <w:r>
        <w:rPr>
          <w:b/>
          <w:sz w:val="24"/>
          <w:szCs w:val="24"/>
        </w:rPr>
        <w:t>Basic Health and Well-Being (Articles 6, 18 [para. 3], 23, 24, 26 and 27 [paras. 1–3] of the Convention)</w:t>
      </w:r>
    </w:p>
    <w:p w:rsidR="006E2C03" w:rsidRDefault="00FD32A9">
      <w:pPr>
        <w:numPr>
          <w:ilvl w:val="0"/>
          <w:numId w:val="35"/>
        </w:numPr>
        <w:spacing w:after="200"/>
        <w:jc w:val="both"/>
        <w:rPr>
          <w:b/>
          <w:sz w:val="24"/>
          <w:szCs w:val="24"/>
        </w:rPr>
      </w:pPr>
      <w:r>
        <w:rPr>
          <w:b/>
          <w:sz w:val="24"/>
          <w:szCs w:val="24"/>
        </w:rPr>
        <w:t>Children with Disabilities</w:t>
      </w:r>
      <w:r>
        <w:rPr>
          <w:b/>
          <w:sz w:val="24"/>
          <w:szCs w:val="24"/>
        </w:rPr>
        <w:tab/>
      </w:r>
      <w:r>
        <w:rPr>
          <w:b/>
          <w:sz w:val="24"/>
          <w:szCs w:val="24"/>
        </w:rPr>
        <w:tab/>
      </w:r>
    </w:p>
    <w:p w:rsidR="006E2C03" w:rsidRDefault="00FD32A9">
      <w:pPr>
        <w:numPr>
          <w:ilvl w:val="0"/>
          <w:numId w:val="41"/>
        </w:numPr>
        <w:spacing w:after="200"/>
        <w:jc w:val="both"/>
        <w:rPr>
          <w:sz w:val="24"/>
          <w:szCs w:val="24"/>
        </w:rPr>
      </w:pPr>
      <w:r>
        <w:rPr>
          <w:sz w:val="24"/>
          <w:szCs w:val="24"/>
        </w:rPr>
        <w:t>While the significant progress in terms of legislation for the inclusion of persons with disa</w:t>
      </w:r>
      <w:r>
        <w:rPr>
          <w:sz w:val="24"/>
          <w:szCs w:val="24"/>
        </w:rPr>
        <w:t>bilities is recognized, it has not led to public policies that comprehensively address the needs and rights of accessibility, mobility, health, education, employment and access to justice. There are also great challenges in coordinating and mainstreaming e</w:t>
      </w:r>
      <w:r>
        <w:rPr>
          <w:sz w:val="24"/>
          <w:szCs w:val="24"/>
        </w:rPr>
        <w:t>fforts, and also for implementing and financing these issues in the State.</w:t>
      </w:r>
    </w:p>
    <w:p w:rsidR="006E2C03" w:rsidRDefault="00FD32A9">
      <w:pPr>
        <w:numPr>
          <w:ilvl w:val="0"/>
          <w:numId w:val="41"/>
        </w:numPr>
        <w:spacing w:after="200"/>
        <w:jc w:val="both"/>
        <w:rPr>
          <w:sz w:val="24"/>
          <w:szCs w:val="24"/>
        </w:rPr>
      </w:pPr>
      <w:r>
        <w:rPr>
          <w:sz w:val="24"/>
          <w:szCs w:val="24"/>
        </w:rPr>
        <w:t>The National Secretariat for the Human Rights of Persons with Disabilities (SENADIS, for its Spanish initials) has limited resources for assistance; most responses come from civil s</w:t>
      </w:r>
      <w:r>
        <w:rPr>
          <w:sz w:val="24"/>
          <w:szCs w:val="24"/>
        </w:rPr>
        <w:t>ociety. There is an Inclusive Education Law, which has been approved and regulated, but it does not have a budget to be implemented throughout the Educational System.</w:t>
      </w:r>
      <w:r>
        <w:rPr>
          <w:sz w:val="24"/>
          <w:szCs w:val="24"/>
          <w:vertAlign w:val="superscript"/>
        </w:rPr>
        <w:footnoteReference w:id="37"/>
      </w:r>
      <w:r>
        <w:rPr>
          <w:sz w:val="24"/>
          <w:szCs w:val="24"/>
        </w:rPr>
        <w:t xml:space="preserve">  There is no data to identify the exact number of children and adolescents with disabili</w:t>
      </w:r>
      <w:r>
        <w:rPr>
          <w:sz w:val="24"/>
          <w:szCs w:val="24"/>
        </w:rPr>
        <w:t>ties in Paraguay.</w:t>
      </w:r>
      <w:r>
        <w:rPr>
          <w:sz w:val="24"/>
          <w:szCs w:val="24"/>
          <w:vertAlign w:val="superscript"/>
        </w:rPr>
        <w:footnoteReference w:id="38"/>
      </w:r>
      <w:r>
        <w:rPr>
          <w:sz w:val="24"/>
          <w:szCs w:val="24"/>
        </w:rPr>
        <w:t xml:space="preserve">  </w:t>
      </w:r>
    </w:p>
    <w:p w:rsidR="006E2C03" w:rsidRDefault="00FD32A9">
      <w:pPr>
        <w:numPr>
          <w:ilvl w:val="0"/>
          <w:numId w:val="62"/>
        </w:numPr>
        <w:spacing w:after="200"/>
        <w:jc w:val="both"/>
        <w:rPr>
          <w:b/>
          <w:sz w:val="24"/>
          <w:szCs w:val="24"/>
        </w:rPr>
      </w:pPr>
      <w:r>
        <w:rPr>
          <w:b/>
          <w:sz w:val="24"/>
          <w:szCs w:val="24"/>
        </w:rPr>
        <w:t>Health and Health Services</w:t>
      </w:r>
    </w:p>
    <w:p w:rsidR="006E2C03" w:rsidRDefault="00FD32A9">
      <w:pPr>
        <w:numPr>
          <w:ilvl w:val="0"/>
          <w:numId w:val="41"/>
        </w:numPr>
        <w:spacing w:after="200"/>
        <w:jc w:val="both"/>
        <w:rPr>
          <w:sz w:val="24"/>
          <w:szCs w:val="24"/>
        </w:rPr>
      </w:pPr>
      <w:r>
        <w:rPr>
          <w:sz w:val="24"/>
          <w:szCs w:val="24"/>
        </w:rPr>
        <w:t>Access to health care in Paraguay is deficient. According to the 2021 EPHC, of the total number of children and adolescents who had a health issue, only 32.3% consulted with a doctor. This figure is even higher in rural areas and indigenous communities, wh</w:t>
      </w:r>
      <w:r>
        <w:rPr>
          <w:sz w:val="24"/>
          <w:szCs w:val="24"/>
        </w:rPr>
        <w:t>ere there is still a prevalence of self-medication and consultations with traditional healers.</w:t>
      </w:r>
      <w:r>
        <w:rPr>
          <w:sz w:val="24"/>
          <w:szCs w:val="24"/>
          <w:vertAlign w:val="superscript"/>
        </w:rPr>
        <w:footnoteReference w:id="39"/>
      </w:r>
    </w:p>
    <w:p w:rsidR="006E2C03" w:rsidRDefault="00FD32A9">
      <w:pPr>
        <w:numPr>
          <w:ilvl w:val="0"/>
          <w:numId w:val="41"/>
        </w:numPr>
        <w:spacing w:after="200"/>
        <w:jc w:val="both"/>
        <w:rPr>
          <w:sz w:val="24"/>
          <w:szCs w:val="24"/>
        </w:rPr>
      </w:pPr>
      <w:r>
        <w:rPr>
          <w:sz w:val="24"/>
          <w:szCs w:val="24"/>
        </w:rPr>
        <w:t>Following the pandemic, there has still been deficient vaccination coverage, whether due to a lack of availability or to the population’s rejection resulting fr</w:t>
      </w:r>
      <w:r>
        <w:rPr>
          <w:sz w:val="24"/>
          <w:szCs w:val="24"/>
        </w:rPr>
        <w:t>om the circulation of false information against vaccines.</w:t>
      </w:r>
    </w:p>
    <w:p w:rsidR="006E2C03" w:rsidRDefault="00FD32A9">
      <w:pPr>
        <w:numPr>
          <w:ilvl w:val="0"/>
          <w:numId w:val="41"/>
        </w:numPr>
        <w:spacing w:after="200"/>
        <w:jc w:val="both"/>
        <w:rPr>
          <w:sz w:val="24"/>
          <w:szCs w:val="24"/>
        </w:rPr>
      </w:pPr>
      <w:r>
        <w:rPr>
          <w:sz w:val="24"/>
          <w:szCs w:val="24"/>
        </w:rPr>
        <w:t>The State does not have statistical data on the impact pesticides have had on people’s lives.</w:t>
      </w:r>
      <w:r>
        <w:rPr>
          <w:sz w:val="24"/>
          <w:szCs w:val="24"/>
          <w:vertAlign w:val="superscript"/>
        </w:rPr>
        <w:footnoteReference w:id="40"/>
      </w:r>
      <w:r>
        <w:rPr>
          <w:sz w:val="24"/>
          <w:szCs w:val="24"/>
        </w:rPr>
        <w:t xml:space="preserve"> However, the limited existing research bears witness to the negative effects on human health.</w:t>
      </w:r>
      <w:r>
        <w:rPr>
          <w:sz w:val="24"/>
          <w:szCs w:val="24"/>
          <w:vertAlign w:val="superscript"/>
        </w:rPr>
        <w:footnoteReference w:id="41"/>
      </w:r>
      <w:r>
        <w:rPr>
          <w:sz w:val="24"/>
          <w:szCs w:val="24"/>
        </w:rPr>
        <w:t xml:space="preserve"> There ar</w:t>
      </w:r>
      <w:r>
        <w:rPr>
          <w:sz w:val="24"/>
          <w:szCs w:val="24"/>
        </w:rPr>
        <w:t>e territories where there have been deaths,</w:t>
      </w:r>
      <w:r>
        <w:rPr>
          <w:sz w:val="24"/>
          <w:szCs w:val="24"/>
          <w:vertAlign w:val="superscript"/>
        </w:rPr>
        <w:footnoteReference w:id="42"/>
      </w:r>
      <w:r>
        <w:rPr>
          <w:sz w:val="24"/>
          <w:szCs w:val="24"/>
        </w:rPr>
        <w:t xml:space="preserve"> congenital malformations and many types of diseases.</w:t>
      </w:r>
      <w:r>
        <w:rPr>
          <w:sz w:val="24"/>
          <w:szCs w:val="24"/>
          <w:vertAlign w:val="superscript"/>
        </w:rPr>
        <w:footnoteReference w:id="43"/>
      </w:r>
      <w:r>
        <w:rPr>
          <w:sz w:val="24"/>
          <w:szCs w:val="24"/>
        </w:rPr>
        <w:t xml:space="preserve"> </w:t>
      </w:r>
    </w:p>
    <w:p w:rsidR="006E2C03" w:rsidRDefault="00FD32A9">
      <w:pPr>
        <w:numPr>
          <w:ilvl w:val="0"/>
          <w:numId w:val="22"/>
        </w:numPr>
        <w:spacing w:after="200"/>
        <w:jc w:val="both"/>
        <w:rPr>
          <w:b/>
          <w:sz w:val="24"/>
          <w:szCs w:val="24"/>
        </w:rPr>
      </w:pPr>
      <w:r>
        <w:rPr>
          <w:b/>
          <w:sz w:val="24"/>
          <w:szCs w:val="24"/>
        </w:rPr>
        <w:t>Adolescent Health</w:t>
      </w:r>
    </w:p>
    <w:p w:rsidR="006E2C03" w:rsidRDefault="00FD32A9">
      <w:pPr>
        <w:numPr>
          <w:ilvl w:val="0"/>
          <w:numId w:val="41"/>
        </w:numPr>
        <w:spacing w:after="200"/>
        <w:jc w:val="both"/>
        <w:rPr>
          <w:sz w:val="24"/>
          <w:szCs w:val="24"/>
        </w:rPr>
      </w:pPr>
      <w:r>
        <w:rPr>
          <w:sz w:val="24"/>
          <w:szCs w:val="24"/>
        </w:rPr>
        <w:t>The National Adolescent Health Plan expired in 2021; a new plan is pending approval. The Ministry of Health has a Directorate of Comprehensive Health for Children and Adolescents with a program called “Comprehensive and Differentiated Care for Adolescents”</w:t>
      </w:r>
      <w:r>
        <w:rPr>
          <w:sz w:val="24"/>
          <w:szCs w:val="24"/>
        </w:rPr>
        <w:t>. It offers friendly clinics, of limited scope, in department capitals, which do not have a specific budget.</w:t>
      </w:r>
      <w:r>
        <w:rPr>
          <w:sz w:val="24"/>
          <w:szCs w:val="24"/>
          <w:vertAlign w:val="superscript"/>
        </w:rPr>
        <w:footnoteReference w:id="44"/>
      </w:r>
      <w:r>
        <w:rPr>
          <w:sz w:val="24"/>
          <w:szCs w:val="24"/>
        </w:rPr>
        <w:t xml:space="preserve"> Their expansion depends on cooperation.</w:t>
      </w:r>
    </w:p>
    <w:p w:rsidR="006E2C03" w:rsidRDefault="00FD32A9">
      <w:pPr>
        <w:numPr>
          <w:ilvl w:val="0"/>
          <w:numId w:val="41"/>
        </w:numPr>
        <w:spacing w:after="200"/>
        <w:jc w:val="both"/>
        <w:rPr>
          <w:sz w:val="24"/>
          <w:szCs w:val="24"/>
        </w:rPr>
      </w:pPr>
      <w:r>
        <w:rPr>
          <w:sz w:val="24"/>
          <w:szCs w:val="24"/>
        </w:rPr>
        <w:t>In recent years, the increase of STIs, including HIV, indicates the urgency of providing preventive health</w:t>
      </w:r>
      <w:r>
        <w:rPr>
          <w:sz w:val="24"/>
          <w:szCs w:val="24"/>
        </w:rPr>
        <w:t xml:space="preserve"> services for adolescents as well as comprehensive sexual education in the educational system.</w:t>
      </w:r>
    </w:p>
    <w:p w:rsidR="006E2C03" w:rsidRDefault="00FD32A9">
      <w:pPr>
        <w:numPr>
          <w:ilvl w:val="0"/>
          <w:numId w:val="28"/>
        </w:numPr>
        <w:spacing w:after="200"/>
        <w:jc w:val="both"/>
        <w:rPr>
          <w:b/>
          <w:sz w:val="24"/>
          <w:szCs w:val="24"/>
        </w:rPr>
      </w:pPr>
      <w:r>
        <w:rPr>
          <w:b/>
          <w:sz w:val="24"/>
          <w:szCs w:val="24"/>
        </w:rPr>
        <w:t xml:space="preserve">Breastfeeding </w:t>
      </w:r>
    </w:p>
    <w:p w:rsidR="006E2C03" w:rsidRDefault="00FD32A9">
      <w:pPr>
        <w:numPr>
          <w:ilvl w:val="0"/>
          <w:numId w:val="41"/>
        </w:numPr>
        <w:spacing w:after="200"/>
        <w:jc w:val="both"/>
        <w:rPr>
          <w:sz w:val="24"/>
          <w:szCs w:val="24"/>
        </w:rPr>
      </w:pPr>
      <w:r>
        <w:rPr>
          <w:sz w:val="24"/>
          <w:szCs w:val="24"/>
        </w:rPr>
        <w:t>There is a law (No. 5508/2015) on the Promotion and Protection of Maternity and Support for Breastfeeding,</w:t>
      </w:r>
      <w:r>
        <w:rPr>
          <w:sz w:val="24"/>
          <w:szCs w:val="24"/>
          <w:vertAlign w:val="superscript"/>
        </w:rPr>
        <w:footnoteReference w:id="45"/>
      </w:r>
      <w:r>
        <w:rPr>
          <w:sz w:val="24"/>
          <w:szCs w:val="24"/>
        </w:rPr>
        <w:t xml:space="preserve"> which promotes the creation of milk ba</w:t>
      </w:r>
      <w:r>
        <w:rPr>
          <w:sz w:val="24"/>
          <w:szCs w:val="24"/>
        </w:rPr>
        <w:t>nks, breastfeeding rooms and permits for breastfeeding and/or milk pumping, but there is no mechanism to manage compliance. In 2019, a paradigmatic case took place in the Armed Forces when a military career woman was arrested for requesting breastfeeding l</w:t>
      </w:r>
      <w:r>
        <w:rPr>
          <w:sz w:val="24"/>
          <w:szCs w:val="24"/>
        </w:rPr>
        <w:t>eave.</w:t>
      </w:r>
      <w:r>
        <w:rPr>
          <w:sz w:val="24"/>
          <w:szCs w:val="24"/>
          <w:vertAlign w:val="superscript"/>
        </w:rPr>
        <w:footnoteReference w:id="46"/>
      </w:r>
      <w:r>
        <w:rPr>
          <w:sz w:val="24"/>
          <w:szCs w:val="24"/>
        </w:rPr>
        <w:t xml:space="preserve">  Data show that only three out of ten babies under six months old are exclusively breastfed.</w:t>
      </w:r>
      <w:r>
        <w:rPr>
          <w:sz w:val="24"/>
          <w:szCs w:val="24"/>
          <w:vertAlign w:val="superscript"/>
        </w:rPr>
        <w:footnoteReference w:id="47"/>
      </w:r>
      <w:r>
        <w:rPr>
          <w:sz w:val="24"/>
          <w:szCs w:val="24"/>
        </w:rPr>
        <w:t xml:space="preserve"> </w:t>
      </w:r>
    </w:p>
    <w:p w:rsidR="006E2C03" w:rsidRDefault="00FD32A9">
      <w:pPr>
        <w:numPr>
          <w:ilvl w:val="0"/>
          <w:numId w:val="24"/>
        </w:numPr>
        <w:spacing w:after="200"/>
        <w:jc w:val="both"/>
        <w:rPr>
          <w:rFonts w:ascii="Calibri" w:eastAsia="Calibri" w:hAnsi="Calibri" w:cs="Calibri"/>
          <w:sz w:val="24"/>
          <w:szCs w:val="24"/>
        </w:rPr>
      </w:pPr>
      <w:r>
        <w:rPr>
          <w:b/>
          <w:sz w:val="24"/>
          <w:szCs w:val="24"/>
        </w:rPr>
        <w:t>Standard of Living</w:t>
      </w:r>
    </w:p>
    <w:p w:rsidR="006E2C03" w:rsidRDefault="00FD32A9">
      <w:pPr>
        <w:numPr>
          <w:ilvl w:val="0"/>
          <w:numId w:val="41"/>
        </w:numPr>
        <w:spacing w:after="200"/>
        <w:jc w:val="both"/>
        <w:rPr>
          <w:sz w:val="24"/>
          <w:szCs w:val="24"/>
        </w:rPr>
      </w:pPr>
      <w:r>
        <w:rPr>
          <w:sz w:val="24"/>
          <w:szCs w:val="24"/>
        </w:rPr>
        <w:t>In 2020, 60.8% of children and adolescents lived in households without access to quality basic services; for children and adolescents l</w:t>
      </w:r>
      <w:r>
        <w:rPr>
          <w:sz w:val="24"/>
          <w:szCs w:val="24"/>
        </w:rPr>
        <w:t>iving in poverty, the percentage was 79.2%. In 2021, 12.6% of children under age 5 had chronic malnutrition, and 21% were at risk of suffering from it.</w:t>
      </w:r>
      <w:r>
        <w:rPr>
          <w:sz w:val="24"/>
          <w:szCs w:val="24"/>
          <w:vertAlign w:val="superscript"/>
        </w:rPr>
        <w:footnoteReference w:id="48"/>
      </w:r>
      <w:r>
        <w:rPr>
          <w:sz w:val="24"/>
          <w:szCs w:val="24"/>
        </w:rPr>
        <w:t xml:space="preserve"> Moreover,14 deaths were registered of children under age 14 due to malnutrition.</w:t>
      </w:r>
      <w:r>
        <w:rPr>
          <w:sz w:val="24"/>
          <w:szCs w:val="24"/>
          <w:vertAlign w:val="superscript"/>
        </w:rPr>
        <w:footnoteReference w:id="49"/>
      </w:r>
      <w:r>
        <w:rPr>
          <w:sz w:val="24"/>
          <w:szCs w:val="24"/>
        </w:rPr>
        <w:t xml:space="preserve"> Although the Ministry</w:t>
      </w:r>
      <w:r>
        <w:rPr>
          <w:sz w:val="24"/>
          <w:szCs w:val="24"/>
        </w:rPr>
        <w:t xml:space="preserve"> of Health has the Comprehensive Nutritional Food Programme (PANI, for its Spanish initials)</w:t>
      </w:r>
      <w:r>
        <w:rPr>
          <w:sz w:val="24"/>
          <w:szCs w:val="24"/>
          <w:vertAlign w:val="superscript"/>
        </w:rPr>
        <w:footnoteReference w:id="50"/>
      </w:r>
      <w:r>
        <w:rPr>
          <w:sz w:val="24"/>
          <w:szCs w:val="24"/>
        </w:rPr>
        <w:t xml:space="preserve"> established by law,</w:t>
      </w:r>
      <w:r>
        <w:rPr>
          <w:sz w:val="24"/>
          <w:szCs w:val="24"/>
          <w:vertAlign w:val="superscript"/>
        </w:rPr>
        <w:footnoteReference w:id="51"/>
      </w:r>
      <w:r>
        <w:rPr>
          <w:sz w:val="24"/>
          <w:szCs w:val="24"/>
        </w:rPr>
        <w:t xml:space="preserve"> the budget allocated to food security has had an average execution rate of 51%</w:t>
      </w:r>
      <w:r>
        <w:rPr>
          <w:sz w:val="24"/>
          <w:szCs w:val="24"/>
          <w:vertAlign w:val="superscript"/>
        </w:rPr>
        <w:footnoteReference w:id="52"/>
      </w:r>
      <w:r>
        <w:rPr>
          <w:sz w:val="24"/>
          <w:szCs w:val="24"/>
        </w:rPr>
        <w:t xml:space="preserve"> over the past three years, which shows poor management.</w:t>
      </w:r>
    </w:p>
    <w:p w:rsidR="006E2C03" w:rsidRDefault="00FD32A9">
      <w:pPr>
        <w:numPr>
          <w:ilvl w:val="0"/>
          <w:numId w:val="2"/>
        </w:numPr>
        <w:spacing w:after="200"/>
        <w:jc w:val="both"/>
        <w:rPr>
          <w:b/>
          <w:sz w:val="24"/>
          <w:szCs w:val="24"/>
        </w:rPr>
      </w:pPr>
      <w:r>
        <w:rPr>
          <w:b/>
          <w:sz w:val="24"/>
          <w:szCs w:val="24"/>
        </w:rPr>
        <w:t>HIV/A</w:t>
      </w:r>
      <w:r>
        <w:rPr>
          <w:b/>
          <w:sz w:val="24"/>
          <w:szCs w:val="24"/>
        </w:rPr>
        <w:t>IDS</w:t>
      </w:r>
    </w:p>
    <w:p w:rsidR="006E2C03" w:rsidRDefault="00FD32A9">
      <w:pPr>
        <w:numPr>
          <w:ilvl w:val="0"/>
          <w:numId w:val="41"/>
        </w:numPr>
        <w:spacing w:after="200"/>
        <w:jc w:val="both"/>
        <w:rPr>
          <w:sz w:val="24"/>
          <w:szCs w:val="24"/>
        </w:rPr>
      </w:pPr>
      <w:r>
        <w:rPr>
          <w:sz w:val="24"/>
          <w:szCs w:val="24"/>
        </w:rPr>
        <w:t>In Paraguay, from 2017 to 2021, in the age range of 0 to 19, 460 new HIV diagnoses were registered.</w:t>
      </w:r>
      <w:r>
        <w:rPr>
          <w:sz w:val="24"/>
          <w:szCs w:val="24"/>
          <w:vertAlign w:val="superscript"/>
        </w:rPr>
        <w:footnoteReference w:id="53"/>
      </w:r>
      <w:r>
        <w:rPr>
          <w:sz w:val="24"/>
          <w:szCs w:val="24"/>
        </w:rPr>
        <w:t xml:space="preserve"> Access to a diagnosis and treatment in rural areas is null; addressing HIV has not been incorporated into comprehensive and preventive health. Stigmas </w:t>
      </w:r>
      <w:r>
        <w:rPr>
          <w:sz w:val="24"/>
          <w:szCs w:val="24"/>
        </w:rPr>
        <w:t>and discrimination continue to be bred due to the lack of awareness to prevent HIV/AIDS, and for not providing scientific, quality and secular information</w:t>
      </w:r>
      <w:r>
        <w:rPr>
          <w:sz w:val="24"/>
          <w:szCs w:val="24"/>
          <w:vertAlign w:val="superscript"/>
        </w:rPr>
        <w:footnoteReference w:id="54"/>
      </w:r>
      <w:r>
        <w:rPr>
          <w:sz w:val="24"/>
          <w:szCs w:val="24"/>
        </w:rPr>
        <w:t xml:space="preserve">   according to age.</w:t>
      </w:r>
    </w:p>
    <w:p w:rsidR="006E2C03" w:rsidRDefault="00FD32A9">
      <w:pPr>
        <w:spacing w:after="200"/>
        <w:ind w:right="145"/>
        <w:jc w:val="both"/>
        <w:rPr>
          <w:b/>
          <w:sz w:val="24"/>
          <w:szCs w:val="24"/>
        </w:rPr>
      </w:pPr>
      <w:r>
        <w:rPr>
          <w:b/>
          <w:sz w:val="24"/>
          <w:szCs w:val="24"/>
        </w:rPr>
        <w:t>Recommendations:</w:t>
      </w:r>
    </w:p>
    <w:p w:rsidR="006E2C03" w:rsidRDefault="00FD32A9">
      <w:pPr>
        <w:numPr>
          <w:ilvl w:val="0"/>
          <w:numId w:val="41"/>
        </w:numPr>
        <w:spacing w:after="200"/>
        <w:jc w:val="both"/>
        <w:rPr>
          <w:sz w:val="24"/>
          <w:szCs w:val="24"/>
        </w:rPr>
      </w:pPr>
      <w:r>
        <w:rPr>
          <w:sz w:val="24"/>
          <w:szCs w:val="24"/>
        </w:rPr>
        <w:t>All public policies regarding the inclusion of children and ado</w:t>
      </w:r>
      <w:r>
        <w:rPr>
          <w:sz w:val="24"/>
          <w:szCs w:val="24"/>
        </w:rPr>
        <w:t>lescents with disabilities in the health and education systems must be fully funded, thus improving the accessibility of services, professional training for care and relevant support with a territorial approach.</w:t>
      </w:r>
    </w:p>
    <w:p w:rsidR="006E2C03" w:rsidRDefault="00FD32A9">
      <w:pPr>
        <w:numPr>
          <w:ilvl w:val="0"/>
          <w:numId w:val="41"/>
        </w:numPr>
        <w:spacing w:after="200"/>
        <w:jc w:val="both"/>
        <w:rPr>
          <w:sz w:val="24"/>
          <w:szCs w:val="24"/>
        </w:rPr>
      </w:pPr>
      <w:r>
        <w:rPr>
          <w:sz w:val="24"/>
          <w:szCs w:val="24"/>
        </w:rPr>
        <w:t>As a primary health care strategy, accelerat</w:t>
      </w:r>
      <w:r>
        <w:rPr>
          <w:sz w:val="24"/>
          <w:szCs w:val="24"/>
        </w:rPr>
        <w:t>e the expansion of Family Health Units (USF, for its Spanish initials) to more vulnerable communities, thus guaranteeing the maintenance of existing USFs and adequate equipment as well as ensuring that they have qualified personnel and supplies for their e</w:t>
      </w:r>
      <w:r>
        <w:rPr>
          <w:sz w:val="24"/>
          <w:szCs w:val="24"/>
        </w:rPr>
        <w:t>ffective operation. There should be a relevant approach for indigenous peoples, which respects their worldview and ways of life.</w:t>
      </w:r>
    </w:p>
    <w:p w:rsidR="006E2C03" w:rsidRDefault="00FD32A9">
      <w:pPr>
        <w:numPr>
          <w:ilvl w:val="0"/>
          <w:numId w:val="41"/>
        </w:numPr>
        <w:spacing w:after="200"/>
        <w:jc w:val="both"/>
        <w:rPr>
          <w:sz w:val="24"/>
          <w:szCs w:val="24"/>
        </w:rPr>
      </w:pPr>
      <w:r>
        <w:rPr>
          <w:sz w:val="24"/>
          <w:szCs w:val="24"/>
        </w:rPr>
        <w:t>Expand adolescent-friendly health services—especially in areas with the highest rates of violence, sexual abuse and teenage pre</w:t>
      </w:r>
      <w:r>
        <w:rPr>
          <w:sz w:val="24"/>
          <w:szCs w:val="24"/>
        </w:rPr>
        <w:t>gnancy—by providing preventive approaches and support with a focus on comprehensive care for sexual and reproductive rights. In addition, expand free mental health services, based on Law 7.018/22.</w:t>
      </w:r>
    </w:p>
    <w:p w:rsidR="006E2C03" w:rsidRDefault="00FD32A9">
      <w:pPr>
        <w:numPr>
          <w:ilvl w:val="0"/>
          <w:numId w:val="41"/>
        </w:numPr>
        <w:spacing w:after="200"/>
        <w:jc w:val="both"/>
        <w:rPr>
          <w:sz w:val="24"/>
          <w:szCs w:val="24"/>
        </w:rPr>
      </w:pPr>
      <w:r>
        <w:rPr>
          <w:sz w:val="24"/>
          <w:szCs w:val="24"/>
        </w:rPr>
        <w:t>Establish clear and effective follow-up and monitoring mech</w:t>
      </w:r>
      <w:r>
        <w:rPr>
          <w:sz w:val="24"/>
          <w:szCs w:val="24"/>
        </w:rPr>
        <w:t>anisms to enforce Law No. 5.508 on maternity and breastfeeding support, both in the public and private sectors, thus guaranteeing the rights of women and the right of children to be breastfed by their mothers.</w:t>
      </w:r>
    </w:p>
    <w:p w:rsidR="006E2C03" w:rsidRDefault="00FD32A9">
      <w:pPr>
        <w:numPr>
          <w:ilvl w:val="0"/>
          <w:numId w:val="41"/>
        </w:numPr>
        <w:spacing w:after="200"/>
        <w:jc w:val="both"/>
        <w:rPr>
          <w:sz w:val="24"/>
          <w:szCs w:val="24"/>
        </w:rPr>
      </w:pPr>
      <w:r>
        <w:rPr>
          <w:sz w:val="24"/>
          <w:szCs w:val="24"/>
        </w:rPr>
        <w:t>Expand the coverage of the Comprehensive Nutri</w:t>
      </w:r>
      <w:r>
        <w:rPr>
          <w:sz w:val="24"/>
          <w:szCs w:val="24"/>
        </w:rPr>
        <w:t>tional Food Programme (PANI, for its initials in Spanish), guaranteeing the allocation of resources and the quality of execution.</w:t>
      </w:r>
    </w:p>
    <w:p w:rsidR="006E2C03" w:rsidRDefault="00FD32A9">
      <w:pPr>
        <w:numPr>
          <w:ilvl w:val="0"/>
          <w:numId w:val="41"/>
        </w:numPr>
        <w:spacing w:after="200"/>
        <w:jc w:val="both"/>
        <w:rPr>
          <w:sz w:val="24"/>
          <w:szCs w:val="24"/>
        </w:rPr>
      </w:pPr>
      <w:r>
        <w:rPr>
          <w:sz w:val="24"/>
          <w:szCs w:val="24"/>
        </w:rPr>
        <w:t>Strengthen state food production programs, with emphasis on family farming, territorial development and short distribution cha</w:t>
      </w:r>
      <w:r>
        <w:rPr>
          <w:sz w:val="24"/>
          <w:szCs w:val="24"/>
        </w:rPr>
        <w:t>nnels in order to avoid waste in the food chain.</w:t>
      </w:r>
    </w:p>
    <w:p w:rsidR="006E2C03" w:rsidRDefault="00FD32A9">
      <w:pPr>
        <w:numPr>
          <w:ilvl w:val="0"/>
          <w:numId w:val="41"/>
        </w:numPr>
        <w:spacing w:after="200"/>
        <w:ind w:right="359"/>
        <w:jc w:val="both"/>
        <w:rPr>
          <w:sz w:val="24"/>
          <w:szCs w:val="24"/>
        </w:rPr>
      </w:pPr>
      <w:r>
        <w:rPr>
          <w:sz w:val="24"/>
          <w:szCs w:val="24"/>
        </w:rPr>
        <w:t>Ensure access to drinking water and sanitation services and provide infrastructure, especially in rural areas, the most remote territories, indigenous communities and other more vulnerable population groups.</w:t>
      </w:r>
    </w:p>
    <w:p w:rsidR="006E2C03" w:rsidRDefault="00FD32A9">
      <w:pPr>
        <w:numPr>
          <w:ilvl w:val="0"/>
          <w:numId w:val="41"/>
        </w:numPr>
        <w:spacing w:after="200"/>
        <w:ind w:right="359"/>
        <w:jc w:val="both"/>
        <w:rPr>
          <w:sz w:val="24"/>
          <w:szCs w:val="24"/>
        </w:rPr>
      </w:pPr>
      <w:r>
        <w:rPr>
          <w:sz w:val="24"/>
          <w:szCs w:val="24"/>
        </w:rPr>
        <w:t>Increase efforts to prevent HIV transmission and improve prevention and care for diagnosed persons throughout the territory; this should be done in a comprehensive manner and without discrimination, thus improving coordination between the health and educa</w:t>
      </w:r>
      <w:r>
        <w:rPr>
          <w:sz w:val="24"/>
          <w:szCs w:val="24"/>
        </w:rPr>
        <w:t>tion systems in order to comply with Law 3.940/2009.</w:t>
      </w:r>
      <w:r>
        <w:rPr>
          <w:sz w:val="24"/>
          <w:szCs w:val="24"/>
          <w:vertAlign w:val="superscript"/>
        </w:rPr>
        <w:footnoteReference w:id="55"/>
      </w:r>
      <w:r>
        <w:rPr>
          <w:sz w:val="24"/>
          <w:szCs w:val="24"/>
        </w:rPr>
        <w:t xml:space="preserve">  </w:t>
      </w:r>
    </w:p>
    <w:p w:rsidR="006E2C03" w:rsidRDefault="00FD32A9">
      <w:pPr>
        <w:numPr>
          <w:ilvl w:val="0"/>
          <w:numId w:val="21"/>
        </w:numPr>
        <w:spacing w:after="200"/>
        <w:rPr>
          <w:sz w:val="24"/>
          <w:szCs w:val="24"/>
        </w:rPr>
      </w:pPr>
      <w:r>
        <w:rPr>
          <w:b/>
          <w:sz w:val="24"/>
          <w:szCs w:val="24"/>
        </w:rPr>
        <w:t>Education, Recreation and Cultural Activities (Articles 28, 29 and 31 of the Convention)</w:t>
      </w:r>
    </w:p>
    <w:p w:rsidR="006E2C03" w:rsidRDefault="00FD32A9">
      <w:pPr>
        <w:numPr>
          <w:ilvl w:val="0"/>
          <w:numId w:val="33"/>
        </w:numPr>
        <w:spacing w:after="200"/>
        <w:ind w:right="145"/>
        <w:jc w:val="both"/>
        <w:rPr>
          <w:b/>
          <w:sz w:val="24"/>
          <w:szCs w:val="24"/>
        </w:rPr>
      </w:pPr>
      <w:r>
        <w:rPr>
          <w:b/>
          <w:sz w:val="24"/>
          <w:szCs w:val="24"/>
        </w:rPr>
        <w:t xml:space="preserve">Education, Including Vocational Training and Guidance  </w:t>
      </w:r>
    </w:p>
    <w:p w:rsidR="006E2C03" w:rsidRDefault="00FD32A9">
      <w:pPr>
        <w:numPr>
          <w:ilvl w:val="0"/>
          <w:numId w:val="41"/>
        </w:numPr>
        <w:spacing w:after="200"/>
        <w:ind w:right="145"/>
        <w:jc w:val="both"/>
        <w:rPr>
          <w:sz w:val="24"/>
          <w:szCs w:val="24"/>
        </w:rPr>
      </w:pPr>
      <w:r>
        <w:rPr>
          <w:sz w:val="24"/>
          <w:szCs w:val="24"/>
        </w:rPr>
        <w:t>In 2022, nearly 457,844 children and adolescents were n</w:t>
      </w:r>
      <w:r>
        <w:rPr>
          <w:sz w:val="24"/>
          <w:szCs w:val="24"/>
        </w:rPr>
        <w:t>ot part of the education system in Paraguay; that is, one out of every four children and adolescents were not attending school.</w:t>
      </w:r>
      <w:r>
        <w:rPr>
          <w:sz w:val="24"/>
          <w:szCs w:val="24"/>
          <w:vertAlign w:val="superscript"/>
        </w:rPr>
        <w:footnoteReference w:id="56"/>
      </w:r>
      <w:r>
        <w:rPr>
          <w:sz w:val="24"/>
          <w:szCs w:val="24"/>
        </w:rPr>
        <w:t xml:space="preserve"> In 2020, 40,000 students were excluded due to the pandemic. The country’s educational system remains among the worst in the wor</w:t>
      </w:r>
      <w:r>
        <w:rPr>
          <w:sz w:val="24"/>
          <w:szCs w:val="24"/>
        </w:rPr>
        <w:t xml:space="preserve">ld; improvements in investment, coverage, relevance and quality are required. </w:t>
      </w:r>
    </w:p>
    <w:p w:rsidR="006E2C03" w:rsidRDefault="00FD32A9">
      <w:pPr>
        <w:numPr>
          <w:ilvl w:val="0"/>
          <w:numId w:val="41"/>
        </w:numPr>
        <w:spacing w:after="200"/>
        <w:ind w:right="145"/>
        <w:jc w:val="both"/>
        <w:rPr>
          <w:sz w:val="24"/>
          <w:szCs w:val="24"/>
        </w:rPr>
      </w:pPr>
      <w:r>
        <w:rPr>
          <w:sz w:val="24"/>
          <w:szCs w:val="24"/>
        </w:rPr>
        <w:t>In 2019, an educational reform process called “Educational Transformation” was initiated.</w:t>
      </w:r>
      <w:r>
        <w:rPr>
          <w:sz w:val="24"/>
          <w:szCs w:val="24"/>
          <w:vertAlign w:val="superscript"/>
        </w:rPr>
        <w:footnoteReference w:id="57"/>
      </w:r>
      <w:r>
        <w:rPr>
          <w:sz w:val="24"/>
          <w:szCs w:val="24"/>
        </w:rPr>
        <w:t xml:space="preserve"> There was low involvement from the educational community</w:t>
      </w:r>
      <w:r>
        <w:rPr>
          <w:sz w:val="24"/>
          <w:szCs w:val="24"/>
          <w:vertAlign w:val="superscript"/>
        </w:rPr>
        <w:footnoteReference w:id="58"/>
      </w:r>
      <w:r>
        <w:rPr>
          <w:sz w:val="24"/>
          <w:szCs w:val="24"/>
        </w:rPr>
        <w:t xml:space="preserve"> and a high degree of disinfo</w:t>
      </w:r>
      <w:r>
        <w:rPr>
          <w:sz w:val="24"/>
          <w:szCs w:val="24"/>
        </w:rPr>
        <w:t>rmation. Anti-rights groups launched a campaign of fear, hate, discrimination and disinformation, based on gender “ideology”, which negatively affected the process. In part, public-school teachers and administrators spread disinformation. The process, whic</w:t>
      </w:r>
      <w:r>
        <w:rPr>
          <w:sz w:val="24"/>
          <w:szCs w:val="24"/>
        </w:rPr>
        <w:t xml:space="preserve">h had public funding and a structural approach, has been stopped. </w:t>
      </w:r>
    </w:p>
    <w:p w:rsidR="006E2C03" w:rsidRDefault="00FD32A9">
      <w:pPr>
        <w:numPr>
          <w:ilvl w:val="0"/>
          <w:numId w:val="41"/>
        </w:numPr>
        <w:spacing w:after="200"/>
        <w:ind w:right="145"/>
        <w:jc w:val="both"/>
        <w:rPr>
          <w:sz w:val="24"/>
          <w:szCs w:val="24"/>
        </w:rPr>
      </w:pPr>
      <w:r>
        <w:rPr>
          <w:sz w:val="24"/>
          <w:szCs w:val="24"/>
        </w:rPr>
        <w:t>In early education, there are still difficulties in coverage and investment. In 2023 alone, the budget for timely assistance for preschool and kindergarten decreased by 45.2%,</w:t>
      </w:r>
      <w:r>
        <w:rPr>
          <w:sz w:val="24"/>
          <w:szCs w:val="24"/>
          <w:vertAlign w:val="superscript"/>
        </w:rPr>
        <w:footnoteReference w:id="59"/>
      </w:r>
      <w:r>
        <w:rPr>
          <w:sz w:val="24"/>
          <w:szCs w:val="24"/>
        </w:rPr>
        <w:t xml:space="preserve"> leaving seve</w:t>
      </w:r>
      <w:r>
        <w:rPr>
          <w:sz w:val="24"/>
          <w:szCs w:val="24"/>
        </w:rPr>
        <w:t>ral of the country’s communities without services. Of the students who start first grade, only 52% make it to the 3</w:t>
      </w:r>
      <w:r>
        <w:rPr>
          <w:sz w:val="24"/>
          <w:szCs w:val="24"/>
          <w:vertAlign w:val="superscript"/>
        </w:rPr>
        <w:t xml:space="preserve">rd </w:t>
      </w:r>
      <w:r>
        <w:rPr>
          <w:sz w:val="24"/>
          <w:szCs w:val="24"/>
        </w:rPr>
        <w:t>year of secondary education 12 years later.</w:t>
      </w:r>
      <w:r>
        <w:rPr>
          <w:sz w:val="24"/>
          <w:szCs w:val="24"/>
          <w:vertAlign w:val="superscript"/>
        </w:rPr>
        <w:footnoteReference w:id="60"/>
      </w:r>
      <w:r>
        <w:rPr>
          <w:sz w:val="24"/>
          <w:szCs w:val="24"/>
        </w:rPr>
        <w:t xml:space="preserve"> The following causes of exclusion from school prevail: the need to make an income to contribute to supporting their family; the lack of access to educational services and the lack of transportation. Violence, discrimination, forced child pregnancy and tee</w:t>
      </w:r>
      <w:r>
        <w:rPr>
          <w:sz w:val="24"/>
          <w:szCs w:val="24"/>
        </w:rPr>
        <w:t>nage pregnancy are also significant factors.</w:t>
      </w:r>
      <w:r>
        <w:rPr>
          <w:sz w:val="24"/>
          <w:szCs w:val="24"/>
          <w:vertAlign w:val="superscript"/>
        </w:rPr>
        <w:footnoteReference w:id="61"/>
      </w:r>
    </w:p>
    <w:p w:rsidR="006E2C03" w:rsidRDefault="00FD32A9">
      <w:pPr>
        <w:numPr>
          <w:ilvl w:val="0"/>
          <w:numId w:val="41"/>
        </w:numPr>
        <w:spacing w:after="200"/>
        <w:ind w:right="145"/>
        <w:jc w:val="both"/>
        <w:rPr>
          <w:sz w:val="24"/>
          <w:szCs w:val="24"/>
        </w:rPr>
      </w:pPr>
      <w:r>
        <w:rPr>
          <w:sz w:val="24"/>
          <w:szCs w:val="24"/>
        </w:rPr>
        <w:t>Teacher training is the educational system’s main weakness, leading to intergenerational recurrence of low educational quality. 68% of students do not understand what they read,</w:t>
      </w:r>
      <w:r>
        <w:rPr>
          <w:sz w:val="24"/>
          <w:szCs w:val="24"/>
          <w:vertAlign w:val="superscript"/>
        </w:rPr>
        <w:footnoteReference w:id="62"/>
      </w:r>
      <w:r>
        <w:rPr>
          <w:sz w:val="24"/>
          <w:szCs w:val="24"/>
        </w:rPr>
        <w:t xml:space="preserve">  and the average results for th</w:t>
      </w:r>
      <w:r>
        <w:rPr>
          <w:sz w:val="24"/>
          <w:szCs w:val="24"/>
        </w:rPr>
        <w:t>e areas of mathematics as well as Spanish and Guarani communication were below the minimum expected at all levels studied.</w:t>
      </w:r>
      <w:r>
        <w:rPr>
          <w:sz w:val="24"/>
          <w:szCs w:val="24"/>
          <w:vertAlign w:val="superscript"/>
        </w:rPr>
        <w:footnoteReference w:id="63"/>
      </w:r>
      <w:r>
        <w:rPr>
          <w:sz w:val="24"/>
          <w:szCs w:val="24"/>
        </w:rPr>
        <w:t xml:space="preserve"> The educational crisis in Paraguay is pedagogical and structural.</w:t>
      </w:r>
    </w:p>
    <w:p w:rsidR="006E2C03" w:rsidRDefault="00FD32A9">
      <w:pPr>
        <w:numPr>
          <w:ilvl w:val="0"/>
          <w:numId w:val="41"/>
        </w:numPr>
        <w:spacing w:after="200"/>
        <w:ind w:right="145"/>
        <w:jc w:val="both"/>
        <w:rPr>
          <w:sz w:val="24"/>
          <w:szCs w:val="24"/>
        </w:rPr>
      </w:pPr>
      <w:r>
        <w:rPr>
          <w:sz w:val="24"/>
          <w:szCs w:val="24"/>
        </w:rPr>
        <w:t>Education is not guaranteed for children and adolescents from rura</w:t>
      </w:r>
      <w:r>
        <w:rPr>
          <w:sz w:val="24"/>
          <w:szCs w:val="24"/>
        </w:rPr>
        <w:t>l areas and indigenous communities as well as for those with disabilities, for adolescents in situations of confinement, and for those with diverse sexual preferences. The Inclusive Education Law is only for people with disabilities; there are no practices</w:t>
      </w:r>
      <w:r>
        <w:rPr>
          <w:sz w:val="24"/>
          <w:szCs w:val="24"/>
        </w:rPr>
        <w:t xml:space="preserve"> that comply with the right to inclusion. Despite being prohibited, educational centres still reject children and adolescents with intellectual and psychosocial disabilities, or they are only accepted if families cover the costs of inclusive teachers.</w:t>
      </w:r>
    </w:p>
    <w:p w:rsidR="006E2C03" w:rsidRDefault="00FD32A9">
      <w:pPr>
        <w:numPr>
          <w:ilvl w:val="0"/>
          <w:numId w:val="41"/>
        </w:numPr>
        <w:spacing w:after="200"/>
        <w:ind w:right="145"/>
        <w:jc w:val="both"/>
        <w:rPr>
          <w:sz w:val="24"/>
          <w:szCs w:val="24"/>
        </w:rPr>
      </w:pPr>
      <w:r>
        <w:rPr>
          <w:sz w:val="24"/>
          <w:szCs w:val="24"/>
        </w:rPr>
        <w:t>Even</w:t>
      </w:r>
      <w:r>
        <w:rPr>
          <w:sz w:val="24"/>
          <w:szCs w:val="24"/>
        </w:rPr>
        <w:t xml:space="preserve"> with all the acts of violence, violations of sexual and reproductive rights and discrimination, comprehensive sexual education is not implemented. In 2017, the MEC approved Resolution No. 29.664</w:t>
      </w:r>
      <w:r>
        <w:rPr>
          <w:sz w:val="24"/>
          <w:szCs w:val="24"/>
          <w:vertAlign w:val="superscript"/>
        </w:rPr>
        <w:footnoteReference w:id="64"/>
      </w:r>
      <w:r>
        <w:rPr>
          <w:sz w:val="24"/>
          <w:szCs w:val="24"/>
        </w:rPr>
        <w:t xml:space="preserve"> “by which the dissemination and use of printed and digital </w:t>
      </w:r>
      <w:r>
        <w:rPr>
          <w:sz w:val="24"/>
          <w:szCs w:val="24"/>
        </w:rPr>
        <w:t xml:space="preserve">materials referring to gender theory and/or ideology in educational institutions that are dependents of the Ministry of Education and Science is prohibited”. The minister at that time stated, in Parliament, that he would take the textbooks that talk about </w:t>
      </w:r>
      <w:r>
        <w:rPr>
          <w:sz w:val="24"/>
          <w:szCs w:val="24"/>
        </w:rPr>
        <w:t>gender to the public square and burn them.</w:t>
      </w:r>
      <w:r>
        <w:rPr>
          <w:sz w:val="24"/>
          <w:szCs w:val="24"/>
          <w:vertAlign w:val="superscript"/>
        </w:rPr>
        <w:footnoteReference w:id="65"/>
      </w:r>
    </w:p>
    <w:p w:rsidR="006E2C03" w:rsidRDefault="00FD32A9">
      <w:pPr>
        <w:spacing w:after="200"/>
        <w:ind w:right="145"/>
        <w:jc w:val="both"/>
        <w:rPr>
          <w:b/>
          <w:sz w:val="24"/>
          <w:szCs w:val="24"/>
        </w:rPr>
      </w:pPr>
      <w:r>
        <w:rPr>
          <w:b/>
          <w:sz w:val="24"/>
          <w:szCs w:val="24"/>
        </w:rPr>
        <w:t xml:space="preserve">Recommendations: </w:t>
      </w:r>
    </w:p>
    <w:p w:rsidR="006E2C03" w:rsidRDefault="00FD32A9">
      <w:pPr>
        <w:numPr>
          <w:ilvl w:val="0"/>
          <w:numId w:val="41"/>
        </w:numPr>
        <w:spacing w:after="200"/>
        <w:ind w:right="145"/>
        <w:jc w:val="both"/>
        <w:rPr>
          <w:sz w:val="24"/>
          <w:szCs w:val="24"/>
        </w:rPr>
      </w:pPr>
      <w:r>
        <w:rPr>
          <w:sz w:val="24"/>
          <w:szCs w:val="24"/>
        </w:rPr>
        <w:t>Incorporate the mainstreaming of the human rights, inter-cultural, inclusion and gender approaches into initial and continuous teacher training, providing pedagogical and methodological tools th</w:t>
      </w:r>
      <w:r>
        <w:rPr>
          <w:sz w:val="24"/>
          <w:szCs w:val="24"/>
        </w:rPr>
        <w:t>at redefine learning processes and contribute to improving democracy, peaceful coexistence and respect for human rights.</w:t>
      </w:r>
    </w:p>
    <w:p w:rsidR="006E2C03" w:rsidRDefault="00FD32A9">
      <w:pPr>
        <w:numPr>
          <w:ilvl w:val="0"/>
          <w:numId w:val="41"/>
        </w:numPr>
        <w:spacing w:after="200"/>
        <w:ind w:right="145"/>
        <w:jc w:val="both"/>
        <w:rPr>
          <w:sz w:val="24"/>
          <w:szCs w:val="24"/>
        </w:rPr>
      </w:pPr>
      <w:r>
        <w:rPr>
          <w:sz w:val="24"/>
          <w:szCs w:val="24"/>
        </w:rPr>
        <w:t>Develop contextualized assessments and territorial strategies to address educational exclusion, considering the most vulnerable groups:</w:t>
      </w:r>
      <w:r>
        <w:rPr>
          <w:sz w:val="24"/>
          <w:szCs w:val="24"/>
        </w:rPr>
        <w:t xml:space="preserve"> rural areas, indigenous peoples, adolescents in situations of confinement, those with disabilities and the LGTBIQ+ population. </w:t>
      </w:r>
    </w:p>
    <w:p w:rsidR="006E2C03" w:rsidRDefault="00FD32A9">
      <w:pPr>
        <w:numPr>
          <w:ilvl w:val="0"/>
          <w:numId w:val="41"/>
        </w:numPr>
        <w:spacing w:after="200"/>
        <w:ind w:right="145"/>
        <w:jc w:val="both"/>
        <w:rPr>
          <w:sz w:val="24"/>
          <w:szCs w:val="24"/>
        </w:rPr>
      </w:pPr>
      <w:r>
        <w:rPr>
          <w:sz w:val="24"/>
          <w:szCs w:val="24"/>
        </w:rPr>
        <w:t>To ensure a structural approach, the education budget must be increased to 7% of the GDP. In 2022, the MEC budget was only 3.2%</w:t>
      </w:r>
      <w:r>
        <w:rPr>
          <w:sz w:val="24"/>
          <w:szCs w:val="24"/>
        </w:rPr>
        <w:t xml:space="preserve"> of the GDP.</w:t>
      </w:r>
      <w:r>
        <w:rPr>
          <w:sz w:val="24"/>
          <w:szCs w:val="24"/>
          <w:vertAlign w:val="superscript"/>
        </w:rPr>
        <w:footnoteReference w:id="66"/>
      </w:r>
      <w:r>
        <w:rPr>
          <w:sz w:val="24"/>
          <w:szCs w:val="24"/>
        </w:rPr>
        <w:t xml:space="preserve"> </w:t>
      </w:r>
    </w:p>
    <w:p w:rsidR="006E2C03" w:rsidRDefault="00FD32A9">
      <w:pPr>
        <w:numPr>
          <w:ilvl w:val="0"/>
          <w:numId w:val="41"/>
        </w:numPr>
        <w:spacing w:after="200"/>
        <w:jc w:val="both"/>
        <w:rPr>
          <w:sz w:val="24"/>
          <w:szCs w:val="24"/>
        </w:rPr>
      </w:pPr>
      <w:r>
        <w:rPr>
          <w:sz w:val="24"/>
          <w:szCs w:val="24"/>
        </w:rPr>
        <w:t>Repeal MEC Resolution No. 29,664/2017 “whereby the dissemination and use of printed and digital materials referring to gender theory and/or ideology is prohibited in educational institutions (...)”, to promote and enact a comprehensive sexua</w:t>
      </w:r>
      <w:r>
        <w:rPr>
          <w:sz w:val="24"/>
          <w:szCs w:val="24"/>
        </w:rPr>
        <w:t>l education law that guarantees its application in the educational and health systems throughout the country and is based on scientific grounds.</w:t>
      </w:r>
    </w:p>
    <w:p w:rsidR="006E2C03" w:rsidRDefault="00FD32A9">
      <w:pPr>
        <w:numPr>
          <w:ilvl w:val="0"/>
          <w:numId w:val="21"/>
        </w:numPr>
        <w:spacing w:after="200"/>
        <w:rPr>
          <w:sz w:val="24"/>
          <w:szCs w:val="24"/>
        </w:rPr>
      </w:pPr>
      <w:r>
        <w:rPr>
          <w:b/>
          <w:sz w:val="24"/>
          <w:szCs w:val="24"/>
        </w:rPr>
        <w:t>Special Protection Measures (Articles 22, 30, 38, 39, 40, 37 [Sections b to d], and 32 to 36 of the Convention)</w:t>
      </w:r>
      <w:r>
        <w:rPr>
          <w:b/>
          <w:sz w:val="24"/>
          <w:szCs w:val="24"/>
        </w:rPr>
        <w:tab/>
      </w:r>
      <w:r>
        <w:rPr>
          <w:b/>
          <w:sz w:val="24"/>
          <w:szCs w:val="24"/>
        </w:rPr>
        <w:tab/>
      </w:r>
    </w:p>
    <w:p w:rsidR="006E2C03" w:rsidRDefault="00FD32A9">
      <w:pPr>
        <w:pStyle w:val="Heading3"/>
        <w:numPr>
          <w:ilvl w:val="0"/>
          <w:numId w:val="60"/>
        </w:numPr>
        <w:jc w:val="both"/>
        <w:rPr>
          <w:i w:val="0"/>
        </w:rPr>
      </w:pPr>
      <w:bookmarkStart w:id="15" w:name="_heading=h.lnxbz9" w:colFirst="0" w:colLast="0"/>
      <w:bookmarkEnd w:id="15"/>
      <w:r>
        <w:rPr>
          <w:i w:val="0"/>
        </w:rPr>
        <w:t>Unaccompanied Refugee Children</w:t>
      </w:r>
      <w:r>
        <w:rPr>
          <w:i w:val="0"/>
        </w:rPr>
        <w:tab/>
      </w:r>
    </w:p>
    <w:p w:rsidR="006E2C03" w:rsidRDefault="00FD32A9">
      <w:pPr>
        <w:numPr>
          <w:ilvl w:val="0"/>
          <w:numId w:val="41"/>
        </w:numPr>
        <w:spacing w:after="200"/>
        <w:ind w:right="145"/>
        <w:jc w:val="both"/>
        <w:rPr>
          <w:sz w:val="24"/>
          <w:szCs w:val="24"/>
        </w:rPr>
      </w:pPr>
      <w:r>
        <w:rPr>
          <w:sz w:val="24"/>
          <w:szCs w:val="24"/>
        </w:rPr>
        <w:t>Data showing the situation of unaccompanied refugee children and adolescents in the country is limited or inaccessible. Law No. 6984/2022 on Migration</w:t>
      </w:r>
      <w:r>
        <w:rPr>
          <w:sz w:val="24"/>
          <w:szCs w:val="24"/>
          <w:vertAlign w:val="superscript"/>
        </w:rPr>
        <w:footnoteReference w:id="67"/>
      </w:r>
      <w:r>
        <w:rPr>
          <w:sz w:val="24"/>
          <w:szCs w:val="24"/>
        </w:rPr>
        <w:t xml:space="preserve"> establishes the “Principle of comprehensive protection and the best i</w:t>
      </w:r>
      <w:r>
        <w:rPr>
          <w:sz w:val="24"/>
          <w:szCs w:val="24"/>
        </w:rPr>
        <w:t>nterest of the rights of children and adolescents”; however, there is no information to contrast how it is developed in practice. The CDIA addressed a case of an unaccompanied adolescent from Venezuela, in which the justice system expelled him from the cou</w:t>
      </w:r>
      <w:r>
        <w:rPr>
          <w:sz w:val="24"/>
          <w:szCs w:val="24"/>
        </w:rPr>
        <w:t xml:space="preserve">ntry instead of issuing a protection measure. </w:t>
      </w:r>
    </w:p>
    <w:p w:rsidR="006E2C03" w:rsidRDefault="00FD32A9">
      <w:pPr>
        <w:numPr>
          <w:ilvl w:val="0"/>
          <w:numId w:val="6"/>
        </w:numPr>
        <w:spacing w:after="200"/>
        <w:ind w:right="145"/>
        <w:jc w:val="both"/>
        <w:rPr>
          <w:rFonts w:ascii="Calibri" w:eastAsia="Calibri" w:hAnsi="Calibri" w:cs="Calibri"/>
          <w:sz w:val="24"/>
          <w:szCs w:val="24"/>
        </w:rPr>
      </w:pPr>
      <w:r>
        <w:rPr>
          <w:b/>
          <w:sz w:val="24"/>
          <w:szCs w:val="24"/>
        </w:rPr>
        <w:t>Economic Exploitation, Including Child Labour</w:t>
      </w:r>
      <w:r>
        <w:rPr>
          <w:sz w:val="24"/>
          <w:szCs w:val="24"/>
        </w:rPr>
        <w:tab/>
      </w:r>
    </w:p>
    <w:p w:rsidR="006E2C03" w:rsidRDefault="00FD32A9">
      <w:pPr>
        <w:numPr>
          <w:ilvl w:val="0"/>
          <w:numId w:val="41"/>
        </w:numPr>
        <w:spacing w:after="200"/>
        <w:ind w:right="145"/>
        <w:jc w:val="both"/>
        <w:rPr>
          <w:sz w:val="24"/>
          <w:szCs w:val="24"/>
        </w:rPr>
      </w:pPr>
      <w:r>
        <w:rPr>
          <w:sz w:val="24"/>
          <w:szCs w:val="24"/>
        </w:rPr>
        <w:t>There is a Strategy to Prevent and Eradicate Child Labour and Protect Adolescent Labour,</w:t>
      </w:r>
      <w:r>
        <w:rPr>
          <w:sz w:val="24"/>
          <w:szCs w:val="24"/>
          <w:vertAlign w:val="superscript"/>
        </w:rPr>
        <w:footnoteReference w:id="68"/>
      </w:r>
      <w:r>
        <w:rPr>
          <w:sz w:val="24"/>
          <w:szCs w:val="24"/>
        </w:rPr>
        <w:t xml:space="preserve"> and child labour from age 0 to 13 is prohibited. In 2021, 16.4% of children and adolescents between ages 10 and 17 were engaged in some type of economic activity.</w:t>
      </w:r>
      <w:r>
        <w:rPr>
          <w:sz w:val="24"/>
          <w:szCs w:val="24"/>
          <w:vertAlign w:val="superscript"/>
        </w:rPr>
        <w:footnoteReference w:id="69"/>
      </w:r>
      <w:r>
        <w:rPr>
          <w:sz w:val="24"/>
          <w:szCs w:val="24"/>
        </w:rPr>
        <w:t xml:space="preserve"> Children and adolescents who participate in the non-agricultural sector do not have any typ</w:t>
      </w:r>
      <w:r>
        <w:rPr>
          <w:sz w:val="24"/>
          <w:szCs w:val="24"/>
        </w:rPr>
        <w:t>e of job security or access to social benefits.</w:t>
      </w:r>
      <w:r>
        <w:rPr>
          <w:sz w:val="24"/>
          <w:szCs w:val="24"/>
          <w:vertAlign w:val="superscript"/>
        </w:rPr>
        <w:footnoteReference w:id="70"/>
      </w:r>
      <w:r>
        <w:rPr>
          <w:sz w:val="24"/>
          <w:szCs w:val="24"/>
        </w:rPr>
        <w:t xml:space="preserve"> They work to make an income and contribute to family subsistence due to the inefficiency of the social protection system. </w:t>
      </w:r>
    </w:p>
    <w:p w:rsidR="006E2C03" w:rsidRDefault="00FD32A9">
      <w:pPr>
        <w:numPr>
          <w:ilvl w:val="0"/>
          <w:numId w:val="20"/>
        </w:numPr>
        <w:spacing w:after="200"/>
        <w:ind w:right="145"/>
        <w:jc w:val="both"/>
        <w:rPr>
          <w:rFonts w:ascii="Calibri" w:eastAsia="Calibri" w:hAnsi="Calibri" w:cs="Calibri"/>
          <w:sz w:val="24"/>
          <w:szCs w:val="24"/>
        </w:rPr>
      </w:pPr>
      <w:r>
        <w:rPr>
          <w:b/>
          <w:sz w:val="24"/>
          <w:szCs w:val="24"/>
        </w:rPr>
        <w:t xml:space="preserve">The Practice of </w:t>
      </w:r>
      <w:r>
        <w:rPr>
          <w:b/>
          <w:i/>
          <w:sz w:val="24"/>
          <w:szCs w:val="24"/>
        </w:rPr>
        <w:t>Criadazgo</w:t>
      </w:r>
      <w:r>
        <w:rPr>
          <w:b/>
          <w:sz w:val="24"/>
          <w:szCs w:val="24"/>
        </w:rPr>
        <w:tab/>
      </w:r>
      <w:r>
        <w:rPr>
          <w:b/>
          <w:sz w:val="24"/>
          <w:szCs w:val="24"/>
        </w:rPr>
        <w:tab/>
      </w:r>
      <w:r>
        <w:rPr>
          <w:sz w:val="24"/>
          <w:szCs w:val="24"/>
        </w:rPr>
        <w:tab/>
      </w:r>
      <w:r>
        <w:rPr>
          <w:sz w:val="24"/>
          <w:szCs w:val="24"/>
        </w:rPr>
        <w:tab/>
      </w:r>
      <w:r>
        <w:rPr>
          <w:sz w:val="24"/>
          <w:szCs w:val="24"/>
        </w:rPr>
        <w:tab/>
      </w:r>
    </w:p>
    <w:p w:rsidR="006E2C03" w:rsidRDefault="00FD32A9">
      <w:pPr>
        <w:numPr>
          <w:ilvl w:val="0"/>
          <w:numId w:val="41"/>
        </w:numPr>
        <w:spacing w:after="200"/>
        <w:ind w:right="145"/>
        <w:jc w:val="both"/>
        <w:rPr>
          <w:sz w:val="24"/>
          <w:szCs w:val="24"/>
        </w:rPr>
      </w:pPr>
      <w:r>
        <w:rPr>
          <w:i/>
          <w:sz w:val="24"/>
          <w:szCs w:val="24"/>
        </w:rPr>
        <w:t>Criadazgo</w:t>
      </w:r>
      <w:r>
        <w:rPr>
          <w:sz w:val="24"/>
          <w:szCs w:val="24"/>
        </w:rPr>
        <w:t>, a term used in Paraguay to refer to the ad</w:t>
      </w:r>
      <w:r>
        <w:rPr>
          <w:sz w:val="24"/>
          <w:szCs w:val="24"/>
        </w:rPr>
        <w:t xml:space="preserve">option of children as household employees, continues to be a common practice, and there are no official indicators to measure it. It is affected by structural factors, which is evidence of the State’s absence when it comes to guaranteeing rights. Children </w:t>
      </w:r>
      <w:r>
        <w:rPr>
          <w:sz w:val="24"/>
          <w:szCs w:val="24"/>
        </w:rPr>
        <w:t>and adolescents are forced and/or exposed to this lack of protection; families see this as the only alternative for their subsistence, education and access to opportunities, ignoring aspects of physical and emotional well-being, which negatively affect the</w:t>
      </w:r>
      <w:r>
        <w:rPr>
          <w:sz w:val="24"/>
          <w:szCs w:val="24"/>
        </w:rPr>
        <w:t>ir comprehensive development.</w:t>
      </w:r>
    </w:p>
    <w:p w:rsidR="006E2C03" w:rsidRDefault="00FD32A9">
      <w:pPr>
        <w:numPr>
          <w:ilvl w:val="0"/>
          <w:numId w:val="38"/>
        </w:numPr>
        <w:spacing w:after="200"/>
        <w:ind w:right="145"/>
        <w:jc w:val="both"/>
        <w:rPr>
          <w:rFonts w:ascii="Calibri" w:eastAsia="Calibri" w:hAnsi="Calibri" w:cs="Calibri"/>
          <w:sz w:val="24"/>
          <w:szCs w:val="24"/>
        </w:rPr>
      </w:pPr>
      <w:r>
        <w:rPr>
          <w:b/>
          <w:sz w:val="24"/>
          <w:szCs w:val="24"/>
        </w:rPr>
        <w:t>Children in Street Situations</w:t>
      </w:r>
      <w:r>
        <w:rPr>
          <w:sz w:val="24"/>
          <w:szCs w:val="24"/>
        </w:rPr>
        <w:tab/>
      </w:r>
      <w:r>
        <w:rPr>
          <w:sz w:val="24"/>
          <w:szCs w:val="24"/>
        </w:rPr>
        <w:tab/>
      </w:r>
      <w:r>
        <w:rPr>
          <w:sz w:val="24"/>
          <w:szCs w:val="24"/>
        </w:rPr>
        <w:tab/>
      </w:r>
      <w:r>
        <w:rPr>
          <w:sz w:val="24"/>
          <w:szCs w:val="24"/>
        </w:rPr>
        <w:tab/>
      </w:r>
    </w:p>
    <w:p w:rsidR="006E2C03" w:rsidRDefault="00FD32A9">
      <w:pPr>
        <w:numPr>
          <w:ilvl w:val="0"/>
          <w:numId w:val="41"/>
        </w:numPr>
        <w:spacing w:after="200"/>
        <w:ind w:right="145"/>
        <w:jc w:val="both"/>
        <w:rPr>
          <w:sz w:val="24"/>
          <w:szCs w:val="24"/>
        </w:rPr>
      </w:pPr>
      <w:r>
        <w:rPr>
          <w:sz w:val="24"/>
          <w:szCs w:val="24"/>
        </w:rPr>
        <w:t>MINNA has the Abrazo Programme and an Immediate Response Device (DRI Calle); the latter has a presence in five cities. From June 2021 to June 2022, it assisted 1,426 children and adolescents a</w:t>
      </w:r>
      <w:r>
        <w:rPr>
          <w:sz w:val="24"/>
          <w:szCs w:val="24"/>
        </w:rPr>
        <w:t>ged 0 to 17 years.</w:t>
      </w:r>
      <w:r>
        <w:rPr>
          <w:sz w:val="24"/>
          <w:szCs w:val="24"/>
          <w:vertAlign w:val="superscript"/>
        </w:rPr>
        <w:footnoteReference w:id="71"/>
      </w:r>
      <w:r>
        <w:rPr>
          <w:sz w:val="24"/>
          <w:szCs w:val="24"/>
        </w:rPr>
        <w:t xml:space="preserve"> The response is welfarist and even repressive; there are no mechanisms for implementing General Comment No. 21.</w:t>
      </w:r>
      <w:r>
        <w:rPr>
          <w:sz w:val="24"/>
          <w:szCs w:val="24"/>
          <w:vertAlign w:val="superscript"/>
        </w:rPr>
        <w:footnoteReference w:id="72"/>
      </w:r>
      <w:r>
        <w:rPr>
          <w:sz w:val="24"/>
          <w:szCs w:val="24"/>
        </w:rPr>
        <w:t xml:space="preserve"> The approach is not comprehensive and punitive, since it frequently derives the cases to the judicial system instead of ack</w:t>
      </w:r>
      <w:r>
        <w:rPr>
          <w:sz w:val="24"/>
          <w:szCs w:val="24"/>
        </w:rPr>
        <w:t>nowledging poverty and structural inequalities as factors that send children and adolescents to the streets.</w:t>
      </w:r>
    </w:p>
    <w:p w:rsidR="006E2C03" w:rsidRDefault="00FD32A9">
      <w:pPr>
        <w:pStyle w:val="Heading3"/>
        <w:numPr>
          <w:ilvl w:val="0"/>
          <w:numId w:val="18"/>
        </w:numPr>
        <w:ind w:right="145"/>
        <w:jc w:val="both"/>
        <w:rPr>
          <w:i w:val="0"/>
        </w:rPr>
      </w:pPr>
      <w:bookmarkStart w:id="16" w:name="_heading=h.35nkun2" w:colFirst="0" w:colLast="0"/>
      <w:bookmarkEnd w:id="16"/>
      <w:r>
        <w:rPr>
          <w:i w:val="0"/>
        </w:rPr>
        <w:t xml:space="preserve">Sexual Exploitation and Abuse  </w:t>
      </w:r>
    </w:p>
    <w:p w:rsidR="006E2C03" w:rsidRDefault="00FD32A9">
      <w:pPr>
        <w:numPr>
          <w:ilvl w:val="0"/>
          <w:numId w:val="41"/>
        </w:numPr>
        <w:spacing w:after="200"/>
        <w:ind w:right="145"/>
        <w:jc w:val="both"/>
        <w:rPr>
          <w:sz w:val="24"/>
          <w:szCs w:val="24"/>
        </w:rPr>
      </w:pPr>
      <w:r>
        <w:rPr>
          <w:sz w:val="24"/>
          <w:szCs w:val="24"/>
        </w:rPr>
        <w:t>In 2018, Law 6,202 on the Prevention of Sexual Abuse and Comprehensive Care for Child and Adolescent Victims of Sexual Abuse was enacted.</w:t>
      </w:r>
      <w:r>
        <w:rPr>
          <w:sz w:val="24"/>
          <w:szCs w:val="24"/>
          <w:vertAlign w:val="superscript"/>
        </w:rPr>
        <w:footnoteReference w:id="73"/>
      </w:r>
      <w:r>
        <w:rPr>
          <w:sz w:val="24"/>
          <w:szCs w:val="24"/>
        </w:rPr>
        <w:t xml:space="preserve"> To date, it lacks regulation and has not been implemented. Sexual violence against children and adolescents has incre</w:t>
      </w:r>
      <w:r>
        <w:rPr>
          <w:sz w:val="24"/>
          <w:szCs w:val="24"/>
        </w:rPr>
        <w:t>ased from an average of two complaints per day in 2010 to ten per day in 2022.</w:t>
      </w:r>
      <w:r>
        <w:rPr>
          <w:sz w:val="24"/>
          <w:szCs w:val="24"/>
          <w:vertAlign w:val="superscript"/>
        </w:rPr>
        <w:footnoteReference w:id="74"/>
      </w:r>
      <w:r>
        <w:rPr>
          <w:sz w:val="24"/>
          <w:szCs w:val="24"/>
        </w:rPr>
        <w:t xml:space="preserve"> In 2021, 492 of the live births were from pregnancies of girls between ages 10 and 14.</w:t>
      </w:r>
      <w:r>
        <w:rPr>
          <w:sz w:val="24"/>
          <w:szCs w:val="24"/>
          <w:vertAlign w:val="superscript"/>
        </w:rPr>
        <w:footnoteReference w:id="75"/>
      </w:r>
      <w:r>
        <w:rPr>
          <w:sz w:val="24"/>
          <w:szCs w:val="24"/>
        </w:rPr>
        <w:t xml:space="preserve"> In Paraguay, although legally there is the possibility of interrupting a pregnancy when </w:t>
      </w:r>
      <w:r>
        <w:rPr>
          <w:sz w:val="24"/>
          <w:szCs w:val="24"/>
        </w:rPr>
        <w:t>the pregnant person’s life is in danger, it is not an option for the health or justice systems in cases of sexual abuse of girls and adolescents.</w:t>
      </w:r>
      <w:r>
        <w:rPr>
          <w:sz w:val="24"/>
          <w:szCs w:val="24"/>
          <w:vertAlign w:val="superscript"/>
        </w:rPr>
        <w:footnoteReference w:id="76"/>
      </w:r>
    </w:p>
    <w:p w:rsidR="006E2C03" w:rsidRDefault="00FD32A9">
      <w:pPr>
        <w:numPr>
          <w:ilvl w:val="0"/>
          <w:numId w:val="41"/>
        </w:numPr>
        <w:spacing w:after="200"/>
        <w:ind w:right="145"/>
        <w:jc w:val="both"/>
        <w:rPr>
          <w:sz w:val="24"/>
          <w:szCs w:val="24"/>
        </w:rPr>
      </w:pPr>
      <w:r>
        <w:rPr>
          <w:sz w:val="24"/>
          <w:szCs w:val="24"/>
        </w:rPr>
        <w:t>In 2021, leaders of the Paĩ Tavyterã Indigenous People made serious allegations of abuse and forced marriages</w:t>
      </w:r>
      <w:r>
        <w:rPr>
          <w:sz w:val="24"/>
          <w:szCs w:val="24"/>
        </w:rPr>
        <w:t xml:space="preserve"> involving evangelical pastors to the Chamber of Deputies’ Commission of Indigenous Peoples when faced with the inaction of the Public Ministry and other institutions. Their allegations dealt with the pregnancy of more than ten girls from their communities</w:t>
      </w:r>
      <w:r>
        <w:rPr>
          <w:sz w:val="24"/>
          <w:szCs w:val="24"/>
        </w:rPr>
        <w:t>, who, in addition to suffering abuse, were offered to elderly men to marry them and force them to pay a tithe.</w:t>
      </w:r>
      <w:r>
        <w:rPr>
          <w:sz w:val="24"/>
          <w:szCs w:val="24"/>
          <w:vertAlign w:val="superscript"/>
        </w:rPr>
        <w:footnoteReference w:id="77"/>
      </w:r>
    </w:p>
    <w:p w:rsidR="006E2C03" w:rsidRDefault="00FD32A9">
      <w:pPr>
        <w:numPr>
          <w:ilvl w:val="0"/>
          <w:numId w:val="41"/>
        </w:numPr>
        <w:spacing w:after="200"/>
        <w:ind w:right="145"/>
        <w:jc w:val="both"/>
        <w:rPr>
          <w:sz w:val="24"/>
          <w:szCs w:val="24"/>
        </w:rPr>
      </w:pPr>
      <w:r>
        <w:rPr>
          <w:sz w:val="24"/>
          <w:szCs w:val="24"/>
        </w:rPr>
        <w:t>In Paraguay, in the past five years, a total of 17,156 victims of sexual abuse between ages 0 and 17 were registered.</w:t>
      </w:r>
      <w:r>
        <w:rPr>
          <w:sz w:val="24"/>
          <w:szCs w:val="24"/>
          <w:vertAlign w:val="superscript"/>
        </w:rPr>
        <w:footnoteReference w:id="78"/>
      </w:r>
      <w:r>
        <w:rPr>
          <w:sz w:val="24"/>
          <w:szCs w:val="24"/>
        </w:rPr>
        <w:t xml:space="preserve"> The State does not have </w:t>
      </w:r>
      <w:r>
        <w:rPr>
          <w:sz w:val="24"/>
          <w:szCs w:val="24"/>
        </w:rPr>
        <w:t>a comprehensive care program for children and adolescents who are survivors of sexual violence. There are no interdisciplinary teams, and they do not have specialized support;</w:t>
      </w:r>
      <w:r>
        <w:rPr>
          <w:sz w:val="24"/>
          <w:szCs w:val="24"/>
          <w:vertAlign w:val="superscript"/>
        </w:rPr>
        <w:footnoteReference w:id="79"/>
      </w:r>
      <w:r>
        <w:rPr>
          <w:sz w:val="24"/>
          <w:szCs w:val="24"/>
        </w:rPr>
        <w:t xml:space="preserve"> this should be incorporated into the Ministry of Health and cover the entire te</w:t>
      </w:r>
      <w:r>
        <w:rPr>
          <w:sz w:val="24"/>
          <w:szCs w:val="24"/>
        </w:rPr>
        <w:t>rritory.</w:t>
      </w:r>
    </w:p>
    <w:p w:rsidR="006E2C03" w:rsidRDefault="00FD32A9">
      <w:pPr>
        <w:numPr>
          <w:ilvl w:val="0"/>
          <w:numId w:val="41"/>
        </w:numPr>
        <w:spacing w:after="200"/>
        <w:ind w:right="145"/>
        <w:jc w:val="both"/>
        <w:rPr>
          <w:sz w:val="24"/>
          <w:szCs w:val="24"/>
        </w:rPr>
      </w:pPr>
      <w:r>
        <w:rPr>
          <w:sz w:val="24"/>
          <w:szCs w:val="24"/>
        </w:rPr>
        <w:t>Beginning in 2015, the Ministry of Education had the “Inter-Institutional Intervention Guide for Addressing Cases of Violation of Sexual and Reproductive Rights in the Educational Sphere”.</w:t>
      </w:r>
      <w:r>
        <w:rPr>
          <w:sz w:val="24"/>
          <w:szCs w:val="24"/>
          <w:vertAlign w:val="superscript"/>
        </w:rPr>
        <w:footnoteReference w:id="80"/>
      </w:r>
      <w:r>
        <w:rPr>
          <w:sz w:val="24"/>
          <w:szCs w:val="24"/>
        </w:rPr>
        <w:t xml:space="preserve"> However, under pressure from anti-rights groups, it was c</w:t>
      </w:r>
      <w:r>
        <w:rPr>
          <w:sz w:val="24"/>
          <w:szCs w:val="24"/>
        </w:rPr>
        <w:t>ut in early 2023, thus eliminating the entire theoretical framework, along with the section on discrimination, and excluding the human rights and gender approach. This implies a setback in the field of rights and exposes children and adolescents to greater</w:t>
      </w:r>
      <w:r>
        <w:rPr>
          <w:sz w:val="24"/>
          <w:szCs w:val="24"/>
        </w:rPr>
        <w:t xml:space="preserve"> vulnerabilities.</w:t>
      </w:r>
    </w:p>
    <w:p w:rsidR="006E2C03" w:rsidRDefault="00FD32A9">
      <w:pPr>
        <w:numPr>
          <w:ilvl w:val="0"/>
          <w:numId w:val="41"/>
        </w:numPr>
        <w:spacing w:after="200"/>
        <w:jc w:val="both"/>
        <w:rPr>
          <w:sz w:val="24"/>
          <w:szCs w:val="24"/>
        </w:rPr>
      </w:pPr>
      <w:r>
        <w:rPr>
          <w:sz w:val="24"/>
          <w:szCs w:val="24"/>
        </w:rPr>
        <w:t>The classification of statutory rape only considers sexual violence against female adolescents and not against male adolescents, who are also victims of this crime; such categorisation is not in line with comprehensive protection and inte</w:t>
      </w:r>
      <w:r>
        <w:rPr>
          <w:sz w:val="24"/>
          <w:szCs w:val="24"/>
        </w:rPr>
        <w:t>rnational standards.</w:t>
      </w:r>
      <w:r>
        <w:rPr>
          <w:sz w:val="24"/>
          <w:szCs w:val="24"/>
          <w:vertAlign w:val="superscript"/>
        </w:rPr>
        <w:footnoteReference w:id="81"/>
      </w:r>
      <w:r>
        <w:rPr>
          <w:color w:val="FF0000"/>
          <w:sz w:val="24"/>
          <w:szCs w:val="24"/>
        </w:rPr>
        <w:t xml:space="preserve"> </w:t>
      </w:r>
    </w:p>
    <w:p w:rsidR="006E2C03" w:rsidRDefault="00FD32A9">
      <w:pPr>
        <w:numPr>
          <w:ilvl w:val="0"/>
          <w:numId w:val="26"/>
        </w:numPr>
        <w:spacing w:after="200"/>
        <w:ind w:right="145"/>
        <w:jc w:val="both"/>
        <w:rPr>
          <w:rFonts w:ascii="Calibri" w:eastAsia="Calibri" w:hAnsi="Calibri" w:cs="Calibri"/>
          <w:sz w:val="24"/>
          <w:szCs w:val="24"/>
        </w:rPr>
      </w:pPr>
      <w:r>
        <w:rPr>
          <w:b/>
          <w:sz w:val="24"/>
          <w:szCs w:val="24"/>
        </w:rPr>
        <w:t>Sale and Trafficking</w:t>
      </w:r>
      <w:r>
        <w:rPr>
          <w:b/>
          <w:sz w:val="24"/>
          <w:szCs w:val="24"/>
        </w:rPr>
        <w:tab/>
      </w:r>
      <w:r>
        <w:rPr>
          <w:b/>
          <w:sz w:val="24"/>
          <w:szCs w:val="24"/>
        </w:rPr>
        <w:tab/>
        <w:t xml:space="preserve"> </w:t>
      </w:r>
    </w:p>
    <w:p w:rsidR="006E2C03" w:rsidRDefault="00FD32A9">
      <w:pPr>
        <w:numPr>
          <w:ilvl w:val="0"/>
          <w:numId w:val="41"/>
        </w:numPr>
        <w:spacing w:after="200"/>
        <w:ind w:right="359"/>
        <w:jc w:val="both"/>
        <w:rPr>
          <w:sz w:val="24"/>
          <w:szCs w:val="24"/>
        </w:rPr>
      </w:pPr>
      <w:r>
        <w:rPr>
          <w:sz w:val="24"/>
          <w:szCs w:val="24"/>
        </w:rPr>
        <w:t>In 2021, 183 cases of children and adolescents who were victims of human trafficking were registered; 159 were females and 24 were males.</w:t>
      </w:r>
      <w:r>
        <w:rPr>
          <w:sz w:val="24"/>
          <w:szCs w:val="24"/>
          <w:vertAlign w:val="superscript"/>
        </w:rPr>
        <w:footnoteReference w:id="82"/>
      </w:r>
      <w:r>
        <w:rPr>
          <w:sz w:val="24"/>
          <w:szCs w:val="24"/>
        </w:rPr>
        <w:t xml:space="preserve"> In 2020, during the pandemic, 160 girls and adolescents between ages 1</w:t>
      </w:r>
      <w:r>
        <w:rPr>
          <w:sz w:val="24"/>
          <w:szCs w:val="24"/>
        </w:rPr>
        <w:t>2 and 17, including 22 victims of trafficking for sexual and labour exploitation, were abandoned near the border bridge between Paraguay and Brazil.</w:t>
      </w:r>
      <w:r>
        <w:rPr>
          <w:sz w:val="24"/>
          <w:szCs w:val="24"/>
          <w:vertAlign w:val="superscript"/>
        </w:rPr>
        <w:footnoteReference w:id="83"/>
      </w:r>
      <w:r>
        <w:rPr>
          <w:sz w:val="24"/>
          <w:szCs w:val="24"/>
        </w:rPr>
        <w:t xml:space="preserve"> They stated that there are still hundreds of Paraguayan victims in the sites where they were exploited.</w:t>
      </w:r>
      <w:r>
        <w:rPr>
          <w:sz w:val="24"/>
          <w:szCs w:val="24"/>
          <w:vertAlign w:val="superscript"/>
        </w:rPr>
        <w:footnoteReference w:id="84"/>
      </w:r>
      <w:r>
        <w:rPr>
          <w:sz w:val="24"/>
          <w:szCs w:val="24"/>
        </w:rPr>
        <w:t xml:space="preserve"> T</w:t>
      </w:r>
      <w:r>
        <w:rPr>
          <w:sz w:val="24"/>
          <w:szCs w:val="24"/>
        </w:rPr>
        <w:t xml:space="preserve">his is evidence of the permissiveness that allows children and adolescents to leave the country without any record of their movement, and also that official bodies, such as educational authorities, do not issue an alert.  </w:t>
      </w:r>
    </w:p>
    <w:p w:rsidR="006E2C03" w:rsidRDefault="00FD32A9">
      <w:pPr>
        <w:numPr>
          <w:ilvl w:val="0"/>
          <w:numId w:val="41"/>
        </w:numPr>
        <w:spacing w:after="200"/>
        <w:ind w:right="359"/>
        <w:jc w:val="both"/>
        <w:rPr>
          <w:sz w:val="24"/>
          <w:szCs w:val="24"/>
        </w:rPr>
      </w:pPr>
      <w:r>
        <w:rPr>
          <w:sz w:val="24"/>
          <w:szCs w:val="24"/>
        </w:rPr>
        <w:t>Paraguay only has one specialized</w:t>
      </w:r>
      <w:r>
        <w:rPr>
          <w:sz w:val="24"/>
          <w:szCs w:val="24"/>
        </w:rPr>
        <w:t xml:space="preserve"> shelter for girls and female adolescents who are victims of trafficking, and no shelters for boys and male adolescents who are victims of these crimes. Actions are not coordinated with public policies on the prevention, care and repression of these crimes</w:t>
      </w:r>
      <w:r>
        <w:rPr>
          <w:sz w:val="24"/>
          <w:szCs w:val="24"/>
        </w:rPr>
        <w:t>, and there is no budget for their sustainability.</w:t>
      </w:r>
      <w:r>
        <w:rPr>
          <w:sz w:val="24"/>
          <w:szCs w:val="24"/>
          <w:vertAlign w:val="superscript"/>
        </w:rPr>
        <w:footnoteReference w:id="85"/>
      </w:r>
    </w:p>
    <w:p w:rsidR="006E2C03" w:rsidRDefault="00FD32A9">
      <w:pPr>
        <w:numPr>
          <w:ilvl w:val="0"/>
          <w:numId w:val="58"/>
        </w:numPr>
        <w:spacing w:after="200"/>
        <w:ind w:right="145"/>
        <w:jc w:val="both"/>
        <w:rPr>
          <w:rFonts w:ascii="Calibri" w:eastAsia="Calibri" w:hAnsi="Calibri" w:cs="Calibri"/>
          <w:sz w:val="24"/>
          <w:szCs w:val="24"/>
        </w:rPr>
      </w:pPr>
      <w:r>
        <w:rPr>
          <w:b/>
          <w:sz w:val="24"/>
          <w:szCs w:val="24"/>
        </w:rPr>
        <w:t>Telephone Helpline</w:t>
      </w:r>
      <w:r>
        <w:rPr>
          <w:sz w:val="24"/>
          <w:szCs w:val="24"/>
        </w:rPr>
        <w:t xml:space="preserve"> </w:t>
      </w:r>
    </w:p>
    <w:p w:rsidR="006E2C03" w:rsidRDefault="00FD32A9">
      <w:pPr>
        <w:numPr>
          <w:ilvl w:val="0"/>
          <w:numId w:val="41"/>
        </w:numPr>
        <w:spacing w:after="200"/>
        <w:ind w:right="145"/>
        <w:jc w:val="both"/>
        <w:rPr>
          <w:sz w:val="24"/>
          <w:szCs w:val="24"/>
        </w:rPr>
      </w:pPr>
      <w:r>
        <w:rPr>
          <w:sz w:val="24"/>
          <w:szCs w:val="24"/>
        </w:rPr>
        <w:t>Servicio Fono Ayuda 147, an exclusive helpline for children and adolescents, is free of charge. The wide-spread advertising of the service and the fact that children, adolescents and adults recognize it as a way to access SIPPINA at the national level is f</w:t>
      </w:r>
      <w:r>
        <w:rPr>
          <w:sz w:val="24"/>
          <w:szCs w:val="24"/>
        </w:rPr>
        <w:t>avourable. However, the high number of calls and the limited number of professionals</w:t>
      </w:r>
      <w:r>
        <w:rPr>
          <w:sz w:val="24"/>
          <w:szCs w:val="24"/>
          <w:vertAlign w:val="superscript"/>
        </w:rPr>
        <w:footnoteReference w:id="86"/>
      </w:r>
      <w:r>
        <w:rPr>
          <w:sz w:val="24"/>
          <w:szCs w:val="24"/>
        </w:rPr>
        <w:t xml:space="preserve"> leads to a) long response times or no response at all; b) limited or no follow-up to cases, with actions focused on reception, orientation and/or referral. This is a seri</w:t>
      </w:r>
      <w:r>
        <w:rPr>
          <w:sz w:val="24"/>
          <w:szCs w:val="24"/>
        </w:rPr>
        <w:t xml:space="preserve">ous situation because those who call the service receive guidance on where to file a complaint, but then they do not follow through, which means that thousands of children and adolescents go without proper protection. </w:t>
      </w:r>
    </w:p>
    <w:p w:rsidR="006E2C03" w:rsidRDefault="00FD32A9">
      <w:pPr>
        <w:numPr>
          <w:ilvl w:val="0"/>
          <w:numId w:val="8"/>
        </w:numPr>
        <w:spacing w:after="200"/>
        <w:ind w:right="145"/>
        <w:jc w:val="both"/>
        <w:rPr>
          <w:rFonts w:ascii="Calibri" w:eastAsia="Calibri" w:hAnsi="Calibri" w:cs="Calibri"/>
          <w:sz w:val="24"/>
          <w:szCs w:val="24"/>
        </w:rPr>
      </w:pPr>
      <w:r>
        <w:rPr>
          <w:b/>
          <w:sz w:val="24"/>
          <w:szCs w:val="24"/>
        </w:rPr>
        <w:t>Administration of Juvenile Justice</w:t>
      </w:r>
    </w:p>
    <w:p w:rsidR="006E2C03" w:rsidRDefault="00FD32A9">
      <w:pPr>
        <w:numPr>
          <w:ilvl w:val="0"/>
          <w:numId w:val="41"/>
        </w:numPr>
        <w:spacing w:after="200"/>
        <w:ind w:right="145"/>
        <w:jc w:val="both"/>
        <w:rPr>
          <w:sz w:val="24"/>
          <w:szCs w:val="24"/>
        </w:rPr>
      </w:pPr>
      <w:r>
        <w:rPr>
          <w:sz w:val="24"/>
          <w:szCs w:val="24"/>
        </w:rPr>
        <w:t>Th</w:t>
      </w:r>
      <w:r>
        <w:rPr>
          <w:sz w:val="24"/>
          <w:szCs w:val="24"/>
        </w:rPr>
        <w:t xml:space="preserve">e juvenile justice model that Paraguay has adopted provides for specialized justice, in which the imposition of custodial sentences is minimal and used as a last resort. However, as of February 2023, 186 adolescents were deprived of liberty in educational </w:t>
      </w:r>
      <w:r>
        <w:rPr>
          <w:sz w:val="24"/>
          <w:szCs w:val="24"/>
        </w:rPr>
        <w:t>centres, and 80.5% were left without a sentence; this is due to the lack of a criminal procedure for adolescents that has its own characteristics to guarantee their rights and differentiate it from that of adults. Although a pilot program on restorative ju</w:t>
      </w:r>
      <w:r>
        <w:rPr>
          <w:sz w:val="24"/>
          <w:szCs w:val="24"/>
        </w:rPr>
        <w:t>stice was carried out in one city, it was not taken to other jurisdictions due to lack of political will and budgeting.</w:t>
      </w:r>
    </w:p>
    <w:p w:rsidR="006E2C03" w:rsidRDefault="00FD32A9">
      <w:pPr>
        <w:numPr>
          <w:ilvl w:val="0"/>
          <w:numId w:val="41"/>
        </w:numPr>
        <w:spacing w:after="200"/>
        <w:ind w:right="145"/>
        <w:jc w:val="both"/>
        <w:rPr>
          <w:sz w:val="24"/>
          <w:szCs w:val="24"/>
        </w:rPr>
      </w:pPr>
      <w:r>
        <w:rPr>
          <w:sz w:val="24"/>
          <w:szCs w:val="24"/>
        </w:rPr>
        <w:t>There is concern that a system based on complying with certain measures continues to be implemented with a penal logic, without prioriti</w:t>
      </w:r>
      <w:r>
        <w:rPr>
          <w:sz w:val="24"/>
          <w:szCs w:val="24"/>
        </w:rPr>
        <w:t>zing socio-educational alternatives in a system founded on freedom and support for the social insertion of adolescents in conflict with the law.</w:t>
      </w:r>
    </w:p>
    <w:p w:rsidR="006E2C03" w:rsidRDefault="00FD32A9">
      <w:pPr>
        <w:numPr>
          <w:ilvl w:val="0"/>
          <w:numId w:val="36"/>
        </w:numPr>
        <w:spacing w:after="200"/>
        <w:ind w:right="145"/>
        <w:jc w:val="both"/>
        <w:rPr>
          <w:rFonts w:ascii="Calibri" w:eastAsia="Calibri" w:hAnsi="Calibri" w:cs="Calibri"/>
          <w:sz w:val="24"/>
          <w:szCs w:val="24"/>
        </w:rPr>
      </w:pPr>
      <w:r>
        <w:rPr>
          <w:b/>
          <w:sz w:val="24"/>
          <w:szCs w:val="24"/>
        </w:rPr>
        <w:t xml:space="preserve">Protection for Witnesses and Crime Victims </w:t>
      </w:r>
    </w:p>
    <w:p w:rsidR="006E2C03" w:rsidRDefault="00FD32A9">
      <w:pPr>
        <w:numPr>
          <w:ilvl w:val="0"/>
          <w:numId w:val="41"/>
        </w:numPr>
        <w:spacing w:after="200"/>
        <w:ind w:right="145"/>
        <w:jc w:val="both"/>
        <w:rPr>
          <w:sz w:val="24"/>
          <w:szCs w:val="24"/>
        </w:rPr>
      </w:pPr>
      <w:r>
        <w:rPr>
          <w:sz w:val="24"/>
          <w:szCs w:val="24"/>
        </w:rPr>
        <w:t>Paraguay’s Law on Witness Support and Protection has general guidel</w:t>
      </w:r>
      <w:r>
        <w:rPr>
          <w:sz w:val="24"/>
          <w:szCs w:val="24"/>
        </w:rPr>
        <w:t>ines. Other than the instruction to “pay special attention to especially vulnerable victims such as children and adolescents”, they have no specifications for children and adolescents. It is evident that the victim’s participation in the criminal process i</w:t>
      </w:r>
      <w:r>
        <w:rPr>
          <w:sz w:val="24"/>
          <w:szCs w:val="24"/>
        </w:rPr>
        <w:t>s limited to the role of a witness. Moreover, judicial procedures have not been adapted to the needs of child victims to protect their privacy and guarantee their safety and that of their families. There is concern that the protection provided by the progr</w:t>
      </w:r>
      <w:r>
        <w:rPr>
          <w:sz w:val="24"/>
          <w:szCs w:val="24"/>
        </w:rPr>
        <w:t xml:space="preserve">am is limited to the duration of the criminal process instead of providing guarantees before, during and after in order to avoid risks for both witnesses and victims. </w:t>
      </w:r>
    </w:p>
    <w:p w:rsidR="006E2C03" w:rsidRDefault="00FD32A9">
      <w:pPr>
        <w:numPr>
          <w:ilvl w:val="0"/>
          <w:numId w:val="25"/>
        </w:numPr>
        <w:spacing w:after="200"/>
        <w:ind w:right="145"/>
        <w:jc w:val="both"/>
        <w:rPr>
          <w:rFonts w:ascii="Calibri" w:eastAsia="Calibri" w:hAnsi="Calibri" w:cs="Calibri"/>
          <w:sz w:val="24"/>
          <w:szCs w:val="24"/>
        </w:rPr>
      </w:pPr>
      <w:r>
        <w:rPr>
          <w:b/>
          <w:sz w:val="24"/>
          <w:szCs w:val="24"/>
        </w:rPr>
        <w:t>Indigenous Children</w:t>
      </w:r>
    </w:p>
    <w:p w:rsidR="006E2C03" w:rsidRDefault="00FD32A9">
      <w:pPr>
        <w:numPr>
          <w:ilvl w:val="0"/>
          <w:numId w:val="41"/>
        </w:numPr>
        <w:spacing w:after="200"/>
        <w:ind w:right="145"/>
        <w:jc w:val="both"/>
        <w:rPr>
          <w:sz w:val="24"/>
          <w:szCs w:val="24"/>
        </w:rPr>
      </w:pPr>
      <w:r>
        <w:rPr>
          <w:sz w:val="24"/>
          <w:szCs w:val="24"/>
        </w:rPr>
        <w:t>The indigenous population represents about 2% of the country’s total</w:t>
      </w:r>
      <w:r>
        <w:rPr>
          <w:sz w:val="24"/>
          <w:szCs w:val="24"/>
        </w:rPr>
        <w:t xml:space="preserve"> population, of which 51.3% are children and adolescents, and 73.7% of them are living in poverty.</w:t>
      </w:r>
      <w:r>
        <w:rPr>
          <w:sz w:val="24"/>
          <w:szCs w:val="24"/>
          <w:vertAlign w:val="superscript"/>
        </w:rPr>
        <w:footnoteReference w:id="87"/>
      </w:r>
      <w:r>
        <w:rPr>
          <w:sz w:val="24"/>
          <w:szCs w:val="24"/>
        </w:rPr>
        <w:t xml:space="preserve"> Nearly half of the indigenous children and adolescents live in communities that do have legal claims to their lands, which puts them in a situation of insta</w:t>
      </w:r>
      <w:r>
        <w:rPr>
          <w:sz w:val="24"/>
          <w:szCs w:val="24"/>
        </w:rPr>
        <w:t>bility and of being pushed off their lands due to forced evictions.</w:t>
      </w:r>
      <w:r>
        <w:rPr>
          <w:sz w:val="24"/>
          <w:szCs w:val="24"/>
          <w:vertAlign w:val="superscript"/>
        </w:rPr>
        <w:footnoteReference w:id="88"/>
      </w:r>
      <w:r>
        <w:rPr>
          <w:sz w:val="24"/>
          <w:szCs w:val="24"/>
        </w:rPr>
        <w:t xml:space="preserve"> The indigenous population aged 15 years and older has an average of only 4.13 years of schooling, compared to 8.3 years for other adolescents.</w:t>
      </w:r>
      <w:r>
        <w:rPr>
          <w:sz w:val="24"/>
          <w:szCs w:val="24"/>
          <w:vertAlign w:val="superscript"/>
        </w:rPr>
        <w:footnoteReference w:id="89"/>
      </w:r>
    </w:p>
    <w:p w:rsidR="006E2C03" w:rsidRDefault="00FD32A9">
      <w:pPr>
        <w:pStyle w:val="Heading3"/>
        <w:ind w:right="145"/>
        <w:jc w:val="both"/>
        <w:rPr>
          <w:i w:val="0"/>
        </w:rPr>
      </w:pPr>
      <w:bookmarkStart w:id="17" w:name="_heading=h.1ksv4uv" w:colFirst="0" w:colLast="0"/>
      <w:bookmarkEnd w:id="17"/>
      <w:r>
        <w:rPr>
          <w:i w:val="0"/>
        </w:rPr>
        <w:t xml:space="preserve">Recommendations: </w:t>
      </w:r>
    </w:p>
    <w:p w:rsidR="006E2C03" w:rsidRDefault="00FD32A9">
      <w:pPr>
        <w:numPr>
          <w:ilvl w:val="0"/>
          <w:numId w:val="41"/>
        </w:numPr>
        <w:spacing w:after="200"/>
        <w:ind w:right="145"/>
        <w:jc w:val="both"/>
        <w:rPr>
          <w:sz w:val="26"/>
          <w:szCs w:val="26"/>
        </w:rPr>
      </w:pPr>
      <w:r>
        <w:rPr>
          <w:sz w:val="24"/>
          <w:szCs w:val="24"/>
        </w:rPr>
        <w:t>Create a mechanism to rec</w:t>
      </w:r>
      <w:r>
        <w:rPr>
          <w:sz w:val="24"/>
          <w:szCs w:val="24"/>
        </w:rPr>
        <w:t>ord data on the situation of refugee children and adolescents in the country, which will provide the necessary information for decision-making and the development of policies, plans and programs that can provide responses and protection for children and ad</w:t>
      </w:r>
      <w:r>
        <w:rPr>
          <w:sz w:val="24"/>
          <w:szCs w:val="24"/>
        </w:rPr>
        <w:t xml:space="preserve">olescents. </w:t>
      </w:r>
    </w:p>
    <w:p w:rsidR="006E2C03" w:rsidRDefault="00FD32A9">
      <w:pPr>
        <w:numPr>
          <w:ilvl w:val="0"/>
          <w:numId w:val="41"/>
        </w:numPr>
        <w:spacing w:after="200"/>
        <w:ind w:right="145"/>
        <w:jc w:val="both"/>
        <w:rPr>
          <w:rFonts w:ascii="Roboto" w:eastAsia="Roboto" w:hAnsi="Roboto" w:cs="Roboto"/>
        </w:rPr>
      </w:pPr>
      <w:r>
        <w:rPr>
          <w:sz w:val="24"/>
          <w:szCs w:val="24"/>
        </w:rPr>
        <w:t>The State must efficiently implement the Strategy to Prevent and Eradicate Child Labour by providing a comprehensive response to prevent the exposure of children and adolescents to dangerous and unprotected labour. Programmes must be implemented throughout</w:t>
      </w:r>
      <w:r>
        <w:rPr>
          <w:sz w:val="24"/>
          <w:szCs w:val="24"/>
        </w:rPr>
        <w:t xml:space="preserve"> the entire country.</w:t>
      </w:r>
    </w:p>
    <w:p w:rsidR="006E2C03" w:rsidRDefault="00FD32A9">
      <w:pPr>
        <w:numPr>
          <w:ilvl w:val="0"/>
          <w:numId w:val="41"/>
        </w:numPr>
        <w:spacing w:after="200"/>
        <w:ind w:right="145"/>
        <w:jc w:val="both"/>
        <w:rPr>
          <w:sz w:val="24"/>
          <w:szCs w:val="24"/>
        </w:rPr>
      </w:pPr>
      <w:r>
        <w:rPr>
          <w:sz w:val="24"/>
          <w:szCs w:val="24"/>
        </w:rPr>
        <w:t>Address the problem of children and adolescents in street situations from a comprehensive and territorial approach, contemplating the structural factors that foster it and abandoning the current model that is repressive and makes the s</w:t>
      </w:r>
      <w:r>
        <w:rPr>
          <w:sz w:val="24"/>
          <w:szCs w:val="24"/>
        </w:rPr>
        <w:t>ituation invisible.</w:t>
      </w:r>
    </w:p>
    <w:p w:rsidR="006E2C03" w:rsidRDefault="00FD32A9">
      <w:pPr>
        <w:numPr>
          <w:ilvl w:val="0"/>
          <w:numId w:val="41"/>
        </w:numPr>
        <w:spacing w:after="200"/>
        <w:ind w:right="145"/>
        <w:jc w:val="both"/>
        <w:rPr>
          <w:sz w:val="24"/>
          <w:szCs w:val="24"/>
        </w:rPr>
      </w:pPr>
      <w:r>
        <w:rPr>
          <w:sz w:val="24"/>
          <w:szCs w:val="24"/>
        </w:rPr>
        <w:t xml:space="preserve">The State must address </w:t>
      </w:r>
      <w:r>
        <w:rPr>
          <w:i/>
          <w:sz w:val="24"/>
          <w:szCs w:val="24"/>
        </w:rPr>
        <w:t>criadazgo</w:t>
      </w:r>
      <w:r>
        <w:rPr>
          <w:sz w:val="24"/>
          <w:szCs w:val="24"/>
        </w:rPr>
        <w:t>, the adoption of children to be used as household employees, recognizing its origin in structural and historical inequality. This should be done with a comprehensive approach that is not based on crimina</w:t>
      </w:r>
      <w:r>
        <w:rPr>
          <w:sz w:val="24"/>
          <w:szCs w:val="24"/>
        </w:rPr>
        <w:t>lisation. Its plan of action should include prevention, detection, care, family reintegration and restoration of rights, thus guaranteeing access to education, health and decent work.</w:t>
      </w:r>
    </w:p>
    <w:p w:rsidR="006E2C03" w:rsidRDefault="00FD32A9">
      <w:pPr>
        <w:numPr>
          <w:ilvl w:val="0"/>
          <w:numId w:val="41"/>
        </w:numPr>
        <w:spacing w:after="200"/>
        <w:ind w:right="145"/>
        <w:jc w:val="both"/>
        <w:rPr>
          <w:sz w:val="24"/>
          <w:szCs w:val="24"/>
        </w:rPr>
      </w:pPr>
      <w:r>
        <w:rPr>
          <w:sz w:val="24"/>
          <w:szCs w:val="24"/>
        </w:rPr>
        <w:t xml:space="preserve">Regulate and implement Law No. 6,202 “on the prevention of sexual abuse </w:t>
      </w:r>
      <w:r>
        <w:rPr>
          <w:sz w:val="24"/>
          <w:szCs w:val="24"/>
        </w:rPr>
        <w:t>and comprehensive care of children and adolescents who are victims of sexual abuse”, establishing clear prevention actions to be promoted from the educational system and ensuring funding for the diligent application of the law. Moreover, the State should t</w:t>
      </w:r>
      <w:r>
        <w:rPr>
          <w:sz w:val="24"/>
          <w:szCs w:val="24"/>
        </w:rPr>
        <w:t>ake all necessary measures to avoid setbacks on already recognized rights and the constant yielding to pressure from anti-rights groups.</w:t>
      </w:r>
    </w:p>
    <w:p w:rsidR="006E2C03" w:rsidRDefault="00FD32A9">
      <w:pPr>
        <w:numPr>
          <w:ilvl w:val="0"/>
          <w:numId w:val="41"/>
        </w:numPr>
        <w:spacing w:after="200"/>
        <w:jc w:val="both"/>
        <w:rPr>
          <w:sz w:val="24"/>
          <w:szCs w:val="24"/>
        </w:rPr>
      </w:pPr>
      <w:r>
        <w:rPr>
          <w:sz w:val="24"/>
          <w:szCs w:val="24"/>
        </w:rPr>
        <w:t>Comply with the recommendation made by CEDAW regarding the elimination of the figure of statutory rape from the crimina</w:t>
      </w:r>
      <w:r>
        <w:rPr>
          <w:sz w:val="24"/>
          <w:szCs w:val="24"/>
        </w:rPr>
        <w:t>l code in order to present its true nature of abuse and make it align with international standards.</w:t>
      </w:r>
    </w:p>
    <w:p w:rsidR="006E2C03" w:rsidRDefault="00FD32A9">
      <w:pPr>
        <w:numPr>
          <w:ilvl w:val="0"/>
          <w:numId w:val="41"/>
        </w:numPr>
        <w:spacing w:after="200"/>
        <w:ind w:right="145"/>
        <w:jc w:val="both"/>
        <w:rPr>
          <w:sz w:val="24"/>
          <w:szCs w:val="24"/>
        </w:rPr>
      </w:pPr>
      <w:r>
        <w:rPr>
          <w:sz w:val="24"/>
          <w:szCs w:val="24"/>
        </w:rPr>
        <w:t xml:space="preserve">That the Prosecutor’s Office investigate all reports of sexual abuse and pregnancy of girls without delay, and of forced marriages and unions, with special </w:t>
      </w:r>
      <w:r>
        <w:rPr>
          <w:sz w:val="24"/>
          <w:szCs w:val="24"/>
        </w:rPr>
        <w:t>attention to children and adolescents from indigenous communities.</w:t>
      </w:r>
    </w:p>
    <w:p w:rsidR="006E2C03" w:rsidRDefault="00FD32A9">
      <w:pPr>
        <w:numPr>
          <w:ilvl w:val="0"/>
          <w:numId w:val="41"/>
        </w:numPr>
        <w:spacing w:after="200"/>
        <w:ind w:right="145"/>
        <w:jc w:val="both"/>
        <w:rPr>
          <w:sz w:val="24"/>
          <w:szCs w:val="24"/>
        </w:rPr>
      </w:pPr>
      <w:r>
        <w:rPr>
          <w:sz w:val="24"/>
          <w:szCs w:val="24"/>
        </w:rPr>
        <w:t>Promote mechanisms for early detection of potential victims of human trafficking and exploitation, with emphasis on comprehensive protection, and provide urgent assistance to children and a</w:t>
      </w:r>
      <w:r>
        <w:rPr>
          <w:sz w:val="24"/>
          <w:szCs w:val="24"/>
        </w:rPr>
        <w:t>dolescents in situations of trafficking, with a central focus on the restitution of rights, considering the integrity of the victims, who require psychological, financial, health and long-term assistance within the framework of the configuration of emancip</w:t>
      </w:r>
      <w:r>
        <w:rPr>
          <w:sz w:val="24"/>
          <w:szCs w:val="24"/>
        </w:rPr>
        <w:t>ating life projects.</w:t>
      </w:r>
    </w:p>
    <w:p w:rsidR="006E2C03" w:rsidRDefault="00FD32A9">
      <w:pPr>
        <w:numPr>
          <w:ilvl w:val="0"/>
          <w:numId w:val="41"/>
        </w:numPr>
        <w:spacing w:after="200"/>
        <w:ind w:right="145"/>
        <w:jc w:val="both"/>
        <w:rPr>
          <w:sz w:val="24"/>
          <w:szCs w:val="24"/>
        </w:rPr>
      </w:pPr>
      <w:r>
        <w:rPr>
          <w:sz w:val="24"/>
          <w:szCs w:val="24"/>
        </w:rPr>
        <w:t>Strengthen the Fono Ayuda 147 toll-free helpline, recognizing its importance, despite SIPPINA’s limitations, by communicating the events 24 hours a day. Ensure that the service has the required number of professionals with the appropri</w:t>
      </w:r>
      <w:r>
        <w:rPr>
          <w:sz w:val="24"/>
          <w:szCs w:val="24"/>
        </w:rPr>
        <w:t xml:space="preserve">ate profile for comprehensive care. Follow up on cases to determine whether they were actually admitted to SIPPINA and whether the children and adolescents have been protected. </w:t>
      </w:r>
    </w:p>
    <w:p w:rsidR="006E2C03" w:rsidRDefault="00FD32A9">
      <w:pPr>
        <w:numPr>
          <w:ilvl w:val="0"/>
          <w:numId w:val="41"/>
        </w:numPr>
        <w:spacing w:after="200"/>
        <w:ind w:right="145"/>
        <w:jc w:val="both"/>
        <w:rPr>
          <w:sz w:val="24"/>
          <w:szCs w:val="24"/>
        </w:rPr>
      </w:pPr>
      <w:r>
        <w:rPr>
          <w:sz w:val="24"/>
          <w:szCs w:val="24"/>
        </w:rPr>
        <w:t>That the Adolescent Criminal Courts implement the provisions from Book Five of the Children’s Code; that pre-trial detention be absolutely exceptional, giving priority to measures based on freedom. The Prosecutor’s Office should reopen the Specialized Adol</w:t>
      </w:r>
      <w:r>
        <w:rPr>
          <w:sz w:val="24"/>
          <w:szCs w:val="24"/>
        </w:rPr>
        <w:t xml:space="preserve">escent Criminal Unit made up of prosecutors with knowledge in the matter. </w:t>
      </w:r>
    </w:p>
    <w:p w:rsidR="006E2C03" w:rsidRDefault="00FD32A9">
      <w:pPr>
        <w:numPr>
          <w:ilvl w:val="0"/>
          <w:numId w:val="41"/>
        </w:numPr>
        <w:spacing w:after="200"/>
        <w:ind w:right="145"/>
        <w:jc w:val="both"/>
        <w:rPr>
          <w:sz w:val="24"/>
          <w:szCs w:val="24"/>
        </w:rPr>
      </w:pPr>
      <w:r>
        <w:rPr>
          <w:sz w:val="24"/>
          <w:szCs w:val="24"/>
        </w:rPr>
        <w:t xml:space="preserve">The Ministry of Justice should implement and budget the Adolescent Criminal Policy with MINNA, and also design, establish and implement a Model for Applying Measures in a System of </w:t>
      </w:r>
      <w:r>
        <w:rPr>
          <w:sz w:val="24"/>
          <w:szCs w:val="24"/>
        </w:rPr>
        <w:t>Freedom, providing it with the necessary human and material resources.</w:t>
      </w:r>
    </w:p>
    <w:p w:rsidR="006E2C03" w:rsidRDefault="00FD32A9">
      <w:pPr>
        <w:numPr>
          <w:ilvl w:val="0"/>
          <w:numId w:val="41"/>
        </w:numPr>
        <w:spacing w:after="200"/>
        <w:ind w:right="145"/>
        <w:jc w:val="both"/>
        <w:rPr>
          <w:sz w:val="24"/>
          <w:szCs w:val="24"/>
        </w:rPr>
      </w:pPr>
      <w:r>
        <w:rPr>
          <w:sz w:val="24"/>
          <w:szCs w:val="24"/>
        </w:rPr>
        <w:t>Clearly delimit the procedures so that children and adolescents who are victims or witnesses of crimes have the required protection and support before, during and after the criminal pro</w:t>
      </w:r>
      <w:r>
        <w:rPr>
          <w:sz w:val="24"/>
          <w:szCs w:val="24"/>
        </w:rPr>
        <w:t xml:space="preserve">cess, thus preventing their re-victimisation or exposure to new situations of rights violation. </w:t>
      </w:r>
    </w:p>
    <w:p w:rsidR="006E2C03" w:rsidRDefault="00FD32A9">
      <w:pPr>
        <w:numPr>
          <w:ilvl w:val="0"/>
          <w:numId w:val="41"/>
        </w:numPr>
        <w:spacing w:after="200"/>
        <w:ind w:right="145"/>
        <w:jc w:val="both"/>
        <w:rPr>
          <w:sz w:val="24"/>
          <w:szCs w:val="24"/>
        </w:rPr>
      </w:pPr>
      <w:r>
        <w:rPr>
          <w:sz w:val="24"/>
          <w:szCs w:val="24"/>
        </w:rPr>
        <w:t xml:space="preserve">Effectively implement the National Plan for Indigenous Peoples and provide it with the necessary budget for its execution. Restructure the INDI, contemplating </w:t>
      </w:r>
      <w:r>
        <w:rPr>
          <w:sz w:val="24"/>
          <w:szCs w:val="24"/>
        </w:rPr>
        <w:t xml:space="preserve">and securing a budget for purchasing and conserving indigenous lands and for supporting the rooting of communities. </w:t>
      </w:r>
    </w:p>
    <w:p w:rsidR="006E2C03" w:rsidRDefault="00FD32A9">
      <w:pPr>
        <w:pStyle w:val="Heading2"/>
        <w:numPr>
          <w:ilvl w:val="0"/>
          <w:numId w:val="21"/>
        </w:numPr>
        <w:jc w:val="both"/>
      </w:pPr>
      <w:bookmarkStart w:id="18" w:name="_heading=h.44sinio" w:colFirst="0" w:colLast="0"/>
      <w:bookmarkEnd w:id="18"/>
      <w:r>
        <w:t>Optional Protocol on the Sale of Children, Child Prostitution and Child Pornography</w:t>
      </w:r>
    </w:p>
    <w:p w:rsidR="006E2C03" w:rsidRDefault="00FD32A9">
      <w:pPr>
        <w:numPr>
          <w:ilvl w:val="0"/>
          <w:numId w:val="10"/>
        </w:numPr>
        <w:spacing w:after="200"/>
        <w:rPr>
          <w:b/>
          <w:sz w:val="24"/>
          <w:szCs w:val="24"/>
        </w:rPr>
      </w:pPr>
      <w:r>
        <w:rPr>
          <w:b/>
          <w:sz w:val="24"/>
          <w:szCs w:val="24"/>
        </w:rPr>
        <w:t xml:space="preserve">Data  </w:t>
      </w:r>
    </w:p>
    <w:p w:rsidR="006E2C03" w:rsidRDefault="00FD32A9">
      <w:pPr>
        <w:numPr>
          <w:ilvl w:val="0"/>
          <w:numId w:val="41"/>
        </w:numPr>
        <w:spacing w:after="200"/>
        <w:ind w:right="145"/>
        <w:jc w:val="both"/>
        <w:rPr>
          <w:sz w:val="24"/>
          <w:szCs w:val="24"/>
        </w:rPr>
      </w:pPr>
      <w:r>
        <w:rPr>
          <w:sz w:val="24"/>
          <w:szCs w:val="24"/>
        </w:rPr>
        <w:t>Statistical production has shown progress, but d</w:t>
      </w:r>
      <w:r>
        <w:rPr>
          <w:sz w:val="24"/>
          <w:szCs w:val="24"/>
        </w:rPr>
        <w:t>eficiencies persist in the judicial sphere due to the lack of data disaggregation and traceability, which makes it impossible to follow up on judicial proceedings, from the filing of the complaint to the conviction.</w:t>
      </w:r>
    </w:p>
    <w:p w:rsidR="006E2C03" w:rsidRDefault="00FD32A9">
      <w:pPr>
        <w:numPr>
          <w:ilvl w:val="0"/>
          <w:numId w:val="41"/>
        </w:numPr>
        <w:spacing w:after="200"/>
        <w:ind w:right="145"/>
        <w:jc w:val="both"/>
        <w:rPr>
          <w:sz w:val="24"/>
          <w:szCs w:val="24"/>
        </w:rPr>
      </w:pPr>
      <w:r>
        <w:rPr>
          <w:sz w:val="24"/>
          <w:szCs w:val="24"/>
        </w:rPr>
        <w:t>In 2020, Law No. 6572 was enacted, creat</w:t>
      </w:r>
      <w:r>
        <w:rPr>
          <w:sz w:val="24"/>
          <w:szCs w:val="24"/>
        </w:rPr>
        <w:t>ing the National Registry of Sex Offenders of Children and Adolescents and the Genetic Bank;</w:t>
      </w:r>
      <w:r>
        <w:rPr>
          <w:sz w:val="24"/>
          <w:szCs w:val="24"/>
          <w:vertAlign w:val="superscript"/>
        </w:rPr>
        <w:footnoteReference w:id="90"/>
      </w:r>
      <w:r>
        <w:rPr>
          <w:sz w:val="24"/>
          <w:szCs w:val="24"/>
        </w:rPr>
        <w:t xml:space="preserve"> however, there is a low number of convictions. In addition, there is no information on its budget and operating mechanism. </w:t>
      </w:r>
    </w:p>
    <w:p w:rsidR="006E2C03" w:rsidRDefault="00FD32A9">
      <w:pPr>
        <w:numPr>
          <w:ilvl w:val="0"/>
          <w:numId w:val="45"/>
        </w:numPr>
        <w:spacing w:after="200"/>
        <w:ind w:right="145"/>
        <w:jc w:val="both"/>
        <w:rPr>
          <w:rFonts w:ascii="Calibri" w:eastAsia="Calibri" w:hAnsi="Calibri" w:cs="Calibri"/>
          <w:sz w:val="24"/>
          <w:szCs w:val="24"/>
        </w:rPr>
      </w:pPr>
      <w:r>
        <w:rPr>
          <w:b/>
          <w:sz w:val="24"/>
          <w:szCs w:val="24"/>
        </w:rPr>
        <w:t>National Action Plan</w:t>
      </w:r>
      <w:r>
        <w:rPr>
          <w:sz w:val="24"/>
          <w:szCs w:val="24"/>
        </w:rPr>
        <w:tab/>
      </w:r>
    </w:p>
    <w:p w:rsidR="006E2C03" w:rsidRDefault="00FD32A9">
      <w:pPr>
        <w:numPr>
          <w:ilvl w:val="0"/>
          <w:numId w:val="41"/>
        </w:numPr>
        <w:spacing w:after="200"/>
        <w:ind w:right="145"/>
        <w:jc w:val="both"/>
        <w:rPr>
          <w:sz w:val="24"/>
          <w:szCs w:val="24"/>
        </w:rPr>
      </w:pPr>
      <w:r>
        <w:rPr>
          <w:sz w:val="24"/>
          <w:szCs w:val="24"/>
        </w:rPr>
        <w:t>There is a Natio</w:t>
      </w:r>
      <w:r>
        <w:rPr>
          <w:sz w:val="24"/>
          <w:szCs w:val="24"/>
        </w:rPr>
        <w:t>nal Plan to Prevent and Combat Human Trafficking,</w:t>
      </w:r>
      <w:r>
        <w:rPr>
          <w:sz w:val="24"/>
          <w:szCs w:val="24"/>
          <w:vertAlign w:val="superscript"/>
        </w:rPr>
        <w:footnoteReference w:id="91"/>
      </w:r>
      <w:r>
        <w:rPr>
          <w:sz w:val="24"/>
          <w:szCs w:val="24"/>
        </w:rPr>
        <w:t xml:space="preserve"> including sexual exploitation and pornography, but it has not managed to develop an approach for prevention, for providing victims with comprehensive care, and for promptly investigating such events. The a</w:t>
      </w:r>
      <w:r>
        <w:rPr>
          <w:sz w:val="24"/>
          <w:szCs w:val="24"/>
        </w:rPr>
        <w:t>ctions are not coordinated with public policies for preventing and repressing these crimes and do not have the necessary budget.</w:t>
      </w:r>
    </w:p>
    <w:p w:rsidR="006E2C03" w:rsidRDefault="00FD32A9">
      <w:pPr>
        <w:numPr>
          <w:ilvl w:val="0"/>
          <w:numId w:val="48"/>
        </w:numPr>
        <w:spacing w:after="200"/>
        <w:ind w:right="145"/>
        <w:jc w:val="both"/>
        <w:rPr>
          <w:b/>
          <w:sz w:val="24"/>
          <w:szCs w:val="24"/>
        </w:rPr>
      </w:pPr>
      <w:r>
        <w:rPr>
          <w:b/>
          <w:sz w:val="24"/>
          <w:szCs w:val="24"/>
        </w:rPr>
        <w:t>Coordination and Evaluation</w:t>
      </w:r>
      <w:r>
        <w:rPr>
          <w:b/>
          <w:sz w:val="24"/>
          <w:szCs w:val="24"/>
        </w:rPr>
        <w:tab/>
      </w:r>
    </w:p>
    <w:p w:rsidR="006E2C03" w:rsidRDefault="00FD32A9">
      <w:pPr>
        <w:numPr>
          <w:ilvl w:val="0"/>
          <w:numId w:val="41"/>
        </w:numPr>
        <w:spacing w:after="200"/>
        <w:ind w:right="145"/>
        <w:jc w:val="both"/>
        <w:rPr>
          <w:sz w:val="24"/>
          <w:szCs w:val="24"/>
        </w:rPr>
      </w:pPr>
      <w:r>
        <w:rPr>
          <w:sz w:val="24"/>
          <w:szCs w:val="24"/>
        </w:rPr>
        <w:t>Inter-institutional, multilevel and inter-sectoral coordination and joint efforts are deficient. T</w:t>
      </w:r>
      <w:r>
        <w:rPr>
          <w:sz w:val="24"/>
          <w:szCs w:val="24"/>
        </w:rPr>
        <w:t>here is an inter-institutional roundtable for preventing and fighting against trafficking, but it does not have detailed, public information about its effectiveness and operations. In addition, although the joint efforts between the State and civil society</w:t>
      </w:r>
      <w:r>
        <w:rPr>
          <w:sz w:val="24"/>
          <w:szCs w:val="24"/>
        </w:rPr>
        <w:t xml:space="preserve"> are key in all areas, the participation of civil society was excluded from this roundtable.</w:t>
      </w:r>
      <w:r>
        <w:rPr>
          <w:sz w:val="24"/>
          <w:szCs w:val="24"/>
          <w:vertAlign w:val="superscript"/>
        </w:rPr>
        <w:footnoteReference w:id="92"/>
      </w:r>
      <w:r>
        <w:rPr>
          <w:sz w:val="24"/>
          <w:szCs w:val="24"/>
        </w:rPr>
        <w:t xml:space="preserve"> This official body is coordinated by the Ministry of Foreign Affairs, and it does not have the political strength to sustain institutional management processes of</w:t>
      </w:r>
      <w:r>
        <w:rPr>
          <w:sz w:val="24"/>
          <w:szCs w:val="24"/>
        </w:rPr>
        <w:t xml:space="preserve"> public policies and budgets.</w:t>
      </w:r>
    </w:p>
    <w:p w:rsidR="006E2C03" w:rsidRDefault="00FD32A9">
      <w:pPr>
        <w:numPr>
          <w:ilvl w:val="0"/>
          <w:numId w:val="42"/>
        </w:numPr>
        <w:spacing w:after="200"/>
        <w:ind w:right="145"/>
        <w:jc w:val="both"/>
        <w:rPr>
          <w:rFonts w:ascii="Calibri" w:eastAsia="Calibri" w:hAnsi="Calibri" w:cs="Calibri"/>
          <w:sz w:val="24"/>
          <w:szCs w:val="24"/>
        </w:rPr>
      </w:pPr>
      <w:r>
        <w:rPr>
          <w:b/>
          <w:sz w:val="24"/>
          <w:szCs w:val="24"/>
        </w:rPr>
        <w:t>Dissemination and Awareness</w:t>
      </w:r>
      <w:r>
        <w:rPr>
          <w:sz w:val="24"/>
          <w:szCs w:val="24"/>
        </w:rPr>
        <w:tab/>
      </w:r>
    </w:p>
    <w:p w:rsidR="006E2C03" w:rsidRDefault="00FD32A9">
      <w:pPr>
        <w:numPr>
          <w:ilvl w:val="0"/>
          <w:numId w:val="41"/>
        </w:numPr>
        <w:spacing w:after="200"/>
        <w:ind w:right="145"/>
        <w:jc w:val="both"/>
        <w:rPr>
          <w:sz w:val="24"/>
          <w:szCs w:val="24"/>
        </w:rPr>
      </w:pPr>
      <w:r>
        <w:rPr>
          <w:sz w:val="24"/>
          <w:szCs w:val="24"/>
        </w:rPr>
        <w:t>Although there are campaigns that spread the word about trafficking, not about the protocol itself, they are not enough; their reach is not wide-spread, and they are funded by cooperation. There ar</w:t>
      </w:r>
      <w:r>
        <w:rPr>
          <w:sz w:val="24"/>
          <w:szCs w:val="24"/>
        </w:rPr>
        <w:t xml:space="preserve">e still high levels of ignorance of the problem, how to prevent it and how to act or where to go when one is made aware of such an event. While the educational system is key, it is not leveraged as it could be. </w:t>
      </w:r>
    </w:p>
    <w:p w:rsidR="006E2C03" w:rsidRDefault="00FD32A9">
      <w:pPr>
        <w:numPr>
          <w:ilvl w:val="0"/>
          <w:numId w:val="7"/>
        </w:numPr>
        <w:spacing w:after="200"/>
        <w:ind w:right="145"/>
        <w:jc w:val="both"/>
        <w:rPr>
          <w:b/>
          <w:sz w:val="24"/>
          <w:szCs w:val="24"/>
        </w:rPr>
      </w:pPr>
      <w:r>
        <w:rPr>
          <w:b/>
          <w:sz w:val="24"/>
          <w:szCs w:val="24"/>
        </w:rPr>
        <w:t xml:space="preserve">Training </w:t>
      </w:r>
      <w:r>
        <w:rPr>
          <w:b/>
          <w:sz w:val="24"/>
          <w:szCs w:val="24"/>
        </w:rPr>
        <w:tab/>
      </w:r>
    </w:p>
    <w:p w:rsidR="006E2C03" w:rsidRDefault="00FD32A9">
      <w:pPr>
        <w:numPr>
          <w:ilvl w:val="0"/>
          <w:numId w:val="41"/>
        </w:numPr>
        <w:spacing w:after="200"/>
        <w:ind w:right="145"/>
        <w:jc w:val="both"/>
        <w:rPr>
          <w:sz w:val="24"/>
          <w:szCs w:val="24"/>
        </w:rPr>
      </w:pPr>
      <w:r>
        <w:rPr>
          <w:sz w:val="24"/>
          <w:szCs w:val="24"/>
        </w:rPr>
        <w:t>Training for different members of</w:t>
      </w:r>
      <w:r>
        <w:rPr>
          <w:sz w:val="24"/>
          <w:szCs w:val="24"/>
        </w:rPr>
        <w:t xml:space="preserve"> the judicial system and professionals tied to the children’s sector is carried out in an isolated and sporadic manner. It does not necessarily address the optional protocol, nor is it systematic and regular.</w:t>
      </w:r>
    </w:p>
    <w:p w:rsidR="006E2C03" w:rsidRDefault="00FD32A9">
      <w:pPr>
        <w:numPr>
          <w:ilvl w:val="0"/>
          <w:numId w:val="39"/>
        </w:numPr>
        <w:spacing w:after="200"/>
        <w:ind w:right="145"/>
        <w:jc w:val="both"/>
        <w:rPr>
          <w:rFonts w:ascii="Calibri" w:eastAsia="Calibri" w:hAnsi="Calibri" w:cs="Calibri"/>
          <w:sz w:val="24"/>
          <w:szCs w:val="24"/>
        </w:rPr>
      </w:pPr>
      <w:r>
        <w:rPr>
          <w:b/>
          <w:sz w:val="24"/>
          <w:szCs w:val="24"/>
        </w:rPr>
        <w:t>Resource Allocation</w:t>
      </w:r>
      <w:r>
        <w:rPr>
          <w:sz w:val="24"/>
          <w:szCs w:val="24"/>
        </w:rPr>
        <w:tab/>
      </w:r>
    </w:p>
    <w:p w:rsidR="006E2C03" w:rsidRDefault="00FD32A9">
      <w:pPr>
        <w:numPr>
          <w:ilvl w:val="0"/>
          <w:numId w:val="41"/>
        </w:numPr>
        <w:spacing w:after="200"/>
        <w:ind w:right="145"/>
        <w:jc w:val="both"/>
        <w:rPr>
          <w:sz w:val="24"/>
          <w:szCs w:val="24"/>
        </w:rPr>
      </w:pPr>
      <w:r>
        <w:rPr>
          <w:sz w:val="24"/>
          <w:szCs w:val="24"/>
        </w:rPr>
        <w:t>Although the State has spe</w:t>
      </w:r>
      <w:r>
        <w:rPr>
          <w:sz w:val="24"/>
          <w:szCs w:val="24"/>
        </w:rPr>
        <w:t>cific budget allocations, they are insufficient. A clear example of this is the Ministry of Women’s investment to address human trafficking: less than one thousand six hundred (1,600) dollars per year. The State’s allocation of resources for prevention, pr</w:t>
      </w:r>
      <w:r>
        <w:rPr>
          <w:sz w:val="24"/>
          <w:szCs w:val="24"/>
        </w:rPr>
        <w:t>otection, physical and psychological rehabilitation and social reintegration of child and adolescent victims, as well as for research, continues to be deficient.</w:t>
      </w:r>
    </w:p>
    <w:p w:rsidR="006E2C03" w:rsidRDefault="00FD32A9">
      <w:pPr>
        <w:numPr>
          <w:ilvl w:val="0"/>
          <w:numId w:val="14"/>
        </w:numPr>
        <w:spacing w:after="200"/>
        <w:ind w:right="145"/>
        <w:jc w:val="both"/>
        <w:rPr>
          <w:b/>
          <w:sz w:val="24"/>
          <w:szCs w:val="24"/>
        </w:rPr>
      </w:pPr>
      <w:r>
        <w:rPr>
          <w:b/>
          <w:sz w:val="24"/>
          <w:szCs w:val="24"/>
        </w:rPr>
        <w:t>Civil Society</w:t>
      </w:r>
      <w:r>
        <w:rPr>
          <w:b/>
          <w:sz w:val="24"/>
          <w:szCs w:val="24"/>
        </w:rPr>
        <w:tab/>
      </w:r>
    </w:p>
    <w:p w:rsidR="006E2C03" w:rsidRDefault="00FD32A9">
      <w:pPr>
        <w:numPr>
          <w:ilvl w:val="0"/>
          <w:numId w:val="41"/>
        </w:numPr>
        <w:spacing w:after="200"/>
        <w:ind w:right="145"/>
        <w:jc w:val="both"/>
        <w:rPr>
          <w:sz w:val="24"/>
          <w:szCs w:val="24"/>
        </w:rPr>
      </w:pPr>
      <w:r>
        <w:rPr>
          <w:sz w:val="24"/>
          <w:szCs w:val="24"/>
        </w:rPr>
        <w:t>Although the Law</w:t>
      </w:r>
      <w:r>
        <w:rPr>
          <w:sz w:val="24"/>
          <w:szCs w:val="24"/>
          <w:vertAlign w:val="superscript"/>
        </w:rPr>
        <w:footnoteReference w:id="93"/>
      </w:r>
      <w:r>
        <w:rPr>
          <w:sz w:val="24"/>
          <w:szCs w:val="24"/>
        </w:rPr>
        <w:t xml:space="preserve"> establishes that “whenever circumstances permit, the Paraguayan State will seek to work in coordination with civil society and the private sector in general to prevent human trafficking and reintegrate victims of human trafficking”, the law itself exclude</w:t>
      </w:r>
      <w:r>
        <w:rPr>
          <w:sz w:val="24"/>
          <w:szCs w:val="24"/>
        </w:rPr>
        <w:t>s their participation; that is, it does not provide for civil society to be represented on the inter-institutional roundtable on trafficking. Nevertheless, civil society, in view of the seriousness of the situation and the State’s lack of response, continu</w:t>
      </w:r>
      <w:r>
        <w:rPr>
          <w:sz w:val="24"/>
          <w:szCs w:val="24"/>
        </w:rPr>
        <w:t>es to carry out actions that contribute to preventing human trafficking and assisting its victims. In this regard, it is worth mentioning Fundación Buen Pastor, which works in coordination with MINNA to promote the only shelter for the care of girls and ad</w:t>
      </w:r>
      <w:r>
        <w:rPr>
          <w:sz w:val="24"/>
          <w:szCs w:val="24"/>
        </w:rPr>
        <w:t xml:space="preserve">olescents who are victims of trafficking. </w:t>
      </w:r>
    </w:p>
    <w:p w:rsidR="006E2C03" w:rsidRDefault="00FD32A9">
      <w:pPr>
        <w:numPr>
          <w:ilvl w:val="0"/>
          <w:numId w:val="1"/>
        </w:numPr>
        <w:spacing w:after="200"/>
        <w:ind w:right="145"/>
        <w:jc w:val="both"/>
        <w:rPr>
          <w:b/>
          <w:sz w:val="24"/>
          <w:szCs w:val="24"/>
        </w:rPr>
      </w:pPr>
      <w:r>
        <w:rPr>
          <w:b/>
          <w:sz w:val="24"/>
          <w:szCs w:val="24"/>
        </w:rPr>
        <w:t>Measures Taken to Prevent Offenses Prohibited by the Optional Protocol</w:t>
      </w:r>
    </w:p>
    <w:p w:rsidR="006E2C03" w:rsidRDefault="00FD32A9">
      <w:pPr>
        <w:numPr>
          <w:ilvl w:val="0"/>
          <w:numId w:val="41"/>
        </w:numPr>
        <w:spacing w:after="200"/>
        <w:ind w:right="145"/>
        <w:jc w:val="both"/>
        <w:rPr>
          <w:sz w:val="24"/>
          <w:szCs w:val="24"/>
        </w:rPr>
      </w:pPr>
      <w:r>
        <w:rPr>
          <w:sz w:val="24"/>
          <w:szCs w:val="24"/>
        </w:rPr>
        <w:t>Although there is legislation prohibiting such crimes, and there is a Human Trafficking Criminal Unit responsible for investigating the nature and extent of the sale of children, child prostitution and child pornography, preventive factors have not been ad</w:t>
      </w:r>
      <w:r>
        <w:rPr>
          <w:sz w:val="24"/>
          <w:szCs w:val="24"/>
        </w:rPr>
        <w:t>dressed for avoiding their continued occurrence or for identifying them quickly if children are at risk. In response to the CDN’s concern regarding the participation of girls and adolescents in beauty contests, these events continue to take place and are e</w:t>
      </w:r>
      <w:r>
        <w:rPr>
          <w:sz w:val="24"/>
          <w:szCs w:val="24"/>
        </w:rPr>
        <w:t>ncouraged by authorities at the local level and in educational institutions.</w:t>
      </w:r>
    </w:p>
    <w:p w:rsidR="006E2C03" w:rsidRDefault="00FD32A9">
      <w:pPr>
        <w:numPr>
          <w:ilvl w:val="0"/>
          <w:numId w:val="31"/>
        </w:numPr>
        <w:spacing w:after="200"/>
        <w:ind w:right="145"/>
        <w:jc w:val="both"/>
        <w:rPr>
          <w:b/>
          <w:sz w:val="24"/>
          <w:szCs w:val="24"/>
        </w:rPr>
      </w:pPr>
      <w:r>
        <w:rPr>
          <w:b/>
          <w:sz w:val="24"/>
          <w:szCs w:val="24"/>
        </w:rPr>
        <w:t>Adoption</w:t>
      </w:r>
      <w:r>
        <w:rPr>
          <w:b/>
          <w:sz w:val="24"/>
          <w:szCs w:val="24"/>
        </w:rPr>
        <w:tab/>
      </w:r>
    </w:p>
    <w:p w:rsidR="006E2C03" w:rsidRDefault="00FD32A9">
      <w:pPr>
        <w:numPr>
          <w:ilvl w:val="0"/>
          <w:numId w:val="41"/>
        </w:numPr>
        <w:spacing w:after="200"/>
        <w:ind w:right="145"/>
        <w:jc w:val="both"/>
        <w:rPr>
          <w:sz w:val="24"/>
          <w:szCs w:val="24"/>
        </w:rPr>
      </w:pPr>
      <w:r>
        <w:rPr>
          <w:sz w:val="24"/>
          <w:szCs w:val="24"/>
        </w:rPr>
        <w:t>With the new legislation, Law 6486/2020 on alternative care and adoption,</w:t>
      </w:r>
      <w:r>
        <w:rPr>
          <w:sz w:val="24"/>
          <w:szCs w:val="24"/>
          <w:vertAlign w:val="superscript"/>
        </w:rPr>
        <w:footnoteReference w:id="94"/>
      </w:r>
      <w:r>
        <w:rPr>
          <w:sz w:val="24"/>
          <w:szCs w:val="24"/>
        </w:rPr>
        <w:t xml:space="preserve"> the figure of provisional guardianship has been eliminated. Moreover, Art. 112 establishes the</w:t>
      </w:r>
      <w:r>
        <w:rPr>
          <w:sz w:val="24"/>
          <w:szCs w:val="24"/>
        </w:rPr>
        <w:t xml:space="preserve"> infractions that may lead to non-compliance with obligations by any natural or legal person on whom the exercise or enjoyment of the rights of children and adolescents may depend, as recognized in national and international instruments. However, the law h</w:t>
      </w:r>
      <w:r>
        <w:rPr>
          <w:sz w:val="24"/>
          <w:szCs w:val="24"/>
        </w:rPr>
        <w:t>as no budget.</w:t>
      </w:r>
    </w:p>
    <w:p w:rsidR="006E2C03" w:rsidRDefault="00FD32A9">
      <w:pPr>
        <w:numPr>
          <w:ilvl w:val="0"/>
          <w:numId w:val="49"/>
        </w:numPr>
        <w:spacing w:after="200"/>
        <w:ind w:right="145"/>
        <w:jc w:val="both"/>
        <w:rPr>
          <w:b/>
          <w:sz w:val="24"/>
          <w:szCs w:val="24"/>
        </w:rPr>
      </w:pPr>
      <w:r>
        <w:rPr>
          <w:b/>
          <w:sz w:val="24"/>
          <w:szCs w:val="24"/>
        </w:rPr>
        <w:t xml:space="preserve">The Exploitation of Children in Child Sex Tourism  </w:t>
      </w:r>
    </w:p>
    <w:p w:rsidR="006E2C03" w:rsidRDefault="00FD32A9">
      <w:pPr>
        <w:numPr>
          <w:ilvl w:val="0"/>
          <w:numId w:val="41"/>
        </w:numPr>
        <w:spacing w:after="200"/>
        <w:ind w:right="145"/>
        <w:jc w:val="both"/>
        <w:rPr>
          <w:sz w:val="24"/>
          <w:szCs w:val="24"/>
        </w:rPr>
      </w:pPr>
      <w:r>
        <w:rPr>
          <w:sz w:val="24"/>
          <w:szCs w:val="24"/>
        </w:rPr>
        <w:t>State campaigns to reduce such acts during the car race in Chaco stand out,</w:t>
      </w:r>
      <w:r>
        <w:rPr>
          <w:sz w:val="24"/>
          <w:szCs w:val="24"/>
          <w:vertAlign w:val="superscript"/>
        </w:rPr>
        <w:footnoteReference w:id="95"/>
      </w:r>
      <w:r>
        <w:rPr>
          <w:sz w:val="24"/>
          <w:szCs w:val="24"/>
        </w:rPr>
        <w:t xml:space="preserve"> but there are other situations regarding the sexual exploitation of girls and adolescents in boat rides from bord</w:t>
      </w:r>
      <w:r>
        <w:rPr>
          <w:sz w:val="24"/>
          <w:szCs w:val="24"/>
        </w:rPr>
        <w:t>er areas, known as “barqueritas”. The necessary budget is required for further investigation and a better approach to prevent, detect, address and punish these acts.</w:t>
      </w:r>
    </w:p>
    <w:p w:rsidR="006E2C03" w:rsidRDefault="00FD32A9">
      <w:pPr>
        <w:numPr>
          <w:ilvl w:val="0"/>
          <w:numId w:val="49"/>
        </w:numPr>
        <w:spacing w:after="200"/>
        <w:ind w:right="145"/>
        <w:jc w:val="both"/>
        <w:rPr>
          <w:b/>
          <w:sz w:val="24"/>
          <w:szCs w:val="24"/>
        </w:rPr>
      </w:pPr>
      <w:r>
        <w:rPr>
          <w:b/>
          <w:sz w:val="24"/>
          <w:szCs w:val="24"/>
        </w:rPr>
        <w:t>Programmes Geared at Specific Groups</w:t>
      </w:r>
      <w:r>
        <w:rPr>
          <w:b/>
          <w:sz w:val="24"/>
          <w:szCs w:val="24"/>
        </w:rPr>
        <w:tab/>
      </w:r>
      <w:r>
        <w:rPr>
          <w:b/>
          <w:sz w:val="24"/>
          <w:szCs w:val="24"/>
        </w:rPr>
        <w:tab/>
      </w:r>
    </w:p>
    <w:p w:rsidR="006E2C03" w:rsidRDefault="00FD32A9">
      <w:pPr>
        <w:numPr>
          <w:ilvl w:val="0"/>
          <w:numId w:val="41"/>
        </w:numPr>
        <w:spacing w:after="200"/>
        <w:ind w:right="145"/>
        <w:jc w:val="both"/>
        <w:rPr>
          <w:sz w:val="24"/>
          <w:szCs w:val="24"/>
        </w:rPr>
      </w:pPr>
      <w:r>
        <w:rPr>
          <w:sz w:val="24"/>
          <w:szCs w:val="24"/>
        </w:rPr>
        <w:t>The State has specific programs to address situatio</w:t>
      </w:r>
      <w:r>
        <w:rPr>
          <w:sz w:val="24"/>
          <w:szCs w:val="24"/>
        </w:rPr>
        <w:t>ns of trafficking, but they lack sufficient budgets. Prevention work is not carried out, and there is no gender approach, which is relevant provided that it affects mostly girls and female adolescents. Due to their rates of poverty, the risk areas are know</w:t>
      </w:r>
      <w:r>
        <w:rPr>
          <w:sz w:val="24"/>
          <w:szCs w:val="24"/>
        </w:rPr>
        <w:t>n, which include Caaguazú, Alto Paraná and Asunción, especially at the bus station,</w:t>
      </w:r>
      <w:r>
        <w:rPr>
          <w:sz w:val="24"/>
          <w:szCs w:val="24"/>
          <w:vertAlign w:val="superscript"/>
        </w:rPr>
        <w:footnoteReference w:id="96"/>
      </w:r>
      <w:r>
        <w:rPr>
          <w:sz w:val="24"/>
          <w:szCs w:val="24"/>
        </w:rPr>
        <w:t xml:space="preserve"> which is a hotspot of danger for girls and adolescents from indigenous communities.</w:t>
      </w:r>
      <w:r>
        <w:rPr>
          <w:sz w:val="24"/>
          <w:szCs w:val="24"/>
          <w:vertAlign w:val="superscript"/>
        </w:rPr>
        <w:footnoteReference w:id="97"/>
      </w:r>
    </w:p>
    <w:p w:rsidR="006E2C03" w:rsidRDefault="00FD32A9">
      <w:pPr>
        <w:numPr>
          <w:ilvl w:val="0"/>
          <w:numId w:val="54"/>
        </w:numPr>
        <w:spacing w:after="200"/>
        <w:ind w:right="145"/>
        <w:jc w:val="both"/>
        <w:rPr>
          <w:b/>
          <w:sz w:val="24"/>
          <w:szCs w:val="24"/>
        </w:rPr>
      </w:pPr>
      <w:r>
        <w:rPr>
          <w:b/>
          <w:sz w:val="24"/>
          <w:szCs w:val="24"/>
        </w:rPr>
        <w:t xml:space="preserve">Current Criminal Laws and Regulations  </w:t>
      </w:r>
    </w:p>
    <w:p w:rsidR="006E2C03" w:rsidRDefault="00FD32A9">
      <w:pPr>
        <w:numPr>
          <w:ilvl w:val="0"/>
          <w:numId w:val="41"/>
        </w:numPr>
        <w:spacing w:after="200"/>
        <w:ind w:right="145"/>
        <w:jc w:val="both"/>
        <w:rPr>
          <w:sz w:val="24"/>
          <w:szCs w:val="24"/>
        </w:rPr>
      </w:pPr>
      <w:r>
        <w:t>Following the Committee’s recommendations, Par</w:t>
      </w:r>
      <w:r>
        <w:t>aguay enacted Law No. 4439/2011,</w:t>
      </w:r>
      <w:r>
        <w:rPr>
          <w:sz w:val="24"/>
          <w:szCs w:val="24"/>
          <w:vertAlign w:val="superscript"/>
        </w:rPr>
        <w:footnoteReference w:id="98"/>
      </w:r>
      <w:r>
        <w:rPr>
          <w:sz w:val="24"/>
          <w:szCs w:val="24"/>
        </w:rPr>
        <w:t xml:space="preserve"> </w:t>
      </w:r>
      <w:r>
        <w:t>which modifies the penalty for cases of pornography involving children and adolescents by increasing it to five years, which may be increased to ten years in more serious circumstances. Law No. 4788/2012, the Comprehensive</w:t>
      </w:r>
      <w:r>
        <w:t xml:space="preserve"> Law against Human Trafficking,</w:t>
      </w:r>
      <w:r>
        <w:rPr>
          <w:sz w:val="24"/>
          <w:szCs w:val="24"/>
          <w:vertAlign w:val="superscript"/>
        </w:rPr>
        <w:footnoteReference w:id="99"/>
      </w:r>
      <w:r>
        <w:t xml:space="preserve"> in addition to prevention, punishment and classification of the crime, covers protection, assistance and financial compensation for victims. Law No. 5683/2016 establishes the obligation to display a message in public and vi</w:t>
      </w:r>
      <w:r>
        <w:t>sible places stating that “human trafficking, especially for the purpose of sexual exploitation of children and adolescents, is a crime in the Republic of Paraguay”. Furthermore, Law No. 6002/2017</w:t>
      </w:r>
      <w:r>
        <w:rPr>
          <w:sz w:val="24"/>
          <w:szCs w:val="24"/>
          <w:vertAlign w:val="superscript"/>
        </w:rPr>
        <w:footnoteReference w:id="100"/>
      </w:r>
      <w:r>
        <w:t xml:space="preserve"> introduced an amendment to Article 135 of the Criminal Cod</w:t>
      </w:r>
      <w:r>
        <w:t xml:space="preserve">e, thereby including the crime of abuse by technological means and establishing that it shall be punishable by imprisonment for up to three years, which includes attempts. </w:t>
      </w:r>
      <w:r>
        <w:rPr>
          <w:sz w:val="24"/>
          <w:szCs w:val="24"/>
        </w:rPr>
        <w:t xml:space="preserve">Even though there is vast legislative production, there is a lack of investment and </w:t>
      </w:r>
      <w:r>
        <w:rPr>
          <w:sz w:val="24"/>
          <w:szCs w:val="24"/>
        </w:rPr>
        <w:t xml:space="preserve">coordinated inter-institutional efforts to ensure their effectiveness. </w:t>
      </w:r>
    </w:p>
    <w:p w:rsidR="006E2C03" w:rsidRDefault="00FD32A9">
      <w:pPr>
        <w:numPr>
          <w:ilvl w:val="0"/>
          <w:numId w:val="27"/>
        </w:numPr>
        <w:spacing w:after="200"/>
        <w:ind w:right="145"/>
        <w:jc w:val="both"/>
        <w:rPr>
          <w:b/>
          <w:sz w:val="24"/>
          <w:szCs w:val="24"/>
        </w:rPr>
      </w:pPr>
      <w:r>
        <w:rPr>
          <w:b/>
          <w:sz w:val="24"/>
          <w:szCs w:val="24"/>
        </w:rPr>
        <w:t>Impunity</w:t>
      </w:r>
      <w:r>
        <w:rPr>
          <w:b/>
          <w:sz w:val="24"/>
          <w:szCs w:val="24"/>
        </w:rPr>
        <w:tab/>
      </w:r>
    </w:p>
    <w:p w:rsidR="006E2C03" w:rsidRDefault="00FD32A9">
      <w:pPr>
        <w:numPr>
          <w:ilvl w:val="0"/>
          <w:numId w:val="41"/>
        </w:numPr>
        <w:spacing w:after="200"/>
        <w:ind w:right="145"/>
        <w:jc w:val="both"/>
        <w:rPr>
          <w:sz w:val="24"/>
          <w:szCs w:val="24"/>
        </w:rPr>
      </w:pPr>
      <w:r>
        <w:rPr>
          <w:sz w:val="24"/>
          <w:szCs w:val="24"/>
        </w:rPr>
        <w:t>Impunity is a reality due to the high degree of corruption in State institutions, mainly in those that are part of the justice system and whose access is limited to those wit</w:t>
      </w:r>
      <w:r>
        <w:rPr>
          <w:sz w:val="24"/>
          <w:szCs w:val="24"/>
        </w:rPr>
        <w:t>h resources. There are normalized acts that do not reach judicial authorities and others whose processes are delayed, thus leaving child victims without the required protection. Moreover, there is also a low number of convictions. For example, in 2021, the</w:t>
      </w:r>
      <w:r>
        <w:rPr>
          <w:sz w:val="24"/>
          <w:szCs w:val="24"/>
        </w:rPr>
        <w:t xml:space="preserve"> Trafficking Unit of the Prosecutor’s Office received 179 reports, and there were only 26 convictions in that same year. As a result of the low budget allocated to specialized justice for children and adolescents, there are high rates of judicial delay. </w:t>
      </w:r>
    </w:p>
    <w:p w:rsidR="006E2C03" w:rsidRDefault="00FD32A9">
      <w:pPr>
        <w:numPr>
          <w:ilvl w:val="0"/>
          <w:numId w:val="52"/>
        </w:numPr>
        <w:spacing w:after="200"/>
        <w:ind w:right="145"/>
        <w:jc w:val="both"/>
        <w:rPr>
          <w:b/>
          <w:sz w:val="24"/>
          <w:szCs w:val="24"/>
        </w:rPr>
      </w:pPr>
      <w:r>
        <w:rPr>
          <w:b/>
          <w:sz w:val="24"/>
          <w:szCs w:val="24"/>
        </w:rPr>
        <w:t>L</w:t>
      </w:r>
      <w:r>
        <w:rPr>
          <w:b/>
          <w:sz w:val="24"/>
          <w:szCs w:val="24"/>
        </w:rPr>
        <w:t>iability of Legal Entities</w:t>
      </w:r>
    </w:p>
    <w:p w:rsidR="006E2C03" w:rsidRDefault="00FD32A9">
      <w:pPr>
        <w:numPr>
          <w:ilvl w:val="0"/>
          <w:numId w:val="41"/>
        </w:numPr>
        <w:spacing w:after="200"/>
        <w:ind w:right="145"/>
        <w:jc w:val="both"/>
        <w:rPr>
          <w:sz w:val="24"/>
          <w:szCs w:val="24"/>
        </w:rPr>
      </w:pPr>
      <w:r>
        <w:rPr>
          <w:sz w:val="24"/>
          <w:szCs w:val="24"/>
        </w:rPr>
        <w:t>Articles 112 and 114 of Law 6486/2020 on alternative care and adoption consider actions or omissions that may lead to non-compliance with obligations by any natural person or legal entity on which the exercise or enjoyment of the</w:t>
      </w:r>
      <w:r>
        <w:rPr>
          <w:sz w:val="24"/>
          <w:szCs w:val="24"/>
        </w:rPr>
        <w:t xml:space="preserve"> rights of children and adolescents may depend as infractions, and they establish a system of sanctions. However, they only have an administrative nature, not a criminal one. The Paraguayan State has yet to enact laws that provide for the criminal liabilit</w:t>
      </w:r>
      <w:r>
        <w:rPr>
          <w:sz w:val="24"/>
          <w:szCs w:val="24"/>
        </w:rPr>
        <w:t>y of legal entities, in accordance with Article 3, paragraph 4 of the Optional Protocol; in other words, they are still not subject to criminal prosecution.</w:t>
      </w:r>
    </w:p>
    <w:p w:rsidR="006E2C03" w:rsidRDefault="00FD32A9">
      <w:pPr>
        <w:numPr>
          <w:ilvl w:val="0"/>
          <w:numId w:val="34"/>
        </w:numPr>
        <w:spacing w:after="200"/>
        <w:ind w:right="145"/>
        <w:jc w:val="both"/>
        <w:rPr>
          <w:b/>
          <w:sz w:val="24"/>
          <w:szCs w:val="24"/>
        </w:rPr>
      </w:pPr>
      <w:r>
        <w:rPr>
          <w:b/>
          <w:sz w:val="24"/>
          <w:szCs w:val="24"/>
        </w:rPr>
        <w:t>Jurisdiction and Extradition</w:t>
      </w:r>
      <w:r>
        <w:rPr>
          <w:b/>
          <w:sz w:val="24"/>
          <w:szCs w:val="24"/>
        </w:rPr>
        <w:tab/>
      </w:r>
    </w:p>
    <w:p w:rsidR="006E2C03" w:rsidRDefault="00FD32A9">
      <w:pPr>
        <w:numPr>
          <w:ilvl w:val="0"/>
          <w:numId w:val="41"/>
        </w:numPr>
        <w:spacing w:after="200"/>
        <w:ind w:right="145"/>
        <w:jc w:val="both"/>
        <w:rPr>
          <w:sz w:val="24"/>
          <w:szCs w:val="24"/>
        </w:rPr>
      </w:pPr>
      <w:r>
        <w:rPr>
          <w:sz w:val="24"/>
          <w:szCs w:val="24"/>
        </w:rPr>
        <w:t>Under Paraguayan law, the crimes covered by the Optional Protocol are subject to extraterritorial jurisdiction and the principle of universal justice; however, the Paraguayan State’s jurisdiction over the crimes provided for in the Optional Protocol that a</w:t>
      </w:r>
      <w:r>
        <w:rPr>
          <w:sz w:val="24"/>
          <w:szCs w:val="24"/>
        </w:rPr>
        <w:t>re committed abroad is subject to the principle of dual criminality, i.e., that the act be considered a crime in both countries. There is no systematized information on the cases for which the State party has exercised jurisdiction. As for extradition, Par</w:t>
      </w:r>
      <w:r>
        <w:rPr>
          <w:sz w:val="24"/>
          <w:szCs w:val="24"/>
        </w:rPr>
        <w:t>aguay does not have a specific law to regulate it; the procedure is only indicated in some articles of the Criminal Procedure Code. In this case, there would be no drawback in extraditing someone, as required, for the punishable acts contemplated in paragr</w:t>
      </w:r>
      <w:r>
        <w:rPr>
          <w:sz w:val="24"/>
          <w:szCs w:val="24"/>
        </w:rPr>
        <w:t>aph 1 of Article 3 of the Optional Protocol. However, the punishable acts for which extradition may be granted must be those that are punishable in both the requiring and required parties (according to the principle of “dual criminality”).</w:t>
      </w:r>
    </w:p>
    <w:p w:rsidR="006E2C03" w:rsidRDefault="00FD32A9">
      <w:pPr>
        <w:pStyle w:val="Heading3"/>
        <w:numPr>
          <w:ilvl w:val="0"/>
          <w:numId w:val="29"/>
        </w:numPr>
        <w:ind w:right="145"/>
        <w:jc w:val="both"/>
        <w:rPr>
          <w:i w:val="0"/>
        </w:rPr>
      </w:pPr>
      <w:bookmarkStart w:id="19" w:name="_heading=h.2jxsxqh" w:colFirst="0" w:colLast="0"/>
      <w:bookmarkEnd w:id="19"/>
      <w:r>
        <w:rPr>
          <w:i w:val="0"/>
        </w:rPr>
        <w:t>Measures Adopted</w:t>
      </w:r>
      <w:r>
        <w:rPr>
          <w:i w:val="0"/>
        </w:rPr>
        <w:t xml:space="preserve"> to Protect the Rights and Interests of Children Who Are Victims of the Offenses Prohibited under the Optional Protocol</w:t>
      </w:r>
      <w:r>
        <w:rPr>
          <w:i w:val="0"/>
        </w:rPr>
        <w:tab/>
      </w:r>
    </w:p>
    <w:p w:rsidR="006E2C03" w:rsidRDefault="00FD32A9">
      <w:pPr>
        <w:numPr>
          <w:ilvl w:val="0"/>
          <w:numId w:val="41"/>
        </w:numPr>
        <w:spacing w:after="200"/>
        <w:ind w:right="145"/>
        <w:jc w:val="both"/>
        <w:rPr>
          <w:sz w:val="24"/>
          <w:szCs w:val="24"/>
        </w:rPr>
      </w:pPr>
      <w:r>
        <w:rPr>
          <w:sz w:val="24"/>
          <w:szCs w:val="24"/>
        </w:rPr>
        <w:t xml:space="preserve">The adopted measures require review and follow-up to prevent and adequately address the acts and stop the re-victimisation of children </w:t>
      </w:r>
      <w:r>
        <w:rPr>
          <w:sz w:val="24"/>
          <w:szCs w:val="24"/>
        </w:rPr>
        <w:t>and adolescents. Paraguay participated in the international “Luz de infancia” (Childhood Light) raid, with searches to disrupt the network of sexual exploitation of children and adolescents.</w:t>
      </w:r>
      <w:r>
        <w:rPr>
          <w:sz w:val="24"/>
          <w:szCs w:val="24"/>
          <w:vertAlign w:val="superscript"/>
        </w:rPr>
        <w:footnoteReference w:id="101"/>
      </w:r>
      <w:r>
        <w:rPr>
          <w:sz w:val="24"/>
          <w:szCs w:val="24"/>
        </w:rPr>
        <w:t xml:space="preserve"> The growth of information and communications technology creates </w:t>
      </w:r>
      <w:r>
        <w:rPr>
          <w:sz w:val="24"/>
          <w:szCs w:val="24"/>
        </w:rPr>
        <w:t>greater challenges. In 2021, the Public Prosecutor’s Office reported that cases of child pornography increased by 300% compared to 2020,</w:t>
      </w:r>
      <w:r>
        <w:rPr>
          <w:sz w:val="24"/>
          <w:szCs w:val="24"/>
          <w:vertAlign w:val="superscript"/>
        </w:rPr>
        <w:footnoteReference w:id="102"/>
      </w:r>
      <w:r>
        <w:rPr>
          <w:sz w:val="24"/>
          <w:szCs w:val="24"/>
        </w:rPr>
        <w:t xml:space="preserve"> a serious and alarming fact, requiring new mechanisms for prevention, intervention, sanctions for those responsible, a</w:t>
      </w:r>
      <w:r>
        <w:rPr>
          <w:sz w:val="24"/>
          <w:szCs w:val="24"/>
        </w:rPr>
        <w:t xml:space="preserve">nd comprehensive care for victims. These facts affect children and adolescents in all their multidimensionality, as well as the people in their family environment. </w:t>
      </w:r>
    </w:p>
    <w:p w:rsidR="006E2C03" w:rsidRDefault="00FD32A9">
      <w:pPr>
        <w:numPr>
          <w:ilvl w:val="0"/>
          <w:numId w:val="23"/>
        </w:numPr>
        <w:spacing w:after="200"/>
        <w:ind w:right="145"/>
        <w:jc w:val="both"/>
        <w:rPr>
          <w:b/>
          <w:sz w:val="24"/>
          <w:szCs w:val="24"/>
        </w:rPr>
      </w:pPr>
      <w:r>
        <w:rPr>
          <w:b/>
          <w:sz w:val="24"/>
          <w:szCs w:val="24"/>
        </w:rPr>
        <w:t>Recovery and Reintegration of Victims</w:t>
      </w:r>
      <w:r>
        <w:rPr>
          <w:b/>
          <w:sz w:val="24"/>
          <w:szCs w:val="24"/>
        </w:rPr>
        <w:tab/>
      </w:r>
      <w:r>
        <w:rPr>
          <w:b/>
          <w:sz w:val="24"/>
          <w:szCs w:val="24"/>
        </w:rPr>
        <w:tab/>
      </w:r>
    </w:p>
    <w:p w:rsidR="006E2C03" w:rsidRDefault="00FD32A9">
      <w:pPr>
        <w:numPr>
          <w:ilvl w:val="0"/>
          <w:numId w:val="41"/>
        </w:numPr>
        <w:spacing w:after="200"/>
        <w:ind w:right="145"/>
        <w:jc w:val="both"/>
        <w:rPr>
          <w:sz w:val="24"/>
          <w:szCs w:val="24"/>
        </w:rPr>
      </w:pPr>
      <w:r>
        <w:rPr>
          <w:sz w:val="24"/>
          <w:szCs w:val="24"/>
        </w:rPr>
        <w:t>Although the MINNA has a Comprehensive Assistance f</w:t>
      </w:r>
      <w:r>
        <w:rPr>
          <w:sz w:val="24"/>
          <w:szCs w:val="24"/>
        </w:rPr>
        <w:t>or Children and Adolescents program for the restitution of their rights, it has an annual budget of only USD 17,000. Beyond the multidisciplinary approach that is temporarily provided to girls and adolescents who enter the Rosa Virginia shelter,</w:t>
      </w:r>
      <w:r>
        <w:rPr>
          <w:sz w:val="24"/>
          <w:szCs w:val="24"/>
          <w:vertAlign w:val="superscript"/>
        </w:rPr>
        <w:footnoteReference w:id="103"/>
      </w:r>
      <w:r>
        <w:rPr>
          <w:sz w:val="24"/>
          <w:szCs w:val="24"/>
        </w:rPr>
        <w:t xml:space="preserve"> there is </w:t>
      </w:r>
      <w:r>
        <w:rPr>
          <w:sz w:val="24"/>
          <w:szCs w:val="24"/>
        </w:rPr>
        <w:t xml:space="preserve">no comprehensive approach for their recovery and reintegration, nor is there any follow-up to prevent the recurrence of the situation. </w:t>
      </w:r>
    </w:p>
    <w:p w:rsidR="006E2C03" w:rsidRDefault="00FD32A9">
      <w:pPr>
        <w:numPr>
          <w:ilvl w:val="0"/>
          <w:numId w:val="16"/>
        </w:numPr>
        <w:spacing w:after="200"/>
        <w:ind w:right="145"/>
        <w:jc w:val="both"/>
        <w:rPr>
          <w:b/>
          <w:sz w:val="24"/>
          <w:szCs w:val="24"/>
        </w:rPr>
      </w:pPr>
      <w:r>
        <w:rPr>
          <w:b/>
          <w:sz w:val="24"/>
          <w:szCs w:val="24"/>
        </w:rPr>
        <w:t xml:space="preserve">Assistance Service via Telephone </w:t>
      </w:r>
      <w:r>
        <w:rPr>
          <w:b/>
          <w:sz w:val="24"/>
          <w:szCs w:val="24"/>
        </w:rPr>
        <w:tab/>
      </w:r>
    </w:p>
    <w:p w:rsidR="006E2C03" w:rsidRDefault="00FD32A9">
      <w:pPr>
        <w:numPr>
          <w:ilvl w:val="0"/>
          <w:numId w:val="41"/>
        </w:numPr>
        <w:spacing w:after="200"/>
        <w:ind w:right="145"/>
        <w:jc w:val="both"/>
        <w:rPr>
          <w:sz w:val="24"/>
          <w:szCs w:val="24"/>
        </w:rPr>
      </w:pPr>
      <w:r>
        <w:rPr>
          <w:sz w:val="24"/>
          <w:szCs w:val="24"/>
        </w:rPr>
        <w:t>In Paraguay, there are telephone helplines: line 147 of the MINNA, which currently co</w:t>
      </w:r>
      <w:r>
        <w:rPr>
          <w:sz w:val="24"/>
          <w:szCs w:val="24"/>
        </w:rPr>
        <w:t>llects all types of violation reports; line 133 of the Ministry of Public Defence; line 137 of the Women’s Ministry; and line 911 of the National Police. Although there are numerous helplines, lines 137, 147 and 133 do not work in a coordinated and efficie</w:t>
      </w:r>
      <w:r>
        <w:rPr>
          <w:sz w:val="24"/>
          <w:szCs w:val="24"/>
        </w:rPr>
        <w:t>nt manner due to the limited number of professionals who are assigned to do the job and the high demand of calls per day.</w:t>
      </w:r>
    </w:p>
    <w:p w:rsidR="006E2C03" w:rsidRDefault="00FD32A9">
      <w:pPr>
        <w:spacing w:after="200"/>
        <w:ind w:right="145"/>
        <w:jc w:val="both"/>
        <w:rPr>
          <w:b/>
          <w:sz w:val="24"/>
          <w:szCs w:val="24"/>
        </w:rPr>
      </w:pPr>
      <w:r>
        <w:rPr>
          <w:b/>
          <w:sz w:val="24"/>
          <w:szCs w:val="24"/>
        </w:rPr>
        <w:t>Recommendations:</w:t>
      </w:r>
    </w:p>
    <w:p w:rsidR="006E2C03" w:rsidRDefault="00FD32A9">
      <w:pPr>
        <w:numPr>
          <w:ilvl w:val="0"/>
          <w:numId w:val="41"/>
        </w:numPr>
        <w:spacing w:after="200"/>
        <w:ind w:right="145"/>
        <w:jc w:val="both"/>
        <w:rPr>
          <w:sz w:val="24"/>
          <w:szCs w:val="24"/>
        </w:rPr>
      </w:pPr>
      <w:r>
        <w:rPr>
          <w:sz w:val="24"/>
          <w:szCs w:val="24"/>
        </w:rPr>
        <w:t>Create a data traceability mechanism for the different SIPPINA authorities, especially for the justice system, in ord</w:t>
      </w:r>
      <w:r>
        <w:rPr>
          <w:sz w:val="24"/>
          <w:szCs w:val="24"/>
        </w:rPr>
        <w:t xml:space="preserve">er to provide reliable and updated information on the action the State takes to protect children and adolescents. </w:t>
      </w:r>
    </w:p>
    <w:p w:rsidR="006E2C03" w:rsidRDefault="00FD32A9">
      <w:pPr>
        <w:numPr>
          <w:ilvl w:val="0"/>
          <w:numId w:val="41"/>
        </w:numPr>
        <w:spacing w:after="200"/>
        <w:ind w:right="145"/>
        <w:jc w:val="both"/>
        <w:rPr>
          <w:sz w:val="24"/>
          <w:szCs w:val="24"/>
        </w:rPr>
      </w:pPr>
      <w:r>
        <w:rPr>
          <w:sz w:val="24"/>
          <w:szCs w:val="24"/>
        </w:rPr>
        <w:t>Provide a budget for the National Plan on Human Trafficking and implement an approach focused on the prevention, comprehensive assistance and</w:t>
      </w:r>
      <w:r>
        <w:rPr>
          <w:sz w:val="24"/>
          <w:szCs w:val="24"/>
        </w:rPr>
        <w:t xml:space="preserve"> repression of human trafficking crimes and pornography related to children and adolescents.</w:t>
      </w:r>
    </w:p>
    <w:p w:rsidR="006E2C03" w:rsidRDefault="00FD32A9">
      <w:pPr>
        <w:numPr>
          <w:ilvl w:val="0"/>
          <w:numId w:val="41"/>
        </w:numPr>
        <w:spacing w:after="200"/>
        <w:ind w:right="145"/>
        <w:jc w:val="both"/>
        <w:rPr>
          <w:sz w:val="24"/>
          <w:szCs w:val="24"/>
        </w:rPr>
      </w:pPr>
      <w:r>
        <w:rPr>
          <w:sz w:val="24"/>
          <w:szCs w:val="24"/>
        </w:rPr>
        <w:t xml:space="preserve">Strengthen coordination, joint efforts and evaluation through the inter-institutional roundtable to combat human trafficking, thus generating systematic processes </w:t>
      </w:r>
      <w:r>
        <w:rPr>
          <w:sz w:val="24"/>
          <w:szCs w:val="24"/>
        </w:rPr>
        <w:t xml:space="preserve">between the different levels and branches of government. </w:t>
      </w:r>
    </w:p>
    <w:p w:rsidR="006E2C03" w:rsidRDefault="00FD32A9">
      <w:pPr>
        <w:numPr>
          <w:ilvl w:val="0"/>
          <w:numId w:val="41"/>
        </w:numPr>
        <w:spacing w:after="200"/>
        <w:ind w:right="145"/>
        <w:jc w:val="both"/>
        <w:rPr>
          <w:sz w:val="24"/>
          <w:szCs w:val="24"/>
        </w:rPr>
      </w:pPr>
      <w:r>
        <w:rPr>
          <w:sz w:val="24"/>
          <w:szCs w:val="24"/>
        </w:rPr>
        <w:t xml:space="preserve">Carry out broad dissemination and training on the Optional Protocol, in official and indigenous languages, with appropriate proposals in various formats to ensure the intergenerational scope of the </w:t>
      </w:r>
      <w:r>
        <w:rPr>
          <w:sz w:val="24"/>
          <w:szCs w:val="24"/>
        </w:rPr>
        <w:t xml:space="preserve">information with an emphasis on educational and community spaces. </w:t>
      </w:r>
    </w:p>
    <w:p w:rsidR="006E2C03" w:rsidRDefault="00FD32A9">
      <w:pPr>
        <w:numPr>
          <w:ilvl w:val="0"/>
          <w:numId w:val="41"/>
        </w:numPr>
        <w:spacing w:after="200"/>
        <w:ind w:right="145"/>
        <w:jc w:val="both"/>
        <w:rPr>
          <w:sz w:val="24"/>
          <w:szCs w:val="24"/>
        </w:rPr>
      </w:pPr>
      <w:r>
        <w:rPr>
          <w:sz w:val="24"/>
          <w:szCs w:val="24"/>
        </w:rPr>
        <w:t>Develop systematic training processes for public servants from a rights-based approach and especially from a gender perspective, bearing in mind that this problem affects mostly women. In a</w:t>
      </w:r>
      <w:r>
        <w:rPr>
          <w:sz w:val="24"/>
          <w:szCs w:val="24"/>
        </w:rPr>
        <w:t>ddition, training on the Optional Protocol should be linked to existing public policies that allow for the full exercise of all rights.</w:t>
      </w:r>
    </w:p>
    <w:p w:rsidR="006E2C03" w:rsidRDefault="00FD32A9">
      <w:pPr>
        <w:numPr>
          <w:ilvl w:val="0"/>
          <w:numId w:val="41"/>
        </w:numPr>
        <w:spacing w:after="200"/>
        <w:ind w:right="145"/>
        <w:jc w:val="both"/>
        <w:rPr>
          <w:sz w:val="24"/>
          <w:szCs w:val="24"/>
        </w:rPr>
      </w:pPr>
      <w:r>
        <w:rPr>
          <w:sz w:val="24"/>
          <w:szCs w:val="24"/>
        </w:rPr>
        <w:t>Allocate the necessary resources to the Plan for the Prevention and Fight against Trafficking, according to its needs, a</w:t>
      </w:r>
      <w:r>
        <w:rPr>
          <w:sz w:val="24"/>
          <w:szCs w:val="24"/>
        </w:rPr>
        <w:t>nd have a mechanism for financial sustainability with a minimum percentage of the National General Budget going toward preventing human trafficking and caring for its victims, preventing its decrease until the cases/indicators are reduced.</w:t>
      </w:r>
    </w:p>
    <w:p w:rsidR="006E2C03" w:rsidRDefault="00FD32A9">
      <w:pPr>
        <w:numPr>
          <w:ilvl w:val="0"/>
          <w:numId w:val="41"/>
        </w:numPr>
        <w:spacing w:after="200"/>
        <w:ind w:right="145"/>
        <w:jc w:val="both"/>
        <w:rPr>
          <w:sz w:val="24"/>
          <w:szCs w:val="24"/>
        </w:rPr>
      </w:pPr>
      <w:r>
        <w:rPr>
          <w:sz w:val="24"/>
          <w:szCs w:val="24"/>
        </w:rPr>
        <w:t>Modify Art. 45 o</w:t>
      </w:r>
      <w:r>
        <w:rPr>
          <w:sz w:val="24"/>
          <w:szCs w:val="24"/>
        </w:rPr>
        <w:t>n the integration of the inter-institutional roundtable of Comprehensive Law No. 4788 against human trafficking, establishing the representation of civil society on this roundtable, as is the case with other state mechanisms.</w:t>
      </w:r>
    </w:p>
    <w:p w:rsidR="006E2C03" w:rsidRDefault="00FD32A9">
      <w:pPr>
        <w:numPr>
          <w:ilvl w:val="0"/>
          <w:numId w:val="41"/>
        </w:numPr>
        <w:spacing w:after="200"/>
        <w:ind w:right="145"/>
        <w:jc w:val="both"/>
        <w:rPr>
          <w:sz w:val="24"/>
          <w:szCs w:val="24"/>
        </w:rPr>
      </w:pPr>
      <w:r>
        <w:rPr>
          <w:sz w:val="24"/>
          <w:szCs w:val="24"/>
        </w:rPr>
        <w:t xml:space="preserve">Create advocacy and prevention programs, with joint actions involving the three levels of government; they should be inter-institutional and have a national reach, and especially involve educational institutions and the Codenis, in order to promote rights </w:t>
      </w:r>
      <w:r>
        <w:rPr>
          <w:sz w:val="24"/>
          <w:szCs w:val="24"/>
        </w:rPr>
        <w:t>and prevent trafficking situations, thus creating spaces with families and students in educational, health and community areas.</w:t>
      </w:r>
    </w:p>
    <w:p w:rsidR="006E2C03" w:rsidRDefault="00FD32A9">
      <w:pPr>
        <w:numPr>
          <w:ilvl w:val="0"/>
          <w:numId w:val="41"/>
        </w:numPr>
        <w:spacing w:after="200"/>
        <w:ind w:right="145"/>
        <w:jc w:val="both"/>
        <w:rPr>
          <w:sz w:val="24"/>
          <w:szCs w:val="24"/>
        </w:rPr>
      </w:pPr>
      <w:r>
        <w:rPr>
          <w:sz w:val="24"/>
          <w:szCs w:val="24"/>
        </w:rPr>
        <w:t>Promote judicial investigations along with communication campaigns to prevent the exploitation of children and adolescents in se</w:t>
      </w:r>
      <w:r>
        <w:rPr>
          <w:sz w:val="24"/>
          <w:szCs w:val="24"/>
        </w:rPr>
        <w:t>x tourism, with specific plans for each sector and territory.</w:t>
      </w:r>
    </w:p>
    <w:p w:rsidR="006E2C03" w:rsidRDefault="00FD32A9">
      <w:pPr>
        <w:numPr>
          <w:ilvl w:val="0"/>
          <w:numId w:val="41"/>
        </w:numPr>
        <w:spacing w:after="200"/>
        <w:ind w:right="145"/>
        <w:jc w:val="both"/>
        <w:rPr>
          <w:sz w:val="24"/>
          <w:szCs w:val="24"/>
        </w:rPr>
      </w:pPr>
      <w:r>
        <w:rPr>
          <w:sz w:val="24"/>
          <w:szCs w:val="24"/>
        </w:rPr>
        <w:t xml:space="preserve">Create urgent prevention mechanisms for groups or areas that are at risk of trafficking or exploitation, and address such acts with clear strategies to prevent the occurrence of new cases. </w:t>
      </w:r>
    </w:p>
    <w:p w:rsidR="006E2C03" w:rsidRDefault="00FD32A9">
      <w:pPr>
        <w:numPr>
          <w:ilvl w:val="0"/>
          <w:numId w:val="41"/>
        </w:numPr>
        <w:spacing w:after="200"/>
        <w:ind w:right="145"/>
        <w:jc w:val="both"/>
        <w:rPr>
          <w:sz w:val="24"/>
          <w:szCs w:val="24"/>
        </w:rPr>
      </w:pPr>
      <w:r>
        <w:rPr>
          <w:sz w:val="24"/>
          <w:szCs w:val="24"/>
        </w:rPr>
        <w:t xml:space="preserve">The </w:t>
      </w:r>
      <w:r>
        <w:rPr>
          <w:sz w:val="24"/>
          <w:szCs w:val="24"/>
        </w:rPr>
        <w:t>State must guarantee fair and transparent judicial processes that safeguard the best interest of children and adolescents, thus ensuring due process without revictimization.</w:t>
      </w:r>
    </w:p>
    <w:p w:rsidR="006E2C03" w:rsidRDefault="00FD32A9">
      <w:pPr>
        <w:numPr>
          <w:ilvl w:val="0"/>
          <w:numId w:val="41"/>
        </w:numPr>
        <w:spacing w:after="200"/>
        <w:ind w:right="145"/>
        <w:jc w:val="both"/>
        <w:rPr>
          <w:sz w:val="24"/>
          <w:szCs w:val="24"/>
        </w:rPr>
      </w:pPr>
      <w:r>
        <w:rPr>
          <w:sz w:val="24"/>
          <w:szCs w:val="24"/>
        </w:rPr>
        <w:t>The State must make arrangements to extradite those responsible for the punishable acts—as described in this protocol—committed in the national jurisdiction in order for them to be submitted to the country’s processes, using the agreements signed between t</w:t>
      </w:r>
      <w:r>
        <w:rPr>
          <w:sz w:val="24"/>
          <w:szCs w:val="24"/>
        </w:rPr>
        <w:t>he State parties and guaranteeing the resources to expedite these processes.</w:t>
      </w:r>
    </w:p>
    <w:p w:rsidR="006E2C03" w:rsidRDefault="00FD32A9">
      <w:pPr>
        <w:numPr>
          <w:ilvl w:val="0"/>
          <w:numId w:val="41"/>
        </w:numPr>
        <w:spacing w:after="200"/>
        <w:ind w:right="145"/>
        <w:jc w:val="both"/>
        <w:rPr>
          <w:sz w:val="24"/>
          <w:szCs w:val="24"/>
        </w:rPr>
      </w:pPr>
      <w:r>
        <w:rPr>
          <w:sz w:val="24"/>
          <w:szCs w:val="24"/>
        </w:rPr>
        <w:t>Design and implement protection measures that address children and adolescents in all their multidimensionality, as well as the people in their family environment, guaranteeing wi</w:t>
      </w:r>
      <w:r>
        <w:rPr>
          <w:sz w:val="24"/>
          <w:szCs w:val="24"/>
        </w:rPr>
        <w:t>tness protection.</w:t>
      </w:r>
    </w:p>
    <w:p w:rsidR="006E2C03" w:rsidRDefault="00FD32A9">
      <w:pPr>
        <w:numPr>
          <w:ilvl w:val="0"/>
          <w:numId w:val="41"/>
        </w:numPr>
        <w:spacing w:after="200"/>
        <w:ind w:right="145"/>
        <w:jc w:val="both"/>
        <w:rPr>
          <w:sz w:val="24"/>
          <w:szCs w:val="24"/>
        </w:rPr>
      </w:pPr>
      <w:r>
        <w:rPr>
          <w:sz w:val="24"/>
          <w:szCs w:val="24"/>
        </w:rPr>
        <w:t>Establish multidisciplinary procedures for victims’ recovery and their reintegration into social spaces, especially in education, with sufficient support for their security and that of their families.</w:t>
      </w:r>
    </w:p>
    <w:p w:rsidR="006E2C03" w:rsidRDefault="00FD32A9">
      <w:pPr>
        <w:pStyle w:val="Heading2"/>
        <w:numPr>
          <w:ilvl w:val="0"/>
          <w:numId w:val="21"/>
        </w:numPr>
      </w:pPr>
      <w:bookmarkStart w:id="20" w:name="_heading=h.z337ya" w:colFirst="0" w:colLast="0"/>
      <w:bookmarkEnd w:id="20"/>
      <w:r>
        <w:t xml:space="preserve">Optional Protocol on the Involvement </w:t>
      </w:r>
      <w:r>
        <w:t>of Children in Armed Conflicts</w:t>
      </w:r>
    </w:p>
    <w:p w:rsidR="006E2C03" w:rsidRDefault="00FD32A9">
      <w:pPr>
        <w:numPr>
          <w:ilvl w:val="0"/>
          <w:numId w:val="12"/>
        </w:numPr>
        <w:spacing w:after="200"/>
        <w:jc w:val="both"/>
        <w:rPr>
          <w:rFonts w:ascii="Calibri" w:eastAsia="Calibri" w:hAnsi="Calibri" w:cs="Calibri"/>
          <w:sz w:val="24"/>
          <w:szCs w:val="24"/>
        </w:rPr>
      </w:pPr>
      <w:r>
        <w:rPr>
          <w:b/>
          <w:sz w:val="24"/>
          <w:szCs w:val="24"/>
        </w:rPr>
        <w:t xml:space="preserve">Coordination </w:t>
      </w:r>
      <w:r>
        <w:rPr>
          <w:sz w:val="24"/>
          <w:szCs w:val="24"/>
        </w:rPr>
        <w:tab/>
      </w:r>
    </w:p>
    <w:p w:rsidR="006E2C03" w:rsidRDefault="00FD32A9">
      <w:pPr>
        <w:numPr>
          <w:ilvl w:val="0"/>
          <w:numId w:val="41"/>
        </w:numPr>
        <w:spacing w:after="200"/>
        <w:ind w:right="145"/>
        <w:jc w:val="both"/>
        <w:rPr>
          <w:sz w:val="24"/>
          <w:szCs w:val="24"/>
        </w:rPr>
      </w:pPr>
      <w:r>
        <w:rPr>
          <w:sz w:val="24"/>
          <w:szCs w:val="24"/>
        </w:rPr>
        <w:t>There is no information on specific actions carried out by the National Council for Children and Adolescents regarding this protocol.</w:t>
      </w:r>
      <w:r>
        <w:rPr>
          <w:sz w:val="24"/>
          <w:szCs w:val="24"/>
          <w:vertAlign w:val="superscript"/>
        </w:rPr>
        <w:footnoteReference w:id="104"/>
      </w:r>
      <w:r>
        <w:rPr>
          <w:sz w:val="24"/>
          <w:szCs w:val="24"/>
        </w:rPr>
        <w:t xml:space="preserve"> In the past six years, the issue was only addressed once following the murd</w:t>
      </w:r>
      <w:r>
        <w:rPr>
          <w:sz w:val="24"/>
          <w:szCs w:val="24"/>
        </w:rPr>
        <w:t>er of two girls by the Armed Forces’, Fuerza de Tarea Conjunta (FTC). It is concerning that the situation in the north of the country is not granted the necessary importance to prevent recruitment into armed groups, given state militarisation and the prese</w:t>
      </w:r>
      <w:r>
        <w:rPr>
          <w:sz w:val="24"/>
          <w:szCs w:val="24"/>
        </w:rPr>
        <w:t>nce of non-state armed groups linked to organized crime. The State’s current strategy and investment is merely repressive on the part of the FTC.</w:t>
      </w:r>
      <w:r>
        <w:rPr>
          <w:sz w:val="24"/>
          <w:szCs w:val="24"/>
          <w:vertAlign w:val="superscript"/>
        </w:rPr>
        <w:footnoteReference w:id="105"/>
      </w:r>
      <w:r>
        <w:rPr>
          <w:sz w:val="24"/>
          <w:szCs w:val="24"/>
        </w:rPr>
        <w:t xml:space="preserve">  </w:t>
      </w:r>
    </w:p>
    <w:p w:rsidR="006E2C03" w:rsidRDefault="00FD32A9">
      <w:pPr>
        <w:numPr>
          <w:ilvl w:val="0"/>
          <w:numId w:val="9"/>
        </w:numPr>
        <w:spacing w:after="200"/>
        <w:ind w:right="145"/>
        <w:jc w:val="both"/>
        <w:rPr>
          <w:rFonts w:ascii="Calibri" w:eastAsia="Calibri" w:hAnsi="Calibri" w:cs="Calibri"/>
          <w:sz w:val="24"/>
          <w:szCs w:val="24"/>
        </w:rPr>
      </w:pPr>
      <w:r>
        <w:rPr>
          <w:b/>
          <w:sz w:val="24"/>
          <w:szCs w:val="24"/>
        </w:rPr>
        <w:t xml:space="preserve">Dissemination and Awareness </w:t>
      </w:r>
      <w:r>
        <w:rPr>
          <w:b/>
          <w:sz w:val="24"/>
          <w:szCs w:val="24"/>
        </w:rPr>
        <w:tab/>
      </w:r>
      <w:r>
        <w:rPr>
          <w:sz w:val="24"/>
          <w:szCs w:val="24"/>
        </w:rPr>
        <w:t xml:space="preserve"> </w:t>
      </w:r>
    </w:p>
    <w:p w:rsidR="006E2C03" w:rsidRDefault="00FD32A9">
      <w:pPr>
        <w:numPr>
          <w:ilvl w:val="0"/>
          <w:numId w:val="41"/>
        </w:numPr>
        <w:spacing w:after="200"/>
        <w:ind w:right="145"/>
        <w:jc w:val="both"/>
        <w:rPr>
          <w:sz w:val="24"/>
          <w:szCs w:val="24"/>
        </w:rPr>
      </w:pPr>
      <w:r>
        <w:rPr>
          <w:sz w:val="24"/>
          <w:szCs w:val="24"/>
        </w:rPr>
        <w:t>There has been no access to information on processes for disseminating and r</w:t>
      </w:r>
      <w:r>
        <w:rPr>
          <w:sz w:val="24"/>
          <w:szCs w:val="24"/>
        </w:rPr>
        <w:t>aising awareness about the protocol, concluding that if they have been carried out, they have been limited and the information is not accessible. In view of the death of the two girls, the Armed Forces have not presented Parliament with a protocol for addr</w:t>
      </w:r>
      <w:r>
        <w:rPr>
          <w:sz w:val="24"/>
          <w:szCs w:val="24"/>
        </w:rPr>
        <w:t xml:space="preserve">essing the presence of children and adolescents in armed conflicts within the country. </w:t>
      </w:r>
    </w:p>
    <w:p w:rsidR="006E2C03" w:rsidRDefault="00FD32A9">
      <w:pPr>
        <w:numPr>
          <w:ilvl w:val="0"/>
          <w:numId w:val="13"/>
        </w:numPr>
        <w:spacing w:after="200"/>
        <w:ind w:right="145"/>
        <w:jc w:val="both"/>
        <w:rPr>
          <w:b/>
          <w:sz w:val="24"/>
          <w:szCs w:val="24"/>
        </w:rPr>
      </w:pPr>
      <w:r>
        <w:rPr>
          <w:b/>
          <w:sz w:val="24"/>
          <w:szCs w:val="24"/>
        </w:rPr>
        <w:t>Training</w:t>
      </w:r>
    </w:p>
    <w:p w:rsidR="006E2C03" w:rsidRDefault="00FD32A9">
      <w:pPr>
        <w:numPr>
          <w:ilvl w:val="0"/>
          <w:numId w:val="41"/>
        </w:numPr>
        <w:spacing w:after="200"/>
        <w:ind w:right="145"/>
        <w:jc w:val="both"/>
        <w:rPr>
          <w:sz w:val="24"/>
          <w:szCs w:val="24"/>
        </w:rPr>
      </w:pPr>
      <w:r>
        <w:rPr>
          <w:sz w:val="24"/>
          <w:szCs w:val="24"/>
        </w:rPr>
        <w:t>Training spaces are scarce and isolated, and they do not address human rights in a cross-cutting manner. Excessive authoritarianism continues to prevail in the</w:t>
      </w:r>
      <w:r>
        <w:rPr>
          <w:sz w:val="24"/>
          <w:szCs w:val="24"/>
        </w:rPr>
        <w:t xml:space="preserve"> training activities used at military barracks and secondary schools, especially when dealing with lower-ranking members.</w:t>
      </w:r>
    </w:p>
    <w:p w:rsidR="006E2C03" w:rsidRDefault="00FD32A9">
      <w:pPr>
        <w:numPr>
          <w:ilvl w:val="0"/>
          <w:numId w:val="44"/>
        </w:numPr>
        <w:spacing w:after="200"/>
        <w:ind w:right="145"/>
        <w:jc w:val="both"/>
        <w:rPr>
          <w:rFonts w:ascii="Calibri" w:eastAsia="Calibri" w:hAnsi="Calibri" w:cs="Calibri"/>
          <w:sz w:val="24"/>
          <w:szCs w:val="24"/>
        </w:rPr>
      </w:pPr>
      <w:r>
        <w:rPr>
          <w:b/>
          <w:sz w:val="24"/>
          <w:szCs w:val="24"/>
        </w:rPr>
        <w:t xml:space="preserve">Data </w:t>
      </w:r>
      <w:r>
        <w:rPr>
          <w:sz w:val="24"/>
          <w:szCs w:val="24"/>
        </w:rPr>
        <w:tab/>
      </w:r>
    </w:p>
    <w:p w:rsidR="006E2C03" w:rsidRDefault="00FD32A9">
      <w:pPr>
        <w:numPr>
          <w:ilvl w:val="0"/>
          <w:numId w:val="41"/>
        </w:numPr>
        <w:spacing w:after="200"/>
        <w:ind w:right="145"/>
        <w:jc w:val="both"/>
        <w:rPr>
          <w:sz w:val="24"/>
          <w:szCs w:val="24"/>
        </w:rPr>
      </w:pPr>
      <w:r>
        <w:rPr>
          <w:sz w:val="24"/>
          <w:szCs w:val="24"/>
        </w:rPr>
        <w:t>In 2019,</w:t>
      </w:r>
      <w:r>
        <w:rPr>
          <w:sz w:val="24"/>
          <w:szCs w:val="24"/>
          <w:vertAlign w:val="superscript"/>
        </w:rPr>
        <w:footnoteReference w:id="106"/>
      </w:r>
      <w:r>
        <w:rPr>
          <w:sz w:val="24"/>
          <w:szCs w:val="24"/>
        </w:rPr>
        <w:t xml:space="preserve"> the Acosta Ñú Military Secondary School had approximately 218 students enrolled;</w:t>
      </w:r>
      <w:r>
        <w:rPr>
          <w:sz w:val="24"/>
          <w:szCs w:val="24"/>
          <w:vertAlign w:val="superscript"/>
        </w:rPr>
        <w:footnoteReference w:id="107"/>
      </w:r>
      <w:r>
        <w:rPr>
          <w:sz w:val="24"/>
          <w:szCs w:val="24"/>
        </w:rPr>
        <w:t xml:space="preserve"> it was not possible to obtain segre</w:t>
      </w:r>
      <w:r>
        <w:rPr>
          <w:sz w:val="24"/>
          <w:szCs w:val="24"/>
        </w:rPr>
        <w:t>gated data on the students. Moreover, there is no data on children and adolescents involved in armed conflicts, those who are victims of forced recruitment, those who seek asylum, or those who are refugees and migrants and who may have been recruited or ex</w:t>
      </w:r>
      <w:r>
        <w:rPr>
          <w:sz w:val="24"/>
          <w:szCs w:val="24"/>
        </w:rPr>
        <w:t xml:space="preserve">ploited in armed conflicts in other countries. </w:t>
      </w:r>
    </w:p>
    <w:p w:rsidR="006E2C03" w:rsidRDefault="00FD32A9">
      <w:pPr>
        <w:numPr>
          <w:ilvl w:val="0"/>
          <w:numId w:val="41"/>
        </w:numPr>
        <w:spacing w:after="200"/>
        <w:ind w:right="145"/>
        <w:jc w:val="both"/>
        <w:rPr>
          <w:sz w:val="24"/>
          <w:szCs w:val="24"/>
        </w:rPr>
      </w:pPr>
      <w:r>
        <w:rPr>
          <w:sz w:val="24"/>
          <w:szCs w:val="24"/>
        </w:rPr>
        <w:t>The MINNA indicated that there are no reports of recruitment through families, but in 2022, the father of an indigenous adolescent stated that his son had disappeared at age 13 and was then killed in a confro</w:t>
      </w:r>
      <w:r>
        <w:rPr>
          <w:sz w:val="24"/>
          <w:szCs w:val="24"/>
        </w:rPr>
        <w:t>ntation at age 17.</w:t>
      </w:r>
      <w:r>
        <w:rPr>
          <w:sz w:val="24"/>
          <w:szCs w:val="24"/>
          <w:vertAlign w:val="superscript"/>
        </w:rPr>
        <w:footnoteReference w:id="108"/>
      </w:r>
      <w:r>
        <w:rPr>
          <w:sz w:val="24"/>
          <w:szCs w:val="24"/>
        </w:rPr>
        <w:t xml:space="preserve"> The families do not file reports out of fear of retaliation from criminal groups and public security forces, given that they operate with violence in the area.</w:t>
      </w:r>
      <w:r>
        <w:rPr>
          <w:sz w:val="24"/>
          <w:szCs w:val="24"/>
          <w:vertAlign w:val="superscript"/>
        </w:rPr>
        <w:footnoteReference w:id="109"/>
      </w:r>
      <w:r>
        <w:rPr>
          <w:sz w:val="24"/>
          <w:szCs w:val="24"/>
        </w:rPr>
        <w:t xml:space="preserve">    </w:t>
      </w:r>
    </w:p>
    <w:p w:rsidR="006E2C03" w:rsidRDefault="00FD32A9">
      <w:pPr>
        <w:numPr>
          <w:ilvl w:val="0"/>
          <w:numId w:val="40"/>
        </w:numPr>
        <w:spacing w:after="200"/>
        <w:ind w:right="145"/>
        <w:jc w:val="both"/>
        <w:rPr>
          <w:b/>
          <w:sz w:val="24"/>
          <w:szCs w:val="24"/>
        </w:rPr>
      </w:pPr>
      <w:r>
        <w:rPr>
          <w:b/>
          <w:sz w:val="24"/>
          <w:szCs w:val="24"/>
        </w:rPr>
        <w:t>Age Verification Procedures</w:t>
      </w:r>
      <w:r>
        <w:rPr>
          <w:b/>
          <w:sz w:val="24"/>
          <w:szCs w:val="24"/>
        </w:rPr>
        <w:tab/>
      </w:r>
      <w:r>
        <w:rPr>
          <w:b/>
          <w:sz w:val="24"/>
          <w:szCs w:val="24"/>
        </w:rPr>
        <w:tab/>
      </w:r>
    </w:p>
    <w:p w:rsidR="006E2C03" w:rsidRDefault="00FD32A9">
      <w:pPr>
        <w:numPr>
          <w:ilvl w:val="0"/>
          <w:numId w:val="41"/>
        </w:numPr>
        <w:spacing w:after="200"/>
        <w:ind w:right="145"/>
        <w:jc w:val="both"/>
        <w:rPr>
          <w:sz w:val="24"/>
          <w:szCs w:val="24"/>
        </w:rPr>
      </w:pPr>
      <w:r>
        <w:rPr>
          <w:sz w:val="24"/>
          <w:szCs w:val="24"/>
        </w:rPr>
        <w:t>The enrolment requirements for Mcal. Fran</w:t>
      </w:r>
      <w:r>
        <w:rPr>
          <w:sz w:val="24"/>
          <w:szCs w:val="24"/>
        </w:rPr>
        <w:t>cisco Solano López Military Academy specify “a minimum age of 18 by the day of entry”, and a birth certificate and identity card must be presented. Although admitting children and adolescents is prohibited, according to the data detailed below, this rule w</w:t>
      </w:r>
      <w:r>
        <w:rPr>
          <w:sz w:val="24"/>
          <w:szCs w:val="24"/>
        </w:rPr>
        <w:t xml:space="preserve">as violated in 2016, 2018 and 2019. </w:t>
      </w:r>
    </w:p>
    <w:p w:rsidR="006E2C03" w:rsidRDefault="00FD32A9">
      <w:pPr>
        <w:numPr>
          <w:ilvl w:val="0"/>
          <w:numId w:val="63"/>
        </w:numPr>
        <w:spacing w:after="200"/>
        <w:ind w:right="145"/>
        <w:jc w:val="both"/>
        <w:rPr>
          <w:b/>
          <w:sz w:val="24"/>
          <w:szCs w:val="24"/>
        </w:rPr>
      </w:pPr>
      <w:r>
        <w:rPr>
          <w:b/>
          <w:sz w:val="24"/>
          <w:szCs w:val="24"/>
        </w:rPr>
        <w:t>Military Schools</w:t>
      </w:r>
      <w:r>
        <w:rPr>
          <w:b/>
          <w:sz w:val="24"/>
          <w:szCs w:val="24"/>
        </w:rPr>
        <w:tab/>
      </w:r>
    </w:p>
    <w:p w:rsidR="006E2C03" w:rsidRDefault="00FD32A9">
      <w:pPr>
        <w:numPr>
          <w:ilvl w:val="0"/>
          <w:numId w:val="41"/>
        </w:numPr>
        <w:spacing w:after="200"/>
        <w:ind w:right="145"/>
        <w:jc w:val="both"/>
        <w:rPr>
          <w:sz w:val="24"/>
          <w:szCs w:val="24"/>
        </w:rPr>
      </w:pPr>
      <w:r>
        <w:rPr>
          <w:sz w:val="24"/>
          <w:szCs w:val="24"/>
        </w:rPr>
        <w:t>The Acosta Ñú Military Secondary School’s admission requirements include signed consent from the student’s parents at the magistrate’s court. There is no information regarding verification processes to</w:t>
      </w:r>
      <w:r>
        <w:rPr>
          <w:sz w:val="24"/>
          <w:szCs w:val="24"/>
        </w:rPr>
        <w:t xml:space="preserve"> ensure that adolescents are not forced by their families to attend the high school. Another factor of concern, as observed in the MNP report,</w:t>
      </w:r>
      <w:r>
        <w:rPr>
          <w:sz w:val="24"/>
          <w:szCs w:val="24"/>
          <w:vertAlign w:val="superscript"/>
        </w:rPr>
        <w:footnoteReference w:id="110"/>
      </w:r>
      <w:r>
        <w:rPr>
          <w:sz w:val="24"/>
          <w:szCs w:val="24"/>
        </w:rPr>
        <w:t xml:space="preserve"> is that “military training”</w:t>
      </w:r>
      <w:r>
        <w:rPr>
          <w:sz w:val="24"/>
          <w:szCs w:val="24"/>
          <w:vertAlign w:val="superscript"/>
        </w:rPr>
        <w:footnoteReference w:id="111"/>
      </w:r>
      <w:r>
        <w:rPr>
          <w:sz w:val="24"/>
          <w:szCs w:val="24"/>
        </w:rPr>
        <w:t xml:space="preserve"> predominates in the concept of middle level education, accounting for approximately</w:t>
      </w:r>
      <w:r>
        <w:rPr>
          <w:sz w:val="24"/>
          <w:szCs w:val="24"/>
        </w:rPr>
        <w:t xml:space="preserve"> 60%, and the rest follows the MEC curriculum. This results in military training that does not prepare adolescents for civilian life.</w:t>
      </w:r>
      <w:r>
        <w:rPr>
          <w:sz w:val="24"/>
          <w:szCs w:val="24"/>
          <w:vertAlign w:val="superscript"/>
        </w:rPr>
        <w:footnoteReference w:id="112"/>
      </w:r>
    </w:p>
    <w:p w:rsidR="006E2C03" w:rsidRDefault="00FD32A9">
      <w:pPr>
        <w:numPr>
          <w:ilvl w:val="0"/>
          <w:numId w:val="3"/>
        </w:numPr>
        <w:spacing w:after="200"/>
        <w:ind w:right="145"/>
        <w:jc w:val="both"/>
        <w:rPr>
          <w:b/>
          <w:sz w:val="24"/>
          <w:szCs w:val="24"/>
        </w:rPr>
      </w:pPr>
      <w:r>
        <w:rPr>
          <w:b/>
          <w:sz w:val="24"/>
          <w:szCs w:val="24"/>
        </w:rPr>
        <w:t>Peace and Human Rights Education</w:t>
      </w:r>
      <w:r>
        <w:rPr>
          <w:b/>
          <w:sz w:val="24"/>
          <w:szCs w:val="24"/>
        </w:rPr>
        <w:tab/>
      </w:r>
      <w:r>
        <w:rPr>
          <w:b/>
          <w:sz w:val="24"/>
          <w:szCs w:val="24"/>
        </w:rPr>
        <w:tab/>
      </w:r>
    </w:p>
    <w:p w:rsidR="006E2C03" w:rsidRDefault="00FD32A9">
      <w:pPr>
        <w:numPr>
          <w:ilvl w:val="0"/>
          <w:numId w:val="41"/>
        </w:numPr>
        <w:spacing w:after="200"/>
        <w:ind w:right="145"/>
        <w:jc w:val="both"/>
        <w:rPr>
          <w:sz w:val="24"/>
          <w:szCs w:val="24"/>
        </w:rPr>
      </w:pPr>
      <w:r>
        <w:rPr>
          <w:sz w:val="24"/>
          <w:szCs w:val="24"/>
        </w:rPr>
        <w:t xml:space="preserve">In Paraguay, authoritarian practices remain present in education. The State indicates the inclusion of human rights and education for peace in the education of students and teachers, but this takes place in an isolated fashion and does not ensure that the </w:t>
      </w:r>
      <w:r>
        <w:rPr>
          <w:sz w:val="24"/>
          <w:szCs w:val="24"/>
        </w:rPr>
        <w:t>approach is incorporated on all education levels. Clear and constant practices of censuring the voices of children and adolescents and interfering with their participation have been observed, among other actions mentioned in the previous sections. There ar</w:t>
      </w:r>
      <w:r>
        <w:rPr>
          <w:sz w:val="24"/>
          <w:szCs w:val="24"/>
        </w:rPr>
        <w:t>e acts of torture that have not been duly reported.</w:t>
      </w:r>
      <w:r>
        <w:rPr>
          <w:sz w:val="24"/>
          <w:szCs w:val="24"/>
          <w:vertAlign w:val="superscript"/>
        </w:rPr>
        <w:footnoteReference w:id="113"/>
      </w:r>
      <w:r>
        <w:rPr>
          <w:sz w:val="24"/>
          <w:szCs w:val="24"/>
        </w:rPr>
        <w:t xml:space="preserve"> </w:t>
      </w:r>
    </w:p>
    <w:p w:rsidR="006E2C03" w:rsidRDefault="00FD32A9">
      <w:pPr>
        <w:numPr>
          <w:ilvl w:val="0"/>
          <w:numId w:val="51"/>
        </w:numPr>
        <w:spacing w:after="200"/>
        <w:ind w:right="145"/>
        <w:jc w:val="both"/>
        <w:rPr>
          <w:b/>
          <w:sz w:val="24"/>
          <w:szCs w:val="24"/>
        </w:rPr>
      </w:pPr>
      <w:r>
        <w:rPr>
          <w:b/>
          <w:sz w:val="24"/>
          <w:szCs w:val="24"/>
        </w:rPr>
        <w:t>Prohibition of Recruitment</w:t>
      </w:r>
    </w:p>
    <w:p w:rsidR="006E2C03" w:rsidRDefault="00FD32A9">
      <w:pPr>
        <w:numPr>
          <w:ilvl w:val="0"/>
          <w:numId w:val="41"/>
        </w:numPr>
        <w:spacing w:after="200"/>
        <w:ind w:right="145"/>
        <w:jc w:val="both"/>
        <w:rPr>
          <w:sz w:val="24"/>
          <w:szCs w:val="24"/>
        </w:rPr>
      </w:pPr>
      <w:r>
        <w:rPr>
          <w:sz w:val="24"/>
          <w:szCs w:val="24"/>
        </w:rPr>
        <w:t xml:space="preserve">After several years without adolescent recruitment by the Armed Forces, in 2016, there were cases of </w:t>
      </w:r>
      <w:r>
        <w:rPr>
          <w:i/>
          <w:sz w:val="24"/>
          <w:szCs w:val="24"/>
        </w:rPr>
        <w:t>arreo</w:t>
      </w:r>
      <w:r>
        <w:rPr>
          <w:sz w:val="24"/>
          <w:szCs w:val="24"/>
        </w:rPr>
        <w:t xml:space="preserve"> (a term used in Paraguay for the practice of forcing children and ad</w:t>
      </w:r>
      <w:r>
        <w:rPr>
          <w:sz w:val="24"/>
          <w:szCs w:val="24"/>
        </w:rPr>
        <w:t>olescents into military service),</w:t>
      </w:r>
      <w:r>
        <w:rPr>
          <w:sz w:val="24"/>
          <w:szCs w:val="24"/>
          <w:vertAlign w:val="superscript"/>
        </w:rPr>
        <w:footnoteReference w:id="114"/>
      </w:r>
      <w:r>
        <w:rPr>
          <w:sz w:val="24"/>
          <w:szCs w:val="24"/>
        </w:rPr>
        <w:t xml:space="preserve"> and another, in 2018, when the current president tried to reinstate mandatory military service, even communicating that he had authorized his 17-year-old son to enter the barracks.</w:t>
      </w:r>
      <w:r>
        <w:rPr>
          <w:sz w:val="24"/>
          <w:szCs w:val="24"/>
          <w:vertAlign w:val="superscript"/>
        </w:rPr>
        <w:footnoteReference w:id="115"/>
      </w:r>
      <w:r>
        <w:rPr>
          <w:sz w:val="24"/>
          <w:szCs w:val="24"/>
        </w:rPr>
        <w:t xml:space="preserve"> In 2019, 142 adolescents were serving in the Armed Forces,</w:t>
      </w:r>
      <w:r>
        <w:rPr>
          <w:sz w:val="24"/>
          <w:szCs w:val="24"/>
          <w:vertAlign w:val="superscript"/>
        </w:rPr>
        <w:footnoteReference w:id="116"/>
      </w:r>
      <w:r>
        <w:rPr>
          <w:sz w:val="24"/>
          <w:szCs w:val="24"/>
        </w:rPr>
        <w:t xml:space="preserve"> representing a setback for this population group’s rights guarantees and going against the agreements with the IACHR on the subject. In 2020, two 11-year-old girls were killed by the FTC in an op</w:t>
      </w:r>
      <w:r>
        <w:rPr>
          <w:sz w:val="24"/>
          <w:szCs w:val="24"/>
        </w:rPr>
        <w:t>eration against members of the armed group Paraguayan People’s Army (EPP, for its Spanish initials). The president presented them as adult women, as war trophies, and then they were buried in graves without names, without being identified, until the Govern</w:t>
      </w:r>
      <w:r>
        <w:rPr>
          <w:sz w:val="24"/>
          <w:szCs w:val="24"/>
        </w:rPr>
        <w:t>ment of Argentina claimed their bodies as nationals of that country.</w:t>
      </w:r>
    </w:p>
    <w:p w:rsidR="006E2C03" w:rsidRDefault="00FD32A9">
      <w:pPr>
        <w:numPr>
          <w:ilvl w:val="0"/>
          <w:numId w:val="41"/>
        </w:numPr>
        <w:spacing w:after="200"/>
        <w:ind w:right="145"/>
        <w:jc w:val="both"/>
        <w:rPr>
          <w:sz w:val="24"/>
          <w:szCs w:val="24"/>
        </w:rPr>
      </w:pPr>
      <w:r>
        <w:rPr>
          <w:sz w:val="24"/>
          <w:szCs w:val="24"/>
        </w:rPr>
        <w:t>The bill “establishing measures for the prevention, protection and penalisation of the recruitment of children and adolescents and their exploitation in the perpetration of punishable act</w:t>
      </w:r>
      <w:r>
        <w:rPr>
          <w:sz w:val="24"/>
          <w:szCs w:val="24"/>
        </w:rPr>
        <w:t>s” stands out. Without ignoring this bill’s political and institutional relevance, it is concerning that it does not contemplate fundamental rights, in accordance with the provisions of the Optional Protocol to the Convention on the Rights of the Child reg</w:t>
      </w:r>
      <w:r>
        <w:rPr>
          <w:sz w:val="24"/>
          <w:szCs w:val="24"/>
        </w:rPr>
        <w:t>arding the involvement of children in armed conflicts (Law 1897/2002).</w:t>
      </w:r>
      <w:r>
        <w:rPr>
          <w:sz w:val="24"/>
          <w:szCs w:val="24"/>
          <w:vertAlign w:val="superscript"/>
        </w:rPr>
        <w:footnoteReference w:id="117"/>
      </w:r>
    </w:p>
    <w:p w:rsidR="006E2C03" w:rsidRDefault="00FD32A9">
      <w:pPr>
        <w:numPr>
          <w:ilvl w:val="0"/>
          <w:numId w:val="59"/>
        </w:numPr>
        <w:spacing w:after="200"/>
        <w:ind w:right="145"/>
        <w:jc w:val="both"/>
        <w:rPr>
          <w:b/>
          <w:sz w:val="24"/>
          <w:szCs w:val="24"/>
        </w:rPr>
      </w:pPr>
      <w:r>
        <w:rPr>
          <w:b/>
          <w:sz w:val="24"/>
          <w:szCs w:val="24"/>
        </w:rPr>
        <w:t>Extraterritorial Jurisdiction and Extradition</w:t>
      </w:r>
      <w:r>
        <w:rPr>
          <w:b/>
          <w:sz w:val="24"/>
          <w:szCs w:val="24"/>
        </w:rPr>
        <w:tab/>
      </w:r>
    </w:p>
    <w:p w:rsidR="006E2C03" w:rsidRDefault="00FD32A9">
      <w:pPr>
        <w:numPr>
          <w:ilvl w:val="0"/>
          <w:numId w:val="41"/>
        </w:numPr>
        <w:spacing w:after="200"/>
        <w:ind w:right="145"/>
        <w:jc w:val="both"/>
        <w:rPr>
          <w:sz w:val="24"/>
          <w:szCs w:val="24"/>
        </w:rPr>
      </w:pPr>
      <w:r>
        <w:rPr>
          <w:sz w:val="24"/>
          <w:szCs w:val="24"/>
        </w:rPr>
        <w:t>Regarding extraterritorial jurisdiction and extradition, the provisions of paragraph 111 of this report apply.</w:t>
      </w:r>
    </w:p>
    <w:p w:rsidR="006E2C03" w:rsidRDefault="00FD32A9">
      <w:pPr>
        <w:numPr>
          <w:ilvl w:val="0"/>
          <w:numId w:val="11"/>
        </w:numPr>
        <w:spacing w:after="200"/>
        <w:ind w:right="145"/>
        <w:jc w:val="both"/>
        <w:rPr>
          <w:rFonts w:ascii="Calibri" w:eastAsia="Calibri" w:hAnsi="Calibri" w:cs="Calibri"/>
          <w:sz w:val="24"/>
          <w:szCs w:val="24"/>
        </w:rPr>
      </w:pPr>
      <w:r>
        <w:rPr>
          <w:b/>
          <w:sz w:val="24"/>
          <w:szCs w:val="24"/>
        </w:rPr>
        <w:t>Protective Measures</w:t>
      </w:r>
      <w:r>
        <w:rPr>
          <w:b/>
          <w:sz w:val="24"/>
          <w:szCs w:val="24"/>
        </w:rPr>
        <w:tab/>
      </w:r>
      <w:r>
        <w:rPr>
          <w:sz w:val="24"/>
          <w:szCs w:val="24"/>
        </w:rPr>
        <w:tab/>
      </w:r>
    </w:p>
    <w:p w:rsidR="006E2C03" w:rsidRDefault="00FD32A9">
      <w:pPr>
        <w:numPr>
          <w:ilvl w:val="0"/>
          <w:numId w:val="41"/>
        </w:numPr>
        <w:spacing w:after="200"/>
        <w:ind w:right="145"/>
        <w:jc w:val="both"/>
        <w:rPr>
          <w:sz w:val="24"/>
          <w:szCs w:val="24"/>
        </w:rPr>
      </w:pPr>
      <w:r>
        <w:rPr>
          <w:sz w:val="24"/>
          <w:szCs w:val="24"/>
        </w:rPr>
        <w:t>Mass</w:t>
      </w:r>
      <w:r>
        <w:rPr>
          <w:sz w:val="24"/>
          <w:szCs w:val="24"/>
        </w:rPr>
        <w:t xml:space="preserve"> and sustained militarisation in the northern zone of Paraguay</w:t>
      </w:r>
      <w:r>
        <w:rPr>
          <w:sz w:val="24"/>
          <w:szCs w:val="24"/>
          <w:vertAlign w:val="superscript"/>
        </w:rPr>
        <w:footnoteReference w:id="118"/>
      </w:r>
      <w:r>
        <w:rPr>
          <w:sz w:val="24"/>
          <w:szCs w:val="24"/>
        </w:rPr>
        <w:t xml:space="preserve"> has led to cases of human rights violations by the FTC with constant and violent raids and evictions. On May 23, 2018, an eviction was carried out in Sexta Línea Yvype, in the Department of Sa</w:t>
      </w:r>
      <w:r>
        <w:rPr>
          <w:sz w:val="24"/>
          <w:szCs w:val="24"/>
        </w:rPr>
        <w:t>n Pedro. The FTC arbitrarily demolished all the houses, apprehending three adolescents, between ages 14 and 16, who were victims of physical and psychological abuse.</w:t>
      </w:r>
      <w:r>
        <w:rPr>
          <w:sz w:val="24"/>
          <w:szCs w:val="24"/>
          <w:vertAlign w:val="superscript"/>
        </w:rPr>
        <w:footnoteReference w:id="119"/>
      </w:r>
      <w:r>
        <w:rPr>
          <w:sz w:val="24"/>
          <w:szCs w:val="24"/>
        </w:rPr>
        <w:t xml:space="preserve"> To date, no member of the FTC has been criminally prosecuted for these violent acts; the </w:t>
      </w:r>
      <w:r>
        <w:rPr>
          <w:sz w:val="24"/>
          <w:szCs w:val="24"/>
        </w:rPr>
        <w:t>Human Rights Prosecutor’s Office has not properly investigated the case.</w:t>
      </w:r>
    </w:p>
    <w:p w:rsidR="006E2C03" w:rsidRDefault="00FD32A9">
      <w:pPr>
        <w:numPr>
          <w:ilvl w:val="0"/>
          <w:numId w:val="19"/>
        </w:numPr>
        <w:spacing w:after="200"/>
        <w:ind w:right="145"/>
        <w:jc w:val="both"/>
        <w:rPr>
          <w:sz w:val="24"/>
          <w:szCs w:val="24"/>
        </w:rPr>
      </w:pPr>
      <w:r>
        <w:rPr>
          <w:b/>
          <w:sz w:val="24"/>
          <w:szCs w:val="24"/>
        </w:rPr>
        <w:t>Measures Taken to Protect the Rights of Child Victims</w:t>
      </w:r>
      <w:r>
        <w:rPr>
          <w:b/>
          <w:sz w:val="24"/>
          <w:szCs w:val="24"/>
        </w:rPr>
        <w:tab/>
      </w:r>
      <w:r>
        <w:rPr>
          <w:sz w:val="24"/>
          <w:szCs w:val="24"/>
        </w:rPr>
        <w:tab/>
      </w:r>
    </w:p>
    <w:p w:rsidR="006E2C03" w:rsidRDefault="00FD32A9">
      <w:pPr>
        <w:numPr>
          <w:ilvl w:val="0"/>
          <w:numId w:val="41"/>
        </w:numPr>
        <w:spacing w:after="200"/>
        <w:jc w:val="both"/>
        <w:rPr>
          <w:sz w:val="24"/>
          <w:szCs w:val="24"/>
        </w:rPr>
      </w:pPr>
      <w:r>
        <w:rPr>
          <w:sz w:val="24"/>
          <w:szCs w:val="24"/>
        </w:rPr>
        <w:t>The National Police has the Resolution No. 665, which “approves the protocol for police intervention with adolescents between a</w:t>
      </w:r>
      <w:r>
        <w:rPr>
          <w:sz w:val="24"/>
          <w:szCs w:val="24"/>
        </w:rPr>
        <w:t>ges 14 and 17 who infringe on criminal law and for police protection of at-risk children and adolescents”.</w:t>
      </w:r>
      <w:r>
        <w:rPr>
          <w:sz w:val="24"/>
          <w:szCs w:val="24"/>
          <w:vertAlign w:val="superscript"/>
        </w:rPr>
        <w:footnoteReference w:id="120"/>
      </w:r>
      <w:r>
        <w:rPr>
          <w:sz w:val="24"/>
          <w:szCs w:val="24"/>
        </w:rPr>
        <w:t xml:space="preserve"> However, it is not applied in the procedures.</w:t>
      </w:r>
    </w:p>
    <w:p w:rsidR="006E2C03" w:rsidRDefault="00FD32A9">
      <w:pPr>
        <w:numPr>
          <w:ilvl w:val="0"/>
          <w:numId w:val="41"/>
        </w:numPr>
        <w:spacing w:after="200"/>
        <w:jc w:val="both"/>
        <w:rPr>
          <w:sz w:val="24"/>
          <w:szCs w:val="24"/>
        </w:rPr>
      </w:pPr>
      <w:r>
        <w:rPr>
          <w:sz w:val="24"/>
          <w:szCs w:val="24"/>
        </w:rPr>
        <w:t>The State’s involvement with adolescents who are close to these armed criminal groups occurs through t</w:t>
      </w:r>
      <w:r>
        <w:rPr>
          <w:sz w:val="24"/>
          <w:szCs w:val="24"/>
        </w:rPr>
        <w:t>he security forces and the justice system</w:t>
      </w:r>
      <w:r>
        <w:rPr>
          <w:sz w:val="24"/>
          <w:szCs w:val="24"/>
          <w:vertAlign w:val="superscript"/>
        </w:rPr>
        <w:footnoteReference w:id="121"/>
      </w:r>
      <w:r>
        <w:rPr>
          <w:sz w:val="24"/>
          <w:szCs w:val="24"/>
        </w:rPr>
        <w:t xml:space="preserve"> that kidnaps, tortures and criminalizes them</w:t>
      </w:r>
      <w:r>
        <w:rPr>
          <w:sz w:val="24"/>
          <w:szCs w:val="24"/>
          <w:vertAlign w:val="superscript"/>
        </w:rPr>
        <w:footnoteReference w:id="122"/>
      </w:r>
      <w:r>
        <w:rPr>
          <w:sz w:val="24"/>
          <w:szCs w:val="24"/>
        </w:rPr>
        <w:t xml:space="preserve"> instead of activating the prevention and protection measures against recruitment of children and adolescents, as indicated in the Optional Protocol.</w:t>
      </w:r>
    </w:p>
    <w:p w:rsidR="006E2C03" w:rsidRDefault="00FD32A9">
      <w:pPr>
        <w:numPr>
          <w:ilvl w:val="0"/>
          <w:numId w:val="41"/>
        </w:numPr>
        <w:spacing w:after="200"/>
        <w:jc w:val="both"/>
        <w:rPr>
          <w:sz w:val="24"/>
          <w:szCs w:val="24"/>
        </w:rPr>
      </w:pPr>
      <w:r>
        <w:rPr>
          <w:sz w:val="24"/>
          <w:szCs w:val="24"/>
        </w:rPr>
        <w:t xml:space="preserve">The MNP published </w:t>
      </w:r>
      <w:r>
        <w:rPr>
          <w:sz w:val="24"/>
          <w:szCs w:val="24"/>
        </w:rPr>
        <w:t>a specific report in 2017,</w:t>
      </w:r>
      <w:r>
        <w:rPr>
          <w:sz w:val="24"/>
          <w:szCs w:val="24"/>
          <w:vertAlign w:val="superscript"/>
        </w:rPr>
        <w:footnoteReference w:id="123"/>
      </w:r>
      <w:r>
        <w:rPr>
          <w:sz w:val="24"/>
          <w:szCs w:val="24"/>
        </w:rPr>
        <w:t xml:space="preserve"> but its recommendations are not considered. The State is aware of the issue; it even points to the formation of a second generation of these criminal groups, which is composed of adolescents, including those from indigenous comm</w:t>
      </w:r>
      <w:r>
        <w:rPr>
          <w:sz w:val="24"/>
          <w:szCs w:val="24"/>
        </w:rPr>
        <w:t>unities, without taking any actions to prevent the forced recruitment of children and adolescents.</w:t>
      </w:r>
      <w:r>
        <w:rPr>
          <w:sz w:val="24"/>
          <w:szCs w:val="24"/>
          <w:vertAlign w:val="superscript"/>
        </w:rPr>
        <w:footnoteReference w:id="124"/>
      </w:r>
      <w:r>
        <w:rPr>
          <w:sz w:val="24"/>
          <w:szCs w:val="24"/>
        </w:rPr>
        <w:t xml:space="preserve">  </w:t>
      </w:r>
    </w:p>
    <w:p w:rsidR="006E2C03" w:rsidRDefault="00FD32A9">
      <w:pPr>
        <w:spacing w:after="200"/>
        <w:ind w:right="145"/>
        <w:jc w:val="both"/>
        <w:rPr>
          <w:sz w:val="24"/>
          <w:szCs w:val="24"/>
        </w:rPr>
      </w:pPr>
      <w:r>
        <w:rPr>
          <w:b/>
          <w:sz w:val="24"/>
          <w:szCs w:val="24"/>
        </w:rPr>
        <w:t xml:space="preserve">Recommendations: </w:t>
      </w:r>
    </w:p>
    <w:p w:rsidR="006E2C03" w:rsidRDefault="00FD32A9">
      <w:pPr>
        <w:numPr>
          <w:ilvl w:val="0"/>
          <w:numId w:val="41"/>
        </w:numPr>
        <w:spacing w:after="200"/>
        <w:ind w:right="145"/>
        <w:jc w:val="both"/>
        <w:rPr>
          <w:sz w:val="24"/>
          <w:szCs w:val="24"/>
        </w:rPr>
      </w:pPr>
      <w:r>
        <w:rPr>
          <w:sz w:val="24"/>
          <w:szCs w:val="24"/>
        </w:rPr>
        <w:t>The National Council for Children and Adolescents must assume its responsibility as an authority on joint efforts and coordination and d</w:t>
      </w:r>
      <w:r>
        <w:rPr>
          <w:sz w:val="24"/>
          <w:szCs w:val="24"/>
        </w:rPr>
        <w:t>evelop strategies for applying this Optional Protocol, defining actions for preventing new events and taking on a comprehensive approach to those that have already occurred.</w:t>
      </w:r>
    </w:p>
    <w:p w:rsidR="006E2C03" w:rsidRDefault="00FD32A9">
      <w:pPr>
        <w:numPr>
          <w:ilvl w:val="0"/>
          <w:numId w:val="41"/>
        </w:numPr>
        <w:spacing w:after="200"/>
        <w:ind w:right="145"/>
        <w:jc w:val="both"/>
        <w:rPr>
          <w:sz w:val="24"/>
          <w:szCs w:val="24"/>
        </w:rPr>
      </w:pPr>
      <w:r>
        <w:rPr>
          <w:sz w:val="24"/>
          <w:szCs w:val="24"/>
        </w:rPr>
        <w:t>Redirect the public investment in the FTC towards the development of dignified liv</w:t>
      </w:r>
      <w:r>
        <w:rPr>
          <w:sz w:val="24"/>
          <w:szCs w:val="24"/>
        </w:rPr>
        <w:t>ing conditions so that children and adolescents are not recruited, especially those living in the northern territories.</w:t>
      </w:r>
    </w:p>
    <w:p w:rsidR="006E2C03" w:rsidRDefault="00FD32A9">
      <w:pPr>
        <w:numPr>
          <w:ilvl w:val="0"/>
          <w:numId w:val="41"/>
        </w:numPr>
        <w:spacing w:after="200"/>
        <w:ind w:right="145"/>
        <w:jc w:val="both"/>
        <w:rPr>
          <w:sz w:val="24"/>
          <w:szCs w:val="24"/>
        </w:rPr>
      </w:pPr>
      <w:r>
        <w:rPr>
          <w:sz w:val="24"/>
          <w:szCs w:val="24"/>
        </w:rPr>
        <w:t>Develop dissemination, awareness and training processes on the Convention on the Rights of the Child and the Optional Protocol on the In</w:t>
      </w:r>
      <w:r>
        <w:rPr>
          <w:sz w:val="24"/>
          <w:szCs w:val="24"/>
        </w:rPr>
        <w:t>volvement of Children in Armed Conflicts, especially with public servants and people in the northern zone, so they know their rights and demand that they are guaranteed.</w:t>
      </w:r>
    </w:p>
    <w:p w:rsidR="006E2C03" w:rsidRDefault="00FD32A9">
      <w:pPr>
        <w:numPr>
          <w:ilvl w:val="0"/>
          <w:numId w:val="41"/>
        </w:numPr>
        <w:spacing w:after="200"/>
        <w:ind w:right="145"/>
        <w:jc w:val="both"/>
        <w:rPr>
          <w:sz w:val="24"/>
          <w:szCs w:val="24"/>
        </w:rPr>
      </w:pPr>
      <w:r>
        <w:rPr>
          <w:sz w:val="24"/>
          <w:szCs w:val="24"/>
        </w:rPr>
        <w:t>Establish an accessible and public data system regarding the data of the Acosta Ñú Military Secondary School, children and adolescents involved in armed conflicts, victims of forced recruitment, asylum seekers, refugees and migrants that is segregated by t</w:t>
      </w:r>
      <w:r>
        <w:rPr>
          <w:sz w:val="24"/>
          <w:szCs w:val="24"/>
        </w:rPr>
        <w:t>erritory, age, sex, ethnicity, family income and disability.</w:t>
      </w:r>
    </w:p>
    <w:p w:rsidR="006E2C03" w:rsidRDefault="00FD32A9">
      <w:pPr>
        <w:numPr>
          <w:ilvl w:val="0"/>
          <w:numId w:val="41"/>
        </w:numPr>
        <w:spacing w:after="200"/>
        <w:ind w:right="145"/>
        <w:jc w:val="both"/>
        <w:rPr>
          <w:sz w:val="24"/>
          <w:szCs w:val="24"/>
        </w:rPr>
      </w:pPr>
      <w:r>
        <w:rPr>
          <w:sz w:val="24"/>
          <w:szCs w:val="24"/>
        </w:rPr>
        <w:t>That the State complies with the provisions of Law No. 569/75 on Compulsory Military Service in all cases and without exception, which provides that in no case may someone serve in the military b</w:t>
      </w:r>
      <w:r>
        <w:rPr>
          <w:sz w:val="24"/>
          <w:szCs w:val="24"/>
        </w:rPr>
        <w:t>efore the age of 18.</w:t>
      </w:r>
    </w:p>
    <w:p w:rsidR="006E2C03" w:rsidRDefault="00FD32A9">
      <w:pPr>
        <w:numPr>
          <w:ilvl w:val="0"/>
          <w:numId w:val="41"/>
        </w:numPr>
        <w:spacing w:after="200"/>
        <w:ind w:right="145"/>
        <w:jc w:val="both"/>
        <w:rPr>
          <w:sz w:val="24"/>
          <w:szCs w:val="24"/>
        </w:rPr>
      </w:pPr>
      <w:r>
        <w:rPr>
          <w:sz w:val="24"/>
          <w:szCs w:val="24"/>
        </w:rPr>
        <w:t>That the State, through the MEC, monitor and evaluate the education plan for the students of the Acosta Ñu Military Secondary School, including the distribution of the time allotted to the Regular Education Programme and the Special Mi</w:t>
      </w:r>
      <w:r>
        <w:rPr>
          <w:sz w:val="24"/>
          <w:szCs w:val="24"/>
        </w:rPr>
        <w:t>litary Sciences Programme in accordance with the regular public education system plan, thus guaranteeing that those adolescents who do not continue with military training will be adequately prepared to perform in the civilian sphere.</w:t>
      </w:r>
    </w:p>
    <w:p w:rsidR="006E2C03" w:rsidRDefault="00FD32A9">
      <w:pPr>
        <w:numPr>
          <w:ilvl w:val="0"/>
          <w:numId w:val="41"/>
        </w:numPr>
        <w:spacing w:after="200"/>
        <w:ind w:right="145"/>
        <w:jc w:val="both"/>
        <w:rPr>
          <w:sz w:val="24"/>
          <w:szCs w:val="24"/>
        </w:rPr>
      </w:pPr>
      <w:r>
        <w:rPr>
          <w:sz w:val="24"/>
          <w:szCs w:val="24"/>
        </w:rPr>
        <w:t xml:space="preserve">Promote cross-cutting </w:t>
      </w:r>
      <w:r>
        <w:rPr>
          <w:sz w:val="24"/>
          <w:szCs w:val="24"/>
        </w:rPr>
        <w:t>training in human rights and peace education in the educational, military, police and judicial systems as a means of incorporating democratic dynamics and respect for the dignity, integrity and rights of all people into their professional practice, especia</w:t>
      </w:r>
      <w:r>
        <w:rPr>
          <w:sz w:val="24"/>
          <w:szCs w:val="24"/>
        </w:rPr>
        <w:t xml:space="preserve">lly regarding children and adolescents. </w:t>
      </w:r>
    </w:p>
    <w:p w:rsidR="006E2C03" w:rsidRDefault="00FD32A9">
      <w:pPr>
        <w:numPr>
          <w:ilvl w:val="0"/>
          <w:numId w:val="41"/>
        </w:numPr>
        <w:spacing w:after="200"/>
        <w:ind w:right="145"/>
        <w:jc w:val="both"/>
        <w:rPr>
          <w:sz w:val="24"/>
          <w:szCs w:val="24"/>
        </w:rPr>
      </w:pPr>
      <w:r>
        <w:rPr>
          <w:sz w:val="24"/>
          <w:szCs w:val="24"/>
        </w:rPr>
        <w:t xml:space="preserve">Develop measures to prevent forced recruitment, both by State and non-State armed groups, recognizing children and adolescents as subjects of special protection in accordance with the Optional Protocol. </w:t>
      </w:r>
    </w:p>
    <w:p w:rsidR="006E2C03" w:rsidRDefault="00FD32A9">
      <w:pPr>
        <w:numPr>
          <w:ilvl w:val="0"/>
          <w:numId w:val="41"/>
        </w:numPr>
        <w:spacing w:after="200"/>
        <w:jc w:val="both"/>
        <w:rPr>
          <w:sz w:val="24"/>
          <w:szCs w:val="24"/>
        </w:rPr>
      </w:pPr>
      <w:r>
        <w:rPr>
          <w:sz w:val="24"/>
          <w:szCs w:val="24"/>
        </w:rPr>
        <w:t>That the St</w:t>
      </w:r>
      <w:r>
        <w:rPr>
          <w:sz w:val="24"/>
          <w:szCs w:val="24"/>
        </w:rPr>
        <w:t>ate offer rights guarantees to all persons residing in the country’s northern zone, investigating all human rights violations committed by the FTC promptly, effectively and impartially, prosecuting the alleged perpetrators and convicting those responsible.</w:t>
      </w:r>
      <w:r>
        <w:rPr>
          <w:sz w:val="24"/>
          <w:szCs w:val="24"/>
        </w:rPr>
        <w:t xml:space="preserve"> The State should also grant full reparations to the victims.</w:t>
      </w:r>
    </w:p>
    <w:p w:rsidR="006E2C03" w:rsidRDefault="00FD32A9">
      <w:pPr>
        <w:numPr>
          <w:ilvl w:val="0"/>
          <w:numId w:val="41"/>
        </w:numPr>
        <w:spacing w:after="200"/>
        <w:ind w:right="145"/>
        <w:jc w:val="both"/>
        <w:rPr>
          <w:sz w:val="24"/>
          <w:szCs w:val="24"/>
        </w:rPr>
      </w:pPr>
      <w:r>
        <w:rPr>
          <w:sz w:val="24"/>
          <w:szCs w:val="24"/>
        </w:rPr>
        <w:t>Establish a law that contemplates measures for the prevention, protection and penalisation of the recruitment of children and adolescents and their exploitation in the perpetration of punishable</w:t>
      </w:r>
      <w:r>
        <w:rPr>
          <w:sz w:val="24"/>
          <w:szCs w:val="24"/>
        </w:rPr>
        <w:t xml:space="preserve"> acts, contemplating the fundamental rights that must be recognized for children and adolescents when faced with a situation or risk of forced recruitment. This regulatory proposal should especially consider the economic, social and political factors that </w:t>
      </w:r>
      <w:r>
        <w:rPr>
          <w:sz w:val="24"/>
          <w:szCs w:val="24"/>
        </w:rPr>
        <w:t xml:space="preserve">influence the participation and/or exploitation of children and adolescents in armed conflicts and issues related to organized crime. </w:t>
      </w:r>
    </w:p>
    <w:p w:rsidR="006E2C03" w:rsidRDefault="00FD32A9">
      <w:pPr>
        <w:numPr>
          <w:ilvl w:val="0"/>
          <w:numId w:val="41"/>
        </w:numPr>
        <w:spacing w:after="200"/>
        <w:ind w:right="145"/>
        <w:jc w:val="both"/>
        <w:rPr>
          <w:sz w:val="24"/>
          <w:szCs w:val="24"/>
        </w:rPr>
      </w:pPr>
      <w:r>
        <w:rPr>
          <w:sz w:val="24"/>
          <w:szCs w:val="24"/>
        </w:rPr>
        <w:t>Amend the Defence and Security Law (Law No. 5036/2013) in order to redirect internal security control tasks to the police</w:t>
      </w:r>
      <w:r>
        <w:rPr>
          <w:sz w:val="24"/>
          <w:szCs w:val="24"/>
        </w:rPr>
        <w:t xml:space="preserve"> force that should be duly trained in human rights.</w:t>
      </w:r>
    </w:p>
    <w:p w:rsidR="006E2C03" w:rsidRDefault="00FD32A9">
      <w:pPr>
        <w:numPr>
          <w:ilvl w:val="0"/>
          <w:numId w:val="41"/>
        </w:numPr>
        <w:spacing w:after="200"/>
        <w:ind w:right="145"/>
        <w:jc w:val="both"/>
        <w:rPr>
          <w:sz w:val="24"/>
          <w:szCs w:val="24"/>
        </w:rPr>
      </w:pPr>
      <w:r>
        <w:rPr>
          <w:sz w:val="24"/>
          <w:szCs w:val="24"/>
        </w:rPr>
        <w:t>Repeal Law No. 5063/13, which modifies and broadens Articles 2, 3 and 56 of Law No. 1337/99 on National Defence and Internal Security</w:t>
      </w:r>
      <w:sdt>
        <w:sdtPr>
          <w:tag w:val="goog_rdk_0"/>
          <w:id w:val="-599411560"/>
        </w:sdtPr>
        <w:sdtEndPr/>
        <w:sdtContent>
          <w:r>
            <w:rPr>
              <w:rFonts w:ascii="Arial Unicode MS" w:eastAsia="Arial Unicode MS" w:hAnsi="Arial Unicode MS" w:cs="Arial Unicode MS"/>
              <w:sz w:val="24"/>
              <w:szCs w:val="24"/>
            </w:rPr>
            <w:t>⎯</w:t>
          </w:r>
          <w:r>
            <w:rPr>
              <w:rFonts w:ascii="Arial Unicode MS" w:eastAsia="Arial Unicode MS" w:hAnsi="Arial Unicode MS" w:cs="Arial Unicode MS"/>
              <w:sz w:val="24"/>
              <w:szCs w:val="24"/>
            </w:rPr>
            <w:t>which authorizes the Armed Forces to operate in national territory and</w:t>
          </w:r>
          <w:r>
            <w:rPr>
              <w:rFonts w:ascii="Arial Unicode MS" w:eastAsia="Arial Unicode MS" w:hAnsi="Arial Unicode MS" w:cs="Arial Unicode MS"/>
              <w:sz w:val="24"/>
              <w:szCs w:val="24"/>
            </w:rPr>
            <w:t xml:space="preserve"> in matters of internal security⎯due to human rights violations in the country’s northern zone.</w:t>
          </w:r>
        </w:sdtContent>
      </w:sdt>
    </w:p>
    <w:p w:rsidR="006E2C03" w:rsidRDefault="00FD32A9">
      <w:pPr>
        <w:numPr>
          <w:ilvl w:val="0"/>
          <w:numId w:val="41"/>
        </w:numPr>
        <w:spacing w:after="200"/>
        <w:ind w:right="145"/>
        <w:jc w:val="both"/>
        <w:rPr>
          <w:sz w:val="24"/>
          <w:szCs w:val="24"/>
        </w:rPr>
      </w:pPr>
      <w:r>
        <w:rPr>
          <w:sz w:val="24"/>
          <w:szCs w:val="24"/>
        </w:rPr>
        <w:t>Promote opening an independent and impartial investigation, with international support, to clarify the FTC’s murder of two girls, and establish measures to pr</w:t>
      </w:r>
      <w:r>
        <w:rPr>
          <w:sz w:val="24"/>
          <w:szCs w:val="24"/>
        </w:rPr>
        <w:t>event its repetition.</w:t>
      </w:r>
    </w:p>
    <w:p w:rsidR="006E2C03" w:rsidRDefault="00FD32A9">
      <w:pPr>
        <w:numPr>
          <w:ilvl w:val="0"/>
          <w:numId w:val="41"/>
        </w:numPr>
        <w:spacing w:after="200"/>
        <w:ind w:right="145"/>
        <w:jc w:val="both"/>
        <w:rPr>
          <w:sz w:val="24"/>
          <w:szCs w:val="24"/>
        </w:rPr>
      </w:pPr>
      <w:r>
        <w:rPr>
          <w:sz w:val="24"/>
          <w:szCs w:val="24"/>
        </w:rPr>
        <w:t>That the State apply the Convention on the Rights of the Child and its optional protocols, taking the necessary measures through social protection policies; facilitating access to universal rights such as health, education, food, housing and decent work; p</w:t>
      </w:r>
      <w:r>
        <w:rPr>
          <w:sz w:val="24"/>
          <w:szCs w:val="24"/>
        </w:rPr>
        <w:t>reventing children and adolescents from being recruited by criminal groups of any kind, and ensuring that they live without violence and poverty.</w:t>
      </w:r>
    </w:p>
    <w:p w:rsidR="006E2C03" w:rsidRDefault="006E2C03">
      <w:pPr>
        <w:spacing w:after="200"/>
        <w:jc w:val="both"/>
        <w:rPr>
          <w:sz w:val="24"/>
          <w:szCs w:val="24"/>
        </w:rPr>
      </w:pPr>
    </w:p>
    <w:p w:rsidR="006E2C03" w:rsidRDefault="00FD32A9">
      <w:pPr>
        <w:spacing w:after="200"/>
        <w:jc w:val="both"/>
        <w:rPr>
          <w:sz w:val="24"/>
          <w:szCs w:val="24"/>
        </w:rPr>
      </w:pPr>
      <w:r>
        <w:pict>
          <v:rect id="_x0000_i1025" style="width:0;height:1.5pt" o:hralign="center" o:hrstd="t" o:hr="t" fillcolor="#a0a0a0" stroked="f"/>
        </w:pict>
      </w:r>
    </w:p>
    <w:p w:rsidR="006E2C03" w:rsidRDefault="006E2C03">
      <w:pPr>
        <w:spacing w:after="200"/>
        <w:jc w:val="both"/>
        <w:rPr>
          <w:sz w:val="24"/>
          <w:szCs w:val="24"/>
        </w:rPr>
      </w:pPr>
    </w:p>
    <w:p w:rsidR="006E2C03" w:rsidRDefault="006E2C03">
      <w:pPr>
        <w:spacing w:after="200"/>
        <w:ind w:right="359"/>
        <w:jc w:val="both"/>
        <w:rPr>
          <w:sz w:val="24"/>
          <w:szCs w:val="24"/>
        </w:rPr>
      </w:pPr>
    </w:p>
    <w:p w:rsidR="006E2C03" w:rsidRDefault="006E2C03">
      <w:pPr>
        <w:spacing w:after="200"/>
        <w:ind w:right="359" w:firstLine="720"/>
        <w:jc w:val="both"/>
        <w:rPr>
          <w:sz w:val="24"/>
          <w:szCs w:val="24"/>
        </w:rPr>
      </w:pPr>
    </w:p>
    <w:sectPr w:rsidR="006E2C03">
      <w:headerReference w:type="default" r:id="rId10"/>
      <w:footerReference w:type="default" r:id="rId11"/>
      <w:pgSz w:w="11909" w:h="16834"/>
      <w:pgMar w:top="1133" w:right="1132" w:bottom="1133" w:left="113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D32A9">
      <w:pPr>
        <w:spacing w:line="240" w:lineRule="auto"/>
      </w:pPr>
      <w:r>
        <w:separator/>
      </w:r>
    </w:p>
  </w:endnote>
  <w:endnote w:type="continuationSeparator" w:id="0">
    <w:p w:rsidR="00000000" w:rsidRDefault="00FD32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charset w:val="00"/>
    <w:family w:val="auto"/>
    <w:pitch w:val="default"/>
  </w:font>
  <w:font w:name="Calibri">
    <w:panose1 w:val="020F0502020204030204"/>
    <w:charset w:val="00"/>
    <w:family w:val="swiss"/>
    <w:pitch w:val="variable"/>
    <w:sig w:usb0="E4002EFF" w:usb1="C000247B" w:usb2="00000009" w:usb3="00000000" w:csb0="000001FF" w:csb1="00000000"/>
  </w:font>
  <w:font w:name="Roboto">
    <w:charset w:val="00"/>
    <w:family w:val="auto"/>
    <w:pitch w:val="default"/>
  </w:font>
  <w:font w:name="Arial Unicode MS">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C03" w:rsidRDefault="00FD32A9">
    <w:pPr>
      <w:jc w:val="right"/>
    </w:pPr>
    <w:r>
      <w:t xml:space="preserve"> CDIA Paraguay - </w:t>
    </w: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D32A9">
      <w:pPr>
        <w:spacing w:line="240" w:lineRule="auto"/>
      </w:pPr>
      <w:r>
        <w:separator/>
      </w:r>
    </w:p>
  </w:footnote>
  <w:footnote w:type="continuationSeparator" w:id="0">
    <w:p w:rsidR="00000000" w:rsidRDefault="00FD32A9">
      <w:pPr>
        <w:spacing w:line="240" w:lineRule="auto"/>
      </w:pPr>
      <w:r>
        <w:continuationSeparator/>
      </w:r>
    </w:p>
  </w:footnote>
  <w:footnote w:id="1">
    <w:p w:rsidR="006E2C03" w:rsidRDefault="00FD32A9">
      <w:pPr>
        <w:spacing w:line="240" w:lineRule="auto"/>
        <w:jc w:val="both"/>
        <w:rPr>
          <w:color w:val="1155CC"/>
          <w:sz w:val="20"/>
          <w:szCs w:val="20"/>
        </w:rPr>
      </w:pPr>
      <w:r>
        <w:rPr>
          <w:vertAlign w:val="superscript"/>
        </w:rPr>
        <w:footnoteRef/>
      </w:r>
      <w:r>
        <w:rPr>
          <w:color w:val="1155CC"/>
          <w:sz w:val="20"/>
          <w:szCs w:val="20"/>
        </w:rPr>
        <w:t xml:space="preserve"> </w:t>
      </w:r>
      <w:hyperlink r:id="rId1">
        <w:r>
          <w:rPr>
            <w:color w:val="1155CC"/>
            <w:sz w:val="20"/>
            <w:szCs w:val="20"/>
          </w:rPr>
          <w:t>Central Library and Archive of the National Congress of Paraguay.</w:t>
        </w:r>
      </w:hyperlink>
      <w:r>
        <w:rPr>
          <w:color w:val="1155CC"/>
          <w:sz w:val="20"/>
          <w:szCs w:val="20"/>
        </w:rPr>
        <w:t xml:space="preserve"> </w:t>
      </w:r>
      <w:hyperlink r:id="rId2">
        <w:r>
          <w:rPr>
            <w:color w:val="1155CC"/>
            <w:sz w:val="20"/>
            <w:szCs w:val="20"/>
          </w:rPr>
          <w:t>Paraguayan Penal Code, Law 1160/1998.</w:t>
        </w:r>
      </w:hyperlink>
      <w:r>
        <w:rPr>
          <w:color w:val="1155CC"/>
          <w:sz w:val="20"/>
          <w:szCs w:val="20"/>
        </w:rPr>
        <w:t xml:space="preserve"> </w:t>
      </w:r>
    </w:p>
  </w:footnote>
  <w:footnote w:id="2">
    <w:p w:rsidR="006E2C03" w:rsidRDefault="00FD32A9">
      <w:pPr>
        <w:spacing w:line="240" w:lineRule="auto"/>
        <w:jc w:val="both"/>
        <w:rPr>
          <w:color w:val="1155CC"/>
          <w:sz w:val="20"/>
          <w:szCs w:val="20"/>
        </w:rPr>
      </w:pPr>
      <w:r>
        <w:rPr>
          <w:vertAlign w:val="superscript"/>
        </w:rPr>
        <w:footnoteRef/>
      </w:r>
      <w:r>
        <w:rPr>
          <w:color w:val="1155CC"/>
          <w:sz w:val="20"/>
          <w:szCs w:val="20"/>
        </w:rPr>
        <w:t xml:space="preserve"> </w:t>
      </w:r>
      <w:hyperlink r:id="rId3">
        <w:r>
          <w:rPr>
            <w:color w:val="1155CC"/>
            <w:sz w:val="20"/>
            <w:szCs w:val="20"/>
            <w:highlight w:val="white"/>
          </w:rPr>
          <w:t xml:space="preserve">Central Library and Archive of the National Congress of Paraguay. Law </w:t>
        </w:r>
        <w:r>
          <w:rPr>
            <w:color w:val="1155CC"/>
            <w:sz w:val="20"/>
            <w:szCs w:val="20"/>
            <w:highlight w:val="white"/>
          </w:rPr>
          <w:t xml:space="preserve">No. 6174/2018 </w:t>
        </w:r>
      </w:hyperlink>
      <w:hyperlink r:id="rId4">
        <w:r>
          <w:rPr>
            <w:color w:val="1155CC"/>
            <w:sz w:val="20"/>
            <w:szCs w:val="20"/>
          </w:rPr>
          <w:t xml:space="preserve">National </w:t>
        </w:r>
        <w:r>
          <w:rPr>
            <w:color w:val="1155CC"/>
            <w:sz w:val="20"/>
            <w:szCs w:val="20"/>
          </w:rPr>
          <w:t>Secretariat for Children and Adolescents is promoted to the rank of ministry (MINNA)</w:t>
        </w:r>
      </w:hyperlink>
    </w:p>
  </w:footnote>
  <w:footnote w:id="3">
    <w:p w:rsidR="006E2C03" w:rsidRDefault="00FD32A9">
      <w:pPr>
        <w:spacing w:line="240" w:lineRule="auto"/>
        <w:jc w:val="both"/>
        <w:rPr>
          <w:color w:val="1155CC"/>
          <w:sz w:val="20"/>
          <w:szCs w:val="20"/>
        </w:rPr>
      </w:pPr>
      <w:r>
        <w:rPr>
          <w:vertAlign w:val="superscript"/>
        </w:rPr>
        <w:footnoteRef/>
      </w:r>
      <w:r>
        <w:rPr>
          <w:color w:val="1155CC"/>
          <w:sz w:val="20"/>
          <w:szCs w:val="20"/>
        </w:rPr>
        <w:t xml:space="preserve"> </w:t>
      </w:r>
      <w:hyperlink r:id="rId5">
        <w:r>
          <w:rPr>
            <w:color w:val="1155CC"/>
            <w:sz w:val="20"/>
            <w:szCs w:val="20"/>
          </w:rPr>
          <w:t>Ministry of Children and Adolescents (MINNA), 2023. Single access sit</w:t>
        </w:r>
        <w:r>
          <w:rPr>
            <w:color w:val="1155CC"/>
            <w:sz w:val="20"/>
            <w:szCs w:val="20"/>
          </w:rPr>
          <w:t>e for public information. Request No. 65495</w:t>
        </w:r>
      </w:hyperlink>
      <w:r>
        <w:rPr>
          <w:color w:val="1155CC"/>
          <w:sz w:val="20"/>
          <w:szCs w:val="20"/>
        </w:rPr>
        <w:t xml:space="preserve"> </w:t>
      </w:r>
    </w:p>
  </w:footnote>
  <w:footnote w:id="4">
    <w:p w:rsidR="006E2C03" w:rsidRDefault="00FD32A9">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w:t>
      </w:r>
      <w:hyperlink r:id="rId6">
        <w:r>
          <w:rPr>
            <w:color w:val="1155CC"/>
            <w:sz w:val="20"/>
            <w:szCs w:val="20"/>
          </w:rPr>
          <w:t>CDIA Observa, 2020.</w:t>
        </w:r>
      </w:hyperlink>
      <w:hyperlink r:id="rId7">
        <w:r>
          <w:rPr>
            <w:color w:val="000000"/>
            <w:sz w:val="20"/>
            <w:szCs w:val="20"/>
          </w:rPr>
          <w:t xml:space="preserve"> </w:t>
        </w:r>
      </w:hyperlink>
      <w:hyperlink r:id="rId8">
        <w:r>
          <w:rPr>
            <w:color w:val="1155CC"/>
            <w:sz w:val="20"/>
            <w:szCs w:val="20"/>
          </w:rPr>
          <w:t>CDIA Observa, 2020. Situational Diagnostic Evaluation of Departmental Secretariats for the Rights of Children and Adolescents (Codenis) of Paraguay. Asunción, Paraguay</w:t>
        </w:r>
      </w:hyperlink>
      <w:r>
        <w:rPr>
          <w:color w:val="1155CC"/>
          <w:sz w:val="20"/>
          <w:szCs w:val="20"/>
        </w:rPr>
        <w:t>, p. 12</w:t>
      </w:r>
    </w:p>
  </w:footnote>
  <w:footnote w:id="5">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9">
        <w:r>
          <w:rPr>
            <w:color w:val="1155CC"/>
            <w:sz w:val="20"/>
            <w:szCs w:val="20"/>
          </w:rPr>
          <w:t xml:space="preserve">CDIA Observa, 2020. Situational Diagnostic Evaluation of the Municipal Councils </w:t>
        </w:r>
        <w:r>
          <w:rPr>
            <w:color w:val="1155CC"/>
            <w:sz w:val="20"/>
            <w:szCs w:val="20"/>
          </w:rPr>
          <w:t>for the Rights of Children and Adolescents (Codenis) of Paraguay. Asunción, Paraguay</w:t>
        </w:r>
      </w:hyperlink>
      <w:r>
        <w:rPr>
          <w:color w:val="1155CC"/>
          <w:sz w:val="20"/>
          <w:szCs w:val="20"/>
        </w:rPr>
        <w:t>, p. 25</w:t>
      </w:r>
    </w:p>
  </w:footnote>
  <w:footnote w:id="6">
    <w:p w:rsidR="006E2C03" w:rsidRDefault="00FD32A9">
      <w:pPr>
        <w:spacing w:line="240" w:lineRule="auto"/>
        <w:jc w:val="both"/>
        <w:rPr>
          <w:color w:val="1155CC"/>
          <w:sz w:val="20"/>
          <w:szCs w:val="20"/>
        </w:rPr>
      </w:pPr>
      <w:bookmarkStart w:id="3" w:name="_heading=h.3j2qqm3" w:colFirst="0" w:colLast="0"/>
      <w:bookmarkEnd w:id="3"/>
      <w:r>
        <w:rPr>
          <w:vertAlign w:val="superscript"/>
        </w:rPr>
        <w:footnoteRef/>
      </w:r>
      <w:r>
        <w:rPr>
          <w:color w:val="1155CC"/>
          <w:sz w:val="20"/>
          <w:szCs w:val="20"/>
        </w:rPr>
        <w:t xml:space="preserve"> </w:t>
      </w:r>
      <w:hyperlink r:id="rId10">
        <w:r>
          <w:rPr>
            <w:color w:val="1155CC"/>
            <w:sz w:val="20"/>
            <w:szCs w:val="20"/>
          </w:rPr>
          <w:t>MINNA, 2022.</w:t>
        </w:r>
      </w:hyperlink>
      <w:hyperlink r:id="rId11">
        <w:r>
          <w:t xml:space="preserve"> </w:t>
        </w:r>
      </w:hyperlink>
      <w:hyperlink r:id="rId12">
        <w:r>
          <w:rPr>
            <w:color w:val="1155CC"/>
            <w:sz w:val="20"/>
            <w:szCs w:val="20"/>
          </w:rPr>
          <w:t xml:space="preserve">Accountability on 20 Commitments </w:t>
        </w:r>
        <w:r>
          <w:rPr>
            <w:color w:val="1155CC"/>
            <w:sz w:val="20"/>
            <w:szCs w:val="20"/>
          </w:rPr>
          <w:t>with Children and Adolescents.</w:t>
        </w:r>
      </w:hyperlink>
      <w:r>
        <w:t xml:space="preserve"> </w:t>
      </w:r>
      <w:r>
        <w:rPr>
          <w:color w:val="1155CC"/>
          <w:sz w:val="20"/>
          <w:szCs w:val="20"/>
        </w:rPr>
        <w:t>Fourth Government Report. p. 13</w:t>
      </w:r>
    </w:p>
  </w:footnote>
  <w:footnote w:id="7">
    <w:p w:rsidR="006E2C03" w:rsidRDefault="00FD32A9">
      <w:pPr>
        <w:pStyle w:val="Heading1"/>
        <w:keepNext w:val="0"/>
        <w:keepLines w:val="0"/>
        <w:shd w:val="clear" w:color="auto" w:fill="FFFFFF"/>
        <w:spacing w:after="0" w:line="240" w:lineRule="auto"/>
        <w:ind w:firstLine="0"/>
        <w:jc w:val="both"/>
        <w:rPr>
          <w:b w:val="0"/>
          <w:color w:val="1155CC"/>
          <w:sz w:val="20"/>
          <w:szCs w:val="20"/>
        </w:rPr>
      </w:pPr>
      <w:r>
        <w:rPr>
          <w:vertAlign w:val="superscript"/>
        </w:rPr>
        <w:footnoteRef/>
      </w:r>
      <w:r>
        <w:rPr>
          <w:color w:val="1155CC"/>
          <w:sz w:val="20"/>
          <w:szCs w:val="20"/>
        </w:rPr>
        <w:t xml:space="preserve"> </w:t>
      </w:r>
      <w:hyperlink r:id="rId13">
        <w:r>
          <w:rPr>
            <w:b w:val="0"/>
            <w:color w:val="1155CC"/>
            <w:sz w:val="20"/>
            <w:szCs w:val="20"/>
          </w:rPr>
          <w:t>CDIA Observa, 2</w:t>
        </w:r>
        <w:r>
          <w:rPr>
            <w:b w:val="0"/>
            <w:color w:val="1155CC"/>
            <w:sz w:val="20"/>
            <w:szCs w:val="20"/>
          </w:rPr>
          <w:t>020. Situational Diagnostic Evaluation of the Municipal Councils for the Rights of Children and Adolescents (Codenis) of Paraguay. Asunción, Paraguay</w:t>
        </w:r>
      </w:hyperlink>
      <w:r>
        <w:rPr>
          <w:b w:val="0"/>
          <w:color w:val="1155CC"/>
          <w:sz w:val="20"/>
          <w:szCs w:val="20"/>
        </w:rPr>
        <w:t>, p. 38</w:t>
      </w:r>
    </w:p>
  </w:footnote>
  <w:footnote w:id="8">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14">
        <w:r>
          <w:rPr>
            <w:color w:val="1155CC"/>
            <w:sz w:val="20"/>
            <w:szCs w:val="20"/>
          </w:rPr>
          <w:t>CDIA Observa, 2020. Situational Diagnostic Evaluation of the Municipal Councils for the Rights of Children and Adolescents (Codenis) of Paraguay. Asunción, Paraguay</w:t>
        </w:r>
      </w:hyperlink>
      <w:r>
        <w:rPr>
          <w:color w:val="1155CC"/>
          <w:sz w:val="20"/>
          <w:szCs w:val="20"/>
        </w:rPr>
        <w:t>, p. 35</w:t>
      </w:r>
    </w:p>
  </w:footnote>
  <w:footnote w:id="9">
    <w:p w:rsidR="006E2C03" w:rsidRDefault="00FD32A9">
      <w:pPr>
        <w:spacing w:line="240" w:lineRule="auto"/>
        <w:rPr>
          <w:color w:val="1155CC"/>
          <w:sz w:val="20"/>
          <w:szCs w:val="20"/>
        </w:rPr>
      </w:pPr>
      <w:r>
        <w:rPr>
          <w:vertAlign w:val="superscript"/>
        </w:rPr>
        <w:footnoteRef/>
      </w:r>
      <w:hyperlink r:id="rId15">
        <w:r>
          <w:t xml:space="preserve"> </w:t>
        </w:r>
      </w:hyperlink>
      <w:hyperlink r:id="rId16">
        <w:r>
          <w:rPr>
            <w:color w:val="1155CC"/>
            <w:sz w:val="20"/>
            <w:szCs w:val="20"/>
          </w:rPr>
          <w:t>The process concluded in 2022, establishing the new National Plan for Children and Adolescents (PNA) 2022–2024.</w:t>
        </w:r>
      </w:hyperlink>
    </w:p>
  </w:footnote>
  <w:footnote w:id="10">
    <w:p w:rsidR="006E2C03" w:rsidRDefault="00FD32A9">
      <w:pPr>
        <w:rPr>
          <w:color w:val="1155CC"/>
          <w:sz w:val="20"/>
          <w:szCs w:val="20"/>
        </w:rPr>
      </w:pPr>
      <w:r>
        <w:rPr>
          <w:vertAlign w:val="superscript"/>
        </w:rPr>
        <w:footnoteRef/>
      </w:r>
      <w:r>
        <w:rPr>
          <w:color w:val="1155CC"/>
          <w:sz w:val="20"/>
          <w:szCs w:val="20"/>
        </w:rPr>
        <w:t xml:space="preserve"> </w:t>
      </w:r>
      <w:hyperlink r:id="rId17">
        <w:r>
          <w:rPr>
            <w:color w:val="1155CC"/>
            <w:sz w:val="20"/>
            <w:szCs w:val="20"/>
          </w:rPr>
          <w:t>Office of the Ombudsman. Law No. 631/95. Organic Law</w:t>
        </w:r>
        <w:r>
          <w:rPr>
            <w:color w:val="1155CC"/>
            <w:sz w:val="20"/>
            <w:szCs w:val="20"/>
          </w:rPr>
          <w:t xml:space="preserve"> of the Ombudsman’s Office</w:t>
        </w:r>
      </w:hyperlink>
    </w:p>
  </w:footnote>
  <w:footnote w:id="11">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18">
        <w:r>
          <w:rPr>
            <w:color w:val="1155CC"/>
            <w:sz w:val="20"/>
            <w:szCs w:val="20"/>
          </w:rPr>
          <w:t>Ministry of Finance, 2021. Methodological Guide.</w:t>
        </w:r>
      </w:hyperlink>
      <w:hyperlink r:id="rId19">
        <w:r>
          <w:t xml:space="preserve"> </w:t>
        </w:r>
      </w:hyperlink>
      <w:hyperlink r:id="rId20">
        <w:r>
          <w:rPr>
            <w:color w:val="1155CC"/>
            <w:sz w:val="20"/>
            <w:szCs w:val="20"/>
          </w:rPr>
          <w:t>Measuring Investment in Children and Adolescents</w:t>
        </w:r>
      </w:hyperlink>
      <w:r>
        <w:rPr>
          <w:color w:val="1155CC"/>
          <w:sz w:val="20"/>
          <w:szCs w:val="20"/>
        </w:rPr>
        <w:t>.</w:t>
      </w:r>
    </w:p>
  </w:footnote>
  <w:footnote w:id="12">
    <w:p w:rsidR="006E2C03" w:rsidRDefault="00FD32A9">
      <w:pPr>
        <w:rPr>
          <w:color w:val="1155CC"/>
          <w:sz w:val="20"/>
          <w:szCs w:val="20"/>
        </w:rPr>
      </w:pPr>
      <w:r>
        <w:rPr>
          <w:vertAlign w:val="superscript"/>
        </w:rPr>
        <w:footnoteRef/>
      </w:r>
      <w:r>
        <w:rPr>
          <w:color w:val="1155CC"/>
          <w:sz w:val="20"/>
          <w:szCs w:val="20"/>
        </w:rPr>
        <w:t xml:space="preserve"> </w:t>
      </w:r>
      <w:hyperlink r:id="rId21">
        <w:r>
          <w:rPr>
            <w:color w:val="1155CC"/>
            <w:sz w:val="20"/>
            <w:szCs w:val="20"/>
          </w:rPr>
          <w:t>MINNA, 2022. Accountability on 20 Commitments with Children and Adolescents. Fourth Government Report, p. 9</w:t>
        </w:r>
      </w:hyperlink>
    </w:p>
  </w:footnote>
  <w:footnote w:id="13">
    <w:p w:rsidR="006E2C03" w:rsidRDefault="00FD32A9">
      <w:pPr>
        <w:rPr>
          <w:color w:val="1155CC"/>
          <w:sz w:val="20"/>
          <w:szCs w:val="20"/>
        </w:rPr>
      </w:pPr>
      <w:r>
        <w:rPr>
          <w:vertAlign w:val="superscript"/>
        </w:rPr>
        <w:footnoteRef/>
      </w:r>
      <w:r>
        <w:rPr>
          <w:sz w:val="20"/>
          <w:szCs w:val="20"/>
        </w:rPr>
        <w:t xml:space="preserve"> </w:t>
      </w:r>
      <w:hyperlink r:id="rId22">
        <w:r>
          <w:rPr>
            <w:color w:val="1155CC"/>
            <w:sz w:val="20"/>
            <w:szCs w:val="20"/>
          </w:rPr>
          <w:t>Central Library and Archive of the Nat</w:t>
        </w:r>
        <w:r>
          <w:rPr>
            <w:color w:val="1155CC"/>
            <w:sz w:val="20"/>
            <w:szCs w:val="20"/>
          </w:rPr>
          <w:t xml:space="preserve">ional Congress. Law No. 6670/2020 Establishes the modernisation of the National Statistical System (SISEN) and Creates the National Institute of Statistics (INE) </w:t>
        </w:r>
      </w:hyperlink>
    </w:p>
  </w:footnote>
  <w:footnote w:id="14">
    <w:p w:rsidR="006E2C03" w:rsidRDefault="00FD32A9">
      <w:pPr>
        <w:rPr>
          <w:color w:val="1155CC"/>
          <w:sz w:val="20"/>
          <w:szCs w:val="20"/>
        </w:rPr>
      </w:pPr>
      <w:r>
        <w:rPr>
          <w:vertAlign w:val="superscript"/>
        </w:rPr>
        <w:footnoteRef/>
      </w:r>
      <w:r>
        <w:rPr>
          <w:color w:val="1155CC"/>
          <w:sz w:val="20"/>
          <w:szCs w:val="20"/>
        </w:rPr>
        <w:t xml:space="preserve"> </w:t>
      </w:r>
      <w:r>
        <w:rPr>
          <w:sz w:val="20"/>
          <w:szCs w:val="20"/>
        </w:rPr>
        <w:t>The last Population Census was conducted in 2022.</w:t>
      </w:r>
    </w:p>
  </w:footnote>
  <w:footnote w:id="15">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23">
        <w:r>
          <w:rPr>
            <w:color w:val="1155CC"/>
            <w:sz w:val="20"/>
            <w:szCs w:val="20"/>
          </w:rPr>
          <w:t xml:space="preserve">Olmedo Zelaya R., 2022. Access to justice as a means for demanding the rights of the population with disabilities. </w:t>
        </w:r>
        <w:r>
          <w:rPr>
            <w:color w:val="1155CC"/>
            <w:sz w:val="20"/>
            <w:szCs w:val="20"/>
          </w:rPr>
          <w:t>In Codehupy (Ed.), Human Rights in Paraguay 2022 (107–120). Asunción, Paraguay: Codehupy.</w:t>
        </w:r>
      </w:hyperlink>
    </w:p>
  </w:footnote>
  <w:footnote w:id="16">
    <w:p w:rsidR="006E2C03" w:rsidRDefault="00FD32A9">
      <w:pPr>
        <w:rPr>
          <w:color w:val="1155CC"/>
          <w:sz w:val="20"/>
          <w:szCs w:val="20"/>
        </w:rPr>
      </w:pPr>
      <w:r>
        <w:rPr>
          <w:vertAlign w:val="superscript"/>
        </w:rPr>
        <w:footnoteRef/>
      </w:r>
      <w:r>
        <w:rPr>
          <w:color w:val="1155CC"/>
          <w:sz w:val="20"/>
          <w:szCs w:val="20"/>
        </w:rPr>
        <w:t xml:space="preserve"> </w:t>
      </w:r>
      <w:hyperlink r:id="rId24">
        <w:r>
          <w:rPr>
            <w:color w:val="1155CC"/>
            <w:sz w:val="20"/>
            <w:szCs w:val="20"/>
          </w:rPr>
          <w:t>Central Library and A</w:t>
        </w:r>
        <w:r>
          <w:rPr>
            <w:color w:val="1155CC"/>
            <w:sz w:val="20"/>
            <w:szCs w:val="20"/>
          </w:rPr>
          <w:t>rchive of the National Congress of Paraguay. Law No. 5282/2014 On Free Citizen Access to Public Information and Governmental Transparenc</w:t>
        </w:r>
      </w:hyperlink>
      <w:r>
        <w:rPr>
          <w:color w:val="1155CC"/>
          <w:sz w:val="20"/>
          <w:szCs w:val="20"/>
        </w:rPr>
        <w:t>y</w:t>
      </w:r>
    </w:p>
  </w:footnote>
  <w:footnote w:id="17">
    <w:p w:rsidR="006E2C03" w:rsidRDefault="00FD32A9">
      <w:r>
        <w:rPr>
          <w:vertAlign w:val="superscript"/>
        </w:rPr>
        <w:footnoteRef/>
      </w:r>
      <w:r>
        <w:t xml:space="preserve"> </w:t>
      </w:r>
      <w:hyperlink r:id="rId25">
        <w:r>
          <w:rPr>
            <w:color w:val="1155CC"/>
            <w:sz w:val="20"/>
            <w:szCs w:val="20"/>
          </w:rPr>
          <w:t>Ministry of Chil</w:t>
        </w:r>
        <w:r>
          <w:rPr>
            <w:color w:val="1155CC"/>
            <w:sz w:val="20"/>
            <w:szCs w:val="20"/>
          </w:rPr>
          <w:t>dren and Adolescents (MINNA), 2023. Single access site for public information. Request No. 65495</w:t>
        </w:r>
      </w:hyperlink>
      <w:r>
        <w:rPr>
          <w:color w:val="1155CC"/>
          <w:sz w:val="20"/>
          <w:szCs w:val="20"/>
        </w:rPr>
        <w:t xml:space="preserve"> attachments 4-5.</w:t>
      </w:r>
    </w:p>
    <w:p w:rsidR="006E2C03" w:rsidRDefault="006E2C03">
      <w:pPr>
        <w:pBdr>
          <w:top w:val="nil"/>
          <w:left w:val="nil"/>
          <w:bottom w:val="nil"/>
          <w:right w:val="nil"/>
          <w:between w:val="nil"/>
        </w:pBdr>
        <w:spacing w:line="240" w:lineRule="auto"/>
        <w:rPr>
          <w:color w:val="000000"/>
          <w:sz w:val="20"/>
          <w:szCs w:val="20"/>
        </w:rPr>
      </w:pPr>
    </w:p>
  </w:footnote>
  <w:footnote w:id="18">
    <w:p w:rsidR="006E2C03" w:rsidRDefault="00FD32A9">
      <w:pPr>
        <w:widowControl w:val="0"/>
        <w:spacing w:line="240" w:lineRule="auto"/>
        <w:rPr>
          <w:color w:val="1155CC"/>
          <w:sz w:val="20"/>
          <w:szCs w:val="20"/>
        </w:rPr>
      </w:pPr>
      <w:r>
        <w:rPr>
          <w:vertAlign w:val="superscript"/>
        </w:rPr>
        <w:footnoteRef/>
      </w:r>
      <w:r>
        <w:rPr>
          <w:color w:val="1155CC"/>
          <w:sz w:val="20"/>
          <w:szCs w:val="20"/>
        </w:rPr>
        <w:t xml:space="preserve"> </w:t>
      </w:r>
      <w:hyperlink r:id="rId26">
        <w:r>
          <w:rPr>
            <w:color w:val="1155CC"/>
            <w:sz w:val="20"/>
            <w:szCs w:val="20"/>
          </w:rPr>
          <w:t>INE, 2022. 2021 Vital Stati</w:t>
        </w:r>
        <w:r>
          <w:rPr>
            <w:color w:val="1155CC"/>
            <w:sz w:val="20"/>
            <w:szCs w:val="20"/>
          </w:rPr>
          <w:t>stics of Paraguay</w:t>
        </w:r>
      </w:hyperlink>
    </w:p>
  </w:footnote>
  <w:footnote w:id="19">
    <w:p w:rsidR="006E2C03" w:rsidRDefault="00FD32A9">
      <w:pPr>
        <w:spacing w:line="240" w:lineRule="auto"/>
        <w:rPr>
          <w:sz w:val="20"/>
          <w:szCs w:val="20"/>
        </w:rPr>
      </w:pPr>
      <w:r>
        <w:rPr>
          <w:vertAlign w:val="superscript"/>
        </w:rPr>
        <w:footnoteRef/>
      </w:r>
      <w:r>
        <w:rPr>
          <w:sz w:val="20"/>
          <w:szCs w:val="20"/>
        </w:rPr>
        <w:t xml:space="preserve"> </w:t>
      </w:r>
      <w:hyperlink r:id="rId27">
        <w:r>
          <w:rPr>
            <w:color w:val="346ED3"/>
            <w:sz w:val="20"/>
            <w:szCs w:val="20"/>
          </w:rPr>
          <w:t>INE/DGREC. 2021 administrative records of vital statistics.</w:t>
        </w:r>
      </w:hyperlink>
      <w:r>
        <w:rPr>
          <w:color w:val="548DD4"/>
          <w:sz w:val="20"/>
          <w:szCs w:val="20"/>
        </w:rPr>
        <w:t xml:space="preserve"> </w:t>
      </w:r>
    </w:p>
  </w:footnote>
  <w:footnote w:id="20">
    <w:p w:rsidR="006E2C03" w:rsidRDefault="00FD32A9">
      <w:pPr>
        <w:spacing w:line="240" w:lineRule="auto"/>
        <w:rPr>
          <w:color w:val="1155CC"/>
          <w:sz w:val="20"/>
          <w:szCs w:val="20"/>
        </w:rPr>
      </w:pPr>
      <w:r>
        <w:rPr>
          <w:vertAlign w:val="superscript"/>
        </w:rPr>
        <w:footnoteRef/>
      </w:r>
      <w:r>
        <w:rPr>
          <w:color w:val="1155CC"/>
          <w:sz w:val="20"/>
          <w:szCs w:val="20"/>
        </w:rPr>
        <w:t xml:space="preserve"> Forced evictions: being expelled from their land.</w:t>
      </w:r>
    </w:p>
  </w:footnote>
  <w:footnote w:id="21">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28">
        <w:r>
          <w:rPr>
            <w:color w:val="1155CC"/>
            <w:sz w:val="20"/>
            <w:szCs w:val="20"/>
          </w:rPr>
          <w:t>Última Hora, 2020. Petta conditions the delivery of food packages on the completion of homework.</w:t>
        </w:r>
      </w:hyperlink>
    </w:p>
  </w:footnote>
  <w:footnote w:id="22">
    <w:p w:rsidR="006E2C03" w:rsidRDefault="00FD32A9">
      <w:pPr>
        <w:spacing w:line="240" w:lineRule="auto"/>
        <w:rPr>
          <w:sz w:val="20"/>
          <w:szCs w:val="20"/>
        </w:rPr>
      </w:pPr>
      <w:r>
        <w:rPr>
          <w:vertAlign w:val="superscript"/>
        </w:rPr>
        <w:footnoteRef/>
      </w:r>
      <w:r>
        <w:rPr>
          <w:sz w:val="20"/>
          <w:szCs w:val="20"/>
        </w:rPr>
        <w:t xml:space="preserve"> </w:t>
      </w:r>
      <w:hyperlink r:id="rId29">
        <w:r>
          <w:rPr>
            <w:color w:val="1155CC"/>
            <w:sz w:val="20"/>
            <w:szCs w:val="20"/>
          </w:rPr>
          <w:t>Study on Food Assistance and Its Link to the Right to the Protection of Children and Adolescents. (2018).</w:t>
        </w:r>
      </w:hyperlink>
      <w:r>
        <w:rPr>
          <w:sz w:val="20"/>
          <w:szCs w:val="20"/>
        </w:rPr>
        <w:t xml:space="preserve"> </w:t>
      </w:r>
      <w:r>
        <w:rPr>
          <w:sz w:val="20"/>
          <w:szCs w:val="20"/>
        </w:rPr>
        <w:t xml:space="preserve"> </w:t>
      </w:r>
    </w:p>
  </w:footnote>
  <w:footnote w:id="23">
    <w:p w:rsidR="006E2C03" w:rsidRDefault="00FD32A9">
      <w:pPr>
        <w:spacing w:line="240" w:lineRule="auto"/>
        <w:rPr>
          <w:color w:val="1155CC"/>
        </w:rPr>
      </w:pPr>
      <w:r>
        <w:rPr>
          <w:vertAlign w:val="superscript"/>
        </w:rPr>
        <w:footnoteRef/>
      </w:r>
      <w:r>
        <w:t xml:space="preserve"> </w:t>
      </w:r>
      <w:hyperlink r:id="rId30">
        <w:r>
          <w:rPr>
            <w:color w:val="1155CC"/>
            <w:sz w:val="20"/>
            <w:szCs w:val="20"/>
          </w:rPr>
          <w:t>CDIA Observa, 2023. Processed based on data from the INE/STP. Population projection 2000–2025.</w:t>
        </w:r>
      </w:hyperlink>
    </w:p>
    <w:p w:rsidR="006E2C03" w:rsidRDefault="00FD32A9">
      <w:pPr>
        <w:spacing w:line="240" w:lineRule="auto"/>
        <w:rPr>
          <w:color w:val="1155CC"/>
          <w:sz w:val="20"/>
          <w:szCs w:val="20"/>
        </w:rPr>
      </w:pPr>
      <w:r>
        <w:rPr>
          <w:color w:val="1155CC"/>
        </w:rPr>
        <w:t xml:space="preserve">   </w:t>
      </w:r>
      <w:hyperlink r:id="rId31">
        <w:r>
          <w:rPr>
            <w:color w:val="1155CC"/>
            <w:sz w:val="20"/>
            <w:szCs w:val="20"/>
          </w:rPr>
          <w:t>2015 Review.</w:t>
        </w:r>
      </w:hyperlink>
      <w:r>
        <w:rPr>
          <w:color w:val="1155CC"/>
          <w:sz w:val="20"/>
          <w:szCs w:val="20"/>
        </w:rPr>
        <w:t xml:space="preserve"> </w:t>
      </w:r>
    </w:p>
  </w:footnote>
  <w:footnote w:id="24">
    <w:p w:rsidR="006E2C03" w:rsidRDefault="00FD32A9">
      <w:pPr>
        <w:spacing w:line="240" w:lineRule="auto"/>
        <w:rPr>
          <w:rFonts w:ascii="Roboto" w:eastAsia="Roboto" w:hAnsi="Roboto" w:cs="Roboto"/>
          <w:color w:val="1155CC"/>
          <w:sz w:val="20"/>
          <w:szCs w:val="20"/>
        </w:rPr>
      </w:pPr>
      <w:r>
        <w:rPr>
          <w:vertAlign w:val="superscript"/>
        </w:rPr>
        <w:footnoteRef/>
      </w:r>
      <w:r>
        <w:rPr>
          <w:rFonts w:ascii="Roboto" w:eastAsia="Roboto" w:hAnsi="Roboto" w:cs="Roboto"/>
          <w:sz w:val="20"/>
          <w:szCs w:val="20"/>
        </w:rPr>
        <w:t xml:space="preserve"> </w:t>
      </w:r>
      <w:hyperlink r:id="rId32">
        <w:r>
          <w:rPr>
            <w:rFonts w:ascii="Roboto" w:eastAsia="Roboto" w:hAnsi="Roboto" w:cs="Roboto"/>
            <w:color w:val="1155CC"/>
            <w:sz w:val="20"/>
            <w:szCs w:val="20"/>
          </w:rPr>
          <w:t xml:space="preserve">CDIA Observa, 2023. Processed based on data from INE’s 2021 EPHC 2021. </w:t>
        </w:r>
      </w:hyperlink>
    </w:p>
  </w:footnote>
  <w:footnote w:id="25">
    <w:p w:rsidR="006E2C03" w:rsidRDefault="00FD32A9">
      <w:pPr>
        <w:spacing w:line="240" w:lineRule="auto"/>
        <w:rPr>
          <w:sz w:val="20"/>
          <w:szCs w:val="20"/>
        </w:rPr>
      </w:pPr>
      <w:r>
        <w:rPr>
          <w:vertAlign w:val="superscript"/>
        </w:rPr>
        <w:footnoteRef/>
      </w:r>
      <w:r>
        <w:rPr>
          <w:sz w:val="20"/>
          <w:szCs w:val="20"/>
        </w:rPr>
        <w:t xml:space="preserve"> Specialized Department for the Search and Locating of Missing Persons of the National Police of Paraguay, 2021.</w:t>
      </w:r>
    </w:p>
  </w:footnote>
  <w:footnote w:id="26">
    <w:p w:rsidR="006E2C03" w:rsidRDefault="00FD32A9">
      <w:pPr>
        <w:spacing w:line="240" w:lineRule="auto"/>
        <w:jc w:val="both"/>
        <w:rPr>
          <w:sz w:val="20"/>
          <w:szCs w:val="20"/>
        </w:rPr>
      </w:pPr>
      <w:r>
        <w:rPr>
          <w:vertAlign w:val="superscript"/>
        </w:rPr>
        <w:footnoteRef/>
      </w:r>
      <w:r>
        <w:rPr>
          <w:sz w:val="20"/>
          <w:szCs w:val="20"/>
        </w:rPr>
        <w:t xml:space="preserve"> REDNNA is made up of 16 children’s and adolescents’ organisations that promote, disseminate and protect the rights of children and adolescents. It was created in August 2016.</w:t>
      </w:r>
    </w:p>
  </w:footnote>
  <w:footnote w:id="27">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33">
        <w:r>
          <w:t xml:space="preserve"> </w:t>
        </w:r>
      </w:hyperlink>
      <w:hyperlink r:id="rId34">
        <w:r>
          <w:rPr>
            <w:color w:val="1155CC"/>
            <w:sz w:val="20"/>
            <w:szCs w:val="20"/>
          </w:rPr>
          <w:t>National Plan for Children and Adolescents 2022–2024</w:t>
        </w:r>
      </w:hyperlink>
      <w:r>
        <w:rPr>
          <w:color w:val="1155CC"/>
          <w:sz w:val="20"/>
          <w:szCs w:val="20"/>
        </w:rPr>
        <w:t xml:space="preserve"> </w:t>
      </w:r>
    </w:p>
  </w:footnote>
  <w:footnote w:id="28">
    <w:p w:rsidR="006E2C03" w:rsidRDefault="00FD32A9">
      <w:pPr>
        <w:spacing w:line="240" w:lineRule="auto"/>
        <w:rPr>
          <w:sz w:val="20"/>
          <w:szCs w:val="20"/>
        </w:rPr>
      </w:pPr>
      <w:r>
        <w:rPr>
          <w:vertAlign w:val="superscript"/>
        </w:rPr>
        <w:footnoteRef/>
      </w:r>
      <w:r>
        <w:rPr>
          <w:color w:val="1155CC"/>
          <w:sz w:val="20"/>
          <w:szCs w:val="20"/>
          <w:u w:val="single"/>
        </w:rPr>
        <w:t xml:space="preserve"> ¡Vamos! - </w:t>
      </w:r>
      <w:hyperlink r:id="rId35">
        <w:r>
          <w:rPr>
            <w:color w:val="1155CC"/>
            <w:sz w:val="20"/>
            <w:szCs w:val="20"/>
            <w:u w:val="single"/>
          </w:rPr>
          <w:t>Social</w:t>
        </w:r>
      </w:hyperlink>
      <w:r>
        <w:rPr>
          <w:color w:val="1155CC"/>
          <w:sz w:val="20"/>
          <w:szCs w:val="20"/>
          <w:u w:val="single"/>
        </w:rPr>
        <w:t xml:space="preserve"> Protection System</w:t>
      </w:r>
    </w:p>
  </w:footnote>
  <w:footnote w:id="29">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36">
        <w:r>
          <w:rPr>
            <w:color w:val="1155CC"/>
            <w:sz w:val="20"/>
            <w:szCs w:val="20"/>
          </w:rPr>
          <w:t>CDIA Observa,</w:t>
        </w:r>
        <w:r>
          <w:rPr>
            <w:color w:val="1155CC"/>
            <w:sz w:val="20"/>
            <w:szCs w:val="20"/>
          </w:rPr>
          <w:t xml:space="preserve"> 2023.</w:t>
        </w:r>
      </w:hyperlink>
      <w:r>
        <w:rPr>
          <w:sz w:val="20"/>
          <w:szCs w:val="20"/>
        </w:rPr>
        <w:t xml:space="preserve"> Calculated based on </w:t>
      </w:r>
      <w:hyperlink r:id="rId37">
        <w:r>
          <w:rPr>
            <w:color w:val="1155CC"/>
            <w:sz w:val="20"/>
            <w:szCs w:val="20"/>
          </w:rPr>
          <w:t>INE’s 2021 Vital Statistics of Paraguay, p. 11</w:t>
        </w:r>
      </w:hyperlink>
      <w:r>
        <w:rPr>
          <w:sz w:val="20"/>
          <w:szCs w:val="20"/>
        </w:rPr>
        <w:t xml:space="preserve"> and the</w:t>
      </w:r>
      <w:hyperlink r:id="rId38">
        <w:r>
          <w:rPr>
            <w:color w:val="1155CC"/>
            <w:sz w:val="20"/>
            <w:szCs w:val="20"/>
          </w:rPr>
          <w:t xml:space="preserve"> Number of Live Births Registered by the Minister of Public Health and Well-Being</w:t>
        </w:r>
      </w:hyperlink>
      <w:r>
        <w:rPr>
          <w:color w:val="1155CC"/>
          <w:sz w:val="20"/>
          <w:szCs w:val="20"/>
        </w:rPr>
        <w:t>.</w:t>
      </w:r>
    </w:p>
  </w:footnote>
  <w:footnote w:id="30">
    <w:p w:rsidR="006E2C03" w:rsidRDefault="00FD32A9">
      <w:pPr>
        <w:spacing w:line="240" w:lineRule="auto"/>
        <w:jc w:val="both"/>
        <w:rPr>
          <w:color w:val="1155CC"/>
          <w:sz w:val="20"/>
          <w:szCs w:val="20"/>
        </w:rPr>
      </w:pPr>
      <w:r>
        <w:rPr>
          <w:vertAlign w:val="superscript"/>
        </w:rPr>
        <w:footnoteRef/>
      </w:r>
      <w:r>
        <w:rPr>
          <w:color w:val="1155CC"/>
          <w:sz w:val="20"/>
          <w:szCs w:val="20"/>
        </w:rPr>
        <w:t xml:space="preserve"> CDIA Observa 2023, processed based on the EPHC of indigen</w:t>
      </w:r>
      <w:r>
        <w:rPr>
          <w:color w:val="1155CC"/>
          <w:sz w:val="20"/>
          <w:szCs w:val="20"/>
        </w:rPr>
        <w:t>ous communities in 2017 of the DGEEC (now INE)</w:t>
      </w:r>
    </w:p>
  </w:footnote>
  <w:footnote w:id="31">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39">
        <w:r>
          <w:rPr>
            <w:color w:val="1155CC"/>
            <w:sz w:val="20"/>
            <w:szCs w:val="20"/>
            <w:highlight w:val="white"/>
          </w:rPr>
          <w:t>Central Library and Archive of the</w:t>
        </w:r>
        <w:r>
          <w:rPr>
            <w:color w:val="1155CC"/>
            <w:sz w:val="20"/>
            <w:szCs w:val="20"/>
            <w:highlight w:val="white"/>
          </w:rPr>
          <w:t xml:space="preserve"> National Congress of Paraguay. Law No. 4288/2011 </w:t>
        </w:r>
      </w:hyperlink>
      <w:hyperlink r:id="rId40">
        <w:r>
          <w:rPr>
            <w:color w:val="1155CC"/>
            <w:sz w:val="20"/>
            <w:szCs w:val="20"/>
          </w:rPr>
          <w:t>Creates the National Mechanism of</w:t>
        </w:r>
        <w:r>
          <w:rPr>
            <w:color w:val="1155CC"/>
            <w:sz w:val="20"/>
            <w:szCs w:val="20"/>
          </w:rPr>
          <w:t xml:space="preserve"> Prevention Against Torture and Other Cruel, Inhuman or Degrading Treatment or Punishment</w:t>
        </w:r>
      </w:hyperlink>
    </w:p>
  </w:footnote>
  <w:footnote w:id="32">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41">
        <w:r>
          <w:rPr>
            <w:color w:val="1155CC"/>
            <w:sz w:val="20"/>
            <w:szCs w:val="20"/>
          </w:rPr>
          <w:t>An example can be seen on p</w:t>
        </w:r>
        <w:r>
          <w:rPr>
            <w:color w:val="1155CC"/>
            <w:sz w:val="20"/>
            <w:szCs w:val="20"/>
          </w:rPr>
          <w:t>age 14 of this link.</w:t>
        </w:r>
      </w:hyperlink>
      <w:r>
        <w:rPr>
          <w:color w:val="1155CC"/>
          <w:sz w:val="20"/>
          <w:szCs w:val="20"/>
        </w:rPr>
        <w:t xml:space="preserve"> </w:t>
      </w:r>
    </w:p>
  </w:footnote>
  <w:footnote w:id="33">
    <w:p w:rsidR="006E2C03" w:rsidRDefault="00FD32A9">
      <w:pPr>
        <w:spacing w:line="240" w:lineRule="auto"/>
        <w:jc w:val="both"/>
        <w:rPr>
          <w:color w:val="1155CC"/>
          <w:sz w:val="20"/>
          <w:szCs w:val="20"/>
        </w:rPr>
      </w:pPr>
      <w:r>
        <w:rPr>
          <w:vertAlign w:val="superscript"/>
        </w:rPr>
        <w:footnoteRef/>
      </w:r>
      <w:r>
        <w:rPr>
          <w:color w:val="1155CC"/>
          <w:sz w:val="20"/>
          <w:szCs w:val="20"/>
        </w:rPr>
        <w:t xml:space="preserve"> </w:t>
      </w:r>
      <w:hyperlink r:id="rId42">
        <w:r>
          <w:rPr>
            <w:color w:val="1155CC"/>
            <w:sz w:val="20"/>
            <w:szCs w:val="20"/>
          </w:rPr>
          <w:t>Central Library and Archive of the National Congress of Paraguay. Law No. 5659/2016 Promotion of the Proper Treatment, Positive Upbringing and Protection of Children and Adolescents Against Physical Punishment or Any Type of Violen</w:t>
        </w:r>
        <w:r>
          <w:rPr>
            <w:color w:val="1155CC"/>
            <w:sz w:val="20"/>
            <w:szCs w:val="20"/>
          </w:rPr>
          <w:t>ce as a Method of Correction or Discipline</w:t>
        </w:r>
      </w:hyperlink>
      <w:r>
        <w:rPr>
          <w:color w:val="1155CC"/>
          <w:sz w:val="20"/>
          <w:szCs w:val="20"/>
        </w:rPr>
        <w:t xml:space="preserve"> </w:t>
      </w:r>
    </w:p>
  </w:footnote>
  <w:footnote w:id="34">
    <w:p w:rsidR="006E2C03" w:rsidRDefault="00FD32A9">
      <w:pPr>
        <w:spacing w:line="240" w:lineRule="auto"/>
        <w:jc w:val="both"/>
        <w:rPr>
          <w:color w:val="1155CC"/>
          <w:sz w:val="20"/>
          <w:szCs w:val="20"/>
        </w:rPr>
      </w:pPr>
      <w:r>
        <w:rPr>
          <w:vertAlign w:val="superscript"/>
        </w:rPr>
        <w:footnoteRef/>
      </w:r>
      <w:r>
        <w:rPr>
          <w:color w:val="1155CC"/>
          <w:sz w:val="20"/>
          <w:szCs w:val="20"/>
        </w:rPr>
        <w:t xml:space="preserve"> </w:t>
      </w:r>
      <w:hyperlink r:id="rId43">
        <w:r>
          <w:rPr>
            <w:color w:val="1155CC"/>
            <w:sz w:val="20"/>
            <w:szCs w:val="20"/>
          </w:rPr>
          <w:t>Central Library and Archive of th</w:t>
        </w:r>
        <w:r>
          <w:rPr>
            <w:color w:val="1155CC"/>
            <w:sz w:val="20"/>
            <w:szCs w:val="20"/>
          </w:rPr>
          <w:t>e National Congress of Paraguay. Law No. 6486/2020 on the Promotion and Protection of the Right of Children and Adolescents to Live in a Family, which regulates the Measures for Alternative Care and Adoption</w:t>
        </w:r>
      </w:hyperlink>
    </w:p>
  </w:footnote>
  <w:footnote w:id="35">
    <w:p w:rsidR="006E2C03" w:rsidRDefault="00FD32A9">
      <w:pPr>
        <w:spacing w:line="240" w:lineRule="auto"/>
        <w:rPr>
          <w:sz w:val="20"/>
          <w:szCs w:val="20"/>
        </w:rPr>
      </w:pPr>
      <w:r>
        <w:rPr>
          <w:vertAlign w:val="superscript"/>
        </w:rPr>
        <w:footnoteRef/>
      </w:r>
      <w:r>
        <w:rPr>
          <w:sz w:val="20"/>
          <w:szCs w:val="20"/>
        </w:rPr>
        <w:t xml:space="preserve"> Data processed by CDIA Observa based on data f</w:t>
      </w:r>
      <w:r>
        <w:rPr>
          <w:sz w:val="20"/>
          <w:szCs w:val="20"/>
        </w:rPr>
        <w:t>rom the Public Ministry, provided in 2020.</w:t>
      </w:r>
    </w:p>
  </w:footnote>
  <w:footnote w:id="36">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44">
        <w:r>
          <w:rPr>
            <w:color w:val="1155CC"/>
            <w:sz w:val="20"/>
            <w:szCs w:val="20"/>
            <w:highlight w:val="white"/>
          </w:rPr>
          <w:t xml:space="preserve">Ministry of Children and Adolescents (MINNA), 2022. </w:t>
        </w:r>
      </w:hyperlink>
      <w:hyperlink r:id="rId45">
        <w:r>
          <w:rPr>
            <w:color w:val="1155CC"/>
            <w:sz w:val="20"/>
            <w:szCs w:val="20"/>
          </w:rPr>
          <w:t xml:space="preserve">FONO Ayuda Statistics. Single access site for public information. </w:t>
        </w:r>
      </w:hyperlink>
      <w:hyperlink r:id="rId46">
        <w:r>
          <w:rPr>
            <w:color w:val="1155CC"/>
            <w:sz w:val="20"/>
            <w:szCs w:val="20"/>
            <w:highlight w:val="white"/>
          </w:rPr>
          <w:t xml:space="preserve">Request No. 58511 </w:t>
        </w:r>
      </w:hyperlink>
    </w:p>
  </w:footnote>
  <w:footnote w:id="37">
    <w:p w:rsidR="006E2C03" w:rsidRDefault="00FD32A9">
      <w:pPr>
        <w:spacing w:line="240" w:lineRule="auto"/>
        <w:rPr>
          <w:sz w:val="20"/>
          <w:szCs w:val="20"/>
        </w:rPr>
      </w:pPr>
      <w:r>
        <w:rPr>
          <w:vertAlign w:val="superscript"/>
        </w:rPr>
        <w:footnoteRef/>
      </w:r>
      <w:r>
        <w:rPr>
          <w:sz w:val="20"/>
          <w:szCs w:val="20"/>
        </w:rPr>
        <w:t xml:space="preserve"> </w:t>
      </w:r>
      <w:hyperlink r:id="rId47">
        <w:r>
          <w:rPr>
            <w:color w:val="1155CC"/>
            <w:sz w:val="20"/>
            <w:szCs w:val="20"/>
            <w:u w:val="single"/>
          </w:rPr>
          <w:t xml:space="preserve">Law No. 5136 on Inclusive Education </w:t>
        </w:r>
      </w:hyperlink>
    </w:p>
  </w:footnote>
  <w:footnote w:id="38">
    <w:p w:rsidR="006E2C03" w:rsidRDefault="00FD32A9">
      <w:pPr>
        <w:spacing w:line="240" w:lineRule="auto"/>
        <w:rPr>
          <w:sz w:val="20"/>
          <w:szCs w:val="20"/>
        </w:rPr>
      </w:pPr>
      <w:r>
        <w:rPr>
          <w:vertAlign w:val="superscript"/>
        </w:rPr>
        <w:footnoteRef/>
      </w:r>
      <w:r>
        <w:rPr>
          <w:sz w:val="20"/>
          <w:szCs w:val="20"/>
        </w:rPr>
        <w:t xml:space="preserve"> </w:t>
      </w:r>
      <w:hyperlink r:id="rId48">
        <w:r>
          <w:rPr>
            <w:color w:val="1155CC"/>
            <w:sz w:val="20"/>
            <w:szCs w:val="20"/>
            <w:u w:val="single"/>
          </w:rPr>
          <w:t xml:space="preserve">Situation of children and adolescents with disabilities in Paraguay, 2019. </w:t>
        </w:r>
      </w:hyperlink>
    </w:p>
  </w:footnote>
  <w:footnote w:id="39">
    <w:p w:rsidR="006E2C03" w:rsidRDefault="00FD32A9">
      <w:pPr>
        <w:spacing w:line="240" w:lineRule="auto"/>
        <w:rPr>
          <w:sz w:val="20"/>
          <w:szCs w:val="20"/>
        </w:rPr>
      </w:pPr>
      <w:r>
        <w:rPr>
          <w:vertAlign w:val="superscript"/>
        </w:rPr>
        <w:footnoteRef/>
      </w:r>
      <w:r>
        <w:rPr>
          <w:sz w:val="20"/>
          <w:szCs w:val="20"/>
        </w:rPr>
        <w:t xml:space="preserve"> </w:t>
      </w:r>
      <w:hyperlink r:id="rId49">
        <w:r>
          <w:rPr>
            <w:color w:val="1155CC"/>
            <w:sz w:val="20"/>
            <w:szCs w:val="20"/>
            <w:u w:val="single"/>
          </w:rPr>
          <w:t xml:space="preserve">Noticias Paraguay, 2022. Baby dies after being treated by a traditional Ñaná healer in Ciudad del Este </w:t>
        </w:r>
      </w:hyperlink>
    </w:p>
  </w:footnote>
  <w:footnote w:id="40">
    <w:p w:rsidR="006E2C03" w:rsidRDefault="00FD32A9">
      <w:pPr>
        <w:spacing w:line="240" w:lineRule="auto"/>
        <w:rPr>
          <w:sz w:val="20"/>
          <w:szCs w:val="20"/>
        </w:rPr>
      </w:pPr>
      <w:r>
        <w:rPr>
          <w:vertAlign w:val="superscript"/>
        </w:rPr>
        <w:footnoteRef/>
      </w:r>
      <w:r>
        <w:rPr>
          <w:sz w:val="20"/>
          <w:szCs w:val="20"/>
        </w:rPr>
        <w:t xml:space="preserve"> </w:t>
      </w:r>
      <w:hyperlink r:id="rId50">
        <w:r>
          <w:rPr>
            <w:color w:val="1155CC"/>
            <w:sz w:val="20"/>
            <w:szCs w:val="20"/>
            <w:u w:val="single"/>
          </w:rPr>
          <w:t>Paraguay confirms the death of 12 indigenous people in the pesticide polemic | Reuters</w:t>
        </w:r>
      </w:hyperlink>
      <w:r>
        <w:rPr>
          <w:sz w:val="20"/>
          <w:szCs w:val="20"/>
        </w:rPr>
        <w:t xml:space="preserve"> </w:t>
      </w:r>
    </w:p>
  </w:footnote>
  <w:footnote w:id="41">
    <w:p w:rsidR="006E2C03" w:rsidRDefault="00FD32A9">
      <w:pPr>
        <w:spacing w:line="240" w:lineRule="auto"/>
        <w:jc w:val="both"/>
        <w:rPr>
          <w:color w:val="1155CC"/>
          <w:sz w:val="20"/>
          <w:szCs w:val="20"/>
        </w:rPr>
      </w:pPr>
      <w:r>
        <w:rPr>
          <w:vertAlign w:val="superscript"/>
        </w:rPr>
        <w:footnoteRef/>
      </w:r>
      <w:r>
        <w:rPr>
          <w:color w:val="1155CC"/>
          <w:sz w:val="20"/>
          <w:szCs w:val="20"/>
        </w:rPr>
        <w:t xml:space="preserve"> </w:t>
      </w:r>
      <w:hyperlink r:id="rId51">
        <w:r>
          <w:rPr>
            <w:color w:val="1155CC"/>
            <w:sz w:val="20"/>
            <w:szCs w:val="20"/>
          </w:rPr>
          <w:t>Benítez Leite, Stela, 2021. The health impact of the primary importe</w:t>
        </w:r>
        <w:r>
          <w:rPr>
            <w:color w:val="1155CC"/>
            <w:sz w:val="20"/>
            <w:szCs w:val="20"/>
          </w:rPr>
          <w:t>d agrotoxins in the country. Up to Our Necks in Soy.</w:t>
        </w:r>
      </w:hyperlink>
      <w:hyperlink r:id="rId52">
        <w:r>
          <w:t xml:space="preserve"> </w:t>
        </w:r>
      </w:hyperlink>
      <w:hyperlink r:id="rId53">
        <w:r>
          <w:rPr>
            <w:color w:val="1155CC"/>
            <w:sz w:val="20"/>
            <w:szCs w:val="20"/>
          </w:rPr>
          <w:t>2021 Agro</w:t>
        </w:r>
        <w:r>
          <w:rPr>
            <w:color w:val="1155CC"/>
            <w:sz w:val="20"/>
            <w:szCs w:val="20"/>
          </w:rPr>
          <w:t>business Report. Asunción, BASE-IS, November 2021. pgs. 100–103.</w:t>
        </w:r>
      </w:hyperlink>
    </w:p>
  </w:footnote>
  <w:footnote w:id="42">
    <w:p w:rsidR="006E2C03" w:rsidRDefault="00FD32A9">
      <w:pPr>
        <w:spacing w:line="240" w:lineRule="auto"/>
        <w:rPr>
          <w:sz w:val="20"/>
          <w:szCs w:val="20"/>
        </w:rPr>
      </w:pPr>
      <w:r>
        <w:rPr>
          <w:vertAlign w:val="superscript"/>
        </w:rPr>
        <w:footnoteRef/>
      </w:r>
      <w:r>
        <w:rPr>
          <w:sz w:val="20"/>
          <w:szCs w:val="20"/>
        </w:rPr>
        <w:t xml:space="preserve"> </w:t>
      </w:r>
      <w:hyperlink r:id="rId54">
        <w:r>
          <w:rPr>
            <w:color w:val="1155CC"/>
            <w:sz w:val="20"/>
            <w:szCs w:val="20"/>
            <w:u w:val="single"/>
          </w:rPr>
          <w:t>UN:</w:t>
        </w:r>
      </w:hyperlink>
      <w:hyperlink r:id="rId55">
        <w:r>
          <w:t xml:space="preserve"> </w:t>
        </w:r>
      </w:hyperlink>
      <w:hyperlink r:id="rId56">
        <w:r>
          <w:rPr>
            <w:color w:val="1155CC"/>
            <w:sz w:val="20"/>
            <w:szCs w:val="20"/>
            <w:u w:val="single"/>
          </w:rPr>
          <w:t>“Paraguay Violates Human Rights by Not Controlling Spraying of Soy Crops” | El Mundo | DW | 14.08.2019</w:t>
        </w:r>
      </w:hyperlink>
      <w:r>
        <w:rPr>
          <w:sz w:val="20"/>
          <w:szCs w:val="20"/>
        </w:rPr>
        <w:t xml:space="preserve"> </w:t>
      </w:r>
    </w:p>
  </w:footnote>
  <w:footnote w:id="43">
    <w:p w:rsidR="006E2C03" w:rsidRDefault="00FD32A9">
      <w:pPr>
        <w:spacing w:line="240" w:lineRule="auto"/>
        <w:rPr>
          <w:sz w:val="20"/>
          <w:szCs w:val="20"/>
        </w:rPr>
      </w:pPr>
      <w:r>
        <w:rPr>
          <w:vertAlign w:val="superscript"/>
        </w:rPr>
        <w:footnoteRef/>
      </w:r>
      <w:r>
        <w:rPr>
          <w:sz w:val="20"/>
          <w:szCs w:val="20"/>
        </w:rPr>
        <w:t xml:space="preserve"> </w:t>
      </w:r>
      <w:hyperlink r:id="rId57">
        <w:r>
          <w:rPr>
            <w:color w:val="1155CC"/>
            <w:sz w:val="20"/>
            <w:szCs w:val="20"/>
            <w:u w:val="single"/>
          </w:rPr>
          <w:t>Dramatic Situation of “Fumigated Schools” - b</w:t>
        </w:r>
        <w:r>
          <w:rPr>
            <w:color w:val="1155CC"/>
            <w:sz w:val="20"/>
            <w:szCs w:val="20"/>
            <w:u w:val="single"/>
          </w:rPr>
          <w:t>aseis.org.py</w:t>
        </w:r>
      </w:hyperlink>
      <w:r>
        <w:rPr>
          <w:sz w:val="20"/>
          <w:szCs w:val="20"/>
        </w:rPr>
        <w:t xml:space="preserve"> </w:t>
      </w:r>
    </w:p>
  </w:footnote>
  <w:footnote w:id="44">
    <w:p w:rsidR="006E2C03" w:rsidRDefault="00FD32A9">
      <w:pPr>
        <w:spacing w:line="240" w:lineRule="auto"/>
        <w:jc w:val="both"/>
        <w:rPr>
          <w:color w:val="1155CC"/>
          <w:sz w:val="20"/>
          <w:szCs w:val="20"/>
        </w:rPr>
      </w:pPr>
      <w:r>
        <w:rPr>
          <w:vertAlign w:val="superscript"/>
        </w:rPr>
        <w:footnoteRef/>
      </w:r>
      <w:r>
        <w:rPr>
          <w:color w:val="1155CC"/>
          <w:sz w:val="20"/>
          <w:szCs w:val="20"/>
        </w:rPr>
        <w:t xml:space="preserve"> </w:t>
      </w:r>
      <w:hyperlink r:id="rId58">
        <w:r>
          <w:rPr>
            <w:color w:val="1155CC"/>
            <w:sz w:val="20"/>
            <w:szCs w:val="20"/>
          </w:rPr>
          <w:t>Ministry of Public Health and Social Well-Being, 2023. Single access site for public information. Request No. 65172</w:t>
        </w:r>
      </w:hyperlink>
    </w:p>
  </w:footnote>
  <w:footnote w:id="45">
    <w:p w:rsidR="006E2C03" w:rsidRDefault="00FD32A9">
      <w:pPr>
        <w:spacing w:line="240" w:lineRule="auto"/>
        <w:jc w:val="both"/>
        <w:rPr>
          <w:color w:val="1155CC"/>
          <w:sz w:val="20"/>
          <w:szCs w:val="20"/>
        </w:rPr>
      </w:pPr>
      <w:r>
        <w:rPr>
          <w:vertAlign w:val="superscript"/>
        </w:rPr>
        <w:footnoteRef/>
      </w:r>
      <w:r>
        <w:rPr>
          <w:color w:val="1155CC"/>
        </w:rPr>
        <w:t xml:space="preserve"> </w:t>
      </w:r>
      <w:hyperlink r:id="rId59">
        <w:r>
          <w:rPr>
            <w:color w:val="1155CC"/>
            <w:sz w:val="20"/>
            <w:szCs w:val="20"/>
          </w:rPr>
          <w:t>Central Library and Archive of the National Congress of Paraguay. Law No. 5508 /2015 Promotion, Maternity Protection and Support for Br</w:t>
        </w:r>
        <w:r>
          <w:rPr>
            <w:color w:val="1155CC"/>
            <w:sz w:val="20"/>
            <w:szCs w:val="20"/>
          </w:rPr>
          <w:t>eastfeeding</w:t>
        </w:r>
      </w:hyperlink>
      <w:r>
        <w:rPr>
          <w:color w:val="1155CC"/>
          <w:sz w:val="20"/>
          <w:szCs w:val="20"/>
        </w:rPr>
        <w:t xml:space="preserve"> </w:t>
      </w:r>
    </w:p>
  </w:footnote>
  <w:footnote w:id="46">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60">
        <w:r>
          <w:rPr>
            <w:color w:val="1155CC"/>
            <w:sz w:val="20"/>
            <w:szCs w:val="20"/>
          </w:rPr>
          <w:t>La Vanguardia, 2019. T</w:t>
        </w:r>
      </w:hyperlink>
      <w:r>
        <w:rPr>
          <w:color w:val="1155CC"/>
          <w:sz w:val="20"/>
          <w:szCs w:val="20"/>
        </w:rPr>
        <w:t>he Supreme Court of Paraguay Sends a Solider Who Asked for Permission to Breastfeed Her Baby</w:t>
      </w:r>
      <w:r>
        <w:rPr>
          <w:color w:val="1155CC"/>
          <w:sz w:val="20"/>
          <w:szCs w:val="20"/>
        </w:rPr>
        <w:t xml:space="preserve"> to Prison</w:t>
      </w:r>
    </w:p>
  </w:footnote>
  <w:footnote w:id="47">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61">
        <w:r>
          <w:rPr>
            <w:color w:val="1155CC"/>
            <w:sz w:val="20"/>
            <w:szCs w:val="20"/>
          </w:rPr>
          <w:t xml:space="preserve">DGEEC (now INE)/UNICEF, 2016. Survey of Multiple Composite Indicators. MICS Paraguay 2016 </w:t>
        </w:r>
      </w:hyperlink>
    </w:p>
  </w:footnote>
  <w:footnote w:id="48">
    <w:p w:rsidR="006E2C03" w:rsidRDefault="00FD32A9">
      <w:pPr>
        <w:spacing w:line="240" w:lineRule="auto"/>
        <w:jc w:val="both"/>
        <w:rPr>
          <w:color w:val="1155CC"/>
          <w:sz w:val="20"/>
          <w:szCs w:val="20"/>
        </w:rPr>
      </w:pPr>
      <w:r>
        <w:rPr>
          <w:vertAlign w:val="superscript"/>
        </w:rPr>
        <w:footnoteRef/>
      </w:r>
      <w:r>
        <w:rPr>
          <w:color w:val="1155CC"/>
          <w:sz w:val="20"/>
          <w:szCs w:val="20"/>
        </w:rPr>
        <w:t xml:space="preserve"> </w:t>
      </w:r>
      <w:hyperlink r:id="rId62">
        <w:r>
          <w:rPr>
            <w:color w:val="1155CC"/>
            <w:sz w:val="20"/>
            <w:szCs w:val="20"/>
          </w:rPr>
          <w:t>National Institute of Food and Nutrition, 2022. Report on the Nutritional Situation of Children under Age 5 Who Use Public Health Services. Years 2001 to 2021 p. 60.</w:t>
        </w:r>
      </w:hyperlink>
    </w:p>
  </w:footnote>
  <w:footnote w:id="49">
    <w:p w:rsidR="006E2C03" w:rsidRDefault="00FD32A9">
      <w:pPr>
        <w:spacing w:line="240" w:lineRule="auto"/>
        <w:jc w:val="both"/>
        <w:rPr>
          <w:color w:val="1155CC"/>
          <w:sz w:val="20"/>
          <w:szCs w:val="20"/>
        </w:rPr>
      </w:pPr>
      <w:r>
        <w:rPr>
          <w:vertAlign w:val="superscript"/>
        </w:rPr>
        <w:footnoteRef/>
      </w:r>
      <w:r>
        <w:rPr>
          <w:color w:val="1155CC"/>
          <w:sz w:val="20"/>
          <w:szCs w:val="20"/>
        </w:rPr>
        <w:t xml:space="preserve"> </w:t>
      </w:r>
      <w:hyperlink r:id="rId63">
        <w:r>
          <w:rPr>
            <w:color w:val="1155CC"/>
            <w:sz w:val="20"/>
            <w:szCs w:val="20"/>
          </w:rPr>
          <w:t>MSPBS/ DIGIES, 2022. Single access site for public information. Request No. 57688</w:t>
        </w:r>
      </w:hyperlink>
    </w:p>
  </w:footnote>
  <w:footnote w:id="50">
    <w:p w:rsidR="006E2C03" w:rsidRDefault="00FD32A9">
      <w:pPr>
        <w:spacing w:line="240" w:lineRule="auto"/>
        <w:rPr>
          <w:sz w:val="20"/>
          <w:szCs w:val="20"/>
        </w:rPr>
      </w:pPr>
      <w:r>
        <w:rPr>
          <w:vertAlign w:val="superscript"/>
        </w:rPr>
        <w:footnoteRef/>
      </w:r>
      <w:r>
        <w:rPr>
          <w:sz w:val="20"/>
          <w:szCs w:val="20"/>
        </w:rPr>
        <w:t xml:space="preserve"> </w:t>
      </w:r>
      <w:hyperlink r:id="rId64">
        <w:r>
          <w:rPr>
            <w:color w:val="1155CC"/>
            <w:sz w:val="20"/>
            <w:szCs w:val="20"/>
          </w:rPr>
          <w:t>Compre</w:t>
        </w:r>
        <w:r>
          <w:rPr>
            <w:color w:val="1155CC"/>
            <w:sz w:val="20"/>
            <w:szCs w:val="20"/>
          </w:rPr>
          <w:t>hensive Nutritional Food Programme (PANI, for its Spanish initials)</w:t>
        </w:r>
      </w:hyperlink>
    </w:p>
  </w:footnote>
  <w:footnote w:id="51">
    <w:p w:rsidR="006E2C03" w:rsidRDefault="00FD32A9">
      <w:pPr>
        <w:spacing w:line="240" w:lineRule="auto"/>
        <w:rPr>
          <w:sz w:val="20"/>
          <w:szCs w:val="20"/>
        </w:rPr>
      </w:pPr>
      <w:r>
        <w:rPr>
          <w:vertAlign w:val="superscript"/>
        </w:rPr>
        <w:footnoteRef/>
      </w:r>
      <w:r>
        <w:rPr>
          <w:sz w:val="20"/>
          <w:szCs w:val="20"/>
        </w:rPr>
        <w:t xml:space="preserve"> </w:t>
      </w:r>
      <w:hyperlink r:id="rId65">
        <w:r>
          <w:rPr>
            <w:color w:val="1155CC"/>
            <w:sz w:val="20"/>
            <w:szCs w:val="20"/>
            <w:u w:val="single"/>
          </w:rPr>
          <w:t>Central Library and Archive of the National Congress of Paraguay. Law No. 469</w:t>
        </w:r>
        <w:r>
          <w:rPr>
            <w:color w:val="1155CC"/>
            <w:sz w:val="20"/>
            <w:szCs w:val="20"/>
            <w:u w:val="single"/>
          </w:rPr>
          <w:t>8/ 2012 Nutritional Rights in Early Childhood</w:t>
        </w:r>
      </w:hyperlink>
    </w:p>
  </w:footnote>
  <w:footnote w:id="52">
    <w:p w:rsidR="006E2C03" w:rsidRDefault="00FD32A9">
      <w:pPr>
        <w:spacing w:line="240" w:lineRule="auto"/>
        <w:jc w:val="both"/>
        <w:rPr>
          <w:sz w:val="20"/>
          <w:szCs w:val="20"/>
        </w:rPr>
      </w:pPr>
      <w:r>
        <w:rPr>
          <w:vertAlign w:val="superscript"/>
        </w:rPr>
        <w:footnoteRef/>
      </w:r>
      <w:r>
        <w:rPr>
          <w:sz w:val="20"/>
          <w:szCs w:val="20"/>
        </w:rPr>
        <w:t xml:space="preserve"> National Congress Control Notice Board, Budgetary Execution of the MSPBS activity “Improved Human Nutritional Food Security”:</w:t>
      </w:r>
    </w:p>
    <w:p w:rsidR="006E2C03" w:rsidRDefault="00FD32A9">
      <w:pPr>
        <w:spacing w:line="240" w:lineRule="auto"/>
        <w:rPr>
          <w:color w:val="1155CC"/>
          <w:sz w:val="20"/>
          <w:szCs w:val="20"/>
        </w:rPr>
      </w:pPr>
      <w:hyperlink r:id="rId66">
        <w:r>
          <w:rPr>
            <w:color w:val="1155CC"/>
            <w:sz w:val="20"/>
            <w:szCs w:val="20"/>
          </w:rPr>
          <w:t>Year 2020: 52%, p. 37</w:t>
        </w:r>
      </w:hyperlink>
    </w:p>
    <w:p w:rsidR="006E2C03" w:rsidRDefault="00FD32A9">
      <w:pPr>
        <w:spacing w:line="240" w:lineRule="auto"/>
        <w:rPr>
          <w:color w:val="1155CC"/>
          <w:sz w:val="20"/>
          <w:szCs w:val="20"/>
        </w:rPr>
      </w:pPr>
      <w:hyperlink r:id="rId67">
        <w:r>
          <w:rPr>
            <w:color w:val="1155CC"/>
            <w:sz w:val="20"/>
            <w:szCs w:val="20"/>
          </w:rPr>
          <w:t>Year 2021: 45%, p. 37</w:t>
        </w:r>
        <w:r>
          <w:rPr>
            <w:color w:val="1155CC"/>
            <w:sz w:val="20"/>
            <w:szCs w:val="20"/>
          </w:rPr>
          <w:t xml:space="preserve"> </w:t>
        </w:r>
      </w:hyperlink>
    </w:p>
    <w:p w:rsidR="006E2C03" w:rsidRDefault="00FD32A9">
      <w:pPr>
        <w:spacing w:line="240" w:lineRule="auto"/>
        <w:rPr>
          <w:color w:val="1155CC"/>
          <w:sz w:val="20"/>
          <w:szCs w:val="20"/>
        </w:rPr>
      </w:pPr>
      <w:hyperlink r:id="rId68">
        <w:r>
          <w:rPr>
            <w:color w:val="1155CC"/>
            <w:sz w:val="20"/>
            <w:szCs w:val="20"/>
          </w:rPr>
          <w:t>Year 2022: 56%, p. 38</w:t>
        </w:r>
      </w:hyperlink>
      <w:r>
        <w:rPr>
          <w:color w:val="1155CC"/>
          <w:sz w:val="20"/>
          <w:szCs w:val="20"/>
        </w:rPr>
        <w:t xml:space="preserve"> </w:t>
      </w:r>
    </w:p>
  </w:footnote>
  <w:footnote w:id="53">
    <w:p w:rsidR="006E2C03" w:rsidRDefault="00FD32A9">
      <w:pPr>
        <w:spacing w:line="240" w:lineRule="auto"/>
        <w:jc w:val="both"/>
        <w:rPr>
          <w:color w:val="1155CC"/>
          <w:sz w:val="20"/>
          <w:szCs w:val="20"/>
        </w:rPr>
      </w:pPr>
      <w:r>
        <w:rPr>
          <w:vertAlign w:val="superscript"/>
        </w:rPr>
        <w:footnoteRef/>
      </w:r>
      <w:r>
        <w:rPr>
          <w:color w:val="1155CC"/>
          <w:sz w:val="20"/>
          <w:szCs w:val="20"/>
        </w:rPr>
        <w:t xml:space="preserve"> </w:t>
      </w:r>
      <w:hyperlink r:id="rId69">
        <w:r>
          <w:rPr>
            <w:color w:val="1155CC"/>
            <w:sz w:val="20"/>
            <w:szCs w:val="20"/>
            <w:highlight w:val="white"/>
          </w:rPr>
          <w:t xml:space="preserve">MSPBS/PRONASIDA, 2022. </w:t>
        </w:r>
      </w:hyperlink>
      <w:hyperlink r:id="rId70">
        <w:r>
          <w:rPr>
            <w:color w:val="1155CC"/>
            <w:sz w:val="20"/>
            <w:szCs w:val="20"/>
          </w:rPr>
          <w:t>Report – Epidemiological Situation of HIV</w:t>
        </w:r>
      </w:hyperlink>
      <w:hyperlink r:id="rId71">
        <w:r>
          <w:rPr>
            <w:color w:val="1155CC"/>
            <w:sz w:val="20"/>
            <w:szCs w:val="20"/>
            <w:highlight w:val="white"/>
          </w:rPr>
          <w:t xml:space="preserve">. Paraguay (2017–2021). </w:t>
        </w:r>
      </w:hyperlink>
    </w:p>
  </w:footnote>
  <w:footnote w:id="54">
    <w:p w:rsidR="006E2C03" w:rsidRDefault="00FD32A9">
      <w:pPr>
        <w:spacing w:line="240" w:lineRule="auto"/>
        <w:rPr>
          <w:sz w:val="20"/>
          <w:szCs w:val="20"/>
        </w:rPr>
      </w:pPr>
      <w:r>
        <w:rPr>
          <w:vertAlign w:val="superscript"/>
        </w:rPr>
        <w:footnoteRef/>
      </w:r>
      <w:r>
        <w:rPr>
          <w:sz w:val="20"/>
          <w:szCs w:val="20"/>
        </w:rPr>
        <w:t xml:space="preserve"> </w:t>
      </w:r>
      <w:r>
        <w:rPr>
          <w:color w:val="1155CC"/>
          <w:sz w:val="20"/>
          <w:szCs w:val="20"/>
          <w:u w:val="single"/>
        </w:rPr>
        <w:t>Petta’s Plan for Children’s Mental Health: An Evangelical NGO</w:t>
      </w:r>
      <w:r>
        <w:rPr>
          <w:color w:val="1155CC"/>
          <w:sz w:val="20"/>
          <w:szCs w:val="20"/>
          <w:u w:val="single"/>
        </w:rPr>
        <w:t xml:space="preserve"> </w:t>
      </w:r>
    </w:p>
  </w:footnote>
  <w:footnote w:id="55">
    <w:p w:rsidR="006E2C03" w:rsidRDefault="00FD32A9">
      <w:pPr>
        <w:spacing w:line="240" w:lineRule="auto"/>
        <w:rPr>
          <w:sz w:val="20"/>
          <w:szCs w:val="20"/>
        </w:rPr>
      </w:pPr>
      <w:r>
        <w:rPr>
          <w:vertAlign w:val="superscript"/>
        </w:rPr>
        <w:footnoteRef/>
      </w:r>
      <w:hyperlink r:id="rId72">
        <w:r>
          <w:rPr>
            <w:color w:val="1155CC"/>
            <w:sz w:val="20"/>
            <w:szCs w:val="20"/>
            <w:u w:val="single"/>
          </w:rPr>
          <w:t xml:space="preserve"> </w:t>
        </w:r>
        <w:r>
          <w:rPr>
            <w:color w:val="1155CC"/>
            <w:sz w:val="20"/>
            <w:szCs w:val="20"/>
            <w:u w:val="single"/>
          </w:rPr>
          <w:t xml:space="preserve">Ley 3940/2009 Establishes rights, obligations and preventive measures of people affected by HIV and AIDS </w:t>
        </w:r>
      </w:hyperlink>
      <w:r>
        <w:rPr>
          <w:color w:val="2B2B2B"/>
          <w:sz w:val="21"/>
          <w:szCs w:val="21"/>
          <w:highlight w:val="white"/>
        </w:rPr>
        <w:t xml:space="preserve"> </w:t>
      </w:r>
    </w:p>
  </w:footnote>
  <w:footnote w:id="56">
    <w:p w:rsidR="006E2C03" w:rsidRDefault="00FD32A9">
      <w:pPr>
        <w:spacing w:line="240" w:lineRule="auto"/>
        <w:rPr>
          <w:sz w:val="20"/>
          <w:szCs w:val="20"/>
        </w:rPr>
      </w:pPr>
      <w:r>
        <w:rPr>
          <w:vertAlign w:val="superscript"/>
        </w:rPr>
        <w:footnoteRef/>
      </w:r>
      <w:r>
        <w:rPr>
          <w:sz w:val="20"/>
          <w:szCs w:val="20"/>
        </w:rPr>
        <w:t xml:space="preserve"> </w:t>
      </w:r>
      <w:hyperlink r:id="rId73">
        <w:r>
          <w:rPr>
            <w:color w:val="1155CC"/>
            <w:sz w:val="20"/>
            <w:szCs w:val="20"/>
          </w:rPr>
          <w:t>Unicef, 2023. UNICEF launches a campaign “Ask Your Candidate about Children and Ad</w:t>
        </w:r>
        <w:r>
          <w:rPr>
            <w:color w:val="1155CC"/>
            <w:sz w:val="20"/>
            <w:szCs w:val="20"/>
          </w:rPr>
          <w:t>olescents Who Are Not in School.</w:t>
        </w:r>
      </w:hyperlink>
    </w:p>
  </w:footnote>
  <w:footnote w:id="57">
    <w:p w:rsidR="006E2C03" w:rsidRDefault="00FD32A9">
      <w:pPr>
        <w:spacing w:line="240" w:lineRule="auto"/>
        <w:rPr>
          <w:sz w:val="20"/>
          <w:szCs w:val="20"/>
        </w:rPr>
      </w:pPr>
      <w:r>
        <w:rPr>
          <w:vertAlign w:val="superscript"/>
        </w:rPr>
        <w:footnoteRef/>
      </w:r>
      <w:r>
        <w:rPr>
          <w:sz w:val="20"/>
          <w:szCs w:val="20"/>
        </w:rPr>
        <w:t xml:space="preserve"> </w:t>
      </w:r>
      <w:hyperlink r:id="rId74">
        <w:r>
          <w:rPr>
            <w:color w:val="1155CC"/>
            <w:sz w:val="20"/>
            <w:szCs w:val="20"/>
          </w:rPr>
          <w:t>National Plan of Educational Transformation Paraguay 2040.</w:t>
        </w:r>
      </w:hyperlink>
    </w:p>
  </w:footnote>
  <w:footnote w:id="58">
    <w:p w:rsidR="006E2C03" w:rsidRDefault="00FD32A9">
      <w:pPr>
        <w:spacing w:line="240" w:lineRule="auto"/>
        <w:rPr>
          <w:sz w:val="20"/>
          <w:szCs w:val="20"/>
        </w:rPr>
      </w:pPr>
      <w:r>
        <w:rPr>
          <w:vertAlign w:val="superscript"/>
        </w:rPr>
        <w:footnoteRef/>
      </w:r>
      <w:r>
        <w:rPr>
          <w:sz w:val="20"/>
          <w:szCs w:val="20"/>
        </w:rPr>
        <w:t xml:space="preserve"> Educational Community: students, families a</w:t>
      </w:r>
      <w:r>
        <w:rPr>
          <w:sz w:val="20"/>
          <w:szCs w:val="20"/>
        </w:rPr>
        <w:t>nd teachers.</w:t>
      </w:r>
    </w:p>
  </w:footnote>
  <w:footnote w:id="59">
    <w:p w:rsidR="006E2C03" w:rsidRDefault="00FD32A9">
      <w:pPr>
        <w:spacing w:line="240" w:lineRule="auto"/>
        <w:jc w:val="both"/>
        <w:rPr>
          <w:sz w:val="20"/>
          <w:szCs w:val="20"/>
        </w:rPr>
      </w:pPr>
      <w:r>
        <w:rPr>
          <w:vertAlign w:val="superscript"/>
        </w:rPr>
        <w:footnoteRef/>
      </w:r>
      <w:r>
        <w:rPr>
          <w:sz w:val="20"/>
          <w:szCs w:val="20"/>
        </w:rPr>
        <w:t xml:space="preserve"> CDIA Observa,2023. Budget allocated to the Ministry of Education and Science in 2022 and 2023.</w:t>
      </w:r>
    </w:p>
    <w:p w:rsidR="006E2C03" w:rsidRDefault="00FD32A9">
      <w:pPr>
        <w:spacing w:line="240" w:lineRule="auto"/>
        <w:jc w:val="both"/>
        <w:rPr>
          <w:color w:val="1155CC"/>
          <w:sz w:val="20"/>
          <w:szCs w:val="20"/>
        </w:rPr>
      </w:pPr>
      <w:r>
        <w:rPr>
          <w:sz w:val="20"/>
          <w:szCs w:val="20"/>
        </w:rPr>
        <w:t>Year 2022:</w:t>
      </w:r>
      <w:r>
        <w:rPr>
          <w:color w:val="1155CC"/>
          <w:sz w:val="20"/>
          <w:szCs w:val="20"/>
        </w:rPr>
        <w:t xml:space="preserve"> https://bit.ly/3mSRxD7_MECpresupuesto2022</w:t>
      </w:r>
    </w:p>
    <w:p w:rsidR="006E2C03" w:rsidRDefault="00FD32A9">
      <w:pPr>
        <w:spacing w:line="240" w:lineRule="auto"/>
        <w:jc w:val="both"/>
        <w:rPr>
          <w:color w:val="1155CC"/>
          <w:sz w:val="20"/>
          <w:szCs w:val="20"/>
        </w:rPr>
      </w:pPr>
      <w:r>
        <w:rPr>
          <w:sz w:val="20"/>
          <w:szCs w:val="20"/>
        </w:rPr>
        <w:t xml:space="preserve">Year 2023: </w:t>
      </w:r>
      <w:r>
        <w:rPr>
          <w:color w:val="1155CC"/>
          <w:sz w:val="20"/>
          <w:szCs w:val="20"/>
        </w:rPr>
        <w:t>https://bit.ly/407CvaC_MECpresupuesto2023</w:t>
      </w:r>
    </w:p>
  </w:footnote>
  <w:footnote w:id="60">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75">
        <w:r>
          <w:rPr>
            <w:color w:val="1155CC"/>
            <w:sz w:val="20"/>
            <w:szCs w:val="20"/>
          </w:rPr>
          <w:t>Ministry of Education and Science. Educational Data. School Map</w:t>
        </w:r>
      </w:hyperlink>
    </w:p>
  </w:footnote>
  <w:footnote w:id="61">
    <w:p w:rsidR="006E2C03" w:rsidRDefault="00FD32A9">
      <w:pPr>
        <w:spacing w:line="240" w:lineRule="auto"/>
        <w:rPr>
          <w:sz w:val="20"/>
          <w:szCs w:val="20"/>
        </w:rPr>
      </w:pPr>
      <w:r>
        <w:rPr>
          <w:vertAlign w:val="superscript"/>
        </w:rPr>
        <w:footnoteRef/>
      </w:r>
      <w:r>
        <w:rPr>
          <w:sz w:val="20"/>
          <w:szCs w:val="20"/>
        </w:rPr>
        <w:t xml:space="preserve"> CDIA, 2023. Survey on educational participation and exclusion. </w:t>
      </w:r>
    </w:p>
  </w:footnote>
  <w:footnote w:id="62">
    <w:p w:rsidR="006E2C03" w:rsidRDefault="00FD32A9">
      <w:pPr>
        <w:spacing w:line="240" w:lineRule="auto"/>
        <w:jc w:val="both"/>
        <w:rPr>
          <w:color w:val="1155CC"/>
          <w:sz w:val="20"/>
          <w:szCs w:val="20"/>
        </w:rPr>
      </w:pPr>
      <w:r>
        <w:rPr>
          <w:vertAlign w:val="superscript"/>
        </w:rPr>
        <w:footnoteRef/>
      </w:r>
      <w:r>
        <w:rPr>
          <w:color w:val="1155CC"/>
          <w:sz w:val="20"/>
          <w:szCs w:val="20"/>
        </w:rPr>
        <w:t xml:space="preserve"> </w:t>
      </w:r>
      <w:hyperlink r:id="rId76">
        <w:r>
          <w:rPr>
            <w:color w:val="1155CC"/>
            <w:sz w:val="20"/>
            <w:szCs w:val="20"/>
          </w:rPr>
          <w:t>Ministry of Education and Science (MEC), 2019. National Report. PISA D - Paraguay 2018.</w:t>
        </w:r>
      </w:hyperlink>
    </w:p>
  </w:footnote>
  <w:footnote w:id="63">
    <w:p w:rsidR="006E2C03" w:rsidRDefault="00FD32A9">
      <w:pPr>
        <w:spacing w:line="240" w:lineRule="auto"/>
        <w:jc w:val="both"/>
        <w:rPr>
          <w:color w:val="1155CC"/>
          <w:sz w:val="20"/>
          <w:szCs w:val="20"/>
        </w:rPr>
      </w:pPr>
      <w:r>
        <w:rPr>
          <w:vertAlign w:val="superscript"/>
        </w:rPr>
        <w:footnoteRef/>
      </w:r>
      <w:r>
        <w:rPr>
          <w:color w:val="1155CC"/>
          <w:sz w:val="20"/>
          <w:szCs w:val="20"/>
        </w:rPr>
        <w:t xml:space="preserve"> </w:t>
      </w:r>
      <w:hyperlink r:id="rId77">
        <w:r>
          <w:rPr>
            <w:color w:val="1155CC"/>
            <w:sz w:val="20"/>
            <w:szCs w:val="20"/>
          </w:rPr>
          <w:t>MEC/ INE/ SNEPE, 2018. School Map. Educat</w:t>
        </w:r>
        <w:r>
          <w:rPr>
            <w:color w:val="1155CC"/>
            <w:sz w:val="20"/>
            <w:szCs w:val="20"/>
          </w:rPr>
          <w:t xml:space="preserve">ional Data. Student Performance Levels </w:t>
        </w:r>
      </w:hyperlink>
    </w:p>
  </w:footnote>
  <w:footnote w:id="64">
    <w:p w:rsidR="006E2C03" w:rsidRDefault="00FD32A9">
      <w:pPr>
        <w:spacing w:line="240" w:lineRule="auto"/>
        <w:rPr>
          <w:sz w:val="20"/>
          <w:szCs w:val="20"/>
        </w:rPr>
      </w:pPr>
      <w:r>
        <w:rPr>
          <w:vertAlign w:val="superscript"/>
        </w:rPr>
        <w:footnoteRef/>
      </w:r>
      <w:r>
        <w:rPr>
          <w:sz w:val="20"/>
          <w:szCs w:val="20"/>
        </w:rPr>
        <w:t xml:space="preserve"> </w:t>
      </w:r>
      <w:hyperlink r:id="rId78">
        <w:r>
          <w:rPr>
            <w:color w:val="1155CC"/>
            <w:sz w:val="20"/>
            <w:szCs w:val="20"/>
          </w:rPr>
          <w:t xml:space="preserve">MEC. Resolution No. 29.664/2017 Which prohibits the dissemination and use of printed and digital materials regarding gender theory </w:t>
        </w:r>
        <w:r>
          <w:rPr>
            <w:color w:val="1155CC"/>
            <w:sz w:val="20"/>
            <w:szCs w:val="20"/>
          </w:rPr>
          <w:t>in educational institutions that are dependent on the Ministry of Education and Science.</w:t>
        </w:r>
      </w:hyperlink>
    </w:p>
  </w:footnote>
  <w:footnote w:id="65">
    <w:p w:rsidR="006E2C03" w:rsidRDefault="00FD32A9">
      <w:pPr>
        <w:spacing w:line="240" w:lineRule="auto"/>
        <w:rPr>
          <w:sz w:val="20"/>
          <w:szCs w:val="20"/>
        </w:rPr>
      </w:pPr>
      <w:r>
        <w:rPr>
          <w:vertAlign w:val="superscript"/>
        </w:rPr>
        <w:footnoteRef/>
      </w:r>
      <w:r>
        <w:rPr>
          <w:sz w:val="20"/>
          <w:szCs w:val="20"/>
        </w:rPr>
        <w:t xml:space="preserve"> </w:t>
      </w:r>
      <w:hyperlink r:id="rId79">
        <w:r>
          <w:rPr>
            <w:color w:val="1155CC"/>
            <w:sz w:val="20"/>
            <w:szCs w:val="20"/>
            <w:u w:val="single"/>
          </w:rPr>
          <w:t>Minister Riera Off</w:t>
        </w:r>
        <w:r>
          <w:rPr>
            <w:color w:val="1155CC"/>
            <w:sz w:val="20"/>
            <w:szCs w:val="20"/>
            <w:u w:val="single"/>
          </w:rPr>
          <w:t>ered to Burn Books about Gender Ideology - Locales - ABC Color</w:t>
        </w:r>
      </w:hyperlink>
      <w:r>
        <w:rPr>
          <w:sz w:val="20"/>
          <w:szCs w:val="20"/>
        </w:rPr>
        <w:t xml:space="preserve"> </w:t>
      </w:r>
    </w:p>
  </w:footnote>
  <w:footnote w:id="66">
    <w:p w:rsidR="006E2C03" w:rsidRDefault="00FD32A9">
      <w:pPr>
        <w:spacing w:line="240" w:lineRule="auto"/>
        <w:rPr>
          <w:sz w:val="20"/>
          <w:szCs w:val="20"/>
        </w:rPr>
      </w:pPr>
      <w:r>
        <w:rPr>
          <w:vertAlign w:val="superscript"/>
        </w:rPr>
        <w:footnoteRef/>
      </w:r>
      <w:r>
        <w:rPr>
          <w:sz w:val="20"/>
          <w:szCs w:val="20"/>
        </w:rPr>
        <w:t xml:space="preserve"> CDIA Observa, 2023. Calculated from the BCP statistical annex and Law No. 6,873/2022 of the PGN. </w:t>
      </w:r>
      <w:hyperlink r:id="rId80">
        <w:r>
          <w:t xml:space="preserve"> </w:t>
        </w:r>
      </w:hyperlink>
      <w:hyperlink r:id="rId81">
        <w:r>
          <w:rPr>
            <w:color w:val="1155CC"/>
            <w:sz w:val="20"/>
            <w:szCs w:val="20"/>
          </w:rPr>
          <w:t>GDP in current guaranies in 2022 (preliminary data): 288.275.130.018.673</w:t>
        </w:r>
      </w:hyperlink>
    </w:p>
    <w:p w:rsidR="006E2C03" w:rsidRDefault="00FD32A9">
      <w:pPr>
        <w:spacing w:line="240" w:lineRule="auto"/>
        <w:rPr>
          <w:sz w:val="20"/>
          <w:szCs w:val="20"/>
        </w:rPr>
      </w:pPr>
      <w:hyperlink r:id="rId82">
        <w:r>
          <w:rPr>
            <w:color w:val="1155CC"/>
            <w:sz w:val="20"/>
            <w:szCs w:val="20"/>
          </w:rPr>
          <w:t>Budget allocated to the MEC in 2022: 9.200.178.494.915</w:t>
        </w:r>
      </w:hyperlink>
    </w:p>
    <w:p w:rsidR="006E2C03" w:rsidRDefault="006E2C03">
      <w:pPr>
        <w:spacing w:line="240" w:lineRule="auto"/>
        <w:rPr>
          <w:sz w:val="20"/>
          <w:szCs w:val="20"/>
        </w:rPr>
      </w:pPr>
    </w:p>
  </w:footnote>
  <w:footnote w:id="67">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83">
        <w:r>
          <w:rPr>
            <w:color w:val="1155CC"/>
            <w:sz w:val="20"/>
            <w:szCs w:val="20"/>
          </w:rPr>
          <w:t>C</w:t>
        </w:r>
        <w:r>
          <w:rPr>
            <w:color w:val="1155CC"/>
            <w:sz w:val="20"/>
            <w:szCs w:val="20"/>
          </w:rPr>
          <w:t xml:space="preserve">entral Library and Archive of the National Congress of Paraguay. Law No. 6984 /2022 on Migration </w:t>
        </w:r>
      </w:hyperlink>
      <w:r>
        <w:rPr>
          <w:color w:val="1155CC"/>
          <w:sz w:val="20"/>
          <w:szCs w:val="20"/>
        </w:rPr>
        <w:t xml:space="preserve"> </w:t>
      </w:r>
    </w:p>
  </w:footnote>
  <w:footnote w:id="68">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84">
        <w:r>
          <w:rPr>
            <w:color w:val="1155CC"/>
            <w:sz w:val="20"/>
            <w:szCs w:val="20"/>
          </w:rPr>
          <w:t>MTESS, 2018. Paraguay’s 2019–2024 Nat</w:t>
        </w:r>
        <w:r>
          <w:rPr>
            <w:color w:val="1155CC"/>
            <w:sz w:val="20"/>
            <w:szCs w:val="20"/>
          </w:rPr>
          <w:t xml:space="preserve">ional Strategy on the Prevention and Eradication of Child Labor and Labor Protections for Adolescents </w:t>
        </w:r>
      </w:hyperlink>
      <w:r>
        <w:rPr>
          <w:color w:val="1155CC"/>
          <w:sz w:val="20"/>
          <w:szCs w:val="20"/>
        </w:rPr>
        <w:t xml:space="preserve"> </w:t>
      </w:r>
    </w:p>
  </w:footnote>
  <w:footnote w:id="69">
    <w:p w:rsidR="006E2C03" w:rsidRDefault="00FD32A9">
      <w:pPr>
        <w:spacing w:line="240" w:lineRule="auto"/>
        <w:rPr>
          <w:color w:val="1155CC"/>
          <w:sz w:val="20"/>
          <w:szCs w:val="20"/>
        </w:rPr>
      </w:pPr>
      <w:r>
        <w:rPr>
          <w:vertAlign w:val="superscript"/>
        </w:rPr>
        <w:footnoteRef/>
      </w:r>
      <w:r>
        <w:rPr>
          <w:color w:val="1155CC"/>
          <w:sz w:val="20"/>
          <w:szCs w:val="20"/>
        </w:rPr>
        <w:t xml:space="preserve"> CDIA Observa, 2022; from INE’s EPHC 2021 microdata</w:t>
      </w:r>
    </w:p>
  </w:footnote>
  <w:footnote w:id="70">
    <w:p w:rsidR="006E2C03" w:rsidRDefault="00FD32A9">
      <w:pPr>
        <w:spacing w:line="240" w:lineRule="auto"/>
        <w:rPr>
          <w:sz w:val="20"/>
          <w:szCs w:val="20"/>
        </w:rPr>
      </w:pPr>
      <w:r>
        <w:rPr>
          <w:vertAlign w:val="superscript"/>
        </w:rPr>
        <w:footnoteRef/>
      </w:r>
      <w:r>
        <w:rPr>
          <w:sz w:val="20"/>
          <w:szCs w:val="20"/>
        </w:rPr>
        <w:t xml:space="preserve"> CDIA Observa from the labor informality variable of INE’s 2021 EPHC microdata.</w:t>
      </w:r>
    </w:p>
  </w:footnote>
  <w:footnote w:id="71">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85">
        <w:r>
          <w:rPr>
            <w:color w:val="1155CC"/>
            <w:sz w:val="20"/>
            <w:szCs w:val="20"/>
          </w:rPr>
          <w:t>MINNA, 2023. 2022 Management Report, p. 34.</w:t>
        </w:r>
      </w:hyperlink>
    </w:p>
  </w:footnote>
  <w:footnote w:id="72">
    <w:p w:rsidR="006E2C03" w:rsidRDefault="00FD32A9">
      <w:pPr>
        <w:spacing w:line="240" w:lineRule="auto"/>
        <w:rPr>
          <w:color w:val="1155CC"/>
          <w:sz w:val="20"/>
          <w:szCs w:val="20"/>
        </w:rPr>
      </w:pPr>
      <w:r>
        <w:rPr>
          <w:vertAlign w:val="superscript"/>
        </w:rPr>
        <w:footnoteRef/>
      </w:r>
      <w:r>
        <w:rPr>
          <w:color w:val="1155CC"/>
        </w:rPr>
        <w:t xml:space="preserve"> </w:t>
      </w:r>
      <w:hyperlink r:id="rId86">
        <w:r>
          <w:rPr>
            <w:color w:val="1155CC"/>
            <w:sz w:val="20"/>
            <w:szCs w:val="20"/>
          </w:rPr>
          <w:t>United Nations. Committee on the Rights of the Child. General Observation No. 21 (2017) on children in street situations</w:t>
        </w:r>
      </w:hyperlink>
    </w:p>
  </w:footnote>
  <w:footnote w:id="73">
    <w:p w:rsidR="006E2C03" w:rsidRDefault="00FD32A9">
      <w:pPr>
        <w:spacing w:line="240" w:lineRule="auto"/>
        <w:jc w:val="both"/>
        <w:rPr>
          <w:color w:val="1155CC"/>
          <w:sz w:val="20"/>
          <w:szCs w:val="20"/>
        </w:rPr>
      </w:pPr>
      <w:r>
        <w:rPr>
          <w:vertAlign w:val="superscript"/>
        </w:rPr>
        <w:footnoteRef/>
      </w:r>
      <w:r>
        <w:rPr>
          <w:color w:val="1155CC"/>
          <w:sz w:val="20"/>
          <w:szCs w:val="20"/>
        </w:rPr>
        <w:t xml:space="preserve"> </w:t>
      </w:r>
      <w:hyperlink r:id="rId87">
        <w:r>
          <w:rPr>
            <w:color w:val="1155CC"/>
            <w:sz w:val="20"/>
            <w:szCs w:val="20"/>
          </w:rPr>
          <w:t xml:space="preserve">Central Library and Archive of the National Congress of Paraguay. Law No. 6202 /2018 Adopts norms for the Prevention of Sexual Abuse and </w:t>
        </w:r>
        <w:r>
          <w:rPr>
            <w:color w:val="1155CC"/>
            <w:sz w:val="20"/>
            <w:szCs w:val="20"/>
          </w:rPr>
          <w:t xml:space="preserve">Comprehensive Assistance for Children and Adolescents Who Are Victims of Sexual Abuse </w:t>
        </w:r>
      </w:hyperlink>
      <w:r>
        <w:rPr>
          <w:color w:val="1155CC"/>
          <w:sz w:val="20"/>
          <w:szCs w:val="20"/>
        </w:rPr>
        <w:t xml:space="preserve"> </w:t>
      </w:r>
    </w:p>
  </w:footnote>
  <w:footnote w:id="74">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88">
        <w:r>
          <w:rPr>
            <w:color w:val="1155CC"/>
            <w:sz w:val="20"/>
            <w:szCs w:val="20"/>
          </w:rPr>
          <w:t>Public Ministry, 2023.</w:t>
        </w:r>
      </w:hyperlink>
    </w:p>
  </w:footnote>
  <w:footnote w:id="75">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89">
        <w:r>
          <w:rPr>
            <w:color w:val="1155CC"/>
            <w:sz w:val="20"/>
            <w:szCs w:val="20"/>
          </w:rPr>
          <w:t>MSPBS/ DIGIES, 2023. Single access site for public infor</w:t>
        </w:r>
        <w:r>
          <w:rPr>
            <w:color w:val="1155CC"/>
            <w:sz w:val="20"/>
            <w:szCs w:val="20"/>
          </w:rPr>
          <w:t>mation. Request No. 63211</w:t>
        </w:r>
      </w:hyperlink>
      <w:r>
        <w:rPr>
          <w:color w:val="1155CC"/>
          <w:sz w:val="20"/>
          <w:szCs w:val="20"/>
        </w:rPr>
        <w:t xml:space="preserve"> </w:t>
      </w:r>
    </w:p>
  </w:footnote>
  <w:footnote w:id="76">
    <w:p w:rsidR="006E2C03" w:rsidRDefault="00FD32A9">
      <w:pPr>
        <w:spacing w:line="240" w:lineRule="auto"/>
        <w:jc w:val="both"/>
        <w:rPr>
          <w:sz w:val="20"/>
          <w:szCs w:val="20"/>
        </w:rPr>
      </w:pPr>
      <w:r>
        <w:rPr>
          <w:vertAlign w:val="superscript"/>
        </w:rPr>
        <w:footnoteRef/>
      </w:r>
      <w:r>
        <w:rPr>
          <w:sz w:val="20"/>
          <w:szCs w:val="20"/>
        </w:rPr>
        <w:t xml:space="preserve"> Criminal Code. Art. 109:  Indirect death by state of necessity in childbirth. The person who indirectly causes the death of the fetus through acts of childbirth does not act unlawfully if, according to the knowledge and experie</w:t>
      </w:r>
      <w:r>
        <w:rPr>
          <w:sz w:val="20"/>
          <w:szCs w:val="20"/>
        </w:rPr>
        <w:t xml:space="preserve">nce of the medical art, it was necessary and unavoidable to deflect a serious danger to the life or health of the mother. </w:t>
      </w:r>
    </w:p>
  </w:footnote>
  <w:footnote w:id="77">
    <w:p w:rsidR="006E2C03" w:rsidRDefault="00FD32A9">
      <w:pPr>
        <w:spacing w:line="240" w:lineRule="auto"/>
        <w:jc w:val="both"/>
        <w:rPr>
          <w:color w:val="1155CC"/>
          <w:sz w:val="20"/>
          <w:szCs w:val="20"/>
        </w:rPr>
      </w:pPr>
      <w:r>
        <w:rPr>
          <w:vertAlign w:val="superscript"/>
        </w:rPr>
        <w:footnoteRef/>
      </w:r>
      <w:r>
        <w:rPr>
          <w:color w:val="1155CC"/>
        </w:rPr>
        <w:t xml:space="preserve"> </w:t>
      </w:r>
      <w:hyperlink r:id="rId90">
        <w:r>
          <w:rPr>
            <w:color w:val="1155CC"/>
            <w:sz w:val="20"/>
            <w:szCs w:val="20"/>
          </w:rPr>
          <w:t>Barrios</w:t>
        </w:r>
        <w:r>
          <w:rPr>
            <w:color w:val="1155CC"/>
            <w:sz w:val="20"/>
            <w:szCs w:val="20"/>
          </w:rPr>
          <w:t xml:space="preserve"> Cáceres, 2021. A year of violence against, exclusion of, and evictions of indigenous communities. In Codehupy (Ed.), Human Rights in Paraguay 2021 (55-68). Asunción, Paraguay.</w:t>
        </w:r>
      </w:hyperlink>
      <w:r>
        <w:rPr>
          <w:color w:val="1155CC"/>
          <w:sz w:val="20"/>
          <w:szCs w:val="20"/>
        </w:rPr>
        <w:t xml:space="preserve"> </w:t>
      </w:r>
    </w:p>
  </w:footnote>
  <w:footnote w:id="78">
    <w:p w:rsidR="006E2C03" w:rsidRDefault="00FD32A9">
      <w:pPr>
        <w:spacing w:line="240" w:lineRule="auto"/>
        <w:rPr>
          <w:sz w:val="20"/>
          <w:szCs w:val="20"/>
        </w:rPr>
      </w:pPr>
      <w:r>
        <w:rPr>
          <w:vertAlign w:val="superscript"/>
        </w:rPr>
        <w:footnoteRef/>
      </w:r>
      <w:r>
        <w:rPr>
          <w:sz w:val="20"/>
          <w:szCs w:val="20"/>
        </w:rPr>
        <w:t xml:space="preserve"> Special ReportCDIA Observa, 2023 -  </w:t>
      </w:r>
      <w:hyperlink r:id="rId91">
        <w:r>
          <w:rPr>
            <w:rFonts w:ascii="Roboto" w:eastAsia="Roboto" w:hAnsi="Roboto" w:cs="Roboto"/>
            <w:color w:val="1D9BF0"/>
            <w:sz w:val="20"/>
            <w:szCs w:val="20"/>
            <w:u w:val="single"/>
          </w:rPr>
          <w:t>cdia.info/abusosNNA</w:t>
        </w:r>
      </w:hyperlink>
      <w:r>
        <w:rPr>
          <w:sz w:val="20"/>
          <w:szCs w:val="20"/>
        </w:rPr>
        <w:t xml:space="preserve"> </w:t>
      </w:r>
    </w:p>
  </w:footnote>
  <w:footnote w:id="79">
    <w:p w:rsidR="006E2C03" w:rsidRDefault="00FD32A9">
      <w:pPr>
        <w:spacing w:line="240" w:lineRule="auto"/>
        <w:rPr>
          <w:sz w:val="20"/>
          <w:szCs w:val="20"/>
        </w:rPr>
      </w:pPr>
      <w:r>
        <w:rPr>
          <w:vertAlign w:val="superscript"/>
        </w:rPr>
        <w:footnoteRef/>
      </w:r>
      <w:r>
        <w:rPr>
          <w:sz w:val="20"/>
          <w:szCs w:val="20"/>
        </w:rPr>
        <w:t xml:space="preserve"> </w:t>
      </w:r>
      <w:hyperlink r:id="rId92">
        <w:r>
          <w:rPr>
            <w:color w:val="1155CC"/>
            <w:sz w:val="20"/>
            <w:szCs w:val="20"/>
            <w:u w:val="single"/>
          </w:rPr>
          <w:t>Paraguay: Son #NiñasNoMadres (They’re Girls Not Mothers): Measures to end sexual violence against children and adolescents and the forced motherhood of gi</w:t>
        </w:r>
        <w:r>
          <w:rPr>
            <w:color w:val="1155CC"/>
            <w:sz w:val="20"/>
            <w:szCs w:val="20"/>
            <w:u w:val="single"/>
          </w:rPr>
          <w:t>rls in Paraguay – Amnesty International</w:t>
        </w:r>
      </w:hyperlink>
      <w:r>
        <w:rPr>
          <w:sz w:val="20"/>
          <w:szCs w:val="20"/>
        </w:rPr>
        <w:t xml:space="preserve"> </w:t>
      </w:r>
    </w:p>
  </w:footnote>
  <w:footnote w:id="80">
    <w:p w:rsidR="006E2C03" w:rsidRDefault="00FD32A9">
      <w:pPr>
        <w:spacing w:line="240" w:lineRule="auto"/>
        <w:jc w:val="both"/>
        <w:rPr>
          <w:color w:val="1155CC"/>
          <w:sz w:val="20"/>
          <w:szCs w:val="20"/>
        </w:rPr>
      </w:pPr>
      <w:r>
        <w:rPr>
          <w:vertAlign w:val="superscript"/>
        </w:rPr>
        <w:footnoteRef/>
      </w:r>
      <w:r>
        <w:rPr>
          <w:color w:val="1155CC"/>
        </w:rPr>
        <w:t xml:space="preserve"> </w:t>
      </w:r>
      <w:hyperlink r:id="rId93">
        <w:r>
          <w:rPr>
            <w:color w:val="1155CC"/>
            <w:sz w:val="20"/>
            <w:szCs w:val="20"/>
          </w:rPr>
          <w:t>Ministry of Education and Culture, 2015. Inter-institutional Intervention Guide for Addressing Cases of Violation of Sexual and Reproductive Rights in the Educational Sphere.</w:t>
        </w:r>
      </w:hyperlink>
      <w:r>
        <w:rPr>
          <w:color w:val="1155CC"/>
          <w:sz w:val="20"/>
          <w:szCs w:val="20"/>
        </w:rPr>
        <w:t xml:space="preserve"> </w:t>
      </w:r>
    </w:p>
  </w:footnote>
  <w:footnote w:id="81">
    <w:p w:rsidR="006E2C03" w:rsidRDefault="00FD32A9">
      <w:pPr>
        <w:spacing w:line="240" w:lineRule="auto"/>
        <w:rPr>
          <w:sz w:val="20"/>
          <w:szCs w:val="20"/>
        </w:rPr>
      </w:pPr>
      <w:r>
        <w:rPr>
          <w:vertAlign w:val="superscript"/>
        </w:rPr>
        <w:footnoteRef/>
      </w:r>
      <w:r>
        <w:rPr>
          <w:sz w:val="20"/>
          <w:szCs w:val="20"/>
        </w:rPr>
        <w:t xml:space="preserve"> </w:t>
      </w:r>
      <w:hyperlink r:id="rId94">
        <w:r>
          <w:t xml:space="preserve"> </w:t>
        </w:r>
      </w:hyperlink>
      <w:hyperlink r:id="rId95">
        <w:r>
          <w:rPr>
            <w:color w:val="1155CC"/>
            <w:sz w:val="20"/>
            <w:szCs w:val="20"/>
            <w:u w:val="single"/>
          </w:rPr>
          <w:t>The Inter-American Court of Human Rights sanctions Bolivia for failing to investigate and punish the rape of a girl | International | EL PAÍS</w:t>
        </w:r>
      </w:hyperlink>
      <w:r>
        <w:rPr>
          <w:sz w:val="20"/>
          <w:szCs w:val="20"/>
        </w:rPr>
        <w:t xml:space="preserve"> </w:t>
      </w:r>
    </w:p>
  </w:footnote>
  <w:footnote w:id="82">
    <w:p w:rsidR="006E2C03" w:rsidRDefault="00FD32A9">
      <w:pPr>
        <w:spacing w:line="240" w:lineRule="auto"/>
        <w:rPr>
          <w:sz w:val="20"/>
          <w:szCs w:val="20"/>
        </w:rPr>
      </w:pPr>
      <w:r>
        <w:rPr>
          <w:vertAlign w:val="superscript"/>
        </w:rPr>
        <w:footnoteRef/>
      </w:r>
      <w:r>
        <w:rPr>
          <w:sz w:val="20"/>
          <w:szCs w:val="20"/>
        </w:rPr>
        <w:t xml:space="preserve"> </w:t>
      </w:r>
      <w:hyperlink r:id="rId96">
        <w:r>
          <w:rPr>
            <w:color w:val="1155CC"/>
            <w:sz w:val="20"/>
            <w:szCs w:val="20"/>
          </w:rPr>
          <w:t>Public Ministry, 20</w:t>
        </w:r>
        <w:r>
          <w:rPr>
            <w:color w:val="1155CC"/>
            <w:sz w:val="20"/>
            <w:szCs w:val="20"/>
          </w:rPr>
          <w:t>22. Human Trafficking.</w:t>
        </w:r>
      </w:hyperlink>
    </w:p>
  </w:footnote>
  <w:footnote w:id="83">
    <w:p w:rsidR="006E2C03" w:rsidRDefault="00FD32A9">
      <w:pPr>
        <w:spacing w:line="240" w:lineRule="auto"/>
        <w:jc w:val="both"/>
        <w:rPr>
          <w:sz w:val="20"/>
          <w:szCs w:val="20"/>
        </w:rPr>
      </w:pPr>
      <w:r>
        <w:rPr>
          <w:vertAlign w:val="superscript"/>
        </w:rPr>
        <w:footnoteRef/>
      </w:r>
      <w:r>
        <w:t xml:space="preserve"> </w:t>
      </w:r>
      <w:hyperlink r:id="rId97">
        <w:r>
          <w:rPr>
            <w:color w:val="1155CC"/>
            <w:sz w:val="20"/>
            <w:szCs w:val="20"/>
          </w:rPr>
          <w:t xml:space="preserve">Última Hora, 2020. 22 Paraguayan Girls Trafficked to Brazil Were Abandoned at the Border </w:t>
        </w:r>
      </w:hyperlink>
      <w:r>
        <w:rPr>
          <w:sz w:val="20"/>
          <w:szCs w:val="20"/>
        </w:rPr>
        <w:t xml:space="preserve"> </w:t>
      </w:r>
    </w:p>
  </w:footnote>
  <w:footnote w:id="84">
    <w:p w:rsidR="006E2C03" w:rsidRDefault="00FD32A9">
      <w:pPr>
        <w:spacing w:line="240" w:lineRule="auto"/>
        <w:jc w:val="both"/>
        <w:rPr>
          <w:sz w:val="20"/>
          <w:szCs w:val="20"/>
        </w:rPr>
      </w:pPr>
      <w:r>
        <w:rPr>
          <w:vertAlign w:val="superscript"/>
        </w:rPr>
        <w:footnoteRef/>
      </w:r>
      <w:r>
        <w:rPr>
          <w:sz w:val="20"/>
          <w:szCs w:val="20"/>
        </w:rPr>
        <w:t xml:space="preserve"> </w:t>
      </w:r>
      <w:hyperlink r:id="rId98">
        <w:r>
          <w:rPr>
            <w:color w:val="1155CC"/>
            <w:sz w:val="20"/>
            <w:szCs w:val="20"/>
          </w:rPr>
          <w:t xml:space="preserve">Caputo and Cárdenas, 2021. Exploitation and Abandonment of Children and Adolescents Persist in Paraguay. Codehupy. </w:t>
        </w:r>
      </w:hyperlink>
    </w:p>
  </w:footnote>
  <w:footnote w:id="85">
    <w:p w:rsidR="006E2C03" w:rsidRDefault="00FD32A9">
      <w:pPr>
        <w:spacing w:line="240" w:lineRule="auto"/>
        <w:jc w:val="both"/>
        <w:rPr>
          <w:color w:val="1155CC"/>
          <w:sz w:val="20"/>
          <w:szCs w:val="20"/>
        </w:rPr>
      </w:pPr>
      <w:r>
        <w:rPr>
          <w:vertAlign w:val="superscript"/>
        </w:rPr>
        <w:footnoteRef/>
      </w:r>
      <w:r>
        <w:rPr>
          <w:color w:val="1155CC"/>
          <w:sz w:val="20"/>
          <w:szCs w:val="20"/>
        </w:rPr>
        <w:t xml:space="preserve"> Caputo and Cárdenas </w:t>
      </w:r>
      <w:hyperlink r:id="rId99">
        <w:r>
          <w:rPr>
            <w:color w:val="1155CC"/>
            <w:sz w:val="20"/>
            <w:szCs w:val="20"/>
          </w:rPr>
          <w:t>(2019). Good Intentions Are Not Enough, the State Must Truly Act. In Yvypóra Derécho Paraguáipe – Human Rights in Paraguay 2019 (pp. 311-328). Codehupy</w:t>
        </w:r>
        <w:r>
          <w:rPr>
            <w:color w:val="1155CC"/>
            <w:sz w:val="20"/>
            <w:szCs w:val="20"/>
          </w:rPr>
          <w:t>.</w:t>
        </w:r>
      </w:hyperlink>
    </w:p>
  </w:footnote>
  <w:footnote w:id="86">
    <w:p w:rsidR="006E2C03" w:rsidRDefault="00FD32A9">
      <w:pPr>
        <w:spacing w:line="240" w:lineRule="auto"/>
        <w:jc w:val="both"/>
        <w:rPr>
          <w:sz w:val="20"/>
          <w:szCs w:val="20"/>
        </w:rPr>
      </w:pPr>
      <w:r>
        <w:rPr>
          <w:vertAlign w:val="superscript"/>
        </w:rPr>
        <w:footnoteRef/>
      </w:r>
      <w:r>
        <w:rPr>
          <w:sz w:val="20"/>
          <w:szCs w:val="20"/>
        </w:rPr>
        <w:t xml:space="preserve"> There is concern that the limited number of new recruits are not professionals with proper training to ensure relevant care, which, instead of strengthening the system, weakens it and puts the lives of children and adolescents at risk because they may </w:t>
      </w:r>
      <w:r>
        <w:rPr>
          <w:sz w:val="20"/>
          <w:szCs w:val="20"/>
        </w:rPr>
        <w:t>receive the wrong guidance.</w:t>
      </w:r>
    </w:p>
  </w:footnote>
  <w:footnote w:id="87">
    <w:p w:rsidR="006E2C03" w:rsidRDefault="00FD32A9">
      <w:pPr>
        <w:spacing w:line="240" w:lineRule="auto"/>
        <w:rPr>
          <w:sz w:val="20"/>
          <w:szCs w:val="20"/>
        </w:rPr>
      </w:pPr>
      <w:r>
        <w:rPr>
          <w:vertAlign w:val="superscript"/>
        </w:rPr>
        <w:footnoteRef/>
      </w:r>
      <w:r>
        <w:rPr>
          <w:sz w:val="20"/>
          <w:szCs w:val="20"/>
        </w:rPr>
        <w:t xml:space="preserve"> CDIA Observa, from the microdata of the INE’s 2017 EPH of indigenous peoples.</w:t>
      </w:r>
    </w:p>
  </w:footnote>
  <w:footnote w:id="88">
    <w:p w:rsidR="006E2C03" w:rsidRDefault="00FD32A9">
      <w:pPr>
        <w:spacing w:line="240" w:lineRule="auto"/>
        <w:jc w:val="both"/>
        <w:rPr>
          <w:color w:val="1155CC"/>
          <w:sz w:val="20"/>
          <w:szCs w:val="20"/>
        </w:rPr>
      </w:pPr>
      <w:r>
        <w:rPr>
          <w:vertAlign w:val="superscript"/>
        </w:rPr>
        <w:footnoteRef/>
      </w:r>
      <w:r>
        <w:t xml:space="preserve"> </w:t>
      </w:r>
      <w:hyperlink r:id="rId100">
        <w:r>
          <w:rPr>
            <w:color w:val="1155CC"/>
            <w:sz w:val="20"/>
            <w:szCs w:val="20"/>
          </w:rPr>
          <w:t>Barrios Cáceres, M. 20</w:t>
        </w:r>
        <w:r>
          <w:rPr>
            <w:color w:val="1155CC"/>
            <w:sz w:val="20"/>
            <w:szCs w:val="20"/>
          </w:rPr>
          <w:t>21. A year of violence against, exclusion of, and evictions of indigenous communities. In Codehupy (Ed.), Human Rights in Paraguay 2021 (55-68). Asunción, Paraguay</w:t>
        </w:r>
      </w:hyperlink>
      <w:r>
        <w:rPr>
          <w:color w:val="1155CC"/>
          <w:sz w:val="20"/>
          <w:szCs w:val="20"/>
        </w:rPr>
        <w:t xml:space="preserve"> </w:t>
      </w:r>
    </w:p>
  </w:footnote>
  <w:footnote w:id="89">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101">
        <w:r>
          <w:rPr>
            <w:color w:val="1155CC"/>
            <w:sz w:val="20"/>
            <w:szCs w:val="20"/>
          </w:rPr>
          <w:t>DGEEC (actual INE), 2018 cited in CDIA, 2020. Alternative report for the Overall Periodic Review (EPU, for i</w:t>
        </w:r>
        <w:r>
          <w:rPr>
            <w:color w:val="1155CC"/>
            <w:sz w:val="20"/>
            <w:szCs w:val="20"/>
          </w:rPr>
          <w:t xml:space="preserve">ts Spanish initials) </w:t>
        </w:r>
      </w:hyperlink>
    </w:p>
    <w:p w:rsidR="006E2C03" w:rsidRDefault="006E2C03">
      <w:pPr>
        <w:spacing w:line="240" w:lineRule="auto"/>
        <w:rPr>
          <w:sz w:val="20"/>
          <w:szCs w:val="20"/>
        </w:rPr>
      </w:pPr>
    </w:p>
  </w:footnote>
  <w:footnote w:id="90">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102">
        <w:r>
          <w:rPr>
            <w:color w:val="1155CC"/>
            <w:sz w:val="20"/>
            <w:szCs w:val="20"/>
          </w:rPr>
          <w:t xml:space="preserve">Central Library and Archive of the National Congress of Paraguay. Law No. 6572 Creating the National Registry of Sex Offenders of Children and Adolescents and the Genetic Bank. </w:t>
        </w:r>
      </w:hyperlink>
      <w:r>
        <w:rPr>
          <w:color w:val="1155CC"/>
          <w:sz w:val="20"/>
          <w:szCs w:val="20"/>
        </w:rPr>
        <w:t xml:space="preserve"> </w:t>
      </w:r>
    </w:p>
  </w:footnote>
  <w:footnote w:id="91">
    <w:p w:rsidR="006E2C03" w:rsidRDefault="00FD32A9">
      <w:pPr>
        <w:spacing w:line="240" w:lineRule="auto"/>
        <w:rPr>
          <w:color w:val="1155CC"/>
          <w:sz w:val="20"/>
          <w:szCs w:val="20"/>
        </w:rPr>
      </w:pPr>
      <w:r>
        <w:rPr>
          <w:vertAlign w:val="superscript"/>
        </w:rPr>
        <w:footnoteRef/>
      </w:r>
      <w:r>
        <w:rPr>
          <w:color w:val="1155CC"/>
          <w:sz w:val="20"/>
          <w:szCs w:val="20"/>
        </w:rPr>
        <w:t xml:space="preserve"> 2020-2024 </w:t>
      </w:r>
      <w:hyperlink r:id="rId103">
        <w:r>
          <w:rPr>
            <w:color w:val="1155CC"/>
            <w:sz w:val="20"/>
            <w:szCs w:val="20"/>
          </w:rPr>
          <w:t xml:space="preserve">National Plan for Preventing and Combating Human Trafficking </w:t>
        </w:r>
      </w:hyperlink>
      <w:r>
        <w:rPr>
          <w:color w:val="1155CC"/>
          <w:sz w:val="20"/>
          <w:szCs w:val="20"/>
        </w:rPr>
        <w:t xml:space="preserve"> </w:t>
      </w:r>
    </w:p>
  </w:footnote>
  <w:footnote w:id="92">
    <w:p w:rsidR="006E2C03" w:rsidRDefault="00FD32A9">
      <w:pPr>
        <w:spacing w:line="240" w:lineRule="auto"/>
        <w:rPr>
          <w:sz w:val="20"/>
          <w:szCs w:val="20"/>
        </w:rPr>
      </w:pPr>
      <w:r>
        <w:rPr>
          <w:vertAlign w:val="superscript"/>
        </w:rPr>
        <w:footnoteRef/>
      </w:r>
      <w:r>
        <w:rPr>
          <w:sz w:val="20"/>
          <w:szCs w:val="20"/>
        </w:rPr>
        <w:t xml:space="preserve"> </w:t>
      </w:r>
      <w:hyperlink r:id="rId104">
        <w:r>
          <w:rPr>
            <w:color w:val="1155CC"/>
            <w:sz w:val="21"/>
            <w:szCs w:val="21"/>
            <w:highlight w:val="white"/>
            <w:u w:val="single"/>
          </w:rPr>
          <w:t xml:space="preserve">Law No. 4788 | Comprehensive Law against Human Trafficking </w:t>
        </w:r>
      </w:hyperlink>
    </w:p>
  </w:footnote>
  <w:footnote w:id="93">
    <w:p w:rsidR="006E2C03" w:rsidRDefault="00FD32A9">
      <w:pPr>
        <w:spacing w:line="240" w:lineRule="auto"/>
        <w:rPr>
          <w:sz w:val="20"/>
          <w:szCs w:val="20"/>
        </w:rPr>
      </w:pPr>
      <w:r>
        <w:rPr>
          <w:vertAlign w:val="superscript"/>
        </w:rPr>
        <w:footnoteRef/>
      </w:r>
      <w:r>
        <w:rPr>
          <w:sz w:val="20"/>
          <w:szCs w:val="20"/>
        </w:rPr>
        <w:t xml:space="preserve"> </w:t>
      </w:r>
      <w:hyperlink r:id="rId105">
        <w:r>
          <w:rPr>
            <w:color w:val="1155CC"/>
            <w:sz w:val="21"/>
            <w:szCs w:val="21"/>
            <w:highlight w:val="white"/>
            <w:u w:val="single"/>
          </w:rPr>
          <w:t xml:space="preserve">Law No. 4788 | Comprehensive Law against Human Trafficking </w:t>
        </w:r>
      </w:hyperlink>
    </w:p>
  </w:footnote>
  <w:footnote w:id="94">
    <w:p w:rsidR="006E2C03" w:rsidRDefault="00FD32A9">
      <w:pPr>
        <w:spacing w:line="240" w:lineRule="auto"/>
        <w:rPr>
          <w:sz w:val="20"/>
          <w:szCs w:val="20"/>
        </w:rPr>
      </w:pPr>
      <w:r>
        <w:rPr>
          <w:vertAlign w:val="superscript"/>
        </w:rPr>
        <w:footnoteRef/>
      </w:r>
      <w:r>
        <w:rPr>
          <w:sz w:val="20"/>
          <w:szCs w:val="20"/>
        </w:rPr>
        <w:t xml:space="preserve"> </w:t>
      </w:r>
      <w:hyperlink r:id="rId106">
        <w:r>
          <w:rPr>
            <w:color w:val="1155CC"/>
            <w:sz w:val="20"/>
            <w:szCs w:val="20"/>
          </w:rPr>
          <w:t>Central Library and Archive of the National Congress of Paraguay. Law No. 6486/2020 on the Promotion and Protection of the Right of Children and Adolescents to Live in a Family, which Regulates t</w:t>
        </w:r>
        <w:r>
          <w:rPr>
            <w:color w:val="1155CC"/>
            <w:sz w:val="20"/>
            <w:szCs w:val="20"/>
          </w:rPr>
          <w:t xml:space="preserve">he Measures for Alternative Care and Adoption </w:t>
        </w:r>
      </w:hyperlink>
    </w:p>
  </w:footnote>
  <w:footnote w:id="95">
    <w:p w:rsidR="006E2C03" w:rsidRDefault="00FD32A9">
      <w:pPr>
        <w:spacing w:line="240" w:lineRule="auto"/>
        <w:rPr>
          <w:sz w:val="20"/>
          <w:szCs w:val="20"/>
        </w:rPr>
      </w:pPr>
      <w:r>
        <w:rPr>
          <w:vertAlign w:val="superscript"/>
        </w:rPr>
        <w:footnoteRef/>
      </w:r>
      <w:r>
        <w:t xml:space="preserve"> </w:t>
      </w:r>
      <w:r>
        <w:rPr>
          <w:color w:val="1155CC"/>
          <w:sz w:val="20"/>
          <w:szCs w:val="20"/>
          <w:u w:val="single"/>
        </w:rPr>
        <w:t>Public Ministry forms work teams for the Transchaco Rally</w:t>
      </w:r>
    </w:p>
  </w:footnote>
  <w:footnote w:id="96">
    <w:p w:rsidR="006E2C03" w:rsidRDefault="00FD32A9">
      <w:pPr>
        <w:spacing w:line="240" w:lineRule="auto"/>
        <w:rPr>
          <w:sz w:val="20"/>
          <w:szCs w:val="20"/>
        </w:rPr>
      </w:pPr>
      <w:r>
        <w:rPr>
          <w:vertAlign w:val="superscript"/>
        </w:rPr>
        <w:footnoteRef/>
      </w:r>
      <w:r>
        <w:rPr>
          <w:sz w:val="20"/>
          <w:szCs w:val="20"/>
        </w:rPr>
        <w:t xml:space="preserve"> </w:t>
      </w:r>
      <w:hyperlink r:id="rId107">
        <w:r>
          <w:rPr>
            <w:color w:val="1155CC"/>
            <w:sz w:val="20"/>
            <w:szCs w:val="20"/>
            <w:u w:val="single"/>
          </w:rPr>
          <w:t>La Nación / Raids were carried out for sexual exploitation of indigenous girls: 6 were rescued</w:t>
        </w:r>
      </w:hyperlink>
    </w:p>
  </w:footnote>
  <w:footnote w:id="97">
    <w:p w:rsidR="006E2C03" w:rsidRDefault="00FD32A9">
      <w:pPr>
        <w:spacing w:line="240" w:lineRule="auto"/>
        <w:rPr>
          <w:sz w:val="20"/>
          <w:szCs w:val="20"/>
        </w:rPr>
      </w:pPr>
      <w:r>
        <w:rPr>
          <w:vertAlign w:val="superscript"/>
        </w:rPr>
        <w:footnoteRef/>
      </w:r>
      <w:r>
        <w:rPr>
          <w:sz w:val="20"/>
          <w:szCs w:val="20"/>
        </w:rPr>
        <w:t xml:space="preserve"> </w:t>
      </w:r>
      <w:r>
        <w:rPr>
          <w:color w:val="1155CC"/>
          <w:sz w:val="20"/>
          <w:szCs w:val="20"/>
          <w:u w:val="single"/>
        </w:rPr>
        <w:t>Indigenous girl dismembered in Asuncion near the bus station</w:t>
      </w:r>
    </w:p>
  </w:footnote>
  <w:footnote w:id="98">
    <w:p w:rsidR="006E2C03" w:rsidRDefault="00FD32A9">
      <w:pPr>
        <w:spacing w:line="240" w:lineRule="auto"/>
        <w:rPr>
          <w:sz w:val="20"/>
          <w:szCs w:val="20"/>
        </w:rPr>
      </w:pPr>
      <w:r>
        <w:rPr>
          <w:vertAlign w:val="superscript"/>
        </w:rPr>
        <w:footnoteRef/>
      </w:r>
      <w:r>
        <w:rPr>
          <w:sz w:val="20"/>
          <w:szCs w:val="20"/>
        </w:rPr>
        <w:t xml:space="preserve"> </w:t>
      </w:r>
      <w:hyperlink r:id="rId108">
        <w:r>
          <w:rPr>
            <w:color w:val="1155CC"/>
            <w:sz w:val="20"/>
            <w:szCs w:val="20"/>
            <w:u w:val="single"/>
          </w:rPr>
          <w:t xml:space="preserve">Law No. 4439 | Modifies and expands on articles of the Code, Art. 140. </w:t>
        </w:r>
      </w:hyperlink>
    </w:p>
  </w:footnote>
  <w:footnote w:id="99">
    <w:p w:rsidR="006E2C03" w:rsidRDefault="00FD32A9">
      <w:pPr>
        <w:spacing w:line="240" w:lineRule="auto"/>
        <w:rPr>
          <w:sz w:val="20"/>
          <w:szCs w:val="20"/>
        </w:rPr>
      </w:pPr>
      <w:r>
        <w:rPr>
          <w:vertAlign w:val="superscript"/>
        </w:rPr>
        <w:footnoteRef/>
      </w:r>
      <w:r>
        <w:rPr>
          <w:sz w:val="20"/>
          <w:szCs w:val="20"/>
        </w:rPr>
        <w:t xml:space="preserve"> </w:t>
      </w:r>
      <w:hyperlink r:id="rId109">
        <w:r>
          <w:rPr>
            <w:color w:val="1155CC"/>
            <w:sz w:val="21"/>
            <w:szCs w:val="21"/>
            <w:highlight w:val="white"/>
            <w:u w:val="single"/>
          </w:rPr>
          <w:t xml:space="preserve">Law No. 4788 | Comprehensive </w:t>
        </w:r>
        <w:r>
          <w:rPr>
            <w:color w:val="1155CC"/>
            <w:sz w:val="21"/>
            <w:szCs w:val="21"/>
            <w:highlight w:val="white"/>
            <w:u w:val="single"/>
          </w:rPr>
          <w:t xml:space="preserve">Law against Human Trafficking </w:t>
        </w:r>
      </w:hyperlink>
    </w:p>
  </w:footnote>
  <w:footnote w:id="100">
    <w:p w:rsidR="006E2C03" w:rsidRDefault="00FD32A9">
      <w:pPr>
        <w:spacing w:line="240" w:lineRule="auto"/>
        <w:rPr>
          <w:sz w:val="20"/>
          <w:szCs w:val="20"/>
        </w:rPr>
      </w:pPr>
      <w:r>
        <w:rPr>
          <w:vertAlign w:val="superscript"/>
        </w:rPr>
        <w:footnoteRef/>
      </w:r>
      <w:hyperlink r:id="rId110">
        <w:r>
          <w:rPr>
            <w:color w:val="1155CC"/>
            <w:sz w:val="20"/>
            <w:szCs w:val="20"/>
            <w:u w:val="single"/>
          </w:rPr>
          <w:t xml:space="preserve"> Law No. 6002/2017</w:t>
        </w:r>
      </w:hyperlink>
      <w:r>
        <w:rPr>
          <w:sz w:val="20"/>
          <w:szCs w:val="20"/>
        </w:rPr>
        <w:t xml:space="preserve">, Art. 135b. </w:t>
      </w:r>
    </w:p>
  </w:footnote>
  <w:footnote w:id="101">
    <w:p w:rsidR="006E2C03" w:rsidRDefault="00FD32A9">
      <w:pPr>
        <w:spacing w:line="240" w:lineRule="auto"/>
        <w:rPr>
          <w:sz w:val="20"/>
          <w:szCs w:val="20"/>
        </w:rPr>
      </w:pPr>
      <w:r>
        <w:rPr>
          <w:vertAlign w:val="superscript"/>
        </w:rPr>
        <w:footnoteRef/>
      </w:r>
      <w:r>
        <w:rPr>
          <w:sz w:val="20"/>
          <w:szCs w:val="20"/>
        </w:rPr>
        <w:t xml:space="preserve"> </w:t>
      </w:r>
      <w:hyperlink r:id="rId111">
        <w:r>
          <w:rPr>
            <w:color w:val="1155CC"/>
            <w:sz w:val="20"/>
            <w:szCs w:val="20"/>
          </w:rPr>
          <w:t>Agencia de Información Paraguaya, 2022. Operation “Luz de Infancia” seeks to fight head-on against child sexual exploitation.</w:t>
        </w:r>
      </w:hyperlink>
    </w:p>
  </w:footnote>
  <w:footnote w:id="102">
    <w:p w:rsidR="006E2C03" w:rsidRDefault="00FD32A9">
      <w:pPr>
        <w:spacing w:line="240" w:lineRule="auto"/>
        <w:rPr>
          <w:sz w:val="20"/>
          <w:szCs w:val="20"/>
        </w:rPr>
      </w:pPr>
      <w:r>
        <w:rPr>
          <w:vertAlign w:val="superscript"/>
        </w:rPr>
        <w:footnoteRef/>
      </w:r>
      <w:r>
        <w:rPr>
          <w:sz w:val="20"/>
          <w:szCs w:val="20"/>
        </w:rPr>
        <w:t xml:space="preserve"> </w:t>
      </w:r>
      <w:hyperlink r:id="rId112">
        <w:r>
          <w:rPr>
            <w:color w:val="1155CC"/>
            <w:sz w:val="20"/>
            <w:szCs w:val="20"/>
          </w:rPr>
          <w:t>Public Ministry, 2022. Child Pornography.</w:t>
        </w:r>
      </w:hyperlink>
    </w:p>
  </w:footnote>
  <w:footnote w:id="103">
    <w:p w:rsidR="006E2C03" w:rsidRDefault="00FD32A9">
      <w:pPr>
        <w:spacing w:line="240" w:lineRule="auto"/>
        <w:rPr>
          <w:sz w:val="20"/>
          <w:szCs w:val="20"/>
        </w:rPr>
      </w:pPr>
      <w:r>
        <w:rPr>
          <w:vertAlign w:val="superscript"/>
        </w:rPr>
        <w:footnoteRef/>
      </w:r>
      <w:r>
        <w:rPr>
          <w:sz w:val="20"/>
          <w:szCs w:val="20"/>
        </w:rPr>
        <w:t xml:space="preserve"> Overseen by Fundación Buen Pastor in coordination with the MINNA. </w:t>
      </w:r>
    </w:p>
  </w:footnote>
  <w:footnote w:id="104">
    <w:p w:rsidR="006E2C03" w:rsidRDefault="00FD32A9">
      <w:pPr>
        <w:spacing w:line="240" w:lineRule="auto"/>
        <w:rPr>
          <w:sz w:val="20"/>
          <w:szCs w:val="20"/>
        </w:rPr>
      </w:pPr>
      <w:r>
        <w:rPr>
          <w:vertAlign w:val="superscript"/>
        </w:rPr>
        <w:footnoteRef/>
      </w:r>
      <w:r>
        <w:rPr>
          <w:sz w:val="20"/>
          <w:szCs w:val="20"/>
        </w:rPr>
        <w:t xml:space="preserve"> </w:t>
      </w:r>
      <w:hyperlink r:id="rId113">
        <w:r>
          <w:rPr>
            <w:color w:val="1155CC"/>
            <w:sz w:val="20"/>
            <w:szCs w:val="20"/>
            <w:u w:val="single"/>
          </w:rPr>
          <w:t>Forced recruitment of children was never addressed by the State – El Independiente</w:t>
        </w:r>
      </w:hyperlink>
      <w:r>
        <w:rPr>
          <w:sz w:val="20"/>
          <w:szCs w:val="20"/>
        </w:rPr>
        <w:t xml:space="preserve"> </w:t>
      </w:r>
    </w:p>
  </w:footnote>
  <w:footnote w:id="105">
    <w:p w:rsidR="006E2C03" w:rsidRDefault="00FD32A9">
      <w:pPr>
        <w:spacing w:line="240" w:lineRule="auto"/>
        <w:rPr>
          <w:color w:val="1155CC"/>
          <w:sz w:val="20"/>
          <w:szCs w:val="20"/>
        </w:rPr>
      </w:pPr>
      <w:r>
        <w:rPr>
          <w:vertAlign w:val="superscript"/>
        </w:rPr>
        <w:footnoteRef/>
      </w:r>
      <w:r>
        <w:rPr>
          <w:color w:val="1155CC"/>
          <w:sz w:val="20"/>
          <w:szCs w:val="20"/>
        </w:rPr>
        <w:t xml:space="preserve"> </w:t>
      </w:r>
      <w:hyperlink r:id="rId114">
        <w:r>
          <w:rPr>
            <w:color w:val="1155CC"/>
            <w:sz w:val="20"/>
            <w:szCs w:val="20"/>
          </w:rPr>
          <w:t xml:space="preserve">BASE IS. Investigaciones Sociales. With the FTC in the north, the population feels less secure </w:t>
        </w:r>
      </w:hyperlink>
      <w:r>
        <w:rPr>
          <w:color w:val="1155CC"/>
          <w:sz w:val="20"/>
          <w:szCs w:val="20"/>
        </w:rPr>
        <w:t xml:space="preserve"> </w:t>
      </w:r>
    </w:p>
  </w:footnote>
  <w:footnote w:id="106">
    <w:p w:rsidR="006E2C03" w:rsidRDefault="00FD32A9">
      <w:pPr>
        <w:spacing w:line="240" w:lineRule="auto"/>
        <w:rPr>
          <w:sz w:val="20"/>
          <w:szCs w:val="20"/>
        </w:rPr>
      </w:pPr>
      <w:r>
        <w:rPr>
          <w:vertAlign w:val="superscript"/>
        </w:rPr>
        <w:footnoteRef/>
      </w:r>
      <w:r>
        <w:rPr>
          <w:sz w:val="20"/>
          <w:szCs w:val="20"/>
        </w:rPr>
        <w:t xml:space="preserve"> More recent public information could not be accessed.</w:t>
      </w:r>
    </w:p>
  </w:footnote>
  <w:footnote w:id="107">
    <w:p w:rsidR="006E2C03" w:rsidRDefault="00FD32A9">
      <w:pPr>
        <w:spacing w:line="240" w:lineRule="auto"/>
        <w:rPr>
          <w:sz w:val="20"/>
          <w:szCs w:val="20"/>
        </w:rPr>
      </w:pPr>
      <w:r>
        <w:rPr>
          <w:vertAlign w:val="superscript"/>
        </w:rPr>
        <w:footnoteRef/>
      </w:r>
      <w:r>
        <w:rPr>
          <w:sz w:val="20"/>
          <w:szCs w:val="20"/>
        </w:rPr>
        <w:t xml:space="preserve"> </w:t>
      </w:r>
      <w:hyperlink r:id="rId115">
        <w:r>
          <w:rPr>
            <w:color w:val="1155CC"/>
            <w:sz w:val="20"/>
            <w:szCs w:val="20"/>
            <w:u w:val="single"/>
          </w:rPr>
          <w:t xml:space="preserve">Monitoring Report on the Acosta Ñú Military School (2019). </w:t>
        </w:r>
      </w:hyperlink>
      <w:hyperlink r:id="rId116">
        <w:r>
          <w:rPr>
            <w:i/>
            <w:color w:val="1155CC"/>
            <w:sz w:val="20"/>
            <w:szCs w:val="20"/>
            <w:u w:val="single"/>
          </w:rPr>
          <w:t xml:space="preserve">Torture Prevention Mechanism, </w:t>
        </w:r>
      </w:hyperlink>
      <w:hyperlink r:id="rId117">
        <w:r>
          <w:rPr>
            <w:color w:val="1155CC"/>
            <w:sz w:val="20"/>
            <w:szCs w:val="20"/>
            <w:u w:val="single"/>
          </w:rPr>
          <w:t>p. 4</w:t>
        </w:r>
        <w:r>
          <w:rPr>
            <w:color w:val="1155CC"/>
            <w:sz w:val="20"/>
            <w:szCs w:val="20"/>
            <w:u w:val="single"/>
          </w:rPr>
          <w:t xml:space="preserve">. </w:t>
        </w:r>
      </w:hyperlink>
    </w:p>
  </w:footnote>
  <w:footnote w:id="108">
    <w:p w:rsidR="006E2C03" w:rsidRDefault="00FD32A9">
      <w:pPr>
        <w:spacing w:line="240" w:lineRule="auto"/>
        <w:rPr>
          <w:sz w:val="20"/>
          <w:szCs w:val="20"/>
        </w:rPr>
      </w:pPr>
      <w:r>
        <w:rPr>
          <w:vertAlign w:val="superscript"/>
        </w:rPr>
        <w:footnoteRef/>
      </w:r>
      <w:r>
        <w:rPr>
          <w:sz w:val="20"/>
          <w:szCs w:val="20"/>
        </w:rPr>
        <w:t xml:space="preserve"> </w:t>
      </w:r>
      <w:hyperlink r:id="rId118">
        <w:r>
          <w:rPr>
            <w:color w:val="1155CC"/>
            <w:sz w:val="20"/>
            <w:szCs w:val="20"/>
            <w:u w:val="single"/>
          </w:rPr>
          <w:t>One of the three killed in combat in Paraguay is presumed to be a minor - SWI swissinfo.ch</w:t>
        </w:r>
      </w:hyperlink>
      <w:r>
        <w:rPr>
          <w:sz w:val="20"/>
          <w:szCs w:val="20"/>
        </w:rPr>
        <w:t xml:space="preserve"> </w:t>
      </w:r>
    </w:p>
  </w:footnote>
  <w:footnote w:id="109">
    <w:p w:rsidR="006E2C03" w:rsidRDefault="00FD32A9">
      <w:pPr>
        <w:spacing w:line="240" w:lineRule="auto"/>
        <w:rPr>
          <w:sz w:val="20"/>
          <w:szCs w:val="20"/>
        </w:rPr>
      </w:pPr>
      <w:r>
        <w:rPr>
          <w:vertAlign w:val="superscript"/>
        </w:rPr>
        <w:footnoteRef/>
      </w:r>
      <w:r>
        <w:rPr>
          <w:sz w:val="20"/>
          <w:szCs w:val="20"/>
        </w:rPr>
        <w:t xml:space="preserve"> </w:t>
      </w:r>
      <w:hyperlink r:id="rId119">
        <w:r>
          <w:rPr>
            <w:color w:val="1155CC"/>
            <w:sz w:val="20"/>
            <w:szCs w:val="20"/>
            <w:u w:val="single"/>
          </w:rPr>
          <w:t xml:space="preserve">MNP Northern Zone, Adolescents </w:t>
        </w:r>
      </w:hyperlink>
      <w:r>
        <w:rPr>
          <w:sz w:val="20"/>
          <w:szCs w:val="20"/>
        </w:rPr>
        <w:t xml:space="preserve"> </w:t>
      </w:r>
    </w:p>
  </w:footnote>
  <w:footnote w:id="110">
    <w:p w:rsidR="006E2C03" w:rsidRDefault="00FD32A9">
      <w:pPr>
        <w:spacing w:line="240" w:lineRule="auto"/>
        <w:rPr>
          <w:sz w:val="20"/>
          <w:szCs w:val="20"/>
        </w:rPr>
      </w:pPr>
      <w:r>
        <w:rPr>
          <w:vertAlign w:val="superscript"/>
        </w:rPr>
        <w:footnoteRef/>
      </w:r>
      <w:r>
        <w:rPr>
          <w:sz w:val="20"/>
          <w:szCs w:val="20"/>
        </w:rPr>
        <w:t xml:space="preserve"> Torture Prevention Mechanism.</w:t>
      </w:r>
    </w:p>
  </w:footnote>
  <w:footnote w:id="111">
    <w:p w:rsidR="006E2C03" w:rsidRDefault="00FD32A9">
      <w:pPr>
        <w:spacing w:line="240" w:lineRule="auto"/>
        <w:rPr>
          <w:sz w:val="20"/>
          <w:szCs w:val="20"/>
        </w:rPr>
      </w:pPr>
      <w:r>
        <w:rPr>
          <w:vertAlign w:val="superscript"/>
        </w:rPr>
        <w:footnoteRef/>
      </w:r>
      <w:r>
        <w:rPr>
          <w:sz w:val="20"/>
          <w:szCs w:val="20"/>
        </w:rPr>
        <w:t xml:space="preserve"> </w:t>
      </w:r>
      <w:hyperlink r:id="rId120">
        <w:r>
          <w:rPr>
            <w:color w:val="1155CC"/>
            <w:sz w:val="20"/>
            <w:szCs w:val="20"/>
            <w:u w:val="single"/>
          </w:rPr>
          <w:t xml:space="preserve">Monitoring Report on the Acosta Ñú Military School (2019). </w:t>
        </w:r>
      </w:hyperlink>
      <w:hyperlink r:id="rId121">
        <w:r>
          <w:rPr>
            <w:i/>
            <w:color w:val="1155CC"/>
            <w:sz w:val="20"/>
            <w:szCs w:val="20"/>
            <w:u w:val="single"/>
          </w:rPr>
          <w:t xml:space="preserve">Torture Prevention Mechanism, </w:t>
        </w:r>
      </w:hyperlink>
      <w:hyperlink r:id="rId122">
        <w:r>
          <w:rPr>
            <w:color w:val="1155CC"/>
            <w:sz w:val="20"/>
            <w:szCs w:val="20"/>
            <w:u w:val="single"/>
          </w:rPr>
          <w:t>p. 1</w:t>
        </w:r>
      </w:hyperlink>
      <w:r>
        <w:rPr>
          <w:color w:val="1155CC"/>
          <w:sz w:val="20"/>
          <w:szCs w:val="20"/>
          <w:u w:val="single"/>
        </w:rPr>
        <w:t>1.</w:t>
      </w:r>
      <w:r>
        <w:rPr>
          <w:sz w:val="20"/>
          <w:szCs w:val="20"/>
        </w:rPr>
        <w:t xml:space="preserve"> </w:t>
      </w:r>
    </w:p>
  </w:footnote>
  <w:footnote w:id="112">
    <w:p w:rsidR="006E2C03" w:rsidRDefault="00FD32A9">
      <w:pPr>
        <w:spacing w:line="240" w:lineRule="auto"/>
        <w:rPr>
          <w:sz w:val="20"/>
          <w:szCs w:val="20"/>
        </w:rPr>
      </w:pPr>
      <w:r>
        <w:rPr>
          <w:vertAlign w:val="superscript"/>
        </w:rPr>
        <w:footnoteRef/>
      </w:r>
      <w:r>
        <w:rPr>
          <w:sz w:val="20"/>
          <w:szCs w:val="20"/>
        </w:rPr>
        <w:t xml:space="preserve"> </w:t>
      </w:r>
      <w:hyperlink r:id="rId123">
        <w:r>
          <w:rPr>
            <w:color w:val="1155CC"/>
            <w:sz w:val="20"/>
            <w:szCs w:val="20"/>
            <w:u w:val="single"/>
          </w:rPr>
          <w:t xml:space="preserve">Monitoring Report on the Acosta Ñú Military School (2019). </w:t>
        </w:r>
      </w:hyperlink>
      <w:hyperlink r:id="rId124">
        <w:r>
          <w:rPr>
            <w:i/>
            <w:color w:val="1155CC"/>
            <w:sz w:val="20"/>
            <w:szCs w:val="20"/>
            <w:u w:val="single"/>
          </w:rPr>
          <w:t xml:space="preserve">Torture Prevention Mechanism, </w:t>
        </w:r>
      </w:hyperlink>
      <w:hyperlink r:id="rId125">
        <w:r>
          <w:rPr>
            <w:color w:val="1155CC"/>
            <w:sz w:val="20"/>
            <w:szCs w:val="20"/>
            <w:u w:val="single"/>
          </w:rPr>
          <w:t>p. 19.</w:t>
        </w:r>
      </w:hyperlink>
    </w:p>
  </w:footnote>
  <w:footnote w:id="113">
    <w:p w:rsidR="006E2C03" w:rsidRDefault="00FD32A9">
      <w:pPr>
        <w:spacing w:line="240" w:lineRule="auto"/>
        <w:rPr>
          <w:sz w:val="20"/>
          <w:szCs w:val="20"/>
        </w:rPr>
      </w:pPr>
      <w:r>
        <w:rPr>
          <w:vertAlign w:val="superscript"/>
        </w:rPr>
        <w:footnoteRef/>
      </w:r>
      <w:r>
        <w:rPr>
          <w:sz w:val="20"/>
          <w:szCs w:val="20"/>
        </w:rPr>
        <w:t xml:space="preserve"> </w:t>
      </w:r>
      <w:hyperlink r:id="rId126">
        <w:r>
          <w:rPr>
            <w:color w:val="1155CC"/>
            <w:sz w:val="20"/>
            <w:szCs w:val="20"/>
            <w:u w:val="single"/>
          </w:rPr>
          <w:t>Parents of cadet broadened reports of torture:</w:t>
        </w:r>
      </w:hyperlink>
      <w:hyperlink r:id="rId127">
        <w:r>
          <w:t xml:space="preserve"> </w:t>
        </w:r>
      </w:hyperlink>
      <w:hyperlink r:id="rId128">
        <w:r>
          <w:rPr>
            <w:color w:val="1155CC"/>
            <w:sz w:val="20"/>
            <w:szCs w:val="20"/>
            <w:u w:val="single"/>
          </w:rPr>
          <w:t>“They stubbed out cigarettes in his nostrils” - Nacionales - ABC Color</w:t>
        </w:r>
      </w:hyperlink>
      <w:r>
        <w:rPr>
          <w:sz w:val="20"/>
          <w:szCs w:val="20"/>
        </w:rPr>
        <w:t xml:space="preserve"> </w:t>
      </w:r>
    </w:p>
  </w:footnote>
  <w:footnote w:id="114">
    <w:p w:rsidR="006E2C03" w:rsidRDefault="00FD32A9">
      <w:pPr>
        <w:spacing w:line="240" w:lineRule="auto"/>
        <w:jc w:val="both"/>
        <w:rPr>
          <w:color w:val="1155CC"/>
          <w:sz w:val="20"/>
          <w:szCs w:val="20"/>
        </w:rPr>
      </w:pPr>
      <w:r>
        <w:rPr>
          <w:vertAlign w:val="superscript"/>
        </w:rPr>
        <w:footnoteRef/>
      </w:r>
      <w:r>
        <w:rPr>
          <w:color w:val="1155CC"/>
          <w:sz w:val="20"/>
          <w:szCs w:val="20"/>
        </w:rPr>
        <w:t xml:space="preserve"> </w:t>
      </w:r>
      <w:hyperlink r:id="rId129">
        <w:r>
          <w:rPr>
            <w:color w:val="1155CC"/>
            <w:sz w:val="20"/>
            <w:szCs w:val="20"/>
          </w:rPr>
          <w:t xml:space="preserve">SERPAJ-Py y CDIA, 2016. Communiqué: New Methods, Same Old Forced Military Recruitment. </w:t>
        </w:r>
      </w:hyperlink>
    </w:p>
  </w:footnote>
  <w:footnote w:id="115">
    <w:p w:rsidR="006E2C03" w:rsidRDefault="00FD32A9">
      <w:pPr>
        <w:spacing w:line="240" w:lineRule="auto"/>
        <w:rPr>
          <w:sz w:val="20"/>
          <w:szCs w:val="20"/>
        </w:rPr>
      </w:pPr>
      <w:r>
        <w:rPr>
          <w:vertAlign w:val="superscript"/>
        </w:rPr>
        <w:footnoteRef/>
      </w:r>
      <w:r>
        <w:rPr>
          <w:sz w:val="20"/>
          <w:szCs w:val="20"/>
        </w:rPr>
        <w:t xml:space="preserve"> </w:t>
      </w:r>
      <w:hyperlink r:id="rId130">
        <w:r>
          <w:rPr>
            <w:color w:val="1155CC"/>
            <w:sz w:val="20"/>
            <w:szCs w:val="20"/>
            <w:u w:val="single"/>
          </w:rPr>
          <w:t xml:space="preserve">Protection Measures Requested for the Son of Mario Abdo, Who Is in the SMO, Diario Última Hora, 04 January 2019. </w:t>
        </w:r>
      </w:hyperlink>
    </w:p>
  </w:footnote>
  <w:footnote w:id="116">
    <w:p w:rsidR="006E2C03" w:rsidRDefault="00FD32A9">
      <w:pPr>
        <w:spacing w:line="240" w:lineRule="auto"/>
        <w:jc w:val="both"/>
        <w:rPr>
          <w:rFonts w:ascii="Roboto" w:eastAsia="Roboto" w:hAnsi="Roboto" w:cs="Roboto"/>
          <w:color w:val="1155CC"/>
          <w:sz w:val="20"/>
          <w:szCs w:val="20"/>
        </w:rPr>
      </w:pPr>
      <w:r>
        <w:rPr>
          <w:vertAlign w:val="superscript"/>
        </w:rPr>
        <w:footnoteRef/>
      </w:r>
      <w:r>
        <w:rPr>
          <w:color w:val="1155CC"/>
          <w:sz w:val="20"/>
          <w:szCs w:val="20"/>
        </w:rPr>
        <w:t xml:space="preserve"> </w:t>
      </w:r>
      <w:hyperlink r:id="rId131">
        <w:r>
          <w:rPr>
            <w:color w:val="1155CC"/>
            <w:sz w:val="20"/>
            <w:szCs w:val="20"/>
          </w:rPr>
          <w:t>La Nación, 2019. Armed Forces Explain that 142 Minors Are in Barracks.</w:t>
        </w:r>
      </w:hyperlink>
    </w:p>
  </w:footnote>
  <w:footnote w:id="117">
    <w:p w:rsidR="006E2C03" w:rsidRDefault="00FD32A9">
      <w:pPr>
        <w:spacing w:line="240" w:lineRule="auto"/>
        <w:jc w:val="both"/>
        <w:rPr>
          <w:sz w:val="20"/>
          <w:szCs w:val="20"/>
        </w:rPr>
      </w:pPr>
      <w:r>
        <w:rPr>
          <w:vertAlign w:val="superscript"/>
        </w:rPr>
        <w:footnoteRef/>
      </w:r>
      <w:r>
        <w:rPr>
          <w:sz w:val="20"/>
          <w:szCs w:val="20"/>
        </w:rPr>
        <w:t xml:space="preserve"> </w:t>
      </w:r>
      <w:hyperlink r:id="rId132">
        <w:r>
          <w:rPr>
            <w:sz w:val="20"/>
            <w:szCs w:val="20"/>
          </w:rPr>
          <w:t>Coordinating Office for Hum</w:t>
        </w:r>
        <w:r>
          <w:rPr>
            <w:sz w:val="20"/>
            <w:szCs w:val="20"/>
          </w:rPr>
          <w:t>an Rights of Paraguay, 2022. Human Rights in Paraguay. Summarized version. 2022, p. 38.</w:t>
        </w:r>
      </w:hyperlink>
    </w:p>
  </w:footnote>
  <w:footnote w:id="118">
    <w:p w:rsidR="006E2C03" w:rsidRDefault="00FD32A9">
      <w:pPr>
        <w:spacing w:line="240" w:lineRule="auto"/>
        <w:rPr>
          <w:sz w:val="20"/>
          <w:szCs w:val="20"/>
        </w:rPr>
      </w:pPr>
      <w:r>
        <w:rPr>
          <w:vertAlign w:val="superscript"/>
        </w:rPr>
        <w:footnoteRef/>
      </w:r>
      <w:r>
        <w:rPr>
          <w:sz w:val="20"/>
          <w:szCs w:val="20"/>
        </w:rPr>
        <w:t xml:space="preserve"> Northern Zone: San Pedro, Concepción and Amambay are under an unconstitutional law that authorizes the deployment of the Armed Forces in peacetime within domestic ter</w:t>
      </w:r>
      <w:r>
        <w:rPr>
          <w:sz w:val="20"/>
          <w:szCs w:val="20"/>
        </w:rPr>
        <w:t xml:space="preserve">ritory. </w:t>
      </w:r>
    </w:p>
  </w:footnote>
  <w:footnote w:id="119">
    <w:p w:rsidR="006E2C03" w:rsidRDefault="00FD32A9">
      <w:pPr>
        <w:spacing w:line="240" w:lineRule="auto"/>
        <w:rPr>
          <w:sz w:val="20"/>
          <w:szCs w:val="20"/>
        </w:rPr>
      </w:pPr>
      <w:r>
        <w:rPr>
          <w:vertAlign w:val="superscript"/>
        </w:rPr>
        <w:footnoteRef/>
      </w:r>
      <w:r>
        <w:rPr>
          <w:sz w:val="20"/>
          <w:szCs w:val="20"/>
        </w:rPr>
        <w:t xml:space="preserve"> </w:t>
      </w:r>
      <w:hyperlink r:id="rId133" w:anchor=":~:text=Asunci%C3%B3n%2022%20de%20junio%202018,14%20de%20junio%20de%202018">
        <w:r>
          <w:rPr>
            <w:color w:val="0000FF"/>
            <w:sz w:val="20"/>
            <w:szCs w:val="20"/>
            <w:u w:val="single"/>
          </w:rPr>
          <w:t>Base IS, 2018. Eviction and Criminalisation of Peasants in Sa</w:t>
        </w:r>
        <w:r>
          <w:rPr>
            <w:color w:val="0000FF"/>
            <w:sz w:val="20"/>
            <w:szCs w:val="20"/>
            <w:u w:val="single"/>
          </w:rPr>
          <w:t>n Pedro.</w:t>
        </w:r>
      </w:hyperlink>
    </w:p>
  </w:footnote>
  <w:footnote w:id="120">
    <w:p w:rsidR="006E2C03" w:rsidRDefault="00FD32A9">
      <w:pPr>
        <w:spacing w:line="240" w:lineRule="auto"/>
        <w:rPr>
          <w:rFonts w:ascii="Roboto" w:eastAsia="Roboto" w:hAnsi="Roboto" w:cs="Roboto"/>
          <w:sz w:val="20"/>
          <w:szCs w:val="20"/>
        </w:rPr>
      </w:pPr>
      <w:r>
        <w:rPr>
          <w:vertAlign w:val="superscript"/>
        </w:rPr>
        <w:footnoteRef/>
      </w:r>
      <w:r>
        <w:rPr>
          <w:rFonts w:ascii="Roboto" w:eastAsia="Roboto" w:hAnsi="Roboto" w:cs="Roboto"/>
          <w:sz w:val="20"/>
          <w:szCs w:val="20"/>
        </w:rPr>
        <w:t xml:space="preserve"> Rodríguez, Natalia Paola and Acevedo, Vidal (2018). Five years after militarized security, atrocities and human rights violations continue in the northern zone and the Paraguayan State continues practices of structural violence. In </w:t>
      </w:r>
      <w:r>
        <w:rPr>
          <w:rFonts w:ascii="Roboto" w:eastAsia="Roboto" w:hAnsi="Roboto" w:cs="Roboto"/>
          <w:i/>
          <w:sz w:val="20"/>
          <w:szCs w:val="20"/>
        </w:rPr>
        <w:t>Yvypóra Derécho Paraguáipe – Human Rights in Paraguay 2018</w:t>
      </w:r>
      <w:r>
        <w:rPr>
          <w:rFonts w:ascii="Roboto" w:eastAsia="Roboto" w:hAnsi="Roboto" w:cs="Roboto"/>
          <w:sz w:val="20"/>
          <w:szCs w:val="20"/>
        </w:rPr>
        <w:t xml:space="preserve"> (pp. 447-462). Codehupy.</w:t>
      </w:r>
    </w:p>
  </w:footnote>
  <w:footnote w:id="121">
    <w:p w:rsidR="006E2C03" w:rsidRDefault="00FD32A9">
      <w:pPr>
        <w:spacing w:line="240" w:lineRule="auto"/>
        <w:rPr>
          <w:rFonts w:ascii="Roboto" w:eastAsia="Roboto" w:hAnsi="Roboto" w:cs="Roboto"/>
          <w:sz w:val="20"/>
          <w:szCs w:val="20"/>
        </w:rPr>
      </w:pPr>
      <w:r>
        <w:rPr>
          <w:vertAlign w:val="superscript"/>
        </w:rPr>
        <w:footnoteRef/>
      </w:r>
      <w:r>
        <w:rPr>
          <w:rFonts w:ascii="Roboto" w:eastAsia="Roboto" w:hAnsi="Roboto" w:cs="Roboto"/>
          <w:sz w:val="20"/>
          <w:szCs w:val="20"/>
        </w:rPr>
        <w:t xml:space="preserve"> “</w:t>
      </w:r>
      <w:hyperlink r:id="rId134">
        <w:r>
          <w:rPr>
            <w:rFonts w:ascii="Roboto" w:eastAsia="Roboto" w:hAnsi="Roboto" w:cs="Roboto"/>
            <w:color w:val="1155CC"/>
            <w:sz w:val="20"/>
            <w:szCs w:val="20"/>
            <w:u w:val="single"/>
          </w:rPr>
          <w:t>Attorney denounces the torturing of her client and obstruction of justice”</w:t>
        </w:r>
        <w:r>
          <w:rPr>
            <w:rFonts w:ascii="Roboto" w:eastAsia="Roboto" w:hAnsi="Roboto" w:cs="Roboto"/>
            <w:color w:val="1155CC"/>
            <w:sz w:val="20"/>
            <w:szCs w:val="20"/>
            <w:u w:val="single"/>
          </w:rPr>
          <w:t xml:space="preserve"> (24 November 2016).</w:t>
        </w:r>
      </w:hyperlink>
      <w:r>
        <w:rPr>
          <w:rFonts w:ascii="Roboto" w:eastAsia="Roboto" w:hAnsi="Roboto" w:cs="Roboto"/>
          <w:sz w:val="20"/>
          <w:szCs w:val="20"/>
        </w:rPr>
        <w:t xml:space="preserve"> ABC Color. </w:t>
      </w:r>
    </w:p>
  </w:footnote>
  <w:footnote w:id="122">
    <w:p w:rsidR="006E2C03" w:rsidRDefault="00FD32A9">
      <w:pPr>
        <w:spacing w:line="240" w:lineRule="auto"/>
        <w:rPr>
          <w:rFonts w:ascii="Roboto" w:eastAsia="Roboto" w:hAnsi="Roboto" w:cs="Roboto"/>
          <w:sz w:val="20"/>
          <w:szCs w:val="20"/>
        </w:rPr>
      </w:pPr>
      <w:r>
        <w:rPr>
          <w:vertAlign w:val="superscript"/>
        </w:rPr>
        <w:footnoteRef/>
      </w:r>
      <w:r>
        <w:rPr>
          <w:rFonts w:ascii="Roboto" w:eastAsia="Roboto" w:hAnsi="Roboto" w:cs="Roboto"/>
          <w:sz w:val="20"/>
          <w:szCs w:val="20"/>
        </w:rPr>
        <w:t xml:space="preserve"> “</w:t>
      </w:r>
      <w:r>
        <w:rPr>
          <w:rFonts w:ascii="Roboto" w:eastAsia="Roboto" w:hAnsi="Roboto" w:cs="Roboto"/>
          <w:color w:val="1155CC"/>
          <w:sz w:val="20"/>
          <w:szCs w:val="20"/>
          <w:u w:val="single"/>
        </w:rPr>
        <w:t>FTC caused trauma to detained adolescent</w:t>
      </w:r>
      <w:r>
        <w:rPr>
          <w:rFonts w:ascii="Roboto" w:eastAsia="Roboto" w:hAnsi="Roboto" w:cs="Roboto"/>
          <w:sz w:val="20"/>
          <w:szCs w:val="20"/>
        </w:rPr>
        <w:t xml:space="preserve">” (09 July 2015). Última Hora. </w:t>
      </w:r>
    </w:p>
  </w:footnote>
  <w:footnote w:id="123">
    <w:p w:rsidR="006E2C03" w:rsidRDefault="00FD32A9">
      <w:pPr>
        <w:spacing w:line="240" w:lineRule="auto"/>
        <w:rPr>
          <w:rFonts w:ascii="Roboto" w:eastAsia="Roboto" w:hAnsi="Roboto" w:cs="Roboto"/>
          <w:sz w:val="20"/>
          <w:szCs w:val="20"/>
        </w:rPr>
      </w:pPr>
      <w:r>
        <w:rPr>
          <w:vertAlign w:val="superscript"/>
        </w:rPr>
        <w:footnoteRef/>
      </w:r>
      <w:r>
        <w:rPr>
          <w:rFonts w:ascii="Roboto" w:eastAsia="Roboto" w:hAnsi="Roboto" w:cs="Roboto"/>
          <w:sz w:val="20"/>
          <w:szCs w:val="20"/>
        </w:rPr>
        <w:t xml:space="preserve"> MNP (2015). </w:t>
      </w:r>
      <w:hyperlink r:id="rId135">
        <w:r>
          <w:t xml:space="preserve"> </w:t>
        </w:r>
      </w:hyperlink>
      <w:hyperlink r:id="rId136">
        <w:r>
          <w:rPr>
            <w:rFonts w:ascii="Roboto" w:eastAsia="Roboto" w:hAnsi="Roboto" w:cs="Roboto"/>
            <w:color w:val="1155CC"/>
            <w:sz w:val="20"/>
            <w:szCs w:val="20"/>
            <w:u w:val="single"/>
          </w:rPr>
          <w:t xml:space="preserve">Analysis of the Performance of the Fuerza de Tareas Conjuntas (FTC), the Public Prosecutor’s </w:t>
        </w:r>
        <w:r>
          <w:rPr>
            <w:rFonts w:ascii="Roboto" w:eastAsia="Roboto" w:hAnsi="Roboto" w:cs="Roboto"/>
            <w:color w:val="1155CC"/>
            <w:sz w:val="20"/>
            <w:szCs w:val="20"/>
            <w:u w:val="single"/>
          </w:rPr>
          <w:t>Office and the Judicial Branch in the northern zone of the country. Part I - Adolescents</w:t>
        </w:r>
      </w:hyperlink>
      <w:r>
        <w:rPr>
          <w:rFonts w:ascii="Roboto" w:eastAsia="Roboto" w:hAnsi="Roboto" w:cs="Roboto"/>
          <w:sz w:val="20"/>
          <w:szCs w:val="20"/>
        </w:rPr>
        <w:t xml:space="preserve">. </w:t>
      </w:r>
    </w:p>
  </w:footnote>
  <w:footnote w:id="124">
    <w:p w:rsidR="006E2C03" w:rsidRDefault="00FD32A9">
      <w:pPr>
        <w:spacing w:line="240" w:lineRule="auto"/>
        <w:rPr>
          <w:rFonts w:ascii="Roboto" w:eastAsia="Roboto" w:hAnsi="Roboto" w:cs="Roboto"/>
          <w:sz w:val="20"/>
          <w:szCs w:val="20"/>
        </w:rPr>
      </w:pPr>
      <w:r>
        <w:rPr>
          <w:vertAlign w:val="superscript"/>
        </w:rPr>
        <w:footnoteRef/>
      </w:r>
      <w:r>
        <w:rPr>
          <w:rFonts w:ascii="Roboto" w:eastAsia="Roboto" w:hAnsi="Roboto" w:cs="Roboto"/>
          <w:sz w:val="20"/>
          <w:szCs w:val="20"/>
        </w:rPr>
        <w:t xml:space="preserve"> </w:t>
      </w:r>
      <w:hyperlink r:id="rId137">
        <w:r>
          <w:rPr>
            <w:rFonts w:ascii="Roboto" w:eastAsia="Roboto" w:hAnsi="Roboto" w:cs="Roboto"/>
            <w:color w:val="1155CC"/>
            <w:sz w:val="20"/>
            <w:szCs w:val="20"/>
            <w:u w:val="single"/>
          </w:rPr>
          <w:t xml:space="preserve">A second generation of the EPP made up </w:t>
        </w:r>
        <w:r>
          <w:rPr>
            <w:rFonts w:ascii="Roboto" w:eastAsia="Roboto" w:hAnsi="Roboto" w:cs="Roboto"/>
            <w:color w:val="1155CC"/>
            <w:sz w:val="20"/>
            <w:szCs w:val="20"/>
            <w:u w:val="single"/>
          </w:rPr>
          <w:t xml:space="preserve">of adolescents is confirmed </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C03" w:rsidRDefault="006E2C03">
    <w:pPr>
      <w:spacing w:after="20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61D37"/>
    <w:multiLevelType w:val="multilevel"/>
    <w:tmpl w:val="06125A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0B7D07"/>
    <w:multiLevelType w:val="multilevel"/>
    <w:tmpl w:val="B2A87D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CA04A9"/>
    <w:multiLevelType w:val="multilevel"/>
    <w:tmpl w:val="D52CB6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4F64A2"/>
    <w:multiLevelType w:val="multilevel"/>
    <w:tmpl w:val="BB52AE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96A62A3"/>
    <w:multiLevelType w:val="multilevel"/>
    <w:tmpl w:val="A54842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99D7A1E"/>
    <w:multiLevelType w:val="multilevel"/>
    <w:tmpl w:val="310865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CAF3672"/>
    <w:multiLevelType w:val="multilevel"/>
    <w:tmpl w:val="D0C00F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D883CBD"/>
    <w:multiLevelType w:val="multilevel"/>
    <w:tmpl w:val="A19ED8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DD4266B"/>
    <w:multiLevelType w:val="multilevel"/>
    <w:tmpl w:val="4404A9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16864A3"/>
    <w:multiLevelType w:val="multilevel"/>
    <w:tmpl w:val="00400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2143BAF"/>
    <w:multiLevelType w:val="multilevel"/>
    <w:tmpl w:val="C64A77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2417937"/>
    <w:multiLevelType w:val="multilevel"/>
    <w:tmpl w:val="0D4217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31A124B"/>
    <w:multiLevelType w:val="multilevel"/>
    <w:tmpl w:val="E6AE34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7EB41DE"/>
    <w:multiLevelType w:val="multilevel"/>
    <w:tmpl w:val="421238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A892AF2"/>
    <w:multiLevelType w:val="multilevel"/>
    <w:tmpl w:val="789C8C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A975AF9"/>
    <w:multiLevelType w:val="multilevel"/>
    <w:tmpl w:val="84AE6F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D254647"/>
    <w:multiLevelType w:val="multilevel"/>
    <w:tmpl w:val="CFB6F0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03C61C1"/>
    <w:multiLevelType w:val="multilevel"/>
    <w:tmpl w:val="EC1CAA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1706F16"/>
    <w:multiLevelType w:val="multilevel"/>
    <w:tmpl w:val="E30CEF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3147838"/>
    <w:multiLevelType w:val="multilevel"/>
    <w:tmpl w:val="7B223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5ED3865"/>
    <w:multiLevelType w:val="multilevel"/>
    <w:tmpl w:val="850A69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7122429"/>
    <w:multiLevelType w:val="multilevel"/>
    <w:tmpl w:val="084EE6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85A2E7D"/>
    <w:multiLevelType w:val="multilevel"/>
    <w:tmpl w:val="816EC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E792080"/>
    <w:multiLevelType w:val="multilevel"/>
    <w:tmpl w:val="072CA5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FC72F5E"/>
    <w:multiLevelType w:val="multilevel"/>
    <w:tmpl w:val="A5C28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4DC1BE2"/>
    <w:multiLevelType w:val="multilevel"/>
    <w:tmpl w:val="B8F28C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5C4601F"/>
    <w:multiLevelType w:val="multilevel"/>
    <w:tmpl w:val="B0B6CD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6650490"/>
    <w:multiLevelType w:val="multilevel"/>
    <w:tmpl w:val="771266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8751D4F"/>
    <w:multiLevelType w:val="multilevel"/>
    <w:tmpl w:val="38B01F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38BA09C9"/>
    <w:multiLevelType w:val="multilevel"/>
    <w:tmpl w:val="25B28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3B2A014F"/>
    <w:multiLevelType w:val="multilevel"/>
    <w:tmpl w:val="B52CC6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3EB032F1"/>
    <w:multiLevelType w:val="multilevel"/>
    <w:tmpl w:val="020013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26B354A"/>
    <w:multiLevelType w:val="multilevel"/>
    <w:tmpl w:val="434412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43CC29D7"/>
    <w:multiLevelType w:val="multilevel"/>
    <w:tmpl w:val="AEE890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45E17AA"/>
    <w:multiLevelType w:val="multilevel"/>
    <w:tmpl w:val="29C275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5EC3906"/>
    <w:multiLevelType w:val="multilevel"/>
    <w:tmpl w:val="AE1035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4A933EEB"/>
    <w:multiLevelType w:val="multilevel"/>
    <w:tmpl w:val="1E24C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4B27621F"/>
    <w:multiLevelType w:val="multilevel"/>
    <w:tmpl w:val="231412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4B2F7FDA"/>
    <w:multiLevelType w:val="multilevel"/>
    <w:tmpl w:val="66E266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4F775259"/>
    <w:multiLevelType w:val="multilevel"/>
    <w:tmpl w:val="D72A09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5D46B87"/>
    <w:multiLevelType w:val="multilevel"/>
    <w:tmpl w:val="B6042D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713459F"/>
    <w:multiLevelType w:val="multilevel"/>
    <w:tmpl w:val="6AEA04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594B54B7"/>
    <w:multiLevelType w:val="multilevel"/>
    <w:tmpl w:val="56C2B9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5A7B5A27"/>
    <w:multiLevelType w:val="multilevel"/>
    <w:tmpl w:val="AC687E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5BBF7AEC"/>
    <w:multiLevelType w:val="multilevel"/>
    <w:tmpl w:val="FC8E9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5CBF5C4C"/>
    <w:multiLevelType w:val="multilevel"/>
    <w:tmpl w:val="466893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5CF166C6"/>
    <w:multiLevelType w:val="multilevel"/>
    <w:tmpl w:val="11F8D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5FB61F91"/>
    <w:multiLevelType w:val="multilevel"/>
    <w:tmpl w:val="47227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60683C66"/>
    <w:multiLevelType w:val="multilevel"/>
    <w:tmpl w:val="C72A4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67EA4A96"/>
    <w:multiLevelType w:val="multilevel"/>
    <w:tmpl w:val="295E6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69401095"/>
    <w:multiLevelType w:val="multilevel"/>
    <w:tmpl w:val="BA6E7E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6A737D0F"/>
    <w:multiLevelType w:val="multilevel"/>
    <w:tmpl w:val="111247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6E686AE3"/>
    <w:multiLevelType w:val="multilevel"/>
    <w:tmpl w:val="B12EE228"/>
    <w:lvl w:ilvl="0">
      <w:start w:val="1"/>
      <w:numFmt w:val="decimal"/>
      <w:lvlText w:val="%1."/>
      <w:lvlJc w:val="right"/>
      <w:pPr>
        <w:ind w:left="720" w:hanging="360"/>
      </w:pPr>
      <w:rPr>
        <w:rFonts w:ascii="Arial" w:eastAsia="Arial" w:hAnsi="Arial" w:cs="Arial"/>
        <w:b w:val="0"/>
        <w:color w:val="000000"/>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3" w15:restartNumberingAfterBreak="0">
    <w:nsid w:val="70205312"/>
    <w:multiLevelType w:val="multilevel"/>
    <w:tmpl w:val="5DC484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72F8668A"/>
    <w:multiLevelType w:val="multilevel"/>
    <w:tmpl w:val="FA8EC7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73BD58B1"/>
    <w:multiLevelType w:val="multilevel"/>
    <w:tmpl w:val="8C8A2F6C"/>
    <w:lvl w:ilvl="0">
      <w:start w:val="1"/>
      <w:numFmt w:val="upperRoman"/>
      <w:lvlText w:val="%1."/>
      <w:lvlJc w:val="right"/>
      <w:pPr>
        <w:ind w:left="1440" w:hanging="360"/>
      </w:pPr>
      <w:rPr>
        <w:rFonts w:ascii="Arial" w:eastAsia="Arial" w:hAnsi="Arial" w:cs="Arial"/>
        <w:b/>
        <w:u w:val="none"/>
      </w:rPr>
    </w:lvl>
    <w:lvl w:ilvl="1">
      <w:start w:val="1"/>
      <w:numFmt w:val="upperLetter"/>
      <w:lvlText w:val="%2."/>
      <w:lvlJc w:val="left"/>
      <w:pPr>
        <w:ind w:left="2160" w:hanging="360"/>
      </w:pPr>
      <w:rPr>
        <w:rFonts w:ascii="Arial" w:eastAsia="Arial" w:hAnsi="Arial" w:cs="Arial"/>
        <w:b/>
        <w:i w:val="0"/>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6" w15:restartNumberingAfterBreak="0">
    <w:nsid w:val="74890710"/>
    <w:multiLevelType w:val="multilevel"/>
    <w:tmpl w:val="3F6A0E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748F685E"/>
    <w:multiLevelType w:val="multilevel"/>
    <w:tmpl w:val="375E8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74A238E5"/>
    <w:multiLevelType w:val="multilevel"/>
    <w:tmpl w:val="C9520C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74DB3FA2"/>
    <w:multiLevelType w:val="multilevel"/>
    <w:tmpl w:val="B5C84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75436B53"/>
    <w:multiLevelType w:val="multilevel"/>
    <w:tmpl w:val="1B4EEF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7BEA2263"/>
    <w:multiLevelType w:val="multilevel"/>
    <w:tmpl w:val="D6422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7EDF117F"/>
    <w:multiLevelType w:val="multilevel"/>
    <w:tmpl w:val="ED50BA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8"/>
  </w:num>
  <w:num w:numId="2">
    <w:abstractNumId w:val="21"/>
  </w:num>
  <w:num w:numId="3">
    <w:abstractNumId w:val="33"/>
  </w:num>
  <w:num w:numId="4">
    <w:abstractNumId w:val="50"/>
  </w:num>
  <w:num w:numId="5">
    <w:abstractNumId w:val="27"/>
  </w:num>
  <w:num w:numId="6">
    <w:abstractNumId w:val="39"/>
  </w:num>
  <w:num w:numId="7">
    <w:abstractNumId w:val="44"/>
  </w:num>
  <w:num w:numId="8">
    <w:abstractNumId w:val="62"/>
  </w:num>
  <w:num w:numId="9">
    <w:abstractNumId w:val="59"/>
  </w:num>
  <w:num w:numId="10">
    <w:abstractNumId w:val="29"/>
  </w:num>
  <w:num w:numId="11">
    <w:abstractNumId w:val="41"/>
  </w:num>
  <w:num w:numId="12">
    <w:abstractNumId w:val="22"/>
  </w:num>
  <w:num w:numId="13">
    <w:abstractNumId w:val="17"/>
  </w:num>
  <w:num w:numId="14">
    <w:abstractNumId w:val="14"/>
  </w:num>
  <w:num w:numId="15">
    <w:abstractNumId w:val="9"/>
  </w:num>
  <w:num w:numId="16">
    <w:abstractNumId w:val="57"/>
  </w:num>
  <w:num w:numId="17">
    <w:abstractNumId w:val="0"/>
  </w:num>
  <w:num w:numId="18">
    <w:abstractNumId w:val="28"/>
  </w:num>
  <w:num w:numId="19">
    <w:abstractNumId w:val="60"/>
  </w:num>
  <w:num w:numId="20">
    <w:abstractNumId w:val="47"/>
  </w:num>
  <w:num w:numId="21">
    <w:abstractNumId w:val="55"/>
  </w:num>
  <w:num w:numId="22">
    <w:abstractNumId w:val="38"/>
  </w:num>
  <w:num w:numId="23">
    <w:abstractNumId w:val="7"/>
  </w:num>
  <w:num w:numId="24">
    <w:abstractNumId w:val="10"/>
  </w:num>
  <w:num w:numId="25">
    <w:abstractNumId w:val="25"/>
  </w:num>
  <w:num w:numId="26">
    <w:abstractNumId w:val="32"/>
  </w:num>
  <w:num w:numId="27">
    <w:abstractNumId w:val="13"/>
  </w:num>
  <w:num w:numId="28">
    <w:abstractNumId w:val="61"/>
  </w:num>
  <w:num w:numId="29">
    <w:abstractNumId w:val="45"/>
  </w:num>
  <w:num w:numId="30">
    <w:abstractNumId w:val="43"/>
  </w:num>
  <w:num w:numId="31">
    <w:abstractNumId w:val="1"/>
  </w:num>
  <w:num w:numId="32">
    <w:abstractNumId w:val="56"/>
  </w:num>
  <w:num w:numId="33">
    <w:abstractNumId w:val="46"/>
  </w:num>
  <w:num w:numId="34">
    <w:abstractNumId w:val="24"/>
  </w:num>
  <w:num w:numId="35">
    <w:abstractNumId w:val="2"/>
  </w:num>
  <w:num w:numId="36">
    <w:abstractNumId w:val="23"/>
  </w:num>
  <w:num w:numId="37">
    <w:abstractNumId w:val="6"/>
  </w:num>
  <w:num w:numId="38">
    <w:abstractNumId w:val="4"/>
  </w:num>
  <w:num w:numId="39">
    <w:abstractNumId w:val="49"/>
  </w:num>
  <w:num w:numId="40">
    <w:abstractNumId w:val="40"/>
  </w:num>
  <w:num w:numId="41">
    <w:abstractNumId w:val="52"/>
  </w:num>
  <w:num w:numId="42">
    <w:abstractNumId w:val="42"/>
  </w:num>
  <w:num w:numId="43">
    <w:abstractNumId w:val="19"/>
  </w:num>
  <w:num w:numId="44">
    <w:abstractNumId w:val="37"/>
  </w:num>
  <w:num w:numId="45">
    <w:abstractNumId w:val="36"/>
  </w:num>
  <w:num w:numId="46">
    <w:abstractNumId w:val="48"/>
  </w:num>
  <w:num w:numId="47">
    <w:abstractNumId w:val="51"/>
  </w:num>
  <w:num w:numId="48">
    <w:abstractNumId w:val="31"/>
  </w:num>
  <w:num w:numId="49">
    <w:abstractNumId w:val="5"/>
  </w:num>
  <w:num w:numId="50">
    <w:abstractNumId w:val="8"/>
  </w:num>
  <w:num w:numId="51">
    <w:abstractNumId w:val="11"/>
  </w:num>
  <w:num w:numId="52">
    <w:abstractNumId w:val="30"/>
  </w:num>
  <w:num w:numId="53">
    <w:abstractNumId w:val="53"/>
  </w:num>
  <w:num w:numId="54">
    <w:abstractNumId w:val="12"/>
  </w:num>
  <w:num w:numId="55">
    <w:abstractNumId w:val="16"/>
  </w:num>
  <w:num w:numId="56">
    <w:abstractNumId w:val="18"/>
  </w:num>
  <w:num w:numId="57">
    <w:abstractNumId w:val="15"/>
  </w:num>
  <w:num w:numId="58">
    <w:abstractNumId w:val="54"/>
  </w:num>
  <w:num w:numId="59">
    <w:abstractNumId w:val="35"/>
  </w:num>
  <w:num w:numId="60">
    <w:abstractNumId w:val="26"/>
  </w:num>
  <w:num w:numId="61">
    <w:abstractNumId w:val="20"/>
  </w:num>
  <w:num w:numId="62">
    <w:abstractNumId w:val="34"/>
  </w:num>
  <w:num w:numId="63">
    <w:abstractNumId w:val="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C03"/>
    <w:rsid w:val="006E2C03"/>
    <w:rsid w:val="00FD3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53C27F0-9F8B-4510-8DF7-2C7795F1B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after="200"/>
      <w:ind w:firstLine="720"/>
      <w:outlineLvl w:val="0"/>
    </w:pPr>
    <w:rPr>
      <w:b/>
      <w:sz w:val="24"/>
      <w:szCs w:val="24"/>
    </w:rPr>
  </w:style>
  <w:style w:type="paragraph" w:styleId="Heading2">
    <w:name w:val="heading 2"/>
    <w:basedOn w:val="Normal"/>
    <w:next w:val="Normal"/>
    <w:uiPriority w:val="9"/>
    <w:unhideWhenUsed/>
    <w:qFormat/>
    <w:pPr>
      <w:keepNext/>
      <w:keepLines/>
      <w:spacing w:after="200"/>
      <w:ind w:firstLine="720"/>
      <w:outlineLvl w:val="1"/>
    </w:pPr>
    <w:rPr>
      <w:b/>
      <w:sz w:val="24"/>
      <w:szCs w:val="24"/>
    </w:rPr>
  </w:style>
  <w:style w:type="paragraph" w:styleId="Heading3">
    <w:name w:val="heading 3"/>
    <w:basedOn w:val="Normal"/>
    <w:next w:val="Normal"/>
    <w:uiPriority w:val="9"/>
    <w:unhideWhenUsed/>
    <w:qFormat/>
    <w:pPr>
      <w:keepNext/>
      <w:keepLines/>
      <w:spacing w:after="200"/>
      <w:outlineLvl w:val="2"/>
    </w:pPr>
    <w:rPr>
      <w:b/>
      <w:i/>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56662C"/>
    <w:rPr>
      <w:sz w:val="16"/>
      <w:szCs w:val="16"/>
    </w:rPr>
  </w:style>
  <w:style w:type="paragraph" w:styleId="CommentText">
    <w:name w:val="annotation text"/>
    <w:basedOn w:val="Normal"/>
    <w:link w:val="CommentTextChar"/>
    <w:uiPriority w:val="99"/>
    <w:unhideWhenUsed/>
    <w:rsid w:val="0056662C"/>
    <w:pPr>
      <w:spacing w:line="240" w:lineRule="auto"/>
    </w:pPr>
    <w:rPr>
      <w:sz w:val="20"/>
      <w:szCs w:val="20"/>
    </w:rPr>
  </w:style>
  <w:style w:type="character" w:customStyle="1" w:styleId="CommentTextChar">
    <w:name w:val="Comment Text Char"/>
    <w:basedOn w:val="DefaultParagraphFont"/>
    <w:link w:val="CommentText"/>
    <w:uiPriority w:val="99"/>
    <w:rsid w:val="0056662C"/>
    <w:rPr>
      <w:sz w:val="20"/>
      <w:szCs w:val="20"/>
    </w:rPr>
  </w:style>
  <w:style w:type="paragraph" w:styleId="CommentSubject">
    <w:name w:val="annotation subject"/>
    <w:basedOn w:val="CommentText"/>
    <w:next w:val="CommentText"/>
    <w:link w:val="CommentSubjectChar"/>
    <w:uiPriority w:val="99"/>
    <w:semiHidden/>
    <w:unhideWhenUsed/>
    <w:rsid w:val="0056662C"/>
    <w:rPr>
      <w:b/>
      <w:bCs/>
    </w:rPr>
  </w:style>
  <w:style w:type="character" w:customStyle="1" w:styleId="CommentSubjectChar">
    <w:name w:val="Comment Subject Char"/>
    <w:basedOn w:val="CommentTextChar"/>
    <w:link w:val="CommentSubject"/>
    <w:uiPriority w:val="99"/>
    <w:semiHidden/>
    <w:rsid w:val="0056662C"/>
    <w:rPr>
      <w:b/>
      <w:bCs/>
      <w:sz w:val="20"/>
      <w:szCs w:val="20"/>
    </w:rPr>
  </w:style>
  <w:style w:type="character" w:styleId="Hyperlink">
    <w:name w:val="Hyperlink"/>
    <w:basedOn w:val="DefaultParagraphFont"/>
    <w:uiPriority w:val="99"/>
    <w:unhideWhenUsed/>
    <w:rsid w:val="008E2482"/>
    <w:rPr>
      <w:color w:val="0000FF" w:themeColor="hyperlink"/>
      <w:u w:val="single"/>
    </w:rPr>
  </w:style>
  <w:style w:type="character" w:customStyle="1" w:styleId="UnresolvedMention">
    <w:name w:val="Unresolved Mention"/>
    <w:basedOn w:val="DefaultParagraphFont"/>
    <w:uiPriority w:val="99"/>
    <w:semiHidden/>
    <w:unhideWhenUsed/>
    <w:rsid w:val="008E2482"/>
    <w:rPr>
      <w:color w:val="605E5C"/>
      <w:shd w:val="clear" w:color="auto" w:fill="E1DFDD"/>
    </w:rPr>
  </w:style>
  <w:style w:type="paragraph" w:styleId="FootnoteText">
    <w:name w:val="footnote text"/>
    <w:basedOn w:val="Normal"/>
    <w:link w:val="FootnoteTextChar"/>
    <w:uiPriority w:val="99"/>
    <w:semiHidden/>
    <w:unhideWhenUsed/>
    <w:rsid w:val="007A57CC"/>
    <w:pPr>
      <w:spacing w:line="240" w:lineRule="auto"/>
    </w:pPr>
    <w:rPr>
      <w:sz w:val="20"/>
      <w:szCs w:val="20"/>
    </w:rPr>
  </w:style>
  <w:style w:type="character" w:customStyle="1" w:styleId="FootnoteTextChar">
    <w:name w:val="Footnote Text Char"/>
    <w:basedOn w:val="DefaultParagraphFont"/>
    <w:link w:val="FootnoteText"/>
    <w:uiPriority w:val="99"/>
    <w:semiHidden/>
    <w:rsid w:val="007A57CC"/>
    <w:rPr>
      <w:sz w:val="20"/>
      <w:szCs w:val="20"/>
    </w:rPr>
  </w:style>
  <w:style w:type="character" w:styleId="FootnoteReference">
    <w:name w:val="footnote reference"/>
    <w:basedOn w:val="DefaultParagraphFont"/>
    <w:uiPriority w:val="99"/>
    <w:semiHidden/>
    <w:unhideWhenUsed/>
    <w:rsid w:val="007A57CC"/>
    <w:rPr>
      <w:vertAlign w:val="superscript"/>
    </w:rPr>
  </w:style>
  <w:style w:type="paragraph" w:styleId="BalloonText">
    <w:name w:val="Balloon Text"/>
    <w:basedOn w:val="Normal"/>
    <w:link w:val="BalloonTextChar"/>
    <w:uiPriority w:val="99"/>
    <w:semiHidden/>
    <w:unhideWhenUsed/>
    <w:rsid w:val="00C81032"/>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81032"/>
    <w:rPr>
      <w:rFonts w:ascii="Times New Roman" w:hAnsi="Times New Roman" w:cs="Times New Roman"/>
      <w:sz w:val="18"/>
      <w:szCs w:val="18"/>
    </w:rPr>
  </w:style>
  <w:style w:type="paragraph" w:styleId="Revision">
    <w:name w:val="Revision"/>
    <w:hidden/>
    <w:uiPriority w:val="99"/>
    <w:semiHidden/>
    <w:rsid w:val="00D53B3F"/>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www.ine.gov.py/Publicaciones/Biblioteca/documento/203/EV%20del%20Paraguay%202021.pdf" TargetMode="External"/><Relationship Id="rId117" Type="http://schemas.openxmlformats.org/officeDocument/2006/relationships/hyperlink" Target="http://www.mnp.gov.py/index.php/repository/informes-de-monitoreo-y-seguimiento/establecimientos-policiales-y-militares/func-startdown/339/" TargetMode="External"/><Relationship Id="rId21" Type="http://schemas.openxmlformats.org/officeDocument/2006/relationships/hyperlink" Target="http://www.minna.gov.py/archivos/documentos/Rendici%C3%B3n%20de%20cuentas_MINNA%202022%20ok_formxrp0.pdf" TargetMode="External"/><Relationship Id="rId42" Type="http://schemas.openxmlformats.org/officeDocument/2006/relationships/hyperlink" Target="https://www.bacn.gov.py/leyes-paraguayas/5176/ley-n-5659-promocion-del-buen-trato-crianza-positiva-y-de-proteccion-a-ninos-ninas-y-adolescentes-contra-el-castigo-fisico-o-cualquier-tipo-de-violencia-como-metodo-de-correccion-o-disciplina" TargetMode="External"/><Relationship Id="rId47" Type="http://schemas.openxmlformats.org/officeDocument/2006/relationships/hyperlink" Target="https://www.google.com/search?q=ley+de+educaci%C3%B3n+inclusiva&amp;rlz=1C5CHFA_enPY900PY900&amp;oq=ley+de+educaci%C3%B3n+in&amp;aqs=chrome.0.0i512j69i57j0i512j69i59j0i512l6.2888j0j9&amp;sourceid=chrome&amp;ie=UTF-8" TargetMode="External"/><Relationship Id="rId63" Type="http://schemas.openxmlformats.org/officeDocument/2006/relationships/hyperlink" Target="https://informacionpublica.paraguay.gov.py/portal/%23!/ciudadano/solicitud/57688" TargetMode="External"/><Relationship Id="rId68" Type="http://schemas.openxmlformats.org/officeDocument/2006/relationships/hyperlink" Target="https://webadm.senado.gov.py/SENADOWEB-web/faces/publico/DescargaArchivo?g=tablero-13529" TargetMode="External"/><Relationship Id="rId84" Type="http://schemas.openxmlformats.org/officeDocument/2006/relationships/hyperlink" Target="https://www.mtess.gov.py/application/files/9715/6926/1549/Estrategia_Nacional_-_para_impresion.pdf" TargetMode="External"/><Relationship Id="rId89" Type="http://schemas.openxmlformats.org/officeDocument/2006/relationships/hyperlink" Target="https://informacionpublica.paraguay.gov.py/public/63211-nvnrohijosnvedadsimple182021P-2022pxlsx-nv.nro.hijos.nv.edad.simple.18.2021P-2022p.xlsx" TargetMode="External"/><Relationship Id="rId112" Type="http://schemas.openxmlformats.org/officeDocument/2006/relationships/hyperlink" Target="https://ministeriopublico.gov.py/abuso-sexual-%23:~:text=Pornograf%C3%ADa%20Infantil%3A%20Se,los%20a%C3%B1os%20anteriores" TargetMode="External"/><Relationship Id="rId133" Type="http://schemas.openxmlformats.org/officeDocument/2006/relationships/hyperlink" Target="https://www.baseis.org.py/desalojo-y-criminalizacion-contra-campesinos-en-san-pedro/" TargetMode="External"/><Relationship Id="rId16" Type="http://schemas.openxmlformats.org/officeDocument/2006/relationships/hyperlink" Target="http://www.minna.gov.py/archivos/documentos/2022_Plan%20Nacional%20de%20la%20Ni%C3%B1ez%20ok_phocpzwe.pdf" TargetMode="External"/><Relationship Id="rId107" Type="http://schemas.openxmlformats.org/officeDocument/2006/relationships/hyperlink" Target="https://www.lanacion.com.py/pais/2023/03/13/realizaron-allanamientos-por-explotacion-sexual-de-ninas-indigenas-6-fueron-rescatados/" TargetMode="External"/><Relationship Id="rId11" Type="http://schemas.openxmlformats.org/officeDocument/2006/relationships/hyperlink" Target="http://www.minna.gov.py/archivos/documentos/Rendici%C3%B3n%20de%20cuentas_MINNA%202022%20ok_formxrp0.pdf" TargetMode="External"/><Relationship Id="rId32" Type="http://schemas.openxmlformats.org/officeDocument/2006/relationships/hyperlink" Target="https://www.ine.gov.py/datos/encuestas/eph/Poblacion/" TargetMode="External"/><Relationship Id="rId37" Type="http://schemas.openxmlformats.org/officeDocument/2006/relationships/hyperlink" Target="https://www.ine.gov.py/Publicaciones/Biblioteca/documento/203/EV%20del%20Paraguay%202021.pdf" TargetMode="External"/><Relationship Id="rId53" Type="http://schemas.openxmlformats.org/officeDocument/2006/relationships/hyperlink" Target="https://www.baseis.org.py/wp-content/uploads/2021/11/Sojaalcuello2021-WEB.pdf" TargetMode="External"/><Relationship Id="rId58" Type="http://schemas.openxmlformats.org/officeDocument/2006/relationships/hyperlink" Target="https://informacionpublica.paraguay.gov.py/public/846966-SIP65172DGPSPDF-SIP65172DGPS.PDF" TargetMode="External"/><Relationship Id="rId74" Type="http://schemas.openxmlformats.org/officeDocument/2006/relationships/hyperlink" Target="https://www.transformacioneducativa.edu.py/_files/ugd/39c664_9e8cfaa3f9ce4e0bbc23370e0f479fdf.pdf" TargetMode="External"/><Relationship Id="rId79" Type="http://schemas.openxmlformats.org/officeDocument/2006/relationships/hyperlink" Target="https://www.abc.com.py/edicion-impresa/locales/ministro-riera-se-ofrecio-a-quemar-libros-sobre-ideologia-de-genero-1638050.html" TargetMode="External"/><Relationship Id="rId102" Type="http://schemas.openxmlformats.org/officeDocument/2006/relationships/hyperlink" Target="https://www.bacn.gov.py/leyes-paraguayas/9303/ley-n-6572-crea-el-registro-nacional-de-agresores-sexuales-de-ninos-ninas-y-adolescentes-y-el-banco-genetico%23:~:text=La%20presente%20Ley%20tiene%20por,agresores%20sexuales%2C%20que%20hayan%20cometido" TargetMode="External"/><Relationship Id="rId123" Type="http://schemas.openxmlformats.org/officeDocument/2006/relationships/hyperlink" Target="http://www.mnp.gov.py/index.php/repository/informes-de-monitoreo-y-seguimiento/establecimientos-policiales-y-militares/func-startdown/339/" TargetMode="External"/><Relationship Id="rId128" Type="http://schemas.openxmlformats.org/officeDocument/2006/relationships/hyperlink" Target="https://www.abc.com.py/nacionales/2022/04/01/padres-de-cadete-amplian-denuncias-por-tortura-apagaban-cigarrillos-en-sus-fosas-nasales/" TargetMode="External"/><Relationship Id="rId5" Type="http://schemas.openxmlformats.org/officeDocument/2006/relationships/hyperlink" Target="https://informacionpublica.paraguay.gov.py/portal/%23!/ciudadano/solicitud/65495" TargetMode="External"/><Relationship Id="rId90" Type="http://schemas.openxmlformats.org/officeDocument/2006/relationships/hyperlink" Target="https://ddhh2021.codehupy.org.py/un-ano-de-violencia-exclusion-y-desalojos-contra-comunidades-indigenas/" TargetMode="External"/><Relationship Id="rId95" Type="http://schemas.openxmlformats.org/officeDocument/2006/relationships/hyperlink" Target="https://elpais.com/internacional/2023-01-19/la-corte-idh-sanciona-a-bolivia-por-no-investigar-ni-castigar-la-violacion-de-una-nina-por-parte-de-su-primo.html" TargetMode="External"/><Relationship Id="rId14" Type="http://schemas.openxmlformats.org/officeDocument/2006/relationships/hyperlink" Target="https://www.cdiaobserva.org.py/2021/09/29/diagnostico-situacional-de-las-consejerias-municipales-por-los-derechos-de-la-ninez-y-la-adolescencia-de-paraguay/" TargetMode="External"/><Relationship Id="rId22" Type="http://schemas.openxmlformats.org/officeDocument/2006/relationships/hyperlink" Target="https://www.bacn.gov.py/leyes-paraguayas/9490/ley-n-6670-establece-la-modernizacion-del-sistema-estadistico-nacional-sisen-y-crea-el-instituto-nacional-de-estadistica-ine%23:~:text=Ley%20N%C2%BA%206670%20%2F%20ESTABLECE%20LA,INSTITUTO%20NACIONAL%20DE%20ESTAD%C3%8DSTICA%20(INE)" TargetMode="External"/><Relationship Id="rId27" Type="http://schemas.openxmlformats.org/officeDocument/2006/relationships/hyperlink" Target="https://www.ine.gov.py/Publicaciones/Biblioteca/documento/203/EV%20del%20Paraguay%202021.pdf" TargetMode="External"/><Relationship Id="rId30" Type="http://schemas.openxmlformats.org/officeDocument/2006/relationships/hyperlink" Target="https://bit.ly/3mQ4v4q_ine_poblaci%C3%B3n" TargetMode="External"/><Relationship Id="rId35" Type="http://schemas.openxmlformats.org/officeDocument/2006/relationships/hyperlink" Target="https://www.gabinetesocial.gov.py/articulo/664-vamos-sistema-de-proteccion-social-documentos.html" TargetMode="External"/><Relationship Id="rId43" Type="http://schemas.openxmlformats.org/officeDocument/2006/relationships/hyperlink" Target="https://www.bacn.gov.py/leyes-paraguayas/9165/ley-n-6486-de-promocion-y-proteccion-del-derecho-de-ninos-ninas-y-adolescentes-a-vivir-en-familia-que-regula-las-medidas-de-cuidados-alternativos-y-la-adopcion" TargetMode="External"/><Relationship Id="rId48" Type="http://schemas.openxmlformats.org/officeDocument/2006/relationships/hyperlink" Target="https://www.paraguayincluye.org/wp-content/uploads/2020/08/Resumen-Situacion-de-la-NInez-y-Adolescencia-en-Paraguay.pdf" TargetMode="External"/><Relationship Id="rId56" Type="http://schemas.openxmlformats.org/officeDocument/2006/relationships/hyperlink" Target="https://www.dw.com/es/onu-paraguay-viola-derechos-humanos-al-no-controlar-fumigaciones-en-cultivos-de-soja/a-50025655" TargetMode="External"/><Relationship Id="rId64" Type="http://schemas.openxmlformats.org/officeDocument/2006/relationships/hyperlink" Target="https://www.gabinetesocial.gov.py/archivos/documentos/PANI-docu-eva_uhfqt18i.pdf" TargetMode="External"/><Relationship Id="rId69" Type="http://schemas.openxmlformats.org/officeDocument/2006/relationships/hyperlink" Target="https://www.mspbs.gov.py/pronasida/informes-varios.html" TargetMode="External"/><Relationship Id="rId77" Type="http://schemas.openxmlformats.org/officeDocument/2006/relationships/hyperlink" Target="https://mapaescolar.mec.gov.py/mapa_escolar/contenido/datos_educativos" TargetMode="External"/><Relationship Id="rId100" Type="http://schemas.openxmlformats.org/officeDocument/2006/relationships/hyperlink" Target="https://ddhh2021.codehupy.org.py/un-ano-de-violencia-exclusion-y-desalojos-contra-comunidades-indigenas/" TargetMode="External"/><Relationship Id="rId105" Type="http://schemas.openxmlformats.org/officeDocument/2006/relationships/hyperlink" Target="https://www.bacn.gov.py/leyes-paraguayas/3158/ley-n-4788-integral-contra-la-trata-de-personas" TargetMode="External"/><Relationship Id="rId113" Type="http://schemas.openxmlformats.org/officeDocument/2006/relationships/hyperlink" Target="https://independiente.com.py/reclutamiento-forzado-de-ninos-nunca-fue-atendido-por-el-estado/" TargetMode="External"/><Relationship Id="rId118" Type="http://schemas.openxmlformats.org/officeDocument/2006/relationships/hyperlink" Target="https://www.swissinfo.ch/spa/paraguay-guerrilla_presumen-que-uno-de-los-tres-muertos-en-combate-en-paraguay-era-menor-de-edad/48007238" TargetMode="External"/><Relationship Id="rId126" Type="http://schemas.openxmlformats.org/officeDocument/2006/relationships/hyperlink" Target="https://www.abc.com.py/nacionales/2022/04/01/padres-de-cadete-amplian-denuncias-por-tortura-apagaban-cigarrillos-en-sus-fosas-nasales/" TargetMode="External"/><Relationship Id="rId134" Type="http://schemas.openxmlformats.org/officeDocument/2006/relationships/hyperlink" Target="https://www.abc.com.py/nacionales/abogada-denuncia-obstruccion-1540813.html" TargetMode="External"/><Relationship Id="rId8" Type="http://schemas.openxmlformats.org/officeDocument/2006/relationships/hyperlink" Target="https://www.cdiaobserva.org.py/2022/03/01/diagnostico-situacional-de-las-secretarias-departamentales-de-ninez-y-adolescencia-de-paraguay-julio-2020/" TargetMode="External"/><Relationship Id="rId51" Type="http://schemas.openxmlformats.org/officeDocument/2006/relationships/hyperlink" Target="https://www.baseis.org.py/wp-content/uploads/2021/11/Sojaalcuello2021-WEB.pdf" TargetMode="External"/><Relationship Id="rId72" Type="http://schemas.openxmlformats.org/officeDocument/2006/relationships/hyperlink" Target="https://www.bacn.gov.py/leyes-paraguayas/3192/establece-derechos-obligaciones-y-medidas-preventivas-con-relacion-a-los-efectos-producidos-por-el-virus-de-inmunodeficiencia-humana-vih-y-el-sindrome-de-inmunodeficiencia-adquirida-sida" TargetMode="External"/><Relationship Id="rId80" Type="http://schemas.openxmlformats.org/officeDocument/2006/relationships/hyperlink" Target="https://www.bcp.gov.py/userfiles/files/Anexo_Estad%C3%ADstico_del_Informe_Econ%C3%B3mico_14_03_2023.xlsx" TargetMode="External"/><Relationship Id="rId85" Type="http://schemas.openxmlformats.org/officeDocument/2006/relationships/hyperlink" Target="http://www.minna.gov.py/archivos/documentos/Informe%20de%20Gestion%20MINNA%202022_tuk92a2g.pdf" TargetMode="External"/><Relationship Id="rId93" Type="http://schemas.openxmlformats.org/officeDocument/2006/relationships/hyperlink" Target="https://data.miraquetemiro.org/sites/default/files/documentos/Libro_Guia%20de%20Interv_completo%20-%20baja.pdf" TargetMode="External"/><Relationship Id="rId98" Type="http://schemas.openxmlformats.org/officeDocument/2006/relationships/hyperlink" Target="https://ddhh2020.codehupy.org.py/en-paraguay-persisten-la-explotacion-y-el-despojo-de-las-infancias-y-las-adolescencias/" TargetMode="External"/><Relationship Id="rId121" Type="http://schemas.openxmlformats.org/officeDocument/2006/relationships/hyperlink" Target="http://www.mnp.gov.py/index.php/repository/informes-de-monitoreo-y-seguimiento/establecimientos-policiales-y-militares/func-startdown/339/" TargetMode="External"/><Relationship Id="rId3" Type="http://schemas.openxmlformats.org/officeDocument/2006/relationships/hyperlink" Target="https://www.bacn.gov.py/leyes-paraguayas/8805/ley-n-6174-eleva-al-rango-de-ministerio-a-la-secretaria-nacional-de-la-ninez-y-la-adolescencia-snna-y-pasa-a-denominarse-ministerio-de-la-ninez-y-la-adolescencia-minna" TargetMode="External"/><Relationship Id="rId12" Type="http://schemas.openxmlformats.org/officeDocument/2006/relationships/hyperlink" Target="http://www.minna.gov.py/archivos/documentos/Rendici%C3%B3n%20de%20cuentas_MINNA%202022%20ok_formxrp0.pdf" TargetMode="External"/><Relationship Id="rId17" Type="http://schemas.openxmlformats.org/officeDocument/2006/relationships/hyperlink" Target="http://www.defensoriadelpueblo.gov.py/normativa/Ley%20Nro%20631-95.pdf" TargetMode="External"/><Relationship Id="rId25" Type="http://schemas.openxmlformats.org/officeDocument/2006/relationships/hyperlink" Target="https://informacionpublica.paraguay.gov.py/portal/%23!/ciudadano/solicitud/65495" TargetMode="External"/><Relationship Id="rId33" Type="http://schemas.openxmlformats.org/officeDocument/2006/relationships/hyperlink" Target="http://www.minna.gov.py/archivos/documentos/2022_Plan%20Nacional%20de%20la%20Ni%C3%B1ez%20ok_phocpzwe.pdf" TargetMode="External"/><Relationship Id="rId38" Type="http://schemas.openxmlformats.org/officeDocument/2006/relationships/hyperlink" Target="https://informacionpublica.paraguay.gov.py/public/72231-SIPN61100nvcontrolresidareaedad2018-2021pxlsx-S.I.P.N61.100nv.control.resid.area.edad.2018-2021p.xlsx" TargetMode="External"/><Relationship Id="rId46" Type="http://schemas.openxmlformats.org/officeDocument/2006/relationships/hyperlink" Target="https://informacionpublica.paraguay.gov.py/portal/%23!/ciudadano/solicitud/58511" TargetMode="External"/><Relationship Id="rId59" Type="http://schemas.openxmlformats.org/officeDocument/2006/relationships/hyperlink" Target="https://www.bacn.gov.py/leyes-paraguayas/4428/promocion-proteccion-de-la-maternidad-y-apoyo-a-la-lactancia-materna" TargetMode="External"/><Relationship Id="rId67" Type="http://schemas.openxmlformats.org/officeDocument/2006/relationships/hyperlink" Target="https://webadm.senado.gov.py/SENADOWEB-web/faces/publico/DescargaArchivo?g=tablero-10422" TargetMode="External"/><Relationship Id="rId103" Type="http://schemas.openxmlformats.org/officeDocument/2006/relationships/hyperlink" Target="http://biblioteca.mds.gov.py:8080/bitstream/handle/123456789/835/ANEXO%20DE%20LA%20NOTA%20MDS%201280%20-%20MRE.pdf?sequence=2&amp;isAllowed=y" TargetMode="External"/><Relationship Id="rId108" Type="http://schemas.openxmlformats.org/officeDocument/2006/relationships/hyperlink" Target="https://www.bacn.gov.py/leyes-paraguayas/3777/modifica-y-amplia-varios-articulos-de-la-ley-n-116097-codigo-penal" TargetMode="External"/><Relationship Id="rId116" Type="http://schemas.openxmlformats.org/officeDocument/2006/relationships/hyperlink" Target="http://www.mnp.gov.py/index.php/repository/informes-de-monitoreo-y-seguimiento/establecimientos-policiales-y-militares/func-startdown/339/" TargetMode="External"/><Relationship Id="rId124" Type="http://schemas.openxmlformats.org/officeDocument/2006/relationships/hyperlink" Target="http://www.mnp.gov.py/index.php/repository/informes-de-monitoreo-y-seguimiento/establecimientos-policiales-y-militares/func-startdown/339/" TargetMode="External"/><Relationship Id="rId129" Type="http://schemas.openxmlformats.org/officeDocument/2006/relationships/hyperlink" Target="https://www.cdia.org.py/2016/07/20/serpaj-py-y-cdia-comunicado-nuevos-metodos-el-mismo-arreo-de-siempre/" TargetMode="External"/><Relationship Id="rId137" Type="http://schemas.openxmlformats.org/officeDocument/2006/relationships/hyperlink" Target="https://www.ultimahora.com/confirman-una-segunda-generacion-del-epp-integrada-adolescentes-n2909370.html" TargetMode="External"/><Relationship Id="rId20" Type="http://schemas.openxmlformats.org/officeDocument/2006/relationships/hyperlink" Target="https://www.hacienda.gov.py/web-presupuesto/archivo.php?a=keke1117221b211c20dbdedcdededb161b23121f20161c1bdb142216kecc1a12211c111c191c141610kecc1112cc19kecc1a121116101670601bcc1112cc19kecc161b23121f201670601bcc121bcc19kecc1bkeda1d1113ke0ac&amp;x=22220c0&amp;y=c3c3062" TargetMode="External"/><Relationship Id="rId41" Type="http://schemas.openxmlformats.org/officeDocument/2006/relationships/hyperlink" Target="http://www.mnp.gov.py/index.php/repository/informes-de-monitoreo-y-seguimiento/centros-educativos/func-startdown/615/" TargetMode="External"/><Relationship Id="rId54" Type="http://schemas.openxmlformats.org/officeDocument/2006/relationships/hyperlink" Target="https://www.dw.com/es/onu-paraguay-viola-derechos-humanos-al-no-controlar-fumigaciones-en-cultivos-de-soja/a-50025655" TargetMode="External"/><Relationship Id="rId62" Type="http://schemas.openxmlformats.org/officeDocument/2006/relationships/hyperlink" Target="https://drive.google.com/file/d/1TJsWz6L03fI4zFWS6klNZrc2FfCd5xHP/view" TargetMode="External"/><Relationship Id="rId70" Type="http://schemas.openxmlformats.org/officeDocument/2006/relationships/hyperlink" Target="https://www.mspbs.gov.py/pronasida/informes-varios.html" TargetMode="External"/><Relationship Id="rId75" Type="http://schemas.openxmlformats.org/officeDocument/2006/relationships/hyperlink" Target="https://mapaescolar.mec.gov.py/mapa_escolar/contenido/datos_educativos" TargetMode="External"/><Relationship Id="rId83" Type="http://schemas.openxmlformats.org/officeDocument/2006/relationships/hyperlink" Target="https://www.bacn.gov.py/leyes-paraguayas/10973/ley-n-6984-de-migraciones" TargetMode="External"/><Relationship Id="rId88" Type="http://schemas.openxmlformats.org/officeDocument/2006/relationships/hyperlink" Target="https://www.facebook.com/story.php?story_fbid=pfbid02S6kqWmd339TQfsToAaBTCUdr7qyM7kgtJ9dKzda3sySsg7gQfVzq17az9bZo7vnol&amp;id=100069131352985&amp;mibextid=Nif5oz&amp;_rdr" TargetMode="External"/><Relationship Id="rId91" Type="http://schemas.openxmlformats.org/officeDocument/2006/relationships/hyperlink" Target="https://t.co/gADY410IHB" TargetMode="External"/><Relationship Id="rId96" Type="http://schemas.openxmlformats.org/officeDocument/2006/relationships/hyperlink" Target="https://ministeriopublico.gov.py/trata-de-personas-" TargetMode="External"/><Relationship Id="rId111" Type="http://schemas.openxmlformats.org/officeDocument/2006/relationships/hyperlink" Target="https://www.ip.gov.py/ip/operativo-luz-de-infancia-busca-luchar-frontalmente-contra-la-explotacion-sexual-infantil/" TargetMode="External"/><Relationship Id="rId132" Type="http://schemas.openxmlformats.org/officeDocument/2006/relationships/hyperlink" Target="https://www.codehupy.org.py/wp-content/uploads/2022/07/Informe-Resumido-DDHH-2021.pdf" TargetMode="External"/><Relationship Id="rId1" Type="http://schemas.openxmlformats.org/officeDocument/2006/relationships/hyperlink" Target="https://www.bacn.gov.py/leyes-paraguayas/3497/codigo-penal%23:~:text=Nadie%20ser%C3%A1%20sancionado%20con%20una,omisi%C3%B3n%20que%20motive%20la%20sanci%C3%B3n." TargetMode="External"/><Relationship Id="rId6" Type="http://schemas.openxmlformats.org/officeDocument/2006/relationships/hyperlink" Target="https://www.cdiaobserva.org.py/2022/03/01/diagnostico-situacional-de-las-secretarias-departamentales-de-ninez-y-adolescencia-de-paraguay-julio-2020/" TargetMode="External"/><Relationship Id="rId15" Type="http://schemas.openxmlformats.org/officeDocument/2006/relationships/hyperlink" Target="http://www.defensoriadelpueblo.gov.py/normativa/Ley%20Nro%20631-95.pdf" TargetMode="External"/><Relationship Id="rId23" Type="http://schemas.openxmlformats.org/officeDocument/2006/relationships/hyperlink" Target="https://ddhh2022.codehupy.org.py/acceso-a-la-justicia-como-medio-para-exigir-los-derechos-de-la-poblacion-con-discapacidad/" TargetMode="External"/><Relationship Id="rId28" Type="http://schemas.openxmlformats.org/officeDocument/2006/relationships/hyperlink" Target="https://www.ultimahora.com/petta-condiciona-entrega-kits-alimenticios-cambio-tareas-n2882299.html" TargetMode="External"/><Relationship Id="rId36" Type="http://schemas.openxmlformats.org/officeDocument/2006/relationships/hyperlink" Target="https://docs.google.com/spreadsheets/d/12xsKNczkWrzkE9qOShbxIAg2zC4fNL39AVKw2x_lVDg/edit%23gid=0" TargetMode="External"/><Relationship Id="rId49" Type="http://schemas.openxmlformats.org/officeDocument/2006/relationships/hyperlink" Target="https://npy.com.py/2022/06/muere-bebe-atendido-por-curandero-nana-en-ciudad-del-este/" TargetMode="External"/><Relationship Id="rId57" Type="http://schemas.openxmlformats.org/officeDocument/2006/relationships/hyperlink" Target="https://www.baseis.org.py/dramatica-situacion-de-escuelas-fumigadas/" TargetMode="External"/><Relationship Id="rId106" Type="http://schemas.openxmlformats.org/officeDocument/2006/relationships/hyperlink" Target="https://www.bacn.gov.py/leyes-paraguayas/9165/ley-n-6486-de-promocion-y-proteccion-del-derecho-de-ninos-ninas-y-adolescentes-a-vivir-en-familia-que-regula-las-medidas-de-cuidados-alternativos-y-la-adopcion" TargetMode="External"/><Relationship Id="rId114" Type="http://schemas.openxmlformats.org/officeDocument/2006/relationships/hyperlink" Target="https://www.baseis.org.py/con-la-ftc-en-el-norte-la-poblacion-se-siente-mas-insegura/" TargetMode="External"/><Relationship Id="rId119" Type="http://schemas.openxmlformats.org/officeDocument/2006/relationships/hyperlink" Target="http://www.mnp.gov.py/index.php/contenido.php?id=4&amp;ca=ok" TargetMode="External"/><Relationship Id="rId127" Type="http://schemas.openxmlformats.org/officeDocument/2006/relationships/hyperlink" Target="https://www.abc.com.py/nacionales/2022/04/01/padres-de-cadete-amplian-denuncias-por-tortura-apagaban-cigarrillos-en-sus-fosas-nasales/" TargetMode="External"/><Relationship Id="rId10" Type="http://schemas.openxmlformats.org/officeDocument/2006/relationships/hyperlink" Target="http://www.minna.gov.py/archivos/documentos/Rendici%C3%B3n%20de%20cuentas_MINNA%202022%20ok_formxrp0.pdf" TargetMode="External"/><Relationship Id="rId31" Type="http://schemas.openxmlformats.org/officeDocument/2006/relationships/hyperlink" Target="https://bit.ly/3mQ4v4q_ine_poblaci%C3%B3n" TargetMode="External"/><Relationship Id="rId44" Type="http://schemas.openxmlformats.org/officeDocument/2006/relationships/hyperlink" Target="https://informacionpublica.paraguay.gov.py/portal/%23!/ciudadano/solicitud/58511" TargetMode="External"/><Relationship Id="rId52" Type="http://schemas.openxmlformats.org/officeDocument/2006/relationships/hyperlink" Target="https://www.baseis.org.py/wp-content/uploads/2021/11/Sojaalcuello2021-WEB.pdf" TargetMode="External"/><Relationship Id="rId60" Type="http://schemas.openxmlformats.org/officeDocument/2006/relationships/hyperlink" Target="https://www.lavanguardia.com/internacional/20190410/461575214288/paraguay-prision-militar-permiso-bebe.html" TargetMode="External"/><Relationship Id="rId65" Type="http://schemas.openxmlformats.org/officeDocument/2006/relationships/hyperlink" Target="https://www.bacn.gov.py/leyes-paraguayas/1215/garantia-nutricional-en-la-primera-infancia" TargetMode="External"/><Relationship Id="rId73" Type="http://schemas.openxmlformats.org/officeDocument/2006/relationships/hyperlink" Target="https://www.unicef.org/paraguay/comunicados-prensa/unicef-inicia-campa%C3%B1a-preguntale-tu-candidato-sobre-ni%C3%B1os-ni%C3%B1as-y-adolescentes%23:~:text=en%20Paraguay%2C%20457.844%20ni%C3%B1as%2C%20ni%C3%B1os%20y%20adolescentes%20de%205%20a%2017%20a%C3%B1os%20se%20encuentran%20fuera%20del%20sistema%20educativo%2C%20el%2025%2C3%25%20o%201%20de%20cada%204%20de%20la%20poblaci%C3%B3n%20de%20este%20grupo%20etario%2C%20seg%C3%BAn%20datos%20del%20MEC.%20Esta%20situaci%C3%B3n%20ha%20sido%20agravada%20por%20el%20impacto%20de%20la%20pandemia%20de%20COVID%2D19" TargetMode="External"/><Relationship Id="rId78" Type="http://schemas.openxmlformats.org/officeDocument/2006/relationships/hyperlink" Target="https://www.mec.gov.py/sigmec/resoluciones/29664-2017-RIERA.pdf" TargetMode="External"/><Relationship Id="rId81" Type="http://schemas.openxmlformats.org/officeDocument/2006/relationships/hyperlink" Target="https://www.bcp.gov.py/userfiles/files/Anexo_Estad%C3%ADstico_del_Informe_Econ%C3%B3mico_14_03_2023.xlsx" TargetMode="External"/><Relationship Id="rId86" Type="http://schemas.openxmlformats.org/officeDocument/2006/relationships/hyperlink" Target="https://www.plataformadeinfancia.org/wp-content/uploads/2018/09/observacion-general-21-sobre-ninos-situacion-de-calle.pdf" TargetMode="External"/><Relationship Id="rId94" Type="http://schemas.openxmlformats.org/officeDocument/2006/relationships/hyperlink" Target="https://elpais.com/internacional/2023-01-19/la-corte-idh-sanciona-a-bolivia-por-no-investigar-ni-castigar-la-violacion-de-una-nina-por-parte-de-su-primo.html" TargetMode="External"/><Relationship Id="rId99" Type="http://schemas.openxmlformats.org/officeDocument/2006/relationships/hyperlink" Target="http://codehupy.org.py/wp-content/uploads/2019/12/DDHH-2019.pdf" TargetMode="External"/><Relationship Id="rId101" Type="http://schemas.openxmlformats.org/officeDocument/2006/relationships/hyperlink" Target="https://www.cdiaobserva.org.py/2021/04/26/informe-alternativo-de-sociedad-civil-presentado-al-consejo-de-derechos-humanos-de-naciones-unidas-examen-periodico-universal-tercer-ciclo-republica-del-paraguay-octubre-2020/" TargetMode="External"/><Relationship Id="rId122" Type="http://schemas.openxmlformats.org/officeDocument/2006/relationships/hyperlink" Target="http://www.mnp.gov.py/index.php/repository/informes-de-monitoreo-y-seguimiento/establecimientos-policiales-y-militares/func-startdown/339/" TargetMode="External"/><Relationship Id="rId130" Type="http://schemas.openxmlformats.org/officeDocument/2006/relationships/hyperlink" Target="https://www.ultimahora.com/piden-medidas-proteccion-hijo-mario-abdo-que-esta-el-smo-n2789506.html" TargetMode="External"/><Relationship Id="rId135" Type="http://schemas.openxmlformats.org/officeDocument/2006/relationships/hyperlink" Target="http://www.mnp.gov.py/index.php/about/informacion-publica/Informes-especiales/An%C3%A1lisis-de-la-actuaci%C3%B3n-de-la-Fuerza-de-Tareas-Conjuntas-(FTC)-del-ministerio-p%C3%BAblico-y-del-poder-judicial-en-la-zona-norte-del-pa%C3%ADs.-Parte-I---Adolescentes/" TargetMode="External"/><Relationship Id="rId4" Type="http://schemas.openxmlformats.org/officeDocument/2006/relationships/hyperlink" Target="https://www.bacn.gov.py/leyes-paraguayas/8805/ley-n-6174-eleva-al-rango-de-ministerio-a-la-secretaria-nacional-de-la-ninez-y-la-adolescencia-snna-y-pasa-a-denominarse-ministerio-de-la-ninez-y-la-adolescencia-minna" TargetMode="External"/><Relationship Id="rId9" Type="http://schemas.openxmlformats.org/officeDocument/2006/relationships/hyperlink" Target="https://www.cdiaobserva.org.py/2021/09/29/diagnostico-situacional-de-las-consejerias-municipales-por-los-derechos-de-la-ninez-y-la-adolescencia-de-paraguay/" TargetMode="External"/><Relationship Id="rId13" Type="http://schemas.openxmlformats.org/officeDocument/2006/relationships/hyperlink" Target="https://www.cdiaobserva.org.py/2021/09/29/diagnostico-situacional-de-las-consejerias-municipales-por-los-derechos-de-la-ninez-y-la-adolescencia-de-paraguay/" TargetMode="External"/><Relationship Id="rId18" Type="http://schemas.openxmlformats.org/officeDocument/2006/relationships/hyperlink" Target="https://www.hacienda.gov.py/web-presupuesto/archivo.php?a=keke1117221b211c20dbdedcdededb161b23121f20161c1bdb142216kecc1a12211c111c191c141610kecc1112cc19kecc1a121116101670601bcc1112cc19kecc161b23121f201670601bcc121bcc19kecc1bkeda1d1113ke0ac&amp;x=22220c0&amp;y=c3c3062" TargetMode="External"/><Relationship Id="rId39" Type="http://schemas.openxmlformats.org/officeDocument/2006/relationships/hyperlink" Target="https://www.bacn.gov.py/leyes-paraguayas/3667/mecanismo-nacional-de-prevencion-contra-la-tortura-y-otros-tratos-o-penas-crueles-e-inhumanos-o-degradantes" TargetMode="External"/><Relationship Id="rId109" Type="http://schemas.openxmlformats.org/officeDocument/2006/relationships/hyperlink" Target="https://www.bacn.gov.py/leyes-paraguayas/3158/ley-n-4788-integral-contra-la-trata-de-personas" TargetMode="External"/><Relationship Id="rId34" Type="http://schemas.openxmlformats.org/officeDocument/2006/relationships/hyperlink" Target="http://www.minna.gov.py/archivos/documentos/2022_Plan%20Nacional%20de%20la%20Ni%C3%B1ez%20ok_phocpzwe.pdf" TargetMode="External"/><Relationship Id="rId50" Type="http://schemas.openxmlformats.org/officeDocument/2006/relationships/hyperlink" Target="https://www.reuters.com/article/latinoamerica-paraguay-indigenas-pestici-idLTASIE58L1P520090922" TargetMode="External"/><Relationship Id="rId55" Type="http://schemas.openxmlformats.org/officeDocument/2006/relationships/hyperlink" Target="https://www.dw.com/es/onu-paraguay-viola-derechos-humanos-al-no-controlar-fumigaciones-en-cultivos-de-soja/a-50025655" TargetMode="External"/><Relationship Id="rId76" Type="http://schemas.openxmlformats.org/officeDocument/2006/relationships/hyperlink" Target="https://mec.gov.py/cms_v2/adjuntos/15247?1545325232" TargetMode="External"/><Relationship Id="rId97" Type="http://schemas.openxmlformats.org/officeDocument/2006/relationships/hyperlink" Target="https://www.ultimahora.com/unas-22-ninas-paraguayas-victimas-trata-brasil-fueron-abandonadas-la-frontera-n2884090.html" TargetMode="External"/><Relationship Id="rId104" Type="http://schemas.openxmlformats.org/officeDocument/2006/relationships/hyperlink" Target="https://www.bacn.gov.py/leyes-paraguayas/3158/ley-n-4788-integral-contra-la-trata-de-personas" TargetMode="External"/><Relationship Id="rId120" Type="http://schemas.openxmlformats.org/officeDocument/2006/relationships/hyperlink" Target="http://www.mnp.gov.py/index.php/repository/informes-de-monitoreo-y-seguimiento/establecimientos-policiales-y-militares/func-startdown/339/" TargetMode="External"/><Relationship Id="rId125" Type="http://schemas.openxmlformats.org/officeDocument/2006/relationships/hyperlink" Target="http://www.mnp.gov.py/index.php/repository/informes-de-monitoreo-y-seguimiento/establecimientos-policiales-y-militares/func-startdown/339/" TargetMode="External"/><Relationship Id="rId7" Type="http://schemas.openxmlformats.org/officeDocument/2006/relationships/hyperlink" Target="https://www.cdiaobserva.org.py/2022/03/01/diagnostico-situacional-de-las-secretarias-departamentales-de-ninez-y-adolescencia-de-paraguay-julio-2020/" TargetMode="External"/><Relationship Id="rId71" Type="http://schemas.openxmlformats.org/officeDocument/2006/relationships/hyperlink" Target="https://www.mspbs.gov.py/pronasida/informes-varios.html" TargetMode="External"/><Relationship Id="rId92" Type="http://schemas.openxmlformats.org/officeDocument/2006/relationships/hyperlink" Target="https://www.amnesty.org/es/documents/amr45/5031/2021/es/" TargetMode="External"/><Relationship Id="rId2" Type="http://schemas.openxmlformats.org/officeDocument/2006/relationships/hyperlink" Target="https://www.bacn.gov.py/leyes-paraguayas/3497/codigo-penal%23:~:text=Nadie%20ser%C3%A1%20sancionado%20con%20una,omisi%C3%B3n%20que%20motive%20la%20sanci%C3%B3n." TargetMode="External"/><Relationship Id="rId29" Type="http://schemas.openxmlformats.org/officeDocument/2006/relationships/hyperlink" Target="https://www.cdiaobserva.org.py/2020/11/19/estudio-sobre-la-asistencia-alimenticia-y-su-vinculacion-con-el-derecho-a-la-proteccion-de-ninas-ninos-y-adolescentes-en-paraguay/" TargetMode="External"/><Relationship Id="rId24" Type="http://schemas.openxmlformats.org/officeDocument/2006/relationships/hyperlink" Target="https://www.bacn.gov.py/leyes-paraguayas/3013/libre-acceso-ciudadano-a-la-informacion-publica-y-transparencia-gubernamental" TargetMode="External"/><Relationship Id="rId40" Type="http://schemas.openxmlformats.org/officeDocument/2006/relationships/hyperlink" Target="https://www.bacn.gov.py/leyes-paraguayas/3667/mecanismo-nacional-de-prevencion-contra-la-tortura-y-otros-tratos-o-penas-crueles-e-inhumanos-o-degradantes" TargetMode="External"/><Relationship Id="rId45" Type="http://schemas.openxmlformats.org/officeDocument/2006/relationships/hyperlink" Target="https://informacionpublica.paraguay.gov.py/portal/%23!/ciudadano/solicitud/58511" TargetMode="External"/><Relationship Id="rId66" Type="http://schemas.openxmlformats.org/officeDocument/2006/relationships/hyperlink" Target="https://webadm.senado.gov.py/SENADOWEB-web/faces/publico/DescargaArchivo?g=tablero-8246" TargetMode="External"/><Relationship Id="rId87" Type="http://schemas.openxmlformats.org/officeDocument/2006/relationships/hyperlink" Target="https://www.bacn.gov.py/leyes-paraguayas/8927/ley-n-6202-adopta-normas-para-la-prevencion-del-abuso-sexual-y-la-atencion-integral-de-los-ninos-ninas-y-adolescentes-victimas-de-abuso-sexual-" TargetMode="External"/><Relationship Id="rId110" Type="http://schemas.openxmlformats.org/officeDocument/2006/relationships/hyperlink" Target="https://www.bacn.gov.py/leyes-paraguayas/9906/ley-n-6002-modifica-el-articulo-135-de-la-ley-n-116097-codigo-penal-modificado-por-el-articulo-1-de-la-ley-n-344008-que-modifica-varias-disposiciones-de-la-ley-n-116097-codigo-penal%23:~:text=%2D%20Abuso%20sexual%20en%20ni%C3%B1os.,de%20cuatro%20a%20quince%20a%C3%B1os." TargetMode="External"/><Relationship Id="rId115" Type="http://schemas.openxmlformats.org/officeDocument/2006/relationships/hyperlink" Target="http://www.mnp.gov.py/index.php/repository/informes-de-monitoreo-y-seguimiento/establecimientos-policiales-y-militares/func-startdown/339/" TargetMode="External"/><Relationship Id="rId131" Type="http://schemas.openxmlformats.org/officeDocument/2006/relationships/hyperlink" Target="https://www.lanacion.com.py/politica_edicion_impresa/2019/01/09/fuerzas-armadas-detalla-que-142-menores-estan-en-cuarteles/" TargetMode="External"/><Relationship Id="rId136" Type="http://schemas.openxmlformats.org/officeDocument/2006/relationships/hyperlink" Target="http://www.mnp.gov.py/index.php/about/informacion-publica/Informes-especiales/An%C3%A1lisis-de-la-actuaci%C3%B3n-de-la-Fuerza-de-Tareas-Conjuntas-(FTC)-del-ministerio-p%C3%BAblico-y-del-poder-judicial-en-la-zona-norte-del-pa%C3%ADs.-Parte-I---Adolescentes/" TargetMode="External"/><Relationship Id="rId61" Type="http://schemas.openxmlformats.org/officeDocument/2006/relationships/hyperlink" Target="https://www.ine.gov.py/Publicaciones/Biblioteca/mics2016/Encuesta%20MICS%20Paraguay%202016.pdf" TargetMode="External"/><Relationship Id="rId82" Type="http://schemas.openxmlformats.org/officeDocument/2006/relationships/hyperlink" Target="http://bicameral.congreso.gov.py/application/files/9216/3947/0076/12_-_07_MINISTERIO_DE_EDUCACION_Y_CIENCIAS.pdf" TargetMode="External"/><Relationship Id="rId19" Type="http://schemas.openxmlformats.org/officeDocument/2006/relationships/hyperlink" Target="https://www.hacienda.gov.py/web-presupuesto/archivo.php?a=keke1117221b211c20dbdedcdededb161b23121f20161c1bdb142216kecc1a12211c111c191c141610kecc1112cc19kecc1a121116101670601bcc1112cc19kecc161b23121f201670601bcc121bcc19kecc1bkeda1d1113ke0ac&amp;x=22220c0&amp;y=c3c30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vU7Ybn4zOG3GMrIJM9DC+CniPvA==">AMUW2mX2fn6pxCFad5vueJpfivXmUI9CLLEUysJ95FvDdNCoIvbJmR02BEcXREALkUTxoNA33/Uv5ahBzVf4g6QOWyVrtUthatogUPg/bh3xl1XDpoSdSpkpt5Jc/GTIX50QhmRJ+h7FEgllNDpa26u0+EkNvCDR027ngg01pLivm0pT0UF//Xp5RofsuZF6VWX462B3/hKKp4it/7vfYRxJ98kBpkXTD+V4G0VLQ0M2Z6d7a6NKj0dz5DSnedjDh0Fb9loeLYTBxysgHVdsnji5YTIxE7FsjlXCYHcQ7Galahr9aWZmLerLQCrnqJSW5cX4ZSNKoHJAg8WXMmS3KKEoRYDuMzc+VY76wc83TJGgBpEmeFxZ5s8RDhb7cdrB+7QAjvSakOCxztgVHMCkvBtJl94bJypZvNWyDAi/pcG3yrxHMQBG4tPvBjPznosDh5MiOANw/7L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10351</Words>
  <Characters>59001</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dcterms:created xsi:type="dcterms:W3CDTF">2023-04-12T13:23:00Z</dcterms:created>
  <dcterms:modified xsi:type="dcterms:W3CDTF">2023-04-12T13:23:00Z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0x0101002E6C10E763ED9D41A55FA75EE50E5E00</vt:lpwstr>
  </property>
</Properties>
</file>