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9D1F06" w14:textId="77777777" w:rsidR="008066F7" w:rsidRPr="005A0B3D" w:rsidRDefault="008066F7" w:rsidP="008066F7">
      <w:pPr>
        <w:pStyle w:val="Normal1"/>
        <w:jc w:val="right"/>
        <w:rPr>
          <w:rFonts w:ascii="Franklin Gothic Medium" w:hAnsi="Franklin Gothic Medium"/>
          <w:sz w:val="24"/>
          <w:szCs w:val="24"/>
        </w:rPr>
      </w:pPr>
      <w:r w:rsidRPr="005A0B3D">
        <w:rPr>
          <w:rFonts w:ascii="Franklin Gothic Demi" w:hAnsi="Franklin Gothic Demi" w:cs="Cordia New"/>
          <w:b/>
          <w:noProof/>
          <w:color w:val="17365D" w:themeColor="text2" w:themeShade="BF"/>
          <w:sz w:val="40"/>
          <w:szCs w:val="40"/>
        </w:rPr>
        <w:drawing>
          <wp:inline distT="0" distB="0" distL="0" distR="0" wp14:anchorId="61FF467C" wp14:editId="193FE176">
            <wp:extent cx="3038821" cy="49315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ILPF_with_byline_left_positive.png"/>
                    <pic:cNvPicPr/>
                  </pic:nvPicPr>
                  <pic:blipFill>
                    <a:blip r:embed="rId8"/>
                    <a:stretch>
                      <a:fillRect/>
                    </a:stretch>
                  </pic:blipFill>
                  <pic:spPr>
                    <a:xfrm>
                      <a:off x="0" y="0"/>
                      <a:ext cx="3140699" cy="509692"/>
                    </a:xfrm>
                    <a:prstGeom prst="rect">
                      <a:avLst/>
                    </a:prstGeom>
                  </pic:spPr>
                </pic:pic>
              </a:graphicData>
            </a:graphic>
          </wp:inline>
        </w:drawing>
      </w:r>
    </w:p>
    <w:p w14:paraId="0DBBDB03" w14:textId="77777777" w:rsidR="008066F7" w:rsidRPr="005A0B3D" w:rsidRDefault="008066F7" w:rsidP="008066F7">
      <w:pPr>
        <w:pStyle w:val="Normal1"/>
        <w:jc w:val="right"/>
        <w:rPr>
          <w:rFonts w:ascii="Franklin Gothic Medium" w:hAnsi="Franklin Gothic Medium"/>
          <w:sz w:val="24"/>
          <w:szCs w:val="24"/>
        </w:rPr>
      </w:pPr>
    </w:p>
    <w:p w14:paraId="7ACDAD8C" w14:textId="77777777" w:rsidR="008066F7" w:rsidRPr="005A0B3D" w:rsidRDefault="008066F7" w:rsidP="008066F7">
      <w:pPr>
        <w:pStyle w:val="Normal1"/>
        <w:shd w:val="clear" w:color="auto" w:fill="F2F2F2" w:themeFill="background1" w:themeFillShade="F2"/>
        <w:jc w:val="center"/>
        <w:rPr>
          <w:rFonts w:ascii="Franklin Gothic Demi" w:hAnsi="Franklin Gothic Demi" w:cs="Cordia New"/>
          <w:b/>
          <w:sz w:val="20"/>
          <w:szCs w:val="20"/>
        </w:rPr>
      </w:pPr>
    </w:p>
    <w:p w14:paraId="27676F89" w14:textId="7EECA09D" w:rsidR="002E4741" w:rsidRPr="005A0B3D" w:rsidRDefault="005A0B3D" w:rsidP="002E4741">
      <w:pPr>
        <w:pStyle w:val="Normal1"/>
        <w:shd w:val="clear" w:color="auto" w:fill="F2F2F2" w:themeFill="background1" w:themeFillShade="F2"/>
        <w:jc w:val="center"/>
        <w:rPr>
          <w:rFonts w:ascii="Franklin Gothic Demi" w:hAnsi="Franklin Gothic Demi" w:cs="Cordia New"/>
          <w:b/>
          <w:bCs/>
          <w:color w:val="17365D" w:themeColor="text2" w:themeShade="BF"/>
          <w:sz w:val="44"/>
          <w:szCs w:val="44"/>
        </w:rPr>
      </w:pPr>
      <w:r w:rsidRPr="005A0B3D">
        <w:rPr>
          <w:rFonts w:ascii="Franklin Gothic Demi" w:hAnsi="Franklin Gothic Demi" w:cs="Cordia New"/>
          <w:b/>
          <w:bCs/>
          <w:color w:val="17365D" w:themeColor="text2" w:themeShade="BF"/>
          <w:sz w:val="44"/>
          <w:szCs w:val="44"/>
        </w:rPr>
        <w:t>EGYPT</w:t>
      </w:r>
    </w:p>
    <w:p w14:paraId="462EAFE3" w14:textId="41E2FC18" w:rsidR="002E4741" w:rsidRPr="005A0B3D" w:rsidRDefault="002E4741" w:rsidP="002E4741">
      <w:pPr>
        <w:pStyle w:val="Normal1"/>
        <w:shd w:val="clear" w:color="auto" w:fill="F2F2F2" w:themeFill="background1" w:themeFillShade="F2"/>
        <w:jc w:val="center"/>
        <w:rPr>
          <w:rFonts w:ascii="Franklin Gothic Demi" w:hAnsi="Franklin Gothic Demi" w:cs="Cordia New"/>
          <w:b/>
          <w:bCs/>
          <w:color w:val="17365D" w:themeColor="text2" w:themeShade="BF"/>
          <w:sz w:val="36"/>
          <w:szCs w:val="36"/>
        </w:rPr>
      </w:pPr>
      <w:r w:rsidRPr="005A0B3D">
        <w:rPr>
          <w:rFonts w:ascii="Franklin Gothic Demi" w:hAnsi="Franklin Gothic Demi" w:cs="Cordia New"/>
          <w:b/>
          <w:bCs/>
          <w:color w:val="17365D" w:themeColor="text2" w:themeShade="BF"/>
          <w:sz w:val="36"/>
          <w:szCs w:val="36"/>
        </w:rPr>
        <w:t xml:space="preserve">Submission to the CEDAW Committee </w:t>
      </w:r>
    </w:p>
    <w:p w14:paraId="0178156B" w14:textId="455653E8" w:rsidR="005A0B3D" w:rsidRPr="005A0B3D" w:rsidRDefault="005A0B3D" w:rsidP="005A0B3D">
      <w:pPr>
        <w:pStyle w:val="Normal1"/>
        <w:shd w:val="clear" w:color="auto" w:fill="F2F2F2" w:themeFill="background1" w:themeFillShade="F2"/>
        <w:jc w:val="center"/>
        <w:rPr>
          <w:rFonts w:ascii="Franklin Gothic Demi" w:hAnsi="Franklin Gothic Demi" w:cs="Cordia New"/>
          <w:b/>
          <w:bCs/>
          <w:color w:val="17365D" w:themeColor="text2" w:themeShade="BF"/>
          <w:sz w:val="28"/>
          <w:szCs w:val="28"/>
        </w:rPr>
      </w:pPr>
      <w:r w:rsidRPr="005A0B3D">
        <w:rPr>
          <w:rFonts w:ascii="Franklin Gothic Demi" w:hAnsi="Franklin Gothic Demi" w:cs="Cordia New"/>
          <w:b/>
          <w:bCs/>
          <w:color w:val="17365D" w:themeColor="text2" w:themeShade="BF"/>
          <w:sz w:val="28"/>
          <w:szCs w:val="28"/>
        </w:rPr>
        <w:t>80th session (18 October 2021 - 12 November 2021)</w:t>
      </w:r>
    </w:p>
    <w:p w14:paraId="5C85B9FE" w14:textId="77777777" w:rsidR="002E4741" w:rsidRPr="005A0B3D" w:rsidRDefault="002E4741" w:rsidP="002E4741">
      <w:pPr>
        <w:pStyle w:val="Normal1"/>
        <w:shd w:val="clear" w:color="auto" w:fill="F2F2F2" w:themeFill="background1" w:themeFillShade="F2"/>
        <w:jc w:val="center"/>
        <w:rPr>
          <w:rFonts w:ascii="Franklin Gothic Demi" w:hAnsi="Franklin Gothic Demi" w:cs="Cordia New"/>
          <w:b/>
          <w:bCs/>
          <w:color w:val="17365D" w:themeColor="text2" w:themeShade="BF"/>
          <w:sz w:val="28"/>
          <w:szCs w:val="28"/>
        </w:rPr>
      </w:pPr>
    </w:p>
    <w:p w14:paraId="0000000C" w14:textId="3B0560D3" w:rsidR="00FF0B19" w:rsidRPr="005A0B3D" w:rsidRDefault="00FF0B19">
      <w:pPr>
        <w:pBdr>
          <w:top w:val="nil"/>
          <w:left w:val="nil"/>
          <w:bottom w:val="nil"/>
          <w:right w:val="nil"/>
          <w:between w:val="nil"/>
        </w:pBdr>
        <w:spacing w:line="276" w:lineRule="auto"/>
        <w:jc w:val="left"/>
        <w:rPr>
          <w:rFonts w:ascii="Libre Franklin" w:hAnsi="Libre Franklin"/>
          <w:b/>
          <w:color w:val="000000"/>
          <w:sz w:val="28"/>
          <w:szCs w:val="28"/>
        </w:rPr>
      </w:pPr>
    </w:p>
    <w:p w14:paraId="58606095" w14:textId="77777777" w:rsidR="002E4741" w:rsidRPr="005A0B3D" w:rsidRDefault="002E4741">
      <w:pPr>
        <w:pBdr>
          <w:top w:val="nil"/>
          <w:left w:val="nil"/>
          <w:bottom w:val="nil"/>
          <w:right w:val="nil"/>
          <w:between w:val="nil"/>
        </w:pBdr>
        <w:spacing w:line="276" w:lineRule="auto"/>
        <w:jc w:val="left"/>
        <w:rPr>
          <w:rFonts w:ascii="Libre Franklin" w:hAnsi="Libre Franklin"/>
          <w:b/>
          <w:color w:val="000000"/>
          <w:sz w:val="28"/>
          <w:szCs w:val="28"/>
        </w:rPr>
      </w:pPr>
    </w:p>
    <w:p w14:paraId="0000000D" w14:textId="77777777" w:rsidR="00FF0B19" w:rsidRPr="005A0B3D" w:rsidRDefault="00FF0B19"/>
    <w:p w14:paraId="0000000E" w14:textId="3DE9235B" w:rsidR="00FF0B19" w:rsidRPr="005A0B3D" w:rsidRDefault="00F1611E">
      <w:pPr>
        <w:spacing w:line="276" w:lineRule="auto"/>
        <w:jc w:val="left"/>
        <w:sectPr w:rsidR="00FF0B19" w:rsidRPr="005A0B3D">
          <w:headerReference w:type="default" r:id="rId9"/>
          <w:footerReference w:type="even" r:id="rId10"/>
          <w:footerReference w:type="default" r:id="rId11"/>
          <w:pgSz w:w="12240" w:h="15840"/>
          <w:pgMar w:top="1440" w:right="1440" w:bottom="1440" w:left="1440" w:header="0" w:footer="720" w:gutter="0"/>
          <w:pgNumType w:start="0"/>
          <w:cols w:space="720"/>
          <w:titlePg/>
        </w:sectPr>
      </w:pPr>
      <w:r w:rsidRPr="005A0B3D">
        <w:rPr>
          <w:b/>
          <w:noProof/>
        </w:rPr>
        <mc:AlternateContent>
          <mc:Choice Requires="wps">
            <w:drawing>
              <wp:anchor distT="0" distB="0" distL="114300" distR="114300" simplePos="0" relativeHeight="251659264" behindDoc="0" locked="0" layoutInCell="1" allowOverlap="1" wp14:anchorId="33FE2882" wp14:editId="69C11012">
                <wp:simplePos x="0" y="0"/>
                <wp:positionH relativeFrom="column">
                  <wp:posOffset>1988862</wp:posOffset>
                </wp:positionH>
                <wp:positionV relativeFrom="paragraph">
                  <wp:posOffset>3365458</wp:posOffset>
                </wp:positionV>
                <wp:extent cx="4318000" cy="1259802"/>
                <wp:effectExtent l="0" t="0" r="0" b="0"/>
                <wp:wrapNone/>
                <wp:docPr id="12" name="Text Box 12"/>
                <wp:cNvGraphicFramePr/>
                <a:graphic xmlns:a="http://schemas.openxmlformats.org/drawingml/2006/main">
                  <a:graphicData uri="http://schemas.microsoft.com/office/word/2010/wordprocessingShape">
                    <wps:wsp>
                      <wps:cNvSpPr txBox="1"/>
                      <wps:spPr>
                        <a:xfrm>
                          <a:off x="0" y="0"/>
                          <a:ext cx="4318000" cy="1259802"/>
                        </a:xfrm>
                        <a:prstGeom prst="rect">
                          <a:avLst/>
                        </a:prstGeom>
                        <a:noFill/>
                        <a:ln w="6350">
                          <a:noFill/>
                        </a:ln>
                      </wps:spPr>
                      <wps:txbx>
                        <w:txbxContent>
                          <w:p w14:paraId="19AF2464" w14:textId="551A2400" w:rsidR="000E2B9A" w:rsidRPr="00F12D2A" w:rsidRDefault="000E2B9A" w:rsidP="00F1611E">
                            <w:pPr>
                              <w:tabs>
                                <w:tab w:val="left" w:pos="8647"/>
                              </w:tabs>
                              <w:ind w:right="283"/>
                              <w:jc w:val="right"/>
                              <w:rPr>
                                <w:b/>
                                <w:color w:val="1F497D" w:themeColor="text2"/>
                                <w:sz w:val="20"/>
                                <w:szCs w:val="20"/>
                              </w:rPr>
                            </w:pPr>
                            <w:r w:rsidRPr="00F12D2A">
                              <w:rPr>
                                <w:b/>
                                <w:color w:val="1F497D" w:themeColor="text2"/>
                                <w:sz w:val="20"/>
                                <w:szCs w:val="20"/>
                              </w:rPr>
                              <w:t xml:space="preserve">Submitted on </w:t>
                            </w:r>
                            <w:r>
                              <w:rPr>
                                <w:b/>
                                <w:color w:val="1F497D" w:themeColor="text2"/>
                                <w:sz w:val="20"/>
                                <w:szCs w:val="20"/>
                              </w:rPr>
                              <w:t>20</w:t>
                            </w:r>
                            <w:r w:rsidRPr="00F12D2A">
                              <w:rPr>
                                <w:b/>
                                <w:color w:val="1F497D" w:themeColor="text2"/>
                                <w:sz w:val="20"/>
                                <w:szCs w:val="20"/>
                              </w:rPr>
                              <w:t xml:space="preserve"> </w:t>
                            </w:r>
                            <w:r>
                              <w:rPr>
                                <w:b/>
                                <w:color w:val="1F497D" w:themeColor="text2"/>
                                <w:sz w:val="20"/>
                                <w:szCs w:val="20"/>
                              </w:rPr>
                              <w:t>September</w:t>
                            </w:r>
                            <w:r w:rsidRPr="00F12D2A">
                              <w:rPr>
                                <w:b/>
                                <w:color w:val="1F497D" w:themeColor="text2"/>
                                <w:sz w:val="20"/>
                                <w:szCs w:val="20"/>
                              </w:rPr>
                              <w:t xml:space="preserve"> 202</w:t>
                            </w:r>
                            <w:r>
                              <w:rPr>
                                <w:b/>
                                <w:color w:val="1F497D" w:themeColor="text2"/>
                                <w:sz w:val="20"/>
                                <w:szCs w:val="20"/>
                              </w:rPr>
                              <w:t>1</w:t>
                            </w:r>
                          </w:p>
                          <w:p w14:paraId="6F13BD35" w14:textId="77777777" w:rsidR="000E2B9A" w:rsidRPr="00F12D2A" w:rsidRDefault="000E2B9A" w:rsidP="00F1611E">
                            <w:pPr>
                              <w:tabs>
                                <w:tab w:val="left" w:pos="8647"/>
                              </w:tabs>
                              <w:ind w:right="283"/>
                              <w:jc w:val="right"/>
                              <w:rPr>
                                <w:color w:val="1F497D" w:themeColor="text2"/>
                                <w:sz w:val="20"/>
                                <w:szCs w:val="20"/>
                              </w:rPr>
                            </w:pPr>
                            <w:r w:rsidRPr="00F12D2A">
                              <w:rPr>
                                <w:color w:val="1F497D" w:themeColor="text2"/>
                                <w:sz w:val="20"/>
                                <w:szCs w:val="20"/>
                              </w:rPr>
                              <w:t>For more information, please contact:</w:t>
                            </w:r>
                          </w:p>
                          <w:p w14:paraId="634E92E3" w14:textId="77777777" w:rsidR="000E2B9A" w:rsidRPr="00F12D2A" w:rsidRDefault="000E2B9A" w:rsidP="00F1611E">
                            <w:pPr>
                              <w:tabs>
                                <w:tab w:val="left" w:pos="8647"/>
                              </w:tabs>
                              <w:ind w:right="283"/>
                              <w:jc w:val="right"/>
                              <w:rPr>
                                <w:color w:val="1F497D" w:themeColor="text2"/>
                                <w:sz w:val="20"/>
                                <w:szCs w:val="20"/>
                              </w:rPr>
                            </w:pPr>
                            <w:r w:rsidRPr="00F12D2A">
                              <w:rPr>
                                <w:color w:val="1F497D" w:themeColor="text2"/>
                                <w:sz w:val="20"/>
                                <w:szCs w:val="20"/>
                              </w:rPr>
                              <w:t>Women’s International League for Peace and Freedom (WILPF)</w:t>
                            </w:r>
                          </w:p>
                          <w:p w14:paraId="5B1D2C85" w14:textId="193A5F3D" w:rsidR="000E2B9A" w:rsidRPr="00734E49" w:rsidRDefault="000E2B9A" w:rsidP="00F1611E">
                            <w:pPr>
                              <w:tabs>
                                <w:tab w:val="left" w:pos="8647"/>
                              </w:tabs>
                              <w:ind w:right="283"/>
                              <w:jc w:val="right"/>
                              <w:rPr>
                                <w:color w:val="1F497D" w:themeColor="text2"/>
                                <w:sz w:val="20"/>
                                <w:szCs w:val="20"/>
                              </w:rPr>
                            </w:pPr>
                            <w:r w:rsidRPr="00734E49">
                              <w:rPr>
                                <w:color w:val="1F497D" w:themeColor="text2"/>
                                <w:sz w:val="20"/>
                                <w:szCs w:val="20"/>
                              </w:rPr>
                              <w:t xml:space="preserve">Email: </w:t>
                            </w:r>
                            <w:r>
                              <w:rPr>
                                <w:color w:val="1F497D" w:themeColor="text2"/>
                                <w:sz w:val="20"/>
                                <w:szCs w:val="20"/>
                              </w:rPr>
                              <w:t>secretariat</w:t>
                            </w:r>
                            <w:r w:rsidRPr="00734E49">
                              <w:rPr>
                                <w:color w:val="1F497D" w:themeColor="text2"/>
                                <w:sz w:val="20"/>
                                <w:szCs w:val="20"/>
                              </w:rPr>
                              <w:t>@wilpf.org| Web: wilpf.org</w:t>
                            </w:r>
                          </w:p>
                          <w:p w14:paraId="0941D731" w14:textId="77777777" w:rsidR="000E2B9A" w:rsidRPr="00734E49" w:rsidRDefault="000E2B9A" w:rsidP="00F1611E">
                            <w:pPr>
                              <w:jc w:val="right"/>
                              <w:rPr>
                                <w:b/>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FE2882" id="_x0000_t202" coordsize="21600,21600" o:spt="202" path="m,l,21600r21600,l21600,xe">
                <v:stroke joinstyle="miter"/>
                <v:path gradientshapeok="t" o:connecttype="rect"/>
              </v:shapetype>
              <v:shape id="Text Box 12" o:spid="_x0000_s1026" type="#_x0000_t202" style="position:absolute;margin-left:156.6pt;margin-top:265pt;width:340pt;height:99.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" filled="f" stroked="f" strokeweight=".5pt">
                <v:textbox>
                  <w:txbxContent>
                    <w:p w14:paraId="19AF2464" w14:textId="551A2400" w:rsidR="000E2B9A" w:rsidRPr="00F12D2A" w:rsidRDefault="000E2B9A" w:rsidP="00F1611E">
                      <w:pPr>
                        <w:tabs>
                          <w:tab w:val="left" w:pos="8647"/>
                        </w:tabs>
                        <w:ind w:right="283"/>
                        <w:jc w:val="right"/>
                        <w:rPr>
                          <w:b/>
                          <w:color w:val="1F497D" w:themeColor="text2"/>
                          <w:sz w:val="20"/>
                          <w:szCs w:val="20"/>
                        </w:rPr>
                      </w:pPr>
                      <w:r w:rsidRPr="00F12D2A">
                        <w:rPr>
                          <w:b/>
                          <w:color w:val="1F497D" w:themeColor="text2"/>
                          <w:sz w:val="20"/>
                          <w:szCs w:val="20"/>
                        </w:rPr>
                        <w:t xml:space="preserve">Submitted on </w:t>
                      </w:r>
                      <w:r>
                        <w:rPr>
                          <w:b/>
                          <w:color w:val="1F497D" w:themeColor="text2"/>
                          <w:sz w:val="20"/>
                          <w:szCs w:val="20"/>
                        </w:rPr>
                        <w:t>20</w:t>
                      </w:r>
                      <w:r w:rsidRPr="00F12D2A">
                        <w:rPr>
                          <w:b/>
                          <w:color w:val="1F497D" w:themeColor="text2"/>
                          <w:sz w:val="20"/>
                          <w:szCs w:val="20"/>
                        </w:rPr>
                        <w:t xml:space="preserve"> </w:t>
                      </w:r>
                      <w:r>
                        <w:rPr>
                          <w:b/>
                          <w:color w:val="1F497D" w:themeColor="text2"/>
                          <w:sz w:val="20"/>
                          <w:szCs w:val="20"/>
                        </w:rPr>
                        <w:t>September</w:t>
                      </w:r>
                      <w:r w:rsidRPr="00F12D2A">
                        <w:rPr>
                          <w:b/>
                          <w:color w:val="1F497D" w:themeColor="text2"/>
                          <w:sz w:val="20"/>
                          <w:szCs w:val="20"/>
                        </w:rPr>
                        <w:t xml:space="preserve"> 202</w:t>
                      </w:r>
                      <w:r>
                        <w:rPr>
                          <w:b/>
                          <w:color w:val="1F497D" w:themeColor="text2"/>
                          <w:sz w:val="20"/>
                          <w:szCs w:val="20"/>
                        </w:rPr>
                        <w:t>1</w:t>
                      </w:r>
                    </w:p>
                    <w:p w14:paraId="6F13BD35" w14:textId="77777777" w:rsidR="000E2B9A" w:rsidRPr="00F12D2A" w:rsidRDefault="000E2B9A" w:rsidP="00F1611E">
                      <w:pPr>
                        <w:tabs>
                          <w:tab w:val="left" w:pos="8647"/>
                        </w:tabs>
                        <w:ind w:right="283"/>
                        <w:jc w:val="right"/>
                        <w:rPr>
                          <w:color w:val="1F497D" w:themeColor="text2"/>
                          <w:sz w:val="20"/>
                          <w:szCs w:val="20"/>
                        </w:rPr>
                      </w:pPr>
                      <w:r w:rsidRPr="00F12D2A">
                        <w:rPr>
                          <w:color w:val="1F497D" w:themeColor="text2"/>
                          <w:sz w:val="20"/>
                          <w:szCs w:val="20"/>
                        </w:rPr>
                        <w:t>For more information, please contact:</w:t>
                      </w:r>
                    </w:p>
                    <w:p w14:paraId="634E92E3" w14:textId="77777777" w:rsidR="000E2B9A" w:rsidRPr="00F12D2A" w:rsidRDefault="000E2B9A" w:rsidP="00F1611E">
                      <w:pPr>
                        <w:tabs>
                          <w:tab w:val="left" w:pos="8647"/>
                        </w:tabs>
                        <w:ind w:right="283"/>
                        <w:jc w:val="right"/>
                        <w:rPr>
                          <w:color w:val="1F497D" w:themeColor="text2"/>
                          <w:sz w:val="20"/>
                          <w:szCs w:val="20"/>
                        </w:rPr>
                      </w:pPr>
                      <w:r w:rsidRPr="00F12D2A">
                        <w:rPr>
                          <w:color w:val="1F497D" w:themeColor="text2"/>
                          <w:sz w:val="20"/>
                          <w:szCs w:val="20"/>
                        </w:rPr>
                        <w:t>Women’s International League for Peace and Freedom (WILPF)</w:t>
                      </w:r>
                    </w:p>
                    <w:p w14:paraId="5B1D2C85" w14:textId="193A5F3D" w:rsidR="000E2B9A" w:rsidRPr="00734E49" w:rsidRDefault="000E2B9A" w:rsidP="00F1611E">
                      <w:pPr>
                        <w:tabs>
                          <w:tab w:val="left" w:pos="8647"/>
                        </w:tabs>
                        <w:ind w:right="283"/>
                        <w:jc w:val="right"/>
                        <w:rPr>
                          <w:color w:val="1F497D" w:themeColor="text2"/>
                          <w:sz w:val="20"/>
                          <w:szCs w:val="20"/>
                        </w:rPr>
                      </w:pPr>
                      <w:r w:rsidRPr="00734E49">
                        <w:rPr>
                          <w:color w:val="1F497D" w:themeColor="text2"/>
                          <w:sz w:val="20"/>
                          <w:szCs w:val="20"/>
                        </w:rPr>
                        <w:t xml:space="preserve">Email: </w:t>
                      </w:r>
                      <w:r>
                        <w:rPr>
                          <w:color w:val="1F497D" w:themeColor="text2"/>
                          <w:sz w:val="20"/>
                          <w:szCs w:val="20"/>
                        </w:rPr>
                        <w:t>secretariat</w:t>
                      </w:r>
                      <w:r w:rsidRPr="00734E49">
                        <w:rPr>
                          <w:color w:val="1F497D" w:themeColor="text2"/>
                          <w:sz w:val="20"/>
                          <w:szCs w:val="20"/>
                        </w:rPr>
                        <w:t>@wilpf.org| Web: wilpf.org</w:t>
                      </w:r>
                    </w:p>
                    <w:p w14:paraId="0941D731" w14:textId="77777777" w:rsidR="000E2B9A" w:rsidRPr="00734E49" w:rsidRDefault="000E2B9A" w:rsidP="00F1611E">
                      <w:pPr>
                        <w:jc w:val="right"/>
                        <w:rPr>
                          <w:b/>
                          <w:color w:val="000000" w:themeColor="text1"/>
                        </w:rPr>
                      </w:pPr>
                    </w:p>
                  </w:txbxContent>
                </v:textbox>
              </v:shape>
            </w:pict>
          </mc:Fallback>
        </mc:AlternateContent>
      </w:r>
      <w:r w:rsidR="00963801" w:rsidRPr="005A0B3D">
        <w:br w:type="page"/>
      </w:r>
    </w:p>
    <w:p w14:paraId="22409695" w14:textId="228C7975" w:rsidR="00943749" w:rsidRPr="00943749" w:rsidRDefault="00943749" w:rsidP="00943749">
      <w:pPr>
        <w:pStyle w:val="Normal1"/>
        <w:jc w:val="center"/>
      </w:pPr>
      <w:bookmarkStart w:id="0" w:name="_Toc63423263"/>
      <w:r>
        <w:rPr>
          <w:rFonts w:ascii="Franklin Gothic Demi" w:hAnsi="Franklin Gothic Demi" w:cs="Cordia New"/>
          <w:b/>
          <w:bCs/>
          <w:color w:val="17365D" w:themeColor="text2" w:themeShade="BF"/>
          <w:sz w:val="36"/>
          <w:szCs w:val="36"/>
        </w:rPr>
        <w:lastRenderedPageBreak/>
        <w:t>Contents</w:t>
      </w:r>
    </w:p>
    <w:p w14:paraId="35F8D190" w14:textId="5E399C79" w:rsidR="008B2F6A" w:rsidRDefault="008B2F6A">
      <w:pPr>
        <w:pStyle w:val="TOC1"/>
        <w:rPr>
          <w:rFonts w:asciiTheme="minorHAnsi" w:eastAsiaTheme="minorEastAsia" w:hAnsiTheme="minorHAnsi" w:cstheme="minorBidi"/>
          <w:noProof/>
          <w:sz w:val="24"/>
          <w:szCs w:val="24"/>
          <w:lang w:val="en-US"/>
        </w:rPr>
      </w:pPr>
      <w:r>
        <w:rPr>
          <w:rFonts w:ascii="Franklin Gothic Demi" w:hAnsi="Franklin Gothic Demi"/>
          <w:b/>
          <w:color w:val="17365D" w:themeColor="text2" w:themeShade="BF"/>
          <w:sz w:val="28"/>
          <w:szCs w:val="28"/>
        </w:rPr>
        <w:fldChar w:fldCharType="begin"/>
      </w:r>
      <w:r>
        <w:rPr>
          <w:rFonts w:ascii="Franklin Gothic Demi" w:hAnsi="Franklin Gothic Demi"/>
          <w:b/>
          <w:color w:val="17365D" w:themeColor="text2" w:themeShade="BF"/>
          <w:sz w:val="28"/>
          <w:szCs w:val="28"/>
        </w:rPr>
        <w:instrText xml:space="preserve"> TOC \o "1-2" \h \z \u </w:instrText>
      </w:r>
      <w:r>
        <w:rPr>
          <w:rFonts w:ascii="Franklin Gothic Demi" w:hAnsi="Franklin Gothic Demi"/>
          <w:b/>
          <w:color w:val="17365D" w:themeColor="text2" w:themeShade="BF"/>
          <w:sz w:val="28"/>
          <w:szCs w:val="28"/>
        </w:rPr>
        <w:fldChar w:fldCharType="separate"/>
      </w:r>
      <w:hyperlink w:anchor="_Toc83060467" w:history="1">
        <w:r w:rsidRPr="00176DFC">
          <w:rPr>
            <w:rStyle w:val="Hyperlink"/>
            <w:noProof/>
          </w:rPr>
          <w:t>I.</w:t>
        </w:r>
        <w:r>
          <w:rPr>
            <w:rFonts w:asciiTheme="minorHAnsi" w:eastAsiaTheme="minorEastAsia" w:hAnsiTheme="minorHAnsi" w:cstheme="minorBidi"/>
            <w:noProof/>
            <w:sz w:val="24"/>
            <w:szCs w:val="24"/>
            <w:lang w:val="en-US"/>
          </w:rPr>
          <w:tab/>
        </w:r>
        <w:r w:rsidRPr="00176DFC">
          <w:rPr>
            <w:rStyle w:val="Hyperlink"/>
            <w:noProof/>
          </w:rPr>
          <w:t xml:space="preserve">  REPRESSION OF CIVIL SOCIETY</w:t>
        </w:r>
        <w:r>
          <w:rPr>
            <w:noProof/>
            <w:webHidden/>
          </w:rPr>
          <w:tab/>
        </w:r>
        <w:r>
          <w:rPr>
            <w:noProof/>
            <w:webHidden/>
          </w:rPr>
          <w:fldChar w:fldCharType="begin"/>
        </w:r>
        <w:r>
          <w:rPr>
            <w:noProof/>
            <w:webHidden/>
          </w:rPr>
          <w:instrText xml:space="preserve"> PAGEREF _Toc83060467 \h </w:instrText>
        </w:r>
        <w:r>
          <w:rPr>
            <w:noProof/>
            <w:webHidden/>
          </w:rPr>
        </w:r>
        <w:r>
          <w:rPr>
            <w:noProof/>
            <w:webHidden/>
          </w:rPr>
          <w:fldChar w:fldCharType="separate"/>
        </w:r>
        <w:r>
          <w:rPr>
            <w:noProof/>
            <w:webHidden/>
          </w:rPr>
          <w:t>1</w:t>
        </w:r>
        <w:r>
          <w:rPr>
            <w:noProof/>
            <w:webHidden/>
          </w:rPr>
          <w:fldChar w:fldCharType="end"/>
        </w:r>
      </w:hyperlink>
    </w:p>
    <w:p w14:paraId="258C4A4B" w14:textId="67DA9D97" w:rsidR="008B2F6A" w:rsidRDefault="008B2F6A">
      <w:pPr>
        <w:pStyle w:val="TOC2"/>
        <w:tabs>
          <w:tab w:val="left" w:pos="720"/>
          <w:tab w:val="right" w:leader="dot" w:pos="9350"/>
        </w:tabs>
        <w:rPr>
          <w:rFonts w:asciiTheme="minorHAnsi" w:eastAsiaTheme="minorEastAsia" w:hAnsiTheme="minorHAnsi" w:cstheme="minorBidi"/>
          <w:noProof/>
          <w:sz w:val="24"/>
          <w:szCs w:val="24"/>
          <w:lang w:val="en-US"/>
        </w:rPr>
      </w:pPr>
      <w:hyperlink w:anchor="_Toc83060468" w:history="1">
        <w:r w:rsidRPr="00176DFC">
          <w:rPr>
            <w:rStyle w:val="Hyperlink"/>
            <w:noProof/>
          </w:rPr>
          <w:t xml:space="preserve">A. </w:t>
        </w:r>
        <w:r>
          <w:rPr>
            <w:rFonts w:asciiTheme="minorHAnsi" w:eastAsiaTheme="minorEastAsia" w:hAnsiTheme="minorHAnsi" w:cstheme="minorBidi"/>
            <w:noProof/>
            <w:sz w:val="24"/>
            <w:szCs w:val="24"/>
            <w:lang w:val="en-US"/>
          </w:rPr>
          <w:tab/>
        </w:r>
        <w:r w:rsidRPr="00176DFC">
          <w:rPr>
            <w:rStyle w:val="Hyperlink"/>
            <w:noProof/>
          </w:rPr>
          <w:t xml:space="preserve"> Violations of rights of Women Human Rights Defenders (WHRDs)</w:t>
        </w:r>
        <w:r>
          <w:rPr>
            <w:noProof/>
            <w:webHidden/>
          </w:rPr>
          <w:tab/>
        </w:r>
        <w:r>
          <w:rPr>
            <w:noProof/>
            <w:webHidden/>
          </w:rPr>
          <w:fldChar w:fldCharType="begin"/>
        </w:r>
        <w:r>
          <w:rPr>
            <w:noProof/>
            <w:webHidden/>
          </w:rPr>
          <w:instrText xml:space="preserve"> PAGEREF _Toc83060468 \h </w:instrText>
        </w:r>
        <w:r>
          <w:rPr>
            <w:noProof/>
            <w:webHidden/>
          </w:rPr>
        </w:r>
        <w:r>
          <w:rPr>
            <w:noProof/>
            <w:webHidden/>
          </w:rPr>
          <w:fldChar w:fldCharType="separate"/>
        </w:r>
        <w:r>
          <w:rPr>
            <w:noProof/>
            <w:webHidden/>
          </w:rPr>
          <w:t>2</w:t>
        </w:r>
        <w:r>
          <w:rPr>
            <w:noProof/>
            <w:webHidden/>
          </w:rPr>
          <w:fldChar w:fldCharType="end"/>
        </w:r>
      </w:hyperlink>
    </w:p>
    <w:p w14:paraId="120AF5F1" w14:textId="605EDC30" w:rsidR="008B2F6A" w:rsidRDefault="008B2F6A">
      <w:pPr>
        <w:pStyle w:val="TOC2"/>
        <w:tabs>
          <w:tab w:val="left" w:pos="720"/>
          <w:tab w:val="right" w:leader="dot" w:pos="9350"/>
        </w:tabs>
        <w:rPr>
          <w:rFonts w:asciiTheme="minorHAnsi" w:eastAsiaTheme="minorEastAsia" w:hAnsiTheme="minorHAnsi" w:cstheme="minorBidi"/>
          <w:noProof/>
          <w:sz w:val="24"/>
          <w:szCs w:val="24"/>
          <w:lang w:val="en-US"/>
        </w:rPr>
      </w:pPr>
      <w:hyperlink w:anchor="_Toc83060469" w:history="1">
        <w:r w:rsidRPr="00176DFC">
          <w:rPr>
            <w:rStyle w:val="Hyperlink"/>
            <w:noProof/>
          </w:rPr>
          <w:t xml:space="preserve">B. </w:t>
        </w:r>
        <w:r>
          <w:rPr>
            <w:rFonts w:asciiTheme="minorHAnsi" w:eastAsiaTheme="minorEastAsia" w:hAnsiTheme="minorHAnsi" w:cstheme="minorBidi"/>
            <w:noProof/>
            <w:sz w:val="24"/>
            <w:szCs w:val="24"/>
            <w:lang w:val="en-US"/>
          </w:rPr>
          <w:tab/>
        </w:r>
        <w:r w:rsidRPr="00176DFC">
          <w:rPr>
            <w:rStyle w:val="Hyperlink"/>
            <w:noProof/>
          </w:rPr>
          <w:t xml:space="preserve"> Crackdown on Women Social Media Influencers</w:t>
        </w:r>
        <w:r>
          <w:rPr>
            <w:noProof/>
            <w:webHidden/>
          </w:rPr>
          <w:tab/>
        </w:r>
        <w:r>
          <w:rPr>
            <w:noProof/>
            <w:webHidden/>
          </w:rPr>
          <w:fldChar w:fldCharType="begin"/>
        </w:r>
        <w:r>
          <w:rPr>
            <w:noProof/>
            <w:webHidden/>
          </w:rPr>
          <w:instrText xml:space="preserve"> PAGEREF _Toc83060469 \h </w:instrText>
        </w:r>
        <w:r>
          <w:rPr>
            <w:noProof/>
            <w:webHidden/>
          </w:rPr>
        </w:r>
        <w:r>
          <w:rPr>
            <w:noProof/>
            <w:webHidden/>
          </w:rPr>
          <w:fldChar w:fldCharType="separate"/>
        </w:r>
        <w:r>
          <w:rPr>
            <w:noProof/>
            <w:webHidden/>
          </w:rPr>
          <w:t>4</w:t>
        </w:r>
        <w:r>
          <w:rPr>
            <w:noProof/>
            <w:webHidden/>
          </w:rPr>
          <w:fldChar w:fldCharType="end"/>
        </w:r>
      </w:hyperlink>
    </w:p>
    <w:p w14:paraId="4989D818" w14:textId="1FE5126C" w:rsidR="008B2F6A" w:rsidRDefault="008B2F6A">
      <w:pPr>
        <w:pStyle w:val="TOC2"/>
        <w:tabs>
          <w:tab w:val="left" w:pos="720"/>
          <w:tab w:val="right" w:leader="dot" w:pos="9350"/>
        </w:tabs>
        <w:rPr>
          <w:rFonts w:asciiTheme="minorHAnsi" w:eastAsiaTheme="minorEastAsia" w:hAnsiTheme="minorHAnsi" w:cstheme="minorBidi"/>
          <w:noProof/>
          <w:sz w:val="24"/>
          <w:szCs w:val="24"/>
          <w:lang w:val="en-US"/>
        </w:rPr>
      </w:pPr>
      <w:hyperlink w:anchor="_Toc83060470" w:history="1">
        <w:r w:rsidRPr="00176DFC">
          <w:rPr>
            <w:rStyle w:val="Hyperlink"/>
            <w:noProof/>
          </w:rPr>
          <w:t>C.</w:t>
        </w:r>
        <w:r>
          <w:rPr>
            <w:rFonts w:asciiTheme="minorHAnsi" w:eastAsiaTheme="minorEastAsia" w:hAnsiTheme="minorHAnsi" w:cstheme="minorBidi"/>
            <w:noProof/>
            <w:sz w:val="24"/>
            <w:szCs w:val="24"/>
            <w:lang w:val="en-US"/>
          </w:rPr>
          <w:tab/>
        </w:r>
        <w:r w:rsidRPr="00176DFC">
          <w:rPr>
            <w:rStyle w:val="Hyperlink"/>
            <w:noProof/>
          </w:rPr>
          <w:t xml:space="preserve"> Recommendations</w:t>
        </w:r>
        <w:r>
          <w:rPr>
            <w:noProof/>
            <w:webHidden/>
          </w:rPr>
          <w:tab/>
        </w:r>
        <w:r>
          <w:rPr>
            <w:noProof/>
            <w:webHidden/>
          </w:rPr>
          <w:fldChar w:fldCharType="begin"/>
        </w:r>
        <w:r>
          <w:rPr>
            <w:noProof/>
            <w:webHidden/>
          </w:rPr>
          <w:instrText xml:space="preserve"> PAGEREF _Toc83060470 \h </w:instrText>
        </w:r>
        <w:r>
          <w:rPr>
            <w:noProof/>
            <w:webHidden/>
          </w:rPr>
        </w:r>
        <w:r>
          <w:rPr>
            <w:noProof/>
            <w:webHidden/>
          </w:rPr>
          <w:fldChar w:fldCharType="separate"/>
        </w:r>
        <w:r>
          <w:rPr>
            <w:noProof/>
            <w:webHidden/>
          </w:rPr>
          <w:t>7</w:t>
        </w:r>
        <w:r>
          <w:rPr>
            <w:noProof/>
            <w:webHidden/>
          </w:rPr>
          <w:fldChar w:fldCharType="end"/>
        </w:r>
      </w:hyperlink>
    </w:p>
    <w:p w14:paraId="4833FDBD" w14:textId="1E1A454C" w:rsidR="008B2F6A" w:rsidRDefault="008B2F6A">
      <w:pPr>
        <w:pStyle w:val="TOC1"/>
        <w:rPr>
          <w:rFonts w:asciiTheme="minorHAnsi" w:eastAsiaTheme="minorEastAsia" w:hAnsiTheme="minorHAnsi" w:cstheme="minorBidi"/>
          <w:noProof/>
          <w:sz w:val="24"/>
          <w:szCs w:val="24"/>
          <w:lang w:val="en-US"/>
        </w:rPr>
      </w:pPr>
      <w:hyperlink w:anchor="_Toc83060471" w:history="1">
        <w:r w:rsidRPr="00176DFC">
          <w:rPr>
            <w:rStyle w:val="Hyperlink"/>
            <w:noProof/>
          </w:rPr>
          <w:t xml:space="preserve">II. </w:t>
        </w:r>
        <w:r>
          <w:rPr>
            <w:rFonts w:asciiTheme="minorHAnsi" w:eastAsiaTheme="minorEastAsia" w:hAnsiTheme="minorHAnsi" w:cstheme="minorBidi"/>
            <w:noProof/>
            <w:sz w:val="24"/>
            <w:szCs w:val="24"/>
            <w:lang w:val="en-US"/>
          </w:rPr>
          <w:tab/>
        </w:r>
        <w:r w:rsidRPr="00176DFC">
          <w:rPr>
            <w:rStyle w:val="Hyperlink"/>
            <w:noProof/>
          </w:rPr>
          <w:t xml:space="preserve">  IMPACTS OF MILITARISATION ON HUMAN RIGHTS</w:t>
        </w:r>
        <w:r>
          <w:rPr>
            <w:noProof/>
            <w:webHidden/>
          </w:rPr>
          <w:tab/>
        </w:r>
        <w:r>
          <w:rPr>
            <w:noProof/>
            <w:webHidden/>
          </w:rPr>
          <w:fldChar w:fldCharType="begin"/>
        </w:r>
        <w:r>
          <w:rPr>
            <w:noProof/>
            <w:webHidden/>
          </w:rPr>
          <w:instrText xml:space="preserve"> PAGEREF _Toc83060471 \h </w:instrText>
        </w:r>
        <w:r>
          <w:rPr>
            <w:noProof/>
            <w:webHidden/>
          </w:rPr>
        </w:r>
        <w:r>
          <w:rPr>
            <w:noProof/>
            <w:webHidden/>
          </w:rPr>
          <w:fldChar w:fldCharType="separate"/>
        </w:r>
        <w:r>
          <w:rPr>
            <w:noProof/>
            <w:webHidden/>
          </w:rPr>
          <w:t>9</w:t>
        </w:r>
        <w:r>
          <w:rPr>
            <w:noProof/>
            <w:webHidden/>
          </w:rPr>
          <w:fldChar w:fldCharType="end"/>
        </w:r>
      </w:hyperlink>
    </w:p>
    <w:p w14:paraId="0D9A2084" w14:textId="3C81A694" w:rsidR="008B2F6A" w:rsidRDefault="008B2F6A">
      <w:pPr>
        <w:pStyle w:val="TOC2"/>
        <w:tabs>
          <w:tab w:val="left" w:pos="720"/>
          <w:tab w:val="right" w:leader="dot" w:pos="9350"/>
        </w:tabs>
        <w:rPr>
          <w:rFonts w:asciiTheme="minorHAnsi" w:eastAsiaTheme="minorEastAsia" w:hAnsiTheme="minorHAnsi" w:cstheme="minorBidi"/>
          <w:noProof/>
          <w:sz w:val="24"/>
          <w:szCs w:val="24"/>
          <w:lang w:val="en-US"/>
        </w:rPr>
      </w:pPr>
      <w:hyperlink w:anchor="_Toc83060472" w:history="1">
        <w:r w:rsidRPr="00176DFC">
          <w:rPr>
            <w:rStyle w:val="Hyperlink"/>
            <w:noProof/>
          </w:rPr>
          <w:t>A.</w:t>
        </w:r>
        <w:r>
          <w:rPr>
            <w:rFonts w:asciiTheme="minorHAnsi" w:eastAsiaTheme="minorEastAsia" w:hAnsiTheme="minorHAnsi" w:cstheme="minorBidi"/>
            <w:noProof/>
            <w:sz w:val="24"/>
            <w:szCs w:val="24"/>
            <w:lang w:val="en-US"/>
          </w:rPr>
          <w:tab/>
        </w:r>
        <w:r w:rsidRPr="00176DFC">
          <w:rPr>
            <w:rStyle w:val="Hyperlink"/>
            <w:noProof/>
          </w:rPr>
          <w:t>Impacts of arms on women’s human rights</w:t>
        </w:r>
        <w:r>
          <w:rPr>
            <w:noProof/>
            <w:webHidden/>
          </w:rPr>
          <w:tab/>
        </w:r>
        <w:r>
          <w:rPr>
            <w:noProof/>
            <w:webHidden/>
          </w:rPr>
          <w:fldChar w:fldCharType="begin"/>
        </w:r>
        <w:r>
          <w:rPr>
            <w:noProof/>
            <w:webHidden/>
          </w:rPr>
          <w:instrText xml:space="preserve"> PAGEREF _Toc83060472 \h </w:instrText>
        </w:r>
        <w:r>
          <w:rPr>
            <w:noProof/>
            <w:webHidden/>
          </w:rPr>
        </w:r>
        <w:r>
          <w:rPr>
            <w:noProof/>
            <w:webHidden/>
          </w:rPr>
          <w:fldChar w:fldCharType="separate"/>
        </w:r>
        <w:r>
          <w:rPr>
            <w:noProof/>
            <w:webHidden/>
          </w:rPr>
          <w:t>9</w:t>
        </w:r>
        <w:r>
          <w:rPr>
            <w:noProof/>
            <w:webHidden/>
          </w:rPr>
          <w:fldChar w:fldCharType="end"/>
        </w:r>
      </w:hyperlink>
    </w:p>
    <w:p w14:paraId="6CDE2E29" w14:textId="43E948F6" w:rsidR="008B2F6A" w:rsidRDefault="008B2F6A">
      <w:pPr>
        <w:pStyle w:val="TOC2"/>
        <w:tabs>
          <w:tab w:val="left" w:pos="720"/>
          <w:tab w:val="right" w:leader="dot" w:pos="9350"/>
        </w:tabs>
        <w:rPr>
          <w:rFonts w:asciiTheme="minorHAnsi" w:eastAsiaTheme="minorEastAsia" w:hAnsiTheme="minorHAnsi" w:cstheme="minorBidi"/>
          <w:noProof/>
          <w:sz w:val="24"/>
          <w:szCs w:val="24"/>
          <w:lang w:val="en-US"/>
        </w:rPr>
      </w:pPr>
      <w:hyperlink w:anchor="_Toc83060473" w:history="1">
        <w:r w:rsidRPr="00176DFC">
          <w:rPr>
            <w:rStyle w:val="Hyperlink"/>
            <w:noProof/>
          </w:rPr>
          <w:t xml:space="preserve">B. </w:t>
        </w:r>
        <w:r>
          <w:rPr>
            <w:rFonts w:asciiTheme="minorHAnsi" w:eastAsiaTheme="minorEastAsia" w:hAnsiTheme="minorHAnsi" w:cstheme="minorBidi"/>
            <w:noProof/>
            <w:sz w:val="24"/>
            <w:szCs w:val="24"/>
            <w:lang w:val="en-US"/>
          </w:rPr>
          <w:tab/>
        </w:r>
        <w:r w:rsidRPr="00176DFC">
          <w:rPr>
            <w:rStyle w:val="Hyperlink"/>
            <w:noProof/>
          </w:rPr>
          <w:t>Impacts of surveillance technologies on women’s human rights</w:t>
        </w:r>
        <w:r>
          <w:rPr>
            <w:noProof/>
            <w:webHidden/>
          </w:rPr>
          <w:tab/>
        </w:r>
        <w:r>
          <w:rPr>
            <w:noProof/>
            <w:webHidden/>
          </w:rPr>
          <w:fldChar w:fldCharType="begin"/>
        </w:r>
        <w:r>
          <w:rPr>
            <w:noProof/>
            <w:webHidden/>
          </w:rPr>
          <w:instrText xml:space="preserve"> PAGEREF _Toc83060473 \h </w:instrText>
        </w:r>
        <w:r>
          <w:rPr>
            <w:noProof/>
            <w:webHidden/>
          </w:rPr>
        </w:r>
        <w:r>
          <w:rPr>
            <w:noProof/>
            <w:webHidden/>
          </w:rPr>
          <w:fldChar w:fldCharType="separate"/>
        </w:r>
        <w:r>
          <w:rPr>
            <w:noProof/>
            <w:webHidden/>
          </w:rPr>
          <w:t>13</w:t>
        </w:r>
        <w:r>
          <w:rPr>
            <w:noProof/>
            <w:webHidden/>
          </w:rPr>
          <w:fldChar w:fldCharType="end"/>
        </w:r>
      </w:hyperlink>
    </w:p>
    <w:p w14:paraId="229DBC4E" w14:textId="36CEF369" w:rsidR="008B2F6A" w:rsidRDefault="008B2F6A">
      <w:pPr>
        <w:pStyle w:val="TOC2"/>
        <w:tabs>
          <w:tab w:val="left" w:pos="720"/>
          <w:tab w:val="right" w:leader="dot" w:pos="9350"/>
        </w:tabs>
        <w:rPr>
          <w:rFonts w:asciiTheme="minorHAnsi" w:eastAsiaTheme="minorEastAsia" w:hAnsiTheme="minorHAnsi" w:cstheme="minorBidi"/>
          <w:noProof/>
          <w:sz w:val="24"/>
          <w:szCs w:val="24"/>
          <w:lang w:val="en-US"/>
        </w:rPr>
      </w:pPr>
      <w:hyperlink w:anchor="_Toc83060474" w:history="1">
        <w:r w:rsidRPr="00176DFC">
          <w:rPr>
            <w:rStyle w:val="Hyperlink"/>
            <w:noProof/>
          </w:rPr>
          <w:t>C.</w:t>
        </w:r>
        <w:r>
          <w:rPr>
            <w:rFonts w:asciiTheme="minorHAnsi" w:eastAsiaTheme="minorEastAsia" w:hAnsiTheme="minorHAnsi" w:cstheme="minorBidi"/>
            <w:noProof/>
            <w:sz w:val="24"/>
            <w:szCs w:val="24"/>
            <w:lang w:val="en-US"/>
          </w:rPr>
          <w:tab/>
        </w:r>
        <w:r w:rsidRPr="00176DFC">
          <w:rPr>
            <w:rStyle w:val="Hyperlink"/>
            <w:noProof/>
          </w:rPr>
          <w:t xml:space="preserve"> Recommendations</w:t>
        </w:r>
        <w:r>
          <w:rPr>
            <w:noProof/>
            <w:webHidden/>
          </w:rPr>
          <w:tab/>
        </w:r>
        <w:r>
          <w:rPr>
            <w:noProof/>
            <w:webHidden/>
          </w:rPr>
          <w:fldChar w:fldCharType="begin"/>
        </w:r>
        <w:r>
          <w:rPr>
            <w:noProof/>
            <w:webHidden/>
          </w:rPr>
          <w:instrText xml:space="preserve"> PAGEREF _Toc83060474 \h </w:instrText>
        </w:r>
        <w:r>
          <w:rPr>
            <w:noProof/>
            <w:webHidden/>
          </w:rPr>
        </w:r>
        <w:r>
          <w:rPr>
            <w:noProof/>
            <w:webHidden/>
          </w:rPr>
          <w:fldChar w:fldCharType="separate"/>
        </w:r>
        <w:r>
          <w:rPr>
            <w:noProof/>
            <w:webHidden/>
          </w:rPr>
          <w:t>15</w:t>
        </w:r>
        <w:r>
          <w:rPr>
            <w:noProof/>
            <w:webHidden/>
          </w:rPr>
          <w:fldChar w:fldCharType="end"/>
        </w:r>
      </w:hyperlink>
    </w:p>
    <w:p w14:paraId="68D69F57" w14:textId="3E469CC4" w:rsidR="005A0B3D" w:rsidRDefault="008B2F6A">
      <w:pPr>
        <w:rPr>
          <w:rFonts w:ascii="Franklin Gothic Demi" w:hAnsi="Franklin Gothic Demi"/>
          <w:b/>
          <w:color w:val="17365D" w:themeColor="text2" w:themeShade="BF"/>
          <w:sz w:val="28"/>
          <w:szCs w:val="28"/>
        </w:rPr>
      </w:pPr>
      <w:r>
        <w:rPr>
          <w:rFonts w:ascii="Franklin Gothic Demi" w:hAnsi="Franklin Gothic Demi"/>
          <w:b/>
          <w:color w:val="17365D" w:themeColor="text2" w:themeShade="BF"/>
          <w:sz w:val="28"/>
          <w:szCs w:val="28"/>
        </w:rPr>
        <w:fldChar w:fldCharType="end"/>
      </w:r>
    </w:p>
    <w:p w14:paraId="4DF950A0" w14:textId="67A6FCBE" w:rsidR="00470175" w:rsidRPr="005E47C5" w:rsidRDefault="005A0B3D" w:rsidP="005E47C5">
      <w:pPr>
        <w:rPr>
          <w:rFonts w:ascii="Franklin Gothic Demi" w:hAnsi="Franklin Gothic Demi"/>
          <w:b/>
          <w:color w:val="17365D" w:themeColor="text2" w:themeShade="BF"/>
          <w:sz w:val="28"/>
          <w:szCs w:val="28"/>
        </w:rPr>
      </w:pPr>
      <w:r>
        <w:rPr>
          <w:rFonts w:ascii="Franklin Gothic Demi" w:hAnsi="Franklin Gothic Demi"/>
          <w:b/>
          <w:color w:val="17365D" w:themeColor="text2" w:themeShade="BF"/>
          <w:sz w:val="28"/>
          <w:szCs w:val="28"/>
        </w:rPr>
        <w:br w:type="page"/>
      </w:r>
    </w:p>
    <w:p w14:paraId="4E265896" w14:textId="02CD4AD4" w:rsidR="005A0B3D" w:rsidRPr="005A0B3D" w:rsidRDefault="00963801" w:rsidP="005A0B3D">
      <w:pPr>
        <w:pStyle w:val="Heading1"/>
      </w:pPr>
      <w:bookmarkStart w:id="1" w:name="_Toc69375038"/>
      <w:bookmarkStart w:id="2" w:name="_Toc83059572"/>
      <w:bookmarkStart w:id="3" w:name="_Toc83059623"/>
      <w:bookmarkStart w:id="4" w:name="_Toc83060467"/>
      <w:r w:rsidRPr="005A0B3D">
        <w:lastRenderedPageBreak/>
        <w:t>I.</w:t>
      </w:r>
      <w:r w:rsidRPr="005A0B3D">
        <w:tab/>
      </w:r>
      <w:r w:rsidRPr="005A0B3D">
        <w:tab/>
      </w:r>
      <w:r w:rsidRPr="005A0B3D">
        <w:tab/>
      </w:r>
      <w:bookmarkEnd w:id="0"/>
      <w:bookmarkEnd w:id="1"/>
      <w:r w:rsidR="00AA0C1A" w:rsidRPr="005A0B3D">
        <w:t>REPRESSION OF CIVIL SOCIETY</w:t>
      </w:r>
      <w:bookmarkEnd w:id="2"/>
      <w:bookmarkEnd w:id="3"/>
      <w:bookmarkEnd w:id="4"/>
      <w:r w:rsidR="00AA0C1A" w:rsidRPr="005A0B3D">
        <w:t xml:space="preserve"> </w:t>
      </w:r>
      <w:bookmarkStart w:id="5" w:name="_heading=h.30j0zll" w:colFirst="0" w:colLast="0"/>
      <w:bookmarkEnd w:id="5"/>
    </w:p>
    <w:p w14:paraId="02543FDB" w14:textId="24F1D2B9" w:rsidR="005A0B3D" w:rsidRPr="005A0B3D" w:rsidRDefault="005A0B3D" w:rsidP="005A0B3D">
      <w:r w:rsidRPr="005A0B3D">
        <w:t>Amidst the COVID-19 crisis Egyptian authorities’ intensified repression of critical voices throughout 2020,</w:t>
      </w:r>
      <w:r w:rsidRPr="005A0B3D">
        <w:rPr>
          <w:vertAlign w:val="superscript"/>
        </w:rPr>
        <w:footnoteReference w:id="1"/>
      </w:r>
      <w:r w:rsidRPr="005A0B3D">
        <w:t xml:space="preserve"> including by adopting amendments to the Emergency Law in 2020, which granted additional power to police and security forces and prohibited all public and private meetings, assemblies, protests, parades, and any other forms of assemblies — thus adding to the existing severe restrictions on freedom of expression and association and rendering peaceful assembly almost impossible.</w:t>
      </w:r>
      <w:r w:rsidRPr="005A0B3D">
        <w:rPr>
          <w:vertAlign w:val="superscript"/>
        </w:rPr>
        <w:footnoteReference w:id="2"/>
      </w:r>
      <w:r w:rsidRPr="005A0B3D">
        <w:t xml:space="preserve"> Activists, journalists, LGBTIQ+ persons or those perceived as such, human rights organisations, and healthcare workers questioning the government’s management of the pandemic, are continuously subjected to a myriad of violations, often facing charges of ‘terrorism’ as the regime clamps down on peaceful opposition. </w:t>
      </w:r>
    </w:p>
    <w:p w14:paraId="75225C45" w14:textId="77777777" w:rsidR="005A0B3D" w:rsidRPr="005A0B3D" w:rsidRDefault="005A0B3D" w:rsidP="005A0B3D"/>
    <w:p w14:paraId="2A30943D" w14:textId="5652E54E" w:rsidR="005A0B3D" w:rsidRPr="005A0B3D" w:rsidRDefault="005A0B3D" w:rsidP="005A0B3D">
      <w:r w:rsidRPr="005A0B3D">
        <w:t>Such violations include mass arbitrary detentions, torture, forced disappearance, and extrajudicial executions, including summary killings of civilians during protests.</w:t>
      </w:r>
      <w:r w:rsidRPr="005A0B3D">
        <w:rPr>
          <w:vertAlign w:val="superscript"/>
        </w:rPr>
        <w:footnoteReference w:id="3"/>
      </w:r>
      <w:r w:rsidRPr="005A0B3D">
        <w:t xml:space="preserve"> In its latest Universal Periodic Review, Egypt received 15 recommendations related to freedom of expression</w:t>
      </w:r>
      <w:r w:rsidRPr="005A0B3D">
        <w:rPr>
          <w:vertAlign w:val="superscript"/>
        </w:rPr>
        <w:footnoteReference w:id="4"/>
      </w:r>
      <w:r w:rsidRPr="005A0B3D">
        <w:t xml:space="preserve"> and 16 recommendations on human rights defenders, demonstrating the scale of international concern on these issues.</w:t>
      </w:r>
      <w:r w:rsidRPr="005A0B3D">
        <w:rPr>
          <w:vertAlign w:val="superscript"/>
        </w:rPr>
        <w:footnoteReference w:id="5"/>
      </w:r>
      <w:r w:rsidRPr="005A0B3D">
        <w:t xml:space="preserve"> As the CEDAW Committee stated in its List of issues (LOIs) on Egypt, “civic space for women human rights defenders is shrinking, given that women human rights activists and journalists </w:t>
      </w:r>
      <w:r w:rsidRPr="005A0B3D">
        <w:lastRenderedPageBreak/>
        <w:t>continue to be subjected to threats, arrests and prosecution on arbitrary charges, in particular for offences related to morality.”</w:t>
      </w:r>
      <w:r w:rsidRPr="005A0B3D">
        <w:rPr>
          <w:vertAlign w:val="superscript"/>
        </w:rPr>
        <w:footnoteReference w:id="6"/>
      </w:r>
    </w:p>
    <w:p w14:paraId="4533B9C0" w14:textId="77777777" w:rsidR="005A0B3D" w:rsidRPr="005A0B3D" w:rsidRDefault="005A0B3D" w:rsidP="005A0B3D"/>
    <w:p w14:paraId="24B3C48C" w14:textId="7FECE651" w:rsidR="005A0B3D" w:rsidRPr="005A0B3D" w:rsidRDefault="005A0B3D" w:rsidP="005A0B3D">
      <w:pPr>
        <w:pStyle w:val="Heading2"/>
      </w:pPr>
      <w:bookmarkStart w:id="6" w:name="_3k1hbho5r5vm" w:colFirst="0" w:colLast="0"/>
      <w:bookmarkStart w:id="7" w:name="_Toc83059573"/>
      <w:bookmarkStart w:id="8" w:name="_Toc83059624"/>
      <w:bookmarkStart w:id="9" w:name="_Toc83060468"/>
      <w:bookmarkEnd w:id="6"/>
      <w:r w:rsidRPr="005A0B3D">
        <w:t xml:space="preserve">A. </w:t>
      </w:r>
      <w:r w:rsidR="008B2F6A">
        <w:tab/>
      </w:r>
      <w:r w:rsidR="008B2F6A">
        <w:tab/>
      </w:r>
      <w:r w:rsidRPr="005A0B3D">
        <w:t>Violations of rights of Women Human Rights Defenders (WHRDs)</w:t>
      </w:r>
      <w:bookmarkEnd w:id="7"/>
      <w:bookmarkEnd w:id="8"/>
      <w:bookmarkEnd w:id="9"/>
    </w:p>
    <w:p w14:paraId="1F880747" w14:textId="77777777" w:rsidR="005A0B3D" w:rsidRPr="005A0B3D" w:rsidRDefault="005A0B3D" w:rsidP="005A0B3D"/>
    <w:p w14:paraId="408BEF28" w14:textId="77777777" w:rsidR="005A0B3D" w:rsidRPr="005A0B3D" w:rsidRDefault="005A0B3D" w:rsidP="005A0B3D">
      <w:pPr>
        <w:rPr>
          <w:vertAlign w:val="superscript"/>
        </w:rPr>
      </w:pPr>
      <w:r w:rsidRPr="005A0B3D">
        <w:t>Egyptian WHRDs have faced reprisals due to their engagement with the UN, including when participating in training on gender equality and women’s rights.</w:t>
      </w:r>
      <w:r w:rsidRPr="005A0B3D">
        <w:rPr>
          <w:vertAlign w:val="superscript"/>
        </w:rPr>
        <w:footnoteReference w:id="7"/>
      </w:r>
      <w:r w:rsidRPr="005A0B3D">
        <w:t xml:space="preserve"> For example, the Special Rapporteur on the right to housing condemned arbitrary arrest, intimidation and reprisals and other violations against persons she met during her official country visit to Egypt.</w:t>
      </w:r>
      <w:r w:rsidRPr="005A0B3D">
        <w:rPr>
          <w:vertAlign w:val="superscript"/>
        </w:rPr>
        <w:footnoteReference w:id="8"/>
      </w:r>
      <w:r w:rsidRPr="005A0B3D">
        <w:t xml:space="preserve"> Together with the Special Rapporteur on Human Rights Defenders (HRDs), she cautioned against further Special Procedures’ visits in current circumstances. The experts stated that “unless Egypt ensures that human rights defenders and victims of human rights violations can interact with UN human rights envoys without fear of reprisal, it is in our view not ready to host further visits.”</w:t>
      </w:r>
      <w:r w:rsidRPr="005A0B3D">
        <w:rPr>
          <w:vertAlign w:val="superscript"/>
        </w:rPr>
        <w:footnoteReference w:id="9"/>
      </w:r>
    </w:p>
    <w:p w14:paraId="5362AC7E" w14:textId="77777777" w:rsidR="005A0B3D" w:rsidRPr="005A0B3D" w:rsidRDefault="005A0B3D" w:rsidP="005A0B3D">
      <w:pPr>
        <w:rPr>
          <w:vertAlign w:val="superscript"/>
        </w:rPr>
      </w:pPr>
    </w:p>
    <w:p w14:paraId="0B804B3F" w14:textId="57146953" w:rsidR="005A0B3D" w:rsidRPr="005A0B3D" w:rsidRDefault="005A0B3D" w:rsidP="008B2F6A">
      <w:pPr>
        <w:widowControl w:val="0"/>
      </w:pPr>
      <w:r w:rsidRPr="005A0B3D">
        <w:t xml:space="preserve">Moreover, despite Egypt’s passing of a new law on NGOs in 2019 (Law no. 149), human rights defenders are still facing travel bans, asset freezes, and, </w:t>
      </w:r>
      <w:r w:rsidRPr="005A0B3D">
        <w:rPr>
          <w:rFonts w:ascii="Arial" w:hAnsi="Arial" w:cs="Arial"/>
        </w:rPr>
        <w:t>​​</w:t>
      </w:r>
      <w:r w:rsidRPr="005A0B3D">
        <w:t xml:space="preserve">in </w:t>
      </w:r>
      <w:r w:rsidR="00EF1DD3">
        <w:t>c</w:t>
      </w:r>
      <w:r w:rsidRPr="005A0B3D">
        <w:t>ase no. 173/2011, up to 25 years imprisonment.</w:t>
      </w:r>
      <w:r w:rsidRPr="005A0B3D">
        <w:rPr>
          <w:vertAlign w:val="superscript"/>
        </w:rPr>
        <w:footnoteReference w:id="10"/>
      </w:r>
      <w:r w:rsidRPr="005A0B3D">
        <w:t xml:space="preserve"> </w:t>
      </w:r>
      <w:r w:rsidR="000E2B9A">
        <w:t>A</w:t>
      </w:r>
      <w:r w:rsidRPr="005A0B3D">
        <w:t>bductions, arrests and torture of WHRDs have been reported on multiple</w:t>
      </w:r>
      <w:r w:rsidR="008B2F6A">
        <w:t xml:space="preserve"> </w:t>
      </w:r>
      <w:r w:rsidRPr="005A0B3D">
        <w:lastRenderedPageBreak/>
        <w:t>occasions.</w:t>
      </w:r>
      <w:r w:rsidRPr="005A0B3D">
        <w:rPr>
          <w:vertAlign w:val="superscript"/>
        </w:rPr>
        <w:footnoteReference w:id="11"/>
      </w:r>
      <w:r w:rsidRPr="005A0B3D">
        <w:t xml:space="preserve"> In some cases, WHRDs were subjected to house arrest on the basis of false accusations, such as in case 173 (NGOs foreign funding case)</w:t>
      </w:r>
      <w:r w:rsidRPr="005A0B3D">
        <w:rPr>
          <w:vertAlign w:val="superscript"/>
        </w:rPr>
        <w:footnoteReference w:id="12"/>
      </w:r>
      <w:r w:rsidRPr="005A0B3D">
        <w:t xml:space="preserve"> and case 621.</w:t>
      </w:r>
      <w:r w:rsidRPr="005A0B3D">
        <w:rPr>
          <w:vertAlign w:val="superscript"/>
        </w:rPr>
        <w:footnoteReference w:id="13"/>
      </w:r>
    </w:p>
    <w:p w14:paraId="53D371D3" w14:textId="77777777" w:rsidR="005A0B3D" w:rsidRPr="005A0B3D" w:rsidRDefault="005A0B3D" w:rsidP="005A0B3D"/>
    <w:p w14:paraId="71C27F7F" w14:textId="63516076" w:rsidR="005A0B3D" w:rsidRPr="005A0B3D" w:rsidRDefault="005A0B3D" w:rsidP="005A0B3D">
      <w:r w:rsidRPr="005A0B3D">
        <w:t>Furthermore, in July 2021, the Special Rapporteur on HRDs stated that HRDs have been “detained without warrants, held incommunicado and then accused of multiple spurious offences.”</w:t>
      </w:r>
      <w:r w:rsidRPr="005A0B3D">
        <w:rPr>
          <w:vertAlign w:val="superscript"/>
        </w:rPr>
        <w:footnoteReference w:id="14"/>
      </w:r>
      <w:r w:rsidRPr="005A0B3D">
        <w:t xml:space="preserve"> These include WHRDs such as: </w:t>
      </w:r>
      <w:proofErr w:type="spellStart"/>
      <w:r w:rsidRPr="005A0B3D">
        <w:rPr>
          <w:i/>
        </w:rPr>
        <w:t>Mahienour</w:t>
      </w:r>
      <w:proofErr w:type="spellEnd"/>
      <w:r w:rsidRPr="005A0B3D">
        <w:rPr>
          <w:i/>
        </w:rPr>
        <w:t xml:space="preserve"> El-</w:t>
      </w:r>
      <w:proofErr w:type="spellStart"/>
      <w:r w:rsidRPr="005A0B3D">
        <w:rPr>
          <w:i/>
        </w:rPr>
        <w:t>Masry</w:t>
      </w:r>
      <w:proofErr w:type="spellEnd"/>
      <w:r w:rsidRPr="005A0B3D">
        <w:t xml:space="preserve">, lawyer, </w:t>
      </w:r>
      <w:proofErr w:type="spellStart"/>
      <w:r w:rsidRPr="005A0B3D">
        <w:rPr>
          <w:i/>
        </w:rPr>
        <w:t>Hoda</w:t>
      </w:r>
      <w:proofErr w:type="spellEnd"/>
      <w:r w:rsidRPr="005A0B3D">
        <w:rPr>
          <w:i/>
        </w:rPr>
        <w:t xml:space="preserve"> Abdel </w:t>
      </w:r>
      <w:proofErr w:type="spellStart"/>
      <w:r w:rsidRPr="005A0B3D">
        <w:rPr>
          <w:i/>
        </w:rPr>
        <w:t>Moneim</w:t>
      </w:r>
      <w:proofErr w:type="spellEnd"/>
      <w:r w:rsidRPr="005A0B3D">
        <w:t>, Egyptian Coordination for Rights and Freedoms (ECRF) board member,</w:t>
      </w:r>
      <w:r w:rsidRPr="005A0B3D">
        <w:rPr>
          <w:i/>
        </w:rPr>
        <w:t xml:space="preserve"> Aisha El </w:t>
      </w:r>
      <w:proofErr w:type="spellStart"/>
      <w:r w:rsidRPr="005A0B3D">
        <w:rPr>
          <w:i/>
        </w:rPr>
        <w:t>Shatr</w:t>
      </w:r>
      <w:proofErr w:type="spellEnd"/>
      <w:r w:rsidRPr="005A0B3D">
        <w:t xml:space="preserve">, ECRF board member and </w:t>
      </w:r>
      <w:r w:rsidRPr="005A0B3D">
        <w:rPr>
          <w:i/>
        </w:rPr>
        <w:t xml:space="preserve">Sana </w:t>
      </w:r>
      <w:proofErr w:type="spellStart"/>
      <w:r w:rsidRPr="005A0B3D">
        <w:rPr>
          <w:i/>
        </w:rPr>
        <w:t>Seif</w:t>
      </w:r>
      <w:proofErr w:type="spellEnd"/>
      <w:r w:rsidRPr="005A0B3D">
        <w:rPr>
          <w:i/>
        </w:rPr>
        <w:t xml:space="preserve">, </w:t>
      </w:r>
      <w:r w:rsidRPr="005A0B3D">
        <w:t>film editor.</w:t>
      </w:r>
      <w:r w:rsidRPr="005A0B3D">
        <w:rPr>
          <w:vertAlign w:val="superscript"/>
        </w:rPr>
        <w:footnoteReference w:id="15"/>
      </w:r>
      <w:r w:rsidRPr="005A0B3D">
        <w:t xml:space="preserve"> WHRDs are facing gender-specific risks and violence during their detention. For instance, </w:t>
      </w:r>
      <w:r w:rsidRPr="005A0B3D">
        <w:lastRenderedPageBreak/>
        <w:t xml:space="preserve">journalist and </w:t>
      </w:r>
      <w:proofErr w:type="spellStart"/>
      <w:r w:rsidRPr="005A0B3D">
        <w:t>whistleblower</w:t>
      </w:r>
      <w:proofErr w:type="spellEnd"/>
      <w:r w:rsidRPr="005A0B3D">
        <w:t xml:space="preserve"> </w:t>
      </w:r>
      <w:proofErr w:type="spellStart"/>
      <w:r w:rsidRPr="005A0B3D">
        <w:rPr>
          <w:i/>
        </w:rPr>
        <w:t>Solafa</w:t>
      </w:r>
      <w:proofErr w:type="spellEnd"/>
      <w:r w:rsidRPr="005A0B3D">
        <w:rPr>
          <w:i/>
        </w:rPr>
        <w:t xml:space="preserve"> Magdy</w:t>
      </w:r>
      <w:r w:rsidRPr="005A0B3D">
        <w:t>, who was finally released in April 2021, had been denied access to food and medical supplies and contact with her family during her detention.</w:t>
      </w:r>
      <w:r w:rsidRPr="005A0B3D">
        <w:rPr>
          <w:vertAlign w:val="superscript"/>
        </w:rPr>
        <w:footnoteReference w:id="16"/>
      </w:r>
      <w:r w:rsidRPr="005A0B3D">
        <w:t xml:space="preserve"> She also had repeatedly been physically and sexually assaulted whilst in prison.</w:t>
      </w:r>
      <w:r w:rsidRPr="005A0B3D">
        <w:rPr>
          <w:vertAlign w:val="superscript"/>
        </w:rPr>
        <w:footnoteReference w:id="17"/>
      </w:r>
      <w:r w:rsidRPr="005A0B3D">
        <w:t xml:space="preserve"> </w:t>
      </w:r>
    </w:p>
    <w:p w14:paraId="4DA20ECA" w14:textId="77777777" w:rsidR="005A0B3D" w:rsidRPr="005A0B3D" w:rsidRDefault="005A0B3D" w:rsidP="005A0B3D"/>
    <w:p w14:paraId="5D1E4BB3" w14:textId="409D819C" w:rsidR="005A0B3D" w:rsidRPr="005A0B3D" w:rsidRDefault="005A0B3D" w:rsidP="005A0B3D">
      <w:r w:rsidRPr="005A0B3D">
        <w:t>In July 2021, three Special Procedures sent to the government a detailed communication with concerns regarding the Law 149/2019 and its 2021 by-law (or regulations).</w:t>
      </w:r>
      <w:r w:rsidRPr="005A0B3D">
        <w:rPr>
          <w:vertAlign w:val="superscript"/>
        </w:rPr>
        <w:footnoteReference w:id="18"/>
      </w:r>
      <w:r w:rsidRPr="005A0B3D">
        <w:t xml:space="preserve"> Cases of HRDs have also been the subject of several urgent appeals and communications by Special Procedures (all available in the OHCHR Communications database).</w:t>
      </w:r>
      <w:r w:rsidR="00EF1DD3" w:rsidRPr="005A0B3D">
        <w:rPr>
          <w:vertAlign w:val="superscript"/>
        </w:rPr>
        <w:footnoteReference w:id="19"/>
      </w:r>
      <w:r w:rsidRPr="005A0B3D">
        <w:t xml:space="preserve"> </w:t>
      </w:r>
    </w:p>
    <w:p w14:paraId="6E4AF694" w14:textId="77777777" w:rsidR="005A0B3D" w:rsidRPr="005A0B3D" w:rsidRDefault="005A0B3D" w:rsidP="005A0B3D"/>
    <w:p w14:paraId="28C1CA9F" w14:textId="20B16EF1" w:rsidR="005A0B3D" w:rsidRPr="005A0B3D" w:rsidRDefault="005A0B3D" w:rsidP="005A0B3D">
      <w:pPr>
        <w:pStyle w:val="Heading2"/>
      </w:pPr>
      <w:bookmarkStart w:id="11" w:name="_r9hbj5nchpm8" w:colFirst="0" w:colLast="0"/>
      <w:bookmarkStart w:id="12" w:name="_Toc83059574"/>
      <w:bookmarkStart w:id="13" w:name="_Toc83059625"/>
      <w:bookmarkStart w:id="14" w:name="_Toc83060469"/>
      <w:bookmarkEnd w:id="11"/>
      <w:r w:rsidRPr="005A0B3D">
        <w:t xml:space="preserve">B. </w:t>
      </w:r>
      <w:r w:rsidR="008B2F6A">
        <w:tab/>
      </w:r>
      <w:r w:rsidR="008B2F6A">
        <w:tab/>
      </w:r>
      <w:r w:rsidRPr="005A0B3D">
        <w:t>Crackdown on Women Social Media Influencers</w:t>
      </w:r>
      <w:bookmarkEnd w:id="12"/>
      <w:bookmarkEnd w:id="13"/>
      <w:bookmarkEnd w:id="14"/>
    </w:p>
    <w:p w14:paraId="74643D1C" w14:textId="77777777" w:rsidR="005A0B3D" w:rsidRPr="005A0B3D" w:rsidRDefault="005A0B3D" w:rsidP="005A0B3D">
      <w:pPr>
        <w:pStyle w:val="Normal1"/>
      </w:pPr>
    </w:p>
    <w:p w14:paraId="2D86F3CE" w14:textId="596F7288" w:rsidR="005A0B3D" w:rsidRPr="005A0B3D" w:rsidRDefault="005A0B3D" w:rsidP="005A0B3D">
      <w:r w:rsidRPr="005A0B3D">
        <w:t>Two laws passed in 2018, namely the Media Regulation Law and the Anti-Cyber and Information Technology Crimes (Cyber-crime Law), are used to curb freedom of expression online, including of women social media influencers. The Media Regulation Law stipulates that social media accounts with over 5,000 followers are treated as media outlets and can therefore be subject to censorship and penalties for publishing false news.</w:t>
      </w:r>
      <w:r w:rsidRPr="005A0B3D">
        <w:rPr>
          <w:vertAlign w:val="superscript"/>
        </w:rPr>
        <w:footnoteReference w:id="20"/>
      </w:r>
      <w:r w:rsidRPr="005A0B3D">
        <w:t xml:space="preserve"> The Cyber-crime law legalises censorship and website blocking and allows the mass surveillance of communications.</w:t>
      </w:r>
      <w:r w:rsidRPr="005A0B3D">
        <w:rPr>
          <w:vertAlign w:val="superscript"/>
        </w:rPr>
        <w:footnoteReference w:id="21"/>
      </w:r>
      <w:r w:rsidRPr="005A0B3D">
        <w:t xml:space="preserve"> In its latest UPR, Egypt received three </w:t>
      </w:r>
      <w:r w:rsidRPr="005A0B3D">
        <w:lastRenderedPageBreak/>
        <w:t>recommendations, which it did not support, to amend these laws and to bring them in line with international human rights standards.</w:t>
      </w:r>
      <w:r w:rsidRPr="005A0B3D">
        <w:rPr>
          <w:vertAlign w:val="superscript"/>
        </w:rPr>
        <w:footnoteReference w:id="22"/>
      </w:r>
    </w:p>
    <w:p w14:paraId="2D43E899" w14:textId="77777777" w:rsidR="005A0B3D" w:rsidRPr="005A0B3D" w:rsidRDefault="005A0B3D" w:rsidP="005A0B3D"/>
    <w:p w14:paraId="3806E387" w14:textId="06C2465D" w:rsidR="005A0B3D" w:rsidRPr="005A0B3D" w:rsidRDefault="005A0B3D" w:rsidP="005A0B3D">
      <w:r w:rsidRPr="005A0B3D">
        <w:t xml:space="preserve">According to Amnesty International, “Since April 2020, the authorities have intensified their crackdown on social media influencers in an apparent attempt to control cyber space by policing women’s bodies and conduct and by undermining their ability to earn an independent living. Since then, the Egyptian authorities have arrested and prosecuted ten women </w:t>
      </w:r>
      <w:proofErr w:type="spellStart"/>
      <w:r w:rsidRPr="005A0B3D">
        <w:t>TikTok</w:t>
      </w:r>
      <w:proofErr w:type="spellEnd"/>
      <w:r w:rsidRPr="005A0B3D">
        <w:t xml:space="preserve"> influencers for violating the draconian Cyber-crimes law, and other overly vague legal provisions related to “decency” and “inciting immorality.”</w:t>
      </w:r>
      <w:r w:rsidRPr="005A0B3D">
        <w:rPr>
          <w:vertAlign w:val="superscript"/>
        </w:rPr>
        <w:footnoteReference w:id="23"/>
      </w:r>
      <w:r w:rsidRPr="005A0B3D">
        <w:t xml:space="preserve"> A clear example is two social media influencers known as “</w:t>
      </w:r>
      <w:proofErr w:type="spellStart"/>
      <w:r w:rsidRPr="005A0B3D">
        <w:t>TikTok</w:t>
      </w:r>
      <w:proofErr w:type="spellEnd"/>
      <w:r w:rsidRPr="005A0B3D">
        <w:t xml:space="preserve"> women”, who were prosecuted under absurd charges of undermining family values and principles by publishing “indecent” videos, sentenced a Misdemeanours Cairo Economic Court to two years in prison and a fine each, but an appeal court acquitted one of them and commuted the sentence of the other to a fine. </w:t>
      </w:r>
      <w:r w:rsidRPr="005A0B3D">
        <w:rPr>
          <w:vertAlign w:val="superscript"/>
        </w:rPr>
        <w:footnoteReference w:id="24"/>
      </w:r>
      <w:r w:rsidRPr="005A0B3D">
        <w:t xml:space="preserve"> However, the public prosecution indicted them on separate charges including “human trafficking” and referred them to criminal court. They were then sentenced</w:t>
      </w:r>
      <w:r w:rsidR="008B2F6A">
        <w:t xml:space="preserve">, </w:t>
      </w:r>
      <w:r w:rsidR="008B2F6A" w:rsidRPr="005A0B3D">
        <w:t xml:space="preserve">respectively, </w:t>
      </w:r>
      <w:r w:rsidRPr="005A0B3D">
        <w:t xml:space="preserve">to </w:t>
      </w:r>
      <w:r w:rsidR="008B2F6A" w:rsidRPr="005A0B3D">
        <w:t>six</w:t>
      </w:r>
      <w:r w:rsidR="008B2F6A">
        <w:t xml:space="preserve"> years</w:t>
      </w:r>
      <w:r w:rsidR="008B2F6A" w:rsidRPr="005A0B3D">
        <w:t xml:space="preserve"> and ten</w:t>
      </w:r>
      <w:r w:rsidR="008B2F6A">
        <w:t xml:space="preserve"> </w:t>
      </w:r>
      <w:r w:rsidR="008B2F6A" w:rsidRPr="005A0B3D">
        <w:t>years’</w:t>
      </w:r>
      <w:r w:rsidRPr="005A0B3D">
        <w:t xml:space="preserve"> imprisonment for “human trafficking” in June 2021. Amnesty International, which has reviewed the videos and found no credible evidence linking the two women to acts that would amount to trafficking in persons as defined by the Protocol to Prevent, Suppress and Punish Trafficking in Persons, has issued an urgent action calling for their immediate release and their sentences to be quashed (additional information on the case available at the link to the urgent action in the footnote.</w:t>
      </w:r>
      <w:r w:rsidR="00D47D29" w:rsidRPr="005A0B3D">
        <w:rPr>
          <w:vertAlign w:val="superscript"/>
        </w:rPr>
        <w:footnoteReference w:id="25"/>
      </w:r>
      <w:r w:rsidR="004A26F9" w:rsidRPr="005A0B3D">
        <w:t>)</w:t>
      </w:r>
    </w:p>
    <w:p w14:paraId="7B538848" w14:textId="77777777" w:rsidR="005A0B3D" w:rsidRPr="005A0B3D" w:rsidRDefault="005A0B3D" w:rsidP="005A0B3D"/>
    <w:p w14:paraId="4EA034FB" w14:textId="77777777" w:rsidR="005A0B3D" w:rsidRPr="005A0B3D" w:rsidRDefault="005A0B3D" w:rsidP="005A0B3D">
      <w:r w:rsidRPr="005A0B3D">
        <w:t xml:space="preserve">Also, according to Amnesty International, “women who reported sexual assault, violations of their right to privacy and online abuse are among social media influencers targeted by the authorities’ use of </w:t>
      </w:r>
      <w:r w:rsidRPr="005A0B3D">
        <w:lastRenderedPageBreak/>
        <w:t>new repressive tactics to control cyber space by policing women’s bodies and conduct and by undermining their ability to earn an independent living.”</w:t>
      </w:r>
      <w:r w:rsidRPr="005A0B3D">
        <w:rPr>
          <w:vertAlign w:val="superscript"/>
        </w:rPr>
        <w:footnoteReference w:id="26"/>
      </w:r>
      <w:r w:rsidRPr="005A0B3D">
        <w:t xml:space="preserve"> </w:t>
      </w:r>
    </w:p>
    <w:p w14:paraId="731D60B7" w14:textId="77777777" w:rsidR="005A0B3D" w:rsidRPr="005A0B3D" w:rsidRDefault="005A0B3D" w:rsidP="005A0B3D">
      <w:r w:rsidRPr="005A0B3D">
        <w:t xml:space="preserve"> </w:t>
      </w:r>
    </w:p>
    <w:p w14:paraId="49143D06" w14:textId="3B3C5333" w:rsidR="005A0B3D" w:rsidRPr="005A0B3D" w:rsidRDefault="005A0B3D" w:rsidP="005A0B3D">
      <w:r w:rsidRPr="005A0B3D">
        <w:t xml:space="preserve">The crackdown on women social media influencers follows a pattern used by the government against WHRDs, using degrading and misogynist stereotypes of women’s sexuality, women’s personal and marital status/choices, how they dress, the language they use, sometimes considered “indecent” or “improper” for a woman, or accusations related to the type of work and activism they do. Indeed, </w:t>
      </w:r>
      <w:proofErr w:type="spellStart"/>
      <w:r w:rsidRPr="005A0B3D">
        <w:rPr>
          <w:i/>
        </w:rPr>
        <w:t>Shaymaa</w:t>
      </w:r>
      <w:proofErr w:type="spellEnd"/>
      <w:r w:rsidRPr="005A0B3D">
        <w:rPr>
          <w:i/>
        </w:rPr>
        <w:t xml:space="preserve"> </w:t>
      </w:r>
      <w:proofErr w:type="spellStart"/>
      <w:r w:rsidRPr="005A0B3D">
        <w:rPr>
          <w:i/>
        </w:rPr>
        <w:t>Elbanna</w:t>
      </w:r>
      <w:proofErr w:type="spellEnd"/>
      <w:r w:rsidRPr="005A0B3D">
        <w:rPr>
          <w:i/>
        </w:rPr>
        <w:t>,</w:t>
      </w:r>
      <w:r w:rsidRPr="005A0B3D">
        <w:t xml:space="preserve"> a WHRD working for the Committee for Justice emphasises, in an interview for </w:t>
      </w:r>
      <w:proofErr w:type="spellStart"/>
      <w:r w:rsidRPr="005A0B3D">
        <w:t>EuroMed</w:t>
      </w:r>
      <w:proofErr w:type="spellEnd"/>
      <w:r w:rsidRPr="005A0B3D">
        <w:t xml:space="preserve"> Rights, that “the attacks on social media are exacerbated for WHRDs, who are seen as the weakest link in the movement.”</w:t>
      </w:r>
      <w:r w:rsidRPr="005A0B3D">
        <w:rPr>
          <w:vertAlign w:val="superscript"/>
        </w:rPr>
        <w:footnoteReference w:id="27"/>
      </w:r>
      <w:r w:rsidRPr="005A0B3D">
        <w:t xml:space="preserve"> She explains that “smear campaigns against WHRDs often use their personal photos and information, and that this was the case for journalist </w:t>
      </w:r>
      <w:proofErr w:type="spellStart"/>
      <w:r w:rsidRPr="005A0B3D">
        <w:rPr>
          <w:i/>
        </w:rPr>
        <w:t>Esraa</w:t>
      </w:r>
      <w:proofErr w:type="spellEnd"/>
      <w:r w:rsidRPr="005A0B3D">
        <w:rPr>
          <w:i/>
        </w:rPr>
        <w:t xml:space="preserve"> Abdel Fattah,</w:t>
      </w:r>
      <w:r w:rsidRPr="005A0B3D">
        <w:t xml:space="preserve"> who was subjected to a smear campaign on social media using her personal photos before her arrest in October 2019.”</w:t>
      </w:r>
      <w:r w:rsidRPr="005A0B3D">
        <w:rPr>
          <w:vertAlign w:val="superscript"/>
        </w:rPr>
        <w:footnoteReference w:id="28"/>
      </w:r>
      <w:r w:rsidRPr="005A0B3D">
        <w:t xml:space="preserve"> </w:t>
      </w:r>
    </w:p>
    <w:p w14:paraId="2875E26D" w14:textId="77777777" w:rsidR="005A0B3D" w:rsidRPr="005A0B3D" w:rsidRDefault="005A0B3D" w:rsidP="005A0B3D"/>
    <w:p w14:paraId="4D7C41DE" w14:textId="4ED50299" w:rsidR="005A0B3D" w:rsidRPr="005A0B3D" w:rsidRDefault="005A0B3D" w:rsidP="005A0B3D">
      <w:r w:rsidRPr="005A0B3D">
        <w:t>Moreover, as HRW raised, “the public prosecution</w:t>
      </w:r>
      <w:r w:rsidR="000E2B9A">
        <w:t>’</w:t>
      </w:r>
      <w:r w:rsidRPr="005A0B3D">
        <w:t>s aggressive campaign targeting women social media influencers stands in stark contrast to the authorities' failure to investigate and prosecute men for sexual violence against women and girls”.</w:t>
      </w:r>
      <w:r w:rsidRPr="005A0B3D">
        <w:rPr>
          <w:vertAlign w:val="superscript"/>
        </w:rPr>
        <w:footnoteReference w:id="29"/>
      </w:r>
      <w:r w:rsidRPr="005A0B3D">
        <w:t xml:space="preserve"> Indeed, four defendants have been released for “lack of evidence” in “the Fairmont case” in which a woman reported that several men had gang-raped her in Cairo’s Fairmont Hotel in 2014.</w:t>
      </w:r>
      <w:r w:rsidRPr="005A0B3D">
        <w:rPr>
          <w:vertAlign w:val="superscript"/>
        </w:rPr>
        <w:footnoteReference w:id="30"/>
      </w:r>
      <w:r w:rsidRPr="005A0B3D">
        <w:t xml:space="preserve"> Instead, the authorities arrested seven witnesses in the case, and </w:t>
      </w:r>
      <w:r w:rsidRPr="005A0B3D">
        <w:lastRenderedPageBreak/>
        <w:t>some were prosecuted on spurious “immorality” and “debauchery” charges.</w:t>
      </w:r>
      <w:r w:rsidRPr="005A0B3D">
        <w:rPr>
          <w:vertAlign w:val="superscript"/>
        </w:rPr>
        <w:footnoteReference w:id="31"/>
      </w:r>
      <w:r w:rsidRPr="005A0B3D">
        <w:t xml:space="preserve"> Four witnesses were released early, including three on bail, but three others were detained for over four months before being released in January 2021.</w:t>
      </w:r>
      <w:r w:rsidRPr="005A0B3D">
        <w:rPr>
          <w:vertAlign w:val="superscript"/>
        </w:rPr>
        <w:footnoteReference w:id="32"/>
      </w:r>
      <w:r w:rsidRPr="005A0B3D">
        <w:t xml:space="preserve"> One female witness described being abused in detention.</w:t>
      </w:r>
      <w:r w:rsidRPr="005A0B3D">
        <w:rPr>
          <w:vertAlign w:val="superscript"/>
        </w:rPr>
        <w:footnoteReference w:id="33"/>
      </w:r>
      <w:r w:rsidRPr="005A0B3D">
        <w:t xml:space="preserve"> Instead of prosecuting sexual violence, Egyptian authorities are sending the message that survivors and witnesses of sexual violence can themselves face charges and imprisonment if they report the crime. </w:t>
      </w:r>
    </w:p>
    <w:p w14:paraId="676A1EDA" w14:textId="77777777" w:rsidR="005A0B3D" w:rsidRPr="005A0B3D" w:rsidRDefault="005A0B3D" w:rsidP="005A0B3D"/>
    <w:p w14:paraId="2CE35ADE" w14:textId="2CBD7353" w:rsidR="005A0B3D" w:rsidRPr="005E47C5" w:rsidRDefault="005E47C5" w:rsidP="005E47C5">
      <w:pPr>
        <w:pStyle w:val="Heading2"/>
      </w:pPr>
      <w:bookmarkStart w:id="15" w:name="_eqqdn6fi8i51" w:colFirst="0" w:colLast="0"/>
      <w:bookmarkStart w:id="16" w:name="_Toc83059575"/>
      <w:bookmarkStart w:id="17" w:name="_Toc83059626"/>
      <w:bookmarkStart w:id="18" w:name="_Toc83060470"/>
      <w:bookmarkEnd w:id="15"/>
      <w:r>
        <w:t>C.</w:t>
      </w:r>
      <w:r>
        <w:tab/>
      </w:r>
      <w:r w:rsidR="008B2F6A">
        <w:tab/>
      </w:r>
      <w:r w:rsidR="005A0B3D" w:rsidRPr="005A0B3D">
        <w:t>Recommendations</w:t>
      </w:r>
      <w:bookmarkEnd w:id="16"/>
      <w:bookmarkEnd w:id="17"/>
      <w:bookmarkEnd w:id="18"/>
    </w:p>
    <w:p w14:paraId="10A72454" w14:textId="053B283F" w:rsidR="005A0B3D" w:rsidRPr="005E47C5" w:rsidRDefault="005A0B3D" w:rsidP="005E47C5">
      <w:pPr>
        <w:pStyle w:val="ListParagraph"/>
        <w:numPr>
          <w:ilvl w:val="0"/>
          <w:numId w:val="10"/>
        </w:numPr>
        <w:rPr>
          <w:bCs/>
        </w:rPr>
      </w:pPr>
      <w:r w:rsidRPr="005E47C5">
        <w:rPr>
          <w:bCs/>
        </w:rPr>
        <w:t>Immediately cease ongoing harassment, including defamation campaigns and threats, of HRDs and immediately release all those arbitrarily detained and drop charges against HRDs who are being prosecuted for exercising their right to freedom of expression, association and association ;</w:t>
      </w:r>
    </w:p>
    <w:p w14:paraId="090D6AB1" w14:textId="3D20D256" w:rsidR="005A0B3D" w:rsidRPr="005E47C5" w:rsidRDefault="005A0B3D" w:rsidP="005E47C5">
      <w:pPr>
        <w:pStyle w:val="ListParagraph"/>
        <w:numPr>
          <w:ilvl w:val="0"/>
          <w:numId w:val="10"/>
        </w:numPr>
        <w:rPr>
          <w:bCs/>
        </w:rPr>
      </w:pPr>
      <w:r w:rsidRPr="005E47C5">
        <w:rPr>
          <w:bCs/>
        </w:rPr>
        <w:t>Repeal all laws and policies that restrict activities and rights of HRDs, including WHRDs , such as the Anti-Cyber and Information Technology Crimes Law and the Media Regulation Law</w:t>
      </w:r>
      <w:r w:rsidR="005E47C5">
        <w:rPr>
          <w:bCs/>
        </w:rPr>
        <w:t xml:space="preserve">; </w:t>
      </w:r>
    </w:p>
    <w:p w14:paraId="625D21F7" w14:textId="7569CC55" w:rsidR="005A0B3D" w:rsidRPr="005E47C5" w:rsidRDefault="005A0B3D" w:rsidP="005E47C5">
      <w:pPr>
        <w:pStyle w:val="ListParagraph"/>
        <w:numPr>
          <w:ilvl w:val="0"/>
          <w:numId w:val="10"/>
        </w:numPr>
        <w:rPr>
          <w:bCs/>
        </w:rPr>
      </w:pPr>
      <w:r w:rsidRPr="005E47C5">
        <w:rPr>
          <w:bCs/>
        </w:rPr>
        <w:t>Cease malicious prosecution restricting WHRDs’ activities and women’s right to freedom of expression online and offline, including prosecutions regarding online content deemed to “violate the family principles and values upheld by Egyptian society” including based on provisions of the Penal Code, the law no 10/1961 on the combating of prostitution, the 2010 Trafficking law and article 25 of the Anti-Cyber and Information Technology Crimes Law ;</w:t>
      </w:r>
    </w:p>
    <w:p w14:paraId="011F06F8" w14:textId="62DB01C0" w:rsidR="005A0B3D" w:rsidRPr="005E47C5" w:rsidRDefault="005A0B3D" w:rsidP="005E47C5">
      <w:pPr>
        <w:pStyle w:val="ListParagraph"/>
        <w:numPr>
          <w:ilvl w:val="0"/>
          <w:numId w:val="10"/>
        </w:numPr>
        <w:rPr>
          <w:bCs/>
        </w:rPr>
      </w:pPr>
      <w:r w:rsidRPr="005E47C5">
        <w:rPr>
          <w:bCs/>
        </w:rPr>
        <w:t>Ensure that HRDs are protected from prosecutions based on defamation and security grounds and put in place specific and enhanced protection mechanisms for WHRDs ;</w:t>
      </w:r>
    </w:p>
    <w:p w14:paraId="27759F17" w14:textId="5578C6F8" w:rsidR="005A0B3D" w:rsidRPr="005E47C5" w:rsidRDefault="005A0B3D" w:rsidP="005E47C5">
      <w:pPr>
        <w:pStyle w:val="ListParagraph"/>
        <w:numPr>
          <w:ilvl w:val="0"/>
          <w:numId w:val="10"/>
        </w:numPr>
        <w:rPr>
          <w:bCs/>
        </w:rPr>
      </w:pPr>
      <w:r w:rsidRPr="005E47C5">
        <w:rPr>
          <w:bCs/>
        </w:rPr>
        <w:t xml:space="preserve">Remove restrictions and amend laws to guarantee the rights of freedom of expression, association and peaceful assembly. Especially by putting an immediate end to and refraining from taking “precautionary measures” against HRDs, including WHRDs, such as the freezing of accounts, travel bans, passport confiscations and other intimidation measures ; </w:t>
      </w:r>
    </w:p>
    <w:p w14:paraId="37272CE3" w14:textId="1763EBAF" w:rsidR="005A0B3D" w:rsidRPr="005E47C5" w:rsidRDefault="005A0B3D" w:rsidP="005E47C5">
      <w:pPr>
        <w:pStyle w:val="ListParagraph"/>
        <w:numPr>
          <w:ilvl w:val="0"/>
          <w:numId w:val="10"/>
        </w:numPr>
        <w:rPr>
          <w:bCs/>
        </w:rPr>
      </w:pPr>
      <w:r w:rsidRPr="005E47C5">
        <w:rPr>
          <w:bCs/>
        </w:rPr>
        <w:lastRenderedPageBreak/>
        <w:t>Immediately and unconditionally release all journalists, political activists, HRDs and anyone held simply for expressing their opinions, peacefully protesting or charged for offences related to “morality”</w:t>
      </w:r>
      <w:r w:rsidR="005E47C5">
        <w:rPr>
          <w:bCs/>
        </w:rPr>
        <w:t>;</w:t>
      </w:r>
    </w:p>
    <w:p w14:paraId="66A4072A" w14:textId="766006D9" w:rsidR="000E2B9A" w:rsidRPr="005E47C5" w:rsidRDefault="005A0B3D" w:rsidP="005E47C5">
      <w:pPr>
        <w:pStyle w:val="ListParagraph"/>
        <w:numPr>
          <w:ilvl w:val="0"/>
          <w:numId w:val="10"/>
        </w:numPr>
        <w:rPr>
          <w:bCs/>
        </w:rPr>
      </w:pPr>
      <w:r w:rsidRPr="005E47C5">
        <w:rPr>
          <w:bCs/>
        </w:rPr>
        <w:t>Provide remedies in line with international standards to women who have been arbitrarily arrested, physically assaulted or tortured for their human rights work, political opinions or online content ;</w:t>
      </w:r>
    </w:p>
    <w:p w14:paraId="7B766958" w14:textId="45184F75" w:rsidR="005A0B3D" w:rsidRPr="005E47C5" w:rsidRDefault="000E2B9A" w:rsidP="005E47C5">
      <w:pPr>
        <w:pStyle w:val="ListParagraph"/>
        <w:numPr>
          <w:ilvl w:val="0"/>
          <w:numId w:val="10"/>
        </w:numPr>
        <w:rPr>
          <w:bCs/>
        </w:rPr>
      </w:pPr>
      <w:r w:rsidRPr="005E47C5">
        <w:rPr>
          <w:bCs/>
        </w:rPr>
        <w:t xml:space="preserve">Ensure the immediate release of social media influencers being punished for their conduct online in the name of “morality” and “decency”, protect their rights to privacy, freedom of expression, non-discrimination and bodily autonomy, and put an end to the wider crackdown on women social media influencers in the country; </w:t>
      </w:r>
    </w:p>
    <w:p w14:paraId="15966EA7" w14:textId="46D2E8F4" w:rsidR="008B2F6A" w:rsidRDefault="005A0B3D" w:rsidP="008B2F6A">
      <w:pPr>
        <w:pStyle w:val="ListParagraph"/>
        <w:numPr>
          <w:ilvl w:val="0"/>
          <w:numId w:val="10"/>
        </w:numPr>
        <w:rPr>
          <w:bCs/>
        </w:rPr>
      </w:pPr>
      <w:r w:rsidRPr="005E47C5">
        <w:rPr>
          <w:bCs/>
        </w:rPr>
        <w:t>End acts of intimidation and reprisals against HRDs and others who cooperate, have cooperated or seek to cooperate with the UN, its representatives and mechanisms.</w:t>
      </w:r>
      <w:bookmarkStart w:id="19" w:name="_szn53igawqxa" w:colFirst="0" w:colLast="0"/>
      <w:bookmarkEnd w:id="19"/>
    </w:p>
    <w:p w14:paraId="243FA272" w14:textId="77777777" w:rsidR="008B2F6A" w:rsidRDefault="008B2F6A">
      <w:pPr>
        <w:rPr>
          <w:bCs/>
        </w:rPr>
      </w:pPr>
      <w:r>
        <w:rPr>
          <w:bCs/>
        </w:rPr>
        <w:br w:type="page"/>
      </w:r>
    </w:p>
    <w:p w14:paraId="7FB7BCCC" w14:textId="77777777" w:rsidR="005A0B3D" w:rsidRPr="008B2F6A" w:rsidRDefault="005A0B3D" w:rsidP="008B2F6A">
      <w:pPr>
        <w:rPr>
          <w:bCs/>
        </w:rPr>
      </w:pPr>
    </w:p>
    <w:p w14:paraId="07909D9E" w14:textId="7C85B64C" w:rsidR="005A0B3D" w:rsidRPr="005A0B3D" w:rsidRDefault="005A0B3D" w:rsidP="005A0B3D">
      <w:pPr>
        <w:pStyle w:val="Heading1"/>
      </w:pPr>
      <w:bookmarkStart w:id="20" w:name="_Toc83059576"/>
      <w:bookmarkStart w:id="21" w:name="_Toc83059627"/>
      <w:bookmarkStart w:id="22" w:name="_Toc83060471"/>
      <w:r>
        <w:t xml:space="preserve">II. </w:t>
      </w:r>
      <w:r w:rsidR="008B2F6A">
        <w:tab/>
      </w:r>
      <w:r w:rsidR="008B2F6A">
        <w:tab/>
      </w:r>
      <w:r w:rsidR="008B2F6A">
        <w:tab/>
      </w:r>
      <w:r w:rsidRPr="005A0B3D">
        <w:t xml:space="preserve">IMPACTS OF MILITARISATION ON </w:t>
      </w:r>
      <w:r>
        <w:t xml:space="preserve">HUMAN </w:t>
      </w:r>
      <w:r w:rsidRPr="005A0B3D">
        <w:t>RIGHTS</w:t>
      </w:r>
      <w:bookmarkEnd w:id="20"/>
      <w:bookmarkEnd w:id="21"/>
      <w:bookmarkEnd w:id="22"/>
    </w:p>
    <w:p w14:paraId="51FB6441" w14:textId="77777777" w:rsidR="005A0B3D" w:rsidRPr="005A0B3D" w:rsidRDefault="005A0B3D" w:rsidP="005A0B3D"/>
    <w:p w14:paraId="3441F1BF" w14:textId="0750CC8D" w:rsidR="005A0B3D" w:rsidRPr="005A0B3D" w:rsidRDefault="005A0B3D" w:rsidP="005A0B3D">
      <w:pPr>
        <w:pStyle w:val="Heading2"/>
      </w:pPr>
      <w:bookmarkStart w:id="23" w:name="_q7yv76elb8v9" w:colFirst="0" w:colLast="0"/>
      <w:bookmarkStart w:id="24" w:name="_Toc83059577"/>
      <w:bookmarkStart w:id="25" w:name="_Toc83059628"/>
      <w:bookmarkStart w:id="26" w:name="_Toc83060472"/>
      <w:bookmarkEnd w:id="23"/>
      <w:r>
        <w:t>A.</w:t>
      </w:r>
      <w:r>
        <w:tab/>
      </w:r>
      <w:r w:rsidRPr="005A0B3D">
        <w:t>Impacts of arms on women’s human rights</w:t>
      </w:r>
      <w:bookmarkEnd w:id="24"/>
      <w:bookmarkEnd w:id="25"/>
      <w:bookmarkEnd w:id="26"/>
      <w:r w:rsidRPr="005A0B3D">
        <w:t xml:space="preserve"> </w:t>
      </w:r>
    </w:p>
    <w:p w14:paraId="60E407F3" w14:textId="77777777" w:rsidR="005A0B3D" w:rsidRPr="005A0B3D" w:rsidRDefault="005A0B3D" w:rsidP="005A0B3D"/>
    <w:p w14:paraId="2711CDC5" w14:textId="77777777" w:rsidR="005A0B3D" w:rsidRPr="005A0B3D" w:rsidRDefault="005A0B3D" w:rsidP="005A0B3D">
      <w:r w:rsidRPr="005A0B3D">
        <w:t>The CEDAW Committee has repeatedly recognised the negative impacts of arms on women and girls and in particular has noted that: “the proliferation of conventional arms, especially small arms, including diverted arms from the legal trade, can have a direct or indirect effect on women as victims of conflict-related gender-based violence, as victims of domestic violence and also as protesters or actors in resistance movements.</w:t>
      </w:r>
      <w:r w:rsidRPr="005A0B3D">
        <w:rPr>
          <w:vertAlign w:val="superscript"/>
        </w:rPr>
        <w:footnoteReference w:id="34"/>
      </w:r>
      <w:r w:rsidRPr="005A0B3D">
        <w:t xml:space="preserve"> It has further observed that the accessibility and availability of firearms heighten women’s risk of exposure to serious forms of gender-based violence.</w:t>
      </w:r>
      <w:r w:rsidRPr="005A0B3D">
        <w:rPr>
          <w:vertAlign w:val="superscript"/>
        </w:rPr>
        <w:footnoteReference w:id="35"/>
      </w:r>
      <w:r w:rsidRPr="005A0B3D">
        <w:t xml:space="preserve"> Weapons such as battle tanks and armoured vehicles can be used to block roads or surround a village in order to force women or men to be cornered or trapped and subsequently raped, killed, or abducted. Weapons that use surveillance to build ‘target profiles’ for people, such as drones, are also capable of being used to facilitate gender-based violence and discrimination. </w:t>
      </w:r>
    </w:p>
    <w:p w14:paraId="710FC5E5" w14:textId="77777777" w:rsidR="005A0B3D" w:rsidRPr="005A0B3D" w:rsidRDefault="005A0B3D" w:rsidP="005A0B3D"/>
    <w:p w14:paraId="0527DF67" w14:textId="661FA31F" w:rsidR="005A0B3D" w:rsidRDefault="005A0B3D" w:rsidP="005A0B3D">
      <w:r w:rsidRPr="005A0B3D">
        <w:t>WILPF has shown numerous times how the “regulated” or “legal” arms trade with end users that include armies, police, and state security services is connected to a high risk of human rights violations.</w:t>
      </w:r>
      <w:r w:rsidRPr="005A0B3D">
        <w:rPr>
          <w:vertAlign w:val="superscript"/>
        </w:rPr>
        <w:footnoteReference w:id="36"/>
      </w:r>
      <w:r w:rsidRPr="005A0B3D">
        <w:t xml:space="preserve"> Arms transfers and small arms availability is also linked to violent masculinities and the heightened levels of militarisation within communities. This means that arms are correlated with an increase in gendered inequality and a generalised culture of violence, often with specific gendered impacts. Violence against women and girls increases along with militarisation, often as a result of </w:t>
      </w:r>
      <w:r w:rsidRPr="005A0B3D">
        <w:lastRenderedPageBreak/>
        <w:t>exacerbating hegemonic masculinities.</w:t>
      </w:r>
      <w:r w:rsidRPr="005A0B3D">
        <w:rPr>
          <w:vertAlign w:val="superscript"/>
        </w:rPr>
        <w:footnoteReference w:id="37"/>
      </w:r>
      <w:r w:rsidRPr="005A0B3D">
        <w:t xml:space="preserve"> In addition to being used to facilitate or commit sexual and gender-based violence, the proliferation of small arms and light weapons jeopardises women’s ability to participate in public and political life including conflict resolution, elections and public protests. It negatively impacts on women’s equality and bargaining power within the household, their mobility, and access to, and use of, resources and business and employment opportunities.</w:t>
      </w:r>
      <w:r w:rsidRPr="005A0B3D">
        <w:rPr>
          <w:vertAlign w:val="superscript"/>
        </w:rPr>
        <w:footnoteReference w:id="38"/>
      </w:r>
      <w:r w:rsidRPr="005A0B3D">
        <w:t xml:space="preserve"> </w:t>
      </w:r>
    </w:p>
    <w:p w14:paraId="66C1C263" w14:textId="77777777" w:rsidR="00D47D29" w:rsidRPr="005A0B3D" w:rsidRDefault="00D47D29" w:rsidP="005A0B3D"/>
    <w:p w14:paraId="6E1312A6" w14:textId="289FE688" w:rsidR="005E47C5" w:rsidRPr="005E47C5" w:rsidRDefault="005E47C5" w:rsidP="005E47C5">
      <w:pPr>
        <w:pStyle w:val="Heading3"/>
      </w:pPr>
      <w:bookmarkStart w:id="27" w:name="_ybxde3wlx0a" w:colFirst="0" w:colLast="0"/>
      <w:bookmarkStart w:id="28" w:name="_Toc83059578"/>
      <w:bookmarkStart w:id="29" w:name="_Toc83059629"/>
      <w:bookmarkEnd w:id="27"/>
      <w:r>
        <w:t>A</w:t>
      </w:r>
      <w:r w:rsidR="005A0B3D" w:rsidRPr="005A0B3D">
        <w:t>rms imports and arms proliferation</w:t>
      </w:r>
      <w:bookmarkEnd w:id="28"/>
      <w:bookmarkEnd w:id="29"/>
      <w:r w:rsidR="005A0B3D" w:rsidRPr="005A0B3D">
        <w:t xml:space="preserve"> </w:t>
      </w:r>
    </w:p>
    <w:p w14:paraId="586C715A" w14:textId="2EF9AA59" w:rsidR="005A0B3D" w:rsidRPr="005A0B3D" w:rsidRDefault="005A0B3D" w:rsidP="005A0B3D">
      <w:r w:rsidRPr="005A0B3D">
        <w:t>Since Abdel Fattah al-</w:t>
      </w:r>
      <w:proofErr w:type="spellStart"/>
      <w:r w:rsidRPr="005A0B3D">
        <w:t>Sisi</w:t>
      </w:r>
      <w:proofErr w:type="spellEnd"/>
      <w:r w:rsidRPr="005A0B3D">
        <w:t xml:space="preserve"> assumed office in 2014, Egypt’s arms and surveillance imports increased to a marked extent. According to a report by the Stockholm International Peace Research Institute (SIPRI), Egypt’s arms imports increased by 136 per cent between the periods of 2011–15 and 2016–20</w:t>
      </w:r>
      <w:r w:rsidR="000E2B9A">
        <w:t>,</w:t>
      </w:r>
      <w:r w:rsidRPr="005A0B3D">
        <w:rPr>
          <w:vertAlign w:val="superscript"/>
        </w:rPr>
        <w:footnoteReference w:id="39"/>
      </w:r>
      <w:r w:rsidRPr="005A0B3D">
        <w:t xml:space="preserve"> becoming the world’s 3</w:t>
      </w:r>
      <w:r w:rsidRPr="005A0B3D">
        <w:rPr>
          <w:vertAlign w:val="superscript"/>
        </w:rPr>
        <w:t>rd</w:t>
      </w:r>
      <w:r w:rsidRPr="005A0B3D">
        <w:t xml:space="preserve"> largest importer of arms in the years 2016-2020.</w:t>
      </w:r>
      <w:r w:rsidRPr="005A0B3D">
        <w:rPr>
          <w:vertAlign w:val="superscript"/>
        </w:rPr>
        <w:footnoteReference w:id="40"/>
      </w:r>
      <w:r w:rsidRPr="005A0B3D">
        <w:t xml:space="preserve"> Despite this, Egypt is not a State party to the Arms Trade Treaty.</w:t>
      </w:r>
      <w:r w:rsidRPr="005A0B3D">
        <w:rPr>
          <w:vertAlign w:val="superscript"/>
        </w:rPr>
        <w:footnoteReference w:id="41"/>
      </w:r>
      <w:r w:rsidRPr="005A0B3D">
        <w:t xml:space="preserve"> </w:t>
      </w:r>
    </w:p>
    <w:p w14:paraId="53456FAC" w14:textId="77777777" w:rsidR="005A0B3D" w:rsidRPr="005A0B3D" w:rsidRDefault="005A0B3D" w:rsidP="005A0B3D"/>
    <w:p w14:paraId="29D9FB7E" w14:textId="77777777" w:rsidR="005A0B3D" w:rsidRPr="005A0B3D" w:rsidRDefault="005A0B3D" w:rsidP="005A0B3D">
      <w:r w:rsidRPr="005A0B3D">
        <w:t>In terms of firearms possession, Small Arms Survey found that Egypt had the highest number of firearms among civilians in 2017, estimated at a total of 3,930,000 registered and illicit weapons;</w:t>
      </w:r>
      <w:r w:rsidRPr="005A0B3D">
        <w:rPr>
          <w:vertAlign w:val="superscript"/>
        </w:rPr>
        <w:footnoteReference w:id="42"/>
      </w:r>
      <w:r w:rsidRPr="005A0B3D">
        <w:t xml:space="preserve"> though exact figures for illicit firearms trade and holding are not available, expert assessments indicate </w:t>
      </w:r>
      <w:r w:rsidRPr="005A0B3D">
        <w:lastRenderedPageBreak/>
        <w:t>that compared to 2007,</w:t>
      </w:r>
      <w:r w:rsidRPr="005A0B3D">
        <w:rPr>
          <w:vertAlign w:val="superscript"/>
        </w:rPr>
        <w:footnoteReference w:id="43"/>
      </w:r>
      <w:r w:rsidRPr="005A0B3D">
        <w:t xml:space="preserve"> the number of civilian firearms has nearly doubled. Egypt was also the first in Africa in terms of military small arms holding with a reported 1,540,000 firearms,</w:t>
      </w:r>
      <w:r w:rsidRPr="005A0B3D">
        <w:rPr>
          <w:vertAlign w:val="superscript"/>
        </w:rPr>
        <w:footnoteReference w:id="44"/>
      </w:r>
      <w:r w:rsidRPr="005A0B3D">
        <w:t xml:space="preserve"> and one of the continent’s top five in firearms reportedly held by law enforcement with 1,530,000.</w:t>
      </w:r>
      <w:r w:rsidRPr="005A0B3D">
        <w:rPr>
          <w:vertAlign w:val="superscript"/>
        </w:rPr>
        <w:footnoteReference w:id="45"/>
      </w:r>
      <w:r w:rsidRPr="005A0B3D">
        <w:t xml:space="preserve"> Egypt is also a producer of small arms and munitions.</w:t>
      </w:r>
      <w:r w:rsidRPr="005A0B3D">
        <w:rPr>
          <w:vertAlign w:val="superscript"/>
        </w:rPr>
        <w:footnoteReference w:id="46"/>
      </w:r>
    </w:p>
    <w:p w14:paraId="466EFA53" w14:textId="77777777" w:rsidR="005A0B3D" w:rsidRPr="005A0B3D" w:rsidRDefault="005A0B3D" w:rsidP="005A0B3D"/>
    <w:p w14:paraId="73C7A9A5" w14:textId="5F80B38B" w:rsidR="005A0B3D" w:rsidRPr="005A0B3D" w:rsidRDefault="005A0B3D" w:rsidP="005E47C5">
      <w:pPr>
        <w:pStyle w:val="Heading3"/>
      </w:pPr>
      <w:bookmarkStart w:id="30" w:name="_Toc83059579"/>
      <w:bookmarkStart w:id="31" w:name="_Toc83059630"/>
      <w:r w:rsidRPr="005A0B3D">
        <w:t>Impacts of small arms on human rights</w:t>
      </w:r>
      <w:bookmarkEnd w:id="30"/>
      <w:bookmarkEnd w:id="31"/>
    </w:p>
    <w:p w14:paraId="4DC40C30" w14:textId="77777777" w:rsidR="005A0B3D" w:rsidRPr="005A0B3D" w:rsidRDefault="005A0B3D" w:rsidP="005A0B3D">
      <w:pPr>
        <w:rPr>
          <w:b/>
        </w:rPr>
      </w:pPr>
      <w:r w:rsidRPr="005A0B3D">
        <w:t>Reportedly, Egyptian private gun ownership laws are considered to be “restrictive” and applicants for a firearms license must pass a series of background checks.</w:t>
      </w:r>
      <w:r w:rsidRPr="005A0B3D">
        <w:rPr>
          <w:vertAlign w:val="superscript"/>
        </w:rPr>
        <w:footnoteReference w:id="47"/>
      </w:r>
      <w:r w:rsidRPr="005A0B3D">
        <w:t xml:space="preserve"> In contrast national laws on the use of firearms by the police are extremely lax and do not comply with international standards on the use of force by the police.</w:t>
      </w:r>
      <w:r w:rsidRPr="005A0B3D">
        <w:rPr>
          <w:vertAlign w:val="superscript"/>
        </w:rPr>
        <w:footnoteReference w:id="48"/>
      </w:r>
      <w:r w:rsidRPr="005A0B3D">
        <w:t xml:space="preserve"> For instance, article 102 of the 1971 Police Act Law permits the police to use firearms when they are guarding prisoners or to disperse gatherings or demonstrations of at least five people when public order is under threat and after warning the protesters to disperse.</w:t>
      </w:r>
      <w:r w:rsidRPr="005A0B3D">
        <w:rPr>
          <w:vertAlign w:val="superscript"/>
        </w:rPr>
        <w:footnoteReference w:id="49"/>
      </w:r>
      <w:r w:rsidRPr="005A0B3D">
        <w:t xml:space="preserve"> This grants wide discretion to the police regarding the use of force in the context of public protests and is particularly concerning given the draconian 2020 amendments to the Emergency Law, which have </w:t>
      </w:r>
      <w:r w:rsidRPr="005A0B3D">
        <w:lastRenderedPageBreak/>
        <w:t>granted additional power to police and security forces and which severely restricted the right to peaceful assembly.</w:t>
      </w:r>
      <w:r w:rsidRPr="005A0B3D">
        <w:rPr>
          <w:vertAlign w:val="superscript"/>
        </w:rPr>
        <w:footnoteReference w:id="50"/>
      </w:r>
    </w:p>
    <w:p w14:paraId="751460FB" w14:textId="77777777" w:rsidR="005A0B3D" w:rsidRPr="005A0B3D" w:rsidRDefault="005A0B3D" w:rsidP="005A0B3D"/>
    <w:p w14:paraId="14F74FF5" w14:textId="09239760" w:rsidR="005A0B3D" w:rsidRPr="005A0B3D" w:rsidRDefault="005A0B3D" w:rsidP="005E47C5">
      <w:pPr>
        <w:pStyle w:val="Heading3"/>
      </w:pPr>
      <w:bookmarkStart w:id="32" w:name="_Toc83059580"/>
      <w:bookmarkStart w:id="33" w:name="_Toc83059631"/>
      <w:r w:rsidRPr="005A0B3D">
        <w:t xml:space="preserve">Examples of violations </w:t>
      </w:r>
      <w:r>
        <w:t>linked to use</w:t>
      </w:r>
      <w:r w:rsidRPr="005A0B3D">
        <w:t xml:space="preserve"> </w:t>
      </w:r>
      <w:r>
        <w:t>of weapons</w:t>
      </w:r>
      <w:bookmarkEnd w:id="32"/>
      <w:bookmarkEnd w:id="33"/>
    </w:p>
    <w:p w14:paraId="6EC326B1" w14:textId="4F76F8E7" w:rsidR="005A0B3D" w:rsidRPr="005A0B3D" w:rsidRDefault="005A0B3D" w:rsidP="005A0B3D">
      <w:pPr>
        <w:rPr>
          <w:vertAlign w:val="superscript"/>
        </w:rPr>
      </w:pPr>
      <w:r w:rsidRPr="005A0B3D">
        <w:t>Following the military coup led by Al-</w:t>
      </w:r>
      <w:proofErr w:type="spellStart"/>
      <w:r w:rsidRPr="005A0B3D">
        <w:t>Sisi</w:t>
      </w:r>
      <w:proofErr w:type="spellEnd"/>
      <w:r w:rsidRPr="005A0B3D">
        <w:t xml:space="preserve"> in 2013, clashes between armed insurgents and the Egyptian army — supported by special military units of the Central Security Forces — have proliferated in the Sinai Peninsula. In addition to ongoing activity in the peninsula, Al-</w:t>
      </w:r>
      <w:proofErr w:type="spellStart"/>
      <w:r w:rsidRPr="005A0B3D">
        <w:t>Sisi’s</w:t>
      </w:r>
      <w:proofErr w:type="spellEnd"/>
      <w:r w:rsidRPr="005A0B3D">
        <w:t xml:space="preserve"> forces carried out large-scale operations in Sinai 2015 and 2018, committing numerous violations of international law under the government’s counter-terrorism campaign.</w:t>
      </w:r>
      <w:r w:rsidRPr="005A0B3D">
        <w:rPr>
          <w:vertAlign w:val="superscript"/>
        </w:rPr>
        <w:footnoteReference w:id="51"/>
      </w:r>
      <w:r w:rsidRPr="005A0B3D">
        <w:t xml:space="preserve"> Since the onset of armed conflict, the Egyptian military engaged in indiscriminate attacks on local population, with ground and air raids claiming mostly civilian lives; in the 2018 Sinai Operation, internationally banned cluster munitions were utilised in North Sinai.</w:t>
      </w:r>
      <w:r w:rsidRPr="005A0B3D">
        <w:rPr>
          <w:vertAlign w:val="superscript"/>
        </w:rPr>
        <w:footnoteReference w:id="52"/>
      </w:r>
      <w:r w:rsidRPr="005A0B3D">
        <w:t xml:space="preserve"> There are also credible reports of crimes including extrajudicial killings, enforced disappearances and arbitrary arrests, as well as in the displacement of around 3,200 families through mass demolitions near the Gaza Strip border in 2013-2015.</w:t>
      </w:r>
      <w:r w:rsidRPr="005A0B3D">
        <w:rPr>
          <w:vertAlign w:val="superscript"/>
        </w:rPr>
        <w:footnoteReference w:id="53"/>
      </w:r>
    </w:p>
    <w:p w14:paraId="464E3EDE" w14:textId="77777777" w:rsidR="005A0B3D" w:rsidRDefault="005A0B3D" w:rsidP="005A0B3D">
      <w:pPr>
        <w:rPr>
          <w:b/>
        </w:rPr>
      </w:pPr>
    </w:p>
    <w:p w14:paraId="3B646213" w14:textId="223268CA" w:rsidR="005A0B3D" w:rsidRDefault="005A0B3D" w:rsidP="005A0B3D">
      <w:r>
        <w:t>CSOs</w:t>
      </w:r>
      <w:r w:rsidRPr="005A0B3D">
        <w:t xml:space="preserve"> have also for long raised alarm at transfers of arms and military equipment to Egypt including armoured vehicles, which have been used to violently repress peaceful protests.</w:t>
      </w:r>
      <w:r w:rsidRPr="005A0B3D">
        <w:rPr>
          <w:vertAlign w:val="superscript"/>
        </w:rPr>
        <w:footnoteReference w:id="54"/>
      </w:r>
      <w:r w:rsidR="008B2F6A">
        <w:t xml:space="preserve"> </w:t>
      </w:r>
      <w:r w:rsidR="00FC7381">
        <w:t>S</w:t>
      </w:r>
      <w:r w:rsidRPr="005A0B3D">
        <w:t xml:space="preserve">ecurity forces have a bleak record of using arbitrary and abusive force against protesters including through the use of firearms. For example, in 2013, police and military forces systematically and intentionally used excessive lethal force including with live ammunition on a large scale to disperse protests in </w:t>
      </w:r>
      <w:proofErr w:type="spellStart"/>
      <w:r w:rsidRPr="005A0B3D">
        <w:t>Rab’a</w:t>
      </w:r>
      <w:proofErr w:type="spellEnd"/>
      <w:r w:rsidRPr="005A0B3D">
        <w:t xml:space="preserve"> al-</w:t>
      </w:r>
      <w:proofErr w:type="spellStart"/>
      <w:r w:rsidRPr="005A0B3D">
        <w:lastRenderedPageBreak/>
        <w:t>Adawiya</w:t>
      </w:r>
      <w:proofErr w:type="spellEnd"/>
      <w:r w:rsidRPr="005A0B3D">
        <w:t xml:space="preserve"> Square and al-Nahda squares in Cairo.</w:t>
      </w:r>
      <w:r w:rsidRPr="005A0B3D">
        <w:rPr>
          <w:vertAlign w:val="superscript"/>
        </w:rPr>
        <w:footnoteReference w:id="55"/>
      </w:r>
      <w:r w:rsidRPr="005A0B3D">
        <w:t xml:space="preserve"> At least 900 people were killed largely by gunshot including children and 21 women.</w:t>
      </w:r>
      <w:r w:rsidRPr="005A0B3D">
        <w:rPr>
          <w:vertAlign w:val="superscript"/>
        </w:rPr>
        <w:footnoteReference w:id="56"/>
      </w:r>
      <w:r w:rsidRPr="005A0B3D">
        <w:t xml:space="preserve"> In its last UPR, Egypt received a recommendation to investigate </w:t>
      </w:r>
      <w:r w:rsidRPr="005A0B3D">
        <w:rPr>
          <w:rFonts w:ascii="Arial" w:hAnsi="Arial" w:cs="Arial"/>
        </w:rPr>
        <w:t>​​</w:t>
      </w:r>
      <w:r w:rsidRPr="005A0B3D">
        <w:t>excessive violence committed by military and security forces during demonstrations and to bring those responsible to justice.</w:t>
      </w:r>
      <w:r w:rsidRPr="005A0B3D">
        <w:rPr>
          <w:vertAlign w:val="superscript"/>
        </w:rPr>
        <w:footnoteReference w:id="57"/>
      </w:r>
      <w:r w:rsidRPr="005A0B3D">
        <w:t xml:space="preserve"> According to Amnesty International, the authorities have failed to this day to hold accountable a single member of the security forces while many protesters are still detained and on death row.</w:t>
      </w:r>
      <w:r w:rsidRPr="005A0B3D">
        <w:rPr>
          <w:vertAlign w:val="superscript"/>
        </w:rPr>
        <w:footnoteReference w:id="58"/>
      </w:r>
      <w:r w:rsidRPr="005A0B3D">
        <w:t xml:space="preserve"> In September 2020, in protests which erupted primarily against house demolitions and socio-economic conditions, security forces also used teargas, batons, birdshot and on at least one occasion live ammunition, and arrested hundreds of protestors and bystanders to disperse demonstrations over several days.</w:t>
      </w:r>
      <w:r w:rsidRPr="005A0B3D">
        <w:rPr>
          <w:vertAlign w:val="superscript"/>
        </w:rPr>
        <w:footnoteReference w:id="59"/>
      </w:r>
    </w:p>
    <w:p w14:paraId="18575011" w14:textId="77777777" w:rsidR="005A0B3D" w:rsidRPr="005A0B3D" w:rsidRDefault="005A0B3D" w:rsidP="005A0B3D"/>
    <w:p w14:paraId="15134FD1" w14:textId="71DA8BF7" w:rsidR="005A0B3D" w:rsidRPr="005A0B3D" w:rsidRDefault="005A0B3D" w:rsidP="005A0B3D">
      <w:pPr>
        <w:pStyle w:val="Heading2"/>
      </w:pPr>
      <w:bookmarkStart w:id="35" w:name="_1poepc7p8rnj" w:colFirst="0" w:colLast="0"/>
      <w:bookmarkStart w:id="36" w:name="_Toc83059581"/>
      <w:bookmarkStart w:id="37" w:name="_Toc83059632"/>
      <w:bookmarkStart w:id="38" w:name="_Toc83060473"/>
      <w:bookmarkEnd w:id="35"/>
      <w:r>
        <w:t xml:space="preserve">B. </w:t>
      </w:r>
      <w:r w:rsidR="005E47C5">
        <w:tab/>
      </w:r>
      <w:r w:rsidRPr="005A0B3D">
        <w:t xml:space="preserve">Impacts of surveillance technologies on </w:t>
      </w:r>
      <w:r w:rsidR="008B2F6A">
        <w:t>women’s human</w:t>
      </w:r>
      <w:r w:rsidRPr="005A0B3D">
        <w:t xml:space="preserve"> rights</w:t>
      </w:r>
      <w:bookmarkEnd w:id="36"/>
      <w:bookmarkEnd w:id="37"/>
      <w:bookmarkEnd w:id="38"/>
    </w:p>
    <w:p w14:paraId="5FBCD5B2" w14:textId="77777777" w:rsidR="005A0B3D" w:rsidRDefault="005A0B3D" w:rsidP="005A0B3D">
      <w:bookmarkStart w:id="39" w:name="_kbtohvyk77nx" w:colFirst="0" w:colLast="0"/>
      <w:bookmarkEnd w:id="39"/>
    </w:p>
    <w:p w14:paraId="035503A1" w14:textId="06C6A9DC" w:rsidR="005A0B3D" w:rsidRPr="005A0B3D" w:rsidRDefault="00FC7381" w:rsidP="005A0B3D">
      <w:r>
        <w:t>Since</w:t>
      </w:r>
      <w:r w:rsidR="005A0B3D" w:rsidRPr="005A0B3D">
        <w:t xml:space="preserve"> 2011, Egyptian authorities have developed their surveillance systems, acquiring tools for mass interception of communications and data collection capable of monitoring citizens’ digital activity and private exchanges.</w:t>
      </w:r>
      <w:r w:rsidR="005A0B3D" w:rsidRPr="005A0B3D">
        <w:rPr>
          <w:vertAlign w:val="superscript"/>
        </w:rPr>
        <w:footnoteReference w:id="60"/>
      </w:r>
      <w:r w:rsidR="005A0B3D" w:rsidRPr="005A0B3D">
        <w:t xml:space="preserve"> For instance, in 2014 Egypt acquired the cyber surveillance system CEREBRO from French company </w:t>
      </w:r>
      <w:proofErr w:type="spellStart"/>
      <w:r w:rsidR="005A0B3D" w:rsidRPr="005A0B3D">
        <w:t>Nexa</w:t>
      </w:r>
      <w:proofErr w:type="spellEnd"/>
      <w:r w:rsidR="005A0B3D" w:rsidRPr="005A0B3D">
        <w:t xml:space="preserve"> Technologies, which enables large-scale interception of communications and real-time surveillance.</w:t>
      </w:r>
      <w:r w:rsidR="005A0B3D" w:rsidRPr="005A0B3D">
        <w:rPr>
          <w:vertAlign w:val="superscript"/>
        </w:rPr>
        <w:footnoteReference w:id="61"/>
      </w:r>
      <w:r w:rsidR="005A0B3D" w:rsidRPr="005A0B3D">
        <w:t xml:space="preserve"> In June 2021, executives of </w:t>
      </w:r>
      <w:proofErr w:type="spellStart"/>
      <w:r w:rsidR="005A0B3D" w:rsidRPr="005A0B3D">
        <w:t>Nexa</w:t>
      </w:r>
      <w:proofErr w:type="spellEnd"/>
      <w:r w:rsidR="005A0B3D" w:rsidRPr="005A0B3D">
        <w:t xml:space="preserve"> Technologies were indicted by </w:t>
      </w:r>
      <w:r w:rsidR="005A0B3D" w:rsidRPr="005A0B3D">
        <w:lastRenderedPageBreak/>
        <w:t>investigating judges of the crimes against humanity and war crimes unit of the Paris Judicial Court for complicity in torture and enforced disappearance in Egypt.</w:t>
      </w:r>
      <w:r w:rsidR="005A0B3D" w:rsidRPr="005A0B3D">
        <w:rPr>
          <w:vertAlign w:val="superscript"/>
        </w:rPr>
        <w:footnoteReference w:id="62"/>
      </w:r>
    </w:p>
    <w:p w14:paraId="6F78E5F1" w14:textId="77777777" w:rsidR="005A0B3D" w:rsidRPr="005A0B3D" w:rsidRDefault="005A0B3D" w:rsidP="005A0B3D"/>
    <w:p w14:paraId="0C1A4013" w14:textId="77777777" w:rsidR="005A0B3D" w:rsidRPr="005A0B3D" w:rsidRDefault="005A0B3D" w:rsidP="005A0B3D">
      <w:r w:rsidRPr="005A0B3D">
        <w:t xml:space="preserve">In addition to CEREBRO, another even more intrusive surveillance system was supplied in 2014 to the Egyptian intelligence services by the French company </w:t>
      </w:r>
      <w:proofErr w:type="spellStart"/>
      <w:r w:rsidRPr="005A0B3D">
        <w:t>Ercom</w:t>
      </w:r>
      <w:proofErr w:type="spellEnd"/>
      <w:r w:rsidRPr="005A0B3D">
        <w:t xml:space="preserve"> through its subsidiary </w:t>
      </w:r>
      <w:proofErr w:type="spellStart"/>
      <w:r w:rsidRPr="005A0B3D">
        <w:t>Suneris</w:t>
      </w:r>
      <w:proofErr w:type="spellEnd"/>
      <w:r w:rsidRPr="005A0B3D">
        <w:t>.</w:t>
      </w:r>
      <w:r w:rsidRPr="005A0B3D">
        <w:rPr>
          <w:vertAlign w:val="superscript"/>
        </w:rPr>
        <w:footnoteReference w:id="63"/>
      </w:r>
      <w:r w:rsidRPr="005A0B3D">
        <w:t xml:space="preserve"> The system enables voice interception of telephone conversations and offers spatial geolocation of targets in real-time, using the IP address of the mobile phone.</w:t>
      </w:r>
      <w:r w:rsidRPr="005A0B3D">
        <w:rPr>
          <w:vertAlign w:val="superscript"/>
        </w:rPr>
        <w:footnoteReference w:id="64"/>
      </w:r>
      <w:r w:rsidRPr="005A0B3D">
        <w:t xml:space="preserve"> A 2016 report by Privacy International (PI) also found that surveillance equipment from companies such as Advanced German Technology and the Italian Hacking Team had been sold to an obscure Egyptian intelligence unit — the Technical Research Department (TRD); the report points to acquisitions of equipment with extensive interception and monitoring capacities made by the TRD.</w:t>
      </w:r>
      <w:r w:rsidRPr="005A0B3D">
        <w:rPr>
          <w:vertAlign w:val="superscript"/>
        </w:rPr>
        <w:footnoteReference w:id="65"/>
      </w:r>
      <w:r w:rsidRPr="005A0B3D">
        <w:t xml:space="preserve"> Other products that Egypt purchased from France include patroller drones and surveillance satellites for crowd control, which provide precise details to spot the beginnings of a crowd including in urban settings, thus potentially preventing the formation of peaceful protests and social movements.</w:t>
      </w:r>
      <w:r w:rsidRPr="005A0B3D">
        <w:rPr>
          <w:vertAlign w:val="superscript"/>
        </w:rPr>
        <w:footnoteReference w:id="66"/>
      </w:r>
    </w:p>
    <w:p w14:paraId="57A75D3B" w14:textId="77777777" w:rsidR="005A0B3D" w:rsidRDefault="005A0B3D" w:rsidP="005A0B3D">
      <w:bookmarkStart w:id="40" w:name="_tk9wu9k1p0us" w:colFirst="0" w:colLast="0"/>
      <w:bookmarkEnd w:id="40"/>
    </w:p>
    <w:p w14:paraId="5F294522" w14:textId="00989845" w:rsidR="005A0B3D" w:rsidRPr="005A0B3D" w:rsidRDefault="005A0B3D" w:rsidP="005E47C5">
      <w:pPr>
        <w:pStyle w:val="Heading3"/>
      </w:pPr>
      <w:bookmarkStart w:id="41" w:name="_Toc83059582"/>
      <w:bookmarkStart w:id="42" w:name="_Toc83059633"/>
      <w:r w:rsidRPr="005A0B3D">
        <w:t>Examples of human rights violations of WHRDs and LGBTIQ+</w:t>
      </w:r>
      <w:r>
        <w:t xml:space="preserve"> </w:t>
      </w:r>
      <w:r w:rsidRPr="005A0B3D">
        <w:t>individuals enabled by surveillance and digital technologies</w:t>
      </w:r>
      <w:bookmarkEnd w:id="41"/>
      <w:bookmarkEnd w:id="42"/>
    </w:p>
    <w:p w14:paraId="4D4E2210" w14:textId="55425152" w:rsidR="005A0B3D" w:rsidRDefault="005A0B3D" w:rsidP="005A0B3D">
      <w:r w:rsidRPr="005A0B3D">
        <w:t xml:space="preserve">As evidenced in the above-mentioned case of “the </w:t>
      </w:r>
      <w:proofErr w:type="spellStart"/>
      <w:r w:rsidRPr="005A0B3D">
        <w:t>Tik</w:t>
      </w:r>
      <w:proofErr w:type="spellEnd"/>
      <w:r w:rsidRPr="005A0B3D">
        <w:t xml:space="preserve"> </w:t>
      </w:r>
      <w:proofErr w:type="spellStart"/>
      <w:r w:rsidRPr="005A0B3D">
        <w:t>Tok</w:t>
      </w:r>
      <w:proofErr w:type="spellEnd"/>
      <w:r w:rsidRPr="005A0B3D">
        <w:t xml:space="preserve"> women”, the government is increasingly expanding its repression to cyberspace, including by violating women’s rights to freedom of expression, privacy, to earn a living online, and by policing women’s bodies.</w:t>
      </w:r>
      <w:r w:rsidRPr="005A0B3D">
        <w:rPr>
          <w:vertAlign w:val="superscript"/>
        </w:rPr>
        <w:footnoteReference w:id="67"/>
      </w:r>
      <w:r w:rsidRPr="005A0B3D">
        <w:t xml:space="preserve"> Large-scale phishing campaigns </w:t>
      </w:r>
      <w:r w:rsidRPr="005A0B3D">
        <w:lastRenderedPageBreak/>
        <w:t>against activists that likely originated from government-backed entities were also documented in 2016-2017 and 2019.</w:t>
      </w:r>
      <w:r w:rsidRPr="005A0B3D">
        <w:rPr>
          <w:vertAlign w:val="superscript"/>
        </w:rPr>
        <w:footnoteReference w:id="68"/>
      </w:r>
      <w:r w:rsidRPr="005A0B3D">
        <w:t xml:space="preserve"> These attacks have notably targeted WHRDs including an organisation promoting the political participation of women, addressing sexual violence, and on other gender issues.</w:t>
      </w:r>
      <w:r w:rsidRPr="005A0B3D">
        <w:rPr>
          <w:vertAlign w:val="superscript"/>
        </w:rPr>
        <w:footnoteReference w:id="69"/>
      </w:r>
      <w:r w:rsidRPr="005A0B3D">
        <w:t xml:space="preserve"> Egyptian women activists in exile also continue to face digital threats and online censorship. For instance, Sawsan Gharib, spokesperson for Egypt’s April 6 Youth Movement, has reportedly had her Facebook account shut down numerous times during the past years because of complaints from pro-</w:t>
      </w:r>
      <w:proofErr w:type="spellStart"/>
      <w:r w:rsidRPr="005A0B3D">
        <w:t>Sisi</w:t>
      </w:r>
      <w:proofErr w:type="spellEnd"/>
      <w:r w:rsidRPr="005A0B3D">
        <w:t xml:space="preserve"> digital agents.</w:t>
      </w:r>
      <w:r w:rsidRPr="005A0B3D">
        <w:rPr>
          <w:vertAlign w:val="superscript"/>
        </w:rPr>
        <w:footnoteReference w:id="70"/>
      </w:r>
      <w:r w:rsidRPr="005A0B3D">
        <w:t xml:space="preserve"> LGBTIQ+ individuals are also increasingly targeted and arrested by the police, which use fake accounts on social media and dating apps, as well as digital evidence for prosecution.</w:t>
      </w:r>
      <w:r w:rsidRPr="005A0B3D">
        <w:rPr>
          <w:vertAlign w:val="superscript"/>
        </w:rPr>
        <w:footnoteReference w:id="71"/>
      </w:r>
      <w:r w:rsidRPr="005A0B3D">
        <w:t xml:space="preserve"> </w:t>
      </w:r>
    </w:p>
    <w:p w14:paraId="6AFF3BE2" w14:textId="77777777" w:rsidR="00D47D29" w:rsidRPr="005A0B3D" w:rsidRDefault="00D47D29" w:rsidP="005A0B3D"/>
    <w:p w14:paraId="7051A64C" w14:textId="19C3BCC2" w:rsidR="005A0B3D" w:rsidRPr="005A0B3D" w:rsidRDefault="005E47C5" w:rsidP="005A0B3D">
      <w:pPr>
        <w:pStyle w:val="Heading2"/>
      </w:pPr>
      <w:bookmarkStart w:id="43" w:name="_nl666jsqf5wa" w:colFirst="0" w:colLast="0"/>
      <w:bookmarkStart w:id="44" w:name="_Toc83059583"/>
      <w:bookmarkStart w:id="45" w:name="_Toc83059634"/>
      <w:bookmarkStart w:id="46" w:name="_Toc83060474"/>
      <w:bookmarkEnd w:id="43"/>
      <w:r>
        <w:t>C.</w:t>
      </w:r>
      <w:r>
        <w:tab/>
      </w:r>
      <w:r w:rsidR="008B2F6A">
        <w:tab/>
      </w:r>
      <w:r w:rsidR="005A0B3D" w:rsidRPr="005A0B3D">
        <w:t>Recommendations</w:t>
      </w:r>
      <w:bookmarkEnd w:id="44"/>
      <w:bookmarkEnd w:id="45"/>
      <w:bookmarkEnd w:id="46"/>
    </w:p>
    <w:p w14:paraId="511FF62D" w14:textId="77777777" w:rsidR="00FC7381" w:rsidRPr="005A0B3D" w:rsidRDefault="00FC7381" w:rsidP="00FC7381">
      <w:pPr>
        <w:numPr>
          <w:ilvl w:val="0"/>
          <w:numId w:val="6"/>
        </w:numPr>
      </w:pPr>
      <w:r w:rsidRPr="005A0B3D">
        <w:t>Take immediate measures to respect and protect the right of peaceful assembly and to regulate the use of force and firearms by security forces during assemblies in line with international human rights standards, including the Basic Principles on the Use of Force and Firearms by Law Enforcement Officials;</w:t>
      </w:r>
    </w:p>
    <w:p w14:paraId="0765A71A" w14:textId="77777777" w:rsidR="005A0B3D" w:rsidRPr="005A0B3D" w:rsidRDefault="005A0B3D" w:rsidP="005A0B3D">
      <w:pPr>
        <w:numPr>
          <w:ilvl w:val="0"/>
          <w:numId w:val="6"/>
        </w:numPr>
        <w:rPr>
          <w:b/>
        </w:rPr>
      </w:pPr>
      <w:r w:rsidRPr="005A0B3D">
        <w:t>Immediately cease online targeting and cyberattacks against WHRDs, as well as against LGBTIQ+ individuals;</w:t>
      </w:r>
    </w:p>
    <w:p w14:paraId="59CE92D2" w14:textId="77777777" w:rsidR="005A0B3D" w:rsidRPr="005A0B3D" w:rsidRDefault="005A0B3D" w:rsidP="005A0B3D">
      <w:pPr>
        <w:numPr>
          <w:ilvl w:val="0"/>
          <w:numId w:val="6"/>
        </w:numPr>
      </w:pPr>
      <w:r w:rsidRPr="005A0B3D">
        <w:t>Ensure that domestic laws permit the use of surveillance technologies only in accordance with the human rights standards of legality, necessity and legitimacy of objectives, and establish legal mechanisms of redress consistent with their obligation to provide victims of surveillance-related abuses with an effective remedy;</w:t>
      </w:r>
    </w:p>
    <w:p w14:paraId="64E367AA" w14:textId="77777777" w:rsidR="005A0B3D" w:rsidRPr="005A0B3D" w:rsidRDefault="005A0B3D" w:rsidP="005A0B3D">
      <w:pPr>
        <w:numPr>
          <w:ilvl w:val="0"/>
          <w:numId w:val="6"/>
        </w:numPr>
      </w:pPr>
      <w:r w:rsidRPr="005A0B3D">
        <w:lastRenderedPageBreak/>
        <w:t xml:space="preserve">Establish mechanisms that ensure public approval, oversight and control of the purchase of surveillance technologies; </w:t>
      </w:r>
    </w:p>
    <w:p w14:paraId="030CDBBF" w14:textId="77777777" w:rsidR="005A0B3D" w:rsidRPr="005A0B3D" w:rsidRDefault="005A0B3D" w:rsidP="005A0B3D">
      <w:pPr>
        <w:numPr>
          <w:ilvl w:val="0"/>
          <w:numId w:val="6"/>
        </w:numPr>
      </w:pPr>
      <w:r w:rsidRPr="005A0B3D">
        <w:t>Amend the Telecommunication Regulation Law No 10 of 2003, the 2018 Cybercrime law and the Data Protection Law (Law No. 151 of 2020) to bring them in line with international human rights law, particularly with regard to the respect of the right to privacy and freedom of expression;</w:t>
      </w:r>
    </w:p>
    <w:p w14:paraId="0000009E" w14:textId="58DF8C5B" w:rsidR="00FF0B19" w:rsidRPr="005A0B3D" w:rsidRDefault="005E47C5" w:rsidP="008B2F6A">
      <w:pPr>
        <w:numPr>
          <w:ilvl w:val="0"/>
          <w:numId w:val="6"/>
        </w:numPr>
      </w:pPr>
      <w:r>
        <w:t>Accede</w:t>
      </w:r>
      <w:r w:rsidR="008B2F6A">
        <w:t xml:space="preserve"> </w:t>
      </w:r>
      <w:r w:rsidR="005A0B3D" w:rsidRPr="005A0B3D">
        <w:t>to the Arms Trade Treaty and ensure transparency and reporting on military spending as well as on weapons acquisition by repo</w:t>
      </w:r>
      <w:bookmarkStart w:id="47" w:name="_GoBack"/>
      <w:bookmarkEnd w:id="47"/>
      <w:r w:rsidR="005A0B3D" w:rsidRPr="005A0B3D">
        <w:t>rting to the UN Register of Conventional Arms.</w:t>
      </w:r>
      <w:bookmarkStart w:id="48" w:name="_heading=h.2jxsxqh" w:colFirst="0" w:colLast="0"/>
      <w:bookmarkEnd w:id="48"/>
    </w:p>
    <w:sectPr w:rsidR="00FF0B19" w:rsidRPr="005A0B3D">
      <w:type w:val="continuous"/>
      <w:pgSz w:w="12240" w:h="15840"/>
      <w:pgMar w:top="1440" w:right="1440" w:bottom="1440" w:left="1440" w:header="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DD9666" w14:textId="77777777" w:rsidR="00AD676C" w:rsidRDefault="00AD676C">
      <w:pPr>
        <w:spacing w:line="240" w:lineRule="auto"/>
      </w:pPr>
      <w:r>
        <w:separator/>
      </w:r>
    </w:p>
  </w:endnote>
  <w:endnote w:type="continuationSeparator" w:id="0">
    <w:p w14:paraId="3470BD3B" w14:textId="77777777" w:rsidR="00AD676C" w:rsidRDefault="00AD67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Libre Franklin">
    <w:altName w:val="Calibri"/>
    <w:panose1 w:val="020B0604020202020204"/>
    <w:charset w:val="00"/>
    <w:family w:val="auto"/>
    <w:pitch w:val="default"/>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F2" w14:textId="77777777" w:rsidR="000E2B9A" w:rsidRDefault="000E2B9A">
    <w:pPr>
      <w:pBdr>
        <w:top w:val="nil"/>
        <w:left w:val="nil"/>
        <w:bottom w:val="nil"/>
        <w:right w:val="nil"/>
        <w:between w:val="nil"/>
      </w:pBdr>
      <w:tabs>
        <w:tab w:val="center" w:pos="4680"/>
        <w:tab w:val="right" w:pos="9360"/>
      </w:tabs>
      <w:spacing w:line="240" w:lineRule="auto"/>
      <w:jc w:val="right"/>
      <w:rPr>
        <w:rFonts w:ascii="Libre Franklin" w:hAnsi="Libre Franklin"/>
        <w:color w:val="000000"/>
      </w:rPr>
    </w:pPr>
  </w:p>
  <w:p w14:paraId="000000F3" w14:textId="77777777" w:rsidR="000E2B9A" w:rsidRDefault="000E2B9A">
    <w:pPr>
      <w:pBdr>
        <w:top w:val="nil"/>
        <w:left w:val="nil"/>
        <w:bottom w:val="nil"/>
        <w:right w:val="nil"/>
        <w:between w:val="nil"/>
      </w:pBdr>
      <w:tabs>
        <w:tab w:val="center" w:pos="4680"/>
        <w:tab w:val="right" w:pos="9360"/>
      </w:tabs>
      <w:spacing w:line="240" w:lineRule="auto"/>
      <w:ind w:right="360"/>
      <w:rPr>
        <w:rFonts w:ascii="Libre Franklin" w:hAnsi="Libre Franklin"/>
        <w:color w:val="000000"/>
      </w:rPr>
    </w:pPr>
    <w:r>
      <w:rPr>
        <w:rFonts w:ascii="Libre Franklin" w:hAnsi="Libre Franklin"/>
        <w:color w:val="000000"/>
      </w:rPr>
      <w:fldChar w:fldCharType="begin"/>
    </w:r>
    <w:r>
      <w:rPr>
        <w:rFonts w:ascii="Libre Franklin" w:hAnsi="Libre Franklin"/>
        <w:color w:val="000000"/>
      </w:rPr>
      <w:instrText>PAGE</w:instrText>
    </w:r>
    <w:r>
      <w:rPr>
        <w:rFonts w:ascii="Libre Franklin" w:hAnsi="Libre Franklin"/>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0FA924" w14:textId="77777777" w:rsidR="008B2F6A" w:rsidRDefault="008B2F6A" w:rsidP="008B2F6A">
    <w:pPr>
      <w:pBdr>
        <w:top w:val="nil"/>
        <w:left w:val="nil"/>
        <w:bottom w:val="nil"/>
        <w:right w:val="nil"/>
        <w:between w:val="nil"/>
      </w:pBdr>
      <w:tabs>
        <w:tab w:val="center" w:pos="4680"/>
        <w:tab w:val="right" w:pos="9360"/>
      </w:tabs>
      <w:spacing w:line="240" w:lineRule="auto"/>
      <w:jc w:val="center"/>
      <w:rPr>
        <w:rFonts w:ascii="Libre Franklin" w:hAnsi="Libre Franklin"/>
        <w:color w:val="000000"/>
      </w:rPr>
    </w:pPr>
  </w:p>
  <w:p w14:paraId="764FC283" w14:textId="77777777" w:rsidR="008B2F6A" w:rsidRDefault="008B2F6A" w:rsidP="008B2F6A">
    <w:pPr>
      <w:pBdr>
        <w:top w:val="nil"/>
        <w:left w:val="nil"/>
        <w:bottom w:val="nil"/>
        <w:right w:val="nil"/>
        <w:between w:val="nil"/>
      </w:pBdr>
      <w:tabs>
        <w:tab w:val="center" w:pos="4680"/>
        <w:tab w:val="right" w:pos="9360"/>
      </w:tabs>
      <w:spacing w:line="240" w:lineRule="auto"/>
      <w:jc w:val="center"/>
      <w:rPr>
        <w:rFonts w:ascii="Libre Franklin" w:hAnsi="Libre Franklin"/>
        <w:color w:val="000000"/>
      </w:rPr>
    </w:pPr>
  </w:p>
  <w:p w14:paraId="000000F4" w14:textId="5FE0800C" w:rsidR="000E2B9A" w:rsidRDefault="000E2B9A" w:rsidP="008B2F6A">
    <w:pPr>
      <w:pBdr>
        <w:top w:val="nil"/>
        <w:left w:val="nil"/>
        <w:bottom w:val="nil"/>
        <w:right w:val="nil"/>
        <w:between w:val="nil"/>
      </w:pBdr>
      <w:tabs>
        <w:tab w:val="center" w:pos="4680"/>
        <w:tab w:val="right" w:pos="9360"/>
      </w:tabs>
      <w:spacing w:line="240" w:lineRule="auto"/>
      <w:jc w:val="center"/>
      <w:rPr>
        <w:rFonts w:ascii="Libre Franklin" w:hAnsi="Libre Franklin"/>
        <w:color w:val="000000"/>
      </w:rPr>
    </w:pPr>
    <w:r>
      <w:rPr>
        <w:rFonts w:ascii="Libre Franklin" w:hAnsi="Libre Franklin"/>
        <w:color w:val="000000"/>
      </w:rPr>
      <w:fldChar w:fldCharType="begin"/>
    </w:r>
    <w:r>
      <w:rPr>
        <w:rFonts w:ascii="Libre Franklin" w:hAnsi="Libre Franklin"/>
        <w:color w:val="000000"/>
      </w:rPr>
      <w:instrText>PAGE</w:instrText>
    </w:r>
    <w:r>
      <w:rPr>
        <w:rFonts w:ascii="Libre Franklin" w:hAnsi="Libre Franklin"/>
        <w:color w:val="000000"/>
      </w:rPr>
      <w:fldChar w:fldCharType="separate"/>
    </w:r>
    <w:r>
      <w:rPr>
        <w:rFonts w:ascii="Libre Franklin" w:hAnsi="Libre Franklin"/>
        <w:noProof/>
        <w:color w:val="000000"/>
      </w:rPr>
      <w:t>1</w:t>
    </w:r>
    <w:r>
      <w:rPr>
        <w:rFonts w:ascii="Libre Franklin" w:hAnsi="Libre Franklin"/>
        <w:color w:val="000000"/>
      </w:rPr>
      <w:fldChar w:fldCharType="end"/>
    </w:r>
    <w:r w:rsidR="008B2F6A">
      <w:rPr>
        <w:rFonts w:ascii="Libre Franklin" w:hAnsi="Libre Franklin"/>
        <w:color w:val="000000"/>
      </w:rPr>
      <w:t>/1</w:t>
    </w:r>
    <w:r w:rsidR="00A61968">
      <w:rPr>
        <w:rFonts w:ascii="Libre Franklin" w:hAnsi="Libre Franklin"/>
        <w:color w:val="000000"/>
      </w:rPr>
      <w:t>6</w:t>
    </w:r>
  </w:p>
  <w:p w14:paraId="000000F5" w14:textId="77777777" w:rsidR="000E2B9A" w:rsidRDefault="000E2B9A">
    <w:pPr>
      <w:pBdr>
        <w:top w:val="nil"/>
        <w:left w:val="nil"/>
        <w:bottom w:val="nil"/>
        <w:right w:val="nil"/>
        <w:between w:val="nil"/>
      </w:pBdr>
      <w:spacing w:line="276" w:lineRule="auto"/>
      <w:ind w:right="360"/>
      <w:jc w:val="right"/>
      <w:rPr>
        <w:rFonts w:ascii="Libre Franklin" w:hAnsi="Libre Franklin"/>
        <w:color w:val="000000"/>
        <w:sz w:val="21"/>
        <w:szCs w:val="21"/>
      </w:rPr>
    </w:pPr>
  </w:p>
  <w:p w14:paraId="000000F6" w14:textId="77777777" w:rsidR="000E2B9A" w:rsidRDefault="000E2B9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D680CF" w14:textId="77777777" w:rsidR="00AD676C" w:rsidRDefault="00AD676C">
      <w:pPr>
        <w:spacing w:line="240" w:lineRule="auto"/>
      </w:pPr>
      <w:r>
        <w:separator/>
      </w:r>
    </w:p>
  </w:footnote>
  <w:footnote w:type="continuationSeparator" w:id="0">
    <w:p w14:paraId="2B197C54" w14:textId="77777777" w:rsidR="00AD676C" w:rsidRDefault="00AD676C">
      <w:pPr>
        <w:spacing w:line="240" w:lineRule="auto"/>
      </w:pPr>
      <w:r>
        <w:continuationSeparator/>
      </w:r>
    </w:p>
  </w:footnote>
  <w:footnote w:id="1">
    <w:p w14:paraId="4BE53372" w14:textId="5248ACA3" w:rsidR="000E2B9A" w:rsidRPr="00D46BFB" w:rsidRDefault="000E2B9A" w:rsidP="005A0B3D">
      <w:pPr>
        <w:pStyle w:val="FootnoteText"/>
        <w:rPr>
          <w:lang w:val="en-US"/>
        </w:rPr>
      </w:pPr>
      <w:r>
        <w:rPr>
          <w:vertAlign w:val="superscript"/>
        </w:rPr>
        <w:footnoteRef/>
      </w:r>
      <w:r w:rsidRPr="00D46BFB">
        <w:rPr>
          <w:lang w:val="en-US"/>
        </w:rPr>
        <w:t>‘Egypt: No End to Escalating Repression’</w:t>
      </w:r>
      <w:r w:rsidR="00EF1DD3">
        <w:rPr>
          <w:lang w:val="en-US"/>
        </w:rPr>
        <w:t>, (</w:t>
      </w:r>
      <w:r w:rsidR="00EF1DD3" w:rsidRPr="005E47C5">
        <w:rPr>
          <w:i/>
          <w:lang w:val="en-US"/>
        </w:rPr>
        <w:t>Human Rights Watch</w:t>
      </w:r>
      <w:r w:rsidR="00EF1DD3">
        <w:rPr>
          <w:lang w:val="en-US"/>
        </w:rPr>
        <w:t xml:space="preserve">, </w:t>
      </w:r>
      <w:r w:rsidRPr="00D46BFB">
        <w:rPr>
          <w:lang w:val="en-US"/>
        </w:rPr>
        <w:t xml:space="preserve">13 January 2021), available at: </w:t>
      </w:r>
      <w:hyperlink r:id="rId1">
        <w:r w:rsidRPr="00D46BFB">
          <w:rPr>
            <w:lang w:val="en-US"/>
          </w:rPr>
          <w:t>https://www.hrw.org/news/2021/01/13/egypt-no-end-escalating-repression</w:t>
        </w:r>
      </w:hyperlink>
      <w:r w:rsidR="00A50737">
        <w:rPr>
          <w:lang w:val="en-US"/>
        </w:rPr>
        <w:t>.</w:t>
      </w:r>
      <w:r w:rsidRPr="00D46BFB">
        <w:rPr>
          <w:lang w:val="en-US"/>
        </w:rPr>
        <w:t xml:space="preserve"> </w:t>
      </w:r>
    </w:p>
  </w:footnote>
  <w:footnote w:id="2">
    <w:p w14:paraId="32F36BB0" w14:textId="01198B2F" w:rsidR="000E2B9A" w:rsidRPr="00D46BFB" w:rsidRDefault="000E2B9A" w:rsidP="005A0B3D">
      <w:pPr>
        <w:pStyle w:val="FootnoteText"/>
        <w:rPr>
          <w:lang w:val="en-US"/>
        </w:rPr>
      </w:pPr>
      <w:r>
        <w:rPr>
          <w:vertAlign w:val="superscript"/>
        </w:rPr>
        <w:footnoteRef/>
      </w:r>
      <w:r w:rsidRPr="00D46BFB">
        <w:rPr>
          <w:lang w:val="en-US"/>
        </w:rPr>
        <w:t xml:space="preserve"> Law No. 22 of 2020 amending the Emergency Law No. 162 of 1958, available at: </w:t>
      </w:r>
      <w:hyperlink r:id="rId2">
        <w:r w:rsidRPr="00D46BFB">
          <w:rPr>
            <w:lang w:val="en-US"/>
          </w:rPr>
          <w:t>https://www.ilo.org/dyn/natlex/natlex4.detail?p_lang=en&amp;p_isn=111244&amp;p_count=19&amp;p_classification=01</w:t>
        </w:r>
      </w:hyperlink>
      <w:r w:rsidRPr="00D46BFB">
        <w:rPr>
          <w:lang w:val="en-US"/>
        </w:rPr>
        <w:t>;, ‘Egypt: Covid-19 Cover for New Repressive Powers’</w:t>
      </w:r>
      <w:r w:rsidR="00EF1DD3">
        <w:rPr>
          <w:lang w:val="en-US"/>
        </w:rPr>
        <w:t>, (</w:t>
      </w:r>
      <w:r w:rsidR="00EF1DD3" w:rsidRPr="005E47C5">
        <w:rPr>
          <w:i/>
          <w:lang w:val="en-US"/>
        </w:rPr>
        <w:t>Human Rights Watch</w:t>
      </w:r>
      <w:r w:rsidR="00EF1DD3">
        <w:rPr>
          <w:lang w:val="en-US"/>
        </w:rPr>
        <w:t xml:space="preserve">, </w:t>
      </w:r>
      <w:r w:rsidRPr="00D46BFB">
        <w:rPr>
          <w:lang w:val="en-US"/>
        </w:rPr>
        <w:t xml:space="preserve">7 May 2020), available at: </w:t>
      </w:r>
      <w:hyperlink r:id="rId3">
        <w:r w:rsidRPr="00D46BFB">
          <w:rPr>
            <w:lang w:val="en-US"/>
          </w:rPr>
          <w:t>https://www.hrw.org/news/2020/05/07/egypt-covid-19-cover-new-repressive-powers</w:t>
        </w:r>
      </w:hyperlink>
      <w:r w:rsidRPr="00D46BFB">
        <w:rPr>
          <w:lang w:val="en-US"/>
        </w:rPr>
        <w:t xml:space="preserve"> ; ‘Egypt: Amendments to Emergency Law exploit </w:t>
      </w:r>
      <w:proofErr w:type="spellStart"/>
      <w:r w:rsidRPr="00D46BFB">
        <w:rPr>
          <w:lang w:val="en-US"/>
        </w:rPr>
        <w:t>Covid</w:t>
      </w:r>
      <w:proofErr w:type="spellEnd"/>
      <w:r w:rsidRPr="00D46BFB">
        <w:rPr>
          <w:lang w:val="en-US"/>
        </w:rPr>
        <w:t xml:space="preserve"> 19 to undermine judicial independence’ (</w:t>
      </w:r>
      <w:r w:rsidR="00EF1DD3">
        <w:rPr>
          <w:lang w:val="en-US"/>
        </w:rPr>
        <w:t xml:space="preserve">CIHRS, </w:t>
      </w:r>
      <w:r w:rsidRPr="00D46BFB">
        <w:rPr>
          <w:lang w:val="en-US"/>
        </w:rPr>
        <w:t xml:space="preserve">9th May 2020), available at: </w:t>
      </w:r>
      <w:hyperlink r:id="rId4">
        <w:r w:rsidRPr="00D46BFB">
          <w:rPr>
            <w:lang w:val="en-US"/>
          </w:rPr>
          <w:t>https://cihrs.org/egypt-amendments-to-emergency-law-exploit-covid-19-to-undermine-judicial-independence/?lang=en</w:t>
        </w:r>
      </w:hyperlink>
      <w:r w:rsidR="00A50737">
        <w:rPr>
          <w:lang w:val="en-US"/>
        </w:rPr>
        <w:t>.</w:t>
      </w:r>
    </w:p>
  </w:footnote>
  <w:footnote w:id="3">
    <w:p w14:paraId="3F771F85" w14:textId="4BFD456B" w:rsidR="000E2B9A" w:rsidRPr="00D46BFB" w:rsidRDefault="000E2B9A" w:rsidP="005A0B3D">
      <w:pPr>
        <w:pStyle w:val="FootnoteText"/>
        <w:rPr>
          <w:lang w:val="en-US"/>
        </w:rPr>
      </w:pPr>
      <w:r>
        <w:rPr>
          <w:vertAlign w:val="superscript"/>
        </w:rPr>
        <w:footnoteRef/>
      </w:r>
      <w:r w:rsidRPr="00D46BFB">
        <w:rPr>
          <w:lang w:val="en-US"/>
        </w:rPr>
        <w:t xml:space="preserve"> Amnesty International, International Report 2020/21 (POL 10/3202/2021, 2021), pp. 146-151, available at: </w:t>
      </w:r>
      <w:hyperlink r:id="rId5">
        <w:r w:rsidRPr="00D46BFB">
          <w:rPr>
            <w:lang w:val="en-US"/>
          </w:rPr>
          <w:t>https://reliefweb.int/sites/reliefweb.int/files/resources/POL1032022021ENGLISH.PDF</w:t>
        </w:r>
      </w:hyperlink>
      <w:r w:rsidR="00A50737">
        <w:rPr>
          <w:lang w:val="en-US"/>
        </w:rPr>
        <w:t>.</w:t>
      </w:r>
    </w:p>
  </w:footnote>
  <w:footnote w:id="4">
    <w:p w14:paraId="58011053" w14:textId="33164E9B" w:rsidR="000E2B9A" w:rsidRPr="00D46BFB" w:rsidRDefault="000E2B9A" w:rsidP="005A0B3D">
      <w:pPr>
        <w:pStyle w:val="FootnoteText"/>
        <w:rPr>
          <w:lang w:val="en-US"/>
        </w:rPr>
      </w:pPr>
      <w:r>
        <w:rPr>
          <w:vertAlign w:val="superscript"/>
        </w:rPr>
        <w:footnoteRef/>
      </w:r>
      <w:r w:rsidRPr="00D46BFB">
        <w:rPr>
          <w:lang w:val="en-US"/>
        </w:rPr>
        <w:t xml:space="preserve"> HRC ‘Report of the Working Group on the Universal Periodic Review of Egypt’ (27 December 2019) UN Doc A/HRC/43/16,</w:t>
      </w:r>
      <w:r>
        <w:rPr>
          <w:lang w:val="en-US"/>
        </w:rPr>
        <w:t xml:space="preserve"> </w:t>
      </w:r>
      <w:r w:rsidRPr="00D46BFB">
        <w:rPr>
          <w:lang w:val="en-US"/>
        </w:rPr>
        <w:t xml:space="preserve">recommendations 31.124, 31.126, 31.128, 31.130, 31.134, 31.165, 31.174, 31.178, 31.188, 31.189, 31.190, 31.191, 31.192, 31.199, 31.207. </w:t>
      </w:r>
    </w:p>
  </w:footnote>
  <w:footnote w:id="5">
    <w:p w14:paraId="3BDC2648" w14:textId="17700ECA" w:rsidR="000E2B9A" w:rsidRPr="00D46BFB" w:rsidRDefault="000E2B9A" w:rsidP="005A0B3D">
      <w:pPr>
        <w:pStyle w:val="FootnoteText"/>
        <w:rPr>
          <w:lang w:val="en-US"/>
        </w:rPr>
      </w:pPr>
      <w:r>
        <w:rPr>
          <w:vertAlign w:val="superscript"/>
        </w:rPr>
        <w:footnoteRef/>
      </w:r>
      <w:r w:rsidRPr="00D46BFB">
        <w:rPr>
          <w:lang w:val="en-US"/>
        </w:rPr>
        <w:t xml:space="preserve"> HRC ‘Report of the Working Group on the Universal Periodic Review of Egypt’ (27 December 2019) UN Doc A/HRC/43/16,</w:t>
      </w:r>
      <w:r>
        <w:rPr>
          <w:lang w:val="en-US"/>
        </w:rPr>
        <w:t xml:space="preserve"> </w:t>
      </w:r>
      <w:r w:rsidRPr="00D46BFB">
        <w:rPr>
          <w:lang w:val="en-US"/>
        </w:rPr>
        <w:t xml:space="preserve">recommendations 31.22, 31.126, 31.130, 31.163, 31.178, 31.194, 31.197, 31.198, 31.199, 31.200, 31.202, 31.204, 31.205, 31.206, 31.207, 31.208. </w:t>
      </w:r>
    </w:p>
  </w:footnote>
  <w:footnote w:id="6">
    <w:p w14:paraId="07B561BD" w14:textId="77777777" w:rsidR="000E2B9A" w:rsidRPr="00D46BFB" w:rsidRDefault="000E2B9A" w:rsidP="005A0B3D">
      <w:pPr>
        <w:pStyle w:val="FootnoteText"/>
        <w:rPr>
          <w:lang w:val="en-US"/>
        </w:rPr>
      </w:pPr>
      <w:r>
        <w:rPr>
          <w:vertAlign w:val="superscript"/>
        </w:rPr>
        <w:footnoteRef/>
      </w:r>
      <w:r w:rsidRPr="00D46BFB">
        <w:rPr>
          <w:lang w:val="en-US"/>
        </w:rPr>
        <w:t xml:space="preserve"> Committee on the Elimination on all forms of Discrimination Against Women, ‘List of issues and questions in relation to the combined eight to tenth periodic reports of Egypt’ (17 November 2020) UN Doc CEDAW/C/EGY/Q/8-10, para 12.</w:t>
      </w:r>
    </w:p>
  </w:footnote>
  <w:footnote w:id="7">
    <w:p w14:paraId="5473515F" w14:textId="77777777" w:rsidR="000E2B9A" w:rsidRPr="00D46BFB" w:rsidRDefault="000E2B9A" w:rsidP="005A0B3D">
      <w:pPr>
        <w:pStyle w:val="FootnoteText"/>
        <w:rPr>
          <w:szCs w:val="20"/>
          <w:vertAlign w:val="superscript"/>
          <w:lang w:val="en-US"/>
        </w:rPr>
      </w:pPr>
      <w:r>
        <w:rPr>
          <w:vertAlign w:val="superscript"/>
        </w:rPr>
        <w:footnoteRef/>
      </w:r>
      <w:r w:rsidRPr="00D46BFB">
        <w:rPr>
          <w:szCs w:val="20"/>
          <w:vertAlign w:val="superscript"/>
          <w:lang w:val="en-US"/>
        </w:rPr>
        <w:t xml:space="preserve"> </w:t>
      </w:r>
      <w:r w:rsidRPr="00D46BFB">
        <w:rPr>
          <w:lang w:val="en-US"/>
        </w:rPr>
        <w:t xml:space="preserve">UN Secretary General Annual Reprisals Report (25 September 2020) UN doc A/HRC/45/36, para 65-70, available at: </w:t>
      </w:r>
      <w:hyperlink r:id="rId6">
        <w:r w:rsidRPr="00D46BFB">
          <w:rPr>
            <w:lang w:val="en-US"/>
          </w:rPr>
          <w:t>https://undocs.org/en/A/HRC/45/36</w:t>
        </w:r>
      </w:hyperlink>
    </w:p>
  </w:footnote>
  <w:footnote w:id="8">
    <w:p w14:paraId="67058ED0" w14:textId="77777777" w:rsidR="000E2B9A" w:rsidRPr="00D46BFB" w:rsidRDefault="000E2B9A" w:rsidP="008B2F6A">
      <w:pPr>
        <w:pStyle w:val="FootnoteText"/>
        <w:rPr>
          <w:lang w:val="en-US"/>
        </w:rPr>
      </w:pPr>
      <w:r>
        <w:rPr>
          <w:vertAlign w:val="superscript"/>
        </w:rPr>
        <w:footnoteRef/>
      </w:r>
      <w:r w:rsidRPr="00D46BFB">
        <w:rPr>
          <w:szCs w:val="20"/>
          <w:lang w:val="en-US"/>
        </w:rPr>
        <w:t xml:space="preserve"> </w:t>
      </w:r>
      <w:r w:rsidRPr="00D46BFB">
        <w:rPr>
          <w:lang w:val="en-US"/>
        </w:rPr>
        <w:t>OHCHR ‘Egypt: UN experts alarmed by treatment of human rights defenders after visit’ (</w:t>
      </w:r>
      <w:r w:rsidRPr="00D46BFB">
        <w:rPr>
          <w:i/>
          <w:lang w:val="en-US"/>
        </w:rPr>
        <w:t xml:space="preserve">Geneva, </w:t>
      </w:r>
      <w:r w:rsidRPr="00D46BFB">
        <w:rPr>
          <w:lang w:val="en-US"/>
        </w:rPr>
        <w:t>4 December 2018), available at: https://www.ohchr.org/EN/NewsEvents/Pages/DisplayNews.aspx?NewsID=23971&amp;LangID=E</w:t>
      </w:r>
    </w:p>
  </w:footnote>
  <w:footnote w:id="9">
    <w:p w14:paraId="5B44B194" w14:textId="72182F7B" w:rsidR="000E2B9A" w:rsidRPr="00D46BFB" w:rsidRDefault="000E2B9A" w:rsidP="005A0B3D">
      <w:pPr>
        <w:pStyle w:val="FootnoteText"/>
        <w:rPr>
          <w:szCs w:val="20"/>
          <w:vertAlign w:val="superscript"/>
          <w:lang w:val="en-US"/>
        </w:rPr>
      </w:pPr>
      <w:r>
        <w:rPr>
          <w:vertAlign w:val="superscript"/>
        </w:rPr>
        <w:footnoteRef/>
      </w:r>
      <w:r>
        <w:rPr>
          <w:szCs w:val="20"/>
          <w:vertAlign w:val="superscript"/>
          <w:lang w:val="en-US"/>
        </w:rPr>
        <w:t xml:space="preserve"> </w:t>
      </w:r>
      <w:r w:rsidRPr="00D46BFB">
        <w:rPr>
          <w:lang w:val="en-US"/>
        </w:rPr>
        <w:t>OHCHR ‘Egypt: UN experts alarmed by treatment of human rights defenders after visit’ (</w:t>
      </w:r>
      <w:r w:rsidRPr="00D46BFB">
        <w:rPr>
          <w:i/>
          <w:lang w:val="en-US"/>
        </w:rPr>
        <w:t xml:space="preserve">Geneva, </w:t>
      </w:r>
      <w:r w:rsidRPr="00D46BFB">
        <w:rPr>
          <w:lang w:val="en-US"/>
        </w:rPr>
        <w:t>4 December 2018), available at: https://www.ohchr.org/EN/NewsEvents/Pages/DisplayNews.aspx?NewsID=23971&amp;LangID=E</w:t>
      </w:r>
    </w:p>
  </w:footnote>
  <w:footnote w:id="10">
    <w:p w14:paraId="755D69CE" w14:textId="77777777" w:rsidR="000E2B9A" w:rsidRPr="00D46BFB" w:rsidRDefault="000E2B9A" w:rsidP="005A0B3D">
      <w:pPr>
        <w:pStyle w:val="FootnoteText"/>
        <w:rPr>
          <w:vertAlign w:val="superscript"/>
          <w:lang w:val="en-US"/>
        </w:rPr>
      </w:pPr>
      <w:r>
        <w:rPr>
          <w:vertAlign w:val="superscript"/>
        </w:rPr>
        <w:footnoteRef/>
      </w:r>
      <w:r w:rsidRPr="00D46BFB">
        <w:rPr>
          <w:szCs w:val="20"/>
          <w:vertAlign w:val="superscript"/>
          <w:lang w:val="en-US"/>
        </w:rPr>
        <w:t xml:space="preserve"> </w:t>
      </w:r>
      <w:r w:rsidRPr="00D46BFB">
        <w:rPr>
          <w:lang w:val="en-US"/>
        </w:rPr>
        <w:t>‘Egypt: Let human rights defenders work for a better future’</w:t>
      </w:r>
      <w:r w:rsidRPr="00D46BFB">
        <w:rPr>
          <w:i/>
          <w:lang w:val="en-US"/>
        </w:rPr>
        <w:t xml:space="preserve"> </w:t>
      </w:r>
      <w:r w:rsidRPr="00D46BFB">
        <w:rPr>
          <w:lang w:val="en-US"/>
        </w:rPr>
        <w:t>(ISHR, 18 October 2019). Available at : https://ishr.ch/latest-updates/egypt-let-human-rights-defenders-work-better-future/; ‘Egypt: New NGO Law Renews Draconian Restrictions’</w:t>
      </w:r>
      <w:r w:rsidRPr="00D46BFB">
        <w:rPr>
          <w:i/>
          <w:lang w:val="en-US"/>
        </w:rPr>
        <w:t xml:space="preserve"> </w:t>
      </w:r>
      <w:r w:rsidRPr="00D46BFB">
        <w:rPr>
          <w:lang w:val="en-US"/>
        </w:rPr>
        <w:t xml:space="preserve">(Human Rights Watch), available at: </w:t>
      </w:r>
      <w:hyperlink r:id="rId7">
        <w:r w:rsidRPr="00D46BFB">
          <w:rPr>
            <w:highlight w:val="white"/>
            <w:lang w:val="en-US"/>
          </w:rPr>
          <w:t>https://www.hrw.org/news/2019/07/24/egypt-new-ngo-law-renews-draconian-restrictions</w:t>
        </w:r>
      </w:hyperlink>
      <w:r w:rsidRPr="00D46BFB">
        <w:rPr>
          <w:vertAlign w:val="superscript"/>
          <w:lang w:val="en-US"/>
        </w:rPr>
        <w:t>.</w:t>
      </w:r>
    </w:p>
  </w:footnote>
  <w:footnote w:id="11">
    <w:p w14:paraId="1BB10B62" w14:textId="529EE9C3" w:rsidR="000E2B9A" w:rsidRPr="00D46BFB" w:rsidRDefault="000E2B9A" w:rsidP="005A0B3D">
      <w:pPr>
        <w:pStyle w:val="FootnoteText"/>
        <w:rPr>
          <w:szCs w:val="20"/>
          <w:vertAlign w:val="superscript"/>
          <w:lang w:val="en-US"/>
        </w:rPr>
      </w:pPr>
      <w:r>
        <w:rPr>
          <w:vertAlign w:val="superscript"/>
        </w:rPr>
        <w:footnoteRef/>
      </w:r>
      <w:r w:rsidRPr="00D46BFB">
        <w:rPr>
          <w:szCs w:val="20"/>
          <w:vertAlign w:val="superscript"/>
          <w:lang w:val="en-US"/>
        </w:rPr>
        <w:t xml:space="preserve"> </w:t>
      </w:r>
      <w:r w:rsidRPr="00D46BFB">
        <w:rPr>
          <w:lang w:val="en-US"/>
        </w:rPr>
        <w:t xml:space="preserve">‘Egypt: Human Rights Activist detained for a third time: Sanaa </w:t>
      </w:r>
      <w:proofErr w:type="spellStart"/>
      <w:r w:rsidRPr="00D46BFB">
        <w:rPr>
          <w:lang w:val="en-US"/>
        </w:rPr>
        <w:t>seif</w:t>
      </w:r>
      <w:proofErr w:type="spellEnd"/>
      <w:r w:rsidRPr="00D46BFB">
        <w:rPr>
          <w:lang w:val="en-US"/>
        </w:rPr>
        <w:t xml:space="preserve">’ </w:t>
      </w:r>
      <w:r w:rsidRPr="00D46BFB">
        <w:rPr>
          <w:i/>
          <w:lang w:val="en-US"/>
        </w:rPr>
        <w:t xml:space="preserve">(Amnesty </w:t>
      </w:r>
      <w:r w:rsidRPr="00D46BFB">
        <w:rPr>
          <w:lang w:val="en-US"/>
        </w:rPr>
        <w:t xml:space="preserve">International, 7 September 2020). Available at: https://www.amnesty.org/en/documents/mde12/3013/2020/en/; </w:t>
      </w:r>
      <w:r w:rsidRPr="00D46BFB">
        <w:rPr>
          <w:i/>
          <w:lang w:val="en-US"/>
        </w:rPr>
        <w:t>‘</w:t>
      </w:r>
      <w:r w:rsidRPr="00D46BFB">
        <w:rPr>
          <w:lang w:val="en-US"/>
        </w:rPr>
        <w:t>Prominent Human Rights Lawyer Detained’</w:t>
      </w:r>
      <w:r w:rsidRPr="00D46BFB">
        <w:rPr>
          <w:i/>
          <w:lang w:val="en-US"/>
        </w:rPr>
        <w:t xml:space="preserve"> </w:t>
      </w:r>
      <w:r w:rsidRPr="00D46BFB">
        <w:rPr>
          <w:lang w:val="en-US"/>
        </w:rPr>
        <w:t>(</w:t>
      </w:r>
      <w:r w:rsidRPr="00D46BFB">
        <w:rPr>
          <w:i/>
          <w:lang w:val="en-US"/>
        </w:rPr>
        <w:t xml:space="preserve">Amnesty </w:t>
      </w:r>
      <w:r w:rsidRPr="00D46BFB">
        <w:rPr>
          <w:lang w:val="en-US"/>
        </w:rPr>
        <w:t>International, 9 October 2019). Available at: https://www.amnesty.org/download/Documents/MDE1211402019ENGLISH.pdf; ‘Egypt steps up brutality with abduction and torture of human rights defender’</w:t>
      </w:r>
      <w:r w:rsidRPr="00D46BFB">
        <w:rPr>
          <w:i/>
          <w:lang w:val="en-US"/>
        </w:rPr>
        <w:t xml:space="preserve"> </w:t>
      </w:r>
      <w:r w:rsidRPr="00D46BFB">
        <w:rPr>
          <w:lang w:val="en-US"/>
        </w:rPr>
        <w:t>(</w:t>
      </w:r>
      <w:r w:rsidRPr="00D46BFB">
        <w:rPr>
          <w:i/>
          <w:lang w:val="en-US"/>
        </w:rPr>
        <w:t>Amnesty international,</w:t>
      </w:r>
      <w:r w:rsidRPr="00D46BFB">
        <w:rPr>
          <w:lang w:val="en-US"/>
        </w:rPr>
        <w:t xml:space="preserve"> 14 Oct 2019) available at: https://www.amnesty.org/en/latest/news/2019/10/egypt-steps-up-brutality-with-abduction-and-torture-of-human-rights-defender/;</w:t>
      </w:r>
      <w:r w:rsidRPr="00D46BFB">
        <w:rPr>
          <w:i/>
          <w:lang w:val="en-US"/>
        </w:rPr>
        <w:t>‘</w:t>
      </w:r>
      <w:r w:rsidRPr="00D46BFB">
        <w:rPr>
          <w:lang w:val="en-US"/>
        </w:rPr>
        <w:t xml:space="preserve">Egypt: Three journalists arbitrarily detained: </w:t>
      </w:r>
      <w:proofErr w:type="spellStart"/>
      <w:r w:rsidRPr="00D46BFB">
        <w:rPr>
          <w:lang w:val="en-US"/>
        </w:rPr>
        <w:t>Solafa</w:t>
      </w:r>
      <w:proofErr w:type="spellEnd"/>
      <w:r w:rsidRPr="00D46BFB">
        <w:rPr>
          <w:lang w:val="en-US"/>
        </w:rPr>
        <w:t xml:space="preserve"> Magdy, Hossam El-Sayed and</w:t>
      </w:r>
      <w:r>
        <w:rPr>
          <w:lang w:val="en-US"/>
        </w:rPr>
        <w:t xml:space="preserve"> </w:t>
      </w:r>
      <w:r w:rsidRPr="00D46BFB">
        <w:rPr>
          <w:lang w:val="en-US"/>
        </w:rPr>
        <w:t>Mohamed Salah’ (</w:t>
      </w:r>
      <w:r w:rsidRPr="00D46BFB">
        <w:rPr>
          <w:i/>
          <w:lang w:val="en-US"/>
        </w:rPr>
        <w:t>Amnesty International,</w:t>
      </w:r>
      <w:r w:rsidRPr="00D46BFB">
        <w:rPr>
          <w:lang w:val="en-US"/>
        </w:rPr>
        <w:t xml:space="preserve"> 18 December 2019), available at: https://www.amnesty.org/en/documents/mde12/1602/2019/en/;</w:t>
      </w:r>
      <w:r>
        <w:rPr>
          <w:lang w:val="en-US"/>
        </w:rPr>
        <w:t xml:space="preserve"> </w:t>
      </w:r>
      <w:r w:rsidRPr="00D46BFB">
        <w:rPr>
          <w:lang w:val="en-US"/>
        </w:rPr>
        <w:t xml:space="preserve">WILPF and others, </w:t>
      </w:r>
      <w:r w:rsidRPr="00D46BFB">
        <w:rPr>
          <w:i/>
          <w:lang w:val="en-US"/>
        </w:rPr>
        <w:t>‘</w:t>
      </w:r>
      <w:r w:rsidRPr="00D46BFB">
        <w:rPr>
          <w:lang w:val="en-US"/>
        </w:rPr>
        <w:t>Joint submission to the UPR Working Group’ (19 Oct 2019), available at : https://www.wilpf.org/wp-content/uploads/2019/09/20190328_JoinedSubmissionUPREgypt-.pdf.</w:t>
      </w:r>
    </w:p>
  </w:footnote>
  <w:footnote w:id="12">
    <w:p w14:paraId="720E78B4" w14:textId="4E5CEE51" w:rsidR="000E2B9A" w:rsidRPr="00D46BFB" w:rsidRDefault="000E2B9A" w:rsidP="005A0B3D">
      <w:pPr>
        <w:pStyle w:val="FootnoteText"/>
        <w:rPr>
          <w:szCs w:val="20"/>
          <w:lang w:val="en-US"/>
        </w:rPr>
      </w:pPr>
      <w:r>
        <w:rPr>
          <w:vertAlign w:val="superscript"/>
        </w:rPr>
        <w:footnoteRef/>
      </w:r>
      <w:r w:rsidRPr="00D46BFB">
        <w:rPr>
          <w:lang w:val="en-US"/>
        </w:rPr>
        <w:t xml:space="preserve"> Case No 173 known as the “case on foreign funding of civil society.” In July 2011, the cabinet ordered the Minister of Justice to set up a fact-finding committee to look into foreign funding received by civil society groups and to determine which of those groups are registered under Law 84. The document includes a report from the National Security Agency and another from the Egyptian General Intelligence Agency that lists almost every independent human rights </w:t>
      </w:r>
      <w:proofErr w:type="spellStart"/>
      <w:r w:rsidRPr="00D46BFB">
        <w:rPr>
          <w:lang w:val="en-US"/>
        </w:rPr>
        <w:t>organisation</w:t>
      </w:r>
      <w:proofErr w:type="spellEnd"/>
      <w:r w:rsidRPr="00D46BFB">
        <w:rPr>
          <w:lang w:val="en-US"/>
        </w:rPr>
        <w:t xml:space="preserve"> in Egypt as well as the international NGOs who were subsequently prosecuted and sentenced; See FIDH, </w:t>
      </w:r>
      <w:r w:rsidRPr="00D46BFB">
        <w:rPr>
          <w:i/>
          <w:lang w:val="en-US"/>
        </w:rPr>
        <w:t>‘</w:t>
      </w:r>
      <w:r w:rsidRPr="00D46BFB">
        <w:rPr>
          <w:lang w:val="en-US"/>
        </w:rPr>
        <w:t>Background on Case No. 173 - the “forei</w:t>
      </w:r>
      <w:r w:rsidR="00EF1DD3">
        <w:rPr>
          <w:lang w:val="en-US"/>
        </w:rPr>
        <w:t>g</w:t>
      </w:r>
      <w:r w:rsidRPr="00D46BFB">
        <w:rPr>
          <w:lang w:val="en-US"/>
        </w:rPr>
        <w:t>n funding case” Imminent Risk of Prosecution and Closure’ (23 March 2016), available at: https://www.fidh.org/en/region/north-africa-middle-east/egypt/background-on-case-no-173-the-foreign-funding-case-imminent-risk-of.</w:t>
      </w:r>
    </w:p>
  </w:footnote>
  <w:footnote w:id="13">
    <w:p w14:paraId="303983E2" w14:textId="5E2F7390" w:rsidR="000E2B9A" w:rsidRPr="00D46BFB" w:rsidRDefault="000E2B9A" w:rsidP="005A0B3D">
      <w:pPr>
        <w:pStyle w:val="FootnoteText"/>
        <w:rPr>
          <w:lang w:val="en-US"/>
        </w:rPr>
      </w:pPr>
      <w:r>
        <w:rPr>
          <w:vertAlign w:val="superscript"/>
        </w:rPr>
        <w:footnoteRef/>
      </w:r>
      <w:r w:rsidRPr="00D46BFB">
        <w:rPr>
          <w:lang w:val="en-US"/>
        </w:rPr>
        <w:t xml:space="preserve"> Case No 621 where different activists were prosecuted and detained for the charges of spreading false news that harms national security and joining a group established contrary to the provisions of the law and the constitution. See: </w:t>
      </w:r>
      <w:r w:rsidRPr="00D46BFB">
        <w:rPr>
          <w:i/>
          <w:lang w:val="en-US"/>
        </w:rPr>
        <w:t>‘</w:t>
      </w:r>
      <w:r w:rsidRPr="00D46BFB">
        <w:rPr>
          <w:lang w:val="en-US"/>
        </w:rPr>
        <w:t>The chilling effect: A study on the use of pre-trial detention as a tool of repression against human rights defenders and activists in Egypt’ (</w:t>
      </w:r>
      <w:proofErr w:type="spellStart"/>
      <w:r w:rsidR="00EF1DD3" w:rsidRPr="005E47C5">
        <w:rPr>
          <w:i/>
          <w:lang w:val="en-US"/>
        </w:rPr>
        <w:t>Euromed</w:t>
      </w:r>
      <w:proofErr w:type="spellEnd"/>
      <w:r w:rsidR="00EF1DD3" w:rsidRPr="005E47C5">
        <w:rPr>
          <w:i/>
          <w:lang w:val="en-US"/>
        </w:rPr>
        <w:t xml:space="preserve"> Rights</w:t>
      </w:r>
      <w:r w:rsidR="00EF1DD3">
        <w:rPr>
          <w:lang w:val="en-US"/>
        </w:rPr>
        <w:t xml:space="preserve">, </w:t>
      </w:r>
      <w:r w:rsidRPr="00D46BFB">
        <w:rPr>
          <w:lang w:val="en-US"/>
        </w:rPr>
        <w:t>March 2020) p.13, available at: https://euromedrights.org/wp-content/uploads/2020/03/Chilling-Effect-of-Pre-Trial-Detention-on-Human-Rights-Defenders-in-Egypt.pdf</w:t>
      </w:r>
      <w:r w:rsidR="00A50737">
        <w:rPr>
          <w:lang w:val="en-US"/>
        </w:rPr>
        <w:t>.</w:t>
      </w:r>
    </w:p>
  </w:footnote>
  <w:footnote w:id="14">
    <w:p w14:paraId="29853D8F" w14:textId="77777777" w:rsidR="000E2B9A" w:rsidRPr="00D46BFB" w:rsidRDefault="000E2B9A" w:rsidP="005A0B3D">
      <w:pPr>
        <w:pStyle w:val="FootnoteText"/>
        <w:rPr>
          <w:szCs w:val="20"/>
          <w:vertAlign w:val="superscript"/>
          <w:lang w:val="en-US"/>
        </w:rPr>
      </w:pPr>
      <w:r>
        <w:rPr>
          <w:vertAlign w:val="superscript"/>
        </w:rPr>
        <w:footnoteRef/>
      </w:r>
      <w:r w:rsidRPr="00D46BFB">
        <w:rPr>
          <w:szCs w:val="20"/>
          <w:vertAlign w:val="superscript"/>
          <w:lang w:val="en-US"/>
        </w:rPr>
        <w:t xml:space="preserve"> </w:t>
      </w:r>
      <w:r w:rsidRPr="00D46BFB">
        <w:rPr>
          <w:lang w:val="en-US"/>
        </w:rPr>
        <w:t>‘Egypt; Human rights defenders held incommunicado, face spurious charges, says UN expert’</w:t>
      </w:r>
      <w:r w:rsidRPr="00D46BFB">
        <w:rPr>
          <w:i/>
          <w:lang w:val="en-US"/>
        </w:rPr>
        <w:t xml:space="preserve"> </w:t>
      </w:r>
      <w:r w:rsidRPr="00D46BFB">
        <w:rPr>
          <w:lang w:val="en-US"/>
        </w:rPr>
        <w:t>(</w:t>
      </w:r>
      <w:r w:rsidRPr="00D46BFB">
        <w:rPr>
          <w:i/>
          <w:lang w:val="en-US"/>
        </w:rPr>
        <w:t>OHCHR</w:t>
      </w:r>
      <w:r w:rsidRPr="00D46BFB">
        <w:rPr>
          <w:lang w:val="en-US"/>
        </w:rPr>
        <w:t>, 15 July 2021) available at: https://www.ohchr.org/EN/NewsEvents/Pages/DisplayNews.aspx?NewsID=27314&amp;LangID=E.</w:t>
      </w:r>
    </w:p>
  </w:footnote>
  <w:footnote w:id="15">
    <w:p w14:paraId="77976339" w14:textId="77777777" w:rsidR="000E2B9A" w:rsidRPr="00D46BFB" w:rsidRDefault="000E2B9A" w:rsidP="005A0B3D">
      <w:pPr>
        <w:pStyle w:val="FootnoteText"/>
        <w:rPr>
          <w:lang w:val="en-US"/>
        </w:rPr>
      </w:pPr>
      <w:r>
        <w:rPr>
          <w:vertAlign w:val="superscript"/>
        </w:rPr>
        <w:footnoteRef/>
      </w:r>
      <w:r w:rsidRPr="00D46BFB">
        <w:rPr>
          <w:vertAlign w:val="superscript"/>
          <w:lang w:val="en-US"/>
        </w:rPr>
        <w:t xml:space="preserve"> </w:t>
      </w:r>
      <w:r w:rsidRPr="00D46BFB">
        <w:rPr>
          <w:lang w:val="en-US"/>
        </w:rPr>
        <w:t>Front Line Defenders, ‘</w:t>
      </w:r>
      <w:proofErr w:type="spellStart"/>
      <w:r w:rsidRPr="00D46BFB">
        <w:rPr>
          <w:lang w:val="en-US"/>
        </w:rPr>
        <w:t>Mahienour</w:t>
      </w:r>
      <w:proofErr w:type="spellEnd"/>
      <w:r w:rsidRPr="00D46BFB">
        <w:rPr>
          <w:lang w:val="en-US"/>
        </w:rPr>
        <w:t xml:space="preserve"> El-</w:t>
      </w:r>
      <w:proofErr w:type="spellStart"/>
      <w:r w:rsidRPr="00D46BFB">
        <w:rPr>
          <w:lang w:val="en-US"/>
        </w:rPr>
        <w:t>Masry</w:t>
      </w:r>
      <w:proofErr w:type="spellEnd"/>
      <w:r w:rsidRPr="00D46BFB">
        <w:rPr>
          <w:lang w:val="en-US"/>
        </w:rPr>
        <w:t xml:space="preserve"> released on bail’ available at: </w:t>
      </w:r>
      <w:hyperlink r:id="rId8">
        <w:r w:rsidRPr="00D46BFB">
          <w:rPr>
            <w:lang w:val="en-US"/>
          </w:rPr>
          <w:t>https://www.frontlinedefenders.org/en/case/mahienour-el-masry-released-bail</w:t>
        </w:r>
      </w:hyperlink>
      <w:r w:rsidRPr="00D46BFB">
        <w:rPr>
          <w:lang w:val="en-US"/>
        </w:rPr>
        <w:t xml:space="preserve">; Karen </w:t>
      </w:r>
      <w:proofErr w:type="spellStart"/>
      <w:r w:rsidRPr="00D46BFB">
        <w:rPr>
          <w:lang w:val="en-US"/>
        </w:rPr>
        <w:t>Javorski</w:t>
      </w:r>
      <w:proofErr w:type="spellEnd"/>
      <w:r w:rsidRPr="00D46BFB">
        <w:rPr>
          <w:lang w:val="en-US"/>
        </w:rPr>
        <w:t xml:space="preserve"> ‘Egypt: Further Information: Detained Lawyer in Critical Health Condition’ (</w:t>
      </w:r>
      <w:r w:rsidRPr="00D46BFB">
        <w:rPr>
          <w:i/>
          <w:lang w:val="en-US"/>
        </w:rPr>
        <w:t xml:space="preserve">Amnesty International, </w:t>
      </w:r>
      <w:r w:rsidRPr="00D46BFB">
        <w:rPr>
          <w:lang w:val="en-US"/>
        </w:rPr>
        <w:t xml:space="preserve">4 December 2020) available at: </w:t>
      </w:r>
      <w:hyperlink r:id="rId9">
        <w:r w:rsidRPr="00D46BFB">
          <w:rPr>
            <w:lang w:val="en-US"/>
          </w:rPr>
          <w:t>https://www.amnesty.org/ar/wp-content/uploads/2021/05/MDE1234292020ENGLISH.pdf</w:t>
        </w:r>
      </w:hyperlink>
      <w:r w:rsidRPr="00D46BFB">
        <w:rPr>
          <w:lang w:val="en-US"/>
        </w:rPr>
        <w:t xml:space="preserve">; ‘Egypt: Sanaa </w:t>
      </w:r>
      <w:proofErr w:type="spellStart"/>
      <w:r w:rsidRPr="00D46BFB">
        <w:rPr>
          <w:lang w:val="en-US"/>
        </w:rPr>
        <w:t>Seif’s</w:t>
      </w:r>
      <w:proofErr w:type="spellEnd"/>
      <w:r w:rsidRPr="00D46BFB">
        <w:rPr>
          <w:lang w:val="en-US"/>
        </w:rPr>
        <w:t xml:space="preserve"> conviction on bogus charges a travesty of justice’ (</w:t>
      </w:r>
      <w:r w:rsidRPr="00D46BFB">
        <w:rPr>
          <w:i/>
          <w:lang w:val="en-US"/>
        </w:rPr>
        <w:t xml:space="preserve">Amnesty International, </w:t>
      </w:r>
      <w:r w:rsidRPr="00D46BFB">
        <w:rPr>
          <w:lang w:val="en-US"/>
        </w:rPr>
        <w:t xml:space="preserve">17 March 2021) available at: </w:t>
      </w:r>
      <w:hyperlink r:id="rId10">
        <w:r w:rsidRPr="00D46BFB">
          <w:rPr>
            <w:lang w:val="en-US"/>
          </w:rPr>
          <w:t>https://www.amnesty.org/en/latest/news/2021/03/egypt-sanaa-seifs-conviction-on-bogus-charges-a-cruel-blow-for-freedom-of-expression-2/</w:t>
        </w:r>
      </w:hyperlink>
      <w:r w:rsidRPr="00D46BFB">
        <w:rPr>
          <w:lang w:val="en-US"/>
        </w:rPr>
        <w:t xml:space="preserve">; </w:t>
      </w:r>
    </w:p>
    <w:p w14:paraId="05C67E77" w14:textId="77777777" w:rsidR="000E2B9A" w:rsidRPr="00D46BFB" w:rsidRDefault="000E2B9A" w:rsidP="005A0B3D">
      <w:pPr>
        <w:pStyle w:val="FootnoteText"/>
        <w:rPr>
          <w:szCs w:val="20"/>
          <w:vertAlign w:val="superscript"/>
          <w:lang w:val="en-US"/>
        </w:rPr>
      </w:pPr>
      <w:bookmarkStart w:id="10" w:name="_vzymg22hbau0" w:colFirst="0" w:colLast="0"/>
      <w:bookmarkEnd w:id="10"/>
      <w:r w:rsidRPr="00D46BFB">
        <w:rPr>
          <w:lang w:val="en-US"/>
        </w:rPr>
        <w:t>‘Egypt: Aisha el-</w:t>
      </w:r>
      <w:proofErr w:type="spellStart"/>
      <w:r w:rsidRPr="00D46BFB">
        <w:rPr>
          <w:lang w:val="en-US"/>
        </w:rPr>
        <w:t>Shater</w:t>
      </w:r>
      <w:proofErr w:type="spellEnd"/>
      <w:r w:rsidRPr="00D46BFB">
        <w:rPr>
          <w:lang w:val="en-US"/>
        </w:rPr>
        <w:t xml:space="preserve"> critically ill amid torture and denial of medical treatment in prison’ (</w:t>
      </w:r>
      <w:r w:rsidRPr="00D46BFB">
        <w:rPr>
          <w:i/>
          <w:lang w:val="en-US"/>
        </w:rPr>
        <w:t>Amnesty International, 21 November 2019)</w:t>
      </w:r>
      <w:r w:rsidRPr="00D46BFB">
        <w:rPr>
          <w:lang w:val="en-US"/>
        </w:rPr>
        <w:t>, available at: https://www.amnesty.org/en/latest/press-release/2019/11/egypt-aisha-el-shater-critically-ill-amid-torture-and-denial-of-medical-treatment-in-prison/</w:t>
      </w:r>
    </w:p>
  </w:footnote>
  <w:footnote w:id="16">
    <w:p w14:paraId="2AEE5F58" w14:textId="77777777" w:rsidR="000E2B9A" w:rsidRPr="00D46BFB" w:rsidRDefault="000E2B9A" w:rsidP="005A0B3D">
      <w:pPr>
        <w:pStyle w:val="FootnoteText"/>
        <w:rPr>
          <w:vertAlign w:val="superscript"/>
          <w:lang w:val="en-US"/>
        </w:rPr>
      </w:pPr>
      <w:r>
        <w:rPr>
          <w:vertAlign w:val="superscript"/>
        </w:rPr>
        <w:footnoteRef/>
      </w:r>
      <w:r w:rsidRPr="00D46BFB">
        <w:rPr>
          <w:i/>
          <w:lang w:val="en-US"/>
        </w:rPr>
        <w:t>‘</w:t>
      </w:r>
      <w:r w:rsidRPr="00D46BFB">
        <w:rPr>
          <w:lang w:val="en-US"/>
        </w:rPr>
        <w:t xml:space="preserve">Egypt releases </w:t>
      </w:r>
      <w:proofErr w:type="spellStart"/>
      <w:r w:rsidRPr="00D46BFB">
        <w:rPr>
          <w:lang w:val="en-US"/>
        </w:rPr>
        <w:t>Solafa</w:t>
      </w:r>
      <w:proofErr w:type="spellEnd"/>
      <w:r w:rsidRPr="00D46BFB">
        <w:rPr>
          <w:lang w:val="en-US"/>
        </w:rPr>
        <w:t xml:space="preserve"> </w:t>
      </w:r>
      <w:proofErr w:type="spellStart"/>
      <w:r w:rsidRPr="00D46BFB">
        <w:rPr>
          <w:lang w:val="en-US"/>
        </w:rPr>
        <w:t>Madgy</w:t>
      </w:r>
      <w:proofErr w:type="spellEnd"/>
      <w:r w:rsidRPr="00D46BFB">
        <w:rPr>
          <w:lang w:val="en-US"/>
        </w:rPr>
        <w:t xml:space="preserve"> and husband from prison’</w:t>
      </w:r>
      <w:r w:rsidRPr="00D46BFB">
        <w:rPr>
          <w:i/>
          <w:lang w:val="en-US"/>
        </w:rPr>
        <w:t xml:space="preserve"> </w:t>
      </w:r>
      <w:r w:rsidRPr="00D46BFB">
        <w:rPr>
          <w:lang w:val="en-US"/>
        </w:rPr>
        <w:t>(</w:t>
      </w:r>
      <w:r w:rsidRPr="00D46BFB">
        <w:rPr>
          <w:i/>
          <w:lang w:val="en-US"/>
        </w:rPr>
        <w:t>MEMO,</w:t>
      </w:r>
      <w:r w:rsidRPr="00D46BFB">
        <w:rPr>
          <w:lang w:val="en-US"/>
        </w:rPr>
        <w:t xml:space="preserve"> 14</w:t>
      </w:r>
      <w:r w:rsidRPr="00D46BFB">
        <w:rPr>
          <w:vertAlign w:val="superscript"/>
          <w:lang w:val="en-US"/>
        </w:rPr>
        <w:t>th</w:t>
      </w:r>
      <w:r w:rsidRPr="00D46BFB">
        <w:rPr>
          <w:lang w:val="en-US"/>
        </w:rPr>
        <w:t xml:space="preserve"> April 2021), available at: https://www.middleeastmonitor.com/20210414-egypt-releases-solafa-magdy-and-husband-from-prison/; ‘Egypt: Further information: Loss of contact with detained journalist’</w:t>
      </w:r>
      <w:r w:rsidRPr="00D46BFB">
        <w:rPr>
          <w:i/>
          <w:lang w:val="en-US"/>
        </w:rPr>
        <w:t xml:space="preserve"> </w:t>
      </w:r>
      <w:r w:rsidRPr="00D46BFB">
        <w:rPr>
          <w:lang w:val="en-US"/>
        </w:rPr>
        <w:t>(</w:t>
      </w:r>
      <w:r w:rsidRPr="00D46BFB">
        <w:rPr>
          <w:i/>
          <w:lang w:val="en-US"/>
        </w:rPr>
        <w:t xml:space="preserve">Amnesty International, </w:t>
      </w:r>
      <w:r w:rsidRPr="00D46BFB">
        <w:rPr>
          <w:lang w:val="en-US"/>
        </w:rPr>
        <w:t>4 May 2020), available at: https://www.amnesty.org/en/documents/mde12/2262/2020/en/.</w:t>
      </w:r>
    </w:p>
  </w:footnote>
  <w:footnote w:id="17">
    <w:p w14:paraId="15CC6AB8" w14:textId="77777777" w:rsidR="000E2B9A" w:rsidRPr="00D46BFB" w:rsidRDefault="000E2B9A" w:rsidP="005A0B3D">
      <w:pPr>
        <w:pStyle w:val="FootnoteText"/>
        <w:rPr>
          <w:vertAlign w:val="superscript"/>
          <w:lang w:val="en-US"/>
        </w:rPr>
      </w:pPr>
      <w:r>
        <w:rPr>
          <w:vertAlign w:val="superscript"/>
        </w:rPr>
        <w:footnoteRef/>
      </w:r>
      <w:r w:rsidRPr="00D46BFB">
        <w:rPr>
          <w:lang w:val="en-US"/>
        </w:rPr>
        <w:t xml:space="preserve">‘Egypt releases </w:t>
      </w:r>
      <w:proofErr w:type="spellStart"/>
      <w:r w:rsidRPr="00D46BFB">
        <w:rPr>
          <w:lang w:val="en-US"/>
        </w:rPr>
        <w:t>Solafa</w:t>
      </w:r>
      <w:proofErr w:type="spellEnd"/>
      <w:r w:rsidRPr="00D46BFB">
        <w:rPr>
          <w:lang w:val="en-US"/>
        </w:rPr>
        <w:t xml:space="preserve"> </w:t>
      </w:r>
      <w:proofErr w:type="spellStart"/>
      <w:r w:rsidRPr="00D46BFB">
        <w:rPr>
          <w:lang w:val="en-US"/>
        </w:rPr>
        <w:t>Madgy</w:t>
      </w:r>
      <w:proofErr w:type="spellEnd"/>
      <w:r w:rsidRPr="00D46BFB">
        <w:rPr>
          <w:lang w:val="en-US"/>
        </w:rPr>
        <w:t xml:space="preserve"> and husband from prison’</w:t>
      </w:r>
      <w:r w:rsidRPr="00D46BFB">
        <w:rPr>
          <w:i/>
          <w:lang w:val="en-US"/>
        </w:rPr>
        <w:t xml:space="preserve"> </w:t>
      </w:r>
      <w:r w:rsidRPr="00D46BFB">
        <w:rPr>
          <w:lang w:val="en-US"/>
        </w:rPr>
        <w:t>(</w:t>
      </w:r>
      <w:r w:rsidRPr="00D46BFB">
        <w:rPr>
          <w:i/>
          <w:lang w:val="en-US"/>
        </w:rPr>
        <w:t>MEMO,</w:t>
      </w:r>
      <w:r w:rsidRPr="00D46BFB">
        <w:rPr>
          <w:lang w:val="en-US"/>
        </w:rPr>
        <w:t xml:space="preserve"> 14</w:t>
      </w:r>
      <w:r w:rsidRPr="00D46BFB">
        <w:rPr>
          <w:vertAlign w:val="superscript"/>
          <w:lang w:val="en-US"/>
        </w:rPr>
        <w:t>th</w:t>
      </w:r>
      <w:r w:rsidRPr="00D46BFB">
        <w:rPr>
          <w:lang w:val="en-US"/>
        </w:rPr>
        <w:t xml:space="preserve"> April 2021), available at: https://www.middleeastmonitor.com/20210414-egypt-releases-solafa-magdy-and-husband-from-prison/; ‘Egypt: Further information: Loss of contact with detained journalist’ (</w:t>
      </w:r>
      <w:r w:rsidRPr="00D46BFB">
        <w:rPr>
          <w:i/>
          <w:lang w:val="en-US"/>
        </w:rPr>
        <w:t xml:space="preserve">Amnesty International, </w:t>
      </w:r>
      <w:r w:rsidRPr="00D46BFB">
        <w:rPr>
          <w:lang w:val="en-US"/>
        </w:rPr>
        <w:t>4 May 2020), available at: https://www.amnesty.org/en/documents/mde12/2262/2020/en/.</w:t>
      </w:r>
    </w:p>
  </w:footnote>
  <w:footnote w:id="18">
    <w:p w14:paraId="5E26CDB6" w14:textId="41F36837" w:rsidR="000E2B9A" w:rsidRPr="00D46BFB" w:rsidRDefault="000E2B9A" w:rsidP="005A0B3D">
      <w:pPr>
        <w:pStyle w:val="FootnoteText"/>
        <w:rPr>
          <w:lang w:val="en-US"/>
        </w:rPr>
      </w:pPr>
      <w:r>
        <w:rPr>
          <w:vertAlign w:val="superscript"/>
        </w:rPr>
        <w:footnoteRef/>
      </w:r>
      <w:r w:rsidRPr="00D46BFB">
        <w:rPr>
          <w:lang w:val="en-US"/>
        </w:rPr>
        <w:t xml:space="preserve"> Communication sent by the Special Rapporteurs on the rights to freedom of peaceful assembly and of association, on HRDs and, on the promotion and protection of human rights and fundamental freedoms while countering terrorism, available at:</w:t>
      </w:r>
      <w:r>
        <w:rPr>
          <w:lang w:val="en-US"/>
        </w:rPr>
        <w:t xml:space="preserve"> </w:t>
      </w:r>
      <w:hyperlink r:id="rId11">
        <w:r w:rsidRPr="00D46BFB">
          <w:rPr>
            <w:lang w:val="en-US"/>
          </w:rPr>
          <w:t>https://spcommreports.ohchr.org/TMResultsBase/DownLoadPublicCommunicationFile?gId=26522</w:t>
        </w:r>
      </w:hyperlink>
      <w:r w:rsidRPr="00D46BFB">
        <w:rPr>
          <w:lang w:val="en-US"/>
        </w:rPr>
        <w:t xml:space="preserve"> </w:t>
      </w:r>
    </w:p>
  </w:footnote>
  <w:footnote w:id="19">
    <w:p w14:paraId="261A48DE" w14:textId="77B6F74E" w:rsidR="00EF1DD3" w:rsidRPr="00D46BFB" w:rsidRDefault="00EF1DD3" w:rsidP="00EF1DD3">
      <w:pPr>
        <w:pStyle w:val="FootnoteText"/>
        <w:rPr>
          <w:lang w:val="en-US"/>
        </w:rPr>
      </w:pPr>
      <w:r>
        <w:rPr>
          <w:vertAlign w:val="superscript"/>
        </w:rPr>
        <w:footnoteRef/>
      </w:r>
      <w:r w:rsidRPr="00D46BFB">
        <w:rPr>
          <w:lang w:val="en-US"/>
        </w:rPr>
        <w:t xml:space="preserve"> https://spcommreports.ohchr.org/TmSearch/Results</w:t>
      </w:r>
      <w:r w:rsidR="00A50737">
        <w:rPr>
          <w:lang w:val="en-US"/>
        </w:rPr>
        <w:t>.</w:t>
      </w:r>
    </w:p>
  </w:footnote>
  <w:footnote w:id="20">
    <w:p w14:paraId="77282762" w14:textId="413A6180" w:rsidR="000E2B9A" w:rsidRPr="00D46BFB" w:rsidRDefault="000E2B9A" w:rsidP="005A0B3D">
      <w:pPr>
        <w:pStyle w:val="FootnoteText"/>
        <w:rPr>
          <w:lang w:val="en-US"/>
        </w:rPr>
      </w:pPr>
      <w:r>
        <w:rPr>
          <w:vertAlign w:val="superscript"/>
        </w:rPr>
        <w:footnoteRef/>
      </w:r>
      <w:r w:rsidRPr="00D46BFB">
        <w:rPr>
          <w:lang w:val="en-US"/>
        </w:rPr>
        <w:t xml:space="preserve">Open Technology Fund, ‘Digital Authoritarianism in Egypt’ (October 2019), p.23, available at: https://public.opentech.fund/documents/EgyptReportV06.pdf; Law No. 175 of 2018 Regarding Anti-Cyber and Information Technology Crimes, available at: http://ilo.org/dyn/natlex/natlex4.detail?p_lang=en&amp;p_isn=108464&amp;p_country=EGY&amp;p_count=499; </w:t>
      </w:r>
      <w:r w:rsidRPr="00D46BFB">
        <w:rPr>
          <w:rFonts w:ascii="Arial" w:hAnsi="Arial" w:cs="Arial"/>
          <w:lang w:val="en-US"/>
        </w:rPr>
        <w:t>​​</w:t>
      </w:r>
      <w:r w:rsidRPr="00D46BFB">
        <w:rPr>
          <w:lang w:val="en-US"/>
        </w:rPr>
        <w:t xml:space="preserve">2018 Law on the </w:t>
      </w:r>
      <w:proofErr w:type="spellStart"/>
      <w:r w:rsidRPr="00D46BFB">
        <w:rPr>
          <w:lang w:val="en-US"/>
        </w:rPr>
        <w:t>Organisation</w:t>
      </w:r>
      <w:proofErr w:type="spellEnd"/>
      <w:r w:rsidRPr="00D46BFB">
        <w:rPr>
          <w:lang w:val="en-US"/>
        </w:rPr>
        <w:t xml:space="preserve"> of Press, Media and the Supreme Council of Media</w:t>
      </w:r>
      <w:r w:rsidR="00A50737">
        <w:rPr>
          <w:lang w:val="en-US"/>
        </w:rPr>
        <w:t>.</w:t>
      </w:r>
      <w:r w:rsidRPr="00D46BFB">
        <w:rPr>
          <w:lang w:val="en-US"/>
        </w:rPr>
        <w:t xml:space="preserve"> </w:t>
      </w:r>
    </w:p>
  </w:footnote>
  <w:footnote w:id="21">
    <w:p w14:paraId="5A7BC3CD" w14:textId="77777777" w:rsidR="000E2B9A" w:rsidRPr="00D46BFB" w:rsidRDefault="000E2B9A" w:rsidP="005A0B3D">
      <w:pPr>
        <w:pStyle w:val="FootnoteText"/>
        <w:rPr>
          <w:szCs w:val="20"/>
          <w:lang w:val="en-US"/>
        </w:rPr>
      </w:pPr>
      <w:r>
        <w:rPr>
          <w:vertAlign w:val="superscript"/>
        </w:rPr>
        <w:footnoteRef/>
      </w:r>
      <w:r w:rsidRPr="00D46BFB">
        <w:rPr>
          <w:lang w:val="en-US"/>
        </w:rPr>
        <w:t>Open Technology Fund, ‘Digital Authoritarianism in Egypt’</w:t>
      </w:r>
      <w:r w:rsidRPr="00D46BFB">
        <w:rPr>
          <w:i/>
          <w:lang w:val="en-US"/>
        </w:rPr>
        <w:t xml:space="preserve"> </w:t>
      </w:r>
      <w:r w:rsidRPr="00D46BFB">
        <w:rPr>
          <w:lang w:val="en-US"/>
        </w:rPr>
        <w:t>(October 2019), p.20, available at: https://public.opentech.fund/documents/EgyptReportV06.pdf.</w:t>
      </w:r>
    </w:p>
  </w:footnote>
  <w:footnote w:id="22">
    <w:p w14:paraId="59136A36" w14:textId="290A171B" w:rsidR="000E2B9A" w:rsidRPr="00D46BFB" w:rsidRDefault="000E2B9A" w:rsidP="005A0B3D">
      <w:pPr>
        <w:pStyle w:val="FootnoteText"/>
        <w:rPr>
          <w:lang w:val="en-US"/>
        </w:rPr>
      </w:pPr>
      <w:r>
        <w:rPr>
          <w:vertAlign w:val="superscript"/>
        </w:rPr>
        <w:footnoteRef/>
      </w:r>
      <w:r w:rsidRPr="00D46BFB">
        <w:rPr>
          <w:lang w:val="en-US"/>
        </w:rPr>
        <w:t xml:space="preserve"> HRC ‘Report of the Working Group on the Universal Periodic Review of Egypt, Addendum’ (5 March 2020) UN Doc A/HRC/43/16/Add.1,</w:t>
      </w:r>
      <w:r>
        <w:rPr>
          <w:lang w:val="en-US"/>
        </w:rPr>
        <w:t xml:space="preserve"> </w:t>
      </w:r>
      <w:r w:rsidRPr="00D46BFB">
        <w:rPr>
          <w:lang w:val="en-US"/>
        </w:rPr>
        <w:t>para 8, recommendations 31.129, 31.203 and 31.183, available at: https://undocs.org/A/HRC/43/16/add.1.</w:t>
      </w:r>
    </w:p>
  </w:footnote>
  <w:footnote w:id="23">
    <w:p w14:paraId="58DE722E" w14:textId="46399CF8" w:rsidR="000E2B9A" w:rsidRPr="00D46BFB" w:rsidRDefault="000E2B9A" w:rsidP="005A0B3D">
      <w:pPr>
        <w:pStyle w:val="FootnoteText"/>
        <w:rPr>
          <w:szCs w:val="20"/>
          <w:lang w:val="en-US"/>
        </w:rPr>
      </w:pPr>
      <w:r>
        <w:rPr>
          <w:vertAlign w:val="superscript"/>
        </w:rPr>
        <w:footnoteRef/>
      </w:r>
      <w:r>
        <w:rPr>
          <w:szCs w:val="20"/>
          <w:lang w:val="en-US"/>
        </w:rPr>
        <w:t xml:space="preserve"> </w:t>
      </w:r>
      <w:r w:rsidRPr="00D46BFB">
        <w:rPr>
          <w:lang w:val="en-US"/>
        </w:rPr>
        <w:t xml:space="preserve">‘Egypt: Survivors of sexual violence and online abuse among prosecuted women </w:t>
      </w:r>
      <w:proofErr w:type="spellStart"/>
      <w:r w:rsidRPr="00D46BFB">
        <w:rPr>
          <w:lang w:val="en-US"/>
        </w:rPr>
        <w:t>TikTok</w:t>
      </w:r>
      <w:proofErr w:type="spellEnd"/>
      <w:r w:rsidRPr="00D46BFB">
        <w:rPr>
          <w:lang w:val="en-US"/>
        </w:rPr>
        <w:t xml:space="preserve"> influencers’ (</w:t>
      </w:r>
      <w:r w:rsidRPr="00D46BFB">
        <w:rPr>
          <w:i/>
          <w:lang w:val="en-US"/>
        </w:rPr>
        <w:t xml:space="preserve">Amnesty International, </w:t>
      </w:r>
      <w:r w:rsidRPr="00D46BFB">
        <w:rPr>
          <w:lang w:val="en-US"/>
        </w:rPr>
        <w:t>13 August 2020), available at: https://www.amnesty.org/en/latest/news/2020/08/egypt-survivors-of-sexual-violence-and-online-abuse-among-prosecuted-women-tiktok-influencers-2/.</w:t>
      </w:r>
    </w:p>
  </w:footnote>
  <w:footnote w:id="24">
    <w:p w14:paraId="68CF435F" w14:textId="77777777" w:rsidR="000E2B9A" w:rsidRPr="00D46BFB" w:rsidRDefault="000E2B9A" w:rsidP="005A0B3D">
      <w:pPr>
        <w:pStyle w:val="FootnoteText"/>
        <w:rPr>
          <w:lang w:val="en-US"/>
        </w:rPr>
      </w:pPr>
      <w:r>
        <w:rPr>
          <w:vertAlign w:val="superscript"/>
        </w:rPr>
        <w:footnoteRef/>
      </w:r>
      <w:r w:rsidRPr="00D46BFB">
        <w:rPr>
          <w:szCs w:val="20"/>
          <w:lang w:val="en-US"/>
        </w:rPr>
        <w:t xml:space="preserve"> `</w:t>
      </w:r>
      <w:r w:rsidRPr="00D46BFB">
        <w:rPr>
          <w:lang w:val="en-US"/>
        </w:rPr>
        <w:t xml:space="preserve">Egypt Persecutes </w:t>
      </w:r>
      <w:proofErr w:type="spellStart"/>
      <w:r w:rsidRPr="00D46BFB">
        <w:rPr>
          <w:lang w:val="en-US"/>
        </w:rPr>
        <w:t>TikTok</w:t>
      </w:r>
      <w:proofErr w:type="spellEnd"/>
      <w:r w:rsidRPr="00D46BFB">
        <w:rPr>
          <w:lang w:val="en-US"/>
        </w:rPr>
        <w:t xml:space="preserve"> Women While Men Get Impunity for Sexual Violence’ (Human Rights Watch, 28 June 2021), available at:</w:t>
      </w:r>
    </w:p>
    <w:p w14:paraId="72588C98" w14:textId="77BB3035" w:rsidR="000E2B9A" w:rsidRPr="00D46BFB" w:rsidRDefault="00AD676C" w:rsidP="005A0B3D">
      <w:pPr>
        <w:pStyle w:val="FootnoteText"/>
        <w:rPr>
          <w:szCs w:val="20"/>
          <w:lang w:val="en-US"/>
        </w:rPr>
      </w:pPr>
      <w:hyperlink r:id="rId12">
        <w:r w:rsidR="000E2B9A" w:rsidRPr="00D46BFB">
          <w:rPr>
            <w:lang w:val="en-US"/>
          </w:rPr>
          <w:t>https://www.hrw.org/news/2021/06/28/egypt-persecutes-tiktok-women-while-men-get-impunity-sexual-violence</w:t>
        </w:r>
      </w:hyperlink>
      <w:r w:rsidR="00A50737">
        <w:rPr>
          <w:lang w:val="en-US"/>
        </w:rPr>
        <w:t>.</w:t>
      </w:r>
    </w:p>
  </w:footnote>
  <w:footnote w:id="25">
    <w:p w14:paraId="50BFB8C1" w14:textId="633550BF" w:rsidR="00D47D29" w:rsidRPr="00D46BFB" w:rsidRDefault="00D47D29" w:rsidP="00D47D29">
      <w:pPr>
        <w:pStyle w:val="FootnoteText"/>
        <w:rPr>
          <w:lang w:val="en-US"/>
        </w:rPr>
      </w:pPr>
      <w:r>
        <w:rPr>
          <w:vertAlign w:val="superscript"/>
        </w:rPr>
        <w:footnoteRef/>
      </w:r>
      <w:r w:rsidRPr="00D46BFB">
        <w:rPr>
          <w:lang w:val="en-US"/>
        </w:rPr>
        <w:t xml:space="preserve"> </w:t>
      </w:r>
      <w:proofErr w:type="spellStart"/>
      <w:r w:rsidRPr="00D46BFB">
        <w:rPr>
          <w:lang w:val="en-US"/>
        </w:rPr>
        <w:t>Rothna</w:t>
      </w:r>
      <w:proofErr w:type="spellEnd"/>
      <w:r w:rsidRPr="00D46BFB">
        <w:rPr>
          <w:lang w:val="en-US"/>
        </w:rPr>
        <w:t xml:space="preserve"> Begum ‘Egypt persecutes </w:t>
      </w:r>
      <w:proofErr w:type="spellStart"/>
      <w:r w:rsidRPr="00D46BFB">
        <w:rPr>
          <w:lang w:val="en-US"/>
        </w:rPr>
        <w:t>TikTok</w:t>
      </w:r>
      <w:proofErr w:type="spellEnd"/>
      <w:r w:rsidRPr="00D46BFB">
        <w:rPr>
          <w:lang w:val="en-US"/>
        </w:rPr>
        <w:t xml:space="preserve"> Women while men get impunity for sexual violence’ (</w:t>
      </w:r>
      <w:r w:rsidRPr="00D46BFB">
        <w:rPr>
          <w:i/>
          <w:lang w:val="en-US"/>
        </w:rPr>
        <w:t xml:space="preserve">Human Rights Watch, </w:t>
      </w:r>
      <w:r w:rsidRPr="00D46BFB">
        <w:rPr>
          <w:lang w:val="en-US"/>
        </w:rPr>
        <w:t>28 June 2021), available at: https://www.amnesty.org/en/wp-content/uploads/2021/07/MDE1244432021ENGLISH.pdf</w:t>
      </w:r>
      <w:r w:rsidR="00A50737">
        <w:rPr>
          <w:lang w:val="en-US"/>
        </w:rPr>
        <w:t>.</w:t>
      </w:r>
      <w:r w:rsidRPr="00D46BFB">
        <w:rPr>
          <w:lang w:val="en-US"/>
        </w:rPr>
        <w:t xml:space="preserve"> </w:t>
      </w:r>
    </w:p>
  </w:footnote>
  <w:footnote w:id="26">
    <w:p w14:paraId="5ED65705" w14:textId="77777777" w:rsidR="000E2B9A" w:rsidRPr="00D46BFB" w:rsidRDefault="000E2B9A" w:rsidP="005A0B3D">
      <w:pPr>
        <w:pStyle w:val="FootnoteText"/>
        <w:rPr>
          <w:szCs w:val="20"/>
          <w:vertAlign w:val="superscript"/>
          <w:lang w:val="en-US"/>
        </w:rPr>
      </w:pPr>
      <w:r>
        <w:rPr>
          <w:vertAlign w:val="superscript"/>
        </w:rPr>
        <w:footnoteRef/>
      </w:r>
      <w:r w:rsidRPr="00D46BFB">
        <w:rPr>
          <w:lang w:val="en-US"/>
        </w:rPr>
        <w:t xml:space="preserve"> ‘Egypt: Survivors of sexual violence and online abuse among prosecuted women </w:t>
      </w:r>
      <w:proofErr w:type="spellStart"/>
      <w:r w:rsidRPr="00D46BFB">
        <w:rPr>
          <w:lang w:val="en-US"/>
        </w:rPr>
        <w:t>TikTok</w:t>
      </w:r>
      <w:proofErr w:type="spellEnd"/>
      <w:r w:rsidRPr="00D46BFB">
        <w:rPr>
          <w:lang w:val="en-US"/>
        </w:rPr>
        <w:t xml:space="preserve"> influencers’ (</w:t>
      </w:r>
      <w:r w:rsidRPr="00D46BFB">
        <w:rPr>
          <w:i/>
          <w:lang w:val="en-US"/>
        </w:rPr>
        <w:t xml:space="preserve">Amnesty International, </w:t>
      </w:r>
      <w:r w:rsidRPr="00D46BFB">
        <w:rPr>
          <w:lang w:val="en-US"/>
        </w:rPr>
        <w:t>13 August 2020), available at: https://www.amnesty.org/en/latest/news/2020/08/egypt-survivors-of-sexual-violence-and-online-abuse-among-prosecuted-women-tiktok-influencers-2/.</w:t>
      </w:r>
    </w:p>
  </w:footnote>
  <w:footnote w:id="27">
    <w:p w14:paraId="5FD532C8" w14:textId="77777777" w:rsidR="000E2B9A" w:rsidRPr="00D46BFB" w:rsidRDefault="000E2B9A" w:rsidP="005A0B3D">
      <w:pPr>
        <w:pStyle w:val="FootnoteText"/>
        <w:rPr>
          <w:szCs w:val="20"/>
          <w:lang w:val="en-US"/>
        </w:rPr>
      </w:pPr>
      <w:r>
        <w:rPr>
          <w:vertAlign w:val="superscript"/>
        </w:rPr>
        <w:footnoteRef/>
      </w:r>
      <w:r w:rsidRPr="00D46BFB">
        <w:rPr>
          <w:lang w:val="en-US"/>
        </w:rPr>
        <w:t xml:space="preserve"> ‘Dangerous liaisons: Social media as (flawed) tool of resistance in Egypt’ (</w:t>
      </w:r>
      <w:proofErr w:type="spellStart"/>
      <w:r w:rsidRPr="00D46BFB">
        <w:rPr>
          <w:i/>
          <w:lang w:val="en-US"/>
        </w:rPr>
        <w:t>EuroMed</w:t>
      </w:r>
      <w:proofErr w:type="spellEnd"/>
      <w:r w:rsidRPr="00D46BFB">
        <w:rPr>
          <w:i/>
          <w:lang w:val="en-US"/>
        </w:rPr>
        <w:t xml:space="preserve"> Rights</w:t>
      </w:r>
      <w:r w:rsidRPr="00D46BFB">
        <w:rPr>
          <w:lang w:val="en-US"/>
        </w:rPr>
        <w:t>, 15</w:t>
      </w:r>
      <w:r w:rsidRPr="00D46BFB">
        <w:rPr>
          <w:vertAlign w:val="superscript"/>
          <w:lang w:val="en-US"/>
        </w:rPr>
        <w:t xml:space="preserve"> </w:t>
      </w:r>
      <w:r w:rsidRPr="00D46BFB">
        <w:rPr>
          <w:lang w:val="en-US"/>
        </w:rPr>
        <w:t>September 2020)</w:t>
      </w:r>
      <w:r w:rsidRPr="00D46BFB">
        <w:rPr>
          <w:i/>
          <w:lang w:val="en-US"/>
        </w:rPr>
        <w:t xml:space="preserve"> </w:t>
      </w:r>
      <w:r w:rsidRPr="00D46BFB">
        <w:rPr>
          <w:lang w:val="en-US"/>
        </w:rPr>
        <w:t xml:space="preserve">p.6, available </w:t>
      </w:r>
      <w:proofErr w:type="gramStart"/>
      <w:r w:rsidRPr="00D46BFB">
        <w:rPr>
          <w:lang w:val="en-US"/>
        </w:rPr>
        <w:t>at :</w:t>
      </w:r>
      <w:proofErr w:type="gramEnd"/>
      <w:r w:rsidRPr="00D46BFB">
        <w:rPr>
          <w:lang w:val="en-US"/>
        </w:rPr>
        <w:t xml:space="preserve"> https://euromedrights.org/wp-content/uploads/2020/09/Study_on_social_media_in_Egypt.pdf.</w:t>
      </w:r>
    </w:p>
  </w:footnote>
  <w:footnote w:id="28">
    <w:p w14:paraId="110A05F0" w14:textId="77777777" w:rsidR="000E2B9A" w:rsidRPr="00D46BFB" w:rsidRDefault="000E2B9A" w:rsidP="005A0B3D">
      <w:pPr>
        <w:pStyle w:val="FootnoteText"/>
        <w:rPr>
          <w:szCs w:val="20"/>
          <w:lang w:val="en-US"/>
        </w:rPr>
      </w:pPr>
      <w:r>
        <w:rPr>
          <w:vertAlign w:val="superscript"/>
        </w:rPr>
        <w:footnoteRef/>
      </w:r>
      <w:r w:rsidRPr="00D46BFB">
        <w:rPr>
          <w:i/>
          <w:lang w:val="en-US"/>
        </w:rPr>
        <w:t>‘</w:t>
      </w:r>
      <w:r w:rsidRPr="00D46BFB">
        <w:rPr>
          <w:lang w:val="en-US"/>
        </w:rPr>
        <w:t>Dangerous liaisons: Social media as (flawed) tool of resistance in Egypt’</w:t>
      </w:r>
      <w:r w:rsidRPr="00D46BFB">
        <w:rPr>
          <w:i/>
          <w:lang w:val="en-US"/>
        </w:rPr>
        <w:t xml:space="preserve"> </w:t>
      </w:r>
      <w:r w:rsidRPr="00D46BFB">
        <w:rPr>
          <w:lang w:val="en-US"/>
        </w:rPr>
        <w:t>(</w:t>
      </w:r>
      <w:proofErr w:type="spellStart"/>
      <w:r w:rsidRPr="00D46BFB">
        <w:rPr>
          <w:i/>
          <w:lang w:val="en-US"/>
        </w:rPr>
        <w:t>EuroMed</w:t>
      </w:r>
      <w:proofErr w:type="spellEnd"/>
      <w:r w:rsidRPr="00D46BFB">
        <w:rPr>
          <w:i/>
          <w:lang w:val="en-US"/>
        </w:rPr>
        <w:t xml:space="preserve"> Rights,</w:t>
      </w:r>
      <w:r w:rsidRPr="00D46BFB">
        <w:rPr>
          <w:lang w:val="en-US"/>
        </w:rPr>
        <w:t xml:space="preserve"> 15 September 2020)</w:t>
      </w:r>
      <w:r w:rsidRPr="00D46BFB">
        <w:rPr>
          <w:i/>
          <w:lang w:val="en-US"/>
        </w:rPr>
        <w:t xml:space="preserve"> </w:t>
      </w:r>
      <w:r w:rsidRPr="00D46BFB">
        <w:rPr>
          <w:lang w:val="en-US"/>
        </w:rPr>
        <w:t xml:space="preserve">p.6, available </w:t>
      </w:r>
      <w:proofErr w:type="gramStart"/>
      <w:r w:rsidRPr="00D46BFB">
        <w:rPr>
          <w:lang w:val="en-US"/>
        </w:rPr>
        <w:t>at :</w:t>
      </w:r>
      <w:proofErr w:type="gramEnd"/>
      <w:r w:rsidRPr="00D46BFB">
        <w:rPr>
          <w:lang w:val="en-US"/>
        </w:rPr>
        <w:t xml:space="preserve"> https://euromedrights.org/wp-content/uploads/2020/09/Study_on_social_media_in_Egypt.pdf.</w:t>
      </w:r>
    </w:p>
  </w:footnote>
  <w:footnote w:id="29">
    <w:p w14:paraId="48929583" w14:textId="77777777" w:rsidR="000E2B9A" w:rsidRPr="00D46BFB" w:rsidRDefault="000E2B9A" w:rsidP="005A0B3D">
      <w:pPr>
        <w:pStyle w:val="FootnoteText"/>
        <w:rPr>
          <w:szCs w:val="20"/>
          <w:vertAlign w:val="superscript"/>
          <w:lang w:val="en-US"/>
        </w:rPr>
      </w:pPr>
      <w:r>
        <w:rPr>
          <w:vertAlign w:val="superscript"/>
        </w:rPr>
        <w:footnoteRef/>
      </w:r>
      <w:r w:rsidRPr="00D46BFB">
        <w:rPr>
          <w:szCs w:val="20"/>
          <w:vertAlign w:val="superscript"/>
          <w:lang w:val="en-US"/>
        </w:rPr>
        <w:t xml:space="preserve"> </w:t>
      </w:r>
      <w:r w:rsidRPr="00D46BFB">
        <w:rPr>
          <w:lang w:val="en-US"/>
        </w:rPr>
        <w:t xml:space="preserve">Begum, R. ‘Egypt persecutes </w:t>
      </w:r>
      <w:proofErr w:type="spellStart"/>
      <w:r w:rsidRPr="00D46BFB">
        <w:rPr>
          <w:lang w:val="en-US"/>
        </w:rPr>
        <w:t>TikTok</w:t>
      </w:r>
      <w:proofErr w:type="spellEnd"/>
      <w:r w:rsidRPr="00D46BFB">
        <w:rPr>
          <w:lang w:val="en-US"/>
        </w:rPr>
        <w:t xml:space="preserve"> Women while Men get Impunity for Sexual Violence’ (</w:t>
      </w:r>
      <w:r w:rsidRPr="00D46BFB">
        <w:rPr>
          <w:i/>
          <w:lang w:val="en-US"/>
        </w:rPr>
        <w:t>Human Rights Watch</w:t>
      </w:r>
      <w:r w:rsidRPr="00D46BFB">
        <w:rPr>
          <w:lang w:val="en-US"/>
        </w:rPr>
        <w:t>, 28 June 2021), available at: https://www.hrw.org/news/2021/06/28/egypt-persecutes-tiktok-women-while-men-get-impunity-sexual-violence; See also: https://www.hrw.org/news/2021/02/08/justice-stalled-egypts-fairmont-rape-case.</w:t>
      </w:r>
    </w:p>
  </w:footnote>
  <w:footnote w:id="30">
    <w:p w14:paraId="3A7EADD0" w14:textId="77777777" w:rsidR="000E2B9A" w:rsidRPr="00D46BFB" w:rsidRDefault="000E2B9A" w:rsidP="005A0B3D">
      <w:pPr>
        <w:pStyle w:val="FootnoteText"/>
        <w:rPr>
          <w:szCs w:val="20"/>
          <w:vertAlign w:val="superscript"/>
          <w:lang w:val="en-US"/>
        </w:rPr>
      </w:pPr>
      <w:r>
        <w:rPr>
          <w:vertAlign w:val="superscript"/>
        </w:rPr>
        <w:footnoteRef/>
      </w:r>
      <w:r w:rsidRPr="00D46BFB">
        <w:rPr>
          <w:szCs w:val="20"/>
          <w:vertAlign w:val="superscript"/>
          <w:lang w:val="en-US"/>
        </w:rPr>
        <w:t xml:space="preserve"> </w:t>
      </w:r>
      <w:r w:rsidRPr="00D46BFB">
        <w:rPr>
          <w:lang w:val="en-US"/>
        </w:rPr>
        <w:t>Younes, R. ‘Justice Stalled in Egypt’s ‘Fairmont’ Rape Case; Drop charges against witnesses, Investigate alleged perpetrators’ (</w:t>
      </w:r>
      <w:r w:rsidRPr="00D46BFB">
        <w:rPr>
          <w:i/>
          <w:lang w:val="en-US"/>
        </w:rPr>
        <w:t>Human Rights Watch</w:t>
      </w:r>
      <w:r w:rsidRPr="00D46BFB">
        <w:rPr>
          <w:lang w:val="en-US"/>
        </w:rPr>
        <w:t xml:space="preserve">, 8 February 2021), available </w:t>
      </w:r>
      <w:proofErr w:type="gramStart"/>
      <w:r w:rsidRPr="00D46BFB">
        <w:rPr>
          <w:lang w:val="en-US"/>
        </w:rPr>
        <w:t>at :</w:t>
      </w:r>
      <w:proofErr w:type="gramEnd"/>
      <w:r w:rsidRPr="00D46BFB">
        <w:rPr>
          <w:lang w:val="en-US"/>
        </w:rPr>
        <w:t xml:space="preserve"> https://www.hrw.org/news/2021/02/08/justice-stalled-egypts-fairmont-rape-case.</w:t>
      </w:r>
    </w:p>
  </w:footnote>
  <w:footnote w:id="31">
    <w:p w14:paraId="28DEDBA2" w14:textId="77777777" w:rsidR="000E2B9A" w:rsidRPr="00D46BFB" w:rsidRDefault="000E2B9A" w:rsidP="005A0B3D">
      <w:pPr>
        <w:pStyle w:val="FootnoteText"/>
        <w:rPr>
          <w:szCs w:val="20"/>
          <w:lang w:val="en-US"/>
        </w:rPr>
      </w:pPr>
      <w:r>
        <w:rPr>
          <w:vertAlign w:val="superscript"/>
        </w:rPr>
        <w:footnoteRef/>
      </w:r>
      <w:r w:rsidRPr="00D46BFB">
        <w:rPr>
          <w:lang w:val="en-US"/>
        </w:rPr>
        <w:t xml:space="preserve"> Younes, R. ‘Egypt Detains Men for Alleged Sexual Orientation, Alongside Alleged Rapists’ (</w:t>
      </w:r>
      <w:r w:rsidRPr="00D46BFB">
        <w:rPr>
          <w:i/>
          <w:lang w:val="en-US"/>
        </w:rPr>
        <w:t>Human Rights Watch</w:t>
      </w:r>
      <w:r w:rsidRPr="00D46BFB">
        <w:rPr>
          <w:lang w:val="en-US"/>
        </w:rPr>
        <w:t>, 2 November 2020), available at: https://www.hrw.org/news/2020/11/02/egypt-detains-men-alleged-sexual-orientation-alongside-alleged-rapists.</w:t>
      </w:r>
    </w:p>
  </w:footnote>
  <w:footnote w:id="32">
    <w:p w14:paraId="089C8BE1" w14:textId="5E04E8D3" w:rsidR="000E2B9A" w:rsidRPr="00D46BFB" w:rsidRDefault="000E2B9A" w:rsidP="005A0B3D">
      <w:pPr>
        <w:pStyle w:val="FootnoteText"/>
        <w:rPr>
          <w:lang w:val="en-US"/>
        </w:rPr>
      </w:pPr>
      <w:r>
        <w:rPr>
          <w:vertAlign w:val="superscript"/>
        </w:rPr>
        <w:footnoteRef/>
      </w:r>
      <w:r w:rsidRPr="00D46BFB">
        <w:rPr>
          <w:lang w:val="en-US"/>
        </w:rPr>
        <w:t xml:space="preserve"> </w:t>
      </w:r>
      <w:proofErr w:type="spellStart"/>
      <w:r w:rsidRPr="00D46BFB">
        <w:rPr>
          <w:lang w:val="en-US"/>
        </w:rPr>
        <w:t>Mada</w:t>
      </w:r>
      <w:proofErr w:type="spellEnd"/>
      <w:r w:rsidRPr="00D46BFB">
        <w:rPr>
          <w:lang w:val="en-US"/>
        </w:rPr>
        <w:t xml:space="preserve"> Masr ‘Witnesses arrested and intimidated: How the Fairmont ra</w:t>
      </w:r>
      <w:r w:rsidR="00A50737">
        <w:rPr>
          <w:lang w:val="en-US"/>
        </w:rPr>
        <w:t>p</w:t>
      </w:r>
      <w:r w:rsidRPr="00D46BFB">
        <w:rPr>
          <w:lang w:val="en-US"/>
        </w:rPr>
        <w:t>e case fell apart’ (2 September 2021), available at: https://www.madamasr.com/en/2021/09/02/feature/politics/witnesses-arrested-and-intimidated-how-the-fairmont-rape-case-fell-apart/</w:t>
      </w:r>
      <w:r w:rsidR="00A50737">
        <w:rPr>
          <w:lang w:val="en-US"/>
        </w:rPr>
        <w:t>.</w:t>
      </w:r>
    </w:p>
  </w:footnote>
  <w:footnote w:id="33">
    <w:p w14:paraId="78AEE8CA" w14:textId="77777777" w:rsidR="000E2B9A" w:rsidRPr="00D46BFB" w:rsidRDefault="000E2B9A" w:rsidP="005A0B3D">
      <w:pPr>
        <w:pStyle w:val="FootnoteText"/>
        <w:rPr>
          <w:szCs w:val="20"/>
          <w:lang w:val="en-US"/>
        </w:rPr>
      </w:pPr>
      <w:r>
        <w:rPr>
          <w:vertAlign w:val="superscript"/>
        </w:rPr>
        <w:footnoteRef/>
      </w:r>
      <w:r w:rsidRPr="00D46BFB">
        <w:rPr>
          <w:szCs w:val="20"/>
          <w:lang w:val="en-US"/>
        </w:rPr>
        <w:t xml:space="preserve"> </w:t>
      </w:r>
      <w:r w:rsidRPr="00D46BFB">
        <w:rPr>
          <w:lang w:val="en-US"/>
        </w:rPr>
        <w:t xml:space="preserve">Younes, R. </w:t>
      </w:r>
      <w:r w:rsidRPr="00D46BFB">
        <w:rPr>
          <w:i/>
          <w:lang w:val="en-US"/>
        </w:rPr>
        <w:t>‘Egypt: Gang Rape Witnesses Arrested, Smeared’</w:t>
      </w:r>
      <w:r w:rsidRPr="00D46BFB">
        <w:rPr>
          <w:lang w:val="en-US"/>
        </w:rPr>
        <w:t xml:space="preserve"> (</w:t>
      </w:r>
      <w:r w:rsidRPr="00D46BFB">
        <w:rPr>
          <w:i/>
          <w:lang w:val="en-US"/>
        </w:rPr>
        <w:t>Human Rights Watch</w:t>
      </w:r>
      <w:r w:rsidRPr="00D46BFB">
        <w:rPr>
          <w:lang w:val="en-US"/>
        </w:rPr>
        <w:t>, 8 January 2021), available at: https://www.hrw.org/news/2020/09/11/egypt-gang-rape-witnesses-arrested-smeared.</w:t>
      </w:r>
    </w:p>
  </w:footnote>
  <w:footnote w:id="34">
    <w:p w14:paraId="6925741B" w14:textId="77777777" w:rsidR="000E2B9A" w:rsidRPr="00D46BFB" w:rsidRDefault="000E2B9A" w:rsidP="005A0B3D">
      <w:pPr>
        <w:pStyle w:val="FootnoteText"/>
        <w:rPr>
          <w:lang w:val="en-US"/>
        </w:rPr>
      </w:pPr>
      <w:r>
        <w:rPr>
          <w:vertAlign w:val="superscript"/>
        </w:rPr>
        <w:footnoteRef/>
      </w:r>
      <w:r w:rsidRPr="00D46BFB">
        <w:rPr>
          <w:lang w:val="en-US"/>
        </w:rPr>
        <w:t xml:space="preserve"> It has done so in General Recommendation No. 30 on women in conflict prevention, conflict and post-conflict situations, CEDAW/C/GC/30, 18 October 2013, para 32; General Recommendation No. 35 on gender-based violence against women, updating General Recommendation No. 19, CEDAW/C/GC/35, 14 July 2017, para 31 (c), and General recommendation No. 38 (2020) on trafficking in women and girls in the context of global migration, para34, CEDAW/C/GC/38, 20 November 2020, para34 and 70.</w:t>
      </w:r>
    </w:p>
  </w:footnote>
  <w:footnote w:id="35">
    <w:p w14:paraId="5CE43135" w14:textId="77777777" w:rsidR="000E2B9A" w:rsidRPr="00D46BFB" w:rsidRDefault="000E2B9A" w:rsidP="005A0B3D">
      <w:pPr>
        <w:pStyle w:val="FootnoteText"/>
        <w:rPr>
          <w:lang w:val="en-US"/>
        </w:rPr>
      </w:pPr>
      <w:r>
        <w:rPr>
          <w:vertAlign w:val="superscript"/>
        </w:rPr>
        <w:footnoteRef/>
      </w:r>
      <w:r w:rsidRPr="00D46BFB">
        <w:rPr>
          <w:lang w:val="en-US"/>
        </w:rPr>
        <w:t xml:space="preserve"> General recommendation No. 35 on gender-based violence against women, updating general recommendation No. 19, CEDAW/C/GC/35, 14 July 2017, para 42.</w:t>
      </w:r>
    </w:p>
  </w:footnote>
  <w:footnote w:id="36">
    <w:p w14:paraId="3940B2B1" w14:textId="13A6351F" w:rsidR="000E2B9A" w:rsidRPr="00D46BFB" w:rsidRDefault="000E2B9A" w:rsidP="005A0B3D">
      <w:pPr>
        <w:pStyle w:val="FootnoteText"/>
        <w:rPr>
          <w:lang w:val="en-US"/>
        </w:rPr>
      </w:pPr>
      <w:r>
        <w:rPr>
          <w:vertAlign w:val="superscript"/>
        </w:rPr>
        <w:footnoteRef/>
      </w:r>
      <w:r w:rsidRPr="00D46BFB">
        <w:rPr>
          <w:lang w:val="en-US"/>
        </w:rPr>
        <w:t xml:space="preserve"> WILPF, Submission to the UN Office of the High Commissioner for Human Rights on the Impact of the Diversion of Arms and Unregulated or Illicit Arms Transfers on the Human Rights of Women and Girls</w:t>
      </w:r>
      <w:r w:rsidR="00A50737">
        <w:rPr>
          <w:lang w:val="en-US"/>
        </w:rPr>
        <w:t>.</w:t>
      </w:r>
    </w:p>
  </w:footnote>
  <w:footnote w:id="37">
    <w:p w14:paraId="0214147C" w14:textId="6DA37C25" w:rsidR="000E2B9A" w:rsidRPr="00D46BFB" w:rsidRDefault="000E2B9A" w:rsidP="005A0B3D">
      <w:pPr>
        <w:pStyle w:val="FootnoteText"/>
        <w:rPr>
          <w:lang w:val="en-US"/>
        </w:rPr>
      </w:pPr>
      <w:r>
        <w:rPr>
          <w:vertAlign w:val="superscript"/>
        </w:rPr>
        <w:footnoteRef/>
      </w:r>
      <w:r w:rsidRPr="00D46BFB">
        <w:rPr>
          <w:lang w:val="en-US"/>
        </w:rPr>
        <w:t xml:space="preserve"> In Yemen, the GEE as well as a joint report by WILPF and partners offer in- depth analyses how the armed conflict has exacerbated already deeply rooted gender inequalities, as does a report of the </w:t>
      </w:r>
      <w:proofErr w:type="spellStart"/>
      <w:r w:rsidRPr="00D46BFB">
        <w:rPr>
          <w:lang w:val="en-US"/>
        </w:rPr>
        <w:t>CoI</w:t>
      </w:r>
      <w:proofErr w:type="spellEnd"/>
      <w:r w:rsidRPr="00D46BFB">
        <w:rPr>
          <w:lang w:val="en-US"/>
        </w:rPr>
        <w:t xml:space="preserve"> on Syria. For compelling evidence, see HRC ‘Report of the detailed findings of the Group of Eminent International and Regional Experts on Yemen’ (3 September 2019) UN Doc A/HRC/42/17, para 624-633, available at:</w:t>
      </w:r>
      <w:r>
        <w:rPr>
          <w:lang w:val="en-US"/>
        </w:rPr>
        <w:t xml:space="preserve"> </w:t>
      </w:r>
      <w:r w:rsidRPr="00D46BFB">
        <w:rPr>
          <w:lang w:val="en-US"/>
        </w:rPr>
        <w:t>https://www.ohchr.org/Documents/HRBodies/HRCouncil/GEE-Yemen/A_HRC_42_CRP_1.PDF; ‘Changes ahead: Yemeni women map the road to peace, joint submission to the Universal Periodic Review of Yemen’ (</w:t>
      </w:r>
      <w:r w:rsidRPr="00D46BFB">
        <w:rPr>
          <w:i/>
          <w:lang w:val="en-US"/>
        </w:rPr>
        <w:t>WILPF et al</w:t>
      </w:r>
      <w:r w:rsidRPr="00D46BFB">
        <w:rPr>
          <w:lang w:val="en-US"/>
        </w:rPr>
        <w:t>., July 2018), available at:</w:t>
      </w:r>
      <w:r>
        <w:rPr>
          <w:lang w:val="en-US"/>
        </w:rPr>
        <w:t xml:space="preserve"> </w:t>
      </w:r>
      <w:r w:rsidRPr="00D46BFB">
        <w:rPr>
          <w:lang w:val="en-US"/>
        </w:rPr>
        <w:t>https://reliefweb.int/sites/reliefweb.int/files/resources/WILPF_Yemen- Publication_web.pdf; HRC ‘“I lost my dignity”: Sexual and gender-based violence in the Syrian Arab Republic’(8 March 2018) UN Doc A/HRC/37/CRP.3, available at: https://www.ohchr.org/Documents/HRBodies/HRCouncil/CoISyria/A-HRC-37-CRP-3.pdf</w:t>
      </w:r>
    </w:p>
  </w:footnote>
  <w:footnote w:id="38">
    <w:p w14:paraId="576286E7" w14:textId="77777777" w:rsidR="000E2B9A" w:rsidRPr="00D46BFB" w:rsidRDefault="000E2B9A" w:rsidP="005A0B3D">
      <w:pPr>
        <w:pStyle w:val="FootnoteText"/>
        <w:rPr>
          <w:highlight w:val="white"/>
          <w:lang w:val="en-US"/>
        </w:rPr>
      </w:pPr>
      <w:r>
        <w:rPr>
          <w:vertAlign w:val="superscript"/>
        </w:rPr>
        <w:footnoteRef/>
      </w:r>
      <w:r w:rsidRPr="00D46BFB">
        <w:rPr>
          <w:highlight w:val="white"/>
          <w:lang w:val="en-US"/>
        </w:rPr>
        <w:t xml:space="preserve"> See, for example, HRC ‘Impact of arms transfers on the enjoyment of human rights’ (3 May 2017) UN Doc A/HRC/35/8, para 12, available at: https://undocs.org/A/HRC/35/8. </w:t>
      </w:r>
    </w:p>
  </w:footnote>
  <w:footnote w:id="39">
    <w:p w14:paraId="79DE2C0D" w14:textId="6A50ADAB" w:rsidR="000E2B9A" w:rsidRPr="00D46BFB" w:rsidRDefault="000E2B9A" w:rsidP="005A0B3D">
      <w:pPr>
        <w:pStyle w:val="FootnoteText"/>
        <w:rPr>
          <w:szCs w:val="20"/>
          <w:lang w:val="en-US"/>
        </w:rPr>
      </w:pPr>
      <w:r>
        <w:rPr>
          <w:vertAlign w:val="superscript"/>
        </w:rPr>
        <w:footnoteRef/>
      </w:r>
      <w:r w:rsidRPr="00D46BFB">
        <w:rPr>
          <w:i/>
          <w:lang w:val="en-US"/>
        </w:rPr>
        <w:t xml:space="preserve"> </w:t>
      </w:r>
      <w:r w:rsidRPr="00D46BFB">
        <w:rPr>
          <w:lang w:val="en-US"/>
        </w:rPr>
        <w:t>‘International arms transfers level off after years of sharp growth; Middle Eastern arms imports grow most, says SIPRI’ (</w:t>
      </w:r>
      <w:r w:rsidRPr="00D46BFB">
        <w:rPr>
          <w:i/>
          <w:lang w:val="en-US"/>
        </w:rPr>
        <w:t>SIPRI</w:t>
      </w:r>
      <w:r w:rsidRPr="00D46BFB">
        <w:rPr>
          <w:lang w:val="en-US"/>
        </w:rPr>
        <w:t>, 15 March 2021), available at: https://www.sipri.org/media/press-release/2021/international-arms-transfers-level-after-years-sharp-growth-middle-eastern-arms-imports-grow-most</w:t>
      </w:r>
      <w:r w:rsidR="00A50737">
        <w:rPr>
          <w:lang w:val="en-US"/>
        </w:rPr>
        <w:t>.</w:t>
      </w:r>
      <w:r w:rsidRPr="00D46BFB">
        <w:rPr>
          <w:lang w:val="en-US"/>
        </w:rPr>
        <w:t xml:space="preserve"> </w:t>
      </w:r>
    </w:p>
  </w:footnote>
  <w:footnote w:id="40">
    <w:p w14:paraId="5B4CE149" w14:textId="342356EF" w:rsidR="000E2B9A" w:rsidRPr="00D46BFB" w:rsidRDefault="000E2B9A" w:rsidP="005A0B3D">
      <w:pPr>
        <w:pStyle w:val="FootnoteText"/>
        <w:rPr>
          <w:lang w:val="en-US"/>
        </w:rPr>
      </w:pPr>
      <w:r>
        <w:rPr>
          <w:vertAlign w:val="superscript"/>
        </w:rPr>
        <w:footnoteRef/>
      </w:r>
      <w:r w:rsidRPr="00D46BFB">
        <w:rPr>
          <w:rFonts w:ascii="Times New Roman" w:eastAsia="Times New Roman" w:hAnsi="Times New Roman" w:cs="Times New Roman"/>
          <w:lang w:val="en-US"/>
        </w:rPr>
        <w:t xml:space="preserve"> </w:t>
      </w:r>
      <w:proofErr w:type="spellStart"/>
      <w:r w:rsidRPr="005E47C5">
        <w:rPr>
          <w:lang w:val="en-US"/>
        </w:rPr>
        <w:t>Wezeman</w:t>
      </w:r>
      <w:proofErr w:type="spellEnd"/>
      <w:r w:rsidRPr="005E47C5">
        <w:rPr>
          <w:lang w:val="en-US"/>
        </w:rPr>
        <w:t>, P</w:t>
      </w:r>
      <w:r w:rsidRPr="00D46BFB">
        <w:rPr>
          <w:lang w:val="en-US"/>
        </w:rPr>
        <w:t>.</w:t>
      </w:r>
      <w:r w:rsidRPr="005E47C5">
        <w:rPr>
          <w:lang w:val="en-US"/>
        </w:rPr>
        <w:t xml:space="preserve"> D., A</w:t>
      </w:r>
      <w:r w:rsidRPr="00D46BFB">
        <w:rPr>
          <w:lang w:val="en-US"/>
        </w:rPr>
        <w:t>.</w:t>
      </w:r>
      <w:r w:rsidRPr="005E47C5">
        <w:rPr>
          <w:lang w:val="en-US"/>
        </w:rPr>
        <w:t xml:space="preserve"> </w:t>
      </w:r>
      <w:proofErr w:type="spellStart"/>
      <w:r w:rsidRPr="005E47C5">
        <w:rPr>
          <w:lang w:val="en-US"/>
        </w:rPr>
        <w:t>Kuimova</w:t>
      </w:r>
      <w:proofErr w:type="spellEnd"/>
      <w:r w:rsidRPr="005E47C5">
        <w:rPr>
          <w:lang w:val="en-US"/>
        </w:rPr>
        <w:t>, and S</w:t>
      </w:r>
      <w:r w:rsidRPr="00D46BFB">
        <w:rPr>
          <w:lang w:val="en-US"/>
        </w:rPr>
        <w:t>.</w:t>
      </w:r>
      <w:r w:rsidRPr="005E47C5">
        <w:rPr>
          <w:lang w:val="en-US"/>
        </w:rPr>
        <w:t xml:space="preserve"> T. </w:t>
      </w:r>
      <w:proofErr w:type="spellStart"/>
      <w:r w:rsidRPr="005E47C5">
        <w:rPr>
          <w:lang w:val="en-US"/>
        </w:rPr>
        <w:t>Wezeman</w:t>
      </w:r>
      <w:proofErr w:type="spellEnd"/>
      <w:r w:rsidRPr="005E47C5">
        <w:rPr>
          <w:lang w:val="en-US"/>
        </w:rPr>
        <w:t>, ‘Trends in international arms transfers, 2020’ (</w:t>
      </w:r>
      <w:r w:rsidRPr="005E47C5">
        <w:rPr>
          <w:i/>
          <w:lang w:val="en-US"/>
        </w:rPr>
        <w:t>SIPRI</w:t>
      </w:r>
      <w:r w:rsidRPr="005E47C5">
        <w:rPr>
          <w:lang w:val="en-US"/>
        </w:rPr>
        <w:t>, March 2021), pp. 6-7</w:t>
      </w:r>
      <w:r w:rsidRPr="00D46BFB">
        <w:rPr>
          <w:lang w:val="en-US"/>
        </w:rPr>
        <w:t>, a</w:t>
      </w:r>
      <w:r w:rsidRPr="005E47C5">
        <w:rPr>
          <w:lang w:val="en-US"/>
        </w:rPr>
        <w:t>vailable at: https://www.sipri.org/publications/2021/sipri-fact-sheets/trends-international-arms-transfers-2020</w:t>
      </w:r>
      <w:r w:rsidR="00A50737">
        <w:rPr>
          <w:lang w:val="en-US"/>
        </w:rPr>
        <w:t>.</w:t>
      </w:r>
      <w:r w:rsidRPr="00D46BFB">
        <w:rPr>
          <w:rFonts w:ascii="Times New Roman" w:eastAsia="Times New Roman" w:hAnsi="Times New Roman" w:cs="Times New Roman"/>
          <w:lang w:val="en-US"/>
        </w:rPr>
        <w:t xml:space="preserve"> </w:t>
      </w:r>
    </w:p>
  </w:footnote>
  <w:footnote w:id="41">
    <w:p w14:paraId="2F6BA362" w14:textId="4ACAD22F" w:rsidR="000E2B9A" w:rsidRPr="00D46BFB" w:rsidRDefault="000E2B9A" w:rsidP="005A0B3D">
      <w:pPr>
        <w:pStyle w:val="FootnoteText"/>
        <w:rPr>
          <w:szCs w:val="20"/>
          <w:lang w:val="en-US"/>
        </w:rPr>
      </w:pPr>
      <w:r>
        <w:rPr>
          <w:vertAlign w:val="superscript"/>
        </w:rPr>
        <w:footnoteRef/>
      </w:r>
      <w:r w:rsidRPr="00D46BFB">
        <w:rPr>
          <w:szCs w:val="20"/>
          <w:lang w:val="en-US"/>
        </w:rPr>
        <w:t xml:space="preserve"> </w:t>
      </w:r>
      <w:r w:rsidRPr="00D46BFB">
        <w:rPr>
          <w:lang w:val="en-US"/>
        </w:rPr>
        <w:t>https://thearmstradetreaty.org/treaty-status.html?lang=fr</w:t>
      </w:r>
      <w:r w:rsidR="00A50737">
        <w:rPr>
          <w:lang w:val="en-US"/>
        </w:rPr>
        <w:t>.</w:t>
      </w:r>
    </w:p>
  </w:footnote>
  <w:footnote w:id="42">
    <w:p w14:paraId="4F67B5BA" w14:textId="299C815B" w:rsidR="000E2B9A" w:rsidRPr="00D46BFB" w:rsidRDefault="000E2B9A" w:rsidP="005A0B3D">
      <w:pPr>
        <w:pStyle w:val="FootnoteText"/>
        <w:rPr>
          <w:lang w:val="en-US"/>
        </w:rPr>
      </w:pPr>
      <w:r>
        <w:rPr>
          <w:vertAlign w:val="superscript"/>
        </w:rPr>
        <w:footnoteRef/>
      </w:r>
      <w:r w:rsidRPr="00D46BFB">
        <w:rPr>
          <w:lang w:val="en-US"/>
        </w:rPr>
        <w:t xml:space="preserve"> Karp, A. ‘Civilian Firearms Holdings, 2017’, Estimating Global Civilian-Held Firearms Numbers (Small Arms Survey, June 2018), available</w:t>
      </w:r>
      <w:r>
        <w:rPr>
          <w:lang w:val="en-US"/>
        </w:rPr>
        <w:t xml:space="preserve"> </w:t>
      </w:r>
      <w:r w:rsidRPr="00D46BFB">
        <w:rPr>
          <w:lang w:val="en-US"/>
        </w:rPr>
        <w:t>at:</w:t>
      </w:r>
      <w:r w:rsidR="008B2F6A">
        <w:rPr>
          <w:lang w:val="en-US"/>
        </w:rPr>
        <w:t xml:space="preserve"> </w:t>
      </w:r>
      <w:r w:rsidRPr="00D46BFB">
        <w:rPr>
          <w:lang w:val="en-US"/>
        </w:rPr>
        <w:t>http://www.smallarmssurvey.org/fileadmin/docs/Weapons_and_Markets/Tools/Firearms_holdings/SAS-BP-Civilian-held-firearms-annexe.pdf</w:t>
      </w:r>
      <w:r w:rsidR="00A50737">
        <w:rPr>
          <w:lang w:val="en-US"/>
        </w:rPr>
        <w:t>.</w:t>
      </w:r>
      <w:r w:rsidRPr="00D46BFB">
        <w:rPr>
          <w:lang w:val="en-US"/>
        </w:rPr>
        <w:t xml:space="preserve"> </w:t>
      </w:r>
    </w:p>
  </w:footnote>
  <w:footnote w:id="43">
    <w:p w14:paraId="58B37337" w14:textId="0B3CA528" w:rsidR="000E2B9A" w:rsidRPr="00D46BFB" w:rsidRDefault="000E2B9A" w:rsidP="005A0B3D">
      <w:pPr>
        <w:pStyle w:val="FootnoteText"/>
        <w:rPr>
          <w:lang w:val="en-US"/>
        </w:rPr>
      </w:pPr>
      <w:r>
        <w:rPr>
          <w:vertAlign w:val="superscript"/>
        </w:rPr>
        <w:footnoteRef/>
      </w:r>
      <w:r w:rsidRPr="00D46BFB">
        <w:rPr>
          <w:lang w:val="en-US"/>
        </w:rPr>
        <w:t xml:space="preserve"> </w:t>
      </w:r>
      <w:r w:rsidRPr="00D46BFB">
        <w:rPr>
          <w:highlight w:val="white"/>
          <w:lang w:val="en-US"/>
        </w:rPr>
        <w:t xml:space="preserve">Karp, </w:t>
      </w:r>
      <w:proofErr w:type="spellStart"/>
      <w:proofErr w:type="gramStart"/>
      <w:r w:rsidRPr="00D46BFB">
        <w:rPr>
          <w:highlight w:val="white"/>
          <w:lang w:val="en-US"/>
        </w:rPr>
        <w:t>A.‘</w:t>
      </w:r>
      <w:proofErr w:type="gramEnd"/>
      <w:r w:rsidRPr="00D46BFB">
        <w:rPr>
          <w:highlight w:val="white"/>
          <w:lang w:val="en-US"/>
        </w:rPr>
        <w:t>Completing</w:t>
      </w:r>
      <w:proofErr w:type="spellEnd"/>
      <w:r w:rsidRPr="00D46BFB">
        <w:rPr>
          <w:highlight w:val="white"/>
          <w:lang w:val="en-US"/>
        </w:rPr>
        <w:t xml:space="preserve"> the Count: Civilian firearms - </w:t>
      </w:r>
      <w:proofErr w:type="spellStart"/>
      <w:r w:rsidRPr="00D46BFB">
        <w:rPr>
          <w:highlight w:val="white"/>
          <w:lang w:val="en-US"/>
        </w:rPr>
        <w:t>Annexe</w:t>
      </w:r>
      <w:proofErr w:type="spellEnd"/>
      <w:r w:rsidRPr="00D46BFB">
        <w:rPr>
          <w:highlight w:val="white"/>
          <w:lang w:val="en-US"/>
        </w:rPr>
        <w:t xml:space="preserve"> online’, </w:t>
      </w:r>
      <w:r w:rsidRPr="00D46BFB">
        <w:rPr>
          <w:i/>
          <w:highlight w:val="white"/>
          <w:lang w:val="en-US"/>
        </w:rPr>
        <w:t xml:space="preserve">Small Arms Survey 2007: Guns and the City </w:t>
      </w:r>
      <w:r w:rsidRPr="00D46BFB">
        <w:rPr>
          <w:highlight w:val="white"/>
          <w:lang w:val="en-US"/>
        </w:rPr>
        <w:t>(August 2007), available at: http://www.smallarmssurvey.org/publications/by-type/yearbook/small-arms-survey-2007.html</w:t>
      </w:r>
      <w:r w:rsidR="00A50737">
        <w:rPr>
          <w:highlight w:val="white"/>
          <w:lang w:val="en-US"/>
        </w:rPr>
        <w:t>.</w:t>
      </w:r>
      <w:r w:rsidRPr="00D46BFB">
        <w:rPr>
          <w:highlight w:val="white"/>
          <w:lang w:val="en-US"/>
        </w:rPr>
        <w:t xml:space="preserve"> </w:t>
      </w:r>
    </w:p>
  </w:footnote>
  <w:footnote w:id="44">
    <w:p w14:paraId="7757EC3B" w14:textId="30989A17" w:rsidR="000E2B9A" w:rsidRPr="00D46BFB" w:rsidRDefault="000E2B9A" w:rsidP="005A0B3D">
      <w:pPr>
        <w:pStyle w:val="FootnoteText"/>
        <w:rPr>
          <w:lang w:val="en-US"/>
        </w:rPr>
      </w:pPr>
      <w:r>
        <w:rPr>
          <w:vertAlign w:val="superscript"/>
        </w:rPr>
        <w:footnoteRef/>
      </w:r>
      <w:r w:rsidRPr="00D46BFB">
        <w:rPr>
          <w:lang w:val="en-US"/>
        </w:rPr>
        <w:t xml:space="preserve"> </w:t>
      </w:r>
      <w:r w:rsidRPr="00D46BFB">
        <w:rPr>
          <w:highlight w:val="white"/>
          <w:lang w:val="en-US"/>
        </w:rPr>
        <w:t xml:space="preserve">Karp, A. ‘Military Firearms Holdings, 2017.’ </w:t>
      </w:r>
      <w:r w:rsidRPr="00D46BFB">
        <w:rPr>
          <w:i/>
          <w:highlight w:val="white"/>
          <w:lang w:val="en-US"/>
        </w:rPr>
        <w:t xml:space="preserve">Estimating Global Military-Owned Firearms Numbers </w:t>
      </w:r>
      <w:r w:rsidRPr="00D46BFB">
        <w:rPr>
          <w:highlight w:val="white"/>
          <w:lang w:val="en-US"/>
        </w:rPr>
        <w:t>(</w:t>
      </w:r>
      <w:r w:rsidRPr="00D46BFB">
        <w:rPr>
          <w:lang w:val="en-US"/>
        </w:rPr>
        <w:t>Small Arms Survey, June 2018)</w:t>
      </w:r>
      <w:r w:rsidRPr="00D46BFB">
        <w:rPr>
          <w:i/>
          <w:highlight w:val="white"/>
          <w:lang w:val="en-US"/>
        </w:rPr>
        <w:t xml:space="preserve">, </w:t>
      </w:r>
      <w:r w:rsidRPr="00D46BFB">
        <w:rPr>
          <w:highlight w:val="white"/>
          <w:lang w:val="en-US"/>
        </w:rPr>
        <w:t>available at: http://www.smallarmssurvey.org/fileadmin/docs/Weapons_and_Markets/Tools/Firearms_holdings/SAS-BP-Military-owned-firearms-annexe.pdf</w:t>
      </w:r>
      <w:r w:rsidR="00A50737">
        <w:rPr>
          <w:highlight w:val="white"/>
          <w:lang w:val="en-US"/>
        </w:rPr>
        <w:t>.</w:t>
      </w:r>
      <w:r w:rsidRPr="00D46BFB">
        <w:rPr>
          <w:highlight w:val="white"/>
          <w:lang w:val="en-US"/>
        </w:rPr>
        <w:t xml:space="preserve"> </w:t>
      </w:r>
    </w:p>
  </w:footnote>
  <w:footnote w:id="45">
    <w:p w14:paraId="030E78D1" w14:textId="695C44C9" w:rsidR="000E2B9A" w:rsidRPr="00D46BFB" w:rsidRDefault="000E2B9A" w:rsidP="005A0B3D">
      <w:pPr>
        <w:pStyle w:val="FootnoteText"/>
        <w:rPr>
          <w:lang w:val="en-US"/>
        </w:rPr>
      </w:pPr>
      <w:r>
        <w:rPr>
          <w:vertAlign w:val="superscript"/>
        </w:rPr>
        <w:footnoteRef/>
      </w:r>
      <w:r w:rsidRPr="00D46BFB">
        <w:rPr>
          <w:lang w:val="en-US"/>
        </w:rPr>
        <w:t xml:space="preserve"> </w:t>
      </w:r>
      <w:r w:rsidRPr="00D46BFB">
        <w:rPr>
          <w:highlight w:val="white"/>
          <w:lang w:val="en-US"/>
        </w:rPr>
        <w:t xml:space="preserve">Karp, A. ‘Law Enforcement Firearms Holdings, 2017’, </w:t>
      </w:r>
      <w:r w:rsidRPr="00D46BFB">
        <w:rPr>
          <w:i/>
          <w:highlight w:val="white"/>
          <w:lang w:val="en-US"/>
        </w:rPr>
        <w:t xml:space="preserve">Estimating Global Law Enforcement Firearms Numbers </w:t>
      </w:r>
      <w:r w:rsidRPr="00D46BFB">
        <w:rPr>
          <w:lang w:val="en-US"/>
        </w:rPr>
        <w:t>(Small Arms Survey, June 2018)</w:t>
      </w:r>
      <w:r w:rsidRPr="00D46BFB">
        <w:rPr>
          <w:i/>
          <w:highlight w:val="white"/>
          <w:lang w:val="en-US"/>
        </w:rPr>
        <w:t xml:space="preserve">, </w:t>
      </w:r>
      <w:r w:rsidRPr="00D46BFB">
        <w:rPr>
          <w:highlight w:val="white"/>
          <w:lang w:val="en-US"/>
        </w:rPr>
        <w:t>available at: http://www.smallarmssurvey.org/fileadmin/docs/Weapons_and_Markets/Tools/Firearms_holdings/SAS-BP-Law-enforcement-firearms-annexe.pdf</w:t>
      </w:r>
      <w:r w:rsidR="00A50737">
        <w:rPr>
          <w:highlight w:val="white"/>
          <w:lang w:val="en-US"/>
        </w:rPr>
        <w:t>.</w:t>
      </w:r>
      <w:r w:rsidRPr="00D46BFB">
        <w:rPr>
          <w:highlight w:val="white"/>
          <w:lang w:val="en-US"/>
        </w:rPr>
        <w:t xml:space="preserve"> </w:t>
      </w:r>
    </w:p>
  </w:footnote>
  <w:footnote w:id="46">
    <w:p w14:paraId="5D3D9442" w14:textId="13C7CA75" w:rsidR="000E2B9A" w:rsidRPr="00D46BFB" w:rsidRDefault="000E2B9A" w:rsidP="005A0B3D">
      <w:pPr>
        <w:pStyle w:val="FootnoteText"/>
        <w:rPr>
          <w:lang w:val="en-US"/>
        </w:rPr>
      </w:pPr>
      <w:r>
        <w:rPr>
          <w:vertAlign w:val="superscript"/>
        </w:rPr>
        <w:footnoteRef/>
      </w:r>
      <w:r w:rsidRPr="00D46BFB">
        <w:rPr>
          <w:lang w:val="en-US"/>
        </w:rPr>
        <w:t xml:space="preserve"> Sarah Parker ‘ATT Signatories that have not yet ratified, accepted, or approved the Treaty’ (20 August 2020) available at: https://thearmstradetreaty.org/hyper-images/file/List%20of%20ATT%20Signatory%20States%20(07%20August%202020)/List%20of%20ATT%20Signatory%20States%20(07%20August%202020).pdf; Small Arms Survey, </w:t>
      </w:r>
      <w:r w:rsidRPr="00D46BFB">
        <w:rPr>
          <w:i/>
          <w:lang w:val="en-US"/>
        </w:rPr>
        <w:t>‘</w:t>
      </w:r>
      <w:r w:rsidRPr="00D46BFB">
        <w:rPr>
          <w:lang w:val="en-US"/>
        </w:rPr>
        <w:t>Weapons Compass: Mapping Illicit Small Arms Flows in Africa’ (2019), p. 28, available at: http://www.smallarmssurvey.org/fileadmin/docs/U-Reports/SAS-AU-Weapons-Compass.pdf</w:t>
      </w:r>
      <w:r w:rsidR="00A50737">
        <w:rPr>
          <w:lang w:val="en-US"/>
        </w:rPr>
        <w:t>.</w:t>
      </w:r>
      <w:r w:rsidRPr="00D46BFB">
        <w:rPr>
          <w:lang w:val="en-US"/>
        </w:rPr>
        <w:t xml:space="preserve"> </w:t>
      </w:r>
    </w:p>
  </w:footnote>
  <w:footnote w:id="47">
    <w:p w14:paraId="4C53062C" w14:textId="77777777" w:rsidR="000E2B9A" w:rsidRPr="00D46BFB" w:rsidRDefault="000E2B9A" w:rsidP="005A0B3D">
      <w:pPr>
        <w:pStyle w:val="FootnoteText"/>
        <w:rPr>
          <w:lang w:val="en-US"/>
        </w:rPr>
      </w:pPr>
      <w:r>
        <w:rPr>
          <w:vertAlign w:val="superscript"/>
        </w:rPr>
        <w:footnoteRef/>
      </w:r>
      <w:r w:rsidRPr="00D46BFB">
        <w:rPr>
          <w:lang w:val="en-US"/>
        </w:rPr>
        <w:t xml:space="preserve"> Sarah Parker</w:t>
      </w:r>
      <w:r w:rsidRPr="00D46BFB">
        <w:rPr>
          <w:highlight w:val="white"/>
          <w:lang w:val="en-US"/>
        </w:rPr>
        <w:t xml:space="preserve"> ‘Balancing Act: Regulation of Civilian Firearm Possession.’ (</w:t>
      </w:r>
      <w:r w:rsidRPr="00D46BFB">
        <w:rPr>
          <w:i/>
          <w:highlight w:val="white"/>
          <w:lang w:val="en-US"/>
        </w:rPr>
        <w:t>Cambridge University Press</w:t>
      </w:r>
      <w:r w:rsidRPr="00D46BFB">
        <w:rPr>
          <w:highlight w:val="white"/>
          <w:lang w:val="en-US"/>
        </w:rPr>
        <w:t xml:space="preserve">, 6 July 2011) Small Arms Survey 2011: States of Security; Chapter 9, p. 276, available at: </w:t>
      </w:r>
      <w:hyperlink r:id="rId13">
        <w:r w:rsidRPr="00D46BFB">
          <w:rPr>
            <w:highlight w:val="white"/>
            <w:lang w:val="en-US"/>
          </w:rPr>
          <w:t>https://www.gunpolicy.org/firearms/region/egypt</w:t>
        </w:r>
      </w:hyperlink>
      <w:r w:rsidRPr="00D46BFB">
        <w:rPr>
          <w:lang w:val="en-US"/>
        </w:rPr>
        <w:t>.</w:t>
      </w:r>
    </w:p>
  </w:footnote>
  <w:footnote w:id="48">
    <w:p w14:paraId="28209A48" w14:textId="72AEB282" w:rsidR="000E2B9A" w:rsidRPr="00D46BFB" w:rsidRDefault="000E2B9A" w:rsidP="005A0B3D">
      <w:pPr>
        <w:pStyle w:val="FootnoteText"/>
        <w:rPr>
          <w:lang w:val="en-US"/>
        </w:rPr>
      </w:pPr>
      <w:r>
        <w:rPr>
          <w:vertAlign w:val="superscript"/>
        </w:rPr>
        <w:footnoteRef/>
      </w:r>
      <w:r w:rsidRPr="00D46BFB">
        <w:rPr>
          <w:lang w:val="en-US"/>
        </w:rPr>
        <w:t xml:space="preserve"> </w:t>
      </w:r>
      <w:r w:rsidRPr="00D46BFB">
        <w:rPr>
          <w:i/>
          <w:lang w:val="en-US"/>
        </w:rPr>
        <w:t xml:space="preserve">Laws on the Right of peaceful Assembly </w:t>
      </w:r>
      <w:proofErr w:type="spellStart"/>
      <w:r w:rsidRPr="00D46BFB">
        <w:rPr>
          <w:i/>
          <w:lang w:val="en-US"/>
        </w:rPr>
        <w:t>WorldWide</w:t>
      </w:r>
      <w:proofErr w:type="spellEnd"/>
      <w:r w:rsidRPr="00D46BFB">
        <w:rPr>
          <w:i/>
          <w:lang w:val="en-US"/>
        </w:rPr>
        <w:t xml:space="preserve">: Egypt </w:t>
      </w:r>
      <w:r w:rsidRPr="00D46BFB">
        <w:rPr>
          <w:lang w:val="en-US"/>
        </w:rPr>
        <w:t>(last accessed 16 September 2021) available at: https://www.rightofassembly.info/country/egypt</w:t>
      </w:r>
      <w:r w:rsidR="00A50737">
        <w:rPr>
          <w:lang w:val="en-US"/>
        </w:rPr>
        <w:t>.</w:t>
      </w:r>
    </w:p>
  </w:footnote>
  <w:footnote w:id="49">
    <w:p w14:paraId="05CB7CE6" w14:textId="3303146C" w:rsidR="000E2B9A" w:rsidRPr="00D46BFB" w:rsidRDefault="000E2B9A" w:rsidP="005A0B3D">
      <w:pPr>
        <w:pStyle w:val="FootnoteText"/>
        <w:rPr>
          <w:lang w:val="en-US"/>
        </w:rPr>
      </w:pPr>
      <w:r>
        <w:rPr>
          <w:vertAlign w:val="superscript"/>
        </w:rPr>
        <w:footnoteRef/>
      </w:r>
      <w:r w:rsidRPr="00D46BFB">
        <w:rPr>
          <w:i/>
          <w:lang w:val="en-US"/>
        </w:rPr>
        <w:t xml:space="preserve">Laws on Police Use of Force </w:t>
      </w:r>
      <w:proofErr w:type="spellStart"/>
      <w:r w:rsidRPr="00D46BFB">
        <w:rPr>
          <w:i/>
          <w:lang w:val="en-US"/>
        </w:rPr>
        <w:t>WorldWide</w:t>
      </w:r>
      <w:proofErr w:type="spellEnd"/>
      <w:r w:rsidRPr="00D46BFB">
        <w:rPr>
          <w:i/>
          <w:lang w:val="en-US"/>
        </w:rPr>
        <w:t xml:space="preserve">: Egypt </w:t>
      </w:r>
      <w:r w:rsidRPr="00D46BFB">
        <w:rPr>
          <w:lang w:val="en-US"/>
        </w:rPr>
        <w:t>(last accessed 16 September 2021, available at: https://www.policinglaw.info/country/egypt</w:t>
      </w:r>
      <w:r w:rsidR="00A50737">
        <w:rPr>
          <w:lang w:val="en-US"/>
        </w:rPr>
        <w:t>.</w:t>
      </w:r>
    </w:p>
  </w:footnote>
  <w:footnote w:id="50">
    <w:p w14:paraId="6A8334A1" w14:textId="18333BFE" w:rsidR="000E2B9A" w:rsidRPr="00D46BFB" w:rsidRDefault="000E2B9A" w:rsidP="005A0B3D">
      <w:pPr>
        <w:pStyle w:val="FootnoteText"/>
        <w:rPr>
          <w:lang w:val="en-US"/>
        </w:rPr>
      </w:pPr>
      <w:r>
        <w:rPr>
          <w:vertAlign w:val="superscript"/>
        </w:rPr>
        <w:footnoteRef/>
      </w:r>
      <w:r w:rsidRPr="00D46BFB">
        <w:rPr>
          <w:vertAlign w:val="superscript"/>
          <w:lang w:val="en-US"/>
        </w:rPr>
        <w:t xml:space="preserve"> </w:t>
      </w:r>
      <w:r w:rsidRPr="00D46BFB">
        <w:rPr>
          <w:lang w:val="en-US"/>
        </w:rPr>
        <w:t>Egypt: Covid-19 Cover for New Repressive Powers: Amendments Could Curb Rights in Name of ‘Public Order’’ (</w:t>
      </w:r>
      <w:r w:rsidRPr="00D46BFB">
        <w:rPr>
          <w:i/>
          <w:lang w:val="en-US"/>
        </w:rPr>
        <w:t xml:space="preserve">Human Rights Watch, </w:t>
      </w:r>
      <w:r w:rsidRPr="00D46BFB">
        <w:rPr>
          <w:lang w:val="en-US"/>
        </w:rPr>
        <w:t>7 May 2020), available at: https://www.hrw.org/news/2020/05/07/egypt-covid-19-cover-new-repressive-powers</w:t>
      </w:r>
      <w:r w:rsidR="00A50737">
        <w:rPr>
          <w:lang w:val="en-US"/>
        </w:rPr>
        <w:t>.</w:t>
      </w:r>
    </w:p>
  </w:footnote>
  <w:footnote w:id="51">
    <w:p w14:paraId="468703B7" w14:textId="77777777" w:rsidR="000E2B9A" w:rsidRPr="00D46BFB" w:rsidRDefault="000E2B9A" w:rsidP="005A0B3D">
      <w:pPr>
        <w:pStyle w:val="FootnoteText"/>
        <w:rPr>
          <w:szCs w:val="20"/>
          <w:lang w:val="en-US"/>
        </w:rPr>
      </w:pPr>
      <w:r>
        <w:rPr>
          <w:vertAlign w:val="superscript"/>
        </w:rPr>
        <w:footnoteRef/>
      </w:r>
      <w:r w:rsidRPr="00D46BFB">
        <w:rPr>
          <w:lang w:val="en-US"/>
        </w:rPr>
        <w:t xml:space="preserve"> McManus, A. </w:t>
      </w:r>
      <w:r w:rsidRPr="00D46BFB">
        <w:rPr>
          <w:i/>
          <w:lang w:val="en-US"/>
        </w:rPr>
        <w:t>‘</w:t>
      </w:r>
      <w:r w:rsidRPr="00D46BFB">
        <w:rPr>
          <w:lang w:val="en-US"/>
        </w:rPr>
        <w:t xml:space="preserve">The Egyptian Military’s Terrorism Containment Campaign in North Sinai’ (Carnegie Endowment for International Peace, 30 June 2020), available at: https://carnegieendowment.org/sada/82218. </w:t>
      </w:r>
    </w:p>
  </w:footnote>
  <w:footnote w:id="52">
    <w:p w14:paraId="44A66DA7" w14:textId="77777777" w:rsidR="000E2B9A" w:rsidRPr="00D46BFB" w:rsidRDefault="000E2B9A" w:rsidP="005A0B3D">
      <w:pPr>
        <w:pStyle w:val="FootnoteText"/>
        <w:rPr>
          <w:szCs w:val="20"/>
          <w:lang w:val="en-US"/>
        </w:rPr>
      </w:pPr>
      <w:r>
        <w:rPr>
          <w:vertAlign w:val="superscript"/>
        </w:rPr>
        <w:footnoteRef/>
      </w:r>
      <w:r w:rsidRPr="00D46BFB">
        <w:rPr>
          <w:lang w:val="en-US"/>
        </w:rPr>
        <w:t xml:space="preserve"> Amnesty International, </w:t>
      </w:r>
      <w:r w:rsidRPr="00D46BFB">
        <w:rPr>
          <w:i/>
          <w:lang w:val="en-US"/>
        </w:rPr>
        <w:t xml:space="preserve">‘Egypt: How French arms were used to crush dissent’ </w:t>
      </w:r>
      <w:r w:rsidRPr="00D46BFB">
        <w:rPr>
          <w:lang w:val="en-US"/>
        </w:rPr>
        <w:t>(EUR 21/9038/2018, 2018), p. 19, available at: https://www.amnesty.org/en/documents/eur21/9038/2018/en/</w:t>
      </w:r>
      <w:r w:rsidRPr="00D46BFB">
        <w:rPr>
          <w:szCs w:val="20"/>
          <w:lang w:val="en-US"/>
        </w:rPr>
        <w:t>.</w:t>
      </w:r>
    </w:p>
  </w:footnote>
  <w:footnote w:id="53">
    <w:p w14:paraId="3FC98845" w14:textId="77777777" w:rsidR="000E2B9A" w:rsidRPr="00D46BFB" w:rsidRDefault="000E2B9A" w:rsidP="005A0B3D">
      <w:pPr>
        <w:pStyle w:val="FootnoteText"/>
        <w:rPr>
          <w:lang w:val="en-US"/>
        </w:rPr>
      </w:pPr>
      <w:r>
        <w:rPr>
          <w:vertAlign w:val="superscript"/>
        </w:rPr>
        <w:footnoteRef/>
      </w:r>
      <w:r w:rsidRPr="00D46BFB">
        <w:rPr>
          <w:lang w:val="en-US"/>
        </w:rPr>
        <w:t xml:space="preserve"> ‘Egypt: A Repression Made in France: exports of weapons and surveillance technologies’ (</w:t>
      </w:r>
      <w:r w:rsidRPr="00D46BFB">
        <w:rPr>
          <w:i/>
          <w:lang w:val="en-US"/>
        </w:rPr>
        <w:t>FIDH &amp; others,</w:t>
      </w:r>
      <w:r w:rsidRPr="00D46BFB">
        <w:rPr>
          <w:lang w:val="en-US"/>
        </w:rPr>
        <w:t xml:space="preserve"> June 2018) p. 18 and 19, available at: https://www.fidh.org/IMG/pdf/382873255-egypt-a-repression-made-in-france.pdf.</w:t>
      </w:r>
    </w:p>
  </w:footnote>
  <w:footnote w:id="54">
    <w:p w14:paraId="317D886C" w14:textId="77777777" w:rsidR="000E2B9A" w:rsidRPr="00D46BFB" w:rsidRDefault="000E2B9A" w:rsidP="005A0B3D">
      <w:pPr>
        <w:pStyle w:val="FootnoteText"/>
        <w:rPr>
          <w:lang w:val="en-US"/>
        </w:rPr>
      </w:pPr>
      <w:r>
        <w:rPr>
          <w:vertAlign w:val="superscript"/>
        </w:rPr>
        <w:footnoteRef/>
      </w:r>
      <w:r w:rsidRPr="00D46BFB">
        <w:rPr>
          <w:lang w:val="en-US"/>
        </w:rPr>
        <w:t xml:space="preserve"> ‘Egypt: How French arms were used to crush dissent’ (</w:t>
      </w:r>
      <w:r w:rsidRPr="00D46BFB">
        <w:rPr>
          <w:i/>
          <w:lang w:val="en-US"/>
        </w:rPr>
        <w:t>Amnesty International</w:t>
      </w:r>
      <w:r w:rsidRPr="00D46BFB">
        <w:rPr>
          <w:lang w:val="en-US"/>
        </w:rPr>
        <w:t xml:space="preserve"> 15 October 2018), available at: https://www.amnesty.org/en/documents/eur21/9038/2018/en/; ‘Egypt: A Repression Made in France: exports of weapons and surveillance technologies’ (</w:t>
      </w:r>
      <w:r w:rsidRPr="00D46BFB">
        <w:rPr>
          <w:i/>
          <w:lang w:val="en-US"/>
        </w:rPr>
        <w:t>FIDH &amp; others,</w:t>
      </w:r>
      <w:r w:rsidRPr="00D46BFB">
        <w:rPr>
          <w:lang w:val="en-US"/>
        </w:rPr>
        <w:t xml:space="preserve"> June 2018) p. 18 and 19, available at: https://www.fidh.org/IMG/pdf/382873255-egypt-a-repression-made-in-france.pdf; See also: </w:t>
      </w:r>
      <w:proofErr w:type="spellStart"/>
      <w:r w:rsidRPr="00D46BFB">
        <w:rPr>
          <w:lang w:val="en-US"/>
        </w:rPr>
        <w:t>Houry</w:t>
      </w:r>
      <w:proofErr w:type="spellEnd"/>
      <w:r w:rsidRPr="00D46BFB">
        <w:rPr>
          <w:lang w:val="en-US"/>
        </w:rPr>
        <w:t xml:space="preserve"> Nadim &amp; </w:t>
      </w:r>
      <w:proofErr w:type="spellStart"/>
      <w:r w:rsidRPr="00D46BFB">
        <w:rPr>
          <w:lang w:val="en-US"/>
        </w:rPr>
        <w:t>Jeannerod</w:t>
      </w:r>
      <w:proofErr w:type="spellEnd"/>
      <w:r w:rsidRPr="00D46BFB">
        <w:rPr>
          <w:lang w:val="en-US"/>
        </w:rPr>
        <w:t xml:space="preserve"> </w:t>
      </w:r>
      <w:proofErr w:type="spellStart"/>
      <w:r w:rsidRPr="00D46BFB">
        <w:rPr>
          <w:lang w:val="en-US"/>
        </w:rPr>
        <w:t>Bénédicte</w:t>
      </w:r>
      <w:proofErr w:type="spellEnd"/>
      <w:r w:rsidRPr="00D46BFB">
        <w:rPr>
          <w:lang w:val="en-US"/>
        </w:rPr>
        <w:t>, How French weapons enable Egypt’s abuses (</w:t>
      </w:r>
      <w:r w:rsidRPr="00D46BFB">
        <w:rPr>
          <w:i/>
          <w:lang w:val="en-US"/>
        </w:rPr>
        <w:t>Human Rights Watch</w:t>
      </w:r>
      <w:r w:rsidRPr="00D46BFB">
        <w:rPr>
          <w:lang w:val="en-US"/>
        </w:rPr>
        <w:t>, 29 January 2019), available at: https://www.hrw.org/news/2019/01/28/how-french-weapons-enable-egypts-abuses.</w:t>
      </w:r>
    </w:p>
  </w:footnote>
  <w:footnote w:id="55">
    <w:p w14:paraId="37E76A68" w14:textId="77777777" w:rsidR="000E2B9A" w:rsidRPr="00D46BFB" w:rsidRDefault="000E2B9A" w:rsidP="005A0B3D">
      <w:pPr>
        <w:pStyle w:val="FootnoteText"/>
        <w:rPr>
          <w:lang w:val="en-US"/>
        </w:rPr>
      </w:pPr>
      <w:r>
        <w:rPr>
          <w:vertAlign w:val="superscript"/>
        </w:rPr>
        <w:footnoteRef/>
      </w:r>
      <w:r w:rsidRPr="00D46BFB">
        <w:rPr>
          <w:lang w:val="en-US"/>
        </w:rPr>
        <w:t xml:space="preserve"> ‘Egypt: Bitter legacy of </w:t>
      </w:r>
      <w:proofErr w:type="spellStart"/>
      <w:r w:rsidRPr="00D46BFB">
        <w:rPr>
          <w:lang w:val="en-US"/>
        </w:rPr>
        <w:t>Rabaa</w:t>
      </w:r>
      <w:proofErr w:type="spellEnd"/>
      <w:r w:rsidRPr="00D46BFB">
        <w:rPr>
          <w:lang w:val="en-US"/>
        </w:rPr>
        <w:t xml:space="preserve"> massacre continues to haunt Egyptians’ (</w:t>
      </w:r>
      <w:r w:rsidRPr="00D46BFB">
        <w:rPr>
          <w:i/>
          <w:lang w:val="en-US"/>
        </w:rPr>
        <w:t xml:space="preserve">Amnesty International, </w:t>
      </w:r>
      <w:r w:rsidRPr="00D46BFB">
        <w:rPr>
          <w:lang w:val="en-US"/>
        </w:rPr>
        <w:t>14 August 2019) available at:</w:t>
      </w:r>
    </w:p>
    <w:p w14:paraId="43E9E316" w14:textId="77777777" w:rsidR="000E2B9A" w:rsidRPr="00D46BFB" w:rsidRDefault="000E2B9A" w:rsidP="005A0B3D">
      <w:pPr>
        <w:pStyle w:val="FootnoteText"/>
        <w:rPr>
          <w:lang w:val="en-US"/>
        </w:rPr>
      </w:pPr>
      <w:r w:rsidRPr="00D46BFB">
        <w:rPr>
          <w:lang w:val="en-US"/>
        </w:rPr>
        <w:t>https://www.amnesty.org/en/latest/press-release/2019/08/egypt-bitter-legacy-of-rabaa-massacre-continues-to-haunt-egyptians/; ‘Egypt: Security Forces Used Excessive Lethal Force’ (</w:t>
      </w:r>
      <w:r w:rsidRPr="00D46BFB">
        <w:rPr>
          <w:i/>
          <w:lang w:val="en-US"/>
        </w:rPr>
        <w:t>Human Rights Watch,</w:t>
      </w:r>
      <w:r w:rsidRPr="00D46BFB">
        <w:rPr>
          <w:lang w:val="en-US"/>
        </w:rPr>
        <w:t xml:space="preserve"> 19 August 2013) available at: https://www.hrw.org/news/2013/08/19/egypt-security-forces-used-excessive-lethal-force.</w:t>
      </w:r>
    </w:p>
  </w:footnote>
  <w:footnote w:id="56">
    <w:p w14:paraId="7EB98B85" w14:textId="00914111" w:rsidR="000E2B9A" w:rsidRPr="00D46BFB" w:rsidRDefault="000E2B9A" w:rsidP="005A0B3D">
      <w:pPr>
        <w:pStyle w:val="FootnoteText"/>
        <w:rPr>
          <w:lang w:val="en-US"/>
        </w:rPr>
      </w:pPr>
      <w:bookmarkStart w:id="34" w:name="_ma7ut3gy2tno" w:colFirst="0" w:colLast="0"/>
      <w:bookmarkEnd w:id="34"/>
      <w:r>
        <w:rPr>
          <w:vertAlign w:val="superscript"/>
        </w:rPr>
        <w:footnoteRef/>
      </w:r>
      <w:r w:rsidRPr="00D46BFB">
        <w:rPr>
          <w:lang w:val="en-US"/>
        </w:rPr>
        <w:t xml:space="preserve"> ‘The names and faces of the 21 women killed in Egypt's </w:t>
      </w:r>
      <w:proofErr w:type="spellStart"/>
      <w:r w:rsidRPr="00D46BFB">
        <w:rPr>
          <w:lang w:val="en-US"/>
        </w:rPr>
        <w:t>Rabaa</w:t>
      </w:r>
      <w:proofErr w:type="spellEnd"/>
      <w:r w:rsidRPr="00D46BFB">
        <w:rPr>
          <w:lang w:val="en-US"/>
        </w:rPr>
        <w:t>’ (</w:t>
      </w:r>
      <w:r w:rsidRPr="00D46BFB">
        <w:rPr>
          <w:i/>
          <w:lang w:val="en-US"/>
        </w:rPr>
        <w:t>MEMO,</w:t>
      </w:r>
      <w:r w:rsidRPr="00D46BFB">
        <w:rPr>
          <w:lang w:val="en-US"/>
        </w:rPr>
        <w:t xml:space="preserve"> 14 August 2019) available at: https://www.middleeastmonitor.com/20190814-the-names-and-faces-of-the-21-women-killed-in-egypts-rabaa/</w:t>
      </w:r>
      <w:r w:rsidR="00A50737">
        <w:rPr>
          <w:lang w:val="en-US"/>
        </w:rPr>
        <w:t>.</w:t>
      </w:r>
    </w:p>
  </w:footnote>
  <w:footnote w:id="57">
    <w:p w14:paraId="2F2A66ED" w14:textId="77777777" w:rsidR="000E2B9A" w:rsidRPr="00D46BFB" w:rsidRDefault="000E2B9A" w:rsidP="005A0B3D">
      <w:pPr>
        <w:pStyle w:val="FootnoteText"/>
        <w:rPr>
          <w:szCs w:val="20"/>
          <w:lang w:val="en-US"/>
        </w:rPr>
      </w:pPr>
      <w:r>
        <w:rPr>
          <w:vertAlign w:val="superscript"/>
        </w:rPr>
        <w:footnoteRef/>
      </w:r>
      <w:r w:rsidRPr="00D46BFB">
        <w:rPr>
          <w:szCs w:val="20"/>
          <w:lang w:val="en-US"/>
        </w:rPr>
        <w:t xml:space="preserve"> </w:t>
      </w:r>
      <w:r w:rsidRPr="00D46BFB">
        <w:rPr>
          <w:lang w:val="en-US"/>
        </w:rPr>
        <w:t>Recommendation 31.79 in HRC ‘Report of the Working Group on the Universal Periodic Review of Egypt, (27 December 2019) UN Doc A/HRC/43/16, available at: https://undocs.org/A/HRC/43/16</w:t>
      </w:r>
    </w:p>
  </w:footnote>
  <w:footnote w:id="58">
    <w:p w14:paraId="08BB6473" w14:textId="77777777" w:rsidR="000E2B9A" w:rsidRPr="00D46BFB" w:rsidRDefault="000E2B9A" w:rsidP="005A0B3D">
      <w:pPr>
        <w:pStyle w:val="FootnoteText"/>
        <w:rPr>
          <w:lang w:val="en-US"/>
        </w:rPr>
      </w:pPr>
      <w:r>
        <w:rPr>
          <w:vertAlign w:val="superscript"/>
        </w:rPr>
        <w:footnoteRef/>
      </w:r>
      <w:r w:rsidRPr="00D46BFB">
        <w:rPr>
          <w:lang w:val="en-US"/>
        </w:rPr>
        <w:t xml:space="preserve"> ‘Egypt: Bitter legacy of </w:t>
      </w:r>
      <w:proofErr w:type="spellStart"/>
      <w:r w:rsidRPr="00D46BFB">
        <w:rPr>
          <w:lang w:val="en-US"/>
        </w:rPr>
        <w:t>Rabaa</w:t>
      </w:r>
      <w:proofErr w:type="spellEnd"/>
      <w:r w:rsidRPr="00D46BFB">
        <w:rPr>
          <w:lang w:val="en-US"/>
        </w:rPr>
        <w:t xml:space="preserve"> massacre continues to haunt Egyptians’ (</w:t>
      </w:r>
      <w:r w:rsidRPr="00D46BFB">
        <w:rPr>
          <w:i/>
          <w:lang w:val="en-US"/>
        </w:rPr>
        <w:t>Amnesty International</w:t>
      </w:r>
      <w:r w:rsidRPr="00D46BFB">
        <w:rPr>
          <w:lang w:val="en-US"/>
        </w:rPr>
        <w:t>, 14 August 2019) available at:</w:t>
      </w:r>
    </w:p>
    <w:p w14:paraId="180934CB" w14:textId="77777777" w:rsidR="000E2B9A" w:rsidRPr="00D46BFB" w:rsidRDefault="000E2B9A" w:rsidP="005A0B3D">
      <w:pPr>
        <w:pStyle w:val="FootnoteText"/>
        <w:rPr>
          <w:lang w:val="en-US"/>
        </w:rPr>
      </w:pPr>
      <w:r w:rsidRPr="00D46BFB">
        <w:rPr>
          <w:lang w:val="en-US"/>
        </w:rPr>
        <w:t>https://www.amnesty.org/en/latest/press-release/2019/08/egypt-bitter-legacy-of-rabaa-massacre-continues-to-haunt-egyptians/.</w:t>
      </w:r>
    </w:p>
  </w:footnote>
  <w:footnote w:id="59">
    <w:p w14:paraId="343B1F3F" w14:textId="77777777" w:rsidR="000E2B9A" w:rsidRPr="00D46BFB" w:rsidRDefault="000E2B9A" w:rsidP="005A0B3D">
      <w:pPr>
        <w:pStyle w:val="FootnoteText"/>
        <w:rPr>
          <w:lang w:val="en-US"/>
        </w:rPr>
      </w:pPr>
      <w:r>
        <w:rPr>
          <w:vertAlign w:val="superscript"/>
        </w:rPr>
        <w:footnoteRef/>
      </w:r>
      <w:r w:rsidRPr="00D46BFB">
        <w:rPr>
          <w:lang w:val="en-US"/>
        </w:rPr>
        <w:t xml:space="preserve"> ‘Egypt: Rare protests met with unlawful force and mass arrests’ (</w:t>
      </w:r>
      <w:r w:rsidRPr="00D46BFB">
        <w:rPr>
          <w:i/>
          <w:lang w:val="en-US"/>
        </w:rPr>
        <w:t>Amnesty International</w:t>
      </w:r>
      <w:r w:rsidRPr="00D46BFB">
        <w:rPr>
          <w:lang w:val="en-US"/>
        </w:rPr>
        <w:t>, 2 October 2020) available at: https://www.amnesty.org/en/latest/press-release/2020/10/egypt-rare-protests-met-with-unlawful-force-and-mass-arrests/.</w:t>
      </w:r>
    </w:p>
  </w:footnote>
  <w:footnote w:id="60">
    <w:p w14:paraId="5B2A8302" w14:textId="77777777" w:rsidR="000E2B9A" w:rsidRPr="00D46BFB" w:rsidRDefault="000E2B9A" w:rsidP="005A0B3D">
      <w:pPr>
        <w:pStyle w:val="FootnoteText"/>
        <w:rPr>
          <w:lang w:val="en-US"/>
        </w:rPr>
      </w:pPr>
      <w:r>
        <w:rPr>
          <w:vertAlign w:val="superscript"/>
        </w:rPr>
        <w:footnoteRef/>
      </w:r>
      <w:r w:rsidRPr="00D46BFB">
        <w:rPr>
          <w:lang w:val="en-US"/>
        </w:rPr>
        <w:t xml:space="preserve"> ‘Egypt: A Repression Made in France: exports of weapons and surveillance technologies’ (</w:t>
      </w:r>
      <w:r w:rsidRPr="00D46BFB">
        <w:rPr>
          <w:i/>
          <w:lang w:val="en-US"/>
        </w:rPr>
        <w:t>FIDH &amp; others,</w:t>
      </w:r>
      <w:r w:rsidRPr="00D46BFB">
        <w:rPr>
          <w:lang w:val="en-US"/>
        </w:rPr>
        <w:t xml:space="preserve"> June 2018) p. 20, available at: </w:t>
      </w:r>
      <w:hyperlink r:id="rId14">
        <w:r w:rsidRPr="00D46BFB">
          <w:rPr>
            <w:lang w:val="en-US"/>
          </w:rPr>
          <w:t>https://www.fidh.org/IMG/pdf/382873255-egypt-a-repression-made-in-france.pdf</w:t>
        </w:r>
      </w:hyperlink>
      <w:r w:rsidRPr="00D46BFB">
        <w:rPr>
          <w:lang w:val="en-US"/>
        </w:rPr>
        <w:t>.</w:t>
      </w:r>
    </w:p>
  </w:footnote>
  <w:footnote w:id="61">
    <w:p w14:paraId="08F0DCBD" w14:textId="77777777" w:rsidR="000E2B9A" w:rsidRPr="00D46BFB" w:rsidRDefault="000E2B9A" w:rsidP="005A0B3D">
      <w:pPr>
        <w:pStyle w:val="FootnoteText"/>
        <w:rPr>
          <w:lang w:val="en-US"/>
        </w:rPr>
      </w:pPr>
      <w:r>
        <w:rPr>
          <w:vertAlign w:val="superscript"/>
        </w:rPr>
        <w:footnoteRef/>
      </w:r>
      <w:r w:rsidRPr="00D46BFB">
        <w:rPr>
          <w:lang w:val="en-US"/>
        </w:rPr>
        <w:t xml:space="preserve"> Olivier </w:t>
      </w:r>
      <w:proofErr w:type="spellStart"/>
      <w:r w:rsidRPr="00D46BFB">
        <w:rPr>
          <w:lang w:val="en-US"/>
        </w:rPr>
        <w:t>Tesquet</w:t>
      </w:r>
      <w:proofErr w:type="spellEnd"/>
      <w:r w:rsidRPr="00D46BFB">
        <w:rPr>
          <w:lang w:val="en-US"/>
        </w:rPr>
        <w:t xml:space="preserve"> ‘</w:t>
      </w:r>
      <w:proofErr w:type="spellStart"/>
      <w:r w:rsidRPr="00D46BFB">
        <w:rPr>
          <w:lang w:val="en-US"/>
        </w:rPr>
        <w:t>Amesys</w:t>
      </w:r>
      <w:proofErr w:type="spellEnd"/>
      <w:r w:rsidRPr="00D46BFB">
        <w:rPr>
          <w:lang w:val="en-US"/>
        </w:rPr>
        <w:t>: Egyptian trials and tribulations of a French digital arms dealer’ (</w:t>
      </w:r>
      <w:proofErr w:type="spellStart"/>
      <w:r w:rsidRPr="00D46BFB">
        <w:rPr>
          <w:i/>
          <w:lang w:val="en-US"/>
        </w:rPr>
        <w:t>Telerama</w:t>
      </w:r>
      <w:proofErr w:type="spellEnd"/>
      <w:r w:rsidRPr="00D46BFB">
        <w:rPr>
          <w:lang w:val="en-US"/>
        </w:rPr>
        <w:t>, 7 August 2020) available at: https://www.telerama.fr/monde/amesys-egyptian-trials-and-tribulations-of-a-french-digital-arms-dealer,160452.php.</w:t>
      </w:r>
    </w:p>
  </w:footnote>
  <w:footnote w:id="62">
    <w:p w14:paraId="1B50FF8D" w14:textId="77777777" w:rsidR="000E2B9A" w:rsidRPr="00D46BFB" w:rsidRDefault="000E2B9A" w:rsidP="005A0B3D">
      <w:pPr>
        <w:pStyle w:val="FootnoteText"/>
        <w:rPr>
          <w:lang w:val="en-US"/>
        </w:rPr>
      </w:pPr>
      <w:r>
        <w:rPr>
          <w:vertAlign w:val="superscript"/>
        </w:rPr>
        <w:footnoteRef/>
      </w:r>
      <w:r w:rsidRPr="00D46BFB">
        <w:rPr>
          <w:lang w:val="en-US"/>
        </w:rPr>
        <w:t xml:space="preserve"> ‘Surveillance and torture in Egypt and Libya: </w:t>
      </w:r>
      <w:proofErr w:type="spellStart"/>
      <w:r w:rsidRPr="00D46BFB">
        <w:rPr>
          <w:lang w:val="en-US"/>
        </w:rPr>
        <w:t>Amesys</w:t>
      </w:r>
      <w:proofErr w:type="spellEnd"/>
      <w:r w:rsidRPr="00D46BFB">
        <w:rPr>
          <w:lang w:val="en-US"/>
        </w:rPr>
        <w:t xml:space="preserve"> and </w:t>
      </w:r>
      <w:proofErr w:type="spellStart"/>
      <w:r w:rsidRPr="00D46BFB">
        <w:rPr>
          <w:lang w:val="en-US"/>
        </w:rPr>
        <w:t>Nexa</w:t>
      </w:r>
      <w:proofErr w:type="spellEnd"/>
      <w:r w:rsidRPr="00D46BFB">
        <w:rPr>
          <w:lang w:val="en-US"/>
        </w:rPr>
        <w:t xml:space="preserve"> Technologies executives indicted’ (</w:t>
      </w:r>
      <w:r w:rsidRPr="00D46BFB">
        <w:rPr>
          <w:i/>
          <w:lang w:val="en-US"/>
        </w:rPr>
        <w:t>FIDH</w:t>
      </w:r>
      <w:r w:rsidRPr="00D46BFB">
        <w:rPr>
          <w:lang w:val="en-US"/>
        </w:rPr>
        <w:t>, 22 June 2021) available at:</w:t>
      </w:r>
    </w:p>
    <w:p w14:paraId="0D68833E" w14:textId="77777777" w:rsidR="000E2B9A" w:rsidRPr="00D46BFB" w:rsidRDefault="000E2B9A" w:rsidP="005A0B3D">
      <w:pPr>
        <w:pStyle w:val="FootnoteText"/>
        <w:rPr>
          <w:lang w:val="en-US"/>
        </w:rPr>
      </w:pPr>
      <w:r w:rsidRPr="00D46BFB">
        <w:rPr>
          <w:lang w:val="en-US"/>
        </w:rPr>
        <w:t>https://www.fidh.org/en/region/north-africa-middle-east/egypt/surveillance-and-torture-in-egypt-and-libya-amesys-and-nexa.</w:t>
      </w:r>
    </w:p>
  </w:footnote>
  <w:footnote w:id="63">
    <w:p w14:paraId="7D7F8BC8" w14:textId="77777777" w:rsidR="000E2B9A" w:rsidRPr="005A0B3D" w:rsidRDefault="000E2B9A" w:rsidP="005A0B3D">
      <w:pPr>
        <w:pStyle w:val="FootnoteText"/>
        <w:rPr>
          <w:lang w:val="fr-CH"/>
        </w:rPr>
      </w:pPr>
      <w:r>
        <w:rPr>
          <w:vertAlign w:val="superscript"/>
        </w:rPr>
        <w:footnoteRef/>
      </w:r>
      <w:r w:rsidRPr="005A0B3D">
        <w:rPr>
          <w:szCs w:val="20"/>
          <w:lang w:val="fr-CH"/>
        </w:rPr>
        <w:t xml:space="preserve"> </w:t>
      </w:r>
      <w:r w:rsidRPr="005A0B3D">
        <w:rPr>
          <w:lang w:val="fr-CH"/>
        </w:rPr>
        <w:t xml:space="preserve">Olivier </w:t>
      </w:r>
      <w:proofErr w:type="spellStart"/>
      <w:r w:rsidRPr="005A0B3D">
        <w:rPr>
          <w:lang w:val="fr-CH"/>
        </w:rPr>
        <w:t>Tesquet</w:t>
      </w:r>
      <w:proofErr w:type="spellEnd"/>
      <w:r w:rsidRPr="005A0B3D">
        <w:rPr>
          <w:lang w:val="fr-CH"/>
        </w:rPr>
        <w:t xml:space="preserve"> ‘On a encore trouvé une société française qui vend du matériel de surveillance électronique à l’</w:t>
      </w:r>
      <w:proofErr w:type="spellStart"/>
      <w:r w:rsidRPr="005A0B3D">
        <w:rPr>
          <w:lang w:val="fr-CH"/>
        </w:rPr>
        <w:t>Egypte</w:t>
      </w:r>
      <w:proofErr w:type="spellEnd"/>
      <w:r w:rsidRPr="005A0B3D">
        <w:rPr>
          <w:lang w:val="fr-CH"/>
        </w:rPr>
        <w:t>’ (</w:t>
      </w:r>
      <w:proofErr w:type="spellStart"/>
      <w:r w:rsidRPr="005A0B3D">
        <w:rPr>
          <w:i/>
          <w:lang w:val="fr-CH"/>
        </w:rPr>
        <w:t>Telerama</w:t>
      </w:r>
      <w:proofErr w:type="spellEnd"/>
      <w:r w:rsidRPr="005A0B3D">
        <w:rPr>
          <w:lang w:val="fr-CH"/>
        </w:rPr>
        <w:t xml:space="preserve">, 26 March 2018) </w:t>
      </w:r>
      <w:proofErr w:type="spellStart"/>
      <w:r w:rsidRPr="005A0B3D">
        <w:rPr>
          <w:lang w:val="fr-CH"/>
        </w:rPr>
        <w:t>available</w:t>
      </w:r>
      <w:proofErr w:type="spellEnd"/>
      <w:r w:rsidRPr="005A0B3D">
        <w:rPr>
          <w:lang w:val="fr-CH"/>
        </w:rPr>
        <w:t xml:space="preserve"> </w:t>
      </w:r>
      <w:proofErr w:type="gramStart"/>
      <w:r w:rsidRPr="005A0B3D">
        <w:rPr>
          <w:lang w:val="fr-CH"/>
        </w:rPr>
        <w:t>at:</w:t>
      </w:r>
      <w:proofErr w:type="gramEnd"/>
      <w:r w:rsidRPr="005A0B3D">
        <w:rPr>
          <w:lang w:val="fr-CH"/>
        </w:rPr>
        <w:t xml:space="preserve"> &lt;https://www.telerama.fr/monde/on-a-encore-trouve-une-societe-francaise-qui-vend-du-materiel-de-surveillance-electronique-a-legypte,n5533721.php&gt;.</w:t>
      </w:r>
    </w:p>
  </w:footnote>
  <w:footnote w:id="64">
    <w:p w14:paraId="21226295" w14:textId="77777777" w:rsidR="000E2B9A" w:rsidRPr="00D46BFB" w:rsidRDefault="000E2B9A" w:rsidP="005A0B3D">
      <w:pPr>
        <w:pStyle w:val="FootnoteText"/>
        <w:rPr>
          <w:lang w:val="en-US"/>
        </w:rPr>
      </w:pPr>
      <w:r>
        <w:rPr>
          <w:vertAlign w:val="superscript"/>
        </w:rPr>
        <w:footnoteRef/>
      </w:r>
      <w:r w:rsidRPr="00D46BFB">
        <w:rPr>
          <w:szCs w:val="20"/>
          <w:lang w:val="en-US"/>
        </w:rPr>
        <w:t xml:space="preserve"> </w:t>
      </w:r>
      <w:r w:rsidRPr="00D46BFB">
        <w:rPr>
          <w:lang w:val="en-US"/>
        </w:rPr>
        <w:t>‘Egypt: A Repression Made in France: exports of weapons and surveillance technologies’ (</w:t>
      </w:r>
      <w:r w:rsidRPr="00D46BFB">
        <w:rPr>
          <w:i/>
          <w:lang w:val="en-US"/>
        </w:rPr>
        <w:t>FIDH &amp; others,</w:t>
      </w:r>
      <w:r w:rsidRPr="00D46BFB">
        <w:rPr>
          <w:lang w:val="en-US"/>
        </w:rPr>
        <w:t xml:space="preserve"> June 2018) p. 38, available at: </w:t>
      </w:r>
      <w:hyperlink r:id="rId15">
        <w:r w:rsidRPr="00D46BFB">
          <w:rPr>
            <w:lang w:val="en-US"/>
          </w:rPr>
          <w:t>https://www.fidh.org/IMG/pdf/382873255-egypt-a-repression-made-in-france.pdf</w:t>
        </w:r>
      </w:hyperlink>
      <w:r w:rsidRPr="00D46BFB">
        <w:rPr>
          <w:lang w:val="en-US"/>
        </w:rPr>
        <w:t>.</w:t>
      </w:r>
    </w:p>
  </w:footnote>
  <w:footnote w:id="65">
    <w:p w14:paraId="3F2CA966" w14:textId="77777777" w:rsidR="000E2B9A" w:rsidRPr="00D46BFB" w:rsidRDefault="000E2B9A" w:rsidP="005A0B3D">
      <w:pPr>
        <w:pStyle w:val="FootnoteText"/>
        <w:rPr>
          <w:lang w:val="en-US"/>
        </w:rPr>
      </w:pPr>
      <w:r>
        <w:rPr>
          <w:vertAlign w:val="superscript"/>
        </w:rPr>
        <w:footnoteRef/>
      </w:r>
      <w:r w:rsidRPr="00D46BFB">
        <w:rPr>
          <w:lang w:val="en-US"/>
        </w:rPr>
        <w:t xml:space="preserve"> ‘THE PRESIDENT’S MEN? Inside the Technical Research Department’ (</w:t>
      </w:r>
      <w:r w:rsidRPr="00D46BFB">
        <w:rPr>
          <w:i/>
          <w:lang w:val="en-US"/>
        </w:rPr>
        <w:t xml:space="preserve">Privacy International, </w:t>
      </w:r>
      <w:r w:rsidRPr="00D46BFB">
        <w:rPr>
          <w:lang w:val="en-US"/>
        </w:rPr>
        <w:t xml:space="preserve">February 2016), available at: https://privacyinternational.org/sites/default/files/2017-12/egypt_reportEnglish.pdf </w:t>
      </w:r>
    </w:p>
  </w:footnote>
  <w:footnote w:id="66">
    <w:p w14:paraId="2F6B7B88" w14:textId="77777777" w:rsidR="000E2B9A" w:rsidRPr="00D46BFB" w:rsidRDefault="000E2B9A" w:rsidP="005A0B3D">
      <w:pPr>
        <w:pStyle w:val="FootnoteText"/>
        <w:rPr>
          <w:lang w:val="en-US"/>
        </w:rPr>
      </w:pPr>
      <w:r>
        <w:rPr>
          <w:vertAlign w:val="superscript"/>
        </w:rPr>
        <w:footnoteRef/>
      </w:r>
      <w:r w:rsidRPr="00D46BFB">
        <w:rPr>
          <w:lang w:val="en-US"/>
        </w:rPr>
        <w:t xml:space="preserve"> ‘Egypt: A Repression Made in France: exports of weapons and surveillance technologies’ (</w:t>
      </w:r>
      <w:r w:rsidRPr="00D46BFB">
        <w:rPr>
          <w:i/>
          <w:lang w:val="en-US"/>
        </w:rPr>
        <w:t>FIDH &amp; others,</w:t>
      </w:r>
      <w:r w:rsidRPr="00D46BFB">
        <w:rPr>
          <w:lang w:val="en-US"/>
        </w:rPr>
        <w:t xml:space="preserve"> June 2018) p. 35 and 36, available at: </w:t>
      </w:r>
      <w:hyperlink r:id="rId16">
        <w:r w:rsidRPr="00D46BFB">
          <w:rPr>
            <w:lang w:val="en-US"/>
          </w:rPr>
          <w:t>https://www.fidh.org/IMG/pdf/382873255-egypt-a-repression-made-in-france.pdf</w:t>
        </w:r>
      </w:hyperlink>
      <w:r w:rsidRPr="00D46BFB">
        <w:rPr>
          <w:lang w:val="en-US"/>
        </w:rPr>
        <w:t>.</w:t>
      </w:r>
    </w:p>
  </w:footnote>
  <w:footnote w:id="67">
    <w:p w14:paraId="496EE334" w14:textId="77777777" w:rsidR="000E2B9A" w:rsidRPr="00D46BFB" w:rsidRDefault="000E2B9A" w:rsidP="005A0B3D">
      <w:pPr>
        <w:pStyle w:val="FootnoteText"/>
        <w:rPr>
          <w:lang w:val="en-US"/>
        </w:rPr>
      </w:pPr>
      <w:r>
        <w:rPr>
          <w:vertAlign w:val="superscript"/>
        </w:rPr>
        <w:footnoteRef/>
      </w:r>
      <w:r w:rsidRPr="00D46BFB">
        <w:rPr>
          <w:lang w:val="en-US"/>
        </w:rPr>
        <w:t xml:space="preserve"> ‘Egypt: Survivors of sexual violence and online abuse among prosecuted women </w:t>
      </w:r>
      <w:proofErr w:type="spellStart"/>
      <w:r w:rsidRPr="00D46BFB">
        <w:rPr>
          <w:lang w:val="en-US"/>
        </w:rPr>
        <w:t>TikTok</w:t>
      </w:r>
      <w:proofErr w:type="spellEnd"/>
      <w:r w:rsidRPr="00D46BFB">
        <w:rPr>
          <w:lang w:val="en-US"/>
        </w:rPr>
        <w:t xml:space="preserve"> influencers’ (</w:t>
      </w:r>
      <w:r w:rsidRPr="00D46BFB">
        <w:rPr>
          <w:i/>
          <w:lang w:val="en-US"/>
        </w:rPr>
        <w:t>Amnesty International</w:t>
      </w:r>
      <w:r w:rsidRPr="00D46BFB">
        <w:rPr>
          <w:lang w:val="en-US"/>
        </w:rPr>
        <w:t>, 13 August 2020) available at: https://www.amnesty.org/en/latest/press-release/2020/08/egypt-survivors-of-sexual-violence-and-online-abuse-among-prosecuted-women-tiktok-influencers/.</w:t>
      </w:r>
    </w:p>
  </w:footnote>
  <w:footnote w:id="68">
    <w:p w14:paraId="3E0F10B7" w14:textId="5F79C8B8" w:rsidR="000E2B9A" w:rsidRPr="00D46BFB" w:rsidRDefault="000E2B9A" w:rsidP="005A0B3D">
      <w:pPr>
        <w:pStyle w:val="FootnoteText"/>
        <w:rPr>
          <w:lang w:val="en-US"/>
        </w:rPr>
      </w:pPr>
      <w:r>
        <w:rPr>
          <w:vertAlign w:val="superscript"/>
        </w:rPr>
        <w:footnoteRef/>
      </w:r>
      <w:r w:rsidRPr="00D46BFB">
        <w:rPr>
          <w:lang w:val="en-US"/>
        </w:rPr>
        <w:t xml:space="preserve"> </w:t>
      </w:r>
      <w:r w:rsidRPr="00D46BFB">
        <w:rPr>
          <w:highlight w:val="white"/>
          <w:lang w:val="en-US"/>
        </w:rPr>
        <w:t>John Scott-</w:t>
      </w:r>
      <w:proofErr w:type="spellStart"/>
      <w:r w:rsidRPr="00D46BFB">
        <w:rPr>
          <w:highlight w:val="white"/>
          <w:lang w:val="en-US"/>
        </w:rPr>
        <w:t>Railton</w:t>
      </w:r>
      <w:proofErr w:type="spellEnd"/>
      <w:r w:rsidRPr="00D46BFB">
        <w:rPr>
          <w:highlight w:val="white"/>
          <w:lang w:val="en-US"/>
        </w:rPr>
        <w:t xml:space="preserve">, </w:t>
      </w:r>
      <w:hyperlink r:id="rId17">
        <w:r w:rsidRPr="00D46BFB">
          <w:rPr>
            <w:highlight w:val="white"/>
            <w:lang w:val="en-US"/>
          </w:rPr>
          <w:t>Bill Marczak</w:t>
        </w:r>
      </w:hyperlink>
      <w:r w:rsidRPr="00D46BFB">
        <w:rPr>
          <w:highlight w:val="white"/>
          <w:lang w:val="en-US"/>
        </w:rPr>
        <w:t xml:space="preserve">, </w:t>
      </w:r>
      <w:hyperlink r:id="rId18">
        <w:r w:rsidRPr="00D46BFB">
          <w:rPr>
            <w:highlight w:val="white"/>
            <w:lang w:val="en-US"/>
          </w:rPr>
          <w:t>Ramy Raoof</w:t>
        </w:r>
      </w:hyperlink>
      <w:r w:rsidRPr="00D46BFB">
        <w:rPr>
          <w:highlight w:val="white"/>
          <w:lang w:val="en-US"/>
        </w:rPr>
        <w:t xml:space="preserve">, and </w:t>
      </w:r>
      <w:hyperlink r:id="rId19">
        <w:r w:rsidRPr="00D46BFB">
          <w:rPr>
            <w:highlight w:val="white"/>
            <w:lang w:val="en-US"/>
          </w:rPr>
          <w:t>Etienne Maynier</w:t>
        </w:r>
      </w:hyperlink>
      <w:r w:rsidRPr="00D46BFB">
        <w:rPr>
          <w:lang w:val="en-US"/>
        </w:rPr>
        <w:t xml:space="preserve"> ‘Nile Phish: Large-Scale Phishing Campaign Targeting Egyptian Civil Society’ (2 February 2017) available at: https://citizenlab.ca/2017/02/nilephish-report/; ‘Phishing attacks using third-party applications against Egyptian civil society organizations’ (</w:t>
      </w:r>
      <w:r w:rsidRPr="00D46BFB">
        <w:rPr>
          <w:i/>
          <w:lang w:val="en-US"/>
        </w:rPr>
        <w:t>Amnesty International</w:t>
      </w:r>
      <w:r w:rsidRPr="00D46BFB">
        <w:rPr>
          <w:lang w:val="en-US"/>
        </w:rPr>
        <w:t>, 6 March 2019) available at: https://www.amnesty.org/en/latest/research/2019/03/phishing-attacks-using-third-party-applications-against-egyptian-civil-society-organizations/</w:t>
      </w:r>
      <w:r w:rsidR="00A50737">
        <w:rPr>
          <w:lang w:val="en-US"/>
        </w:rPr>
        <w:t>.</w:t>
      </w:r>
    </w:p>
  </w:footnote>
  <w:footnote w:id="69">
    <w:p w14:paraId="6301199D" w14:textId="77777777" w:rsidR="000E2B9A" w:rsidRPr="00D46BFB" w:rsidRDefault="000E2B9A" w:rsidP="005A0B3D">
      <w:pPr>
        <w:pStyle w:val="FootnoteText"/>
        <w:rPr>
          <w:szCs w:val="20"/>
          <w:lang w:val="en-US"/>
        </w:rPr>
      </w:pPr>
      <w:r>
        <w:rPr>
          <w:vertAlign w:val="superscript"/>
        </w:rPr>
        <w:footnoteRef/>
      </w:r>
      <w:r w:rsidRPr="00D46BFB">
        <w:rPr>
          <w:szCs w:val="20"/>
          <w:lang w:val="en-US"/>
        </w:rPr>
        <w:t xml:space="preserve"> J</w:t>
      </w:r>
      <w:r w:rsidRPr="00D46BFB">
        <w:rPr>
          <w:highlight w:val="white"/>
          <w:lang w:val="en-US"/>
        </w:rPr>
        <w:t>ohn Scott-</w:t>
      </w:r>
      <w:proofErr w:type="spellStart"/>
      <w:r w:rsidRPr="00D46BFB">
        <w:rPr>
          <w:highlight w:val="white"/>
          <w:lang w:val="en-US"/>
        </w:rPr>
        <w:t>Railton</w:t>
      </w:r>
      <w:proofErr w:type="spellEnd"/>
      <w:r w:rsidRPr="00D46BFB">
        <w:rPr>
          <w:highlight w:val="white"/>
          <w:lang w:val="en-US"/>
        </w:rPr>
        <w:t xml:space="preserve">, </w:t>
      </w:r>
      <w:hyperlink r:id="rId20">
        <w:r w:rsidRPr="00D46BFB">
          <w:rPr>
            <w:highlight w:val="white"/>
            <w:lang w:val="en-US"/>
          </w:rPr>
          <w:t>Bill Marczak</w:t>
        </w:r>
      </w:hyperlink>
      <w:r w:rsidRPr="00D46BFB">
        <w:rPr>
          <w:highlight w:val="white"/>
          <w:lang w:val="en-US"/>
        </w:rPr>
        <w:t xml:space="preserve">, </w:t>
      </w:r>
      <w:hyperlink r:id="rId21">
        <w:r w:rsidRPr="00D46BFB">
          <w:rPr>
            <w:highlight w:val="white"/>
            <w:lang w:val="en-US"/>
          </w:rPr>
          <w:t>Ramy Raoof</w:t>
        </w:r>
      </w:hyperlink>
      <w:r w:rsidRPr="00D46BFB">
        <w:rPr>
          <w:highlight w:val="white"/>
          <w:lang w:val="en-US"/>
        </w:rPr>
        <w:t xml:space="preserve">, and </w:t>
      </w:r>
      <w:hyperlink r:id="rId22">
        <w:r w:rsidRPr="00D46BFB">
          <w:rPr>
            <w:highlight w:val="white"/>
            <w:lang w:val="en-US"/>
          </w:rPr>
          <w:t>Etienne Maynier</w:t>
        </w:r>
      </w:hyperlink>
      <w:r w:rsidRPr="00D46BFB">
        <w:rPr>
          <w:lang w:val="en-US"/>
        </w:rPr>
        <w:t xml:space="preserve"> ‘Nile Phish: Large-Scale Phishing Campaign Targeting Egyptian Civil Society’ (2 February 2017) p.9, available at: https://citizenlab.ca/2017/02/nilephish-report/.</w:t>
      </w:r>
    </w:p>
  </w:footnote>
  <w:footnote w:id="70">
    <w:p w14:paraId="3C4093C5" w14:textId="5E1626BD" w:rsidR="000E2B9A" w:rsidRPr="00D46BFB" w:rsidRDefault="000E2B9A" w:rsidP="005A0B3D">
      <w:pPr>
        <w:pStyle w:val="FootnoteText"/>
        <w:rPr>
          <w:lang w:val="en-US"/>
        </w:rPr>
      </w:pPr>
      <w:r>
        <w:rPr>
          <w:vertAlign w:val="superscript"/>
        </w:rPr>
        <w:footnoteRef/>
      </w:r>
      <w:r w:rsidRPr="00D46BFB">
        <w:rPr>
          <w:lang w:val="en-US"/>
        </w:rPr>
        <w:t xml:space="preserve"> ‘Three Steps in Ensuring Digital Security of Egyptian Activists Abroad’ (</w:t>
      </w:r>
      <w:proofErr w:type="spellStart"/>
      <w:r w:rsidRPr="00D46BFB">
        <w:rPr>
          <w:i/>
          <w:lang w:val="en-US"/>
        </w:rPr>
        <w:t>IEMed</w:t>
      </w:r>
      <w:proofErr w:type="spellEnd"/>
      <w:r w:rsidRPr="00D46BFB">
        <w:rPr>
          <w:i/>
          <w:lang w:val="en-US"/>
        </w:rPr>
        <w:t xml:space="preserve">., </w:t>
      </w:r>
      <w:r w:rsidRPr="00D46BFB">
        <w:rPr>
          <w:lang w:val="en-US"/>
        </w:rPr>
        <w:t>16 September 2021) available at:</w:t>
      </w:r>
      <w:r>
        <w:rPr>
          <w:lang w:val="en-US"/>
        </w:rPr>
        <w:t xml:space="preserve"> </w:t>
      </w:r>
      <w:r w:rsidRPr="00D46BFB">
        <w:rPr>
          <w:lang w:val="en-US"/>
        </w:rPr>
        <w:t>https://www.iemed.org/publication/three-steps-in-ensuring-digital-security-of-egyptian-activists-abroad/; Dania Akkad ‘Revealed: Seven years later, how Facebook shuts down free speech in Egypt’ (</w:t>
      </w:r>
      <w:r w:rsidRPr="00D46BFB">
        <w:rPr>
          <w:i/>
          <w:lang w:val="en-US"/>
        </w:rPr>
        <w:t>Middle East Eye</w:t>
      </w:r>
      <w:r w:rsidRPr="00D46BFB">
        <w:rPr>
          <w:lang w:val="en-US"/>
        </w:rPr>
        <w:t>, 30 January 2018) available at: https://www.middleeasteye.net/news/revealed-seven-years-later-how-facebook-shuts-down-free-speech-egypt</w:t>
      </w:r>
      <w:r w:rsidR="00A50737">
        <w:rPr>
          <w:lang w:val="en-US"/>
        </w:rPr>
        <w:t>.</w:t>
      </w:r>
      <w:r w:rsidRPr="00D46BFB">
        <w:rPr>
          <w:lang w:val="en-US"/>
        </w:rPr>
        <w:t xml:space="preserve"> </w:t>
      </w:r>
    </w:p>
  </w:footnote>
  <w:footnote w:id="71">
    <w:p w14:paraId="1471D073" w14:textId="7D64DCBC" w:rsidR="000E2B9A" w:rsidRPr="00D46BFB" w:rsidRDefault="000E2B9A" w:rsidP="005A0B3D">
      <w:pPr>
        <w:pStyle w:val="FootnoteText"/>
        <w:rPr>
          <w:lang w:val="en-US"/>
        </w:rPr>
      </w:pPr>
      <w:r>
        <w:rPr>
          <w:vertAlign w:val="superscript"/>
        </w:rPr>
        <w:footnoteRef/>
      </w:r>
      <w:r w:rsidRPr="00D46BFB">
        <w:rPr>
          <w:lang w:val="en-US"/>
        </w:rPr>
        <w:t xml:space="preserve"> ‘Apps, arrests and abuse in Egypt, Lebanon and Iran’ (</w:t>
      </w:r>
      <w:r w:rsidRPr="00D46BFB">
        <w:rPr>
          <w:i/>
          <w:lang w:val="en-US"/>
        </w:rPr>
        <w:t>Article 19</w:t>
      </w:r>
      <w:r w:rsidRPr="00D46BFB">
        <w:rPr>
          <w:lang w:val="en-US"/>
        </w:rPr>
        <w:t xml:space="preserve">, February 2018) p. 8-9, available at: https://www.article19.org/wp-content/uploads/2018/02/LGBTQ-Apps-Arrest-and-Abuse-report_22.2.18.pdf; </w:t>
      </w:r>
      <w:proofErr w:type="spellStart"/>
      <w:r w:rsidRPr="00D46BFB">
        <w:rPr>
          <w:lang w:val="en-US"/>
        </w:rPr>
        <w:t>Rasha</w:t>
      </w:r>
      <w:proofErr w:type="spellEnd"/>
      <w:r>
        <w:rPr>
          <w:lang w:val="en-US"/>
        </w:rPr>
        <w:t xml:space="preserve"> </w:t>
      </w:r>
      <w:r w:rsidRPr="00D46BFB">
        <w:rPr>
          <w:lang w:val="en-US"/>
        </w:rPr>
        <w:t>Younes ‘"Clean the Streets of Faggots”: Digital Targeting of LGBT People by Middle East/North Africa Governments’ (</w:t>
      </w:r>
      <w:r w:rsidRPr="00D46BFB">
        <w:rPr>
          <w:i/>
          <w:lang w:val="en-US"/>
        </w:rPr>
        <w:t xml:space="preserve">Human Rights Watch, </w:t>
      </w:r>
      <w:r w:rsidRPr="00D46BFB">
        <w:rPr>
          <w:lang w:val="en-US"/>
        </w:rPr>
        <w:t>4 August 2021) a</w:t>
      </w:r>
      <w:r w:rsidR="00A50737">
        <w:rPr>
          <w:lang w:val="en-US"/>
        </w:rPr>
        <w:t>v</w:t>
      </w:r>
      <w:r w:rsidRPr="00D46BFB">
        <w:rPr>
          <w:lang w:val="en-US"/>
        </w:rPr>
        <w:t xml:space="preserve">ailable at: </w:t>
      </w:r>
      <w:hyperlink r:id="rId23">
        <w:r w:rsidRPr="00D46BFB">
          <w:rPr>
            <w:lang w:val="en-US"/>
          </w:rPr>
          <w:t>https://www.hrw.org/news/2021/08/04/clean-streets-faggots</w:t>
        </w:r>
      </w:hyperlink>
      <w:r w:rsidRPr="00D46BFB">
        <w:rPr>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F0" w14:textId="77777777" w:rsidR="000E2B9A" w:rsidRDefault="000E2B9A">
    <w:pPr>
      <w:pBdr>
        <w:top w:val="nil"/>
        <w:left w:val="nil"/>
        <w:bottom w:val="nil"/>
        <w:right w:val="nil"/>
        <w:between w:val="nil"/>
      </w:pBdr>
      <w:tabs>
        <w:tab w:val="center" w:pos="4320"/>
        <w:tab w:val="right" w:pos="8640"/>
      </w:tabs>
      <w:spacing w:line="276" w:lineRule="auto"/>
      <w:jc w:val="left"/>
      <w:rPr>
        <w:rFonts w:ascii="Arial" w:eastAsia="Arial" w:hAnsi="Arial" w:cs="Arial"/>
        <w:color w:val="000000"/>
      </w:rPr>
    </w:pPr>
  </w:p>
  <w:p w14:paraId="000000F1" w14:textId="77777777" w:rsidR="000E2B9A" w:rsidRDefault="000E2B9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15321"/>
    <w:multiLevelType w:val="multilevel"/>
    <w:tmpl w:val="BD2267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36C57BC"/>
    <w:multiLevelType w:val="multilevel"/>
    <w:tmpl w:val="1FD488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48D16FA"/>
    <w:multiLevelType w:val="hybridMultilevel"/>
    <w:tmpl w:val="81EE0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441AD6"/>
    <w:multiLevelType w:val="hybridMultilevel"/>
    <w:tmpl w:val="61D211D6"/>
    <w:lvl w:ilvl="0" w:tplc="F9C0D0D4">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055837"/>
    <w:multiLevelType w:val="multilevel"/>
    <w:tmpl w:val="09E63F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5C06AC5"/>
    <w:multiLevelType w:val="hybridMultilevel"/>
    <w:tmpl w:val="B1D6C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5724C8"/>
    <w:multiLevelType w:val="multilevel"/>
    <w:tmpl w:val="A9F83A54"/>
    <w:lvl w:ilvl="0">
      <w:start w:val="1"/>
      <w:numFmt w:val="bullet"/>
      <w:lvlText w:val="●"/>
      <w:lvlJc w:val="left"/>
      <w:pPr>
        <w:ind w:left="567" w:hanging="283"/>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BDE3750"/>
    <w:multiLevelType w:val="multilevel"/>
    <w:tmpl w:val="7868C520"/>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685C59CE"/>
    <w:multiLevelType w:val="hybridMultilevel"/>
    <w:tmpl w:val="7ADE189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C803F84"/>
    <w:multiLevelType w:val="multilevel"/>
    <w:tmpl w:val="F198FFF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761E24E6"/>
    <w:multiLevelType w:val="multilevel"/>
    <w:tmpl w:val="8E0CE54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6"/>
  </w:num>
  <w:num w:numId="2">
    <w:abstractNumId w:val="0"/>
  </w:num>
  <w:num w:numId="3">
    <w:abstractNumId w:val="4"/>
  </w:num>
  <w:num w:numId="4">
    <w:abstractNumId w:val="3"/>
  </w:num>
  <w:num w:numId="5">
    <w:abstractNumId w:val="2"/>
  </w:num>
  <w:num w:numId="6">
    <w:abstractNumId w:val="1"/>
  </w:num>
  <w:num w:numId="7">
    <w:abstractNumId w:val="10"/>
  </w:num>
  <w:num w:numId="8">
    <w:abstractNumId w:val="9"/>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B19"/>
    <w:rsid w:val="0000290B"/>
    <w:rsid w:val="0000612A"/>
    <w:rsid w:val="000B1037"/>
    <w:rsid w:val="000E2B9A"/>
    <w:rsid w:val="000F1545"/>
    <w:rsid w:val="00104DB4"/>
    <w:rsid w:val="00111FFA"/>
    <w:rsid w:val="0015533E"/>
    <w:rsid w:val="001B590D"/>
    <w:rsid w:val="00221661"/>
    <w:rsid w:val="00253D90"/>
    <w:rsid w:val="002722E2"/>
    <w:rsid w:val="00272C4B"/>
    <w:rsid w:val="002B1000"/>
    <w:rsid w:val="002D3AC6"/>
    <w:rsid w:val="002E45F2"/>
    <w:rsid w:val="002E4741"/>
    <w:rsid w:val="00340DBC"/>
    <w:rsid w:val="003945BA"/>
    <w:rsid w:val="003D3829"/>
    <w:rsid w:val="0041610C"/>
    <w:rsid w:val="00442E00"/>
    <w:rsid w:val="0045495E"/>
    <w:rsid w:val="00470175"/>
    <w:rsid w:val="0049799D"/>
    <w:rsid w:val="004A26F9"/>
    <w:rsid w:val="004A468B"/>
    <w:rsid w:val="005225D1"/>
    <w:rsid w:val="00531D82"/>
    <w:rsid w:val="00540186"/>
    <w:rsid w:val="005844B6"/>
    <w:rsid w:val="005A0B3D"/>
    <w:rsid w:val="005C64AB"/>
    <w:rsid w:val="005E2F06"/>
    <w:rsid w:val="005E47C5"/>
    <w:rsid w:val="006018EB"/>
    <w:rsid w:val="00616390"/>
    <w:rsid w:val="00651E68"/>
    <w:rsid w:val="006870AE"/>
    <w:rsid w:val="006C2028"/>
    <w:rsid w:val="006C71AC"/>
    <w:rsid w:val="006C794D"/>
    <w:rsid w:val="00793CAA"/>
    <w:rsid w:val="007A7B8F"/>
    <w:rsid w:val="007E3C76"/>
    <w:rsid w:val="008066F7"/>
    <w:rsid w:val="00812DCF"/>
    <w:rsid w:val="00861136"/>
    <w:rsid w:val="0086558A"/>
    <w:rsid w:val="0086615D"/>
    <w:rsid w:val="00871A9C"/>
    <w:rsid w:val="00886557"/>
    <w:rsid w:val="008B2F6A"/>
    <w:rsid w:val="00913960"/>
    <w:rsid w:val="00942D82"/>
    <w:rsid w:val="00943749"/>
    <w:rsid w:val="00963801"/>
    <w:rsid w:val="0098130F"/>
    <w:rsid w:val="009A1647"/>
    <w:rsid w:val="009B3A0A"/>
    <w:rsid w:val="009D233A"/>
    <w:rsid w:val="009D2A4C"/>
    <w:rsid w:val="00A50737"/>
    <w:rsid w:val="00A604A8"/>
    <w:rsid w:val="00A61968"/>
    <w:rsid w:val="00A67206"/>
    <w:rsid w:val="00AA0C1A"/>
    <w:rsid w:val="00AB75EB"/>
    <w:rsid w:val="00AC129F"/>
    <w:rsid w:val="00AD676C"/>
    <w:rsid w:val="00AD7009"/>
    <w:rsid w:val="00AF1C5E"/>
    <w:rsid w:val="00B00EDA"/>
    <w:rsid w:val="00B37190"/>
    <w:rsid w:val="00B50D8C"/>
    <w:rsid w:val="00B8779D"/>
    <w:rsid w:val="00BA072D"/>
    <w:rsid w:val="00BE328F"/>
    <w:rsid w:val="00C067E7"/>
    <w:rsid w:val="00C6178F"/>
    <w:rsid w:val="00C64657"/>
    <w:rsid w:val="00C76D86"/>
    <w:rsid w:val="00CB7A22"/>
    <w:rsid w:val="00CD3399"/>
    <w:rsid w:val="00CF6AEA"/>
    <w:rsid w:val="00D04FD8"/>
    <w:rsid w:val="00D47D29"/>
    <w:rsid w:val="00D81F79"/>
    <w:rsid w:val="00DC2C67"/>
    <w:rsid w:val="00DC4B4D"/>
    <w:rsid w:val="00DE6119"/>
    <w:rsid w:val="00E01E6F"/>
    <w:rsid w:val="00E35299"/>
    <w:rsid w:val="00E37E5C"/>
    <w:rsid w:val="00E44C7C"/>
    <w:rsid w:val="00E520A2"/>
    <w:rsid w:val="00E82C93"/>
    <w:rsid w:val="00E837D8"/>
    <w:rsid w:val="00E84B68"/>
    <w:rsid w:val="00EA5DD2"/>
    <w:rsid w:val="00EB7C75"/>
    <w:rsid w:val="00EE023B"/>
    <w:rsid w:val="00EE57B3"/>
    <w:rsid w:val="00EF1DD3"/>
    <w:rsid w:val="00F1611E"/>
    <w:rsid w:val="00F23F23"/>
    <w:rsid w:val="00F855B9"/>
    <w:rsid w:val="00FC2DBE"/>
    <w:rsid w:val="00FC400B"/>
    <w:rsid w:val="00FC5211"/>
    <w:rsid w:val="00FC7381"/>
    <w:rsid w:val="00FE0640"/>
    <w:rsid w:val="00FE0AE9"/>
    <w:rsid w:val="00FF0B19"/>
    <w:rsid w:val="00FF4C9E"/>
    <w:rsid w:val="00FF706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294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re Franklin" w:eastAsia="Libre Franklin" w:hAnsi="Libre Franklin" w:cs="Libre Franklin"/>
        <w:sz w:val="22"/>
        <w:szCs w:val="22"/>
        <w:lang w:val="en-GB" w:eastAsia="en-US"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61F8"/>
    <w:rPr>
      <w:rFonts w:ascii="Franklin Gothic Book" w:hAnsi="Franklin Gothic Book"/>
    </w:rPr>
  </w:style>
  <w:style w:type="paragraph" w:styleId="Heading1">
    <w:name w:val="heading 1"/>
    <w:basedOn w:val="Normal1"/>
    <w:next w:val="Normal1"/>
    <w:uiPriority w:val="9"/>
    <w:qFormat/>
    <w:rsid w:val="00FE0AE9"/>
    <w:pPr>
      <w:keepNext/>
      <w:keepLines/>
      <w:pBdr>
        <w:top w:val="nil"/>
        <w:left w:val="nil"/>
        <w:bottom w:val="nil"/>
        <w:right w:val="nil"/>
        <w:between w:val="nil"/>
      </w:pBdr>
      <w:tabs>
        <w:tab w:val="left" w:pos="426"/>
      </w:tabs>
      <w:spacing w:after="280" w:line="240" w:lineRule="auto"/>
      <w:ind w:left="567" w:hanging="567"/>
      <w:outlineLvl w:val="0"/>
    </w:pPr>
    <w:rPr>
      <w:rFonts w:ascii="Franklin Gothic Demi" w:hAnsi="Franklin Gothic Demi"/>
      <w:b/>
      <w:color w:val="17365D" w:themeColor="text2" w:themeShade="BF"/>
      <w:sz w:val="36"/>
      <w:szCs w:val="40"/>
    </w:rPr>
  </w:style>
  <w:style w:type="paragraph" w:styleId="Heading2">
    <w:name w:val="heading 2"/>
    <w:basedOn w:val="Normal1"/>
    <w:next w:val="Normal1"/>
    <w:uiPriority w:val="9"/>
    <w:unhideWhenUsed/>
    <w:qFormat/>
    <w:rsid w:val="00792478"/>
    <w:pPr>
      <w:keepNext/>
      <w:keepLines/>
      <w:pBdr>
        <w:top w:val="nil"/>
        <w:left w:val="nil"/>
        <w:bottom w:val="nil"/>
        <w:right w:val="nil"/>
        <w:between w:val="nil"/>
      </w:pBdr>
      <w:tabs>
        <w:tab w:val="left" w:pos="426"/>
      </w:tabs>
      <w:spacing w:after="120" w:line="240" w:lineRule="auto"/>
      <w:ind w:left="426" w:hanging="426"/>
      <w:outlineLvl w:val="1"/>
    </w:pPr>
    <w:rPr>
      <w:rFonts w:ascii="Franklin Gothic Medium" w:hAnsi="Franklin Gothic Medium"/>
      <w:color w:val="17365D" w:themeColor="text2" w:themeShade="BF"/>
      <w:sz w:val="28"/>
      <w:szCs w:val="28"/>
    </w:rPr>
  </w:style>
  <w:style w:type="paragraph" w:styleId="Heading3">
    <w:name w:val="heading 3"/>
    <w:basedOn w:val="Heading2"/>
    <w:next w:val="Normal1"/>
    <w:uiPriority w:val="9"/>
    <w:unhideWhenUsed/>
    <w:qFormat/>
    <w:rsid w:val="005E47C5"/>
    <w:pPr>
      <w:outlineLvl w:val="2"/>
    </w:pPr>
    <w:rPr>
      <w:iCs/>
      <w:sz w:val="24"/>
      <w:szCs w:val="24"/>
    </w:rPr>
  </w:style>
  <w:style w:type="paragraph" w:styleId="Heading4">
    <w:name w:val="heading 4"/>
    <w:basedOn w:val="Normal1"/>
    <w:next w:val="Normal1"/>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uiPriority w:val="9"/>
    <w:semiHidden/>
    <w:unhideWhenUsed/>
    <w:qFormat/>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pPr>
      <w:keepNext/>
      <w:keepLines/>
      <w:pBdr>
        <w:top w:val="nil"/>
        <w:left w:val="nil"/>
        <w:bottom w:val="nil"/>
        <w:right w:val="nil"/>
        <w:between w:val="nil"/>
      </w:pBdr>
      <w:spacing w:after="60"/>
    </w:pPr>
    <w:rPr>
      <w:color w:val="000000"/>
      <w:sz w:val="52"/>
      <w:szCs w:val="52"/>
    </w:rPr>
  </w:style>
  <w:style w:type="paragraph" w:customStyle="1" w:styleId="Normal1">
    <w:name w:val="Normal1"/>
  </w:style>
  <w:style w:type="paragraph" w:styleId="Subtitle">
    <w:name w:val="Subtitle"/>
    <w:basedOn w:val="Normal"/>
    <w:next w:val="Normal"/>
    <w:uiPriority w:val="11"/>
    <w:qFormat/>
    <w:pPr>
      <w:keepNext/>
      <w:keepLines/>
      <w:pBdr>
        <w:top w:val="nil"/>
        <w:left w:val="nil"/>
        <w:bottom w:val="nil"/>
        <w:right w:val="nil"/>
        <w:between w:val="nil"/>
      </w:pBdr>
      <w:spacing w:after="320" w:line="276" w:lineRule="auto"/>
      <w:jc w:val="left"/>
    </w:pPr>
    <w:rPr>
      <w:rFonts w:ascii="Arial" w:eastAsia="Arial" w:hAnsi="Arial" w:cs="Arial"/>
      <w:color w:val="666666"/>
      <w:sz w:val="30"/>
      <w:szCs w:val="30"/>
    </w:rPr>
  </w:style>
  <w:style w:type="character" w:styleId="CommentReference">
    <w:name w:val="annotation reference"/>
    <w:basedOn w:val="DefaultParagraphFont"/>
    <w:uiPriority w:val="99"/>
    <w:semiHidden/>
    <w:unhideWhenUsed/>
    <w:rsid w:val="000F45FC"/>
    <w:rPr>
      <w:sz w:val="18"/>
      <w:szCs w:val="18"/>
    </w:rPr>
  </w:style>
  <w:style w:type="paragraph" w:styleId="CommentText">
    <w:name w:val="annotation text"/>
    <w:basedOn w:val="Normal"/>
    <w:link w:val="CommentTextChar"/>
    <w:uiPriority w:val="99"/>
    <w:semiHidden/>
    <w:unhideWhenUsed/>
    <w:rsid w:val="000F45FC"/>
    <w:pPr>
      <w:spacing w:line="240" w:lineRule="auto"/>
    </w:pPr>
    <w:rPr>
      <w:sz w:val="24"/>
      <w:szCs w:val="24"/>
    </w:rPr>
  </w:style>
  <w:style w:type="character" w:customStyle="1" w:styleId="CommentTextChar">
    <w:name w:val="Comment Text Char"/>
    <w:basedOn w:val="DefaultParagraphFont"/>
    <w:link w:val="CommentText"/>
    <w:uiPriority w:val="99"/>
    <w:semiHidden/>
    <w:rsid w:val="000F45FC"/>
    <w:rPr>
      <w:sz w:val="24"/>
      <w:szCs w:val="24"/>
    </w:rPr>
  </w:style>
  <w:style w:type="paragraph" w:styleId="CommentSubject">
    <w:name w:val="annotation subject"/>
    <w:basedOn w:val="CommentText"/>
    <w:next w:val="CommentText"/>
    <w:link w:val="CommentSubjectChar"/>
    <w:uiPriority w:val="99"/>
    <w:semiHidden/>
    <w:unhideWhenUsed/>
    <w:rsid w:val="000F45FC"/>
    <w:rPr>
      <w:b/>
      <w:bCs/>
      <w:sz w:val="20"/>
      <w:szCs w:val="20"/>
    </w:rPr>
  </w:style>
  <w:style w:type="character" w:customStyle="1" w:styleId="CommentSubjectChar">
    <w:name w:val="Comment Subject Char"/>
    <w:basedOn w:val="CommentTextChar"/>
    <w:link w:val="CommentSubject"/>
    <w:uiPriority w:val="99"/>
    <w:semiHidden/>
    <w:rsid w:val="000F45FC"/>
    <w:rPr>
      <w:b/>
      <w:bCs/>
      <w:sz w:val="20"/>
      <w:szCs w:val="20"/>
    </w:rPr>
  </w:style>
  <w:style w:type="paragraph" w:styleId="BalloonText">
    <w:name w:val="Balloon Text"/>
    <w:basedOn w:val="Normal"/>
    <w:link w:val="BalloonTextChar"/>
    <w:uiPriority w:val="99"/>
    <w:semiHidden/>
    <w:unhideWhenUsed/>
    <w:rsid w:val="000F45F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45FC"/>
    <w:rPr>
      <w:rFonts w:ascii="Lucida Grande" w:hAnsi="Lucida Grande" w:cs="Lucida Grande"/>
      <w:sz w:val="18"/>
      <w:szCs w:val="18"/>
    </w:rPr>
  </w:style>
  <w:style w:type="character" w:styleId="Hyperlink">
    <w:name w:val="Hyperlink"/>
    <w:basedOn w:val="DefaultParagraphFont"/>
    <w:uiPriority w:val="99"/>
    <w:unhideWhenUsed/>
    <w:rsid w:val="00287914"/>
    <w:rPr>
      <w:color w:val="7F7F7F" w:themeColor="text1" w:themeTint="80"/>
      <w:u w:val="single"/>
    </w:rPr>
  </w:style>
  <w:style w:type="character" w:customStyle="1" w:styleId="UnresolvedMention1">
    <w:name w:val="Unresolved Mention1"/>
    <w:basedOn w:val="DefaultParagraphFont"/>
    <w:uiPriority w:val="99"/>
    <w:semiHidden/>
    <w:unhideWhenUsed/>
    <w:rsid w:val="00295099"/>
    <w:rPr>
      <w:color w:val="605E5C"/>
      <w:shd w:val="clear" w:color="auto" w:fill="E1DFDD"/>
    </w:rPr>
  </w:style>
  <w:style w:type="paragraph" w:styleId="FootnoteText">
    <w:name w:val="footnote text"/>
    <w:basedOn w:val="Normal"/>
    <w:link w:val="FootnoteTextChar"/>
    <w:uiPriority w:val="99"/>
    <w:unhideWhenUsed/>
    <w:rsid w:val="008B2F6A"/>
    <w:pPr>
      <w:keepLines/>
      <w:widowControl w:val="0"/>
      <w:spacing w:line="240" w:lineRule="auto"/>
      <w:jc w:val="left"/>
    </w:pPr>
    <w:rPr>
      <w:color w:val="595959" w:themeColor="text1" w:themeTint="A6"/>
      <w:sz w:val="20"/>
      <w:szCs w:val="24"/>
    </w:rPr>
  </w:style>
  <w:style w:type="character" w:customStyle="1" w:styleId="FootnoteTextChar">
    <w:name w:val="Footnote Text Char"/>
    <w:basedOn w:val="DefaultParagraphFont"/>
    <w:link w:val="FootnoteText"/>
    <w:uiPriority w:val="99"/>
    <w:rsid w:val="008B2F6A"/>
    <w:rPr>
      <w:rFonts w:ascii="Franklin Gothic Book" w:hAnsi="Franklin Gothic Book"/>
      <w:color w:val="595959" w:themeColor="text1" w:themeTint="A6"/>
      <w:sz w:val="20"/>
      <w:szCs w:val="24"/>
    </w:rPr>
  </w:style>
  <w:style w:type="character" w:styleId="FootnoteReference">
    <w:name w:val="footnote reference"/>
    <w:aliases w:val="4_G,ftref,Footnote Reference1,Char Char,Footnote Reference1 Char,ftref Char,Char Char Char,Footnote Text Char2 Char,Footnote Text Char1 Char Char,Footnote Text Char Char Char Char,single space Char1 Char,ft Char1 Char,fr"/>
    <w:basedOn w:val="DefaultParagraphFont"/>
    <w:uiPriority w:val="99"/>
    <w:unhideWhenUsed/>
    <w:qFormat/>
    <w:rsid w:val="00E307A0"/>
    <w:rPr>
      <w:vertAlign w:val="superscript"/>
    </w:rPr>
  </w:style>
  <w:style w:type="paragraph" w:styleId="ListParagraph">
    <w:name w:val="List Paragraph"/>
    <w:basedOn w:val="Normal"/>
    <w:uiPriority w:val="34"/>
    <w:qFormat/>
    <w:rsid w:val="006063F7"/>
    <w:pPr>
      <w:ind w:left="720"/>
    </w:pPr>
  </w:style>
  <w:style w:type="paragraph" w:styleId="TOC1">
    <w:name w:val="toc 1"/>
    <w:next w:val="Normal"/>
    <w:autoRedefine/>
    <w:uiPriority w:val="39"/>
    <w:unhideWhenUsed/>
    <w:rsid w:val="002A5410"/>
    <w:pPr>
      <w:tabs>
        <w:tab w:val="left" w:pos="567"/>
        <w:tab w:val="right" w:leader="dot" w:pos="9350"/>
      </w:tabs>
      <w:spacing w:after="100"/>
    </w:pPr>
    <w:rPr>
      <w:rFonts w:ascii="Franklin Gothic Book" w:hAnsi="Franklin Gothic Book"/>
    </w:rPr>
  </w:style>
  <w:style w:type="paragraph" w:styleId="TOC2">
    <w:name w:val="toc 2"/>
    <w:basedOn w:val="Normal"/>
    <w:next w:val="Normal"/>
    <w:autoRedefine/>
    <w:uiPriority w:val="39"/>
    <w:unhideWhenUsed/>
    <w:rsid w:val="00BF6E4E"/>
    <w:pPr>
      <w:spacing w:after="100"/>
      <w:ind w:left="220"/>
    </w:pPr>
  </w:style>
  <w:style w:type="paragraph" w:styleId="TOC3">
    <w:name w:val="toc 3"/>
    <w:basedOn w:val="Normal"/>
    <w:next w:val="Normal"/>
    <w:autoRedefine/>
    <w:uiPriority w:val="39"/>
    <w:unhideWhenUsed/>
    <w:rsid w:val="00BF6E4E"/>
    <w:pPr>
      <w:spacing w:after="100"/>
      <w:ind w:left="440"/>
    </w:pPr>
  </w:style>
  <w:style w:type="character" w:styleId="FollowedHyperlink">
    <w:name w:val="FollowedHyperlink"/>
    <w:basedOn w:val="DefaultParagraphFont"/>
    <w:uiPriority w:val="99"/>
    <w:semiHidden/>
    <w:unhideWhenUsed/>
    <w:rsid w:val="00952EA0"/>
    <w:rPr>
      <w:color w:val="800080" w:themeColor="followedHyperlink"/>
      <w:u w:val="single"/>
    </w:rPr>
  </w:style>
  <w:style w:type="paragraph" w:styleId="Header">
    <w:name w:val="header"/>
    <w:basedOn w:val="Normal"/>
    <w:link w:val="HeaderChar"/>
    <w:uiPriority w:val="99"/>
    <w:unhideWhenUsed/>
    <w:rsid w:val="00FE2A93"/>
    <w:pPr>
      <w:tabs>
        <w:tab w:val="center" w:pos="4680"/>
        <w:tab w:val="right" w:pos="9360"/>
      </w:tabs>
      <w:spacing w:line="240" w:lineRule="auto"/>
    </w:pPr>
  </w:style>
  <w:style w:type="character" w:customStyle="1" w:styleId="HeaderChar">
    <w:name w:val="Header Char"/>
    <w:basedOn w:val="DefaultParagraphFont"/>
    <w:link w:val="Header"/>
    <w:uiPriority w:val="99"/>
    <w:rsid w:val="00FE2A93"/>
    <w:rPr>
      <w:rFonts w:ascii="Franklin Gothic Book" w:hAnsi="Franklin Gothic Book"/>
    </w:rPr>
  </w:style>
  <w:style w:type="paragraph" w:styleId="Footer">
    <w:name w:val="footer"/>
    <w:basedOn w:val="Normal"/>
    <w:link w:val="FooterChar"/>
    <w:uiPriority w:val="99"/>
    <w:unhideWhenUsed/>
    <w:rsid w:val="00FE2A93"/>
    <w:pPr>
      <w:tabs>
        <w:tab w:val="center" w:pos="4680"/>
        <w:tab w:val="right" w:pos="9360"/>
      </w:tabs>
      <w:spacing w:line="240" w:lineRule="auto"/>
    </w:pPr>
  </w:style>
  <w:style w:type="character" w:customStyle="1" w:styleId="FooterChar">
    <w:name w:val="Footer Char"/>
    <w:basedOn w:val="DefaultParagraphFont"/>
    <w:link w:val="Footer"/>
    <w:uiPriority w:val="99"/>
    <w:rsid w:val="00FE2A93"/>
    <w:rPr>
      <w:rFonts w:ascii="Franklin Gothic Book" w:hAnsi="Franklin Gothic Book"/>
    </w:rPr>
  </w:style>
  <w:style w:type="character" w:styleId="UnresolvedMention">
    <w:name w:val="Unresolved Mention"/>
    <w:basedOn w:val="DefaultParagraphFont"/>
    <w:uiPriority w:val="99"/>
    <w:semiHidden/>
    <w:unhideWhenUsed/>
    <w:rsid w:val="00773397"/>
    <w:rPr>
      <w:color w:val="605E5C"/>
      <w:shd w:val="clear" w:color="auto" w:fill="E1DFDD"/>
    </w:rPr>
  </w:style>
  <w:style w:type="character" w:styleId="PageNumber">
    <w:name w:val="page number"/>
    <w:basedOn w:val="DefaultParagraphFont"/>
    <w:uiPriority w:val="99"/>
    <w:semiHidden/>
    <w:unhideWhenUsed/>
    <w:rsid w:val="006734C2"/>
  </w:style>
  <w:style w:type="paragraph" w:customStyle="1" w:styleId="SubParagraphs">
    <w:name w:val="SubParagraphs"/>
    <w:basedOn w:val="Normal"/>
    <w:qFormat/>
    <w:rsid w:val="00682E25"/>
    <w:rPr>
      <w:rFonts w:ascii="Franklin Gothic Medium" w:hAnsi="Franklin Gothic Medium"/>
      <w:color w:val="1F497D" w:themeColor="text2"/>
      <w:sz w:val="24"/>
      <w:szCs w:val="24"/>
    </w:rPr>
  </w:style>
  <w:style w:type="table" w:styleId="TableGrid">
    <w:name w:val="Table Grid"/>
    <w:basedOn w:val="TableNormal"/>
    <w:uiPriority w:val="59"/>
    <w:rsid w:val="00F3278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rsid w:val="0082646A"/>
    <w:pPr>
      <w:suppressAutoHyphens/>
      <w:spacing w:after="120" w:line="240" w:lineRule="atLeast"/>
      <w:ind w:left="1134" w:right="1134"/>
    </w:pPr>
    <w:rPr>
      <w:rFonts w:ascii="Times New Roman" w:eastAsia="Times New Roman" w:hAnsi="Times New Roman" w:cs="Times New Roman"/>
      <w:sz w:val="20"/>
      <w:szCs w:val="20"/>
    </w:rPr>
  </w:style>
  <w:style w:type="paragraph" w:customStyle="1" w:styleId="H23G">
    <w:name w:val="_ H_2/3_G"/>
    <w:basedOn w:val="Normal"/>
    <w:next w:val="Normal"/>
    <w:rsid w:val="0082646A"/>
    <w:pPr>
      <w:keepNext/>
      <w:keepLines/>
      <w:tabs>
        <w:tab w:val="right" w:pos="851"/>
      </w:tabs>
      <w:suppressAutoHyphens/>
      <w:spacing w:before="240" w:after="120" w:line="240" w:lineRule="exact"/>
      <w:ind w:left="1134" w:right="1134" w:hanging="1134"/>
      <w:jc w:val="left"/>
    </w:pPr>
    <w:rPr>
      <w:rFonts w:ascii="Times New Roman" w:eastAsia="Times New Roman" w:hAnsi="Times New Roman" w:cs="Times New Roman"/>
      <w:b/>
      <w:sz w:val="20"/>
      <w:szCs w:val="20"/>
    </w:rPr>
  </w:style>
  <w:style w:type="paragraph" w:styleId="Revision">
    <w:name w:val="Revision"/>
    <w:hidden/>
    <w:uiPriority w:val="99"/>
    <w:semiHidden/>
    <w:rsid w:val="00437423"/>
    <w:pPr>
      <w:spacing w:line="240" w:lineRule="auto"/>
    </w:pPr>
    <w:rPr>
      <w:rFonts w:ascii="Franklin Gothic Book" w:hAnsi="Franklin Gothic Book"/>
    </w:rPr>
  </w:style>
  <w:style w:type="paragraph" w:styleId="NormalWeb">
    <w:name w:val="Normal (Web)"/>
    <w:basedOn w:val="Normal"/>
    <w:uiPriority w:val="99"/>
    <w:semiHidden/>
    <w:unhideWhenUsed/>
    <w:rsid w:val="006A41FA"/>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5C64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51851">
      <w:bodyDiv w:val="1"/>
      <w:marLeft w:val="0"/>
      <w:marRight w:val="0"/>
      <w:marTop w:val="0"/>
      <w:marBottom w:val="0"/>
      <w:divBdr>
        <w:top w:val="none" w:sz="0" w:space="0" w:color="auto"/>
        <w:left w:val="none" w:sz="0" w:space="0" w:color="auto"/>
        <w:bottom w:val="none" w:sz="0" w:space="0" w:color="auto"/>
        <w:right w:val="none" w:sz="0" w:space="0" w:color="auto"/>
      </w:divBdr>
    </w:div>
    <w:div w:id="128057899">
      <w:bodyDiv w:val="1"/>
      <w:marLeft w:val="0"/>
      <w:marRight w:val="0"/>
      <w:marTop w:val="0"/>
      <w:marBottom w:val="0"/>
      <w:divBdr>
        <w:top w:val="none" w:sz="0" w:space="0" w:color="auto"/>
        <w:left w:val="none" w:sz="0" w:space="0" w:color="auto"/>
        <w:bottom w:val="none" w:sz="0" w:space="0" w:color="auto"/>
        <w:right w:val="none" w:sz="0" w:space="0" w:color="auto"/>
      </w:divBdr>
      <w:divsChild>
        <w:div w:id="251545412">
          <w:marLeft w:val="0"/>
          <w:marRight w:val="0"/>
          <w:marTop w:val="0"/>
          <w:marBottom w:val="0"/>
          <w:divBdr>
            <w:top w:val="none" w:sz="0" w:space="0" w:color="auto"/>
            <w:left w:val="none" w:sz="0" w:space="0" w:color="auto"/>
            <w:bottom w:val="none" w:sz="0" w:space="0" w:color="auto"/>
            <w:right w:val="none" w:sz="0" w:space="0" w:color="auto"/>
          </w:divBdr>
          <w:divsChild>
            <w:div w:id="629475592">
              <w:marLeft w:val="0"/>
              <w:marRight w:val="0"/>
              <w:marTop w:val="0"/>
              <w:marBottom w:val="0"/>
              <w:divBdr>
                <w:top w:val="none" w:sz="0" w:space="0" w:color="auto"/>
                <w:left w:val="none" w:sz="0" w:space="0" w:color="auto"/>
                <w:bottom w:val="none" w:sz="0" w:space="0" w:color="auto"/>
                <w:right w:val="none" w:sz="0" w:space="0" w:color="auto"/>
              </w:divBdr>
              <w:divsChild>
                <w:div w:id="317270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35521">
      <w:bodyDiv w:val="1"/>
      <w:marLeft w:val="0"/>
      <w:marRight w:val="0"/>
      <w:marTop w:val="0"/>
      <w:marBottom w:val="0"/>
      <w:divBdr>
        <w:top w:val="none" w:sz="0" w:space="0" w:color="auto"/>
        <w:left w:val="none" w:sz="0" w:space="0" w:color="auto"/>
        <w:bottom w:val="none" w:sz="0" w:space="0" w:color="auto"/>
        <w:right w:val="none" w:sz="0" w:space="0" w:color="auto"/>
      </w:divBdr>
      <w:divsChild>
        <w:div w:id="629166833">
          <w:marLeft w:val="0"/>
          <w:marRight w:val="0"/>
          <w:marTop w:val="0"/>
          <w:marBottom w:val="0"/>
          <w:divBdr>
            <w:top w:val="none" w:sz="0" w:space="0" w:color="auto"/>
            <w:left w:val="none" w:sz="0" w:space="0" w:color="auto"/>
            <w:bottom w:val="none" w:sz="0" w:space="0" w:color="auto"/>
            <w:right w:val="none" w:sz="0" w:space="0" w:color="auto"/>
          </w:divBdr>
          <w:divsChild>
            <w:div w:id="2048682399">
              <w:marLeft w:val="0"/>
              <w:marRight w:val="0"/>
              <w:marTop w:val="0"/>
              <w:marBottom w:val="0"/>
              <w:divBdr>
                <w:top w:val="none" w:sz="0" w:space="0" w:color="auto"/>
                <w:left w:val="none" w:sz="0" w:space="0" w:color="auto"/>
                <w:bottom w:val="none" w:sz="0" w:space="0" w:color="auto"/>
                <w:right w:val="none" w:sz="0" w:space="0" w:color="auto"/>
              </w:divBdr>
              <w:divsChild>
                <w:div w:id="14589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67790">
      <w:bodyDiv w:val="1"/>
      <w:marLeft w:val="0"/>
      <w:marRight w:val="0"/>
      <w:marTop w:val="0"/>
      <w:marBottom w:val="0"/>
      <w:divBdr>
        <w:top w:val="none" w:sz="0" w:space="0" w:color="auto"/>
        <w:left w:val="none" w:sz="0" w:space="0" w:color="auto"/>
        <w:bottom w:val="none" w:sz="0" w:space="0" w:color="auto"/>
        <w:right w:val="none" w:sz="0" w:space="0" w:color="auto"/>
      </w:divBdr>
      <w:divsChild>
        <w:div w:id="180555233">
          <w:marLeft w:val="0"/>
          <w:marRight w:val="0"/>
          <w:marTop w:val="0"/>
          <w:marBottom w:val="0"/>
          <w:divBdr>
            <w:top w:val="none" w:sz="0" w:space="0" w:color="auto"/>
            <w:left w:val="none" w:sz="0" w:space="0" w:color="auto"/>
            <w:bottom w:val="none" w:sz="0" w:space="0" w:color="auto"/>
            <w:right w:val="none" w:sz="0" w:space="0" w:color="auto"/>
          </w:divBdr>
          <w:divsChild>
            <w:div w:id="662322661">
              <w:marLeft w:val="0"/>
              <w:marRight w:val="0"/>
              <w:marTop w:val="0"/>
              <w:marBottom w:val="0"/>
              <w:divBdr>
                <w:top w:val="none" w:sz="0" w:space="0" w:color="auto"/>
                <w:left w:val="none" w:sz="0" w:space="0" w:color="auto"/>
                <w:bottom w:val="none" w:sz="0" w:space="0" w:color="auto"/>
                <w:right w:val="none" w:sz="0" w:space="0" w:color="auto"/>
              </w:divBdr>
              <w:divsChild>
                <w:div w:id="310211963">
                  <w:marLeft w:val="0"/>
                  <w:marRight w:val="0"/>
                  <w:marTop w:val="0"/>
                  <w:marBottom w:val="0"/>
                  <w:divBdr>
                    <w:top w:val="none" w:sz="0" w:space="0" w:color="auto"/>
                    <w:left w:val="none" w:sz="0" w:space="0" w:color="auto"/>
                    <w:bottom w:val="none" w:sz="0" w:space="0" w:color="auto"/>
                    <w:right w:val="none" w:sz="0" w:space="0" w:color="auto"/>
                  </w:divBdr>
                  <w:divsChild>
                    <w:div w:id="79672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9192077">
      <w:bodyDiv w:val="1"/>
      <w:marLeft w:val="0"/>
      <w:marRight w:val="0"/>
      <w:marTop w:val="0"/>
      <w:marBottom w:val="0"/>
      <w:divBdr>
        <w:top w:val="none" w:sz="0" w:space="0" w:color="auto"/>
        <w:left w:val="none" w:sz="0" w:space="0" w:color="auto"/>
        <w:bottom w:val="none" w:sz="0" w:space="0" w:color="auto"/>
        <w:right w:val="none" w:sz="0" w:space="0" w:color="auto"/>
      </w:divBdr>
      <w:divsChild>
        <w:div w:id="1359772287">
          <w:marLeft w:val="0"/>
          <w:marRight w:val="0"/>
          <w:marTop w:val="0"/>
          <w:marBottom w:val="0"/>
          <w:divBdr>
            <w:top w:val="none" w:sz="0" w:space="0" w:color="auto"/>
            <w:left w:val="none" w:sz="0" w:space="0" w:color="auto"/>
            <w:bottom w:val="none" w:sz="0" w:space="0" w:color="auto"/>
            <w:right w:val="none" w:sz="0" w:space="0" w:color="auto"/>
          </w:divBdr>
          <w:divsChild>
            <w:div w:id="1560357569">
              <w:marLeft w:val="0"/>
              <w:marRight w:val="0"/>
              <w:marTop w:val="0"/>
              <w:marBottom w:val="0"/>
              <w:divBdr>
                <w:top w:val="none" w:sz="0" w:space="0" w:color="auto"/>
                <w:left w:val="none" w:sz="0" w:space="0" w:color="auto"/>
                <w:bottom w:val="none" w:sz="0" w:space="0" w:color="auto"/>
                <w:right w:val="none" w:sz="0" w:space="0" w:color="auto"/>
              </w:divBdr>
              <w:divsChild>
                <w:div w:id="132763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616787">
      <w:bodyDiv w:val="1"/>
      <w:marLeft w:val="0"/>
      <w:marRight w:val="0"/>
      <w:marTop w:val="0"/>
      <w:marBottom w:val="0"/>
      <w:divBdr>
        <w:top w:val="none" w:sz="0" w:space="0" w:color="auto"/>
        <w:left w:val="none" w:sz="0" w:space="0" w:color="auto"/>
        <w:bottom w:val="none" w:sz="0" w:space="0" w:color="auto"/>
        <w:right w:val="none" w:sz="0" w:space="0" w:color="auto"/>
      </w:divBdr>
    </w:div>
    <w:div w:id="346369360">
      <w:bodyDiv w:val="1"/>
      <w:marLeft w:val="0"/>
      <w:marRight w:val="0"/>
      <w:marTop w:val="0"/>
      <w:marBottom w:val="0"/>
      <w:divBdr>
        <w:top w:val="none" w:sz="0" w:space="0" w:color="auto"/>
        <w:left w:val="none" w:sz="0" w:space="0" w:color="auto"/>
        <w:bottom w:val="none" w:sz="0" w:space="0" w:color="auto"/>
        <w:right w:val="none" w:sz="0" w:space="0" w:color="auto"/>
      </w:divBdr>
      <w:divsChild>
        <w:div w:id="2103866463">
          <w:marLeft w:val="0"/>
          <w:marRight w:val="0"/>
          <w:marTop w:val="0"/>
          <w:marBottom w:val="0"/>
          <w:divBdr>
            <w:top w:val="none" w:sz="0" w:space="0" w:color="auto"/>
            <w:left w:val="none" w:sz="0" w:space="0" w:color="auto"/>
            <w:bottom w:val="none" w:sz="0" w:space="0" w:color="auto"/>
            <w:right w:val="none" w:sz="0" w:space="0" w:color="auto"/>
          </w:divBdr>
          <w:divsChild>
            <w:div w:id="169957102">
              <w:marLeft w:val="0"/>
              <w:marRight w:val="0"/>
              <w:marTop w:val="0"/>
              <w:marBottom w:val="0"/>
              <w:divBdr>
                <w:top w:val="none" w:sz="0" w:space="0" w:color="auto"/>
                <w:left w:val="none" w:sz="0" w:space="0" w:color="auto"/>
                <w:bottom w:val="none" w:sz="0" w:space="0" w:color="auto"/>
                <w:right w:val="none" w:sz="0" w:space="0" w:color="auto"/>
              </w:divBdr>
              <w:divsChild>
                <w:div w:id="81063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142573">
      <w:bodyDiv w:val="1"/>
      <w:marLeft w:val="0"/>
      <w:marRight w:val="0"/>
      <w:marTop w:val="0"/>
      <w:marBottom w:val="0"/>
      <w:divBdr>
        <w:top w:val="none" w:sz="0" w:space="0" w:color="auto"/>
        <w:left w:val="none" w:sz="0" w:space="0" w:color="auto"/>
        <w:bottom w:val="none" w:sz="0" w:space="0" w:color="auto"/>
        <w:right w:val="none" w:sz="0" w:space="0" w:color="auto"/>
      </w:divBdr>
    </w:div>
    <w:div w:id="376204207">
      <w:bodyDiv w:val="1"/>
      <w:marLeft w:val="0"/>
      <w:marRight w:val="0"/>
      <w:marTop w:val="0"/>
      <w:marBottom w:val="0"/>
      <w:divBdr>
        <w:top w:val="none" w:sz="0" w:space="0" w:color="auto"/>
        <w:left w:val="none" w:sz="0" w:space="0" w:color="auto"/>
        <w:bottom w:val="none" w:sz="0" w:space="0" w:color="auto"/>
        <w:right w:val="none" w:sz="0" w:space="0" w:color="auto"/>
      </w:divBdr>
      <w:divsChild>
        <w:div w:id="1484156639">
          <w:marLeft w:val="0"/>
          <w:marRight w:val="0"/>
          <w:marTop w:val="0"/>
          <w:marBottom w:val="0"/>
          <w:divBdr>
            <w:top w:val="none" w:sz="0" w:space="0" w:color="auto"/>
            <w:left w:val="none" w:sz="0" w:space="0" w:color="auto"/>
            <w:bottom w:val="none" w:sz="0" w:space="0" w:color="auto"/>
            <w:right w:val="none" w:sz="0" w:space="0" w:color="auto"/>
          </w:divBdr>
          <w:divsChild>
            <w:div w:id="1112475821">
              <w:marLeft w:val="0"/>
              <w:marRight w:val="0"/>
              <w:marTop w:val="0"/>
              <w:marBottom w:val="0"/>
              <w:divBdr>
                <w:top w:val="none" w:sz="0" w:space="0" w:color="auto"/>
                <w:left w:val="none" w:sz="0" w:space="0" w:color="auto"/>
                <w:bottom w:val="none" w:sz="0" w:space="0" w:color="auto"/>
                <w:right w:val="none" w:sz="0" w:space="0" w:color="auto"/>
              </w:divBdr>
              <w:divsChild>
                <w:div w:id="51099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190766">
      <w:bodyDiv w:val="1"/>
      <w:marLeft w:val="0"/>
      <w:marRight w:val="0"/>
      <w:marTop w:val="0"/>
      <w:marBottom w:val="0"/>
      <w:divBdr>
        <w:top w:val="none" w:sz="0" w:space="0" w:color="auto"/>
        <w:left w:val="none" w:sz="0" w:space="0" w:color="auto"/>
        <w:bottom w:val="none" w:sz="0" w:space="0" w:color="auto"/>
        <w:right w:val="none" w:sz="0" w:space="0" w:color="auto"/>
      </w:divBdr>
    </w:div>
    <w:div w:id="908420014">
      <w:bodyDiv w:val="1"/>
      <w:marLeft w:val="0"/>
      <w:marRight w:val="0"/>
      <w:marTop w:val="0"/>
      <w:marBottom w:val="0"/>
      <w:divBdr>
        <w:top w:val="none" w:sz="0" w:space="0" w:color="auto"/>
        <w:left w:val="none" w:sz="0" w:space="0" w:color="auto"/>
        <w:bottom w:val="none" w:sz="0" w:space="0" w:color="auto"/>
        <w:right w:val="none" w:sz="0" w:space="0" w:color="auto"/>
      </w:divBdr>
      <w:divsChild>
        <w:div w:id="61678009">
          <w:marLeft w:val="0"/>
          <w:marRight w:val="0"/>
          <w:marTop w:val="0"/>
          <w:marBottom w:val="0"/>
          <w:divBdr>
            <w:top w:val="none" w:sz="0" w:space="0" w:color="auto"/>
            <w:left w:val="none" w:sz="0" w:space="0" w:color="auto"/>
            <w:bottom w:val="none" w:sz="0" w:space="0" w:color="auto"/>
            <w:right w:val="none" w:sz="0" w:space="0" w:color="auto"/>
          </w:divBdr>
          <w:divsChild>
            <w:div w:id="1536773793">
              <w:marLeft w:val="0"/>
              <w:marRight w:val="0"/>
              <w:marTop w:val="0"/>
              <w:marBottom w:val="0"/>
              <w:divBdr>
                <w:top w:val="none" w:sz="0" w:space="0" w:color="auto"/>
                <w:left w:val="none" w:sz="0" w:space="0" w:color="auto"/>
                <w:bottom w:val="none" w:sz="0" w:space="0" w:color="auto"/>
                <w:right w:val="none" w:sz="0" w:space="0" w:color="auto"/>
              </w:divBdr>
              <w:divsChild>
                <w:div w:id="212291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971347">
      <w:bodyDiv w:val="1"/>
      <w:marLeft w:val="0"/>
      <w:marRight w:val="0"/>
      <w:marTop w:val="0"/>
      <w:marBottom w:val="0"/>
      <w:divBdr>
        <w:top w:val="none" w:sz="0" w:space="0" w:color="auto"/>
        <w:left w:val="none" w:sz="0" w:space="0" w:color="auto"/>
        <w:bottom w:val="none" w:sz="0" w:space="0" w:color="auto"/>
        <w:right w:val="none" w:sz="0" w:space="0" w:color="auto"/>
      </w:divBdr>
      <w:divsChild>
        <w:div w:id="2056612689">
          <w:marLeft w:val="0"/>
          <w:marRight w:val="0"/>
          <w:marTop w:val="0"/>
          <w:marBottom w:val="0"/>
          <w:divBdr>
            <w:top w:val="none" w:sz="0" w:space="0" w:color="auto"/>
            <w:left w:val="none" w:sz="0" w:space="0" w:color="auto"/>
            <w:bottom w:val="none" w:sz="0" w:space="0" w:color="auto"/>
            <w:right w:val="none" w:sz="0" w:space="0" w:color="auto"/>
          </w:divBdr>
          <w:divsChild>
            <w:div w:id="2018654956">
              <w:marLeft w:val="0"/>
              <w:marRight w:val="0"/>
              <w:marTop w:val="0"/>
              <w:marBottom w:val="0"/>
              <w:divBdr>
                <w:top w:val="none" w:sz="0" w:space="0" w:color="auto"/>
                <w:left w:val="none" w:sz="0" w:space="0" w:color="auto"/>
                <w:bottom w:val="none" w:sz="0" w:space="0" w:color="auto"/>
                <w:right w:val="none" w:sz="0" w:space="0" w:color="auto"/>
              </w:divBdr>
              <w:divsChild>
                <w:div w:id="772941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689546">
      <w:bodyDiv w:val="1"/>
      <w:marLeft w:val="0"/>
      <w:marRight w:val="0"/>
      <w:marTop w:val="0"/>
      <w:marBottom w:val="0"/>
      <w:divBdr>
        <w:top w:val="none" w:sz="0" w:space="0" w:color="auto"/>
        <w:left w:val="none" w:sz="0" w:space="0" w:color="auto"/>
        <w:bottom w:val="none" w:sz="0" w:space="0" w:color="auto"/>
        <w:right w:val="none" w:sz="0" w:space="0" w:color="auto"/>
      </w:divBdr>
      <w:divsChild>
        <w:div w:id="1444377966">
          <w:marLeft w:val="0"/>
          <w:marRight w:val="0"/>
          <w:marTop w:val="0"/>
          <w:marBottom w:val="0"/>
          <w:divBdr>
            <w:top w:val="none" w:sz="0" w:space="0" w:color="auto"/>
            <w:left w:val="none" w:sz="0" w:space="0" w:color="auto"/>
            <w:bottom w:val="none" w:sz="0" w:space="0" w:color="auto"/>
            <w:right w:val="none" w:sz="0" w:space="0" w:color="auto"/>
          </w:divBdr>
          <w:divsChild>
            <w:div w:id="2009869624">
              <w:marLeft w:val="0"/>
              <w:marRight w:val="0"/>
              <w:marTop w:val="0"/>
              <w:marBottom w:val="0"/>
              <w:divBdr>
                <w:top w:val="none" w:sz="0" w:space="0" w:color="auto"/>
                <w:left w:val="none" w:sz="0" w:space="0" w:color="auto"/>
                <w:bottom w:val="none" w:sz="0" w:space="0" w:color="auto"/>
                <w:right w:val="none" w:sz="0" w:space="0" w:color="auto"/>
              </w:divBdr>
              <w:divsChild>
                <w:div w:id="73878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146865">
      <w:bodyDiv w:val="1"/>
      <w:marLeft w:val="0"/>
      <w:marRight w:val="0"/>
      <w:marTop w:val="0"/>
      <w:marBottom w:val="0"/>
      <w:divBdr>
        <w:top w:val="none" w:sz="0" w:space="0" w:color="auto"/>
        <w:left w:val="none" w:sz="0" w:space="0" w:color="auto"/>
        <w:bottom w:val="none" w:sz="0" w:space="0" w:color="auto"/>
        <w:right w:val="none" w:sz="0" w:space="0" w:color="auto"/>
      </w:divBdr>
      <w:divsChild>
        <w:div w:id="624430973">
          <w:marLeft w:val="0"/>
          <w:marRight w:val="0"/>
          <w:marTop w:val="0"/>
          <w:marBottom w:val="0"/>
          <w:divBdr>
            <w:top w:val="none" w:sz="0" w:space="0" w:color="auto"/>
            <w:left w:val="none" w:sz="0" w:space="0" w:color="auto"/>
            <w:bottom w:val="none" w:sz="0" w:space="0" w:color="auto"/>
            <w:right w:val="none" w:sz="0" w:space="0" w:color="auto"/>
          </w:divBdr>
          <w:divsChild>
            <w:div w:id="1788937000">
              <w:marLeft w:val="0"/>
              <w:marRight w:val="0"/>
              <w:marTop w:val="0"/>
              <w:marBottom w:val="0"/>
              <w:divBdr>
                <w:top w:val="none" w:sz="0" w:space="0" w:color="auto"/>
                <w:left w:val="none" w:sz="0" w:space="0" w:color="auto"/>
                <w:bottom w:val="none" w:sz="0" w:space="0" w:color="auto"/>
                <w:right w:val="none" w:sz="0" w:space="0" w:color="auto"/>
              </w:divBdr>
              <w:divsChild>
                <w:div w:id="174845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058250">
      <w:bodyDiv w:val="1"/>
      <w:marLeft w:val="0"/>
      <w:marRight w:val="0"/>
      <w:marTop w:val="0"/>
      <w:marBottom w:val="0"/>
      <w:divBdr>
        <w:top w:val="none" w:sz="0" w:space="0" w:color="auto"/>
        <w:left w:val="none" w:sz="0" w:space="0" w:color="auto"/>
        <w:bottom w:val="none" w:sz="0" w:space="0" w:color="auto"/>
        <w:right w:val="none" w:sz="0" w:space="0" w:color="auto"/>
      </w:divBdr>
      <w:divsChild>
        <w:div w:id="629751637">
          <w:marLeft w:val="0"/>
          <w:marRight w:val="0"/>
          <w:marTop w:val="0"/>
          <w:marBottom w:val="0"/>
          <w:divBdr>
            <w:top w:val="none" w:sz="0" w:space="0" w:color="auto"/>
            <w:left w:val="none" w:sz="0" w:space="0" w:color="auto"/>
            <w:bottom w:val="none" w:sz="0" w:space="0" w:color="auto"/>
            <w:right w:val="none" w:sz="0" w:space="0" w:color="auto"/>
          </w:divBdr>
          <w:divsChild>
            <w:div w:id="982350534">
              <w:marLeft w:val="0"/>
              <w:marRight w:val="0"/>
              <w:marTop w:val="0"/>
              <w:marBottom w:val="0"/>
              <w:divBdr>
                <w:top w:val="none" w:sz="0" w:space="0" w:color="auto"/>
                <w:left w:val="none" w:sz="0" w:space="0" w:color="auto"/>
                <w:bottom w:val="none" w:sz="0" w:space="0" w:color="auto"/>
                <w:right w:val="none" w:sz="0" w:space="0" w:color="auto"/>
              </w:divBdr>
              <w:divsChild>
                <w:div w:id="58838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838691">
      <w:bodyDiv w:val="1"/>
      <w:marLeft w:val="0"/>
      <w:marRight w:val="0"/>
      <w:marTop w:val="0"/>
      <w:marBottom w:val="0"/>
      <w:divBdr>
        <w:top w:val="none" w:sz="0" w:space="0" w:color="auto"/>
        <w:left w:val="none" w:sz="0" w:space="0" w:color="auto"/>
        <w:bottom w:val="none" w:sz="0" w:space="0" w:color="auto"/>
        <w:right w:val="none" w:sz="0" w:space="0" w:color="auto"/>
      </w:divBdr>
    </w:div>
    <w:div w:id="1047871323">
      <w:bodyDiv w:val="1"/>
      <w:marLeft w:val="0"/>
      <w:marRight w:val="0"/>
      <w:marTop w:val="0"/>
      <w:marBottom w:val="0"/>
      <w:divBdr>
        <w:top w:val="none" w:sz="0" w:space="0" w:color="auto"/>
        <w:left w:val="none" w:sz="0" w:space="0" w:color="auto"/>
        <w:bottom w:val="none" w:sz="0" w:space="0" w:color="auto"/>
        <w:right w:val="none" w:sz="0" w:space="0" w:color="auto"/>
      </w:divBdr>
      <w:divsChild>
        <w:div w:id="1832331108">
          <w:marLeft w:val="0"/>
          <w:marRight w:val="0"/>
          <w:marTop w:val="0"/>
          <w:marBottom w:val="0"/>
          <w:divBdr>
            <w:top w:val="none" w:sz="0" w:space="0" w:color="auto"/>
            <w:left w:val="none" w:sz="0" w:space="0" w:color="auto"/>
            <w:bottom w:val="none" w:sz="0" w:space="0" w:color="auto"/>
            <w:right w:val="none" w:sz="0" w:space="0" w:color="auto"/>
          </w:divBdr>
          <w:divsChild>
            <w:div w:id="173037740">
              <w:marLeft w:val="0"/>
              <w:marRight w:val="0"/>
              <w:marTop w:val="0"/>
              <w:marBottom w:val="0"/>
              <w:divBdr>
                <w:top w:val="none" w:sz="0" w:space="0" w:color="auto"/>
                <w:left w:val="none" w:sz="0" w:space="0" w:color="auto"/>
                <w:bottom w:val="none" w:sz="0" w:space="0" w:color="auto"/>
                <w:right w:val="none" w:sz="0" w:space="0" w:color="auto"/>
              </w:divBdr>
              <w:divsChild>
                <w:div w:id="152740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049877">
      <w:bodyDiv w:val="1"/>
      <w:marLeft w:val="0"/>
      <w:marRight w:val="0"/>
      <w:marTop w:val="0"/>
      <w:marBottom w:val="0"/>
      <w:divBdr>
        <w:top w:val="none" w:sz="0" w:space="0" w:color="auto"/>
        <w:left w:val="none" w:sz="0" w:space="0" w:color="auto"/>
        <w:bottom w:val="none" w:sz="0" w:space="0" w:color="auto"/>
        <w:right w:val="none" w:sz="0" w:space="0" w:color="auto"/>
      </w:divBdr>
    </w:div>
    <w:div w:id="1141658321">
      <w:bodyDiv w:val="1"/>
      <w:marLeft w:val="0"/>
      <w:marRight w:val="0"/>
      <w:marTop w:val="0"/>
      <w:marBottom w:val="0"/>
      <w:divBdr>
        <w:top w:val="none" w:sz="0" w:space="0" w:color="auto"/>
        <w:left w:val="none" w:sz="0" w:space="0" w:color="auto"/>
        <w:bottom w:val="none" w:sz="0" w:space="0" w:color="auto"/>
        <w:right w:val="none" w:sz="0" w:space="0" w:color="auto"/>
      </w:divBdr>
      <w:divsChild>
        <w:div w:id="61225239">
          <w:marLeft w:val="0"/>
          <w:marRight w:val="0"/>
          <w:marTop w:val="0"/>
          <w:marBottom w:val="0"/>
          <w:divBdr>
            <w:top w:val="none" w:sz="0" w:space="0" w:color="auto"/>
            <w:left w:val="none" w:sz="0" w:space="0" w:color="auto"/>
            <w:bottom w:val="none" w:sz="0" w:space="0" w:color="auto"/>
            <w:right w:val="none" w:sz="0" w:space="0" w:color="auto"/>
          </w:divBdr>
          <w:divsChild>
            <w:div w:id="601494306">
              <w:marLeft w:val="0"/>
              <w:marRight w:val="0"/>
              <w:marTop w:val="0"/>
              <w:marBottom w:val="0"/>
              <w:divBdr>
                <w:top w:val="none" w:sz="0" w:space="0" w:color="auto"/>
                <w:left w:val="none" w:sz="0" w:space="0" w:color="auto"/>
                <w:bottom w:val="none" w:sz="0" w:space="0" w:color="auto"/>
                <w:right w:val="none" w:sz="0" w:space="0" w:color="auto"/>
              </w:divBdr>
              <w:divsChild>
                <w:div w:id="151958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1375866">
      <w:bodyDiv w:val="1"/>
      <w:marLeft w:val="0"/>
      <w:marRight w:val="0"/>
      <w:marTop w:val="0"/>
      <w:marBottom w:val="0"/>
      <w:divBdr>
        <w:top w:val="none" w:sz="0" w:space="0" w:color="auto"/>
        <w:left w:val="none" w:sz="0" w:space="0" w:color="auto"/>
        <w:bottom w:val="none" w:sz="0" w:space="0" w:color="auto"/>
        <w:right w:val="none" w:sz="0" w:space="0" w:color="auto"/>
      </w:divBdr>
    </w:div>
    <w:div w:id="1315916121">
      <w:bodyDiv w:val="1"/>
      <w:marLeft w:val="0"/>
      <w:marRight w:val="0"/>
      <w:marTop w:val="0"/>
      <w:marBottom w:val="0"/>
      <w:divBdr>
        <w:top w:val="none" w:sz="0" w:space="0" w:color="auto"/>
        <w:left w:val="none" w:sz="0" w:space="0" w:color="auto"/>
        <w:bottom w:val="none" w:sz="0" w:space="0" w:color="auto"/>
        <w:right w:val="none" w:sz="0" w:space="0" w:color="auto"/>
      </w:divBdr>
      <w:divsChild>
        <w:div w:id="571476514">
          <w:marLeft w:val="0"/>
          <w:marRight w:val="0"/>
          <w:marTop w:val="0"/>
          <w:marBottom w:val="0"/>
          <w:divBdr>
            <w:top w:val="none" w:sz="0" w:space="0" w:color="auto"/>
            <w:left w:val="none" w:sz="0" w:space="0" w:color="auto"/>
            <w:bottom w:val="none" w:sz="0" w:space="0" w:color="auto"/>
            <w:right w:val="none" w:sz="0" w:space="0" w:color="auto"/>
          </w:divBdr>
          <w:divsChild>
            <w:div w:id="1173759326">
              <w:marLeft w:val="0"/>
              <w:marRight w:val="0"/>
              <w:marTop w:val="0"/>
              <w:marBottom w:val="0"/>
              <w:divBdr>
                <w:top w:val="none" w:sz="0" w:space="0" w:color="auto"/>
                <w:left w:val="none" w:sz="0" w:space="0" w:color="auto"/>
                <w:bottom w:val="none" w:sz="0" w:space="0" w:color="auto"/>
                <w:right w:val="none" w:sz="0" w:space="0" w:color="auto"/>
              </w:divBdr>
              <w:divsChild>
                <w:div w:id="1225946636">
                  <w:marLeft w:val="0"/>
                  <w:marRight w:val="0"/>
                  <w:marTop w:val="0"/>
                  <w:marBottom w:val="0"/>
                  <w:divBdr>
                    <w:top w:val="none" w:sz="0" w:space="0" w:color="auto"/>
                    <w:left w:val="none" w:sz="0" w:space="0" w:color="auto"/>
                    <w:bottom w:val="none" w:sz="0" w:space="0" w:color="auto"/>
                    <w:right w:val="none" w:sz="0" w:space="0" w:color="auto"/>
                  </w:divBdr>
                </w:div>
              </w:divsChild>
            </w:div>
            <w:div w:id="208080094">
              <w:marLeft w:val="0"/>
              <w:marRight w:val="0"/>
              <w:marTop w:val="0"/>
              <w:marBottom w:val="0"/>
              <w:divBdr>
                <w:top w:val="none" w:sz="0" w:space="0" w:color="auto"/>
                <w:left w:val="none" w:sz="0" w:space="0" w:color="auto"/>
                <w:bottom w:val="none" w:sz="0" w:space="0" w:color="auto"/>
                <w:right w:val="none" w:sz="0" w:space="0" w:color="auto"/>
              </w:divBdr>
              <w:divsChild>
                <w:div w:id="32644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687663">
      <w:bodyDiv w:val="1"/>
      <w:marLeft w:val="0"/>
      <w:marRight w:val="0"/>
      <w:marTop w:val="0"/>
      <w:marBottom w:val="0"/>
      <w:divBdr>
        <w:top w:val="none" w:sz="0" w:space="0" w:color="auto"/>
        <w:left w:val="none" w:sz="0" w:space="0" w:color="auto"/>
        <w:bottom w:val="none" w:sz="0" w:space="0" w:color="auto"/>
        <w:right w:val="none" w:sz="0" w:space="0" w:color="auto"/>
      </w:divBdr>
      <w:divsChild>
        <w:div w:id="1248268451">
          <w:marLeft w:val="0"/>
          <w:marRight w:val="0"/>
          <w:marTop w:val="0"/>
          <w:marBottom w:val="0"/>
          <w:divBdr>
            <w:top w:val="none" w:sz="0" w:space="0" w:color="auto"/>
            <w:left w:val="none" w:sz="0" w:space="0" w:color="auto"/>
            <w:bottom w:val="none" w:sz="0" w:space="0" w:color="auto"/>
            <w:right w:val="none" w:sz="0" w:space="0" w:color="auto"/>
          </w:divBdr>
          <w:divsChild>
            <w:div w:id="880164547">
              <w:marLeft w:val="0"/>
              <w:marRight w:val="0"/>
              <w:marTop w:val="0"/>
              <w:marBottom w:val="0"/>
              <w:divBdr>
                <w:top w:val="none" w:sz="0" w:space="0" w:color="auto"/>
                <w:left w:val="none" w:sz="0" w:space="0" w:color="auto"/>
                <w:bottom w:val="none" w:sz="0" w:space="0" w:color="auto"/>
                <w:right w:val="none" w:sz="0" w:space="0" w:color="auto"/>
              </w:divBdr>
              <w:divsChild>
                <w:div w:id="208020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099990">
      <w:bodyDiv w:val="1"/>
      <w:marLeft w:val="0"/>
      <w:marRight w:val="0"/>
      <w:marTop w:val="0"/>
      <w:marBottom w:val="0"/>
      <w:divBdr>
        <w:top w:val="none" w:sz="0" w:space="0" w:color="auto"/>
        <w:left w:val="none" w:sz="0" w:space="0" w:color="auto"/>
        <w:bottom w:val="none" w:sz="0" w:space="0" w:color="auto"/>
        <w:right w:val="none" w:sz="0" w:space="0" w:color="auto"/>
      </w:divBdr>
      <w:divsChild>
        <w:div w:id="2118137208">
          <w:marLeft w:val="0"/>
          <w:marRight w:val="0"/>
          <w:marTop w:val="0"/>
          <w:marBottom w:val="0"/>
          <w:divBdr>
            <w:top w:val="none" w:sz="0" w:space="0" w:color="auto"/>
            <w:left w:val="none" w:sz="0" w:space="0" w:color="auto"/>
            <w:bottom w:val="none" w:sz="0" w:space="0" w:color="auto"/>
            <w:right w:val="none" w:sz="0" w:space="0" w:color="auto"/>
          </w:divBdr>
          <w:divsChild>
            <w:div w:id="323357273">
              <w:marLeft w:val="0"/>
              <w:marRight w:val="0"/>
              <w:marTop w:val="0"/>
              <w:marBottom w:val="0"/>
              <w:divBdr>
                <w:top w:val="none" w:sz="0" w:space="0" w:color="auto"/>
                <w:left w:val="none" w:sz="0" w:space="0" w:color="auto"/>
                <w:bottom w:val="none" w:sz="0" w:space="0" w:color="auto"/>
                <w:right w:val="none" w:sz="0" w:space="0" w:color="auto"/>
              </w:divBdr>
              <w:divsChild>
                <w:div w:id="161640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972535">
      <w:bodyDiv w:val="1"/>
      <w:marLeft w:val="0"/>
      <w:marRight w:val="0"/>
      <w:marTop w:val="0"/>
      <w:marBottom w:val="0"/>
      <w:divBdr>
        <w:top w:val="none" w:sz="0" w:space="0" w:color="auto"/>
        <w:left w:val="none" w:sz="0" w:space="0" w:color="auto"/>
        <w:bottom w:val="none" w:sz="0" w:space="0" w:color="auto"/>
        <w:right w:val="none" w:sz="0" w:space="0" w:color="auto"/>
      </w:divBdr>
      <w:divsChild>
        <w:div w:id="2050765066">
          <w:marLeft w:val="0"/>
          <w:marRight w:val="0"/>
          <w:marTop w:val="0"/>
          <w:marBottom w:val="0"/>
          <w:divBdr>
            <w:top w:val="none" w:sz="0" w:space="0" w:color="auto"/>
            <w:left w:val="none" w:sz="0" w:space="0" w:color="auto"/>
            <w:bottom w:val="none" w:sz="0" w:space="0" w:color="auto"/>
            <w:right w:val="none" w:sz="0" w:space="0" w:color="auto"/>
          </w:divBdr>
          <w:divsChild>
            <w:div w:id="1775442629">
              <w:marLeft w:val="0"/>
              <w:marRight w:val="0"/>
              <w:marTop w:val="0"/>
              <w:marBottom w:val="0"/>
              <w:divBdr>
                <w:top w:val="none" w:sz="0" w:space="0" w:color="auto"/>
                <w:left w:val="none" w:sz="0" w:space="0" w:color="auto"/>
                <w:bottom w:val="none" w:sz="0" w:space="0" w:color="auto"/>
                <w:right w:val="none" w:sz="0" w:space="0" w:color="auto"/>
              </w:divBdr>
              <w:divsChild>
                <w:div w:id="126677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716038">
      <w:bodyDiv w:val="1"/>
      <w:marLeft w:val="0"/>
      <w:marRight w:val="0"/>
      <w:marTop w:val="0"/>
      <w:marBottom w:val="0"/>
      <w:divBdr>
        <w:top w:val="none" w:sz="0" w:space="0" w:color="auto"/>
        <w:left w:val="none" w:sz="0" w:space="0" w:color="auto"/>
        <w:bottom w:val="none" w:sz="0" w:space="0" w:color="auto"/>
        <w:right w:val="none" w:sz="0" w:space="0" w:color="auto"/>
      </w:divBdr>
      <w:divsChild>
        <w:div w:id="2121024129">
          <w:marLeft w:val="0"/>
          <w:marRight w:val="0"/>
          <w:marTop w:val="0"/>
          <w:marBottom w:val="0"/>
          <w:divBdr>
            <w:top w:val="none" w:sz="0" w:space="0" w:color="auto"/>
            <w:left w:val="none" w:sz="0" w:space="0" w:color="auto"/>
            <w:bottom w:val="none" w:sz="0" w:space="0" w:color="auto"/>
            <w:right w:val="none" w:sz="0" w:space="0" w:color="auto"/>
          </w:divBdr>
          <w:divsChild>
            <w:div w:id="764693863">
              <w:marLeft w:val="0"/>
              <w:marRight w:val="0"/>
              <w:marTop w:val="0"/>
              <w:marBottom w:val="0"/>
              <w:divBdr>
                <w:top w:val="none" w:sz="0" w:space="0" w:color="auto"/>
                <w:left w:val="none" w:sz="0" w:space="0" w:color="auto"/>
                <w:bottom w:val="none" w:sz="0" w:space="0" w:color="auto"/>
                <w:right w:val="none" w:sz="0" w:space="0" w:color="auto"/>
              </w:divBdr>
              <w:divsChild>
                <w:div w:id="212148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938202">
      <w:bodyDiv w:val="1"/>
      <w:marLeft w:val="0"/>
      <w:marRight w:val="0"/>
      <w:marTop w:val="0"/>
      <w:marBottom w:val="0"/>
      <w:divBdr>
        <w:top w:val="none" w:sz="0" w:space="0" w:color="auto"/>
        <w:left w:val="none" w:sz="0" w:space="0" w:color="auto"/>
        <w:bottom w:val="none" w:sz="0" w:space="0" w:color="auto"/>
        <w:right w:val="none" w:sz="0" w:space="0" w:color="auto"/>
      </w:divBdr>
      <w:divsChild>
        <w:div w:id="967593014">
          <w:marLeft w:val="0"/>
          <w:marRight w:val="0"/>
          <w:marTop w:val="0"/>
          <w:marBottom w:val="0"/>
          <w:divBdr>
            <w:top w:val="none" w:sz="0" w:space="0" w:color="auto"/>
            <w:left w:val="none" w:sz="0" w:space="0" w:color="auto"/>
            <w:bottom w:val="none" w:sz="0" w:space="0" w:color="auto"/>
            <w:right w:val="none" w:sz="0" w:space="0" w:color="auto"/>
          </w:divBdr>
          <w:divsChild>
            <w:div w:id="691493549">
              <w:marLeft w:val="0"/>
              <w:marRight w:val="0"/>
              <w:marTop w:val="0"/>
              <w:marBottom w:val="0"/>
              <w:divBdr>
                <w:top w:val="none" w:sz="0" w:space="0" w:color="auto"/>
                <w:left w:val="none" w:sz="0" w:space="0" w:color="auto"/>
                <w:bottom w:val="none" w:sz="0" w:space="0" w:color="auto"/>
                <w:right w:val="none" w:sz="0" w:space="0" w:color="auto"/>
              </w:divBdr>
              <w:divsChild>
                <w:div w:id="1477334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634673">
      <w:bodyDiv w:val="1"/>
      <w:marLeft w:val="0"/>
      <w:marRight w:val="0"/>
      <w:marTop w:val="0"/>
      <w:marBottom w:val="0"/>
      <w:divBdr>
        <w:top w:val="none" w:sz="0" w:space="0" w:color="auto"/>
        <w:left w:val="none" w:sz="0" w:space="0" w:color="auto"/>
        <w:bottom w:val="none" w:sz="0" w:space="0" w:color="auto"/>
        <w:right w:val="none" w:sz="0" w:space="0" w:color="auto"/>
      </w:divBdr>
      <w:divsChild>
        <w:div w:id="685254554">
          <w:marLeft w:val="0"/>
          <w:marRight w:val="0"/>
          <w:marTop w:val="0"/>
          <w:marBottom w:val="0"/>
          <w:divBdr>
            <w:top w:val="none" w:sz="0" w:space="0" w:color="auto"/>
            <w:left w:val="none" w:sz="0" w:space="0" w:color="auto"/>
            <w:bottom w:val="none" w:sz="0" w:space="0" w:color="auto"/>
            <w:right w:val="none" w:sz="0" w:space="0" w:color="auto"/>
          </w:divBdr>
          <w:divsChild>
            <w:div w:id="1256134742">
              <w:marLeft w:val="0"/>
              <w:marRight w:val="0"/>
              <w:marTop w:val="0"/>
              <w:marBottom w:val="0"/>
              <w:divBdr>
                <w:top w:val="none" w:sz="0" w:space="0" w:color="auto"/>
                <w:left w:val="none" w:sz="0" w:space="0" w:color="auto"/>
                <w:bottom w:val="none" w:sz="0" w:space="0" w:color="auto"/>
                <w:right w:val="none" w:sz="0" w:space="0" w:color="auto"/>
              </w:divBdr>
              <w:divsChild>
                <w:div w:id="186987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028481">
      <w:bodyDiv w:val="1"/>
      <w:marLeft w:val="0"/>
      <w:marRight w:val="0"/>
      <w:marTop w:val="0"/>
      <w:marBottom w:val="0"/>
      <w:divBdr>
        <w:top w:val="none" w:sz="0" w:space="0" w:color="auto"/>
        <w:left w:val="none" w:sz="0" w:space="0" w:color="auto"/>
        <w:bottom w:val="none" w:sz="0" w:space="0" w:color="auto"/>
        <w:right w:val="none" w:sz="0" w:space="0" w:color="auto"/>
      </w:divBdr>
    </w:div>
    <w:div w:id="1809857511">
      <w:bodyDiv w:val="1"/>
      <w:marLeft w:val="0"/>
      <w:marRight w:val="0"/>
      <w:marTop w:val="0"/>
      <w:marBottom w:val="0"/>
      <w:divBdr>
        <w:top w:val="none" w:sz="0" w:space="0" w:color="auto"/>
        <w:left w:val="none" w:sz="0" w:space="0" w:color="auto"/>
        <w:bottom w:val="none" w:sz="0" w:space="0" w:color="auto"/>
        <w:right w:val="none" w:sz="0" w:space="0" w:color="auto"/>
      </w:divBdr>
      <w:divsChild>
        <w:div w:id="1651248802">
          <w:marLeft w:val="0"/>
          <w:marRight w:val="0"/>
          <w:marTop w:val="0"/>
          <w:marBottom w:val="0"/>
          <w:divBdr>
            <w:top w:val="none" w:sz="0" w:space="0" w:color="auto"/>
            <w:left w:val="none" w:sz="0" w:space="0" w:color="auto"/>
            <w:bottom w:val="none" w:sz="0" w:space="0" w:color="auto"/>
            <w:right w:val="none" w:sz="0" w:space="0" w:color="auto"/>
          </w:divBdr>
          <w:divsChild>
            <w:div w:id="208886893">
              <w:marLeft w:val="0"/>
              <w:marRight w:val="0"/>
              <w:marTop w:val="0"/>
              <w:marBottom w:val="0"/>
              <w:divBdr>
                <w:top w:val="none" w:sz="0" w:space="0" w:color="auto"/>
                <w:left w:val="none" w:sz="0" w:space="0" w:color="auto"/>
                <w:bottom w:val="none" w:sz="0" w:space="0" w:color="auto"/>
                <w:right w:val="none" w:sz="0" w:space="0" w:color="auto"/>
              </w:divBdr>
              <w:divsChild>
                <w:div w:id="46447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057585">
      <w:bodyDiv w:val="1"/>
      <w:marLeft w:val="0"/>
      <w:marRight w:val="0"/>
      <w:marTop w:val="0"/>
      <w:marBottom w:val="0"/>
      <w:divBdr>
        <w:top w:val="none" w:sz="0" w:space="0" w:color="auto"/>
        <w:left w:val="none" w:sz="0" w:space="0" w:color="auto"/>
        <w:bottom w:val="none" w:sz="0" w:space="0" w:color="auto"/>
        <w:right w:val="none" w:sz="0" w:space="0" w:color="auto"/>
      </w:divBdr>
      <w:divsChild>
        <w:div w:id="1324813716">
          <w:marLeft w:val="0"/>
          <w:marRight w:val="0"/>
          <w:marTop w:val="0"/>
          <w:marBottom w:val="0"/>
          <w:divBdr>
            <w:top w:val="none" w:sz="0" w:space="0" w:color="auto"/>
            <w:left w:val="none" w:sz="0" w:space="0" w:color="auto"/>
            <w:bottom w:val="none" w:sz="0" w:space="0" w:color="auto"/>
            <w:right w:val="none" w:sz="0" w:space="0" w:color="auto"/>
          </w:divBdr>
          <w:divsChild>
            <w:div w:id="1424840111">
              <w:marLeft w:val="0"/>
              <w:marRight w:val="0"/>
              <w:marTop w:val="0"/>
              <w:marBottom w:val="0"/>
              <w:divBdr>
                <w:top w:val="none" w:sz="0" w:space="0" w:color="auto"/>
                <w:left w:val="none" w:sz="0" w:space="0" w:color="auto"/>
                <w:bottom w:val="none" w:sz="0" w:space="0" w:color="auto"/>
                <w:right w:val="none" w:sz="0" w:space="0" w:color="auto"/>
              </w:divBdr>
              <w:divsChild>
                <w:div w:id="133040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6192518">
      <w:bodyDiv w:val="1"/>
      <w:marLeft w:val="0"/>
      <w:marRight w:val="0"/>
      <w:marTop w:val="0"/>
      <w:marBottom w:val="0"/>
      <w:divBdr>
        <w:top w:val="none" w:sz="0" w:space="0" w:color="auto"/>
        <w:left w:val="none" w:sz="0" w:space="0" w:color="auto"/>
        <w:bottom w:val="none" w:sz="0" w:space="0" w:color="auto"/>
        <w:right w:val="none" w:sz="0" w:space="0" w:color="auto"/>
      </w:divBdr>
      <w:divsChild>
        <w:div w:id="6893813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35275748">
              <w:marLeft w:val="0"/>
              <w:marRight w:val="0"/>
              <w:marTop w:val="0"/>
              <w:marBottom w:val="0"/>
              <w:divBdr>
                <w:top w:val="none" w:sz="0" w:space="0" w:color="auto"/>
                <w:left w:val="none" w:sz="0" w:space="0" w:color="auto"/>
                <w:bottom w:val="none" w:sz="0" w:space="0" w:color="auto"/>
                <w:right w:val="none" w:sz="0" w:space="0" w:color="auto"/>
              </w:divBdr>
              <w:divsChild>
                <w:div w:id="2039889016">
                  <w:marLeft w:val="0"/>
                  <w:marRight w:val="0"/>
                  <w:marTop w:val="0"/>
                  <w:marBottom w:val="0"/>
                  <w:divBdr>
                    <w:top w:val="none" w:sz="0" w:space="0" w:color="auto"/>
                    <w:left w:val="none" w:sz="0" w:space="0" w:color="auto"/>
                    <w:bottom w:val="none" w:sz="0" w:space="0" w:color="auto"/>
                    <w:right w:val="none" w:sz="0" w:space="0" w:color="auto"/>
                  </w:divBdr>
                  <w:divsChild>
                    <w:div w:id="601107702">
                      <w:marLeft w:val="0"/>
                      <w:marRight w:val="0"/>
                      <w:marTop w:val="0"/>
                      <w:marBottom w:val="0"/>
                      <w:divBdr>
                        <w:top w:val="none" w:sz="0" w:space="0" w:color="auto"/>
                        <w:left w:val="none" w:sz="0" w:space="0" w:color="auto"/>
                        <w:bottom w:val="none" w:sz="0" w:space="0" w:color="auto"/>
                        <w:right w:val="none" w:sz="0" w:space="0" w:color="auto"/>
                      </w:divBdr>
                      <w:divsChild>
                        <w:div w:id="1009061396">
                          <w:marLeft w:val="0"/>
                          <w:marRight w:val="0"/>
                          <w:marTop w:val="0"/>
                          <w:marBottom w:val="0"/>
                          <w:divBdr>
                            <w:top w:val="none" w:sz="0" w:space="0" w:color="auto"/>
                            <w:left w:val="none" w:sz="0" w:space="0" w:color="auto"/>
                            <w:bottom w:val="none" w:sz="0" w:space="0" w:color="auto"/>
                            <w:right w:val="none" w:sz="0" w:space="0" w:color="auto"/>
                          </w:divBdr>
                          <w:divsChild>
                            <w:div w:id="6174877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33016642">
                                  <w:marLeft w:val="0"/>
                                  <w:marRight w:val="0"/>
                                  <w:marTop w:val="0"/>
                                  <w:marBottom w:val="0"/>
                                  <w:divBdr>
                                    <w:top w:val="none" w:sz="0" w:space="0" w:color="auto"/>
                                    <w:left w:val="none" w:sz="0" w:space="0" w:color="auto"/>
                                    <w:bottom w:val="none" w:sz="0" w:space="0" w:color="auto"/>
                                    <w:right w:val="none" w:sz="0" w:space="0" w:color="auto"/>
                                  </w:divBdr>
                                  <w:divsChild>
                                    <w:div w:id="1725325623">
                                      <w:marLeft w:val="0"/>
                                      <w:marRight w:val="0"/>
                                      <w:marTop w:val="0"/>
                                      <w:marBottom w:val="0"/>
                                      <w:divBdr>
                                        <w:top w:val="none" w:sz="0" w:space="0" w:color="auto"/>
                                        <w:left w:val="none" w:sz="0" w:space="0" w:color="auto"/>
                                        <w:bottom w:val="none" w:sz="0" w:space="0" w:color="auto"/>
                                        <w:right w:val="none" w:sz="0" w:space="0" w:color="auto"/>
                                      </w:divBdr>
                                      <w:divsChild>
                                        <w:div w:id="2006977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9855951">
      <w:bodyDiv w:val="1"/>
      <w:marLeft w:val="0"/>
      <w:marRight w:val="0"/>
      <w:marTop w:val="0"/>
      <w:marBottom w:val="0"/>
      <w:divBdr>
        <w:top w:val="none" w:sz="0" w:space="0" w:color="auto"/>
        <w:left w:val="none" w:sz="0" w:space="0" w:color="auto"/>
        <w:bottom w:val="none" w:sz="0" w:space="0" w:color="auto"/>
        <w:right w:val="none" w:sz="0" w:space="0" w:color="auto"/>
      </w:divBdr>
      <w:divsChild>
        <w:div w:id="2057047484">
          <w:marLeft w:val="0"/>
          <w:marRight w:val="0"/>
          <w:marTop w:val="0"/>
          <w:marBottom w:val="0"/>
          <w:divBdr>
            <w:top w:val="none" w:sz="0" w:space="0" w:color="auto"/>
            <w:left w:val="none" w:sz="0" w:space="0" w:color="auto"/>
            <w:bottom w:val="none" w:sz="0" w:space="0" w:color="auto"/>
            <w:right w:val="none" w:sz="0" w:space="0" w:color="auto"/>
          </w:divBdr>
          <w:divsChild>
            <w:div w:id="560560366">
              <w:marLeft w:val="0"/>
              <w:marRight w:val="0"/>
              <w:marTop w:val="0"/>
              <w:marBottom w:val="0"/>
              <w:divBdr>
                <w:top w:val="none" w:sz="0" w:space="0" w:color="auto"/>
                <w:left w:val="none" w:sz="0" w:space="0" w:color="auto"/>
                <w:bottom w:val="none" w:sz="0" w:space="0" w:color="auto"/>
                <w:right w:val="none" w:sz="0" w:space="0" w:color="auto"/>
              </w:divBdr>
              <w:divsChild>
                <w:div w:id="1496073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1219">
      <w:bodyDiv w:val="1"/>
      <w:marLeft w:val="0"/>
      <w:marRight w:val="0"/>
      <w:marTop w:val="0"/>
      <w:marBottom w:val="0"/>
      <w:divBdr>
        <w:top w:val="none" w:sz="0" w:space="0" w:color="auto"/>
        <w:left w:val="none" w:sz="0" w:space="0" w:color="auto"/>
        <w:bottom w:val="none" w:sz="0" w:space="0" w:color="auto"/>
        <w:right w:val="none" w:sz="0" w:space="0" w:color="auto"/>
      </w:divBdr>
      <w:divsChild>
        <w:div w:id="1297491290">
          <w:marLeft w:val="0"/>
          <w:marRight w:val="0"/>
          <w:marTop w:val="0"/>
          <w:marBottom w:val="0"/>
          <w:divBdr>
            <w:top w:val="none" w:sz="0" w:space="0" w:color="auto"/>
            <w:left w:val="none" w:sz="0" w:space="0" w:color="auto"/>
            <w:bottom w:val="none" w:sz="0" w:space="0" w:color="auto"/>
            <w:right w:val="none" w:sz="0" w:space="0" w:color="auto"/>
          </w:divBdr>
          <w:divsChild>
            <w:div w:id="2008946948">
              <w:marLeft w:val="0"/>
              <w:marRight w:val="0"/>
              <w:marTop w:val="0"/>
              <w:marBottom w:val="0"/>
              <w:divBdr>
                <w:top w:val="none" w:sz="0" w:space="0" w:color="auto"/>
                <w:left w:val="none" w:sz="0" w:space="0" w:color="auto"/>
                <w:bottom w:val="none" w:sz="0" w:space="0" w:color="auto"/>
                <w:right w:val="none" w:sz="0" w:space="0" w:color="auto"/>
              </w:divBdr>
              <w:divsChild>
                <w:div w:id="66783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151373">
      <w:bodyDiv w:val="1"/>
      <w:marLeft w:val="0"/>
      <w:marRight w:val="0"/>
      <w:marTop w:val="0"/>
      <w:marBottom w:val="0"/>
      <w:divBdr>
        <w:top w:val="none" w:sz="0" w:space="0" w:color="auto"/>
        <w:left w:val="none" w:sz="0" w:space="0" w:color="auto"/>
        <w:bottom w:val="none" w:sz="0" w:space="0" w:color="auto"/>
        <w:right w:val="none" w:sz="0" w:space="0" w:color="auto"/>
      </w:divBdr>
      <w:divsChild>
        <w:div w:id="483088690">
          <w:marLeft w:val="0"/>
          <w:marRight w:val="0"/>
          <w:marTop w:val="0"/>
          <w:marBottom w:val="0"/>
          <w:divBdr>
            <w:top w:val="none" w:sz="0" w:space="0" w:color="auto"/>
            <w:left w:val="none" w:sz="0" w:space="0" w:color="auto"/>
            <w:bottom w:val="none" w:sz="0" w:space="0" w:color="auto"/>
            <w:right w:val="none" w:sz="0" w:space="0" w:color="auto"/>
          </w:divBdr>
          <w:divsChild>
            <w:div w:id="1723753400">
              <w:marLeft w:val="0"/>
              <w:marRight w:val="0"/>
              <w:marTop w:val="0"/>
              <w:marBottom w:val="0"/>
              <w:divBdr>
                <w:top w:val="none" w:sz="0" w:space="0" w:color="auto"/>
                <w:left w:val="none" w:sz="0" w:space="0" w:color="auto"/>
                <w:bottom w:val="none" w:sz="0" w:space="0" w:color="auto"/>
                <w:right w:val="none" w:sz="0" w:space="0" w:color="auto"/>
              </w:divBdr>
              <w:divsChild>
                <w:div w:id="117087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008328">
      <w:bodyDiv w:val="1"/>
      <w:marLeft w:val="0"/>
      <w:marRight w:val="0"/>
      <w:marTop w:val="0"/>
      <w:marBottom w:val="0"/>
      <w:divBdr>
        <w:top w:val="none" w:sz="0" w:space="0" w:color="auto"/>
        <w:left w:val="none" w:sz="0" w:space="0" w:color="auto"/>
        <w:bottom w:val="none" w:sz="0" w:space="0" w:color="auto"/>
        <w:right w:val="none" w:sz="0" w:space="0" w:color="auto"/>
      </w:divBdr>
      <w:divsChild>
        <w:div w:id="1240213756">
          <w:marLeft w:val="0"/>
          <w:marRight w:val="0"/>
          <w:marTop w:val="0"/>
          <w:marBottom w:val="0"/>
          <w:divBdr>
            <w:top w:val="none" w:sz="0" w:space="0" w:color="auto"/>
            <w:left w:val="none" w:sz="0" w:space="0" w:color="auto"/>
            <w:bottom w:val="none" w:sz="0" w:space="0" w:color="auto"/>
            <w:right w:val="none" w:sz="0" w:space="0" w:color="auto"/>
          </w:divBdr>
          <w:divsChild>
            <w:div w:id="698241041">
              <w:marLeft w:val="0"/>
              <w:marRight w:val="0"/>
              <w:marTop w:val="0"/>
              <w:marBottom w:val="0"/>
              <w:divBdr>
                <w:top w:val="none" w:sz="0" w:space="0" w:color="auto"/>
                <w:left w:val="none" w:sz="0" w:space="0" w:color="auto"/>
                <w:bottom w:val="none" w:sz="0" w:space="0" w:color="auto"/>
                <w:right w:val="none" w:sz="0" w:space="0" w:color="auto"/>
              </w:divBdr>
              <w:divsChild>
                <w:div w:id="140830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124505">
      <w:bodyDiv w:val="1"/>
      <w:marLeft w:val="0"/>
      <w:marRight w:val="0"/>
      <w:marTop w:val="0"/>
      <w:marBottom w:val="0"/>
      <w:divBdr>
        <w:top w:val="none" w:sz="0" w:space="0" w:color="auto"/>
        <w:left w:val="none" w:sz="0" w:space="0" w:color="auto"/>
        <w:bottom w:val="none" w:sz="0" w:space="0" w:color="auto"/>
        <w:right w:val="none" w:sz="0" w:space="0" w:color="auto"/>
      </w:divBdr>
    </w:div>
    <w:div w:id="2061055855">
      <w:bodyDiv w:val="1"/>
      <w:marLeft w:val="0"/>
      <w:marRight w:val="0"/>
      <w:marTop w:val="0"/>
      <w:marBottom w:val="0"/>
      <w:divBdr>
        <w:top w:val="none" w:sz="0" w:space="0" w:color="auto"/>
        <w:left w:val="none" w:sz="0" w:space="0" w:color="auto"/>
        <w:bottom w:val="none" w:sz="0" w:space="0" w:color="auto"/>
        <w:right w:val="none" w:sz="0" w:space="0" w:color="auto"/>
      </w:divBdr>
      <w:divsChild>
        <w:div w:id="1763064025">
          <w:marLeft w:val="0"/>
          <w:marRight w:val="0"/>
          <w:marTop w:val="0"/>
          <w:marBottom w:val="0"/>
          <w:divBdr>
            <w:top w:val="none" w:sz="0" w:space="0" w:color="auto"/>
            <w:left w:val="none" w:sz="0" w:space="0" w:color="auto"/>
            <w:bottom w:val="none" w:sz="0" w:space="0" w:color="auto"/>
            <w:right w:val="none" w:sz="0" w:space="0" w:color="auto"/>
          </w:divBdr>
          <w:divsChild>
            <w:div w:id="1267927036">
              <w:marLeft w:val="0"/>
              <w:marRight w:val="0"/>
              <w:marTop w:val="0"/>
              <w:marBottom w:val="0"/>
              <w:divBdr>
                <w:top w:val="none" w:sz="0" w:space="0" w:color="auto"/>
                <w:left w:val="none" w:sz="0" w:space="0" w:color="auto"/>
                <w:bottom w:val="none" w:sz="0" w:space="0" w:color="auto"/>
                <w:right w:val="none" w:sz="0" w:space="0" w:color="auto"/>
              </w:divBdr>
              <w:divsChild>
                <w:div w:id="18625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422870">
      <w:bodyDiv w:val="1"/>
      <w:marLeft w:val="0"/>
      <w:marRight w:val="0"/>
      <w:marTop w:val="0"/>
      <w:marBottom w:val="0"/>
      <w:divBdr>
        <w:top w:val="none" w:sz="0" w:space="0" w:color="auto"/>
        <w:left w:val="none" w:sz="0" w:space="0" w:color="auto"/>
        <w:bottom w:val="none" w:sz="0" w:space="0" w:color="auto"/>
        <w:right w:val="none" w:sz="0" w:space="0" w:color="auto"/>
      </w:divBdr>
      <w:divsChild>
        <w:div w:id="836001595">
          <w:marLeft w:val="0"/>
          <w:marRight w:val="0"/>
          <w:marTop w:val="0"/>
          <w:marBottom w:val="0"/>
          <w:divBdr>
            <w:top w:val="none" w:sz="0" w:space="0" w:color="auto"/>
            <w:left w:val="none" w:sz="0" w:space="0" w:color="auto"/>
            <w:bottom w:val="none" w:sz="0" w:space="0" w:color="auto"/>
            <w:right w:val="none" w:sz="0" w:space="0" w:color="auto"/>
          </w:divBdr>
          <w:divsChild>
            <w:div w:id="1336418337">
              <w:marLeft w:val="0"/>
              <w:marRight w:val="0"/>
              <w:marTop w:val="0"/>
              <w:marBottom w:val="0"/>
              <w:divBdr>
                <w:top w:val="none" w:sz="0" w:space="0" w:color="auto"/>
                <w:left w:val="none" w:sz="0" w:space="0" w:color="auto"/>
                <w:bottom w:val="none" w:sz="0" w:space="0" w:color="auto"/>
                <w:right w:val="none" w:sz="0" w:space="0" w:color="auto"/>
              </w:divBdr>
              <w:divsChild>
                <w:div w:id="974455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119192">
      <w:bodyDiv w:val="1"/>
      <w:marLeft w:val="0"/>
      <w:marRight w:val="0"/>
      <w:marTop w:val="0"/>
      <w:marBottom w:val="0"/>
      <w:divBdr>
        <w:top w:val="none" w:sz="0" w:space="0" w:color="auto"/>
        <w:left w:val="none" w:sz="0" w:space="0" w:color="auto"/>
        <w:bottom w:val="none" w:sz="0" w:space="0" w:color="auto"/>
        <w:right w:val="none" w:sz="0" w:space="0" w:color="auto"/>
      </w:divBdr>
    </w:div>
    <w:div w:id="2079136068">
      <w:bodyDiv w:val="1"/>
      <w:marLeft w:val="0"/>
      <w:marRight w:val="0"/>
      <w:marTop w:val="0"/>
      <w:marBottom w:val="0"/>
      <w:divBdr>
        <w:top w:val="none" w:sz="0" w:space="0" w:color="auto"/>
        <w:left w:val="none" w:sz="0" w:space="0" w:color="auto"/>
        <w:bottom w:val="none" w:sz="0" w:space="0" w:color="auto"/>
        <w:right w:val="none" w:sz="0" w:space="0" w:color="auto"/>
      </w:divBdr>
      <w:divsChild>
        <w:div w:id="1202212202">
          <w:marLeft w:val="0"/>
          <w:marRight w:val="0"/>
          <w:marTop w:val="0"/>
          <w:marBottom w:val="0"/>
          <w:divBdr>
            <w:top w:val="none" w:sz="0" w:space="0" w:color="auto"/>
            <w:left w:val="none" w:sz="0" w:space="0" w:color="auto"/>
            <w:bottom w:val="none" w:sz="0" w:space="0" w:color="auto"/>
            <w:right w:val="none" w:sz="0" w:space="0" w:color="auto"/>
          </w:divBdr>
          <w:divsChild>
            <w:div w:id="1895390683">
              <w:marLeft w:val="0"/>
              <w:marRight w:val="0"/>
              <w:marTop w:val="0"/>
              <w:marBottom w:val="0"/>
              <w:divBdr>
                <w:top w:val="none" w:sz="0" w:space="0" w:color="auto"/>
                <w:left w:val="none" w:sz="0" w:space="0" w:color="auto"/>
                <w:bottom w:val="none" w:sz="0" w:space="0" w:color="auto"/>
                <w:right w:val="none" w:sz="0" w:space="0" w:color="auto"/>
              </w:divBdr>
              <w:divsChild>
                <w:div w:id="87642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1214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frontlinedefenders.org/en/case/mahienour-el-masry-released-bail" TargetMode="External"/><Relationship Id="rId13" Type="http://schemas.openxmlformats.org/officeDocument/2006/relationships/hyperlink" Target="https://www.gunpolicy.org/firearms/region/egypt" TargetMode="External"/><Relationship Id="rId18" Type="http://schemas.openxmlformats.org/officeDocument/2006/relationships/hyperlink" Target="https://citizenlab.ca/author/ramy-raoof/" TargetMode="External"/><Relationship Id="rId3" Type="http://schemas.openxmlformats.org/officeDocument/2006/relationships/hyperlink" Target="https://www.hrw.org/news/2020/05/07/egypt-covid-19-cover-new-repressive-powers" TargetMode="External"/><Relationship Id="rId21" Type="http://schemas.openxmlformats.org/officeDocument/2006/relationships/hyperlink" Target="https://citizenlab.ca/author/ramy-raoof/" TargetMode="External"/><Relationship Id="rId7" Type="http://schemas.openxmlformats.org/officeDocument/2006/relationships/hyperlink" Target="https://www.hrw.org/news/2019/07/24/egypt-new-ngo-law-renews-draconian-restrictions" TargetMode="External"/><Relationship Id="rId12" Type="http://schemas.openxmlformats.org/officeDocument/2006/relationships/hyperlink" Target="https://www.hrw.org/news/2021/06/28/egypt-persecutes-tiktok-women-while-men-get-impunity-sexual-violence" TargetMode="External"/><Relationship Id="rId17" Type="http://schemas.openxmlformats.org/officeDocument/2006/relationships/hyperlink" Target="https://citizenlab.ca/author/bmarczak/" TargetMode="External"/><Relationship Id="rId2" Type="http://schemas.openxmlformats.org/officeDocument/2006/relationships/hyperlink" Target="https://www.ilo.org/dyn/natlex/natlex4.detail?p_lang=en&amp;p_isn=111244&amp;p_count=19&amp;p_classification=01" TargetMode="External"/><Relationship Id="rId16" Type="http://schemas.openxmlformats.org/officeDocument/2006/relationships/hyperlink" Target="https://www.fidh.org/IMG/pdf/382873255-egypt-a-repression-made-in-france.pdf" TargetMode="External"/><Relationship Id="rId20" Type="http://schemas.openxmlformats.org/officeDocument/2006/relationships/hyperlink" Target="https://citizenlab.ca/author/bmarczak/" TargetMode="External"/><Relationship Id="rId1" Type="http://schemas.openxmlformats.org/officeDocument/2006/relationships/hyperlink" Target="https://www.hrw.org/news/2021/01/13/egypt-no-end-escalating-repression" TargetMode="External"/><Relationship Id="rId6" Type="http://schemas.openxmlformats.org/officeDocument/2006/relationships/hyperlink" Target="https://undocs.org/en/A/HRC/45/36" TargetMode="External"/><Relationship Id="rId11" Type="http://schemas.openxmlformats.org/officeDocument/2006/relationships/hyperlink" Target="https://spcommreports.ohchr.org/TMResultsBase/DownLoadPublicCommunicationFile?gId=26522" TargetMode="External"/><Relationship Id="rId5" Type="http://schemas.openxmlformats.org/officeDocument/2006/relationships/hyperlink" Target="https://reliefweb.int/sites/reliefweb.int/files/resources/POL1032022021ENGLISH.PDF" TargetMode="External"/><Relationship Id="rId15" Type="http://schemas.openxmlformats.org/officeDocument/2006/relationships/hyperlink" Target="https://www.fidh.org/IMG/pdf/382873255-egypt-a-repression-made-in-france.pdf" TargetMode="External"/><Relationship Id="rId23" Type="http://schemas.openxmlformats.org/officeDocument/2006/relationships/hyperlink" Target="https://www.hrw.org/news/2021/08/04/clean-streets-faggots" TargetMode="External"/><Relationship Id="rId10" Type="http://schemas.openxmlformats.org/officeDocument/2006/relationships/hyperlink" Target="https://www.amnesty.org/en/latest/news/2021/03/egypt-sanaa-seifs-conviction-on-bogus-charges-a-cruel-blow-for-freedom-of-expression-2/" TargetMode="External"/><Relationship Id="rId19" Type="http://schemas.openxmlformats.org/officeDocument/2006/relationships/hyperlink" Target="https://citizenlab.ca/author/etiennemaynier/" TargetMode="External"/><Relationship Id="rId4" Type="http://schemas.openxmlformats.org/officeDocument/2006/relationships/hyperlink" Target="https://cihrs.org/egypt-amendments-to-emergency-law-exploit-covid-19-to-undermine-judicial-independence/?lang=en" TargetMode="External"/><Relationship Id="rId9" Type="http://schemas.openxmlformats.org/officeDocument/2006/relationships/hyperlink" Target="https://www.amnesty.org/ar/wp-content/uploads/2021/05/MDE1234292020ENGLISH.pdf" TargetMode="External"/><Relationship Id="rId14" Type="http://schemas.openxmlformats.org/officeDocument/2006/relationships/hyperlink" Target="https://www.fidh.org/IMG/pdf/382873255-egypt-a-repression-made-in-france.pdf" TargetMode="External"/><Relationship Id="rId22" Type="http://schemas.openxmlformats.org/officeDocument/2006/relationships/hyperlink" Target="https://citizenlab.ca/author/etiennemayni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mo9aFqWx8ifxDewIz76/L0B1NTw==">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BBFB4BF-D51F-4609-B1C4-9B611819E170}"/>
</file>

<file path=customXml/itemProps3.xml><?xml version="1.0" encoding="utf-8"?>
<ds:datastoreItem xmlns:ds="http://schemas.openxmlformats.org/officeDocument/2006/customXml" ds:itemID="{669BD79D-9314-41C1-AB0B-B314889F76F5}"/>
</file>

<file path=customXml/itemProps4.xml><?xml version="1.0" encoding="utf-8"?>
<ds:datastoreItem xmlns:ds="http://schemas.openxmlformats.org/officeDocument/2006/customXml" ds:itemID="{35210414-07A5-42AA-A70B-FE24D7F30A18}"/>
</file>

<file path=docProps/app.xml><?xml version="1.0" encoding="utf-8"?>
<Properties xmlns="http://schemas.openxmlformats.org/officeDocument/2006/extended-properties" xmlns:vt="http://schemas.openxmlformats.org/officeDocument/2006/docPropsVTypes">
  <Template>Normal.dotm</Template>
  <TotalTime>0</TotalTime>
  <Pages>18</Pages>
  <Words>3388</Words>
  <Characters>19281</Characters>
  <Application>Microsoft Office Word</Application>
  <DocSecurity>0</DocSecurity>
  <Lines>306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2021-09-20T18:03:00Z</dcterms:created>
  <dcterms:modified xsi:type="dcterms:W3CDTF">2021-09-20T18:03:00Z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