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9ADA4" w14:textId="77777777" w:rsidR="00ED53E8" w:rsidRDefault="008A1514">
      <w:pPr>
        <w:jc w:val="center"/>
        <w:rPr>
          <w:b/>
          <w:bCs/>
        </w:rPr>
      </w:pPr>
      <w:r>
        <w:rPr>
          <w:b/>
          <w:bCs/>
        </w:rPr>
        <w:t xml:space="preserve">PROPUESTA DE TEMAS PARA LA ELABORACIÓN DE LA LISTA DE CUESTIONES RESPECTO AL PRÓXIMO EXAMEN DEL ESTADO DE COLOMBIA POR EL COMITÉ CONTRA LA DESAPARICIÓN FORZADA </w:t>
      </w:r>
    </w:p>
    <w:p w14:paraId="55373209" w14:textId="77777777" w:rsidR="00ED53E8" w:rsidRDefault="00ED53E8"/>
    <w:p w14:paraId="41876BB8" w14:textId="77777777" w:rsidR="00ED53E8" w:rsidRDefault="008A151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presente propuesta se somete al Comité contra la Desaparición Forzada por parte de Servicios Internacionales de Profesionales en Derechos Humanos (SIPDH), </w:t>
      </w:r>
      <w:r>
        <w:rPr>
          <w:rFonts w:ascii="Times New Roman" w:eastAsia="Times New Roman" w:hAnsi="Times New Roman" w:cs="Times New Roman"/>
          <w:sz w:val="24"/>
          <w:szCs w:val="24"/>
          <w:highlight w:val="white"/>
        </w:rPr>
        <w:t>del Instituto Internacional de Responsabilidad Social y Derechos Humanos (IIRESODH)</w:t>
      </w:r>
      <w:r>
        <w:rPr>
          <w:rFonts w:ascii="Times New Roman" w:eastAsia="Times New Roman" w:hAnsi="Times New Roman" w:cs="Times New Roman"/>
          <w:sz w:val="24"/>
          <w:szCs w:val="24"/>
        </w:rPr>
        <w:t xml:space="preserve"> y de Práctica Internacional de Derechos Humanos (PIDH). El IIRESODH representa judicialmente a más de 2600 víctimas ante la Jurisdicción Especial para la Paz (JEP) en los Macrocasos 01 y 10; versando el primero sobre toma de rehenes, graves privaciones de la libertad y otros crímenes concurrentes y el segundo sobre los crímenes no amnistiables cometidos por miembros de las extintas Fuerzas Armadas Revolucionarias de Colombia</w:t>
      </w:r>
      <w:r>
        <w:rPr>
          <w:rFonts w:ascii="Times New Roman" w:eastAsia="Times New Roman" w:hAnsi="Times New Roman" w:cs="Times New Roman"/>
          <w:sz w:val="24"/>
          <w:szCs w:val="24"/>
        </w:rPr>
        <w:t xml:space="preserve"> - Ejército del Pueblo (FARC-EP), con ocasión o en relación directa con el conflicto armado colombiano.  </w:t>
      </w:r>
    </w:p>
    <w:p w14:paraId="033C53A1" w14:textId="77777777" w:rsidR="00ED53E8" w:rsidRDefault="00ED53E8">
      <w:pPr>
        <w:jc w:val="both"/>
        <w:rPr>
          <w:rFonts w:ascii="Times New Roman" w:eastAsia="Times New Roman" w:hAnsi="Times New Roman" w:cs="Times New Roman"/>
          <w:sz w:val="24"/>
          <w:szCs w:val="24"/>
        </w:rPr>
      </w:pPr>
    </w:p>
    <w:p w14:paraId="3C60FC8A" w14:textId="77777777" w:rsidR="00ED53E8" w:rsidRDefault="008A151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adopción del Acuerdo Final de Paz de 2016 y el avance procesal de la JEP hacia la imposición de las primeras decisiones y sanciones no han permitido frenar el conflicto armado interno ni la reconfiguración de los grupos armados organizados. En este contexto, las desapariciones forzadas persisten como una práctica sistemática y vigente en el país, mutando en sus modalidades y actores y afectando particularmente a ciertas regiones del país como Arauca, Cauca y Chocó. Además, a pesar de los esfuerzos de la </w:t>
      </w:r>
      <w:r>
        <w:rPr>
          <w:rFonts w:ascii="Times New Roman" w:eastAsia="Times New Roman" w:hAnsi="Times New Roman" w:cs="Times New Roman"/>
          <w:sz w:val="24"/>
          <w:szCs w:val="24"/>
        </w:rPr>
        <w:t xml:space="preserve">Unidad de Búsqueda de Personas dadas por Desaparecidas (UBPD) y de la JEP, las cifras oficiales continúan siendo objeto de disputa y de subregistro; en particular en el marco de la crisis forense que impide establecer la verdad, afectando a más de 100.000 familias buscadoras. Aunado a eso, preocupa profundamente que la desaparición forzada siga siendo tratada como un delito subsidiario de los macro casos de la JEP. </w:t>
      </w:r>
    </w:p>
    <w:p w14:paraId="6FC504B0" w14:textId="77777777" w:rsidR="00ED53E8" w:rsidRDefault="00ED53E8">
      <w:pPr>
        <w:jc w:val="both"/>
        <w:rPr>
          <w:rFonts w:ascii="Times New Roman" w:eastAsia="Times New Roman" w:hAnsi="Times New Roman" w:cs="Times New Roman"/>
          <w:sz w:val="24"/>
          <w:szCs w:val="24"/>
        </w:rPr>
      </w:pPr>
    </w:p>
    <w:p w14:paraId="7451BA83" w14:textId="77777777" w:rsidR="00ED53E8" w:rsidRDefault="008A1514">
      <w:pPr>
        <w:numPr>
          <w:ilvl w:val="0"/>
          <w:numId w:val="1"/>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MARCO NORMATIVO (párr. 3 a 6 de las Observaciones Finales de 2021 y párr. 15 a 18 de las Observaciones Finales de 2016). </w:t>
      </w:r>
    </w:p>
    <w:p w14:paraId="7E6D270D" w14:textId="77777777" w:rsidR="00ED53E8" w:rsidRDefault="00ED53E8">
      <w:pPr>
        <w:jc w:val="both"/>
        <w:rPr>
          <w:rFonts w:ascii="Times New Roman" w:eastAsia="Times New Roman" w:hAnsi="Times New Roman" w:cs="Times New Roman"/>
          <w:sz w:val="24"/>
          <w:szCs w:val="24"/>
        </w:rPr>
      </w:pPr>
    </w:p>
    <w:p w14:paraId="3C801A7B" w14:textId="77777777" w:rsidR="00ED53E8" w:rsidRDefault="008A151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un lado, a pesar de las recomendaciones de su Honorable Comité, Colombia mantiene una tipificación de la desaparición forzada en el artículo 165 del Código Penal que resulta problemática, al equiparar, en un mismo tipo penal, la conducta cometida por agentes del Estado (o con su aquiescencia) con la cometida por particulares actuando sin vínculo estatal. Eso diluye entonces la responsabilidad específica del Estado e impide tener datos sobre la participación de los agentes estatales en las desapariciones</w:t>
      </w:r>
      <w:r>
        <w:rPr>
          <w:rFonts w:ascii="Times New Roman" w:eastAsia="Times New Roman" w:hAnsi="Times New Roman" w:cs="Times New Roman"/>
          <w:sz w:val="24"/>
          <w:szCs w:val="24"/>
        </w:rPr>
        <w:t xml:space="preserve"> forzadas cometidas. Además, Colombia no cuenta con ninguna disposición que consagre la responsabilidad penal del superior jerárquico en los términos estrictos del artículo 6 de la Convención. En este contexto, en casos de “falsos positivos” (ejecuciones extrajudiciales seguidas de desaparición para simular bajas en combate), se utiliza la ambigüedad normativa para alegar desconexión entre los superiores y los hechos ejecutados por subordinados; perpetuando la impunidad de los máximos responsables y delegan</w:t>
      </w:r>
      <w:r>
        <w:rPr>
          <w:rFonts w:ascii="Times New Roman" w:eastAsia="Times New Roman" w:hAnsi="Times New Roman" w:cs="Times New Roman"/>
          <w:sz w:val="24"/>
          <w:szCs w:val="24"/>
        </w:rPr>
        <w:t>do la responsabilidad penal exclusivamente en los autores materiales de bajo rango.</w:t>
      </w:r>
    </w:p>
    <w:p w14:paraId="1984A4CC" w14:textId="77777777" w:rsidR="00ED53E8" w:rsidRDefault="00ED53E8">
      <w:pPr>
        <w:jc w:val="both"/>
        <w:rPr>
          <w:rFonts w:ascii="Times New Roman" w:eastAsia="Times New Roman" w:hAnsi="Times New Roman" w:cs="Times New Roman"/>
          <w:sz w:val="24"/>
          <w:szCs w:val="24"/>
        </w:rPr>
      </w:pPr>
    </w:p>
    <w:p w14:paraId="10B2DDDC" w14:textId="77777777" w:rsidR="00ED53E8" w:rsidRDefault="008A151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Por otro lado, a pesar del marco normativo existente en materia de jurisdicción penal universal (art. 16.6 del Código Penal y 75.3 del Código de Procedimiento Penal), esta herramienta permanece inédita en la jurisprudencia nacional para crímenes cometidos en el extranjero cuando los presuntos responsables se encuentren en el territorio nacional, o viceversa</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En efecto, existen barreras políticas y estructurales importantes que impiden el uso de dicha jurisdicción como la incapacidad operativa de la Fiscalía General de la Nación, la falta de unidades especializadas, la falta de voluntad política así como la falta de independencia y de imparcialidad del aparato judicial en el país, tanto de los jueces como de los fiscales.</w:t>
      </w:r>
    </w:p>
    <w:p w14:paraId="38F5F9CB" w14:textId="77777777" w:rsidR="00ED53E8" w:rsidRDefault="008A1514">
      <w:pPr>
        <w:numPr>
          <w:ilvl w:val="0"/>
          <w:numId w:val="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RIESGO DE INVISIBILIZACIÓN DEL DELITO EN LA JEP (párr. 18 y 19 de las Observaciones Finales de 2021)</w:t>
      </w:r>
    </w:p>
    <w:p w14:paraId="4F7CB56A" w14:textId="77777777" w:rsidR="00ED53E8" w:rsidRDefault="008A151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magnitud del fenómeno de desaparición forzada en el contexto del conflicto armado colombiano es devastadora. De acuerdo con estimaciones conjuntas de la Comisión de la Verdad y el Human Rights Data Analysis Group, entre 1985 y 2016 se registraron aproximadamente 121.768 víctimas, con un subregistro potencial que podría elevar la cifra a 210.000 personas desaparecidas. Según la Comisión de la Verdad, el 24% de los casos de desaparición forzada serían atribuibles a la extinta guerrilla de las FARC</w:t>
      </w:r>
      <w:r>
        <w:rPr>
          <w:vertAlign w:val="superscript"/>
        </w:rPr>
        <w:footnoteReference w:id="2"/>
      </w:r>
      <w:r>
        <w:rPr>
          <w:rFonts w:ascii="Times New Roman" w:eastAsia="Times New Roman" w:hAnsi="Times New Roman" w:cs="Times New Roman"/>
          <w:sz w:val="24"/>
          <w:szCs w:val="24"/>
        </w:rPr>
        <w:t>. Por su parte, el Centro Nacional de Memoria Histórica (CNMH) atribuye a las guerrillas el 19,9% de las desapariciones, equivalentes a 5.849 casos, identifica específicamente a las FARC como el grupo perpetrador en 1.067 de los casos individualizados.</w:t>
      </w:r>
      <w:r>
        <w:rPr>
          <w:vertAlign w:val="superscript"/>
        </w:rPr>
        <w:footnoteReference w:id="3"/>
      </w:r>
    </w:p>
    <w:p w14:paraId="7E488716" w14:textId="77777777" w:rsidR="00ED53E8" w:rsidRDefault="008A151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 bien la JEP ha avanzado en la apertura de macrocasos vinculados a los crímenes de desaparición forzada, como el 03 sobre asesinatos y desapariciones forzadas presentadas falsamente como bajas en combate por agentes del Estado o el 01 sobre la toma de rehenes por las FARC-EP, la desaparición forzada corre el riesgo de quedar diluida o subsumida bajo otras tipologías delictivas o patrones de macrocriminalidad. Efectivamente, al tratar al desaparecido como “secuestrado”, se corre el riesgo de establecer la </w:t>
      </w:r>
      <w:r>
        <w:rPr>
          <w:rFonts w:ascii="Times New Roman" w:eastAsia="Times New Roman" w:hAnsi="Times New Roman" w:cs="Times New Roman"/>
          <w:sz w:val="24"/>
          <w:szCs w:val="24"/>
        </w:rPr>
        <w:t xml:space="preserve">verdad y la justicia sobre el cautiverio, pero no sobre el destino final y la ubicación de los cuerpos (macrocaso 01); lo que ocurre también al tratar a la desaparición forzada sólo como el medio para el homicidio (macrocaso 03). </w:t>
      </w:r>
    </w:p>
    <w:p w14:paraId="3F734031" w14:textId="77777777" w:rsidR="00ED53E8" w:rsidRDefault="008A151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efecto, no existe un macrocaso exclusivo que aborde la desaparición forzada en toda su dimensión sistemática y generalizada por parte de todos los actores armados aunque lo recomendó su Honorable Comité (párr. 19.a de las Observaciones Finales de 2021). Esta </w:t>
      </w:r>
      <w:r>
        <w:rPr>
          <w:rFonts w:ascii="Times New Roman" w:eastAsia="Times New Roman" w:hAnsi="Times New Roman" w:cs="Times New Roman"/>
          <w:sz w:val="24"/>
          <w:szCs w:val="24"/>
        </w:rPr>
        <w:lastRenderedPageBreak/>
        <w:t xml:space="preserve">metodología de investigación fragmentada dificulta establecer patrones de responsabilidad de mando específico sobre la disposición de los cuerpos y la infraestructura de ocultamiento utilizada por agentes del Estado, por paramilitares y mercenarios. Preocupa que, al no existir un macrocaso exclusivo o un eje transversal fuerte sobre desaparición forzada, se pierda la oportunidad de juzgar la cadena de mando completa responsable no solo de la muerte, sino del mecanismo de desaparición posterior. Además, eso </w:t>
      </w:r>
      <w:r>
        <w:rPr>
          <w:rFonts w:ascii="Times New Roman" w:eastAsia="Times New Roman" w:hAnsi="Times New Roman" w:cs="Times New Roman"/>
          <w:sz w:val="24"/>
          <w:szCs w:val="24"/>
        </w:rPr>
        <w:t xml:space="preserve">obliga a las víctimas de desaparición a fragmentar su relato y su demanda de justicia entre diferentes macrocasos, diluyendo su impacto y dificultando la reparación integral; y puede incluso llegar a excluir a las víctimas indirectas –familiares de personas desaparecidas– de los macrocasos. Todo eso constituye una revictimización clara de las víctimas de desapariciones forzadas. </w:t>
      </w:r>
    </w:p>
    <w:p w14:paraId="4372728A" w14:textId="77777777" w:rsidR="00ED53E8" w:rsidRDefault="008A151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Pese a la objetividad de los registros que evidencian la existencia de prácticas estandarizadas de desaparición forzada de civiles por parte de la extinta guerrilla, la representación judicial ejercida por el IIRESODH en favor de víctimas de hechos atribuibles a los entonces bloques Sur, Oriental, Noroccidental y Comando Conjunto Central de las FARC-EP permite concluir, de manera preliminar, que los aportes a la verdad realizados por los comparecientes no satisfacen los estándares internacionales exigibles </w:t>
      </w:r>
      <w:r>
        <w:rPr>
          <w:rFonts w:ascii="Times New Roman" w:eastAsia="Times New Roman" w:hAnsi="Times New Roman" w:cs="Times New Roman"/>
          <w:sz w:val="24"/>
          <w:szCs w:val="24"/>
        </w:rPr>
        <w:t>en escenarios judiciales. Los relatos adolecen de la precisión necesaria para comprender aspectos esenciales como las órdenes de desaparición, las modalidades de comisión de la conducta, las dinámicas internas de funcionamiento, las instrucciones impartidas, la cadena de mando, la disposición final de cuerpos y demás elementos determinantes para esclarecer vacíos que, a la fecha, permanecen  sin resolver.</w:t>
      </w:r>
    </w:p>
    <w:p w14:paraId="18A0F0B3" w14:textId="77777777" w:rsidR="00ED53E8" w:rsidRDefault="00ED53E8">
      <w:pPr>
        <w:jc w:val="both"/>
        <w:rPr>
          <w:rFonts w:ascii="Times New Roman" w:eastAsia="Times New Roman" w:hAnsi="Times New Roman" w:cs="Times New Roman"/>
          <w:sz w:val="24"/>
          <w:szCs w:val="24"/>
        </w:rPr>
      </w:pPr>
    </w:p>
    <w:p w14:paraId="713ED153" w14:textId="77777777" w:rsidR="00ED53E8" w:rsidRDefault="008A151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riesgo advertido en el presente documento es el de impunidad, el cual puede materializarse mediante la aceptación de responsabilidad por parte de los comparecientes respecto de los delitos descritos en los distintos Autos de Determinación de Hechos y Conductas proferidos  por la Magistratura, con fundamento en la información recaudada por la sociedad civil y la Fiscalía General de la Nación. Dicha aceptación conlleva el acceso a beneficios judiciales por parte de los ex combatientes, aun cuando no se hay</w:t>
      </w:r>
      <w:r>
        <w:rPr>
          <w:rFonts w:ascii="Times New Roman" w:eastAsia="Times New Roman" w:hAnsi="Times New Roman" w:cs="Times New Roman"/>
          <w:sz w:val="24"/>
          <w:szCs w:val="24"/>
        </w:rPr>
        <w:t>an realizado aportes rigurosos y sustanciales a la verdad, con el consecuente sacrificio de los derechos de las víctimas a la verdad, la justicia y la reparación.</w:t>
      </w:r>
    </w:p>
    <w:p w14:paraId="11F1563D" w14:textId="77777777" w:rsidR="00ED53E8" w:rsidRDefault="008A151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imperativo que el Estado aclare cómo garantiza que la metodología de agrupación por macrocasos no invisibiliza la autonomía y gravedad de la desaparición forzada, tal como lo exige la Convención, para que no sea meramente considerada como una modalidad de ocultamiento del homicidio. El Estado debería igualmente explicar cómo se están imputando los cargos por responsabilidad de mando (art. 6 de la Convención) a los superiores que, si bien no ordenaron la muerte, facilitaron o encubrieron la desaparición d</w:t>
      </w:r>
      <w:r>
        <w:rPr>
          <w:rFonts w:ascii="Times New Roman" w:eastAsia="Times New Roman" w:hAnsi="Times New Roman" w:cs="Times New Roman"/>
          <w:sz w:val="24"/>
          <w:szCs w:val="24"/>
        </w:rPr>
        <w:t xml:space="preserve">e los cuerpos, y qué garantías existen para que las víctimas de desaparición que no encajan en los patrones actuales no queden excluidas de los procesos de justicia transicional. </w:t>
      </w:r>
    </w:p>
    <w:p w14:paraId="72862A03" w14:textId="77777777" w:rsidR="00ED53E8" w:rsidRDefault="00ED53E8">
      <w:pPr>
        <w:spacing w:before="240" w:after="240"/>
        <w:jc w:val="both"/>
        <w:rPr>
          <w:rFonts w:ascii="Times New Roman" w:eastAsia="Times New Roman" w:hAnsi="Times New Roman" w:cs="Times New Roman"/>
          <w:sz w:val="24"/>
          <w:szCs w:val="24"/>
        </w:rPr>
      </w:pPr>
    </w:p>
    <w:p w14:paraId="2006BCB6" w14:textId="77777777" w:rsidR="00ED53E8" w:rsidRDefault="008A1514">
      <w:pPr>
        <w:numPr>
          <w:ilvl w:val="0"/>
          <w:numId w:val="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SANCIONES EN EL MARCO DE LA JEP</w:t>
      </w:r>
      <w:r>
        <w:rPr>
          <w:rFonts w:ascii="Times New Roman" w:eastAsia="Times New Roman" w:hAnsi="Times New Roman" w:cs="Times New Roman"/>
          <w:sz w:val="24"/>
          <w:szCs w:val="24"/>
        </w:rPr>
        <w:t xml:space="preserve"> </w:t>
      </w:r>
    </w:p>
    <w:p w14:paraId="3D82631D" w14:textId="77777777" w:rsidR="00ED53E8" w:rsidRDefault="008A151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modelo de justicia transicional colombiano establece un régimen de “sanciones propias”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que no implican cárcel para quienes aporten verdad plena y reconozcan su responsabilidad, o sea se trata de realizar Trabajos, Obras y Actividades con contenido Restaurador-Reparador (TOAR). Sin embargo, las sanciones alternativas no cumplen con el estándar del artículo 7 de la Convención, que impone que las sanciones tomen en cuenta la extrema gravedad del delito</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y persiste un vacío en la reglamentación técnica sobre cómo se supervisa el cumplimiento efectivo de dichas sanciones, al carecer de un mecanismo de monitoreo robusto. Así, existe el riesgo de que las sanciones se queden simbólicas sin impacto real en la reparación de las víctimas. Además, inquieta la falta de claridad sobre qué sucederá con los comparecientes que, habiendo aceptado responsabilidad, incumplen posteriormente con el aporte de verdad detallada sobre la ubicación de las fosas. Eso revictimiza</w:t>
      </w:r>
      <w:r>
        <w:rPr>
          <w:rFonts w:ascii="Times New Roman" w:eastAsia="Times New Roman" w:hAnsi="Times New Roman" w:cs="Times New Roman"/>
          <w:sz w:val="24"/>
          <w:szCs w:val="24"/>
        </w:rPr>
        <w:t xml:space="preserve"> a las víctimas, negándose la sistematicidad de los crímenes. </w:t>
      </w:r>
    </w:p>
    <w:p w14:paraId="4E2136F0" w14:textId="77777777" w:rsidR="00ED53E8" w:rsidRDefault="008A151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Dentro de los mecanismos contemplados en ordenamiento jurídico transicional se estableció el incidente de incumplimiento al régimen de condicionalidad. Este puede iniciarse de oficio por cualquiera de las Salas o Secciones, así como a solicitud de las víctimas, sus apoderados judiciales, el Ministerio Público, la Fiscalía General de la Nación (FGN) o la Unidad de Investigación y Acusación, cuando consideren que algún compareciente ha incumplido una o varias de las condiciones establecidas para la conservaci</w:t>
      </w:r>
      <w:r>
        <w:rPr>
          <w:rFonts w:ascii="Times New Roman" w:eastAsia="Times New Roman" w:hAnsi="Times New Roman" w:cs="Times New Roman"/>
          <w:sz w:val="24"/>
          <w:szCs w:val="24"/>
        </w:rPr>
        <w:t xml:space="preserve">ón de los beneficios transicionales otorgados en virtud del Acuerdo Final de Paz. Uno de los compromisos esenciales del régimen de condicionalidad es el aporte exhaustivo a la verdad, el cual puede ser controvertido en cualquier etapa del procedimiento por los sujetos procesales previamente mencionados. Tal cuestionamiento da lugar a la activación del trámite incidental que, si bien se encuentra normativamente regulado, adolece de imprecisiones en aspectos sustanciales, particularmente en lo relativo a los </w:t>
      </w:r>
      <w:r>
        <w:rPr>
          <w:rFonts w:ascii="Times New Roman" w:eastAsia="Times New Roman" w:hAnsi="Times New Roman" w:cs="Times New Roman"/>
          <w:sz w:val="24"/>
          <w:szCs w:val="24"/>
        </w:rPr>
        <w:t>estándares de conocimiento y la valoración de la infracción necesarios para determinar la imposición de medidas correctivas o la eventual pérdida de beneficios. La laxitud frente a la ausencia de aportes significativos en materia de desaparición forzada, sumada a la subutilización de herramientas procesales orientadas a promover un esclarecimiento de la verdad, aun en etapas de instrucción de naturaleza dialógica, relativiza la firmeza de la administración de justicia transicional en detrimento de las vícti</w:t>
      </w:r>
      <w:r>
        <w:rPr>
          <w:rFonts w:ascii="Times New Roman" w:eastAsia="Times New Roman" w:hAnsi="Times New Roman" w:cs="Times New Roman"/>
          <w:sz w:val="24"/>
          <w:szCs w:val="24"/>
        </w:rPr>
        <w:t xml:space="preserve">mas del conflicto armado colombiano. Esta situación conlleva, además, el riesgo de invisibilización del delito en el escenario transicional.  </w:t>
      </w:r>
    </w:p>
    <w:p w14:paraId="6B456223" w14:textId="77777777" w:rsidR="00ED53E8" w:rsidRDefault="008A151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Entonces, el Comité debe requerir al Estado información detallada sobre los mecanismos de supervisión y cumplimiento de las “sanciones propias” para garantizar que no se conviertan en una simulación de justicia o una amnistía encubierta. Es crucial que el Estado explique cómo </w:t>
      </w:r>
      <w:r>
        <w:rPr>
          <w:rFonts w:ascii="Times New Roman" w:eastAsia="Times New Roman" w:hAnsi="Times New Roman" w:cs="Times New Roman"/>
          <w:sz w:val="24"/>
          <w:szCs w:val="24"/>
        </w:rPr>
        <w:lastRenderedPageBreak/>
        <w:t>se garantiza la proporcionalidad de la pena frente a la gravedad de la desaparición forzada y qué medidas concretas se adoptan ante el incumplimiento del régimen de condicionalidad, específicamente cuando los comparecientes no entregan información útil para la búsqueda y localización de las víctimas, vulnerando el derecho a la reparación integral y a la verdad de los familiares.</w:t>
      </w:r>
    </w:p>
    <w:p w14:paraId="5FD2C775" w14:textId="77777777" w:rsidR="00ED53E8" w:rsidRDefault="008A1514">
      <w:pPr>
        <w:numPr>
          <w:ilvl w:val="0"/>
          <w:numId w:val="1"/>
        </w:numPr>
        <w:pBdr>
          <w:top w:val="nil"/>
          <w:left w:val="nil"/>
          <w:bottom w:val="nil"/>
          <w:right w:val="nil"/>
          <w:between w:val="nil"/>
        </w:pBdr>
        <w:spacing w:before="240"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BÚSQUEDA, IDENTIFICACIÓN, ENTREGA DIGNA DE RESTOS MORTALES Y CRISIS FORENSE (párr. 26 a 31 de las Observaciones Finales de 2021 y párr. 25 y 26 de las Observaciones Finales de 2016)</w:t>
      </w:r>
    </w:p>
    <w:p w14:paraId="343ABF2D" w14:textId="77777777" w:rsidR="00ED53E8" w:rsidRDefault="008A151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creación de la Unidad de Búsqueda de Personas dadas por Desaparecidas (UBPD) como ente extrajudicial y humanitario fue un avance significativo en la transición colombiana. No obstante, persisten graves obstáculos en su articulación con la FGN y la JEP. Se han documentado tensiones sobre el acceso a la información reservada, la custodia de lugares de inhumación y la competencia sobre cuerpos no identificados bajo custodia del Estado. A pesar de la reciente creación del Sistema Nacional de Búsqueda (</w:t>
      </w:r>
      <w:hyperlink r:id="rId8">
        <w:r w:rsidR="00ED53E8">
          <w:rPr>
            <w:rFonts w:ascii="Times New Roman" w:eastAsia="Times New Roman" w:hAnsi="Times New Roman" w:cs="Times New Roman"/>
            <w:color w:val="1155CC"/>
            <w:sz w:val="24"/>
            <w:szCs w:val="24"/>
            <w:u w:val="single"/>
          </w:rPr>
          <w:t>Decreto 0532 de 2024</w:t>
        </w:r>
      </w:hyperlink>
      <w:r>
        <w:rPr>
          <w:rFonts w:ascii="Times New Roman" w:eastAsia="Times New Roman" w:hAnsi="Times New Roman" w:cs="Times New Roman"/>
          <w:sz w:val="24"/>
          <w:szCs w:val="24"/>
        </w:rPr>
        <w:t>), la burocracia institucional y la falta de interoperabilidad real entre las bases de datos continúan retrasando la identificación y la entrega digna de los restos, perpetuando el sufrimiento de las familias.</w:t>
      </w:r>
    </w:p>
    <w:p w14:paraId="4CC4FBDC" w14:textId="77777777" w:rsidR="00ED53E8" w:rsidRDefault="008A151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otro lado, Colombia atraviesa una crisis forense de magnitudes alarmantes, con decenas de miles de cuerpos sin identificar en cementerios públicos y fosas clandestinas. A pesar de las advertencias previas del Comité, la gestión de los cementerios municipales sigue siendo deficiente, caracterizada por la falta de preservación, la mezcla de restos óseos y la pérdida de trazabilidad de los cuerpos (custodia). La capacidad del Instituto Nacional de Medicina Legal y Ciencias Forenses está desbordada y los es</w:t>
      </w:r>
      <w:r>
        <w:rPr>
          <w:rFonts w:ascii="Times New Roman" w:eastAsia="Times New Roman" w:hAnsi="Times New Roman" w:cs="Times New Roman"/>
          <w:sz w:val="24"/>
          <w:szCs w:val="24"/>
        </w:rPr>
        <w:t>fuerzos de la JEP mediante medidas cautelares para proteger puntos de interés forense, aunque valiosos, revelan la negligencia histórica del Estado en la administración de los sitios de disposición de cadáveres.</w:t>
      </w:r>
    </w:p>
    <w:p w14:paraId="3BFF10F2" w14:textId="77777777" w:rsidR="00ED53E8" w:rsidRDefault="008A151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en el marco de las diligencias de versiones voluntarias rendidas por los comparecientes convocados dentro de la instrucción del macrocaso 10, se ha evidenciado la insuficiencia de garantías estatales para adelantar labores de búsqueda y localización de restos humanos en determinadas zonas del país. Esta situación obedece, principalmente, a la intensificación de los conflictos armados internos, reflejada en la presencia simultánea de múltiples grupos armados organizados (GAO), grupos armados </w:t>
      </w:r>
      <w:r>
        <w:rPr>
          <w:rFonts w:ascii="Times New Roman" w:eastAsia="Times New Roman" w:hAnsi="Times New Roman" w:cs="Times New Roman"/>
          <w:sz w:val="24"/>
          <w:szCs w:val="24"/>
        </w:rPr>
        <w:t>organizados residuales (GAOR) y grupos delictivos organizados (GDO) en territorios históricamente afectados por la violencia, lo cual obstaculiza el cumplimiento de la obligación estatal de apoyar la búsqueda y recuperación de personas dadas por desaparecidas en el marco del conflicto. Además, la reducción de recursos provenientes de la cooperación internacional y la actual situación financiera del país obstaculizan aun más este labor de búsqueda y reducen las posibilidades materiales de adelantar labores d</w:t>
      </w:r>
      <w:r>
        <w:rPr>
          <w:rFonts w:ascii="Times New Roman" w:eastAsia="Times New Roman" w:hAnsi="Times New Roman" w:cs="Times New Roman"/>
          <w:sz w:val="24"/>
          <w:szCs w:val="24"/>
        </w:rPr>
        <w:t>e búsqueda, las cuales se ven adicionalmente afectadas por la persistente presencia de los grupos armados en los territorios.</w:t>
      </w:r>
    </w:p>
    <w:p w14:paraId="4339EE94" w14:textId="77777777" w:rsidR="00ED53E8" w:rsidRDefault="008A151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Es urgente que el Estado informe sobre las medidas operativas –más allá de la firma de convenios– para eliminar las barreras legales y administrativas que impiden el flujo de información ágil entre la UBPD y los órganos judiciales. Se requiere información precisa sobre cómo se garantiza que las medidas cautelares decretadas por la JEP sobre cementerios y lugares de interés forense no paralicen los labores humanitarias de prospección e identificación así como sobre los protocolos específicos que se están imp</w:t>
      </w:r>
      <w:r>
        <w:rPr>
          <w:rFonts w:ascii="Times New Roman" w:eastAsia="Times New Roman" w:hAnsi="Times New Roman" w:cs="Times New Roman"/>
          <w:sz w:val="24"/>
          <w:szCs w:val="24"/>
        </w:rPr>
        <w:t>lementando para acelerar la identificación de los miles de cuerpos que permanecen en cementerios municipales y laboratorios de medicina legal, asegurando la participación efectiva de las víctimas en todas las etapas. El Estado debe explicar cuál es el plan de contingencia y la inversión presupuestal destinada a superar la emergencia forense y mejorar la infraestructura de los cementerios territoriales para evitar la desaparición administrativa de los cuerpos ya recuperados. Asimismo, se requiere información</w:t>
      </w:r>
      <w:r>
        <w:rPr>
          <w:rFonts w:ascii="Times New Roman" w:eastAsia="Times New Roman" w:hAnsi="Times New Roman" w:cs="Times New Roman"/>
          <w:sz w:val="24"/>
          <w:szCs w:val="24"/>
        </w:rPr>
        <w:t xml:space="preserve"> sobre el avance real en la consolidación del Registro Nacional de Desaparecidos y su depuración, explicando por qué persisten discrepancias significativas en las cifras de personas desaparecidas entre las distintas entidades del Estado (Fiscalía, UBPD, CNMH), lo cual impide dimensionar la magnitud real del fenómeno y planificar políticas públicas de búsqueda efectivas.</w:t>
      </w:r>
    </w:p>
    <w:p w14:paraId="2082755D" w14:textId="77777777" w:rsidR="00ED53E8" w:rsidRDefault="008A1514">
      <w:pPr>
        <w:numPr>
          <w:ilvl w:val="0"/>
          <w:numId w:val="1"/>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PROTECCIÓN DE VÍCTIMAS, COMPARECIENTES, BUSCADORES Y DEFENSORES (párr. 24 y 25 de las Observaciones Finales de 2021 y 27 y 28 de las Observaciones Finales de 2016)</w:t>
      </w:r>
    </w:p>
    <w:p w14:paraId="47DD4335" w14:textId="77777777" w:rsidR="00ED53E8" w:rsidRDefault="008A151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participación de las víctimas es el eje central del Sistema Integral de Paz colombiano. Sin embargo, persiste un contexto de violencia sistemática y letal contra personas defensoras de derechos humanos y, de manera diferenciada, contra las mujeres buscadoras; siendo objeto de amenazas, estigmatización y ataques directos en los territorios donde realizan labores de búsqueda de fosas o cuando participan en las audiencias de la JEP, para silenciar su participación procesal, generando un efecto amedrentador </w:t>
      </w:r>
      <w:r>
        <w:rPr>
          <w:rFonts w:ascii="Times New Roman" w:eastAsia="Times New Roman" w:hAnsi="Times New Roman" w:cs="Times New Roman"/>
          <w:sz w:val="24"/>
          <w:szCs w:val="24"/>
        </w:rPr>
        <w:t>(</w:t>
      </w:r>
      <w:r>
        <w:rPr>
          <w:rFonts w:ascii="Times New Roman" w:eastAsia="Times New Roman" w:hAnsi="Times New Roman" w:cs="Times New Roman"/>
          <w:i/>
          <w:iCs/>
          <w:sz w:val="24"/>
          <w:szCs w:val="24"/>
        </w:rPr>
        <w:t>chilling effect</w:t>
      </w:r>
      <w:r>
        <w:rPr>
          <w:rFonts w:ascii="Times New Roman" w:eastAsia="Times New Roman" w:hAnsi="Times New Roman" w:cs="Times New Roman"/>
          <w:sz w:val="24"/>
          <w:szCs w:val="24"/>
        </w:rPr>
        <w:t>). Si bien se aprobaron la Ley 2364 de 2024 y su decreto reglamentario de enero de 2026 que reconocen a las mujeres buscadoras como sujetos de especial protección y constructoras de paz, la realidad demuestra su ineficacia. En efecto, casos recientes de 2024 de desplazamientos forzados de víctimas acreditadas y amenazas a líderes buscadores en el Magdalena Medio y Nariño demuestran que el sistema de protección de la Unidad Nacional de Protección (UNP) es reactivo e ineficaz. Se han documenta</w:t>
      </w:r>
      <w:r>
        <w:rPr>
          <w:rFonts w:ascii="Times New Roman" w:eastAsia="Times New Roman" w:hAnsi="Times New Roman" w:cs="Times New Roman"/>
          <w:sz w:val="24"/>
          <w:szCs w:val="24"/>
        </w:rPr>
        <w:t xml:space="preserve">do casos gravísimos de violencia sexual y de violencia basada en género, cometida por escoltas de la UNP contra las propias beneficiarias, convirtiendo el mecanismo de protección en un factor de riesgo y de revictimización. Lo mismo se aplica para el Programa de Protección Integral para Víctimas y Testigos de la JEP que carece de enfoques diferenciales (étnicos, de género y territoriales) y que es reactivo.  </w:t>
      </w:r>
    </w:p>
    <w:p w14:paraId="0E681A9A" w14:textId="77777777" w:rsidR="00ED53E8" w:rsidRDefault="008A151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Resulta indispensable que el Estado rinda cuentas sobre las medidas de protección reforzada implementadas para garantizar la seguridad física y psicológica de las víctimas y testigos que participan en los procesos de justicia transicional así como en las búsquedas en el terreno. El Comité debe indagar sobre las investigaciones penales iniciadas por las amenazas contra las organizaciones de víctimas acreditadas ante la JEP, los resultados de dichas investigaciones y </w:t>
      </w:r>
      <w:r>
        <w:rPr>
          <w:rFonts w:ascii="Times New Roman" w:eastAsia="Times New Roman" w:hAnsi="Times New Roman" w:cs="Times New Roman"/>
          <w:sz w:val="24"/>
          <w:szCs w:val="24"/>
        </w:rPr>
        <w:lastRenderedPageBreak/>
        <w:t>cómo se está garantizando que la participación en las audiencias de reconocimiento de verdad no se traduzca en una situación de riesgo incrementado o revictimización para las familias buscadoras.</w:t>
      </w:r>
    </w:p>
    <w:p w14:paraId="4AD15153" w14:textId="77777777" w:rsidR="00ED53E8" w:rsidRDefault="008A1514">
      <w:pPr>
        <w:numPr>
          <w:ilvl w:val="0"/>
          <w:numId w:val="1"/>
        </w:num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PERSISTENCIA DE LA DESAPARICIÓN FORZADA Y NUEVOS PATRONES EN EL MARCO DE LA “PAZ TOTAL” (párr. 10 y 11 de las Observaciones Finales de 2021 y párr. 39 y 40 de las Observaciones Finales de 2016)</w:t>
      </w:r>
    </w:p>
    <w:p w14:paraId="5B29ACA6" w14:textId="77777777" w:rsidR="00ED53E8" w:rsidRDefault="00ED53E8">
      <w:pPr>
        <w:jc w:val="both"/>
        <w:rPr>
          <w:rFonts w:ascii="Times New Roman" w:eastAsia="Times New Roman" w:hAnsi="Times New Roman" w:cs="Times New Roman"/>
          <w:b/>
          <w:bCs/>
          <w:sz w:val="24"/>
          <w:szCs w:val="24"/>
        </w:rPr>
      </w:pPr>
    </w:p>
    <w:p w14:paraId="68D151CA" w14:textId="77777777" w:rsidR="00ED53E8" w:rsidRDefault="008A151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pesar de los esfuerzos de negociación con grupos armados bajo la política de “Paz Total”, la desaparición forzada sigue siendo una práctica vigente y en aumento en zonas de disputa territorial. Se documenta un incremento alarmante en el reclutamiento forzado de menores (aproximadamente 300% en 5 años), que son reclutados y trasladados inmediatamente a otros territorios para impedir a sus familias “salvarles” (lo que también constituye una desaparición forzada para sus familiares). Además, el aumento del c</w:t>
      </w:r>
      <w:r>
        <w:rPr>
          <w:rFonts w:ascii="Times New Roman" w:eastAsia="Times New Roman" w:hAnsi="Times New Roman" w:cs="Times New Roman"/>
          <w:sz w:val="24"/>
          <w:szCs w:val="24"/>
        </w:rPr>
        <w:t>onfinamiento de las comunidades impide la denuncia inmediata. En efecto, mientras disminuyen los combates directos entre el Ejército y las guerrillas o grupos paramilitares debido a los ceses de fuego, aumenta la violencia y el control contra la población civil por parte de los grupos armados, que aprovechan la inacción de la Fuerza Pública para consolidar su hegemonía. Aunado a eso, las disputas entre los grupos paramilitares ha generado nuevas fosas clandestinas que son inaccesibles para las unidades de b</w:t>
      </w:r>
      <w:r>
        <w:rPr>
          <w:rFonts w:ascii="Times New Roman" w:eastAsia="Times New Roman" w:hAnsi="Times New Roman" w:cs="Times New Roman"/>
          <w:sz w:val="24"/>
          <w:szCs w:val="24"/>
        </w:rPr>
        <w:t xml:space="preserve">úsqueda estatales debido a la falta de garantías de seguridad como en el Valle del Cauca. </w:t>
      </w:r>
    </w:p>
    <w:p w14:paraId="413BAB64" w14:textId="77777777" w:rsidR="00ED53E8" w:rsidRDefault="00ED53E8">
      <w:pPr>
        <w:jc w:val="both"/>
        <w:rPr>
          <w:rFonts w:ascii="Times New Roman" w:eastAsia="Times New Roman" w:hAnsi="Times New Roman" w:cs="Times New Roman"/>
          <w:sz w:val="24"/>
          <w:szCs w:val="24"/>
        </w:rPr>
      </w:pPr>
    </w:p>
    <w:p w14:paraId="292B0295" w14:textId="77777777" w:rsidR="00ED53E8" w:rsidRDefault="008A151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último, es importante manifestar que la Ley 2272 de 2022, en virtud de la cual se definió la política de paz de Estado, no hace referencia alguna a políticas o mecanismos específicamente dirigidos a la prevención y erradicación de la desaparición forzada como una estrategia utilizada por parte de los grupos armados organizados para ejercer control social y territorial en sus áreas de injerencia. Adicionalmente, no plantea la aplicación de estrategias diferenciadas que consideren las formas de violencia </w:t>
      </w:r>
      <w:r>
        <w:rPr>
          <w:rFonts w:ascii="Times New Roman" w:eastAsia="Times New Roman" w:hAnsi="Times New Roman" w:cs="Times New Roman"/>
          <w:sz w:val="24"/>
          <w:szCs w:val="24"/>
        </w:rPr>
        <w:t xml:space="preserve">utilizadas por cada uno de los actores. </w:t>
      </w:r>
    </w:p>
    <w:p w14:paraId="720ECD24" w14:textId="77777777" w:rsidR="00ED53E8" w:rsidRDefault="00ED53E8">
      <w:pPr>
        <w:jc w:val="both"/>
        <w:rPr>
          <w:rFonts w:ascii="Times New Roman" w:eastAsia="Times New Roman" w:hAnsi="Times New Roman" w:cs="Times New Roman"/>
          <w:sz w:val="24"/>
          <w:szCs w:val="24"/>
        </w:rPr>
      </w:pPr>
    </w:p>
    <w:p w14:paraId="3CE0D511" w14:textId="77777777" w:rsidR="00ED53E8" w:rsidRDefault="008A151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urgente que el Comité solicite al Estado información sobre cómo garantiza que los decretos de cese al fuego y los protocolos de la “Paz Total” no suspendan </w:t>
      </w:r>
      <w:r>
        <w:rPr>
          <w:rFonts w:ascii="Times New Roman" w:eastAsia="Times New Roman" w:hAnsi="Times New Roman" w:cs="Times New Roman"/>
          <w:i/>
          <w:iCs/>
          <w:sz w:val="24"/>
          <w:szCs w:val="24"/>
        </w:rPr>
        <w:t>de facto</w:t>
      </w:r>
      <w:r>
        <w:rPr>
          <w:rFonts w:ascii="Times New Roman" w:eastAsia="Times New Roman" w:hAnsi="Times New Roman" w:cs="Times New Roman"/>
          <w:sz w:val="24"/>
          <w:szCs w:val="24"/>
        </w:rPr>
        <w:t xml:space="preserve"> la obligación de búsqueda inmediata (mecanismo de búsqueda urgente) ni la investigación en tiempo real de nuevas desapariciones. Resulta de especial interés conocer qué medidas de contingencia existen para prevenir la desaparición de niños, niñas y adolescentes en zonas de alta conflictividad y cómo se asegura que la negociación política no se traduzca en desprotección judicial para las nuevas víctimas. Asimismo, el Estado debería informar sobre las directrices específicas que tienen la Policía y l</w:t>
      </w:r>
      <w:r>
        <w:rPr>
          <w:rFonts w:ascii="Times New Roman" w:eastAsia="Times New Roman" w:hAnsi="Times New Roman" w:cs="Times New Roman"/>
          <w:sz w:val="24"/>
          <w:szCs w:val="24"/>
        </w:rPr>
        <w:t>as Fuerzas Militares para ingresar a zonas de cese al fuego a realizar labores de búsqueda urgente sin dilaciones así como sobre las medidas concretas se están tomando para desmantelar las estructuras criminales que, pese a los diálogos, continúan desapareciendo personas como estrategia de hegemonía territorial.</w:t>
      </w:r>
    </w:p>
    <w:p w14:paraId="185AB1BD" w14:textId="77777777" w:rsidR="00ED53E8" w:rsidRDefault="00ED53E8">
      <w:pPr>
        <w:jc w:val="both"/>
        <w:rPr>
          <w:rFonts w:ascii="Times New Roman" w:eastAsia="Times New Roman" w:hAnsi="Times New Roman" w:cs="Times New Roman"/>
          <w:sz w:val="24"/>
          <w:szCs w:val="24"/>
        </w:rPr>
      </w:pPr>
    </w:p>
    <w:p w14:paraId="6A615ADA" w14:textId="77777777" w:rsidR="00ED53E8" w:rsidRDefault="00ED53E8"/>
    <w:sectPr w:rsidR="00ED53E8">
      <w:head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78A09" w14:textId="77777777" w:rsidR="008A1514" w:rsidRDefault="008A1514">
      <w:pPr>
        <w:spacing w:line="240" w:lineRule="auto"/>
      </w:pPr>
      <w:r>
        <w:separator/>
      </w:r>
    </w:p>
  </w:endnote>
  <w:endnote w:type="continuationSeparator" w:id="0">
    <w:p w14:paraId="0287C0E1" w14:textId="77777777" w:rsidR="008A1514" w:rsidRDefault="008A15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D2AD55A-6038-4819-8581-59A824D04AA3}"/>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8779F3A5-D48D-4926-AE79-A42F5ABFE14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B389C" w14:textId="77777777" w:rsidR="008A1514" w:rsidRDefault="008A1514">
      <w:pPr>
        <w:spacing w:line="240" w:lineRule="auto"/>
      </w:pPr>
      <w:r>
        <w:separator/>
      </w:r>
    </w:p>
  </w:footnote>
  <w:footnote w:type="continuationSeparator" w:id="0">
    <w:p w14:paraId="0B101594" w14:textId="77777777" w:rsidR="008A1514" w:rsidRDefault="008A1514">
      <w:pPr>
        <w:spacing w:line="240" w:lineRule="auto"/>
      </w:pPr>
      <w:r>
        <w:continuationSeparator/>
      </w:r>
    </w:p>
  </w:footnote>
  <w:footnote w:id="1">
    <w:p w14:paraId="63D9A2CA" w14:textId="77777777" w:rsidR="00ED53E8" w:rsidRDefault="008A1514">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Ver nuestra contribución para el informe del Grupo de Trabajo sobre Desaparición Forzada sobre el uso de la jurisdicción penal penal en casos de desaparición forzada: </w:t>
      </w:r>
      <w:hyperlink r:id="rId1">
        <w:r w:rsidR="00ED53E8">
          <w:rPr>
            <w:rFonts w:ascii="Times New Roman" w:eastAsia="Times New Roman" w:hAnsi="Times New Roman" w:cs="Times New Roman"/>
            <w:color w:val="1155CC"/>
            <w:sz w:val="20"/>
            <w:szCs w:val="20"/>
            <w:u w:val="single"/>
          </w:rPr>
          <w:t>https://www.ohchr.org/sites/default/files/documents/issues/disappearances/cfi/ucj/subm-research-wg-cso-instituto-international-responsabilid-manos-es.pdf</w:t>
        </w:r>
      </w:hyperlink>
      <w:r>
        <w:rPr>
          <w:rFonts w:ascii="Times New Roman" w:eastAsia="Times New Roman" w:hAnsi="Times New Roman" w:cs="Times New Roman"/>
          <w:sz w:val="20"/>
          <w:szCs w:val="20"/>
        </w:rPr>
        <w:t xml:space="preserve"> </w:t>
      </w:r>
    </w:p>
  </w:footnote>
  <w:footnote w:id="2">
    <w:p w14:paraId="2F47074F" w14:textId="77777777" w:rsidR="00ED53E8" w:rsidRDefault="008A1514">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COMISIÓN PARA EL ESCLARECIMIENTO DE LA VERDAD, LA CONVIVENCIA Y LA NO REPETICIÓN (CEV). </w:t>
      </w:r>
      <w:r>
        <w:rPr>
          <w:rFonts w:ascii="Times New Roman" w:eastAsia="Times New Roman" w:hAnsi="Times New Roman" w:cs="Times New Roman"/>
          <w:i/>
          <w:iCs/>
          <w:sz w:val="18"/>
          <w:szCs w:val="18"/>
        </w:rPr>
        <w:t>Desaparición forzada</w:t>
      </w:r>
      <w:r>
        <w:rPr>
          <w:rFonts w:ascii="Times New Roman" w:eastAsia="Times New Roman" w:hAnsi="Times New Roman" w:cs="Times New Roman"/>
          <w:sz w:val="18"/>
          <w:szCs w:val="18"/>
        </w:rPr>
        <w:t xml:space="preserve"> [En línea]. Informe Final, s. l., s. f. Disponible en: </w:t>
      </w:r>
      <w:hyperlink r:id="rId2">
        <w:r w:rsidR="00ED53E8">
          <w:rPr>
            <w:rFonts w:ascii="Times New Roman" w:eastAsia="Times New Roman" w:hAnsi="Times New Roman" w:cs="Times New Roman"/>
            <w:color w:val="1155CC"/>
            <w:sz w:val="18"/>
            <w:szCs w:val="18"/>
            <w:u w:val="single"/>
          </w:rPr>
          <w:t>Desaparición forzada | Informe Final Comisión de la Verdad</w:t>
        </w:r>
      </w:hyperlink>
    </w:p>
  </w:footnote>
  <w:footnote w:id="3">
    <w:p w14:paraId="52F03911" w14:textId="77777777" w:rsidR="00ED53E8" w:rsidRDefault="008A1514">
      <w:pPr>
        <w:spacing w:line="240" w:lineRule="auto"/>
        <w:jc w:val="both"/>
        <w:rPr>
          <w:rFonts w:ascii="Times New Roman" w:eastAsia="Times New Roman" w:hAnsi="Times New Roman" w:cs="Times New Roman"/>
          <w:sz w:val="18"/>
          <w:szCs w:val="18"/>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18"/>
          <w:szCs w:val="18"/>
        </w:rPr>
        <w:t xml:space="preserve">CENTRO NACIONAL DE MEMORIA HISTÓRICA (CNMH). </w:t>
      </w:r>
      <w:r>
        <w:rPr>
          <w:rFonts w:ascii="Times New Roman" w:eastAsia="Times New Roman" w:hAnsi="Times New Roman" w:cs="Times New Roman"/>
          <w:i/>
          <w:iCs/>
          <w:sz w:val="18"/>
          <w:szCs w:val="18"/>
        </w:rPr>
        <w:t>Desaparición forzada: balance de la contribución del CNMH al esclarecimiento histórico</w:t>
      </w:r>
      <w:r>
        <w:rPr>
          <w:rFonts w:ascii="Times New Roman" w:eastAsia="Times New Roman" w:hAnsi="Times New Roman" w:cs="Times New Roman"/>
          <w:sz w:val="18"/>
          <w:szCs w:val="18"/>
        </w:rPr>
        <w:t>. 1. ed. Bogotá: Centro Nacional de Memoria Histórica, 2018. p. 55. Disponible en:</w:t>
      </w:r>
      <w:hyperlink r:id="rId3">
        <w:r w:rsidR="00ED53E8">
          <w:rPr>
            <w:rFonts w:ascii="Times New Roman" w:eastAsia="Times New Roman" w:hAnsi="Times New Roman" w:cs="Times New Roman"/>
            <w:sz w:val="18"/>
            <w:szCs w:val="18"/>
          </w:rPr>
          <w:t xml:space="preserve"> </w:t>
        </w:r>
      </w:hyperlink>
      <w:hyperlink r:id="rId4">
        <w:r w:rsidR="00ED53E8">
          <w:rPr>
            <w:rFonts w:ascii="Times New Roman" w:eastAsia="Times New Roman" w:hAnsi="Times New Roman" w:cs="Times New Roman"/>
            <w:color w:val="1155CC"/>
            <w:sz w:val="18"/>
            <w:szCs w:val="18"/>
            <w:u w:val="single"/>
          </w:rPr>
          <w:t>https://centrodememoriahistorica.gov.co/micrositios/balances-jep/descargas/balance-desaparicion-forzada.pdf</w:t>
        </w:r>
      </w:hyperlink>
    </w:p>
  </w:footnote>
  <w:footnote w:id="4">
    <w:p w14:paraId="64CA1312" w14:textId="77777777" w:rsidR="00ED53E8" w:rsidRDefault="008A1514">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Ver </w:t>
      </w:r>
      <w:hyperlink r:id="rId5">
        <w:r w:rsidR="00ED53E8">
          <w:rPr>
            <w:rFonts w:ascii="Times New Roman" w:eastAsia="Times New Roman" w:hAnsi="Times New Roman" w:cs="Times New Roman"/>
            <w:color w:val="1155CC"/>
            <w:sz w:val="20"/>
            <w:szCs w:val="20"/>
            <w:u w:val="single"/>
          </w:rPr>
          <w:t>Lineamientos en materia de sanción propia y Trabajos, Obras y Actividades con contenido Reparador - Restaurador de la Sección de Reconocimiento de Verdad y Responsabilidad Tribunal para la Paz</w:t>
        </w:r>
      </w:hyperlink>
      <w:r>
        <w:rPr>
          <w:rFonts w:ascii="Times New Roman" w:eastAsia="Times New Roman" w:hAnsi="Times New Roman" w:cs="Times New Roman"/>
          <w:sz w:val="20"/>
          <w:szCs w:val="20"/>
        </w:rPr>
        <w:t xml:space="preserve"> y Comunicado 063 de la JEP, </w:t>
      </w:r>
      <w:hyperlink r:id="rId6">
        <w:r w:rsidR="00ED53E8">
          <w:rPr>
            <w:rFonts w:ascii="Times New Roman" w:eastAsia="Times New Roman" w:hAnsi="Times New Roman" w:cs="Times New Roman"/>
            <w:color w:val="1155CC"/>
            <w:sz w:val="20"/>
            <w:szCs w:val="20"/>
            <w:u w:val="single"/>
          </w:rPr>
          <w:t>ABC de las Sanciones Propias que impondrá la JEP</w:t>
        </w:r>
      </w:hyperlink>
      <w:r>
        <w:rPr>
          <w:rFonts w:ascii="Times New Roman" w:eastAsia="Times New Roman" w:hAnsi="Times New Roman" w:cs="Times New Roman"/>
          <w:sz w:val="20"/>
          <w:szCs w:val="20"/>
        </w:rPr>
        <w:t xml:space="preserve">. </w:t>
      </w:r>
    </w:p>
  </w:footnote>
  <w:footnote w:id="5">
    <w:p w14:paraId="374A87D6" w14:textId="77777777" w:rsidR="00ED53E8" w:rsidRDefault="008A1514">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En efecto, los lineamientos prevén que las sanciones propias tendrán una duración de cinco a ocho años y que a los partícipes no determinantes también se les impondrán sanciones propias por un periodo de dos a cinco años.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96CD4" w14:textId="77777777" w:rsidR="00ED53E8" w:rsidRDefault="008A1514">
    <w:r>
      <w:rPr>
        <w:noProof/>
      </w:rPr>
      <w:drawing>
        <wp:anchor distT="114300" distB="114300" distL="114300" distR="114300" simplePos="0" relativeHeight="251658240" behindDoc="0" locked="0" layoutInCell="1" hidden="0" allowOverlap="1" wp14:anchorId="2E60212A" wp14:editId="38E50FF7">
          <wp:simplePos x="0" y="0"/>
          <wp:positionH relativeFrom="column">
            <wp:posOffset>3971925</wp:posOffset>
          </wp:positionH>
          <wp:positionV relativeFrom="paragraph">
            <wp:posOffset>-142874</wp:posOffset>
          </wp:positionV>
          <wp:extent cx="1495425" cy="719723"/>
          <wp:effectExtent l="0" t="0" r="0" b="0"/>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95425" cy="719723"/>
                  </a:xfrm>
                  <a:prstGeom prst="rect">
                    <a:avLst/>
                  </a:prstGeom>
                  <a:ln/>
                </pic:spPr>
              </pic:pic>
            </a:graphicData>
          </a:graphic>
        </wp:anchor>
      </w:drawing>
    </w:r>
    <w:r>
      <w:rPr>
        <w:noProof/>
      </w:rPr>
      <w:drawing>
        <wp:anchor distT="0" distB="0" distL="0" distR="0" simplePos="0" relativeHeight="251659264" behindDoc="1" locked="0" layoutInCell="1" hidden="0" allowOverlap="1" wp14:anchorId="46A24A0D" wp14:editId="5AFFADF6">
          <wp:simplePos x="0" y="0"/>
          <wp:positionH relativeFrom="column">
            <wp:posOffset>2079788</wp:posOffset>
          </wp:positionH>
          <wp:positionV relativeFrom="paragraph">
            <wp:posOffset>-57149</wp:posOffset>
          </wp:positionV>
          <wp:extent cx="1575784" cy="552317"/>
          <wp:effectExtent l="0" t="0" r="0" b="0"/>
          <wp:wrapNone/>
          <wp:docPr id="6" name="image1.png" descr="Conócenos | U-IIRESODH"/>
          <wp:cNvGraphicFramePr/>
          <a:graphic xmlns:a="http://schemas.openxmlformats.org/drawingml/2006/main">
            <a:graphicData uri="http://schemas.openxmlformats.org/drawingml/2006/picture">
              <pic:pic xmlns:pic="http://schemas.openxmlformats.org/drawingml/2006/picture">
                <pic:nvPicPr>
                  <pic:cNvPr id="0" name="image1.png" descr="Conócenos | U-IIRESODH"/>
                  <pic:cNvPicPr preferRelativeResize="0"/>
                </pic:nvPicPr>
                <pic:blipFill>
                  <a:blip r:embed="rId2"/>
                  <a:srcRect/>
                  <a:stretch>
                    <a:fillRect/>
                  </a:stretch>
                </pic:blipFill>
                <pic:spPr>
                  <a:xfrm>
                    <a:off x="0" y="0"/>
                    <a:ext cx="1575784" cy="552317"/>
                  </a:xfrm>
                  <a:prstGeom prst="rect">
                    <a:avLst/>
                  </a:prstGeom>
                  <a:ln/>
                </pic:spPr>
              </pic:pic>
            </a:graphicData>
          </a:graphic>
        </wp:anchor>
      </w:drawing>
    </w:r>
    <w:r>
      <w:rPr>
        <w:noProof/>
      </w:rPr>
      <w:drawing>
        <wp:anchor distT="0" distB="0" distL="0" distR="0" simplePos="0" relativeHeight="251660288" behindDoc="0" locked="0" layoutInCell="1" hidden="0" allowOverlap="1" wp14:anchorId="1DC19D05" wp14:editId="27B19CD0">
          <wp:simplePos x="0" y="0"/>
          <wp:positionH relativeFrom="column">
            <wp:posOffset>257175</wp:posOffset>
          </wp:positionH>
          <wp:positionV relativeFrom="paragraph">
            <wp:posOffset>-142874</wp:posOffset>
          </wp:positionV>
          <wp:extent cx="1495425" cy="725850"/>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495425" cy="725850"/>
                  </a:xfrm>
                  <a:prstGeom prst="rect">
                    <a:avLst/>
                  </a:prstGeom>
                  <a:ln/>
                </pic:spPr>
              </pic:pic>
            </a:graphicData>
          </a:graphic>
        </wp:anchor>
      </w:drawing>
    </w:r>
  </w:p>
  <w:p w14:paraId="2100B817" w14:textId="77777777" w:rsidR="00ED53E8" w:rsidRDefault="00ED53E8"/>
  <w:p w14:paraId="33A3113D" w14:textId="77777777" w:rsidR="00ED53E8" w:rsidRDefault="00ED53E8"/>
  <w:p w14:paraId="11D9248F" w14:textId="77777777" w:rsidR="00ED53E8" w:rsidRDefault="00ED53E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917AB"/>
    <w:multiLevelType w:val="multilevel"/>
    <w:tmpl w:val="E4DA0616"/>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53754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3E8"/>
    <w:rsid w:val="008549F1"/>
    <w:rsid w:val="008A1514"/>
    <w:rsid w:val="008B7FFC"/>
    <w:rsid w:val="00B60384"/>
    <w:rsid w:val="00BF2A09"/>
    <w:rsid w:val="00ED53E8"/>
    <w:rsid w:val="00FA7756"/>
  </w:rsids>
  <m:mathPr>
    <m:mathFont m:val="Cambria Math"/>
    <m:brkBin m:val="before"/>
    <m:brkBinSub m:val="--"/>
    <m:smallFrac m:val="0"/>
    <m:dispDef/>
    <m:lMargin m:val="0"/>
    <m:rMargin m:val="0"/>
    <m:defJc m:val="centerGroup"/>
    <m:wrapIndent m:val="1440"/>
    <m:intLim m:val="subSup"/>
    <m:naryLim m:val="undOvr"/>
  </m:mathPr>
  <w:themeFontLang w:val="es-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9CBDA"/>
  <w15:docId w15:val="{B10B9BFC-C4C8-C649-AC86-2B31892C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0D5081"/>
    <w:pPr>
      <w:ind w:left="720"/>
      <w:contextualSpacing/>
    </w:p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nb.unidadbusqueda.gov.co/wp-content/uploads/2024/09/DECRETO_0532_ABRIL_29_2024.pdf"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3" Type="http://schemas.openxmlformats.org/officeDocument/2006/relationships/hyperlink" Target="https://centrodememoriahistorica.gov.co/micrositios/balances-jep/descargas/balance-desaparicion-forzada.pdf?utm_source=chatgpt.com" TargetMode="External"/><Relationship Id="rId2" Type="http://schemas.openxmlformats.org/officeDocument/2006/relationships/hyperlink" Target="https://www.comisiondelaverdad.co/violaciones-de-derechos-humanos-infracciones-al-derecho-internacional-humanitario-y/desaparicion?utm_source=chatgpt.com" TargetMode="External"/><Relationship Id="rId1" Type="http://schemas.openxmlformats.org/officeDocument/2006/relationships/hyperlink" Target="https://www.ohchr.org/sites/default/files/documents/issues/disappearances/cfi/ucj/subm-research-wg-cso-instituto-international-responsabilid-manos-es.pdf" TargetMode="External"/><Relationship Id="rId6" Type="http://schemas.openxmlformats.org/officeDocument/2006/relationships/hyperlink" Target="https://www.jep.gov.co/Paginas/ABC-de-las-Sanciones-Propias-que-impondr%C3%A1-la-JEP.aspx" TargetMode="External"/><Relationship Id="rId5" Type="http://schemas.openxmlformats.org/officeDocument/2006/relationships/hyperlink" Target="https://www.jep.gov.co/Sala-de-Prensa/SiteAssets/Paginas/Conozca-Los-lineamientos-en-materia-de-sanci%C3%B3n-propia-y-Trabajos,-Obras-y-Actividades-con-contenido-Reparador---Restaurador/28042020%20VF%20Lineamientos%20Toars%20y%20SP.pdf" TargetMode="External"/><Relationship Id="rId4" Type="http://schemas.openxmlformats.org/officeDocument/2006/relationships/hyperlink" Target="https://centrodememoriahistorica.gov.co/micrositios/balances-jep/descargas/balance-desaparicion-forzada.pdf?utm_source=chatgpt.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nKxAlgNc147gzjZ/s+0ZVZL0Uw==">CgMxLjA4AHIhMUlSUkpGN0FBZmcxTlQwN1pVX2tZX212bWliRjRGcXU4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2026-07-06T13:22:21+00:00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D19858A-0757-4107-8A14-479A8F199A5A}"/>
</file>

<file path=customXml/itemProps3.xml><?xml version="1.0" encoding="utf-8"?>
<ds:datastoreItem xmlns:ds="http://schemas.openxmlformats.org/officeDocument/2006/customXml" ds:itemID="{BEA3116F-6146-49E2-8850-A16D9A98BABE}"/>
</file>

<file path=customXml/itemProps4.xml><?xml version="1.0" encoding="utf-8"?>
<ds:datastoreItem xmlns:ds="http://schemas.openxmlformats.org/officeDocument/2006/customXml" ds:itemID="{9310D8CA-C3C7-4827-86F7-55AA83DE113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7</TotalTime>
  <Pages>7</Pages>
  <Words>3239</Words>
  <Characters>18468</Characters>
  <Application>Microsoft Office Word</Application>
  <DocSecurity>0</DocSecurity>
  <Lines>153</Lines>
  <Paragraphs>43</Paragraphs>
  <ScaleCrop>false</ScaleCrop>
  <Company/>
  <LinksUpToDate>false</LinksUpToDate>
  <CharactersWithSpaces>21664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2</cp:revision>
  <dcterms:created xsi:type="dcterms:W3CDTF">2026-07-06T13:22:00Z</dcterms:created>
  <dcterms:modified xsi:type="dcterms:W3CDTF">2026-07-06T13:22:00Z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