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ADF09" w14:textId="77777777" w:rsidR="00F752E7" w:rsidRPr="001C5F05" w:rsidRDefault="008333B0">
      <w:pPr>
        <w:jc w:val="both"/>
        <w:rPr>
          <w:b/>
          <w:color w:val="000000"/>
          <w:sz w:val="24"/>
          <w:szCs w:val="24"/>
        </w:rPr>
      </w:pPr>
      <w:r w:rsidRPr="001C5F05">
        <w:rPr>
          <w:b/>
          <w:color w:val="000000"/>
          <w:sz w:val="24"/>
          <w:szCs w:val="24"/>
        </w:rPr>
        <w:t>Bosnia and Herzegovina</w:t>
      </w:r>
    </w:p>
    <w:p w14:paraId="098B3A15" w14:textId="77777777" w:rsidR="008333B0" w:rsidRPr="001C5F05" w:rsidRDefault="008333B0">
      <w:pPr>
        <w:jc w:val="both"/>
        <w:rPr>
          <w:b/>
          <w:color w:val="000000"/>
          <w:sz w:val="24"/>
          <w:szCs w:val="24"/>
        </w:rPr>
      </w:pPr>
      <w:r w:rsidRPr="001C5F05">
        <w:rPr>
          <w:b/>
          <w:color w:val="000000"/>
          <w:sz w:val="24"/>
          <w:szCs w:val="24"/>
        </w:rPr>
        <w:t>Sarajevo Open Cent</w:t>
      </w:r>
      <w:r w:rsidR="00E2395C">
        <w:rPr>
          <w:b/>
          <w:color w:val="000000"/>
          <w:sz w:val="24"/>
          <w:szCs w:val="24"/>
        </w:rPr>
        <w:t>re</w:t>
      </w:r>
    </w:p>
    <w:p w14:paraId="3D3FFAFD" w14:textId="77777777" w:rsidR="008333B0" w:rsidRPr="001C5F05" w:rsidRDefault="008333B0">
      <w:pPr>
        <w:jc w:val="both"/>
        <w:rPr>
          <w:b/>
          <w:color w:val="000000"/>
          <w:sz w:val="24"/>
          <w:szCs w:val="24"/>
        </w:rPr>
      </w:pPr>
      <w:proofErr w:type="spellStart"/>
      <w:r w:rsidRPr="001C5F05">
        <w:rPr>
          <w:b/>
          <w:color w:val="000000"/>
          <w:sz w:val="24"/>
          <w:szCs w:val="24"/>
        </w:rPr>
        <w:t>Podgaj</w:t>
      </w:r>
      <w:proofErr w:type="spellEnd"/>
      <w:r w:rsidRPr="001C5F05">
        <w:rPr>
          <w:b/>
          <w:color w:val="000000"/>
          <w:sz w:val="24"/>
          <w:szCs w:val="24"/>
        </w:rPr>
        <w:t xml:space="preserve"> 14 Street, 71000 Sarajevo</w:t>
      </w:r>
    </w:p>
    <w:p w14:paraId="5A8CA110" w14:textId="77777777" w:rsidR="008333B0" w:rsidRPr="001C5F05" w:rsidRDefault="008333B0">
      <w:pPr>
        <w:jc w:val="both"/>
        <w:rPr>
          <w:b/>
          <w:color w:val="000000"/>
          <w:sz w:val="24"/>
          <w:szCs w:val="24"/>
        </w:rPr>
      </w:pPr>
    </w:p>
    <w:p w14:paraId="600BC4E4" w14:textId="77777777" w:rsidR="008333B0" w:rsidRPr="001C5F05" w:rsidRDefault="008333B0" w:rsidP="008333B0">
      <w:pPr>
        <w:jc w:val="right"/>
        <w:rPr>
          <w:b/>
          <w:color w:val="000000"/>
          <w:sz w:val="24"/>
          <w:szCs w:val="24"/>
        </w:rPr>
      </w:pPr>
      <w:r w:rsidRPr="001C5F05">
        <w:rPr>
          <w:b/>
          <w:color w:val="000000"/>
          <w:sz w:val="24"/>
          <w:szCs w:val="24"/>
        </w:rPr>
        <w:t>Committee on the Rights of Persons with Disabilities</w:t>
      </w:r>
    </w:p>
    <w:p w14:paraId="3E8D561D" w14:textId="77777777" w:rsidR="008333B0" w:rsidRDefault="000673FC" w:rsidP="008333B0">
      <w:pPr>
        <w:jc w:val="right"/>
        <w:rPr>
          <w:b/>
          <w:color w:val="000000"/>
          <w:sz w:val="24"/>
          <w:szCs w:val="24"/>
        </w:rPr>
      </w:pPr>
      <w:r w:rsidRPr="000673FC">
        <w:rPr>
          <w:b/>
          <w:color w:val="000000"/>
          <w:sz w:val="24"/>
          <w:szCs w:val="24"/>
        </w:rPr>
        <w:t>Jorge.araya@un.org</w:t>
      </w:r>
    </w:p>
    <w:p w14:paraId="4F2D76F8" w14:textId="77777777" w:rsidR="000673FC" w:rsidRPr="001C5F05" w:rsidRDefault="000673FC" w:rsidP="008333B0">
      <w:pPr>
        <w:jc w:val="right"/>
        <w:rPr>
          <w:b/>
          <w:color w:val="000000"/>
          <w:sz w:val="24"/>
          <w:szCs w:val="24"/>
        </w:rPr>
      </w:pPr>
      <w:r w:rsidRPr="000673FC">
        <w:rPr>
          <w:b/>
          <w:color w:val="000000"/>
          <w:sz w:val="24"/>
          <w:szCs w:val="24"/>
        </w:rPr>
        <w:t>ohchr-crpd@un.org</w:t>
      </w:r>
    </w:p>
    <w:p w14:paraId="1E39D92B" w14:textId="77777777" w:rsidR="008333B0" w:rsidRPr="001C5F05" w:rsidRDefault="008333B0" w:rsidP="008333B0">
      <w:pPr>
        <w:jc w:val="right"/>
        <w:rPr>
          <w:b/>
          <w:color w:val="000000"/>
          <w:sz w:val="24"/>
          <w:szCs w:val="24"/>
        </w:rPr>
      </w:pPr>
    </w:p>
    <w:p w14:paraId="2C4D0EA1" w14:textId="77777777" w:rsidR="008333B0" w:rsidRDefault="008333B0" w:rsidP="008333B0">
      <w:pPr>
        <w:jc w:val="both"/>
        <w:rPr>
          <w:color w:val="000000"/>
          <w:sz w:val="24"/>
          <w:szCs w:val="24"/>
        </w:rPr>
      </w:pPr>
      <w:r w:rsidRPr="001C5F05">
        <w:rPr>
          <w:b/>
          <w:color w:val="000000"/>
          <w:sz w:val="24"/>
          <w:szCs w:val="24"/>
        </w:rPr>
        <w:t>No:</w:t>
      </w:r>
      <w:r>
        <w:rPr>
          <w:color w:val="000000"/>
          <w:sz w:val="24"/>
          <w:szCs w:val="24"/>
        </w:rPr>
        <w:t xml:space="preserve"> I-38/24</w:t>
      </w:r>
    </w:p>
    <w:p w14:paraId="2336FF52" w14:textId="77777777" w:rsidR="008333B0" w:rsidRDefault="008333B0" w:rsidP="008333B0">
      <w:pPr>
        <w:jc w:val="both"/>
        <w:rPr>
          <w:color w:val="000000"/>
          <w:sz w:val="24"/>
          <w:szCs w:val="24"/>
        </w:rPr>
      </w:pPr>
      <w:r w:rsidRPr="001C5F05">
        <w:rPr>
          <w:b/>
          <w:color w:val="000000"/>
          <w:sz w:val="24"/>
          <w:szCs w:val="24"/>
        </w:rPr>
        <w:t>Date:</w:t>
      </w:r>
      <w:r>
        <w:rPr>
          <w:color w:val="000000"/>
          <w:sz w:val="24"/>
          <w:szCs w:val="24"/>
        </w:rPr>
        <w:t xml:space="preserve"> February 27, 2024</w:t>
      </w:r>
    </w:p>
    <w:p w14:paraId="0FEDB58C" w14:textId="77777777" w:rsidR="008333B0" w:rsidRDefault="008333B0" w:rsidP="008333B0">
      <w:pPr>
        <w:jc w:val="both"/>
        <w:rPr>
          <w:color w:val="000000"/>
          <w:sz w:val="24"/>
          <w:szCs w:val="24"/>
        </w:rPr>
      </w:pPr>
    </w:p>
    <w:p w14:paraId="2D5A7DA6" w14:textId="77777777" w:rsidR="008333B0" w:rsidRPr="008333B0" w:rsidRDefault="008333B0" w:rsidP="008333B0">
      <w:pPr>
        <w:jc w:val="both"/>
        <w:rPr>
          <w:color w:val="000000"/>
          <w:lang w:val="bs-Latn-BA"/>
        </w:rPr>
      </w:pPr>
      <w:r w:rsidRPr="001C5F05">
        <w:rPr>
          <w:b/>
          <w:color w:val="000000"/>
          <w:sz w:val="24"/>
          <w:szCs w:val="24"/>
        </w:rPr>
        <w:t>Subject:</w:t>
      </w:r>
      <w:r>
        <w:rPr>
          <w:color w:val="000000"/>
          <w:sz w:val="24"/>
          <w:szCs w:val="24"/>
        </w:rPr>
        <w:t xml:space="preserve"> Written Submission on the Implementation of</w:t>
      </w:r>
      <w:r w:rsidR="003D521F">
        <w:rPr>
          <w:color w:val="000000"/>
          <w:sz w:val="24"/>
          <w:szCs w:val="24"/>
        </w:rPr>
        <w:t xml:space="preserve"> the</w:t>
      </w:r>
      <w:r>
        <w:rPr>
          <w:color w:val="000000"/>
          <w:sz w:val="24"/>
          <w:szCs w:val="24"/>
        </w:rPr>
        <w:t xml:space="preserve"> </w:t>
      </w:r>
      <w:r w:rsidRPr="008333B0">
        <w:rPr>
          <w:color w:val="000000"/>
          <w:sz w:val="24"/>
          <w:szCs w:val="24"/>
        </w:rPr>
        <w:t>Convention on the Rights of Persons with Disabilities</w:t>
      </w:r>
      <w:r>
        <w:rPr>
          <w:color w:val="000000"/>
          <w:sz w:val="24"/>
          <w:szCs w:val="24"/>
        </w:rPr>
        <w:t xml:space="preserve"> </w:t>
      </w:r>
    </w:p>
    <w:p w14:paraId="03930F38" w14:textId="77777777" w:rsidR="008333B0" w:rsidRDefault="008333B0" w:rsidP="008333B0">
      <w:pPr>
        <w:jc w:val="both"/>
        <w:rPr>
          <w:color w:val="000000"/>
          <w:sz w:val="24"/>
          <w:szCs w:val="24"/>
        </w:rPr>
      </w:pPr>
    </w:p>
    <w:p w14:paraId="3BBB7684" w14:textId="77777777" w:rsidR="008333B0" w:rsidRPr="009B0C47" w:rsidRDefault="008333B0" w:rsidP="008333B0">
      <w:pPr>
        <w:jc w:val="both"/>
        <w:rPr>
          <w:b/>
          <w:color w:val="000000"/>
          <w:sz w:val="24"/>
          <w:szCs w:val="24"/>
        </w:rPr>
      </w:pPr>
      <w:r w:rsidRPr="009B0C47">
        <w:rPr>
          <w:b/>
          <w:color w:val="000000"/>
          <w:sz w:val="24"/>
          <w:szCs w:val="24"/>
        </w:rPr>
        <w:t>a) Identification of the submitting organization</w:t>
      </w:r>
    </w:p>
    <w:p w14:paraId="21BE6F03" w14:textId="77777777" w:rsidR="001C5F05" w:rsidRDefault="001C5F05" w:rsidP="008333B0">
      <w:pPr>
        <w:jc w:val="both"/>
        <w:rPr>
          <w:color w:val="000000"/>
          <w:sz w:val="24"/>
          <w:szCs w:val="24"/>
        </w:rPr>
      </w:pPr>
    </w:p>
    <w:p w14:paraId="21B57D64" w14:textId="77777777" w:rsidR="0049151D" w:rsidRDefault="001C5F05" w:rsidP="008333B0">
      <w:pPr>
        <w:jc w:val="both"/>
        <w:rPr>
          <w:color w:val="000000"/>
          <w:sz w:val="24"/>
          <w:szCs w:val="24"/>
        </w:rPr>
      </w:pPr>
      <w:r w:rsidRPr="001C5F05">
        <w:rPr>
          <w:color w:val="000000"/>
          <w:sz w:val="24"/>
          <w:szCs w:val="24"/>
        </w:rPr>
        <w:t xml:space="preserve">Sarajevo Open Centre </w:t>
      </w:r>
      <w:r w:rsidR="0049151D">
        <w:rPr>
          <w:color w:val="000000"/>
          <w:sz w:val="24"/>
          <w:szCs w:val="24"/>
        </w:rPr>
        <w:t xml:space="preserve">(hereinafter SOC) </w:t>
      </w:r>
      <w:r w:rsidRPr="001C5F05">
        <w:rPr>
          <w:color w:val="000000"/>
          <w:sz w:val="24"/>
          <w:szCs w:val="24"/>
        </w:rPr>
        <w:t>is a civil society organization that works on advancing human rights in Bosnia and Herzegovina. We initiate and create systemic social changes, emphasizing gender equality and position of LGBTI+ persons.</w:t>
      </w:r>
      <w:r>
        <w:rPr>
          <w:color w:val="000000"/>
          <w:sz w:val="24"/>
          <w:szCs w:val="24"/>
        </w:rPr>
        <w:t xml:space="preserve"> </w:t>
      </w:r>
      <w:r w:rsidRPr="001C5F05">
        <w:rPr>
          <w:color w:val="000000"/>
          <w:sz w:val="24"/>
          <w:szCs w:val="24"/>
        </w:rPr>
        <w:t xml:space="preserve">The organization was founded in 2007 and has since played a significant role in advancing the rights of marginalized and vulnerable groups within Bosnian society. Since its establishment, </w:t>
      </w:r>
      <w:r w:rsidR="0049151D">
        <w:rPr>
          <w:color w:val="000000"/>
          <w:sz w:val="24"/>
          <w:szCs w:val="24"/>
        </w:rPr>
        <w:t>SOC</w:t>
      </w:r>
      <w:r w:rsidRPr="001C5F05">
        <w:rPr>
          <w:color w:val="000000"/>
          <w:sz w:val="24"/>
          <w:szCs w:val="24"/>
        </w:rPr>
        <w:t xml:space="preserve"> has been focused on the following key aspects and activities: </w:t>
      </w:r>
    </w:p>
    <w:p w14:paraId="4A981AC0" w14:textId="77777777" w:rsidR="0049151D" w:rsidRDefault="001C5F05" w:rsidP="008333B0">
      <w:pPr>
        <w:jc w:val="both"/>
        <w:rPr>
          <w:color w:val="000000"/>
          <w:sz w:val="24"/>
          <w:szCs w:val="24"/>
        </w:rPr>
      </w:pPr>
      <w:r w:rsidRPr="001C5F05">
        <w:rPr>
          <w:color w:val="000000"/>
          <w:sz w:val="24"/>
          <w:szCs w:val="24"/>
        </w:rPr>
        <w:t xml:space="preserve">● Gender Equality and Women's Rights: The organization actively works to advance gender equality and combat discrimination against women. We promote policies and initiatives that empower women and challenge traditional gender roles. </w:t>
      </w:r>
    </w:p>
    <w:p w14:paraId="48472525" w14:textId="77777777" w:rsidR="0049151D" w:rsidRDefault="001C5F05" w:rsidP="008333B0">
      <w:pPr>
        <w:jc w:val="both"/>
        <w:rPr>
          <w:color w:val="000000"/>
          <w:sz w:val="24"/>
          <w:szCs w:val="24"/>
        </w:rPr>
      </w:pPr>
      <w:r w:rsidRPr="001C5F05">
        <w:rPr>
          <w:color w:val="000000"/>
          <w:sz w:val="24"/>
          <w:szCs w:val="24"/>
        </w:rPr>
        <w:t xml:space="preserve">● LGBTI+ Rights: </w:t>
      </w:r>
      <w:r w:rsidR="0049151D">
        <w:rPr>
          <w:color w:val="000000"/>
          <w:sz w:val="24"/>
          <w:szCs w:val="24"/>
        </w:rPr>
        <w:t>SOC</w:t>
      </w:r>
      <w:r w:rsidRPr="001C5F05">
        <w:rPr>
          <w:color w:val="000000"/>
          <w:sz w:val="24"/>
          <w:szCs w:val="24"/>
        </w:rPr>
        <w:t xml:space="preserve"> is a leading advocate for the rights of the LGBTI+ community in Bosnia and Herzegovina. It campaigns against discrimination, advocates for legal reforms, and provides support to LGBTI+ persons. </w:t>
      </w:r>
    </w:p>
    <w:p w14:paraId="6C68DDC5" w14:textId="77777777" w:rsidR="0049151D" w:rsidRDefault="001C5F05" w:rsidP="008333B0">
      <w:pPr>
        <w:jc w:val="both"/>
        <w:rPr>
          <w:color w:val="000000"/>
          <w:sz w:val="24"/>
          <w:szCs w:val="24"/>
        </w:rPr>
      </w:pPr>
      <w:r w:rsidRPr="001C5F05">
        <w:rPr>
          <w:color w:val="000000"/>
          <w:sz w:val="24"/>
          <w:szCs w:val="24"/>
        </w:rPr>
        <w:t xml:space="preserve">● Human Rights: The organization is committed to upholding and protecting human rights for all. This includes raising awareness about human rights violations, advocating for legal reforms, and offering support to victims of human rights abuses. </w:t>
      </w:r>
    </w:p>
    <w:p w14:paraId="0E10CCE6" w14:textId="77777777" w:rsidR="007C4E57" w:rsidRDefault="001C5F05" w:rsidP="008333B0">
      <w:pPr>
        <w:jc w:val="both"/>
        <w:rPr>
          <w:color w:val="000000"/>
          <w:sz w:val="24"/>
          <w:szCs w:val="24"/>
        </w:rPr>
      </w:pPr>
      <w:r w:rsidRPr="001C5F05">
        <w:rPr>
          <w:color w:val="000000"/>
          <w:sz w:val="24"/>
          <w:szCs w:val="24"/>
        </w:rPr>
        <w:t xml:space="preserve">● Advocacy and Education: </w:t>
      </w:r>
      <w:r w:rsidR="0049151D">
        <w:rPr>
          <w:color w:val="000000"/>
          <w:sz w:val="24"/>
          <w:szCs w:val="24"/>
        </w:rPr>
        <w:t>SOC</w:t>
      </w:r>
      <w:r w:rsidRPr="001C5F05">
        <w:rPr>
          <w:color w:val="000000"/>
          <w:sz w:val="24"/>
          <w:szCs w:val="24"/>
        </w:rPr>
        <w:t xml:space="preserve"> conducts advocacy campaigns, educational programs, and research to raise awareness and promote a more inclusive and just society. Organization collaborates with governmental institutions, civil society organizations, and international partners to bring about positive change. </w:t>
      </w:r>
    </w:p>
    <w:p w14:paraId="3591509F" w14:textId="77777777" w:rsidR="007C4E57" w:rsidRDefault="001C5F05" w:rsidP="008333B0">
      <w:pPr>
        <w:jc w:val="both"/>
        <w:rPr>
          <w:color w:val="000000"/>
          <w:sz w:val="24"/>
          <w:szCs w:val="24"/>
        </w:rPr>
      </w:pPr>
      <w:r w:rsidRPr="001C5F05">
        <w:rPr>
          <w:color w:val="000000"/>
          <w:sz w:val="24"/>
          <w:szCs w:val="24"/>
        </w:rPr>
        <w:t xml:space="preserve">● Capacity Building: </w:t>
      </w:r>
      <w:r w:rsidR="007C4E57">
        <w:rPr>
          <w:color w:val="000000"/>
          <w:sz w:val="24"/>
          <w:szCs w:val="24"/>
        </w:rPr>
        <w:t>SOC</w:t>
      </w:r>
      <w:r w:rsidRPr="001C5F05">
        <w:rPr>
          <w:color w:val="000000"/>
          <w:sz w:val="24"/>
          <w:szCs w:val="24"/>
        </w:rPr>
        <w:t xml:space="preserve"> engages in capacity-building activities, empowering individuals, and groups to become advocates for human rights and social justice, providing training, workshops, and resources to enhance the skills and knowledge of activists. </w:t>
      </w:r>
    </w:p>
    <w:p w14:paraId="22CEBF07" w14:textId="77777777" w:rsidR="001C5F05" w:rsidRDefault="001C5F05" w:rsidP="008333B0">
      <w:pPr>
        <w:jc w:val="both"/>
        <w:rPr>
          <w:color w:val="000000"/>
          <w:sz w:val="24"/>
          <w:szCs w:val="24"/>
        </w:rPr>
      </w:pPr>
      <w:r w:rsidRPr="001C5F05">
        <w:rPr>
          <w:color w:val="000000"/>
          <w:sz w:val="24"/>
          <w:szCs w:val="24"/>
        </w:rPr>
        <w:t xml:space="preserve">● Community Support: </w:t>
      </w:r>
      <w:r w:rsidR="007C4E57">
        <w:rPr>
          <w:color w:val="000000"/>
          <w:sz w:val="24"/>
          <w:szCs w:val="24"/>
        </w:rPr>
        <w:t xml:space="preserve">SOC </w:t>
      </w:r>
      <w:r w:rsidRPr="001C5F05">
        <w:rPr>
          <w:color w:val="000000"/>
          <w:sz w:val="24"/>
          <w:szCs w:val="24"/>
        </w:rPr>
        <w:t>provides a support network for individuals facing discrimination or human rights violations. This includes legal assistance, counsel</w:t>
      </w:r>
      <w:r w:rsidR="00E2395C">
        <w:rPr>
          <w:color w:val="000000"/>
          <w:sz w:val="24"/>
          <w:szCs w:val="24"/>
        </w:rPr>
        <w:t>l</w:t>
      </w:r>
      <w:r w:rsidRPr="001C5F05">
        <w:rPr>
          <w:color w:val="000000"/>
          <w:sz w:val="24"/>
          <w:szCs w:val="24"/>
        </w:rPr>
        <w:t xml:space="preserve">ing, and referral services. </w:t>
      </w:r>
      <w:r w:rsidR="007C4E57">
        <w:rPr>
          <w:color w:val="000000"/>
          <w:sz w:val="24"/>
          <w:szCs w:val="24"/>
        </w:rPr>
        <w:t>SOC</w:t>
      </w:r>
      <w:r w:rsidRPr="001C5F05">
        <w:rPr>
          <w:color w:val="000000"/>
          <w:sz w:val="24"/>
          <w:szCs w:val="24"/>
        </w:rPr>
        <w:t xml:space="preserve"> has been instrumental in the ongoing struggle for equality in Bosnia and Herzegovina, working to create a more inclusive and just society. Through their initiatives and advocacy efforts, they continue to make a positive impact on the lives of those affected by discrimination and human rights abuses, particularly women and LGBTI+ persons. </w:t>
      </w:r>
      <w:r w:rsidR="007C4E57">
        <w:rPr>
          <w:color w:val="000000"/>
          <w:sz w:val="24"/>
          <w:szCs w:val="24"/>
        </w:rPr>
        <w:t>SOC</w:t>
      </w:r>
      <w:r w:rsidRPr="001C5F05">
        <w:rPr>
          <w:color w:val="000000"/>
          <w:sz w:val="24"/>
          <w:szCs w:val="24"/>
        </w:rPr>
        <w:t xml:space="preserve"> began the strategic</w:t>
      </w:r>
      <w:r w:rsidR="000673FC">
        <w:rPr>
          <w:color w:val="000000"/>
          <w:sz w:val="24"/>
          <w:szCs w:val="24"/>
        </w:rPr>
        <w:t xml:space="preserve"> </w:t>
      </w:r>
      <w:r w:rsidRPr="001C5F05">
        <w:rPr>
          <w:color w:val="000000"/>
          <w:sz w:val="24"/>
          <w:szCs w:val="24"/>
        </w:rPr>
        <w:lastRenderedPageBreak/>
        <w:t>planning process to capitalize on the strengths while addressing opportunities for correction and growth in a challenging environment. This plan is the result of thorough research, internal and external analyses and extensive discussions among management team, staff, various stakeholders, and partners.</w:t>
      </w:r>
    </w:p>
    <w:p w14:paraId="70832C28" w14:textId="77777777" w:rsidR="001C5F05" w:rsidRDefault="001C5F05" w:rsidP="008333B0">
      <w:pPr>
        <w:jc w:val="both"/>
        <w:rPr>
          <w:color w:val="000000"/>
          <w:sz w:val="24"/>
          <w:szCs w:val="24"/>
        </w:rPr>
      </w:pPr>
    </w:p>
    <w:p w14:paraId="7341F8B5" w14:textId="77777777" w:rsidR="008333B0" w:rsidRPr="009B0C47" w:rsidRDefault="008333B0" w:rsidP="008333B0">
      <w:pPr>
        <w:jc w:val="both"/>
        <w:rPr>
          <w:b/>
          <w:color w:val="000000"/>
          <w:sz w:val="24"/>
          <w:szCs w:val="24"/>
        </w:rPr>
      </w:pPr>
      <w:r w:rsidRPr="009B0C47">
        <w:rPr>
          <w:b/>
          <w:color w:val="000000"/>
          <w:sz w:val="24"/>
          <w:szCs w:val="24"/>
        </w:rPr>
        <w:t>(b) Executive summary</w:t>
      </w:r>
    </w:p>
    <w:p w14:paraId="44EF3376" w14:textId="77777777" w:rsidR="007C4E57" w:rsidRDefault="007C4E57" w:rsidP="008333B0">
      <w:pPr>
        <w:jc w:val="both"/>
        <w:rPr>
          <w:color w:val="000000"/>
          <w:sz w:val="24"/>
          <w:szCs w:val="24"/>
        </w:rPr>
      </w:pPr>
    </w:p>
    <w:p w14:paraId="27960B83" w14:textId="6147CE36" w:rsidR="00396DAE" w:rsidRDefault="003D521F" w:rsidP="00F15890">
      <w:pPr>
        <w:jc w:val="both"/>
        <w:rPr>
          <w:color w:val="000000"/>
          <w:sz w:val="24"/>
          <w:szCs w:val="24"/>
        </w:rPr>
      </w:pPr>
      <w:r>
        <w:rPr>
          <w:color w:val="000000"/>
          <w:sz w:val="24"/>
          <w:szCs w:val="24"/>
        </w:rPr>
        <w:t xml:space="preserve">Implementation of the </w:t>
      </w:r>
      <w:r w:rsidRPr="008333B0">
        <w:rPr>
          <w:color w:val="000000"/>
          <w:sz w:val="24"/>
          <w:szCs w:val="24"/>
        </w:rPr>
        <w:t>Convention on the Rights of Persons with Disabilities</w:t>
      </w:r>
      <w:r>
        <w:rPr>
          <w:color w:val="000000"/>
          <w:sz w:val="24"/>
          <w:szCs w:val="24"/>
        </w:rPr>
        <w:t xml:space="preserve"> (hereinafter CRPD) is ofte</w:t>
      </w:r>
      <w:r w:rsidR="00E94E8A">
        <w:rPr>
          <w:color w:val="000000"/>
          <w:sz w:val="24"/>
          <w:szCs w:val="24"/>
        </w:rPr>
        <w:t xml:space="preserve">n </w:t>
      </w:r>
      <w:r>
        <w:rPr>
          <w:color w:val="000000"/>
          <w:sz w:val="24"/>
          <w:szCs w:val="24"/>
        </w:rPr>
        <w:t xml:space="preserve">overlooked in the context </w:t>
      </w:r>
      <w:r w:rsidR="00E94E8A">
        <w:rPr>
          <w:color w:val="000000"/>
          <w:sz w:val="24"/>
          <w:szCs w:val="24"/>
        </w:rPr>
        <w:t>of the LGBTI persons.</w:t>
      </w:r>
      <w:r w:rsidR="00BB2CC6">
        <w:rPr>
          <w:color w:val="000000"/>
          <w:sz w:val="24"/>
          <w:szCs w:val="24"/>
        </w:rPr>
        <w:t xml:space="preserve"> Governments around region must employ intersectional lens while referring to the specific articles of CRPD trying not to leave anyone behind.</w:t>
      </w:r>
      <w:r w:rsidR="00403A51">
        <w:rPr>
          <w:color w:val="000000"/>
          <w:sz w:val="24"/>
          <w:szCs w:val="24"/>
        </w:rPr>
        <w:t xml:space="preserve"> Bosnia and Herzegovina </w:t>
      </w:r>
      <w:proofErr w:type="gramStart"/>
      <w:r w:rsidR="00403A51">
        <w:rPr>
          <w:color w:val="000000"/>
          <w:sz w:val="24"/>
          <w:szCs w:val="24"/>
        </w:rPr>
        <w:t>is</w:t>
      </w:r>
      <w:proofErr w:type="gramEnd"/>
      <w:r w:rsidR="00403A51">
        <w:rPr>
          <w:color w:val="000000"/>
          <w:sz w:val="24"/>
          <w:szCs w:val="24"/>
        </w:rPr>
        <w:t xml:space="preserve"> lacking on the official information, reports and policies on the position of LGBTI persons with disabilities.</w:t>
      </w:r>
      <w:r w:rsidR="00BB2CC6">
        <w:rPr>
          <w:color w:val="000000"/>
          <w:sz w:val="24"/>
          <w:szCs w:val="24"/>
        </w:rPr>
        <w:t xml:space="preserve"> </w:t>
      </w:r>
      <w:r w:rsidR="003C2653">
        <w:rPr>
          <w:color w:val="000000"/>
          <w:sz w:val="24"/>
          <w:szCs w:val="24"/>
        </w:rPr>
        <w:t xml:space="preserve">UN experts expressed </w:t>
      </w:r>
      <w:r w:rsidR="003C2653" w:rsidRPr="003C2653">
        <w:rPr>
          <w:color w:val="000000"/>
          <w:sz w:val="24"/>
          <w:szCs w:val="24"/>
        </w:rPr>
        <w:t>concern</w:t>
      </w:r>
      <w:r w:rsidR="003C2653">
        <w:rPr>
          <w:color w:val="000000"/>
          <w:sz w:val="24"/>
          <w:szCs w:val="24"/>
        </w:rPr>
        <w:t>s</w:t>
      </w:r>
      <w:r w:rsidR="003C2653" w:rsidRPr="003C2653">
        <w:rPr>
          <w:color w:val="000000"/>
          <w:sz w:val="24"/>
          <w:szCs w:val="24"/>
        </w:rPr>
        <w:t xml:space="preserve"> about some underlying preconceptions that lie at the base of much violence and discrimination that impacts both LGBT</w:t>
      </w:r>
      <w:r w:rsidR="003C2653">
        <w:rPr>
          <w:color w:val="000000"/>
          <w:sz w:val="24"/>
          <w:szCs w:val="24"/>
        </w:rPr>
        <w:t>I</w:t>
      </w:r>
      <w:r w:rsidR="003C2653" w:rsidRPr="003C2653">
        <w:rPr>
          <w:color w:val="000000"/>
          <w:sz w:val="24"/>
          <w:szCs w:val="24"/>
        </w:rPr>
        <w:t xml:space="preserve"> persons and persons with disabilities. A pervasive perception is that, unless they are “cured” or “corrected” they are lesser or somewhat inferior to other human beings. This prejudice lies at the root of violence against them. Including practices of correction or conversion and the denial of agency in decisions about their bodies, forced sterilization, and interventions– medical or otherwise – to which they are subjected: this includes the heinous practice of forced sterilization, which constitutes one of the worst forms of violence against women with disabilities</w:t>
      </w:r>
      <w:r w:rsidR="003C2653">
        <w:rPr>
          <w:rStyle w:val="FootnoteReference"/>
          <w:color w:val="000000"/>
          <w:sz w:val="24"/>
          <w:szCs w:val="24"/>
        </w:rPr>
        <w:footnoteReference w:id="1"/>
      </w:r>
      <w:r w:rsidR="003C2653" w:rsidRPr="003C2653">
        <w:rPr>
          <w:color w:val="000000"/>
          <w:sz w:val="24"/>
          <w:szCs w:val="24"/>
        </w:rPr>
        <w:t>.</w:t>
      </w:r>
      <w:r w:rsidR="000650E9">
        <w:rPr>
          <w:color w:val="000000"/>
          <w:sz w:val="24"/>
          <w:szCs w:val="24"/>
        </w:rPr>
        <w:t xml:space="preserve"> </w:t>
      </w:r>
    </w:p>
    <w:p w14:paraId="42446BAB" w14:textId="77777777" w:rsidR="00396DAE" w:rsidRDefault="00396DAE" w:rsidP="00F15890">
      <w:pPr>
        <w:jc w:val="both"/>
        <w:rPr>
          <w:color w:val="000000"/>
          <w:sz w:val="24"/>
          <w:szCs w:val="24"/>
        </w:rPr>
      </w:pPr>
    </w:p>
    <w:p w14:paraId="55E3591C" w14:textId="5664572D" w:rsidR="00E94E8A" w:rsidRDefault="003C2653" w:rsidP="008333B0">
      <w:pPr>
        <w:jc w:val="both"/>
        <w:rPr>
          <w:color w:val="000000"/>
          <w:sz w:val="24"/>
          <w:szCs w:val="24"/>
        </w:rPr>
      </w:pPr>
      <w:r w:rsidRPr="003C2653">
        <w:rPr>
          <w:color w:val="000000"/>
          <w:sz w:val="24"/>
          <w:szCs w:val="24"/>
        </w:rPr>
        <w:t>“Conversion therapy” has nowadays become the common umbrella expression to refer to any sustained effort to modify a person’s sexual orientation, gender identity or gender expression.</w:t>
      </w:r>
      <w:r>
        <w:rPr>
          <w:rStyle w:val="FootnoteReference"/>
          <w:color w:val="000000"/>
          <w:sz w:val="24"/>
          <w:szCs w:val="24"/>
        </w:rPr>
        <w:footnoteReference w:id="2"/>
      </w:r>
      <w:r w:rsidR="00AE4EDE">
        <w:rPr>
          <w:color w:val="000000"/>
          <w:sz w:val="24"/>
          <w:szCs w:val="24"/>
        </w:rPr>
        <w:t xml:space="preserve"> Even though World Health Organization </w:t>
      </w:r>
      <w:r w:rsidR="00AE4EDE" w:rsidRPr="00AE4EDE">
        <w:rPr>
          <w:color w:val="000000"/>
          <w:sz w:val="24"/>
          <w:szCs w:val="24"/>
        </w:rPr>
        <w:t>remove</w:t>
      </w:r>
      <w:r w:rsidR="00AE4EDE">
        <w:rPr>
          <w:color w:val="000000"/>
          <w:sz w:val="24"/>
          <w:szCs w:val="24"/>
        </w:rPr>
        <w:t>d</w:t>
      </w:r>
      <w:r w:rsidR="00AE4EDE" w:rsidRPr="00AE4EDE">
        <w:rPr>
          <w:color w:val="000000"/>
          <w:sz w:val="24"/>
          <w:szCs w:val="24"/>
        </w:rPr>
        <w:t> homosexuality from</w:t>
      </w:r>
      <w:r w:rsidR="00AE4EDE">
        <w:rPr>
          <w:color w:val="000000"/>
          <w:sz w:val="24"/>
          <w:szCs w:val="24"/>
        </w:rPr>
        <w:t xml:space="preserve"> </w:t>
      </w:r>
      <w:r w:rsidR="00AE4EDE" w:rsidRPr="00AE4EDE">
        <w:rPr>
          <w:color w:val="000000"/>
          <w:sz w:val="24"/>
          <w:szCs w:val="24"/>
        </w:rPr>
        <w:t>the</w:t>
      </w:r>
      <w:r w:rsidR="00AE4EDE">
        <w:rPr>
          <w:color w:val="000000"/>
          <w:sz w:val="24"/>
          <w:szCs w:val="24"/>
        </w:rPr>
        <w:t xml:space="preserve"> International Classification of Diseases back in 1990, it is evident that many cultures</w:t>
      </w:r>
      <w:r w:rsidR="00403A51">
        <w:rPr>
          <w:color w:val="000000"/>
          <w:sz w:val="24"/>
          <w:szCs w:val="24"/>
        </w:rPr>
        <w:t xml:space="preserve"> including </w:t>
      </w:r>
      <w:proofErr w:type="spellStart"/>
      <w:r w:rsidR="00403A51">
        <w:rPr>
          <w:color w:val="000000"/>
          <w:sz w:val="24"/>
          <w:szCs w:val="24"/>
        </w:rPr>
        <w:t>BiH</w:t>
      </w:r>
      <w:proofErr w:type="spellEnd"/>
      <w:r w:rsidR="00AE4EDE">
        <w:rPr>
          <w:color w:val="000000"/>
          <w:sz w:val="24"/>
          <w:szCs w:val="24"/>
        </w:rPr>
        <w:t xml:space="preserve"> treat LGBTI persons as mentally ill. </w:t>
      </w:r>
      <w:r w:rsidR="00396DAE">
        <w:rPr>
          <w:color w:val="000000"/>
          <w:sz w:val="24"/>
          <w:szCs w:val="24"/>
        </w:rPr>
        <w:t xml:space="preserve">In the recent period more and more LGBTI persons from Bosnia and Herzegovina </w:t>
      </w:r>
      <w:r w:rsidR="00AE4EDE">
        <w:rPr>
          <w:color w:val="000000"/>
          <w:sz w:val="24"/>
          <w:szCs w:val="24"/>
        </w:rPr>
        <w:t>reported</w:t>
      </w:r>
      <w:r w:rsidR="00396DAE">
        <w:rPr>
          <w:color w:val="000000"/>
          <w:sz w:val="24"/>
          <w:szCs w:val="24"/>
        </w:rPr>
        <w:t xml:space="preserve"> to SOC </w:t>
      </w:r>
      <w:r w:rsidR="00AE4EDE">
        <w:rPr>
          <w:color w:val="000000"/>
          <w:sz w:val="24"/>
          <w:szCs w:val="24"/>
        </w:rPr>
        <w:t xml:space="preserve">that, contrary to their will, they were subjected to the </w:t>
      </w:r>
      <w:r w:rsidR="00396DAE">
        <w:rPr>
          <w:color w:val="000000"/>
          <w:sz w:val="24"/>
          <w:szCs w:val="24"/>
        </w:rPr>
        <w:t>so-called “conversion therapies”.</w:t>
      </w:r>
      <w:r w:rsidR="00BB2CC6">
        <w:rPr>
          <w:color w:val="000000"/>
          <w:sz w:val="24"/>
          <w:szCs w:val="24"/>
        </w:rPr>
        <w:t xml:space="preserve"> </w:t>
      </w:r>
      <w:r w:rsidR="00AE4EDE">
        <w:rPr>
          <w:color w:val="000000"/>
          <w:sz w:val="24"/>
          <w:szCs w:val="24"/>
        </w:rPr>
        <w:t xml:space="preserve">Most of the victims are young LGBTI persons that are living with their parents that are not accepting their sexual orientation/gender identity. </w:t>
      </w:r>
      <w:r w:rsidR="00BB2CC6">
        <w:rPr>
          <w:color w:val="000000"/>
          <w:sz w:val="24"/>
          <w:szCs w:val="24"/>
        </w:rPr>
        <w:t>These “treatments” are not criminalized within domestic legal framework and they leave detrimental effects on LGBTI persons mental health.</w:t>
      </w:r>
    </w:p>
    <w:p w14:paraId="62714385" w14:textId="2E382DEB" w:rsidR="00403A51" w:rsidRDefault="00403A51" w:rsidP="008333B0">
      <w:pPr>
        <w:jc w:val="both"/>
        <w:rPr>
          <w:color w:val="000000"/>
          <w:sz w:val="24"/>
          <w:szCs w:val="24"/>
        </w:rPr>
      </w:pPr>
    </w:p>
    <w:p w14:paraId="3C4659BA" w14:textId="77777777" w:rsidR="00403A51" w:rsidRDefault="00403A51" w:rsidP="008333B0">
      <w:pPr>
        <w:jc w:val="both"/>
        <w:rPr>
          <w:color w:val="000000"/>
          <w:sz w:val="24"/>
          <w:szCs w:val="24"/>
        </w:rPr>
      </w:pPr>
    </w:p>
    <w:p w14:paraId="0DDE66C9" w14:textId="77777777" w:rsidR="008333B0" w:rsidRDefault="008333B0" w:rsidP="008333B0">
      <w:pPr>
        <w:jc w:val="both"/>
        <w:rPr>
          <w:color w:val="000000"/>
          <w:sz w:val="24"/>
          <w:szCs w:val="24"/>
        </w:rPr>
      </w:pPr>
    </w:p>
    <w:p w14:paraId="2819D7CE" w14:textId="77777777" w:rsidR="008333B0" w:rsidRPr="009B0C47" w:rsidRDefault="008333B0" w:rsidP="008333B0">
      <w:pPr>
        <w:jc w:val="both"/>
        <w:rPr>
          <w:b/>
          <w:color w:val="000000"/>
          <w:sz w:val="24"/>
          <w:szCs w:val="24"/>
        </w:rPr>
      </w:pPr>
      <w:r w:rsidRPr="009B0C47">
        <w:rPr>
          <w:b/>
          <w:color w:val="000000"/>
          <w:sz w:val="24"/>
          <w:szCs w:val="24"/>
        </w:rPr>
        <w:lastRenderedPageBreak/>
        <w:t xml:space="preserve">(c) </w:t>
      </w:r>
      <w:r w:rsidR="00AE4EDE" w:rsidRPr="009B0C47">
        <w:rPr>
          <w:b/>
          <w:color w:val="000000"/>
          <w:sz w:val="24"/>
          <w:szCs w:val="24"/>
        </w:rPr>
        <w:t>R</w:t>
      </w:r>
      <w:r w:rsidRPr="009B0C47">
        <w:rPr>
          <w:b/>
          <w:color w:val="000000"/>
          <w:sz w:val="24"/>
          <w:szCs w:val="24"/>
        </w:rPr>
        <w:t>eferenc</w:t>
      </w:r>
      <w:r w:rsidR="00AE4EDE" w:rsidRPr="009B0C47">
        <w:rPr>
          <w:b/>
          <w:color w:val="000000"/>
          <w:sz w:val="24"/>
          <w:szCs w:val="24"/>
        </w:rPr>
        <w:t>ing</w:t>
      </w:r>
      <w:r w:rsidRPr="009B0C47">
        <w:rPr>
          <w:b/>
          <w:color w:val="000000"/>
          <w:sz w:val="24"/>
          <w:szCs w:val="24"/>
        </w:rPr>
        <w:t xml:space="preserve"> to </w:t>
      </w:r>
      <w:r w:rsidR="00AE4EDE" w:rsidRPr="009B0C47">
        <w:rPr>
          <w:b/>
          <w:color w:val="000000"/>
          <w:sz w:val="24"/>
          <w:szCs w:val="24"/>
        </w:rPr>
        <w:t xml:space="preserve">the </w:t>
      </w:r>
      <w:r w:rsidRPr="009B0C47">
        <w:rPr>
          <w:b/>
          <w:color w:val="000000"/>
          <w:sz w:val="24"/>
          <w:szCs w:val="24"/>
        </w:rPr>
        <w:t xml:space="preserve">specific article of the </w:t>
      </w:r>
      <w:r w:rsidR="00AE4EDE" w:rsidRPr="009B0C47">
        <w:rPr>
          <w:b/>
          <w:color w:val="000000"/>
          <w:sz w:val="24"/>
          <w:szCs w:val="24"/>
        </w:rPr>
        <w:t>CRPD</w:t>
      </w:r>
    </w:p>
    <w:p w14:paraId="0278C8D0" w14:textId="77777777" w:rsidR="00CE2129" w:rsidRDefault="00CE2129" w:rsidP="008333B0">
      <w:pPr>
        <w:jc w:val="both"/>
        <w:rPr>
          <w:color w:val="000000"/>
          <w:sz w:val="24"/>
          <w:szCs w:val="24"/>
        </w:rPr>
      </w:pPr>
    </w:p>
    <w:p w14:paraId="6EBC9845" w14:textId="77777777" w:rsidR="00CE2129" w:rsidRDefault="00CE2129" w:rsidP="008333B0">
      <w:pPr>
        <w:jc w:val="both"/>
        <w:rPr>
          <w:color w:val="000000"/>
          <w:sz w:val="24"/>
          <w:szCs w:val="24"/>
        </w:rPr>
      </w:pPr>
      <w:r w:rsidRPr="00CE2129">
        <w:rPr>
          <w:color w:val="000000"/>
          <w:sz w:val="24"/>
          <w:szCs w:val="24"/>
        </w:rPr>
        <w:t>Discussions on “conversion therapies” have oftentimes been framed under the larger issue of torture.</w:t>
      </w:r>
      <w:r>
        <w:rPr>
          <w:color w:val="000000"/>
          <w:sz w:val="24"/>
          <w:szCs w:val="24"/>
        </w:rPr>
        <w:t xml:space="preserve"> </w:t>
      </w:r>
      <w:r w:rsidRPr="00CE2129">
        <w:rPr>
          <w:color w:val="000000"/>
          <w:sz w:val="24"/>
          <w:szCs w:val="24"/>
        </w:rPr>
        <w:t xml:space="preserve">In this regard, the UN Special Rapporteur on Torture has stated that given that “conversion therapy” can inflict severe pain or suffering, given also the </w:t>
      </w:r>
      <w:r w:rsidR="004D295F" w:rsidRPr="004D295F">
        <w:rPr>
          <w:color w:val="000000"/>
          <w:sz w:val="24"/>
          <w:szCs w:val="24"/>
        </w:rPr>
        <w:t>absence both of a medical justification and of free and informed consent, and that it is rooted in discrimination based on sexual orientation or gender identity or expression, such practices can amount to torture or, in the absence of one or more of those constitutive elements, to other cruel, inhuman or degrading treatment or punishment</w:t>
      </w:r>
      <w:r w:rsidR="004D295F">
        <w:rPr>
          <w:rStyle w:val="FootnoteReference"/>
          <w:color w:val="000000"/>
          <w:sz w:val="24"/>
          <w:szCs w:val="24"/>
        </w:rPr>
        <w:footnoteReference w:id="3"/>
      </w:r>
      <w:r w:rsidR="004D295F" w:rsidRPr="004D295F">
        <w:rPr>
          <w:color w:val="000000"/>
          <w:sz w:val="24"/>
          <w:szCs w:val="24"/>
        </w:rPr>
        <w:t>.</w:t>
      </w:r>
    </w:p>
    <w:p w14:paraId="542A7E90" w14:textId="77777777" w:rsidR="003D521F" w:rsidRDefault="003D521F" w:rsidP="008333B0">
      <w:pPr>
        <w:jc w:val="both"/>
        <w:rPr>
          <w:color w:val="000000"/>
          <w:sz w:val="24"/>
          <w:szCs w:val="24"/>
        </w:rPr>
      </w:pPr>
    </w:p>
    <w:p w14:paraId="7D462FA7" w14:textId="4374921F" w:rsidR="004D295F" w:rsidRPr="00E2395C" w:rsidRDefault="004D295F" w:rsidP="003D521F">
      <w:pPr>
        <w:jc w:val="both"/>
        <w:rPr>
          <w:color w:val="000000"/>
          <w:sz w:val="24"/>
          <w:szCs w:val="24"/>
        </w:rPr>
      </w:pPr>
      <w:r w:rsidRPr="00E2395C">
        <w:rPr>
          <w:color w:val="000000"/>
          <w:sz w:val="24"/>
          <w:szCs w:val="24"/>
        </w:rPr>
        <w:t xml:space="preserve">CRPD in its article 15 </w:t>
      </w:r>
      <w:r w:rsidR="00403A51">
        <w:rPr>
          <w:color w:val="000000"/>
          <w:sz w:val="24"/>
          <w:szCs w:val="24"/>
        </w:rPr>
        <w:t>on</w:t>
      </w:r>
      <w:r w:rsidRPr="00E2395C">
        <w:rPr>
          <w:color w:val="000000"/>
          <w:sz w:val="24"/>
          <w:szCs w:val="24"/>
        </w:rPr>
        <w:t xml:space="preserve"> “</w:t>
      </w:r>
      <w:r w:rsidRPr="00E2395C">
        <w:rPr>
          <w:i/>
          <w:color w:val="000000"/>
          <w:sz w:val="24"/>
          <w:szCs w:val="24"/>
        </w:rPr>
        <w:t>Freedom from torture or cruel, inhuman or degrading treatment or punishment“</w:t>
      </w:r>
      <w:r w:rsidRPr="00E2395C">
        <w:rPr>
          <w:color w:val="000000"/>
          <w:sz w:val="24"/>
          <w:szCs w:val="24"/>
        </w:rPr>
        <w:t xml:space="preserve"> prescribed: </w:t>
      </w:r>
    </w:p>
    <w:p w14:paraId="089F159A" w14:textId="77777777" w:rsidR="003D521F" w:rsidRPr="00E2395C" w:rsidRDefault="004D295F" w:rsidP="003D521F">
      <w:pPr>
        <w:jc w:val="both"/>
        <w:rPr>
          <w:color w:val="000000"/>
          <w:sz w:val="24"/>
          <w:szCs w:val="24"/>
        </w:rPr>
      </w:pPr>
      <w:r w:rsidRPr="00E2395C">
        <w:rPr>
          <w:color w:val="000000"/>
          <w:sz w:val="24"/>
          <w:szCs w:val="24"/>
        </w:rPr>
        <w:t>“</w:t>
      </w:r>
      <w:bookmarkStart w:id="0" w:name="text"/>
      <w:bookmarkEnd w:id="0"/>
      <w:r w:rsidR="003D521F" w:rsidRPr="00E2395C">
        <w:rPr>
          <w:i/>
          <w:color w:val="000000"/>
          <w:sz w:val="24"/>
          <w:szCs w:val="24"/>
        </w:rPr>
        <w:t>1. No one shall be subjected to torture or to cruel, inhuman or degrading treatment or punishment. In particular, no one shall be subjected without his or her free consent to medical or scientific experimentation.</w:t>
      </w:r>
    </w:p>
    <w:p w14:paraId="5A0C7934" w14:textId="77777777" w:rsidR="003D521F" w:rsidRPr="00E2395C" w:rsidRDefault="003D521F" w:rsidP="003D521F">
      <w:pPr>
        <w:jc w:val="both"/>
        <w:rPr>
          <w:i/>
          <w:color w:val="000000"/>
          <w:sz w:val="24"/>
          <w:szCs w:val="24"/>
        </w:rPr>
      </w:pPr>
      <w:r w:rsidRPr="00E2395C">
        <w:rPr>
          <w:i/>
          <w:color w:val="000000"/>
          <w:sz w:val="24"/>
          <w:szCs w:val="24"/>
        </w:rPr>
        <w:t>2. States Parties shall take all effective legislative, administrative, judicial or other measures to prevent persons with disabilities, on an equal basis with others, from being subjected to torture or cruel, inhuman or degrading treatment or punishment.</w:t>
      </w:r>
      <w:r w:rsidR="00E2395C">
        <w:rPr>
          <w:i/>
          <w:color w:val="000000"/>
          <w:sz w:val="24"/>
          <w:szCs w:val="24"/>
        </w:rPr>
        <w:t>”</w:t>
      </w:r>
    </w:p>
    <w:p w14:paraId="2B92ABF0" w14:textId="77777777" w:rsidR="00396DAE" w:rsidRPr="00E2395C" w:rsidRDefault="00396DAE" w:rsidP="003D521F">
      <w:pPr>
        <w:jc w:val="both"/>
        <w:rPr>
          <w:i/>
          <w:color w:val="000000"/>
          <w:sz w:val="24"/>
          <w:szCs w:val="24"/>
        </w:rPr>
      </w:pPr>
    </w:p>
    <w:p w14:paraId="34DAED2E" w14:textId="1BE38878" w:rsidR="004D295F" w:rsidRDefault="00AE4EDE" w:rsidP="003A6D59">
      <w:pPr>
        <w:jc w:val="both"/>
        <w:rPr>
          <w:color w:val="000000"/>
          <w:sz w:val="24"/>
          <w:szCs w:val="24"/>
        </w:rPr>
      </w:pPr>
      <w:r>
        <w:rPr>
          <w:color w:val="000000"/>
          <w:sz w:val="24"/>
          <w:szCs w:val="24"/>
        </w:rPr>
        <w:t xml:space="preserve">In the light of the </w:t>
      </w:r>
      <w:r w:rsidR="00CE2129">
        <w:rPr>
          <w:color w:val="000000"/>
          <w:sz w:val="24"/>
          <w:szCs w:val="24"/>
        </w:rPr>
        <w:t>above-mentioned</w:t>
      </w:r>
      <w:r>
        <w:rPr>
          <w:color w:val="000000"/>
          <w:sz w:val="24"/>
          <w:szCs w:val="24"/>
        </w:rPr>
        <w:t xml:space="preserve"> article, d</w:t>
      </w:r>
      <w:r w:rsidR="00396DAE" w:rsidRPr="00E94E8A">
        <w:rPr>
          <w:color w:val="000000"/>
          <w:sz w:val="24"/>
          <w:szCs w:val="24"/>
        </w:rPr>
        <w:t xml:space="preserve">uring the previous period, when one of the </w:t>
      </w:r>
      <w:r w:rsidR="00396DAE">
        <w:rPr>
          <w:color w:val="000000"/>
          <w:sz w:val="24"/>
          <w:szCs w:val="24"/>
        </w:rPr>
        <w:t>SOC</w:t>
      </w:r>
      <w:r w:rsidR="00396DAE" w:rsidRPr="00E94E8A">
        <w:rPr>
          <w:color w:val="000000"/>
          <w:sz w:val="24"/>
          <w:szCs w:val="24"/>
        </w:rPr>
        <w:t xml:space="preserve">’s main priorities was the regionalisation of LGBTI inclusive psychosocial support and access to mental health services in Bosnia and Herzegovina, the topic of </w:t>
      </w:r>
      <w:r w:rsidR="00396DAE">
        <w:rPr>
          <w:color w:val="000000"/>
          <w:sz w:val="24"/>
          <w:szCs w:val="24"/>
        </w:rPr>
        <w:t xml:space="preserve">so-called </w:t>
      </w:r>
      <w:r w:rsidR="00396DAE" w:rsidRPr="00E94E8A">
        <w:rPr>
          <w:color w:val="000000"/>
          <w:sz w:val="24"/>
          <w:szCs w:val="24"/>
        </w:rPr>
        <w:t>“conversion therapy” unintentionally</w:t>
      </w:r>
      <w:r w:rsidR="0029695D">
        <w:rPr>
          <w:color w:val="000000"/>
          <w:sz w:val="24"/>
          <w:szCs w:val="24"/>
        </w:rPr>
        <w:t xml:space="preserve"> arose in the process.</w:t>
      </w:r>
      <w:r w:rsidR="00CE75BB">
        <w:rPr>
          <w:color w:val="000000"/>
          <w:sz w:val="24"/>
          <w:szCs w:val="24"/>
        </w:rPr>
        <w:t xml:space="preserve"> </w:t>
      </w:r>
      <w:r w:rsidR="00396DAE" w:rsidRPr="00E94E8A">
        <w:rPr>
          <w:color w:val="000000"/>
          <w:sz w:val="24"/>
          <w:szCs w:val="24"/>
        </w:rPr>
        <w:t xml:space="preserve">Testimonies and conversations with associate psychologists, psychotherapists and psychiatrists revealed more and more information concerning the existence of persons who are involved in or offer services that can be summed up as </w:t>
      </w:r>
      <w:r w:rsidR="00396DAE">
        <w:rPr>
          <w:color w:val="000000"/>
          <w:sz w:val="24"/>
          <w:szCs w:val="24"/>
        </w:rPr>
        <w:t xml:space="preserve">so-called </w:t>
      </w:r>
      <w:r w:rsidR="00396DAE" w:rsidRPr="00E94E8A">
        <w:rPr>
          <w:color w:val="000000"/>
          <w:sz w:val="24"/>
          <w:szCs w:val="24"/>
        </w:rPr>
        <w:t>“conversion therapy</w:t>
      </w:r>
      <w:r w:rsidR="00E2395C">
        <w:rPr>
          <w:color w:val="000000"/>
          <w:sz w:val="24"/>
          <w:szCs w:val="24"/>
        </w:rPr>
        <w:t>/practices</w:t>
      </w:r>
      <w:r w:rsidR="00396DAE" w:rsidRPr="00E94E8A">
        <w:rPr>
          <w:color w:val="000000"/>
          <w:sz w:val="24"/>
          <w:szCs w:val="24"/>
        </w:rPr>
        <w:t xml:space="preserve">”. Such confirmations came both from the LGBTI community and their own experiences, as they discussed the treatments they underwent. </w:t>
      </w:r>
      <w:r w:rsidR="00396DAE">
        <w:rPr>
          <w:color w:val="000000"/>
          <w:sz w:val="24"/>
          <w:szCs w:val="24"/>
        </w:rPr>
        <w:t>So-called c</w:t>
      </w:r>
      <w:r w:rsidR="00396DAE" w:rsidRPr="00E94E8A">
        <w:rPr>
          <w:color w:val="000000"/>
          <w:sz w:val="24"/>
          <w:szCs w:val="24"/>
        </w:rPr>
        <w:t xml:space="preserve">onversion therapy is an umbrella term describing a variety of unscientific and traumatic approaches and treatments aimed at modifying a person’s sexual orientation, gender identity or gender expression. According to information </w:t>
      </w:r>
      <w:r w:rsidR="00396DAE">
        <w:rPr>
          <w:color w:val="000000"/>
          <w:sz w:val="24"/>
          <w:szCs w:val="24"/>
        </w:rPr>
        <w:t>we</w:t>
      </w:r>
      <w:r w:rsidR="00396DAE" w:rsidRPr="00E94E8A">
        <w:rPr>
          <w:color w:val="000000"/>
          <w:sz w:val="24"/>
          <w:szCs w:val="24"/>
        </w:rPr>
        <w:t xml:space="preserve"> have, such “services” are provided by certain psychologists, psychotherapists or psychiatrists, as well as individual religious officials in their private capacity. What is also problematic is that there have been reports of LGBTI people having very negative experiences in treatment with mental health professionals in public institutions, ranging from unprofessional and stigmatising treatment to certain procedures that can be classified as </w:t>
      </w:r>
      <w:r w:rsidR="00396DAE">
        <w:rPr>
          <w:color w:val="000000"/>
          <w:sz w:val="24"/>
          <w:szCs w:val="24"/>
        </w:rPr>
        <w:t xml:space="preserve">so-called </w:t>
      </w:r>
      <w:r w:rsidR="00396DAE" w:rsidRPr="00E94E8A">
        <w:rPr>
          <w:color w:val="000000"/>
          <w:sz w:val="24"/>
          <w:szCs w:val="24"/>
        </w:rPr>
        <w:t xml:space="preserve">“conversion therapy”. The situation and examples from the field revealed the scope of the problem and its pervasiveness. The fact that the activities of psychologists and psychiatrists are not regulated by law indicates that this issue requires a multisectoral approach. This includes detailed problem mapping, work with mental health </w:t>
      </w:r>
      <w:r w:rsidR="00396DAE" w:rsidRPr="00E94E8A">
        <w:rPr>
          <w:color w:val="000000"/>
          <w:sz w:val="24"/>
          <w:szCs w:val="24"/>
        </w:rPr>
        <w:lastRenderedPageBreak/>
        <w:t>professionals and health</w:t>
      </w:r>
      <w:r w:rsidR="00FA10D8">
        <w:rPr>
          <w:color w:val="000000"/>
          <w:sz w:val="24"/>
          <w:szCs w:val="24"/>
        </w:rPr>
        <w:t>care</w:t>
      </w:r>
      <w:r w:rsidR="00396DAE" w:rsidRPr="00E94E8A">
        <w:rPr>
          <w:color w:val="000000"/>
          <w:sz w:val="24"/>
          <w:szCs w:val="24"/>
        </w:rPr>
        <w:t xml:space="preserve"> workers, as well as competent administrative and law enforcement authorities</w:t>
      </w:r>
      <w:r w:rsidR="00396DAE">
        <w:rPr>
          <w:rStyle w:val="FootnoteReference"/>
          <w:color w:val="000000"/>
          <w:sz w:val="24"/>
          <w:szCs w:val="24"/>
        </w:rPr>
        <w:footnoteReference w:id="4"/>
      </w:r>
      <w:r w:rsidR="00396DAE" w:rsidRPr="00E94E8A">
        <w:rPr>
          <w:color w:val="000000"/>
          <w:sz w:val="24"/>
          <w:szCs w:val="24"/>
        </w:rPr>
        <w:t>.</w:t>
      </w:r>
    </w:p>
    <w:p w14:paraId="02F71D71" w14:textId="77777777" w:rsidR="00AE229D" w:rsidRDefault="00AE229D" w:rsidP="003A6D59">
      <w:pPr>
        <w:jc w:val="both"/>
        <w:rPr>
          <w:color w:val="000000"/>
          <w:sz w:val="24"/>
          <w:szCs w:val="24"/>
        </w:rPr>
      </w:pPr>
    </w:p>
    <w:p w14:paraId="4DC9D321" w14:textId="77777777" w:rsidR="003A6D59" w:rsidRDefault="003A6D59" w:rsidP="003A6D59">
      <w:pPr>
        <w:jc w:val="both"/>
        <w:rPr>
          <w:color w:val="000000"/>
          <w:sz w:val="24"/>
          <w:szCs w:val="24"/>
          <w:lang w:val="en"/>
        </w:rPr>
      </w:pPr>
      <w:r>
        <w:rPr>
          <w:color w:val="000000"/>
          <w:sz w:val="24"/>
          <w:szCs w:val="24"/>
        </w:rPr>
        <w:t xml:space="preserve">Our partner Organization Wings of Hope that </w:t>
      </w:r>
      <w:r w:rsidR="00CE2129">
        <w:rPr>
          <w:color w:val="000000"/>
          <w:sz w:val="24"/>
          <w:szCs w:val="24"/>
        </w:rPr>
        <w:t>is</w:t>
      </w:r>
      <w:r>
        <w:rPr>
          <w:color w:val="000000"/>
          <w:sz w:val="24"/>
          <w:szCs w:val="24"/>
        </w:rPr>
        <w:t xml:space="preserve"> providing mental health support to the LGBTI persons in Bosnia and Herzegovina wrote case study on gay person being subjected to so-called “conversion therapies”. Their </w:t>
      </w:r>
      <w:r>
        <w:rPr>
          <w:color w:val="000000"/>
          <w:sz w:val="24"/>
          <w:szCs w:val="24"/>
          <w:lang w:val="en"/>
        </w:rPr>
        <w:t>c</w:t>
      </w:r>
      <w:r w:rsidRPr="003A6D59">
        <w:rPr>
          <w:color w:val="000000"/>
          <w:sz w:val="24"/>
          <w:szCs w:val="24"/>
          <w:lang w:val="en"/>
        </w:rPr>
        <w:t>lient N. N. (25 years old) from a small town c</w:t>
      </w:r>
      <w:r>
        <w:rPr>
          <w:color w:val="000000"/>
          <w:sz w:val="24"/>
          <w:szCs w:val="24"/>
          <w:lang w:val="en"/>
        </w:rPr>
        <w:t>ame</w:t>
      </w:r>
      <w:r w:rsidRPr="003A6D59">
        <w:rPr>
          <w:color w:val="000000"/>
          <w:sz w:val="24"/>
          <w:szCs w:val="24"/>
          <w:lang w:val="en"/>
        </w:rPr>
        <w:t xml:space="preserve"> to a well-known "expert" for psychotherapy because of his sexual identity. </w:t>
      </w:r>
      <w:r>
        <w:rPr>
          <w:color w:val="000000"/>
          <w:sz w:val="24"/>
          <w:szCs w:val="24"/>
          <w:lang w:val="en"/>
        </w:rPr>
        <w:t>During the process of psychotherapy</w:t>
      </w:r>
      <w:r w:rsidRPr="003A6D59">
        <w:rPr>
          <w:color w:val="000000"/>
          <w:sz w:val="24"/>
          <w:szCs w:val="24"/>
          <w:lang w:val="en"/>
        </w:rPr>
        <w:t>, the "expert" force</w:t>
      </w:r>
      <w:r>
        <w:rPr>
          <w:color w:val="000000"/>
          <w:sz w:val="24"/>
          <w:szCs w:val="24"/>
          <w:lang w:val="en"/>
        </w:rPr>
        <w:t>d</w:t>
      </w:r>
      <w:r w:rsidRPr="003A6D59">
        <w:rPr>
          <w:color w:val="000000"/>
          <w:sz w:val="24"/>
          <w:szCs w:val="24"/>
          <w:lang w:val="en"/>
        </w:rPr>
        <w:t xml:space="preserve"> him to share his sexual fantasies in the session and to imagine having sex with a woman, and then suggest</w:t>
      </w:r>
      <w:r>
        <w:rPr>
          <w:color w:val="000000"/>
          <w:sz w:val="24"/>
          <w:szCs w:val="24"/>
          <w:lang w:val="en"/>
        </w:rPr>
        <w:t>ed</w:t>
      </w:r>
      <w:r w:rsidRPr="003A6D59">
        <w:rPr>
          <w:color w:val="000000"/>
          <w:sz w:val="24"/>
          <w:szCs w:val="24"/>
          <w:lang w:val="en"/>
        </w:rPr>
        <w:t xml:space="preserve"> that he try to have sex with his</w:t>
      </w:r>
      <w:r>
        <w:rPr>
          <w:color w:val="000000"/>
          <w:sz w:val="24"/>
          <w:szCs w:val="24"/>
          <w:lang w:val="en"/>
        </w:rPr>
        <w:t xml:space="preserve"> female</w:t>
      </w:r>
      <w:r w:rsidRPr="003A6D59">
        <w:rPr>
          <w:color w:val="000000"/>
          <w:sz w:val="24"/>
          <w:szCs w:val="24"/>
          <w:lang w:val="en"/>
        </w:rPr>
        <w:t xml:space="preserve"> friend. </w:t>
      </w:r>
      <w:r>
        <w:rPr>
          <w:color w:val="000000"/>
          <w:sz w:val="24"/>
          <w:szCs w:val="24"/>
          <w:lang w:val="en"/>
        </w:rPr>
        <w:t>T</w:t>
      </w:r>
      <w:r w:rsidRPr="003A6D59">
        <w:rPr>
          <w:color w:val="000000"/>
          <w:sz w:val="24"/>
          <w:szCs w:val="24"/>
          <w:lang w:val="en"/>
        </w:rPr>
        <w:t>his approach</w:t>
      </w:r>
      <w:r>
        <w:rPr>
          <w:color w:val="000000"/>
          <w:sz w:val="24"/>
          <w:szCs w:val="24"/>
          <w:lang w:val="en"/>
        </w:rPr>
        <w:t xml:space="preserve"> triggered</w:t>
      </w:r>
      <w:r w:rsidRPr="003A6D59">
        <w:rPr>
          <w:color w:val="000000"/>
          <w:sz w:val="24"/>
          <w:szCs w:val="24"/>
          <w:lang w:val="en"/>
        </w:rPr>
        <w:t xml:space="preserve"> shame, anxiety and </w:t>
      </w:r>
      <w:r>
        <w:rPr>
          <w:color w:val="000000"/>
          <w:sz w:val="24"/>
          <w:szCs w:val="24"/>
          <w:lang w:val="en"/>
        </w:rPr>
        <w:t xml:space="preserve">increased </w:t>
      </w:r>
      <w:r w:rsidRPr="003A6D59">
        <w:rPr>
          <w:color w:val="000000"/>
          <w:sz w:val="24"/>
          <w:szCs w:val="24"/>
          <w:lang w:val="en"/>
        </w:rPr>
        <w:t>internalized homophobia</w:t>
      </w:r>
      <w:r>
        <w:rPr>
          <w:color w:val="000000"/>
          <w:sz w:val="24"/>
          <w:szCs w:val="24"/>
          <w:lang w:val="en"/>
        </w:rPr>
        <w:t xml:space="preserve"> of the client. Gay man developed </w:t>
      </w:r>
      <w:r w:rsidRPr="003A6D59">
        <w:rPr>
          <w:color w:val="000000"/>
          <w:sz w:val="24"/>
          <w:szCs w:val="24"/>
          <w:lang w:val="en"/>
        </w:rPr>
        <w:t>depressive mood and social phobia</w:t>
      </w:r>
      <w:r>
        <w:rPr>
          <w:rStyle w:val="FootnoteReference"/>
          <w:color w:val="000000"/>
          <w:sz w:val="24"/>
          <w:szCs w:val="24"/>
          <w:lang w:val="en"/>
        </w:rPr>
        <w:footnoteReference w:id="5"/>
      </w:r>
      <w:r w:rsidRPr="003A6D59">
        <w:rPr>
          <w:color w:val="000000"/>
          <w:sz w:val="24"/>
          <w:szCs w:val="24"/>
          <w:lang w:val="en"/>
        </w:rPr>
        <w:t xml:space="preserve">. </w:t>
      </w:r>
    </w:p>
    <w:p w14:paraId="52B57586" w14:textId="77777777" w:rsidR="00FA10D8" w:rsidRDefault="00FA10D8" w:rsidP="003A6D59">
      <w:pPr>
        <w:jc w:val="both"/>
        <w:rPr>
          <w:color w:val="000000"/>
          <w:sz w:val="24"/>
          <w:szCs w:val="24"/>
          <w:lang w:val="en"/>
        </w:rPr>
      </w:pPr>
    </w:p>
    <w:p w14:paraId="166A7C09" w14:textId="40F66C9B" w:rsidR="00FA10D8" w:rsidRPr="0029695D" w:rsidRDefault="00FA10D8" w:rsidP="00FA10D8">
      <w:pPr>
        <w:pStyle w:val="NoSpacing"/>
        <w:jc w:val="both"/>
        <w:rPr>
          <w:rFonts w:ascii="Times New Roman" w:eastAsia="Cambria" w:hAnsi="Times New Roman" w:cs="Times New Roman"/>
          <w:color w:val="222222"/>
          <w:sz w:val="24"/>
          <w:szCs w:val="28"/>
          <w:u w:color="222222"/>
          <w:shd w:val="clear" w:color="auto" w:fill="FFFFFF"/>
        </w:rPr>
      </w:pPr>
      <w:r w:rsidRPr="00017151">
        <w:rPr>
          <w:rFonts w:ascii="Times New Roman" w:hAnsi="Times New Roman" w:cs="Times New Roman"/>
          <w:sz w:val="24"/>
          <w:szCs w:val="28"/>
          <w:shd w:val="clear" w:color="auto" w:fill="FFFFFF"/>
        </w:rPr>
        <w:t xml:space="preserve">Even though </w:t>
      </w:r>
      <w:r w:rsidR="00017151">
        <w:rPr>
          <w:rFonts w:ascii="Times New Roman" w:hAnsi="Times New Roman" w:cs="Times New Roman"/>
          <w:sz w:val="24"/>
          <w:szCs w:val="28"/>
          <w:shd w:val="clear" w:color="auto" w:fill="FFFFFF"/>
        </w:rPr>
        <w:t xml:space="preserve">so-called </w:t>
      </w:r>
      <w:r w:rsidRPr="00017151">
        <w:rPr>
          <w:rFonts w:ascii="Times New Roman" w:hAnsi="Times New Roman" w:cs="Times New Roman"/>
          <w:sz w:val="24"/>
          <w:szCs w:val="28"/>
          <w:shd w:val="clear" w:color="auto" w:fill="FFFFFF"/>
        </w:rPr>
        <w:t>c</w:t>
      </w:r>
      <w:r w:rsidRPr="00017151">
        <w:rPr>
          <w:rFonts w:ascii="Times New Roman" w:hAnsi="Times New Roman" w:cs="Times New Roman"/>
          <w:bCs/>
          <w:sz w:val="24"/>
          <w:szCs w:val="28"/>
          <w:shd w:val="clear" w:color="auto" w:fill="FFFFFF"/>
        </w:rPr>
        <w:t>onversion practices</w:t>
      </w:r>
      <w:r w:rsidR="00265302" w:rsidRPr="00017151">
        <w:rPr>
          <w:rFonts w:ascii="Times New Roman" w:hAnsi="Times New Roman" w:cs="Times New Roman"/>
          <w:bCs/>
          <w:sz w:val="24"/>
          <w:szCs w:val="28"/>
          <w:shd w:val="clear" w:color="auto" w:fill="FFFFFF"/>
        </w:rPr>
        <w:t>/</w:t>
      </w:r>
      <w:r w:rsidRPr="00017151">
        <w:rPr>
          <w:rFonts w:ascii="Times New Roman" w:hAnsi="Times New Roman" w:cs="Times New Roman"/>
          <w:bCs/>
          <w:sz w:val="24"/>
          <w:szCs w:val="28"/>
          <w:shd w:val="clear" w:color="auto" w:fill="FFFFFF"/>
        </w:rPr>
        <w:t>“therapies”</w:t>
      </w:r>
      <w:r w:rsidRPr="0029695D">
        <w:rPr>
          <w:rFonts w:ascii="Times New Roman" w:hAnsi="Times New Roman" w:cs="Times New Roman"/>
          <w:sz w:val="24"/>
          <w:szCs w:val="28"/>
          <w:shd w:val="clear" w:color="auto" w:fill="FFFFFF"/>
        </w:rPr>
        <w:t xml:space="preserve"> are not researched in </w:t>
      </w:r>
      <w:proofErr w:type="spellStart"/>
      <w:r w:rsidRPr="0029695D">
        <w:rPr>
          <w:rFonts w:ascii="Times New Roman" w:hAnsi="Times New Roman" w:cs="Times New Roman"/>
          <w:sz w:val="24"/>
          <w:szCs w:val="28"/>
          <w:shd w:val="clear" w:color="auto" w:fill="FFFFFF"/>
        </w:rPr>
        <w:t>BiH</w:t>
      </w:r>
      <w:proofErr w:type="spellEnd"/>
      <w:r>
        <w:rPr>
          <w:rFonts w:ascii="Times New Roman" w:hAnsi="Times New Roman" w:cs="Times New Roman"/>
          <w:sz w:val="24"/>
          <w:szCs w:val="28"/>
          <w:shd w:val="clear" w:color="auto" w:fill="FFFFFF"/>
        </w:rPr>
        <w:t>,</w:t>
      </w:r>
      <w:r w:rsidRPr="0029695D">
        <w:rPr>
          <w:rFonts w:ascii="Times New Roman" w:hAnsi="Times New Roman" w:cs="Times New Roman"/>
          <w:sz w:val="24"/>
          <w:szCs w:val="28"/>
          <w:shd w:val="clear" w:color="auto" w:fill="FFFFFF"/>
        </w:rPr>
        <w:t xml:space="preserve"> LGBTI community ha</w:t>
      </w:r>
      <w:r>
        <w:rPr>
          <w:rFonts w:ascii="Times New Roman" w:hAnsi="Times New Roman" w:cs="Times New Roman"/>
          <w:sz w:val="24"/>
          <w:szCs w:val="28"/>
          <w:shd w:val="clear" w:color="auto" w:fill="FFFFFF"/>
        </w:rPr>
        <w:t>s</w:t>
      </w:r>
      <w:r w:rsidRPr="0029695D">
        <w:rPr>
          <w:rFonts w:ascii="Times New Roman" w:hAnsi="Times New Roman" w:cs="Times New Roman"/>
          <w:sz w:val="24"/>
          <w:szCs w:val="28"/>
          <w:shd w:val="clear" w:color="auto" w:fill="FFFFFF"/>
        </w:rPr>
        <w:t xml:space="preserve"> experienced such “reparative” interventions, both from mental health, medical professionals, and religious officials, even in the quackery practice. </w:t>
      </w:r>
      <w:r w:rsidRPr="0029695D">
        <w:rPr>
          <w:rFonts w:ascii="Times New Roman" w:eastAsia="Cambria" w:hAnsi="Times New Roman" w:cs="Times New Roman"/>
          <w:color w:val="222222"/>
          <w:sz w:val="24"/>
          <w:szCs w:val="28"/>
          <w:u w:color="222222"/>
          <w:shd w:val="clear" w:color="auto" w:fill="FFFFFF"/>
        </w:rPr>
        <w:t>The majority of respondents in the 2023 SOC survey</w:t>
      </w:r>
      <w:r>
        <w:rPr>
          <w:rFonts w:ascii="Times New Roman" w:eastAsia="Cambria" w:hAnsi="Times New Roman" w:cs="Times New Roman"/>
          <w:color w:val="222222"/>
          <w:sz w:val="24"/>
          <w:szCs w:val="28"/>
          <w:u w:color="222222"/>
          <w:shd w:val="clear" w:color="auto" w:fill="FFFFFF"/>
        </w:rPr>
        <w:t xml:space="preserve"> on needs and experiences of LGBTI persons in Bosnia and Herzegovina </w:t>
      </w:r>
      <w:r w:rsidRPr="0029695D">
        <w:rPr>
          <w:rFonts w:ascii="Times New Roman" w:eastAsia="Cambria" w:hAnsi="Times New Roman" w:cs="Times New Roman"/>
          <w:color w:val="222222"/>
          <w:sz w:val="24"/>
          <w:szCs w:val="28"/>
          <w:u w:color="222222"/>
          <w:shd w:val="clear" w:color="auto" w:fill="FFFFFF"/>
        </w:rPr>
        <w:t xml:space="preserve"> - 95.58% - reported that they were not subjected to any procedures or treatments to change their sexual orientation/gender identity/sexual characteristics against their will. However, 17 of them, which is 4.42%, reported that they had undergone such treatments. Of the persons subjected to conversion treatments, 77.78% did not agree to the treatment, and were subjected to it against their will</w:t>
      </w:r>
      <w:r w:rsidR="00073C33">
        <w:rPr>
          <w:rStyle w:val="FootnoteReference"/>
          <w:rFonts w:ascii="Times New Roman" w:eastAsia="Cambria" w:hAnsi="Times New Roman" w:cs="Times New Roman"/>
          <w:color w:val="222222"/>
          <w:sz w:val="24"/>
          <w:szCs w:val="28"/>
          <w:u w:color="222222"/>
          <w:shd w:val="clear" w:color="auto" w:fill="FFFFFF"/>
        </w:rPr>
        <w:footnoteReference w:id="6"/>
      </w:r>
      <w:r w:rsidRPr="0029695D">
        <w:rPr>
          <w:rFonts w:ascii="Times New Roman" w:eastAsia="Cambria" w:hAnsi="Times New Roman" w:cs="Times New Roman"/>
          <w:color w:val="222222"/>
          <w:sz w:val="24"/>
          <w:szCs w:val="28"/>
          <w:u w:color="222222"/>
          <w:shd w:val="clear" w:color="auto" w:fill="FFFFFF"/>
        </w:rPr>
        <w:t>.</w:t>
      </w:r>
    </w:p>
    <w:p w14:paraId="0E251D65" w14:textId="77777777" w:rsidR="00FA10D8" w:rsidRPr="0029695D" w:rsidRDefault="00FA10D8" w:rsidP="00FA10D8">
      <w:pPr>
        <w:pStyle w:val="NoSpacing"/>
        <w:jc w:val="both"/>
        <w:rPr>
          <w:rFonts w:ascii="Times New Roman" w:eastAsia="Cambria" w:hAnsi="Times New Roman" w:cs="Times New Roman"/>
          <w:color w:val="222222"/>
          <w:sz w:val="24"/>
          <w:szCs w:val="28"/>
          <w:u w:color="222222"/>
          <w:shd w:val="clear" w:color="auto" w:fill="FFFFFF"/>
        </w:rPr>
      </w:pPr>
    </w:p>
    <w:p w14:paraId="40E5610A" w14:textId="77777777" w:rsidR="00FA10D8" w:rsidRPr="0029695D" w:rsidRDefault="00FA10D8" w:rsidP="00FA10D8">
      <w:pPr>
        <w:pStyle w:val="NoSpacing"/>
        <w:jc w:val="both"/>
        <w:rPr>
          <w:rFonts w:ascii="Times New Roman" w:hAnsi="Times New Roman" w:cs="Times New Roman"/>
          <w:sz w:val="24"/>
          <w:szCs w:val="28"/>
          <w:shd w:val="clear" w:color="auto" w:fill="FFFFFF"/>
        </w:rPr>
      </w:pPr>
      <w:r w:rsidRPr="0029695D">
        <w:rPr>
          <w:rFonts w:ascii="Times New Roman" w:hAnsi="Times New Roman" w:cs="Times New Roman"/>
          <w:sz w:val="24"/>
          <w:szCs w:val="28"/>
          <w:shd w:val="clear" w:color="auto" w:fill="FFFFFF"/>
        </w:rPr>
        <w:t xml:space="preserve">Conversion practices” are not explicitly banned in </w:t>
      </w:r>
      <w:proofErr w:type="spellStart"/>
      <w:r w:rsidRPr="0029695D">
        <w:rPr>
          <w:rFonts w:ascii="Times New Roman" w:hAnsi="Times New Roman" w:cs="Times New Roman"/>
          <w:sz w:val="24"/>
          <w:szCs w:val="28"/>
          <w:shd w:val="clear" w:color="auto" w:fill="FFFFFF"/>
        </w:rPr>
        <w:t>BiH</w:t>
      </w:r>
      <w:proofErr w:type="spellEnd"/>
      <w:r w:rsidRPr="0029695D">
        <w:rPr>
          <w:rFonts w:ascii="Times New Roman" w:hAnsi="Times New Roman" w:cs="Times New Roman"/>
          <w:sz w:val="24"/>
          <w:szCs w:val="28"/>
          <w:shd w:val="clear" w:color="auto" w:fill="FFFFFF"/>
        </w:rPr>
        <w:t>, but certain practices with those elements could be defined and sanctioned through criminal codes’ legislation, such as medical malpractice, arbitrary treatment without the consent of the person being treated, or quackery.</w:t>
      </w:r>
    </w:p>
    <w:p w14:paraId="3AC8A30F" w14:textId="77777777" w:rsidR="008333B0" w:rsidRDefault="008333B0" w:rsidP="008333B0">
      <w:pPr>
        <w:jc w:val="both"/>
        <w:rPr>
          <w:color w:val="000000"/>
          <w:sz w:val="24"/>
          <w:szCs w:val="24"/>
        </w:rPr>
      </w:pPr>
    </w:p>
    <w:p w14:paraId="3E245BE7" w14:textId="77777777" w:rsidR="001C5F05" w:rsidRPr="009B0C47" w:rsidRDefault="008333B0" w:rsidP="001C5F05">
      <w:pPr>
        <w:jc w:val="both"/>
        <w:rPr>
          <w:b/>
          <w:color w:val="000000"/>
          <w:sz w:val="24"/>
          <w:szCs w:val="24"/>
        </w:rPr>
      </w:pPr>
      <w:r w:rsidRPr="009B0C47">
        <w:rPr>
          <w:b/>
          <w:color w:val="000000"/>
          <w:sz w:val="24"/>
          <w:szCs w:val="24"/>
        </w:rPr>
        <w:t xml:space="preserve">(d) </w:t>
      </w:r>
      <w:r w:rsidR="001C5F05" w:rsidRPr="009B0C47">
        <w:rPr>
          <w:b/>
          <w:color w:val="000000"/>
          <w:sz w:val="24"/>
          <w:szCs w:val="24"/>
        </w:rPr>
        <w:t>Propose recommendations</w:t>
      </w:r>
    </w:p>
    <w:p w14:paraId="13E68483" w14:textId="77777777" w:rsidR="001C5F05" w:rsidRDefault="001C5F05" w:rsidP="008333B0">
      <w:pPr>
        <w:jc w:val="both"/>
        <w:rPr>
          <w:color w:val="000000"/>
          <w:sz w:val="24"/>
          <w:szCs w:val="24"/>
        </w:rPr>
      </w:pPr>
    </w:p>
    <w:p w14:paraId="0D765608" w14:textId="77777777" w:rsidR="002E279D" w:rsidRDefault="002E279D">
      <w:pPr>
        <w:jc w:val="both"/>
        <w:rPr>
          <w:color w:val="000000"/>
          <w:sz w:val="24"/>
          <w:szCs w:val="24"/>
        </w:rPr>
      </w:pPr>
      <w:r>
        <w:rPr>
          <w:color w:val="000000"/>
          <w:sz w:val="24"/>
          <w:szCs w:val="24"/>
        </w:rPr>
        <w:t>-Domestic criminal legislation in Bosnia and Herzegovina must recognize so-called “conversion therapies” as criminal act</w:t>
      </w:r>
    </w:p>
    <w:p w14:paraId="0FCF2C7A" w14:textId="77777777" w:rsidR="002E279D" w:rsidRDefault="002E279D">
      <w:pPr>
        <w:jc w:val="both"/>
        <w:rPr>
          <w:color w:val="000000"/>
          <w:sz w:val="24"/>
          <w:szCs w:val="24"/>
        </w:rPr>
      </w:pPr>
      <w:r>
        <w:rPr>
          <w:color w:val="000000"/>
          <w:sz w:val="24"/>
          <w:szCs w:val="24"/>
        </w:rPr>
        <w:lastRenderedPageBreak/>
        <w:t>-Domestic Laws on Activities of Psychologists must define and recognize so-called “conversion therapies” as forbidden practices that can revoke licence of the psychologists that are performing these practices</w:t>
      </w:r>
    </w:p>
    <w:p w14:paraId="19EA074F" w14:textId="77777777" w:rsidR="002E279D" w:rsidRDefault="002E279D" w:rsidP="002E279D">
      <w:pPr>
        <w:jc w:val="both"/>
        <w:rPr>
          <w:color w:val="000000"/>
          <w:sz w:val="24"/>
          <w:szCs w:val="24"/>
        </w:rPr>
      </w:pPr>
      <w:r w:rsidRPr="00CE2129">
        <w:rPr>
          <w:color w:val="000000"/>
          <w:sz w:val="24"/>
          <w:szCs w:val="24"/>
        </w:rPr>
        <w:t>-Ensuring legally requiring informed consent of persons in any decisions about medical, psychological, or other interventions</w:t>
      </w:r>
    </w:p>
    <w:p w14:paraId="42272403" w14:textId="77777777" w:rsidR="002E279D" w:rsidRDefault="002E279D" w:rsidP="002E279D">
      <w:pPr>
        <w:jc w:val="both"/>
        <w:rPr>
          <w:color w:val="000000"/>
          <w:sz w:val="24"/>
          <w:szCs w:val="24"/>
        </w:rPr>
      </w:pPr>
      <w:r w:rsidRPr="00CE2129">
        <w:rPr>
          <w:color w:val="000000"/>
          <w:sz w:val="24"/>
          <w:szCs w:val="24"/>
        </w:rPr>
        <w:t>-</w:t>
      </w:r>
      <w:r>
        <w:rPr>
          <w:color w:val="000000"/>
          <w:sz w:val="24"/>
          <w:szCs w:val="24"/>
        </w:rPr>
        <w:t>E</w:t>
      </w:r>
      <w:r w:rsidRPr="00CE2129">
        <w:rPr>
          <w:color w:val="000000"/>
          <w:sz w:val="24"/>
          <w:szCs w:val="24"/>
        </w:rPr>
        <w:t xml:space="preserve">stablish support services for </w:t>
      </w:r>
      <w:r>
        <w:rPr>
          <w:color w:val="000000"/>
          <w:sz w:val="24"/>
          <w:szCs w:val="24"/>
        </w:rPr>
        <w:t>victims of so-called “conversion therapies”</w:t>
      </w:r>
    </w:p>
    <w:p w14:paraId="729D5769" w14:textId="77777777" w:rsidR="002E279D" w:rsidRDefault="002E279D" w:rsidP="002E279D">
      <w:pPr>
        <w:jc w:val="both"/>
        <w:rPr>
          <w:color w:val="000000"/>
          <w:sz w:val="24"/>
          <w:szCs w:val="24"/>
        </w:rPr>
      </w:pPr>
      <w:r w:rsidRPr="00CE2129">
        <w:rPr>
          <w:color w:val="000000"/>
          <w:sz w:val="24"/>
          <w:szCs w:val="24"/>
        </w:rPr>
        <w:t>-</w:t>
      </w:r>
      <w:r>
        <w:rPr>
          <w:color w:val="000000"/>
          <w:sz w:val="24"/>
          <w:szCs w:val="24"/>
        </w:rPr>
        <w:t xml:space="preserve">Provide </w:t>
      </w:r>
      <w:r w:rsidRPr="00CE2129">
        <w:rPr>
          <w:color w:val="000000"/>
          <w:sz w:val="24"/>
          <w:szCs w:val="24"/>
        </w:rPr>
        <w:t>train</w:t>
      </w:r>
      <w:r>
        <w:rPr>
          <w:color w:val="000000"/>
          <w:sz w:val="24"/>
          <w:szCs w:val="24"/>
        </w:rPr>
        <w:t>ings for</w:t>
      </w:r>
      <w:r w:rsidRPr="00CE2129">
        <w:rPr>
          <w:color w:val="000000"/>
          <w:sz w:val="24"/>
          <w:szCs w:val="24"/>
        </w:rPr>
        <w:t xml:space="preserve"> law enforcement agencies, healthcare providers, and social workers to recognize and respond effectively to cases of </w:t>
      </w:r>
      <w:r>
        <w:rPr>
          <w:color w:val="000000"/>
          <w:sz w:val="24"/>
          <w:szCs w:val="24"/>
        </w:rPr>
        <w:t>so-called “conversion therapies”</w:t>
      </w:r>
    </w:p>
    <w:p w14:paraId="192F4C8F" w14:textId="77777777" w:rsidR="002E279D" w:rsidRDefault="002E279D">
      <w:pPr>
        <w:jc w:val="both"/>
        <w:rPr>
          <w:color w:val="000000"/>
          <w:sz w:val="24"/>
          <w:szCs w:val="24"/>
        </w:rPr>
      </w:pPr>
    </w:p>
    <w:p w14:paraId="4698D5B4" w14:textId="7FA8131E" w:rsidR="00CE2129" w:rsidRDefault="00CE2129">
      <w:pPr>
        <w:jc w:val="both"/>
        <w:rPr>
          <w:color w:val="000000"/>
          <w:sz w:val="24"/>
          <w:szCs w:val="24"/>
        </w:rPr>
      </w:pPr>
    </w:p>
    <w:p w14:paraId="126F1B0B" w14:textId="091383C8" w:rsidR="009B0C47" w:rsidRDefault="009B0C47" w:rsidP="009B0C47">
      <w:pPr>
        <w:jc w:val="right"/>
        <w:rPr>
          <w:b/>
          <w:color w:val="000000"/>
          <w:sz w:val="24"/>
          <w:szCs w:val="24"/>
        </w:rPr>
      </w:pPr>
      <w:bookmarkStart w:id="1" w:name="_GoBack"/>
      <w:bookmarkEnd w:id="1"/>
    </w:p>
    <w:p w14:paraId="4F5C9ABC" w14:textId="2EA90001" w:rsidR="00F20F88" w:rsidRDefault="00F20F88" w:rsidP="009B0C47">
      <w:pPr>
        <w:jc w:val="right"/>
        <w:rPr>
          <w:b/>
          <w:color w:val="000000"/>
          <w:sz w:val="24"/>
          <w:szCs w:val="24"/>
        </w:rPr>
      </w:pPr>
    </w:p>
    <w:p w14:paraId="2471FACF" w14:textId="43AFA5E0" w:rsidR="00F20F88" w:rsidRDefault="00F20F88" w:rsidP="009B0C47">
      <w:pPr>
        <w:jc w:val="right"/>
        <w:rPr>
          <w:b/>
          <w:color w:val="000000"/>
          <w:sz w:val="24"/>
          <w:szCs w:val="24"/>
        </w:rPr>
      </w:pPr>
    </w:p>
    <w:p w14:paraId="447B5193" w14:textId="77777777" w:rsidR="00F20F88" w:rsidRDefault="00F20F88" w:rsidP="009B0C47">
      <w:pPr>
        <w:jc w:val="right"/>
        <w:rPr>
          <w:b/>
          <w:color w:val="000000"/>
          <w:sz w:val="24"/>
          <w:szCs w:val="24"/>
        </w:rPr>
      </w:pPr>
    </w:p>
    <w:p w14:paraId="6350CFF3" w14:textId="3036D9A0" w:rsidR="00AD20FD" w:rsidRPr="009B0C47" w:rsidRDefault="00AD20FD" w:rsidP="00F20F88">
      <w:pPr>
        <w:jc w:val="right"/>
        <w:rPr>
          <w:b/>
          <w:color w:val="000000"/>
          <w:sz w:val="24"/>
          <w:szCs w:val="24"/>
        </w:rPr>
      </w:pPr>
    </w:p>
    <w:sectPr w:rsidR="00AD20FD" w:rsidRPr="009B0C47">
      <w:headerReference w:type="default" r:id="rId8"/>
      <w:footerReference w:type="default" r:id="rId9"/>
      <w:headerReference w:type="first" r:id="rId10"/>
      <w:footerReference w:type="first" r:id="rId11"/>
      <w:pgSz w:w="11906" w:h="16838"/>
      <w:pgMar w:top="2694" w:right="1558" w:bottom="1985" w:left="1247" w:header="536" w:footer="8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C19CB" w14:textId="77777777" w:rsidR="00F50251" w:rsidRDefault="00F50251">
      <w:r>
        <w:separator/>
      </w:r>
    </w:p>
  </w:endnote>
  <w:endnote w:type="continuationSeparator" w:id="0">
    <w:p w14:paraId="3C19437C" w14:textId="77777777" w:rsidR="00F50251" w:rsidRDefault="00F50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Goethe Text">
    <w:altName w:val="Times New Roman"/>
    <w:charset w:val="00"/>
    <w:family w:val="auto"/>
    <w:pitch w:val="variable"/>
    <w:sig w:usb0="800003AF" w:usb1="000078FB" w:usb2="00000000" w:usb3="00000000" w:csb0="0000009F" w:csb1="00000000"/>
  </w:font>
  <w:font w:name="Goethe Titel">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yriad Pro Cond">
    <w:panose1 w:val="00000000000000000000"/>
    <w:charset w:val="00"/>
    <w:family w:val="swiss"/>
    <w:notTrueType/>
    <w:pitch w:val="variable"/>
    <w:sig w:usb0="20000287" w:usb1="00000001" w:usb2="00000000" w:usb3="00000000" w:csb0="0000019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B44BA" w14:textId="77777777" w:rsidR="00F752E7" w:rsidRDefault="00F752E7">
    <w:pPr>
      <w:pBdr>
        <w:top w:val="nil"/>
        <w:left w:val="nil"/>
        <w:bottom w:val="single" w:sz="12" w:space="1" w:color="000000"/>
        <w:right w:val="nil"/>
        <w:between w:val="nil"/>
      </w:pBdr>
      <w:tabs>
        <w:tab w:val="center" w:pos="4536"/>
        <w:tab w:val="right" w:pos="9072"/>
      </w:tabs>
      <w:jc w:val="right"/>
      <w:rPr>
        <w:rFonts w:ascii="Arial" w:eastAsia="Arial" w:hAnsi="Arial" w:cs="Arial"/>
        <w:color w:val="A6A6A6"/>
      </w:rPr>
    </w:pPr>
  </w:p>
  <w:p w14:paraId="57C850EF"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proofErr w:type="spellStart"/>
    <w:r>
      <w:rPr>
        <w:rFonts w:ascii="Arial" w:eastAsia="Arial" w:hAnsi="Arial" w:cs="Arial"/>
        <w:color w:val="808080"/>
        <w:sz w:val="22"/>
        <w:szCs w:val="22"/>
      </w:rPr>
      <w:t>Sarajevski</w:t>
    </w:r>
    <w:proofErr w:type="spellEnd"/>
    <w:r>
      <w:rPr>
        <w:rFonts w:ascii="Arial" w:eastAsia="Arial" w:hAnsi="Arial" w:cs="Arial"/>
        <w:color w:val="808080"/>
        <w:sz w:val="22"/>
        <w:szCs w:val="22"/>
      </w:rPr>
      <w:t xml:space="preserve"> </w:t>
    </w:r>
    <w:proofErr w:type="spellStart"/>
    <w:r>
      <w:rPr>
        <w:rFonts w:ascii="Arial" w:eastAsia="Arial" w:hAnsi="Arial" w:cs="Arial"/>
        <w:color w:val="808080"/>
        <w:sz w:val="22"/>
        <w:szCs w:val="22"/>
      </w:rPr>
      <w:t>otvoreni</w:t>
    </w:r>
    <w:proofErr w:type="spellEnd"/>
    <w:r>
      <w:rPr>
        <w:rFonts w:ascii="Arial" w:eastAsia="Arial" w:hAnsi="Arial" w:cs="Arial"/>
        <w:color w:val="808080"/>
        <w:sz w:val="22"/>
        <w:szCs w:val="22"/>
      </w:rPr>
      <w:t xml:space="preserve"> </w:t>
    </w:r>
    <w:proofErr w:type="spellStart"/>
    <w:r>
      <w:rPr>
        <w:rFonts w:ascii="Arial" w:eastAsia="Arial" w:hAnsi="Arial" w:cs="Arial"/>
        <w:color w:val="808080"/>
        <w:sz w:val="22"/>
        <w:szCs w:val="22"/>
      </w:rPr>
      <w:t>centar</w:t>
    </w:r>
    <w:proofErr w:type="spellEnd"/>
    <w:r>
      <w:rPr>
        <w:rFonts w:ascii="Arial" w:eastAsia="Arial" w:hAnsi="Arial" w:cs="Arial"/>
        <w:color w:val="808080"/>
        <w:sz w:val="22"/>
        <w:szCs w:val="22"/>
      </w:rPr>
      <w:t xml:space="preserve"> // </w:t>
    </w:r>
    <w:proofErr w:type="spellStart"/>
    <w:r>
      <w:rPr>
        <w:rFonts w:ascii="Arial" w:eastAsia="Arial" w:hAnsi="Arial" w:cs="Arial"/>
        <w:color w:val="808080"/>
        <w:sz w:val="22"/>
        <w:szCs w:val="22"/>
      </w:rPr>
      <w:t>Podgaj</w:t>
    </w:r>
    <w:proofErr w:type="spellEnd"/>
    <w:r>
      <w:rPr>
        <w:rFonts w:ascii="Arial" w:eastAsia="Arial" w:hAnsi="Arial" w:cs="Arial"/>
        <w:color w:val="808080"/>
        <w:sz w:val="22"/>
        <w:szCs w:val="22"/>
      </w:rPr>
      <w:t xml:space="preserve"> 14 // 71000 Sarajevo // Bosna </w:t>
    </w:r>
    <w:proofErr w:type="spellStart"/>
    <w:r>
      <w:rPr>
        <w:rFonts w:ascii="Arial" w:eastAsia="Arial" w:hAnsi="Arial" w:cs="Arial"/>
        <w:color w:val="808080"/>
        <w:sz w:val="22"/>
        <w:szCs w:val="22"/>
      </w:rPr>
      <w:t>i</w:t>
    </w:r>
    <w:proofErr w:type="spellEnd"/>
    <w:r>
      <w:rPr>
        <w:rFonts w:ascii="Arial" w:eastAsia="Arial" w:hAnsi="Arial" w:cs="Arial"/>
        <w:color w:val="808080"/>
        <w:sz w:val="22"/>
        <w:szCs w:val="22"/>
      </w:rPr>
      <w:t xml:space="preserve"> Hercegovina</w:t>
    </w:r>
  </w:p>
  <w:p w14:paraId="3AD5D7F6"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proofErr w:type="spellStart"/>
    <w:r>
      <w:rPr>
        <w:rFonts w:ascii="Arial" w:eastAsia="Arial" w:hAnsi="Arial" w:cs="Arial"/>
        <w:color w:val="808080"/>
        <w:sz w:val="22"/>
        <w:szCs w:val="22"/>
      </w:rPr>
      <w:t>tel</w:t>
    </w:r>
    <w:proofErr w:type="spellEnd"/>
    <w:r>
      <w:rPr>
        <w:rFonts w:ascii="Arial" w:eastAsia="Arial" w:hAnsi="Arial" w:cs="Arial"/>
        <w:color w:val="808080"/>
        <w:sz w:val="22"/>
        <w:szCs w:val="22"/>
      </w:rPr>
      <w:t xml:space="preserve"> 00387 33 551000 // fax 00387 33 551002 // email office@soc.ba // www.soc.ba</w:t>
    </w:r>
  </w:p>
  <w:p w14:paraId="38CACADD"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r>
      <w:rPr>
        <w:rFonts w:ascii="Arial" w:eastAsia="Arial" w:hAnsi="Arial" w:cs="Arial"/>
        <w:color w:val="808080"/>
        <w:sz w:val="22"/>
        <w:szCs w:val="22"/>
      </w:rPr>
      <w:t>ID 4201263530004</w:t>
    </w:r>
  </w:p>
  <w:p w14:paraId="56D55999" w14:textId="77777777" w:rsidR="00F752E7" w:rsidRDefault="00F752E7">
    <w:pPr>
      <w:pBdr>
        <w:top w:val="nil"/>
        <w:left w:val="nil"/>
        <w:bottom w:val="nil"/>
        <w:right w:val="nil"/>
        <w:between w:val="nil"/>
      </w:pBdr>
      <w:tabs>
        <w:tab w:val="center" w:pos="4536"/>
        <w:tab w:val="right" w:pos="9072"/>
      </w:tabs>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D599" w14:textId="77777777" w:rsidR="00F752E7" w:rsidRDefault="00F752E7">
    <w:pPr>
      <w:pBdr>
        <w:top w:val="nil"/>
        <w:left w:val="nil"/>
        <w:bottom w:val="single" w:sz="12" w:space="1" w:color="000000"/>
        <w:right w:val="nil"/>
        <w:between w:val="nil"/>
      </w:pBdr>
      <w:tabs>
        <w:tab w:val="center" w:pos="4536"/>
        <w:tab w:val="right" w:pos="9072"/>
      </w:tabs>
      <w:jc w:val="right"/>
      <w:rPr>
        <w:rFonts w:ascii="Arial" w:eastAsia="Arial" w:hAnsi="Arial" w:cs="Arial"/>
        <w:color w:val="A6A6A6"/>
      </w:rPr>
    </w:pPr>
    <w:bookmarkStart w:id="2" w:name="_heading=h.30j0zll" w:colFirst="0" w:colLast="0"/>
    <w:bookmarkEnd w:id="2"/>
  </w:p>
  <w:p w14:paraId="57900282"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proofErr w:type="spellStart"/>
    <w:r>
      <w:rPr>
        <w:rFonts w:ascii="Arial" w:eastAsia="Arial" w:hAnsi="Arial" w:cs="Arial"/>
        <w:color w:val="808080"/>
        <w:sz w:val="22"/>
        <w:szCs w:val="22"/>
      </w:rPr>
      <w:t>Sarajevski</w:t>
    </w:r>
    <w:proofErr w:type="spellEnd"/>
    <w:r>
      <w:rPr>
        <w:rFonts w:ascii="Arial" w:eastAsia="Arial" w:hAnsi="Arial" w:cs="Arial"/>
        <w:color w:val="808080"/>
        <w:sz w:val="22"/>
        <w:szCs w:val="22"/>
      </w:rPr>
      <w:t xml:space="preserve"> </w:t>
    </w:r>
    <w:proofErr w:type="spellStart"/>
    <w:r>
      <w:rPr>
        <w:rFonts w:ascii="Arial" w:eastAsia="Arial" w:hAnsi="Arial" w:cs="Arial"/>
        <w:color w:val="808080"/>
        <w:sz w:val="22"/>
        <w:szCs w:val="22"/>
      </w:rPr>
      <w:t>otvoreni</w:t>
    </w:r>
    <w:proofErr w:type="spellEnd"/>
    <w:r>
      <w:rPr>
        <w:rFonts w:ascii="Arial" w:eastAsia="Arial" w:hAnsi="Arial" w:cs="Arial"/>
        <w:color w:val="808080"/>
        <w:sz w:val="22"/>
        <w:szCs w:val="22"/>
      </w:rPr>
      <w:t xml:space="preserve"> </w:t>
    </w:r>
    <w:proofErr w:type="spellStart"/>
    <w:r>
      <w:rPr>
        <w:rFonts w:ascii="Arial" w:eastAsia="Arial" w:hAnsi="Arial" w:cs="Arial"/>
        <w:color w:val="808080"/>
        <w:sz w:val="22"/>
        <w:szCs w:val="22"/>
      </w:rPr>
      <w:t>centar</w:t>
    </w:r>
    <w:proofErr w:type="spellEnd"/>
    <w:r>
      <w:rPr>
        <w:rFonts w:ascii="Arial" w:eastAsia="Arial" w:hAnsi="Arial" w:cs="Arial"/>
        <w:color w:val="808080"/>
        <w:sz w:val="22"/>
        <w:szCs w:val="22"/>
      </w:rPr>
      <w:t xml:space="preserve"> // </w:t>
    </w:r>
    <w:proofErr w:type="spellStart"/>
    <w:r>
      <w:rPr>
        <w:rFonts w:ascii="Arial" w:eastAsia="Arial" w:hAnsi="Arial" w:cs="Arial"/>
        <w:color w:val="808080"/>
        <w:sz w:val="22"/>
        <w:szCs w:val="22"/>
      </w:rPr>
      <w:t>Podgaj</w:t>
    </w:r>
    <w:proofErr w:type="spellEnd"/>
    <w:r>
      <w:rPr>
        <w:rFonts w:ascii="Arial" w:eastAsia="Arial" w:hAnsi="Arial" w:cs="Arial"/>
        <w:color w:val="808080"/>
        <w:sz w:val="22"/>
        <w:szCs w:val="22"/>
      </w:rPr>
      <w:t xml:space="preserve"> 14 // 71000 Sarajevo // Bosna </w:t>
    </w:r>
    <w:proofErr w:type="spellStart"/>
    <w:r>
      <w:rPr>
        <w:rFonts w:ascii="Arial" w:eastAsia="Arial" w:hAnsi="Arial" w:cs="Arial"/>
        <w:color w:val="808080"/>
        <w:sz w:val="22"/>
        <w:szCs w:val="22"/>
      </w:rPr>
      <w:t>i</w:t>
    </w:r>
    <w:proofErr w:type="spellEnd"/>
    <w:r>
      <w:rPr>
        <w:rFonts w:ascii="Arial" w:eastAsia="Arial" w:hAnsi="Arial" w:cs="Arial"/>
        <w:color w:val="808080"/>
        <w:sz w:val="22"/>
        <w:szCs w:val="22"/>
      </w:rPr>
      <w:t xml:space="preserve"> Hercegovina</w:t>
    </w:r>
  </w:p>
  <w:p w14:paraId="4ABD0A58"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proofErr w:type="spellStart"/>
    <w:r>
      <w:rPr>
        <w:rFonts w:ascii="Arial" w:eastAsia="Arial" w:hAnsi="Arial" w:cs="Arial"/>
        <w:color w:val="808080"/>
        <w:sz w:val="22"/>
        <w:szCs w:val="22"/>
      </w:rPr>
      <w:t>tel</w:t>
    </w:r>
    <w:proofErr w:type="spellEnd"/>
    <w:r>
      <w:rPr>
        <w:rFonts w:ascii="Arial" w:eastAsia="Arial" w:hAnsi="Arial" w:cs="Arial"/>
        <w:color w:val="808080"/>
        <w:sz w:val="22"/>
        <w:szCs w:val="22"/>
      </w:rPr>
      <w:t xml:space="preserve"> 00387 33 551000, 551001 // fax 00387 33 551002 // email office@soc.ba // www.soc.ba</w:t>
    </w:r>
  </w:p>
  <w:p w14:paraId="5142B8FF" w14:textId="77777777" w:rsidR="00F752E7" w:rsidRDefault="009B4520">
    <w:pPr>
      <w:pBdr>
        <w:top w:val="nil"/>
        <w:left w:val="nil"/>
        <w:bottom w:val="nil"/>
        <w:right w:val="nil"/>
        <w:between w:val="nil"/>
      </w:pBdr>
      <w:tabs>
        <w:tab w:val="center" w:pos="4536"/>
        <w:tab w:val="right" w:pos="9072"/>
      </w:tabs>
      <w:jc w:val="right"/>
      <w:rPr>
        <w:rFonts w:ascii="Arial" w:eastAsia="Arial" w:hAnsi="Arial" w:cs="Arial"/>
        <w:color w:val="808080"/>
        <w:sz w:val="22"/>
        <w:szCs w:val="22"/>
      </w:rPr>
    </w:pPr>
    <w:r>
      <w:rPr>
        <w:rFonts w:ascii="Arial" w:eastAsia="Arial" w:hAnsi="Arial" w:cs="Arial"/>
        <w:color w:val="808080"/>
        <w:sz w:val="22"/>
        <w:szCs w:val="22"/>
      </w:rPr>
      <w:t>ID 4201263530004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55603" w14:textId="77777777" w:rsidR="00F50251" w:rsidRDefault="00F50251">
      <w:r>
        <w:separator/>
      </w:r>
    </w:p>
  </w:footnote>
  <w:footnote w:type="continuationSeparator" w:id="0">
    <w:p w14:paraId="1AEEB61B" w14:textId="77777777" w:rsidR="00F50251" w:rsidRDefault="00F50251">
      <w:r>
        <w:continuationSeparator/>
      </w:r>
    </w:p>
  </w:footnote>
  <w:footnote w:id="1">
    <w:p w14:paraId="40B408DA" w14:textId="77777777" w:rsidR="003C2653" w:rsidRPr="003C2653" w:rsidRDefault="003C2653">
      <w:pPr>
        <w:pStyle w:val="FootnoteText"/>
        <w:rPr>
          <w:lang w:val="bs-Latn-BA"/>
        </w:rPr>
      </w:pPr>
      <w:r>
        <w:rPr>
          <w:rStyle w:val="FootnoteReference"/>
        </w:rPr>
        <w:footnoteRef/>
      </w:r>
      <w:r>
        <w:t xml:space="preserve"> </w:t>
      </w:r>
      <w:r w:rsidR="00396DAE">
        <w:t xml:space="preserve">Joint statement on LGBTI Persons with Disabilities, October 27, 2023, available at: </w:t>
      </w:r>
      <w:r w:rsidRPr="003C2653">
        <w:t>https://www.ohchr.org/sites/default/files/documents/issues/sexualorientation/statements/2023-10-24-joint-stm-SOGI-disabilities.pdf</w:t>
      </w:r>
    </w:p>
  </w:footnote>
  <w:footnote w:id="2">
    <w:p w14:paraId="55C47606" w14:textId="77777777" w:rsidR="003C2653" w:rsidRPr="003C2653" w:rsidRDefault="003C2653">
      <w:pPr>
        <w:pStyle w:val="FootnoteText"/>
        <w:rPr>
          <w:lang w:val="bs-Latn-BA"/>
        </w:rPr>
      </w:pPr>
      <w:r>
        <w:rPr>
          <w:rStyle w:val="FootnoteReference"/>
        </w:rPr>
        <w:footnoteRef/>
      </w:r>
      <w:r>
        <w:t xml:space="preserve"> ILGA World: Lucas Ramon </w:t>
      </w:r>
      <w:proofErr w:type="spellStart"/>
      <w:r>
        <w:t>Mendos</w:t>
      </w:r>
      <w:proofErr w:type="spellEnd"/>
      <w:r>
        <w:t xml:space="preserve">, Curbing Deception: A world survey on legal regulation of so-called “conversion therapies” (Geneva: ILGA World, 2020), page 17, available at: </w:t>
      </w:r>
      <w:r w:rsidRPr="003C2653">
        <w:t>https://www.ohchr.org/sites/default/files/Documents/Issues/SexualOrientation/IESOGI/CSOsAJ/ILGA_World_Curbing_Deception_world_survey_legal_restrictions_conversion_therapy.pdf</w:t>
      </w:r>
    </w:p>
  </w:footnote>
  <w:footnote w:id="3">
    <w:p w14:paraId="6CF0B46B" w14:textId="77777777" w:rsidR="004D295F" w:rsidRPr="004D295F" w:rsidRDefault="004D295F">
      <w:pPr>
        <w:pStyle w:val="FootnoteText"/>
        <w:rPr>
          <w:lang w:val="bs-Latn-BA"/>
        </w:rPr>
      </w:pPr>
      <w:r>
        <w:rPr>
          <w:rStyle w:val="FootnoteReference"/>
        </w:rPr>
        <w:footnoteRef/>
      </w:r>
      <w:r>
        <w:t xml:space="preserve"> ILGA World: Lucas Ramon </w:t>
      </w:r>
      <w:proofErr w:type="spellStart"/>
      <w:r>
        <w:t>Mendos</w:t>
      </w:r>
      <w:proofErr w:type="spellEnd"/>
      <w:r>
        <w:t>, Curbing Deception: A world survey on legal regulation of so-called “conversion therapies” (Geneva: ILGA World, 2020), page 59</w:t>
      </w:r>
    </w:p>
  </w:footnote>
  <w:footnote w:id="4">
    <w:p w14:paraId="694670D1" w14:textId="77777777" w:rsidR="00396DAE" w:rsidRPr="002E279D" w:rsidRDefault="00396DAE" w:rsidP="00396DAE">
      <w:pPr>
        <w:pStyle w:val="FootnoteText"/>
      </w:pPr>
      <w:r>
        <w:rPr>
          <w:rStyle w:val="FootnoteReference"/>
        </w:rPr>
        <w:footnoteRef/>
      </w:r>
      <w:r>
        <w:t xml:space="preserve"> </w:t>
      </w:r>
      <w:r w:rsidRPr="00F15890">
        <w:rPr>
          <w:lang w:val="bs-Latn-BA"/>
        </w:rPr>
        <w:t xml:space="preserve">Amil Brković, Branko </w:t>
      </w:r>
      <w:proofErr w:type="spellStart"/>
      <w:r w:rsidRPr="00F15890">
        <w:rPr>
          <w:lang w:val="bs-Latn-BA"/>
        </w:rPr>
        <w:t>Ćulibrk</w:t>
      </w:r>
      <w:proofErr w:type="spellEnd"/>
      <w:r w:rsidRPr="00F15890">
        <w:rPr>
          <w:lang w:val="bs-Latn-BA"/>
        </w:rPr>
        <w:t xml:space="preserve">, </w:t>
      </w:r>
      <w:proofErr w:type="spellStart"/>
      <w:r w:rsidRPr="00F15890">
        <w:rPr>
          <w:lang w:val="bs-Latn-BA"/>
        </w:rPr>
        <w:t>D</w:t>
      </w:r>
      <w:r w:rsidR="00E2395C">
        <w:rPr>
          <w:lang w:val="bs-Latn-BA"/>
        </w:rPr>
        <w:t>e</w:t>
      </w:r>
      <w:r w:rsidRPr="00F15890">
        <w:rPr>
          <w:lang w:val="bs-Latn-BA"/>
        </w:rPr>
        <w:t>lila</w:t>
      </w:r>
      <w:proofErr w:type="spellEnd"/>
      <w:r w:rsidRPr="00F15890">
        <w:rPr>
          <w:lang w:val="bs-Latn-BA"/>
        </w:rPr>
        <w:t xml:space="preserve"> </w:t>
      </w:r>
      <w:proofErr w:type="spellStart"/>
      <w:r w:rsidRPr="00F15890">
        <w:rPr>
          <w:lang w:val="bs-Latn-BA"/>
        </w:rPr>
        <w:t>Hasanbegović</w:t>
      </w:r>
      <w:proofErr w:type="spellEnd"/>
      <w:r w:rsidRPr="00F15890">
        <w:rPr>
          <w:lang w:val="bs-Latn-BA"/>
        </w:rPr>
        <w:t xml:space="preserve">, Dina </w:t>
      </w:r>
      <w:proofErr w:type="spellStart"/>
      <w:r w:rsidRPr="00F15890">
        <w:rPr>
          <w:lang w:val="bs-Latn-BA"/>
        </w:rPr>
        <w:t>Bajraktarević</w:t>
      </w:r>
      <w:proofErr w:type="spellEnd"/>
      <w:r w:rsidR="003A6D59">
        <w:rPr>
          <w:lang w:val="bs-Latn-BA"/>
        </w:rPr>
        <w:t xml:space="preserve"> </w:t>
      </w:r>
      <w:proofErr w:type="spellStart"/>
      <w:r w:rsidR="003A6D59">
        <w:rPr>
          <w:lang w:val="bs-Latn-BA"/>
        </w:rPr>
        <w:t>and</w:t>
      </w:r>
      <w:proofErr w:type="spellEnd"/>
      <w:r w:rsidR="003A6D59">
        <w:rPr>
          <w:lang w:val="bs-Latn-BA"/>
        </w:rPr>
        <w:t xml:space="preserve"> </w:t>
      </w:r>
      <w:r w:rsidRPr="00F15890">
        <w:rPr>
          <w:lang w:val="bs-Latn-BA"/>
        </w:rPr>
        <w:t xml:space="preserve">Jozo Blažević, </w:t>
      </w:r>
      <w:r>
        <w:t>Pink Report 2022 Annual Report on the State of Human Rights of LGBTI People in Bosnia and Herzegovina</w:t>
      </w:r>
      <w:r w:rsidRPr="00F15890">
        <w:rPr>
          <w:i/>
          <w:lang w:val="bs-Latn-BA"/>
        </w:rPr>
        <w:t xml:space="preserve"> </w:t>
      </w:r>
      <w:r w:rsidRPr="00F15890">
        <w:rPr>
          <w:lang w:val="bs-Latn-BA"/>
        </w:rPr>
        <w:t xml:space="preserve">(Sarajevo: </w:t>
      </w:r>
      <w:r>
        <w:rPr>
          <w:lang w:val="bs-Latn-BA"/>
        </w:rPr>
        <w:t xml:space="preserve">Sarajevo </w:t>
      </w:r>
      <w:proofErr w:type="spellStart"/>
      <w:r>
        <w:rPr>
          <w:lang w:val="bs-Latn-BA"/>
        </w:rPr>
        <w:t>Open</w:t>
      </w:r>
      <w:proofErr w:type="spellEnd"/>
      <w:r>
        <w:rPr>
          <w:lang w:val="bs-Latn-BA"/>
        </w:rPr>
        <w:t xml:space="preserve"> Centr</w:t>
      </w:r>
      <w:r w:rsidR="00E2395C">
        <w:rPr>
          <w:lang w:val="bs-Latn-BA"/>
        </w:rPr>
        <w:t>e</w:t>
      </w:r>
      <w:r w:rsidRPr="00F15890">
        <w:rPr>
          <w:lang w:val="bs-Latn-BA"/>
        </w:rPr>
        <w:t>, 202</w:t>
      </w:r>
      <w:r>
        <w:rPr>
          <w:lang w:val="bs-Latn-BA"/>
        </w:rPr>
        <w:t>2</w:t>
      </w:r>
      <w:r w:rsidRPr="00F15890">
        <w:rPr>
          <w:lang w:val="bs-Latn-BA"/>
        </w:rPr>
        <w:t>)</w:t>
      </w:r>
      <w:r>
        <w:rPr>
          <w:lang w:val="bs-Latn-BA"/>
        </w:rPr>
        <w:t xml:space="preserve">, </w:t>
      </w:r>
      <w:proofErr w:type="spellStart"/>
      <w:r>
        <w:rPr>
          <w:lang w:val="bs-Latn-BA"/>
        </w:rPr>
        <w:t>page</w:t>
      </w:r>
      <w:proofErr w:type="spellEnd"/>
      <w:r>
        <w:rPr>
          <w:lang w:val="bs-Latn-BA"/>
        </w:rPr>
        <w:t xml:space="preserve"> 11, </w:t>
      </w:r>
      <w:proofErr w:type="spellStart"/>
      <w:r>
        <w:rPr>
          <w:lang w:val="bs-Latn-BA"/>
        </w:rPr>
        <w:t>available</w:t>
      </w:r>
      <w:proofErr w:type="spellEnd"/>
      <w:r>
        <w:rPr>
          <w:lang w:val="bs-Latn-BA"/>
        </w:rPr>
        <w:t xml:space="preserve"> at: </w:t>
      </w:r>
      <w:r w:rsidRPr="00F15890">
        <w:t>https://soc.ba/site/wp-content/uploads/2022/05/Pink-report-2022_za-web.pdf</w:t>
      </w:r>
    </w:p>
  </w:footnote>
  <w:footnote w:id="5">
    <w:p w14:paraId="4697C632" w14:textId="6524B109" w:rsidR="003A6D59" w:rsidRPr="003A6D59" w:rsidRDefault="003A6D59">
      <w:pPr>
        <w:pStyle w:val="FootnoteText"/>
        <w:rPr>
          <w:lang w:val="bs-Latn-BA"/>
        </w:rPr>
      </w:pPr>
      <w:r>
        <w:rPr>
          <w:rStyle w:val="FootnoteReference"/>
        </w:rPr>
        <w:footnoteRef/>
      </w:r>
      <w:r>
        <w:t xml:space="preserve"> </w:t>
      </w:r>
      <w:proofErr w:type="spellStart"/>
      <w:r w:rsidRPr="003A6D59">
        <w:t>Vladana</w:t>
      </w:r>
      <w:proofErr w:type="spellEnd"/>
      <w:r w:rsidRPr="003A6D59">
        <w:t xml:space="preserve"> </w:t>
      </w:r>
      <w:proofErr w:type="spellStart"/>
      <w:r w:rsidRPr="003A6D59">
        <w:t>Vasić</w:t>
      </w:r>
      <w:proofErr w:type="spellEnd"/>
      <w:r w:rsidRPr="003A6D59">
        <w:t xml:space="preserve">, </w:t>
      </w:r>
      <w:proofErr w:type="spellStart"/>
      <w:r w:rsidRPr="003A6D59">
        <w:t>Marija</w:t>
      </w:r>
      <w:proofErr w:type="spellEnd"/>
      <w:r w:rsidRPr="003A6D59">
        <w:t xml:space="preserve"> </w:t>
      </w:r>
      <w:proofErr w:type="spellStart"/>
      <w:r w:rsidRPr="003A6D59">
        <w:t>Šarić</w:t>
      </w:r>
      <w:proofErr w:type="spellEnd"/>
      <w:r>
        <w:t xml:space="preserve"> and</w:t>
      </w:r>
      <w:r w:rsidRPr="003A6D59">
        <w:t xml:space="preserve"> </w:t>
      </w:r>
      <w:proofErr w:type="spellStart"/>
      <w:r w:rsidRPr="003A6D59">
        <w:t>Zvjezdana</w:t>
      </w:r>
      <w:proofErr w:type="spellEnd"/>
      <w:r w:rsidRPr="003A6D59">
        <w:t xml:space="preserve"> </w:t>
      </w:r>
      <w:proofErr w:type="spellStart"/>
      <w:r w:rsidRPr="003A6D59">
        <w:t>Savić</w:t>
      </w:r>
      <w:proofErr w:type="spellEnd"/>
      <w:r>
        <w:t xml:space="preserve">, </w:t>
      </w:r>
      <w:r w:rsidRPr="003A6D59">
        <w:rPr>
          <w:lang w:val="en"/>
        </w:rPr>
        <w:t>From Support to Acceptance: A Handbook for Inclusive Psychological, Psychotherapeutic and Other Types of Comprehensive Support for LGBTI Persons</w:t>
      </w:r>
      <w:r w:rsidR="00155EA6">
        <w:rPr>
          <w:lang w:val="en"/>
        </w:rPr>
        <w:t xml:space="preserve"> </w:t>
      </w:r>
      <w:r w:rsidR="00155EA6" w:rsidRPr="00F15890">
        <w:rPr>
          <w:lang w:val="bs-Latn-BA"/>
        </w:rPr>
        <w:t xml:space="preserve">(Sarajevo: </w:t>
      </w:r>
      <w:r w:rsidR="00155EA6">
        <w:rPr>
          <w:lang w:val="bs-Latn-BA"/>
        </w:rPr>
        <w:t xml:space="preserve">Sarajevo </w:t>
      </w:r>
      <w:proofErr w:type="spellStart"/>
      <w:r w:rsidR="00155EA6">
        <w:rPr>
          <w:lang w:val="bs-Latn-BA"/>
        </w:rPr>
        <w:t>Open</w:t>
      </w:r>
      <w:proofErr w:type="spellEnd"/>
      <w:r w:rsidR="00155EA6">
        <w:rPr>
          <w:lang w:val="bs-Latn-BA"/>
        </w:rPr>
        <w:t xml:space="preserve"> Centr</w:t>
      </w:r>
      <w:r w:rsidR="00E2395C">
        <w:rPr>
          <w:lang w:val="bs-Latn-BA"/>
        </w:rPr>
        <w:t>e</w:t>
      </w:r>
      <w:r w:rsidR="00155EA6" w:rsidRPr="00F15890">
        <w:rPr>
          <w:lang w:val="bs-Latn-BA"/>
        </w:rPr>
        <w:t>, 202</w:t>
      </w:r>
      <w:r w:rsidR="00155EA6">
        <w:rPr>
          <w:lang w:val="bs-Latn-BA"/>
        </w:rPr>
        <w:t>1</w:t>
      </w:r>
      <w:r w:rsidR="00155EA6" w:rsidRPr="00F15890">
        <w:rPr>
          <w:lang w:val="bs-Latn-BA"/>
        </w:rPr>
        <w:t>)</w:t>
      </w:r>
      <w:r w:rsidR="00155EA6">
        <w:rPr>
          <w:lang w:val="bs-Latn-BA"/>
        </w:rPr>
        <w:t xml:space="preserve">, </w:t>
      </w:r>
      <w:proofErr w:type="spellStart"/>
      <w:r w:rsidR="00155EA6">
        <w:rPr>
          <w:lang w:val="bs-Latn-BA"/>
        </w:rPr>
        <w:t>page</w:t>
      </w:r>
      <w:proofErr w:type="spellEnd"/>
      <w:r w:rsidR="00155EA6">
        <w:rPr>
          <w:lang w:val="bs-Latn-BA"/>
        </w:rPr>
        <w:t xml:space="preserve"> 27-28, </w:t>
      </w:r>
      <w:proofErr w:type="spellStart"/>
      <w:r w:rsidR="00155EA6">
        <w:rPr>
          <w:lang w:val="bs-Latn-BA"/>
        </w:rPr>
        <w:t>available</w:t>
      </w:r>
      <w:proofErr w:type="spellEnd"/>
      <w:r w:rsidR="00155EA6">
        <w:rPr>
          <w:lang w:val="bs-Latn-BA"/>
        </w:rPr>
        <w:t xml:space="preserve"> at: </w:t>
      </w:r>
      <w:r w:rsidR="00155EA6" w:rsidRPr="00155EA6">
        <w:rPr>
          <w:lang w:val="bs-Latn-BA"/>
        </w:rPr>
        <w:t>https://soc.ba/site/wp-content/uploads/2021/10/Od-podr%C5%A1ke-do-prihvatanja.pdf</w:t>
      </w:r>
    </w:p>
  </w:footnote>
  <w:footnote w:id="6">
    <w:p w14:paraId="699EC094" w14:textId="4983ECEA" w:rsidR="00073C33" w:rsidRPr="00073C33" w:rsidRDefault="00073C33">
      <w:pPr>
        <w:pStyle w:val="FootnoteText"/>
        <w:rPr>
          <w:lang w:val="bs-Latn-BA"/>
        </w:rPr>
      </w:pPr>
      <w:r>
        <w:rPr>
          <w:rStyle w:val="FootnoteReference"/>
        </w:rPr>
        <w:footnoteRef/>
      </w:r>
      <w:r>
        <w:t xml:space="preserve"> </w:t>
      </w:r>
      <w:proofErr w:type="spellStart"/>
      <w:r>
        <w:t>Emina</w:t>
      </w:r>
      <w:proofErr w:type="spellEnd"/>
      <w:r>
        <w:t xml:space="preserve"> </w:t>
      </w:r>
      <w:proofErr w:type="spellStart"/>
      <w:r>
        <w:t>Bošnjak</w:t>
      </w:r>
      <w:proofErr w:type="spellEnd"/>
      <w:r>
        <w:t xml:space="preserve"> and Darko </w:t>
      </w:r>
      <w:proofErr w:type="spellStart"/>
      <w:r>
        <w:t>Pandurević</w:t>
      </w:r>
      <w:proofErr w:type="spellEnd"/>
      <w:r>
        <w:t xml:space="preserve">, Numbers of Equality 3 Research on Problems and Needs of LGBTI Persons in Bosnia and Herzegovina in 2023 - Analysis of Findings (Sarajevo: Sarajevo Open Centre, 2023), page 35, </w:t>
      </w:r>
      <w:proofErr w:type="spellStart"/>
      <w:r>
        <w:rPr>
          <w:lang w:val="bs-Latn-BA"/>
        </w:rPr>
        <w:t>available</w:t>
      </w:r>
      <w:proofErr w:type="spellEnd"/>
      <w:r>
        <w:rPr>
          <w:lang w:val="bs-Latn-BA"/>
        </w:rPr>
        <w:t xml:space="preserve"> at: </w:t>
      </w:r>
      <w:r w:rsidRPr="00073C33">
        <w:rPr>
          <w:lang w:val="bs-Latn-BA"/>
        </w:rPr>
        <w:t>https://soc.ba/site/wp-content/uploads/2023/12/Brojevi-koji-ravnopravnost-znace-ENG-web-.pdf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66885" w14:textId="77777777" w:rsidR="00F752E7" w:rsidRDefault="009B4520">
    <w:pPr>
      <w:pBdr>
        <w:top w:val="nil"/>
        <w:left w:val="nil"/>
        <w:bottom w:val="nil"/>
        <w:right w:val="nil"/>
        <w:between w:val="nil"/>
      </w:pBdr>
      <w:tabs>
        <w:tab w:val="center" w:pos="4536"/>
        <w:tab w:val="right" w:pos="9072"/>
        <w:tab w:val="center" w:pos="5245"/>
      </w:tabs>
      <w:jc w:val="right"/>
      <w:rPr>
        <w:rFonts w:ascii="Arial" w:eastAsia="Arial" w:hAnsi="Arial" w:cs="Arial"/>
        <w:color w:val="A6A6A6"/>
        <w:sz w:val="24"/>
        <w:szCs w:val="24"/>
      </w:rPr>
    </w:pPr>
    <w:r>
      <w:rPr>
        <w:noProof/>
      </w:rPr>
      <w:drawing>
        <wp:anchor distT="0" distB="0" distL="114300" distR="114300" simplePos="0" relativeHeight="251658240" behindDoc="0" locked="0" layoutInCell="1" hidden="0" allowOverlap="1" wp14:anchorId="16C87255" wp14:editId="22D6ECA4">
          <wp:simplePos x="0" y="0"/>
          <wp:positionH relativeFrom="column">
            <wp:posOffset>59691</wp:posOffset>
          </wp:positionH>
          <wp:positionV relativeFrom="paragraph">
            <wp:posOffset>58420</wp:posOffset>
          </wp:positionV>
          <wp:extent cx="1701165" cy="696595"/>
          <wp:effectExtent l="0" t="0" r="0" b="0"/>
          <wp:wrapSquare wrapText="bothSides" distT="0" distB="0" distL="114300" distR="114300"/>
          <wp:docPr id="5" name="image1.jpg" descr="SOC logo 1 - 001"/>
          <wp:cNvGraphicFramePr/>
          <a:graphic xmlns:a="http://schemas.openxmlformats.org/drawingml/2006/main">
            <a:graphicData uri="http://schemas.openxmlformats.org/drawingml/2006/picture">
              <pic:pic xmlns:pic="http://schemas.openxmlformats.org/drawingml/2006/picture">
                <pic:nvPicPr>
                  <pic:cNvPr id="0" name="image1.jpg" descr="SOC logo 1 - 001"/>
                  <pic:cNvPicPr preferRelativeResize="0"/>
                </pic:nvPicPr>
                <pic:blipFill>
                  <a:blip r:embed="rId1"/>
                  <a:srcRect/>
                  <a:stretch>
                    <a:fillRect/>
                  </a:stretch>
                </pic:blipFill>
                <pic:spPr>
                  <a:xfrm>
                    <a:off x="0" y="0"/>
                    <a:ext cx="1701165" cy="696595"/>
                  </a:xfrm>
                  <a:prstGeom prst="rect">
                    <a:avLst/>
                  </a:prstGeom>
                  <a:ln/>
                </pic:spPr>
              </pic:pic>
            </a:graphicData>
          </a:graphic>
        </wp:anchor>
      </w:drawing>
    </w:r>
  </w:p>
  <w:p w14:paraId="1C146CCB" w14:textId="77777777" w:rsidR="00F752E7" w:rsidRDefault="00F752E7">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808080"/>
        <w:sz w:val="22"/>
        <w:szCs w:val="22"/>
      </w:rPr>
    </w:pPr>
  </w:p>
  <w:p w14:paraId="569E5D3E" w14:textId="77777777" w:rsidR="000673FC" w:rsidRDefault="000673FC">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146C07E4" w14:textId="77777777" w:rsidR="000673FC" w:rsidRDefault="000673FC">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0F776CAE" w14:textId="77777777" w:rsidR="000673FC" w:rsidRDefault="000673FC">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7391012F" w14:textId="77777777" w:rsidR="000673FC" w:rsidRDefault="000673FC">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1CE76E33" w14:textId="77777777" w:rsidR="00F752E7" w:rsidRDefault="00F752E7">
    <w:pPr>
      <w:pBdr>
        <w:top w:val="nil"/>
        <w:left w:val="nil"/>
        <w:bottom w:val="nil"/>
        <w:right w:val="nil"/>
        <w:between w:val="nil"/>
      </w:pBdr>
      <w:tabs>
        <w:tab w:val="center" w:pos="4536"/>
        <w:tab w:val="right" w:pos="9072"/>
        <w:tab w:val="left" w:pos="2408"/>
      </w:tabs>
      <w:spacing w:after="900"/>
      <w:rPr>
        <w:color w:val="000000"/>
        <w:sz w:val="30"/>
        <w:szCs w:val="3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50AC3" w14:textId="77777777" w:rsidR="00F752E7" w:rsidRDefault="009B4520">
    <w:pPr>
      <w:pBdr>
        <w:top w:val="nil"/>
        <w:left w:val="nil"/>
        <w:bottom w:val="nil"/>
        <w:right w:val="nil"/>
        <w:between w:val="nil"/>
      </w:pBdr>
      <w:tabs>
        <w:tab w:val="center" w:pos="4536"/>
        <w:tab w:val="right" w:pos="9072"/>
        <w:tab w:val="center" w:pos="5245"/>
      </w:tabs>
      <w:jc w:val="right"/>
      <w:rPr>
        <w:rFonts w:ascii="Arial" w:eastAsia="Arial" w:hAnsi="Arial" w:cs="Arial"/>
        <w:color w:val="A6A6A6"/>
        <w:sz w:val="24"/>
        <w:szCs w:val="24"/>
      </w:rPr>
    </w:pPr>
    <w:r>
      <w:rPr>
        <w:noProof/>
      </w:rPr>
      <w:drawing>
        <wp:anchor distT="0" distB="0" distL="114300" distR="114300" simplePos="0" relativeHeight="251659264" behindDoc="0" locked="0" layoutInCell="1" hidden="0" allowOverlap="1" wp14:anchorId="2A41072D" wp14:editId="1BBD1AA6">
          <wp:simplePos x="0" y="0"/>
          <wp:positionH relativeFrom="column">
            <wp:posOffset>59691</wp:posOffset>
          </wp:positionH>
          <wp:positionV relativeFrom="paragraph">
            <wp:posOffset>58420</wp:posOffset>
          </wp:positionV>
          <wp:extent cx="1701165" cy="696595"/>
          <wp:effectExtent l="0" t="0" r="0" b="0"/>
          <wp:wrapSquare wrapText="bothSides" distT="0" distB="0" distL="114300" distR="114300"/>
          <wp:docPr id="6" name="image1.jpg" descr="SOC logo 1 - 001"/>
          <wp:cNvGraphicFramePr/>
          <a:graphic xmlns:a="http://schemas.openxmlformats.org/drawingml/2006/main">
            <a:graphicData uri="http://schemas.openxmlformats.org/drawingml/2006/picture">
              <pic:pic xmlns:pic="http://schemas.openxmlformats.org/drawingml/2006/picture">
                <pic:nvPicPr>
                  <pic:cNvPr id="0" name="image1.jpg" descr="SOC logo 1 - 001"/>
                  <pic:cNvPicPr preferRelativeResize="0"/>
                </pic:nvPicPr>
                <pic:blipFill>
                  <a:blip r:embed="rId1"/>
                  <a:srcRect/>
                  <a:stretch>
                    <a:fillRect/>
                  </a:stretch>
                </pic:blipFill>
                <pic:spPr>
                  <a:xfrm>
                    <a:off x="0" y="0"/>
                    <a:ext cx="1701165" cy="696595"/>
                  </a:xfrm>
                  <a:prstGeom prst="rect">
                    <a:avLst/>
                  </a:prstGeom>
                  <a:ln/>
                </pic:spPr>
              </pic:pic>
            </a:graphicData>
          </a:graphic>
        </wp:anchor>
      </w:drawing>
    </w:r>
  </w:p>
  <w:p w14:paraId="680ACCCE" w14:textId="77777777" w:rsidR="00F752E7" w:rsidRDefault="00F752E7">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808080"/>
        <w:sz w:val="22"/>
        <w:szCs w:val="22"/>
      </w:rPr>
    </w:pPr>
  </w:p>
  <w:p w14:paraId="015FDF3E" w14:textId="77777777" w:rsidR="008333B0" w:rsidRDefault="008333B0">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56041049" w14:textId="77777777" w:rsidR="008333B0" w:rsidRDefault="008333B0">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74F1944A" w14:textId="77777777" w:rsidR="008333B0" w:rsidRDefault="008333B0">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72D2C308" w14:textId="77777777" w:rsidR="008333B0" w:rsidRDefault="008333B0">
    <w:pPr>
      <w:pBdr>
        <w:top w:val="nil"/>
        <w:left w:val="nil"/>
        <w:bottom w:val="single" w:sz="12" w:space="1" w:color="000000"/>
        <w:right w:val="nil"/>
        <w:between w:val="nil"/>
      </w:pBdr>
      <w:tabs>
        <w:tab w:val="center" w:pos="4536"/>
        <w:tab w:val="right" w:pos="9072"/>
        <w:tab w:val="center" w:pos="5245"/>
      </w:tabs>
      <w:rPr>
        <w:rFonts w:ascii="Arial" w:eastAsia="Arial" w:hAnsi="Arial" w:cs="Arial"/>
        <w:color w:val="000000"/>
        <w:sz w:val="24"/>
        <w:szCs w:val="24"/>
      </w:rPr>
    </w:pPr>
  </w:p>
  <w:p w14:paraId="1A90F655" w14:textId="77777777" w:rsidR="00F752E7" w:rsidRDefault="00F752E7">
    <w:pPr>
      <w:pBdr>
        <w:top w:val="nil"/>
        <w:left w:val="nil"/>
        <w:bottom w:val="nil"/>
        <w:right w:val="nil"/>
        <w:between w:val="nil"/>
      </w:pBdr>
      <w:tabs>
        <w:tab w:val="center" w:pos="4536"/>
        <w:tab w:val="right" w:pos="9072"/>
        <w:tab w:val="center" w:pos="5245"/>
      </w:tabs>
      <w:rPr>
        <w:rFonts w:ascii="Arial" w:eastAsia="Arial" w:hAnsi="Arial" w:cs="Arial"/>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2E7"/>
    <w:rsid w:val="00017151"/>
    <w:rsid w:val="000650E9"/>
    <w:rsid w:val="000673FC"/>
    <w:rsid w:val="00073C33"/>
    <w:rsid w:val="00097A02"/>
    <w:rsid w:val="000A7931"/>
    <w:rsid w:val="00155EA6"/>
    <w:rsid w:val="001C5F05"/>
    <w:rsid w:val="00213CB6"/>
    <w:rsid w:val="00234112"/>
    <w:rsid w:val="00265302"/>
    <w:rsid w:val="0029695D"/>
    <w:rsid w:val="002E279D"/>
    <w:rsid w:val="0034621F"/>
    <w:rsid w:val="00396DAE"/>
    <w:rsid w:val="003A269D"/>
    <w:rsid w:val="003A6D59"/>
    <w:rsid w:val="003C2653"/>
    <w:rsid w:val="003D521F"/>
    <w:rsid w:val="003F1A2C"/>
    <w:rsid w:val="00403A51"/>
    <w:rsid w:val="004048D1"/>
    <w:rsid w:val="00404C66"/>
    <w:rsid w:val="0049151D"/>
    <w:rsid w:val="004D295F"/>
    <w:rsid w:val="004D6452"/>
    <w:rsid w:val="00516D52"/>
    <w:rsid w:val="00572FF2"/>
    <w:rsid w:val="006A6432"/>
    <w:rsid w:val="006D3E5B"/>
    <w:rsid w:val="006F1DC9"/>
    <w:rsid w:val="00753B4B"/>
    <w:rsid w:val="00784084"/>
    <w:rsid w:val="007C4E57"/>
    <w:rsid w:val="007F174D"/>
    <w:rsid w:val="007F7FFC"/>
    <w:rsid w:val="008333B0"/>
    <w:rsid w:val="008F4494"/>
    <w:rsid w:val="00954F2F"/>
    <w:rsid w:val="00955D93"/>
    <w:rsid w:val="009B0C47"/>
    <w:rsid w:val="009B4520"/>
    <w:rsid w:val="00A14740"/>
    <w:rsid w:val="00A3440E"/>
    <w:rsid w:val="00A90B33"/>
    <w:rsid w:val="00AC2FC8"/>
    <w:rsid w:val="00AD20FD"/>
    <w:rsid w:val="00AE229D"/>
    <w:rsid w:val="00AE4EDE"/>
    <w:rsid w:val="00AF6FA3"/>
    <w:rsid w:val="00B065CA"/>
    <w:rsid w:val="00B16181"/>
    <w:rsid w:val="00B31EF9"/>
    <w:rsid w:val="00BB2CC6"/>
    <w:rsid w:val="00C35188"/>
    <w:rsid w:val="00CE2129"/>
    <w:rsid w:val="00CE75BB"/>
    <w:rsid w:val="00D55B67"/>
    <w:rsid w:val="00E2395C"/>
    <w:rsid w:val="00E84335"/>
    <w:rsid w:val="00E94E8A"/>
    <w:rsid w:val="00F00DDC"/>
    <w:rsid w:val="00F15890"/>
    <w:rsid w:val="00F20F88"/>
    <w:rsid w:val="00F50251"/>
    <w:rsid w:val="00F752E7"/>
    <w:rsid w:val="00FA10D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CCC49"/>
  <w15:docId w15:val="{A68BF82B-8F4D-4467-8693-045A08AA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bs-Latn-B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eastAsia="de-DE"/>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framePr w:w="1899" w:h="414" w:wrap="around" w:vAnchor="page" w:hAnchor="page" w:x="9413" w:y="1730"/>
      <w:outlineLvl w:val="1"/>
    </w:pPr>
    <w:rPr>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36"/>
        <w:tab w:val="right" w:pos="9072"/>
      </w:tabs>
    </w:pPr>
    <w:rPr>
      <w:sz w:val="24"/>
      <w:szCs w:val="24"/>
    </w:rPr>
  </w:style>
  <w:style w:type="paragraph" w:styleId="Footer">
    <w:name w:val="footer"/>
    <w:basedOn w:val="Normal"/>
    <w:pPr>
      <w:tabs>
        <w:tab w:val="center" w:pos="4536"/>
        <w:tab w:val="right" w:pos="9072"/>
      </w:tabs>
    </w:pPr>
    <w:rPr>
      <w:sz w:val="24"/>
      <w:szCs w:val="24"/>
    </w:rPr>
  </w:style>
  <w:style w:type="paragraph" w:styleId="BodyText">
    <w:name w:val="Body Text"/>
    <w:basedOn w:val="Normal"/>
    <w:pPr>
      <w:framePr w:w="1561" w:h="3241" w:hSpace="141" w:wrap="around" w:vAnchor="text" w:hAnchor="page" w:x="9312" w:y="-216"/>
      <w:pBdr>
        <w:top w:val="single" w:sz="6" w:space="1" w:color="auto"/>
        <w:left w:val="single" w:sz="6" w:space="1" w:color="auto"/>
        <w:bottom w:val="single" w:sz="6" w:space="1" w:color="auto"/>
        <w:right w:val="single" w:sz="6" w:space="1" w:color="auto"/>
      </w:pBdr>
    </w:pPr>
    <w:rPr>
      <w:sz w:val="24"/>
      <w:szCs w:val="24"/>
    </w:rPr>
  </w:style>
  <w:style w:type="paragraph" w:customStyle="1" w:styleId="GoetheText12">
    <w:name w:val="Goethe Text 12"/>
    <w:basedOn w:val="Normal"/>
    <w:pPr>
      <w:spacing w:after="360" w:line="240" w:lineRule="exact"/>
    </w:pPr>
    <w:rPr>
      <w:rFonts w:ascii="Goethe Text" w:hAnsi="Goethe Text"/>
      <w:sz w:val="24"/>
      <w:szCs w:val="24"/>
    </w:rPr>
  </w:style>
  <w:style w:type="character" w:customStyle="1" w:styleId="Goethecapitals10">
    <w:name w:val="Goethe capitals 10"/>
    <w:rPr>
      <w:rFonts w:ascii="Goethe Titel" w:hAnsi="Goethe Titel"/>
      <w:caps/>
      <w:sz w:val="20"/>
    </w:rPr>
  </w:style>
  <w:style w:type="paragraph" w:customStyle="1" w:styleId="Goethecapitals14">
    <w:name w:val="Goethe capitals 14"/>
    <w:basedOn w:val="Normal"/>
    <w:autoRedefine/>
    <w:pPr>
      <w:spacing w:after="3600" w:line="280" w:lineRule="exact"/>
    </w:pPr>
    <w:rPr>
      <w:rFonts w:ascii="Goethe Titel" w:hAnsi="Goethe Titel"/>
      <w:caps/>
      <w:sz w:val="28"/>
      <w:szCs w:val="24"/>
    </w:rPr>
  </w:style>
  <w:style w:type="character" w:customStyle="1" w:styleId="GoetheTitel9">
    <w:name w:val="Goethe Titel 9"/>
    <w:rPr>
      <w:rFonts w:ascii="Goethe Titel" w:hAnsi="Goethe Titel"/>
      <w:sz w:val="18"/>
    </w:rPr>
  </w:style>
  <w:style w:type="paragraph" w:styleId="BodyText2">
    <w:name w:val="Body Text 2"/>
    <w:basedOn w:val="Normal"/>
    <w:pPr>
      <w:framePr w:w="4655" w:h="1803" w:wrap="around" w:vAnchor="page" w:hAnchor="page" w:x="1367" w:y="3647"/>
    </w:pPr>
    <w:rPr>
      <w:sz w:val="24"/>
      <w:szCs w:val="24"/>
    </w:rPr>
  </w:style>
  <w:style w:type="character" w:customStyle="1" w:styleId="GoetheZeichen12">
    <w:name w:val="Goethe Zeichen 12"/>
    <w:rPr>
      <w:rFonts w:ascii="Goethe Text" w:hAnsi="Goethe Text"/>
      <w:sz w:val="24"/>
    </w:rPr>
  </w:style>
  <w:style w:type="character" w:styleId="Hyperlink">
    <w:name w:val="Hyperlink"/>
    <w:rsid w:val="00A14FD1"/>
    <w:rPr>
      <w:color w:val="0000FF"/>
      <w:u w:val="single"/>
    </w:rPr>
  </w:style>
  <w:style w:type="paragraph" w:styleId="BalloonText">
    <w:name w:val="Balloon Text"/>
    <w:basedOn w:val="Normal"/>
    <w:semiHidden/>
    <w:rsid w:val="000D3B28"/>
    <w:rPr>
      <w:rFonts w:ascii="Tahoma" w:hAnsi="Tahoma" w:cs="Tahoma"/>
      <w:sz w:val="16"/>
      <w:szCs w:val="16"/>
    </w:rPr>
  </w:style>
  <w:style w:type="character" w:styleId="FollowedHyperlink">
    <w:name w:val="FollowedHyperlink"/>
    <w:rsid w:val="001A114B"/>
    <w:rPr>
      <w:color w:val="800080"/>
      <w:u w:val="single"/>
    </w:rPr>
  </w:style>
  <w:style w:type="character" w:customStyle="1" w:styleId="A2">
    <w:name w:val="A2"/>
    <w:rsid w:val="008F6295"/>
    <w:rPr>
      <w:rFonts w:cs="Myriad Pro Cond"/>
      <w:color w:val="221E1F"/>
      <w:sz w:val="16"/>
      <w:szCs w:val="16"/>
    </w:rPr>
  </w:style>
  <w:style w:type="character" w:customStyle="1" w:styleId="A3">
    <w:name w:val="A3"/>
    <w:rsid w:val="008F6295"/>
    <w:rPr>
      <w:rFonts w:cs="Myriad Pro Cond"/>
      <w:b/>
      <w:bCs/>
      <w:color w:val="FC00FF"/>
      <w:sz w:val="20"/>
      <w:szCs w:val="20"/>
    </w:rPr>
  </w:style>
  <w:style w:type="paragraph" w:customStyle="1" w:styleId="Pa0">
    <w:name w:val="Pa0"/>
    <w:basedOn w:val="Normal"/>
    <w:next w:val="Normal"/>
    <w:rsid w:val="008F6295"/>
    <w:pPr>
      <w:widowControl w:val="0"/>
      <w:suppressAutoHyphens/>
      <w:autoSpaceDE w:val="0"/>
      <w:spacing w:line="241" w:lineRule="atLeast"/>
    </w:pPr>
    <w:rPr>
      <w:rFonts w:ascii="Myriad Pro Cond" w:eastAsia="Cambria" w:hAnsi="Myriad Pro Cond"/>
      <w:sz w:val="24"/>
      <w:szCs w:val="24"/>
      <w:lang w:val="en-US" w:eastAsia="ar-SA"/>
    </w:rPr>
  </w:style>
  <w:style w:type="paragraph" w:styleId="NormalWeb">
    <w:name w:val="Normal (Web)"/>
    <w:basedOn w:val="Normal"/>
    <w:uiPriority w:val="99"/>
    <w:rsid w:val="001B6596"/>
    <w:pPr>
      <w:spacing w:beforeLines="1"/>
    </w:pPr>
    <w:rPr>
      <w:rFonts w:ascii="Times" w:hAnsi="Times"/>
      <w:lang w:eastAsia="en-US"/>
    </w:rPr>
  </w:style>
  <w:style w:type="character" w:customStyle="1" w:styleId="apple-converted-space">
    <w:name w:val="apple-converted-space"/>
    <w:rsid w:val="009D213E"/>
  </w:style>
  <w:style w:type="table" w:styleId="TableGrid">
    <w:name w:val="Table Grid"/>
    <w:basedOn w:val="TableNormal"/>
    <w:rsid w:val="00A03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Shading1-Accent11">
    <w:name w:val="Medium Shading 1 - Accent 11"/>
    <w:uiPriority w:val="1"/>
    <w:qFormat/>
    <w:rsid w:val="009A1B5B"/>
    <w:rPr>
      <w:rFonts w:ascii="Calibri" w:eastAsia="Calibri" w:hAnsi="Calibri"/>
      <w:sz w:val="22"/>
      <w:szCs w:val="22"/>
      <w:lang w:val="en-GB" w:eastAsia="en-US"/>
    </w:rPr>
  </w:style>
  <w:style w:type="character" w:styleId="UnresolvedMention">
    <w:name w:val="Unresolved Mention"/>
    <w:basedOn w:val="DefaultParagraphFont"/>
    <w:uiPriority w:val="99"/>
    <w:semiHidden/>
    <w:unhideWhenUsed/>
    <w:rsid w:val="00BC2AAB"/>
    <w:rPr>
      <w:color w:val="605E5C"/>
      <w:shd w:val="clear" w:color="auto" w:fill="E1DFDD"/>
    </w:rPr>
  </w:style>
  <w:style w:type="paragraph" w:customStyle="1" w:styleId="Default">
    <w:name w:val="Default"/>
    <w:rsid w:val="00386D71"/>
    <w:pPr>
      <w:autoSpaceDE w:val="0"/>
      <w:autoSpaceDN w:val="0"/>
      <w:adjustRightInd w:val="0"/>
    </w:pPr>
    <w:rPr>
      <w:color w:val="000000"/>
      <w:sz w:val="24"/>
      <w:szCs w:val="24"/>
    </w:rPr>
  </w:style>
  <w:style w:type="paragraph" w:styleId="FootnoteText">
    <w:name w:val="footnote text"/>
    <w:basedOn w:val="Normal"/>
    <w:link w:val="FootnoteTextChar"/>
    <w:rsid w:val="00042AA0"/>
  </w:style>
  <w:style w:type="character" w:customStyle="1" w:styleId="FootnoteTextChar">
    <w:name w:val="Footnote Text Char"/>
    <w:basedOn w:val="DefaultParagraphFont"/>
    <w:link w:val="FootnoteText"/>
    <w:rsid w:val="00042AA0"/>
    <w:rPr>
      <w:lang w:val="en-GB" w:eastAsia="de-DE"/>
    </w:rPr>
  </w:style>
  <w:style w:type="character" w:styleId="FootnoteReference">
    <w:name w:val="footnote reference"/>
    <w:basedOn w:val="DefaultParagraphFont"/>
    <w:rsid w:val="00042AA0"/>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TMLPreformatted">
    <w:name w:val="HTML Preformatted"/>
    <w:basedOn w:val="Normal"/>
    <w:link w:val="HTMLPreformattedChar"/>
    <w:uiPriority w:val="99"/>
    <w:semiHidden/>
    <w:unhideWhenUsed/>
    <w:rsid w:val="003A6D59"/>
    <w:rPr>
      <w:rFonts w:ascii="Consolas" w:hAnsi="Consolas"/>
    </w:rPr>
  </w:style>
  <w:style w:type="character" w:customStyle="1" w:styleId="HTMLPreformattedChar">
    <w:name w:val="HTML Preformatted Char"/>
    <w:basedOn w:val="DefaultParagraphFont"/>
    <w:link w:val="HTMLPreformatted"/>
    <w:uiPriority w:val="99"/>
    <w:semiHidden/>
    <w:rsid w:val="003A6D59"/>
    <w:rPr>
      <w:rFonts w:ascii="Consolas" w:hAnsi="Consolas"/>
      <w:lang w:val="en-GB" w:eastAsia="de-DE"/>
    </w:rPr>
  </w:style>
  <w:style w:type="paragraph" w:styleId="NoSpacing">
    <w:name w:val="No Spacing"/>
    <w:rsid w:val="00E2395C"/>
    <w:pPr>
      <w:pBdr>
        <w:top w:val="nil"/>
        <w:left w:val="nil"/>
        <w:bottom w:val="nil"/>
        <w:right w:val="nil"/>
        <w:between w:val="nil"/>
        <w:bar w:val="nil"/>
      </w:pBdr>
    </w:pPr>
    <w:rPr>
      <w:rFonts w:ascii="Calibri" w:eastAsia="Calibri" w:hAnsi="Calibri" w:cs="Calibri"/>
      <w:color w:val="000000"/>
      <w:sz w:val="22"/>
      <w:szCs w:val="22"/>
      <w:u w:color="000000"/>
      <w:bdr w:val="nil"/>
      <w:lang w:val="en-GB" w:eastAsia="en-GB"/>
    </w:rPr>
  </w:style>
  <w:style w:type="character" w:styleId="CommentReference">
    <w:name w:val="annotation reference"/>
    <w:basedOn w:val="DefaultParagraphFont"/>
    <w:uiPriority w:val="99"/>
    <w:semiHidden/>
    <w:unhideWhenUsed/>
    <w:rsid w:val="00E2395C"/>
    <w:rPr>
      <w:sz w:val="16"/>
      <w:szCs w:val="16"/>
    </w:rPr>
  </w:style>
  <w:style w:type="paragraph" w:styleId="CommentText">
    <w:name w:val="annotation text"/>
    <w:basedOn w:val="Normal"/>
    <w:link w:val="CommentTextChar"/>
    <w:uiPriority w:val="99"/>
    <w:semiHidden/>
    <w:unhideWhenUsed/>
    <w:rsid w:val="00E2395C"/>
  </w:style>
  <w:style w:type="character" w:customStyle="1" w:styleId="CommentTextChar">
    <w:name w:val="Comment Text Char"/>
    <w:basedOn w:val="DefaultParagraphFont"/>
    <w:link w:val="CommentText"/>
    <w:uiPriority w:val="99"/>
    <w:semiHidden/>
    <w:rsid w:val="00E2395C"/>
    <w:rPr>
      <w:lang w:val="en-GB" w:eastAsia="de-DE"/>
    </w:rPr>
  </w:style>
  <w:style w:type="paragraph" w:styleId="CommentSubject">
    <w:name w:val="annotation subject"/>
    <w:basedOn w:val="CommentText"/>
    <w:next w:val="CommentText"/>
    <w:link w:val="CommentSubjectChar"/>
    <w:uiPriority w:val="99"/>
    <w:semiHidden/>
    <w:unhideWhenUsed/>
    <w:rsid w:val="00E2395C"/>
    <w:rPr>
      <w:b/>
      <w:bCs/>
    </w:rPr>
  </w:style>
  <w:style w:type="character" w:customStyle="1" w:styleId="CommentSubjectChar">
    <w:name w:val="Comment Subject Char"/>
    <w:basedOn w:val="CommentTextChar"/>
    <w:link w:val="CommentSubject"/>
    <w:uiPriority w:val="99"/>
    <w:semiHidden/>
    <w:rsid w:val="00E2395C"/>
    <w:rPr>
      <w:b/>
      <w:bCs/>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33587">
      <w:bodyDiv w:val="1"/>
      <w:marLeft w:val="0"/>
      <w:marRight w:val="0"/>
      <w:marTop w:val="0"/>
      <w:marBottom w:val="0"/>
      <w:divBdr>
        <w:top w:val="none" w:sz="0" w:space="0" w:color="auto"/>
        <w:left w:val="none" w:sz="0" w:space="0" w:color="auto"/>
        <w:bottom w:val="none" w:sz="0" w:space="0" w:color="auto"/>
        <w:right w:val="none" w:sz="0" w:space="0" w:color="auto"/>
      </w:divBdr>
    </w:div>
    <w:div w:id="270554585">
      <w:bodyDiv w:val="1"/>
      <w:marLeft w:val="0"/>
      <w:marRight w:val="0"/>
      <w:marTop w:val="0"/>
      <w:marBottom w:val="0"/>
      <w:divBdr>
        <w:top w:val="none" w:sz="0" w:space="0" w:color="auto"/>
        <w:left w:val="none" w:sz="0" w:space="0" w:color="auto"/>
        <w:bottom w:val="none" w:sz="0" w:space="0" w:color="auto"/>
        <w:right w:val="none" w:sz="0" w:space="0" w:color="auto"/>
      </w:divBdr>
    </w:div>
    <w:div w:id="513879937">
      <w:bodyDiv w:val="1"/>
      <w:marLeft w:val="0"/>
      <w:marRight w:val="0"/>
      <w:marTop w:val="0"/>
      <w:marBottom w:val="0"/>
      <w:divBdr>
        <w:top w:val="none" w:sz="0" w:space="0" w:color="auto"/>
        <w:left w:val="none" w:sz="0" w:space="0" w:color="auto"/>
        <w:bottom w:val="none" w:sz="0" w:space="0" w:color="auto"/>
        <w:right w:val="none" w:sz="0" w:space="0" w:color="auto"/>
      </w:divBdr>
    </w:div>
    <w:div w:id="1054502781">
      <w:bodyDiv w:val="1"/>
      <w:marLeft w:val="0"/>
      <w:marRight w:val="0"/>
      <w:marTop w:val="0"/>
      <w:marBottom w:val="0"/>
      <w:divBdr>
        <w:top w:val="none" w:sz="0" w:space="0" w:color="auto"/>
        <w:left w:val="none" w:sz="0" w:space="0" w:color="auto"/>
        <w:bottom w:val="none" w:sz="0" w:space="0" w:color="auto"/>
        <w:right w:val="none" w:sz="0" w:space="0" w:color="auto"/>
      </w:divBdr>
    </w:div>
    <w:div w:id="1157914646">
      <w:bodyDiv w:val="1"/>
      <w:marLeft w:val="0"/>
      <w:marRight w:val="0"/>
      <w:marTop w:val="0"/>
      <w:marBottom w:val="0"/>
      <w:divBdr>
        <w:top w:val="none" w:sz="0" w:space="0" w:color="auto"/>
        <w:left w:val="none" w:sz="0" w:space="0" w:color="auto"/>
        <w:bottom w:val="none" w:sz="0" w:space="0" w:color="auto"/>
        <w:right w:val="none" w:sz="0" w:space="0" w:color="auto"/>
      </w:divBdr>
    </w:div>
    <w:div w:id="1164275472">
      <w:bodyDiv w:val="1"/>
      <w:marLeft w:val="0"/>
      <w:marRight w:val="0"/>
      <w:marTop w:val="0"/>
      <w:marBottom w:val="0"/>
      <w:divBdr>
        <w:top w:val="none" w:sz="0" w:space="0" w:color="auto"/>
        <w:left w:val="none" w:sz="0" w:space="0" w:color="auto"/>
        <w:bottom w:val="none" w:sz="0" w:space="0" w:color="auto"/>
        <w:right w:val="none" w:sz="0" w:space="0" w:color="auto"/>
      </w:divBdr>
    </w:div>
    <w:div w:id="1769613466">
      <w:bodyDiv w:val="1"/>
      <w:marLeft w:val="0"/>
      <w:marRight w:val="0"/>
      <w:marTop w:val="0"/>
      <w:marBottom w:val="0"/>
      <w:divBdr>
        <w:top w:val="none" w:sz="0" w:space="0" w:color="auto"/>
        <w:left w:val="none" w:sz="0" w:space="0" w:color="auto"/>
        <w:bottom w:val="none" w:sz="0" w:space="0" w:color="auto"/>
        <w:right w:val="none" w:sz="0" w:space="0" w:color="auto"/>
      </w:divBdr>
    </w:div>
    <w:div w:id="1773624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hnoovnQlz/Q6EzsOSiYPd2Uog==">AMUW2mWLkj8GIVOKZx+H25ukeh70P0A3X7Ho7ikYnuD6mF5VELQMHnfloOdzvhrEFhtpSnymijvYoW7MVwhAujue6nXcjy+NPTJVqjq9qd0esN+q2YTkw0DAH7J391wAGhdCtxCTMAZc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5E7B8A-63EF-4243-8970-BBEDEAF69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win98_standard</dc:creator>
  <cp:lastModifiedBy>User</cp:lastModifiedBy>
  <cp:revision>60</cp:revision>
  <cp:lastPrinted>2024-02-29T13:40:00Z</cp:lastPrinted>
  <dcterms:created xsi:type="dcterms:W3CDTF">2020-09-01T09:04:00Z</dcterms:created>
  <dcterms:modified xsi:type="dcterms:W3CDTF">2024-03-05T07:35:00Z</dcterms:modified>
</cp:coreProperties>
</file>