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D57C8" w:rsidRDefault="000D57C8">
      <w:pPr>
        <w:rPr>
          <w:rFonts w:ascii="Times New Roman" w:eastAsia="Times New Roman" w:hAnsi="Times New Roman" w:cs="Times New Roman"/>
          <w:b/>
          <w:sz w:val="24"/>
          <w:szCs w:val="24"/>
        </w:rPr>
      </w:pPr>
    </w:p>
    <w:p w14:paraId="00000002" w14:textId="77777777" w:rsidR="000D57C8" w:rsidRDefault="000D57C8">
      <w:pPr>
        <w:rPr>
          <w:rFonts w:ascii="Times New Roman" w:eastAsia="Times New Roman" w:hAnsi="Times New Roman" w:cs="Times New Roman"/>
          <w:b/>
          <w:sz w:val="24"/>
          <w:szCs w:val="24"/>
        </w:rPr>
      </w:pPr>
    </w:p>
    <w:p w14:paraId="00000003" w14:textId="77777777" w:rsidR="000D57C8" w:rsidRDefault="000D57C8">
      <w:pPr>
        <w:jc w:val="center"/>
        <w:rPr>
          <w:rFonts w:ascii="Times New Roman" w:eastAsia="Times New Roman" w:hAnsi="Times New Roman" w:cs="Times New Roman"/>
          <w:b/>
          <w:sz w:val="24"/>
          <w:szCs w:val="24"/>
        </w:rPr>
      </w:pPr>
    </w:p>
    <w:p w14:paraId="00000004"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to the Committee on Elimination of Racial Discrimination During Its Consideration of the Periodic Reports of Tunisia</w:t>
      </w:r>
      <w:r>
        <w:rPr>
          <w:rFonts w:ascii="Times New Roman" w:eastAsia="Times New Roman" w:hAnsi="Times New Roman" w:cs="Times New Roman"/>
          <w:b/>
          <w:i/>
          <w:sz w:val="24"/>
          <w:szCs w:val="24"/>
        </w:rPr>
        <w:t xml:space="preserve"> </w:t>
      </w:r>
      <w:r>
        <w:rPr>
          <w:rFonts w:ascii="Times New Roman" w:eastAsia="Times New Roman" w:hAnsi="Times New Roman" w:cs="Times New Roman"/>
          <w:b/>
          <w:sz w:val="24"/>
          <w:szCs w:val="24"/>
        </w:rPr>
        <w:t>for the 116th Session</w:t>
      </w:r>
    </w:p>
    <w:p w14:paraId="00000005" w14:textId="77777777" w:rsidR="000D57C8" w:rsidRDefault="000D57C8">
      <w:pPr>
        <w:jc w:val="center"/>
        <w:rPr>
          <w:rFonts w:ascii="Times New Roman" w:eastAsia="Times New Roman" w:hAnsi="Times New Roman" w:cs="Times New Roman"/>
          <w:b/>
          <w:sz w:val="24"/>
          <w:szCs w:val="24"/>
        </w:rPr>
      </w:pPr>
    </w:p>
    <w:p w14:paraId="00000006" w14:textId="77777777" w:rsidR="000D57C8"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 October 2025</w:t>
      </w:r>
    </w:p>
    <w:p w14:paraId="00000007" w14:textId="77777777" w:rsidR="000D57C8" w:rsidRDefault="000D57C8">
      <w:pPr>
        <w:jc w:val="right"/>
        <w:rPr>
          <w:rFonts w:ascii="Times New Roman" w:eastAsia="Times New Roman" w:hAnsi="Times New Roman" w:cs="Times New Roman"/>
          <w:sz w:val="24"/>
          <w:szCs w:val="24"/>
        </w:rPr>
      </w:pPr>
    </w:p>
    <w:p w14:paraId="00000008" w14:textId="13D88A66" w:rsidR="000D57C8"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SMEX and the International Justice Clinic at the University of California, Irvine School of Law jointly submit to the Committee on the Elimination of Racial Discrimination (the Committee) this written contribution for the Committee's 116th Session and the Periodic </w:t>
      </w:r>
      <w:r w:rsidR="004813DE">
        <w:rPr>
          <w:rFonts w:ascii="Times New Roman" w:hAnsi="Times New Roman" w:cs="Times New Roman" w:hint="eastAsia"/>
          <w:sz w:val="24"/>
          <w:szCs w:val="24"/>
        </w:rPr>
        <w:t>Review</w:t>
      </w:r>
      <w:r>
        <w:rPr>
          <w:rFonts w:ascii="Times New Roman" w:eastAsia="Times New Roman" w:hAnsi="Times New Roman" w:cs="Times New Roman"/>
          <w:sz w:val="24"/>
          <w:szCs w:val="24"/>
        </w:rPr>
        <w:t xml:space="preserve"> on Tunisia.  </w:t>
      </w:r>
    </w:p>
    <w:p w14:paraId="00000009" w14:textId="77777777" w:rsidR="000D57C8" w:rsidRDefault="000D57C8">
      <w:pPr>
        <w:jc w:val="center"/>
        <w:rPr>
          <w:rFonts w:ascii="Times New Roman" w:eastAsia="Times New Roman" w:hAnsi="Times New Roman" w:cs="Times New Roman"/>
          <w:b/>
          <w:sz w:val="24"/>
          <w:szCs w:val="24"/>
        </w:rPr>
      </w:pPr>
    </w:p>
    <w:p w14:paraId="0000000A"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of Submitters</w:t>
      </w:r>
    </w:p>
    <w:p w14:paraId="0000000B" w14:textId="77777777" w:rsidR="000D57C8" w:rsidRDefault="000D57C8">
      <w:pPr>
        <w:jc w:val="center"/>
        <w:rPr>
          <w:rFonts w:ascii="Times New Roman" w:eastAsia="Times New Roman" w:hAnsi="Times New Roman" w:cs="Times New Roman"/>
          <w:b/>
          <w:sz w:val="24"/>
          <w:szCs w:val="24"/>
        </w:rPr>
      </w:pPr>
    </w:p>
    <w:p w14:paraId="0000000C"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SMEX is a non-profit that advocates for and advances human rights in digital spaces across West Asia and North Africa (WANA). SMEX’s vision is for everyone living in West Asia-North Africa and the diaspora to be able to access and engage with the internet, mobile services, and other networked spaces safely and without fear of censorship, surveillance, or repercussion.</w:t>
      </w:r>
      <w:r>
        <w:rPr>
          <w:rFonts w:ascii="Times New Roman" w:eastAsia="Times New Roman" w:hAnsi="Times New Roman" w:cs="Times New Roman"/>
          <w:sz w:val="24"/>
          <w:szCs w:val="24"/>
          <w:vertAlign w:val="superscript"/>
        </w:rPr>
        <w:footnoteReference w:id="1"/>
      </w:r>
    </w:p>
    <w:p w14:paraId="0000000D" w14:textId="77777777" w:rsidR="000D57C8" w:rsidRDefault="000D57C8">
      <w:pPr>
        <w:jc w:val="center"/>
        <w:rPr>
          <w:rFonts w:ascii="Times New Roman" w:eastAsia="Times New Roman" w:hAnsi="Times New Roman" w:cs="Times New Roman"/>
          <w:b/>
          <w:sz w:val="24"/>
          <w:szCs w:val="24"/>
        </w:rPr>
      </w:pPr>
    </w:p>
    <w:p w14:paraId="0000000E"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Justice Clinic at the University of California, Irvine School of Law, produces research and conducts advocacy promoting compliance with international human rights law and, inter alia, UN human rights mechanisms.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Since its founding in 2012, under the direction of Professor David Kaye, a former UN Special Rapporteur on the promotion and protection of the right to freedom of opinion and expression, the Clinic has continuously researched and advocated for freedom of expression and digital rights.</w:t>
      </w:r>
    </w:p>
    <w:p w14:paraId="0000000F" w14:textId="77777777" w:rsidR="000D57C8" w:rsidRDefault="000D57C8">
      <w:pPr>
        <w:rPr>
          <w:rFonts w:ascii="Times New Roman" w:eastAsia="Times New Roman" w:hAnsi="Times New Roman" w:cs="Times New Roman"/>
          <w:sz w:val="24"/>
          <w:szCs w:val="24"/>
        </w:rPr>
      </w:pPr>
    </w:p>
    <w:p w14:paraId="00000010" w14:textId="77777777" w:rsidR="000D57C8"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Information on Tunisia’s Non-Compliance with the Covenant</w:t>
      </w:r>
    </w:p>
    <w:p w14:paraId="00000011" w14:textId="77777777" w:rsidR="000D57C8" w:rsidRDefault="000D57C8">
      <w:pPr>
        <w:jc w:val="center"/>
        <w:rPr>
          <w:rFonts w:ascii="Times New Roman" w:eastAsia="Times New Roman" w:hAnsi="Times New Roman" w:cs="Times New Roman"/>
          <w:sz w:val="24"/>
          <w:szCs w:val="24"/>
        </w:rPr>
      </w:pPr>
    </w:p>
    <w:p w14:paraId="00000012" w14:textId="77777777" w:rsidR="000D57C8" w:rsidRDefault="00000000">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Summary</w:t>
      </w:r>
    </w:p>
    <w:p w14:paraId="00000013" w14:textId="77777777" w:rsidR="000D57C8" w:rsidRDefault="000D57C8">
      <w:pPr>
        <w:rPr>
          <w:rFonts w:ascii="Times New Roman" w:eastAsia="Times New Roman" w:hAnsi="Times New Roman" w:cs="Times New Roman"/>
          <w:b/>
          <w:sz w:val="24"/>
          <w:szCs w:val="24"/>
        </w:rPr>
      </w:pPr>
    </w:p>
    <w:p w14:paraId="00000014"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submission concerns Paragraph 7 (the practical application of Organic Act No. 2018-50), Paragraph 14 (the exercise of economic, social and cultural rights), and Paragraph 22 (education and root causes of racial discrimination) of Tunisia’s List of Issues Prior to Reporting (LOIPR) (CERD/C/TUN/QPR/20-22).</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We write to inform the Committee that the security policies regarding sub-Saharan migrant relocation and the lack of rural internet infrastructure and </w:t>
      </w:r>
      <w:r>
        <w:rPr>
          <w:rFonts w:ascii="Times New Roman" w:eastAsia="Times New Roman" w:hAnsi="Times New Roman" w:cs="Times New Roman"/>
          <w:sz w:val="24"/>
          <w:szCs w:val="24"/>
        </w:rPr>
        <w:lastRenderedPageBreak/>
        <w:t>underdeveloped digital literacy education systems, are inconsistent with Tunisia’s obligations under the International Convention on the Elimination of Racial Discrimination (ICERD).</w:t>
      </w:r>
    </w:p>
    <w:p w14:paraId="00000015" w14:textId="77777777" w:rsidR="000D57C8" w:rsidRDefault="000D57C8">
      <w:pPr>
        <w:rPr>
          <w:rFonts w:ascii="Times New Roman" w:eastAsia="Times New Roman" w:hAnsi="Times New Roman" w:cs="Times New Roman"/>
          <w:sz w:val="24"/>
          <w:szCs w:val="24"/>
        </w:rPr>
      </w:pPr>
    </w:p>
    <w:p w14:paraId="00000016"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submission argues that the relocation of migrants to rural areas within Tunisia has a disparate impact on sub-Saharan migrants, who are effectively cut off from crucial resources such as internet access and quality education that fosters digital literacy.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On top of the physical dangers and psychological threats stemming from these forced expulsions, as documented by the independent media outlet </w:t>
      </w:r>
      <w:proofErr w:type="spellStart"/>
      <w:r>
        <w:rPr>
          <w:rFonts w:ascii="Times New Roman" w:eastAsia="Times New Roman" w:hAnsi="Times New Roman" w:cs="Times New Roman"/>
          <w:sz w:val="24"/>
          <w:szCs w:val="24"/>
        </w:rPr>
        <w:t>Inkyfada</w:t>
      </w:r>
      <w:proofErr w:type="spellEnd"/>
      <w:r>
        <w:rPr>
          <w:rFonts w:ascii="Times New Roman" w:eastAsia="Times New Roman" w:hAnsi="Times New Roman" w:cs="Times New Roman"/>
          <w:sz w:val="24"/>
          <w:szCs w:val="24"/>
        </w:rPr>
        <w:t>, the lack of adequate internet access and digital literacy prevents migrants in Tunisia from communicating effectively or access critical information, such as their legal rights.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lack of digital literacy and internet access limits individuals’ ability to critically assess online content and prevents affected communities, particularly sub-Saharan migrants, from countering harmful narratives or voicing their own perspectives. Despite the compounding impact that the lack of internet access and digital literacy creates, Tunisia has failed to address this issue in its state report.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Additionally, our submission outlines the current status of internet access and digital literacy in rural Tunisia and highlights how sub-Saharan migrants are disproportionately affected by the systemic disadvantages associated with these regions.</w:t>
      </w:r>
    </w:p>
    <w:p w14:paraId="00000017" w14:textId="77777777" w:rsidR="000D57C8" w:rsidRDefault="000D57C8">
      <w:pPr>
        <w:rPr>
          <w:rFonts w:ascii="Times New Roman" w:eastAsia="Times New Roman" w:hAnsi="Times New Roman" w:cs="Times New Roman"/>
          <w:sz w:val="24"/>
          <w:szCs w:val="24"/>
        </w:rPr>
      </w:pPr>
    </w:p>
    <w:p w14:paraId="00000018"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Since Tunisia has failed to adequately track internet penetration in rural regions and has provided only minimal data on the educational status of sub-Saharan migrants, including efforts to enhance their digital literacy, our submission captures only a portion of the challenges these migrants face. Nonetheless, the evidence in this report establishes violations of Article 2(1)(c) and Article 5 of the CERD. A failure to address these digital rights issues will likely result in sub-Saharan migrants continuing to face significant disadvantages in Tunisian society and remaining at heightened risk of racial violence. Accordingly, our submission proposes a set of recommendations to remedy these violations and promote the protection of digital rights for sub-Saharan migrants in Tunisia.</w:t>
      </w:r>
    </w:p>
    <w:p w14:paraId="00000019" w14:textId="77777777" w:rsidR="000D57C8" w:rsidRDefault="000D57C8">
      <w:pPr>
        <w:rPr>
          <w:rFonts w:ascii="Times New Roman" w:eastAsia="Times New Roman" w:hAnsi="Times New Roman" w:cs="Times New Roman"/>
          <w:sz w:val="24"/>
          <w:szCs w:val="24"/>
        </w:rPr>
      </w:pPr>
    </w:p>
    <w:p w14:paraId="0000001A" w14:textId="77777777" w:rsidR="000D57C8" w:rsidRDefault="00000000">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 Article of ICERD</w:t>
      </w:r>
    </w:p>
    <w:p w14:paraId="0000001B" w14:textId="77777777" w:rsidR="000D57C8" w:rsidRDefault="000D57C8">
      <w:pPr>
        <w:rPr>
          <w:rFonts w:ascii="Times New Roman" w:eastAsia="Times New Roman" w:hAnsi="Times New Roman" w:cs="Times New Roman"/>
          <w:b/>
          <w:sz w:val="24"/>
          <w:szCs w:val="24"/>
        </w:rPr>
      </w:pPr>
    </w:p>
    <w:p w14:paraId="0000001C"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Articles 2(1)(c) and 5.</w:t>
      </w:r>
    </w:p>
    <w:p w14:paraId="0000001D" w14:textId="77777777" w:rsidR="000D57C8" w:rsidRDefault="000D57C8">
      <w:pPr>
        <w:rPr>
          <w:rFonts w:ascii="Times New Roman" w:eastAsia="Times New Roman" w:hAnsi="Times New Roman" w:cs="Times New Roman"/>
          <w:b/>
          <w:sz w:val="24"/>
          <w:szCs w:val="24"/>
        </w:rPr>
      </w:pPr>
    </w:p>
    <w:p w14:paraId="0000001E" w14:textId="77777777" w:rsidR="000D57C8" w:rsidRDefault="00000000">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Insufficient State Response to Tunisia’s LOIPR</w:t>
      </w:r>
    </w:p>
    <w:p w14:paraId="0000001F" w14:textId="77777777" w:rsidR="000D57C8" w:rsidRDefault="000D57C8">
      <w:pPr>
        <w:rPr>
          <w:rFonts w:ascii="Times New Roman" w:eastAsia="Times New Roman" w:hAnsi="Times New Roman" w:cs="Times New Roman"/>
          <w:b/>
          <w:sz w:val="24"/>
          <w:szCs w:val="24"/>
        </w:rPr>
      </w:pPr>
    </w:p>
    <w:p w14:paraId="00000020"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Tunisia’s state report fails to meaningfully address key concerns raised in Paragraphs 7 and 22 of the LOIPR, particularly regarding the practical application of Organic Act No. 2018-50 and the </w:t>
      </w:r>
      <w:r>
        <w:rPr>
          <w:rFonts w:ascii="Times New Roman" w:eastAsia="Times New Roman" w:hAnsi="Times New Roman" w:cs="Times New Roman"/>
          <w:sz w:val="24"/>
          <w:szCs w:val="24"/>
        </w:rPr>
        <w:lastRenderedPageBreak/>
        <w:t>root causes of racial discrimination in the education system.</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It also fails to adequately respond to Paragraph 14 of the LOIPR, which concerns the exercise of economic, social, and cultural rights, particularly among vulnerable and marginalized groups.</w:t>
      </w:r>
      <w:r>
        <w:rPr>
          <w:rFonts w:ascii="Times New Roman" w:eastAsia="Times New Roman" w:hAnsi="Times New Roman" w:cs="Times New Roman"/>
          <w:sz w:val="24"/>
          <w:szCs w:val="24"/>
          <w:vertAlign w:val="superscript"/>
        </w:rPr>
        <w:footnoteReference w:id="8"/>
      </w:r>
    </w:p>
    <w:p w14:paraId="00000021" w14:textId="77777777" w:rsidR="000D57C8" w:rsidRDefault="000D57C8">
      <w:pPr>
        <w:rPr>
          <w:rFonts w:ascii="Times New Roman" w:eastAsia="Times New Roman" w:hAnsi="Times New Roman" w:cs="Times New Roman"/>
          <w:sz w:val="24"/>
          <w:szCs w:val="24"/>
        </w:rPr>
      </w:pPr>
    </w:p>
    <w:p w14:paraId="00000022"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report highlights the adoption of Act No. 2018-50 and the establishment of the National Commission to Combat Racial Discrimination, it is largely declarative and does not include any substantive evaluation of whether the relocation of sub-Saharan migrants to rural areas is producing indirect discriminatory effects.</w:t>
      </w:r>
      <w:r>
        <w:rPr>
          <w:rFonts w:ascii="Times New Roman" w:eastAsia="Times New Roman" w:hAnsi="Times New Roman" w:cs="Times New Roman"/>
          <w:sz w:val="24"/>
          <w:szCs w:val="24"/>
          <w:vertAlign w:val="superscript"/>
        </w:rPr>
        <w:footnoteReference w:id="9"/>
      </w:r>
    </w:p>
    <w:p w14:paraId="00000023" w14:textId="77777777" w:rsidR="000D57C8" w:rsidRDefault="000D57C8">
      <w:pPr>
        <w:rPr>
          <w:rFonts w:ascii="Times New Roman" w:eastAsia="Times New Roman" w:hAnsi="Times New Roman" w:cs="Times New Roman"/>
          <w:sz w:val="24"/>
          <w:szCs w:val="24"/>
        </w:rPr>
      </w:pPr>
    </w:p>
    <w:p w14:paraId="00000024"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report makes no mention of how these relocations have isolated migrant communities from essential public goods such as internet access, educational infrastructure, and opportunities for digital literacy development. The lack of internet infrastructure in many rural areas is a form of structural discrimination that has not been acknowledged in the state report. Tunisia also fails to identify any data on digital literacy, education quality, or internet access by region, race, or migration status, leaving the disparities that disproportionately impact sub-Saharan migrants unexamined. </w:t>
      </w:r>
    </w:p>
    <w:p w14:paraId="00000025" w14:textId="77777777" w:rsidR="000D57C8" w:rsidRDefault="000D57C8">
      <w:pPr>
        <w:rPr>
          <w:rFonts w:ascii="Times New Roman" w:eastAsia="Times New Roman" w:hAnsi="Times New Roman" w:cs="Times New Roman"/>
          <w:sz w:val="24"/>
          <w:szCs w:val="24"/>
        </w:rPr>
      </w:pPr>
    </w:p>
    <w:p w14:paraId="00000026"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while the state report includes general claims to promote tolerance and human rights through education, it provides no evidence of targeted efforts to combat racist attitudes or online hate speech, despite credible reports of incitement against migrant communities.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The failure to mention digital exclusion and online racial violence in both the education and racial discrimination sections of the report indicates a narrow understanding of Tunisia’s obligations under Article 2(1)(c) and Article 5 of the Convention.</w:t>
      </w:r>
      <w:r>
        <w:rPr>
          <w:rFonts w:ascii="Times New Roman" w:eastAsia="Times New Roman" w:hAnsi="Times New Roman" w:cs="Times New Roman"/>
          <w:sz w:val="24"/>
          <w:szCs w:val="24"/>
          <w:vertAlign w:val="superscript"/>
        </w:rPr>
        <w:footnoteReference w:id="11"/>
      </w:r>
    </w:p>
    <w:p w14:paraId="00000027" w14:textId="77777777" w:rsidR="000D57C8" w:rsidRDefault="000D57C8">
      <w:pPr>
        <w:rPr>
          <w:rFonts w:ascii="Times New Roman" w:eastAsia="Times New Roman" w:hAnsi="Times New Roman" w:cs="Times New Roman"/>
          <w:sz w:val="24"/>
          <w:szCs w:val="24"/>
        </w:rPr>
      </w:pPr>
    </w:p>
    <w:p w14:paraId="00000028"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By failing to examine how racial disparities affect the exercise of economic, social, and cultural rights, particularly the lack of equitable access to internet infrastructure and quality education that fosters digital literacy, Tunisia falls short of its obligations under ICERD (see Paragraph 14 of the LOIPR).</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Internet access is increasingly essential to realizing these rights, including participation in education, access to cultural and economic opportunities, and the ability to engage fully in modern public life. Paragraph 14 requests data collection and targeted policy measures to ensure the equal enjoyment of these rights by all communities, including sub-Saharan migrants; however, the state report was unsuccessful in adequately addressing the request.</w:t>
      </w:r>
      <w:r>
        <w:rPr>
          <w:rFonts w:ascii="Times New Roman" w:eastAsia="Times New Roman" w:hAnsi="Times New Roman" w:cs="Times New Roman"/>
          <w:sz w:val="24"/>
          <w:szCs w:val="24"/>
          <w:vertAlign w:val="superscript"/>
        </w:rPr>
        <w:footnoteReference w:id="13"/>
      </w:r>
    </w:p>
    <w:p w14:paraId="00000029" w14:textId="77777777" w:rsidR="000D57C8" w:rsidRDefault="000D57C8">
      <w:pPr>
        <w:rPr>
          <w:rFonts w:ascii="Times New Roman" w:eastAsia="Times New Roman" w:hAnsi="Times New Roman" w:cs="Times New Roman"/>
          <w:sz w:val="24"/>
          <w:szCs w:val="24"/>
        </w:rPr>
      </w:pPr>
    </w:p>
    <w:p w14:paraId="0000002A"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Background on Migrants and Digital Access in Tunisia</w:t>
      </w:r>
    </w:p>
    <w:p w14:paraId="0000002B" w14:textId="77777777" w:rsidR="000D57C8" w:rsidRDefault="000D57C8">
      <w:pPr>
        <w:rPr>
          <w:rFonts w:ascii="Times New Roman" w:eastAsia="Times New Roman" w:hAnsi="Times New Roman" w:cs="Times New Roman"/>
          <w:b/>
          <w:sz w:val="24"/>
          <w:szCs w:val="24"/>
        </w:rPr>
      </w:pPr>
    </w:p>
    <w:p w14:paraId="0000002C" w14:textId="77777777" w:rsidR="000D57C8" w:rsidRDefault="00000000">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Tunisia’s Historical Background: Migrants</w:t>
      </w:r>
    </w:p>
    <w:p w14:paraId="0000002D" w14:textId="77777777" w:rsidR="000D57C8" w:rsidRDefault="000D57C8">
      <w:pPr>
        <w:rPr>
          <w:rFonts w:ascii="Times New Roman" w:eastAsia="Times New Roman" w:hAnsi="Times New Roman" w:cs="Times New Roman"/>
          <w:b/>
          <w:sz w:val="24"/>
          <w:szCs w:val="24"/>
        </w:rPr>
      </w:pPr>
    </w:p>
    <w:p w14:paraId="0000002E"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Tunisia has a population of 12 million people with 99 percent of the population being Muslim of Arab and Berber descent.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Since 2015, Tunisia has become a migratory state for many sub-Saharan African migrants and asylum seekers from Sudan, Chad, Guinea, Mali, and Cote d’Ivoire who aim to migrate to Europe.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Following the EU-Tunisia deal in 2017, which established an arrangement for the control of migration from North Africa to Europe, Tunisia overtook Libya as the most active departure point for migrants crossing the central Mediterranean.</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 continuation of this trend over time cemented Tunisia as a migration hub by 2023.</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One of the largest sites of migration is Sfax, the second largest city in Tunisia.</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Although Sfax once had a diverse economy, economic hardship has led the city to rely on the migrant population as a “cost-effective, albeit precarious, workforce.”</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As the number of migrants arriving in the region grew, newer migrants without financial resources or humanitarian aid began erecting makeshift tent communities as they waited for the chance to continue their migration into Europe.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Many migrants are forced to live on the outskirts of small towns and villages in areas like </w:t>
      </w:r>
      <w:r>
        <w:rPr>
          <w:rFonts w:ascii="Times New Roman" w:eastAsia="Times New Roman" w:hAnsi="Times New Roman" w:cs="Times New Roman"/>
          <w:color w:val="2B2B2B"/>
          <w:sz w:val="24"/>
          <w:szCs w:val="24"/>
        </w:rPr>
        <w:t>A</w:t>
      </w:r>
      <w:r>
        <w:rPr>
          <w:rFonts w:ascii="Times New Roman" w:eastAsia="Times New Roman" w:hAnsi="Times New Roman" w:cs="Times New Roman"/>
          <w:sz w:val="24"/>
          <w:szCs w:val="24"/>
        </w:rPr>
        <w:t xml:space="preserve">l Amra and </w:t>
      </w:r>
      <w:proofErr w:type="spellStart"/>
      <w:r>
        <w:rPr>
          <w:rFonts w:ascii="Times New Roman" w:eastAsia="Times New Roman" w:hAnsi="Times New Roman" w:cs="Times New Roman"/>
          <w:sz w:val="24"/>
          <w:szCs w:val="24"/>
        </w:rPr>
        <w:t>Jbeniana</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0000002F" w14:textId="77777777" w:rsidR="000D57C8" w:rsidRDefault="000D57C8">
      <w:pPr>
        <w:rPr>
          <w:rFonts w:ascii="Times New Roman" w:eastAsia="Times New Roman" w:hAnsi="Times New Roman" w:cs="Times New Roman"/>
          <w:sz w:val="24"/>
          <w:szCs w:val="24"/>
        </w:rPr>
      </w:pPr>
    </w:p>
    <w:p w14:paraId="00000030"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Due to local sentiment and pushback, Tunisia’s security forces have adopted a security focused approach in curbing the migrant settlements.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Of the three major policies, two are of special concern to CERD.</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 first is the general policy of expelling sub-Saharan migrants from Sfax and relocating them to desert and border regions.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The second is the internal displacement of migrants from populated areas to largely uninhabited agricultural regions, where basic services are virtually nonexistent and opportunities for sustenance are scarce.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combination of these </w:t>
      </w:r>
      <w:r>
        <w:rPr>
          <w:rFonts w:ascii="Times New Roman" w:eastAsia="Times New Roman" w:hAnsi="Times New Roman" w:cs="Times New Roman"/>
          <w:sz w:val="24"/>
          <w:szCs w:val="24"/>
        </w:rPr>
        <w:lastRenderedPageBreak/>
        <w:t>two policies has often relegated sub-Saharan migrants not only to rural areas of Tunisia, but also to regions lacking adequate support for their basic needs.</w:t>
      </w:r>
    </w:p>
    <w:p w14:paraId="00000031" w14:textId="77777777" w:rsidR="000D57C8" w:rsidRDefault="000D57C8">
      <w:pPr>
        <w:rPr>
          <w:rFonts w:ascii="Times New Roman" w:eastAsia="Times New Roman" w:hAnsi="Times New Roman" w:cs="Times New Roman"/>
          <w:sz w:val="24"/>
          <w:szCs w:val="24"/>
        </w:rPr>
      </w:pPr>
    </w:p>
    <w:p w14:paraId="00000032"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media outlet </w:t>
      </w:r>
      <w:proofErr w:type="spellStart"/>
      <w:r>
        <w:rPr>
          <w:rFonts w:ascii="Times New Roman" w:eastAsia="Times New Roman" w:hAnsi="Times New Roman" w:cs="Times New Roman"/>
          <w:sz w:val="24"/>
          <w:szCs w:val="24"/>
        </w:rPr>
        <w:t>Inkyfada</w:t>
      </w:r>
      <w:proofErr w:type="spellEnd"/>
      <w:r>
        <w:rPr>
          <w:rFonts w:ascii="Times New Roman" w:eastAsia="Times New Roman" w:hAnsi="Times New Roman" w:cs="Times New Roman"/>
          <w:sz w:val="24"/>
          <w:szCs w:val="24"/>
        </w:rPr>
        <w:t xml:space="preserve"> reveals that Tunisian authorities forcibly load sub-Saharan migrants, including families with young children, onto buses and transport them to the borders with Libya and Algeria without food, water, or medical care.</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Migrants reported being abandoned in the desert under extreme heat with no means of return, leading to severe dehydration, illness, with even  documented cases of death.</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They described being rounded up rapidly, denied the opportunity to collect their belongings from their homes, and driven for hours before being forced to walk long distances into border zones.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Several testimonies detailed beatings and confiscation of identity documents, leaving migrants stateless and vulnerable to exploitation by human traffickers and armed groups operating along the border.</w:t>
      </w:r>
      <w:r>
        <w:rPr>
          <w:rFonts w:ascii="Times New Roman" w:eastAsia="Times New Roman" w:hAnsi="Times New Roman" w:cs="Times New Roman"/>
          <w:sz w:val="24"/>
          <w:szCs w:val="24"/>
          <w:vertAlign w:val="superscript"/>
        </w:rPr>
        <w:footnoteReference w:id="29"/>
      </w:r>
    </w:p>
    <w:p w14:paraId="00000033" w14:textId="77777777" w:rsidR="000D57C8" w:rsidRDefault="000D57C8">
      <w:pPr>
        <w:rPr>
          <w:rFonts w:ascii="Times New Roman" w:eastAsia="Times New Roman" w:hAnsi="Times New Roman" w:cs="Times New Roman"/>
          <w:sz w:val="24"/>
          <w:szCs w:val="24"/>
        </w:rPr>
      </w:pPr>
    </w:p>
    <w:p w14:paraId="00000034" w14:textId="77777777" w:rsidR="000D57C8" w:rsidRDefault="00000000">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Tunisia’s Historical Background: Internet Access and Digital Literacy </w:t>
      </w:r>
    </w:p>
    <w:p w14:paraId="00000035" w14:textId="77777777" w:rsidR="000D57C8" w:rsidRDefault="000D57C8">
      <w:pPr>
        <w:ind w:left="1440"/>
        <w:rPr>
          <w:rFonts w:ascii="Times New Roman" w:eastAsia="Times New Roman" w:hAnsi="Times New Roman" w:cs="Times New Roman"/>
          <w:b/>
          <w:sz w:val="24"/>
          <w:szCs w:val="24"/>
        </w:rPr>
      </w:pPr>
    </w:p>
    <w:p w14:paraId="00000036"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1993, Tunisia was the first country in the WANA region to connect to the internet, marking an early proliferation of digital connectivity.</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The expansion of internet access helped create conditions that fostered political awareness and mobilization, which eventually contributed to the outbreak of the Arab Spring.</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In 2011, President Zine El </w:t>
      </w:r>
      <w:proofErr w:type="spellStart"/>
      <w:r>
        <w:rPr>
          <w:rFonts w:ascii="Times New Roman" w:eastAsia="Times New Roman" w:hAnsi="Times New Roman" w:cs="Times New Roman"/>
          <w:sz w:val="24"/>
          <w:szCs w:val="24"/>
        </w:rPr>
        <w:t>Albidine</w:t>
      </w:r>
      <w:proofErr w:type="spellEnd"/>
      <w:r>
        <w:rPr>
          <w:rFonts w:ascii="Times New Roman" w:eastAsia="Times New Roman" w:hAnsi="Times New Roman" w:cs="Times New Roman"/>
          <w:sz w:val="24"/>
          <w:szCs w:val="24"/>
        </w:rPr>
        <w:t xml:space="preserve"> Ben Ali was overthrown and a more open internet system emerged.</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However, in 2019, President Kais Saied implemented policies resulting in a gradual rollback of media and internet freedoms.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These measures have increased censorship and prompted widespread self-censorship among media outlets critical of President Saied.</w:t>
      </w:r>
      <w:r>
        <w:rPr>
          <w:rFonts w:ascii="Times New Roman" w:eastAsia="Times New Roman" w:hAnsi="Times New Roman" w:cs="Times New Roman"/>
          <w:sz w:val="24"/>
          <w:szCs w:val="24"/>
          <w:vertAlign w:val="superscript"/>
        </w:rPr>
        <w:footnoteReference w:id="34"/>
      </w:r>
    </w:p>
    <w:p w14:paraId="00000037" w14:textId="77777777" w:rsidR="000D57C8" w:rsidRDefault="000D57C8">
      <w:pPr>
        <w:rPr>
          <w:rFonts w:ascii="Times New Roman" w:eastAsia="Times New Roman" w:hAnsi="Times New Roman" w:cs="Times New Roman"/>
          <w:sz w:val="24"/>
          <w:szCs w:val="24"/>
        </w:rPr>
      </w:pPr>
    </w:p>
    <w:p w14:paraId="00000038"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As of January 2025, there are 10.5 million internet users in Tunisia, which amounts to an 84.9 percent internet penetration rate.</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In January 2024, there were 7.12 million social media users, </w:t>
      </w:r>
      <w:r>
        <w:rPr>
          <w:rFonts w:ascii="Times New Roman" w:eastAsia="Times New Roman" w:hAnsi="Times New Roman" w:cs="Times New Roman"/>
          <w:sz w:val="24"/>
          <w:szCs w:val="24"/>
        </w:rPr>
        <w:lastRenderedPageBreak/>
        <w:t>accounting for 56.9 percent of the total population.</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This number increased in 2025, reaching 7.25 million social media users, representing 58.9 percent of the population.</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Generally, Internet access is affordable and internet service providers (ISPs) offer a wide variety of packages and data capacities; however, the access has not been equally distributed in Tunisia, as outlined below.</w:t>
      </w:r>
    </w:p>
    <w:p w14:paraId="00000039" w14:textId="77777777" w:rsidR="000D57C8" w:rsidRDefault="000D57C8">
      <w:pPr>
        <w:rPr>
          <w:rFonts w:ascii="Times New Roman" w:eastAsia="Times New Roman" w:hAnsi="Times New Roman" w:cs="Times New Roman"/>
          <w:sz w:val="24"/>
          <w:szCs w:val="24"/>
        </w:rPr>
      </w:pPr>
    </w:p>
    <w:p w14:paraId="0000003A" w14:textId="77777777" w:rsidR="000D57C8" w:rsidRDefault="00000000">
      <w:pPr>
        <w:numPr>
          <w:ilvl w:val="0"/>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Current State of Internet Access and Digital Literacy in Tunisia</w:t>
      </w:r>
    </w:p>
    <w:p w14:paraId="0000003B" w14:textId="77777777" w:rsidR="000D57C8" w:rsidRDefault="000D57C8">
      <w:pPr>
        <w:rPr>
          <w:rFonts w:ascii="Times New Roman" w:eastAsia="Times New Roman" w:hAnsi="Times New Roman" w:cs="Times New Roman"/>
          <w:b/>
          <w:sz w:val="24"/>
          <w:szCs w:val="24"/>
        </w:rPr>
      </w:pPr>
    </w:p>
    <w:p w14:paraId="0000003C" w14:textId="77777777" w:rsidR="000D57C8" w:rsidRDefault="00000000">
      <w:pPr>
        <w:rPr>
          <w:rFonts w:ascii="Times New Roman" w:eastAsia="Times New Roman" w:hAnsi="Times New Roman" w:cs="Times New Roman"/>
          <w:b/>
          <w:sz w:val="24"/>
          <w:szCs w:val="24"/>
          <w:highlight w:val="yellow"/>
        </w:rPr>
      </w:pPr>
      <w:r>
        <w:rPr>
          <w:rFonts w:ascii="Times New Roman" w:eastAsia="Times New Roman" w:hAnsi="Times New Roman" w:cs="Times New Roman"/>
          <w:sz w:val="24"/>
          <w:szCs w:val="24"/>
        </w:rPr>
        <w:t>Although Tunisia leads North Africa in internet penetration with a robust and updated network, the benefits generated by this system are not equally distributed.</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In particular, residents of rural regions of Tunisia and sub-Saharan migrant communities are systematically excluded from the benefits that this reliable system provides to most Tunisians.</w:t>
      </w:r>
      <w:r>
        <w:rPr>
          <w:rFonts w:ascii="Times New Roman" w:eastAsia="Times New Roman" w:hAnsi="Times New Roman" w:cs="Times New Roman"/>
          <w:sz w:val="24"/>
          <w:szCs w:val="24"/>
          <w:vertAlign w:val="superscript"/>
        </w:rPr>
        <w:footnoteReference w:id="39"/>
      </w:r>
    </w:p>
    <w:p w14:paraId="0000003D" w14:textId="77777777" w:rsidR="000D57C8" w:rsidRDefault="000D57C8">
      <w:pPr>
        <w:rPr>
          <w:rFonts w:ascii="Times New Roman" w:eastAsia="Times New Roman" w:hAnsi="Times New Roman" w:cs="Times New Roman"/>
          <w:sz w:val="24"/>
          <w:szCs w:val="24"/>
        </w:rPr>
      </w:pPr>
    </w:p>
    <w:p w14:paraId="0000003E" w14:textId="77777777" w:rsidR="000D57C8" w:rsidRDefault="00000000">
      <w:pPr>
        <w:numPr>
          <w:ilvl w:val="1"/>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Internet Access</w:t>
      </w:r>
    </w:p>
    <w:p w14:paraId="0000003F" w14:textId="77777777" w:rsidR="000D57C8" w:rsidRDefault="000D57C8">
      <w:pPr>
        <w:rPr>
          <w:rFonts w:ascii="Times New Roman" w:eastAsia="Times New Roman" w:hAnsi="Times New Roman" w:cs="Times New Roman"/>
          <w:b/>
          <w:sz w:val="24"/>
          <w:szCs w:val="24"/>
        </w:rPr>
      </w:pPr>
    </w:p>
    <w:p w14:paraId="00000040" w14:textId="77777777" w:rsidR="000D57C8"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As of 2016, there is a low rate of home broadband connectivity in rural areas, with many rural areas in Tunisia restricted to 2G networks, especially in the interior regions of Tunisia.</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This issue is of particular concern to sub-Saharan migrants, especially the approximately 15,000 to 20,000 individuals living in temporary tents within the rural olive grove areas of southern towns like Al Amra and </w:t>
      </w:r>
      <w:proofErr w:type="spellStart"/>
      <w:r>
        <w:rPr>
          <w:rFonts w:ascii="Times New Roman" w:eastAsia="Times New Roman" w:hAnsi="Times New Roman" w:cs="Times New Roman"/>
          <w:sz w:val="24"/>
          <w:szCs w:val="24"/>
        </w:rPr>
        <w:t>Jbeniana</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These encampments have continued to grow in size as police have “pushed migrants out of cities and ramped up efforts to prevent Mediterranean crossings.”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What has resulted has been a logjam of migrant encampments on the outskirts of cities, angering locals and fostering calls for the government to either expel migrants to Tunisia’s border regions, or else to let the migrants cross into Europe. In more populous areas like Sfax, these migrants often face negative public sentiment and policies.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For example, migrants are not provided with </w:t>
      </w:r>
      <w:r>
        <w:rPr>
          <w:rFonts w:ascii="Times New Roman" w:eastAsia="Times New Roman" w:hAnsi="Times New Roman" w:cs="Times New Roman"/>
          <w:sz w:val="24"/>
          <w:szCs w:val="24"/>
        </w:rPr>
        <w:lastRenderedPageBreak/>
        <w:t>any food, water, money, or mobile phones, in violation of international law.</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Additionally, “Tunisia has acknowledged bussing migrants” to its barren border regions with Libya or Algeria.</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In fact, in carrying out these expulsions, security forces typically seize migrants’ phones, as well as their money and documentation, so that the latter are unable to call for help.</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Expulsions have become so frequent that they could be considered unofficial policy, but under the government’s current restrictions on media and civil society, many such expulsions go unreported.</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These restrictions include the arrest and prosecution of journalists under Decree Law 54 for reporting critically on migration issues, as well as harassment and prosecution of NGO workers who provide support to migrants and refugees.</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For example, in May 2024, Tunisian authorities arrested at least two journalists and charged them under laws that criminalize content deemed to “harm public security” or “spread terror among the population,” and also arrested lawyers, NGO leaders, and human rights defenders for their work supporting migrants.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Further, a recent example is the arrest and prosecution of lawyer and commentator Sonia Dahmani under Decree Law 54 in July 2025.</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Civil society organizations, including the Committee to Protect Journalists, have issued urgent statements calling for her immediate release and an end to the weaponization of cybercrime laws against critics and human rights defenders.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Such de facto restrictions, combined with repressive legislation, create a chilling effect on media coverage of expulsions. Additionally, migrants face medical abuse, as many “are uneducated about the nuances of Tunisian healthcare in the country and their access rights.”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The lack of internet access contributes to this problem, as it increases the difficulty in finding medical information and accessing healthcare services. Therefore, sub-Saharan migrants’ disproportionate lack of reliable internet access, further establishes social and economic marginalization.</w:t>
      </w:r>
    </w:p>
    <w:p w14:paraId="00000041" w14:textId="77777777" w:rsidR="000D57C8" w:rsidRDefault="000D57C8">
      <w:pPr>
        <w:rPr>
          <w:rFonts w:ascii="Times New Roman" w:eastAsia="Times New Roman" w:hAnsi="Times New Roman" w:cs="Times New Roman"/>
          <w:b/>
          <w:sz w:val="24"/>
          <w:szCs w:val="24"/>
        </w:rPr>
      </w:pPr>
    </w:p>
    <w:p w14:paraId="00000042" w14:textId="77777777" w:rsidR="000D57C8" w:rsidRDefault="00000000">
      <w:pPr>
        <w:numPr>
          <w:ilvl w:val="1"/>
          <w:numId w:val="6"/>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Digital Literacy </w:t>
      </w:r>
    </w:p>
    <w:p w14:paraId="00000043" w14:textId="77777777" w:rsidR="000D57C8" w:rsidRDefault="000D57C8">
      <w:pPr>
        <w:rPr>
          <w:rFonts w:ascii="Times New Roman" w:eastAsia="Times New Roman" w:hAnsi="Times New Roman" w:cs="Times New Roman"/>
          <w:b/>
          <w:sz w:val="24"/>
          <w:szCs w:val="24"/>
        </w:rPr>
      </w:pPr>
    </w:p>
    <w:p w14:paraId="00000044"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literacy is defined as “the ability to use information and communication technologies to find, evaluate, create, and communicate information, requiring both cognitive and technical skills.”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As our world becomes increasingly complex and digital, foundational internet skills, such as digital literacy, are essential for securing employment and participating in public and political life. The United Nations Committee on Economic, Social and Cultural Rights has highlighted that states must adopt inclusive policies to expand access to digital technologies, ensuring non-discrimination and respect for human dignity.</w:t>
      </w:r>
      <w:r>
        <w:rPr>
          <w:rFonts w:ascii="Times New Roman" w:eastAsia="Times New Roman" w:hAnsi="Times New Roman" w:cs="Times New Roman"/>
          <w:sz w:val="24"/>
          <w:szCs w:val="24"/>
          <w:vertAlign w:val="superscript"/>
        </w:rPr>
        <w:footnoteReference w:id="54"/>
      </w:r>
    </w:p>
    <w:p w14:paraId="00000045" w14:textId="77777777" w:rsidR="000D57C8" w:rsidRDefault="000D57C8">
      <w:pPr>
        <w:rPr>
          <w:rFonts w:ascii="Times New Roman" w:eastAsia="Times New Roman" w:hAnsi="Times New Roman" w:cs="Times New Roman"/>
          <w:sz w:val="24"/>
          <w:szCs w:val="24"/>
        </w:rPr>
      </w:pPr>
    </w:p>
    <w:p w14:paraId="00000046"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Tunisian Ministry of Communication Technology introduced its 2025 Digital Strategy in 2020, which focuses on, among others, “ensuring social inclusion and bridging the digital divide,” the policy has not translated into real change.</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For instance, a growing number of  young Tunisians (aged 12-18) are entering adulthood without such skills and are consequently falling behind their better-off counterparts who have greater access to the internet and education.</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There are two principal reasons for this growing divide: a high illiteracy rate and limited familiarity with technology.</w:t>
      </w:r>
      <w:r>
        <w:rPr>
          <w:rFonts w:ascii="Times New Roman" w:eastAsia="Times New Roman" w:hAnsi="Times New Roman" w:cs="Times New Roman"/>
          <w:sz w:val="24"/>
          <w:szCs w:val="24"/>
          <w:vertAlign w:val="superscript"/>
        </w:rPr>
        <w:footnoteReference w:id="57"/>
      </w:r>
    </w:p>
    <w:p w14:paraId="00000047" w14:textId="77777777" w:rsidR="000D57C8" w:rsidRDefault="000D57C8">
      <w:pPr>
        <w:rPr>
          <w:rFonts w:ascii="Times New Roman" w:eastAsia="Times New Roman" w:hAnsi="Times New Roman" w:cs="Times New Roman"/>
          <w:sz w:val="24"/>
          <w:szCs w:val="24"/>
        </w:rPr>
      </w:pPr>
    </w:p>
    <w:p w14:paraId="00000048"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First, as of 2022, 14.79 percent of Tunisian adults were illiterate.</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Illiteracy rates are higher in rural and inland regions, particularly among young people who left school early.</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This often translates to a lack of digital literacy, as the inability to read and write significantly impairs one’s capacity to use the internet in a meaningful way.</w:t>
      </w:r>
    </w:p>
    <w:p w14:paraId="00000049" w14:textId="77777777" w:rsidR="000D57C8" w:rsidRDefault="000D57C8">
      <w:pPr>
        <w:rPr>
          <w:rFonts w:ascii="Times New Roman" w:eastAsia="Times New Roman" w:hAnsi="Times New Roman" w:cs="Times New Roman"/>
          <w:sz w:val="24"/>
          <w:szCs w:val="24"/>
        </w:rPr>
      </w:pPr>
    </w:p>
    <w:p w14:paraId="0000004A"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Second, unfamiliarity with the internet also contributes to the lack of digital literacy. Although mobile broadband is available throughout most of the country, a nationally stratified survey of 4,000 Tunisians conducted for the 2023 UNDP Digital Inclusion Index found that 39.1 percent do not use the internet.</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According to Najoua, a public servant working to integrate young people into the labor market: </w:t>
      </w:r>
    </w:p>
    <w:p w14:paraId="0000004B" w14:textId="77777777" w:rsidR="000D57C8" w:rsidRDefault="000D57C8">
      <w:pPr>
        <w:rPr>
          <w:rFonts w:ascii="Times New Roman" w:eastAsia="Times New Roman" w:hAnsi="Times New Roman" w:cs="Times New Roman"/>
          <w:sz w:val="24"/>
          <w:szCs w:val="24"/>
        </w:rPr>
      </w:pPr>
    </w:p>
    <w:p w14:paraId="0000004C" w14:textId="77777777" w:rsidR="000D57C8" w:rsidRDefault="00000000">
      <w:pPr>
        <w:ind w:left="720"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proofErr w:type="spellStart"/>
      <w:r>
        <w:rPr>
          <w:rFonts w:ascii="Times New Roman" w:eastAsia="Times New Roman" w:hAnsi="Times New Roman" w:cs="Times New Roman"/>
          <w:sz w:val="24"/>
          <w:szCs w:val="24"/>
        </w:rPr>
        <w:t>ccess</w:t>
      </w:r>
      <w:proofErr w:type="spellEnd"/>
      <w:r>
        <w:rPr>
          <w:rFonts w:ascii="Times New Roman" w:eastAsia="Times New Roman" w:hAnsi="Times New Roman" w:cs="Times New Roman"/>
          <w:sz w:val="24"/>
          <w:szCs w:val="24"/>
        </w:rPr>
        <w:t xml:space="preserve"> to the internet hasn’t necessarily translated to empowerment. Many don’t know how to use the internet to find online useful information and services. The internet is still not perceived and understood as a space that can be used for learning and help to get skills, services and even jobs.</w:t>
      </w:r>
      <w:r>
        <w:rPr>
          <w:rFonts w:ascii="Times New Roman" w:eastAsia="Times New Roman" w:hAnsi="Times New Roman" w:cs="Times New Roman"/>
          <w:sz w:val="24"/>
          <w:szCs w:val="24"/>
          <w:vertAlign w:val="superscript"/>
        </w:rPr>
        <w:footnoteReference w:id="61"/>
      </w:r>
    </w:p>
    <w:p w14:paraId="0000004D" w14:textId="77777777" w:rsidR="000D57C8" w:rsidRDefault="000D57C8">
      <w:pPr>
        <w:rPr>
          <w:rFonts w:ascii="Times New Roman" w:eastAsia="Times New Roman" w:hAnsi="Times New Roman" w:cs="Times New Roman"/>
          <w:sz w:val="24"/>
          <w:szCs w:val="24"/>
        </w:rPr>
      </w:pPr>
    </w:p>
    <w:p w14:paraId="0000004E"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Tunisia, most internet use is focused on social media, particularly Facebook.</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Facebook has reached 73.8 percent of the “eligible” population–individuals above the age of 13.</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Since a large percentage of the population struggles with digital literacy, they are more susceptible to scams, misinformation, and incitement to violence. A high percentage of the population relying on a single platform/single form of media without proper digital literacy can be dangerous.</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Unfortunately, this danger became evident following President Saied’s claims of “a criminal plan to change the demographic composition [of Tunisia] by foreign powers,” which triggered a wave of racial abuse targeting the sub-Saharan migrant community.</w:t>
      </w:r>
      <w:r>
        <w:rPr>
          <w:rFonts w:ascii="Times New Roman" w:eastAsia="Times New Roman" w:hAnsi="Times New Roman" w:cs="Times New Roman"/>
          <w:sz w:val="24"/>
          <w:szCs w:val="24"/>
          <w:vertAlign w:val="superscript"/>
        </w:rPr>
        <w:footnoteReference w:id="65"/>
      </w:r>
    </w:p>
    <w:p w14:paraId="0000004F" w14:textId="77777777" w:rsidR="000D57C8" w:rsidRDefault="000D57C8">
      <w:pPr>
        <w:rPr>
          <w:rFonts w:ascii="Times New Roman" w:eastAsia="Times New Roman" w:hAnsi="Times New Roman" w:cs="Times New Roman"/>
          <w:b/>
          <w:sz w:val="24"/>
          <w:szCs w:val="24"/>
        </w:rPr>
      </w:pPr>
    </w:p>
    <w:p w14:paraId="00000050"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ICERD</w:t>
      </w:r>
    </w:p>
    <w:p w14:paraId="00000051" w14:textId="77777777" w:rsidR="000D57C8" w:rsidRDefault="000D57C8">
      <w:pPr>
        <w:rPr>
          <w:rFonts w:ascii="Times New Roman" w:eastAsia="Times New Roman" w:hAnsi="Times New Roman" w:cs="Times New Roman"/>
          <w:sz w:val="24"/>
          <w:szCs w:val="24"/>
          <w:u w:val="single"/>
        </w:rPr>
      </w:pPr>
    </w:p>
    <w:p w14:paraId="00000052" w14:textId="77777777" w:rsidR="000D57C8"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Policies Forcibly Relocating Migrants to Rural Areas with Inadequate Internet Access Violate Articles 2(1)(c) and 5.</w:t>
      </w:r>
    </w:p>
    <w:p w14:paraId="00000053" w14:textId="77777777" w:rsidR="000D57C8" w:rsidRDefault="000D57C8">
      <w:pPr>
        <w:rPr>
          <w:rFonts w:ascii="Times New Roman" w:eastAsia="Times New Roman" w:hAnsi="Times New Roman" w:cs="Times New Roman"/>
          <w:b/>
          <w:sz w:val="24"/>
          <w:szCs w:val="24"/>
        </w:rPr>
      </w:pPr>
    </w:p>
    <w:p w14:paraId="00000054"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Article 2(1)(c) requires states to amend policies that directly or indirectly perpetuate racial discrimination. General Recommendation 34, paragraph 51 calls on states to eliminate barriers that prevent participation in public and political life on the basis of race.</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Further, paragraph 50 requires states to remove all obstacles that prevent the enjoyment of economic, social, and cultural rights by people of African descent.</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highlight w:val="white"/>
        </w:rPr>
        <w:t xml:space="preserve"> These rights include the ability to “take part in cultural life” and to “enjoy the benefits of scientific progress and its applications.”</w:t>
      </w:r>
      <w:r>
        <w:rPr>
          <w:rFonts w:ascii="Times New Roman" w:eastAsia="Times New Roman" w:hAnsi="Times New Roman" w:cs="Times New Roman"/>
          <w:sz w:val="24"/>
          <w:szCs w:val="24"/>
          <w:highlight w:val="white"/>
          <w:vertAlign w:val="superscript"/>
        </w:rPr>
        <w:footnoteReference w:id="68"/>
      </w:r>
      <w:r>
        <w:rPr>
          <w:rFonts w:ascii="Times New Roman" w:eastAsia="Times New Roman" w:hAnsi="Times New Roman" w:cs="Times New Roman"/>
          <w:sz w:val="24"/>
          <w:szCs w:val="24"/>
          <w:highlight w:val="white"/>
        </w:rPr>
        <w:t xml:space="preserve"> Access to the internet is necessary for the enjoyment of both of these protected rights.</w:t>
      </w:r>
    </w:p>
    <w:p w14:paraId="00000055" w14:textId="77777777" w:rsidR="000D57C8" w:rsidRDefault="000D57C8">
      <w:pPr>
        <w:rPr>
          <w:rFonts w:ascii="Times New Roman" w:eastAsia="Times New Roman" w:hAnsi="Times New Roman" w:cs="Times New Roman"/>
          <w:sz w:val="24"/>
          <w:szCs w:val="24"/>
          <w:highlight w:val="white"/>
        </w:rPr>
      </w:pPr>
    </w:p>
    <w:p w14:paraId="00000056"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Article 5, reflecting foundational rules that exist across international human rights law’s principal instruments, further guarantees a range of civil, political, economic, social, and cultural </w:t>
      </w:r>
      <w:r>
        <w:rPr>
          <w:rFonts w:ascii="Times New Roman" w:eastAsia="Times New Roman" w:hAnsi="Times New Roman" w:cs="Times New Roman"/>
          <w:sz w:val="24"/>
          <w:szCs w:val="24"/>
          <w:highlight w:val="white"/>
        </w:rPr>
        <w:lastRenderedPageBreak/>
        <w:t>rights without discrimination. Specifically, Article 5(d)(vii) protects the right to freedom of expression, Article 5(d)(viii) guarantees the right to freedom of peaceful assembly and association, and Article 5(d)(ix) protects the right to freedom of thought, conscience, and religion. Article 5(e) guarantees economic, social, and cultural rights, including the right to work, education, and participation in cultural activities. It is also important to emphasize that, under Article 6 of the Convention, “States Parties shall assure to everyone within their jurisdiction effective protection and remedies . . . against any acts of racial discrimination which violate his human rights and fundamental freedoms contrary to this Convention . . .” It is thus the case that migrants, who are within Tunisia’s jurisdiction, benefit from the protections and guarantees of the Covenant. It should also be noted that, as emphasized in General Recommendation No. 30, States must “[e]</w:t>
      </w:r>
      <w:proofErr w:type="spellStart"/>
      <w:r>
        <w:rPr>
          <w:rFonts w:ascii="Times New Roman" w:eastAsia="Times New Roman" w:hAnsi="Times New Roman" w:cs="Times New Roman"/>
          <w:sz w:val="24"/>
          <w:szCs w:val="24"/>
          <w:highlight w:val="white"/>
        </w:rPr>
        <w:t>nsure</w:t>
      </w:r>
      <w:proofErr w:type="spellEnd"/>
      <w:r>
        <w:rPr>
          <w:rFonts w:ascii="Times New Roman" w:eastAsia="Times New Roman" w:hAnsi="Times New Roman" w:cs="Times New Roman"/>
          <w:sz w:val="24"/>
          <w:szCs w:val="24"/>
          <w:highlight w:val="white"/>
        </w:rPr>
        <w:t xml:space="preserve"> that immigration policies do not have the effect of discriminating against persons on the basis of race, </w:t>
      </w:r>
      <w:proofErr w:type="spellStart"/>
      <w:r>
        <w:rPr>
          <w:rFonts w:ascii="Times New Roman" w:eastAsia="Times New Roman" w:hAnsi="Times New Roman" w:cs="Times New Roman"/>
          <w:sz w:val="24"/>
          <w:szCs w:val="24"/>
          <w:highlight w:val="white"/>
        </w:rPr>
        <w:t>colour</w:t>
      </w:r>
      <w:proofErr w:type="spellEnd"/>
      <w:r>
        <w:rPr>
          <w:rFonts w:ascii="Times New Roman" w:eastAsia="Times New Roman" w:hAnsi="Times New Roman" w:cs="Times New Roman"/>
          <w:sz w:val="24"/>
          <w:szCs w:val="24"/>
          <w:highlight w:val="white"/>
        </w:rPr>
        <w:t>, descent, or national or ethnic origin.”</w:t>
      </w:r>
      <w:r>
        <w:rPr>
          <w:rFonts w:ascii="Times New Roman" w:eastAsia="Times New Roman" w:hAnsi="Times New Roman" w:cs="Times New Roman"/>
          <w:sz w:val="24"/>
          <w:szCs w:val="24"/>
          <w:highlight w:val="white"/>
          <w:vertAlign w:val="superscript"/>
        </w:rPr>
        <w:footnoteReference w:id="69"/>
      </w:r>
      <w:r>
        <w:rPr>
          <w:rFonts w:ascii="Times New Roman" w:eastAsia="Times New Roman" w:hAnsi="Times New Roman" w:cs="Times New Roman"/>
          <w:sz w:val="24"/>
          <w:szCs w:val="24"/>
          <w:highlight w:val="white"/>
        </w:rPr>
        <w:t xml:space="preserve">  </w:t>
      </w:r>
    </w:p>
    <w:p w14:paraId="00000057" w14:textId="77777777" w:rsidR="000D57C8" w:rsidRDefault="000D57C8">
      <w:pPr>
        <w:rPr>
          <w:rFonts w:ascii="Times New Roman" w:eastAsia="Times New Roman" w:hAnsi="Times New Roman" w:cs="Times New Roman"/>
          <w:sz w:val="24"/>
          <w:szCs w:val="24"/>
        </w:rPr>
      </w:pPr>
    </w:p>
    <w:p w14:paraId="00000058"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summer of 2023, in response to tensions in Sfax, Tunisian security forces adopted a policy of arbitrarily arresting sub-Saharan migrants and deporting them to remote border regions near Libya and Algeria.</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Inkyfada</w:t>
      </w:r>
      <w:proofErr w:type="spellEnd"/>
      <w:r>
        <w:rPr>
          <w:rFonts w:ascii="Times New Roman" w:eastAsia="Times New Roman" w:hAnsi="Times New Roman" w:cs="Times New Roman"/>
          <w:sz w:val="24"/>
          <w:szCs w:val="24"/>
        </w:rPr>
        <w:t xml:space="preserve"> reported that security forces carried out these expulsions systematically and often violently, with police and National Guard units targeting sub-Saharan migrants exclusively.</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rPr>
        <w:t xml:space="preserve"> The government’s policy of transporting migrants to remote desert areas not only disconnects them from digital infrastructure but also effectively removes them from legal protection and humanitarian assistance, constituting a severe violation of their right to life, dignity, and security under Article 5.</w:t>
      </w:r>
    </w:p>
    <w:p w14:paraId="00000059" w14:textId="77777777" w:rsidR="000D57C8" w:rsidRDefault="000D57C8">
      <w:pPr>
        <w:rPr>
          <w:rFonts w:ascii="Times New Roman" w:eastAsia="Times New Roman" w:hAnsi="Times New Roman" w:cs="Times New Roman"/>
          <w:sz w:val="24"/>
          <w:szCs w:val="24"/>
        </w:rPr>
      </w:pPr>
    </w:p>
    <w:p w14:paraId="0000005A"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2024, the Tunisian Ministry of Foreign Affairs stated that it had thwarted 751 sea crossings, “prevented or rescued at sea” 21,545 people, and prevented 21,462 people from crossing Tunisia’s land borders.</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In neighboring Al Amra, social media posts showed National Guard forces busing migrants out of the city.</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Other posts showed soldiers preparing to dismantle refugee camps set up in the olive groves adjacent to the city, as well as making a number of arrests.</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xml:space="preserve"> According to migrant testimonies, migrants are first detained within police or National Guard stations before being transferred directly to border areas.</w:t>
      </w:r>
      <w:r>
        <w:rPr>
          <w:rFonts w:ascii="Times New Roman" w:eastAsia="Times New Roman" w:hAnsi="Times New Roman" w:cs="Times New Roman"/>
          <w:sz w:val="24"/>
          <w:szCs w:val="24"/>
          <w:vertAlign w:val="superscript"/>
        </w:rPr>
        <w:footnoteReference w:id="75"/>
      </w:r>
    </w:p>
    <w:p w14:paraId="0000005B" w14:textId="77777777" w:rsidR="000D57C8" w:rsidRDefault="000D57C8">
      <w:pPr>
        <w:rPr>
          <w:rFonts w:ascii="Times New Roman" w:eastAsia="Times New Roman" w:hAnsi="Times New Roman" w:cs="Times New Roman"/>
          <w:sz w:val="24"/>
          <w:szCs w:val="24"/>
        </w:rPr>
      </w:pPr>
    </w:p>
    <w:p w14:paraId="0000005C"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these areas lack reliable internet infrastructure, the relocated migrants are left without internet access.</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The sub-Saharan migrants who are pushed to these hinterlands are not only </w:t>
      </w:r>
      <w:r>
        <w:rPr>
          <w:rFonts w:ascii="Times New Roman" w:eastAsia="Times New Roman" w:hAnsi="Times New Roman" w:cs="Times New Roman"/>
          <w:sz w:val="24"/>
          <w:szCs w:val="24"/>
        </w:rPr>
        <w:lastRenderedPageBreak/>
        <w:t>physically displaced from their communities, but also digitally disconnected as they lose access to vital services, information, and platforms for self-expression.</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This includes being cut off from job opportunities, legal aid, healthcare information, the ability to maintain social ties, access to information, participation in democratic discussions, and opportunities to organize politically. Further, migrant testimonies report National Guard forces seizing and destroying migrants’ phones to prevent them from calling for aid.</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Such disconnection entrenches their exclusion from economic, social, and cultural life in Tunisia, severely impairing their ability to enjoy protected rights.</w:t>
      </w:r>
    </w:p>
    <w:p w14:paraId="0000005D" w14:textId="77777777" w:rsidR="000D57C8" w:rsidRDefault="000D57C8">
      <w:pPr>
        <w:rPr>
          <w:rFonts w:ascii="Times New Roman" w:eastAsia="Times New Roman" w:hAnsi="Times New Roman" w:cs="Times New Roman"/>
          <w:sz w:val="24"/>
          <w:szCs w:val="24"/>
        </w:rPr>
      </w:pPr>
    </w:p>
    <w:p w14:paraId="0000005E"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These policies, while facially neutral, have a disproportionate and foreseeable impact on sub-Saharan migrants, and therefore constitute indirect racial discrimination under Article 2(1)(c). States are not only responsible for intentional discrimination but also for policies and practices that result in unequal outcomes for racial or ethnic groups. </w:t>
      </w:r>
    </w:p>
    <w:p w14:paraId="0000005F" w14:textId="77777777" w:rsidR="000D57C8" w:rsidRDefault="000D57C8">
      <w:pPr>
        <w:rPr>
          <w:rFonts w:ascii="Times New Roman" w:eastAsia="Times New Roman" w:hAnsi="Times New Roman" w:cs="Times New Roman"/>
          <w:sz w:val="24"/>
          <w:szCs w:val="24"/>
        </w:rPr>
      </w:pPr>
    </w:p>
    <w:p w14:paraId="00000060"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These policies and practices violate not only Article 2(1)(c), which requires Tunisia to amend policies that perpetuate discrimination, but also Article 5 by denying migrants the enjoyment of their fundamental rights, including freedom of expression, assembly, association, and access to economic and social rights on an equal basis with other groups.</w:t>
      </w:r>
    </w:p>
    <w:p w14:paraId="00000061" w14:textId="77777777" w:rsidR="000D57C8" w:rsidRDefault="000D57C8">
      <w:pPr>
        <w:rPr>
          <w:rFonts w:ascii="Times New Roman" w:eastAsia="Times New Roman" w:hAnsi="Times New Roman" w:cs="Times New Roman"/>
          <w:sz w:val="24"/>
          <w:szCs w:val="24"/>
          <w:highlight w:val="white"/>
        </w:rPr>
      </w:pPr>
    </w:p>
    <w:p w14:paraId="00000062"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the Tunisian government has failed to review or amend these practices and has not proposed any measures to mitigate their discriminatory impact or to ensure migrants’ equal enjoyment of their fundamental rights.</w:t>
      </w:r>
    </w:p>
    <w:p w14:paraId="00000063" w14:textId="77777777" w:rsidR="000D57C8" w:rsidRDefault="000D57C8">
      <w:pPr>
        <w:rPr>
          <w:rFonts w:ascii="Times New Roman" w:eastAsia="Times New Roman" w:hAnsi="Times New Roman" w:cs="Times New Roman"/>
          <w:sz w:val="24"/>
          <w:szCs w:val="24"/>
        </w:rPr>
      </w:pPr>
    </w:p>
    <w:p w14:paraId="00000064" w14:textId="77777777" w:rsidR="000D57C8"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Policy to Provide Digital Resources to Rural sub-Saharan African Migrants Violates Articles 2(1)(c) and 5.</w:t>
      </w:r>
    </w:p>
    <w:p w14:paraId="00000065" w14:textId="77777777" w:rsidR="000D57C8" w:rsidRDefault="000D57C8">
      <w:pPr>
        <w:rPr>
          <w:rFonts w:ascii="Times New Roman" w:eastAsia="Times New Roman" w:hAnsi="Times New Roman" w:cs="Times New Roman"/>
          <w:b/>
          <w:sz w:val="24"/>
          <w:szCs w:val="24"/>
        </w:rPr>
      </w:pPr>
    </w:p>
    <w:p w14:paraId="00000066"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Article 2(1)(c) requires states to amend policies that have the effect of creating racial discrimination.</w:t>
      </w:r>
      <w:r>
        <w:rPr>
          <w:rFonts w:ascii="Times New Roman" w:eastAsia="Times New Roman" w:hAnsi="Times New Roman" w:cs="Times New Roman"/>
          <w:sz w:val="24"/>
          <w:szCs w:val="24"/>
          <w:highlight w:val="white"/>
        </w:rPr>
        <w:t xml:space="preserve"> General Recommendation No. 34, paragraph 51 also directs states to take proactive steps to eradicate poverty and combat the marginalization of people of African descent.</w:t>
      </w:r>
      <w:r>
        <w:rPr>
          <w:rFonts w:ascii="Times New Roman" w:eastAsia="Times New Roman" w:hAnsi="Times New Roman" w:cs="Times New Roman"/>
          <w:sz w:val="24"/>
          <w:szCs w:val="24"/>
          <w:highlight w:val="white"/>
          <w:vertAlign w:val="superscript"/>
        </w:rPr>
        <w:footnoteReference w:id="79"/>
      </w:r>
      <w:r>
        <w:rPr>
          <w:rFonts w:ascii="Times New Roman" w:eastAsia="Times New Roman" w:hAnsi="Times New Roman" w:cs="Times New Roman"/>
          <w:sz w:val="24"/>
          <w:szCs w:val="24"/>
          <w:highlight w:val="white"/>
        </w:rPr>
        <w:t xml:space="preserve"> Accordingly, beyond relocation policies, Tunisia’s failure to invest in digital infrastructure in rural areas has the effect of creating persistent inequality for sub-Saharan migrants.</w:t>
      </w:r>
    </w:p>
    <w:p w14:paraId="00000067" w14:textId="77777777" w:rsidR="000D57C8" w:rsidRDefault="000D57C8">
      <w:pPr>
        <w:rPr>
          <w:rFonts w:ascii="Times New Roman" w:eastAsia="Times New Roman" w:hAnsi="Times New Roman" w:cs="Times New Roman"/>
          <w:sz w:val="24"/>
          <w:szCs w:val="24"/>
          <w:highlight w:val="white"/>
        </w:rPr>
      </w:pPr>
    </w:p>
    <w:p w14:paraId="00000068"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 5(e) further requires states to guarantee economic, social, and cultural rights, including the right to work, to education, and to participate in cultural life, without discrimination. Internet access is integral to these rights in the modern era, as it facilitates job recruitment, educational resources, and cultural engagement.</w:t>
      </w:r>
    </w:p>
    <w:p w14:paraId="00000069" w14:textId="77777777" w:rsidR="000D57C8" w:rsidRDefault="000D57C8">
      <w:pPr>
        <w:rPr>
          <w:rFonts w:ascii="Times New Roman" w:eastAsia="Times New Roman" w:hAnsi="Times New Roman" w:cs="Times New Roman"/>
          <w:sz w:val="24"/>
          <w:szCs w:val="24"/>
          <w:highlight w:val="white"/>
        </w:rPr>
      </w:pPr>
    </w:p>
    <w:p w14:paraId="0000006A"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Tunisian security forces have systematically displaced migrants from urban areas to sparsely populated agricultural zones with virtually no public services.</w:t>
      </w:r>
      <w:r>
        <w:rPr>
          <w:rFonts w:ascii="Times New Roman" w:eastAsia="Times New Roman" w:hAnsi="Times New Roman" w:cs="Times New Roman"/>
          <w:sz w:val="24"/>
          <w:szCs w:val="24"/>
          <w:highlight w:val="white"/>
          <w:vertAlign w:val="superscript"/>
        </w:rPr>
        <w:footnoteReference w:id="80"/>
      </w:r>
      <w:r>
        <w:rPr>
          <w:rFonts w:ascii="Times New Roman" w:eastAsia="Times New Roman" w:hAnsi="Times New Roman" w:cs="Times New Roman"/>
          <w:sz w:val="24"/>
          <w:szCs w:val="24"/>
          <w:highlight w:val="white"/>
        </w:rPr>
        <w:t xml:space="preserve"> When these migrants attempt to return to urban areas, they are subsequently transported to “known smuggling hubs such as Al Amra.”</w:t>
      </w:r>
      <w:r>
        <w:rPr>
          <w:rFonts w:ascii="Times New Roman" w:eastAsia="Times New Roman" w:hAnsi="Times New Roman" w:cs="Times New Roman"/>
          <w:sz w:val="24"/>
          <w:szCs w:val="24"/>
          <w:highlight w:val="white"/>
          <w:vertAlign w:val="superscript"/>
        </w:rPr>
        <w:footnoteReference w:id="81"/>
      </w:r>
      <w:r>
        <w:rPr>
          <w:rFonts w:ascii="Times New Roman" w:eastAsia="Times New Roman" w:hAnsi="Times New Roman" w:cs="Times New Roman"/>
          <w:sz w:val="24"/>
          <w:szCs w:val="24"/>
          <w:highlight w:val="white"/>
        </w:rPr>
        <w:t xml:space="preserve"> In these agricultural outposts, access to reliable internet is insufficient, and even in areas like Al Amra, consistent connectivity above the 2G level remains unavailable.</w:t>
      </w:r>
      <w:r>
        <w:rPr>
          <w:rFonts w:ascii="Times New Roman" w:eastAsia="Times New Roman" w:hAnsi="Times New Roman" w:cs="Times New Roman"/>
          <w:sz w:val="24"/>
          <w:szCs w:val="24"/>
          <w:highlight w:val="white"/>
          <w:vertAlign w:val="superscript"/>
        </w:rPr>
        <w:footnoteReference w:id="82"/>
      </w:r>
    </w:p>
    <w:p w14:paraId="0000006B" w14:textId="77777777" w:rsidR="000D57C8" w:rsidRDefault="000D57C8">
      <w:pPr>
        <w:rPr>
          <w:rFonts w:ascii="Times New Roman" w:eastAsia="Times New Roman" w:hAnsi="Times New Roman" w:cs="Times New Roman"/>
          <w:sz w:val="24"/>
          <w:szCs w:val="24"/>
          <w:highlight w:val="white"/>
        </w:rPr>
      </w:pPr>
    </w:p>
    <w:p w14:paraId="0000006C"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movement of migrants to areas without proper internet access greatly decreases their access to employment opportunities and vital social and support networks. For many Tunisians, platforms like Facebook serve as primary tools for job recruitment, communication, and civic participation.</w:t>
      </w:r>
      <w:r>
        <w:rPr>
          <w:rFonts w:ascii="Times New Roman" w:eastAsia="Times New Roman" w:hAnsi="Times New Roman" w:cs="Times New Roman"/>
          <w:sz w:val="24"/>
          <w:szCs w:val="24"/>
          <w:highlight w:val="white"/>
          <w:vertAlign w:val="superscript"/>
        </w:rPr>
        <w:footnoteReference w:id="83"/>
      </w:r>
      <w:r>
        <w:rPr>
          <w:rFonts w:ascii="Times New Roman" w:eastAsia="Times New Roman" w:hAnsi="Times New Roman" w:cs="Times New Roman"/>
          <w:sz w:val="24"/>
          <w:szCs w:val="24"/>
          <w:highlight w:val="white"/>
        </w:rPr>
        <w:t xml:space="preserve"> Migrants in digitally isolated regions are excluded from these opportunities, increasing the likelihood of poverty, social exclusion, and long-term marginalization. </w:t>
      </w:r>
    </w:p>
    <w:p w14:paraId="0000006D" w14:textId="77777777" w:rsidR="000D57C8" w:rsidRDefault="000D57C8">
      <w:pPr>
        <w:rPr>
          <w:rFonts w:ascii="Times New Roman" w:eastAsia="Times New Roman" w:hAnsi="Times New Roman" w:cs="Times New Roman"/>
          <w:sz w:val="24"/>
          <w:szCs w:val="24"/>
          <w:highlight w:val="white"/>
        </w:rPr>
      </w:pPr>
    </w:p>
    <w:p w14:paraId="0000006E"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 Tunisia’s digital transformation strategy explicitly prioritizes digital inclusion and bridging the digital divide through expanded access to high-speed connectivity and ICT skills development.</w:t>
      </w:r>
      <w:r>
        <w:rPr>
          <w:rFonts w:ascii="Times New Roman" w:eastAsia="Times New Roman" w:hAnsi="Times New Roman" w:cs="Times New Roman"/>
          <w:sz w:val="24"/>
          <w:szCs w:val="24"/>
          <w:highlight w:val="white"/>
          <w:vertAlign w:val="superscript"/>
        </w:rPr>
        <w:footnoteReference w:id="84"/>
      </w:r>
      <w:r>
        <w:rPr>
          <w:rFonts w:ascii="Times New Roman" w:eastAsia="Times New Roman" w:hAnsi="Times New Roman" w:cs="Times New Roman"/>
          <w:sz w:val="24"/>
          <w:szCs w:val="24"/>
          <w:highlight w:val="white"/>
        </w:rPr>
        <w:t xml:space="preserve"> However, implementation has been slow, and significant technological challenges persist, including outdated hardware, lack of automated systems, delays in infrastructure projects such as </w:t>
      </w:r>
      <w:proofErr w:type="spellStart"/>
      <w:r>
        <w:rPr>
          <w:rFonts w:ascii="Times New Roman" w:eastAsia="Times New Roman" w:hAnsi="Times New Roman" w:cs="Times New Roman"/>
          <w:sz w:val="24"/>
          <w:szCs w:val="24"/>
          <w:highlight w:val="white"/>
        </w:rPr>
        <w:t>GCloud</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XRoad</w:t>
      </w:r>
      <w:proofErr w:type="spellEnd"/>
      <w:r>
        <w:rPr>
          <w:rFonts w:ascii="Times New Roman" w:eastAsia="Times New Roman" w:hAnsi="Times New Roman" w:cs="Times New Roman"/>
          <w:sz w:val="24"/>
          <w:szCs w:val="24"/>
          <w:highlight w:val="white"/>
        </w:rPr>
        <w:t>, and absence of a national reference database.</w:t>
      </w:r>
      <w:r>
        <w:rPr>
          <w:rFonts w:ascii="Times New Roman" w:eastAsia="Times New Roman" w:hAnsi="Times New Roman" w:cs="Times New Roman"/>
          <w:sz w:val="24"/>
          <w:szCs w:val="24"/>
          <w:highlight w:val="white"/>
          <w:vertAlign w:val="superscript"/>
        </w:rPr>
        <w:footnoteReference w:id="85"/>
      </w:r>
      <w:r>
        <w:rPr>
          <w:rFonts w:ascii="Times New Roman" w:eastAsia="Times New Roman" w:hAnsi="Times New Roman" w:cs="Times New Roman"/>
          <w:sz w:val="24"/>
          <w:szCs w:val="24"/>
          <w:highlight w:val="white"/>
        </w:rPr>
        <w:t xml:space="preserve"> These systemic failures disproportionately impact marginalized groups, including sub-Saharan migrants, by perpetuating unequal access to digital resources necessary for participation in public life and economic advancement.</w:t>
      </w:r>
    </w:p>
    <w:p w14:paraId="0000006F" w14:textId="77777777" w:rsidR="000D57C8" w:rsidRDefault="000D57C8">
      <w:pPr>
        <w:rPr>
          <w:rFonts w:ascii="Times New Roman" w:eastAsia="Times New Roman" w:hAnsi="Times New Roman" w:cs="Times New Roman"/>
          <w:sz w:val="24"/>
          <w:szCs w:val="24"/>
          <w:highlight w:val="white"/>
        </w:rPr>
      </w:pPr>
    </w:p>
    <w:p w14:paraId="00000070" w14:textId="77777777" w:rsidR="000D57C8" w:rsidRDefault="00000000">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Yet, the Tunisian government has failed to review or amend policies that perpetuate this exclusion or invest in infrastructure that would alleviate it, nor has it taken steps to guarantee migrants’ equal enjoyment of civil, political, economic, social, and cultural rights without discrimination.</w:t>
      </w:r>
    </w:p>
    <w:p w14:paraId="00000071" w14:textId="77777777" w:rsidR="000D57C8" w:rsidRDefault="000D57C8">
      <w:pPr>
        <w:ind w:left="720"/>
        <w:rPr>
          <w:rFonts w:ascii="Times New Roman" w:eastAsia="Times New Roman" w:hAnsi="Times New Roman" w:cs="Times New Roman"/>
          <w:b/>
          <w:sz w:val="24"/>
          <w:szCs w:val="24"/>
        </w:rPr>
      </w:pPr>
    </w:p>
    <w:p w14:paraId="00000072" w14:textId="77A0399A" w:rsidR="000D57C8"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Lack of Policy to Address Digital Literacy Gaps Among Rural </w:t>
      </w:r>
      <w:r w:rsidR="00795C6B">
        <w:rPr>
          <w:rFonts w:ascii="Times New Roman" w:hAnsi="Times New Roman" w:cs="Times New Roman" w:hint="eastAsia"/>
          <w:b/>
          <w:sz w:val="24"/>
          <w:szCs w:val="24"/>
        </w:rPr>
        <w:t>S</w:t>
      </w:r>
      <w:r>
        <w:rPr>
          <w:rFonts w:ascii="Times New Roman" w:eastAsia="Times New Roman" w:hAnsi="Times New Roman" w:cs="Times New Roman"/>
          <w:b/>
          <w:sz w:val="24"/>
          <w:szCs w:val="24"/>
        </w:rPr>
        <w:t>ub-Saharan African Migrants Violates Articles 2(1)(c) and 5.</w:t>
      </w:r>
    </w:p>
    <w:p w14:paraId="00000073" w14:textId="77777777" w:rsidR="000D57C8" w:rsidRDefault="000D57C8">
      <w:pPr>
        <w:rPr>
          <w:rFonts w:ascii="Times New Roman" w:eastAsia="Times New Roman" w:hAnsi="Times New Roman" w:cs="Times New Roman"/>
          <w:b/>
          <w:sz w:val="24"/>
          <w:szCs w:val="24"/>
        </w:rPr>
      </w:pPr>
    </w:p>
    <w:p w14:paraId="00000074"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infrastructure barriers, digital literacy gaps further entrench inequality by limiting sub-Saharan migrants’ ability to access online resources, engage with essential services, pursue educational or employment opportunities, and assert their rights through digital platforms. General Recommendation No. 34, paragraph 51, urges states to combat marginalization through </w:t>
      </w:r>
      <w:r>
        <w:rPr>
          <w:rFonts w:ascii="Times New Roman" w:eastAsia="Times New Roman" w:hAnsi="Times New Roman" w:cs="Times New Roman"/>
          <w:sz w:val="24"/>
          <w:szCs w:val="24"/>
        </w:rPr>
        <w:lastRenderedPageBreak/>
        <w:t>inclusive education</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vertAlign w:val="superscript"/>
        </w:rPr>
        <w:footnoteReference w:id="86"/>
      </w:r>
      <w:r>
        <w:rPr>
          <w:rFonts w:ascii="Times New Roman" w:eastAsia="Times New Roman" w:hAnsi="Times New Roman" w:cs="Times New Roman"/>
          <w:sz w:val="24"/>
          <w:szCs w:val="24"/>
        </w:rPr>
        <w:t xml:space="preserve"> Further, paragraph 35 specifically requires governments to take all necessary steps to secure equal access to justice for people of African descent.</w:t>
      </w:r>
      <w:r>
        <w:rPr>
          <w:rFonts w:ascii="Times New Roman" w:eastAsia="Times New Roman" w:hAnsi="Times New Roman" w:cs="Times New Roman"/>
          <w:sz w:val="24"/>
          <w:szCs w:val="24"/>
          <w:vertAlign w:val="superscript"/>
        </w:rPr>
        <w:footnoteReference w:id="87"/>
      </w:r>
    </w:p>
    <w:p w14:paraId="00000075" w14:textId="77777777" w:rsidR="000D57C8" w:rsidRDefault="000D57C8">
      <w:pPr>
        <w:rPr>
          <w:rFonts w:ascii="Times New Roman" w:eastAsia="Times New Roman" w:hAnsi="Times New Roman" w:cs="Times New Roman"/>
          <w:sz w:val="24"/>
          <w:szCs w:val="24"/>
        </w:rPr>
      </w:pPr>
    </w:p>
    <w:p w14:paraId="00000076"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Article 5(e) guarantees the right to education and training, which includes digital literacy education necessary to participate in contemporary society. Moreover, Article 5(d)(vii), (viii), and (ix) protect freedoms of expression, peaceful assembly, and association, all of which are undermined when migrants lack the digital skills needed to access online platforms for communication, organizing, and advocacy. Without digital literacy, sub-Saharan migrants cannot meaningfully exercise their Article 5 rights in the modern digital sphere.</w:t>
      </w:r>
    </w:p>
    <w:p w14:paraId="00000077" w14:textId="77777777" w:rsidR="000D57C8" w:rsidRDefault="000D57C8">
      <w:pPr>
        <w:rPr>
          <w:rFonts w:ascii="Times New Roman" w:eastAsia="Times New Roman" w:hAnsi="Times New Roman" w:cs="Times New Roman"/>
          <w:sz w:val="24"/>
          <w:szCs w:val="24"/>
        </w:rPr>
      </w:pPr>
    </w:p>
    <w:p w14:paraId="00000078" w14:textId="77777777" w:rsidR="000D57C8" w:rsidRDefault="00000000">
      <w:pP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Tunisia has not provided digital literacy programs that would enable sub-Saharan migrants and marginalized rural communities to access and produce counter-speech, participate in inter-community dialogues, or benefit from educational materials promoting tolerance. The lack of digital literacy education results in sub-Saharan migrants often being unable to access online services, legal information, or digital platforms that could assist in reporting discrimination or asserting their rights.</w:t>
      </w:r>
      <w:r>
        <w:rPr>
          <w:rFonts w:ascii="Times New Roman" w:eastAsia="Times New Roman" w:hAnsi="Times New Roman" w:cs="Times New Roman"/>
          <w:sz w:val="24"/>
          <w:szCs w:val="24"/>
          <w:vertAlign w:val="superscript"/>
        </w:rPr>
        <w:footnoteReference w:id="88"/>
      </w:r>
      <w:r>
        <w:rPr>
          <w:rFonts w:ascii="Times New Roman" w:eastAsia="Times New Roman" w:hAnsi="Times New Roman" w:cs="Times New Roman"/>
          <w:sz w:val="24"/>
          <w:szCs w:val="24"/>
        </w:rPr>
        <w:t xml:space="preserve"> This lack of knowledge not only deepens economic and social exclusion, but also prevents them from navigating legal systems or accessing redress mechanisms. Moreover, the inability to engage in online communities further isolates migrants from broader Tunisian society, including inter-community networks, civil society organizations providing assistance, and other migrant support groups.</w:t>
      </w:r>
    </w:p>
    <w:p w14:paraId="00000079" w14:textId="77777777" w:rsidR="000D57C8" w:rsidRDefault="000D57C8">
      <w:pPr>
        <w:rPr>
          <w:rFonts w:ascii="Times New Roman" w:eastAsia="Times New Roman" w:hAnsi="Times New Roman" w:cs="Times New Roman"/>
          <w:sz w:val="24"/>
          <w:szCs w:val="24"/>
          <w:highlight w:val="yellow"/>
        </w:rPr>
      </w:pPr>
    </w:p>
    <w:p w14:paraId="0000007A"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SMEX has reported low rates of educational participation in rural Tunisia, including a failure to adequately teach digital literacy.</w:t>
      </w:r>
      <w:r>
        <w:rPr>
          <w:rFonts w:ascii="Times New Roman" w:eastAsia="Times New Roman" w:hAnsi="Times New Roman" w:cs="Times New Roman"/>
          <w:sz w:val="24"/>
          <w:szCs w:val="24"/>
          <w:vertAlign w:val="superscript"/>
        </w:rPr>
        <w:footnoteReference w:id="89"/>
      </w:r>
      <w:r>
        <w:rPr>
          <w:rFonts w:ascii="Times New Roman" w:eastAsia="Times New Roman" w:hAnsi="Times New Roman" w:cs="Times New Roman"/>
          <w:sz w:val="24"/>
          <w:szCs w:val="24"/>
        </w:rPr>
        <w:t xml:space="preserve"> As stated above, this is compounded by the fact that many of these areas do not have proper internet access. This combination of limited educational opportunities and lack of connectivity prevents migrants from accessing diverse information sources, developing critical thinking skills, and countering harmful narratives. As a result, sub-Saharan migrants are left vulnerable to disinformation campaigns and incitement to racial hatred. This was tragically seen in President Saied’s comments, which framed sub-Saharan migrants as a demographic threat and led directly to violence against these communities.</w:t>
      </w:r>
      <w:r>
        <w:rPr>
          <w:rFonts w:ascii="Times New Roman" w:eastAsia="Times New Roman" w:hAnsi="Times New Roman" w:cs="Times New Roman"/>
          <w:sz w:val="24"/>
          <w:szCs w:val="24"/>
          <w:vertAlign w:val="superscript"/>
        </w:rPr>
        <w:footnoteReference w:id="90"/>
      </w:r>
    </w:p>
    <w:p w14:paraId="0000007B" w14:textId="77777777" w:rsidR="000D57C8" w:rsidRDefault="000D57C8">
      <w:pPr>
        <w:rPr>
          <w:rFonts w:ascii="Times New Roman" w:eastAsia="Times New Roman" w:hAnsi="Times New Roman" w:cs="Times New Roman"/>
          <w:sz w:val="24"/>
          <w:szCs w:val="24"/>
        </w:rPr>
      </w:pPr>
    </w:p>
    <w:p w14:paraId="0000007C"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programs to improve digital literacy and expand access to technology have been recommended to ensure marginalized groups can exercise their rights to information and participation in the digital age, but such programs have not yet been implemented.</w:t>
      </w:r>
      <w:r>
        <w:rPr>
          <w:rFonts w:ascii="Times New Roman" w:eastAsia="Times New Roman" w:hAnsi="Times New Roman" w:cs="Times New Roman"/>
          <w:sz w:val="24"/>
          <w:szCs w:val="24"/>
          <w:vertAlign w:val="superscript"/>
        </w:rPr>
        <w:footnoteReference w:id="91"/>
      </w:r>
      <w:r>
        <w:rPr>
          <w:rFonts w:ascii="Times New Roman" w:eastAsia="Times New Roman" w:hAnsi="Times New Roman" w:cs="Times New Roman"/>
          <w:sz w:val="24"/>
          <w:szCs w:val="24"/>
        </w:rPr>
        <w:t xml:space="preserve"> Public </w:t>
      </w:r>
      <w:r>
        <w:rPr>
          <w:rFonts w:ascii="Times New Roman" w:eastAsia="Times New Roman" w:hAnsi="Times New Roman" w:cs="Times New Roman"/>
          <w:sz w:val="24"/>
          <w:szCs w:val="24"/>
        </w:rPr>
        <w:lastRenderedPageBreak/>
        <w:t>bodies also face human resources challenges, including lack of technical expertise, insufficient training budgets, and resource constraints, which impede efforts to improve digital literacy among underserved communities.</w:t>
      </w:r>
      <w:r>
        <w:rPr>
          <w:rFonts w:ascii="Times New Roman" w:eastAsia="Times New Roman" w:hAnsi="Times New Roman" w:cs="Times New Roman"/>
          <w:sz w:val="24"/>
          <w:szCs w:val="24"/>
          <w:vertAlign w:val="superscript"/>
        </w:rPr>
        <w:footnoteReference w:id="92"/>
      </w:r>
      <w:r>
        <w:rPr>
          <w:rFonts w:ascii="Times New Roman" w:eastAsia="Times New Roman" w:hAnsi="Times New Roman" w:cs="Times New Roman"/>
          <w:sz w:val="24"/>
          <w:szCs w:val="24"/>
        </w:rPr>
        <w:t xml:space="preserve"> </w:t>
      </w:r>
    </w:p>
    <w:p w14:paraId="0000007D" w14:textId="77777777" w:rsidR="000D57C8" w:rsidRDefault="000D57C8">
      <w:pPr>
        <w:rPr>
          <w:rFonts w:ascii="Times New Roman" w:eastAsia="Times New Roman" w:hAnsi="Times New Roman" w:cs="Times New Roman"/>
          <w:sz w:val="24"/>
          <w:szCs w:val="24"/>
          <w:highlight w:val="yellow"/>
        </w:rPr>
      </w:pPr>
    </w:p>
    <w:p w14:paraId="0000007E"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These gaps in education and digital literacy perpetuate structural inequalities and discriminatory outcomes that Tunisia is obligated to address under Article 2(1)(c). Tunisia has not implemented any policies or programs aimed at closing these digital literacy gaps, nor has it acknowledged this issue in its state report. In doing so, it fails to fulfill its obligation to amend the discriminatory effects of inaction under Article 2(1)(c).</w:t>
      </w:r>
    </w:p>
    <w:p w14:paraId="0000007F" w14:textId="77777777" w:rsidR="000D57C8" w:rsidRDefault="000D57C8">
      <w:pPr>
        <w:rPr>
          <w:rFonts w:ascii="Times New Roman" w:eastAsia="Times New Roman" w:hAnsi="Times New Roman" w:cs="Times New Roman"/>
          <w:sz w:val="24"/>
          <w:szCs w:val="24"/>
        </w:rPr>
      </w:pPr>
    </w:p>
    <w:p w14:paraId="00000080" w14:textId="77777777" w:rsidR="000D57C8"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by failing to guarantee the rights enumerated in Article 5, including the rights to education, freedom of expression, assembly, and association, Tunisia is violating its obligations to ensure equal enjoyment of rights without discrimination. Tunisia has also failed to address these shortcomings in its response to paragraph 14 of the LOIPR, which specifically concerns measures taken to guarantee these rights under Article 5. In doing so, it fails to fulfill its obligation under Article 5 to ensure the equal enjoyment of civil, political, economic, social, and cultural rights without discrimination.</w:t>
      </w:r>
    </w:p>
    <w:p w14:paraId="00000081" w14:textId="77777777" w:rsidR="000D57C8" w:rsidRDefault="000D57C8">
      <w:pPr>
        <w:rPr>
          <w:rFonts w:ascii="Times New Roman" w:eastAsia="Times New Roman" w:hAnsi="Times New Roman" w:cs="Times New Roman"/>
          <w:b/>
          <w:sz w:val="24"/>
          <w:szCs w:val="24"/>
        </w:rPr>
      </w:pPr>
    </w:p>
    <w:p w14:paraId="00000082"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Questions for the ICERD Committee to Ask to Tunisia</w:t>
      </w:r>
    </w:p>
    <w:p w14:paraId="00000083" w14:textId="77777777" w:rsidR="000D57C8" w:rsidRDefault="000D57C8">
      <w:pPr>
        <w:rPr>
          <w:rFonts w:ascii="Times New Roman" w:eastAsia="Times New Roman" w:hAnsi="Times New Roman" w:cs="Times New Roman"/>
          <w:b/>
          <w:sz w:val="24"/>
          <w:szCs w:val="24"/>
          <w:highlight w:val="yellow"/>
        </w:rPr>
      </w:pPr>
    </w:p>
    <w:p w14:paraId="00000084" w14:textId="58CEB55E" w:rsidR="000D57C8" w:rsidRDefault="00000000">
      <w:pPr>
        <w:numPr>
          <w:ilvl w:val="0"/>
          <w:numId w:val="8"/>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Relocation Policy</w:t>
      </w:r>
    </w:p>
    <w:p w14:paraId="00000085" w14:textId="77777777" w:rsidR="000D57C8"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and when will Tunisia assess and reform its internal relocation policies to ensure they do not result in indirect racial discrimination against sub-Saharan migrants?</w:t>
      </w:r>
    </w:p>
    <w:p w14:paraId="00000086" w14:textId="77777777" w:rsidR="000D57C8" w:rsidRDefault="000D57C8">
      <w:pPr>
        <w:rPr>
          <w:rFonts w:ascii="Times New Roman" w:eastAsia="Times New Roman" w:hAnsi="Times New Roman" w:cs="Times New Roman"/>
          <w:sz w:val="24"/>
          <w:szCs w:val="24"/>
        </w:rPr>
      </w:pPr>
    </w:p>
    <w:p w14:paraId="00000087" w14:textId="77777777" w:rsidR="000D57C8" w:rsidRDefault="00000000">
      <w:pPr>
        <w:numPr>
          <w:ilvl w:val="0"/>
          <w:numId w:val="8"/>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Internet Access</w:t>
      </w:r>
    </w:p>
    <w:p w14:paraId="00000088" w14:textId="77777777" w:rsidR="000D57C8" w:rsidRDefault="0000000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and when will the government of Tunisia conduct a survey on the status of internet access and digital literacy education in rural areas?</w:t>
      </w:r>
    </w:p>
    <w:p w14:paraId="00000089" w14:textId="77777777" w:rsidR="000D57C8" w:rsidRDefault="0000000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and when will the government of Tunisia ensure equal access to internet infrastructure and digital literacy education for sub-Saharan migrants relocated to rural areas?</w:t>
      </w:r>
    </w:p>
    <w:p w14:paraId="0000008A" w14:textId="77777777" w:rsidR="000D57C8" w:rsidRDefault="0000000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specific steps is Tunisia taking to overcome technical and human resource challenges delaying implementation of its digital transformation strategy, particularly as these delays impact marginalized communities’ access to digital rights?</w:t>
      </w:r>
      <w:r>
        <w:rPr>
          <w:rFonts w:ascii="Times New Roman" w:eastAsia="Times New Roman" w:hAnsi="Times New Roman" w:cs="Times New Roman"/>
          <w:sz w:val="24"/>
          <w:szCs w:val="24"/>
          <w:vertAlign w:val="superscript"/>
        </w:rPr>
        <w:footnoteReference w:id="93"/>
      </w:r>
    </w:p>
    <w:p w14:paraId="0000008B" w14:textId="77777777" w:rsidR="000D57C8" w:rsidRDefault="000D57C8">
      <w:pPr>
        <w:rPr>
          <w:rFonts w:ascii="Times New Roman" w:eastAsia="Times New Roman" w:hAnsi="Times New Roman" w:cs="Times New Roman"/>
          <w:sz w:val="24"/>
          <w:szCs w:val="24"/>
        </w:rPr>
      </w:pPr>
    </w:p>
    <w:p w14:paraId="0000008C" w14:textId="0D10AAB2" w:rsidR="000D57C8" w:rsidRDefault="00000000">
      <w:pPr>
        <w:numPr>
          <w:ilvl w:val="0"/>
          <w:numId w:val="8"/>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Literacy</w:t>
      </w:r>
    </w:p>
    <w:p w14:paraId="0000008D" w14:textId="77777777" w:rsidR="000D57C8" w:rsidRDefault="00000000">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 and when will Tunisia integrate digital literacy education into school curricula, particularly in rural areas?</w:t>
      </w:r>
    </w:p>
    <w:p w14:paraId="0000008E" w14:textId="77777777" w:rsidR="000D57C8" w:rsidRDefault="000D57C8">
      <w:pPr>
        <w:rPr>
          <w:rFonts w:ascii="Times New Roman" w:eastAsia="Times New Roman" w:hAnsi="Times New Roman" w:cs="Times New Roman"/>
          <w:b/>
          <w:sz w:val="24"/>
          <w:szCs w:val="24"/>
          <w:highlight w:val="yellow"/>
        </w:rPr>
      </w:pPr>
    </w:p>
    <w:p w14:paraId="0000008F" w14:textId="77777777" w:rsidR="000D57C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Recommendations for the ICERD Committee to Make to Tunisia</w:t>
      </w:r>
    </w:p>
    <w:p w14:paraId="00000090" w14:textId="77777777" w:rsidR="000D57C8" w:rsidRDefault="000D57C8">
      <w:pPr>
        <w:rPr>
          <w:rFonts w:ascii="Times New Roman" w:eastAsia="Times New Roman" w:hAnsi="Times New Roman" w:cs="Times New Roman"/>
          <w:b/>
          <w:sz w:val="24"/>
          <w:szCs w:val="24"/>
        </w:rPr>
      </w:pPr>
    </w:p>
    <w:p w14:paraId="00000091" w14:textId="77777777" w:rsidR="000D57C8" w:rsidRDefault="00000000">
      <w:pPr>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Relocation Policy</w:t>
      </w:r>
    </w:p>
    <w:p w14:paraId="00000092" w14:textId="77777777" w:rsidR="000D57C8" w:rsidRDefault="00000000">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Tunisian government should immediately halt and review policies that forcibly relocate migrants to rural or remote areas with limited or no internet connectivity. </w:t>
      </w:r>
    </w:p>
    <w:p w14:paraId="00000093" w14:textId="77777777" w:rsidR="000D57C8" w:rsidRDefault="00000000">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ensure that any relocation measures fully respect migrants’ rights to essential services, including reliable internet, by establishing clear guidelines that require all relocation sites to meet minimum digital infrastructure standards before relocation.</w:t>
      </w:r>
    </w:p>
    <w:p w14:paraId="00000094" w14:textId="77777777" w:rsidR="000D57C8" w:rsidRDefault="00000000">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Tunisia should implement a monitoring system involving civil society and migrant representatives to ensure compliance with these standards and provide remedies when access is denied.</w:t>
      </w:r>
    </w:p>
    <w:p w14:paraId="00000095" w14:textId="77777777" w:rsidR="000D57C8" w:rsidRDefault="000D57C8">
      <w:pPr>
        <w:rPr>
          <w:rFonts w:ascii="Times New Roman" w:eastAsia="Times New Roman" w:hAnsi="Times New Roman" w:cs="Times New Roman"/>
          <w:b/>
          <w:sz w:val="24"/>
          <w:szCs w:val="24"/>
          <w:highlight w:val="yellow"/>
        </w:rPr>
      </w:pPr>
    </w:p>
    <w:p w14:paraId="00000096" w14:textId="77777777" w:rsidR="000D57C8" w:rsidRDefault="00000000">
      <w:pPr>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Internet Access</w:t>
      </w:r>
    </w:p>
    <w:p w14:paraId="00000097" w14:textId="77777777" w:rsidR="000D57C8" w:rsidRDefault="0000000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avoid disparate levels of internet connectivity amongst various demographics, Tunisia should implement a plan to track and report differences in internet access across different economic and social groups.</w:t>
      </w:r>
    </w:p>
    <w:p w14:paraId="00000098" w14:textId="77777777" w:rsidR="000D57C8" w:rsidRDefault="0000000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statistics, the Tunisian government should adopt and implement a national digital inclusion strategy that mandates the removal of all legal, financial, and administrative barriers restricting migrants’ and rural populations’ access to the internet above 2G. This strategy should establish subsidies or affordable internet pricing schemes for economically marginalized groups, including migrants, and require internet service providers to expand coverage and ensure service quality meets international standards in underserved areas. Depending on government capacity, long-term investments such as expanding mobile networks, building additional cellular towers, laying fiber optic cables, or providing temporary or permanent satellite internet to certain communities are all viable solutions to address the lack of internet access.</w:t>
      </w:r>
    </w:p>
    <w:p w14:paraId="00000099" w14:textId="77777777" w:rsidR="000D57C8" w:rsidRDefault="0000000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allocate sufficient budgetary resources and technical training for public sector staff to ensure effective implementation of digital literacy and infrastructure programs targeting marginalized communities, including sub-Saharan migrants.</w:t>
      </w:r>
      <w:r>
        <w:rPr>
          <w:rFonts w:ascii="Times New Roman" w:eastAsia="Times New Roman" w:hAnsi="Times New Roman" w:cs="Times New Roman"/>
          <w:sz w:val="24"/>
          <w:szCs w:val="24"/>
          <w:vertAlign w:val="superscript"/>
        </w:rPr>
        <w:footnoteReference w:id="94"/>
      </w:r>
    </w:p>
    <w:p w14:paraId="0000009A" w14:textId="77777777" w:rsidR="000D57C8" w:rsidRDefault="0000000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should create mechanisms for meaningful participation of migrants and marginalized communities in the design and monitoring of digital access policies. </w:t>
      </w:r>
    </w:p>
    <w:p w14:paraId="0000009B" w14:textId="77777777" w:rsidR="000D57C8" w:rsidRDefault="000D57C8">
      <w:pPr>
        <w:rPr>
          <w:rFonts w:ascii="Times New Roman" w:eastAsia="Times New Roman" w:hAnsi="Times New Roman" w:cs="Times New Roman"/>
          <w:sz w:val="24"/>
          <w:szCs w:val="24"/>
        </w:rPr>
      </w:pPr>
    </w:p>
    <w:p w14:paraId="0000009C" w14:textId="77777777" w:rsidR="000D57C8" w:rsidRDefault="00000000">
      <w:pPr>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Literacy</w:t>
      </w:r>
    </w:p>
    <w:p w14:paraId="0000009D" w14:textId="11CC0D6C" w:rsidR="000D57C8" w:rsidRDefault="00000000">
      <w:pPr>
        <w:numPr>
          <w:ilvl w:val="0"/>
          <w:numId w:val="3"/>
        </w:numPr>
        <w:rPr>
          <w:rFonts w:ascii="Times New Roman" w:eastAsia="Times New Roman" w:hAnsi="Times New Roman" w:cs="Times New Roman"/>
          <w:sz w:val="24"/>
          <w:szCs w:val="24"/>
        </w:rPr>
      </w:pPr>
      <w:sdt>
        <w:sdtPr>
          <w:tag w:val="goog_rdk_0"/>
          <w:id w:val="2040690457"/>
        </w:sdtPr>
        <w:sdtContent/>
      </w:sdt>
      <w:sdt>
        <w:sdtPr>
          <w:tag w:val="goog_rdk_1"/>
          <w:id w:val="623536446"/>
        </w:sdtPr>
        <w:sdtContent/>
      </w:sdt>
      <w:r>
        <w:rPr>
          <w:rFonts w:ascii="Times New Roman" w:eastAsia="Times New Roman" w:hAnsi="Times New Roman" w:cs="Times New Roman"/>
          <w:sz w:val="24"/>
          <w:szCs w:val="24"/>
        </w:rPr>
        <w:t xml:space="preserve">The Tunisian government should update primary and secondary school information and communication technology curricula to better equip </w:t>
      </w:r>
      <w:r w:rsidR="00795C6B">
        <w:rPr>
          <w:rFonts w:ascii="Times New Roman" w:hAnsi="Times New Roman" w:cs="Times New Roman" w:hint="eastAsia"/>
          <w:sz w:val="24"/>
          <w:szCs w:val="24"/>
        </w:rPr>
        <w:t xml:space="preserve">every </w:t>
      </w:r>
      <w:r>
        <w:rPr>
          <w:rFonts w:ascii="Times New Roman" w:eastAsia="Times New Roman" w:hAnsi="Times New Roman" w:cs="Times New Roman"/>
          <w:sz w:val="24"/>
          <w:szCs w:val="24"/>
        </w:rPr>
        <w:t>youth</w:t>
      </w:r>
      <w:r w:rsidR="00795C6B">
        <w:rPr>
          <w:rFonts w:ascii="Times New Roman" w:hAnsi="Times New Roman" w:cs="Times New Roman" w:hint="eastAsia"/>
          <w:sz w:val="24"/>
          <w:szCs w:val="24"/>
        </w:rPr>
        <w:t>, regardless of the races or whether they are urban or rural areas,</w:t>
      </w:r>
      <w:r>
        <w:rPr>
          <w:rFonts w:ascii="Times New Roman" w:eastAsia="Times New Roman" w:hAnsi="Times New Roman" w:cs="Times New Roman"/>
          <w:sz w:val="24"/>
          <w:szCs w:val="24"/>
        </w:rPr>
        <w:t xml:space="preserve"> with essential digital skills for the future. </w:t>
      </w:r>
    </w:p>
    <w:p w14:paraId="0000009E" w14:textId="77777777" w:rsidR="000D57C8"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Tunisian government should also ensure that primary and secondary schools have adequate technology to provide the above updated curriculum. </w:t>
      </w:r>
    </w:p>
    <w:p w14:paraId="0000009F" w14:textId="77777777" w:rsidR="000D57C8"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create national programs to track and report on overall digital literacy rates, with detailed data disaggregated by demographic, regional, and social indicators.</w:t>
      </w:r>
    </w:p>
    <w:p w14:paraId="000000A0" w14:textId="77777777" w:rsidR="000D57C8"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Commission to Combat Racial Discrimination should monitor digital literacy rates, migrant internet access, and rural internet access as factors contributing to racial discrimination, in line with its mandate under Chapter V of Organic Act No. 2018-50.</w:t>
      </w:r>
      <w:r>
        <w:rPr>
          <w:rFonts w:ascii="Times New Roman" w:eastAsia="Times New Roman" w:hAnsi="Times New Roman" w:cs="Times New Roman"/>
          <w:sz w:val="24"/>
          <w:szCs w:val="24"/>
          <w:vertAlign w:val="superscript"/>
        </w:rPr>
        <w:footnoteReference w:id="95"/>
      </w:r>
    </w:p>
    <w:p w14:paraId="000000A1" w14:textId="77777777" w:rsidR="000D57C8"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should increase participation in primary and secondary education in rural areas to help mitigate the negative effects of low internet connectivity rates. For instance, the government should expand the Second Opportunity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for Adolescents, which reintegrates children who have dropped out of school and addresses high dropout rates after Covid-19.</w:t>
      </w:r>
      <w:r>
        <w:rPr>
          <w:rFonts w:ascii="Times New Roman" w:eastAsia="Times New Roman" w:hAnsi="Times New Roman" w:cs="Times New Roman"/>
          <w:sz w:val="24"/>
          <w:szCs w:val="24"/>
          <w:vertAlign w:val="superscript"/>
        </w:rPr>
        <w:footnoteReference w:id="96"/>
      </w:r>
      <w:r>
        <w:rPr>
          <w:rFonts w:ascii="Times New Roman" w:eastAsia="Times New Roman" w:hAnsi="Times New Roman" w:cs="Times New Roman"/>
          <w:sz w:val="24"/>
          <w:szCs w:val="24"/>
        </w:rPr>
        <w:t xml:space="preserve"> Currently, the Second Opportunity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primarily targets Tunisian </w:t>
      </w:r>
      <w:proofErr w:type="gramStart"/>
      <w:r>
        <w:rPr>
          <w:rFonts w:ascii="Times New Roman" w:eastAsia="Times New Roman" w:hAnsi="Times New Roman" w:cs="Times New Roman"/>
          <w:sz w:val="24"/>
          <w:szCs w:val="24"/>
        </w:rPr>
        <w:t>children</w:t>
      </w:r>
      <w:proofErr w:type="gramEnd"/>
      <w:r>
        <w:rPr>
          <w:rFonts w:ascii="Times New Roman" w:eastAsia="Times New Roman" w:hAnsi="Times New Roman" w:cs="Times New Roman"/>
          <w:sz w:val="24"/>
          <w:szCs w:val="24"/>
        </w:rPr>
        <w:t xml:space="preserve"> and it is unclear whether migrant children are eligible to participate. Tunisia should ensure that this program is accessible to migrant children as well, so they too can benefit from reintegration into the education system. </w:t>
      </w:r>
    </w:p>
    <w:p w14:paraId="000000A2" w14:textId="77777777" w:rsidR="000D57C8" w:rsidRDefault="000D57C8">
      <w:pPr>
        <w:rPr>
          <w:rFonts w:ascii="Times New Roman" w:eastAsia="Times New Roman" w:hAnsi="Times New Roman" w:cs="Times New Roman"/>
          <w:sz w:val="24"/>
          <w:szCs w:val="24"/>
        </w:rPr>
      </w:pPr>
    </w:p>
    <w:p w14:paraId="000000A3" w14:textId="76E0F047" w:rsidR="000D57C8" w:rsidRDefault="00000000">
      <w:pPr>
        <w:rPr>
          <w:rFonts w:ascii="Times New Roman" w:eastAsia="Times New Roman" w:hAnsi="Times New Roman" w:cs="Times New Roman"/>
          <w:b/>
          <w:sz w:val="24"/>
          <w:szCs w:val="24"/>
        </w:rPr>
      </w:pPr>
      <w:r>
        <w:rPr>
          <w:rFonts w:ascii="Times New Roman" w:eastAsia="Times New Roman" w:hAnsi="Times New Roman" w:cs="Times New Roman"/>
          <w:sz w:val="24"/>
          <w:szCs w:val="24"/>
        </w:rPr>
        <w:t>Thank you very much for your consideration. If you have any questions on this submission, please contact: the International Justice Clinic, the University of California, Irvine School of Law, Zainab Rizvi (</w:t>
      </w:r>
      <w:hyperlink r:id="rId8">
        <w:r w:rsidR="000D57C8">
          <w:rPr>
            <w:rFonts w:ascii="Times New Roman" w:eastAsia="Times New Roman" w:hAnsi="Times New Roman" w:cs="Times New Roman"/>
            <w:color w:val="1155CC"/>
            <w:sz w:val="24"/>
            <w:szCs w:val="24"/>
            <w:u w:val="single"/>
          </w:rPr>
          <w:t>zzrizvi@lawnet.uci.edu</w:t>
        </w:r>
      </w:hyperlink>
      <w:r>
        <w:rPr>
          <w:rFonts w:ascii="Times New Roman" w:eastAsia="Times New Roman" w:hAnsi="Times New Roman" w:cs="Times New Roman"/>
          <w:sz w:val="24"/>
          <w:szCs w:val="24"/>
        </w:rPr>
        <w:t>), 2025 Summer Intern, Luke Antoun (</w:t>
      </w:r>
      <w:hyperlink r:id="rId9">
        <w:r w:rsidR="000D57C8">
          <w:rPr>
            <w:rFonts w:ascii="Times New Roman" w:eastAsia="Times New Roman" w:hAnsi="Times New Roman" w:cs="Times New Roman"/>
            <w:color w:val="1155CC"/>
            <w:sz w:val="24"/>
            <w:szCs w:val="24"/>
            <w:u w:val="single"/>
          </w:rPr>
          <w:t>antounl@lawnet.uci.edu</w:t>
        </w:r>
      </w:hyperlink>
      <w:r>
        <w:rPr>
          <w:rFonts w:ascii="Times New Roman" w:eastAsia="Times New Roman" w:hAnsi="Times New Roman" w:cs="Times New Roman"/>
          <w:sz w:val="24"/>
          <w:szCs w:val="24"/>
        </w:rPr>
        <w:t>), 2025 Summer Intern, Joseph Chiu Cheung (</w:t>
      </w:r>
      <w:hyperlink r:id="rId10" w:history="1">
        <w:r w:rsidR="003848C1" w:rsidRPr="004B31A2">
          <w:rPr>
            <w:rStyle w:val="Hyperlink"/>
            <w:rFonts w:ascii="Times New Roman" w:eastAsia="Times New Roman" w:hAnsi="Times New Roman" w:cs="Times New Roman"/>
            <w:sz w:val="24"/>
            <w:szCs w:val="24"/>
          </w:rPr>
          <w:t>jccheun2@lawnet.uci.edu</w:t>
        </w:r>
      </w:hyperlink>
      <w:r>
        <w:rPr>
          <w:rFonts w:ascii="Times New Roman" w:eastAsia="Times New Roman" w:hAnsi="Times New Roman" w:cs="Times New Roman"/>
          <w:sz w:val="24"/>
          <w:szCs w:val="24"/>
        </w:rPr>
        <w:t>), IJC Student, and Lizbeth Mendoza-Leon (lizbetym@lawnet.uci.edu), IJC Student, and Hinako Sugiyama (</w:t>
      </w:r>
      <w:hyperlink r:id="rId11">
        <w:r w:rsidR="000D57C8">
          <w:rPr>
            <w:rFonts w:ascii="Times New Roman" w:eastAsia="Times New Roman" w:hAnsi="Times New Roman" w:cs="Times New Roman"/>
            <w:color w:val="1155CC"/>
            <w:sz w:val="24"/>
            <w:szCs w:val="24"/>
            <w:u w:val="single"/>
          </w:rPr>
          <w:t>hsugiyama@law.uci.edu</w:t>
        </w:r>
      </w:hyperlink>
      <w:r>
        <w:rPr>
          <w:rFonts w:ascii="Times New Roman" w:eastAsia="Times New Roman" w:hAnsi="Times New Roman" w:cs="Times New Roman"/>
          <w:sz w:val="24"/>
          <w:szCs w:val="24"/>
        </w:rPr>
        <w:t>), Senior Counsel and Digital Rights Fellow.</w:t>
      </w:r>
    </w:p>
    <w:sectPr w:rsidR="000D57C8">
      <w:headerReference w:type="default" r:id="rId12"/>
      <w:footerReference w:type="default" r:id="rId13"/>
      <w:head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F5FDC" w14:textId="77777777" w:rsidR="00A93B86" w:rsidRDefault="00A93B86">
      <w:pPr>
        <w:spacing w:line="240" w:lineRule="auto"/>
      </w:pPr>
      <w:r>
        <w:separator/>
      </w:r>
    </w:p>
  </w:endnote>
  <w:endnote w:type="continuationSeparator" w:id="0">
    <w:p w14:paraId="064F843F" w14:textId="77777777" w:rsidR="00A93B86" w:rsidRDefault="00A93B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715796529"/>
      <w:docPartObj>
        <w:docPartGallery w:val="Page Numbers (Bottom of Page)"/>
        <w:docPartUnique/>
      </w:docPartObj>
    </w:sdtPr>
    <w:sdtEndPr>
      <w:rPr>
        <w:noProof/>
      </w:rPr>
    </w:sdtEndPr>
    <w:sdtContent>
      <w:p w14:paraId="14948255" w14:textId="7831A64D" w:rsidR="004813DE" w:rsidRPr="003848C1" w:rsidRDefault="004813DE">
        <w:pPr>
          <w:pStyle w:val="Footer"/>
          <w:jc w:val="right"/>
          <w:rPr>
            <w:rFonts w:ascii="Times New Roman" w:hAnsi="Times New Roman" w:cs="Times New Roman"/>
          </w:rPr>
        </w:pPr>
        <w:r w:rsidRPr="003848C1">
          <w:rPr>
            <w:rFonts w:ascii="Times New Roman" w:hAnsi="Times New Roman" w:cs="Times New Roman"/>
          </w:rPr>
          <w:fldChar w:fldCharType="begin"/>
        </w:r>
        <w:r w:rsidRPr="003848C1">
          <w:rPr>
            <w:rFonts w:ascii="Times New Roman" w:hAnsi="Times New Roman" w:cs="Times New Roman"/>
          </w:rPr>
          <w:instrText xml:space="preserve"> PAGE   \* MERGEFORMAT </w:instrText>
        </w:r>
        <w:r w:rsidRPr="003848C1">
          <w:rPr>
            <w:rFonts w:ascii="Times New Roman" w:hAnsi="Times New Roman" w:cs="Times New Roman"/>
          </w:rPr>
          <w:fldChar w:fldCharType="separate"/>
        </w:r>
        <w:r w:rsidRPr="003848C1">
          <w:rPr>
            <w:rFonts w:ascii="Times New Roman" w:hAnsi="Times New Roman" w:cs="Times New Roman"/>
            <w:noProof/>
          </w:rPr>
          <w:t>2</w:t>
        </w:r>
        <w:r w:rsidRPr="003848C1">
          <w:rPr>
            <w:rFonts w:ascii="Times New Roman" w:hAnsi="Times New Roman" w:cs="Times New Roman"/>
            <w:noProof/>
          </w:rPr>
          <w:fldChar w:fldCharType="end"/>
        </w:r>
      </w:p>
    </w:sdtContent>
  </w:sdt>
  <w:p w14:paraId="00000107" w14:textId="77777777" w:rsidR="000D57C8" w:rsidRPr="003848C1" w:rsidRDefault="000D57C8">
    <w:pP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D795E" w14:textId="77777777" w:rsidR="00A93B86" w:rsidRDefault="00A93B86">
      <w:pPr>
        <w:spacing w:line="240" w:lineRule="auto"/>
      </w:pPr>
      <w:r>
        <w:separator/>
      </w:r>
    </w:p>
  </w:footnote>
  <w:footnote w:type="continuationSeparator" w:id="0">
    <w:p w14:paraId="1EA8E4A6" w14:textId="77777777" w:rsidR="00A93B86" w:rsidRDefault="00A93B86">
      <w:pPr>
        <w:spacing w:line="240" w:lineRule="auto"/>
      </w:pPr>
      <w:r>
        <w:continuationSeparator/>
      </w:r>
    </w:p>
  </w:footnote>
  <w:footnote w:id="1">
    <w:p w14:paraId="000000A4"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For more information, please see </w:t>
      </w:r>
      <w:hyperlink r:id="rId1">
        <w:r w:rsidRPr="004813DE">
          <w:rPr>
            <w:rFonts w:ascii="Times New Roman" w:eastAsia="Times New Roman" w:hAnsi="Times New Roman" w:cs="Times New Roman"/>
            <w:sz w:val="20"/>
            <w:szCs w:val="20"/>
            <w:u w:val="single"/>
          </w:rPr>
          <w:t>https://smex.org/about-us/</w:t>
        </w:r>
      </w:hyperlink>
    </w:p>
  </w:footnote>
  <w:footnote w:id="2">
    <w:p w14:paraId="000000A5"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The International Justice Clinic, </w:t>
      </w:r>
      <w:hyperlink r:id="rId2">
        <w:r w:rsidRPr="004813DE">
          <w:rPr>
            <w:rFonts w:ascii="Times New Roman" w:eastAsia="Times New Roman" w:hAnsi="Times New Roman" w:cs="Times New Roman"/>
            <w:sz w:val="20"/>
            <w:szCs w:val="20"/>
            <w:u w:val="single"/>
          </w:rPr>
          <w:t>About the Clinic</w:t>
        </w:r>
      </w:hyperlink>
      <w:r w:rsidRPr="004813DE">
        <w:rPr>
          <w:rFonts w:ascii="Times New Roman" w:eastAsia="Times New Roman" w:hAnsi="Times New Roman" w:cs="Times New Roman"/>
          <w:sz w:val="20"/>
          <w:szCs w:val="20"/>
        </w:rPr>
        <w:t>.</w:t>
      </w:r>
    </w:p>
  </w:footnote>
  <w:footnote w:id="3">
    <w:p w14:paraId="000000A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CERD, </w:t>
      </w:r>
      <w:r w:rsidRPr="004813DE">
        <w:rPr>
          <w:rFonts w:ascii="Times New Roman" w:eastAsia="Times New Roman" w:hAnsi="Times New Roman" w:cs="Times New Roman"/>
          <w:i/>
          <w:sz w:val="20"/>
          <w:szCs w:val="20"/>
        </w:rPr>
        <w:t>List of Issues Prior to Submission of the Combined 20th to 22nd Reports of Tunisia</w:t>
      </w:r>
      <w:r w:rsidRPr="004813DE">
        <w:rPr>
          <w:rFonts w:ascii="Times New Roman" w:eastAsia="Times New Roman" w:hAnsi="Times New Roman" w:cs="Times New Roman"/>
          <w:sz w:val="20"/>
          <w:szCs w:val="20"/>
        </w:rPr>
        <w:t>, U.N. Doc. CERD/C/TUN/QPR/20-22 (21 May 2021).</w:t>
      </w:r>
    </w:p>
  </w:footnote>
  <w:footnote w:id="4">
    <w:p w14:paraId="000000A7"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Idriss</w:t>
      </w:r>
      <w:proofErr w:type="spellEnd"/>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Rejichi</w:t>
      </w:r>
      <w:proofErr w:type="spellEnd"/>
      <w:r w:rsidRPr="004813DE">
        <w:rPr>
          <w:rFonts w:ascii="Times New Roman" w:eastAsia="Times New Roman" w:hAnsi="Times New Roman" w:cs="Times New Roman"/>
          <w:sz w:val="20"/>
          <w:szCs w:val="20"/>
        </w:rPr>
        <w:t xml:space="preserve"> &amp; </w:t>
      </w:r>
      <w:proofErr w:type="spellStart"/>
      <w:r w:rsidRPr="004813DE">
        <w:rPr>
          <w:rFonts w:ascii="Times New Roman" w:eastAsia="Times New Roman" w:hAnsi="Times New Roman" w:cs="Times New Roman"/>
          <w:sz w:val="20"/>
          <w:szCs w:val="20"/>
        </w:rPr>
        <w:t>Inkyfada</w:t>
      </w:r>
      <w:proofErr w:type="spellEnd"/>
      <w:r w:rsidRPr="004813DE">
        <w:rPr>
          <w:rFonts w:ascii="Times New Roman" w:eastAsia="Times New Roman" w:hAnsi="Times New Roman" w:cs="Times New Roman"/>
          <w:sz w:val="20"/>
          <w:szCs w:val="20"/>
        </w:rPr>
        <w:t xml:space="preserve"> Editorial Team, </w:t>
      </w:r>
      <w:r w:rsidRPr="004813DE">
        <w:rPr>
          <w:rFonts w:ascii="Times New Roman" w:eastAsia="Times New Roman" w:hAnsi="Times New Roman" w:cs="Times New Roman"/>
          <w:i/>
          <w:sz w:val="20"/>
          <w:szCs w:val="20"/>
        </w:rPr>
        <w:t>Expelling Migrants to the Border: A Violent Deterrent System</w:t>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Inkyfada</w:t>
      </w:r>
      <w:proofErr w:type="spellEnd"/>
      <w:r w:rsidRPr="004813DE">
        <w:rPr>
          <w:rFonts w:ascii="Times New Roman" w:eastAsia="Times New Roman" w:hAnsi="Times New Roman" w:cs="Times New Roman"/>
          <w:sz w:val="20"/>
          <w:szCs w:val="20"/>
        </w:rPr>
        <w:t xml:space="preserve"> (May 24, 2024), </w:t>
      </w:r>
      <w:hyperlink r:id="rId3">
        <w:r w:rsidRPr="004813DE">
          <w:rPr>
            <w:rFonts w:ascii="Times New Roman" w:eastAsia="Times New Roman" w:hAnsi="Times New Roman" w:cs="Times New Roman"/>
            <w:sz w:val="20"/>
            <w:szCs w:val="20"/>
            <w:u w:val="single"/>
          </w:rPr>
          <w:t>https://inkyfada.com/ar/2024/05/24/%</w:t>
        </w:r>
      </w:hyperlink>
      <w:r w:rsidRPr="004813DE">
        <w:rPr>
          <w:rFonts w:ascii="Times New Roman" w:eastAsia="Times New Roman" w:hAnsi="Times New Roman" w:cs="Times New Roman"/>
          <w:sz w:val="20"/>
          <w:szCs w:val="20"/>
        </w:rPr>
        <w:t xml:space="preserve"> (last visited July 3, 2025). </w:t>
      </w:r>
    </w:p>
  </w:footnote>
  <w:footnote w:id="5">
    <w:p w14:paraId="000000A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6">
    <w:p w14:paraId="000000A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Tunisia, </w:t>
      </w:r>
      <w:r w:rsidRPr="004813DE">
        <w:rPr>
          <w:rFonts w:ascii="Times New Roman" w:eastAsia="Times New Roman" w:hAnsi="Times New Roman" w:cs="Times New Roman"/>
          <w:i/>
          <w:sz w:val="20"/>
          <w:szCs w:val="20"/>
        </w:rPr>
        <w:t>Combined Twentieth to Twenty-Second Reports Submitted under Article 9 of the Convention</w:t>
      </w:r>
      <w:r w:rsidRPr="004813DE">
        <w:rPr>
          <w:rFonts w:ascii="Times New Roman" w:eastAsia="Times New Roman" w:hAnsi="Times New Roman" w:cs="Times New Roman"/>
          <w:sz w:val="20"/>
          <w:szCs w:val="20"/>
        </w:rPr>
        <w:t>, U.N. Doc. CERD/C/TUN/20-22 (16 Dec. 2022).</w:t>
      </w:r>
    </w:p>
  </w:footnote>
  <w:footnote w:id="7">
    <w:p w14:paraId="000000AA"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w:t>
      </w:r>
    </w:p>
  </w:footnote>
  <w:footnote w:id="8">
    <w:p w14:paraId="000000AB"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w:t>
      </w:r>
    </w:p>
  </w:footnote>
  <w:footnote w:id="9">
    <w:p w14:paraId="000000A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10">
    <w:p w14:paraId="000000AD"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11">
    <w:p w14:paraId="000000A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6.</w:t>
      </w:r>
    </w:p>
  </w:footnote>
  <w:footnote w:id="12">
    <w:p w14:paraId="000000A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w:t>
      </w:r>
    </w:p>
  </w:footnote>
  <w:footnote w:id="13">
    <w:p w14:paraId="000000B0"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14">
    <w:p w14:paraId="000000B1"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The Tahrir Institute for Middle East Policy, </w:t>
      </w:r>
      <w:hyperlink r:id="rId4">
        <w:r w:rsidRPr="004813DE">
          <w:rPr>
            <w:rFonts w:ascii="Times New Roman" w:eastAsia="Times New Roman" w:hAnsi="Times New Roman" w:cs="Times New Roman"/>
            <w:i/>
            <w:sz w:val="20"/>
            <w:szCs w:val="20"/>
          </w:rPr>
          <w:t>Anti-Blackness and Identity in Tunisia: Q&amp;A with Houda Mzioudet</w:t>
        </w:r>
      </w:hyperlink>
      <w:r w:rsidRPr="004813DE">
        <w:rPr>
          <w:rFonts w:ascii="Times New Roman" w:eastAsia="Times New Roman" w:hAnsi="Times New Roman" w:cs="Times New Roman"/>
          <w:i/>
          <w:sz w:val="20"/>
          <w:szCs w:val="20"/>
        </w:rPr>
        <w:t>,</w:t>
      </w:r>
      <w:r w:rsidRPr="004813DE">
        <w:rPr>
          <w:rFonts w:ascii="Times New Roman" w:eastAsia="Times New Roman" w:hAnsi="Times New Roman" w:cs="Times New Roman"/>
          <w:sz w:val="20"/>
          <w:szCs w:val="20"/>
        </w:rPr>
        <w:t xml:space="preserve"> (Mar. 21, 2023), </w:t>
      </w:r>
      <w:hyperlink r:id="rId5">
        <w:r w:rsidRPr="004813DE">
          <w:rPr>
            <w:rFonts w:ascii="Times New Roman" w:eastAsia="Times New Roman" w:hAnsi="Times New Roman" w:cs="Times New Roman"/>
            <w:sz w:val="20"/>
            <w:szCs w:val="20"/>
            <w:u w:val="single"/>
          </w:rPr>
          <w:t>https://timep.org/2023/03/21/anti-blackness-and-identity-in-tunisia-qa-with-houda-mzioudet/</w:t>
        </w:r>
      </w:hyperlink>
      <w:r w:rsidRPr="004813DE">
        <w:rPr>
          <w:rFonts w:ascii="Times New Roman" w:eastAsia="Times New Roman" w:hAnsi="Times New Roman" w:cs="Times New Roman"/>
          <w:sz w:val="20"/>
          <w:szCs w:val="20"/>
        </w:rPr>
        <w:t xml:space="preserve"> (last visited July 3, 2025). </w:t>
      </w:r>
    </w:p>
  </w:footnote>
  <w:footnote w:id="15">
    <w:p w14:paraId="000000B2" w14:textId="77777777" w:rsidR="000D57C8" w:rsidRPr="003848C1" w:rsidRDefault="00000000">
      <w:pPr>
        <w:spacing w:line="240" w:lineRule="auto"/>
        <w:rPr>
          <w:rFonts w:ascii="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Hamza </w:t>
      </w:r>
      <w:proofErr w:type="spellStart"/>
      <w:r w:rsidRPr="004813DE">
        <w:rPr>
          <w:rFonts w:ascii="Times New Roman" w:eastAsia="Times New Roman" w:hAnsi="Times New Roman" w:cs="Times New Roman"/>
          <w:sz w:val="20"/>
          <w:szCs w:val="20"/>
        </w:rPr>
        <w:t>Meddeb</w:t>
      </w:r>
      <w:proofErr w:type="spellEnd"/>
      <w:r w:rsidRPr="004813DE">
        <w:rPr>
          <w:rFonts w:ascii="Times New Roman" w:eastAsia="Times New Roman" w:hAnsi="Times New Roman" w:cs="Times New Roman"/>
          <w:sz w:val="20"/>
          <w:szCs w:val="20"/>
        </w:rPr>
        <w:t xml:space="preserve"> &amp; </w:t>
      </w:r>
      <w:proofErr w:type="spellStart"/>
      <w:r w:rsidRPr="004813DE">
        <w:rPr>
          <w:rFonts w:ascii="Times New Roman" w:eastAsia="Times New Roman" w:hAnsi="Times New Roman" w:cs="Times New Roman"/>
          <w:sz w:val="20"/>
          <w:szCs w:val="20"/>
        </w:rPr>
        <w:t>Fakhreddine</w:t>
      </w:r>
      <w:proofErr w:type="spellEnd"/>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Louata</w:t>
      </w:r>
      <w:proofErr w:type="spellEnd"/>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Tunisia’s Transformation Into a Transit Hub: Illegal Migration and Policy Dilemmas</w:t>
      </w:r>
      <w:r w:rsidRPr="004813DE">
        <w:rPr>
          <w:rFonts w:ascii="Times New Roman" w:eastAsia="Times New Roman" w:hAnsi="Times New Roman" w:cs="Times New Roman"/>
          <w:sz w:val="20"/>
          <w:szCs w:val="20"/>
        </w:rPr>
        <w:t xml:space="preserve">, Carnegie Endowment for Int’l Peace 1, 3 (Mar. 27, 2024), </w:t>
      </w:r>
      <w:hyperlink r:id="rId6">
        <w:r w:rsidRPr="004813DE">
          <w:rPr>
            <w:rFonts w:ascii="Times New Roman" w:eastAsia="Times New Roman" w:hAnsi="Times New Roman" w:cs="Times New Roman"/>
            <w:sz w:val="20"/>
            <w:szCs w:val="20"/>
            <w:u w:val="single"/>
          </w:rPr>
          <w:t>https://carnegie-production-assets.s3.amazonaws.com/static/files/Hamza_Migration-1.pdf</w:t>
        </w:r>
      </w:hyperlink>
      <w:r w:rsidRPr="004813DE">
        <w:rPr>
          <w:rFonts w:ascii="Times New Roman" w:eastAsia="Times New Roman" w:hAnsi="Times New Roman" w:cs="Times New Roman"/>
          <w:sz w:val="20"/>
          <w:szCs w:val="20"/>
        </w:rPr>
        <w:t xml:space="preserve">. </w:t>
      </w:r>
    </w:p>
  </w:footnote>
  <w:footnote w:id="16">
    <w:p w14:paraId="000000B3"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Humzah Khan, </w:t>
      </w:r>
      <w:r w:rsidRPr="004813DE">
        <w:rPr>
          <w:rFonts w:ascii="Times New Roman" w:eastAsia="Times New Roman" w:hAnsi="Times New Roman" w:cs="Times New Roman"/>
          <w:i/>
          <w:sz w:val="20"/>
          <w:szCs w:val="20"/>
        </w:rPr>
        <w:t>From Tunis to Cairo: Europe Extends Its Border Across North Africa</w:t>
      </w:r>
      <w:r w:rsidRPr="004813DE">
        <w:rPr>
          <w:rFonts w:ascii="Times New Roman" w:eastAsia="Times New Roman" w:hAnsi="Times New Roman" w:cs="Times New Roman"/>
          <w:sz w:val="20"/>
          <w:szCs w:val="20"/>
        </w:rPr>
        <w:t xml:space="preserve">, Carnegie Endowment for International Peace (Apr. 9, 2024), </w:t>
      </w:r>
      <w:hyperlink r:id="rId7">
        <w:r w:rsidRPr="004813DE">
          <w:rPr>
            <w:rFonts w:ascii="Times New Roman" w:eastAsia="Times New Roman" w:hAnsi="Times New Roman" w:cs="Times New Roman"/>
            <w:sz w:val="20"/>
            <w:szCs w:val="20"/>
            <w:u w:val="single"/>
          </w:rPr>
          <w:t>https://carnegieendowment.org/sada/2024/04/from-tunis-to-cairo-europe-extends-its-border-across-north-africa?lang=en</w:t>
        </w:r>
      </w:hyperlink>
      <w:r w:rsidRPr="004813DE">
        <w:rPr>
          <w:rFonts w:ascii="Times New Roman" w:eastAsia="Times New Roman" w:hAnsi="Times New Roman" w:cs="Times New Roman"/>
          <w:sz w:val="20"/>
          <w:szCs w:val="20"/>
        </w:rPr>
        <w:t xml:space="preserve"> (last visited July 3, 2025).</w:t>
      </w:r>
    </w:p>
  </w:footnote>
  <w:footnote w:id="17">
    <w:p w14:paraId="000000B4"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15. </w:t>
      </w:r>
    </w:p>
  </w:footnote>
  <w:footnote w:id="18">
    <w:p w14:paraId="000000B5"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 xml:space="preserve">Supra </w:t>
      </w:r>
      <w:r w:rsidRPr="004813DE">
        <w:rPr>
          <w:rFonts w:ascii="Times New Roman" w:eastAsia="Times New Roman" w:hAnsi="Times New Roman" w:cs="Times New Roman"/>
          <w:sz w:val="20"/>
          <w:szCs w:val="20"/>
        </w:rPr>
        <w:t>note 16.</w:t>
      </w:r>
    </w:p>
  </w:footnote>
  <w:footnote w:id="19">
    <w:p w14:paraId="000000B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p>
  </w:footnote>
  <w:footnote w:id="20">
    <w:p w14:paraId="000000B7"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15, at 11.</w:t>
      </w:r>
    </w:p>
  </w:footnote>
  <w:footnote w:id="21">
    <w:p w14:paraId="000000B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22">
    <w:p w14:paraId="000000B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 at 14–15.</w:t>
      </w:r>
    </w:p>
  </w:footnote>
  <w:footnote w:id="23">
    <w:p w14:paraId="000000BA"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The third tactic was an increase in arrest of select smugglers, but that does not directly affect our assessment of obligations under CERD.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24">
    <w:p w14:paraId="000000BB"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25">
    <w:p w14:paraId="000000B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 xml:space="preserve">. </w:t>
      </w:r>
    </w:p>
  </w:footnote>
  <w:footnote w:id="26">
    <w:p w14:paraId="000000BD"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4.</w:t>
      </w:r>
    </w:p>
  </w:footnote>
  <w:footnote w:id="27">
    <w:p w14:paraId="000000B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28">
    <w:p w14:paraId="000000B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29">
    <w:p w14:paraId="000000C0"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30">
    <w:p w14:paraId="000000C1"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1 World Connected, </w:t>
      </w:r>
      <w:hyperlink r:id="rId8">
        <w:r w:rsidRPr="004813DE">
          <w:rPr>
            <w:rFonts w:ascii="Times New Roman" w:eastAsia="Times New Roman" w:hAnsi="Times New Roman" w:cs="Times New Roman"/>
            <w:i/>
            <w:sz w:val="20"/>
            <w:szCs w:val="20"/>
          </w:rPr>
          <w:t>Project Tawasol: Connecting Primary Schools in Tunisia to Create an Internet-Empowered Next Generation</w:t>
        </w:r>
      </w:hyperlink>
      <w:r w:rsidRPr="004813DE">
        <w:rPr>
          <w:rFonts w:ascii="Times New Roman" w:eastAsia="Times New Roman" w:hAnsi="Times New Roman" w:cs="Times New Roman"/>
          <w:sz w:val="20"/>
          <w:szCs w:val="20"/>
        </w:rPr>
        <w:t xml:space="preserve"> (Sept. 1, 2020), </w:t>
      </w:r>
      <w:hyperlink r:id="rId9">
        <w:r w:rsidRPr="004813DE">
          <w:rPr>
            <w:rFonts w:ascii="Times New Roman" w:eastAsia="Times New Roman" w:hAnsi="Times New Roman" w:cs="Times New Roman"/>
            <w:sz w:val="20"/>
            <w:szCs w:val="20"/>
            <w:u w:val="single"/>
          </w:rPr>
          <w:t>https://1worldconnected.org/post/africa_digitalskills_youth_projectawasoltunisia/</w:t>
        </w:r>
      </w:hyperlink>
      <w:r w:rsidRPr="004813DE">
        <w:rPr>
          <w:rFonts w:ascii="Times New Roman" w:eastAsia="Times New Roman" w:hAnsi="Times New Roman" w:cs="Times New Roman"/>
          <w:sz w:val="20"/>
          <w:szCs w:val="20"/>
        </w:rPr>
        <w:t xml:space="preserve"> (last visited July 3, 2025).</w:t>
      </w:r>
    </w:p>
  </w:footnote>
  <w:footnote w:id="31">
    <w:p w14:paraId="000000C2"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32">
    <w:p w14:paraId="000000C3"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Fatima </w:t>
      </w:r>
      <w:proofErr w:type="spellStart"/>
      <w:r w:rsidRPr="004813DE">
        <w:rPr>
          <w:rFonts w:ascii="Times New Roman" w:eastAsia="Times New Roman" w:hAnsi="Times New Roman" w:cs="Times New Roman"/>
          <w:sz w:val="20"/>
          <w:szCs w:val="20"/>
        </w:rPr>
        <w:t>el</w:t>
      </w:r>
      <w:proofErr w:type="spellEnd"/>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Issawi</w:t>
      </w:r>
      <w:proofErr w:type="spellEnd"/>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Media Reform in Tunisia: A Volatile Process</w:t>
      </w:r>
      <w:r w:rsidRPr="004813DE">
        <w:rPr>
          <w:rFonts w:ascii="Times New Roman" w:eastAsia="Times New Roman" w:hAnsi="Times New Roman" w:cs="Times New Roman"/>
          <w:sz w:val="20"/>
          <w:szCs w:val="20"/>
        </w:rPr>
        <w:t xml:space="preserve">, Ctr. for Int’l Media Assistance (Oct. 5, 2022), </w:t>
      </w:r>
      <w:hyperlink r:id="rId10">
        <w:r w:rsidRPr="004813DE">
          <w:rPr>
            <w:rFonts w:ascii="Times New Roman" w:eastAsia="Times New Roman" w:hAnsi="Times New Roman" w:cs="Times New Roman"/>
            <w:sz w:val="20"/>
            <w:szCs w:val="20"/>
            <w:u w:val="single"/>
          </w:rPr>
          <w:t>https://www.cima.ned.org/publication/tunisia-media-reform-a-volatile-process/</w:t>
        </w:r>
      </w:hyperlink>
      <w:r w:rsidRPr="004813DE">
        <w:rPr>
          <w:rFonts w:ascii="Times New Roman" w:eastAsia="Times New Roman" w:hAnsi="Times New Roman" w:cs="Times New Roman"/>
          <w:sz w:val="20"/>
          <w:szCs w:val="20"/>
        </w:rPr>
        <w:t xml:space="preserve"> (last visited July 3, 2025).</w:t>
      </w:r>
    </w:p>
  </w:footnote>
  <w:footnote w:id="33">
    <w:p w14:paraId="000000C4"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34">
    <w:p w14:paraId="000000C5"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35">
    <w:p w14:paraId="000000C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Saoussen</w:t>
      </w:r>
      <w:proofErr w:type="spellEnd"/>
      <w:r w:rsidRPr="004813DE">
        <w:rPr>
          <w:rFonts w:ascii="Times New Roman" w:eastAsia="Times New Roman" w:hAnsi="Times New Roman" w:cs="Times New Roman"/>
          <w:sz w:val="20"/>
          <w:szCs w:val="20"/>
        </w:rPr>
        <w:t xml:space="preserve"> Ben </w:t>
      </w:r>
      <w:proofErr w:type="spellStart"/>
      <w:r w:rsidRPr="004813DE">
        <w:rPr>
          <w:rFonts w:ascii="Times New Roman" w:eastAsia="Times New Roman" w:hAnsi="Times New Roman" w:cs="Times New Roman"/>
          <w:sz w:val="20"/>
          <w:szCs w:val="20"/>
        </w:rPr>
        <w:t>Cheikeh</w:t>
      </w:r>
      <w:proofErr w:type="spellEnd"/>
      <w:r w:rsidRPr="004813DE">
        <w:rPr>
          <w:rFonts w:ascii="Times New Roman" w:eastAsia="Times New Roman" w:hAnsi="Times New Roman" w:cs="Times New Roman"/>
          <w:sz w:val="20"/>
          <w:szCs w:val="20"/>
        </w:rPr>
        <w:t xml:space="preserve">, </w:t>
      </w:r>
      <w:hyperlink r:id="rId11">
        <w:r w:rsidRPr="004813DE">
          <w:rPr>
            <w:rFonts w:ascii="Times New Roman" w:eastAsia="Times New Roman" w:hAnsi="Times New Roman" w:cs="Times New Roman"/>
            <w:i/>
            <w:sz w:val="20"/>
            <w:szCs w:val="20"/>
          </w:rPr>
          <w:t>How Will Tunisia Include Its Growing Poor in an Increasingly Digital Society?</w:t>
        </w:r>
      </w:hyperlink>
      <w:r w:rsidRPr="004813DE">
        <w:rPr>
          <w:rFonts w:ascii="Times New Roman" w:eastAsia="Times New Roman" w:hAnsi="Times New Roman" w:cs="Times New Roman"/>
          <w:sz w:val="20"/>
          <w:szCs w:val="20"/>
        </w:rPr>
        <w:t xml:space="preserve">, Global Voices </w:t>
      </w:r>
      <w:proofErr w:type="spellStart"/>
      <w:r w:rsidRPr="004813DE">
        <w:rPr>
          <w:rFonts w:ascii="Times New Roman" w:eastAsia="Times New Roman" w:hAnsi="Times New Roman" w:cs="Times New Roman"/>
          <w:sz w:val="20"/>
          <w:szCs w:val="20"/>
        </w:rPr>
        <w:t>Advox</w:t>
      </w:r>
      <w:proofErr w:type="spellEnd"/>
      <w:r w:rsidRPr="004813DE">
        <w:rPr>
          <w:rFonts w:ascii="Times New Roman" w:eastAsia="Times New Roman" w:hAnsi="Times New Roman" w:cs="Times New Roman"/>
          <w:sz w:val="20"/>
          <w:szCs w:val="20"/>
        </w:rPr>
        <w:t xml:space="preserve">, (July 19, 2023), </w:t>
      </w:r>
      <w:hyperlink r:id="rId12">
        <w:r w:rsidRPr="004813DE">
          <w:rPr>
            <w:rFonts w:ascii="Times New Roman" w:eastAsia="Times New Roman" w:hAnsi="Times New Roman" w:cs="Times New Roman"/>
            <w:sz w:val="20"/>
            <w:szCs w:val="20"/>
            <w:u w:val="single"/>
          </w:rPr>
          <w:t>https://advox.globalvoices.org/2023/07/19/how-will-tunisia-include-its-growing-poor-in-an-increasingly-digital-society/</w:t>
        </w:r>
      </w:hyperlink>
      <w:r w:rsidRPr="004813DE">
        <w:rPr>
          <w:rFonts w:ascii="Times New Roman" w:eastAsia="Times New Roman" w:hAnsi="Times New Roman" w:cs="Times New Roman"/>
          <w:sz w:val="20"/>
          <w:szCs w:val="20"/>
        </w:rPr>
        <w:t xml:space="preserve"> (last visited July 3, 2025).</w:t>
      </w:r>
    </w:p>
  </w:footnote>
  <w:footnote w:id="36">
    <w:p w14:paraId="000000C7"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Simon Kemp, </w:t>
      </w:r>
      <w:r w:rsidRPr="004813DE">
        <w:rPr>
          <w:rFonts w:ascii="Times New Roman" w:eastAsia="Times New Roman" w:hAnsi="Times New Roman" w:cs="Times New Roman"/>
          <w:i/>
          <w:sz w:val="20"/>
          <w:szCs w:val="20"/>
        </w:rPr>
        <w:t>Digital 2024: Tunisia</w:t>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DataReportal</w:t>
      </w:r>
      <w:proofErr w:type="spellEnd"/>
      <w:r w:rsidRPr="004813DE">
        <w:rPr>
          <w:rFonts w:ascii="Times New Roman" w:eastAsia="Times New Roman" w:hAnsi="Times New Roman" w:cs="Times New Roman"/>
          <w:sz w:val="20"/>
          <w:szCs w:val="20"/>
        </w:rPr>
        <w:t xml:space="preserve">, (Feb. 23, 2024), </w:t>
      </w:r>
      <w:hyperlink r:id="rId13">
        <w:r w:rsidRPr="004813DE">
          <w:rPr>
            <w:rFonts w:ascii="Times New Roman" w:eastAsia="Times New Roman" w:hAnsi="Times New Roman" w:cs="Times New Roman"/>
            <w:sz w:val="20"/>
            <w:szCs w:val="20"/>
            <w:u w:val="single"/>
          </w:rPr>
          <w:t>https://datareportal.com/reports/digital-2024-tunisia</w:t>
        </w:r>
      </w:hyperlink>
      <w:r w:rsidRPr="004813DE">
        <w:rPr>
          <w:rFonts w:ascii="Times New Roman" w:eastAsia="Times New Roman" w:hAnsi="Times New Roman" w:cs="Times New Roman"/>
          <w:sz w:val="20"/>
          <w:szCs w:val="20"/>
        </w:rPr>
        <w:t xml:space="preserve"> (last visited June 30, 2025).</w:t>
      </w:r>
    </w:p>
  </w:footnote>
  <w:footnote w:id="37">
    <w:p w14:paraId="000000C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i/>
          <w:sz w:val="20"/>
          <w:szCs w:val="20"/>
        </w:rPr>
        <w:t xml:space="preserve"> </w:t>
      </w:r>
      <w:r w:rsidRPr="004813DE">
        <w:rPr>
          <w:rFonts w:ascii="Times New Roman" w:eastAsia="Times New Roman" w:hAnsi="Times New Roman" w:cs="Times New Roman"/>
          <w:sz w:val="20"/>
          <w:szCs w:val="20"/>
        </w:rPr>
        <w:t>Simon Kemp,</w:t>
      </w:r>
      <w:r w:rsidRPr="004813DE">
        <w:rPr>
          <w:rFonts w:ascii="Times New Roman" w:eastAsia="Times New Roman" w:hAnsi="Times New Roman" w:cs="Times New Roman"/>
          <w:i/>
          <w:sz w:val="20"/>
          <w:szCs w:val="20"/>
        </w:rPr>
        <w:t xml:space="preserve"> Digital 2025: Tunisia</w:t>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DataReportal</w:t>
      </w:r>
      <w:proofErr w:type="spellEnd"/>
      <w:r w:rsidRPr="004813DE">
        <w:rPr>
          <w:rFonts w:ascii="Times New Roman" w:eastAsia="Times New Roman" w:hAnsi="Times New Roman" w:cs="Times New Roman"/>
          <w:sz w:val="20"/>
          <w:szCs w:val="20"/>
        </w:rPr>
        <w:t>, (Mar. 3, 2025), https://datareportal.com/reports/digital-2025-tunisia (last visited June 30, 2025).</w:t>
      </w:r>
    </w:p>
  </w:footnote>
  <w:footnote w:id="38">
    <w:p w14:paraId="000000C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36. </w:t>
      </w:r>
    </w:p>
  </w:footnote>
  <w:footnote w:id="39">
    <w:p w14:paraId="000000CA"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40">
    <w:p w14:paraId="000000CB"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34; Konstantin Aal, et al., </w:t>
      </w:r>
      <w:r w:rsidRPr="004813DE">
        <w:rPr>
          <w:rFonts w:ascii="Times New Roman" w:eastAsia="Times New Roman" w:hAnsi="Times New Roman" w:cs="Times New Roman"/>
          <w:i/>
          <w:sz w:val="20"/>
          <w:szCs w:val="20"/>
        </w:rPr>
        <w:t>Facebook and the Mass Media in Tunisia</w:t>
      </w:r>
      <w:r w:rsidRPr="004813DE">
        <w:rPr>
          <w:rFonts w:ascii="Times New Roman" w:eastAsia="Times New Roman" w:hAnsi="Times New Roman" w:cs="Times New Roman"/>
          <w:sz w:val="20"/>
          <w:szCs w:val="20"/>
        </w:rPr>
        <w:t xml:space="preserve">, (2018) at 147–148, </w:t>
      </w:r>
      <w:hyperlink r:id="rId14">
        <w:r w:rsidRPr="004813DE">
          <w:rPr>
            <w:rFonts w:ascii="Times New Roman" w:eastAsia="Times New Roman" w:hAnsi="Times New Roman" w:cs="Times New Roman"/>
            <w:sz w:val="20"/>
            <w:szCs w:val="20"/>
            <w:u w:val="single"/>
          </w:rPr>
          <w:t>https://mediarep.org/server/api/core/bitstreams/b211dcc9-c49b-4535-b545-2bb11104439a/content</w:t>
        </w:r>
      </w:hyperlink>
      <w:r w:rsidRPr="004813DE">
        <w:rPr>
          <w:rFonts w:ascii="Times New Roman" w:eastAsia="Times New Roman" w:hAnsi="Times New Roman" w:cs="Times New Roman"/>
          <w:sz w:val="20"/>
          <w:szCs w:val="20"/>
        </w:rPr>
        <w:t xml:space="preserve"> (last visited July 12, 2025).</w:t>
      </w:r>
    </w:p>
  </w:footnote>
  <w:footnote w:id="41">
    <w:p w14:paraId="000000C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Tarek Amara, </w:t>
      </w:r>
      <w:hyperlink r:id="rId15" w:anchor=":~:text=Tunisia's%20government%20said%20about%2020%2C000,them%20deported%20from%20their%20area.">
        <w:r w:rsidRPr="004813DE">
          <w:rPr>
            <w:rFonts w:ascii="Times New Roman" w:eastAsia="Times New Roman" w:hAnsi="Times New Roman" w:cs="Times New Roman"/>
            <w:i/>
            <w:sz w:val="20"/>
            <w:szCs w:val="20"/>
          </w:rPr>
          <w:t xml:space="preserve">Tunisia Dismantles Sub-Saharan Migrant Camps and Forcibly Deports Some, </w:t>
        </w:r>
      </w:hyperlink>
      <w:hyperlink r:id="rId16" w:anchor=":~:text=Tunisia's%20government%20said%20about%2020%2C000,them%20deported%20from%20their%20area.">
        <w:r w:rsidRPr="004813DE">
          <w:rPr>
            <w:rFonts w:ascii="Times New Roman" w:eastAsia="Times New Roman" w:hAnsi="Times New Roman" w:cs="Times New Roman"/>
            <w:sz w:val="20"/>
            <w:szCs w:val="20"/>
          </w:rPr>
          <w:t>Reuters</w:t>
        </w:r>
      </w:hyperlink>
      <w:r w:rsidRPr="004813DE">
        <w:rPr>
          <w:rFonts w:ascii="Times New Roman" w:eastAsia="Times New Roman" w:hAnsi="Times New Roman" w:cs="Times New Roman"/>
          <w:sz w:val="20"/>
          <w:szCs w:val="20"/>
        </w:rPr>
        <w:t xml:space="preserve">, (Apr. 25, 2025), </w:t>
      </w:r>
      <w:hyperlink r:id="rId17">
        <w:r w:rsidRPr="004813DE">
          <w:rPr>
            <w:rFonts w:ascii="Times New Roman" w:eastAsia="Times New Roman" w:hAnsi="Times New Roman" w:cs="Times New Roman"/>
            <w:sz w:val="20"/>
            <w:szCs w:val="20"/>
            <w:u w:val="single"/>
          </w:rPr>
          <w:t>https://www.reuters.com/world/africa/tunisia-dismantles-sub-saharan-migrant-camps-forcibly-deports-some-2025-04-05/</w:t>
        </w:r>
      </w:hyperlink>
      <w:r w:rsidRPr="004813DE">
        <w:rPr>
          <w:rFonts w:ascii="Times New Roman" w:eastAsia="Times New Roman" w:hAnsi="Times New Roman" w:cs="Times New Roman"/>
          <w:sz w:val="20"/>
          <w:szCs w:val="20"/>
        </w:rPr>
        <w:t>; The Arab Weekly,</w:t>
      </w:r>
      <w:r w:rsidRPr="004813DE">
        <w:rPr>
          <w:rFonts w:ascii="Times New Roman" w:eastAsia="Times New Roman" w:hAnsi="Times New Roman" w:cs="Times New Roman"/>
          <w:i/>
          <w:sz w:val="20"/>
          <w:szCs w:val="20"/>
        </w:rPr>
        <w:t xml:space="preserve"> </w:t>
      </w:r>
      <w:hyperlink r:id="rId18">
        <w:r w:rsidRPr="004813DE">
          <w:rPr>
            <w:rFonts w:ascii="Times New Roman" w:eastAsia="Times New Roman" w:hAnsi="Times New Roman" w:cs="Times New Roman"/>
            <w:i/>
            <w:sz w:val="20"/>
            <w:szCs w:val="20"/>
          </w:rPr>
          <w:t>Coping With Migrant Inflow, Tunisia Caught Between EU’s Pressures and Local Worries</w:t>
        </w:r>
      </w:hyperlink>
      <w:r w:rsidRPr="004813DE">
        <w:rPr>
          <w:rFonts w:ascii="Times New Roman" w:eastAsia="Times New Roman" w:hAnsi="Times New Roman" w:cs="Times New Roman"/>
          <w:sz w:val="20"/>
          <w:szCs w:val="20"/>
        </w:rPr>
        <w:t xml:space="preserve">, (Nov. 6, 2024), </w:t>
      </w:r>
      <w:hyperlink r:id="rId19">
        <w:r w:rsidRPr="004813DE">
          <w:rPr>
            <w:rFonts w:ascii="Times New Roman" w:eastAsia="Times New Roman" w:hAnsi="Times New Roman" w:cs="Times New Roman"/>
            <w:sz w:val="20"/>
            <w:szCs w:val="20"/>
            <w:u w:val="single"/>
          </w:rPr>
          <w:t>https://thearabweekly.com/coping-migrant-inflow-tunisia-caught-between-eus-pressures-and-local-worries</w:t>
        </w:r>
      </w:hyperlink>
      <w:r w:rsidRPr="004813DE">
        <w:rPr>
          <w:rFonts w:ascii="Times New Roman" w:eastAsia="Times New Roman" w:hAnsi="Times New Roman" w:cs="Times New Roman"/>
          <w:sz w:val="20"/>
          <w:szCs w:val="20"/>
        </w:rPr>
        <w:t xml:space="preserve"> (last visited July 3, 2025).</w:t>
      </w:r>
    </w:p>
  </w:footnote>
  <w:footnote w:id="42">
    <w:p w14:paraId="000000CD" w14:textId="77777777" w:rsidR="000D57C8" w:rsidRPr="004813DE" w:rsidRDefault="00000000">
      <w:pPr>
        <w:spacing w:line="240" w:lineRule="auto"/>
        <w:rPr>
          <w:rFonts w:ascii="Times New Roman" w:eastAsia="Times New Roman" w:hAnsi="Times New Roman" w:cs="Times New Roman"/>
          <w:i/>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43">
    <w:p w14:paraId="000000C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sz w:val="20"/>
          <w:szCs w:val="20"/>
        </w:rPr>
        <w:t>Agence</w:t>
      </w:r>
      <w:proofErr w:type="spellEnd"/>
      <w:r w:rsidRPr="004813DE">
        <w:rPr>
          <w:rFonts w:ascii="Times New Roman" w:eastAsia="Times New Roman" w:hAnsi="Times New Roman" w:cs="Times New Roman"/>
          <w:sz w:val="20"/>
          <w:szCs w:val="20"/>
        </w:rPr>
        <w:t xml:space="preserve"> Tunis Afrique Presse,</w:t>
      </w:r>
      <w:hyperlink r:id="rId20">
        <w:r w:rsidRPr="004813DE">
          <w:rPr>
            <w:rFonts w:ascii="Times New Roman" w:eastAsia="Times New Roman" w:hAnsi="Times New Roman" w:cs="Times New Roman"/>
            <w:i/>
            <w:sz w:val="20"/>
            <w:szCs w:val="20"/>
          </w:rPr>
          <w:t xml:space="preserve"> Largest Makeshift Camp of Irregular Migrants in El Amra and Jebeniana Evacuated</w:t>
        </w:r>
      </w:hyperlink>
      <w:r w:rsidRPr="004813DE">
        <w:rPr>
          <w:rFonts w:ascii="Times New Roman" w:eastAsia="Times New Roman" w:hAnsi="Times New Roman" w:cs="Times New Roman"/>
          <w:sz w:val="20"/>
          <w:szCs w:val="20"/>
        </w:rPr>
        <w:t xml:space="preserve">, (Apr. 6, 2025), </w:t>
      </w:r>
      <w:hyperlink r:id="rId21">
        <w:r w:rsidRPr="004813DE">
          <w:rPr>
            <w:rFonts w:ascii="Times New Roman" w:eastAsia="Times New Roman" w:hAnsi="Times New Roman" w:cs="Times New Roman"/>
            <w:sz w:val="20"/>
            <w:szCs w:val="20"/>
            <w:u w:val="single"/>
          </w:rPr>
          <w:t>https://www.tap.info.tn/en/Portal-Top-News-EN/18626295-largest-makeshift</w:t>
        </w:r>
      </w:hyperlink>
      <w:r w:rsidRPr="004813DE">
        <w:rPr>
          <w:rFonts w:ascii="Times New Roman" w:eastAsia="Times New Roman" w:hAnsi="Times New Roman" w:cs="Times New Roman"/>
          <w:sz w:val="20"/>
          <w:szCs w:val="20"/>
        </w:rPr>
        <w:t>.</w:t>
      </w:r>
    </w:p>
  </w:footnote>
  <w:footnote w:id="44">
    <w:p w14:paraId="000000C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Simon Speakman Cordall, </w:t>
      </w:r>
      <w:r w:rsidRPr="004813DE">
        <w:rPr>
          <w:rFonts w:ascii="Times New Roman" w:eastAsia="Times New Roman" w:hAnsi="Times New Roman" w:cs="Times New Roman"/>
          <w:i/>
          <w:sz w:val="20"/>
          <w:szCs w:val="20"/>
        </w:rPr>
        <w:t>In Tunisia, Refugees and Migrants Are Expelled to the Desert, Left Helpless</w:t>
      </w:r>
      <w:r w:rsidRPr="004813DE">
        <w:rPr>
          <w:rFonts w:ascii="Times New Roman" w:eastAsia="Times New Roman" w:hAnsi="Times New Roman" w:cs="Times New Roman"/>
          <w:sz w:val="20"/>
          <w:szCs w:val="20"/>
        </w:rPr>
        <w:t xml:space="preserve">, Al Jazeera (Sept. 12, 2024), </w:t>
      </w:r>
      <w:hyperlink r:id="rId22">
        <w:r w:rsidRPr="004813DE">
          <w:rPr>
            <w:rFonts w:ascii="Times New Roman" w:eastAsia="Times New Roman" w:hAnsi="Times New Roman" w:cs="Times New Roman"/>
            <w:sz w:val="20"/>
            <w:szCs w:val="20"/>
            <w:u w:val="single"/>
          </w:rPr>
          <w:t>https://www.aljazeera.com/news/2024/9/12/tunisia-refugees-and-migrants-are-expelled-to-the-desert-left-helpless</w:t>
        </w:r>
      </w:hyperlink>
      <w:r w:rsidRPr="004813DE">
        <w:rPr>
          <w:rFonts w:ascii="Times New Roman" w:eastAsia="Times New Roman" w:hAnsi="Times New Roman" w:cs="Times New Roman"/>
          <w:sz w:val="20"/>
          <w:szCs w:val="20"/>
        </w:rPr>
        <w:t>.</w:t>
      </w:r>
    </w:p>
  </w:footnote>
  <w:footnote w:id="45">
    <w:p w14:paraId="000000D0" w14:textId="77777777" w:rsidR="000D57C8" w:rsidRPr="003848C1" w:rsidRDefault="00000000">
      <w:pPr>
        <w:spacing w:line="240" w:lineRule="auto"/>
        <w:rPr>
          <w:rFonts w:ascii="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The Arab Weekly,</w:t>
      </w:r>
      <w:r w:rsidRPr="004813DE">
        <w:rPr>
          <w:rFonts w:ascii="Times New Roman" w:eastAsia="Times New Roman" w:hAnsi="Times New Roman" w:cs="Times New Roman"/>
          <w:i/>
          <w:sz w:val="20"/>
          <w:szCs w:val="20"/>
        </w:rPr>
        <w:t xml:space="preserve"> </w:t>
      </w:r>
      <w:hyperlink r:id="rId23">
        <w:r w:rsidRPr="004813DE">
          <w:rPr>
            <w:rFonts w:ascii="Times New Roman" w:eastAsia="Times New Roman" w:hAnsi="Times New Roman" w:cs="Times New Roman"/>
            <w:i/>
            <w:sz w:val="20"/>
            <w:szCs w:val="20"/>
          </w:rPr>
          <w:t>Coping With Migrant Inflow, Tunisia Caught Between EU’s Pressures and Local Worries</w:t>
        </w:r>
      </w:hyperlink>
      <w:r w:rsidRPr="004813DE">
        <w:rPr>
          <w:rFonts w:ascii="Times New Roman" w:eastAsia="Times New Roman" w:hAnsi="Times New Roman" w:cs="Times New Roman"/>
          <w:sz w:val="20"/>
          <w:szCs w:val="20"/>
        </w:rPr>
        <w:t xml:space="preserve">, (Nov. 6, 2024), </w:t>
      </w:r>
      <w:hyperlink r:id="rId24">
        <w:r w:rsidRPr="004813DE">
          <w:rPr>
            <w:rFonts w:ascii="Times New Roman" w:eastAsia="Times New Roman" w:hAnsi="Times New Roman" w:cs="Times New Roman"/>
            <w:sz w:val="20"/>
            <w:szCs w:val="20"/>
            <w:u w:val="single"/>
          </w:rPr>
          <w:t>https://thearabweekly.com/coping-migrant-inflow-tunisia-caught-between-eus-pressures-and-local-worries</w:t>
        </w:r>
      </w:hyperlink>
      <w:r w:rsidRPr="004813DE">
        <w:rPr>
          <w:rFonts w:ascii="Times New Roman" w:eastAsia="Times New Roman" w:hAnsi="Times New Roman" w:cs="Times New Roman"/>
          <w:sz w:val="20"/>
          <w:szCs w:val="20"/>
        </w:rPr>
        <w:t xml:space="preserve"> (last visited July 3, 2025).</w:t>
      </w:r>
      <w:r w:rsidRPr="003848C1">
        <w:rPr>
          <w:rFonts w:ascii="Times New Roman" w:hAnsi="Times New Roman" w:cs="Times New Roman"/>
          <w:sz w:val="20"/>
          <w:szCs w:val="20"/>
        </w:rPr>
        <w:t xml:space="preserve"> </w:t>
      </w:r>
    </w:p>
  </w:footnote>
  <w:footnote w:id="46">
    <w:p w14:paraId="000000D1"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47">
    <w:p w14:paraId="000000D2"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Amnesty Int’l, </w:t>
      </w:r>
      <w:r w:rsidRPr="004813DE">
        <w:rPr>
          <w:rFonts w:ascii="Times New Roman" w:eastAsia="Times New Roman" w:hAnsi="Times New Roman" w:cs="Times New Roman"/>
          <w:i/>
          <w:sz w:val="20"/>
          <w:szCs w:val="20"/>
        </w:rPr>
        <w:t>Tunisia: Repressive Crackdown on Civil Society Organizations Following Months of Escalating Violence Against Migrants and Refugees</w:t>
      </w:r>
      <w:r w:rsidRPr="004813DE">
        <w:rPr>
          <w:rFonts w:ascii="Times New Roman" w:eastAsia="Times New Roman" w:hAnsi="Times New Roman" w:cs="Times New Roman"/>
          <w:sz w:val="20"/>
          <w:szCs w:val="20"/>
        </w:rPr>
        <w:t xml:space="preserve"> (May 16, 2024), </w:t>
      </w:r>
      <w:hyperlink r:id="rId25">
        <w:r w:rsidRPr="004813DE">
          <w:rPr>
            <w:rFonts w:ascii="Times New Roman" w:eastAsia="Times New Roman" w:hAnsi="Times New Roman" w:cs="Times New Roman"/>
            <w:sz w:val="20"/>
            <w:szCs w:val="20"/>
            <w:u w:val="single"/>
          </w:rPr>
          <w:t>https://www.amnesty.org/en/latest/news/2024/05/tunisia-repressive-crackdown-on-civil-society-organizations-following-months-of-escalating-violence-against-migrants-and-refugees/</w:t>
        </w:r>
      </w:hyperlink>
      <w:r w:rsidRPr="004813DE">
        <w:rPr>
          <w:rFonts w:ascii="Times New Roman" w:eastAsia="Times New Roman" w:hAnsi="Times New Roman" w:cs="Times New Roman"/>
          <w:sz w:val="20"/>
          <w:szCs w:val="20"/>
        </w:rPr>
        <w:t xml:space="preserve"> (last visited July 3, 2025).</w:t>
      </w:r>
    </w:p>
  </w:footnote>
  <w:footnote w:id="48">
    <w:p w14:paraId="000000D3"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49">
    <w:p w14:paraId="000000D4"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50">
    <w:p w14:paraId="000000D5"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Comm. to Protect Journalists, </w:t>
      </w:r>
      <w:r w:rsidRPr="004813DE">
        <w:rPr>
          <w:rFonts w:ascii="Times New Roman" w:eastAsia="Times New Roman" w:hAnsi="Times New Roman" w:cs="Times New Roman"/>
          <w:i/>
          <w:sz w:val="20"/>
          <w:szCs w:val="20"/>
        </w:rPr>
        <w:t>Tunisia Must Release Jailed Commentator Sonia Dahmani, End Weaponization of Decree 54</w:t>
      </w:r>
      <w:r w:rsidRPr="004813DE">
        <w:rPr>
          <w:rFonts w:ascii="Times New Roman" w:eastAsia="Times New Roman" w:hAnsi="Times New Roman" w:cs="Times New Roman"/>
          <w:sz w:val="20"/>
          <w:szCs w:val="20"/>
        </w:rPr>
        <w:t xml:space="preserve"> (July 5, 2025), </w:t>
      </w:r>
      <w:hyperlink r:id="rId26">
        <w:r w:rsidRPr="004813DE">
          <w:rPr>
            <w:rFonts w:ascii="Times New Roman" w:eastAsia="Times New Roman" w:hAnsi="Times New Roman" w:cs="Times New Roman"/>
            <w:sz w:val="20"/>
            <w:szCs w:val="20"/>
            <w:u w:val="single"/>
          </w:rPr>
          <w:t>https://cpj.org/2025/07/Tunisia_CPJ-Led-Joint-Statement_Sonia-Dahmani.pdf</w:t>
        </w:r>
      </w:hyperlink>
      <w:r w:rsidRPr="004813DE">
        <w:rPr>
          <w:rFonts w:ascii="Times New Roman" w:eastAsia="Times New Roman" w:hAnsi="Times New Roman" w:cs="Times New Roman"/>
          <w:sz w:val="20"/>
          <w:szCs w:val="20"/>
        </w:rPr>
        <w:t>.</w:t>
      </w:r>
    </w:p>
  </w:footnote>
  <w:footnote w:id="51">
    <w:p w14:paraId="000000D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 xml:space="preserve">.; ARTICLE 19, </w:t>
      </w:r>
      <w:r w:rsidRPr="004813DE">
        <w:rPr>
          <w:rFonts w:ascii="Times New Roman" w:eastAsia="Times New Roman" w:hAnsi="Times New Roman" w:cs="Times New Roman"/>
          <w:i/>
          <w:sz w:val="20"/>
          <w:szCs w:val="20"/>
        </w:rPr>
        <w:t xml:space="preserve">Tunisia: Release Sonia </w:t>
      </w:r>
      <w:proofErr w:type="spellStart"/>
      <w:r w:rsidRPr="004813DE">
        <w:rPr>
          <w:rFonts w:ascii="Times New Roman" w:eastAsia="Times New Roman" w:hAnsi="Times New Roman" w:cs="Times New Roman"/>
          <w:i/>
          <w:sz w:val="20"/>
          <w:szCs w:val="20"/>
        </w:rPr>
        <w:t>Dahmani</w:t>
      </w:r>
      <w:proofErr w:type="spellEnd"/>
      <w:r w:rsidRPr="004813DE">
        <w:rPr>
          <w:rFonts w:ascii="Times New Roman" w:eastAsia="Times New Roman" w:hAnsi="Times New Roman" w:cs="Times New Roman"/>
          <w:i/>
          <w:sz w:val="20"/>
          <w:szCs w:val="20"/>
        </w:rPr>
        <w:t xml:space="preserve"> and End </w:t>
      </w:r>
      <w:proofErr w:type="spellStart"/>
      <w:r w:rsidRPr="004813DE">
        <w:rPr>
          <w:rFonts w:ascii="Times New Roman" w:eastAsia="Times New Roman" w:hAnsi="Times New Roman" w:cs="Times New Roman"/>
          <w:i/>
          <w:sz w:val="20"/>
          <w:szCs w:val="20"/>
        </w:rPr>
        <w:t>Weaponisation</w:t>
      </w:r>
      <w:proofErr w:type="spellEnd"/>
      <w:r w:rsidRPr="004813DE">
        <w:rPr>
          <w:rFonts w:ascii="Times New Roman" w:eastAsia="Times New Roman" w:hAnsi="Times New Roman" w:cs="Times New Roman"/>
          <w:i/>
          <w:sz w:val="20"/>
          <w:szCs w:val="20"/>
        </w:rPr>
        <w:t xml:space="preserve"> of Cybercrime Law</w:t>
      </w:r>
      <w:r w:rsidRPr="004813DE">
        <w:rPr>
          <w:rFonts w:ascii="Times New Roman" w:eastAsia="Times New Roman" w:hAnsi="Times New Roman" w:cs="Times New Roman"/>
          <w:sz w:val="20"/>
          <w:szCs w:val="20"/>
        </w:rPr>
        <w:t xml:space="preserve"> (July 11, 2025),</w:t>
      </w:r>
      <w:hyperlink r:id="rId27">
        <w:r w:rsidRPr="004813DE">
          <w:rPr>
            <w:rFonts w:ascii="Times New Roman" w:eastAsia="Times New Roman" w:hAnsi="Times New Roman" w:cs="Times New Roman"/>
            <w:sz w:val="20"/>
            <w:szCs w:val="20"/>
          </w:rPr>
          <w:t xml:space="preserve"> </w:t>
        </w:r>
      </w:hyperlink>
      <w:hyperlink r:id="rId28">
        <w:r w:rsidRPr="004813DE">
          <w:rPr>
            <w:rFonts w:ascii="Times New Roman" w:eastAsia="Times New Roman" w:hAnsi="Times New Roman" w:cs="Times New Roman"/>
            <w:sz w:val="20"/>
            <w:szCs w:val="20"/>
            <w:u w:val="single"/>
          </w:rPr>
          <w:t>https://www.article19.org/resources/tunisia-release-sonia-dahmani-and-end-weaponisation-of-cybercrime-law/</w:t>
        </w:r>
      </w:hyperlink>
      <w:r w:rsidRPr="004813DE">
        <w:rPr>
          <w:rFonts w:ascii="Times New Roman" w:eastAsia="Times New Roman" w:hAnsi="Times New Roman" w:cs="Times New Roman"/>
          <w:sz w:val="20"/>
          <w:szCs w:val="20"/>
        </w:rPr>
        <w:t xml:space="preserve"> (last visited July 12, 2025).</w:t>
      </w:r>
    </w:p>
  </w:footnote>
  <w:footnote w:id="52">
    <w:p w14:paraId="000000D7"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Wajiha Mekki, </w:t>
      </w:r>
      <w:r w:rsidRPr="004813DE">
        <w:rPr>
          <w:rFonts w:ascii="Times New Roman" w:eastAsia="Times New Roman" w:hAnsi="Times New Roman" w:cs="Times New Roman"/>
          <w:i/>
          <w:sz w:val="20"/>
          <w:szCs w:val="20"/>
        </w:rPr>
        <w:t>The Human Rights Concerns of Migration into North Africa</w:t>
      </w:r>
      <w:r w:rsidRPr="004813DE">
        <w:rPr>
          <w:rFonts w:ascii="Times New Roman" w:eastAsia="Times New Roman" w:hAnsi="Times New Roman" w:cs="Times New Roman"/>
          <w:sz w:val="20"/>
          <w:szCs w:val="20"/>
        </w:rPr>
        <w:t>, (Dec. 12, 2024),</w:t>
      </w:r>
      <w:r w:rsidRPr="004813DE">
        <w:rPr>
          <w:rFonts w:ascii="Times New Roman" w:eastAsia="Times New Roman" w:hAnsi="Times New Roman" w:cs="Times New Roman"/>
          <w:i/>
          <w:sz w:val="20"/>
          <w:szCs w:val="20"/>
        </w:rPr>
        <w:t xml:space="preserve"> UAB Inst. for Hum. </w:t>
      </w:r>
      <w:proofErr w:type="spellStart"/>
      <w:r w:rsidRPr="004813DE">
        <w:rPr>
          <w:rFonts w:ascii="Times New Roman" w:eastAsia="Times New Roman" w:hAnsi="Times New Roman" w:cs="Times New Roman"/>
          <w:i/>
          <w:sz w:val="20"/>
          <w:szCs w:val="20"/>
        </w:rPr>
        <w:t>Rts</w:t>
      </w:r>
      <w:proofErr w:type="spellEnd"/>
      <w:r w:rsidRPr="004813DE">
        <w:rPr>
          <w:rFonts w:ascii="Times New Roman" w:eastAsia="Times New Roman" w:hAnsi="Times New Roman" w:cs="Times New Roman"/>
          <w:i/>
          <w:sz w:val="20"/>
          <w:szCs w:val="20"/>
        </w:rPr>
        <w:t>. Blog</w:t>
      </w:r>
      <w:r w:rsidRPr="004813DE">
        <w:rPr>
          <w:rFonts w:ascii="Times New Roman" w:eastAsia="Times New Roman" w:hAnsi="Times New Roman" w:cs="Times New Roman"/>
          <w:sz w:val="20"/>
          <w:szCs w:val="20"/>
        </w:rPr>
        <w:t xml:space="preserve">, </w:t>
      </w:r>
      <w:hyperlink r:id="rId29" w:anchor=":~:text=Different%20abuses%20have%20been%20noted,accessible%20than%20a%20healthcare%20professional">
        <w:r w:rsidRPr="004813DE">
          <w:rPr>
            <w:rFonts w:ascii="Times New Roman" w:eastAsia="Times New Roman" w:hAnsi="Times New Roman" w:cs="Times New Roman"/>
            <w:sz w:val="20"/>
            <w:szCs w:val="20"/>
            <w:u w:val="single"/>
          </w:rPr>
          <w:t>https://sites.uab.edu/humanrights/2024/12/12/the-human-rights-concerns-of-migration-into-north-africa/</w:t>
        </w:r>
      </w:hyperlink>
      <w:r w:rsidRPr="004813DE">
        <w:rPr>
          <w:rFonts w:ascii="Times New Roman" w:eastAsia="Times New Roman" w:hAnsi="Times New Roman" w:cs="Times New Roman"/>
          <w:sz w:val="20"/>
          <w:szCs w:val="20"/>
        </w:rPr>
        <w:t xml:space="preserve"> (last visited July 3, 2025).</w:t>
      </w:r>
    </w:p>
  </w:footnote>
  <w:footnote w:id="53">
    <w:p w14:paraId="000000D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American Library Association, </w:t>
      </w:r>
      <w:r w:rsidRPr="004813DE">
        <w:rPr>
          <w:rFonts w:ascii="Times New Roman" w:eastAsia="Times New Roman" w:hAnsi="Times New Roman" w:cs="Times New Roman"/>
          <w:i/>
          <w:sz w:val="20"/>
          <w:szCs w:val="20"/>
        </w:rPr>
        <w:t>Digital Literacy</w:t>
      </w:r>
      <w:r w:rsidRPr="004813DE">
        <w:rPr>
          <w:rFonts w:ascii="Times New Roman" w:eastAsia="Times New Roman" w:hAnsi="Times New Roman" w:cs="Times New Roman"/>
          <w:sz w:val="20"/>
          <w:szCs w:val="20"/>
        </w:rPr>
        <w:t xml:space="preserve">, </w:t>
      </w:r>
      <w:hyperlink r:id="rId30">
        <w:r w:rsidRPr="004813DE">
          <w:rPr>
            <w:rFonts w:ascii="Times New Roman" w:eastAsia="Times New Roman" w:hAnsi="Times New Roman" w:cs="Times New Roman"/>
            <w:sz w:val="20"/>
            <w:szCs w:val="20"/>
            <w:u w:val="single"/>
          </w:rPr>
          <w:t>https://literacy.ala.org/digital-literacy/</w:t>
        </w:r>
      </w:hyperlink>
      <w:r w:rsidRPr="004813DE">
        <w:rPr>
          <w:rFonts w:ascii="Times New Roman" w:eastAsia="Times New Roman" w:hAnsi="Times New Roman" w:cs="Times New Roman"/>
          <w:sz w:val="20"/>
          <w:szCs w:val="20"/>
        </w:rPr>
        <w:t xml:space="preserve"> (last visited July 3, 2025).</w:t>
      </w:r>
    </w:p>
  </w:footnote>
  <w:footnote w:id="54">
    <w:p w14:paraId="000000D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UN Committee on Economic, Social and Cultural Rights, </w:t>
      </w:r>
      <w:r w:rsidRPr="004813DE">
        <w:rPr>
          <w:rFonts w:ascii="Times New Roman" w:eastAsia="Times New Roman" w:hAnsi="Times New Roman" w:cs="Times New Roman"/>
          <w:i/>
          <w:sz w:val="20"/>
          <w:szCs w:val="20"/>
        </w:rPr>
        <w:t>General Comment No. 25: Science and Economic, Social and Cultural Rights</w:t>
      </w:r>
      <w:r w:rsidRPr="004813DE">
        <w:rPr>
          <w:rFonts w:ascii="Times New Roman" w:eastAsia="Times New Roman" w:hAnsi="Times New Roman" w:cs="Times New Roman"/>
          <w:sz w:val="20"/>
          <w:szCs w:val="20"/>
        </w:rPr>
        <w:t xml:space="preserve">, ¶¶ 74–75, U.N. Doc. E/C.12/GC/25 (2023), </w:t>
      </w:r>
      <w:hyperlink r:id="rId31">
        <w:r w:rsidRPr="004813DE">
          <w:rPr>
            <w:rFonts w:ascii="Times New Roman" w:eastAsia="Times New Roman" w:hAnsi="Times New Roman" w:cs="Times New Roman"/>
            <w:sz w:val="20"/>
            <w:szCs w:val="20"/>
            <w:u w:val="single"/>
          </w:rPr>
          <w:t>https://undocs.org/E/C.12/GC/25</w:t>
        </w:r>
      </w:hyperlink>
      <w:r w:rsidRPr="004813DE">
        <w:rPr>
          <w:rFonts w:ascii="Times New Roman" w:eastAsia="Times New Roman" w:hAnsi="Times New Roman" w:cs="Times New Roman"/>
          <w:sz w:val="20"/>
          <w:szCs w:val="20"/>
        </w:rPr>
        <w:t>.</w:t>
      </w:r>
    </w:p>
  </w:footnote>
  <w:footnote w:id="55">
    <w:p w14:paraId="000000DA"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ARTICLE 19, </w:t>
      </w:r>
      <w:r w:rsidRPr="004813DE">
        <w:rPr>
          <w:rFonts w:ascii="Times New Roman" w:eastAsia="Times New Roman" w:hAnsi="Times New Roman" w:cs="Times New Roman"/>
          <w:i/>
          <w:sz w:val="20"/>
          <w:szCs w:val="20"/>
        </w:rPr>
        <w:t>Access to Information and Digitalization: Towards Transparent Public Administration in Tunisia</w:t>
      </w:r>
      <w:r w:rsidRPr="004813DE">
        <w:rPr>
          <w:rFonts w:ascii="Times New Roman" w:eastAsia="Times New Roman" w:hAnsi="Times New Roman" w:cs="Times New Roman"/>
          <w:sz w:val="20"/>
          <w:szCs w:val="20"/>
        </w:rPr>
        <w:t xml:space="preserve"> (Jan. 17, 2025), </w:t>
      </w:r>
      <w:hyperlink r:id="rId32">
        <w:r w:rsidRPr="004813DE">
          <w:rPr>
            <w:rFonts w:ascii="Times New Roman" w:eastAsia="Times New Roman" w:hAnsi="Times New Roman" w:cs="Times New Roman"/>
            <w:sz w:val="20"/>
            <w:szCs w:val="20"/>
            <w:u w:val="single"/>
          </w:rPr>
          <w:t>https://www.article19.org/wp-content/uploads/2025/01/Policy-Brief_Ang-cover.pdf</w:t>
        </w:r>
      </w:hyperlink>
      <w:r w:rsidRPr="004813DE">
        <w:rPr>
          <w:rFonts w:ascii="Times New Roman" w:eastAsia="Times New Roman" w:hAnsi="Times New Roman" w:cs="Times New Roman"/>
          <w:sz w:val="20"/>
          <w:szCs w:val="20"/>
        </w:rPr>
        <w:t xml:space="preserve"> (last visited July 5, 2025).</w:t>
      </w:r>
    </w:p>
  </w:footnote>
  <w:footnote w:id="56">
    <w:p w14:paraId="000000DB"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57">
    <w:p w14:paraId="000000D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58">
    <w:p w14:paraId="000000DD"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World Bank, </w:t>
      </w:r>
      <w:r w:rsidRPr="004813DE">
        <w:rPr>
          <w:rFonts w:ascii="Times New Roman" w:eastAsia="Times New Roman" w:hAnsi="Times New Roman" w:cs="Times New Roman"/>
          <w:i/>
          <w:sz w:val="20"/>
          <w:szCs w:val="20"/>
        </w:rPr>
        <w:t>Adult Literacy Rate, Population 15+ (%) – Tunisia</w:t>
      </w:r>
      <w:r w:rsidRPr="004813DE">
        <w:rPr>
          <w:rFonts w:ascii="Times New Roman" w:eastAsia="Times New Roman" w:hAnsi="Times New Roman" w:cs="Times New Roman"/>
          <w:sz w:val="20"/>
          <w:szCs w:val="20"/>
        </w:rPr>
        <w:t xml:space="preserve">, (Feb. 2024), </w:t>
      </w:r>
      <w:hyperlink r:id="rId33">
        <w:r w:rsidRPr="004813DE">
          <w:rPr>
            <w:rFonts w:ascii="Times New Roman" w:eastAsia="Times New Roman" w:hAnsi="Times New Roman" w:cs="Times New Roman"/>
            <w:sz w:val="20"/>
            <w:szCs w:val="20"/>
            <w:u w:val="single"/>
          </w:rPr>
          <w:t>https://data.worldbank.org/indicator/SE.ADT.LITR.ZS?locations=TN</w:t>
        </w:r>
      </w:hyperlink>
      <w:r w:rsidRPr="004813DE">
        <w:rPr>
          <w:rFonts w:ascii="Times New Roman" w:eastAsia="Times New Roman" w:hAnsi="Times New Roman" w:cs="Times New Roman"/>
          <w:sz w:val="20"/>
          <w:szCs w:val="20"/>
        </w:rPr>
        <w:t xml:space="preserve"> (last visited July 7, 2025).</w:t>
      </w:r>
    </w:p>
  </w:footnote>
  <w:footnote w:id="59">
    <w:p w14:paraId="000000D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60">
    <w:p w14:paraId="000000D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United Nations Development </w:t>
      </w:r>
      <w:proofErr w:type="spellStart"/>
      <w:r w:rsidRPr="004813DE">
        <w:rPr>
          <w:rFonts w:ascii="Times New Roman" w:eastAsia="Times New Roman" w:hAnsi="Times New Roman" w:cs="Times New Roman"/>
          <w:sz w:val="20"/>
          <w:szCs w:val="20"/>
        </w:rPr>
        <w:t>Programme</w:t>
      </w:r>
      <w:proofErr w:type="spellEnd"/>
      <w:r w:rsidRPr="004813DE">
        <w:rPr>
          <w:rFonts w:ascii="Times New Roman" w:eastAsia="Times New Roman" w:hAnsi="Times New Roman" w:cs="Times New Roman"/>
          <w:sz w:val="20"/>
          <w:szCs w:val="20"/>
        </w:rPr>
        <w:t xml:space="preserve">, </w:t>
      </w:r>
      <w:proofErr w:type="spellStart"/>
      <w:r w:rsidRPr="004813DE">
        <w:rPr>
          <w:rFonts w:ascii="Times New Roman" w:eastAsia="Times New Roman" w:hAnsi="Times New Roman" w:cs="Times New Roman"/>
          <w:i/>
          <w:sz w:val="20"/>
          <w:szCs w:val="20"/>
        </w:rPr>
        <w:t>Indice</w:t>
      </w:r>
      <w:proofErr w:type="spellEnd"/>
      <w:r w:rsidRPr="004813DE">
        <w:rPr>
          <w:rFonts w:ascii="Times New Roman" w:eastAsia="Times New Roman" w:hAnsi="Times New Roman" w:cs="Times New Roman"/>
          <w:i/>
          <w:sz w:val="20"/>
          <w:szCs w:val="20"/>
        </w:rPr>
        <w:t xml:space="preserve"> </w:t>
      </w:r>
      <w:proofErr w:type="spellStart"/>
      <w:r w:rsidRPr="004813DE">
        <w:rPr>
          <w:rFonts w:ascii="Times New Roman" w:eastAsia="Times New Roman" w:hAnsi="Times New Roman" w:cs="Times New Roman"/>
          <w:i/>
          <w:sz w:val="20"/>
          <w:szCs w:val="20"/>
        </w:rPr>
        <w:t>d’inclusion</w:t>
      </w:r>
      <w:proofErr w:type="spellEnd"/>
      <w:r w:rsidRPr="004813DE">
        <w:rPr>
          <w:rFonts w:ascii="Times New Roman" w:eastAsia="Times New Roman" w:hAnsi="Times New Roman" w:cs="Times New Roman"/>
          <w:i/>
          <w:sz w:val="20"/>
          <w:szCs w:val="20"/>
        </w:rPr>
        <w:t xml:space="preserve"> numérique 2023</w:t>
      </w:r>
      <w:r w:rsidRPr="004813DE">
        <w:rPr>
          <w:rFonts w:ascii="Times New Roman" w:eastAsia="Times New Roman" w:hAnsi="Times New Roman" w:cs="Times New Roman"/>
          <w:sz w:val="20"/>
          <w:szCs w:val="20"/>
        </w:rPr>
        <w:t xml:space="preserve">, (Mar. 2023), </w:t>
      </w:r>
      <w:hyperlink r:id="rId34">
        <w:r w:rsidRPr="004813DE">
          <w:rPr>
            <w:rFonts w:ascii="Times New Roman" w:eastAsia="Times New Roman" w:hAnsi="Times New Roman" w:cs="Times New Roman"/>
            <w:sz w:val="20"/>
            <w:szCs w:val="20"/>
            <w:u w:val="single"/>
          </w:rPr>
          <w:t>https://www.undp.org/sites/g/files/zskgke326/files/2023-03/IIN_Full.pdf</w:t>
        </w:r>
      </w:hyperlink>
      <w:r w:rsidRPr="004813DE">
        <w:rPr>
          <w:rFonts w:ascii="Times New Roman" w:eastAsia="Times New Roman" w:hAnsi="Times New Roman" w:cs="Times New Roman"/>
          <w:sz w:val="20"/>
          <w:szCs w:val="20"/>
        </w:rPr>
        <w:t>.</w:t>
      </w:r>
    </w:p>
  </w:footnote>
  <w:footnote w:id="61">
    <w:p w14:paraId="000000E0"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62">
    <w:p w14:paraId="000000E1"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63">
    <w:p w14:paraId="000000E2"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In total, Facebook’s ad reach in Tunisia was equivalent to 58.9 percent of the total population at the beginning of 2025;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40.</w:t>
      </w:r>
    </w:p>
  </w:footnote>
  <w:footnote w:id="64">
    <w:p w14:paraId="000000E3"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A factor that contributed to the atrocities against Rohingya was the general population’s reliance on Facebook. Before the atrocities occurred there was a “80 percent penetration of Facebook” and from 2014-2016 an explosion of users created 10 million Facebook users in Myanmar. Amnesty International, </w:t>
      </w:r>
      <w:r w:rsidRPr="004813DE">
        <w:rPr>
          <w:rFonts w:ascii="Times New Roman" w:eastAsia="Times New Roman" w:hAnsi="Times New Roman" w:cs="Times New Roman"/>
          <w:i/>
          <w:sz w:val="20"/>
          <w:szCs w:val="20"/>
        </w:rPr>
        <w:t>Submission to the Securities and Exchange Commission on Meta’s Violation of Security Law Concerning Facebook’s Role in the Atrocities Against the Rohingya in 2017</w:t>
      </w:r>
      <w:r w:rsidRPr="004813DE">
        <w:rPr>
          <w:rFonts w:ascii="Times New Roman" w:eastAsia="Times New Roman" w:hAnsi="Times New Roman" w:cs="Times New Roman"/>
          <w:sz w:val="20"/>
          <w:szCs w:val="20"/>
        </w:rPr>
        <w:t xml:space="preserve">, at 6 (January 23, 2025) </w:t>
      </w:r>
      <w:hyperlink r:id="rId35">
        <w:r w:rsidRPr="004813DE">
          <w:rPr>
            <w:rFonts w:ascii="Times New Roman" w:eastAsia="Times New Roman" w:hAnsi="Times New Roman" w:cs="Times New Roman"/>
            <w:sz w:val="20"/>
            <w:szCs w:val="20"/>
            <w:u w:val="single"/>
          </w:rPr>
          <w:t>https://www.amnesty.org/en/documents/asa16/8964/2025/en/</w:t>
        </w:r>
      </w:hyperlink>
      <w:r w:rsidRPr="004813DE">
        <w:rPr>
          <w:rFonts w:ascii="Times New Roman" w:eastAsia="Times New Roman" w:hAnsi="Times New Roman" w:cs="Times New Roman"/>
          <w:sz w:val="20"/>
          <w:szCs w:val="20"/>
        </w:rPr>
        <w:t>.</w:t>
      </w:r>
    </w:p>
  </w:footnote>
  <w:footnote w:id="65">
    <w:p w14:paraId="000000E4"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66">
    <w:p w14:paraId="000000E5"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Comm. on the Elimination of Racial Discrimination, </w:t>
      </w:r>
      <w:r w:rsidRPr="004813DE">
        <w:rPr>
          <w:rFonts w:ascii="Times New Roman" w:eastAsia="Times New Roman" w:hAnsi="Times New Roman" w:cs="Times New Roman"/>
          <w:i/>
          <w:sz w:val="20"/>
          <w:szCs w:val="20"/>
        </w:rPr>
        <w:t>General Recommendation No. 34</w:t>
      </w:r>
      <w:r w:rsidRPr="004813DE">
        <w:rPr>
          <w:rFonts w:ascii="Times New Roman" w:eastAsia="Times New Roman" w:hAnsi="Times New Roman" w:cs="Times New Roman"/>
          <w:sz w:val="20"/>
          <w:szCs w:val="20"/>
        </w:rPr>
        <w:t>, ¶ 51, U.N. Doc. CERD/C/GC/34 (Sept. 24, 2019).</w:t>
      </w:r>
    </w:p>
  </w:footnote>
  <w:footnote w:id="67">
    <w:p w14:paraId="000000E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 xml:space="preserve">. </w:t>
      </w:r>
    </w:p>
  </w:footnote>
  <w:footnote w:id="68">
    <w:p w14:paraId="000000E7"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69">
    <w:p w14:paraId="000000E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Comm. on the Elimination of Racial Discrimination, </w:t>
      </w:r>
      <w:r w:rsidRPr="004813DE">
        <w:rPr>
          <w:rFonts w:ascii="Times New Roman" w:eastAsia="Times New Roman" w:hAnsi="Times New Roman" w:cs="Times New Roman"/>
          <w:i/>
          <w:sz w:val="20"/>
          <w:szCs w:val="20"/>
        </w:rPr>
        <w:t>General Recommendation No. 30: Discrimination Against Non-Citizens</w:t>
      </w:r>
      <w:r w:rsidRPr="004813DE">
        <w:rPr>
          <w:rFonts w:ascii="Times New Roman" w:eastAsia="Times New Roman" w:hAnsi="Times New Roman" w:cs="Times New Roman"/>
          <w:sz w:val="20"/>
          <w:szCs w:val="20"/>
        </w:rPr>
        <w:t>, ¶ 9, U.N. Doc. CERD/C/64/Misc.11/rev.3 (2004).</w:t>
      </w:r>
    </w:p>
  </w:footnote>
  <w:footnote w:id="70">
    <w:p w14:paraId="000000E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15 at 15.</w:t>
      </w:r>
    </w:p>
  </w:footnote>
  <w:footnote w:id="71">
    <w:p w14:paraId="000000EA"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4.</w:t>
      </w:r>
    </w:p>
  </w:footnote>
  <w:footnote w:id="72">
    <w:p w14:paraId="000000EB"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73">
    <w:p w14:paraId="000000E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74">
    <w:p w14:paraId="000000ED"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75">
    <w:p w14:paraId="000000E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76">
    <w:p w14:paraId="000000E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77">
    <w:p w14:paraId="000000F0"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15 at 15.</w:t>
      </w:r>
    </w:p>
  </w:footnote>
  <w:footnote w:id="78">
    <w:p w14:paraId="000000F1" w14:textId="77777777" w:rsidR="000D57C8" w:rsidRPr="003848C1" w:rsidRDefault="00000000">
      <w:pPr>
        <w:spacing w:line="240" w:lineRule="auto"/>
        <w:rPr>
          <w:rFonts w:ascii="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4.</w:t>
      </w:r>
    </w:p>
  </w:footnote>
  <w:footnote w:id="79">
    <w:p w14:paraId="000000F2" w14:textId="77777777" w:rsidR="000D57C8" w:rsidRPr="003848C1" w:rsidRDefault="00000000">
      <w:pPr>
        <w:spacing w:line="240" w:lineRule="auto"/>
        <w:rPr>
          <w:rFonts w:ascii="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66.</w:t>
      </w:r>
    </w:p>
  </w:footnote>
  <w:footnote w:id="80">
    <w:p w14:paraId="000000F3"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15.</w:t>
      </w:r>
    </w:p>
  </w:footnote>
  <w:footnote w:id="81">
    <w:p w14:paraId="000000F4"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82">
    <w:p w14:paraId="000000F5"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30.</w:t>
      </w:r>
    </w:p>
  </w:footnote>
  <w:footnote w:id="83">
    <w:p w14:paraId="000000F6"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84">
    <w:p w14:paraId="000000F7"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55.</w:t>
      </w:r>
    </w:p>
  </w:footnote>
  <w:footnote w:id="85">
    <w:p w14:paraId="000000F8"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86">
    <w:p w14:paraId="000000F9"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66.</w:t>
      </w:r>
    </w:p>
  </w:footnote>
  <w:footnote w:id="87">
    <w:p w14:paraId="000000FA"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 at ¶ 35.</w:t>
      </w:r>
    </w:p>
  </w:footnote>
  <w:footnote w:id="88">
    <w:p w14:paraId="000000FB"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Shreya Parikh, </w:t>
      </w:r>
      <w:r w:rsidRPr="004813DE">
        <w:rPr>
          <w:rFonts w:ascii="Times New Roman" w:eastAsia="Times New Roman" w:hAnsi="Times New Roman" w:cs="Times New Roman"/>
          <w:i/>
          <w:sz w:val="20"/>
          <w:szCs w:val="20"/>
        </w:rPr>
        <w:t>The Limits of Confronting Racial Discrimination in Tunisia with Law 50</w:t>
      </w:r>
      <w:r w:rsidRPr="004813DE">
        <w:rPr>
          <w:rFonts w:ascii="Times New Roman" w:eastAsia="Times New Roman" w:hAnsi="Times New Roman" w:cs="Times New Roman"/>
          <w:sz w:val="20"/>
          <w:szCs w:val="20"/>
        </w:rPr>
        <w:t xml:space="preserve">, Middle E. Rep., No. 299 (2021), </w:t>
      </w:r>
      <w:hyperlink r:id="rId36" w:anchor="_edn6">
        <w:r w:rsidRPr="004813DE">
          <w:rPr>
            <w:rFonts w:ascii="Times New Roman" w:eastAsia="Times New Roman" w:hAnsi="Times New Roman" w:cs="Times New Roman"/>
            <w:sz w:val="20"/>
            <w:szCs w:val="20"/>
            <w:u w:val="single"/>
          </w:rPr>
          <w:t>https://merip.org/2021/08/the-limits-of-confronting-racial-discrimination-in-tunisia-with-law-50/#_edn6</w:t>
        </w:r>
      </w:hyperlink>
      <w:r w:rsidRPr="004813DE">
        <w:rPr>
          <w:rFonts w:ascii="Times New Roman" w:eastAsia="Times New Roman" w:hAnsi="Times New Roman" w:cs="Times New Roman"/>
          <w:sz w:val="20"/>
          <w:szCs w:val="20"/>
        </w:rPr>
        <w:t>.</w:t>
      </w:r>
    </w:p>
  </w:footnote>
  <w:footnote w:id="89">
    <w:p w14:paraId="000000FC"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35.</w:t>
      </w:r>
    </w:p>
  </w:footnote>
  <w:footnote w:id="90">
    <w:p w14:paraId="000000FD"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Tunisian president Kais Saied claimed that there was a “criminal plan to change the Tunisian demographic composition by foreign powers” in February 2023.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91">
    <w:p w14:paraId="000000FE"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55.</w:t>
      </w:r>
    </w:p>
  </w:footnote>
  <w:footnote w:id="92">
    <w:p w14:paraId="000000FF"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93">
    <w:p w14:paraId="00000100"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94">
    <w:p w14:paraId="00000101" w14:textId="7777777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w:t>
      </w:r>
      <w:r w:rsidRPr="004813DE">
        <w:rPr>
          <w:rFonts w:ascii="Times New Roman" w:eastAsia="Times New Roman" w:hAnsi="Times New Roman" w:cs="Times New Roman"/>
          <w:i/>
          <w:sz w:val="20"/>
          <w:szCs w:val="20"/>
        </w:rPr>
        <w:t>Id</w:t>
      </w:r>
      <w:r w:rsidRPr="004813DE">
        <w:rPr>
          <w:rFonts w:ascii="Times New Roman" w:eastAsia="Times New Roman" w:hAnsi="Times New Roman" w:cs="Times New Roman"/>
          <w:sz w:val="20"/>
          <w:szCs w:val="20"/>
        </w:rPr>
        <w:t>.</w:t>
      </w:r>
    </w:p>
  </w:footnote>
  <w:footnote w:id="95">
    <w:p w14:paraId="00000102" w14:textId="77777777" w:rsidR="000D57C8" w:rsidRPr="004813DE" w:rsidRDefault="00000000">
      <w:pPr>
        <w:spacing w:line="240" w:lineRule="auto"/>
        <w:rPr>
          <w:rFonts w:ascii="Times New Roman" w:eastAsia="Times New Roman" w:hAnsi="Times New Roman" w:cs="Times New Roman"/>
          <w:sz w:val="20"/>
          <w:szCs w:val="20"/>
          <w:highlight w:val="yellow"/>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“The Governmental Decree stipulates the National Commission to Combat Racial Discrimination shall perform, amongst other, the function of: Collecting and updating data related to racial discrimination, monitoring of violation and proposals for necessary measures.” </w:t>
      </w:r>
      <w:r w:rsidRPr="004813DE">
        <w:rPr>
          <w:rFonts w:ascii="Times New Roman" w:eastAsia="Times New Roman" w:hAnsi="Times New Roman" w:cs="Times New Roman"/>
          <w:i/>
          <w:sz w:val="20"/>
          <w:szCs w:val="20"/>
        </w:rPr>
        <w:t>Supra</w:t>
      </w:r>
      <w:r w:rsidRPr="004813DE">
        <w:rPr>
          <w:rFonts w:ascii="Times New Roman" w:eastAsia="Times New Roman" w:hAnsi="Times New Roman" w:cs="Times New Roman"/>
          <w:sz w:val="20"/>
          <w:szCs w:val="20"/>
        </w:rPr>
        <w:t xml:space="preserve"> note 6.</w:t>
      </w:r>
    </w:p>
  </w:footnote>
  <w:footnote w:id="96">
    <w:p w14:paraId="00000103" w14:textId="725041B7" w:rsidR="000D57C8" w:rsidRPr="004813DE" w:rsidRDefault="00000000">
      <w:pPr>
        <w:spacing w:line="240" w:lineRule="auto"/>
        <w:rPr>
          <w:rFonts w:ascii="Times New Roman" w:eastAsia="Times New Roman" w:hAnsi="Times New Roman" w:cs="Times New Roman"/>
          <w:sz w:val="20"/>
          <w:szCs w:val="20"/>
        </w:rPr>
      </w:pPr>
      <w:r w:rsidRPr="003848C1">
        <w:rPr>
          <w:rFonts w:ascii="Times New Roman" w:hAnsi="Times New Roman" w:cs="Times New Roman"/>
          <w:vertAlign w:val="superscript"/>
        </w:rPr>
        <w:footnoteRef/>
      </w:r>
      <w:r w:rsidRPr="004813DE">
        <w:rPr>
          <w:rFonts w:ascii="Times New Roman" w:eastAsia="Times New Roman" w:hAnsi="Times New Roman" w:cs="Times New Roman"/>
          <w:sz w:val="20"/>
          <w:szCs w:val="20"/>
        </w:rPr>
        <w:t xml:space="preserve"> Republic of Tunisia Ministry of Social Affairs, </w:t>
      </w:r>
      <w:r w:rsidRPr="004813DE">
        <w:rPr>
          <w:rFonts w:ascii="Times New Roman" w:eastAsia="Times New Roman" w:hAnsi="Times New Roman" w:cs="Times New Roman"/>
          <w:i/>
          <w:sz w:val="20"/>
          <w:szCs w:val="20"/>
        </w:rPr>
        <w:t xml:space="preserve">Second Opportunity </w:t>
      </w:r>
      <w:proofErr w:type="spellStart"/>
      <w:r w:rsidRPr="004813DE">
        <w:rPr>
          <w:rFonts w:ascii="Times New Roman" w:eastAsia="Times New Roman" w:hAnsi="Times New Roman" w:cs="Times New Roman"/>
          <w:i/>
          <w:sz w:val="20"/>
          <w:szCs w:val="20"/>
        </w:rPr>
        <w:t>Programme</w:t>
      </w:r>
      <w:proofErr w:type="spellEnd"/>
      <w:r w:rsidRPr="004813DE">
        <w:rPr>
          <w:rFonts w:ascii="Times New Roman" w:eastAsia="Times New Roman" w:hAnsi="Times New Roman" w:cs="Times New Roman"/>
          <w:i/>
          <w:sz w:val="20"/>
          <w:szCs w:val="20"/>
        </w:rPr>
        <w:t xml:space="preserve"> for Adolescents 12–18</w:t>
      </w:r>
      <w:r w:rsidRPr="004813DE">
        <w:rPr>
          <w:rFonts w:ascii="Times New Roman" w:eastAsia="Times New Roman" w:hAnsi="Times New Roman" w:cs="Times New Roman"/>
          <w:sz w:val="20"/>
          <w:szCs w:val="20"/>
        </w:rPr>
        <w:t xml:space="preserve">, </w:t>
      </w:r>
      <w:hyperlink r:id="rId37">
        <w:r w:rsidRPr="004813DE">
          <w:rPr>
            <w:rFonts w:ascii="Times New Roman" w:eastAsia="Times New Roman" w:hAnsi="Times New Roman" w:cs="Times New Roman"/>
            <w:sz w:val="20"/>
            <w:szCs w:val="20"/>
            <w:u w:val="single"/>
          </w:rPr>
          <w:t>https://www.social.gov.tn/en/second-opportunity-programme-adolescents-12-18</w:t>
        </w:r>
      </w:hyperlink>
      <w:r w:rsidRPr="004813DE">
        <w:rPr>
          <w:rFonts w:ascii="Times New Roman" w:eastAsia="Times New Roman" w:hAnsi="Times New Roman" w:cs="Times New Roman"/>
          <w:sz w:val="20"/>
          <w:szCs w:val="20"/>
        </w:rPr>
        <w:t xml:space="preserve">; Sam Kimball &amp; Pau González, </w:t>
      </w:r>
      <w:r w:rsidRPr="004813DE">
        <w:rPr>
          <w:rFonts w:ascii="Times New Roman" w:eastAsia="Times New Roman" w:hAnsi="Times New Roman" w:cs="Times New Roman"/>
          <w:i/>
          <w:sz w:val="20"/>
          <w:szCs w:val="20"/>
        </w:rPr>
        <w:t xml:space="preserve">A </w:t>
      </w:r>
      <w:hyperlink r:id="rId38" w:history="1">
        <w:r w:rsidRPr="003848C1">
          <w:rPr>
            <w:rStyle w:val="Hyperlink"/>
            <w:rFonts w:ascii="Times New Roman" w:eastAsia="Times New Roman" w:hAnsi="Times New Roman" w:cs="Times New Roman"/>
            <w:i/>
            <w:color w:val="000000" w:themeColor="text1"/>
            <w:sz w:val="20"/>
            <w:szCs w:val="20"/>
          </w:rPr>
          <w:t>Second Chance for Tunisian Children’s Dreams</w:t>
        </w:r>
      </w:hyperlink>
      <w:r w:rsidRPr="003848C1">
        <w:rPr>
          <w:rFonts w:ascii="Times New Roman" w:eastAsia="Times New Roman" w:hAnsi="Times New Roman" w:cs="Times New Roman"/>
          <w:color w:val="000000" w:themeColor="text1"/>
          <w:sz w:val="20"/>
          <w:szCs w:val="20"/>
        </w:rPr>
        <w:t xml:space="preserve">, </w:t>
      </w:r>
      <w:r w:rsidRPr="004813DE">
        <w:rPr>
          <w:rFonts w:ascii="Times New Roman" w:eastAsia="Times New Roman" w:hAnsi="Times New Roman" w:cs="Times New Roman"/>
          <w:sz w:val="20"/>
          <w:szCs w:val="20"/>
        </w:rPr>
        <w:t xml:space="preserve">UNICEF Tunisia (2021), </w:t>
      </w:r>
      <w:hyperlink r:id="rId39" w:history="1">
        <w:r w:rsidR="003848C1" w:rsidRPr="003848C1">
          <w:rPr>
            <w:rStyle w:val="Hyperlink"/>
            <w:rFonts w:ascii="Times New Roman" w:eastAsia="Times New Roman" w:hAnsi="Times New Roman" w:cs="Times New Roman"/>
            <w:color w:val="000000" w:themeColor="text1"/>
            <w:sz w:val="20"/>
            <w:szCs w:val="20"/>
          </w:rPr>
          <w:t>https://www.unicef.org/tunisia/recits/second-chance-tunisian-childrens-dreams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4" w14:textId="77777777" w:rsidR="000D57C8" w:rsidRDefault="000D57C8">
    <w:pPr>
      <w:jc w:val="center"/>
      <w:rPr>
        <w:rFonts w:ascii="Times New Roman" w:eastAsia="Times New Roman" w:hAnsi="Times New Roman" w:cs="Times New Roman"/>
        <w:b/>
        <w:sz w:val="24"/>
        <w:szCs w:val="24"/>
      </w:rPr>
    </w:pPr>
  </w:p>
  <w:p w14:paraId="00000105" w14:textId="77777777" w:rsidR="000D57C8" w:rsidRDefault="000D57C8">
    <w:pPr>
      <w:rPr>
        <w:rFonts w:ascii="Times New Roman" w:eastAsia="Times New Roman" w:hAnsi="Times New Roman" w:cs="Times New Roman"/>
        <w:b/>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6" w14:textId="77777777" w:rsidR="000D57C8" w:rsidRDefault="00000000">
    <w:r>
      <w:rPr>
        <w:noProof/>
      </w:rPr>
      <w:drawing>
        <wp:anchor distT="114300" distB="114300" distL="114300" distR="114300" simplePos="0" relativeHeight="251658240" behindDoc="0" locked="0" layoutInCell="1" hidden="0" allowOverlap="1" wp14:anchorId="6C2393B6" wp14:editId="2BE68F0D">
          <wp:simplePos x="0" y="0"/>
          <wp:positionH relativeFrom="column">
            <wp:posOffset>2</wp:posOffset>
          </wp:positionH>
          <wp:positionV relativeFrom="paragraph">
            <wp:posOffset>-142873</wp:posOffset>
          </wp:positionV>
          <wp:extent cx="1804988" cy="707711"/>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04988" cy="707711"/>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470AA8C9" wp14:editId="7EF9F04C">
          <wp:simplePos x="0" y="0"/>
          <wp:positionH relativeFrom="column">
            <wp:posOffset>2427089</wp:posOffset>
          </wp:positionH>
          <wp:positionV relativeFrom="paragraph">
            <wp:posOffset>-228598</wp:posOffset>
          </wp:positionV>
          <wp:extent cx="4030861" cy="87153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030861" cy="8715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F15CA"/>
    <w:multiLevelType w:val="multilevel"/>
    <w:tmpl w:val="2492538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555475"/>
    <w:multiLevelType w:val="multilevel"/>
    <w:tmpl w:val="A86E19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9A524C1"/>
    <w:multiLevelType w:val="multilevel"/>
    <w:tmpl w:val="87DA589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5E3610"/>
    <w:multiLevelType w:val="multilevel"/>
    <w:tmpl w:val="6B26F8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78E7D71"/>
    <w:multiLevelType w:val="multilevel"/>
    <w:tmpl w:val="5D4209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F25278A"/>
    <w:multiLevelType w:val="multilevel"/>
    <w:tmpl w:val="04FED6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40D918F9"/>
    <w:multiLevelType w:val="multilevel"/>
    <w:tmpl w:val="5A3E933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2004D47"/>
    <w:multiLevelType w:val="multilevel"/>
    <w:tmpl w:val="C78E48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A5C39D1"/>
    <w:multiLevelType w:val="multilevel"/>
    <w:tmpl w:val="7D0CB9E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11778A5"/>
    <w:multiLevelType w:val="multilevel"/>
    <w:tmpl w:val="48EC095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23822AB"/>
    <w:multiLevelType w:val="multilevel"/>
    <w:tmpl w:val="6BBEBC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786657967">
    <w:abstractNumId w:val="3"/>
  </w:num>
  <w:num w:numId="2" w16cid:durableId="1251548237">
    <w:abstractNumId w:val="2"/>
  </w:num>
  <w:num w:numId="3" w16cid:durableId="1862745984">
    <w:abstractNumId w:val="7"/>
  </w:num>
  <w:num w:numId="4" w16cid:durableId="179049785">
    <w:abstractNumId w:val="0"/>
  </w:num>
  <w:num w:numId="5" w16cid:durableId="551430364">
    <w:abstractNumId w:val="9"/>
  </w:num>
  <w:num w:numId="6" w16cid:durableId="1199515040">
    <w:abstractNumId w:val="8"/>
  </w:num>
  <w:num w:numId="7" w16cid:durableId="619990600">
    <w:abstractNumId w:val="5"/>
  </w:num>
  <w:num w:numId="8" w16cid:durableId="401416620">
    <w:abstractNumId w:val="6"/>
  </w:num>
  <w:num w:numId="9" w16cid:durableId="1898200766">
    <w:abstractNumId w:val="1"/>
  </w:num>
  <w:num w:numId="10" w16cid:durableId="760563625">
    <w:abstractNumId w:val="10"/>
  </w:num>
  <w:num w:numId="11" w16cid:durableId="112215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7C8"/>
    <w:rsid w:val="0008122F"/>
    <w:rsid w:val="000D57C8"/>
    <w:rsid w:val="001F6048"/>
    <w:rsid w:val="003848C1"/>
    <w:rsid w:val="003B1F85"/>
    <w:rsid w:val="004813DE"/>
    <w:rsid w:val="0060591B"/>
    <w:rsid w:val="00795C6B"/>
    <w:rsid w:val="00A93B86"/>
    <w:rsid w:val="00C05BC5"/>
    <w:rsid w:val="00E173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8F38"/>
  <w15:docId w15:val="{0E8745DD-FDAA-430B-AFC8-C3B6F46C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813DE"/>
    <w:pPr>
      <w:spacing w:line="240" w:lineRule="auto"/>
    </w:pPr>
  </w:style>
  <w:style w:type="paragraph" w:styleId="Header">
    <w:name w:val="header"/>
    <w:basedOn w:val="Normal"/>
    <w:link w:val="HeaderChar"/>
    <w:uiPriority w:val="99"/>
    <w:unhideWhenUsed/>
    <w:rsid w:val="004813DE"/>
    <w:pPr>
      <w:tabs>
        <w:tab w:val="center" w:pos="4680"/>
        <w:tab w:val="right" w:pos="9360"/>
      </w:tabs>
      <w:spacing w:line="240" w:lineRule="auto"/>
    </w:pPr>
  </w:style>
  <w:style w:type="character" w:customStyle="1" w:styleId="HeaderChar">
    <w:name w:val="Header Char"/>
    <w:basedOn w:val="DefaultParagraphFont"/>
    <w:link w:val="Header"/>
    <w:uiPriority w:val="99"/>
    <w:rsid w:val="004813DE"/>
  </w:style>
  <w:style w:type="paragraph" w:styleId="Footer">
    <w:name w:val="footer"/>
    <w:basedOn w:val="Normal"/>
    <w:link w:val="FooterChar"/>
    <w:uiPriority w:val="99"/>
    <w:unhideWhenUsed/>
    <w:rsid w:val="004813DE"/>
    <w:pPr>
      <w:tabs>
        <w:tab w:val="center" w:pos="4680"/>
        <w:tab w:val="right" w:pos="9360"/>
      </w:tabs>
      <w:spacing w:line="240" w:lineRule="auto"/>
    </w:pPr>
  </w:style>
  <w:style w:type="character" w:customStyle="1" w:styleId="FooterChar">
    <w:name w:val="Footer Char"/>
    <w:basedOn w:val="DefaultParagraphFont"/>
    <w:link w:val="Footer"/>
    <w:uiPriority w:val="99"/>
    <w:rsid w:val="004813DE"/>
  </w:style>
  <w:style w:type="character" w:styleId="Hyperlink">
    <w:name w:val="Hyperlink"/>
    <w:basedOn w:val="DefaultParagraphFont"/>
    <w:uiPriority w:val="99"/>
    <w:unhideWhenUsed/>
    <w:rsid w:val="003848C1"/>
    <w:rPr>
      <w:color w:val="0000FF" w:themeColor="hyperlink"/>
      <w:u w:val="single"/>
    </w:rPr>
  </w:style>
  <w:style w:type="character" w:styleId="UnresolvedMention">
    <w:name w:val="Unresolved Mention"/>
    <w:basedOn w:val="DefaultParagraphFont"/>
    <w:uiPriority w:val="99"/>
    <w:semiHidden/>
    <w:unhideWhenUsed/>
    <w:rsid w:val="00384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zzrizvi@lawnet.uci.edu"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sugiyama@law.uci.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ccheun2@lawnet.uci.edu"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antounl@lawnet.uci.edu"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datareportal.com/reports/digital-2024-tunisia" TargetMode="External"/><Relationship Id="rId18" Type="http://schemas.openxmlformats.org/officeDocument/2006/relationships/hyperlink" Target="https://thearabweekly.com/coping-migrant-inflow-tunisia-caught-between-eus-pressures-and-local-worries" TargetMode="External"/><Relationship Id="rId26" Type="http://schemas.openxmlformats.org/officeDocument/2006/relationships/hyperlink" Target="https://cpj.org/wp-content/uploads/2025/07/Tunisia_CPJ-Led-Joint-Statement_Sonia-Dahmani-.pdf" TargetMode="External"/><Relationship Id="rId39" Type="http://schemas.openxmlformats.org/officeDocument/2006/relationships/hyperlink" Target="https://www.unicef.org/tunisia/recits/second-chance-tunisian-childrens-dreams" TargetMode="External"/><Relationship Id="rId21" Type="http://schemas.openxmlformats.org/officeDocument/2006/relationships/hyperlink" Target="https://www.tap.info.tn/en/Portal-Top-News-EN/18626295-largest-makeshift" TargetMode="External"/><Relationship Id="rId34" Type="http://schemas.openxmlformats.org/officeDocument/2006/relationships/hyperlink" Target="https://www.undp.org/sites/g/files/zskgke326/files/2023-03/IIN_Full.pdf" TargetMode="External"/><Relationship Id="rId7" Type="http://schemas.openxmlformats.org/officeDocument/2006/relationships/hyperlink" Target="https://carnegieendowment.org/sada/2024/04/from-tunis-to-cairo-europe-extends-its-border-across-north-africa?lang=en" TargetMode="External"/><Relationship Id="rId12" Type="http://schemas.openxmlformats.org/officeDocument/2006/relationships/hyperlink" Target="https://advox.globalvoices.org/2023/07/19/how-will-tunisia-include-its-growing-poor-in-an-increasingly-digital-society/" TargetMode="External"/><Relationship Id="rId17" Type="http://schemas.openxmlformats.org/officeDocument/2006/relationships/hyperlink" Target="https://www.reuters.com/world/africa/tunisia-dismantles-sub-saharan-migrant-camps-forcibly-deports-some-2025-04-05/" TargetMode="External"/><Relationship Id="rId25" Type="http://schemas.openxmlformats.org/officeDocument/2006/relationships/hyperlink" Target="https://www.amnesty.org/en/latest/news/2024/05/tunisia-repressive-crackdown-on-civil-society-organizations-following-months-of-escalating-violence-against-migrants-and-refugees/" TargetMode="External"/><Relationship Id="rId33" Type="http://schemas.openxmlformats.org/officeDocument/2006/relationships/hyperlink" Target="https://data.worldbank.org/indicator/SE.ADT.LITR.ZS?locations=TN" TargetMode="External"/><Relationship Id="rId38" Type="http://schemas.openxmlformats.org/officeDocument/2006/relationships/hyperlink" Target="https://www.unicef.org/tunisia/recits/second-chance-tunisian-childrens-dreams" TargetMode="External"/><Relationship Id="rId2" Type="http://schemas.openxmlformats.org/officeDocument/2006/relationships/hyperlink" Target="https://ijclinic.law.uci.edu/about-the-clinic/" TargetMode="External"/><Relationship Id="rId16" Type="http://schemas.openxmlformats.org/officeDocument/2006/relationships/hyperlink" Target="https://www.reuters.com/world/africa/tunisia-dismantles-sub-saharan-migrant-camps-forcibly-deports-some-2025-04-05/" TargetMode="External"/><Relationship Id="rId20" Type="http://schemas.openxmlformats.org/officeDocument/2006/relationships/hyperlink" Target="https://allafrica.com/stories/202504070054.html" TargetMode="External"/><Relationship Id="rId29" Type="http://schemas.openxmlformats.org/officeDocument/2006/relationships/hyperlink" Target="https://sites.uab.edu/humanrights/2024/12/12/the-human-rights-concerns-of-migration-into-north-africa/" TargetMode="External"/><Relationship Id="rId1" Type="http://schemas.openxmlformats.org/officeDocument/2006/relationships/hyperlink" Target="https://smex.org/about-us/" TargetMode="External"/><Relationship Id="rId6" Type="http://schemas.openxmlformats.org/officeDocument/2006/relationships/hyperlink" Target="https://carnegie-production-assets.s3.amazonaws.com/static/files/Hamza_Migration-1.pdf" TargetMode="External"/><Relationship Id="rId11" Type="http://schemas.openxmlformats.org/officeDocument/2006/relationships/hyperlink" Target="https://advox.globalvoices.org/2023/07/19/how-will-tunisia-include-its-growing-poor-in-an-increasingly-digital-society/" TargetMode="External"/><Relationship Id="rId24" Type="http://schemas.openxmlformats.org/officeDocument/2006/relationships/hyperlink" Target="https://thearabweekly.com/coping-migrant-inflow-tunisia-caught-between-eus-pressures-and-local-worries" TargetMode="External"/><Relationship Id="rId32" Type="http://schemas.openxmlformats.org/officeDocument/2006/relationships/hyperlink" Target="https://www.article19.org/wp-content/uploads/2025/01/Policy-Brief_Ang-cover.pdf" TargetMode="External"/><Relationship Id="rId37" Type="http://schemas.openxmlformats.org/officeDocument/2006/relationships/hyperlink" Target="https://www.social.gov.tn/en/second-opportunity-programme-adolescents-12-18" TargetMode="External"/><Relationship Id="rId5" Type="http://schemas.openxmlformats.org/officeDocument/2006/relationships/hyperlink" Target="https://timep.org/2023/03/21/anti-blackness-and-identity-in-tunisia-qa-with-houda-mzioudet/" TargetMode="External"/><Relationship Id="rId15" Type="http://schemas.openxmlformats.org/officeDocument/2006/relationships/hyperlink" Target="https://www.reuters.com/world/africa/tunisia-dismantles-sub-saharan-migrant-camps-forcibly-deports-some-2025-04-05/" TargetMode="External"/><Relationship Id="rId23" Type="http://schemas.openxmlformats.org/officeDocument/2006/relationships/hyperlink" Target="https://thearabweekly.com/coping-migrant-inflow-tunisia-caught-between-eus-pressures-and-local-worries" TargetMode="External"/><Relationship Id="rId28" Type="http://schemas.openxmlformats.org/officeDocument/2006/relationships/hyperlink" Target="https://www.article19.org/resources/tunisia-release-sonia-dahmani-and-end-weaponisation-of-cybercrime-law/" TargetMode="External"/><Relationship Id="rId36" Type="http://schemas.openxmlformats.org/officeDocument/2006/relationships/hyperlink" Target="https://merip.org/2021/08/the-limits-of-confronting-racial-discrimination-in-tunisia-with-law-50/" TargetMode="External"/><Relationship Id="rId10" Type="http://schemas.openxmlformats.org/officeDocument/2006/relationships/hyperlink" Target="https://www.cima.ned.org/publication/tunisia-media-reform-a-volatile-process/" TargetMode="External"/><Relationship Id="rId19" Type="http://schemas.openxmlformats.org/officeDocument/2006/relationships/hyperlink" Target="https://thearabweekly.com/coping-migrant-inflow-tunisia-caught-between-eus-pressures-and-local-worries" TargetMode="External"/><Relationship Id="rId31" Type="http://schemas.openxmlformats.org/officeDocument/2006/relationships/hyperlink" Target="https://undocs.org/E/C.12/GC/25" TargetMode="External"/><Relationship Id="rId4" Type="http://schemas.openxmlformats.org/officeDocument/2006/relationships/hyperlink" Target="https://timep.org/2023/03/21/anti-blackness-and-identity-in-tunisia-qa-with-houda-mzioudet/" TargetMode="External"/><Relationship Id="rId9" Type="http://schemas.openxmlformats.org/officeDocument/2006/relationships/hyperlink" Target="https://1worldconnected.org/post/africa_digitalskills_youth_projectawasoltunisia/" TargetMode="External"/><Relationship Id="rId14" Type="http://schemas.openxmlformats.org/officeDocument/2006/relationships/hyperlink" Target="https://mediarep.org/server/api/core/bitstreams/b211dcc9-c49b-4535-b545-2bb11104439a/content" TargetMode="External"/><Relationship Id="rId22" Type="http://schemas.openxmlformats.org/officeDocument/2006/relationships/hyperlink" Target="https://www.aljazeera.com/news/2024/9/12/in-tunisia-refugees-and-migrants-are-expelled-to-the-desert-left-helpless" TargetMode="External"/><Relationship Id="rId27" Type="http://schemas.openxmlformats.org/officeDocument/2006/relationships/hyperlink" Target="https://www.article19.org/resources/tunisia-release-sonia-dahmani-and-end-weaponisation-of-cybercrime-law/" TargetMode="External"/><Relationship Id="rId30" Type="http://schemas.openxmlformats.org/officeDocument/2006/relationships/hyperlink" Target="https://literacy.ala.org/digital-literacy/" TargetMode="External"/><Relationship Id="rId35" Type="http://schemas.openxmlformats.org/officeDocument/2006/relationships/hyperlink" Target="https://www.amnesty.org/en/documents/asa16/8964/2025/en/" TargetMode="External"/><Relationship Id="rId8" Type="http://schemas.openxmlformats.org/officeDocument/2006/relationships/hyperlink" Target="https://1worldconnected.org/post/africa_digitalskills_youth_projectawasoltunisia/" TargetMode="External"/><Relationship Id="rId3" Type="http://schemas.openxmlformats.org/officeDocument/2006/relationships/hyperlink" Target="https://inkyfada.com/ar/2024/05/24/%D8%AA%D8%AD%D9%82%D9%8A%D9%82-%D8%B7%D8%B1%D8%AF-%D9%85%D9%87%D8%A7%D8%AC%D8%B1%D9%88%D9%86-%D8%AD%D8%AF%D9%88%D8%AF-%D8%AA%D9%88%D9%86%D8%B3/"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AzTcrQ/rKR7xOcVpofqiHZtKdQ==">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2025-10-20T15:51:12+00:00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65D823-2090-412C-83B4-7E19F5900C94}"/>
</file>

<file path=customXml/itemProps3.xml><?xml version="1.0" encoding="utf-8"?>
<ds:datastoreItem xmlns:ds="http://schemas.openxmlformats.org/officeDocument/2006/customXml" ds:itemID="{C84BA850-3BFE-4C13-8BDA-66AA373D435F}"/>
</file>

<file path=customXml/itemProps4.xml><?xml version="1.0" encoding="utf-8"?>
<ds:datastoreItem xmlns:ds="http://schemas.openxmlformats.org/officeDocument/2006/customXml" ds:itemID="{878073D6-DDA8-483A-ADBC-449DE317FEE8}"/>
</file>

<file path=docProps/app.xml><?xml version="1.0" encoding="utf-8"?>
<Properties xmlns="http://schemas.openxmlformats.org/officeDocument/2006/extended-properties" xmlns:vt="http://schemas.openxmlformats.org/officeDocument/2006/docPropsVTypes">
  <Template>Normal.dotm</Template>
  <TotalTime>2</TotalTime>
  <Pages>16</Pages>
  <Words>5307</Words>
  <Characters>30252</Characters>
  <Application>Microsoft Office Word</Application>
  <DocSecurity>0</DocSecurity>
  <Lines>252</Lines>
  <Paragraphs>70</Paragraphs>
  <ScaleCrop>false</ScaleCrop>
  <Company/>
  <LinksUpToDate>false</LinksUpToDate>
  <CharactersWithSpaces>35489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Hinako</dc:creator>
  <cp:lastModifiedBy>Joseph Cheung</cp:lastModifiedBy>
  <cp:revision>2</cp:revision>
  <dcterms:created xsi:type="dcterms:W3CDTF">2025-10-19T18:10:00Z</dcterms:created>
  <dcterms:modified xsi:type="dcterms:W3CDTF">2025-10-19T18:10:00Z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