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52FFB" w14:textId="1243DE0E" w:rsidR="00AA0F10" w:rsidRPr="00AA0F10" w:rsidRDefault="00313D52" w:rsidP="00AA0F10">
      <w:r w:rsidRPr="00AA0F10">
        <w:rPr>
          <w:noProof/>
          <w:color w:val="0000FF"/>
        </w:rPr>
        <w:drawing>
          <wp:anchor distT="0" distB="0" distL="114300" distR="114300" simplePos="0" relativeHeight="251658240" behindDoc="0" locked="0" layoutInCell="1" allowOverlap="1" wp14:anchorId="321421F6" wp14:editId="63C1C51F">
            <wp:simplePos x="0" y="0"/>
            <wp:positionH relativeFrom="column">
              <wp:posOffset>3674475</wp:posOffset>
            </wp:positionH>
            <wp:positionV relativeFrom="paragraph">
              <wp:posOffset>405</wp:posOffset>
            </wp:positionV>
            <wp:extent cx="2567139" cy="750138"/>
            <wp:effectExtent l="0" t="0" r="0" b="12065"/>
            <wp:wrapSquare wrapText="bothSides"/>
            <wp:docPr id="1" name="Picture 1" descr="nd Vio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 Violence">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7139" cy="7501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2C0B" w:rsidRPr="006C6674">
        <w:rPr>
          <w:rFonts w:ascii="Calibri" w:hAnsi="Calibri" w:cstheme="minorHAnsi"/>
          <w:b/>
          <w:sz w:val="32"/>
          <w:szCs w:val="28"/>
        </w:rPr>
        <w:t xml:space="preserve">BRIEFING ON </w:t>
      </w:r>
      <w:r w:rsidR="00392C0B" w:rsidRPr="006C6674">
        <w:rPr>
          <w:rFonts w:ascii="Calibri" w:hAnsi="Calibri" w:cstheme="minorHAnsi"/>
          <w:b/>
          <w:sz w:val="32"/>
          <w:szCs w:val="28"/>
          <w:u w:val="single"/>
        </w:rPr>
        <w:t>MONTENEGRO</w:t>
      </w:r>
      <w:r w:rsidR="00392C0B" w:rsidRPr="006C6674">
        <w:rPr>
          <w:rFonts w:ascii="Calibri" w:hAnsi="Calibri" w:cstheme="minorHAnsi"/>
          <w:b/>
          <w:sz w:val="32"/>
          <w:szCs w:val="28"/>
        </w:rPr>
        <w:t xml:space="preserve"> FOR THE </w:t>
      </w:r>
      <w:r w:rsidR="00392C0B" w:rsidRPr="006C6674">
        <w:rPr>
          <w:rFonts w:ascii="Calibri" w:hAnsi="Calibri" w:cstheme="minorHAnsi"/>
          <w:b/>
          <w:sz w:val="32"/>
          <w:szCs w:val="28"/>
        </w:rPr>
        <w:br/>
        <w:t>COMMITTEE ON THE RIGHTS OF THE CHILD</w:t>
      </w:r>
    </w:p>
    <w:p w14:paraId="05264D56" w14:textId="19359C8F" w:rsidR="00392C0B" w:rsidRPr="006C6674" w:rsidRDefault="00392C0B" w:rsidP="00392C0B">
      <w:pPr>
        <w:spacing w:after="120"/>
        <w:rPr>
          <w:rFonts w:ascii="Calibri" w:hAnsi="Calibri" w:cstheme="minorHAnsi"/>
          <w:sz w:val="32"/>
          <w:szCs w:val="28"/>
        </w:rPr>
      </w:pPr>
      <w:r w:rsidRPr="006C6674">
        <w:rPr>
          <w:rFonts w:ascii="Calibri" w:hAnsi="Calibri" w:cstheme="minorHAnsi"/>
          <w:b/>
          <w:sz w:val="32"/>
          <w:szCs w:val="28"/>
        </w:rPr>
        <w:br/>
      </w:r>
    </w:p>
    <w:p w14:paraId="29718BE6" w14:textId="7EB6B0B0" w:rsidR="00392C0B" w:rsidRPr="006C6674" w:rsidRDefault="006C6674">
      <w:pPr>
        <w:rPr>
          <w:rFonts w:ascii="Calibri" w:hAnsi="Calibri"/>
          <w:u w:val="single"/>
        </w:rPr>
      </w:pPr>
      <w:bookmarkStart w:id="0" w:name="_GoBack"/>
      <w:r>
        <w:rPr>
          <w:rFonts w:ascii="Calibri" w:hAnsi="Calibri"/>
          <w:u w:val="single"/>
        </w:rPr>
        <w:t>The</w:t>
      </w:r>
      <w:r w:rsidR="00392C0B" w:rsidRPr="006C6674">
        <w:rPr>
          <w:rFonts w:ascii="Calibri" w:hAnsi="Calibri"/>
          <w:u w:val="single"/>
        </w:rPr>
        <w:t xml:space="preserve"> Global Partnership to End violence against children</w:t>
      </w:r>
      <w:bookmarkEnd w:id="0"/>
      <w:r w:rsidR="00392C0B" w:rsidRPr="006C6674">
        <w:rPr>
          <w:rFonts w:ascii="Calibri" w:hAnsi="Calibri"/>
          <w:u w:val="single"/>
        </w:rPr>
        <w:t>, June 2018</w:t>
      </w:r>
    </w:p>
    <w:p w14:paraId="115A23EC" w14:textId="77777777" w:rsidR="00392C0B" w:rsidRPr="006C6674" w:rsidRDefault="00392C0B" w:rsidP="00392C0B">
      <w:pPr>
        <w:rPr>
          <w:rFonts w:ascii="Calibri" w:hAnsi="Calibri"/>
        </w:rPr>
      </w:pPr>
    </w:p>
    <w:p w14:paraId="4A20CFDA" w14:textId="77777777" w:rsidR="00392C0B" w:rsidRPr="006C6674" w:rsidRDefault="00392C0B" w:rsidP="00392C0B">
      <w:pPr>
        <w:rPr>
          <w:rFonts w:ascii="Calibri" w:hAnsi="Calibri"/>
        </w:rPr>
      </w:pPr>
    </w:p>
    <w:p w14:paraId="40C82B12" w14:textId="63676802" w:rsidR="001C5E52" w:rsidRPr="006C6674" w:rsidRDefault="00392C0B" w:rsidP="001C5E52">
      <w:pPr>
        <w:spacing w:line="276" w:lineRule="auto"/>
        <w:jc w:val="both"/>
        <w:rPr>
          <w:rFonts w:ascii="Calibri" w:hAnsi="Calibri"/>
        </w:rPr>
      </w:pPr>
      <w:r w:rsidRPr="006C6674">
        <w:rPr>
          <w:rFonts w:ascii="Calibri" w:hAnsi="Calibri"/>
        </w:rPr>
        <w:t xml:space="preserve">The </w:t>
      </w:r>
      <w:r w:rsidR="001C5E52" w:rsidRPr="006C6674">
        <w:rPr>
          <w:rFonts w:ascii="Calibri" w:hAnsi="Calibri"/>
        </w:rPr>
        <w:t xml:space="preserve">Global Partnership to End Violence Against Children is where all major stakeholder groups come together to focus their words, actions and resources on ending violence against children - a unique public private partnership for all actors to hold themselves to account and work together to prevent and respond to violence against children. It includes governments, UN agencies, international organizations, civil society, faith groups, the private sector, philanthropic foundations, research practitioners, academics and children themselves. </w:t>
      </w:r>
    </w:p>
    <w:p w14:paraId="27B6EC37" w14:textId="77777777" w:rsidR="001C5E52" w:rsidRDefault="001C5E52" w:rsidP="00392C0B"/>
    <w:p w14:paraId="2F90D060" w14:textId="77777777" w:rsidR="001C5E52" w:rsidRDefault="001C5E52" w:rsidP="00392C0B"/>
    <w:p w14:paraId="6196B6E8" w14:textId="3FDD0560" w:rsidR="001C5E52" w:rsidRPr="006C6674" w:rsidRDefault="001C5E52" w:rsidP="00392C0B">
      <w:pPr>
        <w:rPr>
          <w:rFonts w:ascii="Calibri" w:hAnsi="Calibri"/>
          <w:b/>
          <w:sz w:val="26"/>
          <w:szCs w:val="26"/>
        </w:rPr>
      </w:pPr>
      <w:r w:rsidRPr="006C6674">
        <w:rPr>
          <w:rFonts w:ascii="Calibri" w:hAnsi="Calibri"/>
          <w:b/>
          <w:sz w:val="26"/>
          <w:szCs w:val="26"/>
        </w:rPr>
        <w:t xml:space="preserve">Recommendation 1: Domestic Violence </w:t>
      </w:r>
    </w:p>
    <w:p w14:paraId="6DF3DFC9" w14:textId="77777777" w:rsidR="001C5E52" w:rsidRDefault="001C5E52" w:rsidP="00392C0B"/>
    <w:p w14:paraId="2B7B4C6C" w14:textId="3B44E0DF" w:rsidR="00392C0B" w:rsidRPr="00FF0129" w:rsidRDefault="001C5E52" w:rsidP="00392C0B">
      <w:pPr>
        <w:pStyle w:val="Default"/>
        <w:spacing w:after="120" w:line="276" w:lineRule="auto"/>
        <w:jc w:val="both"/>
        <w:rPr>
          <w:rFonts w:asciiTheme="minorHAnsi" w:hAnsiTheme="minorHAnsi" w:cstheme="minorHAnsi"/>
        </w:rPr>
      </w:pPr>
      <w:r w:rsidRPr="001C5E52">
        <w:rPr>
          <w:rFonts w:asciiTheme="minorHAnsi" w:hAnsiTheme="minorHAnsi" w:cstheme="minorHAnsi"/>
        </w:rPr>
        <w:t>T</w:t>
      </w:r>
      <w:r w:rsidR="00392C0B" w:rsidRPr="001C5E52">
        <w:rPr>
          <w:rFonts w:asciiTheme="minorHAnsi" w:hAnsiTheme="minorHAnsi" w:cstheme="minorHAnsi"/>
        </w:rPr>
        <w:t xml:space="preserve">he </w:t>
      </w:r>
      <w:r w:rsidR="006C6674">
        <w:rPr>
          <w:rFonts w:asciiTheme="minorHAnsi" w:hAnsiTheme="minorHAnsi" w:cstheme="minorHAnsi"/>
        </w:rPr>
        <w:t>National Plan for Children</w:t>
      </w:r>
      <w:r w:rsidR="00392C0B" w:rsidRPr="001C5E52">
        <w:rPr>
          <w:rFonts w:asciiTheme="minorHAnsi" w:hAnsiTheme="minorHAnsi" w:cstheme="minorHAnsi"/>
        </w:rPr>
        <w:t xml:space="preserve"> (2013) was adopted</w:t>
      </w:r>
      <w:r>
        <w:rPr>
          <w:rFonts w:asciiTheme="minorHAnsi" w:hAnsiTheme="minorHAnsi" w:cstheme="minorHAnsi"/>
        </w:rPr>
        <w:t xml:space="preserve"> </w:t>
      </w:r>
      <w:r w:rsidR="006C6674">
        <w:rPr>
          <w:rFonts w:asciiTheme="minorHAnsi" w:hAnsiTheme="minorHAnsi" w:cstheme="minorHAnsi"/>
        </w:rPr>
        <w:t>along with</w:t>
      </w:r>
      <w:r>
        <w:rPr>
          <w:rFonts w:asciiTheme="minorHAnsi" w:hAnsiTheme="minorHAnsi" w:cstheme="minorHAnsi"/>
        </w:rPr>
        <w:t xml:space="preserve"> </w:t>
      </w:r>
      <w:r w:rsidRPr="00FF0129">
        <w:rPr>
          <w:rFonts w:asciiTheme="minorHAnsi" w:hAnsiTheme="minorHAnsi" w:cstheme="minorHAnsi"/>
        </w:rPr>
        <w:t>the Foster Development Strategy (2012-2016</w:t>
      </w:r>
      <w:r>
        <w:rPr>
          <w:rFonts w:asciiTheme="minorHAnsi" w:hAnsiTheme="minorHAnsi" w:cstheme="minorHAnsi"/>
        </w:rPr>
        <w:t>), the</w:t>
      </w:r>
      <w:r w:rsidR="00392C0B" w:rsidRPr="00FF0129">
        <w:rPr>
          <w:rFonts w:asciiTheme="minorHAnsi" w:hAnsiTheme="minorHAnsi" w:cstheme="minorHAnsi"/>
        </w:rPr>
        <w:t xml:space="preserve"> Strategy for the Development of the Social and Chil</w:t>
      </w:r>
      <w:r>
        <w:rPr>
          <w:rFonts w:asciiTheme="minorHAnsi" w:hAnsiTheme="minorHAnsi" w:cstheme="minorHAnsi"/>
        </w:rPr>
        <w:t xml:space="preserve">d Protection System (2013-2017) and </w:t>
      </w:r>
      <w:r w:rsidR="00392C0B" w:rsidRPr="00FF0129">
        <w:rPr>
          <w:rFonts w:asciiTheme="minorHAnsi" w:hAnsiTheme="minorHAnsi" w:cstheme="minorHAnsi"/>
        </w:rPr>
        <w:t xml:space="preserve">the Strategy for Protection against Domestic Violence (2016-2020). </w:t>
      </w:r>
      <w:r w:rsidR="00313D52">
        <w:rPr>
          <w:rFonts w:asciiTheme="minorHAnsi" w:hAnsiTheme="minorHAnsi" w:cstheme="minorHAnsi"/>
        </w:rPr>
        <w:t>Additionally</w:t>
      </w:r>
      <w:r w:rsidR="00D85E4A">
        <w:rPr>
          <w:rFonts w:asciiTheme="minorHAnsi" w:hAnsiTheme="minorHAnsi" w:cstheme="minorHAnsi"/>
        </w:rPr>
        <w:t>,</w:t>
      </w:r>
      <w:r w:rsidR="00313D52">
        <w:rPr>
          <w:rFonts w:asciiTheme="minorHAnsi" w:hAnsiTheme="minorHAnsi" w:cstheme="minorHAnsi"/>
        </w:rPr>
        <w:t xml:space="preserve"> the Law on Protection from Domestic Violence, the Law on Social and Child Protection (2013) have been milestones in the legal Montenegrin setting. </w:t>
      </w:r>
      <w:r>
        <w:rPr>
          <w:rFonts w:asciiTheme="minorHAnsi" w:hAnsiTheme="minorHAnsi" w:cstheme="minorHAnsi"/>
        </w:rPr>
        <w:t xml:space="preserve">Hence, some improvement has been made on the issue. Nevertheless, what must be witnessed is whether these </w:t>
      </w:r>
      <w:r w:rsidR="006C6674">
        <w:rPr>
          <w:rFonts w:asciiTheme="minorHAnsi" w:hAnsiTheme="minorHAnsi" w:cstheme="minorHAnsi"/>
        </w:rPr>
        <w:t xml:space="preserve">policies are strong and effective in practice. This will depend on the existing system of laws and on whether the country has a solid implementation mechanism. </w:t>
      </w:r>
    </w:p>
    <w:p w14:paraId="22050547" w14:textId="77777777" w:rsidR="00392C0B" w:rsidRDefault="00392C0B" w:rsidP="00392C0B"/>
    <w:p w14:paraId="441BA46B" w14:textId="663B5F7A" w:rsidR="00313D52" w:rsidRDefault="006C6674" w:rsidP="00313D52">
      <w:pPr>
        <w:pStyle w:val="Heading2"/>
      </w:pPr>
      <w:bookmarkStart w:id="1" w:name="_Toc490499039"/>
      <w:r>
        <w:t>Recommendation 2</w:t>
      </w:r>
      <w:r w:rsidR="00392C0B" w:rsidRPr="00FF0129">
        <w:t xml:space="preserve"> –Corporal Punishment</w:t>
      </w:r>
      <w:bookmarkEnd w:id="1"/>
      <w:r w:rsidR="00392C0B" w:rsidRPr="00FF0129">
        <w:t xml:space="preserve"> </w:t>
      </w:r>
      <w:r w:rsidR="005049CC">
        <w:t>Abolishment and Punishment mechanism</w:t>
      </w:r>
    </w:p>
    <w:p w14:paraId="1BE3F38E" w14:textId="77777777" w:rsidR="00313D52" w:rsidRDefault="00313D52" w:rsidP="00313D52"/>
    <w:p w14:paraId="13035DA3" w14:textId="5ECDE912" w:rsidR="00313D52" w:rsidRDefault="00D85E4A" w:rsidP="005049CC">
      <w:pPr>
        <w:spacing w:line="276" w:lineRule="auto"/>
        <w:jc w:val="both"/>
        <w:rPr>
          <w:rFonts w:ascii="Calibri" w:hAnsi="Calibri"/>
        </w:rPr>
      </w:pPr>
      <w:r>
        <w:rPr>
          <w:rFonts w:ascii="Calibri" w:hAnsi="Calibri"/>
        </w:rPr>
        <w:t xml:space="preserve">The </w:t>
      </w:r>
      <w:r w:rsidRPr="005049CC">
        <w:rPr>
          <w:rFonts w:ascii="Calibri" w:hAnsi="Calibri"/>
          <w:u w:val="single"/>
        </w:rPr>
        <w:t>legal framework</w:t>
      </w:r>
      <w:r>
        <w:rPr>
          <w:rFonts w:ascii="Calibri" w:hAnsi="Calibri"/>
        </w:rPr>
        <w:t xml:space="preserve"> provides some strong baselines for the outright prohibition of corporal punishment, and this was reinforced by the adoption of the laws on domestic violence abolition. For instance, the Law on the Amendments to Family Law explicitly prohibited corporal punishment on children. However, the provisions do not provide basic definitions on what constitutes “corporal punishment”, and what “acts</w:t>
      </w:r>
      <w:r w:rsidR="005049CC">
        <w:rPr>
          <w:rFonts w:ascii="Calibri" w:hAnsi="Calibri"/>
        </w:rPr>
        <w:t xml:space="preserve"> and settings”</w:t>
      </w:r>
      <w:r>
        <w:rPr>
          <w:rFonts w:ascii="Calibri" w:hAnsi="Calibri"/>
        </w:rPr>
        <w:t xml:space="preserve"> the Law is supposed to cover.   Additionally, no forms of victim redress and perpetrator penalties are enlisted; causing uncertainty on the consequences of such </w:t>
      </w:r>
      <w:r w:rsidR="00F36554">
        <w:rPr>
          <w:rFonts w:ascii="Calibri" w:hAnsi="Calibri"/>
        </w:rPr>
        <w:t xml:space="preserve">offence. </w:t>
      </w:r>
    </w:p>
    <w:p w14:paraId="4D76DC48" w14:textId="77777777" w:rsidR="005049CC" w:rsidRDefault="005049CC" w:rsidP="005049CC">
      <w:pPr>
        <w:spacing w:line="276" w:lineRule="auto"/>
        <w:jc w:val="both"/>
        <w:rPr>
          <w:rFonts w:ascii="Calibri" w:hAnsi="Calibri"/>
        </w:rPr>
      </w:pPr>
    </w:p>
    <w:p w14:paraId="2D9A05B6" w14:textId="7B0257AA" w:rsidR="005049CC" w:rsidRDefault="005049CC" w:rsidP="005049CC">
      <w:pPr>
        <w:spacing w:line="276" w:lineRule="auto"/>
        <w:jc w:val="both"/>
        <w:rPr>
          <w:rFonts w:ascii="Calibri" w:hAnsi="Calibri"/>
        </w:rPr>
      </w:pPr>
      <w:r>
        <w:rPr>
          <w:rFonts w:ascii="Calibri" w:hAnsi="Calibri"/>
        </w:rPr>
        <w:t xml:space="preserve">On the </w:t>
      </w:r>
      <w:r w:rsidRPr="005049CC">
        <w:rPr>
          <w:rFonts w:ascii="Calibri" w:hAnsi="Calibri"/>
          <w:u w:val="single"/>
        </w:rPr>
        <w:t>policy perspective</w:t>
      </w:r>
      <w:r>
        <w:rPr>
          <w:rFonts w:ascii="Calibri" w:hAnsi="Calibri"/>
          <w:u w:val="single"/>
        </w:rPr>
        <w:t>,</w:t>
      </w:r>
      <w:r>
        <w:rPr>
          <w:rFonts w:ascii="Calibri" w:hAnsi="Calibri"/>
        </w:rPr>
        <w:t xml:space="preserve"> the Government of Montenegro has reiterated its efforts to eliminate corporal punishment but there is no evidence as to implementation mechanisms or data surveillance of the issue. Hence, the Government has not yet adopted a single document on the prevention and intervention on child protection against violence and corporal punishment.  On this </w:t>
      </w:r>
      <w:r>
        <w:rPr>
          <w:rFonts w:ascii="Calibri" w:hAnsi="Calibri"/>
        </w:rPr>
        <w:lastRenderedPageBreak/>
        <w:t>note the “intervention” sector has not yet expanded to the creation of professional services that deal with child-victims of corporal punishment and has not made provisions for possible family or/and child relocations.  Currently, the Government with aid of non-governmental organizations has established, SOS phone lines for victims of domestic and corporal violence. However, it still needs to intensify the network to other cities and o</w:t>
      </w:r>
      <w:r w:rsidR="00E22367">
        <w:rPr>
          <w:rFonts w:ascii="Calibri" w:hAnsi="Calibri"/>
        </w:rPr>
        <w:t xml:space="preserve">ther rural communities that deserve the same attention and the same magnifying glass to eradicate child corporal punishment. </w:t>
      </w:r>
      <w:r>
        <w:rPr>
          <w:rFonts w:ascii="Calibri" w:hAnsi="Calibri"/>
        </w:rPr>
        <w:t xml:space="preserve"> </w:t>
      </w:r>
      <w:r w:rsidR="00E22367">
        <w:rPr>
          <w:rFonts w:ascii="Calibri" w:hAnsi="Calibri"/>
        </w:rPr>
        <w:t xml:space="preserve">The current cities that have developed this initiative are: </w:t>
      </w:r>
      <w:r w:rsidR="004F2023">
        <w:rPr>
          <w:rFonts w:ascii="Calibri" w:hAnsi="Calibri"/>
        </w:rPr>
        <w:t xml:space="preserve">Bar, Berane, Bijelo, Niksic, </w:t>
      </w:r>
      <w:r w:rsidR="004F2023" w:rsidRPr="00FF0129">
        <w:rPr>
          <w:rFonts w:ascii="Calibri" w:hAnsi="Calibri" w:cs="Calibri"/>
        </w:rPr>
        <w:t>Plav</w:t>
      </w:r>
      <w:r w:rsidR="004F2023">
        <w:rPr>
          <w:rFonts w:ascii="Calibri" w:hAnsi="Calibri" w:cs="Calibri"/>
        </w:rPr>
        <w:t xml:space="preserve">, </w:t>
      </w:r>
      <w:r w:rsidR="004F2023" w:rsidRPr="00FF0129">
        <w:rPr>
          <w:rFonts w:ascii="Calibri" w:hAnsi="Calibri" w:cs="Calibri"/>
        </w:rPr>
        <w:t>Podgorica, Polje,</w:t>
      </w:r>
      <w:r w:rsidR="004F2023" w:rsidRPr="004F2023">
        <w:rPr>
          <w:rFonts w:ascii="Calibri" w:hAnsi="Calibri" w:cs="Calibri"/>
        </w:rPr>
        <w:t xml:space="preserve"> </w:t>
      </w:r>
      <w:r w:rsidR="004F2023" w:rsidRPr="00FF0129">
        <w:rPr>
          <w:rFonts w:ascii="Calibri" w:hAnsi="Calibri" w:cs="Calibri"/>
        </w:rPr>
        <w:t>Rozaje, and Ulcinj</w:t>
      </w:r>
      <w:r w:rsidR="004F2023">
        <w:rPr>
          <w:rFonts w:ascii="Calibri" w:hAnsi="Calibri" w:cs="Calibri"/>
        </w:rPr>
        <w:t xml:space="preserve">. </w:t>
      </w:r>
    </w:p>
    <w:p w14:paraId="6E54B35E" w14:textId="77777777" w:rsidR="005049CC" w:rsidRPr="005049CC" w:rsidRDefault="005049CC" w:rsidP="005049CC">
      <w:pPr>
        <w:spacing w:line="276" w:lineRule="auto"/>
        <w:jc w:val="both"/>
        <w:rPr>
          <w:rFonts w:ascii="Calibri" w:hAnsi="Calibri"/>
        </w:rPr>
      </w:pPr>
    </w:p>
    <w:p w14:paraId="2767E35D" w14:textId="790E3C56" w:rsidR="00392C0B" w:rsidRPr="004F2023" w:rsidRDefault="004F2023" w:rsidP="00392C0B">
      <w:pPr>
        <w:rPr>
          <w:rFonts w:ascii="Calibri" w:hAnsi="Calibri" w:cs="Calibri"/>
          <w:b/>
        </w:rPr>
      </w:pPr>
      <w:r w:rsidRPr="004F2023">
        <w:rPr>
          <w:rFonts w:ascii="Calibri" w:hAnsi="Calibri" w:cs="Calibri"/>
          <w:b/>
        </w:rPr>
        <w:t xml:space="preserve">Recommendation 3 – National Plan of Action for Children </w:t>
      </w:r>
      <w:r w:rsidR="004E2377">
        <w:rPr>
          <w:rFonts w:ascii="Calibri" w:hAnsi="Calibri" w:cs="Calibri"/>
          <w:b/>
        </w:rPr>
        <w:t xml:space="preserve">needs to be strengthened </w:t>
      </w:r>
    </w:p>
    <w:p w14:paraId="74B81527" w14:textId="77777777" w:rsidR="004F2023" w:rsidRDefault="004F2023" w:rsidP="00392C0B">
      <w:pPr>
        <w:rPr>
          <w:rFonts w:ascii="Calibri" w:hAnsi="Calibri" w:cs="Calibri"/>
        </w:rPr>
      </w:pPr>
    </w:p>
    <w:p w14:paraId="1B8181BF" w14:textId="0B0113CA" w:rsidR="004F2023" w:rsidRPr="004F2023" w:rsidRDefault="004F2023" w:rsidP="004F2023">
      <w:pPr>
        <w:spacing w:line="276" w:lineRule="auto"/>
        <w:jc w:val="both"/>
        <w:rPr>
          <w:rFonts w:ascii="Calibri" w:hAnsi="Calibri"/>
          <w:color w:val="000000" w:themeColor="text1"/>
        </w:rPr>
      </w:pPr>
      <w:r w:rsidRPr="004F2023">
        <w:rPr>
          <w:rFonts w:ascii="Calibri" w:hAnsi="Calibri"/>
        </w:rPr>
        <w:t>In June 2013, the Government of Montenegro adopted the 2013-2017 National Plan of Action for Children (NPAC), which governs the country's general policy towards children by identifying the main problems and mechanisms identified to achieve the objectives set in the following areas: civil rights and freedoms, social protection, education, health care, special measures of protection and others. This aimed at providing a mechanism to allow the adoption of new legislation in line with the Convention; establishing a mechanism for regular monitoring and reporting on the implementation of the plan; enhancing coordination of activities of relevant entities in the field of planning and monitoring the effects of the initiative. In early 2016 the Ministry of Labour and Social Welfare commissioned a beneficiary assessment of the childcare system reform, to show the results from the perspective of affected children and families. The following services were reviewed: day care centres for children with disabilities, foster care and residential care, i.e. children’s homes and centres for social work services. The results of the research as well as the recommendations were presented to high-level officials of the Ministry of Labour and Social Welfare, other relevant ministries, local authorities, the EU and the UN, and to directors of children’s services and institutions. Later in the year, and in cooperation with the Institute for Social and Child Protection, relevant managers and practitioners agreed on further steps with a view to implementing the recommendations of the research for enhancing the quality of the services.</w:t>
      </w:r>
    </w:p>
    <w:p w14:paraId="3460D9AA" w14:textId="77777777" w:rsidR="004F2023" w:rsidRPr="004F2023" w:rsidRDefault="004F2023" w:rsidP="004F2023">
      <w:pPr>
        <w:jc w:val="both"/>
        <w:rPr>
          <w:rFonts w:asciiTheme="minorHAnsi" w:eastAsiaTheme="minorEastAsia" w:hAnsiTheme="minorHAnsi" w:cstheme="minorBidi"/>
          <w:color w:val="000000" w:themeColor="text1"/>
        </w:rPr>
      </w:pPr>
    </w:p>
    <w:p w14:paraId="3582FEC7" w14:textId="322D9B84" w:rsidR="00392C0B" w:rsidRPr="004E2377" w:rsidRDefault="004F2023" w:rsidP="004E2377">
      <w:pPr>
        <w:spacing w:line="276" w:lineRule="auto"/>
        <w:jc w:val="both"/>
        <w:rPr>
          <w:rFonts w:ascii="Calibri" w:hAnsi="Calibri"/>
          <w:color w:val="000000" w:themeColor="text1"/>
        </w:rPr>
      </w:pPr>
      <w:r w:rsidRPr="004F2023">
        <w:rPr>
          <w:rFonts w:ascii="Calibri" w:hAnsi="Calibri"/>
          <w:bCs/>
        </w:rPr>
        <w:t xml:space="preserve">In early 2017, the Government of Montenegro adopted new Strategy for the Prevention and Protection of Children from Violence 2017-2021 which applies to all the children aged 0-18 years, regardless of their sex, nationality, level of functional abilities or sexual orientation. The Strategy includes majority population, as well as ethnic minorities and immigrants. The Strategy outlines measures for intensifying activities involving protection and other forms of support to the children and adolescents who have been exposed to violence or sexual abuse. </w:t>
      </w:r>
      <w:r w:rsidRPr="004F2023">
        <w:rPr>
          <w:rFonts w:ascii="Calibri" w:hAnsi="Calibri"/>
        </w:rPr>
        <w:t>Community based operational multidisciplinary teams for protection from family violence and violence against children (OMTs), now operating in 17 municipalities, have created a comprehensive multi-sectoral approach to the protection of children from all forms of neglect, abuse, violence and exploitation.</w:t>
      </w:r>
      <w:r w:rsidR="004E2377">
        <w:rPr>
          <w:rFonts w:ascii="Calibri" w:hAnsi="Calibri"/>
        </w:rPr>
        <w:t xml:space="preserve"> </w:t>
      </w:r>
      <w:r w:rsidRPr="00AD7C79">
        <w:rPr>
          <w:rFonts w:ascii="Calibri" w:hAnsi="Calibri"/>
        </w:rPr>
        <w:t xml:space="preserve">However, </w:t>
      </w:r>
      <w:r w:rsidR="00AD7C79" w:rsidRPr="00AD7C79">
        <w:rPr>
          <w:rFonts w:ascii="Calibri" w:hAnsi="Calibri"/>
        </w:rPr>
        <w:t xml:space="preserve">there is little evidence on multi-sectoral approach as a response to violence and some platforms of evidence have been omitted from the evidence and research analysis. Additionally, there appears to be a lack of professional capacity for proper response to cases involving violence against children. </w:t>
      </w:r>
    </w:p>
    <w:sectPr w:rsidR="00392C0B" w:rsidRPr="004E2377" w:rsidSect="006D79B3">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3BA22" w14:textId="77777777" w:rsidR="005915A0" w:rsidRDefault="005915A0" w:rsidP="00392C0B">
      <w:r>
        <w:separator/>
      </w:r>
    </w:p>
  </w:endnote>
  <w:endnote w:type="continuationSeparator" w:id="0">
    <w:p w14:paraId="340F9CF5" w14:textId="77777777" w:rsidR="005915A0" w:rsidRDefault="005915A0" w:rsidP="0039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D6566" w14:textId="77777777" w:rsidR="005915A0" w:rsidRDefault="005915A0" w:rsidP="00392C0B">
      <w:r>
        <w:separator/>
      </w:r>
    </w:p>
  </w:footnote>
  <w:footnote w:type="continuationSeparator" w:id="0">
    <w:p w14:paraId="2606FDB5" w14:textId="77777777" w:rsidR="005915A0" w:rsidRDefault="005915A0" w:rsidP="00392C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DB565F"/>
    <w:multiLevelType w:val="hybridMultilevel"/>
    <w:tmpl w:val="B6963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7026837"/>
    <w:multiLevelType w:val="hybridMultilevel"/>
    <w:tmpl w:val="9EAA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C0B"/>
    <w:rsid w:val="00114F2F"/>
    <w:rsid w:val="001C5E52"/>
    <w:rsid w:val="00313D52"/>
    <w:rsid w:val="00392C0B"/>
    <w:rsid w:val="004E2377"/>
    <w:rsid w:val="004F2023"/>
    <w:rsid w:val="005049CC"/>
    <w:rsid w:val="00517804"/>
    <w:rsid w:val="005915A0"/>
    <w:rsid w:val="006C6674"/>
    <w:rsid w:val="006D79B3"/>
    <w:rsid w:val="00A52D80"/>
    <w:rsid w:val="00AA0F10"/>
    <w:rsid w:val="00AD7C79"/>
    <w:rsid w:val="00D85E4A"/>
    <w:rsid w:val="00E22367"/>
    <w:rsid w:val="00F3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96D1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0B"/>
    <w:rPr>
      <w:rFonts w:eastAsia="Times New Roman"/>
      <w:lang w:eastAsia="en-GB"/>
    </w:rPr>
  </w:style>
  <w:style w:type="paragraph" w:styleId="Heading2">
    <w:name w:val="heading 2"/>
    <w:basedOn w:val="Normal"/>
    <w:next w:val="Normal"/>
    <w:link w:val="Heading2Char"/>
    <w:uiPriority w:val="9"/>
    <w:unhideWhenUsed/>
    <w:qFormat/>
    <w:rsid w:val="00392C0B"/>
    <w:pPr>
      <w:keepNext/>
      <w:keepLines/>
      <w:spacing w:before="200" w:after="120"/>
      <w:outlineLvl w:val="1"/>
    </w:pPr>
    <w:rPr>
      <w:rFonts w:asciiTheme="minorHAnsi" w:eastAsiaTheme="majorEastAsia" w:hAnsiTheme="min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92C0B"/>
    <w:pPr>
      <w:autoSpaceDE w:val="0"/>
      <w:autoSpaceDN w:val="0"/>
      <w:adjustRightInd w:val="0"/>
    </w:pPr>
    <w:rPr>
      <w:rFonts w:ascii="Calibri" w:eastAsiaTheme="minorEastAsia" w:hAnsi="Calibri" w:cs="Calibri"/>
      <w:color w:val="000000"/>
      <w:lang w:eastAsia="en-GB"/>
    </w:rPr>
  </w:style>
  <w:style w:type="character" w:customStyle="1" w:styleId="Heading2Char">
    <w:name w:val="Heading 2 Char"/>
    <w:basedOn w:val="DefaultParagraphFont"/>
    <w:link w:val="Heading2"/>
    <w:uiPriority w:val="9"/>
    <w:rsid w:val="00392C0B"/>
    <w:rPr>
      <w:rFonts w:asciiTheme="minorHAnsi" w:eastAsiaTheme="majorEastAsia" w:hAnsiTheme="minorHAnsi" w:cstheme="majorBidi"/>
      <w:b/>
      <w:bCs/>
      <w:sz w:val="26"/>
      <w:szCs w:val="26"/>
      <w:lang w:eastAsia="en-GB"/>
    </w:rPr>
  </w:style>
  <w:style w:type="paragraph" w:styleId="FootnoteText">
    <w:name w:val="footnote text"/>
    <w:aliases w:val="single space,ft,Footnote Text Char Char,Footnote Text Char Char Char,FOOTNOTES,fn,Char,Car,footnote text, Char, Car,5_G,Footnote Text Char1, Char Char Char, Char Char Char Char,Char Char Char,Char Char Char Char,Fußnotentext Char"/>
    <w:basedOn w:val="Normal"/>
    <w:link w:val="FootnoteTextChar"/>
    <w:unhideWhenUsed/>
    <w:rsid w:val="00392C0B"/>
    <w:rPr>
      <w:rFonts w:asciiTheme="minorHAnsi" w:eastAsiaTheme="minorEastAsia" w:hAnsiTheme="minorHAnsi" w:cstheme="minorBidi"/>
      <w:sz w:val="20"/>
      <w:szCs w:val="20"/>
    </w:rPr>
  </w:style>
  <w:style w:type="character" w:customStyle="1" w:styleId="FootnoteTextChar">
    <w:name w:val="Footnote Text Char"/>
    <w:aliases w:val="single space Char,ft Char,Footnote Text Char Char Char1,Footnote Text Char Char Char Char,FOOTNOTES Char,fn Char,Char Char,Car Char,footnote text Char, Char Char, Car Char,5_G Char,Footnote Text Char1 Char, Char Char Char Char1"/>
    <w:basedOn w:val="DefaultParagraphFont"/>
    <w:link w:val="FootnoteText"/>
    <w:rsid w:val="00392C0B"/>
    <w:rPr>
      <w:rFonts w:asciiTheme="minorHAnsi" w:eastAsiaTheme="minorEastAsia" w:hAnsiTheme="minorHAnsi" w:cstheme="minorBidi"/>
      <w:sz w:val="20"/>
      <w:szCs w:val="20"/>
      <w:lang w:eastAsia="en-GB"/>
    </w:rPr>
  </w:style>
  <w:style w:type="character" w:styleId="FootnoteReference">
    <w:name w:val="footnote reference"/>
    <w:aliases w:val="ftref,Footnote text,Ref. de nota al pie1,4_G,callout"/>
    <w:basedOn w:val="DefaultParagraphFont"/>
    <w:uiPriority w:val="99"/>
    <w:unhideWhenUsed/>
    <w:rsid w:val="00392C0B"/>
    <w:rPr>
      <w:vertAlign w:val="superscript"/>
    </w:rPr>
  </w:style>
  <w:style w:type="paragraph" w:styleId="ListParagraph">
    <w:name w:val="List Paragraph"/>
    <w:basedOn w:val="Normal"/>
    <w:link w:val="ListParagraphChar"/>
    <w:uiPriority w:val="34"/>
    <w:qFormat/>
    <w:rsid w:val="00392C0B"/>
    <w:pPr>
      <w:spacing w:after="200" w:line="276" w:lineRule="auto"/>
      <w:ind w:left="720"/>
      <w:contextualSpacing/>
    </w:pPr>
    <w:rPr>
      <w:rFonts w:asciiTheme="minorHAnsi" w:eastAsiaTheme="minorEastAsia" w:hAnsiTheme="minorHAnsi" w:cstheme="minorBidi"/>
      <w:sz w:val="22"/>
      <w:szCs w:val="22"/>
    </w:rPr>
  </w:style>
  <w:style w:type="paragraph" w:styleId="NoSpacing">
    <w:name w:val="No Spacing"/>
    <w:uiPriority w:val="1"/>
    <w:qFormat/>
    <w:rsid w:val="00392C0B"/>
    <w:rPr>
      <w:rFonts w:asciiTheme="minorHAnsi" w:eastAsiaTheme="minorEastAsia" w:hAnsiTheme="minorHAnsi" w:cstheme="minorBidi"/>
      <w:sz w:val="22"/>
      <w:szCs w:val="22"/>
      <w:lang w:eastAsia="en-GB"/>
    </w:rPr>
  </w:style>
  <w:style w:type="character" w:customStyle="1" w:styleId="ListParagraphChar">
    <w:name w:val="List Paragraph Char"/>
    <w:link w:val="ListParagraph"/>
    <w:locked/>
    <w:rsid w:val="00392C0B"/>
    <w:rPr>
      <w:rFonts w:asciiTheme="minorHAnsi" w:eastAsiaTheme="minorEastAsia" w:hAnsiTheme="minorHAnsi" w:cstheme="minorBidi"/>
      <w:sz w:val="22"/>
      <w:szCs w:val="22"/>
      <w:lang w:eastAsia="en-GB"/>
    </w:rPr>
  </w:style>
  <w:style w:type="paragraph" w:customStyle="1" w:styleId="lead">
    <w:name w:val="lead"/>
    <w:basedOn w:val="Normal"/>
    <w:rsid w:val="001C5E52"/>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03947">
      <w:bodyDiv w:val="1"/>
      <w:marLeft w:val="0"/>
      <w:marRight w:val="0"/>
      <w:marTop w:val="0"/>
      <w:marBottom w:val="0"/>
      <w:divBdr>
        <w:top w:val="none" w:sz="0" w:space="0" w:color="auto"/>
        <w:left w:val="none" w:sz="0" w:space="0" w:color="auto"/>
        <w:bottom w:val="none" w:sz="0" w:space="0" w:color="auto"/>
        <w:right w:val="none" w:sz="0" w:space="0" w:color="auto"/>
      </w:divBdr>
    </w:div>
    <w:div w:id="262493891">
      <w:bodyDiv w:val="1"/>
      <w:marLeft w:val="0"/>
      <w:marRight w:val="0"/>
      <w:marTop w:val="0"/>
      <w:marBottom w:val="0"/>
      <w:divBdr>
        <w:top w:val="none" w:sz="0" w:space="0" w:color="auto"/>
        <w:left w:val="none" w:sz="0" w:space="0" w:color="auto"/>
        <w:bottom w:val="none" w:sz="0" w:space="0" w:color="auto"/>
        <w:right w:val="none" w:sz="0" w:space="0" w:color="auto"/>
      </w:divBdr>
      <w:divsChild>
        <w:div w:id="1945574552">
          <w:marLeft w:val="0"/>
          <w:marRight w:val="0"/>
          <w:marTop w:val="0"/>
          <w:marBottom w:val="0"/>
          <w:divBdr>
            <w:top w:val="none" w:sz="0" w:space="0" w:color="auto"/>
            <w:left w:val="none" w:sz="0" w:space="0" w:color="auto"/>
            <w:bottom w:val="none" w:sz="0" w:space="0" w:color="auto"/>
            <w:right w:val="none" w:sz="0" w:space="0" w:color="auto"/>
          </w:divBdr>
          <w:divsChild>
            <w:div w:id="12066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end-violence.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CD04A-5DBD-4F44-9F37-255D9E63F240}"/>
</file>

<file path=customXml/itemProps2.xml><?xml version="1.0" encoding="utf-8"?>
<ds:datastoreItem xmlns:ds="http://schemas.openxmlformats.org/officeDocument/2006/customXml" ds:itemID="{4C092696-7BA5-4DEC-BFC6-6CEB909BB702}"/>
</file>

<file path=customXml/itemProps3.xml><?xml version="1.0" encoding="utf-8"?>
<ds:datastoreItem xmlns:ds="http://schemas.openxmlformats.org/officeDocument/2006/customXml" ds:itemID="{82862C23-9E76-416E-8D5E-457458392838}"/>
</file>

<file path=docProps/app.xml><?xml version="1.0" encoding="utf-8"?>
<Properties xmlns="http://schemas.openxmlformats.org/officeDocument/2006/extended-properties" xmlns:vt="http://schemas.openxmlformats.org/officeDocument/2006/docPropsVTypes">
  <Template>Normal.dotm</Template>
  <TotalTime>1</TotalTime>
  <Pages>2</Pages>
  <Words>904</Words>
  <Characters>5153</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Gaia Barcilon</dc:creator>
  <cp:keywords/>
  <dc:description/>
  <cp:lastModifiedBy>BOIT James</cp:lastModifiedBy>
  <cp:revision>2</cp:revision>
  <dcterms:created xsi:type="dcterms:W3CDTF">2018-05-01T14:58:00Z</dcterms:created>
  <dcterms:modified xsi:type="dcterms:W3CDTF">2018-05-01T14:58:00Z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