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2FF001" w14:textId="5D564F6B" w:rsidR="00614914" w:rsidRPr="00734AF5" w:rsidRDefault="00614914" w:rsidP="004D39EF">
      <w:pPr>
        <w:ind w:left="708"/>
        <w:rPr>
          <w:b/>
          <w:color w:val="C00000"/>
          <w:sz w:val="24"/>
          <w:szCs w:val="24"/>
        </w:rPr>
      </w:pPr>
      <w:r w:rsidRPr="00C4106A">
        <w:rPr>
          <w:noProof/>
          <w:lang w:eastAsia="de-DE"/>
        </w:rPr>
        <w:drawing>
          <wp:anchor distT="0" distB="0" distL="114300" distR="114300" simplePos="0" relativeHeight="251658240" behindDoc="0" locked="0" layoutInCell="1" allowOverlap="1" wp14:anchorId="634DF891" wp14:editId="577CBC3E">
            <wp:simplePos x="0" y="0"/>
            <wp:positionH relativeFrom="column">
              <wp:posOffset>4036060</wp:posOffset>
            </wp:positionH>
            <wp:positionV relativeFrom="paragraph">
              <wp:posOffset>0</wp:posOffset>
            </wp:positionV>
            <wp:extent cx="1405890" cy="1405890"/>
            <wp:effectExtent l="0" t="0" r="3810" b="3810"/>
            <wp:wrapSquare wrapText="bothSides"/>
            <wp:docPr id="1" name="Grafik 1" descr="Z:\Dokumente von C\VO10-10\Oesterreich\SLIOE\Logo\Log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Dokumente von C\VO10-10\Oesterreich\SLIOE\Logo\Logo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5890" cy="1405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39EF">
        <w:rPr>
          <w:b/>
          <w:sz w:val="28"/>
          <w:szCs w:val="28"/>
        </w:rPr>
        <w:br w:type="textWrapping" w:clear="all"/>
      </w:r>
      <w:r w:rsidRPr="00734AF5">
        <w:rPr>
          <w:b/>
          <w:color w:val="C00000"/>
          <w:sz w:val="24"/>
          <w:szCs w:val="24"/>
        </w:rPr>
        <w:t>SLIÖ – Selbstbestimmt Leben</w:t>
      </w:r>
      <w:r w:rsidRPr="00734AF5">
        <w:rPr>
          <w:b/>
          <w:color w:val="C00000"/>
          <w:sz w:val="24"/>
          <w:szCs w:val="24"/>
        </w:rPr>
        <w:br/>
        <w:t>Initiative Österreich</w:t>
      </w:r>
      <w:r>
        <w:rPr>
          <w:b/>
          <w:sz w:val="28"/>
          <w:szCs w:val="28"/>
        </w:rPr>
        <w:br/>
      </w:r>
      <w:proofErr w:type="spellStart"/>
      <w:r w:rsidRPr="00614914">
        <w:rPr>
          <w:sz w:val="24"/>
          <w:szCs w:val="24"/>
        </w:rPr>
        <w:t>Laxenburger</w:t>
      </w:r>
      <w:proofErr w:type="spellEnd"/>
      <w:r w:rsidRPr="00614914">
        <w:rPr>
          <w:sz w:val="24"/>
          <w:szCs w:val="24"/>
        </w:rPr>
        <w:t xml:space="preserve"> Straße 30</w:t>
      </w:r>
      <w:r w:rsidRPr="00614914">
        <w:rPr>
          <w:sz w:val="24"/>
          <w:szCs w:val="24"/>
        </w:rPr>
        <w:br/>
        <w:t>A-1100 Wien</w:t>
      </w:r>
      <w:r>
        <w:rPr>
          <w:b/>
          <w:sz w:val="28"/>
          <w:szCs w:val="28"/>
        </w:rPr>
        <w:br/>
      </w:r>
      <w:r w:rsidRPr="00734AF5">
        <w:rPr>
          <w:b/>
          <w:color w:val="C00000"/>
          <w:sz w:val="24"/>
          <w:szCs w:val="24"/>
        </w:rPr>
        <w:t>www.sliö.at</w:t>
      </w:r>
    </w:p>
    <w:p w14:paraId="45DF2A6A" w14:textId="77777777" w:rsidR="00614914" w:rsidRDefault="00614914" w:rsidP="00460794">
      <w:pPr>
        <w:rPr>
          <w:b/>
          <w:sz w:val="28"/>
          <w:szCs w:val="28"/>
        </w:rPr>
      </w:pPr>
    </w:p>
    <w:p w14:paraId="4CEBB361" w14:textId="77777777" w:rsidR="006734D0" w:rsidRDefault="006734D0" w:rsidP="00460794">
      <w:pPr>
        <w:rPr>
          <w:b/>
          <w:sz w:val="28"/>
          <w:szCs w:val="28"/>
        </w:rPr>
      </w:pPr>
    </w:p>
    <w:p w14:paraId="12721421" w14:textId="77777777" w:rsidR="00146EB3" w:rsidRDefault="00146EB3" w:rsidP="00460794">
      <w:pPr>
        <w:rPr>
          <w:b/>
          <w:sz w:val="28"/>
          <w:szCs w:val="28"/>
        </w:rPr>
      </w:pPr>
    </w:p>
    <w:p w14:paraId="674E6978" w14:textId="77777777" w:rsidR="00E60AAC" w:rsidRPr="0000611E" w:rsidRDefault="00E60AAC" w:rsidP="00460794">
      <w:pPr>
        <w:rPr>
          <w:b/>
          <w:sz w:val="28"/>
          <w:szCs w:val="28"/>
        </w:rPr>
      </w:pPr>
    </w:p>
    <w:p w14:paraId="2A239B2D" w14:textId="77777777" w:rsidR="00E5341D" w:rsidRPr="00EB11C1" w:rsidRDefault="00E5341D" w:rsidP="0000611E">
      <w:pPr>
        <w:jc w:val="center"/>
        <w:rPr>
          <w:b/>
          <w:sz w:val="28"/>
          <w:szCs w:val="28"/>
          <w:lang w:val="en-GB"/>
        </w:rPr>
      </w:pPr>
      <w:r w:rsidRPr="00EB11C1">
        <w:rPr>
          <w:b/>
          <w:sz w:val="28"/>
          <w:szCs w:val="28"/>
          <w:lang w:val="en-GB"/>
        </w:rPr>
        <w:t>Statement</w:t>
      </w:r>
    </w:p>
    <w:p w14:paraId="3304CC10" w14:textId="77777777" w:rsidR="00E5341D" w:rsidRPr="00EB11C1" w:rsidRDefault="00E5341D" w:rsidP="0000611E">
      <w:pPr>
        <w:jc w:val="center"/>
        <w:rPr>
          <w:b/>
          <w:sz w:val="28"/>
          <w:szCs w:val="28"/>
          <w:lang w:val="en-GB"/>
        </w:rPr>
      </w:pPr>
      <w:proofErr w:type="gramStart"/>
      <w:r w:rsidRPr="00EB11C1">
        <w:rPr>
          <w:b/>
          <w:sz w:val="28"/>
          <w:szCs w:val="28"/>
          <w:lang w:val="en-GB"/>
        </w:rPr>
        <w:t>on</w:t>
      </w:r>
      <w:proofErr w:type="gramEnd"/>
      <w:r w:rsidRPr="00EB11C1">
        <w:rPr>
          <w:b/>
          <w:sz w:val="28"/>
          <w:szCs w:val="28"/>
          <w:lang w:val="en-GB"/>
        </w:rPr>
        <w:t xml:space="preserve"> the occasion of the 2nd and 3rd State review of Austria for the CRPD</w:t>
      </w:r>
    </w:p>
    <w:p w14:paraId="5A155CED" w14:textId="77777777" w:rsidR="00E5341D" w:rsidRPr="00EB11C1" w:rsidRDefault="00E5341D" w:rsidP="0000611E">
      <w:pPr>
        <w:jc w:val="center"/>
        <w:rPr>
          <w:b/>
          <w:sz w:val="28"/>
          <w:szCs w:val="28"/>
          <w:lang w:val="en-GB"/>
        </w:rPr>
      </w:pPr>
      <w:proofErr w:type="gramStart"/>
      <w:r w:rsidRPr="00EB11C1">
        <w:rPr>
          <w:b/>
          <w:sz w:val="28"/>
          <w:szCs w:val="28"/>
          <w:lang w:val="en-GB"/>
        </w:rPr>
        <w:t>compiled</w:t>
      </w:r>
      <w:proofErr w:type="gramEnd"/>
      <w:r w:rsidRPr="00EB11C1">
        <w:rPr>
          <w:b/>
          <w:sz w:val="28"/>
          <w:szCs w:val="28"/>
          <w:lang w:val="en-GB"/>
        </w:rPr>
        <w:t xml:space="preserve"> by Independent Living Austria (SLIÖ)</w:t>
      </w:r>
    </w:p>
    <w:p w14:paraId="009AC525" w14:textId="3123219A" w:rsidR="00E5341D" w:rsidRPr="00EB11C1" w:rsidRDefault="00E5341D" w:rsidP="0000611E">
      <w:pPr>
        <w:jc w:val="center"/>
        <w:rPr>
          <w:b/>
          <w:sz w:val="28"/>
          <w:szCs w:val="28"/>
          <w:lang w:val="en-GB"/>
        </w:rPr>
      </w:pPr>
      <w:r w:rsidRPr="00755DAC">
        <w:rPr>
          <w:b/>
          <w:sz w:val="28"/>
          <w:szCs w:val="28"/>
          <w:lang w:val="en-GB"/>
        </w:rPr>
        <w:t>Vienna</w:t>
      </w:r>
      <w:r w:rsidR="003D3612" w:rsidRPr="00755DAC">
        <w:rPr>
          <w:b/>
          <w:sz w:val="28"/>
          <w:szCs w:val="28"/>
          <w:lang w:val="en-GB"/>
        </w:rPr>
        <w:t xml:space="preserve"> 28th</w:t>
      </w:r>
      <w:r w:rsidRPr="009F385B">
        <w:rPr>
          <w:b/>
          <w:sz w:val="28"/>
          <w:szCs w:val="28"/>
          <w:lang w:val="en-GB"/>
        </w:rPr>
        <w:t xml:space="preserve"> </w:t>
      </w:r>
      <w:r w:rsidRPr="00EB11C1">
        <w:rPr>
          <w:b/>
          <w:sz w:val="28"/>
          <w:szCs w:val="28"/>
          <w:lang w:val="en-GB"/>
        </w:rPr>
        <w:t>July 2023</w:t>
      </w:r>
    </w:p>
    <w:p w14:paraId="4C89D623" w14:textId="77777777" w:rsidR="00E5341D" w:rsidRPr="00EB11C1" w:rsidRDefault="00E5341D" w:rsidP="00B745A5">
      <w:pPr>
        <w:rPr>
          <w:sz w:val="28"/>
          <w:szCs w:val="28"/>
          <w:lang w:val="en-GB"/>
        </w:rPr>
      </w:pPr>
    </w:p>
    <w:p w14:paraId="24B2ABC7" w14:textId="77777777" w:rsidR="00AF259C" w:rsidRDefault="00AF259C" w:rsidP="00B745A5">
      <w:pPr>
        <w:rPr>
          <w:sz w:val="28"/>
          <w:szCs w:val="28"/>
          <w:lang w:val="en-GB"/>
        </w:rPr>
      </w:pPr>
    </w:p>
    <w:p w14:paraId="3D7AE9C4" w14:textId="77777777" w:rsidR="00146EB3" w:rsidRPr="00EB11C1" w:rsidRDefault="00146EB3" w:rsidP="00B745A5">
      <w:pPr>
        <w:rPr>
          <w:sz w:val="28"/>
          <w:szCs w:val="28"/>
          <w:lang w:val="en-GB"/>
        </w:rPr>
      </w:pPr>
    </w:p>
    <w:p w14:paraId="7574B03B" w14:textId="77777777" w:rsidR="00662616" w:rsidRPr="00EB11C1" w:rsidRDefault="00AF259C" w:rsidP="00AF259C">
      <w:pPr>
        <w:rPr>
          <w:b/>
          <w:bCs/>
          <w:sz w:val="28"/>
          <w:szCs w:val="28"/>
          <w:lang w:val="en-GB"/>
        </w:rPr>
      </w:pPr>
      <w:r w:rsidRPr="00EB11C1">
        <w:rPr>
          <w:b/>
          <w:bCs/>
          <w:sz w:val="28"/>
          <w:szCs w:val="28"/>
          <w:lang w:val="en-GB"/>
        </w:rPr>
        <w:t>Introductory note</w:t>
      </w:r>
      <w:r w:rsidR="00662616" w:rsidRPr="00EB11C1">
        <w:rPr>
          <w:b/>
          <w:bCs/>
          <w:sz w:val="28"/>
          <w:szCs w:val="28"/>
          <w:lang w:val="en-GB"/>
        </w:rPr>
        <w:t>:</w:t>
      </w:r>
    </w:p>
    <w:p w14:paraId="2AEE3B24" w14:textId="77777777" w:rsidR="003024F9" w:rsidRDefault="003024F9" w:rsidP="00AF259C">
      <w:pPr>
        <w:rPr>
          <w:sz w:val="24"/>
          <w:szCs w:val="24"/>
          <w:lang w:val="en-GB"/>
        </w:rPr>
      </w:pPr>
    </w:p>
    <w:p w14:paraId="1899B774" w14:textId="15F76DB5" w:rsidR="00AF259C" w:rsidRPr="00CE441F" w:rsidRDefault="00363F09" w:rsidP="00AF259C">
      <w:pPr>
        <w:rPr>
          <w:bCs/>
          <w:sz w:val="23"/>
          <w:szCs w:val="23"/>
          <w:lang w:val="en-GB"/>
        </w:rPr>
      </w:pPr>
      <w:r w:rsidRPr="00363F09">
        <w:rPr>
          <w:sz w:val="24"/>
          <w:szCs w:val="24"/>
          <w:lang w:val="en-GB"/>
        </w:rPr>
        <w:t xml:space="preserve">Independent Living Austria (SLIÖ) is a nationwide and independent interest group for all people with disabilities and has been politically active as a network of the Austrian disability rights movement since the 1970s. Since 2001 SLIÖ </w:t>
      </w:r>
      <w:r w:rsidR="00CE441F">
        <w:rPr>
          <w:sz w:val="24"/>
          <w:szCs w:val="24"/>
          <w:lang w:val="en-GB"/>
        </w:rPr>
        <w:t>has been</w:t>
      </w:r>
      <w:r w:rsidR="00CE441F" w:rsidRPr="00363F09">
        <w:rPr>
          <w:sz w:val="24"/>
          <w:szCs w:val="24"/>
          <w:lang w:val="en-GB"/>
        </w:rPr>
        <w:t xml:space="preserve"> </w:t>
      </w:r>
      <w:r w:rsidRPr="00363F09">
        <w:rPr>
          <w:sz w:val="24"/>
          <w:szCs w:val="24"/>
          <w:lang w:val="en-GB"/>
        </w:rPr>
        <w:t xml:space="preserve">organised as an association, members are Centres for Independent Living (CILs) in seven </w:t>
      </w:r>
      <w:r w:rsidR="00184006">
        <w:rPr>
          <w:sz w:val="24"/>
          <w:szCs w:val="24"/>
          <w:lang w:val="en-GB"/>
        </w:rPr>
        <w:t>Laender</w:t>
      </w:r>
      <w:r w:rsidR="00CE441F">
        <w:rPr>
          <w:sz w:val="24"/>
          <w:szCs w:val="24"/>
          <w:lang w:val="en-GB"/>
        </w:rPr>
        <w:t xml:space="preserve"> (provinces)</w:t>
      </w:r>
      <w:r w:rsidRPr="00363F09">
        <w:rPr>
          <w:sz w:val="24"/>
          <w:szCs w:val="24"/>
          <w:lang w:val="en-GB"/>
        </w:rPr>
        <w:t>, as w</w:t>
      </w:r>
      <w:r w:rsidR="00FE25E3">
        <w:rPr>
          <w:sz w:val="24"/>
          <w:szCs w:val="24"/>
          <w:lang w:val="en-GB"/>
        </w:rPr>
        <w:t xml:space="preserve">ell as projects and individual </w:t>
      </w:r>
      <w:bookmarkStart w:id="0" w:name="_GoBack"/>
      <w:bookmarkEnd w:id="0"/>
      <w:r w:rsidRPr="00363F09">
        <w:rPr>
          <w:sz w:val="24"/>
          <w:szCs w:val="24"/>
          <w:lang w:val="en-GB"/>
        </w:rPr>
        <w:t>disability rights activists from all over Austria</w:t>
      </w:r>
      <w:r w:rsidR="002A0358">
        <w:rPr>
          <w:rStyle w:val="Funotenzeichen"/>
          <w:bCs/>
          <w:szCs w:val="23"/>
        </w:rPr>
        <w:footnoteReference w:id="1"/>
      </w:r>
      <w:r w:rsidR="00AF259C" w:rsidRPr="00CE441F">
        <w:rPr>
          <w:bCs/>
          <w:sz w:val="23"/>
          <w:szCs w:val="23"/>
          <w:lang w:val="en-GB"/>
        </w:rPr>
        <w:t>.</w:t>
      </w:r>
    </w:p>
    <w:p w14:paraId="452C2A57" w14:textId="77777777" w:rsidR="00276ED3" w:rsidRDefault="00276ED3" w:rsidP="00B745A5">
      <w:pPr>
        <w:rPr>
          <w:sz w:val="28"/>
          <w:szCs w:val="28"/>
          <w:lang w:val="en-GB"/>
        </w:rPr>
      </w:pPr>
    </w:p>
    <w:p w14:paraId="4A6137E0" w14:textId="77777777" w:rsidR="00276ED3" w:rsidRPr="00CE441F" w:rsidRDefault="00276ED3" w:rsidP="00276ED3">
      <w:pPr>
        <w:rPr>
          <w:b/>
          <w:sz w:val="28"/>
          <w:szCs w:val="28"/>
          <w:lang w:val="en-GB"/>
        </w:rPr>
      </w:pPr>
      <w:r w:rsidRPr="00CE441F">
        <w:rPr>
          <w:b/>
          <w:sz w:val="28"/>
          <w:szCs w:val="28"/>
          <w:lang w:val="en-GB"/>
        </w:rPr>
        <w:t xml:space="preserve">Regarding to art. 9 </w:t>
      </w:r>
      <w:r w:rsidR="00B27446" w:rsidRPr="00CE441F">
        <w:rPr>
          <w:b/>
          <w:sz w:val="28"/>
          <w:szCs w:val="28"/>
          <w:lang w:val="en-GB"/>
        </w:rPr>
        <w:t>Accessibility:</w:t>
      </w:r>
    </w:p>
    <w:p w14:paraId="088BA288" w14:textId="77777777" w:rsidR="00276ED3" w:rsidRPr="00CE441F" w:rsidRDefault="00276ED3" w:rsidP="0050239A">
      <w:pPr>
        <w:rPr>
          <w:lang w:val="en-GB"/>
        </w:rPr>
      </w:pPr>
    </w:p>
    <w:p w14:paraId="1D356F76" w14:textId="60726F5E" w:rsidR="00736B12" w:rsidRPr="0050239A" w:rsidRDefault="00736B12" w:rsidP="0050239A">
      <w:pPr>
        <w:rPr>
          <w:b/>
          <w:sz w:val="28"/>
          <w:szCs w:val="28"/>
          <w:lang w:val="en-GB"/>
        </w:rPr>
      </w:pPr>
      <w:r w:rsidRPr="0050239A">
        <w:rPr>
          <w:b/>
          <w:sz w:val="28"/>
          <w:szCs w:val="28"/>
          <w:lang w:val="en-GB"/>
        </w:rPr>
        <w:t>Deterioration in barrier-free housing</w:t>
      </w:r>
      <w:r w:rsidR="00E64C23">
        <w:rPr>
          <w:b/>
          <w:sz w:val="28"/>
          <w:szCs w:val="28"/>
          <w:lang w:val="en-GB"/>
        </w:rPr>
        <w:t xml:space="preserve"> legislation</w:t>
      </w:r>
    </w:p>
    <w:p w14:paraId="1AB205A6" w14:textId="77777777" w:rsidR="0050239A" w:rsidRDefault="0050239A" w:rsidP="0050239A">
      <w:pPr>
        <w:rPr>
          <w:sz w:val="16"/>
          <w:szCs w:val="16"/>
          <w:lang w:val="en-GB"/>
        </w:rPr>
      </w:pPr>
    </w:p>
    <w:p w14:paraId="73F3FBE1" w14:textId="0F756656" w:rsidR="00736B12" w:rsidRPr="00C65E6A" w:rsidRDefault="00736B12" w:rsidP="0050239A">
      <w:pPr>
        <w:rPr>
          <w:sz w:val="24"/>
          <w:szCs w:val="24"/>
          <w:lang w:val="en-GB"/>
        </w:rPr>
      </w:pPr>
      <w:r w:rsidRPr="00C65E6A">
        <w:rPr>
          <w:sz w:val="24"/>
          <w:szCs w:val="24"/>
          <w:lang w:val="en-GB"/>
        </w:rPr>
        <w:t>The NAP 2022-2030 states: "Currently, only 13% of dwellings in Austria are accessible and at least adaptable" (NAP 2022-2030, p. 58). The figures are estimates from a market study by the Building Guild/Chamber of Commerce and do not correspond to verifiable figures according to technical standards. No valid figures exist. Estimates assume low accessibility in the entire housing stock. The Tyrolean M</w:t>
      </w:r>
      <w:r w:rsidR="00CE441F">
        <w:rPr>
          <w:sz w:val="24"/>
          <w:szCs w:val="24"/>
          <w:lang w:val="en-GB"/>
        </w:rPr>
        <w:t xml:space="preserve">onitoring Committee for the CRPD </w:t>
      </w:r>
      <w:r w:rsidRPr="00C65E6A">
        <w:rPr>
          <w:sz w:val="24"/>
          <w:szCs w:val="24"/>
          <w:lang w:val="en-GB"/>
        </w:rPr>
        <w:t>estimated that in 2013 4% of the housing stock was "suitable for the elderl</w:t>
      </w:r>
      <w:r w:rsidR="0050239A" w:rsidRPr="00C65E6A">
        <w:rPr>
          <w:sz w:val="24"/>
          <w:szCs w:val="24"/>
          <w:lang w:val="en-GB"/>
        </w:rPr>
        <w:t>y"</w:t>
      </w:r>
      <w:r w:rsidR="0050239A" w:rsidRPr="00C65E6A">
        <w:rPr>
          <w:rStyle w:val="Funotenzeichen"/>
          <w:sz w:val="24"/>
          <w:szCs w:val="24"/>
        </w:rPr>
        <w:footnoteReference w:id="2"/>
      </w:r>
      <w:r w:rsidR="0050239A" w:rsidRPr="00CE441F">
        <w:rPr>
          <w:sz w:val="24"/>
          <w:szCs w:val="24"/>
          <w:lang w:val="en-GB"/>
        </w:rPr>
        <w:t>.</w:t>
      </w:r>
    </w:p>
    <w:p w14:paraId="3A606836" w14:textId="7F85DB16" w:rsidR="00BB0DA4" w:rsidRDefault="00E6578F" w:rsidP="0050239A">
      <w:pPr>
        <w:rPr>
          <w:sz w:val="24"/>
          <w:szCs w:val="24"/>
          <w:lang w:val="en-US"/>
        </w:rPr>
      </w:pPr>
      <w:r w:rsidRPr="00C65E6A">
        <w:rPr>
          <w:sz w:val="24"/>
          <w:szCs w:val="24"/>
          <w:lang w:val="en-GB"/>
        </w:rPr>
        <w:lastRenderedPageBreak/>
        <w:t xml:space="preserve">Building legislation is a competence of the Laender (provinces). </w:t>
      </w:r>
      <w:r w:rsidR="007D782E" w:rsidRPr="00C65E6A">
        <w:rPr>
          <w:sz w:val="24"/>
          <w:szCs w:val="24"/>
          <w:lang w:val="en-GB"/>
        </w:rPr>
        <w:t xml:space="preserve">Despite </w:t>
      </w:r>
      <w:r w:rsidRPr="00C65E6A">
        <w:rPr>
          <w:sz w:val="24"/>
          <w:szCs w:val="24"/>
          <w:lang w:val="en-GB"/>
        </w:rPr>
        <w:t xml:space="preserve">the lack of </w:t>
      </w:r>
      <w:r w:rsidR="00B579EC" w:rsidRPr="00C65E6A">
        <w:rPr>
          <w:sz w:val="24"/>
          <w:szCs w:val="24"/>
          <w:lang w:val="en-GB"/>
        </w:rPr>
        <w:t>accessible housing facilities</w:t>
      </w:r>
      <w:r w:rsidR="007D782E" w:rsidRPr="00C65E6A">
        <w:rPr>
          <w:sz w:val="24"/>
          <w:szCs w:val="24"/>
          <w:lang w:val="en-GB"/>
        </w:rPr>
        <w:t xml:space="preserve">, </w:t>
      </w:r>
      <w:r w:rsidRPr="00C65E6A">
        <w:rPr>
          <w:sz w:val="24"/>
          <w:szCs w:val="24"/>
          <w:lang w:val="en-GB"/>
        </w:rPr>
        <w:t xml:space="preserve">lobby groups of the </w:t>
      </w:r>
      <w:r w:rsidR="007D782E" w:rsidRPr="00C65E6A">
        <w:rPr>
          <w:sz w:val="24"/>
          <w:szCs w:val="24"/>
          <w:lang w:val="en-GB"/>
        </w:rPr>
        <w:t xml:space="preserve">building industry have </w:t>
      </w:r>
      <w:r w:rsidRPr="00C65E6A">
        <w:rPr>
          <w:sz w:val="24"/>
          <w:szCs w:val="24"/>
          <w:lang w:val="en-GB"/>
        </w:rPr>
        <w:t xml:space="preserve">achieved </w:t>
      </w:r>
      <w:r w:rsidR="007D782E" w:rsidRPr="00C65E6A">
        <w:rPr>
          <w:sz w:val="24"/>
          <w:szCs w:val="24"/>
          <w:lang w:val="en-GB"/>
        </w:rPr>
        <w:t>a lowering of accessi</w:t>
      </w:r>
      <w:r w:rsidR="004243E1" w:rsidRPr="00C65E6A">
        <w:rPr>
          <w:sz w:val="24"/>
          <w:szCs w:val="24"/>
          <w:lang w:val="en-GB"/>
        </w:rPr>
        <w:t>bility standards in most of the</w:t>
      </w:r>
      <w:r w:rsidRPr="00C65E6A">
        <w:rPr>
          <w:sz w:val="24"/>
          <w:szCs w:val="24"/>
          <w:lang w:val="en-GB"/>
        </w:rPr>
        <w:t xml:space="preserve"> Laender</w:t>
      </w:r>
      <w:r w:rsidR="00B579EC" w:rsidRPr="00C65E6A">
        <w:rPr>
          <w:sz w:val="24"/>
          <w:szCs w:val="24"/>
          <w:lang w:val="en-GB"/>
        </w:rPr>
        <w:t xml:space="preserve"> during the last decade</w:t>
      </w:r>
      <w:r w:rsidRPr="00C65E6A">
        <w:rPr>
          <w:sz w:val="24"/>
          <w:szCs w:val="24"/>
          <w:lang w:val="en-GB"/>
        </w:rPr>
        <w:t xml:space="preserve">. This should be considered in the context of general demands for deregulation. </w:t>
      </w:r>
      <w:r w:rsidR="00B579EC" w:rsidRPr="00C65E6A">
        <w:rPr>
          <w:sz w:val="24"/>
          <w:szCs w:val="24"/>
          <w:lang w:val="en-GB"/>
        </w:rPr>
        <w:t>Currently, t</w:t>
      </w:r>
      <w:r w:rsidR="007D782E" w:rsidRPr="00C65E6A">
        <w:rPr>
          <w:sz w:val="24"/>
          <w:szCs w:val="24"/>
          <w:lang w:val="en-GB"/>
        </w:rPr>
        <w:t xml:space="preserve">here are great differences </w:t>
      </w:r>
      <w:r w:rsidRPr="00C65E6A">
        <w:rPr>
          <w:sz w:val="24"/>
          <w:szCs w:val="24"/>
          <w:lang w:val="en-GB"/>
        </w:rPr>
        <w:t xml:space="preserve">among </w:t>
      </w:r>
      <w:r w:rsidR="007D782E" w:rsidRPr="00C65E6A">
        <w:rPr>
          <w:sz w:val="24"/>
          <w:szCs w:val="24"/>
          <w:lang w:val="en-GB"/>
        </w:rPr>
        <w:t>the provincial laws with regard to regulations</w:t>
      </w:r>
      <w:r w:rsidR="00CE441F">
        <w:rPr>
          <w:sz w:val="24"/>
          <w:szCs w:val="24"/>
          <w:lang w:val="en-GB"/>
        </w:rPr>
        <w:t>,</w:t>
      </w:r>
      <w:r w:rsidR="00B579EC" w:rsidRPr="00C65E6A">
        <w:rPr>
          <w:sz w:val="24"/>
          <w:szCs w:val="24"/>
          <w:lang w:val="en-GB"/>
        </w:rPr>
        <w:t xml:space="preserve"> e.g.</w:t>
      </w:r>
      <w:r w:rsidR="007D782E" w:rsidRPr="00C65E6A">
        <w:rPr>
          <w:sz w:val="24"/>
          <w:szCs w:val="24"/>
          <w:lang w:val="en-GB"/>
        </w:rPr>
        <w:t xml:space="preserve"> for which new residential buildings barrier-free accessibility is prescribed </w:t>
      </w:r>
      <w:r w:rsidR="00B579EC" w:rsidRPr="00C65E6A">
        <w:rPr>
          <w:sz w:val="24"/>
          <w:szCs w:val="24"/>
          <w:lang w:val="en-GB"/>
        </w:rPr>
        <w:t xml:space="preserve">or </w:t>
      </w:r>
      <w:r w:rsidR="007D782E" w:rsidRPr="00C65E6A">
        <w:rPr>
          <w:sz w:val="24"/>
          <w:szCs w:val="24"/>
          <w:lang w:val="en-GB"/>
        </w:rPr>
        <w:t xml:space="preserve">from which number of </w:t>
      </w:r>
      <w:r w:rsidR="000C6F5A" w:rsidRPr="00C65E6A">
        <w:rPr>
          <w:sz w:val="24"/>
          <w:szCs w:val="24"/>
          <w:lang w:val="en-GB"/>
        </w:rPr>
        <w:t>flats</w:t>
      </w:r>
      <w:r w:rsidR="007D782E" w:rsidRPr="00C65E6A">
        <w:rPr>
          <w:sz w:val="24"/>
          <w:szCs w:val="24"/>
          <w:lang w:val="en-GB"/>
        </w:rPr>
        <w:t xml:space="preserve"> </w:t>
      </w:r>
      <w:r w:rsidR="00B579EC" w:rsidRPr="00C65E6A">
        <w:rPr>
          <w:sz w:val="24"/>
          <w:szCs w:val="24"/>
          <w:lang w:val="en-GB"/>
        </w:rPr>
        <w:t>a facility</w:t>
      </w:r>
      <w:r w:rsidR="00BB0DA4" w:rsidRPr="00C65E6A">
        <w:rPr>
          <w:sz w:val="24"/>
          <w:szCs w:val="24"/>
          <w:lang w:val="en-GB"/>
        </w:rPr>
        <w:t xml:space="preserve"> </w:t>
      </w:r>
      <w:r w:rsidR="00BB0DA4" w:rsidRPr="00C65E6A">
        <w:rPr>
          <w:sz w:val="24"/>
          <w:szCs w:val="24"/>
          <w:lang w:val="en-US"/>
        </w:rPr>
        <w:t>must be built adaptable for barrier-free access.</w:t>
      </w:r>
    </w:p>
    <w:p w14:paraId="27755BBE" w14:textId="77777777" w:rsidR="00E64C23" w:rsidRPr="00C65E6A" w:rsidRDefault="00E64C23" w:rsidP="0050239A">
      <w:pPr>
        <w:rPr>
          <w:sz w:val="24"/>
          <w:szCs w:val="24"/>
          <w:lang w:val="en-GB"/>
        </w:rPr>
      </w:pPr>
    </w:p>
    <w:p w14:paraId="2517B29D" w14:textId="4666794B" w:rsidR="00474157" w:rsidRDefault="004243E1" w:rsidP="002E35B6">
      <w:pPr>
        <w:rPr>
          <w:rFonts w:ascii="Calibri" w:eastAsia="Times New Roman" w:hAnsi="Calibri" w:cs="Calibri"/>
          <w:sz w:val="24"/>
          <w:szCs w:val="24"/>
          <w:lang w:val="en-GB"/>
        </w:rPr>
      </w:pPr>
      <w:r w:rsidRPr="00C65E6A">
        <w:rPr>
          <w:sz w:val="24"/>
          <w:szCs w:val="24"/>
          <w:lang w:val="en-GB"/>
        </w:rPr>
        <w:t>The regulations</w:t>
      </w:r>
      <w:r w:rsidR="00B579EC" w:rsidRPr="00C65E6A">
        <w:rPr>
          <w:sz w:val="24"/>
          <w:szCs w:val="24"/>
          <w:lang w:val="en-GB"/>
        </w:rPr>
        <w:t xml:space="preserve"> in </w:t>
      </w:r>
      <w:r w:rsidR="007D782E" w:rsidRPr="00C65E6A">
        <w:rPr>
          <w:sz w:val="24"/>
          <w:szCs w:val="24"/>
          <w:lang w:val="en-GB"/>
        </w:rPr>
        <w:t>Tyrol can be cited as an example of deterioration: In 2008, buildings w</w:t>
      </w:r>
      <w:r w:rsidR="00B45278">
        <w:rPr>
          <w:sz w:val="24"/>
          <w:szCs w:val="24"/>
          <w:lang w:val="en-GB"/>
        </w:rPr>
        <w:t>ith more than 3 flats had to be</w:t>
      </w:r>
      <w:r w:rsidR="007D782E" w:rsidRPr="00C65E6A">
        <w:rPr>
          <w:sz w:val="24"/>
          <w:szCs w:val="24"/>
          <w:lang w:val="en-GB"/>
        </w:rPr>
        <w:t xml:space="preserve"> accessible, but </w:t>
      </w:r>
      <w:r w:rsidR="00B579EC" w:rsidRPr="00C65E6A">
        <w:rPr>
          <w:sz w:val="24"/>
          <w:szCs w:val="24"/>
          <w:lang w:val="en-GB"/>
        </w:rPr>
        <w:t xml:space="preserve">since </w:t>
      </w:r>
      <w:r w:rsidR="007D782E" w:rsidRPr="00C65E6A">
        <w:rPr>
          <w:sz w:val="24"/>
          <w:szCs w:val="24"/>
          <w:lang w:val="en-GB"/>
        </w:rPr>
        <w:t xml:space="preserve">2020, </w:t>
      </w:r>
      <w:r w:rsidR="00B579EC" w:rsidRPr="00C65E6A">
        <w:rPr>
          <w:sz w:val="24"/>
          <w:szCs w:val="24"/>
          <w:lang w:val="en-GB"/>
        </w:rPr>
        <w:t xml:space="preserve">this has been necessary </w:t>
      </w:r>
      <w:r w:rsidR="007D782E" w:rsidRPr="00C65E6A">
        <w:rPr>
          <w:sz w:val="24"/>
          <w:szCs w:val="24"/>
          <w:lang w:val="en-GB"/>
        </w:rPr>
        <w:t xml:space="preserve">only </w:t>
      </w:r>
      <w:r w:rsidR="00B579EC" w:rsidRPr="00C65E6A">
        <w:rPr>
          <w:sz w:val="24"/>
          <w:szCs w:val="24"/>
          <w:lang w:val="en-GB"/>
        </w:rPr>
        <w:t xml:space="preserve">for </w:t>
      </w:r>
      <w:r w:rsidR="007D782E" w:rsidRPr="00C65E6A">
        <w:rPr>
          <w:sz w:val="24"/>
          <w:szCs w:val="24"/>
          <w:lang w:val="en-GB"/>
        </w:rPr>
        <w:t xml:space="preserve">buildings with more than 6 flats. </w:t>
      </w:r>
      <w:r w:rsidR="002E35B6" w:rsidRPr="00C65E6A">
        <w:rPr>
          <w:sz w:val="24"/>
          <w:szCs w:val="24"/>
          <w:lang w:val="en-US"/>
        </w:rPr>
        <w:t>An adaptable construction method is only required from the seventh flat onwards.</w:t>
      </w:r>
      <w:r w:rsidR="00E64C23">
        <w:rPr>
          <w:sz w:val="24"/>
          <w:szCs w:val="24"/>
          <w:lang w:val="en-US"/>
        </w:rPr>
        <w:t xml:space="preserve"> </w:t>
      </w:r>
      <w:r w:rsidR="00474157" w:rsidRPr="00C65E6A">
        <w:rPr>
          <w:rFonts w:ascii="Calibri" w:eastAsia="Times New Roman" w:hAnsi="Calibri" w:cs="Calibri"/>
          <w:sz w:val="24"/>
          <w:szCs w:val="24"/>
          <w:lang w:val="en-GB"/>
        </w:rPr>
        <w:t xml:space="preserve">These regulations cause serious deterioration and disadvantages, especially in rural areas, as buildings with fewer floors and flats are built </w:t>
      </w:r>
      <w:r w:rsidR="00B579EC" w:rsidRPr="00C65E6A">
        <w:rPr>
          <w:rFonts w:ascii="Calibri" w:eastAsia="Times New Roman" w:hAnsi="Calibri" w:cs="Calibri"/>
          <w:sz w:val="24"/>
          <w:szCs w:val="24"/>
          <w:lang w:val="en-GB"/>
        </w:rPr>
        <w:t xml:space="preserve">more frequently </w:t>
      </w:r>
      <w:r w:rsidR="00C65E6A">
        <w:rPr>
          <w:rFonts w:ascii="Calibri" w:eastAsia="Times New Roman" w:hAnsi="Calibri" w:cs="Calibri"/>
          <w:sz w:val="24"/>
          <w:szCs w:val="24"/>
          <w:lang w:val="en-GB"/>
        </w:rPr>
        <w:t>in rural areas</w:t>
      </w:r>
      <w:r w:rsidR="00474157" w:rsidRPr="00C65E6A">
        <w:rPr>
          <w:rFonts w:ascii="Calibri" w:eastAsia="Times New Roman" w:hAnsi="Calibri" w:cs="Calibri"/>
          <w:sz w:val="24"/>
          <w:szCs w:val="24"/>
          <w:lang w:val="en-GB"/>
        </w:rPr>
        <w:t xml:space="preserve">. Often, </w:t>
      </w:r>
      <w:r w:rsidR="00B579EC" w:rsidRPr="00C65E6A">
        <w:rPr>
          <w:rFonts w:ascii="Calibri" w:eastAsia="Times New Roman" w:hAnsi="Calibri" w:cs="Calibri"/>
          <w:sz w:val="24"/>
          <w:szCs w:val="24"/>
          <w:lang w:val="en-GB"/>
        </w:rPr>
        <w:t>accessible</w:t>
      </w:r>
      <w:r w:rsidR="00474157" w:rsidRPr="00C65E6A">
        <w:rPr>
          <w:rFonts w:ascii="Calibri" w:eastAsia="Times New Roman" w:hAnsi="Calibri" w:cs="Calibri"/>
          <w:sz w:val="24"/>
          <w:szCs w:val="24"/>
          <w:lang w:val="en-GB"/>
        </w:rPr>
        <w:t xml:space="preserve"> and adaptable flats are limited to flats on the ground floor</w:t>
      </w:r>
      <w:r w:rsidR="00B579EC" w:rsidRPr="00C65E6A">
        <w:rPr>
          <w:rFonts w:ascii="Calibri" w:eastAsia="Times New Roman" w:hAnsi="Calibri" w:cs="Calibri"/>
          <w:sz w:val="24"/>
          <w:szCs w:val="24"/>
          <w:lang w:val="en-GB"/>
        </w:rPr>
        <w:t xml:space="preserve"> which reduces the opportunities to choose a flat for persons with disabilities rather </w:t>
      </w:r>
      <w:proofErr w:type="spellStart"/>
      <w:r w:rsidR="00B579EC" w:rsidRPr="00C65E6A">
        <w:rPr>
          <w:rFonts w:ascii="Calibri" w:eastAsia="Times New Roman" w:hAnsi="Calibri" w:cs="Calibri"/>
          <w:sz w:val="24"/>
          <w:szCs w:val="24"/>
          <w:lang w:val="en-GB"/>
        </w:rPr>
        <w:t>serioursly</w:t>
      </w:r>
      <w:proofErr w:type="spellEnd"/>
      <w:r w:rsidR="00B579EC" w:rsidRPr="00C65E6A">
        <w:rPr>
          <w:rFonts w:ascii="Calibri" w:eastAsia="Times New Roman" w:hAnsi="Calibri" w:cs="Calibri"/>
          <w:sz w:val="24"/>
          <w:szCs w:val="24"/>
          <w:lang w:val="en-GB"/>
        </w:rPr>
        <w:t>.</w:t>
      </w:r>
    </w:p>
    <w:p w14:paraId="418F6B5B" w14:textId="77777777" w:rsidR="00E64C23" w:rsidRPr="00C65E6A" w:rsidRDefault="00E64C23" w:rsidP="002E35B6">
      <w:pPr>
        <w:rPr>
          <w:rFonts w:ascii="Calibri" w:eastAsia="Times New Roman" w:hAnsi="Calibri" w:cs="Calibri"/>
          <w:sz w:val="24"/>
          <w:szCs w:val="24"/>
          <w:lang w:val="en-GB"/>
        </w:rPr>
      </w:pPr>
    </w:p>
    <w:p w14:paraId="62719EB8" w14:textId="5026356C" w:rsidR="000864BF" w:rsidRPr="00F615E1" w:rsidRDefault="000864BF" w:rsidP="002E35B6">
      <w:pPr>
        <w:rPr>
          <w:sz w:val="24"/>
          <w:szCs w:val="24"/>
          <w:lang w:val="en-GB"/>
        </w:rPr>
      </w:pPr>
      <w:r w:rsidRPr="00F615E1">
        <w:rPr>
          <w:sz w:val="24"/>
          <w:szCs w:val="24"/>
          <w:lang w:val="en-GB"/>
        </w:rPr>
        <w:t>Adaptations of non-accessible and new adaptable flats have to be financed by tenants with disabilities themselves. Public subsidies have not been increased for 18 years. Flat owners are not obliged to bear the costs. There is no obligation for the building authorities to call in experts for accessibility for building decisions.</w:t>
      </w:r>
    </w:p>
    <w:p w14:paraId="0035CF05" w14:textId="77777777" w:rsidR="00E64C23" w:rsidRDefault="00E64C23" w:rsidP="002E35B6">
      <w:pPr>
        <w:rPr>
          <w:sz w:val="24"/>
          <w:szCs w:val="24"/>
          <w:lang w:val="en-GB"/>
        </w:rPr>
      </w:pPr>
    </w:p>
    <w:p w14:paraId="25F62803" w14:textId="38E05AE1" w:rsidR="002E5867" w:rsidRPr="00E5251B" w:rsidRDefault="002E5867" w:rsidP="002E35B6">
      <w:pPr>
        <w:rPr>
          <w:sz w:val="24"/>
          <w:szCs w:val="24"/>
          <w:lang w:val="en-GB"/>
        </w:rPr>
      </w:pPr>
      <w:r w:rsidRPr="00F615E1">
        <w:rPr>
          <w:sz w:val="24"/>
          <w:szCs w:val="24"/>
          <w:lang w:val="en-GB"/>
        </w:rPr>
        <w:t xml:space="preserve">The lack of </w:t>
      </w:r>
      <w:r w:rsidR="00B579EC" w:rsidRPr="00F615E1">
        <w:rPr>
          <w:sz w:val="24"/>
          <w:szCs w:val="24"/>
          <w:lang w:val="en-GB"/>
        </w:rPr>
        <w:t xml:space="preserve">accessible </w:t>
      </w:r>
      <w:r w:rsidRPr="00F615E1">
        <w:rPr>
          <w:sz w:val="24"/>
          <w:szCs w:val="24"/>
          <w:lang w:val="en-GB"/>
        </w:rPr>
        <w:t xml:space="preserve">housing in Austria creates great pressure for the </w:t>
      </w:r>
      <w:r w:rsidR="00B579EC" w:rsidRPr="00F615E1">
        <w:rPr>
          <w:sz w:val="24"/>
          <w:szCs w:val="24"/>
          <w:lang w:val="en-GB"/>
        </w:rPr>
        <w:t xml:space="preserve">building </w:t>
      </w:r>
      <w:r w:rsidRPr="00F615E1">
        <w:rPr>
          <w:sz w:val="24"/>
          <w:szCs w:val="24"/>
          <w:lang w:val="en-GB"/>
        </w:rPr>
        <w:t xml:space="preserve">of new institutions for people with disabilities </w:t>
      </w:r>
      <w:r w:rsidR="00B579EC" w:rsidRPr="00F615E1">
        <w:rPr>
          <w:sz w:val="24"/>
          <w:szCs w:val="24"/>
          <w:lang w:val="en-GB"/>
        </w:rPr>
        <w:t>including</w:t>
      </w:r>
      <w:r w:rsidRPr="00F615E1">
        <w:rPr>
          <w:sz w:val="24"/>
          <w:szCs w:val="24"/>
          <w:lang w:val="en-GB"/>
        </w:rPr>
        <w:t xml:space="preserve"> homes for the elderly and nursing homes. International care corporations are beginning to invest here. </w:t>
      </w:r>
      <w:r w:rsidR="00291F5E" w:rsidRPr="00F615E1">
        <w:rPr>
          <w:sz w:val="24"/>
          <w:szCs w:val="24"/>
          <w:lang w:val="en-GB"/>
        </w:rPr>
        <w:t>According to official data for the period between 2013 and 2021, there was an increase of 31</w:t>
      </w:r>
      <w:proofErr w:type="gramStart"/>
      <w:r w:rsidR="00291F5E" w:rsidRPr="00F615E1">
        <w:rPr>
          <w:sz w:val="24"/>
          <w:szCs w:val="24"/>
          <w:lang w:val="en-GB"/>
        </w:rPr>
        <w:t>,6</w:t>
      </w:r>
      <w:proofErr w:type="gramEnd"/>
      <w:r w:rsidR="00291F5E" w:rsidRPr="00F615E1">
        <w:rPr>
          <w:sz w:val="24"/>
          <w:szCs w:val="24"/>
          <w:lang w:val="en-GB"/>
        </w:rPr>
        <w:t>% in institutional care, compared to only 11.4% increase in community-based services for old people</w:t>
      </w:r>
      <w:r w:rsidR="00CE441F">
        <w:rPr>
          <w:rStyle w:val="Funotenzeichen"/>
          <w:szCs w:val="24"/>
          <w:lang w:val="en-GB"/>
        </w:rPr>
        <w:footnoteReference w:id="3"/>
      </w:r>
      <w:r w:rsidR="00291F5E" w:rsidRPr="00F615E1">
        <w:rPr>
          <w:sz w:val="24"/>
          <w:szCs w:val="24"/>
          <w:lang w:val="en-GB"/>
        </w:rPr>
        <w:t xml:space="preserve">. </w:t>
      </w:r>
      <w:r w:rsidRPr="00F615E1">
        <w:rPr>
          <w:sz w:val="24"/>
          <w:szCs w:val="24"/>
          <w:lang w:val="en-GB"/>
        </w:rPr>
        <w:t xml:space="preserve">A </w:t>
      </w:r>
      <w:r w:rsidR="00CE441F">
        <w:rPr>
          <w:sz w:val="24"/>
          <w:szCs w:val="24"/>
          <w:lang w:val="en-GB"/>
        </w:rPr>
        <w:t xml:space="preserve">recent </w:t>
      </w:r>
      <w:r w:rsidR="008821FB">
        <w:rPr>
          <w:sz w:val="24"/>
          <w:szCs w:val="24"/>
          <w:lang w:val="en-GB"/>
        </w:rPr>
        <w:t>study</w:t>
      </w:r>
      <w:r w:rsidRPr="00F615E1">
        <w:rPr>
          <w:sz w:val="24"/>
          <w:szCs w:val="24"/>
          <w:lang w:val="en-GB"/>
        </w:rPr>
        <w:t xml:space="preserve"> recommends "In view of these findings, the public sector in Austria should use various regulation and instruments to take protective measures against the expansion of shareholder-oriented transnational investors into central </w:t>
      </w:r>
      <w:r w:rsidRPr="00E5251B">
        <w:rPr>
          <w:sz w:val="24"/>
          <w:szCs w:val="24"/>
          <w:lang w:val="en-GB"/>
        </w:rPr>
        <w:t>economic sectors of the everyday economy or to push them back."</w:t>
      </w:r>
      <w:r w:rsidR="002E35B6" w:rsidRPr="00CE441F">
        <w:rPr>
          <w:rStyle w:val="Funotenzeichen"/>
          <w:sz w:val="24"/>
          <w:szCs w:val="24"/>
          <w:lang w:val="en-GB"/>
        </w:rPr>
        <w:t xml:space="preserve"> </w:t>
      </w:r>
      <w:r w:rsidR="002E35B6" w:rsidRPr="00E5251B">
        <w:rPr>
          <w:rStyle w:val="Funotenzeichen"/>
          <w:sz w:val="24"/>
          <w:szCs w:val="24"/>
        </w:rPr>
        <w:footnoteReference w:id="4"/>
      </w:r>
    </w:p>
    <w:p w14:paraId="0CDAF4A7" w14:textId="1B88F1A7" w:rsidR="00276ED3" w:rsidRDefault="00382FA5" w:rsidP="004C4B5F">
      <w:pPr>
        <w:rPr>
          <w:sz w:val="24"/>
          <w:szCs w:val="24"/>
          <w:lang w:val="en-GB"/>
        </w:rPr>
      </w:pPr>
      <w:r w:rsidRPr="00E5251B">
        <w:rPr>
          <w:sz w:val="24"/>
          <w:szCs w:val="24"/>
          <w:lang w:val="en-GB"/>
        </w:rPr>
        <w:t xml:space="preserve">There is neither a nationwide concept for </w:t>
      </w:r>
      <w:r w:rsidR="00291F5E" w:rsidRPr="00E5251B">
        <w:rPr>
          <w:sz w:val="24"/>
          <w:szCs w:val="24"/>
          <w:lang w:val="en-GB"/>
        </w:rPr>
        <w:t>accessible</w:t>
      </w:r>
      <w:r w:rsidRPr="00E5251B">
        <w:rPr>
          <w:sz w:val="24"/>
          <w:szCs w:val="24"/>
          <w:lang w:val="en-GB"/>
        </w:rPr>
        <w:t xml:space="preserve"> housing, nor staged plans and monitoring of the housing situation of people with disabilities.</w:t>
      </w:r>
    </w:p>
    <w:p w14:paraId="7D13EB94" w14:textId="77777777" w:rsidR="00E64C23" w:rsidRPr="00E5251B" w:rsidRDefault="00E64C23" w:rsidP="004C4B5F">
      <w:pPr>
        <w:rPr>
          <w:sz w:val="24"/>
          <w:szCs w:val="24"/>
          <w:lang w:val="en-GB"/>
        </w:rPr>
      </w:pPr>
    </w:p>
    <w:p w14:paraId="21A6E874" w14:textId="3CC66373" w:rsidR="00382FA5" w:rsidRPr="00372094" w:rsidRDefault="004F2F39" w:rsidP="00276ED3">
      <w:pPr>
        <w:rPr>
          <w:sz w:val="24"/>
          <w:szCs w:val="24"/>
          <w:lang w:val="en-GB"/>
        </w:rPr>
      </w:pPr>
      <w:r w:rsidRPr="00372094">
        <w:rPr>
          <w:sz w:val="24"/>
          <w:szCs w:val="24"/>
          <w:lang w:val="en-GB"/>
        </w:rPr>
        <w:t xml:space="preserve">Finally, Independent Living Austria would like to make a comment regarding the Individual Complaint under the Optional Protocol submitted in the name of Simon </w:t>
      </w:r>
      <w:proofErr w:type="spellStart"/>
      <w:r w:rsidRPr="00372094">
        <w:rPr>
          <w:sz w:val="24"/>
          <w:szCs w:val="24"/>
          <w:lang w:val="en-GB"/>
        </w:rPr>
        <w:t>Bacher</w:t>
      </w:r>
      <w:proofErr w:type="spellEnd"/>
      <w:r w:rsidRPr="00372094">
        <w:rPr>
          <w:sz w:val="24"/>
          <w:szCs w:val="24"/>
          <w:lang w:val="en-GB"/>
        </w:rPr>
        <w:t xml:space="preserve"> (CRPD/C/19/D/26/2014). Contrary to the Committee´s recommendations published in 2018 the State Party has so far </w:t>
      </w:r>
      <w:r w:rsidR="00866D27" w:rsidRPr="00372094">
        <w:rPr>
          <w:sz w:val="24"/>
          <w:szCs w:val="24"/>
          <w:lang w:val="en-GB"/>
        </w:rPr>
        <w:t xml:space="preserve">failed to make the seriously dangerous path accessible to Simon </w:t>
      </w:r>
      <w:proofErr w:type="spellStart"/>
      <w:r w:rsidR="00866D27" w:rsidRPr="00372094">
        <w:rPr>
          <w:sz w:val="24"/>
          <w:szCs w:val="24"/>
          <w:lang w:val="en-GB"/>
        </w:rPr>
        <w:t>Bacher</w:t>
      </w:r>
      <w:proofErr w:type="spellEnd"/>
      <w:r w:rsidR="00866D27" w:rsidRPr="00372094">
        <w:rPr>
          <w:sz w:val="24"/>
          <w:szCs w:val="24"/>
          <w:lang w:val="en-GB"/>
        </w:rPr>
        <w:t xml:space="preserve">. </w:t>
      </w:r>
      <w:r w:rsidR="00DA44BC" w:rsidRPr="00372094">
        <w:rPr>
          <w:sz w:val="24"/>
          <w:szCs w:val="24"/>
          <w:lang w:val="en-GB"/>
        </w:rPr>
        <w:t>T</w:t>
      </w:r>
      <w:r w:rsidR="00866D27" w:rsidRPr="00372094">
        <w:rPr>
          <w:sz w:val="24"/>
          <w:szCs w:val="24"/>
          <w:lang w:val="en-GB"/>
        </w:rPr>
        <w:t xml:space="preserve">he State Party </w:t>
      </w:r>
      <w:r w:rsidR="00DA44BC" w:rsidRPr="00372094">
        <w:rPr>
          <w:sz w:val="24"/>
          <w:szCs w:val="24"/>
          <w:lang w:val="en-GB"/>
        </w:rPr>
        <w:t xml:space="preserve">has neither </w:t>
      </w:r>
      <w:r w:rsidR="00866D27" w:rsidRPr="00372094">
        <w:rPr>
          <w:sz w:val="24"/>
          <w:szCs w:val="24"/>
          <w:lang w:val="en-GB"/>
        </w:rPr>
        <w:t xml:space="preserve">awarded Mr. </w:t>
      </w:r>
      <w:proofErr w:type="spellStart"/>
      <w:r w:rsidR="00866D27" w:rsidRPr="00372094">
        <w:rPr>
          <w:sz w:val="24"/>
          <w:szCs w:val="24"/>
          <w:lang w:val="en-GB"/>
        </w:rPr>
        <w:t>Bacher</w:t>
      </w:r>
      <w:proofErr w:type="spellEnd"/>
      <w:r w:rsidR="00866D27" w:rsidRPr="00372094">
        <w:rPr>
          <w:sz w:val="24"/>
          <w:szCs w:val="24"/>
          <w:lang w:val="en-GB"/>
        </w:rPr>
        <w:t xml:space="preserve"> with a compensation for the discrimination and </w:t>
      </w:r>
      <w:r w:rsidR="00DA44BC" w:rsidRPr="00372094">
        <w:rPr>
          <w:sz w:val="24"/>
          <w:szCs w:val="24"/>
          <w:lang w:val="en-GB"/>
        </w:rPr>
        <w:t xml:space="preserve">damage </w:t>
      </w:r>
      <w:r w:rsidR="00866D27" w:rsidRPr="00372094">
        <w:rPr>
          <w:sz w:val="24"/>
          <w:szCs w:val="24"/>
          <w:lang w:val="en-GB"/>
        </w:rPr>
        <w:t>he has and still is experiencing</w:t>
      </w:r>
      <w:r w:rsidR="00DA44BC" w:rsidRPr="00372094">
        <w:rPr>
          <w:sz w:val="24"/>
          <w:szCs w:val="24"/>
          <w:lang w:val="en-GB"/>
        </w:rPr>
        <w:t>, nor has the State Party implemented any of the other recommendations</w:t>
      </w:r>
      <w:r w:rsidR="00866D27" w:rsidRPr="00372094">
        <w:rPr>
          <w:sz w:val="24"/>
          <w:szCs w:val="24"/>
          <w:lang w:val="en-GB"/>
        </w:rPr>
        <w:t xml:space="preserve">. All measures taken to improve the access to Mr. </w:t>
      </w:r>
      <w:proofErr w:type="spellStart"/>
      <w:r w:rsidR="00866D27" w:rsidRPr="00372094">
        <w:rPr>
          <w:sz w:val="24"/>
          <w:szCs w:val="24"/>
          <w:lang w:val="en-GB"/>
        </w:rPr>
        <w:t>Bacher´s</w:t>
      </w:r>
      <w:proofErr w:type="spellEnd"/>
      <w:r w:rsidR="00866D27" w:rsidRPr="00372094">
        <w:rPr>
          <w:sz w:val="24"/>
          <w:szCs w:val="24"/>
          <w:lang w:val="en-GB"/>
        </w:rPr>
        <w:t xml:space="preserve"> home were accomplished privately by his family.</w:t>
      </w:r>
    </w:p>
    <w:p w14:paraId="2BBD1EE3" w14:textId="77777777" w:rsidR="004F2F39" w:rsidRDefault="004F2F39" w:rsidP="00276ED3">
      <w:pPr>
        <w:rPr>
          <w:lang w:val="en-GB"/>
        </w:rPr>
      </w:pPr>
    </w:p>
    <w:p w14:paraId="3F68C1B1" w14:textId="77777777" w:rsidR="004E4E29" w:rsidRPr="00503E59" w:rsidRDefault="004E4E29" w:rsidP="00503E59">
      <w:pPr>
        <w:rPr>
          <w:sz w:val="24"/>
          <w:szCs w:val="24"/>
          <w:lang w:val="en-GB"/>
        </w:rPr>
      </w:pPr>
      <w:r w:rsidRPr="00503E59">
        <w:rPr>
          <w:sz w:val="24"/>
          <w:szCs w:val="24"/>
          <w:lang w:val="en-GB"/>
        </w:rPr>
        <w:lastRenderedPageBreak/>
        <w:t xml:space="preserve">Recommendations: </w:t>
      </w:r>
    </w:p>
    <w:p w14:paraId="30DB7F2A" w14:textId="77777777" w:rsidR="004E4E29" w:rsidRPr="00503E59" w:rsidRDefault="004E4E29" w:rsidP="00503E59">
      <w:pPr>
        <w:rPr>
          <w:sz w:val="24"/>
          <w:szCs w:val="24"/>
          <w:lang w:val="en-GB"/>
        </w:rPr>
      </w:pPr>
      <w:r w:rsidRPr="00503E59">
        <w:rPr>
          <w:sz w:val="24"/>
          <w:szCs w:val="24"/>
          <w:lang w:val="en-GB"/>
        </w:rPr>
        <w:t>- The deteriorations in accessibility in the state building codes should be reversed.</w:t>
      </w:r>
    </w:p>
    <w:p w14:paraId="6FAA3C41" w14:textId="77777777" w:rsidR="004E4E29" w:rsidRPr="00503E59" w:rsidRDefault="004E4E29" w:rsidP="00503E59">
      <w:pPr>
        <w:rPr>
          <w:sz w:val="24"/>
          <w:szCs w:val="24"/>
          <w:lang w:val="en-GB"/>
        </w:rPr>
      </w:pPr>
      <w:r w:rsidRPr="00503E59">
        <w:rPr>
          <w:sz w:val="24"/>
          <w:szCs w:val="24"/>
          <w:lang w:val="en-GB"/>
        </w:rPr>
        <w:t>- Experts for accessibility must be consulted by law in the building authorities.</w:t>
      </w:r>
    </w:p>
    <w:p w14:paraId="28892EED" w14:textId="70D68D2F" w:rsidR="00276ED3" w:rsidRPr="00503E59" w:rsidRDefault="004E4E29" w:rsidP="00503E59">
      <w:pPr>
        <w:rPr>
          <w:sz w:val="24"/>
          <w:szCs w:val="24"/>
          <w:lang w:val="en-GB"/>
        </w:rPr>
      </w:pPr>
      <w:r w:rsidRPr="00503E59">
        <w:rPr>
          <w:sz w:val="24"/>
          <w:szCs w:val="24"/>
          <w:lang w:val="en-GB"/>
        </w:rPr>
        <w:t>- Valid data on accessibility in the Austrian housing stock must be collected. In particular, the situation in rural regions must be analysed in detail.</w:t>
      </w:r>
    </w:p>
    <w:p w14:paraId="3E48FF74" w14:textId="23D8984D" w:rsidR="00866D27" w:rsidRPr="00503E59" w:rsidRDefault="00866D27" w:rsidP="00503E59">
      <w:pPr>
        <w:rPr>
          <w:sz w:val="24"/>
          <w:szCs w:val="24"/>
          <w:lang w:val="en-GB"/>
        </w:rPr>
      </w:pPr>
      <w:r w:rsidRPr="00503E59">
        <w:rPr>
          <w:sz w:val="24"/>
          <w:szCs w:val="24"/>
          <w:lang w:val="en-GB"/>
        </w:rPr>
        <w:t xml:space="preserve">- Regarding the individual complaint submitted in the name of Simon </w:t>
      </w:r>
      <w:proofErr w:type="spellStart"/>
      <w:r w:rsidRPr="00503E59">
        <w:rPr>
          <w:sz w:val="24"/>
          <w:szCs w:val="24"/>
          <w:lang w:val="en-GB"/>
        </w:rPr>
        <w:t>Bacher</w:t>
      </w:r>
      <w:proofErr w:type="spellEnd"/>
      <w:r w:rsidRPr="00503E59">
        <w:rPr>
          <w:sz w:val="24"/>
          <w:szCs w:val="24"/>
          <w:lang w:val="en-GB"/>
        </w:rPr>
        <w:t xml:space="preserve">: Make the dangerous path accessible for Simon </w:t>
      </w:r>
      <w:proofErr w:type="spellStart"/>
      <w:r w:rsidRPr="00503E59">
        <w:rPr>
          <w:sz w:val="24"/>
          <w:szCs w:val="24"/>
          <w:lang w:val="en-GB"/>
        </w:rPr>
        <w:t>Bacher</w:t>
      </w:r>
      <w:proofErr w:type="spellEnd"/>
      <w:r w:rsidRPr="00503E59">
        <w:rPr>
          <w:sz w:val="24"/>
          <w:szCs w:val="24"/>
          <w:lang w:val="en-GB"/>
        </w:rPr>
        <w:t xml:space="preserve"> and award him with a reasonable compensation for the damage he has experienced for more than 20 years</w:t>
      </w:r>
      <w:r w:rsidR="00E5251B">
        <w:rPr>
          <w:sz w:val="24"/>
          <w:szCs w:val="24"/>
          <w:lang w:val="en-GB"/>
        </w:rPr>
        <w:t>.</w:t>
      </w:r>
    </w:p>
    <w:p w14:paraId="31DA12AA" w14:textId="77777777" w:rsidR="002C4417" w:rsidRPr="00503E59" w:rsidRDefault="002C4417" w:rsidP="00B745A5">
      <w:pPr>
        <w:rPr>
          <w:sz w:val="24"/>
          <w:szCs w:val="24"/>
          <w:lang w:val="en-GB"/>
        </w:rPr>
      </w:pPr>
    </w:p>
    <w:p w14:paraId="38295C2C" w14:textId="77777777" w:rsidR="00F44BE2" w:rsidRPr="00797EA1" w:rsidRDefault="00F44BE2" w:rsidP="00F44BE2">
      <w:pPr>
        <w:rPr>
          <w:sz w:val="28"/>
          <w:szCs w:val="28"/>
          <w:lang w:val="en-GB"/>
        </w:rPr>
      </w:pPr>
      <w:r w:rsidRPr="00797EA1">
        <w:rPr>
          <w:b/>
          <w:bCs/>
          <w:sz w:val="28"/>
          <w:szCs w:val="28"/>
          <w:lang w:val="en-GB"/>
        </w:rPr>
        <w:t>Regarding to art. 19 and reply to paragraph 37 of the list of issues:</w:t>
      </w:r>
    </w:p>
    <w:p w14:paraId="593A38C8" w14:textId="77777777" w:rsidR="00ED09E3" w:rsidRPr="00CE441F" w:rsidRDefault="00ED09E3" w:rsidP="00D87028">
      <w:pPr>
        <w:rPr>
          <w:b/>
          <w:sz w:val="28"/>
          <w:szCs w:val="28"/>
          <w:lang w:val="en-GB"/>
        </w:rPr>
      </w:pPr>
    </w:p>
    <w:p w14:paraId="724ADF58" w14:textId="77777777" w:rsidR="00C10CDA" w:rsidRPr="00CE441F" w:rsidRDefault="00C10CDA" w:rsidP="00503E59">
      <w:pPr>
        <w:rPr>
          <w:b/>
          <w:sz w:val="28"/>
          <w:szCs w:val="28"/>
          <w:lang w:val="en-GB"/>
        </w:rPr>
      </w:pPr>
      <w:r w:rsidRPr="00CE441F">
        <w:rPr>
          <w:b/>
          <w:sz w:val="28"/>
          <w:szCs w:val="28"/>
          <w:lang w:val="en-GB"/>
        </w:rPr>
        <w:t>Nationwide Personal Assistance</w:t>
      </w:r>
    </w:p>
    <w:p w14:paraId="50A255E7" w14:textId="77777777" w:rsidR="00717E0E" w:rsidRPr="00CE441F" w:rsidRDefault="00717E0E" w:rsidP="00503E59">
      <w:pPr>
        <w:rPr>
          <w:b/>
          <w:sz w:val="28"/>
          <w:szCs w:val="28"/>
          <w:lang w:val="en-GB"/>
        </w:rPr>
      </w:pPr>
    </w:p>
    <w:p w14:paraId="28F06467" w14:textId="08B20910" w:rsidR="00D87028" w:rsidRDefault="00C10CDA" w:rsidP="00503E59">
      <w:pPr>
        <w:rPr>
          <w:sz w:val="24"/>
          <w:szCs w:val="24"/>
          <w:lang w:val="en-GB"/>
        </w:rPr>
      </w:pPr>
      <w:r w:rsidRPr="00717E0E">
        <w:rPr>
          <w:sz w:val="24"/>
          <w:szCs w:val="24"/>
          <w:lang w:val="en-GB"/>
        </w:rPr>
        <w:t>Currently, there are certain offers of Personal Assistance in every province in Austria, but they are not uniform throughout the country,</w:t>
      </w:r>
      <w:r w:rsidR="00E64C23">
        <w:rPr>
          <w:sz w:val="24"/>
          <w:szCs w:val="24"/>
          <w:lang w:val="en-GB"/>
        </w:rPr>
        <w:t xml:space="preserve"> they</w:t>
      </w:r>
      <w:r w:rsidRPr="00717E0E">
        <w:rPr>
          <w:sz w:val="24"/>
          <w:szCs w:val="24"/>
          <w:lang w:val="en-GB"/>
        </w:rPr>
        <w:t xml:space="preserve"> are not needs-based in terms of scope, are not income-independent, have age limits (</w:t>
      </w:r>
      <w:r w:rsidR="00E64C23">
        <w:rPr>
          <w:sz w:val="24"/>
          <w:szCs w:val="24"/>
          <w:lang w:val="en-GB"/>
        </w:rPr>
        <w:t xml:space="preserve">usually Personal Assistance is </w:t>
      </w:r>
      <w:r w:rsidRPr="00717E0E">
        <w:rPr>
          <w:sz w:val="24"/>
          <w:szCs w:val="24"/>
          <w:lang w:val="en-GB"/>
        </w:rPr>
        <w:t xml:space="preserve">not </w:t>
      </w:r>
      <w:r w:rsidR="00E64C23">
        <w:rPr>
          <w:sz w:val="24"/>
          <w:szCs w:val="24"/>
          <w:lang w:val="en-GB"/>
        </w:rPr>
        <w:t xml:space="preserve">provided </w:t>
      </w:r>
      <w:r w:rsidRPr="00717E0E">
        <w:rPr>
          <w:sz w:val="24"/>
          <w:szCs w:val="24"/>
          <w:lang w:val="en-GB"/>
        </w:rPr>
        <w:t xml:space="preserve">for children and </w:t>
      </w:r>
      <w:r w:rsidR="00866D27" w:rsidRPr="00717E0E">
        <w:rPr>
          <w:sz w:val="24"/>
          <w:szCs w:val="24"/>
          <w:lang w:val="en-GB"/>
        </w:rPr>
        <w:t>senior citizens who need support later in life</w:t>
      </w:r>
      <w:r w:rsidRPr="00717E0E">
        <w:rPr>
          <w:sz w:val="24"/>
          <w:szCs w:val="24"/>
          <w:lang w:val="en-GB"/>
        </w:rPr>
        <w:t xml:space="preserve">) and are not accessible to persons with all forms of disabilities in all areas of life. Summarised official figures and data on this </w:t>
      </w:r>
      <w:r w:rsidR="00DA44BC" w:rsidRPr="00717E0E">
        <w:rPr>
          <w:sz w:val="24"/>
          <w:szCs w:val="24"/>
          <w:lang w:val="en-GB"/>
        </w:rPr>
        <w:t xml:space="preserve">issue </w:t>
      </w:r>
      <w:r w:rsidRPr="00717E0E">
        <w:rPr>
          <w:sz w:val="24"/>
          <w:szCs w:val="24"/>
          <w:lang w:val="en-GB"/>
        </w:rPr>
        <w:t>do not exist.</w:t>
      </w:r>
    </w:p>
    <w:p w14:paraId="5BE3B504" w14:textId="77777777" w:rsidR="00E64C23" w:rsidRPr="00717E0E" w:rsidRDefault="00E64C23" w:rsidP="00503E59">
      <w:pPr>
        <w:rPr>
          <w:sz w:val="24"/>
          <w:szCs w:val="24"/>
          <w:lang w:val="en-GB"/>
        </w:rPr>
      </w:pPr>
    </w:p>
    <w:p w14:paraId="54576645" w14:textId="77777777" w:rsidR="000229ED" w:rsidRPr="00717E0E" w:rsidRDefault="000229ED" w:rsidP="00717E0E">
      <w:pPr>
        <w:rPr>
          <w:sz w:val="24"/>
          <w:szCs w:val="24"/>
          <w:lang w:val="en-GB"/>
        </w:rPr>
      </w:pPr>
      <w:r w:rsidRPr="00717E0E">
        <w:rPr>
          <w:sz w:val="24"/>
          <w:szCs w:val="24"/>
          <w:lang w:val="en-GB"/>
        </w:rPr>
        <w:t xml:space="preserve">In December 2022, the Ministry of Social Affairs took an initiative to standardise PA with a pilot project "Nationwide uniform regulations for personal assistance in leisure and work" (budget framework € 100 million; duration 2 years), to be implemented from autumn 2023. </w:t>
      </w:r>
    </w:p>
    <w:p w14:paraId="0E090983" w14:textId="6B4D2E38" w:rsidR="000229ED" w:rsidRDefault="000229ED" w:rsidP="00717E0E">
      <w:pPr>
        <w:rPr>
          <w:sz w:val="24"/>
          <w:szCs w:val="24"/>
          <w:lang w:val="en-GB"/>
        </w:rPr>
      </w:pPr>
      <w:r w:rsidRPr="00717E0E">
        <w:rPr>
          <w:sz w:val="24"/>
          <w:szCs w:val="24"/>
          <w:lang w:val="en-GB"/>
        </w:rPr>
        <w:t xml:space="preserve">The first participants in the pilot project are four out of nine </w:t>
      </w:r>
      <w:r w:rsidR="00866D27" w:rsidRPr="00717E0E">
        <w:rPr>
          <w:sz w:val="24"/>
          <w:szCs w:val="24"/>
          <w:lang w:val="en-GB"/>
        </w:rPr>
        <w:t>provinces</w:t>
      </w:r>
      <w:r w:rsidRPr="00717E0E">
        <w:rPr>
          <w:sz w:val="24"/>
          <w:szCs w:val="24"/>
          <w:lang w:val="en-GB"/>
        </w:rPr>
        <w:t>, the rest refuse</w:t>
      </w:r>
      <w:r w:rsidR="00E64C23">
        <w:rPr>
          <w:sz w:val="24"/>
          <w:szCs w:val="24"/>
          <w:lang w:val="en-GB"/>
        </w:rPr>
        <w:t xml:space="preserve"> to participate</w:t>
      </w:r>
      <w:r w:rsidRPr="00717E0E">
        <w:rPr>
          <w:sz w:val="24"/>
          <w:szCs w:val="24"/>
          <w:lang w:val="en-GB"/>
        </w:rPr>
        <w:t>. The participatory approach was missing in the drafting of the guideline.</w:t>
      </w:r>
    </w:p>
    <w:p w14:paraId="27772AD6" w14:textId="77777777" w:rsidR="00E64C23" w:rsidRPr="00717E0E" w:rsidRDefault="00E64C23" w:rsidP="00717E0E">
      <w:pPr>
        <w:rPr>
          <w:sz w:val="24"/>
          <w:szCs w:val="24"/>
          <w:lang w:val="en-GB"/>
        </w:rPr>
      </w:pPr>
    </w:p>
    <w:p w14:paraId="695123C6" w14:textId="495D73D3" w:rsidR="00811DB7" w:rsidRDefault="00811DB7" w:rsidP="00717E0E">
      <w:pPr>
        <w:rPr>
          <w:sz w:val="24"/>
          <w:szCs w:val="24"/>
          <w:lang w:val="en-GB"/>
        </w:rPr>
      </w:pPr>
      <w:r w:rsidRPr="00717E0E">
        <w:rPr>
          <w:sz w:val="24"/>
          <w:szCs w:val="24"/>
          <w:lang w:val="en-GB"/>
        </w:rPr>
        <w:t>Despite the very welcome initiative of the Ministry of Social Affairs, there are serious shortcomings in the guidelines of the pilot project. The project is not linked to a legal entitlement to Personal Assistance; it does not include a shift towards the social model, but the medical model of disability is solidified by a prescribed minimum degree of disability; there are age limits (from 14 to 60 years) for receiving Personal Assistance; the amount of hours of Personal Assistance does not cover needs (capped at 300 hours per month).</w:t>
      </w:r>
    </w:p>
    <w:p w14:paraId="6393A4C2" w14:textId="77777777" w:rsidR="00E64C23" w:rsidRPr="00717E0E" w:rsidRDefault="00E64C23" w:rsidP="00717E0E">
      <w:pPr>
        <w:rPr>
          <w:sz w:val="24"/>
          <w:szCs w:val="24"/>
          <w:lang w:val="en-GB"/>
        </w:rPr>
      </w:pPr>
    </w:p>
    <w:p w14:paraId="7101FEBE" w14:textId="7BDCEA3F" w:rsidR="00076242" w:rsidRPr="00717E0E" w:rsidRDefault="00076242" w:rsidP="00717E0E">
      <w:pPr>
        <w:rPr>
          <w:sz w:val="24"/>
          <w:szCs w:val="24"/>
          <w:lang w:val="en-GB"/>
        </w:rPr>
      </w:pPr>
      <w:r w:rsidRPr="00717E0E">
        <w:rPr>
          <w:sz w:val="24"/>
          <w:szCs w:val="24"/>
          <w:lang w:val="en-GB"/>
        </w:rPr>
        <w:t>The will, as expressed in the Guidelines, that Personal Assistance should also be developed and tested for people with</w:t>
      </w:r>
      <w:r w:rsidR="00717E0E" w:rsidRPr="00717E0E">
        <w:rPr>
          <w:sz w:val="24"/>
          <w:szCs w:val="24"/>
          <w:lang w:val="en-GB"/>
        </w:rPr>
        <w:t xml:space="preserve"> </w:t>
      </w:r>
      <w:r w:rsidR="00DA44BC" w:rsidRPr="00717E0E">
        <w:rPr>
          <w:sz w:val="24"/>
          <w:szCs w:val="24"/>
          <w:lang w:val="en-GB"/>
        </w:rPr>
        <w:t>intellectual disabilities</w:t>
      </w:r>
      <w:r w:rsidRPr="00717E0E">
        <w:rPr>
          <w:sz w:val="24"/>
          <w:szCs w:val="24"/>
          <w:lang w:val="en-GB"/>
        </w:rPr>
        <w:t xml:space="preserve"> and persons with </w:t>
      </w:r>
      <w:r w:rsidR="00DA44BC" w:rsidRPr="00717E0E">
        <w:rPr>
          <w:sz w:val="24"/>
          <w:szCs w:val="24"/>
          <w:lang w:val="en-GB"/>
        </w:rPr>
        <w:t xml:space="preserve">psychosocial disabilities </w:t>
      </w:r>
      <w:r w:rsidRPr="00717E0E">
        <w:rPr>
          <w:sz w:val="24"/>
          <w:szCs w:val="24"/>
          <w:lang w:val="en-GB"/>
        </w:rPr>
        <w:t>is to be acknowledged. Overall, however, Personal Assistance is not integrated into a strategy for de-institutionalisation and is not used as a basis for sustainable development to implement the UNCRPD.</w:t>
      </w:r>
    </w:p>
    <w:p w14:paraId="28DB1DE8" w14:textId="77777777" w:rsidR="00D87028" w:rsidRPr="00E6578F" w:rsidRDefault="00D87028" w:rsidP="00D87028">
      <w:pPr>
        <w:rPr>
          <w:sz w:val="28"/>
          <w:szCs w:val="28"/>
          <w:lang w:val="en-GB"/>
        </w:rPr>
      </w:pPr>
    </w:p>
    <w:p w14:paraId="7A976F1B" w14:textId="2355E653" w:rsidR="00C852E7" w:rsidRPr="00CE441F" w:rsidRDefault="00C852E7" w:rsidP="00D87028">
      <w:pPr>
        <w:rPr>
          <w:lang w:val="en-GB"/>
        </w:rPr>
      </w:pPr>
      <w:r w:rsidRPr="00CE441F">
        <w:rPr>
          <w:lang w:val="en-GB"/>
        </w:rPr>
        <w:t>Recommendations:</w:t>
      </w:r>
    </w:p>
    <w:p w14:paraId="7A2D4156" w14:textId="77CDF9C1" w:rsidR="00A31663" w:rsidRPr="00717E0E" w:rsidRDefault="00A31663" w:rsidP="00717E0E">
      <w:pPr>
        <w:rPr>
          <w:sz w:val="24"/>
          <w:szCs w:val="24"/>
          <w:lang w:val="en-GB"/>
        </w:rPr>
      </w:pPr>
      <w:r w:rsidRPr="00717E0E">
        <w:rPr>
          <w:sz w:val="24"/>
          <w:szCs w:val="24"/>
          <w:lang w:val="en-GB"/>
        </w:rPr>
        <w:t xml:space="preserve">- The model project must be extended to the whole of Austria and actually be </w:t>
      </w:r>
      <w:r w:rsidR="00DA44BC" w:rsidRPr="00717E0E">
        <w:rPr>
          <w:sz w:val="24"/>
          <w:szCs w:val="24"/>
          <w:lang w:val="en-GB"/>
        </w:rPr>
        <w:t>re</w:t>
      </w:r>
      <w:r w:rsidRPr="00717E0E">
        <w:rPr>
          <w:sz w:val="24"/>
          <w:szCs w:val="24"/>
          <w:lang w:val="en-GB"/>
        </w:rPr>
        <w:t>designed to meet needs without restrictions in order to ensure that persons with disabilities can live self-determined in the community.</w:t>
      </w:r>
    </w:p>
    <w:p w14:paraId="468F8726" w14:textId="353086D0" w:rsidR="00A31663" w:rsidRPr="00717E0E" w:rsidRDefault="00A31663" w:rsidP="00717E0E">
      <w:pPr>
        <w:rPr>
          <w:sz w:val="24"/>
          <w:szCs w:val="24"/>
          <w:lang w:val="en-GB"/>
        </w:rPr>
      </w:pPr>
      <w:r w:rsidRPr="00717E0E">
        <w:rPr>
          <w:sz w:val="24"/>
          <w:szCs w:val="24"/>
          <w:lang w:val="en-GB"/>
        </w:rPr>
        <w:t>- It must be guaranteed that the model project will be adopted in a needs-based variant in a federal-state agreement after the trial phase.</w:t>
      </w:r>
    </w:p>
    <w:p w14:paraId="072AEE9C" w14:textId="77777777" w:rsidR="002C4417" w:rsidRPr="00E6578F" w:rsidRDefault="002C4417" w:rsidP="00D87028">
      <w:pPr>
        <w:rPr>
          <w:sz w:val="28"/>
          <w:szCs w:val="28"/>
          <w:lang w:val="en-GB"/>
        </w:rPr>
      </w:pPr>
    </w:p>
    <w:p w14:paraId="15109DEE" w14:textId="77777777" w:rsidR="004839CB" w:rsidRPr="00797EA1" w:rsidRDefault="004839CB" w:rsidP="004839CB">
      <w:pPr>
        <w:rPr>
          <w:sz w:val="28"/>
          <w:szCs w:val="28"/>
          <w:lang w:val="en-GB"/>
        </w:rPr>
      </w:pPr>
      <w:r w:rsidRPr="00797EA1">
        <w:rPr>
          <w:b/>
          <w:bCs/>
          <w:sz w:val="28"/>
          <w:szCs w:val="28"/>
          <w:lang w:val="en-GB"/>
        </w:rPr>
        <w:lastRenderedPageBreak/>
        <w:t>Regarding to art. 19 and reply to paragraph 37, 38 of the list of issues:</w:t>
      </w:r>
    </w:p>
    <w:p w14:paraId="39878356" w14:textId="77777777" w:rsidR="004839CB" w:rsidRPr="00797EA1" w:rsidRDefault="004839CB" w:rsidP="00D87028">
      <w:pPr>
        <w:rPr>
          <w:sz w:val="28"/>
          <w:szCs w:val="28"/>
          <w:lang w:val="en-GB"/>
        </w:rPr>
      </w:pPr>
    </w:p>
    <w:p w14:paraId="2F534AB2" w14:textId="77777777" w:rsidR="00EA186F" w:rsidRPr="006B43CB" w:rsidRDefault="00EA186F" w:rsidP="006B43CB">
      <w:pPr>
        <w:rPr>
          <w:b/>
          <w:bCs/>
          <w:sz w:val="28"/>
          <w:szCs w:val="28"/>
          <w:lang w:val="en-GB"/>
        </w:rPr>
      </w:pPr>
      <w:r w:rsidRPr="006B43CB">
        <w:rPr>
          <w:b/>
          <w:bCs/>
          <w:sz w:val="28"/>
          <w:szCs w:val="28"/>
          <w:lang w:val="en-GB"/>
        </w:rPr>
        <w:t>Lack of deinstitutionalisation and complaints about the financing of institutions via EU funds</w:t>
      </w:r>
    </w:p>
    <w:p w14:paraId="358B7E73" w14:textId="77777777" w:rsidR="00E06C41" w:rsidRDefault="00E06C41" w:rsidP="006B43CB">
      <w:pPr>
        <w:rPr>
          <w:sz w:val="24"/>
          <w:szCs w:val="24"/>
          <w:lang w:val="en-GB"/>
        </w:rPr>
      </w:pPr>
    </w:p>
    <w:p w14:paraId="4C779503" w14:textId="04F7BB13" w:rsidR="00EA186F" w:rsidRPr="00CE441F" w:rsidRDefault="00EA186F" w:rsidP="006B43CB">
      <w:pPr>
        <w:rPr>
          <w:sz w:val="24"/>
          <w:szCs w:val="24"/>
          <w:lang w:val="en-GB"/>
        </w:rPr>
      </w:pPr>
      <w:r w:rsidRPr="006B43CB">
        <w:rPr>
          <w:sz w:val="24"/>
          <w:szCs w:val="24"/>
          <w:lang w:val="en-GB"/>
        </w:rPr>
        <w:t xml:space="preserve">In Austria, there are no de-institutionalisation concepts in the sense of the CRPD, neither at the level of the </w:t>
      </w:r>
      <w:r w:rsidR="00DA44BC" w:rsidRPr="006B43CB">
        <w:rPr>
          <w:sz w:val="24"/>
          <w:szCs w:val="24"/>
          <w:lang w:val="en-GB"/>
        </w:rPr>
        <w:t xml:space="preserve">provinces </w:t>
      </w:r>
      <w:r w:rsidRPr="006B43CB">
        <w:rPr>
          <w:sz w:val="24"/>
          <w:szCs w:val="24"/>
          <w:lang w:val="en-GB"/>
        </w:rPr>
        <w:t xml:space="preserve">nor at the federal level. The </w:t>
      </w:r>
      <w:r w:rsidR="004832E3" w:rsidRPr="006B43CB">
        <w:rPr>
          <w:sz w:val="24"/>
          <w:szCs w:val="24"/>
          <w:lang w:val="en-GB"/>
        </w:rPr>
        <w:t xml:space="preserve">ongoing </w:t>
      </w:r>
      <w:r w:rsidRPr="006B43CB">
        <w:rPr>
          <w:sz w:val="24"/>
          <w:szCs w:val="24"/>
          <w:lang w:val="en-GB"/>
        </w:rPr>
        <w:t xml:space="preserve">institutionalisation </w:t>
      </w:r>
      <w:r w:rsidR="004832E3" w:rsidRPr="006B43CB">
        <w:rPr>
          <w:sz w:val="24"/>
          <w:szCs w:val="24"/>
          <w:lang w:val="en-GB"/>
        </w:rPr>
        <w:t xml:space="preserve">of persons with disabilities </w:t>
      </w:r>
      <w:r w:rsidRPr="006B43CB">
        <w:rPr>
          <w:sz w:val="24"/>
          <w:szCs w:val="24"/>
          <w:lang w:val="en-GB"/>
        </w:rPr>
        <w:t xml:space="preserve">in Austria </w:t>
      </w:r>
      <w:r w:rsidR="00DA44BC" w:rsidRPr="006B43CB">
        <w:rPr>
          <w:sz w:val="24"/>
          <w:szCs w:val="24"/>
          <w:lang w:val="en-GB"/>
        </w:rPr>
        <w:t xml:space="preserve">becomes obvious </w:t>
      </w:r>
      <w:r w:rsidRPr="006B43CB">
        <w:rPr>
          <w:sz w:val="24"/>
          <w:szCs w:val="24"/>
          <w:lang w:val="en-GB"/>
        </w:rPr>
        <w:t xml:space="preserve">by three complaints </w:t>
      </w:r>
      <w:r w:rsidR="004832E3" w:rsidRPr="006B43CB">
        <w:rPr>
          <w:sz w:val="24"/>
          <w:szCs w:val="24"/>
          <w:lang w:val="en-GB"/>
        </w:rPr>
        <w:t xml:space="preserve">which Independent Living Austria </w:t>
      </w:r>
      <w:r w:rsidRPr="006B43CB">
        <w:rPr>
          <w:sz w:val="24"/>
          <w:szCs w:val="24"/>
          <w:lang w:val="en-GB"/>
        </w:rPr>
        <w:t>and ENIL</w:t>
      </w:r>
      <w:r w:rsidR="00E64C23">
        <w:rPr>
          <w:sz w:val="24"/>
          <w:szCs w:val="24"/>
          <w:lang w:val="en-GB"/>
        </w:rPr>
        <w:t xml:space="preserve"> (European Network for Independent Living)</w:t>
      </w:r>
      <w:r w:rsidRPr="006B43CB">
        <w:rPr>
          <w:sz w:val="24"/>
          <w:szCs w:val="24"/>
          <w:lang w:val="en-GB"/>
        </w:rPr>
        <w:t xml:space="preserve"> </w:t>
      </w:r>
      <w:r w:rsidR="004832E3" w:rsidRPr="006B43CB">
        <w:rPr>
          <w:sz w:val="24"/>
          <w:szCs w:val="24"/>
          <w:lang w:val="en-GB"/>
        </w:rPr>
        <w:t xml:space="preserve">filed </w:t>
      </w:r>
      <w:r w:rsidRPr="006B43CB">
        <w:rPr>
          <w:sz w:val="24"/>
          <w:szCs w:val="24"/>
          <w:lang w:val="en-GB"/>
        </w:rPr>
        <w:t xml:space="preserve">with the EU Commission regarding the misuse of money from the EU Structural Funds in Austria. Complaints were filed against the </w:t>
      </w:r>
      <w:r w:rsidR="00866D27" w:rsidRPr="006B43CB">
        <w:rPr>
          <w:sz w:val="24"/>
          <w:szCs w:val="24"/>
          <w:lang w:val="en-GB"/>
        </w:rPr>
        <w:t>provinces</w:t>
      </w:r>
      <w:r w:rsidRPr="006B43CB">
        <w:rPr>
          <w:sz w:val="24"/>
          <w:szCs w:val="24"/>
          <w:lang w:val="en-GB"/>
        </w:rPr>
        <w:t xml:space="preserve"> of Tyrol, Upper Austria and Carinthia. Instead of investing in </w:t>
      </w:r>
      <w:r w:rsidR="00E64C23">
        <w:rPr>
          <w:sz w:val="24"/>
          <w:szCs w:val="24"/>
          <w:lang w:val="en-GB"/>
        </w:rPr>
        <w:t>the establishment of comprehensive Personal Assistance schemes</w:t>
      </w:r>
      <w:r w:rsidR="00E64C23" w:rsidRPr="006B43CB">
        <w:rPr>
          <w:sz w:val="24"/>
          <w:szCs w:val="24"/>
          <w:lang w:val="en-GB"/>
        </w:rPr>
        <w:t xml:space="preserve"> </w:t>
      </w:r>
      <w:r w:rsidRPr="006B43CB">
        <w:rPr>
          <w:sz w:val="24"/>
          <w:szCs w:val="24"/>
          <w:lang w:val="en-GB"/>
        </w:rPr>
        <w:t>and deinstitution</w:t>
      </w:r>
      <w:r w:rsidR="00053AAD">
        <w:rPr>
          <w:sz w:val="24"/>
          <w:szCs w:val="24"/>
          <w:lang w:val="en-GB"/>
        </w:rPr>
        <w:t>alisation</w:t>
      </w:r>
      <w:r w:rsidRPr="006B43CB">
        <w:rPr>
          <w:sz w:val="24"/>
          <w:szCs w:val="24"/>
          <w:lang w:val="en-GB"/>
        </w:rPr>
        <w:t xml:space="preserve">, EU funds were used for the renovation </w:t>
      </w:r>
      <w:r w:rsidR="004832E3" w:rsidRPr="006B43CB">
        <w:rPr>
          <w:sz w:val="24"/>
          <w:szCs w:val="24"/>
          <w:lang w:val="en-GB"/>
        </w:rPr>
        <w:t xml:space="preserve">of existing </w:t>
      </w:r>
      <w:r w:rsidRPr="006B43CB">
        <w:rPr>
          <w:sz w:val="24"/>
          <w:szCs w:val="24"/>
          <w:lang w:val="en-GB"/>
        </w:rPr>
        <w:t xml:space="preserve">and </w:t>
      </w:r>
      <w:r w:rsidR="004832E3" w:rsidRPr="006B43CB">
        <w:rPr>
          <w:sz w:val="24"/>
          <w:szCs w:val="24"/>
          <w:lang w:val="en-GB"/>
        </w:rPr>
        <w:t>the building</w:t>
      </w:r>
      <w:r w:rsidRPr="006B43CB">
        <w:rPr>
          <w:sz w:val="24"/>
          <w:szCs w:val="24"/>
          <w:lang w:val="en-GB"/>
        </w:rPr>
        <w:t xml:space="preserve"> of </w:t>
      </w:r>
      <w:r w:rsidR="004832E3" w:rsidRPr="006B43CB">
        <w:rPr>
          <w:sz w:val="24"/>
          <w:szCs w:val="24"/>
          <w:lang w:val="en-GB"/>
        </w:rPr>
        <w:t xml:space="preserve">new </w:t>
      </w:r>
      <w:r w:rsidRPr="006B43CB">
        <w:rPr>
          <w:sz w:val="24"/>
          <w:szCs w:val="24"/>
          <w:lang w:val="en-GB"/>
        </w:rPr>
        <w:t>segregating institutions for people with disabilities</w:t>
      </w:r>
      <w:r w:rsidR="004832E3" w:rsidRPr="006B43CB">
        <w:rPr>
          <w:sz w:val="24"/>
          <w:szCs w:val="24"/>
          <w:lang w:val="en-GB"/>
        </w:rPr>
        <w:t>. Additionally, the three provinces co-financed these institutions.</w:t>
      </w:r>
      <w:r w:rsidRPr="006B43CB">
        <w:rPr>
          <w:sz w:val="24"/>
          <w:szCs w:val="24"/>
          <w:lang w:val="en-GB"/>
        </w:rPr>
        <w:t xml:space="preserve"> The complaint argued that this not only </w:t>
      </w:r>
      <w:r w:rsidR="004832E3" w:rsidRPr="006B43CB">
        <w:rPr>
          <w:sz w:val="24"/>
          <w:szCs w:val="24"/>
          <w:lang w:val="en-GB"/>
        </w:rPr>
        <w:t xml:space="preserve">contradicts </w:t>
      </w:r>
      <w:r w:rsidRPr="006B43CB">
        <w:rPr>
          <w:sz w:val="24"/>
          <w:szCs w:val="24"/>
          <w:lang w:val="en-GB"/>
        </w:rPr>
        <w:t xml:space="preserve">Art. 19 of the UNCRPD, but also the Charter of Fundamental Rights and the EU's anti-discrimination law. </w:t>
      </w:r>
      <w:r w:rsidRPr="00CE441F">
        <w:rPr>
          <w:sz w:val="24"/>
          <w:szCs w:val="24"/>
          <w:lang w:val="en-GB"/>
        </w:rPr>
        <w:t>The initiation of infringement proceedings against Austria was demanded.</w:t>
      </w:r>
    </w:p>
    <w:p w14:paraId="7BEFF4E8" w14:textId="77777777" w:rsidR="00EA186F" w:rsidRPr="00CE441F" w:rsidRDefault="00EA186F" w:rsidP="00D87028">
      <w:pPr>
        <w:rPr>
          <w:sz w:val="24"/>
          <w:szCs w:val="24"/>
          <w:lang w:val="en-GB"/>
        </w:rPr>
      </w:pPr>
    </w:p>
    <w:p w14:paraId="36494CC1" w14:textId="003ECC72" w:rsidR="00BB108A" w:rsidRPr="00E867E8" w:rsidRDefault="00E64C23" w:rsidP="00E867E8">
      <w:pPr>
        <w:rPr>
          <w:sz w:val="24"/>
          <w:szCs w:val="24"/>
          <w:lang w:val="en-GB"/>
        </w:rPr>
      </w:pPr>
      <w:r>
        <w:rPr>
          <w:sz w:val="24"/>
          <w:szCs w:val="24"/>
          <w:lang w:val="en-GB"/>
        </w:rPr>
        <w:t>Regarding the c</w:t>
      </w:r>
      <w:r w:rsidRPr="00E867E8">
        <w:rPr>
          <w:sz w:val="24"/>
          <w:szCs w:val="24"/>
          <w:lang w:val="en-GB"/>
        </w:rPr>
        <w:t xml:space="preserve">omplaint </w:t>
      </w:r>
      <w:r w:rsidR="00BB108A" w:rsidRPr="00E867E8">
        <w:rPr>
          <w:sz w:val="24"/>
          <w:szCs w:val="24"/>
          <w:lang w:val="en-GB"/>
        </w:rPr>
        <w:t>against Upper Austria</w:t>
      </w:r>
      <w:r w:rsidR="00E867E8" w:rsidRPr="00E867E8">
        <w:rPr>
          <w:sz w:val="24"/>
          <w:szCs w:val="24"/>
          <w:vertAlign w:val="superscript"/>
        </w:rPr>
        <w:footnoteReference w:id="5"/>
      </w:r>
      <w:r w:rsidR="00BB108A" w:rsidRPr="00E867E8">
        <w:rPr>
          <w:sz w:val="24"/>
          <w:szCs w:val="24"/>
          <w:lang w:val="en-GB"/>
        </w:rPr>
        <w:t xml:space="preserve"> : € 7.5 million from the European Agricultural Fund for Rural Development (EAFRD) was used in Upper Austria for the construction of new residential facilities and workshops for people with disabilities. </w:t>
      </w:r>
    </w:p>
    <w:p w14:paraId="7AFB0DF2" w14:textId="0EC51D47" w:rsidR="00BB108A" w:rsidRPr="00E867E8" w:rsidRDefault="00E64C23" w:rsidP="00E867E8">
      <w:pPr>
        <w:rPr>
          <w:sz w:val="24"/>
          <w:szCs w:val="24"/>
          <w:lang w:val="en-GB"/>
        </w:rPr>
      </w:pPr>
      <w:r>
        <w:rPr>
          <w:sz w:val="24"/>
          <w:szCs w:val="24"/>
          <w:lang w:val="en-GB"/>
        </w:rPr>
        <w:t xml:space="preserve">Regarding the </w:t>
      </w:r>
      <w:r w:rsidR="00BB108A" w:rsidRPr="00E867E8">
        <w:rPr>
          <w:sz w:val="24"/>
          <w:szCs w:val="24"/>
          <w:lang w:val="en-GB"/>
        </w:rPr>
        <w:t xml:space="preserve">complaint </w:t>
      </w:r>
      <w:r w:rsidR="009867BB">
        <w:rPr>
          <w:sz w:val="24"/>
          <w:szCs w:val="24"/>
          <w:lang w:val="en-GB"/>
        </w:rPr>
        <w:t>against Tyrol</w:t>
      </w:r>
      <w:r w:rsidR="00E867E8" w:rsidRPr="00E867E8">
        <w:rPr>
          <w:sz w:val="24"/>
          <w:szCs w:val="24"/>
          <w:vertAlign w:val="superscript"/>
        </w:rPr>
        <w:footnoteReference w:id="6"/>
      </w:r>
      <w:r>
        <w:rPr>
          <w:sz w:val="24"/>
          <w:szCs w:val="24"/>
          <w:lang w:val="en-GB"/>
        </w:rPr>
        <w:t xml:space="preserve">: </w:t>
      </w:r>
      <w:r w:rsidR="00BB108A" w:rsidRPr="00E867E8">
        <w:rPr>
          <w:sz w:val="24"/>
          <w:szCs w:val="24"/>
          <w:lang w:val="en-GB"/>
        </w:rPr>
        <w:t xml:space="preserve">an estimated € 3.2 million from the </w:t>
      </w:r>
      <w:proofErr w:type="gramStart"/>
      <w:r w:rsidR="00BB108A" w:rsidRPr="00E867E8">
        <w:rPr>
          <w:sz w:val="24"/>
          <w:szCs w:val="24"/>
          <w:lang w:val="en-GB"/>
        </w:rPr>
        <w:t>EAFRD</w:t>
      </w:r>
      <w:r>
        <w:rPr>
          <w:sz w:val="24"/>
          <w:szCs w:val="24"/>
          <w:lang w:val="en-GB"/>
        </w:rPr>
        <w:t xml:space="preserve"> </w:t>
      </w:r>
      <w:r w:rsidR="00BB108A" w:rsidRPr="00E867E8">
        <w:rPr>
          <w:sz w:val="24"/>
          <w:szCs w:val="24"/>
          <w:lang w:val="en-GB"/>
        </w:rPr>
        <w:t xml:space="preserve"> was</w:t>
      </w:r>
      <w:proofErr w:type="gramEnd"/>
      <w:r w:rsidR="00BB108A" w:rsidRPr="00E867E8">
        <w:rPr>
          <w:sz w:val="24"/>
          <w:szCs w:val="24"/>
          <w:lang w:val="en-GB"/>
        </w:rPr>
        <w:t xml:space="preserve"> used for the renovation and new construction of segregated disability facilities. These include five residential facilities and three workshops for adults with disabilities as well as a large facility for children with disabilities.</w:t>
      </w:r>
    </w:p>
    <w:p w14:paraId="5D615E19" w14:textId="76001C28" w:rsidR="00BB108A" w:rsidRPr="00E867E8" w:rsidRDefault="00D755B5" w:rsidP="00E867E8">
      <w:pPr>
        <w:rPr>
          <w:sz w:val="24"/>
          <w:szCs w:val="24"/>
          <w:lang w:val="en-GB"/>
        </w:rPr>
      </w:pPr>
      <w:r>
        <w:rPr>
          <w:sz w:val="24"/>
          <w:szCs w:val="24"/>
          <w:lang w:val="en-GB"/>
        </w:rPr>
        <w:t xml:space="preserve">Regarding the </w:t>
      </w:r>
      <w:r w:rsidR="00BB108A" w:rsidRPr="00E867E8">
        <w:rPr>
          <w:sz w:val="24"/>
          <w:szCs w:val="24"/>
          <w:lang w:val="en-GB"/>
        </w:rPr>
        <w:t>complaint by SLIÖ and ENIL 2022 against Carinthia</w:t>
      </w:r>
      <w:r w:rsidR="00E867E8" w:rsidRPr="00E867E8">
        <w:rPr>
          <w:sz w:val="24"/>
          <w:szCs w:val="24"/>
          <w:vertAlign w:val="superscript"/>
        </w:rPr>
        <w:footnoteReference w:id="7"/>
      </w:r>
      <w:r>
        <w:rPr>
          <w:sz w:val="24"/>
          <w:szCs w:val="24"/>
          <w:lang w:val="en-GB"/>
        </w:rPr>
        <w:t>:</w:t>
      </w:r>
      <w:r w:rsidR="00BB108A" w:rsidRPr="00E867E8">
        <w:rPr>
          <w:sz w:val="24"/>
          <w:szCs w:val="24"/>
          <w:lang w:val="en-GB"/>
        </w:rPr>
        <w:t xml:space="preserve"> an estimated € 1.0 million of EAFRD </w:t>
      </w:r>
      <w:r>
        <w:rPr>
          <w:sz w:val="24"/>
          <w:szCs w:val="24"/>
          <w:lang w:val="en-GB"/>
        </w:rPr>
        <w:t xml:space="preserve">was used </w:t>
      </w:r>
      <w:r w:rsidR="00BB108A" w:rsidRPr="00E867E8">
        <w:rPr>
          <w:sz w:val="24"/>
          <w:szCs w:val="24"/>
          <w:lang w:val="en-GB"/>
        </w:rPr>
        <w:t>for the construction of a new home for disabled children between the ages of 5 and 17</w:t>
      </w:r>
      <w:r>
        <w:rPr>
          <w:sz w:val="24"/>
          <w:szCs w:val="24"/>
          <w:lang w:val="en-GB"/>
        </w:rPr>
        <w:t xml:space="preserve">. </w:t>
      </w:r>
    </w:p>
    <w:p w14:paraId="4E521E55" w14:textId="77777777" w:rsidR="00530378" w:rsidRDefault="00530378" w:rsidP="00E867E8">
      <w:pPr>
        <w:rPr>
          <w:sz w:val="24"/>
          <w:szCs w:val="24"/>
          <w:lang w:val="en-GB"/>
        </w:rPr>
      </w:pPr>
    </w:p>
    <w:p w14:paraId="5111D00B" w14:textId="7B63DD44" w:rsidR="00D87028" w:rsidRPr="00E867E8" w:rsidRDefault="00BB108A" w:rsidP="00E867E8">
      <w:pPr>
        <w:rPr>
          <w:sz w:val="24"/>
          <w:szCs w:val="24"/>
          <w:lang w:val="en-GB"/>
        </w:rPr>
      </w:pPr>
      <w:r w:rsidRPr="00E867E8">
        <w:rPr>
          <w:sz w:val="24"/>
          <w:szCs w:val="24"/>
          <w:lang w:val="en-GB"/>
        </w:rPr>
        <w:t>The EU Commission rejected all three complaints and referred to the regional competence of the Austrian provincial governments.</w:t>
      </w:r>
    </w:p>
    <w:p w14:paraId="7230DBB3" w14:textId="77777777" w:rsidR="00BB108A" w:rsidRPr="00E867E8" w:rsidRDefault="00BB108A" w:rsidP="00D87028">
      <w:pPr>
        <w:rPr>
          <w:rFonts w:ascii="Times New Roman" w:eastAsia="Times New Roman" w:hAnsi="Times New Roman" w:cs="Times New Roman"/>
          <w:sz w:val="24"/>
          <w:szCs w:val="24"/>
          <w:lang w:val="en-GB" w:eastAsia="de-AT"/>
        </w:rPr>
      </w:pPr>
    </w:p>
    <w:p w14:paraId="3367189A" w14:textId="77777777" w:rsidR="00AF0B11" w:rsidRPr="00CE441F" w:rsidRDefault="00965029" w:rsidP="00A759FA">
      <w:pPr>
        <w:rPr>
          <w:sz w:val="24"/>
          <w:szCs w:val="24"/>
          <w:lang w:val="en-GB"/>
        </w:rPr>
      </w:pPr>
      <w:r w:rsidRPr="00CE441F">
        <w:rPr>
          <w:sz w:val="24"/>
          <w:szCs w:val="24"/>
          <w:lang w:val="en-GB"/>
        </w:rPr>
        <w:t xml:space="preserve">Recommendations: </w:t>
      </w:r>
    </w:p>
    <w:p w14:paraId="072D9E63" w14:textId="36ADD3E0" w:rsidR="00F41E1C" w:rsidRPr="00E867E8" w:rsidRDefault="00F41E1C" w:rsidP="00E867E8">
      <w:pPr>
        <w:rPr>
          <w:sz w:val="24"/>
          <w:szCs w:val="24"/>
          <w:lang w:val="en-GB"/>
        </w:rPr>
      </w:pPr>
      <w:r w:rsidRPr="00E867E8">
        <w:rPr>
          <w:sz w:val="24"/>
          <w:szCs w:val="24"/>
          <w:lang w:val="en-GB"/>
        </w:rPr>
        <w:t xml:space="preserve">- Recommendation 37 </w:t>
      </w:r>
      <w:r w:rsidR="00D755B5">
        <w:rPr>
          <w:sz w:val="24"/>
          <w:szCs w:val="24"/>
          <w:lang w:val="en-GB"/>
        </w:rPr>
        <w:t xml:space="preserve">of the </w:t>
      </w:r>
      <w:r w:rsidRPr="00E867E8">
        <w:rPr>
          <w:sz w:val="24"/>
          <w:szCs w:val="24"/>
          <w:lang w:val="en-GB"/>
        </w:rPr>
        <w:t>Concluding observations</w:t>
      </w:r>
      <w:r w:rsidR="009867BB">
        <w:rPr>
          <w:sz w:val="24"/>
          <w:szCs w:val="24"/>
          <w:lang w:val="en-GB"/>
        </w:rPr>
        <w:t xml:space="preserve"> from</w:t>
      </w:r>
      <w:r w:rsidRPr="00E867E8">
        <w:rPr>
          <w:sz w:val="24"/>
          <w:szCs w:val="24"/>
          <w:lang w:val="en-GB"/>
        </w:rPr>
        <w:t xml:space="preserve"> September 2013 "promote de-institutionalisation and enable persons with disabilities to choose where they live" should be urgently reiterated.</w:t>
      </w:r>
    </w:p>
    <w:p w14:paraId="6B6A4AB1" w14:textId="7C21F0A3" w:rsidR="00F41E1C" w:rsidRPr="00E867E8" w:rsidRDefault="00F41E1C" w:rsidP="00E867E8">
      <w:pPr>
        <w:rPr>
          <w:sz w:val="24"/>
          <w:szCs w:val="24"/>
          <w:lang w:val="en-GB"/>
        </w:rPr>
      </w:pPr>
      <w:r w:rsidRPr="00E867E8">
        <w:rPr>
          <w:sz w:val="24"/>
          <w:szCs w:val="24"/>
          <w:lang w:val="en-GB"/>
        </w:rPr>
        <w:t>- It is strongly recommended not to publicly fund the establishment of new institutions that do not comply with the UNCRPD, nor to apply for European structural funds for this purpose, nor to support their establishment in any other way.</w:t>
      </w:r>
    </w:p>
    <w:sectPr w:rsidR="00F41E1C" w:rsidRPr="00E867E8" w:rsidSect="004D39EF">
      <w:headerReference w:type="default" r:id="rId9"/>
      <w:headerReference w:type="first" r:id="rId10"/>
      <w:pgSz w:w="11906" w:h="16838"/>
      <w:pgMar w:top="1418" w:right="1418" w:bottom="1134" w:left="1418"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DF2E0" w16cex:dateUtc="2023-07-28T05: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A8B26C" w16cid:durableId="286DF2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1101D" w14:textId="77777777" w:rsidR="00C92C97" w:rsidRDefault="00C92C97" w:rsidP="00F0330E">
      <w:r>
        <w:separator/>
      </w:r>
    </w:p>
  </w:endnote>
  <w:endnote w:type="continuationSeparator" w:id="0">
    <w:p w14:paraId="1BDCE30E" w14:textId="77777777" w:rsidR="00C92C97" w:rsidRDefault="00C92C97" w:rsidP="00F0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111F15" w14:textId="77777777" w:rsidR="00C92C97" w:rsidRDefault="00C92C97" w:rsidP="00F0330E">
      <w:r>
        <w:separator/>
      </w:r>
    </w:p>
  </w:footnote>
  <w:footnote w:type="continuationSeparator" w:id="0">
    <w:p w14:paraId="4E390371" w14:textId="77777777" w:rsidR="00C92C97" w:rsidRDefault="00C92C97" w:rsidP="00F0330E">
      <w:r>
        <w:continuationSeparator/>
      </w:r>
    </w:p>
  </w:footnote>
  <w:footnote w:id="1">
    <w:p w14:paraId="34CF4911" w14:textId="74E56146" w:rsidR="002A0358" w:rsidRPr="00B71DC8" w:rsidRDefault="002A0358">
      <w:pPr>
        <w:pStyle w:val="Funotentext"/>
        <w:rPr>
          <w:rFonts w:asciiTheme="minorHAnsi" w:hAnsiTheme="minorHAnsi" w:cstheme="minorHAnsi"/>
          <w:sz w:val="16"/>
          <w:szCs w:val="16"/>
          <w:lang w:val="de-DE"/>
        </w:rPr>
      </w:pPr>
      <w:r>
        <w:rPr>
          <w:rStyle w:val="Funotenzeichen"/>
        </w:rPr>
        <w:footnoteRef/>
      </w:r>
      <w:r w:rsidRPr="00784026">
        <w:rPr>
          <w:lang w:val="de-AT"/>
        </w:rPr>
        <w:t xml:space="preserve"> </w:t>
      </w:r>
      <w:proofErr w:type="spellStart"/>
      <w:r w:rsidR="00D56460" w:rsidRPr="00D56460">
        <w:rPr>
          <w:rFonts w:asciiTheme="minorHAnsi" w:hAnsiTheme="minorHAnsi" w:cstheme="minorHAnsi"/>
          <w:sz w:val="16"/>
          <w:szCs w:val="16"/>
          <w:lang w:val="de-AT"/>
        </w:rPr>
        <w:t>About</w:t>
      </w:r>
      <w:proofErr w:type="spellEnd"/>
      <w:r w:rsidRPr="00B71DC8">
        <w:rPr>
          <w:rFonts w:asciiTheme="minorHAnsi" w:hAnsiTheme="minorHAnsi" w:cstheme="minorHAnsi"/>
          <w:sz w:val="16"/>
          <w:szCs w:val="16"/>
          <w:lang w:val="de-AT"/>
        </w:rPr>
        <w:t xml:space="preserve"> SLIÖ: </w:t>
      </w:r>
      <w:hyperlink r:id="rId1" w:history="1">
        <w:r w:rsidRPr="00B71DC8">
          <w:rPr>
            <w:rStyle w:val="Hyperlink"/>
            <w:rFonts w:asciiTheme="minorHAnsi" w:hAnsiTheme="minorHAnsi" w:cstheme="minorHAnsi"/>
            <w:sz w:val="16"/>
            <w:szCs w:val="16"/>
            <w:lang w:val="de-AT"/>
          </w:rPr>
          <w:t>https://www.sliö.at/</w:t>
        </w:r>
      </w:hyperlink>
      <w:r w:rsidRPr="00B71DC8">
        <w:rPr>
          <w:rFonts w:asciiTheme="minorHAnsi" w:hAnsiTheme="minorHAnsi" w:cstheme="minorHAnsi"/>
          <w:sz w:val="16"/>
          <w:szCs w:val="16"/>
          <w:lang w:val="de-AT"/>
        </w:rPr>
        <w:t xml:space="preserve"> ; </w:t>
      </w:r>
      <w:r w:rsidR="00D56460" w:rsidRPr="00D56460">
        <w:rPr>
          <w:rFonts w:asciiTheme="minorHAnsi" w:hAnsiTheme="minorHAnsi" w:cstheme="minorHAnsi"/>
          <w:sz w:val="16"/>
          <w:szCs w:val="16"/>
          <w:lang w:val="de-AT"/>
        </w:rPr>
        <w:t xml:space="preserve">on </w:t>
      </w:r>
      <w:proofErr w:type="spellStart"/>
      <w:r w:rsidR="00D56460" w:rsidRPr="00D56460">
        <w:rPr>
          <w:rFonts w:asciiTheme="minorHAnsi" w:hAnsiTheme="minorHAnsi" w:cstheme="minorHAnsi"/>
          <w:sz w:val="16"/>
          <w:szCs w:val="16"/>
          <w:lang w:val="de-AT"/>
        </w:rPr>
        <w:t>the</w:t>
      </w:r>
      <w:proofErr w:type="spellEnd"/>
      <w:r w:rsidR="00D56460" w:rsidRPr="00D56460">
        <w:rPr>
          <w:rFonts w:asciiTheme="minorHAnsi" w:hAnsiTheme="minorHAnsi" w:cstheme="minorHAnsi"/>
          <w:sz w:val="16"/>
          <w:szCs w:val="16"/>
          <w:lang w:val="de-AT"/>
        </w:rPr>
        <w:t xml:space="preserve"> </w:t>
      </w:r>
      <w:proofErr w:type="spellStart"/>
      <w:r w:rsidR="00D56460" w:rsidRPr="00D56460">
        <w:rPr>
          <w:rFonts w:asciiTheme="minorHAnsi" w:hAnsiTheme="minorHAnsi" w:cstheme="minorHAnsi"/>
          <w:sz w:val="16"/>
          <w:szCs w:val="16"/>
          <w:lang w:val="de-AT"/>
        </w:rPr>
        <w:t>history</w:t>
      </w:r>
      <w:proofErr w:type="spellEnd"/>
      <w:r w:rsidR="00D56460" w:rsidRPr="00D56460">
        <w:rPr>
          <w:rFonts w:asciiTheme="minorHAnsi" w:hAnsiTheme="minorHAnsi" w:cstheme="minorHAnsi"/>
          <w:sz w:val="16"/>
          <w:szCs w:val="16"/>
          <w:lang w:val="de-AT"/>
        </w:rPr>
        <w:t xml:space="preserve"> </w:t>
      </w:r>
      <w:proofErr w:type="spellStart"/>
      <w:r w:rsidR="00D56460" w:rsidRPr="00D56460">
        <w:rPr>
          <w:rFonts w:asciiTheme="minorHAnsi" w:hAnsiTheme="minorHAnsi" w:cstheme="minorHAnsi"/>
          <w:sz w:val="16"/>
          <w:szCs w:val="16"/>
          <w:lang w:val="de-AT"/>
        </w:rPr>
        <w:t>of</w:t>
      </w:r>
      <w:proofErr w:type="spellEnd"/>
      <w:r w:rsidR="00D56460" w:rsidRPr="00D56460">
        <w:rPr>
          <w:rFonts w:asciiTheme="minorHAnsi" w:hAnsiTheme="minorHAnsi" w:cstheme="minorHAnsi"/>
          <w:sz w:val="16"/>
          <w:szCs w:val="16"/>
          <w:lang w:val="de-AT"/>
        </w:rPr>
        <w:t xml:space="preserve"> </w:t>
      </w:r>
      <w:proofErr w:type="spellStart"/>
      <w:r w:rsidR="00D56460" w:rsidRPr="00D56460">
        <w:rPr>
          <w:rFonts w:asciiTheme="minorHAnsi" w:hAnsiTheme="minorHAnsi" w:cstheme="minorHAnsi"/>
          <w:sz w:val="16"/>
          <w:szCs w:val="16"/>
          <w:lang w:val="de-AT"/>
        </w:rPr>
        <w:t>the</w:t>
      </w:r>
      <w:proofErr w:type="spellEnd"/>
      <w:r w:rsidR="00D56460" w:rsidRPr="00D56460">
        <w:rPr>
          <w:rFonts w:asciiTheme="minorHAnsi" w:hAnsiTheme="minorHAnsi" w:cstheme="minorHAnsi"/>
          <w:sz w:val="16"/>
          <w:szCs w:val="16"/>
          <w:lang w:val="de-AT"/>
        </w:rPr>
        <w:t xml:space="preserve"> </w:t>
      </w:r>
      <w:proofErr w:type="spellStart"/>
      <w:r w:rsidR="00D56460" w:rsidRPr="00D56460">
        <w:rPr>
          <w:rFonts w:asciiTheme="minorHAnsi" w:hAnsiTheme="minorHAnsi" w:cstheme="minorHAnsi"/>
          <w:sz w:val="16"/>
          <w:szCs w:val="16"/>
          <w:lang w:val="de-AT"/>
        </w:rPr>
        <w:t>disability</w:t>
      </w:r>
      <w:proofErr w:type="spellEnd"/>
      <w:r w:rsidR="00D56460" w:rsidRPr="00D56460">
        <w:rPr>
          <w:rFonts w:asciiTheme="minorHAnsi" w:hAnsiTheme="minorHAnsi" w:cstheme="minorHAnsi"/>
          <w:sz w:val="16"/>
          <w:szCs w:val="16"/>
          <w:lang w:val="de-AT"/>
        </w:rPr>
        <w:t xml:space="preserve"> </w:t>
      </w:r>
      <w:proofErr w:type="spellStart"/>
      <w:r w:rsidR="00D56460" w:rsidRPr="00D56460">
        <w:rPr>
          <w:rFonts w:asciiTheme="minorHAnsi" w:hAnsiTheme="minorHAnsi" w:cstheme="minorHAnsi"/>
          <w:sz w:val="16"/>
          <w:szCs w:val="16"/>
          <w:lang w:val="de-AT"/>
        </w:rPr>
        <w:t>rights</w:t>
      </w:r>
      <w:proofErr w:type="spellEnd"/>
      <w:r w:rsidR="00D56460" w:rsidRPr="00D56460">
        <w:rPr>
          <w:rFonts w:asciiTheme="minorHAnsi" w:hAnsiTheme="minorHAnsi" w:cstheme="minorHAnsi"/>
          <w:sz w:val="16"/>
          <w:szCs w:val="16"/>
          <w:lang w:val="de-AT"/>
        </w:rPr>
        <w:t xml:space="preserve"> </w:t>
      </w:r>
      <w:proofErr w:type="spellStart"/>
      <w:r w:rsidR="00D56460" w:rsidRPr="00D56460">
        <w:rPr>
          <w:rFonts w:asciiTheme="minorHAnsi" w:hAnsiTheme="minorHAnsi" w:cstheme="minorHAnsi"/>
          <w:sz w:val="16"/>
          <w:szCs w:val="16"/>
          <w:lang w:val="de-AT"/>
        </w:rPr>
        <w:t>movement</w:t>
      </w:r>
      <w:proofErr w:type="spellEnd"/>
      <w:r w:rsidR="00D56460" w:rsidRPr="00D56460">
        <w:rPr>
          <w:rFonts w:asciiTheme="minorHAnsi" w:hAnsiTheme="minorHAnsi" w:cstheme="minorHAnsi"/>
          <w:sz w:val="16"/>
          <w:szCs w:val="16"/>
          <w:lang w:val="de-AT"/>
        </w:rPr>
        <w:t xml:space="preserve"> in Austria</w:t>
      </w:r>
      <w:r w:rsidRPr="00B71DC8">
        <w:rPr>
          <w:rFonts w:asciiTheme="minorHAnsi" w:hAnsiTheme="minorHAnsi" w:cstheme="minorHAnsi"/>
          <w:sz w:val="16"/>
          <w:szCs w:val="16"/>
          <w:lang w:val="de-AT"/>
        </w:rPr>
        <w:t xml:space="preserve">: </w:t>
      </w:r>
      <w:hyperlink r:id="rId2" w:history="1">
        <w:r w:rsidRPr="00B71DC8">
          <w:rPr>
            <w:rStyle w:val="Hyperlink"/>
            <w:rFonts w:asciiTheme="minorHAnsi" w:hAnsiTheme="minorHAnsi" w:cstheme="minorHAnsi"/>
            <w:sz w:val="16"/>
            <w:szCs w:val="16"/>
            <w:lang w:val="de-AT"/>
          </w:rPr>
          <w:t>http://bidok.uibk.ac.at/projekte/behindertenbewegung/docs/introductory_text_digital_archive.docx</w:t>
        </w:r>
      </w:hyperlink>
      <w:r w:rsidRPr="00B71DC8">
        <w:rPr>
          <w:rFonts w:asciiTheme="minorHAnsi" w:hAnsiTheme="minorHAnsi" w:cstheme="minorHAnsi"/>
          <w:sz w:val="16"/>
          <w:szCs w:val="16"/>
          <w:lang w:val="de-AT"/>
        </w:rPr>
        <w:t xml:space="preserve"> </w:t>
      </w:r>
    </w:p>
  </w:footnote>
  <w:footnote w:id="2">
    <w:p w14:paraId="445299CE" w14:textId="6C5A27E7" w:rsidR="0050239A" w:rsidRPr="007332B6" w:rsidRDefault="0050239A" w:rsidP="0050239A">
      <w:pPr>
        <w:rPr>
          <w:sz w:val="16"/>
          <w:szCs w:val="16"/>
        </w:rPr>
      </w:pPr>
      <w:r w:rsidRPr="00B71DC8">
        <w:rPr>
          <w:rStyle w:val="Funotenzeichen"/>
          <w:rFonts w:asciiTheme="minorHAnsi" w:hAnsiTheme="minorHAnsi" w:cstheme="minorHAnsi"/>
          <w:sz w:val="16"/>
          <w:szCs w:val="16"/>
        </w:rPr>
        <w:footnoteRef/>
      </w:r>
      <w:r w:rsidRPr="00B71DC8">
        <w:rPr>
          <w:rFonts w:cstheme="minorHAnsi"/>
          <w:sz w:val="16"/>
          <w:szCs w:val="16"/>
        </w:rPr>
        <w:t xml:space="preserve"> Tiro</w:t>
      </w:r>
      <w:r w:rsidR="00B45278" w:rsidRPr="00B71DC8">
        <w:rPr>
          <w:rFonts w:cstheme="minorHAnsi"/>
          <w:sz w:val="16"/>
          <w:szCs w:val="16"/>
        </w:rPr>
        <w:t xml:space="preserve">ler </w:t>
      </w:r>
      <w:proofErr w:type="spellStart"/>
      <w:r w:rsidR="00B45278" w:rsidRPr="00B71DC8">
        <w:rPr>
          <w:rFonts w:cstheme="minorHAnsi"/>
          <w:sz w:val="16"/>
          <w:szCs w:val="16"/>
        </w:rPr>
        <w:t>Monitoringausschuss</w:t>
      </w:r>
      <w:proofErr w:type="spellEnd"/>
      <w:r w:rsidR="00B45278" w:rsidRPr="00B71DC8">
        <w:rPr>
          <w:rFonts w:cstheme="minorHAnsi"/>
          <w:sz w:val="16"/>
          <w:szCs w:val="16"/>
        </w:rPr>
        <w:t xml:space="preserve"> (2020):</w:t>
      </w:r>
      <w:r w:rsidRPr="00B71DC8">
        <w:rPr>
          <w:rFonts w:cstheme="minorHAnsi"/>
          <w:sz w:val="16"/>
          <w:szCs w:val="16"/>
        </w:rPr>
        <w:t xml:space="preserve"> Wohnen in Tirol, Teil 2</w:t>
      </w:r>
      <w:r w:rsidR="00CE441F" w:rsidRPr="00B71DC8">
        <w:rPr>
          <w:rFonts w:cstheme="minorHAnsi"/>
          <w:sz w:val="16"/>
          <w:szCs w:val="16"/>
        </w:rPr>
        <w:t>, p. 14-15</w:t>
      </w:r>
      <w:r w:rsidRPr="00B71DC8">
        <w:rPr>
          <w:rFonts w:cstheme="minorHAnsi"/>
          <w:sz w:val="16"/>
          <w:szCs w:val="16"/>
        </w:rPr>
        <w:t xml:space="preserve">. </w:t>
      </w:r>
      <w:hyperlink r:id="rId3" w:history="1">
        <w:r w:rsidRPr="00B71DC8">
          <w:rPr>
            <w:rStyle w:val="Hyperlink"/>
            <w:rFonts w:cstheme="minorHAnsi"/>
            <w:sz w:val="16"/>
            <w:szCs w:val="16"/>
          </w:rPr>
          <w:t>https://www.tirol.gv.at/fileadmin/themen/gesellschaft-soziales/UN-Konventionen/tiroler-monitoring-ausschuss/dokumente/stellungnahmen/Wohnen_Teil_2_ONLINEVERSION.pdf</w:t>
        </w:r>
      </w:hyperlink>
      <w:r w:rsidRPr="007332B6">
        <w:rPr>
          <w:sz w:val="16"/>
          <w:szCs w:val="16"/>
        </w:rPr>
        <w:t xml:space="preserve"> </w:t>
      </w:r>
    </w:p>
  </w:footnote>
  <w:footnote w:id="3">
    <w:p w14:paraId="598288D2" w14:textId="4ED763F4" w:rsidR="00CE441F" w:rsidRPr="00B71DC8" w:rsidRDefault="00CE441F" w:rsidP="00791921">
      <w:pPr>
        <w:pStyle w:val="Funotentext"/>
        <w:ind w:left="0" w:firstLine="0"/>
        <w:rPr>
          <w:rFonts w:asciiTheme="minorHAnsi" w:hAnsiTheme="minorHAnsi" w:cstheme="minorHAnsi"/>
          <w:sz w:val="16"/>
          <w:szCs w:val="16"/>
        </w:rPr>
      </w:pPr>
      <w:r w:rsidRPr="00B71DC8">
        <w:rPr>
          <w:rStyle w:val="Funotenzeichen"/>
          <w:rFonts w:asciiTheme="minorHAnsi" w:hAnsiTheme="minorHAnsi" w:cstheme="minorHAnsi"/>
          <w:sz w:val="16"/>
          <w:szCs w:val="16"/>
        </w:rPr>
        <w:footnoteRef/>
      </w:r>
      <w:r w:rsidRPr="00B71DC8">
        <w:rPr>
          <w:rFonts w:asciiTheme="minorHAnsi" w:hAnsiTheme="minorHAnsi" w:cstheme="minorHAnsi"/>
          <w:sz w:val="16"/>
          <w:szCs w:val="16"/>
        </w:rPr>
        <w:t xml:space="preserve"> Federal Ministry for Social Affairs, Health, Care and Consumer Protection (2022): </w:t>
      </w:r>
      <w:proofErr w:type="spellStart"/>
      <w:r w:rsidRPr="00B71DC8">
        <w:rPr>
          <w:rFonts w:asciiTheme="minorHAnsi" w:hAnsiTheme="minorHAnsi" w:cstheme="minorHAnsi"/>
          <w:sz w:val="16"/>
          <w:szCs w:val="16"/>
        </w:rPr>
        <w:t>Pflegevorsorgebericht</w:t>
      </w:r>
      <w:proofErr w:type="spellEnd"/>
      <w:r w:rsidRPr="00B71DC8">
        <w:rPr>
          <w:rFonts w:asciiTheme="minorHAnsi" w:hAnsiTheme="minorHAnsi" w:cstheme="minorHAnsi"/>
          <w:sz w:val="16"/>
          <w:szCs w:val="16"/>
        </w:rPr>
        <w:t xml:space="preserve">, p. 237.  </w:t>
      </w:r>
      <w:hyperlink r:id="rId4" w:history="1">
        <w:r w:rsidRPr="00B71DC8">
          <w:rPr>
            <w:rStyle w:val="Hyperlink"/>
            <w:rFonts w:asciiTheme="minorHAnsi" w:hAnsiTheme="minorHAnsi" w:cstheme="minorHAnsi"/>
            <w:sz w:val="16"/>
            <w:szCs w:val="16"/>
          </w:rPr>
          <w:t>https://broschuerenservice.sozialministerium.at/Home/Download?publicationId=42&amp;attachmentName=%C3%96sterreichischer_Pflegevorsorgebericht_2021_pdfUA.pdf</w:t>
        </w:r>
      </w:hyperlink>
      <w:r w:rsidRPr="00B71DC8">
        <w:rPr>
          <w:rFonts w:asciiTheme="minorHAnsi" w:hAnsiTheme="minorHAnsi" w:cstheme="minorHAnsi"/>
          <w:sz w:val="16"/>
          <w:szCs w:val="16"/>
        </w:rPr>
        <w:t xml:space="preserve"> </w:t>
      </w:r>
    </w:p>
  </w:footnote>
  <w:footnote w:id="4">
    <w:p w14:paraId="534A96A3" w14:textId="2FE0D793" w:rsidR="002E35B6" w:rsidRPr="00D97CFE" w:rsidRDefault="002E35B6" w:rsidP="002E35B6">
      <w:pPr>
        <w:rPr>
          <w:sz w:val="16"/>
          <w:szCs w:val="16"/>
        </w:rPr>
      </w:pPr>
      <w:r w:rsidRPr="00B71DC8">
        <w:rPr>
          <w:rStyle w:val="Funotenzeichen"/>
          <w:rFonts w:asciiTheme="minorHAnsi" w:hAnsiTheme="minorHAnsi" w:cstheme="minorHAnsi"/>
          <w:sz w:val="16"/>
          <w:szCs w:val="16"/>
        </w:rPr>
        <w:footnoteRef/>
      </w:r>
      <w:r w:rsidRPr="00B71DC8">
        <w:rPr>
          <w:rFonts w:cstheme="minorHAnsi"/>
          <w:sz w:val="16"/>
          <w:szCs w:val="16"/>
        </w:rPr>
        <w:t xml:space="preserve"> Plank, Leonhard u.a. (2023): Shar</w:t>
      </w:r>
      <w:r w:rsidR="00CE441F" w:rsidRPr="00B71DC8">
        <w:rPr>
          <w:rFonts w:cstheme="minorHAnsi"/>
          <w:sz w:val="16"/>
          <w:szCs w:val="16"/>
        </w:rPr>
        <w:t>e</w:t>
      </w:r>
      <w:r w:rsidRPr="00B71DC8">
        <w:rPr>
          <w:rFonts w:cstheme="minorHAnsi"/>
          <w:sz w:val="16"/>
          <w:szCs w:val="16"/>
        </w:rPr>
        <w:t>holderorientierte transnationale Investoren in der kritischen sozialen Infrastruktur. England, Deutschland und Österreich im Vergleich. Arbeiterkammer Wien, März 2023</w:t>
      </w:r>
    </w:p>
  </w:footnote>
  <w:footnote w:id="5">
    <w:p w14:paraId="23D0372D" w14:textId="77777777" w:rsidR="00E867E8" w:rsidRPr="00B71DC8" w:rsidRDefault="00E867E8" w:rsidP="00E867E8">
      <w:pPr>
        <w:pStyle w:val="Funotentext"/>
        <w:rPr>
          <w:rFonts w:asciiTheme="minorHAnsi" w:hAnsiTheme="minorHAnsi" w:cstheme="minorHAnsi"/>
          <w:sz w:val="16"/>
          <w:szCs w:val="16"/>
          <w:lang w:val="de-AT"/>
        </w:rPr>
      </w:pPr>
      <w:r w:rsidRPr="00B71DC8">
        <w:rPr>
          <w:rStyle w:val="Funotenzeichen"/>
          <w:rFonts w:asciiTheme="minorHAnsi" w:hAnsiTheme="minorHAnsi" w:cstheme="minorHAnsi"/>
          <w:sz w:val="16"/>
          <w:szCs w:val="16"/>
        </w:rPr>
        <w:footnoteRef/>
      </w:r>
      <w:r w:rsidRPr="00B71DC8">
        <w:rPr>
          <w:rFonts w:asciiTheme="minorHAnsi" w:hAnsiTheme="minorHAnsi" w:cstheme="minorHAnsi"/>
          <w:sz w:val="16"/>
          <w:szCs w:val="16"/>
          <w:lang w:val="de-AT"/>
        </w:rPr>
        <w:t xml:space="preserve"> </w:t>
      </w:r>
      <w:r w:rsidRPr="00B71DC8">
        <w:rPr>
          <w:rFonts w:asciiTheme="minorHAnsi" w:hAnsiTheme="minorHAnsi" w:cstheme="minorHAnsi"/>
          <w:sz w:val="16"/>
          <w:szCs w:val="16"/>
          <w:lang w:val="de-AT"/>
        </w:rPr>
        <w:tab/>
      </w:r>
      <w:hyperlink r:id="rId5" w:history="1">
        <w:r w:rsidRPr="00B71DC8">
          <w:rPr>
            <w:rStyle w:val="Hyperlink"/>
            <w:rFonts w:asciiTheme="minorHAnsi" w:hAnsiTheme="minorHAnsi" w:cstheme="minorHAnsi"/>
            <w:sz w:val="16"/>
            <w:szCs w:val="16"/>
            <w:vertAlign w:val="superscript"/>
            <w:lang w:val="de-AT"/>
          </w:rPr>
          <w:t>https://enil.eu/wp-content/uploads/2022/12/Reply-to-commission_ENIL_ILA_August2021_.pdf</w:t>
        </w:r>
      </w:hyperlink>
      <w:r w:rsidRPr="00B71DC8">
        <w:rPr>
          <w:rStyle w:val="Sup"/>
          <w:rFonts w:asciiTheme="minorHAnsi" w:hAnsiTheme="minorHAnsi" w:cstheme="minorHAnsi"/>
          <w:sz w:val="16"/>
          <w:szCs w:val="16"/>
          <w:lang w:val="de-AT"/>
        </w:rPr>
        <w:t xml:space="preserve"> </w:t>
      </w:r>
    </w:p>
  </w:footnote>
  <w:footnote w:id="6">
    <w:p w14:paraId="1F69D605" w14:textId="77777777" w:rsidR="00E867E8" w:rsidRPr="00B71DC8" w:rsidRDefault="00E867E8" w:rsidP="00E867E8">
      <w:pPr>
        <w:pStyle w:val="Funotentext"/>
        <w:rPr>
          <w:rFonts w:asciiTheme="minorHAnsi" w:hAnsiTheme="minorHAnsi" w:cstheme="minorHAnsi"/>
          <w:sz w:val="16"/>
          <w:szCs w:val="16"/>
          <w:lang w:val="de-AT"/>
        </w:rPr>
      </w:pPr>
      <w:r w:rsidRPr="00B71DC8">
        <w:rPr>
          <w:rStyle w:val="Funotenzeichen"/>
          <w:rFonts w:asciiTheme="minorHAnsi" w:hAnsiTheme="minorHAnsi" w:cstheme="minorHAnsi"/>
          <w:sz w:val="16"/>
          <w:szCs w:val="16"/>
        </w:rPr>
        <w:footnoteRef/>
      </w:r>
      <w:r w:rsidRPr="00B71DC8">
        <w:rPr>
          <w:rFonts w:asciiTheme="minorHAnsi" w:hAnsiTheme="minorHAnsi" w:cstheme="minorHAnsi"/>
          <w:sz w:val="16"/>
          <w:szCs w:val="16"/>
          <w:lang w:val="de-AT"/>
        </w:rPr>
        <w:t xml:space="preserve"> </w:t>
      </w:r>
      <w:r w:rsidRPr="00B71DC8">
        <w:rPr>
          <w:rFonts w:asciiTheme="minorHAnsi" w:hAnsiTheme="minorHAnsi" w:cstheme="minorHAnsi"/>
          <w:sz w:val="16"/>
          <w:szCs w:val="16"/>
          <w:lang w:val="de-AT"/>
        </w:rPr>
        <w:tab/>
      </w:r>
      <w:hyperlink r:id="rId6" w:history="1">
        <w:r w:rsidRPr="00B71DC8">
          <w:rPr>
            <w:rStyle w:val="Hyperlink"/>
            <w:rFonts w:asciiTheme="minorHAnsi" w:hAnsiTheme="minorHAnsi" w:cstheme="minorHAnsi"/>
            <w:sz w:val="16"/>
            <w:szCs w:val="16"/>
            <w:vertAlign w:val="superscript"/>
            <w:lang w:val="de-AT"/>
          </w:rPr>
          <w:t>https://enil.eu/press-release-disability-groups-file-second-complaint-against-austria-for-eu-funds-misuse/</w:t>
        </w:r>
      </w:hyperlink>
      <w:r w:rsidRPr="00B71DC8">
        <w:rPr>
          <w:rStyle w:val="Sup"/>
          <w:rFonts w:asciiTheme="minorHAnsi" w:hAnsiTheme="minorHAnsi" w:cstheme="minorHAnsi"/>
          <w:sz w:val="16"/>
          <w:szCs w:val="16"/>
          <w:lang w:val="de-AT"/>
        </w:rPr>
        <w:t xml:space="preserve"> </w:t>
      </w:r>
    </w:p>
  </w:footnote>
  <w:footnote w:id="7">
    <w:p w14:paraId="378825FB" w14:textId="77777777" w:rsidR="00E867E8" w:rsidRPr="005F21F5" w:rsidRDefault="00E867E8" w:rsidP="00E867E8">
      <w:pPr>
        <w:pStyle w:val="Funotentext"/>
        <w:rPr>
          <w:lang w:val="de-AT"/>
        </w:rPr>
      </w:pPr>
      <w:r w:rsidRPr="00B71DC8">
        <w:rPr>
          <w:rStyle w:val="Funotenzeichen"/>
          <w:rFonts w:asciiTheme="minorHAnsi" w:hAnsiTheme="minorHAnsi" w:cstheme="minorHAnsi"/>
          <w:sz w:val="16"/>
          <w:szCs w:val="16"/>
        </w:rPr>
        <w:footnoteRef/>
      </w:r>
      <w:r w:rsidRPr="00B71DC8">
        <w:rPr>
          <w:rFonts w:asciiTheme="minorHAnsi" w:hAnsiTheme="minorHAnsi" w:cstheme="minorHAnsi"/>
          <w:sz w:val="16"/>
          <w:szCs w:val="16"/>
          <w:lang w:val="de-AT"/>
        </w:rPr>
        <w:t xml:space="preserve"> </w:t>
      </w:r>
      <w:r w:rsidRPr="00B71DC8">
        <w:rPr>
          <w:rFonts w:asciiTheme="minorHAnsi" w:hAnsiTheme="minorHAnsi" w:cstheme="minorHAnsi"/>
          <w:sz w:val="16"/>
          <w:szCs w:val="16"/>
          <w:lang w:val="de-AT"/>
        </w:rPr>
        <w:tab/>
      </w:r>
      <w:hyperlink r:id="rId7" w:history="1">
        <w:r w:rsidRPr="00B71DC8">
          <w:rPr>
            <w:rStyle w:val="Hyperlink"/>
            <w:rFonts w:asciiTheme="minorHAnsi" w:hAnsiTheme="minorHAnsi" w:cstheme="minorHAnsi"/>
            <w:sz w:val="16"/>
            <w:szCs w:val="16"/>
            <w:vertAlign w:val="superscript"/>
            <w:lang w:val="de-AT"/>
          </w:rPr>
          <w:t>https://enil.eu/wp-content/uploads/2022/11/Complaint_3_by-ENIL_and_Independent-Living-Austria_021122.pdf</w:t>
        </w:r>
      </w:hyperlink>
      <w:r w:rsidRPr="005F21F5">
        <w:rPr>
          <w:rStyle w:val="Sup"/>
          <w:lang w:val="de-AT"/>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BF1D8" w14:textId="0AC7EF18" w:rsidR="004D39EF" w:rsidRDefault="004D39EF" w:rsidP="004D39EF">
    <w:pPr>
      <w:pStyle w:val="Kopfzeile"/>
      <w:jc w:val="center"/>
    </w:pPr>
    <w:r>
      <w:rPr>
        <w:noProof/>
        <w:lang w:eastAsia="de-DE"/>
      </w:rPr>
      <w:drawing>
        <wp:inline distT="0" distB="0" distL="0" distR="0" wp14:anchorId="332C18C0" wp14:editId="7C604651">
          <wp:extent cx="3032655" cy="715709"/>
          <wp:effectExtent l="0" t="0" r="0" b="8255"/>
          <wp:docPr id="5" name="Grafik 5" descr="Ein Bild, das Text, Schrift, Visitenkarte,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91420" name="Grafik 1" descr="Ein Bild, das Text, Schrift, Visitenkarte, Screenshot enthält.&#10;&#10;Automatisch generierte Beschreibung"/>
                  <pic:cNvPicPr/>
                </pic:nvPicPr>
                <pic:blipFill>
                  <a:blip r:embed="rId1"/>
                  <a:stretch>
                    <a:fillRect/>
                  </a:stretch>
                </pic:blipFill>
                <pic:spPr>
                  <a:xfrm>
                    <a:off x="0" y="0"/>
                    <a:ext cx="3308619" cy="780837"/>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5DE69" w14:textId="77777777" w:rsidR="00B716E5" w:rsidRDefault="00B716E5">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0719C"/>
    <w:multiLevelType w:val="hybridMultilevel"/>
    <w:tmpl w:val="5A04D5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13084DF2"/>
    <w:multiLevelType w:val="hybridMultilevel"/>
    <w:tmpl w:val="A7ECBC6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7C883F62"/>
    <w:multiLevelType w:val="hybridMultilevel"/>
    <w:tmpl w:val="414C6572"/>
    <w:lvl w:ilvl="0" w:tplc="21C859E0">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0A9"/>
    <w:rsid w:val="0000611E"/>
    <w:rsid w:val="000229ED"/>
    <w:rsid w:val="00026A69"/>
    <w:rsid w:val="0003407B"/>
    <w:rsid w:val="0004410F"/>
    <w:rsid w:val="00045F19"/>
    <w:rsid w:val="0004665F"/>
    <w:rsid w:val="00047ED8"/>
    <w:rsid w:val="00053AAD"/>
    <w:rsid w:val="00076242"/>
    <w:rsid w:val="000864BF"/>
    <w:rsid w:val="0008775B"/>
    <w:rsid w:val="000915C2"/>
    <w:rsid w:val="000A567E"/>
    <w:rsid w:val="000B424E"/>
    <w:rsid w:val="000C2FB1"/>
    <w:rsid w:val="000C35F6"/>
    <w:rsid w:val="000C6F5A"/>
    <w:rsid w:val="000D6CE8"/>
    <w:rsid w:val="000E3D29"/>
    <w:rsid w:val="000F2DAF"/>
    <w:rsid w:val="00101A93"/>
    <w:rsid w:val="001062AF"/>
    <w:rsid w:val="00140509"/>
    <w:rsid w:val="00146EB3"/>
    <w:rsid w:val="00152434"/>
    <w:rsid w:val="00152FFA"/>
    <w:rsid w:val="001650B5"/>
    <w:rsid w:val="00176BEB"/>
    <w:rsid w:val="00184006"/>
    <w:rsid w:val="00185830"/>
    <w:rsid w:val="001A7374"/>
    <w:rsid w:val="001B0B48"/>
    <w:rsid w:val="001B150A"/>
    <w:rsid w:val="001B73D4"/>
    <w:rsid w:val="001C0C32"/>
    <w:rsid w:val="001D69A2"/>
    <w:rsid w:val="001E49C4"/>
    <w:rsid w:val="001F0E73"/>
    <w:rsid w:val="002102F5"/>
    <w:rsid w:val="00211A60"/>
    <w:rsid w:val="00211BB0"/>
    <w:rsid w:val="00214770"/>
    <w:rsid w:val="00226023"/>
    <w:rsid w:val="00244140"/>
    <w:rsid w:val="00276ED3"/>
    <w:rsid w:val="00291F5E"/>
    <w:rsid w:val="002A0358"/>
    <w:rsid w:val="002C04B8"/>
    <w:rsid w:val="002C4417"/>
    <w:rsid w:val="002C503E"/>
    <w:rsid w:val="002C57B3"/>
    <w:rsid w:val="002D04FF"/>
    <w:rsid w:val="002E1FDF"/>
    <w:rsid w:val="002E35B6"/>
    <w:rsid w:val="002E5867"/>
    <w:rsid w:val="002F0120"/>
    <w:rsid w:val="003024F9"/>
    <w:rsid w:val="00310851"/>
    <w:rsid w:val="00317E1F"/>
    <w:rsid w:val="00335A1C"/>
    <w:rsid w:val="00342752"/>
    <w:rsid w:val="00342AF4"/>
    <w:rsid w:val="00353E9A"/>
    <w:rsid w:val="00363F09"/>
    <w:rsid w:val="00372094"/>
    <w:rsid w:val="00380302"/>
    <w:rsid w:val="00382FA5"/>
    <w:rsid w:val="00385EF3"/>
    <w:rsid w:val="003903D1"/>
    <w:rsid w:val="00395571"/>
    <w:rsid w:val="003A22A3"/>
    <w:rsid w:val="003B0237"/>
    <w:rsid w:val="003C00B0"/>
    <w:rsid w:val="003D3612"/>
    <w:rsid w:val="003E0804"/>
    <w:rsid w:val="003F6D65"/>
    <w:rsid w:val="00406EC3"/>
    <w:rsid w:val="00410A20"/>
    <w:rsid w:val="00417A76"/>
    <w:rsid w:val="004243E1"/>
    <w:rsid w:val="00425A8F"/>
    <w:rsid w:val="00460794"/>
    <w:rsid w:val="00461BF1"/>
    <w:rsid w:val="00474157"/>
    <w:rsid w:val="00474FD6"/>
    <w:rsid w:val="00476312"/>
    <w:rsid w:val="00476B4D"/>
    <w:rsid w:val="004832E3"/>
    <w:rsid w:val="004839CB"/>
    <w:rsid w:val="004B571B"/>
    <w:rsid w:val="004C1DB3"/>
    <w:rsid w:val="004C4B5F"/>
    <w:rsid w:val="004D3722"/>
    <w:rsid w:val="004D39EF"/>
    <w:rsid w:val="004E4E29"/>
    <w:rsid w:val="004F2F39"/>
    <w:rsid w:val="0050239A"/>
    <w:rsid w:val="00503E59"/>
    <w:rsid w:val="00514FCC"/>
    <w:rsid w:val="00530378"/>
    <w:rsid w:val="0053654B"/>
    <w:rsid w:val="0054110C"/>
    <w:rsid w:val="005439AA"/>
    <w:rsid w:val="00565C50"/>
    <w:rsid w:val="005701FD"/>
    <w:rsid w:val="00570688"/>
    <w:rsid w:val="00581FEB"/>
    <w:rsid w:val="00585AAF"/>
    <w:rsid w:val="0059544E"/>
    <w:rsid w:val="005C3C2C"/>
    <w:rsid w:val="005E3E11"/>
    <w:rsid w:val="005E7069"/>
    <w:rsid w:val="005F21F5"/>
    <w:rsid w:val="005F615D"/>
    <w:rsid w:val="00603BBF"/>
    <w:rsid w:val="00614914"/>
    <w:rsid w:val="0062145B"/>
    <w:rsid w:val="00625DF4"/>
    <w:rsid w:val="006308F3"/>
    <w:rsid w:val="00661B40"/>
    <w:rsid w:val="00662616"/>
    <w:rsid w:val="00663B90"/>
    <w:rsid w:val="00671891"/>
    <w:rsid w:val="00672F10"/>
    <w:rsid w:val="006734D0"/>
    <w:rsid w:val="006B43CB"/>
    <w:rsid w:val="006C3DFA"/>
    <w:rsid w:val="006C5386"/>
    <w:rsid w:val="006C671A"/>
    <w:rsid w:val="006D1F83"/>
    <w:rsid w:val="006E6676"/>
    <w:rsid w:val="006F169B"/>
    <w:rsid w:val="006F7739"/>
    <w:rsid w:val="00705DE5"/>
    <w:rsid w:val="00710DDA"/>
    <w:rsid w:val="00714F11"/>
    <w:rsid w:val="00717E0E"/>
    <w:rsid w:val="007332B6"/>
    <w:rsid w:val="00734AF5"/>
    <w:rsid w:val="00736B12"/>
    <w:rsid w:val="00747266"/>
    <w:rsid w:val="00755DAC"/>
    <w:rsid w:val="00784026"/>
    <w:rsid w:val="00790193"/>
    <w:rsid w:val="00791921"/>
    <w:rsid w:val="00797EA1"/>
    <w:rsid w:val="007C70D8"/>
    <w:rsid w:val="007D782E"/>
    <w:rsid w:val="007E70AD"/>
    <w:rsid w:val="007F6719"/>
    <w:rsid w:val="00801913"/>
    <w:rsid w:val="00805746"/>
    <w:rsid w:val="00811DB7"/>
    <w:rsid w:val="00813BB5"/>
    <w:rsid w:val="00816F0F"/>
    <w:rsid w:val="00866D27"/>
    <w:rsid w:val="00870CEF"/>
    <w:rsid w:val="00874C64"/>
    <w:rsid w:val="008821FB"/>
    <w:rsid w:val="00892712"/>
    <w:rsid w:val="008A40DE"/>
    <w:rsid w:val="008B2623"/>
    <w:rsid w:val="008E420F"/>
    <w:rsid w:val="009043C3"/>
    <w:rsid w:val="00916766"/>
    <w:rsid w:val="00944044"/>
    <w:rsid w:val="00944FB5"/>
    <w:rsid w:val="00951E27"/>
    <w:rsid w:val="00961208"/>
    <w:rsid w:val="00964578"/>
    <w:rsid w:val="00965029"/>
    <w:rsid w:val="00972E93"/>
    <w:rsid w:val="00986346"/>
    <w:rsid w:val="009867BB"/>
    <w:rsid w:val="00991D1F"/>
    <w:rsid w:val="009A0498"/>
    <w:rsid w:val="009A0D2E"/>
    <w:rsid w:val="009C36E2"/>
    <w:rsid w:val="009C76FF"/>
    <w:rsid w:val="009D7321"/>
    <w:rsid w:val="009E1323"/>
    <w:rsid w:val="009E5B92"/>
    <w:rsid w:val="009F2327"/>
    <w:rsid w:val="009F24C5"/>
    <w:rsid w:val="009F3415"/>
    <w:rsid w:val="009F385B"/>
    <w:rsid w:val="00A018B0"/>
    <w:rsid w:val="00A03C5E"/>
    <w:rsid w:val="00A232CE"/>
    <w:rsid w:val="00A277E2"/>
    <w:rsid w:val="00A31663"/>
    <w:rsid w:val="00A34283"/>
    <w:rsid w:val="00A40488"/>
    <w:rsid w:val="00A454A3"/>
    <w:rsid w:val="00A53214"/>
    <w:rsid w:val="00A56C05"/>
    <w:rsid w:val="00A57827"/>
    <w:rsid w:val="00A61625"/>
    <w:rsid w:val="00A759FA"/>
    <w:rsid w:val="00A83A8F"/>
    <w:rsid w:val="00A86DE4"/>
    <w:rsid w:val="00A92110"/>
    <w:rsid w:val="00A9283E"/>
    <w:rsid w:val="00A95378"/>
    <w:rsid w:val="00AA35FF"/>
    <w:rsid w:val="00AB4AAE"/>
    <w:rsid w:val="00AE70B9"/>
    <w:rsid w:val="00AE7A02"/>
    <w:rsid w:val="00AF0B11"/>
    <w:rsid w:val="00AF259C"/>
    <w:rsid w:val="00AF371F"/>
    <w:rsid w:val="00B04342"/>
    <w:rsid w:val="00B06977"/>
    <w:rsid w:val="00B07291"/>
    <w:rsid w:val="00B17DC6"/>
    <w:rsid w:val="00B27446"/>
    <w:rsid w:val="00B342D1"/>
    <w:rsid w:val="00B45278"/>
    <w:rsid w:val="00B52B5C"/>
    <w:rsid w:val="00B579EC"/>
    <w:rsid w:val="00B66D13"/>
    <w:rsid w:val="00B7130E"/>
    <w:rsid w:val="00B716E5"/>
    <w:rsid w:val="00B71DC8"/>
    <w:rsid w:val="00B745A5"/>
    <w:rsid w:val="00B821C3"/>
    <w:rsid w:val="00B85FCF"/>
    <w:rsid w:val="00B929B0"/>
    <w:rsid w:val="00BA2D16"/>
    <w:rsid w:val="00BA310D"/>
    <w:rsid w:val="00BB0DA4"/>
    <w:rsid w:val="00BB108A"/>
    <w:rsid w:val="00BD084E"/>
    <w:rsid w:val="00BF4C2E"/>
    <w:rsid w:val="00C10CDA"/>
    <w:rsid w:val="00C341CE"/>
    <w:rsid w:val="00C45BFE"/>
    <w:rsid w:val="00C65E6A"/>
    <w:rsid w:val="00C7526A"/>
    <w:rsid w:val="00C75CCD"/>
    <w:rsid w:val="00C852E7"/>
    <w:rsid w:val="00C92C97"/>
    <w:rsid w:val="00C9376B"/>
    <w:rsid w:val="00CA062D"/>
    <w:rsid w:val="00CB53E9"/>
    <w:rsid w:val="00CD7405"/>
    <w:rsid w:val="00CE441F"/>
    <w:rsid w:val="00CF4809"/>
    <w:rsid w:val="00D01DAE"/>
    <w:rsid w:val="00D24564"/>
    <w:rsid w:val="00D268CB"/>
    <w:rsid w:val="00D40EA5"/>
    <w:rsid w:val="00D551C2"/>
    <w:rsid w:val="00D56460"/>
    <w:rsid w:val="00D56757"/>
    <w:rsid w:val="00D755B5"/>
    <w:rsid w:val="00D77864"/>
    <w:rsid w:val="00D8374A"/>
    <w:rsid w:val="00D87028"/>
    <w:rsid w:val="00D87596"/>
    <w:rsid w:val="00D97CFE"/>
    <w:rsid w:val="00DA44BC"/>
    <w:rsid w:val="00DA7CE2"/>
    <w:rsid w:val="00DB377B"/>
    <w:rsid w:val="00DB7086"/>
    <w:rsid w:val="00DC1D09"/>
    <w:rsid w:val="00DD7C9C"/>
    <w:rsid w:val="00DE1ECC"/>
    <w:rsid w:val="00DE5414"/>
    <w:rsid w:val="00DE7B99"/>
    <w:rsid w:val="00DF3A56"/>
    <w:rsid w:val="00E05E6B"/>
    <w:rsid w:val="00E06C41"/>
    <w:rsid w:val="00E156FE"/>
    <w:rsid w:val="00E235E1"/>
    <w:rsid w:val="00E32A7F"/>
    <w:rsid w:val="00E3558E"/>
    <w:rsid w:val="00E41F14"/>
    <w:rsid w:val="00E5004F"/>
    <w:rsid w:val="00E5251B"/>
    <w:rsid w:val="00E5341D"/>
    <w:rsid w:val="00E534A8"/>
    <w:rsid w:val="00E60AAC"/>
    <w:rsid w:val="00E64C23"/>
    <w:rsid w:val="00E6578F"/>
    <w:rsid w:val="00E7499A"/>
    <w:rsid w:val="00E867E8"/>
    <w:rsid w:val="00E86CF8"/>
    <w:rsid w:val="00E9056B"/>
    <w:rsid w:val="00E93129"/>
    <w:rsid w:val="00EA186F"/>
    <w:rsid w:val="00EB0E41"/>
    <w:rsid w:val="00EB11C1"/>
    <w:rsid w:val="00EB369F"/>
    <w:rsid w:val="00EB4A45"/>
    <w:rsid w:val="00EC4EE3"/>
    <w:rsid w:val="00ED09E3"/>
    <w:rsid w:val="00ED1718"/>
    <w:rsid w:val="00EF2BA5"/>
    <w:rsid w:val="00F0330E"/>
    <w:rsid w:val="00F0418A"/>
    <w:rsid w:val="00F062CB"/>
    <w:rsid w:val="00F15C39"/>
    <w:rsid w:val="00F30BA8"/>
    <w:rsid w:val="00F41E1C"/>
    <w:rsid w:val="00F4490E"/>
    <w:rsid w:val="00F44BE2"/>
    <w:rsid w:val="00F5143F"/>
    <w:rsid w:val="00F5238E"/>
    <w:rsid w:val="00F615E1"/>
    <w:rsid w:val="00F8536D"/>
    <w:rsid w:val="00F91478"/>
    <w:rsid w:val="00F91BAE"/>
    <w:rsid w:val="00F93FD0"/>
    <w:rsid w:val="00FA3258"/>
    <w:rsid w:val="00FA7A3C"/>
    <w:rsid w:val="00FB7A4C"/>
    <w:rsid w:val="00FC6996"/>
    <w:rsid w:val="00FD0033"/>
    <w:rsid w:val="00FE25E3"/>
    <w:rsid w:val="00FF70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1C045"/>
  <w15:chartTrackingRefBased/>
  <w15:docId w15:val="{C45FA74C-3018-4DD4-B331-684F0D945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0E3D29"/>
    <w:pPr>
      <w:spacing w:before="100" w:beforeAutospacing="1" w:after="100" w:afterAutospacing="1"/>
      <w:outlineLvl w:val="0"/>
    </w:pPr>
    <w:rPr>
      <w:rFonts w:ascii="Times New Roman" w:eastAsia="Times New Roman" w:hAnsi="Times New Roman" w:cs="Times New Roman"/>
      <w:b/>
      <w:bCs/>
      <w:kern w:val="36"/>
      <w:sz w:val="48"/>
      <w:szCs w:val="48"/>
      <w:lang w:eastAsia="de-DE"/>
    </w:rPr>
  </w:style>
  <w:style w:type="paragraph" w:styleId="berschrift3">
    <w:name w:val="heading 3"/>
    <w:basedOn w:val="Standard"/>
    <w:next w:val="Standard"/>
    <w:link w:val="berschrift3Zchn"/>
    <w:uiPriority w:val="9"/>
    <w:semiHidden/>
    <w:unhideWhenUsed/>
    <w:qFormat/>
    <w:rsid w:val="00B85FC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F0418A"/>
    <w:rPr>
      <w:color w:val="0000FF"/>
      <w:u w:val="single"/>
    </w:rPr>
  </w:style>
  <w:style w:type="character" w:customStyle="1" w:styleId="berschrift1Zchn">
    <w:name w:val="Überschrift 1 Zchn"/>
    <w:basedOn w:val="Absatz-Standardschriftart"/>
    <w:link w:val="berschrift1"/>
    <w:uiPriority w:val="9"/>
    <w:rsid w:val="000E3D29"/>
    <w:rPr>
      <w:rFonts w:ascii="Times New Roman" w:eastAsia="Times New Roman" w:hAnsi="Times New Roman" w:cs="Times New Roman"/>
      <w:b/>
      <w:bCs/>
      <w:kern w:val="36"/>
      <w:sz w:val="48"/>
      <w:szCs w:val="48"/>
      <w:lang w:eastAsia="de-DE"/>
    </w:rPr>
  </w:style>
  <w:style w:type="paragraph" w:customStyle="1" w:styleId="Default">
    <w:name w:val="Default"/>
    <w:rsid w:val="00152434"/>
    <w:pPr>
      <w:autoSpaceDE w:val="0"/>
      <w:autoSpaceDN w:val="0"/>
      <w:adjustRightInd w:val="0"/>
    </w:pPr>
    <w:rPr>
      <w:rFonts w:ascii="Calibri" w:hAnsi="Calibri" w:cs="Calibri"/>
      <w:color w:val="000000"/>
      <w:sz w:val="24"/>
      <w:szCs w:val="24"/>
    </w:rPr>
  </w:style>
  <w:style w:type="character" w:customStyle="1" w:styleId="berschrift3Zchn">
    <w:name w:val="Überschrift 3 Zchn"/>
    <w:basedOn w:val="Absatz-Standardschriftart"/>
    <w:link w:val="berschrift3"/>
    <w:uiPriority w:val="9"/>
    <w:semiHidden/>
    <w:rsid w:val="00B85FCF"/>
    <w:rPr>
      <w:rFonts w:asciiTheme="majorHAnsi" w:eastAsiaTheme="majorEastAsia" w:hAnsiTheme="majorHAnsi" w:cstheme="majorBidi"/>
      <w:color w:val="1F4D78" w:themeColor="accent1" w:themeShade="7F"/>
      <w:sz w:val="24"/>
      <w:szCs w:val="24"/>
    </w:rPr>
  </w:style>
  <w:style w:type="paragraph" w:customStyle="1" w:styleId="text">
    <w:name w:val="text"/>
    <w:basedOn w:val="Standard"/>
    <w:rsid w:val="00B85FCF"/>
    <w:pPr>
      <w:spacing w:before="100" w:beforeAutospacing="1" w:after="100" w:afterAutospacing="1"/>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B85FCF"/>
    <w:rPr>
      <w:b/>
      <w:bCs/>
    </w:rPr>
  </w:style>
  <w:style w:type="paragraph" w:customStyle="1" w:styleId="SingleTxtG">
    <w:name w:val="_ Single Txt_G"/>
    <w:basedOn w:val="Standard"/>
    <w:link w:val="SingleTxtGChar"/>
    <w:rsid w:val="00570688"/>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570688"/>
    <w:rPr>
      <w:rFonts w:ascii="Times New Roman" w:eastAsia="Times New Roman" w:hAnsi="Times New Roman" w:cs="Times New Roman"/>
      <w:sz w:val="20"/>
      <w:szCs w:val="20"/>
      <w:lang w:val="en-GB"/>
    </w:rPr>
  </w:style>
  <w:style w:type="paragraph" w:customStyle="1" w:styleId="H1G">
    <w:name w:val="_ H_1_G"/>
    <w:basedOn w:val="Standard"/>
    <w:next w:val="Standard"/>
    <w:link w:val="H1GChar"/>
    <w:rsid w:val="00570688"/>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character" w:customStyle="1" w:styleId="H1GChar">
    <w:name w:val="_ H_1_G Char"/>
    <w:link w:val="H1G"/>
    <w:locked/>
    <w:rsid w:val="00570688"/>
    <w:rPr>
      <w:rFonts w:ascii="Times New Roman" w:eastAsia="Times New Roman" w:hAnsi="Times New Roman" w:cs="Times New Roman"/>
      <w:b/>
      <w:sz w:val="24"/>
      <w:szCs w:val="20"/>
      <w:lang w:val="en-GB"/>
    </w:rPr>
  </w:style>
  <w:style w:type="paragraph" w:styleId="Listenabsatz">
    <w:name w:val="List Paragraph"/>
    <w:basedOn w:val="Standard"/>
    <w:uiPriority w:val="34"/>
    <w:qFormat/>
    <w:rsid w:val="00CA062D"/>
    <w:pPr>
      <w:ind w:left="720"/>
      <w:contextualSpacing/>
    </w:pPr>
  </w:style>
  <w:style w:type="character" w:styleId="Funotenzeichen">
    <w:name w:val="footnote reference"/>
    <w:rsid w:val="00F0330E"/>
    <w:rPr>
      <w:rFonts w:ascii="Arial" w:hAnsi="Arial" w:cs="Arial"/>
      <w:b w:val="0"/>
      <w:i w:val="0"/>
      <w:caps w:val="0"/>
      <w:smallCaps w:val="0"/>
      <w:strike w:val="0"/>
      <w:dstrike w:val="0"/>
      <w:vanish w:val="0"/>
      <w:color w:val="auto"/>
      <w:spacing w:val="0"/>
      <w:w w:val="100"/>
      <w:kern w:val="0"/>
      <w:position w:val="0"/>
      <w:sz w:val="18"/>
      <w:u w:val="none"/>
      <w:effect w:val="none"/>
      <w:vertAlign w:val="superscript"/>
    </w:rPr>
  </w:style>
  <w:style w:type="paragraph" w:styleId="Funotentext">
    <w:name w:val="footnote text"/>
    <w:link w:val="FunotentextZchn"/>
    <w:semiHidden/>
    <w:rsid w:val="00F0330E"/>
    <w:pPr>
      <w:tabs>
        <w:tab w:val="left" w:pos="284"/>
      </w:tabs>
      <w:ind w:left="284" w:hanging="284"/>
    </w:pPr>
    <w:rPr>
      <w:rFonts w:ascii="Arial" w:eastAsia="Times New Roman" w:hAnsi="Arial" w:cs="Times New Roman"/>
      <w:sz w:val="18"/>
      <w:szCs w:val="20"/>
      <w:lang w:val="en-GB" w:eastAsia="en-GB"/>
    </w:rPr>
  </w:style>
  <w:style w:type="character" w:customStyle="1" w:styleId="FunotentextZchn">
    <w:name w:val="Fußnotentext Zchn"/>
    <w:basedOn w:val="Absatz-Standardschriftart"/>
    <w:link w:val="Funotentext"/>
    <w:semiHidden/>
    <w:rsid w:val="00F0330E"/>
    <w:rPr>
      <w:rFonts w:ascii="Arial" w:eastAsia="Times New Roman" w:hAnsi="Arial" w:cs="Times New Roman"/>
      <w:sz w:val="18"/>
      <w:szCs w:val="20"/>
      <w:lang w:val="en-GB" w:eastAsia="en-GB"/>
    </w:rPr>
  </w:style>
  <w:style w:type="character" w:customStyle="1" w:styleId="Sup">
    <w:name w:val="Sup"/>
    <w:uiPriority w:val="1"/>
    <w:qFormat/>
    <w:rsid w:val="00F0330E"/>
    <w:rPr>
      <w:vertAlign w:val="superscript"/>
    </w:rPr>
  </w:style>
  <w:style w:type="character" w:styleId="Hervorhebung">
    <w:name w:val="Emphasis"/>
    <w:basedOn w:val="Absatz-Standardschriftart"/>
    <w:uiPriority w:val="20"/>
    <w:qFormat/>
    <w:rsid w:val="00565C50"/>
    <w:rPr>
      <w:i/>
      <w:iCs/>
    </w:rPr>
  </w:style>
  <w:style w:type="character" w:styleId="BesuchterHyperlink">
    <w:name w:val="FollowedHyperlink"/>
    <w:basedOn w:val="Absatz-Standardschriftart"/>
    <w:uiPriority w:val="99"/>
    <w:semiHidden/>
    <w:unhideWhenUsed/>
    <w:rsid w:val="00E5004F"/>
    <w:rPr>
      <w:color w:val="954F72" w:themeColor="followedHyperlink"/>
      <w:u w:val="single"/>
    </w:rPr>
  </w:style>
  <w:style w:type="paragraph" w:styleId="berarbeitung">
    <w:name w:val="Revision"/>
    <w:hidden/>
    <w:uiPriority w:val="99"/>
    <w:semiHidden/>
    <w:rsid w:val="00797EA1"/>
  </w:style>
  <w:style w:type="character" w:styleId="Kommentarzeichen">
    <w:name w:val="annotation reference"/>
    <w:basedOn w:val="Absatz-Standardschriftart"/>
    <w:uiPriority w:val="99"/>
    <w:semiHidden/>
    <w:unhideWhenUsed/>
    <w:rsid w:val="00797EA1"/>
    <w:rPr>
      <w:sz w:val="16"/>
      <w:szCs w:val="16"/>
    </w:rPr>
  </w:style>
  <w:style w:type="paragraph" w:styleId="Kommentartext">
    <w:name w:val="annotation text"/>
    <w:basedOn w:val="Standard"/>
    <w:link w:val="KommentartextZchn"/>
    <w:uiPriority w:val="99"/>
    <w:unhideWhenUsed/>
    <w:rsid w:val="00797EA1"/>
    <w:rPr>
      <w:sz w:val="20"/>
      <w:szCs w:val="20"/>
    </w:rPr>
  </w:style>
  <w:style w:type="character" w:customStyle="1" w:styleId="KommentartextZchn">
    <w:name w:val="Kommentartext Zchn"/>
    <w:basedOn w:val="Absatz-Standardschriftart"/>
    <w:link w:val="Kommentartext"/>
    <w:uiPriority w:val="99"/>
    <w:rsid w:val="00797EA1"/>
    <w:rPr>
      <w:sz w:val="20"/>
      <w:szCs w:val="20"/>
    </w:rPr>
  </w:style>
  <w:style w:type="paragraph" w:styleId="Kommentarthema">
    <w:name w:val="annotation subject"/>
    <w:basedOn w:val="Kommentartext"/>
    <w:next w:val="Kommentartext"/>
    <w:link w:val="KommentarthemaZchn"/>
    <w:uiPriority w:val="99"/>
    <w:semiHidden/>
    <w:unhideWhenUsed/>
    <w:rsid w:val="00797EA1"/>
    <w:rPr>
      <w:b/>
      <w:bCs/>
    </w:rPr>
  </w:style>
  <w:style w:type="character" w:customStyle="1" w:styleId="KommentarthemaZchn">
    <w:name w:val="Kommentarthema Zchn"/>
    <w:basedOn w:val="KommentartextZchn"/>
    <w:link w:val="Kommentarthema"/>
    <w:uiPriority w:val="99"/>
    <w:semiHidden/>
    <w:rsid w:val="00797EA1"/>
    <w:rPr>
      <w:b/>
      <w:bCs/>
      <w:sz w:val="20"/>
      <w:szCs w:val="20"/>
    </w:rPr>
  </w:style>
  <w:style w:type="paragraph" w:styleId="Sprechblasentext">
    <w:name w:val="Balloon Text"/>
    <w:basedOn w:val="Standard"/>
    <w:link w:val="SprechblasentextZchn"/>
    <w:uiPriority w:val="99"/>
    <w:semiHidden/>
    <w:unhideWhenUsed/>
    <w:rsid w:val="00EB11C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B11C1"/>
    <w:rPr>
      <w:rFonts w:ascii="Segoe UI" w:hAnsi="Segoe UI" w:cs="Segoe UI"/>
      <w:sz w:val="18"/>
      <w:szCs w:val="18"/>
    </w:rPr>
  </w:style>
  <w:style w:type="paragraph" w:styleId="Kopfzeile">
    <w:name w:val="header"/>
    <w:basedOn w:val="Standard"/>
    <w:link w:val="KopfzeileZchn"/>
    <w:uiPriority w:val="99"/>
    <w:unhideWhenUsed/>
    <w:rsid w:val="004D39EF"/>
    <w:pPr>
      <w:tabs>
        <w:tab w:val="center" w:pos="4536"/>
        <w:tab w:val="right" w:pos="9072"/>
      </w:tabs>
    </w:pPr>
  </w:style>
  <w:style w:type="character" w:customStyle="1" w:styleId="KopfzeileZchn">
    <w:name w:val="Kopfzeile Zchn"/>
    <w:basedOn w:val="Absatz-Standardschriftart"/>
    <w:link w:val="Kopfzeile"/>
    <w:uiPriority w:val="99"/>
    <w:rsid w:val="004D39EF"/>
  </w:style>
  <w:style w:type="paragraph" w:styleId="Fuzeile">
    <w:name w:val="footer"/>
    <w:basedOn w:val="Standard"/>
    <w:link w:val="FuzeileZchn"/>
    <w:uiPriority w:val="99"/>
    <w:unhideWhenUsed/>
    <w:rsid w:val="004D39EF"/>
    <w:pPr>
      <w:tabs>
        <w:tab w:val="center" w:pos="4536"/>
        <w:tab w:val="right" w:pos="9072"/>
      </w:tabs>
    </w:pPr>
  </w:style>
  <w:style w:type="character" w:customStyle="1" w:styleId="FuzeileZchn">
    <w:name w:val="Fußzeile Zchn"/>
    <w:basedOn w:val="Absatz-Standardschriftart"/>
    <w:link w:val="Fuzeile"/>
    <w:uiPriority w:val="99"/>
    <w:rsid w:val="004D39EF"/>
  </w:style>
  <w:style w:type="character" w:customStyle="1" w:styleId="UnresolvedMention">
    <w:name w:val="Unresolved Mention"/>
    <w:basedOn w:val="Absatz-Standardschriftart"/>
    <w:uiPriority w:val="99"/>
    <w:semiHidden/>
    <w:unhideWhenUsed/>
    <w:rsid w:val="00CE44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649706">
      <w:bodyDiv w:val="1"/>
      <w:marLeft w:val="0"/>
      <w:marRight w:val="0"/>
      <w:marTop w:val="0"/>
      <w:marBottom w:val="0"/>
      <w:divBdr>
        <w:top w:val="none" w:sz="0" w:space="0" w:color="auto"/>
        <w:left w:val="none" w:sz="0" w:space="0" w:color="auto"/>
        <w:bottom w:val="none" w:sz="0" w:space="0" w:color="auto"/>
        <w:right w:val="none" w:sz="0" w:space="0" w:color="auto"/>
      </w:divBdr>
    </w:div>
    <w:div w:id="151699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s://www.tirol.gv.at/fileadmin/themen/gesellschaft-soziales/UN-Konventionen/tiroler-monitoring-ausschuss/dokumente/stellungnahmen/Wohnen_Teil_2_ONLINEVERSION.pdf" TargetMode="External"/><Relationship Id="rId7" Type="http://schemas.openxmlformats.org/officeDocument/2006/relationships/hyperlink" Target="https://enil.eu/wp-content/uploads/2022/11/Complaint_3_by-ENIL_and_Independent-Living-Austria_021122.pdf" TargetMode="External"/><Relationship Id="rId2" Type="http://schemas.openxmlformats.org/officeDocument/2006/relationships/hyperlink" Target="http://bidok.uibk.ac.at/projekte/behindertenbewegung/docs/introductory_text_digital_archive.docx" TargetMode="External"/><Relationship Id="rId1" Type="http://schemas.openxmlformats.org/officeDocument/2006/relationships/hyperlink" Target="https://www.sli&#246;.at/" TargetMode="External"/><Relationship Id="rId6" Type="http://schemas.openxmlformats.org/officeDocument/2006/relationships/hyperlink" Target="https://enil.eu/press-release-disability-groups-file-second-complaint-against-austria-for-eu-funds-misuse/" TargetMode="External"/><Relationship Id="rId5" Type="http://schemas.openxmlformats.org/officeDocument/2006/relationships/hyperlink" Target="https://enil.eu/wp-content/uploads/2022/12/Reply-to-commission_ENIL_ILA_August2021_.pdf" TargetMode="External"/><Relationship Id="rId4" Type="http://schemas.openxmlformats.org/officeDocument/2006/relationships/hyperlink" Target="https://broschuerenservice.sozialministerium.at/Home/Download?publicationId=42&amp;attachmentName=%C3%96sterreichischer_Pflegevorsorgebericht_2021_pdfU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F0AA8-57A1-4106-94A5-E65DCCA88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1365</Words>
  <Characters>8603</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Microsoft-Konto</dc:creator>
  <cp:keywords/>
  <dc:description/>
  <cp:lastModifiedBy>Microsoft-Konto</cp:lastModifiedBy>
  <cp:revision>3</cp:revision>
  <dcterms:created xsi:type="dcterms:W3CDTF">2023-07-28T08:41:00Z</dcterms:created>
  <dcterms:modified xsi:type="dcterms:W3CDTF">2023-07-28T08:43:00Z</dcterms:modified>
</cp:coreProperties>
</file>