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859082" w14:textId="4FC22E0A" w:rsidR="00BB10FB" w:rsidRPr="00BE057B" w:rsidRDefault="00BB10FB" w:rsidP="00BB10FB">
      <w:pPr>
        <w:jc w:val="center"/>
        <w:rPr>
          <w:rFonts w:asciiTheme="majorBidi" w:hAnsiTheme="majorBidi" w:cstheme="majorBidi"/>
          <w:sz w:val="28"/>
          <w:szCs w:val="28"/>
        </w:rPr>
      </w:pPr>
      <w:r w:rsidRPr="00433D52">
        <w:rPr>
          <w:rFonts w:asciiTheme="majorBidi" w:hAnsiTheme="majorBidi" w:cstheme="majorBidi"/>
          <w:b/>
          <w:bCs/>
          <w:color w:val="002060"/>
          <w:sz w:val="28"/>
          <w:szCs w:val="28"/>
        </w:rPr>
        <w:t>Maat for Peace’ report submitted to the Committee against Torture regarding the State of</w:t>
      </w:r>
      <w:r w:rsidRPr="00433D52">
        <w:rPr>
          <w:rFonts w:asciiTheme="majorBidi" w:hAnsiTheme="majorBidi" w:cstheme="majorBidi"/>
          <w:color w:val="002060"/>
          <w:sz w:val="28"/>
          <w:szCs w:val="28"/>
        </w:rPr>
        <w:t xml:space="preserve"> </w:t>
      </w:r>
      <w:r w:rsidRPr="00BB10FB">
        <w:rPr>
          <w:rFonts w:asciiTheme="majorBidi" w:hAnsiTheme="majorBidi" w:cstheme="majorBidi"/>
          <w:b/>
          <w:bCs/>
          <w:color w:val="FF0000"/>
          <w:sz w:val="28"/>
          <w:szCs w:val="28"/>
        </w:rPr>
        <w:t>Liechtenstein</w:t>
      </w:r>
    </w:p>
    <w:p w14:paraId="5205A045" w14:textId="77777777" w:rsidR="00BB10FB" w:rsidRDefault="00BB10FB" w:rsidP="00BB10FB">
      <w:pPr>
        <w:pBdr>
          <w:bottom w:val="single" w:sz="6" w:space="1" w:color="auto"/>
        </w:pBdr>
        <w:jc w:val="center"/>
        <w:rPr>
          <w:rFonts w:asciiTheme="majorBidi" w:hAnsiTheme="majorBidi" w:cstheme="majorBidi"/>
          <w:sz w:val="24"/>
          <w:szCs w:val="24"/>
        </w:rPr>
      </w:pPr>
      <w:r w:rsidRPr="00433D52">
        <w:rPr>
          <w:rFonts w:asciiTheme="majorBidi" w:hAnsiTheme="majorBidi" w:cstheme="majorBidi"/>
          <w:sz w:val="24"/>
          <w:szCs w:val="24"/>
        </w:rPr>
        <w:t>March 2024</w:t>
      </w:r>
    </w:p>
    <w:p w14:paraId="75451E92" w14:textId="5062D180" w:rsidR="005C3446" w:rsidRDefault="00BB10FB" w:rsidP="000B5D57">
      <w:pPr>
        <w:jc w:val="both"/>
        <w:rPr>
          <w:rFonts w:asciiTheme="majorBidi" w:hAnsiTheme="majorBidi" w:cstheme="majorBidi"/>
          <w:sz w:val="28"/>
          <w:szCs w:val="28"/>
        </w:rPr>
      </w:pPr>
      <w:r w:rsidRPr="00BB10FB">
        <w:rPr>
          <w:rFonts w:asciiTheme="majorBidi" w:hAnsiTheme="majorBidi" w:cstheme="majorBidi"/>
          <w:sz w:val="28"/>
          <w:szCs w:val="28"/>
        </w:rPr>
        <w:t xml:space="preserve">Maat for Peace, Development and Human Rights submits this report to the Committee against Torture before the review of the State of Liechtenstein. Liechtenstein acceded to the Convention against Torture on November 2, 1990 and ratified the Optional Protocol annexed to the Convention on November 3, 2006. </w:t>
      </w:r>
      <w:r w:rsidR="000B5D57" w:rsidRPr="000B5D57">
        <w:rPr>
          <w:rFonts w:asciiTheme="majorBidi" w:hAnsiTheme="majorBidi" w:cstheme="majorBidi"/>
          <w:sz w:val="28"/>
          <w:szCs w:val="28"/>
        </w:rPr>
        <w:t>Maat had reviewed the list of issues submitted by the Committee before submitting the fifth periodic report of Liechtenstein</w:t>
      </w:r>
      <w:r w:rsidR="000B5D57">
        <w:rPr>
          <w:rFonts w:asciiTheme="majorBidi" w:hAnsiTheme="majorBidi" w:cstheme="majorBidi"/>
          <w:sz w:val="28"/>
          <w:szCs w:val="28"/>
        </w:rPr>
        <w:t xml:space="preserve">, and </w:t>
      </w:r>
      <w:r w:rsidR="000B5D57" w:rsidRPr="000B5D57">
        <w:rPr>
          <w:rFonts w:asciiTheme="majorBidi" w:hAnsiTheme="majorBidi" w:cstheme="majorBidi"/>
          <w:sz w:val="28"/>
          <w:szCs w:val="28"/>
        </w:rPr>
        <w:t>also reviewed, before preparing this report, the fifth report submitted by the state.</w:t>
      </w:r>
      <w:r w:rsidR="000B5D57">
        <w:rPr>
          <w:rFonts w:asciiTheme="majorBidi" w:hAnsiTheme="majorBidi" w:cstheme="majorBidi"/>
          <w:sz w:val="28"/>
          <w:szCs w:val="28"/>
        </w:rPr>
        <w:t xml:space="preserve"> </w:t>
      </w:r>
      <w:r w:rsidRPr="00BB10FB">
        <w:rPr>
          <w:rFonts w:asciiTheme="majorBidi" w:hAnsiTheme="majorBidi" w:cstheme="majorBidi"/>
          <w:sz w:val="28"/>
          <w:szCs w:val="28"/>
        </w:rPr>
        <w:t>While Maat appreciates the legislative and constitutional measures prohibiting torture, there are still challenges facing the state to ensure full compliance with the provisions of the Convention against Torture</w:t>
      </w:r>
      <w:r w:rsidR="000B5D57">
        <w:rPr>
          <w:rFonts w:asciiTheme="majorBidi" w:hAnsiTheme="majorBidi" w:cstheme="majorBidi"/>
          <w:sz w:val="28"/>
          <w:szCs w:val="28"/>
        </w:rPr>
        <w:t>, e</w:t>
      </w:r>
      <w:r w:rsidRPr="00BB10FB">
        <w:rPr>
          <w:rFonts w:asciiTheme="majorBidi" w:hAnsiTheme="majorBidi" w:cstheme="majorBidi"/>
          <w:sz w:val="28"/>
          <w:szCs w:val="28"/>
        </w:rPr>
        <w:t>specially the absence of any statistics related to the imposition of disciplinary penalties on prison employees, in addition to the risks related to the forced return of asylum seekers after evaluating and examining their applications, which exposes them to the risks and possibilities of torture in their country of origin.</w:t>
      </w:r>
    </w:p>
    <w:p w14:paraId="4B706AED" w14:textId="77777777" w:rsidR="000B5D57" w:rsidRPr="000B5D57" w:rsidRDefault="000B5D57" w:rsidP="000B5D57">
      <w:pPr>
        <w:shd w:val="clear" w:color="auto" w:fill="DEEAF6" w:themeFill="accent1" w:themeFillTint="33"/>
        <w:jc w:val="both"/>
        <w:rPr>
          <w:rFonts w:asciiTheme="majorBidi" w:hAnsiTheme="majorBidi" w:cstheme="majorBidi"/>
          <w:b/>
          <w:bCs/>
          <w:sz w:val="28"/>
          <w:szCs w:val="28"/>
        </w:rPr>
      </w:pPr>
      <w:r w:rsidRPr="000B5D57">
        <w:rPr>
          <w:rFonts w:asciiTheme="majorBidi" w:hAnsiTheme="majorBidi" w:cstheme="majorBidi"/>
          <w:b/>
          <w:bCs/>
          <w:sz w:val="28"/>
          <w:szCs w:val="28"/>
        </w:rPr>
        <w:t>First: Measures aimed at preventing torture</w:t>
      </w:r>
    </w:p>
    <w:p w14:paraId="32C2D273" w14:textId="015CEF9C" w:rsidR="000B5D57" w:rsidRPr="000B5D57" w:rsidRDefault="000B5D57" w:rsidP="000B5D57">
      <w:pPr>
        <w:jc w:val="both"/>
        <w:rPr>
          <w:rFonts w:asciiTheme="majorBidi" w:hAnsiTheme="majorBidi" w:cstheme="majorBidi"/>
          <w:sz w:val="28"/>
          <w:szCs w:val="28"/>
        </w:rPr>
      </w:pPr>
      <w:r w:rsidRPr="000B5D57">
        <w:rPr>
          <w:rFonts w:asciiTheme="majorBidi" w:hAnsiTheme="majorBidi" w:cstheme="majorBidi"/>
          <w:sz w:val="28"/>
          <w:szCs w:val="28"/>
        </w:rPr>
        <w:t xml:space="preserve">Maat notes the State's repeated commitment to the absolute prohibition of torture in the State's criminal law, as well as the efforts aimed at preventing torture and inhuman treatment of detainees through legislative, administrative and judicial measures. The state also recognized the right of the United Nations Committee against Torture to consider individual complaints. Since 1992, Liechtenstein has also been a party to the European Convention for the Prevention of Torture and Inhuman or Degrading Treatment or Punishment. This agreement established a committee of independent experts to implement the system of periodic preventive visits in prisons in member states. The team of experts has visited Liechtenstein three times so far. However, Maat has concerns because of what was stated in the report on the country that there were cases of ill-treatment and that these cases were not justified according to the investigations of the Public Prosecutor’s Office. Maat notes that the report did </w:t>
      </w:r>
      <w:r w:rsidRPr="000B5D57">
        <w:rPr>
          <w:rFonts w:asciiTheme="majorBidi" w:hAnsiTheme="majorBidi" w:cstheme="majorBidi"/>
          <w:sz w:val="28"/>
          <w:szCs w:val="28"/>
        </w:rPr>
        <w:lastRenderedPageBreak/>
        <w:t xml:space="preserve">not include Sanctions imposed on persons who have committed ill-treatment, including against refugees, </w:t>
      </w:r>
      <w:r w:rsidR="00276D2A">
        <w:rPr>
          <w:rFonts w:asciiTheme="majorBidi" w:hAnsiTheme="majorBidi" w:cstheme="majorBidi"/>
          <w:sz w:val="28"/>
          <w:szCs w:val="28"/>
        </w:rPr>
        <w:t xml:space="preserve">and </w:t>
      </w:r>
      <w:r w:rsidRPr="000B5D57">
        <w:rPr>
          <w:rFonts w:asciiTheme="majorBidi" w:hAnsiTheme="majorBidi" w:cstheme="majorBidi"/>
          <w:sz w:val="28"/>
          <w:szCs w:val="28"/>
        </w:rPr>
        <w:t>asylum seekers.</w:t>
      </w:r>
    </w:p>
    <w:p w14:paraId="38C43149" w14:textId="33E40B0A" w:rsidR="000B5D57" w:rsidRDefault="000B5D57" w:rsidP="000B5D57">
      <w:pPr>
        <w:jc w:val="both"/>
        <w:rPr>
          <w:rFonts w:asciiTheme="majorBidi" w:hAnsiTheme="majorBidi" w:cstheme="majorBidi"/>
          <w:sz w:val="28"/>
          <w:szCs w:val="28"/>
        </w:rPr>
      </w:pPr>
      <w:r w:rsidRPr="000B5D57">
        <w:rPr>
          <w:rFonts w:asciiTheme="majorBidi" w:hAnsiTheme="majorBidi" w:cstheme="majorBidi"/>
          <w:sz w:val="28"/>
          <w:szCs w:val="28"/>
        </w:rPr>
        <w:t>With regard to health care in prisons, Maat reviewed reports stating that prisoners were given opportunities to see a doctor without delay upon their request, and that a psychiatrist was allocated to visit the prison several times a month. However, Maat notes that newly arrived prisoners in detention center</w:t>
      </w:r>
      <w:r>
        <w:rPr>
          <w:rFonts w:asciiTheme="majorBidi" w:hAnsiTheme="majorBidi" w:cstheme="majorBidi"/>
          <w:sz w:val="28"/>
          <w:szCs w:val="28"/>
        </w:rPr>
        <w:t>s, t</w:t>
      </w:r>
      <w:r w:rsidRPr="000B5D57">
        <w:rPr>
          <w:rFonts w:asciiTheme="majorBidi" w:hAnsiTheme="majorBidi" w:cstheme="majorBidi"/>
          <w:sz w:val="28"/>
          <w:szCs w:val="28"/>
        </w:rPr>
        <w:t>hey are still deprived of a medical examination upon entering prison</w:t>
      </w:r>
      <w:r w:rsidR="00276D2A">
        <w:rPr>
          <w:rStyle w:val="FootnoteReference"/>
          <w:rFonts w:asciiTheme="majorBidi" w:hAnsiTheme="majorBidi" w:cstheme="majorBidi"/>
          <w:sz w:val="28"/>
          <w:szCs w:val="28"/>
        </w:rPr>
        <w:footnoteReference w:id="1"/>
      </w:r>
      <w:r w:rsidRPr="000B5D57">
        <w:rPr>
          <w:rFonts w:asciiTheme="majorBidi" w:hAnsiTheme="majorBidi" w:cstheme="majorBidi"/>
          <w:sz w:val="28"/>
          <w:szCs w:val="28"/>
        </w:rPr>
        <w:t>. Maat agrees with what was stated in the report of the European Committee for the Prevention of Torture regarding the necessity of examining prisoners, including to prevent suicides and the spread of infectious diseases, as well as to record infections in a timely manner. In a related context, Maat noted that in some investigations, the police restricted the lawyer’s access to the accused and his face-to-face meeting during interrogation, which contradicts a set of provisions of the Convention against Torture, in addition to these practices conflicting with Article 14 of the International Covenant on Civil and Political Rights, which Liechtenstein ratified on 10 December 1989</w:t>
      </w:r>
      <w:r w:rsidR="00276D2A">
        <w:rPr>
          <w:rStyle w:val="FootnoteReference"/>
          <w:rFonts w:asciiTheme="majorBidi" w:hAnsiTheme="majorBidi" w:cstheme="majorBidi"/>
          <w:sz w:val="28"/>
          <w:szCs w:val="28"/>
        </w:rPr>
        <w:footnoteReference w:id="2"/>
      </w:r>
      <w:r w:rsidRPr="000B5D57">
        <w:rPr>
          <w:rFonts w:asciiTheme="majorBidi" w:hAnsiTheme="majorBidi" w:cstheme="majorBidi"/>
          <w:sz w:val="28"/>
          <w:szCs w:val="28"/>
        </w:rPr>
        <w:t>.</w:t>
      </w:r>
    </w:p>
    <w:p w14:paraId="62B32E5B" w14:textId="77777777" w:rsidR="000B5D57" w:rsidRPr="000B5D57" w:rsidRDefault="000B5D57" w:rsidP="000B5D57">
      <w:pPr>
        <w:shd w:val="clear" w:color="auto" w:fill="DEEAF6" w:themeFill="accent1" w:themeFillTint="33"/>
        <w:jc w:val="both"/>
        <w:rPr>
          <w:rFonts w:asciiTheme="majorBidi" w:hAnsiTheme="majorBidi" w:cstheme="majorBidi"/>
          <w:b/>
          <w:bCs/>
          <w:sz w:val="28"/>
          <w:szCs w:val="28"/>
        </w:rPr>
      </w:pPr>
      <w:r w:rsidRPr="000B5D57">
        <w:rPr>
          <w:rFonts w:asciiTheme="majorBidi" w:hAnsiTheme="majorBidi" w:cstheme="majorBidi"/>
          <w:b/>
          <w:bCs/>
          <w:sz w:val="28"/>
          <w:szCs w:val="28"/>
        </w:rPr>
        <w:t>Second: Forced return of refugees, with the possibility of them being subjected to torture</w:t>
      </w:r>
    </w:p>
    <w:p w14:paraId="2332C9BD" w14:textId="625CBE47" w:rsidR="000B5D57" w:rsidRDefault="000B5D57" w:rsidP="000B5D57">
      <w:pPr>
        <w:jc w:val="both"/>
        <w:rPr>
          <w:rFonts w:asciiTheme="majorBidi" w:hAnsiTheme="majorBidi" w:cstheme="majorBidi"/>
          <w:sz w:val="28"/>
          <w:szCs w:val="28"/>
        </w:rPr>
      </w:pPr>
      <w:r w:rsidRPr="000B5D57">
        <w:rPr>
          <w:rFonts w:asciiTheme="majorBidi" w:hAnsiTheme="majorBidi" w:cstheme="majorBidi"/>
          <w:sz w:val="28"/>
          <w:szCs w:val="28"/>
        </w:rPr>
        <w:t xml:space="preserve">Maat notes the developments that Liechtenstein has made in order to integrate refugees who have obtained refugee status into society. However, Maat still has concerns due to the procedures for examining asylum applications and the resulting forced return of the asylum seeker if his application is rejected, and the </w:t>
      </w:r>
      <w:r w:rsidR="00BB2414" w:rsidRPr="00BB2414">
        <w:rPr>
          <w:rFonts w:asciiTheme="majorBidi" w:hAnsiTheme="majorBidi" w:cstheme="majorBidi"/>
          <w:sz w:val="28"/>
          <w:szCs w:val="28"/>
        </w:rPr>
        <w:t>law stipulates the expulsion of a person whose asylum application is not accepted</w:t>
      </w:r>
      <w:r w:rsidR="00276D2A">
        <w:rPr>
          <w:rStyle w:val="FootnoteReference"/>
          <w:rFonts w:asciiTheme="majorBidi" w:hAnsiTheme="majorBidi" w:cstheme="majorBidi"/>
          <w:sz w:val="28"/>
          <w:szCs w:val="28"/>
        </w:rPr>
        <w:footnoteReference w:id="3"/>
      </w:r>
      <w:r w:rsidR="00BB2414" w:rsidRPr="00BB2414">
        <w:rPr>
          <w:rFonts w:asciiTheme="majorBidi" w:hAnsiTheme="majorBidi" w:cstheme="majorBidi"/>
          <w:sz w:val="28"/>
          <w:szCs w:val="28"/>
        </w:rPr>
        <w:t>.</w:t>
      </w:r>
      <w:r w:rsidR="00BB2414">
        <w:rPr>
          <w:rFonts w:asciiTheme="majorBidi" w:hAnsiTheme="majorBidi" w:cstheme="majorBidi"/>
          <w:sz w:val="28"/>
          <w:szCs w:val="28"/>
        </w:rPr>
        <w:t xml:space="preserve"> </w:t>
      </w:r>
      <w:r w:rsidRPr="000B5D57">
        <w:rPr>
          <w:rFonts w:asciiTheme="majorBidi" w:hAnsiTheme="majorBidi" w:cstheme="majorBidi"/>
          <w:sz w:val="28"/>
          <w:szCs w:val="28"/>
        </w:rPr>
        <w:t xml:space="preserve">Although there is an appeal against rejected applications before the Administrative Court, asylum seekers often lack access to justice mechanisms due to their limited financial </w:t>
      </w:r>
      <w:r w:rsidRPr="000B5D57">
        <w:rPr>
          <w:rFonts w:asciiTheme="majorBidi" w:hAnsiTheme="majorBidi" w:cstheme="majorBidi"/>
          <w:sz w:val="28"/>
          <w:szCs w:val="28"/>
        </w:rPr>
        <w:lastRenderedPageBreak/>
        <w:t>resources. However, Maat noted that in various cases legal assistance was provided to these refugees in order to file an appeal against the rejection of their asylum applications, and once A final decision on the appeal, and if the application is rejected, this requires the asylum seekers to leave the country</w:t>
      </w:r>
      <w:r w:rsidR="00C27D8D">
        <w:rPr>
          <w:rStyle w:val="FootnoteReference"/>
          <w:rFonts w:asciiTheme="majorBidi" w:hAnsiTheme="majorBidi" w:cstheme="majorBidi"/>
          <w:sz w:val="28"/>
          <w:szCs w:val="28"/>
        </w:rPr>
        <w:footnoteReference w:id="4"/>
      </w:r>
      <w:r w:rsidRPr="000B5D57">
        <w:rPr>
          <w:rFonts w:asciiTheme="majorBidi" w:hAnsiTheme="majorBidi" w:cstheme="majorBidi"/>
          <w:sz w:val="28"/>
          <w:szCs w:val="28"/>
        </w:rPr>
        <w:t xml:space="preserve">. Maat is concerned that most of the asylum applications that are rejected are submitted by individuals of nationalities with an extensive record of human rights violations, which </w:t>
      </w:r>
      <w:r w:rsidR="00BB2414" w:rsidRPr="00BB2414">
        <w:rPr>
          <w:rFonts w:asciiTheme="majorBidi" w:hAnsiTheme="majorBidi" w:cstheme="majorBidi"/>
          <w:sz w:val="28"/>
          <w:szCs w:val="28"/>
        </w:rPr>
        <w:t>means that the forced return of an asylum seeker to his country of origin may expose him to the possibility of torture, which is contrary to the text of Article Three of the Convention.</w:t>
      </w:r>
    </w:p>
    <w:p w14:paraId="0C56905F" w14:textId="77777777" w:rsidR="00BB2414" w:rsidRPr="00BB2414" w:rsidRDefault="00BB2414" w:rsidP="00BB2414">
      <w:pPr>
        <w:shd w:val="clear" w:color="auto" w:fill="DEEAF6" w:themeFill="accent1" w:themeFillTint="33"/>
        <w:jc w:val="both"/>
        <w:rPr>
          <w:rFonts w:asciiTheme="majorBidi" w:hAnsiTheme="majorBidi" w:cstheme="majorBidi"/>
          <w:b/>
          <w:bCs/>
          <w:sz w:val="28"/>
          <w:szCs w:val="28"/>
        </w:rPr>
      </w:pPr>
      <w:r w:rsidRPr="00BB2414">
        <w:rPr>
          <w:rFonts w:asciiTheme="majorBidi" w:hAnsiTheme="majorBidi" w:cstheme="majorBidi"/>
          <w:b/>
          <w:bCs/>
          <w:sz w:val="28"/>
          <w:szCs w:val="28"/>
        </w:rPr>
        <w:t>Third: Jurisdiction in crimes of torture</w:t>
      </w:r>
    </w:p>
    <w:p w14:paraId="0B2274E6" w14:textId="79612282" w:rsidR="00BB2414" w:rsidRDefault="00BB2414" w:rsidP="00BB2414">
      <w:pPr>
        <w:jc w:val="both"/>
        <w:rPr>
          <w:rFonts w:asciiTheme="majorBidi" w:hAnsiTheme="majorBidi" w:cstheme="majorBidi"/>
          <w:sz w:val="28"/>
          <w:szCs w:val="28"/>
        </w:rPr>
      </w:pPr>
      <w:r w:rsidRPr="00BB2414">
        <w:rPr>
          <w:rFonts w:asciiTheme="majorBidi" w:hAnsiTheme="majorBidi" w:cstheme="majorBidi"/>
          <w:sz w:val="28"/>
          <w:szCs w:val="28"/>
        </w:rPr>
        <w:t>Maat noted Liechtenstein's commitment to universal jurisdiction over crimes of torture. According to Article 63 of the Criminal Code, Liechtenstein's criminal law applies to crimes committed on board ships and aircraft in Liechtenstein</w:t>
      </w:r>
      <w:r w:rsidR="00C27D8D">
        <w:rPr>
          <w:rStyle w:val="FootnoteReference"/>
          <w:rFonts w:asciiTheme="majorBidi" w:hAnsiTheme="majorBidi" w:cstheme="majorBidi"/>
          <w:sz w:val="28"/>
          <w:szCs w:val="28"/>
        </w:rPr>
        <w:footnoteReference w:id="5"/>
      </w:r>
      <w:r w:rsidRPr="00BB2414">
        <w:rPr>
          <w:rFonts w:asciiTheme="majorBidi" w:hAnsiTheme="majorBidi" w:cstheme="majorBidi"/>
          <w:sz w:val="28"/>
          <w:szCs w:val="28"/>
        </w:rPr>
        <w:t>, regardless of their location; The first paragraph of Article 64 of the Criminal Code stipulates that the law shall be applied to officials in Liechtenstein who committed these crimes abroad</w:t>
      </w:r>
      <w:r w:rsidR="00C27D8D">
        <w:rPr>
          <w:rStyle w:val="FootnoteReference"/>
          <w:rFonts w:asciiTheme="majorBidi" w:hAnsiTheme="majorBidi" w:cstheme="majorBidi"/>
          <w:sz w:val="28"/>
          <w:szCs w:val="28"/>
        </w:rPr>
        <w:footnoteReference w:id="6"/>
      </w:r>
      <w:r w:rsidRPr="00BB2414">
        <w:rPr>
          <w:rFonts w:asciiTheme="majorBidi" w:hAnsiTheme="majorBidi" w:cstheme="majorBidi"/>
          <w:sz w:val="28"/>
          <w:szCs w:val="28"/>
        </w:rPr>
        <w:t>, regardless of the criminal laws of the state in which the crime was committed. However, Maat has concerns about the lack of information or international cooperation offices specialized for this purpose in order to facilitate the process of compliance with Article 5 of the Convention against Torture, similar to the rest of the regional experiences neighboring the state of Liechtenstein.</w:t>
      </w:r>
    </w:p>
    <w:p w14:paraId="1123735B" w14:textId="77777777" w:rsidR="00BB2414" w:rsidRPr="00BB2414" w:rsidRDefault="00BB2414" w:rsidP="00BB2414">
      <w:pPr>
        <w:shd w:val="clear" w:color="auto" w:fill="DEEAF6" w:themeFill="accent1" w:themeFillTint="33"/>
        <w:jc w:val="both"/>
        <w:rPr>
          <w:rFonts w:asciiTheme="majorBidi" w:hAnsiTheme="majorBidi" w:cstheme="majorBidi"/>
          <w:b/>
          <w:bCs/>
          <w:sz w:val="28"/>
          <w:szCs w:val="28"/>
        </w:rPr>
      </w:pPr>
      <w:r w:rsidRPr="00BB2414">
        <w:rPr>
          <w:rFonts w:asciiTheme="majorBidi" w:hAnsiTheme="majorBidi" w:cstheme="majorBidi"/>
          <w:b/>
          <w:bCs/>
          <w:sz w:val="28"/>
          <w:szCs w:val="28"/>
        </w:rPr>
        <w:t>Fourth: Education and training to combat torture</w:t>
      </w:r>
    </w:p>
    <w:p w14:paraId="32AC0382" w14:textId="355A6CAA" w:rsidR="00BB2414" w:rsidRDefault="00BB2414" w:rsidP="00BB2414">
      <w:pPr>
        <w:jc w:val="both"/>
        <w:rPr>
          <w:rFonts w:asciiTheme="majorBidi" w:hAnsiTheme="majorBidi" w:cstheme="majorBidi"/>
          <w:sz w:val="28"/>
          <w:szCs w:val="28"/>
        </w:rPr>
      </w:pPr>
      <w:r w:rsidRPr="00BB2414">
        <w:rPr>
          <w:rFonts w:asciiTheme="majorBidi" w:hAnsiTheme="majorBidi" w:cstheme="majorBidi"/>
          <w:sz w:val="28"/>
          <w:szCs w:val="28"/>
        </w:rPr>
        <w:t xml:space="preserve">In the list of issues submitted by Liechtenstein, the Committee requested information on the training provided to law enforcement officials and other public officials involved in working with persons deprived of their liberty, asylum seekers and migrants on the prohibition of torture. Maat noted that all correctional staff at the Liechtenstein National Prison receive training Correctional staff in Switzerland training includes, inter alia, the criminal provisions relating to detention. Harm or </w:t>
      </w:r>
      <w:r w:rsidRPr="00BB2414">
        <w:rPr>
          <w:rFonts w:asciiTheme="majorBidi" w:hAnsiTheme="majorBidi" w:cstheme="majorBidi"/>
          <w:sz w:val="28"/>
          <w:szCs w:val="28"/>
        </w:rPr>
        <w:lastRenderedPageBreak/>
        <w:t>neglect of a prisoner, torture and forced disappearance of a person, as well as all crimes during the exploitation of an official position, abuse of position, etc., are punishable by law</w:t>
      </w:r>
      <w:r w:rsidR="00C27D8D">
        <w:rPr>
          <w:rStyle w:val="FootnoteReference"/>
          <w:rFonts w:asciiTheme="majorBidi" w:hAnsiTheme="majorBidi" w:cstheme="majorBidi"/>
          <w:sz w:val="28"/>
          <w:szCs w:val="28"/>
        </w:rPr>
        <w:footnoteReference w:id="7"/>
      </w:r>
      <w:r w:rsidRPr="00BB2414">
        <w:rPr>
          <w:rFonts w:asciiTheme="majorBidi" w:hAnsiTheme="majorBidi" w:cstheme="majorBidi"/>
          <w:sz w:val="28"/>
          <w:szCs w:val="28"/>
        </w:rPr>
        <w:t>,</w:t>
      </w:r>
      <w:r>
        <w:rPr>
          <w:rFonts w:asciiTheme="majorBidi" w:hAnsiTheme="majorBidi" w:cstheme="majorBidi"/>
          <w:sz w:val="28"/>
          <w:szCs w:val="28"/>
        </w:rPr>
        <w:t xml:space="preserve"> </w:t>
      </w:r>
      <w:r w:rsidRPr="00BB2414">
        <w:rPr>
          <w:rFonts w:asciiTheme="majorBidi" w:hAnsiTheme="majorBidi" w:cstheme="majorBidi"/>
          <w:sz w:val="28"/>
          <w:szCs w:val="28"/>
        </w:rPr>
        <w:t xml:space="preserve">However, Maat remains concerned that the Government of Liechtenstein does not use the Manual on the Effective Investigation and Documentation of Torture and Other Cruel, Inhuman or Degrading Treatment or Punishment known as the Istanbul Protocol in training </w:t>
      </w:r>
      <w:proofErr w:type="spellStart"/>
      <w:r w:rsidRPr="00BB2414">
        <w:rPr>
          <w:rFonts w:asciiTheme="majorBidi" w:hAnsiTheme="majorBidi" w:cstheme="majorBidi"/>
          <w:sz w:val="28"/>
          <w:szCs w:val="28"/>
        </w:rPr>
        <w:t>programmes</w:t>
      </w:r>
      <w:proofErr w:type="spellEnd"/>
      <w:r w:rsidRPr="00BB2414">
        <w:rPr>
          <w:rFonts w:asciiTheme="majorBidi" w:hAnsiTheme="majorBidi" w:cstheme="majorBidi"/>
          <w:sz w:val="28"/>
          <w:szCs w:val="28"/>
        </w:rPr>
        <w:t>, specifically for all medical professionals, law enforcement officials and judges</w:t>
      </w:r>
      <w:r>
        <w:rPr>
          <w:rFonts w:asciiTheme="majorBidi" w:hAnsiTheme="majorBidi" w:cstheme="majorBidi"/>
          <w:sz w:val="28"/>
          <w:szCs w:val="28"/>
        </w:rPr>
        <w:t xml:space="preserve"> </w:t>
      </w:r>
      <w:r w:rsidRPr="00BB2414">
        <w:rPr>
          <w:rFonts w:asciiTheme="majorBidi" w:hAnsiTheme="majorBidi" w:cstheme="majorBidi"/>
          <w:sz w:val="28"/>
          <w:szCs w:val="28"/>
        </w:rPr>
        <w:t>and lawyers and prosecutors, as contained in the list of issues submitted by the Committee</w:t>
      </w:r>
      <w:r w:rsidR="00C27D8D">
        <w:rPr>
          <w:rStyle w:val="FootnoteReference"/>
          <w:rFonts w:asciiTheme="majorBidi" w:hAnsiTheme="majorBidi" w:cstheme="majorBidi"/>
          <w:sz w:val="28"/>
          <w:szCs w:val="28"/>
        </w:rPr>
        <w:footnoteReference w:id="8"/>
      </w:r>
      <w:r w:rsidRPr="00BB2414">
        <w:rPr>
          <w:rFonts w:asciiTheme="majorBidi" w:hAnsiTheme="majorBidi" w:cstheme="majorBidi"/>
          <w:sz w:val="28"/>
          <w:szCs w:val="28"/>
        </w:rPr>
        <w:t xml:space="preserve"> and in the Committee’s concluding observations.</w:t>
      </w:r>
    </w:p>
    <w:p w14:paraId="04B247F1" w14:textId="77777777" w:rsidR="00276D2A" w:rsidRPr="00276D2A" w:rsidRDefault="00276D2A" w:rsidP="00276D2A">
      <w:pPr>
        <w:shd w:val="clear" w:color="auto" w:fill="DEEAF6" w:themeFill="accent1" w:themeFillTint="33"/>
        <w:jc w:val="both"/>
        <w:rPr>
          <w:rFonts w:asciiTheme="majorBidi" w:hAnsiTheme="majorBidi" w:cstheme="majorBidi"/>
          <w:b/>
          <w:bCs/>
          <w:sz w:val="28"/>
          <w:szCs w:val="28"/>
        </w:rPr>
      </w:pPr>
      <w:r w:rsidRPr="00276D2A">
        <w:rPr>
          <w:rFonts w:asciiTheme="majorBidi" w:hAnsiTheme="majorBidi" w:cstheme="majorBidi"/>
          <w:b/>
          <w:bCs/>
          <w:sz w:val="28"/>
          <w:szCs w:val="28"/>
        </w:rPr>
        <w:t>Fifth: The National Mechanism to Prevent Torture</w:t>
      </w:r>
    </w:p>
    <w:p w14:paraId="467E907D" w14:textId="32C83F4C" w:rsidR="00276D2A" w:rsidRPr="00276D2A" w:rsidRDefault="00276D2A" w:rsidP="00276D2A">
      <w:pPr>
        <w:jc w:val="both"/>
        <w:rPr>
          <w:rFonts w:asciiTheme="majorBidi" w:hAnsiTheme="majorBidi" w:cstheme="majorBidi"/>
          <w:sz w:val="28"/>
          <w:szCs w:val="28"/>
        </w:rPr>
      </w:pPr>
      <w:r w:rsidRPr="00276D2A">
        <w:rPr>
          <w:rFonts w:asciiTheme="majorBidi" w:hAnsiTheme="majorBidi" w:cstheme="majorBidi"/>
          <w:sz w:val="28"/>
          <w:szCs w:val="28"/>
        </w:rPr>
        <w:t>Liechtenstein ratified the Optional Protocol to the Convention against Torture and Other Cruel, Inhuman or Degrading Treatment or Punishment on 18 December 2002 and the Optional Protocol entered into force for Liechtenstein on 3 December 2006</w:t>
      </w:r>
      <w:r w:rsidR="00C27D8D">
        <w:rPr>
          <w:rStyle w:val="FootnoteReference"/>
          <w:rFonts w:asciiTheme="majorBidi" w:hAnsiTheme="majorBidi" w:cstheme="majorBidi"/>
          <w:sz w:val="28"/>
          <w:szCs w:val="28"/>
        </w:rPr>
        <w:footnoteReference w:id="9"/>
      </w:r>
      <w:r w:rsidRPr="00276D2A">
        <w:rPr>
          <w:rFonts w:asciiTheme="majorBidi" w:hAnsiTheme="majorBidi" w:cstheme="majorBidi"/>
          <w:sz w:val="28"/>
          <w:szCs w:val="28"/>
        </w:rPr>
        <w:t>. The Corrections and Prisons Committee is the national mechanism for the prevention of torture in Liechtenstein and operates Pursuant to two mandates, it functions as a correctional body in accordance with the Execution of Sentences Act, including visits to penal institutions, and also assumes the function of the National Preventive Mechanism</w:t>
      </w:r>
      <w:r w:rsidR="00050597">
        <w:rPr>
          <w:rStyle w:val="FootnoteReference"/>
          <w:rFonts w:asciiTheme="majorBidi" w:hAnsiTheme="majorBidi" w:cstheme="majorBidi"/>
          <w:sz w:val="28"/>
          <w:szCs w:val="28"/>
        </w:rPr>
        <w:footnoteReference w:id="10"/>
      </w:r>
      <w:r w:rsidRPr="00276D2A">
        <w:rPr>
          <w:rFonts w:asciiTheme="majorBidi" w:hAnsiTheme="majorBidi" w:cstheme="majorBidi"/>
          <w:sz w:val="28"/>
          <w:szCs w:val="28"/>
        </w:rPr>
        <w:t xml:space="preserve"> pursuant to the ratification of the Optional Protocol to the Convention against Torture.</w:t>
      </w:r>
    </w:p>
    <w:p w14:paraId="6F504F58" w14:textId="5B77D466" w:rsidR="00BB2414" w:rsidRDefault="00276D2A" w:rsidP="00276D2A">
      <w:pPr>
        <w:jc w:val="both"/>
        <w:rPr>
          <w:rFonts w:asciiTheme="majorBidi" w:hAnsiTheme="majorBidi" w:cstheme="majorBidi"/>
          <w:sz w:val="28"/>
          <w:szCs w:val="28"/>
        </w:rPr>
      </w:pPr>
      <w:r w:rsidRPr="00276D2A">
        <w:rPr>
          <w:rFonts w:asciiTheme="majorBidi" w:hAnsiTheme="majorBidi" w:cstheme="majorBidi"/>
          <w:sz w:val="28"/>
          <w:szCs w:val="28"/>
        </w:rPr>
        <w:t xml:space="preserve">Every three months, the committee must visit the national prison once without coordination with the police or government institutions. After each visit, the committee notifies the government in writing within 14 days. However, Maat has concerns because the committee did not carry out four visits during the year 2023. Also, during the Corona virus epidemic, the Corrections Committee did not conduct visits without prior notification, and the visits remained linked to coordination with </w:t>
      </w:r>
      <w:r w:rsidRPr="00276D2A">
        <w:rPr>
          <w:rFonts w:asciiTheme="majorBidi" w:hAnsiTheme="majorBidi" w:cstheme="majorBidi"/>
          <w:sz w:val="28"/>
          <w:szCs w:val="28"/>
        </w:rPr>
        <w:lastRenderedPageBreak/>
        <w:t>the government</w:t>
      </w:r>
      <w:r w:rsidR="00050597">
        <w:rPr>
          <w:rStyle w:val="FootnoteReference"/>
          <w:rFonts w:asciiTheme="majorBidi" w:hAnsiTheme="majorBidi" w:cstheme="majorBidi"/>
          <w:sz w:val="28"/>
          <w:szCs w:val="28"/>
        </w:rPr>
        <w:footnoteReference w:id="11"/>
      </w:r>
      <w:r w:rsidRPr="00276D2A">
        <w:rPr>
          <w:rFonts w:asciiTheme="majorBidi" w:hAnsiTheme="majorBidi" w:cstheme="majorBidi"/>
          <w:sz w:val="28"/>
          <w:szCs w:val="28"/>
        </w:rPr>
        <w:t>. Maat also notes that the five members of the committee are appointed by the government, which may skew the independence of the committee. In a related context, Maat would like to point out that the official website of the Corrections Committee does not contain updated statistics, which creates difficulties in following up on the committee’s statistics on the Internet</w:t>
      </w:r>
      <w:r w:rsidR="00050597">
        <w:rPr>
          <w:rStyle w:val="FootnoteReference"/>
          <w:rFonts w:asciiTheme="majorBidi" w:hAnsiTheme="majorBidi" w:cstheme="majorBidi"/>
          <w:sz w:val="28"/>
          <w:szCs w:val="28"/>
        </w:rPr>
        <w:footnoteReference w:id="12"/>
      </w:r>
      <w:r w:rsidRPr="00276D2A">
        <w:rPr>
          <w:rFonts w:asciiTheme="majorBidi" w:hAnsiTheme="majorBidi" w:cstheme="majorBidi"/>
          <w:sz w:val="28"/>
          <w:szCs w:val="28"/>
        </w:rPr>
        <w:t>.</w:t>
      </w:r>
    </w:p>
    <w:p w14:paraId="4CC212D7" w14:textId="77777777" w:rsidR="00276D2A" w:rsidRPr="00276D2A" w:rsidRDefault="00276D2A" w:rsidP="00276D2A">
      <w:pPr>
        <w:shd w:val="clear" w:color="auto" w:fill="DEEAF6" w:themeFill="accent1" w:themeFillTint="33"/>
        <w:jc w:val="both"/>
        <w:rPr>
          <w:rFonts w:asciiTheme="majorBidi" w:hAnsiTheme="majorBidi" w:cstheme="majorBidi"/>
          <w:b/>
          <w:bCs/>
          <w:sz w:val="28"/>
          <w:szCs w:val="28"/>
        </w:rPr>
      </w:pPr>
      <w:r w:rsidRPr="00276D2A">
        <w:rPr>
          <w:rFonts w:asciiTheme="majorBidi" w:hAnsiTheme="majorBidi" w:cstheme="majorBidi"/>
          <w:b/>
          <w:bCs/>
          <w:sz w:val="28"/>
          <w:szCs w:val="28"/>
        </w:rPr>
        <w:t>Sixth: Combating human trafficking</w:t>
      </w:r>
    </w:p>
    <w:p w14:paraId="4C59A29D" w14:textId="1D202BB4" w:rsidR="00276D2A" w:rsidRDefault="00276D2A" w:rsidP="00276D2A">
      <w:pPr>
        <w:jc w:val="both"/>
        <w:rPr>
          <w:rFonts w:asciiTheme="majorBidi" w:hAnsiTheme="majorBidi" w:cstheme="majorBidi"/>
          <w:sz w:val="28"/>
          <w:szCs w:val="28"/>
        </w:rPr>
      </w:pPr>
      <w:r w:rsidRPr="00276D2A">
        <w:rPr>
          <w:rFonts w:asciiTheme="majorBidi" w:hAnsiTheme="majorBidi" w:cstheme="majorBidi"/>
          <w:sz w:val="28"/>
          <w:szCs w:val="28"/>
        </w:rPr>
        <w:t>The Committee requested the provision of comprehensive statistical data, disaggregated by age, gender, ethnic or national origin, and place of detention, regarding complaints, investigations, and prosecutions of torture and human trafficking practices</w:t>
      </w:r>
      <w:r w:rsidR="00050597">
        <w:rPr>
          <w:rStyle w:val="FootnoteReference"/>
          <w:rFonts w:asciiTheme="majorBidi" w:hAnsiTheme="majorBidi" w:cstheme="majorBidi"/>
          <w:sz w:val="28"/>
          <w:szCs w:val="28"/>
        </w:rPr>
        <w:footnoteReference w:id="13"/>
      </w:r>
      <w:r w:rsidRPr="00276D2A">
        <w:rPr>
          <w:rFonts w:asciiTheme="majorBidi" w:hAnsiTheme="majorBidi" w:cstheme="majorBidi"/>
          <w:sz w:val="28"/>
          <w:szCs w:val="28"/>
        </w:rPr>
        <w:t>. Maat reviewed the efforts undertaken by the state and included in the national report regarding combating human trafficking, including training programs for police personnel that cover the topics of human trafficking and gender-based violence. Along with the positive practice of assessing the situation of women and girls who have become victims of trafficking and who meet the conditions for recognition as refugees under the 1951 Convention relating to the Status of Refugees, are recognized as refugees in Liechtenstein and are granted asylum. However, Maat notes the limited statistics contained in the country’s national report regarding discovered cases of human trafficking, which represent only three cases since 2014. It is worth noting that the Council of Europe’s expert group on measures to combat human trafficking conducted an assessment visit to Liechtenstein from March 5 to 7. 2024 as part of the third evaluation round of the Convention on Action against Trafficking in Human Beings. The evaluation focused on access to justice and effective remedies for victims of human trafficking</w:t>
      </w:r>
      <w:r w:rsidR="00050597">
        <w:rPr>
          <w:rStyle w:val="FootnoteReference"/>
          <w:rFonts w:asciiTheme="majorBidi" w:hAnsiTheme="majorBidi" w:cstheme="majorBidi"/>
          <w:sz w:val="28"/>
          <w:szCs w:val="28"/>
        </w:rPr>
        <w:footnoteReference w:id="14"/>
      </w:r>
      <w:r w:rsidRPr="00276D2A">
        <w:rPr>
          <w:rFonts w:asciiTheme="majorBidi" w:hAnsiTheme="majorBidi" w:cstheme="majorBidi"/>
          <w:sz w:val="28"/>
          <w:szCs w:val="28"/>
        </w:rPr>
        <w:t xml:space="preserve">. In a related context, despite the positive initiative launched by the state regarding combating human trafficking and modern slavery, the results that this initiative led </w:t>
      </w:r>
      <w:r w:rsidRPr="00276D2A">
        <w:rPr>
          <w:rFonts w:asciiTheme="majorBidi" w:hAnsiTheme="majorBidi" w:cstheme="majorBidi"/>
          <w:sz w:val="28"/>
          <w:szCs w:val="28"/>
        </w:rPr>
        <w:lastRenderedPageBreak/>
        <w:t>to and the number of beneficiaries from it were not available, and it is unclear the impact of this initiative on potential victims of human trafficking</w:t>
      </w:r>
      <w:r w:rsidR="00050597">
        <w:rPr>
          <w:rStyle w:val="FootnoteReference"/>
          <w:rFonts w:asciiTheme="majorBidi" w:hAnsiTheme="majorBidi" w:cstheme="majorBidi"/>
          <w:sz w:val="28"/>
          <w:szCs w:val="28"/>
        </w:rPr>
        <w:footnoteReference w:id="15"/>
      </w:r>
      <w:r w:rsidRPr="00276D2A">
        <w:rPr>
          <w:rFonts w:asciiTheme="majorBidi" w:hAnsiTheme="majorBidi" w:cstheme="majorBidi"/>
          <w:sz w:val="28"/>
          <w:szCs w:val="28"/>
        </w:rPr>
        <w:t>.</w:t>
      </w:r>
    </w:p>
    <w:p w14:paraId="4FC9EA1B" w14:textId="45A0FFA9" w:rsidR="00276D2A" w:rsidRPr="00276D2A" w:rsidRDefault="00276D2A" w:rsidP="00276D2A">
      <w:pPr>
        <w:shd w:val="clear" w:color="auto" w:fill="DEEAF6" w:themeFill="accent1" w:themeFillTint="33"/>
        <w:jc w:val="both"/>
        <w:rPr>
          <w:rFonts w:asciiTheme="majorBidi" w:hAnsiTheme="majorBidi" w:cstheme="majorBidi"/>
          <w:b/>
          <w:bCs/>
          <w:sz w:val="28"/>
          <w:szCs w:val="28"/>
        </w:rPr>
      </w:pPr>
      <w:r w:rsidRPr="00276D2A">
        <w:rPr>
          <w:rFonts w:asciiTheme="majorBidi" w:hAnsiTheme="majorBidi" w:cstheme="majorBidi"/>
          <w:b/>
          <w:bCs/>
          <w:sz w:val="28"/>
          <w:szCs w:val="28"/>
        </w:rPr>
        <w:t>Recommendations</w:t>
      </w:r>
    </w:p>
    <w:p w14:paraId="25C03914" w14:textId="2670F14C" w:rsidR="00276D2A" w:rsidRPr="00276D2A" w:rsidRDefault="00276D2A" w:rsidP="00276D2A">
      <w:pPr>
        <w:jc w:val="both"/>
        <w:rPr>
          <w:rFonts w:asciiTheme="majorBidi" w:hAnsiTheme="majorBidi" w:cstheme="majorBidi"/>
          <w:b/>
          <w:bCs/>
          <w:sz w:val="28"/>
          <w:szCs w:val="28"/>
        </w:rPr>
      </w:pPr>
      <w:r w:rsidRPr="00276D2A">
        <w:rPr>
          <w:rFonts w:asciiTheme="majorBidi" w:hAnsiTheme="majorBidi" w:cstheme="majorBidi"/>
          <w:b/>
          <w:bCs/>
          <w:sz w:val="28"/>
          <w:szCs w:val="28"/>
        </w:rPr>
        <w:t>Maat for Peace, Development and Human Rights recommends the following:</w:t>
      </w:r>
    </w:p>
    <w:p w14:paraId="5A5A7826" w14:textId="77777777" w:rsidR="00276D2A" w:rsidRPr="00276D2A" w:rsidRDefault="00276D2A" w:rsidP="00276D2A">
      <w:pPr>
        <w:pStyle w:val="ListParagraph"/>
        <w:numPr>
          <w:ilvl w:val="0"/>
          <w:numId w:val="27"/>
        </w:numPr>
        <w:jc w:val="both"/>
        <w:rPr>
          <w:rFonts w:asciiTheme="majorBidi" w:hAnsiTheme="majorBidi" w:cstheme="majorBidi"/>
          <w:sz w:val="28"/>
          <w:szCs w:val="28"/>
        </w:rPr>
      </w:pPr>
      <w:r w:rsidRPr="00276D2A">
        <w:rPr>
          <w:rFonts w:asciiTheme="majorBidi" w:hAnsiTheme="majorBidi" w:cstheme="majorBidi"/>
          <w:sz w:val="28"/>
          <w:szCs w:val="28"/>
        </w:rPr>
        <w:t>Consider giving more independence to the Corrections and Prisons Committee as it works as a national mechanism to prevent torture in the country.</w:t>
      </w:r>
    </w:p>
    <w:p w14:paraId="5BC0395F" w14:textId="77777777" w:rsidR="00276D2A" w:rsidRPr="00276D2A" w:rsidRDefault="00276D2A" w:rsidP="00276D2A">
      <w:pPr>
        <w:pStyle w:val="ListParagraph"/>
        <w:numPr>
          <w:ilvl w:val="0"/>
          <w:numId w:val="27"/>
        </w:numPr>
        <w:jc w:val="both"/>
        <w:rPr>
          <w:rFonts w:asciiTheme="majorBidi" w:hAnsiTheme="majorBidi" w:cstheme="majorBidi"/>
          <w:sz w:val="28"/>
          <w:szCs w:val="28"/>
        </w:rPr>
      </w:pPr>
      <w:r w:rsidRPr="00276D2A">
        <w:rPr>
          <w:rFonts w:asciiTheme="majorBidi" w:hAnsiTheme="majorBidi" w:cstheme="majorBidi"/>
          <w:sz w:val="28"/>
          <w:szCs w:val="28"/>
        </w:rPr>
        <w:t>Consider abolishing the practice of forcibly returning asylum seekers whose asylum claims have been rejected;</w:t>
      </w:r>
    </w:p>
    <w:p w14:paraId="7865DD1B" w14:textId="77777777" w:rsidR="00276D2A" w:rsidRPr="00276D2A" w:rsidRDefault="00276D2A" w:rsidP="00276D2A">
      <w:pPr>
        <w:pStyle w:val="ListParagraph"/>
        <w:numPr>
          <w:ilvl w:val="0"/>
          <w:numId w:val="27"/>
        </w:numPr>
        <w:jc w:val="both"/>
        <w:rPr>
          <w:rFonts w:asciiTheme="majorBidi" w:hAnsiTheme="majorBidi" w:cstheme="majorBidi"/>
          <w:sz w:val="28"/>
          <w:szCs w:val="28"/>
        </w:rPr>
      </w:pPr>
      <w:r w:rsidRPr="00276D2A">
        <w:rPr>
          <w:rFonts w:asciiTheme="majorBidi" w:hAnsiTheme="majorBidi" w:cstheme="majorBidi"/>
          <w:sz w:val="28"/>
          <w:szCs w:val="28"/>
        </w:rPr>
        <w:t>Ensure that victims of human trafficking have access to prompt justice and effective remedies;</w:t>
      </w:r>
    </w:p>
    <w:p w14:paraId="76E04EB7" w14:textId="77777777" w:rsidR="00276D2A" w:rsidRPr="00276D2A" w:rsidRDefault="00276D2A" w:rsidP="00276D2A">
      <w:pPr>
        <w:pStyle w:val="ListParagraph"/>
        <w:numPr>
          <w:ilvl w:val="0"/>
          <w:numId w:val="27"/>
        </w:numPr>
        <w:jc w:val="both"/>
        <w:rPr>
          <w:rFonts w:asciiTheme="majorBidi" w:hAnsiTheme="majorBidi" w:cstheme="majorBidi"/>
          <w:sz w:val="28"/>
          <w:szCs w:val="28"/>
        </w:rPr>
      </w:pPr>
      <w:r w:rsidRPr="00276D2A">
        <w:rPr>
          <w:rFonts w:asciiTheme="majorBidi" w:hAnsiTheme="majorBidi" w:cstheme="majorBidi"/>
          <w:sz w:val="28"/>
          <w:szCs w:val="28"/>
        </w:rPr>
        <w:t>Consider updating information on victims of human trafficking in countries disaggregated by sex and age;</w:t>
      </w:r>
    </w:p>
    <w:p w14:paraId="1638B0B4" w14:textId="77777777" w:rsidR="00276D2A" w:rsidRPr="00276D2A" w:rsidRDefault="00276D2A" w:rsidP="00276D2A">
      <w:pPr>
        <w:pStyle w:val="ListParagraph"/>
        <w:numPr>
          <w:ilvl w:val="0"/>
          <w:numId w:val="27"/>
        </w:numPr>
        <w:jc w:val="both"/>
        <w:rPr>
          <w:rFonts w:asciiTheme="majorBidi" w:hAnsiTheme="majorBidi" w:cstheme="majorBidi"/>
          <w:sz w:val="28"/>
          <w:szCs w:val="28"/>
        </w:rPr>
      </w:pPr>
      <w:r w:rsidRPr="00276D2A">
        <w:rPr>
          <w:rFonts w:asciiTheme="majorBidi" w:hAnsiTheme="majorBidi" w:cstheme="majorBidi"/>
          <w:sz w:val="28"/>
          <w:szCs w:val="28"/>
        </w:rPr>
        <w:t>Ensure that all persons admitted to state prison are examined by a physician or qualified nurse affiliated with a physician, within 24 hours of their admission.</w:t>
      </w:r>
    </w:p>
    <w:p w14:paraId="17DFA45D" w14:textId="77777777" w:rsidR="00276D2A" w:rsidRPr="00276D2A" w:rsidRDefault="00276D2A" w:rsidP="00276D2A">
      <w:pPr>
        <w:pStyle w:val="ListParagraph"/>
        <w:numPr>
          <w:ilvl w:val="0"/>
          <w:numId w:val="27"/>
        </w:numPr>
        <w:jc w:val="both"/>
        <w:rPr>
          <w:rFonts w:asciiTheme="majorBidi" w:hAnsiTheme="majorBidi" w:cstheme="majorBidi"/>
          <w:sz w:val="28"/>
          <w:szCs w:val="28"/>
        </w:rPr>
      </w:pPr>
      <w:r w:rsidRPr="00276D2A">
        <w:rPr>
          <w:rFonts w:asciiTheme="majorBidi" w:hAnsiTheme="majorBidi" w:cstheme="majorBidi"/>
          <w:sz w:val="28"/>
          <w:szCs w:val="28"/>
        </w:rPr>
        <w:t>Urging the state to provide adequate resources to the Corrections Commission in order to carry out its tasks optimally and to update the Commission’s website;</w:t>
      </w:r>
    </w:p>
    <w:p w14:paraId="28270BD9" w14:textId="0445645B" w:rsidR="00276D2A" w:rsidRPr="00276D2A" w:rsidRDefault="00276D2A" w:rsidP="00276D2A">
      <w:pPr>
        <w:pStyle w:val="ListParagraph"/>
        <w:numPr>
          <w:ilvl w:val="0"/>
          <w:numId w:val="27"/>
        </w:numPr>
        <w:jc w:val="both"/>
        <w:rPr>
          <w:rFonts w:asciiTheme="majorBidi" w:hAnsiTheme="majorBidi" w:cstheme="majorBidi"/>
          <w:sz w:val="28"/>
          <w:szCs w:val="28"/>
          <w:rtl/>
        </w:rPr>
      </w:pPr>
      <w:r w:rsidRPr="00276D2A">
        <w:rPr>
          <w:rFonts w:asciiTheme="majorBidi" w:hAnsiTheme="majorBidi" w:cstheme="majorBidi"/>
          <w:sz w:val="28"/>
          <w:szCs w:val="28"/>
        </w:rPr>
        <w:t xml:space="preserve">Integrate the Manual on the Effective Investigation and Documentation of Torture and Other Cruel, Inhuman or Degrading Treatment or Punishment into all training </w:t>
      </w:r>
      <w:proofErr w:type="spellStart"/>
      <w:r w:rsidRPr="00276D2A">
        <w:rPr>
          <w:rFonts w:asciiTheme="majorBidi" w:hAnsiTheme="majorBidi" w:cstheme="majorBidi"/>
          <w:sz w:val="28"/>
          <w:szCs w:val="28"/>
        </w:rPr>
        <w:t>programmes</w:t>
      </w:r>
      <w:proofErr w:type="spellEnd"/>
      <w:r>
        <w:rPr>
          <w:rFonts w:asciiTheme="majorBidi" w:hAnsiTheme="majorBidi" w:cstheme="majorBidi"/>
          <w:sz w:val="28"/>
          <w:szCs w:val="28"/>
        </w:rPr>
        <w:t>.</w:t>
      </w:r>
    </w:p>
    <w:sectPr w:rsidR="00276D2A" w:rsidRPr="00276D2A" w:rsidSect="006372D7">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9B2CE2" w14:textId="77777777" w:rsidR="006372D7" w:rsidRDefault="006372D7" w:rsidP="004F6D5A">
      <w:pPr>
        <w:spacing w:after="0" w:line="240" w:lineRule="auto"/>
      </w:pPr>
      <w:r>
        <w:separator/>
      </w:r>
    </w:p>
  </w:endnote>
  <w:endnote w:type="continuationSeparator" w:id="0">
    <w:p w14:paraId="2DAA5EF2" w14:textId="77777777" w:rsidR="006372D7" w:rsidRDefault="006372D7"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D1120" w14:textId="77777777" w:rsidR="006372D7" w:rsidRDefault="006372D7" w:rsidP="004F6D5A">
      <w:pPr>
        <w:spacing w:after="0" w:line="240" w:lineRule="auto"/>
      </w:pPr>
      <w:r>
        <w:separator/>
      </w:r>
    </w:p>
  </w:footnote>
  <w:footnote w:type="continuationSeparator" w:id="0">
    <w:p w14:paraId="2FDD96AB" w14:textId="77777777" w:rsidR="006372D7" w:rsidRDefault="006372D7" w:rsidP="004F6D5A">
      <w:pPr>
        <w:spacing w:after="0" w:line="240" w:lineRule="auto"/>
      </w:pPr>
      <w:r>
        <w:continuationSeparator/>
      </w:r>
    </w:p>
  </w:footnote>
  <w:footnote w:id="1">
    <w:p w14:paraId="680ACBE8" w14:textId="0A45418D" w:rsidR="00276D2A" w:rsidRDefault="00276D2A">
      <w:pPr>
        <w:pStyle w:val="FootnoteText"/>
      </w:pPr>
      <w:r>
        <w:rPr>
          <w:rStyle w:val="FootnoteReference"/>
        </w:rPr>
        <w:footnoteRef/>
      </w:r>
      <w:r>
        <w:t xml:space="preserve"> </w:t>
      </w:r>
      <w:r>
        <w:rPr>
          <w:color w:val="000000"/>
        </w:rPr>
        <w:t>T</w:t>
      </w:r>
      <w:r>
        <w:rPr>
          <w:rFonts w:ascii="Calibri" w:eastAsia="Calibri" w:hAnsi="Calibri" w:cs="Calibri"/>
          <w:color w:val="000000"/>
        </w:rPr>
        <w:t xml:space="preserve">o the Government of the Principality of Liechtenstein on the visit to Liechtenstein carried out by the European Committee for the Prevention of Torture and Inhuman or Degrading Treatment or Punishment (CPT), Page 6, </w:t>
      </w:r>
      <w:hyperlink r:id="rId1">
        <w:r>
          <w:rPr>
            <w:rFonts w:ascii="Calibri" w:eastAsia="Calibri" w:hAnsi="Calibri" w:cs="Calibri"/>
            <w:color w:val="0563C1"/>
            <w:u w:val="single"/>
          </w:rPr>
          <w:t>https://rm.coe.int/pdf/168073d17b</w:t>
        </w:r>
      </w:hyperlink>
    </w:p>
  </w:footnote>
  <w:footnote w:id="2">
    <w:p w14:paraId="4E884524" w14:textId="28C7A9A7" w:rsidR="00276D2A" w:rsidRDefault="00276D2A">
      <w:pPr>
        <w:pStyle w:val="FootnoteText"/>
      </w:pPr>
      <w:r>
        <w:rPr>
          <w:rStyle w:val="FootnoteReference"/>
        </w:rPr>
        <w:footnoteRef/>
      </w:r>
      <w:r>
        <w:t xml:space="preserve"> </w:t>
      </w:r>
      <w:r>
        <w:rPr>
          <w:rFonts w:ascii="Calibri" w:eastAsia="Calibri" w:hAnsi="Calibri" w:cs="Calibri"/>
          <w:color w:val="000000"/>
        </w:rPr>
        <w:t xml:space="preserve">Ratification, Reporting &amp; Documentation for Liechtenstein,  </w:t>
      </w:r>
      <w:hyperlink r:id="rId2">
        <w:r>
          <w:rPr>
            <w:rFonts w:ascii="Calibri" w:eastAsia="Calibri" w:hAnsi="Calibri" w:cs="Calibri"/>
            <w:color w:val="0563C1"/>
            <w:u w:val="single"/>
          </w:rPr>
          <w:t>https://tbinternet.ohchr.org/_layouts/15/TreatyBodyExternal/Countries.aspx</w:t>
        </w:r>
      </w:hyperlink>
    </w:p>
  </w:footnote>
  <w:footnote w:id="3">
    <w:p w14:paraId="14975C91" w14:textId="4C48330A" w:rsidR="00276D2A" w:rsidRDefault="00276D2A">
      <w:pPr>
        <w:pStyle w:val="FootnoteText"/>
      </w:pPr>
      <w:r>
        <w:rPr>
          <w:rStyle w:val="FootnoteReference"/>
        </w:rPr>
        <w:footnoteRef/>
      </w:r>
      <w:r>
        <w:t xml:space="preserve"> </w:t>
      </w:r>
      <w:r>
        <w:rPr>
          <w:rFonts w:ascii="Calibri" w:eastAsia="Calibri" w:hAnsi="Calibri" w:cs="Calibri"/>
          <w:color w:val="000000"/>
        </w:rPr>
        <w:t xml:space="preserve">INTEGRATION DER AUSLÄNDISCHEN BEVÖLKERUNG IN LIECHTENSTEIN, Available at the following link: </w:t>
      </w:r>
      <w:hyperlink r:id="rId3">
        <w:r>
          <w:rPr>
            <w:rFonts w:ascii="Calibri" w:eastAsia="Calibri" w:hAnsi="Calibri" w:cs="Calibri"/>
            <w:color w:val="0563C1"/>
            <w:u w:val="single"/>
          </w:rPr>
          <w:t>https://tinyurl.com/mrfj7sv3</w:t>
        </w:r>
      </w:hyperlink>
    </w:p>
  </w:footnote>
  <w:footnote w:id="4">
    <w:p w14:paraId="1AFC971E" w14:textId="43939E85" w:rsidR="00C27D8D" w:rsidRDefault="00C27D8D">
      <w:pPr>
        <w:pStyle w:val="FootnoteText"/>
      </w:pPr>
      <w:r>
        <w:rPr>
          <w:rStyle w:val="FootnoteReference"/>
        </w:rPr>
        <w:footnoteRef/>
      </w:r>
      <w:r>
        <w:t xml:space="preserve"> Ibid</w:t>
      </w:r>
    </w:p>
  </w:footnote>
  <w:footnote w:id="5">
    <w:p w14:paraId="391423FC" w14:textId="478BBF2F" w:rsidR="00C27D8D" w:rsidRDefault="00C27D8D">
      <w:pPr>
        <w:pStyle w:val="FootnoteText"/>
      </w:pPr>
      <w:r>
        <w:rPr>
          <w:rStyle w:val="FootnoteReference"/>
        </w:rPr>
        <w:footnoteRef/>
      </w:r>
      <w:r>
        <w:t xml:space="preserve"> </w:t>
      </w:r>
      <w:r>
        <w:rPr>
          <w:rFonts w:ascii="Calibri" w:eastAsia="Calibri" w:hAnsi="Calibri" w:cs="Calibri"/>
          <w:color w:val="000000"/>
        </w:rPr>
        <w:t>Criminal Code (</w:t>
      </w:r>
      <w:proofErr w:type="spellStart"/>
      <w:r>
        <w:rPr>
          <w:rFonts w:ascii="Calibri" w:eastAsia="Calibri" w:hAnsi="Calibri" w:cs="Calibri"/>
          <w:color w:val="000000"/>
        </w:rPr>
        <w:t>StGB</w:t>
      </w:r>
      <w:proofErr w:type="spellEnd"/>
      <w:r>
        <w:rPr>
          <w:rFonts w:ascii="Calibri" w:eastAsia="Calibri" w:hAnsi="Calibri" w:cs="Calibri"/>
          <w:color w:val="000000"/>
        </w:rPr>
        <w:t xml:space="preserve">), Article 63 </w:t>
      </w:r>
      <w:hyperlink r:id="rId4">
        <w:r>
          <w:rPr>
            <w:rFonts w:ascii="Calibri" w:eastAsia="Calibri" w:hAnsi="Calibri" w:cs="Calibri"/>
            <w:color w:val="0563C1"/>
            <w:u w:val="single"/>
          </w:rPr>
          <w:t>https://www.gesetze.li/konso/1988.037</w:t>
        </w:r>
      </w:hyperlink>
    </w:p>
  </w:footnote>
  <w:footnote w:id="6">
    <w:p w14:paraId="1E75CB51" w14:textId="73395506" w:rsidR="00C27D8D" w:rsidRDefault="00C27D8D">
      <w:pPr>
        <w:pStyle w:val="FootnoteText"/>
      </w:pPr>
      <w:r>
        <w:rPr>
          <w:rStyle w:val="FootnoteReference"/>
        </w:rPr>
        <w:footnoteRef/>
      </w:r>
      <w:r>
        <w:t xml:space="preserve"> Ibid</w:t>
      </w:r>
    </w:p>
  </w:footnote>
  <w:footnote w:id="7">
    <w:p w14:paraId="1507C2C5" w14:textId="52E2007B" w:rsidR="00C27D8D" w:rsidRDefault="00C27D8D">
      <w:pPr>
        <w:pStyle w:val="FootnoteText"/>
      </w:pPr>
      <w:r>
        <w:rPr>
          <w:rStyle w:val="FootnoteReference"/>
        </w:rPr>
        <w:footnoteRef/>
      </w:r>
      <w:r>
        <w:t xml:space="preserve"> </w:t>
      </w:r>
      <w:r>
        <w:rPr>
          <w:rFonts w:ascii="Calibri" w:eastAsia="Calibri" w:hAnsi="Calibri" w:cs="Calibri"/>
          <w:color w:val="000000"/>
        </w:rPr>
        <w:t xml:space="preserve">Fifth periodic report submitted by Liechtenstein under article 19 of the Convention, </w:t>
      </w:r>
      <w:hyperlink r:id="rId5">
        <w:r>
          <w:rPr>
            <w:rFonts w:ascii="Calibri" w:eastAsia="Calibri" w:hAnsi="Calibri" w:cs="Calibri"/>
            <w:color w:val="0563C1"/>
            <w:u w:val="single"/>
          </w:rPr>
          <w:t>https://tinyurl.com/2fjvk6b3</w:t>
        </w:r>
      </w:hyperlink>
    </w:p>
  </w:footnote>
  <w:footnote w:id="8">
    <w:p w14:paraId="6907913E" w14:textId="1B2C760D" w:rsidR="00C27D8D" w:rsidRDefault="00C27D8D">
      <w:pPr>
        <w:pStyle w:val="FootnoteText"/>
      </w:pPr>
      <w:r>
        <w:rPr>
          <w:rStyle w:val="FootnoteReference"/>
        </w:rPr>
        <w:footnoteRef/>
      </w:r>
      <w:r>
        <w:t xml:space="preserve"> </w:t>
      </w:r>
      <w:r>
        <w:rPr>
          <w:rFonts w:ascii="Calibri" w:eastAsia="Calibri" w:hAnsi="Calibri" w:cs="Calibri"/>
          <w:color w:val="000000"/>
        </w:rPr>
        <w:t xml:space="preserve">List of issues prior to submission of the fifth periodic report of Liechtenstein, </w:t>
      </w:r>
      <w:hyperlink r:id="rId6">
        <w:r>
          <w:rPr>
            <w:rFonts w:ascii="Calibri" w:eastAsia="Calibri" w:hAnsi="Calibri" w:cs="Calibri"/>
            <w:color w:val="0563C1"/>
            <w:u w:val="single"/>
          </w:rPr>
          <w:t>https://tinyurl.com/4k2rz7hd</w:t>
        </w:r>
      </w:hyperlink>
    </w:p>
  </w:footnote>
  <w:footnote w:id="9">
    <w:p w14:paraId="32E970D4" w14:textId="371F6CCF" w:rsidR="00C27D8D" w:rsidRDefault="00C27D8D">
      <w:pPr>
        <w:pStyle w:val="FootnoteText"/>
      </w:pPr>
      <w:r>
        <w:rPr>
          <w:rStyle w:val="FootnoteReference"/>
        </w:rPr>
        <w:footnoteRef/>
      </w:r>
      <w:r>
        <w:t xml:space="preserve"> </w:t>
      </w:r>
      <w:r>
        <w:rPr>
          <w:rFonts w:ascii="Calibri" w:eastAsia="Calibri" w:hAnsi="Calibri" w:cs="Calibri"/>
          <w:color w:val="000000"/>
        </w:rPr>
        <w:t xml:space="preserve">CONSIDERATION OF REPORTS SUBMITTED BY STATES PARTIESUNDER ARTICLE 19 OF THE CONVENTION, </w:t>
      </w:r>
      <w:hyperlink r:id="rId7">
        <w:r>
          <w:rPr>
            <w:rFonts w:ascii="Calibri" w:eastAsia="Calibri" w:hAnsi="Calibri" w:cs="Calibri"/>
            <w:color w:val="0563C1"/>
            <w:u w:val="single"/>
          </w:rPr>
          <w:t>https://tinyurl.com/59zmxtaa</w:t>
        </w:r>
      </w:hyperlink>
    </w:p>
  </w:footnote>
  <w:footnote w:id="10">
    <w:p w14:paraId="47310F84" w14:textId="54E6E805" w:rsidR="00050597" w:rsidRDefault="00050597">
      <w:pPr>
        <w:pStyle w:val="FootnoteText"/>
      </w:pPr>
      <w:r>
        <w:rPr>
          <w:rStyle w:val="FootnoteReference"/>
        </w:rPr>
        <w:footnoteRef/>
      </w:r>
      <w:r>
        <w:t xml:space="preserve"> </w:t>
      </w:r>
      <w:r>
        <w:rPr>
          <w:rFonts w:ascii="Calibri" w:eastAsia="Calibri" w:hAnsi="Calibri" w:cs="Calibri"/>
          <w:color w:val="000000"/>
        </w:rPr>
        <w:t xml:space="preserve">Liechtenstein, </w:t>
      </w:r>
      <w:hyperlink r:id="rId8">
        <w:r>
          <w:rPr>
            <w:rFonts w:ascii="Calibri" w:eastAsia="Calibri" w:hAnsi="Calibri" w:cs="Calibri"/>
            <w:color w:val="0563C1"/>
            <w:u w:val="single"/>
          </w:rPr>
          <w:t>https://www.apt.ch/knowledge-hub/opcat/liechtenstein</w:t>
        </w:r>
      </w:hyperlink>
    </w:p>
  </w:footnote>
  <w:footnote w:id="11">
    <w:p w14:paraId="104EDEBD" w14:textId="78F223BF" w:rsidR="00050597" w:rsidRDefault="00050597">
      <w:pPr>
        <w:pStyle w:val="FootnoteText"/>
      </w:pPr>
      <w:r>
        <w:rPr>
          <w:rStyle w:val="FootnoteReference"/>
        </w:rPr>
        <w:footnoteRef/>
      </w:r>
      <w:r>
        <w:t xml:space="preserve"> </w:t>
      </w:r>
      <w:r>
        <w:rPr>
          <w:rFonts w:ascii="Calibri" w:eastAsia="Calibri" w:hAnsi="Calibri" w:cs="Calibri"/>
          <w:color w:val="000000"/>
        </w:rPr>
        <w:t xml:space="preserve">LIECHTENSTEIN FOURTH NATIONAL REPORT, PAGE 8, </w:t>
      </w:r>
      <w:hyperlink r:id="rId9">
        <w:r>
          <w:rPr>
            <w:rFonts w:ascii="Calibri" w:eastAsia="Calibri" w:hAnsi="Calibri" w:cs="Calibri"/>
            <w:color w:val="0563C1"/>
            <w:u w:val="single"/>
          </w:rPr>
          <w:t>https://tinyurl.com/msacrz8a</w:t>
        </w:r>
      </w:hyperlink>
    </w:p>
  </w:footnote>
  <w:footnote w:id="12">
    <w:p w14:paraId="1F1C2134" w14:textId="403416AA" w:rsidR="00050597" w:rsidRDefault="00050597">
      <w:pPr>
        <w:pStyle w:val="FootnoteText"/>
      </w:pPr>
      <w:r>
        <w:rPr>
          <w:rStyle w:val="FootnoteReference"/>
        </w:rPr>
        <w:footnoteRef/>
      </w:r>
      <w:r>
        <w:t xml:space="preserve"> </w:t>
      </w:r>
      <w:hyperlink r:id="rId10">
        <w:r>
          <w:rPr>
            <w:rFonts w:ascii="Calibri" w:eastAsia="Calibri" w:hAnsi="Calibri" w:cs="Calibri"/>
            <w:color w:val="0563C1"/>
            <w:u w:val="single"/>
          </w:rPr>
          <w:t>https://www.staatskalender.li/Strafvollzugskommission.85.0.html</w:t>
        </w:r>
      </w:hyperlink>
    </w:p>
  </w:footnote>
  <w:footnote w:id="13">
    <w:p w14:paraId="6E667E2C" w14:textId="3FB96ED0" w:rsidR="00050597" w:rsidRDefault="00050597">
      <w:pPr>
        <w:pStyle w:val="FootnoteText"/>
      </w:pPr>
      <w:r>
        <w:rPr>
          <w:rStyle w:val="FootnoteReference"/>
        </w:rPr>
        <w:footnoteRef/>
      </w:r>
      <w:r>
        <w:t xml:space="preserve"> </w:t>
      </w:r>
      <w:r>
        <w:rPr>
          <w:rFonts w:ascii="Calibri" w:eastAsia="Calibri" w:hAnsi="Calibri" w:cs="Calibri"/>
          <w:color w:val="000000"/>
        </w:rPr>
        <w:t xml:space="preserve">List of issues prior to submission of the fifth periodic report of Liechtenstein, </w:t>
      </w:r>
      <w:hyperlink r:id="rId11">
        <w:r>
          <w:rPr>
            <w:rFonts w:ascii="Calibri" w:eastAsia="Calibri" w:hAnsi="Calibri" w:cs="Calibri"/>
            <w:color w:val="0563C1"/>
            <w:u w:val="single"/>
          </w:rPr>
          <w:t>https://tinyurl.com/4k2rz7hd</w:t>
        </w:r>
      </w:hyperlink>
    </w:p>
  </w:footnote>
  <w:footnote w:id="14">
    <w:p w14:paraId="2CD125DD" w14:textId="0D97771E" w:rsidR="00050597" w:rsidRDefault="00050597">
      <w:pPr>
        <w:pStyle w:val="FootnoteText"/>
      </w:pPr>
      <w:r>
        <w:rPr>
          <w:rStyle w:val="FootnoteReference"/>
        </w:rPr>
        <w:footnoteRef/>
      </w:r>
      <w:r>
        <w:t xml:space="preserve"> </w:t>
      </w:r>
      <w:r>
        <w:rPr>
          <w:rFonts w:ascii="Calibri" w:eastAsia="Calibri" w:hAnsi="Calibri" w:cs="Calibri"/>
          <w:color w:val="000000"/>
        </w:rPr>
        <w:t xml:space="preserve">GRETA carries out third evaluation visit to Liechtenstein, </w:t>
      </w:r>
      <w:hyperlink r:id="rId12">
        <w:r>
          <w:rPr>
            <w:rFonts w:ascii="Calibri" w:eastAsia="Calibri" w:hAnsi="Calibri" w:cs="Calibri"/>
            <w:color w:val="0563C1"/>
            <w:u w:val="single"/>
          </w:rPr>
          <w:t>https://www.coe.int/en/web/anti-human-trafficking/-/greta-carries-out-third-evaluation-visit-to-liechtenstein</w:t>
        </w:r>
      </w:hyperlink>
    </w:p>
  </w:footnote>
  <w:footnote w:id="15">
    <w:p w14:paraId="76394BB7" w14:textId="51F28688" w:rsidR="00050597" w:rsidRDefault="00050597">
      <w:pPr>
        <w:pStyle w:val="FootnoteText"/>
      </w:pPr>
      <w:r>
        <w:rPr>
          <w:rStyle w:val="FootnoteReference"/>
        </w:rPr>
        <w:footnoteRef/>
      </w:r>
      <w:r>
        <w:t xml:space="preserve"> </w:t>
      </w:r>
      <w:r>
        <w:rPr>
          <w:rFonts w:ascii="Calibri" w:eastAsia="Calibri" w:hAnsi="Calibri" w:cs="Calibri"/>
          <w:color w:val="000000"/>
        </w:rPr>
        <w:t xml:space="preserve">Liechtenstein Initiative, </w:t>
      </w:r>
      <w:hyperlink r:id="rId13">
        <w:r>
          <w:rPr>
            <w:rFonts w:ascii="Calibri" w:eastAsia="Calibri" w:hAnsi="Calibri" w:cs="Calibri"/>
            <w:color w:val="0563C1"/>
            <w:u w:val="single"/>
          </w:rPr>
          <w:t>https://www.bankenverband.li/themen/nachhaltigkeit/liechtenstein-initiative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CF735" w14:textId="18E60A97" w:rsidR="0058685C" w:rsidRPr="0058685C" w:rsidRDefault="0058685C" w:rsidP="0058685C">
    <w:pPr>
      <w:pStyle w:val="Header"/>
    </w:pPr>
    <w:r>
      <w:rPr>
        <w:noProof/>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8927965"/>
    <w:multiLevelType w:val="hybridMultilevel"/>
    <w:tmpl w:val="B96E27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46643794">
    <w:abstractNumId w:val="12"/>
  </w:num>
  <w:num w:numId="2" w16cid:durableId="1872837545">
    <w:abstractNumId w:val="4"/>
  </w:num>
  <w:num w:numId="3" w16cid:durableId="1395853988">
    <w:abstractNumId w:val="1"/>
  </w:num>
  <w:num w:numId="4" w16cid:durableId="1433088168">
    <w:abstractNumId w:val="9"/>
  </w:num>
  <w:num w:numId="5" w16cid:durableId="548880514">
    <w:abstractNumId w:val="3"/>
  </w:num>
  <w:num w:numId="6" w16cid:durableId="1562444441">
    <w:abstractNumId w:val="20"/>
  </w:num>
  <w:num w:numId="7" w16cid:durableId="2106687212">
    <w:abstractNumId w:val="23"/>
  </w:num>
  <w:num w:numId="8" w16cid:durableId="1502812238">
    <w:abstractNumId w:val="25"/>
  </w:num>
  <w:num w:numId="9" w16cid:durableId="1306934831">
    <w:abstractNumId w:val="18"/>
  </w:num>
  <w:num w:numId="10" w16cid:durableId="1127119799">
    <w:abstractNumId w:val="21"/>
  </w:num>
  <w:num w:numId="11" w16cid:durableId="542446060">
    <w:abstractNumId w:val="16"/>
  </w:num>
  <w:num w:numId="12" w16cid:durableId="205873208">
    <w:abstractNumId w:val="24"/>
  </w:num>
  <w:num w:numId="13" w16cid:durableId="867110885">
    <w:abstractNumId w:val="15"/>
  </w:num>
  <w:num w:numId="14" w16cid:durableId="2131976447">
    <w:abstractNumId w:val="5"/>
  </w:num>
  <w:num w:numId="15" w16cid:durableId="1835684291">
    <w:abstractNumId w:val="17"/>
  </w:num>
  <w:num w:numId="16" w16cid:durableId="1857309151">
    <w:abstractNumId w:val="10"/>
  </w:num>
  <w:num w:numId="17" w16cid:durableId="146940342">
    <w:abstractNumId w:val="0"/>
  </w:num>
  <w:num w:numId="18" w16cid:durableId="191113676">
    <w:abstractNumId w:val="14"/>
  </w:num>
  <w:num w:numId="19" w16cid:durableId="2003925715">
    <w:abstractNumId w:val="2"/>
  </w:num>
  <w:num w:numId="20" w16cid:durableId="233589886">
    <w:abstractNumId w:val="7"/>
  </w:num>
  <w:num w:numId="21" w16cid:durableId="1304848174">
    <w:abstractNumId w:val="26"/>
  </w:num>
  <w:num w:numId="22" w16cid:durableId="2011906243">
    <w:abstractNumId w:val="8"/>
  </w:num>
  <w:num w:numId="23" w16cid:durableId="2111581637">
    <w:abstractNumId w:val="11"/>
  </w:num>
  <w:num w:numId="24" w16cid:durableId="994797510">
    <w:abstractNumId w:val="19"/>
  </w:num>
  <w:num w:numId="25" w16cid:durableId="833304255">
    <w:abstractNumId w:val="22"/>
  </w:num>
  <w:num w:numId="26" w16cid:durableId="269318422">
    <w:abstractNumId w:val="6"/>
  </w:num>
  <w:num w:numId="27" w16cid:durableId="5284798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4619A"/>
    <w:rsid w:val="00046C49"/>
    <w:rsid w:val="00050597"/>
    <w:rsid w:val="00086352"/>
    <w:rsid w:val="000A0E24"/>
    <w:rsid w:val="000B5D57"/>
    <w:rsid w:val="000C7C14"/>
    <w:rsid w:val="00101544"/>
    <w:rsid w:val="00156C09"/>
    <w:rsid w:val="00196443"/>
    <w:rsid w:val="001D6213"/>
    <w:rsid w:val="002257CD"/>
    <w:rsid w:val="002305C5"/>
    <w:rsid w:val="00276D2A"/>
    <w:rsid w:val="002D5B01"/>
    <w:rsid w:val="003319F3"/>
    <w:rsid w:val="003439F7"/>
    <w:rsid w:val="00372B51"/>
    <w:rsid w:val="0038184B"/>
    <w:rsid w:val="003A745E"/>
    <w:rsid w:val="004134D4"/>
    <w:rsid w:val="00414D42"/>
    <w:rsid w:val="00436AE3"/>
    <w:rsid w:val="004650D2"/>
    <w:rsid w:val="00490571"/>
    <w:rsid w:val="004F28E4"/>
    <w:rsid w:val="004F6D5A"/>
    <w:rsid w:val="005025C7"/>
    <w:rsid w:val="00505CB3"/>
    <w:rsid w:val="005132DF"/>
    <w:rsid w:val="00531689"/>
    <w:rsid w:val="00531CED"/>
    <w:rsid w:val="005612DD"/>
    <w:rsid w:val="0058685C"/>
    <w:rsid w:val="005B3A8D"/>
    <w:rsid w:val="005C3446"/>
    <w:rsid w:val="005E2E96"/>
    <w:rsid w:val="006372D7"/>
    <w:rsid w:val="00640577"/>
    <w:rsid w:val="006412F6"/>
    <w:rsid w:val="00646A53"/>
    <w:rsid w:val="006807A3"/>
    <w:rsid w:val="00693967"/>
    <w:rsid w:val="0075015E"/>
    <w:rsid w:val="007C3E73"/>
    <w:rsid w:val="007E56C8"/>
    <w:rsid w:val="007F62CB"/>
    <w:rsid w:val="00823F46"/>
    <w:rsid w:val="00826C6D"/>
    <w:rsid w:val="00875304"/>
    <w:rsid w:val="008F2641"/>
    <w:rsid w:val="0091285A"/>
    <w:rsid w:val="009337BF"/>
    <w:rsid w:val="009412A9"/>
    <w:rsid w:val="009850AD"/>
    <w:rsid w:val="009D1F8F"/>
    <w:rsid w:val="009E290C"/>
    <w:rsid w:val="00A3448D"/>
    <w:rsid w:val="00A37636"/>
    <w:rsid w:val="00A537CE"/>
    <w:rsid w:val="00A81650"/>
    <w:rsid w:val="00A83C1E"/>
    <w:rsid w:val="00AF7FD1"/>
    <w:rsid w:val="00B50DC2"/>
    <w:rsid w:val="00B53978"/>
    <w:rsid w:val="00B66916"/>
    <w:rsid w:val="00BA7411"/>
    <w:rsid w:val="00BB10FB"/>
    <w:rsid w:val="00BB2414"/>
    <w:rsid w:val="00BC2D2E"/>
    <w:rsid w:val="00C27D8D"/>
    <w:rsid w:val="00C34E13"/>
    <w:rsid w:val="00C47923"/>
    <w:rsid w:val="00CC2F15"/>
    <w:rsid w:val="00CD5381"/>
    <w:rsid w:val="00D01C6A"/>
    <w:rsid w:val="00D11899"/>
    <w:rsid w:val="00DB04A9"/>
    <w:rsid w:val="00DF3596"/>
    <w:rsid w:val="00E3117B"/>
    <w:rsid w:val="00E4520A"/>
    <w:rsid w:val="00E45A93"/>
    <w:rsid w:val="00E55456"/>
    <w:rsid w:val="00EA2C34"/>
    <w:rsid w:val="00EA4670"/>
    <w:rsid w:val="00EB7424"/>
    <w:rsid w:val="00ED7702"/>
    <w:rsid w:val="00F533B4"/>
    <w:rsid w:val="00F56B3D"/>
    <w:rsid w:val="00F94355"/>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styleId="UnresolvedMention">
    <w:name w:val="Unresolved Mention"/>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www.apt.ch/knowledge-hub/opcat/liechtenstein" TargetMode="External"/><Relationship Id="rId13" Type="http://schemas.openxmlformats.org/officeDocument/2006/relationships/hyperlink" Target="https://www.bankenverband.li/themen/nachhaltigkeit/liechtenstein-initiative" TargetMode="External"/><Relationship Id="rId3" Type="http://schemas.openxmlformats.org/officeDocument/2006/relationships/hyperlink" Target="https://tinyurl.com/mrfj7sv3" TargetMode="External"/><Relationship Id="rId7" Type="http://schemas.openxmlformats.org/officeDocument/2006/relationships/hyperlink" Target="https://tinyurl.com/59zmxtaa" TargetMode="External"/><Relationship Id="rId12" Type="http://schemas.openxmlformats.org/officeDocument/2006/relationships/hyperlink" Target="https://www.coe.int/en/web/anti-human-trafficking/-/greta-carries-out-third-evaluation-visit-to-liechtenstein" TargetMode="External"/><Relationship Id="rId2" Type="http://schemas.openxmlformats.org/officeDocument/2006/relationships/hyperlink" Target="https://tbinternet.ohchr.org/_layouts/15/TreatyBodyExternal/Countries.aspx" TargetMode="External"/><Relationship Id="rId1" Type="http://schemas.openxmlformats.org/officeDocument/2006/relationships/hyperlink" Target="https://rm.coe.int/pdf/168073d17b" TargetMode="External"/><Relationship Id="rId6" Type="http://schemas.openxmlformats.org/officeDocument/2006/relationships/hyperlink" Target="https://tinyurl.com/4k2rz7hd" TargetMode="External"/><Relationship Id="rId11" Type="http://schemas.openxmlformats.org/officeDocument/2006/relationships/hyperlink" Target="https://tinyurl.com/4k2rz7hd" TargetMode="External"/><Relationship Id="rId5" Type="http://schemas.openxmlformats.org/officeDocument/2006/relationships/hyperlink" Target="https://tinyurl.com/2fjvk6b3" TargetMode="External"/><Relationship Id="rId10" Type="http://schemas.openxmlformats.org/officeDocument/2006/relationships/hyperlink" Target="https://www.staatskalender.li/Strafvollzugskommission.85.0.html" TargetMode="External"/><Relationship Id="rId4" Type="http://schemas.openxmlformats.org/officeDocument/2006/relationships/hyperlink" Target="https://www.gesetze.li/konso/1988.037" TargetMode="External"/><Relationship Id="rId9" Type="http://schemas.openxmlformats.org/officeDocument/2006/relationships/hyperlink" Target="https://tinyurl.com/msacrz8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916C68-DBD0-4ABF-85BB-D221620AF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1672</Words>
  <Characters>9533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 Farash</cp:lastModifiedBy>
  <cp:revision>2</cp:revision>
  <dcterms:created xsi:type="dcterms:W3CDTF">2024-03-17T17:10:00Z</dcterms:created>
  <dcterms:modified xsi:type="dcterms:W3CDTF">2024-03-17T17:10:00Z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ies>
</file>