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JOINT NGO STATEMENT: 79th CEDAW SESSION</w:t>
      </w:r>
    </w:p>
    <w:p w:rsidR="00000000" w:rsidDel="00000000" w:rsidP="00000000" w:rsidRDefault="00000000" w:rsidRPr="00000000" w14:paraId="00000002">
      <w:pPr>
        <w:jc w:val="center"/>
        <w:rPr>
          <w:b w:val="1"/>
        </w:rPr>
      </w:pPr>
      <w:r w:rsidDel="00000000" w:rsidR="00000000" w:rsidRPr="00000000">
        <w:rPr>
          <w:b w:val="1"/>
          <w:rtl w:val="0"/>
        </w:rPr>
        <w:t xml:space="preserve">[Full Statement]</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Madam Chair,</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This statement is delivered on behalf of 5 international NGOs and coalitions working for the protection of women’s rights, human rights and rights of marginalized communities, across the globe and organizing at all levels, from the local to the international. </w:t>
      </w:r>
      <w:r w:rsidDel="00000000" w:rsidR="00000000" w:rsidRPr="00000000">
        <w:rPr>
          <w:color w:val="222222"/>
          <w:highlight w:val="white"/>
          <w:rtl w:val="0"/>
        </w:rPr>
        <w:t xml:space="preserve">Each organisation will focus especially on information provided by its respective national partners.</w:t>
      </w:r>
      <w:r w:rsidDel="00000000" w:rsidR="00000000" w:rsidRPr="00000000">
        <w:rPr>
          <w:b w:val="1"/>
          <w:color w:val="222222"/>
          <w:highlight w:val="white"/>
          <w:rtl w:val="0"/>
        </w:rPr>
        <w:t xml:space="preserve"> </w:t>
      </w:r>
      <w:r w:rsidDel="00000000" w:rsidR="00000000" w:rsidRPr="00000000">
        <w:rPr>
          <w:rtl w:val="0"/>
        </w:rPr>
        <w:t xml:space="preserve">We have long-standing experience of facilitating the participation of national NGOs representing women and marginalized groups in the CEDAW review process. We call your attention to the deep concern about the accountability for </w:t>
      </w:r>
      <w:r w:rsidDel="00000000" w:rsidR="00000000" w:rsidRPr="00000000">
        <w:rPr>
          <w:rtl w:val="0"/>
        </w:rPr>
        <w:t xml:space="preserve">women’s and girls’ rights</w:t>
      </w:r>
      <w:r w:rsidDel="00000000" w:rsidR="00000000" w:rsidRPr="00000000">
        <w:rPr>
          <w:rtl w:val="0"/>
        </w:rPr>
        <w:t xml:space="preserve"> resulting from the absence of State reviews by the CEDAW Committee, in the context of COVID-19. </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State reviews are the main vehicle for ensuring implementation of the Convention at the national level and the Committee plays a critical role in ensuring that the guarantees of substantive equality and non-discrimination for women worldwide are fulfilled by States. We are alarmed by the systematic efforts to undermine the international human rights system, including the chronic under-funding of the UN treaty bodies. Particularly in light of recent regressions to the protection of women’s rights, such as the withdrawal of Turkey from the Istanbul Convention, the decision of the Committee to suspend virtual reviews is extremely discouraging </w:t>
      </w:r>
      <w:r w:rsidDel="00000000" w:rsidR="00000000" w:rsidRPr="00000000">
        <w:rPr>
          <w:highlight w:val="white"/>
          <w:rtl w:val="0"/>
        </w:rPr>
        <w:t xml:space="preserve">for those defending women’s rights, rights related to gender and sexuality, and the rights of marginalized communities on the frontlines</w:t>
      </w:r>
      <w:r w:rsidDel="00000000" w:rsidR="00000000" w:rsidRPr="00000000">
        <w:rPr>
          <w:rtl w:val="0"/>
        </w:rPr>
        <w:t xml:space="preserve">. In this context, we seek to highlight the women’s rights situation from </w:t>
      </w:r>
      <w:r w:rsidDel="00000000" w:rsidR="00000000" w:rsidRPr="00000000">
        <w:rPr>
          <w:rtl w:val="0"/>
        </w:rPr>
        <w:t xml:space="preserve">5 countries</w:t>
      </w:r>
      <w:r w:rsidDel="00000000" w:rsidR="00000000" w:rsidRPr="00000000">
        <w:rPr>
          <w:rtl w:val="0"/>
        </w:rPr>
        <w:t xml:space="preserve"> whose reviews have been postponed </w:t>
      </w:r>
      <w:r w:rsidDel="00000000" w:rsidR="00000000" w:rsidRPr="00000000">
        <w:rPr>
          <w:rtl w:val="0"/>
        </w:rPr>
        <w:t xml:space="preserve">at least twice</w:t>
      </w:r>
      <w:r w:rsidDel="00000000" w:rsidR="00000000" w:rsidRPr="00000000">
        <w:rPr>
          <w:rtl w:val="0"/>
        </w:rPr>
        <w:t xml:space="preserve"> since June-July 2020: </w:t>
      </w:r>
      <w:r w:rsidDel="00000000" w:rsidR="00000000" w:rsidRPr="00000000">
        <w:rPr>
          <w:rtl w:val="0"/>
        </w:rPr>
        <w:t xml:space="preserve">Indonesia, Yemen, Nicaragua, Peru and South Africa</w:t>
      </w:r>
      <w:r w:rsidDel="00000000" w:rsidR="00000000" w:rsidRPr="00000000">
        <w:rPr>
          <w:rtl w:val="0"/>
        </w:rPr>
        <w:t xml:space="preserve">.</w:t>
      </w:r>
    </w:p>
    <w:p w:rsidR="00000000" w:rsidDel="00000000" w:rsidP="00000000" w:rsidRDefault="00000000" w:rsidRPr="00000000" w14:paraId="0000000A">
      <w:pPr>
        <w:ind w:left="0" w:firstLine="0"/>
        <w:jc w:val="both"/>
        <w:rPr/>
      </w:pPr>
      <w:r w:rsidDel="00000000" w:rsidR="00000000" w:rsidRPr="00000000">
        <w:rPr>
          <w:rtl w:val="0"/>
        </w:rPr>
      </w:r>
    </w:p>
    <w:p w:rsidR="00000000" w:rsidDel="00000000" w:rsidP="00000000" w:rsidRDefault="00000000" w:rsidRPr="00000000" w14:paraId="0000000B">
      <w:pPr>
        <w:jc w:val="both"/>
        <w:rPr>
          <w:b w:val="1"/>
        </w:rPr>
      </w:pPr>
      <w:r w:rsidDel="00000000" w:rsidR="00000000" w:rsidRPr="00000000">
        <w:rPr>
          <w:b w:val="1"/>
          <w:rtl w:val="0"/>
        </w:rPr>
        <w:t xml:space="preserve">Concerning Indonesia</w:t>
      </w:r>
      <w:r w:rsidDel="00000000" w:rsidR="00000000" w:rsidRPr="00000000">
        <w:rPr>
          <w:b w:val="1"/>
          <w:vertAlign w:val="superscript"/>
        </w:rPr>
        <w:footnoteReference w:customMarkFollows="0" w:id="0"/>
      </w:r>
      <w:r w:rsidDel="00000000" w:rsidR="00000000" w:rsidRPr="00000000">
        <w:rPr>
          <w:rtl w:val="0"/>
        </w:rPr>
      </w:r>
    </w:p>
    <w:p w:rsidR="00000000" w:rsidDel="00000000" w:rsidP="00000000" w:rsidRDefault="00000000" w:rsidRPr="00000000" w14:paraId="0000000C">
      <w:pPr>
        <w:spacing w:after="240" w:before="240" w:lineRule="auto"/>
        <w:jc w:val="both"/>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CEDAW Working Group Indonesia</w:t>
      </w:r>
      <w:r w:rsidDel="00000000" w:rsidR="00000000" w:rsidRPr="00000000">
        <w:rPr>
          <w:rtl w:val="0"/>
        </w:rPr>
        <w:t xml:space="preserve"> has expressed grave concerns and called for serious attention against further postponement of the CEDAW review of Indonesia. The COVID-19 pandemic has reinforced backlash against human rights as the pandemic is being used as an excuse not to uphold human rights measures.</w:t>
      </w:r>
    </w:p>
    <w:p w:rsidR="00000000" w:rsidDel="00000000" w:rsidP="00000000" w:rsidRDefault="00000000" w:rsidRPr="00000000" w14:paraId="0000000D">
      <w:pPr>
        <w:spacing w:after="240" w:before="240" w:lineRule="auto"/>
        <w:jc w:val="both"/>
        <w:rPr/>
      </w:pPr>
      <w:r w:rsidDel="00000000" w:rsidR="00000000" w:rsidRPr="00000000">
        <w:rPr>
          <w:rtl w:val="0"/>
        </w:rPr>
        <w:t xml:space="preserve">There is still no national regulation to stop economic exploitation and sexual harassment (SH) for female workers. 4.2 million domestic workers in Indonesia are still unrecognized and discriminated against as women workers and as citizens. Without a law to protect them, they are excluded from social security and safety programmes. In the COVID-19 pandemic, they and their families are facing a crisis of food, housing, health and are vulnerable to multiple forms of violence and debt bondage.The first Bill on the Protection of </w:t>
      </w:r>
      <w:r w:rsidDel="00000000" w:rsidR="00000000" w:rsidRPr="00000000">
        <w:rPr>
          <w:rtl w:val="0"/>
        </w:rPr>
        <w:t xml:space="preserve">Domestic Workers  w</w:t>
      </w:r>
      <w:r w:rsidDel="00000000" w:rsidR="00000000" w:rsidRPr="00000000">
        <w:rPr>
          <w:rtl w:val="0"/>
        </w:rPr>
        <w:t xml:space="preserve">as submitted 17 years ago to the parliament unfortunately until today it has been put on hold mainly due to lack of political will. Indonesia has not ratified ILO Convention No 189 concerning Decent Work for Domestic Workers. The other urgent </w:t>
      </w:r>
      <w:r w:rsidDel="00000000" w:rsidR="00000000" w:rsidRPr="00000000">
        <w:rPr>
          <w:rtl w:val="0"/>
        </w:rPr>
        <w:t xml:space="preserve">Bill on the Elimination of Sexual Violence</w:t>
      </w:r>
      <w:r w:rsidDel="00000000" w:rsidR="00000000" w:rsidRPr="00000000">
        <w:rPr>
          <w:b w:val="1"/>
          <w:rtl w:val="0"/>
        </w:rPr>
        <w:t xml:space="preserve"> </w:t>
      </w:r>
      <w:r w:rsidDel="00000000" w:rsidR="00000000" w:rsidRPr="00000000">
        <w:rPr>
          <w:rtl w:val="0"/>
        </w:rPr>
        <w:t xml:space="preserve">has been also put on hold for almost</w:t>
      </w:r>
      <w:r w:rsidDel="00000000" w:rsidR="00000000" w:rsidRPr="00000000">
        <w:rPr>
          <w:rtl w:val="0"/>
        </w:rPr>
        <w:t xml:space="preserve"> 6 years.  Yet, </w:t>
      </w:r>
      <w:r w:rsidDel="00000000" w:rsidR="00000000" w:rsidRPr="00000000">
        <w:rPr>
          <w:rtl w:val="0"/>
        </w:rPr>
        <w:t xml:space="preserve"> the government must put an immediate end to the increasing trend of all forms of sexual violence : every 40 minutes,  one  woman or girl becomes a victim of sexual violence and one  of the five  victims are formal or informal workers, including domestic workers. The </w:t>
      </w:r>
      <w:r w:rsidDel="00000000" w:rsidR="00000000" w:rsidRPr="00000000">
        <w:rPr>
          <w:rtl w:val="0"/>
        </w:rPr>
        <w:t xml:space="preserve">Bill on the Elimination of Sexual Violence </w:t>
      </w:r>
      <w:r w:rsidDel="00000000" w:rsidR="00000000" w:rsidRPr="00000000">
        <w:rPr>
          <w:rtl w:val="0"/>
        </w:rPr>
        <w:t xml:space="preserve"> should be enacted as a matter </w:t>
      </w:r>
      <w:r w:rsidDel="00000000" w:rsidR="00000000" w:rsidRPr="00000000">
        <w:rPr>
          <w:rtl w:val="0"/>
        </w:rPr>
        <w:t xml:space="preserve">of priority </w:t>
      </w:r>
      <w:r w:rsidDel="00000000" w:rsidR="00000000" w:rsidRPr="00000000">
        <w:rPr>
          <w:rtl w:val="0"/>
        </w:rPr>
        <w:t xml:space="preserve">to curb the negative harmful practices which discriminate and exploit women and girls (including child marriage and female genital mutilation) in the name of tradition, beliefs or religion. Also, Indonesia has not ratified ILO Convention 190 on Elimination of Violence and Harassment in The World of Work. </w:t>
      </w:r>
      <w:r w:rsidDel="00000000" w:rsidR="00000000" w:rsidRPr="00000000">
        <w:rPr>
          <w:highlight w:val="white"/>
          <w:rtl w:val="0"/>
        </w:rPr>
        <w:t xml:space="preserve">In the absence of a CEDAW review of Indonesia, there is no other accountability mechanism that is accessible for us in this time of urgent need.</w:t>
      </w:r>
      <w:r w:rsidDel="00000000" w:rsidR="00000000" w:rsidRPr="00000000">
        <w:rPr>
          <w:rtl w:val="0"/>
        </w:rPr>
      </w:r>
    </w:p>
    <w:p w:rsidR="00000000" w:rsidDel="00000000" w:rsidP="00000000" w:rsidRDefault="00000000" w:rsidRPr="00000000" w14:paraId="0000000E">
      <w:pPr>
        <w:jc w:val="both"/>
        <w:rPr>
          <w:b w:val="1"/>
        </w:rPr>
      </w:pPr>
      <w:r w:rsidDel="00000000" w:rsidR="00000000" w:rsidRPr="00000000">
        <w:rPr>
          <w:b w:val="1"/>
          <w:rtl w:val="0"/>
        </w:rPr>
        <w:t xml:space="preserve">Concerning </w:t>
      </w:r>
      <w:r w:rsidDel="00000000" w:rsidR="00000000" w:rsidRPr="00000000">
        <w:rPr>
          <w:b w:val="1"/>
          <w:rtl w:val="0"/>
        </w:rPr>
        <w:t xml:space="preserve">Yemen </w:t>
      </w:r>
      <w:r w:rsidDel="00000000" w:rsidR="00000000" w:rsidRPr="00000000">
        <w:rPr>
          <w:rtl w:val="0"/>
        </w:rPr>
      </w:r>
    </w:p>
    <w:p w:rsidR="00000000" w:rsidDel="00000000" w:rsidP="00000000" w:rsidRDefault="00000000" w:rsidRPr="00000000" w14:paraId="0000000F">
      <w:pPr>
        <w:jc w:val="both"/>
        <w:rPr>
          <w:b w:val="1"/>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Yemen was among the country reviews postponed at this session and it is not clear whether the postponement was made on the request of the state delegation or as a result of the Committee’s own decision.</w:t>
      </w:r>
      <w:r w:rsidDel="00000000" w:rsidR="00000000" w:rsidRPr="00000000">
        <w:rPr>
          <w:rtl w:val="0"/>
        </w:rPr>
        <w:t xml:space="preserve"> </w:t>
      </w:r>
    </w:p>
    <w:p w:rsidR="00000000" w:rsidDel="00000000" w:rsidP="00000000" w:rsidRDefault="00000000" w:rsidRPr="00000000" w14:paraId="00000011">
      <w:pPr>
        <w:jc w:val="both"/>
        <w:rPr/>
      </w:pPr>
      <w:r w:rsidDel="00000000" w:rsidR="00000000" w:rsidRPr="00000000">
        <w:rPr>
          <w:rtl w:val="0"/>
        </w:rPr>
        <w:t xml:space="preserve"> </w:t>
      </w:r>
    </w:p>
    <w:p w:rsidR="00000000" w:rsidDel="00000000" w:rsidP="00000000" w:rsidRDefault="00000000" w:rsidRPr="00000000" w14:paraId="00000012">
      <w:pPr>
        <w:jc w:val="both"/>
        <w:rPr/>
      </w:pPr>
      <w:r w:rsidDel="00000000" w:rsidR="00000000" w:rsidRPr="00000000">
        <w:rPr>
          <w:rtl w:val="0"/>
        </w:rPr>
        <w:t xml:space="preserve">The review of Yemen has been postponed for the third time since the start of the pandemic.  These postponements add to the one of 2015, which is when the CEDAW Committee adopted a list of issues in relation to the combined seventh and eighth periodic reports of Yemen (CEDAW/C/YEM/Q/7-8) but the review did not take place that year. The list of issues had to be revised in March 2020 (CEDAW/C/YEM/Q/7-8/Rev.1). </w:t>
      </w:r>
    </w:p>
    <w:p w:rsidR="00000000" w:rsidDel="00000000" w:rsidP="00000000" w:rsidRDefault="00000000" w:rsidRPr="00000000" w14:paraId="00000013">
      <w:pPr>
        <w:jc w:val="both"/>
        <w:rPr/>
      </w:pPr>
      <w:r w:rsidDel="00000000" w:rsidR="00000000" w:rsidRPr="00000000">
        <w:rPr>
          <w:rtl w:val="0"/>
        </w:rPr>
        <w:t xml:space="preserve"> </w:t>
      </w:r>
    </w:p>
    <w:p w:rsidR="00000000" w:rsidDel="00000000" w:rsidP="00000000" w:rsidRDefault="00000000" w:rsidRPr="00000000" w14:paraId="00000014">
      <w:pPr>
        <w:jc w:val="both"/>
        <w:rPr/>
      </w:pPr>
      <w:r w:rsidDel="00000000" w:rsidR="00000000" w:rsidRPr="00000000">
        <w:rPr>
          <w:rtl w:val="0"/>
        </w:rPr>
        <w:t xml:space="preserve">This continued postponement is particularly concerning since the last time the Committee held a constructive dialogue on a periodic report by Yemen was 13 years ago.  Even before the war, Yemen ranked last in gender equality indexes. Discrimination against women and girls is embedded in laws, institutions and traditional social norms. The ongoing armed conflict has severely impacted women and girls. It has exacerbated pre-existing patterns of discrimination against women and girls, exposing them to unprecedented levels of human rights violations and abuses. The COVID19 pandemic has further compounded the situation. We ask the CEDAW Committee to address without delay these patterns of discrimination that violate Yemen’s obligations under the Convention. </w:t>
      </w:r>
    </w:p>
    <w:p w:rsidR="00000000" w:rsidDel="00000000" w:rsidP="00000000" w:rsidRDefault="00000000" w:rsidRPr="00000000" w14:paraId="00000015">
      <w:pPr>
        <w:jc w:val="both"/>
        <w:rPr/>
      </w:pPr>
      <w:r w:rsidDel="00000000" w:rsidR="00000000" w:rsidRPr="00000000">
        <w:rPr>
          <w:rtl w:val="0"/>
        </w:rPr>
        <w:t xml:space="preserve"> </w:t>
      </w:r>
    </w:p>
    <w:p w:rsidR="00000000" w:rsidDel="00000000" w:rsidP="00000000" w:rsidRDefault="00000000" w:rsidRPr="00000000" w14:paraId="00000016">
      <w:pPr>
        <w:jc w:val="both"/>
        <w:rPr/>
      </w:pPr>
      <w:r w:rsidDel="00000000" w:rsidR="00000000" w:rsidRPr="00000000">
        <w:rPr>
          <w:rtl w:val="0"/>
        </w:rPr>
        <w:t xml:space="preserve">Postponement of country reviews also means that NGOs planning to engage with these processes were drafting reports or have already submitted reports for reviews whose dates are not confirmed yet. Moreover, the postponement is having a domino effect on reviews scheduled at subsequent sessions. For example, we are concerned that the postponement of country reviews at this current session appears to have affected the scheduling of some of the reviews originally planned for the 80</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rtl w:val="0"/>
        </w:rPr>
        <w:t xml:space="preserve">session (October/November 2021), such as the review of Lebanon. While we understand that there are challenges with holding online sessions, pragmatic solutions must be found.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b w:val="1"/>
        </w:rPr>
      </w:pPr>
      <w:r w:rsidDel="00000000" w:rsidR="00000000" w:rsidRPr="00000000">
        <w:rPr>
          <w:b w:val="1"/>
          <w:rtl w:val="0"/>
        </w:rPr>
        <w:t xml:space="preserve">Concerning Peru</w:t>
      </w:r>
    </w:p>
    <w:p w:rsidR="00000000" w:rsidDel="00000000" w:rsidP="00000000" w:rsidRDefault="00000000" w:rsidRPr="00000000" w14:paraId="00000019">
      <w:pPr>
        <w:spacing w:after="240" w:before="240" w:line="276" w:lineRule="auto"/>
        <w:jc w:val="both"/>
        <w:rPr/>
      </w:pPr>
      <w:r w:rsidDel="00000000" w:rsidR="00000000" w:rsidRPr="00000000">
        <w:rPr>
          <w:rtl w:val="0"/>
        </w:rPr>
        <w:t xml:space="preserve">Peru is undergoing a political and health crisis that directly affects the rights of women, girls and the LGBTI+ community. During the health crisis caused by COVID-19, gender-based violence has increased. The Ministry of Women and Vulnerable Populations (MIMP) has reported that gender-based violence complaints rose 130% during 2020 and they registered 7, 138 sexual violence complaints. As of April 2020, 47 women had been murdered meaning an average of 12 femicides every month. An average of 16 women disappear every day, so far this year 1, 425 women have disappeared. </w:t>
      </w:r>
      <w:r w:rsidDel="00000000" w:rsidR="00000000" w:rsidRPr="00000000">
        <w:rPr>
          <w:rtl w:val="0"/>
        </w:rPr>
        <w:t xml:space="preserve">Just in March</w:t>
      </w:r>
      <w:r w:rsidDel="00000000" w:rsidR="00000000" w:rsidRPr="00000000">
        <w:rPr>
          <w:rtl w:val="0"/>
        </w:rPr>
        <w:t xml:space="preserve"> 2021, 500 women and girls disappeared, 82% of these are girls and young women. During the pandemic, pregnancies among girls 10 under has quadrupled in comparison to 2019 and there has been a 12% increase in teenage pregnancy.</w:t>
      </w:r>
    </w:p>
    <w:p w:rsidR="00000000" w:rsidDel="00000000" w:rsidP="00000000" w:rsidRDefault="00000000" w:rsidRPr="00000000" w14:paraId="0000001A">
      <w:pPr>
        <w:spacing w:after="240" w:before="240" w:line="276" w:lineRule="auto"/>
        <w:jc w:val="both"/>
        <w:rPr/>
      </w:pPr>
      <w:r w:rsidDel="00000000" w:rsidR="00000000" w:rsidRPr="00000000">
        <w:rPr>
          <w:rtl w:val="0"/>
        </w:rPr>
        <w:t xml:space="preserve">The health crisis generated by COVID-19 has meant that health services have been focused on fighting COVID-19 and sexual reproductive services have been reduced among them access to emergency kits and family planification programs. In addition, the MIMP reported that 122, 000 women were left unattended when the Women’s Emergency Center (CEM) closed during the pandemic</w:t>
      </w:r>
      <w:r w:rsidDel="00000000" w:rsidR="00000000" w:rsidRPr="00000000">
        <w:rPr>
          <w:rtl w:val="0"/>
        </w:rPr>
        <w:t xml:space="preserve">.</w:t>
      </w:r>
      <w:r w:rsidDel="00000000" w:rsidR="00000000" w:rsidRPr="00000000">
        <w:rPr>
          <w:rtl w:val="0"/>
        </w:rPr>
        <w:t xml:space="preserve"> Furthermore, on 28 June, Pedro Castillo will be sworn in as President of Peru. Castillo ran a campaign that did not address women’s rights or LGBTI+ rights and has gone as far to say that </w:t>
      </w:r>
      <w:r w:rsidDel="00000000" w:rsidR="00000000" w:rsidRPr="00000000">
        <w:rPr>
          <w:highlight w:val="white"/>
          <w:rtl w:val="0"/>
        </w:rPr>
        <w:t xml:space="preserve">femicides are the product of the “idleness” generated by the State itself and the lack of development in the country.</w:t>
      </w:r>
      <w:r w:rsidDel="00000000" w:rsidR="00000000" w:rsidRPr="00000000">
        <w:rPr>
          <w:rtl w:val="0"/>
        </w:rPr>
      </w:r>
    </w:p>
    <w:p w:rsidR="00000000" w:rsidDel="00000000" w:rsidP="00000000" w:rsidRDefault="00000000" w:rsidRPr="00000000" w14:paraId="0000001B">
      <w:pPr>
        <w:spacing w:after="240" w:before="240" w:lineRule="auto"/>
        <w:jc w:val="both"/>
        <w:rPr/>
      </w:pPr>
      <w:r w:rsidDel="00000000" w:rsidR="00000000" w:rsidRPr="00000000">
        <w:rPr>
          <w:rtl w:val="0"/>
        </w:rPr>
        <w:t xml:space="preserve">In this context, women and the LGBTI+ community face severe threats that could cause setbacks and worsen the situation of women and the LGBTI+ community. The CEDAW review is therefore a unique moment to highlight these patterns and presents an important opportunity to dialogue with the newly elected government and urge it to implement public policies that protect women and LBTI women.</w:t>
      </w:r>
    </w:p>
    <w:p w:rsidR="00000000" w:rsidDel="00000000" w:rsidP="00000000" w:rsidRDefault="00000000" w:rsidRPr="00000000" w14:paraId="0000001C">
      <w:pPr>
        <w:spacing w:after="240" w:before="240" w:lineRule="auto"/>
        <w:jc w:val="both"/>
        <w:rPr>
          <w:b w:val="1"/>
          <w:highlight w:val="yellow"/>
        </w:rPr>
      </w:pPr>
      <w:r w:rsidDel="00000000" w:rsidR="00000000" w:rsidRPr="00000000">
        <w:rPr>
          <w:b w:val="1"/>
          <w:rtl w:val="0"/>
        </w:rPr>
        <w:t xml:space="preserve">Concerning Nicaragua </w:t>
      </w:r>
      <w:r w:rsidDel="00000000" w:rsidR="00000000" w:rsidRPr="00000000">
        <w:rPr>
          <w:rtl w:val="0"/>
        </w:rPr>
      </w:r>
    </w:p>
    <w:p w:rsidR="00000000" w:rsidDel="00000000" w:rsidP="00000000" w:rsidRDefault="00000000" w:rsidRPr="00000000" w14:paraId="0000001D">
      <w:pPr>
        <w:spacing w:after="240" w:before="240" w:lineRule="auto"/>
        <w:jc w:val="both"/>
        <w:rPr/>
      </w:pPr>
      <w:r w:rsidDel="00000000" w:rsidR="00000000" w:rsidRPr="00000000">
        <w:rPr>
          <w:rtl w:val="0"/>
        </w:rPr>
        <w:t xml:space="preserve">The human rights situation in Nicaragua, whose socio-political crisis is now well into its third year, has escalated into an emergency. In recent weeks, repression has worsened dramatically with the detention of 16 prominent opposition figures (of whom, six were women),  including four probable presidential candidates aiming to challenge President Daniel Ortega in November’s national elections. Legislation aimed at impeding the work of civil society organizations places the rights to freedom of association, peaceful assembly, and expression under constant attack, including by forcing human rights organizations to cease their operations.</w:t>
      </w:r>
    </w:p>
    <w:p w:rsidR="00000000" w:rsidDel="00000000" w:rsidP="00000000" w:rsidRDefault="00000000" w:rsidRPr="00000000" w14:paraId="0000001E">
      <w:pPr>
        <w:spacing w:after="240" w:before="240" w:lineRule="auto"/>
        <w:jc w:val="both"/>
        <w:rPr/>
      </w:pPr>
      <w:r w:rsidDel="00000000" w:rsidR="00000000" w:rsidRPr="00000000">
        <w:rPr>
          <w:rtl w:val="0"/>
        </w:rPr>
        <w:t xml:space="preserve">In this context, Nicaraguan women face severe threats to their fundamental rights without protection or recourse. At least 71 women were murdered in the country in 2020, along with 63 in 2019 and 61 in 2018. Out of the 71 cases in 2020, barely 30% ended with the conviction of the guilty party. As of 3 June, 27 women had been killed so far this year. Meanwhile, 124 political prisoners remain behind bars, including 9 women. The Inter-American Commission on Human Rights has warned that while in detention, these women “have faced violations of their human rights, aggravated by reason of their gender, including acts of sexual violence, such as rape, as well as overcrowded conditions, lack of access to health care, inadequate food, punishment, and other reprisals.” During the COVID-19 pandemic, Nicaraguan authorities have continued their systematic use of repression against former political prisoners, human rights defenders, indigenous people, Afro-descendants, women, families of the victims of repression and citizens who continue to exercise their right to dissent. With regard to the right to health, during the protests of April 2018, medical attention was denied to those who participated in protests and/or roadblocks and personnel who refused to follow these instructions were targeted for intimidation and retaliation.  The COVID-19 pandemic finds Nicaragua with a politicized health system with a government who declines to take the measures suggested by the World Health Organization (WHO) and has returned to harassing medical personnel who criticize the government’s management of the crisis. </w:t>
      </w:r>
    </w:p>
    <w:p w:rsidR="00000000" w:rsidDel="00000000" w:rsidP="00000000" w:rsidRDefault="00000000" w:rsidRPr="00000000" w14:paraId="0000001F">
      <w:pPr>
        <w:spacing w:after="240" w:before="240" w:lineRule="auto"/>
        <w:jc w:val="both"/>
        <w:rPr/>
      </w:pPr>
      <w:r w:rsidDel="00000000" w:rsidR="00000000" w:rsidRPr="00000000">
        <w:rPr>
          <w:rtl w:val="0"/>
        </w:rPr>
        <w:t xml:space="preserve">The human rights situation in Nicaragua, whose socio-political crisis is now well into its third year, has escalated into an emergency. In recent weeks, repression has worsened dramatically with the detention of 16 prominent opposition figures (of whom, six were women),   including four probable presidential candidates aiming to challenge President Daniel Ortega in November’s national elections.  Legislation aimed at impeding the work of civil society organizations places the rights to freedom of association, peaceful assembly, and expression under constant attack, including by forcing human rights organizations to cease their operations. </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The presentation of the Nicaragua State review to the CEDAW Committee  has been one  of the few signs of good-faith cooperation with the United Nations human rights protection system since the beginning of the crisis, and the last time the Committee had an interactive dialogue with Nicaragua was 14 years ago. The review is thus key to bring to light the documentation of serious rights violations in Nicaragua, establish a constructive dialogue with the State as well as to urge the adoption of urgent institutional reforms regarding protection of women against discrimination exacerbated by the COVID-19 pandemic. Furthermore, it is precisely for this importance that Nicaraguan civil society organizations have been working intensively and despite all the difficulties of the pandemic to submit substantive information to the Committee.</w:t>
      </w:r>
      <w:r w:rsidDel="00000000" w:rsidR="00000000" w:rsidRPr="00000000">
        <w:rPr>
          <w:rtl w:val="0"/>
        </w:rPr>
      </w:r>
    </w:p>
    <w:p w:rsidR="00000000" w:rsidDel="00000000" w:rsidP="00000000" w:rsidRDefault="00000000" w:rsidRPr="00000000" w14:paraId="00000021">
      <w:pPr>
        <w:jc w:val="both"/>
        <w:rPr>
          <w:b w:val="1"/>
        </w:rPr>
      </w:pPr>
      <w:r w:rsidDel="00000000" w:rsidR="00000000" w:rsidRPr="00000000">
        <w:rPr>
          <w:b w:val="1"/>
          <w:rtl w:val="0"/>
        </w:rPr>
        <w:t xml:space="preserve">Concerning South Africa</w:t>
      </w:r>
    </w:p>
    <w:p w:rsidR="00000000" w:rsidDel="00000000" w:rsidP="00000000" w:rsidRDefault="00000000" w:rsidRPr="00000000" w14:paraId="00000022">
      <w:pPr>
        <w:jc w:val="both"/>
        <w:rPr>
          <w:highlight w:val="yellow"/>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The review of South Africa has already been postponed two times since the beginning of the pandemic. It has been 10 years since the last CEDAW combined II-IV review of South Africa that took place in 2011. We are fully aware of the State’s failures in fulfilling its reporting duties and are worried that further delays and postponements will have a cascading effect, requiring constant updates to the information that has been already submitted given the increasing human rights violations of women in South Africa since its State report in 2019.</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South Africa has among the highest recorded incidents of violence against women in their diversity and the apartheid’s legacy of inequality and violence places poor Black women in a particularly vulnerable position. Conditions of work for women in their diversity remain largely untransformed and dominated by patriarchal behaviour and violence and social protection floors that are discriminatory, exclusionary and inadequate. In the context of the pandemic, these conditions have further deteriorated.</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Black women from poorer or low-income areas who rely on state provision of access to health who are living  with HIV, and who were pregnant at the time and about to give birth were forced and coerced into sterilisation which deprived them of their rights to bodily autonomy and choice. South Africa has among the highest inequality in the world with about 1.9 million South African households living in informal dwellings. The burden of poverty of black women and girls  remains high and consistent. Despite women making up more than 51% of the population, less than 15% of them own land including agricultural land. The marriage framework continues to discriminate against religious marriages by not recognising them as valid marriage. Women in such marriages, who are already vulnerable, are required to approach court to seek relief. Legal fees are exorbitant and unaffordable making women in these marriages even more vulnerable and marginalised. Child marriages are also legal within this framework. Many aspects of service provision and legal frameworks continue to operate in a binary and heteronormative framework that perpetually excludes and discriminates against women with diverse gender identities, gender expressions and sex characteristics in seeking healthcare, education, employment among others and places them at risk of gender based violence. The legal framework of South Africa continues to criminalise sex work which forces sex workers to live with discrimination, violence and stigma associated with the criminalisation. Access to sexual and reproductive health rights remain dire for many women and girls with poor and black girls struggling to access such services consistently, and the handling of the COVID-19 pandemic has only worsened the current context.</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b w:val="1"/>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2A">
      <w:pPr>
        <w:shd w:fill="ffffff" w:val="clear"/>
        <w:spacing w:line="276" w:lineRule="auto"/>
        <w:jc w:val="both"/>
        <w:rPr/>
      </w:pPr>
      <w:r w:rsidDel="00000000" w:rsidR="00000000" w:rsidRPr="00000000">
        <w:rPr>
          <w:rtl w:val="0"/>
        </w:rPr>
        <w:t xml:space="preserve">T</w:t>
      </w:r>
      <w:r w:rsidDel="00000000" w:rsidR="00000000" w:rsidRPr="00000000">
        <w:rPr>
          <w:rtl w:val="0"/>
        </w:rPr>
        <w:t xml:space="preserve">he climate crisis and the COVID-19 pandemic have their roots in an unjust economic system.  And the failures to contain them are also tied to systems of exclusions and inequality. Dealing with structural inequalities including racism, colonialism, patriarchy, militarism, and poverty resulting from neoliberal policies must go hand in hand with States’ responses to COVID19 and the ensuing economic recession. No robust nor gender-responsive post COVID-19 recovery will happen without sharing the collective burden of women’s unpaid care work. Nor will it happen without ensuring quality, accessible social protection and universal public services such as water, sanitation and health services. Governments must dismantle corrupt, neoliberal and militarised economic systems and institutions. They must move beyond growth and GDP as a measure of progress. They must instead support and advance economic models and policies that are gender-responsive, based on human rights, environmental protection.</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t xml:space="preserve">The specific and disproportionate impacts of the pandemic on women and marginalized persons are far from being fully recognized, let alone addressed. Additionally, the specific entry points for creating systemic and structural changes, especially related to women’s economic rights and health rights, exacerbated by the COVID-19 pandemic must also be seized upon by all actors and institutions working to ensure women’s rights, including the Committee.</w:t>
      </w:r>
      <w:r w:rsidDel="00000000" w:rsidR="00000000" w:rsidRPr="00000000">
        <w:rPr>
          <w:color w:val="3c4043"/>
          <w:highlight w:val="white"/>
          <w:rtl w:val="0"/>
        </w:rPr>
        <w:t xml:space="preserve"> </w:t>
      </w:r>
      <w:r w:rsidDel="00000000" w:rsidR="00000000" w:rsidRPr="00000000">
        <w:rPr>
          <w:rtl w:val="0"/>
        </w:rPr>
        <w:t xml:space="preserve">As the COVID-19 pandemic rages unabated with far graver humanitarian costs in the Global South and with the vaccine remaining out of reach for the vast majority of the global population, we urge the Committee to respond to this new reality and continue showing leadership as the singular, international monitoring mechanism for women’s rights. We also make the following specific recommendations:</w:t>
      </w:r>
    </w:p>
    <w:p w:rsidR="00000000" w:rsidDel="00000000" w:rsidP="00000000" w:rsidRDefault="00000000" w:rsidRPr="00000000" w14:paraId="0000002D">
      <w:pPr>
        <w:numPr>
          <w:ilvl w:val="0"/>
          <w:numId w:val="1"/>
        </w:numPr>
        <w:ind w:left="720" w:hanging="360"/>
        <w:jc w:val="both"/>
        <w:rPr/>
      </w:pPr>
      <w:r w:rsidDel="00000000" w:rsidR="00000000" w:rsidRPr="00000000">
        <w:rPr>
          <w:rtl w:val="0"/>
        </w:rPr>
        <w:t xml:space="preserve">the Committee must resume reviews of State parties’ periodic reports either virtually or in person if possible, as this remains the singular viable means by which to address the protection gap for women’s rights in light of the continuing challenges posed by the COVID-19 pandemic, including lack of access to COVID-19 vaccines for the vast majority of Global South countries.</w:t>
      </w:r>
    </w:p>
    <w:p w:rsidR="00000000" w:rsidDel="00000000" w:rsidP="00000000" w:rsidRDefault="00000000" w:rsidRPr="00000000" w14:paraId="0000002E">
      <w:pPr>
        <w:numPr>
          <w:ilvl w:val="0"/>
          <w:numId w:val="1"/>
        </w:numPr>
        <w:ind w:left="720" w:hanging="360"/>
        <w:jc w:val="both"/>
        <w:rPr/>
      </w:pPr>
      <w:r w:rsidDel="00000000" w:rsidR="00000000" w:rsidRPr="00000000">
        <w:rPr>
          <w:rtl w:val="0"/>
        </w:rPr>
        <w:t xml:space="preserve">For the Office of the High Commissioner of Human Rights and State parties to provide all requisite support to the Committee to enable the organization of virtual sessions with meaningful civil society participation.</w:t>
      </w: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 </w:t>
      </w:r>
    </w:p>
    <w:p w:rsidR="00000000" w:rsidDel="00000000" w:rsidP="00000000" w:rsidRDefault="00000000" w:rsidRPr="00000000" w14:paraId="00000030">
      <w:pPr>
        <w:jc w:val="both"/>
        <w:rPr/>
      </w:pPr>
      <w:r w:rsidDel="00000000" w:rsidR="00000000" w:rsidRPr="00000000">
        <w:rPr>
          <w:rtl w:val="0"/>
        </w:rPr>
        <w:t xml:space="preserve">This statement is delivered on behalf of:</w:t>
      </w:r>
    </w:p>
    <w:p w:rsidR="00000000" w:rsidDel="00000000" w:rsidP="00000000" w:rsidRDefault="00000000" w:rsidRPr="00000000" w14:paraId="00000031">
      <w:pPr>
        <w:numPr>
          <w:ilvl w:val="0"/>
          <w:numId w:val="2"/>
        </w:numPr>
        <w:shd w:fill="ffffff" w:val="clear"/>
        <w:spacing w:before="200" w:lineRule="auto"/>
        <w:ind w:left="720" w:hanging="360"/>
        <w:rPr>
          <w:color w:val="222222"/>
        </w:rPr>
      </w:pPr>
      <w:r w:rsidDel="00000000" w:rsidR="00000000" w:rsidRPr="00000000">
        <w:rPr>
          <w:rtl w:val="0"/>
        </w:rPr>
        <w:t xml:space="preserve">International Institute on Race, Equality and Human Rights (Race and Equality)</w:t>
      </w:r>
    </w:p>
    <w:p w:rsidR="00000000" w:rsidDel="00000000" w:rsidP="00000000" w:rsidRDefault="00000000" w:rsidRPr="00000000" w14:paraId="00000032">
      <w:pPr>
        <w:numPr>
          <w:ilvl w:val="0"/>
          <w:numId w:val="2"/>
        </w:numPr>
        <w:ind w:left="720" w:hanging="360"/>
        <w:jc w:val="both"/>
        <w:rPr>
          <w:u w:val="none"/>
        </w:rPr>
      </w:pPr>
      <w:r w:rsidDel="00000000" w:rsidR="00000000" w:rsidRPr="00000000">
        <w:rPr>
          <w:rtl w:val="0"/>
        </w:rPr>
        <w:t xml:space="preserve">International Service for Human Rights (ISHR)</w:t>
      </w:r>
    </w:p>
    <w:p w:rsidR="00000000" w:rsidDel="00000000" w:rsidP="00000000" w:rsidRDefault="00000000" w:rsidRPr="00000000" w14:paraId="00000033">
      <w:pPr>
        <w:numPr>
          <w:ilvl w:val="0"/>
          <w:numId w:val="2"/>
        </w:numPr>
        <w:ind w:left="720" w:hanging="360"/>
        <w:jc w:val="both"/>
        <w:rPr>
          <w:u w:val="none"/>
        </w:rPr>
      </w:pPr>
      <w:r w:rsidDel="00000000" w:rsidR="00000000" w:rsidRPr="00000000">
        <w:rPr>
          <w:rtl w:val="0"/>
        </w:rPr>
        <w:t xml:space="preserve">International Women’s Rights Action Watch Asia Pacific (IWRAW AP)</w:t>
      </w:r>
    </w:p>
    <w:p w:rsidR="00000000" w:rsidDel="00000000" w:rsidP="00000000" w:rsidRDefault="00000000" w:rsidRPr="00000000" w14:paraId="00000034">
      <w:pPr>
        <w:numPr>
          <w:ilvl w:val="0"/>
          <w:numId w:val="2"/>
        </w:numPr>
        <w:ind w:left="720" w:hanging="360"/>
        <w:jc w:val="both"/>
        <w:rPr>
          <w:u w:val="none"/>
        </w:rPr>
      </w:pPr>
      <w:r w:rsidDel="00000000" w:rsidR="00000000" w:rsidRPr="00000000">
        <w:rPr>
          <w:rtl w:val="0"/>
        </w:rPr>
        <w:t xml:space="preserve">Sexual Rights Initiative (SRI)</w:t>
      </w:r>
    </w:p>
    <w:p w:rsidR="00000000" w:rsidDel="00000000" w:rsidP="00000000" w:rsidRDefault="00000000" w:rsidRPr="00000000" w14:paraId="00000035">
      <w:pPr>
        <w:numPr>
          <w:ilvl w:val="0"/>
          <w:numId w:val="2"/>
        </w:numPr>
        <w:ind w:left="720" w:hanging="360"/>
        <w:jc w:val="both"/>
        <w:rPr>
          <w:u w:val="none"/>
        </w:rPr>
      </w:pPr>
      <w:r w:rsidDel="00000000" w:rsidR="00000000" w:rsidRPr="00000000">
        <w:rPr>
          <w:rtl w:val="0"/>
        </w:rPr>
        <w:t xml:space="preserve">Women’s International League for Peace and Freedom (WILPF)</w:t>
      </w:r>
    </w:p>
    <w:p w:rsidR="00000000" w:rsidDel="00000000" w:rsidP="00000000" w:rsidRDefault="00000000" w:rsidRPr="00000000" w14:paraId="00000036">
      <w:pPr>
        <w:ind w:left="720" w:firstLine="0"/>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 </w:t>
      </w:r>
    </w:p>
    <w:p w:rsidR="00000000" w:rsidDel="00000000" w:rsidP="00000000" w:rsidRDefault="00000000" w:rsidRPr="00000000" w14:paraId="00000038">
      <w:pPr>
        <w:jc w:val="both"/>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Civil society coalition of NGOs working to ensure CEDAW implementation in Indonesia</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FDF1C-ECDE-4038-B72A-5749881012F3}"/>
</file>

<file path=customXml/itemProps2.xml><?xml version="1.0" encoding="utf-8"?>
<ds:datastoreItem xmlns:ds="http://schemas.openxmlformats.org/officeDocument/2006/customXml" ds:itemID="{555EF585-1A09-4000-AA77-1114901A3AA9}"/>
</file>

<file path=customXml/itemProps3.xml><?xml version="1.0" encoding="utf-8"?>
<ds:datastoreItem xmlns:ds="http://schemas.openxmlformats.org/officeDocument/2006/customXml" ds:itemID="{68806A21-23EA-4731-8D21-026F81065D8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