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1F1BA" w14:textId="0C92BFDD" w:rsidR="00652A20" w:rsidRDefault="00652A20" w:rsidP="00652A20">
      <w:pPr>
        <w:jc w:val="center"/>
        <w:rPr>
          <w:b/>
          <w:bCs/>
          <w:lang w:val="es-ES_tradnl"/>
        </w:rPr>
      </w:pPr>
    </w:p>
    <w:p w14:paraId="4C0B89E7" w14:textId="32614FDB" w:rsidR="00652A20" w:rsidRPr="0081612F" w:rsidRDefault="00652A20" w:rsidP="00652A20">
      <w:pPr>
        <w:jc w:val="center"/>
        <w:rPr>
          <w:rFonts w:ascii="Book Antiqua" w:hAnsi="Book Antiqua"/>
        </w:rPr>
      </w:pPr>
      <w:r w:rsidRPr="0081612F">
        <w:rPr>
          <w:rFonts w:ascii="Book Antiqua" w:hAnsi="Book Antiqua"/>
          <w:b/>
          <w:bCs/>
          <w:lang w:val="es-ES_tradnl"/>
        </w:rPr>
        <w:t>SOBRE LA POLITICA DE PROTECCIÓN DE PUEBLOS INDÍGENAS EN AISLAMIENTO VOLUNTARIO Y CONTACTO INICIAL</w:t>
      </w:r>
    </w:p>
    <w:p w14:paraId="71B62DD8" w14:textId="77777777" w:rsidR="00652A20" w:rsidRPr="0081612F" w:rsidRDefault="00652A20" w:rsidP="00652A20">
      <w:pPr>
        <w:pStyle w:val="ListParagraph"/>
        <w:jc w:val="both"/>
        <w:rPr>
          <w:rFonts w:ascii="Book Antiqua" w:hAnsi="Book Antiqua" w:cs="Arial"/>
          <w:b/>
          <w:lang w:val="es-ES_tradnl"/>
        </w:rPr>
      </w:pPr>
    </w:p>
    <w:p w14:paraId="7509A9E2" w14:textId="2936A8B8" w:rsidR="00652A20" w:rsidRPr="0081612F" w:rsidRDefault="00652A20" w:rsidP="00652A20">
      <w:pPr>
        <w:pStyle w:val="ListParagraph"/>
        <w:numPr>
          <w:ilvl w:val="0"/>
          <w:numId w:val="1"/>
        </w:numPr>
        <w:jc w:val="both"/>
        <w:rPr>
          <w:rFonts w:ascii="Book Antiqua" w:hAnsi="Book Antiqua" w:cs="Arial"/>
          <w:b/>
          <w:lang w:val="es-ES_tradnl"/>
        </w:rPr>
      </w:pPr>
      <w:r w:rsidRPr="0081612F">
        <w:rPr>
          <w:rFonts w:ascii="Book Antiqua" w:hAnsi="Book Antiqua" w:cs="Arial"/>
          <w:b/>
          <w:lang w:val="es-ES_tradnl"/>
        </w:rPr>
        <w:t>Antecedentes</w:t>
      </w:r>
    </w:p>
    <w:p w14:paraId="0EC72B08" w14:textId="6D361893" w:rsidR="00652A20" w:rsidRPr="0081612F" w:rsidRDefault="00652A20" w:rsidP="00652A20">
      <w:pPr>
        <w:jc w:val="both"/>
        <w:rPr>
          <w:rFonts w:ascii="Book Antiqua" w:hAnsi="Book Antiqua"/>
          <w:lang w:val="es-ES_tradnl"/>
        </w:rPr>
      </w:pPr>
      <w:r w:rsidRPr="0081612F">
        <w:rPr>
          <w:rFonts w:ascii="Book Antiqua" w:hAnsi="Book Antiqua"/>
          <w:lang w:val="es-ES_tradnl"/>
        </w:rPr>
        <w:t>El Parque Nacional Yasuní (PNY) es un área nacional protegida reconocida oficialmente en 1979 que, junto al Territorio Waorani (1989) y la Zona Intangible Tagaeri Taromenane (ZITT) (1999) constituyen el hogar de varios pueblos y culturas amazónicas, y, principalmente, territorio histórico y ancestral de la nacionalidad waorani. Dentro de esta nacionalidad existen tres pueblos o grupos familiares en aislamiento voluntario, conocidos como Tagaeri, Taromenane y Dogakaeri.</w:t>
      </w:r>
      <w:r w:rsidRPr="0081612F">
        <w:rPr>
          <w:rStyle w:val="FootnoteReference"/>
          <w:rFonts w:ascii="Book Antiqua" w:hAnsi="Book Antiqua"/>
          <w:lang w:val="es-ES_tradnl"/>
        </w:rPr>
        <w:footnoteReference w:id="1"/>
      </w:r>
    </w:p>
    <w:p w14:paraId="4F59A348" w14:textId="77777777" w:rsidR="00817343" w:rsidRPr="0081612F" w:rsidRDefault="00817343" w:rsidP="00652A20">
      <w:pPr>
        <w:jc w:val="both"/>
        <w:rPr>
          <w:rFonts w:ascii="Book Antiqua" w:hAnsi="Book Antiqua"/>
          <w:lang w:val="es-ES_tradnl"/>
        </w:rPr>
      </w:pPr>
    </w:p>
    <w:p w14:paraId="09CA82FD" w14:textId="77777777"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A lo largo de la primera década del siglo XXI, una serie de presiones territoriales, conflictos interétnicos y expansión de las fronteras extractivas, especialmente petrolera y maderera, desembocaron en el estallido de conflictos violentos con estos grupos familiares a los que la legislación ecuatoriana conoce como pueblos indígenas en aislamiento voluntario (PIAV). </w:t>
      </w:r>
    </w:p>
    <w:p w14:paraId="390FD66A" w14:textId="3CD9DFF1"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Los enfrentamientos están motivados por tres factores principales: a) la persistencia de conflictos históricos entre algunos clanes waorani y los Taromenane; b) la presión multifactorial sobre los territorios de los PIAV ocasionada por la expansión de la frontera de colonización, la ampliación de las actividades extractivas y, c) el incremento de la movilidad waorani más próxima al territorio de los aislados, entre otros elementos importantes. </w:t>
      </w:r>
      <w:r w:rsidRPr="0081612F">
        <w:rPr>
          <w:rStyle w:val="FootnoteReference"/>
          <w:rFonts w:ascii="Book Antiqua" w:hAnsi="Book Antiqua"/>
          <w:lang w:val="es-ES_tradnl"/>
        </w:rPr>
        <w:footnoteReference w:id="2"/>
      </w:r>
      <w:r w:rsidRPr="0081612F">
        <w:rPr>
          <w:rFonts w:ascii="Book Antiqua" w:hAnsi="Book Antiqua"/>
          <w:lang w:val="es-ES_tradnl"/>
        </w:rPr>
        <w:t xml:space="preserve"> </w:t>
      </w:r>
    </w:p>
    <w:p w14:paraId="0D70F1C7" w14:textId="77777777" w:rsidR="00817343" w:rsidRPr="0081612F" w:rsidRDefault="00817343" w:rsidP="00652A20">
      <w:pPr>
        <w:jc w:val="both"/>
        <w:rPr>
          <w:rFonts w:ascii="Book Antiqua" w:hAnsi="Book Antiqua"/>
          <w:lang w:val="es-ES_tradnl"/>
        </w:rPr>
      </w:pPr>
    </w:p>
    <w:p w14:paraId="2FA16452" w14:textId="4477683A" w:rsidR="00652A20" w:rsidRPr="0081612F" w:rsidRDefault="00652A20" w:rsidP="00652A20">
      <w:pPr>
        <w:jc w:val="both"/>
        <w:rPr>
          <w:rFonts w:ascii="Book Antiqua" w:hAnsi="Book Antiqua"/>
          <w:lang w:val="es-ES_tradnl"/>
        </w:rPr>
      </w:pPr>
      <w:r w:rsidRPr="0081612F">
        <w:rPr>
          <w:rFonts w:ascii="Book Antiqua" w:hAnsi="Book Antiqua"/>
          <w:lang w:val="es-ES_tradnl"/>
        </w:rPr>
        <w:t>En 2006, frente a la persistente evidencia del deterioro de la situación y la solicitud de medidas por parte de las organizaciones indígenas y asesores indigenistas, la Comisión Interamericana de Derechos Humanos otorgó medidas cautelares a favor de los pueblos indígenas en aislamiento</w:t>
      </w:r>
      <w:r w:rsidRPr="0081612F">
        <w:rPr>
          <w:rStyle w:val="FootnoteReference"/>
          <w:rFonts w:ascii="Book Antiqua" w:hAnsi="Book Antiqua"/>
          <w:lang w:val="es-ES_tradnl"/>
        </w:rPr>
        <w:footnoteReference w:id="3"/>
      </w:r>
      <w:r w:rsidRPr="0081612F">
        <w:rPr>
          <w:rFonts w:ascii="Book Antiqua" w:hAnsi="Book Antiqua"/>
          <w:lang w:val="es-ES_tradnl"/>
        </w:rPr>
        <w:t xml:space="preserve">. Las medidas instaban al Estado Ecuatoriano a proteger el territorio, controlar el ingreso hacia las zonas habitadas por los PIAS y evitar que se realicen actividades extractivas (explotación de madera, petróleo, minería, cacería y tráfico de especies) dentro de sus áreas de vida. </w:t>
      </w:r>
    </w:p>
    <w:p w14:paraId="33E659BB" w14:textId="77777777" w:rsidR="00652A20" w:rsidRPr="0081612F" w:rsidRDefault="00652A20" w:rsidP="00652A20">
      <w:pPr>
        <w:jc w:val="both"/>
        <w:rPr>
          <w:rFonts w:ascii="Book Antiqua" w:hAnsi="Book Antiqua"/>
          <w:lang w:val="es-ES_tradnl"/>
        </w:rPr>
      </w:pPr>
    </w:p>
    <w:p w14:paraId="5D926006" w14:textId="77777777" w:rsidR="00652A20" w:rsidRPr="0081612F" w:rsidRDefault="00652A20" w:rsidP="00652A20">
      <w:pPr>
        <w:pStyle w:val="ListParagraph"/>
        <w:numPr>
          <w:ilvl w:val="0"/>
          <w:numId w:val="1"/>
        </w:numPr>
        <w:jc w:val="both"/>
        <w:rPr>
          <w:rFonts w:ascii="Book Antiqua" w:hAnsi="Book Antiqua" w:cs="Arial"/>
          <w:b/>
          <w:bCs/>
          <w:lang w:val="es-ES_tradnl"/>
        </w:rPr>
      </w:pPr>
      <w:r w:rsidRPr="0081612F">
        <w:rPr>
          <w:rFonts w:ascii="Book Antiqua" w:hAnsi="Book Antiqua" w:cs="Arial"/>
          <w:b/>
          <w:bCs/>
          <w:lang w:val="es-ES_tradnl"/>
        </w:rPr>
        <w:t xml:space="preserve">Acciones Implementadas por el Estado Ecuatoriano a partir de la adopción de medidas cautelares. </w:t>
      </w:r>
    </w:p>
    <w:p w14:paraId="537AB5E6" w14:textId="30F36B3E" w:rsidR="00652A20" w:rsidRPr="0081612F" w:rsidRDefault="00652A20" w:rsidP="00652A20">
      <w:pPr>
        <w:jc w:val="both"/>
        <w:rPr>
          <w:rFonts w:ascii="Book Antiqua" w:hAnsi="Book Antiqua"/>
          <w:lang w:val="es-ES_tradnl"/>
        </w:rPr>
      </w:pPr>
      <w:r w:rsidRPr="0081612F">
        <w:rPr>
          <w:rFonts w:ascii="Book Antiqua" w:hAnsi="Book Antiqua"/>
          <w:lang w:val="es-ES_tradnl"/>
        </w:rPr>
        <w:t>A partir de 2007, el Estado Ecuatoriano adoptó una serie de acciones para implementar las medidas cautelares.</w:t>
      </w:r>
    </w:p>
    <w:p w14:paraId="0565FF8C" w14:textId="77777777" w:rsidR="00652A20" w:rsidRPr="0081612F" w:rsidRDefault="00652A20" w:rsidP="00652A20">
      <w:pPr>
        <w:jc w:val="both"/>
        <w:rPr>
          <w:rFonts w:ascii="Book Antiqua" w:hAnsi="Book Antiqua"/>
          <w:lang w:val="es-ES_tradnl"/>
        </w:rPr>
      </w:pPr>
    </w:p>
    <w:p w14:paraId="25A10BBA" w14:textId="35093F0E"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 En primer término, se emite el Decreto de delimitación de la Zona Intangible Tagaeri Taromenane; se crea, en 2008, el Plan de Medidas Cautelares a cargo del Ministerio de Ambiente (actualmente Ministerio de Ambiente, Agua y Transición Ecológica) y posteriormente del Ministerio de Justicia, Derechos Humanos y Cultos (actualmente Ministerio de la Mujer y Derechos Humanos). Se presentó, además, el borrador de una Política de Protección de Pueblos Indígenas en Aislamiento Voluntario, sin que hasta la presente fecha haya sido oficializado.   </w:t>
      </w:r>
    </w:p>
    <w:p w14:paraId="3EC4C178" w14:textId="77777777" w:rsidR="00652A20" w:rsidRPr="0081612F" w:rsidRDefault="00652A20" w:rsidP="00652A20">
      <w:pPr>
        <w:jc w:val="both"/>
        <w:rPr>
          <w:rFonts w:ascii="Book Antiqua" w:hAnsi="Book Antiqua"/>
          <w:lang w:val="es-ES_tradnl"/>
        </w:rPr>
      </w:pPr>
    </w:p>
    <w:p w14:paraId="2E4BA9E0" w14:textId="1D3EFA14"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Si bien estas acciones estatales procuraron adoptar el marco sugerido por las Directrices de Protección de Pueblos Indígenas en Aislamiento Voluntario de la Oficina del Alto Comisionado de Derechos Humanos de Naciones Unidas, dichas medidas no han sido suficientes para garantizar la prevención y reparación de nuevas vulneraciones a los derechos de los PIAS. De hecho, entre 2013 y 2017 se han presentado al menos tres nuevos episodios violentos en los que se han visto afectados los clanes Tagaeri-Taromenane-Dogakaeri, con el saldo de víctimas mortales y 2 niñas pertenecientes a los clanes mencionados entraron en un proceso de contacto forzoso y viven actualmente con las comunidades waorani. </w:t>
      </w:r>
    </w:p>
    <w:p w14:paraId="140C90CF" w14:textId="77777777" w:rsidR="00652A20" w:rsidRPr="0081612F" w:rsidRDefault="00652A20" w:rsidP="00652A20">
      <w:pPr>
        <w:jc w:val="both"/>
        <w:rPr>
          <w:rFonts w:ascii="Book Antiqua" w:hAnsi="Book Antiqua"/>
          <w:lang w:val="es-ES_tradnl"/>
        </w:rPr>
      </w:pPr>
    </w:p>
    <w:p w14:paraId="27C0BEE8" w14:textId="77777777" w:rsidR="00652A20" w:rsidRPr="0081612F" w:rsidRDefault="00652A20" w:rsidP="00652A20">
      <w:pPr>
        <w:jc w:val="both"/>
        <w:rPr>
          <w:rFonts w:ascii="Book Antiqua" w:hAnsi="Book Antiqua"/>
          <w:iCs/>
          <w:lang w:val="es-ES_tradnl"/>
        </w:rPr>
      </w:pPr>
      <w:r w:rsidRPr="0081612F">
        <w:rPr>
          <w:rFonts w:ascii="Book Antiqua" w:hAnsi="Book Antiqua"/>
          <w:iCs/>
          <w:lang w:val="es-ES_tradnl"/>
        </w:rPr>
        <w:t>Tampoco han logrado detener las actividades ilegales de tala, tráfico ilegal de especies en la ZITT y el PNY. Además, se han reportado derrames de petróleo en los principales ríos que atraviesan la zona intangible, sin que se haya implementado una remediación integral.</w:t>
      </w:r>
    </w:p>
    <w:p w14:paraId="28689D87"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Es por ello que, a partir de septiembre de 2020, la Comisión Interamericana de Derechos Humanos admitió que el caso Tagaeri-Taromenane pasara a la Corte Interamericana por considerar que el Estado Ecuatoriano habría incumplido la implementación de medidas cautelares. </w:t>
      </w:r>
    </w:p>
    <w:p w14:paraId="7714E5D5" w14:textId="484A1950" w:rsidR="00652A20" w:rsidRPr="0081612F" w:rsidRDefault="00652A20" w:rsidP="0081612F">
      <w:pPr>
        <w:spacing w:after="160"/>
        <w:jc w:val="both"/>
        <w:rPr>
          <w:rFonts w:ascii="Book Antiqua" w:hAnsi="Book Antiqua"/>
          <w:iCs/>
          <w:lang w:val="es-ES_tradnl"/>
        </w:rPr>
      </w:pPr>
      <w:r w:rsidRPr="0081612F">
        <w:rPr>
          <w:rFonts w:ascii="Book Antiqua" w:hAnsi="Book Antiqua"/>
          <w:iCs/>
          <w:lang w:val="es-ES_tradnl"/>
        </w:rPr>
        <w:t>A la presente fecha, el caso se litiga en la Corte y se han cumplido varias audiencias. Se espera que la Corte emita una sentencia en los próximos meses.</w:t>
      </w:r>
      <w:r w:rsidRPr="0081612F">
        <w:rPr>
          <w:rStyle w:val="FootnoteReference"/>
          <w:rFonts w:ascii="Book Antiqua" w:hAnsi="Book Antiqua"/>
          <w:iCs/>
          <w:lang w:val="es-ES_tradnl"/>
        </w:rPr>
        <w:footnoteReference w:id="4"/>
      </w:r>
      <w:r w:rsidRPr="0081612F">
        <w:rPr>
          <w:rFonts w:ascii="Book Antiqua" w:hAnsi="Book Antiqua"/>
          <w:iCs/>
          <w:lang w:val="es-ES_tradnl"/>
        </w:rPr>
        <w:t xml:space="preserve"> </w:t>
      </w:r>
    </w:p>
    <w:p w14:paraId="77C2165C" w14:textId="77777777" w:rsidR="00652A20" w:rsidRPr="0081612F" w:rsidRDefault="00652A20" w:rsidP="00652A20">
      <w:pPr>
        <w:pStyle w:val="ListParagraph"/>
        <w:numPr>
          <w:ilvl w:val="0"/>
          <w:numId w:val="1"/>
        </w:numPr>
        <w:spacing w:after="160" w:line="256" w:lineRule="auto"/>
        <w:jc w:val="both"/>
        <w:rPr>
          <w:rFonts w:ascii="Book Antiqua" w:hAnsi="Book Antiqua" w:cs="Arial"/>
          <w:b/>
          <w:bCs/>
          <w:iCs/>
          <w:lang w:val="es-ES_tradnl"/>
        </w:rPr>
      </w:pPr>
      <w:r w:rsidRPr="0081612F">
        <w:rPr>
          <w:rFonts w:ascii="Book Antiqua" w:hAnsi="Book Antiqua" w:cs="Arial"/>
          <w:b/>
          <w:bCs/>
          <w:iCs/>
          <w:lang w:val="es-ES_tradnl"/>
        </w:rPr>
        <w:lastRenderedPageBreak/>
        <w:t xml:space="preserve">Implementación de la política de protección de los Pueblos Indígenas en Aislamiento Voluntario o Contacto Inicial y de las medidas para la protección de su salud y supervivencia. </w:t>
      </w:r>
    </w:p>
    <w:p w14:paraId="6BE0BC88"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Las medidas de protección adoptadas por el Estado ecuatoriano han sido insuficientes para revertir la sistemática situación de vulneración de derechos humanos de los pueblos indígenas en aislamiento voluntario (PIAV). En el anexo 1 se puede evidenciar el marco jurídico adoptado por el Estado Ecuatoriano en relación a la protección de Tagaeri – Taromenane; y en el Anexo 2 se pueden revisar las principales acciones de protección desarrolladas por las instituciones competentes durante el periodo 2019 – 2024. </w:t>
      </w:r>
    </w:p>
    <w:p w14:paraId="27ADAA04" w14:textId="2A773A0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En el siguiente apartado, sintetizaremos algunas de las observaciones más sustantivas que han efectuado organizaciones indígenas, expertos indigenistas y grupos de trabajo sobre la situación regional de los pueblos indígenas en aislamiento, hacia las políticas y acciones emprendidas por el Estado Ecuatoriano. </w:t>
      </w:r>
    </w:p>
    <w:p w14:paraId="3AF9E906" w14:textId="77777777" w:rsidR="00652A20" w:rsidRPr="0081612F" w:rsidRDefault="00652A20" w:rsidP="00652A20">
      <w:pPr>
        <w:spacing w:after="160"/>
        <w:jc w:val="both"/>
        <w:rPr>
          <w:rFonts w:ascii="Book Antiqua" w:hAnsi="Book Antiqua"/>
          <w:iCs/>
          <w:lang w:val="es-ES_tradnl"/>
        </w:rPr>
      </w:pPr>
    </w:p>
    <w:p w14:paraId="4C6011A0" w14:textId="40684935" w:rsidR="00652A20" w:rsidRPr="0081612F" w:rsidRDefault="00652A20" w:rsidP="00652A20">
      <w:pPr>
        <w:pStyle w:val="ListParagraph"/>
        <w:numPr>
          <w:ilvl w:val="0"/>
          <w:numId w:val="1"/>
        </w:numPr>
        <w:spacing w:after="160"/>
        <w:jc w:val="both"/>
        <w:rPr>
          <w:rFonts w:ascii="Book Antiqua" w:hAnsi="Book Antiqua" w:cs="Arial"/>
          <w:iCs/>
          <w:lang w:val="es-ES_tradnl"/>
        </w:rPr>
      </w:pPr>
      <w:r w:rsidRPr="0081612F">
        <w:rPr>
          <w:rFonts w:ascii="Book Antiqua" w:hAnsi="Book Antiqua" w:cs="Arial"/>
          <w:b/>
          <w:iCs/>
          <w:lang w:val="es-ES_tradnl"/>
        </w:rPr>
        <w:t xml:space="preserve">El Ecuador no ha promulgado una política oficial sobre Pueblos en Aislamiento Voluntario. </w:t>
      </w:r>
      <w:r w:rsidRPr="0081612F">
        <w:rPr>
          <w:rFonts w:ascii="Book Antiqua" w:hAnsi="Book Antiqua" w:cs="Arial"/>
          <w:iCs/>
          <w:lang w:val="es-ES_tradnl"/>
        </w:rPr>
        <w:t xml:space="preserve">  </w:t>
      </w:r>
    </w:p>
    <w:p w14:paraId="1C910D7B"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El Estado Ecuatoriano no ha implementado de manera oficial una política de protección a pueblos indígenas en aislamiento. Si bien se ha trazado un borrador de política pública, que incorporó algunos principios y directrices del Alto Comisionado de Derechos Humanos de </w:t>
      </w:r>
      <w:proofErr w:type="gramStart"/>
      <w:r w:rsidRPr="0081612F">
        <w:rPr>
          <w:rFonts w:ascii="Book Antiqua" w:hAnsi="Book Antiqua"/>
          <w:iCs/>
          <w:lang w:val="es-ES_tradnl"/>
        </w:rPr>
        <w:t>NN.UU</w:t>
      </w:r>
      <w:proofErr w:type="gramEnd"/>
      <w:r w:rsidRPr="0081612F">
        <w:rPr>
          <w:rFonts w:ascii="Book Antiqua" w:hAnsi="Book Antiqua"/>
          <w:iCs/>
          <w:lang w:val="es-ES_tradnl"/>
        </w:rPr>
        <w:t xml:space="preserve">, este borrador no llegó a adoptarse como política pública oficial del Estado Ecuatoriano. </w:t>
      </w:r>
    </w:p>
    <w:p w14:paraId="03BEDFCF"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Esta omisión ha sido uno de los obstáculos más significativos a la hora de implementar medidas de protección de los derechos humanos de los PIA y garantizar la intangibilidad de sus territorios. Al no existir una política pública que determine responsabilidades para la implementación de medidas, el control efectivo de amenazas territoriales y la debida coordinación entre instituciones del poder ejecutivo, la cooperación interinstitucional comporta un carácter discrecional y episódico. No existen metas a largo plazo, ni tampoco prelación en el logro de objetivos y el acceso a presupuestos consistentes con las medidas a implementar.  </w:t>
      </w:r>
    </w:p>
    <w:p w14:paraId="4C9CBD8C"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Otra dificultad derivada de este vacío de política pública estriba en la dificultad de regular las actuaciones estatales frente a las contingencias y la nula adopción de estándares en cuanto a reparación y restitución de derechos para las víctimas del conflicto interétnico.</w:t>
      </w:r>
    </w:p>
    <w:p w14:paraId="34208A4A"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La situación vivida por las niñas Taromenane, sobrevivientes de la masacre de 2013, ilustra con claridad la necesidad de mecanismos culturalmente apropiados para la reparación y restitución de derechos en contextos interculturales. Las niñas carecen hasta el momento de </w:t>
      </w:r>
      <w:r w:rsidRPr="0081612F">
        <w:rPr>
          <w:rFonts w:ascii="Book Antiqua" w:hAnsi="Book Antiqua"/>
          <w:iCs/>
          <w:lang w:val="es-ES_tradnl"/>
        </w:rPr>
        <w:lastRenderedPageBreak/>
        <w:t xml:space="preserve">un estatuto que respete su condición de miembros de un pueblo aislado enfrentando una situación de contacto inicial. En lugar de favorecer la preservación de sus identidades y establecer medidas que garanticen la atención adecuada por parte de los servicios sociales estatales, se optó por enrolar a las menores en el programa de “testigos protegidos” de la </w:t>
      </w:r>
      <w:proofErr w:type="gramStart"/>
      <w:r w:rsidRPr="0081612F">
        <w:rPr>
          <w:rFonts w:ascii="Book Antiqua" w:hAnsi="Book Antiqua"/>
          <w:iCs/>
          <w:lang w:val="es-ES_tradnl"/>
        </w:rPr>
        <w:t>Fiscalía General</w:t>
      </w:r>
      <w:proofErr w:type="gramEnd"/>
      <w:r w:rsidRPr="0081612F">
        <w:rPr>
          <w:rFonts w:ascii="Book Antiqua" w:hAnsi="Book Antiqua"/>
          <w:iCs/>
          <w:lang w:val="es-ES_tradnl"/>
        </w:rPr>
        <w:t xml:space="preserve"> del Estado. Evidentemente este tipo de programas no tomó en consideración el estatuto cultural de las menores y no solo dificultó el proceso de integración a la sociedad receptora, sino que en gran medida pudo haber contribuido a la marginalización e inapropiada supervisión del cumplimiento de sus derechos en al menos uno de los casos. Una de las menores fue expuesta a situaciones de revictimización y a nuevas vulneraciones de derechos.</w:t>
      </w:r>
      <w:r w:rsidRPr="0081612F">
        <w:rPr>
          <w:rStyle w:val="FootnoteReference"/>
          <w:rFonts w:ascii="Book Antiqua" w:hAnsi="Book Antiqua"/>
          <w:iCs/>
          <w:lang w:val="es-ES_tradnl"/>
        </w:rPr>
        <w:footnoteReference w:id="5"/>
      </w:r>
      <w:r w:rsidRPr="0081612F">
        <w:rPr>
          <w:rFonts w:ascii="Book Antiqua" w:hAnsi="Book Antiqua"/>
          <w:iCs/>
          <w:lang w:val="es-ES_tradnl"/>
        </w:rPr>
        <w:t xml:space="preserve"> </w:t>
      </w:r>
    </w:p>
    <w:p w14:paraId="65A12A29" w14:textId="47C183D5"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En el caso de las familias waorani que han sufrido ataques con víctimas fatales por parte de los PIAV, la inexistencia de una política clara en relación a la reparación ha dilatado la capacidad de respuesta del Estado en casos de reparación e indemnización urgentes, que han contribuido a generar nuevas espirales de violencia en medio del conflicto. </w:t>
      </w:r>
    </w:p>
    <w:p w14:paraId="65EB4E21" w14:textId="77777777" w:rsidR="00652A20" w:rsidRPr="0081612F" w:rsidRDefault="00652A20" w:rsidP="00652A20">
      <w:pPr>
        <w:spacing w:after="160"/>
        <w:jc w:val="both"/>
        <w:rPr>
          <w:rFonts w:ascii="Book Antiqua" w:hAnsi="Book Antiqua"/>
          <w:iCs/>
          <w:lang w:val="es-ES_tradnl"/>
        </w:rPr>
      </w:pPr>
    </w:p>
    <w:p w14:paraId="72DB48D3" w14:textId="77777777" w:rsidR="00652A20" w:rsidRPr="0081612F" w:rsidRDefault="00652A20" w:rsidP="00652A20">
      <w:pPr>
        <w:pStyle w:val="ListParagraph"/>
        <w:numPr>
          <w:ilvl w:val="0"/>
          <w:numId w:val="1"/>
        </w:numPr>
        <w:spacing w:after="160"/>
        <w:jc w:val="both"/>
        <w:rPr>
          <w:rFonts w:ascii="Book Antiqua" w:hAnsi="Book Antiqua" w:cs="Arial"/>
          <w:b/>
          <w:bCs/>
          <w:iCs/>
          <w:lang w:val="es-ES_tradnl"/>
        </w:rPr>
      </w:pPr>
      <w:r w:rsidRPr="0081612F">
        <w:rPr>
          <w:rFonts w:ascii="Book Antiqua" w:hAnsi="Book Antiqua" w:cs="Arial"/>
          <w:b/>
          <w:bCs/>
          <w:iCs/>
          <w:lang w:val="es-ES_tradnl"/>
        </w:rPr>
        <w:t xml:space="preserve">Fragilidad institucional y escasa asignación de recursos adecuados. </w:t>
      </w:r>
    </w:p>
    <w:p w14:paraId="6185B000"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La institución competente para el control y supervisión de la situación de los PIAV es la Dirección de Monitoreo y Seguimiento de Protección de Pueblos Indígenas en Aislamiento Voluntario (DPPIAV). La DPPIAV ha sido el resultado de la voluntad gubernamental de institucionalizar la acción contingente desplegada a partir de la ejecución del Plan de Medidas Cautelares. Sin embargo, los avatares que ha sufrido esta instancia gubernamental en relación a su consolidación institucional desdicen de los objetivos expresados en la creación de la Dirección. </w:t>
      </w:r>
    </w:p>
    <w:p w14:paraId="60BDD8D3" w14:textId="0F213A55"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Tras transferir las competencias del antiguo Plan de Medidas Cautelares desde el Ministerio del Ambiente del Ecuador (MAE)</w:t>
      </w:r>
      <w:r w:rsidRPr="0081612F">
        <w:rPr>
          <w:rStyle w:val="FootnoteReference"/>
          <w:rFonts w:ascii="Book Antiqua" w:hAnsi="Book Antiqua"/>
          <w:iCs/>
          <w:lang w:val="es-ES_tradnl"/>
        </w:rPr>
        <w:footnoteReference w:id="6"/>
      </w:r>
      <w:r w:rsidRPr="0081612F">
        <w:rPr>
          <w:rFonts w:ascii="Book Antiqua" w:hAnsi="Book Antiqua"/>
          <w:iCs/>
          <w:lang w:val="es-ES_tradnl"/>
        </w:rPr>
        <w:t xml:space="preserve"> hacia el Ministerio de Justicia, Derechos Humanos y Cultos (MJDHC), la DPPIAV ha sufrido un constante proceso de reorganización y reestructuración institucional. </w:t>
      </w:r>
    </w:p>
    <w:p w14:paraId="6E33F4E9"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El MJDHC integró dentro de su organigrama la Dirección de Protección de Pueblos Indígenas en Aislamiento Voluntario y se llegó a convenir la posibilidad de transformar a este despacho en una Subsecretaría con rango de acción institucional propia de una sub-cartera de Estado</w:t>
      </w:r>
      <w:r w:rsidRPr="0081612F">
        <w:rPr>
          <w:rStyle w:val="FootnoteReference"/>
          <w:rFonts w:ascii="Book Antiqua" w:hAnsi="Book Antiqua"/>
          <w:iCs/>
          <w:lang w:val="es-ES_tradnl"/>
        </w:rPr>
        <w:footnoteReference w:id="7"/>
      </w:r>
      <w:r w:rsidRPr="0081612F">
        <w:rPr>
          <w:rFonts w:ascii="Book Antiqua" w:hAnsi="Book Antiqua"/>
          <w:iCs/>
          <w:lang w:val="es-ES_tradnl"/>
        </w:rPr>
        <w:t>.</w:t>
      </w:r>
    </w:p>
    <w:p w14:paraId="5A477BD0" w14:textId="2B6C8F6F"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 En 2018, el Gobierno</w:t>
      </w:r>
      <w:r w:rsidR="00280B28">
        <w:rPr>
          <w:rFonts w:ascii="Book Antiqua" w:hAnsi="Book Antiqua"/>
          <w:iCs/>
          <w:lang w:val="es-ES_tradnl"/>
        </w:rPr>
        <w:t xml:space="preserve"> ecuatoriano </w:t>
      </w:r>
      <w:r w:rsidRPr="0081612F">
        <w:rPr>
          <w:rFonts w:ascii="Book Antiqua" w:hAnsi="Book Antiqua"/>
          <w:iCs/>
          <w:lang w:val="es-ES_tradnl"/>
        </w:rPr>
        <w:t xml:space="preserve">decide dar paso a la extinción del MJDH y transfiere la DPPIAV a la nueva Secretaría Nacional de Derechos Humanos, instancia adscrita a la </w:t>
      </w:r>
      <w:r w:rsidRPr="0081612F">
        <w:rPr>
          <w:rFonts w:ascii="Book Antiqua" w:hAnsi="Book Antiqua"/>
          <w:iCs/>
          <w:lang w:val="es-ES_tradnl"/>
        </w:rPr>
        <w:lastRenderedPageBreak/>
        <w:t xml:space="preserve">Presidencia con un menor rango ministerial y un significativo recorte de presupuesto. En 2022, la Secretaría Nacional de Derechos Humanos es fusionada para formar el Ministerio de la Mujer y Derechos Humanos. Esto supuso, el rebajar a la antigua Secretaría de Derechos Humanos al rango de una Subsecretaría y a la DPPIAV el rango de un despacho menor dentro de la estructura de dicha Subsecretaría.   </w:t>
      </w:r>
    </w:p>
    <w:p w14:paraId="0365CD6E" w14:textId="77777777" w:rsidR="00652A20" w:rsidRPr="0081612F" w:rsidRDefault="00652A20" w:rsidP="00652A20">
      <w:pPr>
        <w:spacing w:after="160"/>
        <w:jc w:val="both"/>
        <w:rPr>
          <w:rFonts w:ascii="Book Antiqua" w:hAnsi="Book Antiqua"/>
          <w:iCs/>
          <w:lang w:val="es-ES_tradnl"/>
        </w:rPr>
      </w:pPr>
      <w:r w:rsidRPr="0081612F">
        <w:rPr>
          <w:rFonts w:ascii="Book Antiqua" w:hAnsi="Book Antiqua"/>
          <w:iCs/>
          <w:lang w:val="es-ES_tradnl"/>
        </w:rPr>
        <w:t xml:space="preserve">En segundo término, la institucionalidad competente para la protección de PIAV ha sufrido un constante proceso de reducción presupuestaria desde el 2019 generando una sustantiva merma de las capacidades técnicas y financieras para responder al control territorial efectivo. Solo a manera de indicador, el presupuesto de la extinta Secretaría de Derechos Humanos pasó de una asignación de 18’669,483 millones de USD en 2019, a 10’458,038 millones de USD en 2023 para el novel Ministerio de la Mujer y los Derechos Humanos. Es necesario señalar que este presupuesto es para el conjunto de competencias del Ministerio y que el gasto corriente ocupa porcentajes de entre el 87 al 94% del total de gastos. Adicionalmente, desde 2019 el gasto de Planes de Inversión para el </w:t>
      </w:r>
      <w:proofErr w:type="spellStart"/>
      <w:r w:rsidRPr="0081612F">
        <w:rPr>
          <w:rFonts w:ascii="Book Antiqua" w:hAnsi="Book Antiqua"/>
          <w:iCs/>
          <w:lang w:val="es-ES_tradnl"/>
        </w:rPr>
        <w:t>repotenciamiento</w:t>
      </w:r>
      <w:proofErr w:type="spellEnd"/>
      <w:r w:rsidRPr="0081612F">
        <w:rPr>
          <w:rFonts w:ascii="Book Antiqua" w:hAnsi="Book Antiqua"/>
          <w:iCs/>
          <w:lang w:val="es-ES_tradnl"/>
        </w:rPr>
        <w:t xml:space="preserve"> de la Estación de Monitoreo de la Zona Intangible Tagaeri Taromenane (EMZITT) ha sido eliminado del presupuesto de inversión. </w:t>
      </w:r>
    </w:p>
    <w:p w14:paraId="7386B9E4" w14:textId="77777777" w:rsidR="00652A20" w:rsidRPr="0081612F" w:rsidRDefault="00652A20" w:rsidP="00652A20">
      <w:pPr>
        <w:spacing w:after="160"/>
        <w:jc w:val="both"/>
        <w:rPr>
          <w:rFonts w:ascii="Book Antiqua" w:hAnsi="Book Antiqua"/>
          <w:lang w:val="es-ES_tradnl"/>
        </w:rPr>
      </w:pPr>
      <w:r w:rsidRPr="0081612F">
        <w:rPr>
          <w:rFonts w:ascii="Book Antiqua" w:hAnsi="Book Antiqua"/>
          <w:iCs/>
          <w:lang w:val="es-ES_tradnl"/>
        </w:rPr>
        <w:t xml:space="preserve">De esta manera, no solo el presupuesto de la DPPIAV ha sido significativamente reducido, sino que el principal activo para el control del área, esto es la EMZITT, carece ya de las condiciones funcionales para operar de manera óptima y reemplazar bienes indispensables para el control tales como canoas, motores fuera de borda, equipos de georreferenciación satelital, vehículos, entre otros. </w:t>
      </w:r>
    </w:p>
    <w:p w14:paraId="1296643B" w14:textId="77777777" w:rsidR="00652A20" w:rsidRPr="0081612F" w:rsidRDefault="00652A20" w:rsidP="00652A20">
      <w:pPr>
        <w:spacing w:after="160"/>
        <w:jc w:val="both"/>
        <w:rPr>
          <w:rFonts w:ascii="Book Antiqua" w:hAnsi="Book Antiqua"/>
          <w:lang w:val="es-ES_tradnl"/>
        </w:rPr>
      </w:pPr>
      <w:r w:rsidRPr="0081612F">
        <w:rPr>
          <w:rFonts w:ascii="Book Antiqua" w:hAnsi="Book Antiqua"/>
          <w:lang w:val="es-ES_tradnl"/>
        </w:rPr>
        <w:t xml:space="preserve"> Actualmente el organigrama de personal de la DPPIAV cuenta únicamente con 1 director general, 2 asistentes en las oficinas de Quito y 5 técnicos en el territorio.  De acuerdo a los datos provistos por las fuentes en campo, los equipos técnicos de territorio para la vigilancia y el monitoreo del área total de la ZITT alcanzan las 6 personas.</w:t>
      </w:r>
      <w:r w:rsidRPr="0081612F">
        <w:rPr>
          <w:rStyle w:val="FootnoteReference"/>
          <w:rFonts w:ascii="Book Antiqua" w:hAnsi="Book Antiqua"/>
          <w:lang w:val="es-ES_tradnl"/>
        </w:rPr>
        <w:footnoteReference w:id="8"/>
      </w:r>
      <w:r w:rsidRPr="0081612F">
        <w:rPr>
          <w:rFonts w:ascii="Book Antiqua" w:hAnsi="Book Antiqua"/>
          <w:lang w:val="es-ES_tradnl"/>
        </w:rPr>
        <w:t xml:space="preserve"> Actualmente se han suspendido los viáticos de salida a campo, el presupuesto de renovación de equipos y los rubros asignados para sobrevuelos e imágenes satelitales. </w:t>
      </w:r>
    </w:p>
    <w:p w14:paraId="2E8FDD6A" w14:textId="69EEE292" w:rsidR="00652A20" w:rsidRPr="0081612F" w:rsidRDefault="00652A20" w:rsidP="00652A20">
      <w:pPr>
        <w:spacing w:after="160"/>
        <w:jc w:val="both"/>
        <w:rPr>
          <w:rFonts w:ascii="Book Antiqua" w:hAnsi="Book Antiqua"/>
          <w:lang w:val="es-ES_tradnl"/>
        </w:rPr>
      </w:pPr>
      <w:r w:rsidRPr="0081612F">
        <w:rPr>
          <w:rFonts w:ascii="Book Antiqua" w:hAnsi="Book Antiqua"/>
          <w:lang w:val="es-ES_tradnl"/>
        </w:rPr>
        <w:t xml:space="preserve">Adicionalmente, la Dirección no cuenta con el personal adecuado para su gestión y desenvolvimiento. Los últimos 4 directores generales no cumplían con el perfil profesional adecuado, ni tenían experiencia en el trabajo de protección de derechos indígenas. </w:t>
      </w:r>
    </w:p>
    <w:p w14:paraId="0C76F70D" w14:textId="77777777" w:rsidR="00652A20" w:rsidRPr="0081612F" w:rsidRDefault="00652A20" w:rsidP="00652A20">
      <w:pPr>
        <w:spacing w:after="160"/>
        <w:jc w:val="both"/>
        <w:rPr>
          <w:rFonts w:ascii="Book Antiqua" w:hAnsi="Book Antiqua"/>
          <w:iCs/>
          <w:lang w:val="es-ES_tradnl"/>
        </w:rPr>
      </w:pPr>
    </w:p>
    <w:p w14:paraId="602DE4E7" w14:textId="00976CAE" w:rsidR="00652A20" w:rsidRPr="0081612F" w:rsidRDefault="00652A20" w:rsidP="00652A20">
      <w:pPr>
        <w:pStyle w:val="ListParagraph"/>
        <w:numPr>
          <w:ilvl w:val="0"/>
          <w:numId w:val="1"/>
        </w:numPr>
        <w:spacing w:after="160" w:line="256" w:lineRule="auto"/>
        <w:jc w:val="both"/>
        <w:rPr>
          <w:rFonts w:ascii="Book Antiqua" w:hAnsi="Book Antiqua" w:cs="Arial"/>
          <w:b/>
          <w:bCs/>
          <w:iCs/>
          <w:lang w:val="es-ES_tradnl"/>
        </w:rPr>
      </w:pPr>
      <w:r w:rsidRPr="0081612F">
        <w:rPr>
          <w:rFonts w:ascii="Book Antiqua" w:hAnsi="Book Antiqua" w:cs="Arial"/>
          <w:b/>
          <w:bCs/>
          <w:iCs/>
          <w:lang w:val="es-ES_tradnl"/>
        </w:rPr>
        <w:t xml:space="preserve">Persistencia de actividades extractivas tanto dentro de la ZITT como en el área de amortiguamiento de la misma. </w:t>
      </w:r>
    </w:p>
    <w:p w14:paraId="5BB35100" w14:textId="670C1D95" w:rsidR="00652A20" w:rsidRPr="0081612F" w:rsidRDefault="00652A20" w:rsidP="00652A20">
      <w:pPr>
        <w:spacing w:after="160"/>
        <w:jc w:val="both"/>
        <w:rPr>
          <w:rFonts w:ascii="Book Antiqua" w:hAnsi="Book Antiqua"/>
          <w:iCs/>
          <w:color w:val="FF0000"/>
          <w:lang w:val="es-ES_tradnl"/>
        </w:rPr>
      </w:pPr>
      <w:r w:rsidRPr="0081612F">
        <w:rPr>
          <w:rFonts w:ascii="Book Antiqua" w:hAnsi="Book Antiqua"/>
          <w:iCs/>
          <w:lang w:val="es-ES_tradnl"/>
        </w:rPr>
        <w:t xml:space="preserve">Desde 2017 las organizaciones indigenistas especializadas en los PIAV junto con la población waorani y kichwa local han denunciado de manera insistente el tráfico de madera y la cacería ilegal de especies  en el sector conocido como la Quebrada El Lobo, en el área suroriental de </w:t>
      </w:r>
      <w:r w:rsidRPr="0081612F">
        <w:rPr>
          <w:rFonts w:ascii="Book Antiqua" w:hAnsi="Book Antiqua"/>
          <w:iCs/>
          <w:lang w:val="es-ES_tradnl"/>
        </w:rPr>
        <w:lastRenderedPageBreak/>
        <w:t>la ZITT.</w:t>
      </w:r>
      <w:r w:rsidRPr="0081612F">
        <w:rPr>
          <w:rStyle w:val="FootnoteReference"/>
          <w:rFonts w:ascii="Book Antiqua" w:hAnsi="Book Antiqua"/>
          <w:iCs/>
          <w:lang w:val="es-ES_tradnl"/>
        </w:rPr>
        <w:footnoteReference w:id="9"/>
      </w:r>
      <w:r w:rsidRPr="0081612F">
        <w:rPr>
          <w:rFonts w:ascii="Book Antiqua" w:hAnsi="Book Antiqua"/>
          <w:iCs/>
          <w:lang w:val="es-ES_tradnl"/>
        </w:rPr>
        <w:t xml:space="preserve"> De la misma manera, las denuncias del Pueblo Ancestral Kichwa de Kawsak Sacha, respecto al ingreso de barcazas de minería ilegal provenientes de Perú por el Río Curaray, no han sido atendidas de manera efectiva por los responsables de la protección de la ZITT y el PNY.</w:t>
      </w:r>
    </w:p>
    <w:p w14:paraId="09375A19" w14:textId="77777777" w:rsidR="00652A20" w:rsidRPr="0081612F" w:rsidRDefault="00652A20" w:rsidP="00652A20">
      <w:pPr>
        <w:jc w:val="both"/>
        <w:rPr>
          <w:rFonts w:ascii="Book Antiqua" w:hAnsi="Book Antiqua"/>
          <w:lang w:val="es-ES_tradnl"/>
        </w:rPr>
      </w:pPr>
      <w:r w:rsidRPr="0081612F">
        <w:rPr>
          <w:rFonts w:ascii="Book Antiqua" w:hAnsi="Book Antiqua"/>
          <w:iCs/>
          <w:lang w:val="es-ES_tradnl"/>
        </w:rPr>
        <w:t xml:space="preserve">Adicionalmente, </w:t>
      </w:r>
      <w:r w:rsidRPr="0081612F">
        <w:rPr>
          <w:rFonts w:ascii="Book Antiqua" w:hAnsi="Book Antiqua"/>
          <w:lang w:val="es-ES_tradnl"/>
        </w:rPr>
        <w:t>existe una latente amenaza de expansión de actividades extractivas hacia la zona sur del Parque Nacional Yasuní y sus áreas de influencia. De acuerdo a la CONFENIAE la ronda de negociación petrolera sur oriente, incluye varios bloques petroleros en la Provincia de Pastaza y Morona Santiago</w:t>
      </w:r>
      <w:r w:rsidRPr="0081612F">
        <w:rPr>
          <w:rStyle w:val="FootnoteReference"/>
          <w:rFonts w:ascii="Book Antiqua" w:hAnsi="Book Antiqua"/>
          <w:lang w:val="es-ES_tradnl"/>
        </w:rPr>
        <w:footnoteReference w:id="10"/>
      </w:r>
      <w:r w:rsidRPr="0081612F">
        <w:rPr>
          <w:rFonts w:ascii="Book Antiqua" w:hAnsi="Book Antiqua"/>
          <w:lang w:val="es-ES_tradnl"/>
        </w:rPr>
        <w:t xml:space="preserve">.  De los bloques en mención al menos tres (83, 84 y 87) intersecan con la zona de amortiguamiento de la ZITT y PNY, y territorios colectivos </w:t>
      </w:r>
      <w:proofErr w:type="spellStart"/>
      <w:r w:rsidRPr="0081612F">
        <w:rPr>
          <w:rFonts w:ascii="Book Antiqua" w:hAnsi="Book Antiqua"/>
          <w:lang w:val="es-ES_tradnl"/>
        </w:rPr>
        <w:t>kichwas</w:t>
      </w:r>
      <w:proofErr w:type="spellEnd"/>
      <w:r w:rsidRPr="0081612F">
        <w:rPr>
          <w:rFonts w:ascii="Book Antiqua" w:hAnsi="Book Antiqua"/>
          <w:lang w:val="es-ES_tradnl"/>
        </w:rPr>
        <w:t>, incluyendo del Pueblo Ancestral Kichwa de Kawsak Sacha.</w:t>
      </w:r>
    </w:p>
    <w:p w14:paraId="2B88368B" w14:textId="77777777" w:rsidR="00652A20" w:rsidRPr="0081612F" w:rsidRDefault="00652A20" w:rsidP="00652A20">
      <w:pPr>
        <w:jc w:val="both"/>
        <w:rPr>
          <w:rFonts w:ascii="Book Antiqua" w:hAnsi="Book Antiqua"/>
          <w:lang w:val="es-ES_tradnl"/>
        </w:rPr>
      </w:pPr>
    </w:p>
    <w:p w14:paraId="7A6B19E8" w14:textId="3D372BE2" w:rsidR="00652A20" w:rsidRPr="0081612F" w:rsidRDefault="00652A20" w:rsidP="00652A20">
      <w:pPr>
        <w:shd w:val="clear" w:color="auto" w:fill="FFFFFF"/>
        <w:jc w:val="both"/>
        <w:rPr>
          <w:rFonts w:ascii="Book Antiqua" w:hAnsi="Book Antiqua"/>
          <w:iCs/>
          <w:lang w:val="es-ES_tradnl"/>
        </w:rPr>
      </w:pPr>
      <w:r w:rsidRPr="0081612F">
        <w:rPr>
          <w:rFonts w:ascii="Book Antiqua" w:hAnsi="Book Antiqua"/>
          <w:iCs/>
          <w:lang w:val="es-ES_tradnl"/>
        </w:rPr>
        <w:t xml:space="preserve">El 20 de agosto de 2024, la Viceministra de Hidrocarburos María Cristina Mogollón, realizó el </w:t>
      </w:r>
      <w:hyperlink r:id="rId8" w:history="1">
        <w:r w:rsidRPr="0081612F">
          <w:rPr>
            <w:rFonts w:ascii="Book Antiqua" w:hAnsi="Book Antiqua"/>
            <w:iCs/>
            <w:lang w:val="es-ES_tradnl"/>
          </w:rPr>
          <w:t>anuncio</w:t>
        </w:r>
      </w:hyperlink>
      <w:r w:rsidRPr="0081612F">
        <w:rPr>
          <w:rFonts w:ascii="Book Antiqua" w:hAnsi="Book Antiqua"/>
          <w:iCs/>
          <w:lang w:val="es-ES_tradnl"/>
        </w:rPr>
        <w:t xml:space="preserve"> de una planificación de la </w:t>
      </w:r>
      <w:hyperlink r:id="rId9" w:history="1">
        <w:r w:rsidRPr="0081612F">
          <w:rPr>
            <w:rFonts w:ascii="Book Antiqua" w:hAnsi="Book Antiqua"/>
            <w:iCs/>
            <w:lang w:val="es-ES_tradnl"/>
          </w:rPr>
          <w:t>Ronda Suroriente</w:t>
        </w:r>
      </w:hyperlink>
      <w:r w:rsidRPr="0081612F">
        <w:rPr>
          <w:rFonts w:ascii="Book Antiqua" w:hAnsi="Book Antiqua"/>
          <w:iCs/>
          <w:lang w:val="es-ES_tradnl"/>
        </w:rPr>
        <w:t xml:space="preserve"> ubicada en las provincias de Pastaza y Morona Santiago, para realizarse en el primer semestre de 2026, y que se buscaría obtener inversión de la empresa privada de alrededor de 20.000 mil millones de dólares</w:t>
      </w:r>
      <w:r w:rsidRPr="0081612F">
        <w:rPr>
          <w:rStyle w:val="FootnoteReference"/>
          <w:rFonts w:ascii="Book Antiqua" w:eastAsia="Times New Roman" w:hAnsi="Book Antiqua"/>
          <w:color w:val="222222"/>
          <w:lang w:val="es-MX"/>
        </w:rPr>
        <w:footnoteReference w:id="11"/>
      </w:r>
      <w:r w:rsidRPr="0081612F">
        <w:rPr>
          <w:rFonts w:ascii="Book Antiqua" w:hAnsi="Book Antiqua"/>
          <w:iCs/>
          <w:lang w:val="es-ES_tradnl"/>
        </w:rPr>
        <w:t xml:space="preserve">. </w:t>
      </w:r>
    </w:p>
    <w:p w14:paraId="089B40B1" w14:textId="77777777" w:rsidR="00BC62CF" w:rsidRPr="0081612F" w:rsidRDefault="00BC62CF" w:rsidP="00652A20">
      <w:pPr>
        <w:shd w:val="clear" w:color="auto" w:fill="FFFFFF"/>
        <w:jc w:val="both"/>
        <w:rPr>
          <w:rFonts w:ascii="Book Antiqua" w:hAnsi="Book Antiqua"/>
          <w:iCs/>
          <w:lang w:val="es-ES_tradnl"/>
        </w:rPr>
      </w:pPr>
    </w:p>
    <w:p w14:paraId="1F5C0768" w14:textId="77777777" w:rsidR="00652A20" w:rsidRPr="0081612F" w:rsidRDefault="00652A20" w:rsidP="00652A20">
      <w:pPr>
        <w:shd w:val="clear" w:color="auto" w:fill="FFFFFF"/>
        <w:jc w:val="both"/>
        <w:rPr>
          <w:rFonts w:ascii="Book Antiqua" w:hAnsi="Book Antiqua"/>
          <w:iCs/>
          <w:lang w:val="es-ES_tradnl"/>
        </w:rPr>
      </w:pPr>
    </w:p>
    <w:p w14:paraId="79CDDB0E" w14:textId="752E885B" w:rsidR="00652A20" w:rsidRPr="0081612F" w:rsidRDefault="00652A20" w:rsidP="00652A20">
      <w:pPr>
        <w:pStyle w:val="ListParagraph"/>
        <w:numPr>
          <w:ilvl w:val="0"/>
          <w:numId w:val="1"/>
        </w:numPr>
        <w:spacing w:after="160" w:line="256" w:lineRule="auto"/>
        <w:jc w:val="both"/>
        <w:rPr>
          <w:rFonts w:ascii="Book Antiqua" w:hAnsi="Book Antiqua" w:cs="Arial"/>
          <w:b/>
          <w:bCs/>
          <w:iCs/>
          <w:lang w:val="es-ES_tradnl"/>
        </w:rPr>
      </w:pPr>
      <w:r w:rsidRPr="0081612F">
        <w:rPr>
          <w:rFonts w:ascii="Book Antiqua" w:hAnsi="Book Antiqua" w:cs="Arial"/>
          <w:b/>
          <w:bCs/>
          <w:iCs/>
          <w:lang w:val="es-ES_tradnl"/>
        </w:rPr>
        <w:t xml:space="preserve">No se ha observado de manera estricta los derechos colectivos de las poblaciones indígenas del área de influencia de los PIAV. </w:t>
      </w:r>
    </w:p>
    <w:p w14:paraId="15321408" w14:textId="77777777" w:rsidR="00BC62CF" w:rsidRPr="0081612F" w:rsidRDefault="00BC62CF" w:rsidP="00BC62CF">
      <w:pPr>
        <w:pStyle w:val="ListParagraph"/>
        <w:spacing w:after="160" w:line="256" w:lineRule="auto"/>
        <w:jc w:val="both"/>
        <w:rPr>
          <w:rFonts w:ascii="Book Antiqua" w:hAnsi="Book Antiqua" w:cs="Arial"/>
          <w:b/>
          <w:bCs/>
          <w:iCs/>
          <w:lang w:val="es-ES_tradnl"/>
        </w:rPr>
      </w:pPr>
    </w:p>
    <w:p w14:paraId="69599900" w14:textId="470D73A2" w:rsidR="00652A20" w:rsidRPr="0081612F" w:rsidRDefault="00652A20" w:rsidP="00652A20">
      <w:pPr>
        <w:shd w:val="clear" w:color="auto" w:fill="FFFFFF"/>
        <w:jc w:val="both"/>
        <w:rPr>
          <w:rFonts w:ascii="Book Antiqua" w:hAnsi="Book Antiqua"/>
          <w:bCs/>
          <w:lang w:val="es-ES_tradnl"/>
        </w:rPr>
      </w:pPr>
      <w:r w:rsidRPr="0081612F">
        <w:rPr>
          <w:rFonts w:ascii="Book Antiqua" w:hAnsi="Book Antiqua"/>
          <w:bCs/>
          <w:lang w:val="es-ES_tradnl"/>
        </w:rPr>
        <w:t>Las acciones desplegadas por la DPPIAV</w:t>
      </w:r>
      <w:r w:rsidRPr="0081612F">
        <w:rPr>
          <w:rFonts w:ascii="Book Antiqua" w:hAnsi="Book Antiqua"/>
          <w:bCs/>
          <w:color w:val="FF0000"/>
          <w:lang w:val="es-ES_tradnl"/>
        </w:rPr>
        <w:t xml:space="preserve"> </w:t>
      </w:r>
      <w:r w:rsidRPr="0081612F">
        <w:rPr>
          <w:rFonts w:ascii="Book Antiqua" w:hAnsi="Book Antiqua"/>
          <w:bCs/>
          <w:lang w:val="es-ES_tradnl"/>
        </w:rPr>
        <w:t xml:space="preserve">en el área de influencia de los PIAV han tenido a inobservar los mecanismos, procedimientos, lineamientos y estándares obligatorios de observación de los derechos colectivos de las poblaciones indígenas asentadas en las áreas de influencia de los PIAV. </w:t>
      </w:r>
    </w:p>
    <w:p w14:paraId="6A19E391" w14:textId="77777777" w:rsidR="00BC62CF" w:rsidRPr="0081612F" w:rsidRDefault="00BC62CF" w:rsidP="00652A20">
      <w:pPr>
        <w:shd w:val="clear" w:color="auto" w:fill="FFFFFF"/>
        <w:jc w:val="both"/>
        <w:rPr>
          <w:rFonts w:ascii="Book Antiqua" w:hAnsi="Book Antiqua"/>
          <w:bCs/>
          <w:lang w:val="es-ES_tradnl"/>
        </w:rPr>
      </w:pPr>
    </w:p>
    <w:p w14:paraId="2D4F8B03" w14:textId="77777777" w:rsidR="00652A20" w:rsidRPr="0081612F" w:rsidRDefault="00652A20" w:rsidP="00652A20">
      <w:pPr>
        <w:shd w:val="clear" w:color="auto" w:fill="FFFFFF"/>
        <w:jc w:val="both"/>
        <w:rPr>
          <w:rFonts w:ascii="Book Antiqua" w:hAnsi="Book Antiqua"/>
          <w:bCs/>
          <w:color w:val="000000" w:themeColor="text1"/>
          <w:lang w:val="es-ES_tradnl"/>
        </w:rPr>
      </w:pPr>
      <w:r w:rsidRPr="0081612F">
        <w:rPr>
          <w:rFonts w:ascii="Book Antiqua" w:hAnsi="Book Antiqua"/>
          <w:bCs/>
          <w:lang w:val="es-ES_tradnl"/>
        </w:rPr>
        <w:t xml:space="preserve">Muchas de las herramientas institucionales para la protección de PIAV, tales como protocolos, normativas, lineamientos, no han sido elaboradas con la participación </w:t>
      </w:r>
      <w:r w:rsidRPr="0081612F">
        <w:rPr>
          <w:rFonts w:ascii="Book Antiqua" w:hAnsi="Book Antiqua"/>
          <w:bCs/>
          <w:color w:val="000000" w:themeColor="text1"/>
          <w:lang w:val="es-ES_tradnl"/>
        </w:rPr>
        <w:t xml:space="preserve">y consentimiento </w:t>
      </w:r>
      <w:r w:rsidRPr="0081612F">
        <w:rPr>
          <w:rFonts w:ascii="Book Antiqua" w:hAnsi="Book Antiqua"/>
          <w:bCs/>
          <w:lang w:val="es-ES_tradnl"/>
        </w:rPr>
        <w:t xml:space="preserve">libre </w:t>
      </w:r>
      <w:r w:rsidRPr="0081612F">
        <w:rPr>
          <w:rFonts w:ascii="Book Antiqua" w:hAnsi="Book Antiqua"/>
          <w:bCs/>
          <w:color w:val="000000" w:themeColor="text1"/>
          <w:lang w:val="es-ES_tradnl"/>
        </w:rPr>
        <w:t xml:space="preserve">previo e informado de las comunidades, ni han sido adecuadamente consultadas o socializadas. </w:t>
      </w:r>
    </w:p>
    <w:p w14:paraId="5F94CF26" w14:textId="77777777" w:rsidR="00652A20" w:rsidRPr="0081612F" w:rsidRDefault="00652A20" w:rsidP="00652A20">
      <w:pPr>
        <w:shd w:val="clear" w:color="auto" w:fill="FFFFFF"/>
        <w:jc w:val="both"/>
        <w:rPr>
          <w:rFonts w:ascii="Book Antiqua" w:hAnsi="Book Antiqua"/>
          <w:bCs/>
          <w:color w:val="000000" w:themeColor="text1"/>
          <w:lang w:val="es-ES_tradnl"/>
        </w:rPr>
      </w:pPr>
    </w:p>
    <w:p w14:paraId="6ADBD592" w14:textId="7E3C2A15" w:rsidR="00652A20" w:rsidRPr="0081612F" w:rsidRDefault="00652A20" w:rsidP="00652A20">
      <w:pPr>
        <w:shd w:val="clear" w:color="auto" w:fill="FFFFFF"/>
        <w:jc w:val="both"/>
        <w:rPr>
          <w:rFonts w:ascii="Book Antiqua" w:hAnsi="Book Antiqua"/>
          <w:bCs/>
          <w:color w:val="FF0000"/>
          <w:lang w:val="es-ES_tradnl"/>
        </w:rPr>
      </w:pPr>
      <w:r w:rsidRPr="0081612F">
        <w:rPr>
          <w:rFonts w:ascii="Book Antiqua" w:hAnsi="Book Antiqua"/>
          <w:bCs/>
          <w:lang w:val="es-ES_tradnl"/>
        </w:rPr>
        <w:t>Hay que señalar que actualmente la DPPIAV no ha renovado los convenios de cooperación y los acuerdos institucionales con la Nacionalidad Waorani, y los demás pueblos indígenas dentro del área de influencia</w:t>
      </w:r>
      <w:r w:rsidRPr="0081612F">
        <w:rPr>
          <w:rFonts w:ascii="Book Antiqua" w:hAnsi="Book Antiqua"/>
          <w:bCs/>
          <w:color w:val="FF0000"/>
          <w:lang w:val="es-ES_tradnl"/>
        </w:rPr>
        <w:t xml:space="preserve">. </w:t>
      </w:r>
    </w:p>
    <w:p w14:paraId="652763DC" w14:textId="77777777" w:rsidR="00BC62CF" w:rsidRPr="0081612F" w:rsidRDefault="00BC62CF" w:rsidP="00652A20">
      <w:pPr>
        <w:shd w:val="clear" w:color="auto" w:fill="FFFFFF"/>
        <w:jc w:val="both"/>
        <w:rPr>
          <w:rFonts w:ascii="Book Antiqua" w:hAnsi="Book Antiqua"/>
          <w:bCs/>
          <w:lang w:val="es-ES_tradnl"/>
        </w:rPr>
      </w:pPr>
    </w:p>
    <w:p w14:paraId="0E9D2A0B" w14:textId="332ECF0E" w:rsidR="00652A20" w:rsidRPr="0081612F" w:rsidRDefault="00652A20" w:rsidP="00652A20">
      <w:pPr>
        <w:shd w:val="clear" w:color="auto" w:fill="FFFFFF"/>
        <w:jc w:val="both"/>
        <w:rPr>
          <w:rFonts w:ascii="Book Antiqua" w:hAnsi="Book Antiqua"/>
          <w:color w:val="000000" w:themeColor="text1"/>
          <w:lang w:val="es-ES_tradnl"/>
        </w:rPr>
      </w:pPr>
      <w:r w:rsidRPr="0081612F">
        <w:rPr>
          <w:rFonts w:ascii="Book Antiqua" w:hAnsi="Book Antiqua"/>
          <w:bCs/>
          <w:lang w:val="es-ES_tradnl"/>
        </w:rPr>
        <w:lastRenderedPageBreak/>
        <w:t xml:space="preserve">Del mismo modo a fin </w:t>
      </w:r>
      <w:r w:rsidRPr="0081612F">
        <w:rPr>
          <w:rFonts w:ascii="Book Antiqua" w:hAnsi="Book Antiqua"/>
          <w:lang w:val="es-ES_tradnl"/>
        </w:rPr>
        <w:t xml:space="preserve">de contener la expansión agresiva de la colonización hacia la zona occidental del Yasuní, se diseñó en 2016 un programa de ordenamiento territorial especial llamado:  Franja de Seguridad o Franja Diversidad y Vida del Cantón </w:t>
      </w:r>
      <w:proofErr w:type="spellStart"/>
      <w:r w:rsidRPr="0081612F">
        <w:rPr>
          <w:rFonts w:ascii="Book Antiqua" w:hAnsi="Book Antiqua"/>
          <w:lang w:val="es-ES_tradnl"/>
        </w:rPr>
        <w:t>Fco</w:t>
      </w:r>
      <w:proofErr w:type="spellEnd"/>
      <w:r w:rsidRPr="0081612F">
        <w:rPr>
          <w:rFonts w:ascii="Book Antiqua" w:hAnsi="Book Antiqua"/>
          <w:lang w:val="es-ES_tradnl"/>
        </w:rPr>
        <w:t xml:space="preserve"> de Orellana – </w:t>
      </w:r>
      <w:r w:rsidRPr="0081612F">
        <w:rPr>
          <w:rFonts w:ascii="Book Antiqua" w:hAnsi="Book Antiqua"/>
          <w:color w:val="000000" w:themeColor="text1"/>
          <w:lang w:val="es-ES_tradnl"/>
        </w:rPr>
        <w:t xml:space="preserve">colindante al territorio Waorani y los limites </w:t>
      </w:r>
      <w:proofErr w:type="spellStart"/>
      <w:r w:rsidRPr="0081612F">
        <w:rPr>
          <w:rFonts w:ascii="Book Antiqua" w:hAnsi="Book Antiqua"/>
          <w:color w:val="000000" w:themeColor="text1"/>
          <w:lang w:val="es-ES_tradnl"/>
        </w:rPr>
        <w:t>nor</w:t>
      </w:r>
      <w:proofErr w:type="spellEnd"/>
      <w:r w:rsidRPr="0081612F">
        <w:rPr>
          <w:rFonts w:ascii="Book Antiqua" w:hAnsi="Book Antiqua"/>
          <w:color w:val="000000" w:themeColor="text1"/>
          <w:lang w:val="es-ES_tradnl"/>
        </w:rPr>
        <w:t xml:space="preserve"> occidentales del PNY (área de influencia de PIA).</w:t>
      </w:r>
    </w:p>
    <w:p w14:paraId="25CA27A6" w14:textId="77777777" w:rsidR="00BC62CF" w:rsidRPr="0081612F" w:rsidRDefault="00BC62CF" w:rsidP="00652A20">
      <w:pPr>
        <w:shd w:val="clear" w:color="auto" w:fill="FFFFFF"/>
        <w:jc w:val="both"/>
        <w:rPr>
          <w:rFonts w:ascii="Book Antiqua" w:hAnsi="Book Antiqua"/>
          <w:color w:val="000000" w:themeColor="text1"/>
          <w:lang w:val="es-ES_tradnl"/>
        </w:rPr>
      </w:pPr>
    </w:p>
    <w:p w14:paraId="3E629FF8" w14:textId="77777777" w:rsidR="00652A20" w:rsidRPr="0081612F" w:rsidRDefault="00652A20" w:rsidP="00652A20">
      <w:pPr>
        <w:shd w:val="clear" w:color="auto" w:fill="FFFFFF"/>
        <w:jc w:val="both"/>
        <w:rPr>
          <w:rFonts w:ascii="Book Antiqua" w:hAnsi="Book Antiqua"/>
          <w:lang w:val="es-ES_tradnl"/>
        </w:rPr>
      </w:pPr>
      <w:r w:rsidRPr="0081612F">
        <w:rPr>
          <w:rFonts w:ascii="Book Antiqua" w:hAnsi="Book Antiqua"/>
          <w:color w:val="000000" w:themeColor="text1"/>
          <w:lang w:val="es-ES_tradnl"/>
        </w:rPr>
        <w:t>Este programa, estuvo orientado a desalentar y regularizar el crecimiento de la demografía de la zona y liberar zonas de amortiguamiento para los PIAV y la nacionalidad Waorani. El</w:t>
      </w:r>
      <w:r w:rsidRPr="0081612F">
        <w:rPr>
          <w:rFonts w:ascii="Book Antiqua" w:hAnsi="Book Antiqua"/>
          <w:lang w:val="es-ES_tradnl"/>
        </w:rPr>
        <w:t xml:space="preserve"> programa terminó con una serie de compromisos entre el Estado y la población del área, los mismos que han sido sistemáticamente incumplidos e inobservados por las autoridades locales y nacionales. Adicionalmente, en el marco del mismo programa, se abrió un polémico proceso de titulación de tierras sobre áreas que han sido históricamente parte del territorio ancestral waorani e incluso otras que forman parte de los territorios oficialmente demarcados dentro del lindero actual waorani.  </w:t>
      </w:r>
    </w:p>
    <w:p w14:paraId="689FBADE" w14:textId="003C0A4F" w:rsidR="00652A20" w:rsidRPr="0081612F" w:rsidRDefault="00652A20" w:rsidP="00652A20">
      <w:pPr>
        <w:shd w:val="clear" w:color="auto" w:fill="FFFFFF"/>
        <w:jc w:val="both"/>
        <w:rPr>
          <w:rFonts w:ascii="Book Antiqua" w:hAnsi="Book Antiqua"/>
          <w:lang w:val="es-ES_tradnl"/>
        </w:rPr>
      </w:pPr>
    </w:p>
    <w:p w14:paraId="1A642F2D" w14:textId="77777777" w:rsidR="00652A20" w:rsidRPr="0081612F" w:rsidRDefault="00652A20" w:rsidP="00652A20">
      <w:pPr>
        <w:shd w:val="clear" w:color="auto" w:fill="FFFFFF"/>
        <w:jc w:val="both"/>
        <w:rPr>
          <w:rFonts w:ascii="Book Antiqua" w:hAnsi="Book Antiqua"/>
          <w:b/>
          <w:bCs/>
          <w:lang w:val="es-ES_tradnl"/>
        </w:rPr>
      </w:pPr>
    </w:p>
    <w:p w14:paraId="52D0C551" w14:textId="270D1A8D" w:rsidR="00652A20" w:rsidRPr="0081612F" w:rsidRDefault="00652A20" w:rsidP="00652A20">
      <w:pPr>
        <w:pStyle w:val="ListParagraph"/>
        <w:numPr>
          <w:ilvl w:val="0"/>
          <w:numId w:val="1"/>
        </w:numPr>
        <w:shd w:val="clear" w:color="auto" w:fill="FFFFFF"/>
        <w:spacing w:after="0"/>
        <w:jc w:val="both"/>
        <w:rPr>
          <w:rFonts w:ascii="Book Antiqua" w:hAnsi="Book Antiqua" w:cs="Arial"/>
          <w:b/>
          <w:bCs/>
          <w:lang w:val="es-ES_tradnl"/>
        </w:rPr>
      </w:pPr>
      <w:r w:rsidRPr="0081612F">
        <w:rPr>
          <w:rFonts w:ascii="Book Antiqua" w:hAnsi="Book Antiqua" w:cs="Arial"/>
          <w:b/>
          <w:bCs/>
          <w:lang w:val="es-ES_tradnl"/>
        </w:rPr>
        <w:t xml:space="preserve">Incumplimiento de la Sentencia Intercultural en el caso de la matanza de 2013 e inobservancia del mandato popular de cesar la explotación en el Bloque Petrolero ITT-Yasuní. </w:t>
      </w:r>
    </w:p>
    <w:p w14:paraId="3CC04EDE" w14:textId="77777777" w:rsidR="00652A20" w:rsidRPr="0081612F" w:rsidRDefault="00652A20" w:rsidP="00652A20">
      <w:pPr>
        <w:pStyle w:val="ListParagraph"/>
        <w:shd w:val="clear" w:color="auto" w:fill="FFFFFF"/>
        <w:spacing w:after="0"/>
        <w:jc w:val="both"/>
        <w:rPr>
          <w:rFonts w:ascii="Book Antiqua" w:hAnsi="Book Antiqua" w:cs="Arial"/>
          <w:lang w:val="es-ES_tradnl"/>
        </w:rPr>
      </w:pPr>
    </w:p>
    <w:p w14:paraId="2E2E9921" w14:textId="2894D6F5"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El polémico proceso judicial seguido por la </w:t>
      </w:r>
      <w:proofErr w:type="gramStart"/>
      <w:r w:rsidRPr="0081612F">
        <w:rPr>
          <w:rFonts w:ascii="Book Antiqua" w:hAnsi="Book Antiqua"/>
          <w:lang w:val="es-ES_tradnl"/>
        </w:rPr>
        <w:t>Fiscalía General</w:t>
      </w:r>
      <w:proofErr w:type="gramEnd"/>
      <w:r w:rsidRPr="0081612F">
        <w:rPr>
          <w:rFonts w:ascii="Book Antiqua" w:hAnsi="Book Antiqua"/>
          <w:lang w:val="es-ES_tradnl"/>
        </w:rPr>
        <w:t xml:space="preserve"> del Estado en contra de 17 guerreros waorani por los hechos luctuosos de marzo del 2013, terminó </w:t>
      </w:r>
      <w:r w:rsidRPr="0081612F">
        <w:rPr>
          <w:rFonts w:ascii="Book Antiqua" w:hAnsi="Book Antiqua"/>
          <w:color w:val="000000" w:themeColor="text1"/>
          <w:lang w:val="es-ES_tradnl"/>
        </w:rPr>
        <w:t xml:space="preserve">10 años después </w:t>
      </w:r>
      <w:r w:rsidRPr="0081612F">
        <w:rPr>
          <w:rFonts w:ascii="Book Antiqua" w:hAnsi="Book Antiqua"/>
          <w:lang w:val="es-ES_tradnl"/>
        </w:rPr>
        <w:t xml:space="preserve">con el dictamen de una sentencia “intercultural”, la misma que requería el acompañamiento y accionar de las instituciones del Estado en la ejecución de la condena alternativa al sistema penal.  </w:t>
      </w:r>
    </w:p>
    <w:p w14:paraId="710734FD" w14:textId="77777777" w:rsidR="00652A20" w:rsidRPr="0081612F" w:rsidRDefault="00652A20" w:rsidP="00652A20">
      <w:pPr>
        <w:jc w:val="both"/>
        <w:rPr>
          <w:rFonts w:ascii="Book Antiqua" w:hAnsi="Book Antiqua"/>
          <w:lang w:val="es-ES_tradnl"/>
        </w:rPr>
      </w:pPr>
    </w:p>
    <w:p w14:paraId="4CB5659F" w14:textId="3C88D2C2" w:rsidR="00652A20" w:rsidRPr="0081612F" w:rsidRDefault="00652A20" w:rsidP="00652A20">
      <w:pPr>
        <w:jc w:val="both"/>
        <w:rPr>
          <w:rFonts w:ascii="Book Antiqua" w:hAnsi="Book Antiqua"/>
          <w:lang w:val="es-ES_tradnl"/>
        </w:rPr>
      </w:pPr>
      <w:r w:rsidRPr="0081612F">
        <w:rPr>
          <w:rFonts w:ascii="Book Antiqua" w:hAnsi="Book Antiqua"/>
          <w:lang w:val="es-ES_tradnl"/>
        </w:rPr>
        <w:t>El Tribunal De Garantías Penales, con sede en el cantón Francisco de Orellana, provincia de Orellana, dentro del Juicio Nro. 2225120130223, emitió su sentencia de 31 de octubre de 201</w:t>
      </w:r>
      <w:r w:rsidRPr="0081612F">
        <w:rPr>
          <w:rFonts w:ascii="Book Antiqua" w:hAnsi="Book Antiqua"/>
          <w:lang w:val="es-ES_tradnl"/>
        </w:rPr>
        <w:footnoteReference w:id="12"/>
      </w:r>
      <w:r w:rsidRPr="0081612F">
        <w:rPr>
          <w:rFonts w:ascii="Book Antiqua" w:hAnsi="Book Antiqua"/>
          <w:lang w:val="es-ES_tradnl"/>
        </w:rPr>
        <w:t>- Posteriormente, la Sala Única de la Corte Provincial de Orellana, en segunda instancia, (2021) realizó ampliaciones y aclaraciones a la sentencia</w:t>
      </w:r>
      <w:r w:rsidRPr="0081612F">
        <w:rPr>
          <w:rFonts w:ascii="Book Antiqua" w:hAnsi="Book Antiqua"/>
          <w:lang w:val="es-ES_tradnl"/>
        </w:rPr>
        <w:footnoteReference w:id="13"/>
      </w:r>
      <w:r w:rsidRPr="0081612F">
        <w:rPr>
          <w:rFonts w:ascii="Book Antiqua" w:hAnsi="Book Antiqua"/>
          <w:lang w:val="es-ES_tradnl"/>
        </w:rPr>
        <w:t xml:space="preserve">. Entre las principales aclaraciones, de interés para esta investigación, fueron las referidas al seguimiento de la Organización NAWE y el ente rector, en la protección de los PIAV, para el cumplimiento en lo que respecta a las medidas sustitutivas o interculturales, como construcción de infraestructura comunitaria, entre otros. Por otro lado, entre las principales disposiciones se exhorta al fortalecimiento de la política pública y la creación de una ley de protección PIACI, por parte del ente ejecutivo (Gobierno) y legislativo (Asamblea Nacional), respectivamente. Finalmente, la Corte Nacional de Justicia -Sala Especializada de lo Penal- (…), en el mismo caso y en su Resolución de 29 </w:t>
      </w:r>
      <w:r w:rsidRPr="0081612F">
        <w:rPr>
          <w:rFonts w:ascii="Book Antiqua" w:hAnsi="Book Antiqua"/>
          <w:lang w:val="es-ES_tradnl"/>
        </w:rPr>
        <w:lastRenderedPageBreak/>
        <w:t xml:space="preserve">septiembre del 2023, declaró improcedentes los recursos de casación, y solicitó devolver el expediente a la Corte Provincial de Orellana para su cumplimiento (sentencia en firme). </w:t>
      </w:r>
    </w:p>
    <w:p w14:paraId="680A3843" w14:textId="77777777" w:rsidR="00652A20" w:rsidRPr="0081612F" w:rsidRDefault="00652A20" w:rsidP="00652A20">
      <w:pPr>
        <w:jc w:val="both"/>
        <w:rPr>
          <w:rFonts w:ascii="Book Antiqua" w:hAnsi="Book Antiqua"/>
          <w:lang w:val="es-ES_tradnl"/>
        </w:rPr>
      </w:pPr>
    </w:p>
    <w:p w14:paraId="66086E69" w14:textId="6091814D" w:rsidR="00652A20" w:rsidRPr="0081612F" w:rsidRDefault="00652A20" w:rsidP="00652A20">
      <w:pPr>
        <w:jc w:val="both"/>
        <w:rPr>
          <w:rFonts w:ascii="Book Antiqua" w:hAnsi="Book Antiqua"/>
          <w:lang w:val="es-ES_tradnl"/>
        </w:rPr>
      </w:pPr>
      <w:r w:rsidRPr="0081612F">
        <w:rPr>
          <w:rFonts w:ascii="Book Antiqua" w:hAnsi="Book Antiqua"/>
          <w:lang w:val="es-ES_tradnl"/>
        </w:rPr>
        <w:t xml:space="preserve">Ninguna de estas disposiciones ha sido cumplida. </w:t>
      </w:r>
    </w:p>
    <w:p w14:paraId="491A4FF2" w14:textId="77777777" w:rsidR="00652A20" w:rsidRPr="0081612F" w:rsidRDefault="00652A20" w:rsidP="00652A20">
      <w:pPr>
        <w:jc w:val="both"/>
        <w:rPr>
          <w:rFonts w:ascii="Book Antiqua" w:hAnsi="Book Antiqua"/>
          <w:lang w:val="es-ES_tradnl"/>
        </w:rPr>
      </w:pPr>
    </w:p>
    <w:p w14:paraId="251F5A68" w14:textId="588E7593" w:rsidR="00753578" w:rsidRPr="0081612F" w:rsidRDefault="00652A20" w:rsidP="00BC62CF">
      <w:pPr>
        <w:spacing w:after="160"/>
        <w:jc w:val="both"/>
        <w:rPr>
          <w:rFonts w:ascii="Book Antiqua" w:hAnsi="Book Antiqua"/>
          <w:lang w:val="es-ES_tradnl"/>
        </w:rPr>
      </w:pPr>
      <w:r w:rsidRPr="0081612F">
        <w:rPr>
          <w:rFonts w:ascii="Book Antiqua" w:hAnsi="Book Antiqua"/>
          <w:lang w:val="es-ES_tradnl"/>
        </w:rPr>
        <w:t>En cuanto a la inobservancia del mandato popular sobre el Yasuní, es necesario acotar que en las dos consultas populares realizadas en los años 2018 y 2024 la mayoría de la población ecuatoriana otorgó respaldo para la protección de los grupos indígenas en aislamiento. En el año 2018, se votó de forma afirmativa para la ampliación de Zona Intangible y la reducción del área de explotación y en este año se votó nuevamente de forma mayoritaria para que se suspendan las actividades petroleras en el Bloque 43 denominado ITT. El gobierno tuvo 1 año para dejar de operar ese bloque, sin embargo, esto no se ha cumplido.</w:t>
      </w:r>
    </w:p>
    <w:p w14:paraId="2E42202C" w14:textId="39D8F354" w:rsidR="00652A20" w:rsidRPr="0081612F" w:rsidRDefault="00652A20" w:rsidP="00652A20">
      <w:pPr>
        <w:spacing w:line="240" w:lineRule="auto"/>
        <w:jc w:val="both"/>
        <w:rPr>
          <w:rFonts w:ascii="Book Antiqua" w:hAnsi="Book Antiqua"/>
          <w:lang w:val="es-ES_tradnl"/>
        </w:rPr>
      </w:pPr>
    </w:p>
    <w:p w14:paraId="5662817D" w14:textId="4FF825A5" w:rsidR="003C2A8E" w:rsidRPr="00753578" w:rsidRDefault="003C2A8E" w:rsidP="00727C6E">
      <w:pPr>
        <w:pStyle w:val="ListParagraph"/>
        <w:numPr>
          <w:ilvl w:val="0"/>
          <w:numId w:val="1"/>
        </w:numPr>
        <w:jc w:val="both"/>
        <w:rPr>
          <w:rFonts w:ascii="Book Antiqua" w:hAnsi="Book Antiqua" w:cs="Arial"/>
          <w:b/>
          <w:bCs/>
          <w:lang w:val="es-ES_tradnl"/>
        </w:rPr>
      </w:pPr>
      <w:r w:rsidRPr="0081612F">
        <w:rPr>
          <w:rFonts w:ascii="Book Antiqua" w:hAnsi="Book Antiqua" w:cs="Arial"/>
          <w:b/>
          <w:bCs/>
          <w:lang w:val="es-ES_tradnl"/>
        </w:rPr>
        <w:t xml:space="preserve">Recomendaciones </w:t>
      </w:r>
    </w:p>
    <w:p w14:paraId="5BAE9887" w14:textId="77777777" w:rsidR="00727C6E" w:rsidRPr="0081612F" w:rsidRDefault="00727C6E" w:rsidP="00727C6E">
      <w:pPr>
        <w:jc w:val="both"/>
        <w:rPr>
          <w:rFonts w:ascii="Book Antiqua" w:hAnsi="Book Antiqua"/>
          <w:bCs/>
          <w:lang w:val="es-ES_tradnl"/>
        </w:rPr>
      </w:pPr>
      <w:r w:rsidRPr="0081612F">
        <w:rPr>
          <w:rFonts w:ascii="Book Antiqua" w:hAnsi="Book Antiqua"/>
          <w:bCs/>
          <w:lang w:val="es-ES_tradnl"/>
        </w:rPr>
        <w:t>El Estado Ecuatoriano debe garantizar la intangibilidad de los territorios de los pueblos indígenas en aislamiento voluntario y procurar preservar, reparar y restituir las condiciones medio-ambientales, sociales y culturales que permiten la reproducción ampliada de las grupos familiares y clanes que permanecen en aislamiento voluntario.</w:t>
      </w:r>
    </w:p>
    <w:p w14:paraId="6D8DD41E" w14:textId="10EFD442" w:rsidR="00727C6E" w:rsidRPr="0081612F" w:rsidRDefault="00727C6E" w:rsidP="00727C6E">
      <w:pPr>
        <w:jc w:val="both"/>
        <w:rPr>
          <w:rFonts w:ascii="Book Antiqua" w:hAnsi="Book Antiqua"/>
          <w:b/>
          <w:bCs/>
          <w:lang w:val="es-ES_tradnl"/>
        </w:rPr>
      </w:pPr>
      <w:r w:rsidRPr="0081612F">
        <w:rPr>
          <w:rFonts w:ascii="Book Antiqua" w:hAnsi="Book Antiqua"/>
          <w:bCs/>
          <w:lang w:val="es-ES_tradnl"/>
        </w:rPr>
        <w:t xml:space="preserve"> </w:t>
      </w:r>
    </w:p>
    <w:p w14:paraId="750F7383" w14:textId="57090ACA" w:rsidR="00727C6E" w:rsidRPr="0081612F" w:rsidRDefault="00727C6E" w:rsidP="00727C6E">
      <w:pPr>
        <w:jc w:val="both"/>
        <w:rPr>
          <w:rFonts w:ascii="Book Antiqua" w:hAnsi="Book Antiqua"/>
          <w:bCs/>
          <w:lang w:val="es-ES_tradnl"/>
        </w:rPr>
      </w:pPr>
      <w:r w:rsidRPr="0081612F">
        <w:rPr>
          <w:rFonts w:ascii="Book Antiqua" w:hAnsi="Book Antiqua"/>
          <w:bCs/>
          <w:lang w:val="es-ES_tradnl"/>
        </w:rPr>
        <w:t xml:space="preserve">Para ello, es necesario que el Estado ecuatoriano considere de manera urgente las siguientes recomendaciones: </w:t>
      </w:r>
    </w:p>
    <w:p w14:paraId="058F827E" w14:textId="77777777" w:rsidR="00727C6E" w:rsidRPr="0081612F" w:rsidRDefault="00727C6E" w:rsidP="00727C6E">
      <w:pPr>
        <w:jc w:val="both"/>
        <w:rPr>
          <w:rFonts w:ascii="Book Antiqua" w:hAnsi="Book Antiqua"/>
          <w:lang w:val="es-ES_tradnl"/>
        </w:rPr>
      </w:pPr>
    </w:p>
    <w:p w14:paraId="6AFE7449" w14:textId="4FB6D1CC" w:rsidR="00643FAF" w:rsidRPr="00280B28" w:rsidRDefault="003C2A8E" w:rsidP="00280B28">
      <w:pPr>
        <w:pStyle w:val="ListParagraph"/>
        <w:numPr>
          <w:ilvl w:val="0"/>
          <w:numId w:val="3"/>
        </w:numPr>
        <w:ind w:left="360"/>
        <w:jc w:val="both"/>
        <w:rPr>
          <w:rFonts w:ascii="Book Antiqua" w:hAnsi="Book Antiqua" w:cs="Arial"/>
          <w:lang w:val="es-ES_tradnl"/>
        </w:rPr>
      </w:pPr>
      <w:r w:rsidRPr="0081612F">
        <w:rPr>
          <w:rFonts w:ascii="Book Antiqua" w:hAnsi="Book Antiqua" w:cs="Arial"/>
          <w:lang w:val="es-ES_tradnl"/>
        </w:rPr>
        <w:t>Que el Estado ecuatoriano garantice los derechos fundamentales de los Pueblos Indígenas en aislamiento voluntario</w:t>
      </w:r>
      <w:r w:rsidR="00E90515">
        <w:rPr>
          <w:rFonts w:ascii="Book Antiqua" w:hAnsi="Book Antiqua" w:cs="Arial"/>
          <w:lang w:val="es-ES_tradnl"/>
        </w:rPr>
        <w:t>,</w:t>
      </w:r>
      <w:r w:rsidRPr="0081612F">
        <w:rPr>
          <w:rFonts w:ascii="Book Antiqua" w:hAnsi="Book Antiqua" w:cs="Arial"/>
          <w:lang w:val="es-ES_tradnl"/>
        </w:rPr>
        <w:t xml:space="preserve"> tal como se menciona en el documento de las directrices y el informe sobre Pueblos Indígenas en aislamiento elaborado por la Corte Interamericana de los derechos humanos.</w:t>
      </w:r>
    </w:p>
    <w:p w14:paraId="1FDB3CE2" w14:textId="77777777" w:rsidR="00E3139F" w:rsidRPr="0081612F" w:rsidRDefault="00E3139F" w:rsidP="00E3139F">
      <w:pPr>
        <w:pStyle w:val="ListParagraph"/>
        <w:ind w:left="360"/>
        <w:jc w:val="both"/>
        <w:rPr>
          <w:rFonts w:ascii="Book Antiqua" w:hAnsi="Book Antiqua" w:cs="Arial"/>
          <w:lang w:val="es-ES_tradnl"/>
        </w:rPr>
      </w:pPr>
    </w:p>
    <w:p w14:paraId="5F37854E" w14:textId="275CA2D7" w:rsidR="00031052" w:rsidRPr="00D21423"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Diseñar, elaborar e implementar una política pública orientada a la protección y garantía de derechos de los Pueblos Indígenas e Aislamiento Voluntario y Contacto Inicial. Dicha política deberá establecer dentro de sus objetivos estratégicos; a) la implementación de mecanismos institucionales para garantizar la intangibilidad de los territorios indígenas de los pueblos en aislamiento voluntario tanto en las áreas y zonas demarcadas como intangibles, como en las zonas de movilidad y presencia de los pueblos indígenas que excedan los límites de la Zona Intangible Tagaeri Taromenane ZITT; b) la definición institucional de los Ministerios e instituciones encargadas de la protección de los derechos de los PIAV y la sanción de mecanismos de coordinación interinstitucional para hacer efectiva la labor del control, monitoreo y mitigación de riesgos y amenazas para el territorio de los PIAV y eventualmente PIACI; c) determinar los mecanismos de protección a los PIAV y establecer lineamientos de acción, reparación y restitución de derechos para miembros de los PIAV en proceso de contacto inicial; y d) establecer como objetivo la </w:t>
      </w:r>
      <w:r w:rsidRPr="0081612F">
        <w:rPr>
          <w:rFonts w:ascii="Book Antiqua" w:hAnsi="Book Antiqua"/>
          <w:bCs/>
          <w:lang w:val="es-ES_tradnl"/>
        </w:rPr>
        <w:lastRenderedPageBreak/>
        <w:t xml:space="preserve">formulación de una cultura de paz que propenda a una convivencia no violenta y a la mitigación del conflicto intercultural entre </w:t>
      </w:r>
      <w:proofErr w:type="spellStart"/>
      <w:r w:rsidRPr="0081612F">
        <w:rPr>
          <w:rFonts w:ascii="Book Antiqua" w:hAnsi="Book Antiqua"/>
          <w:bCs/>
          <w:lang w:val="es-ES_tradnl"/>
        </w:rPr>
        <w:t>waorani</w:t>
      </w:r>
      <w:proofErr w:type="spellEnd"/>
      <w:r w:rsidRPr="0081612F">
        <w:rPr>
          <w:rFonts w:ascii="Book Antiqua" w:hAnsi="Book Antiqua"/>
          <w:bCs/>
          <w:lang w:val="es-ES_tradnl"/>
        </w:rPr>
        <w:t xml:space="preserve"> y tagaeri/</w:t>
      </w:r>
      <w:proofErr w:type="spellStart"/>
      <w:r w:rsidRPr="0081612F">
        <w:rPr>
          <w:rFonts w:ascii="Book Antiqua" w:hAnsi="Book Antiqua"/>
          <w:bCs/>
          <w:lang w:val="es-ES_tradnl"/>
        </w:rPr>
        <w:t>taromemane</w:t>
      </w:r>
      <w:proofErr w:type="spellEnd"/>
      <w:r w:rsidRPr="0081612F">
        <w:rPr>
          <w:rFonts w:ascii="Book Antiqua" w:hAnsi="Book Antiqua"/>
          <w:bCs/>
          <w:lang w:val="es-ES_tradnl"/>
        </w:rPr>
        <w:t xml:space="preserve">.  </w:t>
      </w:r>
    </w:p>
    <w:p w14:paraId="27DFD877" w14:textId="77777777" w:rsidR="00D21423" w:rsidRPr="0081612F" w:rsidRDefault="00D21423" w:rsidP="00D21423">
      <w:pPr>
        <w:pStyle w:val="ListParagraph"/>
        <w:ind w:left="360"/>
        <w:jc w:val="both"/>
        <w:rPr>
          <w:rFonts w:ascii="Book Antiqua" w:hAnsi="Book Antiqua" w:cs="Arial"/>
          <w:lang w:val="es-ES_tradnl"/>
        </w:rPr>
      </w:pPr>
    </w:p>
    <w:p w14:paraId="7AFD756B" w14:textId="2F79767D" w:rsidR="00031052" w:rsidRPr="00280B28"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Implementar de manera emergente un conjunto de operativos y medidas de control efectivo tendientes a neutralizar la intrusión de amenazas comprobadas tales como tala ilegal de madera, minería ilegal y ampliación de zonas de colonización dentro del Parque Nacional Yasuní (PNY) y la Zona Intangible Tagaeri Taromenane. </w:t>
      </w:r>
    </w:p>
    <w:p w14:paraId="28098659" w14:textId="77777777" w:rsidR="00280B28" w:rsidRPr="00280B28" w:rsidRDefault="00280B28" w:rsidP="00280B28">
      <w:pPr>
        <w:pStyle w:val="ListParagraph"/>
        <w:rPr>
          <w:rFonts w:ascii="Book Antiqua" w:hAnsi="Book Antiqua" w:cs="Arial"/>
          <w:lang w:val="es-ES_tradnl"/>
        </w:rPr>
      </w:pPr>
    </w:p>
    <w:p w14:paraId="0902F12E" w14:textId="4964690D" w:rsidR="00280B28" w:rsidRPr="00280B28" w:rsidRDefault="00280B28" w:rsidP="00031052">
      <w:pPr>
        <w:pStyle w:val="ListParagraph"/>
        <w:numPr>
          <w:ilvl w:val="0"/>
          <w:numId w:val="3"/>
        </w:numPr>
        <w:ind w:left="360"/>
        <w:jc w:val="both"/>
        <w:rPr>
          <w:rFonts w:ascii="Book Antiqua" w:hAnsi="Book Antiqua" w:cs="Arial"/>
          <w:lang w:val="es-ES_tradnl"/>
        </w:rPr>
      </w:pPr>
      <w:r w:rsidRPr="00280B28">
        <w:rPr>
          <w:rFonts w:ascii="Book Antiqua" w:hAnsi="Book Antiqua" w:cs="Arial"/>
          <w:lang w:val="es-ES_tradnl"/>
        </w:rPr>
        <w:t>El Estado Ecuatoriano debe procurar que los puestos de control fronterizo y el personal de las fuerzas armadas asignados a los mismos cuenten con la logística</w:t>
      </w:r>
      <w:r>
        <w:rPr>
          <w:rFonts w:ascii="Book Antiqua" w:hAnsi="Book Antiqua" w:cs="Arial"/>
          <w:lang w:val="es-ES_tradnl"/>
        </w:rPr>
        <w:t xml:space="preserve"> y el </w:t>
      </w:r>
      <w:proofErr w:type="gramStart"/>
      <w:r>
        <w:rPr>
          <w:rFonts w:ascii="Book Antiqua" w:hAnsi="Book Antiqua" w:cs="Arial"/>
          <w:lang w:val="es-ES_tradnl"/>
        </w:rPr>
        <w:t xml:space="preserve">equipamiento </w:t>
      </w:r>
      <w:r w:rsidRPr="00280B28">
        <w:rPr>
          <w:rFonts w:ascii="Book Antiqua" w:hAnsi="Book Antiqua" w:cs="Arial"/>
          <w:lang w:val="es-ES_tradnl"/>
        </w:rPr>
        <w:t xml:space="preserve"> necesari</w:t>
      </w:r>
      <w:r>
        <w:rPr>
          <w:rFonts w:ascii="Book Antiqua" w:hAnsi="Book Antiqua" w:cs="Arial"/>
          <w:lang w:val="es-ES_tradnl"/>
        </w:rPr>
        <w:t>o</w:t>
      </w:r>
      <w:proofErr w:type="gramEnd"/>
      <w:r>
        <w:rPr>
          <w:rFonts w:ascii="Book Antiqua" w:hAnsi="Book Antiqua" w:cs="Arial"/>
          <w:lang w:val="es-ES_tradnl"/>
        </w:rPr>
        <w:t xml:space="preserve"> para ejercer el control y protección de las fronteras en las zonas adyacentes al PNY y ZITT en el área fronteriza con Perú. </w:t>
      </w:r>
    </w:p>
    <w:p w14:paraId="0D08DCC1" w14:textId="2BE209D0" w:rsidR="00280B28" w:rsidRPr="00240CE7" w:rsidRDefault="00280B28" w:rsidP="00031052">
      <w:pPr>
        <w:pStyle w:val="ListParagraph"/>
        <w:numPr>
          <w:ilvl w:val="0"/>
          <w:numId w:val="3"/>
        </w:numPr>
        <w:ind w:left="360"/>
        <w:jc w:val="both"/>
        <w:rPr>
          <w:rFonts w:ascii="Book Antiqua" w:hAnsi="Book Antiqua" w:cs="Arial"/>
          <w:lang w:val="es-ES_tradnl"/>
        </w:rPr>
      </w:pPr>
      <w:r>
        <w:rPr>
          <w:rFonts w:ascii="Book Antiqua" w:hAnsi="Book Antiqua" w:cs="Arial"/>
          <w:lang w:val="es-ES_tradnl"/>
        </w:rPr>
        <w:t xml:space="preserve">Se recomienda además trabajar en un enfoque transfronterizo que involucre la cooperación y colaboración mutuas del Estado Ecuatoriano y el Estado Peruano para la protección de los PIAV en el área transfronteriza del Río Curaray. </w:t>
      </w:r>
    </w:p>
    <w:p w14:paraId="61C36F93" w14:textId="77777777" w:rsidR="00240CE7" w:rsidRPr="00240CE7" w:rsidRDefault="00240CE7" w:rsidP="00240CE7">
      <w:pPr>
        <w:jc w:val="both"/>
        <w:rPr>
          <w:rFonts w:ascii="Book Antiqua" w:hAnsi="Book Antiqua"/>
          <w:lang w:val="es-ES_tradnl"/>
        </w:rPr>
      </w:pPr>
    </w:p>
    <w:p w14:paraId="101A3E53" w14:textId="7908809E" w:rsidR="00031052" w:rsidRPr="00240CE7"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El Estado Ecuatoriano debe abstenerse de negociar nuevas concesiones petroleras, mineras, de aprovechamiento forestal o para titulación de tierras en áreas de presencia y movilidad de los PIAV. Es necesario suspender cualquier negociación de bloques petroleros de la Ronda </w:t>
      </w:r>
      <w:proofErr w:type="spellStart"/>
      <w:r w:rsidRPr="0081612F">
        <w:rPr>
          <w:rFonts w:ascii="Book Antiqua" w:hAnsi="Book Antiqua"/>
          <w:bCs/>
          <w:lang w:val="es-ES_tradnl"/>
        </w:rPr>
        <w:t>SurOriente</w:t>
      </w:r>
      <w:proofErr w:type="spellEnd"/>
      <w:r w:rsidRPr="0081612F">
        <w:rPr>
          <w:rFonts w:ascii="Book Antiqua" w:hAnsi="Book Antiqua"/>
          <w:bCs/>
          <w:lang w:val="es-ES_tradnl"/>
        </w:rPr>
        <w:t xml:space="preserve"> que </w:t>
      </w:r>
      <w:proofErr w:type="spellStart"/>
      <w:r w:rsidRPr="0081612F">
        <w:rPr>
          <w:rFonts w:ascii="Book Antiqua" w:hAnsi="Book Antiqua"/>
          <w:bCs/>
          <w:lang w:val="es-ES_tradnl"/>
        </w:rPr>
        <w:t>intersecten</w:t>
      </w:r>
      <w:proofErr w:type="spellEnd"/>
      <w:r w:rsidRPr="0081612F">
        <w:rPr>
          <w:rFonts w:ascii="Book Antiqua" w:hAnsi="Book Antiqua"/>
          <w:bCs/>
          <w:lang w:val="es-ES_tradnl"/>
        </w:rPr>
        <w:t xml:space="preserve"> zonas de amortiguamiento de la ZITT o áreas críticas dentro del PNY. </w:t>
      </w:r>
    </w:p>
    <w:p w14:paraId="563B2BF4" w14:textId="77777777" w:rsidR="00240CE7" w:rsidRPr="00240CE7" w:rsidRDefault="00240CE7" w:rsidP="00240CE7">
      <w:pPr>
        <w:jc w:val="both"/>
        <w:rPr>
          <w:rFonts w:ascii="Book Antiqua" w:hAnsi="Book Antiqua"/>
          <w:lang w:val="es-ES_tradnl"/>
        </w:rPr>
      </w:pPr>
    </w:p>
    <w:p w14:paraId="11CCA348" w14:textId="7ADD1B66" w:rsidR="00031052" w:rsidRPr="00240CE7"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Fortalecer de manera sustantiva la estructura institucional, técnica, administrativa y presupuestaria de la Subsecretaría de Derechos Humanos y en específico de la DIPIAV para reestablecer sus capacidades de monitoreo y control de la ZITT y el área de influencia y movilidad de los PIAV.  </w:t>
      </w:r>
    </w:p>
    <w:p w14:paraId="0196E3E6" w14:textId="77777777" w:rsidR="00240CE7" w:rsidRPr="00240CE7" w:rsidRDefault="00240CE7" w:rsidP="00240CE7">
      <w:pPr>
        <w:pStyle w:val="ListParagraph"/>
        <w:rPr>
          <w:rFonts w:ascii="Book Antiqua" w:hAnsi="Book Antiqua" w:cs="Arial"/>
          <w:lang w:val="es-ES_tradnl"/>
        </w:rPr>
      </w:pPr>
    </w:p>
    <w:p w14:paraId="0F711DF4" w14:textId="77777777" w:rsidR="00240CE7" w:rsidRPr="0081612F" w:rsidRDefault="00240CE7" w:rsidP="00240CE7">
      <w:pPr>
        <w:pStyle w:val="ListParagraph"/>
        <w:ind w:left="360"/>
        <w:jc w:val="both"/>
        <w:rPr>
          <w:rFonts w:ascii="Book Antiqua" w:hAnsi="Book Antiqua" w:cs="Arial"/>
          <w:lang w:val="es-ES_tradnl"/>
        </w:rPr>
      </w:pPr>
    </w:p>
    <w:p w14:paraId="49EC32A7" w14:textId="53E05496" w:rsidR="00031052" w:rsidRPr="00240CE7"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Elaborar la política pública de protección a PIAV y PIACI con la participación amplia, libre e informada de las poblaciones indígenas residentes en el área, en especial con la Nacionalidad Waorani del Ecuador, a través de sus legítimas estructuras de autoridad y organización. Se debe procurar que la política de protección de PIAV observe y garantice los derechos fundamentales de las poblaciones indígenas del área, incorporando las iniciativas, esfuerzos y mecanismos interculturales que propendan al fomento de una cultura de paz y resolución de conflictos dentro de los territorios del área de influencia. </w:t>
      </w:r>
    </w:p>
    <w:p w14:paraId="3F55A679" w14:textId="77777777" w:rsidR="00240CE7" w:rsidRPr="0081612F" w:rsidRDefault="00240CE7" w:rsidP="00240CE7">
      <w:pPr>
        <w:pStyle w:val="ListParagraph"/>
        <w:ind w:left="360"/>
        <w:jc w:val="both"/>
        <w:rPr>
          <w:rFonts w:ascii="Book Antiqua" w:hAnsi="Book Antiqua" w:cs="Arial"/>
          <w:lang w:val="es-ES_tradnl"/>
        </w:rPr>
      </w:pPr>
    </w:p>
    <w:p w14:paraId="6DF9E482" w14:textId="6019D628" w:rsidR="00031052" w:rsidRPr="00240CE7"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Establecer un seguimiento y una política de acompañamiento a los planes de vida de las dos mujeres pertenecientes al grupo Tagaeri Taromenane que se encuentran en situación de contacto inicial. El Estado ecuatoriano debe garantizar que los derechos fundamentales de estas dos personas sean cumplidos a cabalidad, sin menoscabo de su integralidad y </w:t>
      </w:r>
      <w:r w:rsidRPr="0081612F">
        <w:rPr>
          <w:rFonts w:ascii="Book Antiqua" w:hAnsi="Book Antiqua"/>
          <w:bCs/>
          <w:lang w:val="es-ES_tradnl"/>
        </w:rPr>
        <w:lastRenderedPageBreak/>
        <w:t xml:space="preserve">removiendo obstáculos administrativos que pudieran convertirse en mecanismos de discriminación racial o tardío acceso a la justicia. </w:t>
      </w:r>
    </w:p>
    <w:p w14:paraId="714729C8" w14:textId="77777777" w:rsidR="00240CE7" w:rsidRPr="00240CE7" w:rsidRDefault="00240CE7" w:rsidP="00240CE7">
      <w:pPr>
        <w:pStyle w:val="ListParagraph"/>
        <w:rPr>
          <w:rFonts w:ascii="Book Antiqua" w:hAnsi="Book Antiqua" w:cs="Arial"/>
          <w:lang w:val="es-ES_tradnl"/>
        </w:rPr>
      </w:pPr>
    </w:p>
    <w:p w14:paraId="5A39AA4D" w14:textId="77777777" w:rsidR="00240CE7" w:rsidRPr="0081612F" w:rsidRDefault="00240CE7" w:rsidP="00240CE7">
      <w:pPr>
        <w:pStyle w:val="ListParagraph"/>
        <w:ind w:left="360"/>
        <w:jc w:val="both"/>
        <w:rPr>
          <w:rFonts w:ascii="Book Antiqua" w:hAnsi="Book Antiqua" w:cs="Arial"/>
          <w:lang w:val="es-ES_tradnl"/>
        </w:rPr>
      </w:pPr>
    </w:p>
    <w:p w14:paraId="35187BD8" w14:textId="69B65386" w:rsidR="00D77E76" w:rsidRPr="0081612F" w:rsidRDefault="00D77E76" w:rsidP="00031052">
      <w:pPr>
        <w:pStyle w:val="ListParagraph"/>
        <w:numPr>
          <w:ilvl w:val="0"/>
          <w:numId w:val="3"/>
        </w:numPr>
        <w:ind w:left="360"/>
        <w:jc w:val="both"/>
        <w:rPr>
          <w:rFonts w:ascii="Book Antiqua" w:hAnsi="Book Antiqua" w:cs="Arial"/>
          <w:lang w:val="es-ES_tradnl"/>
        </w:rPr>
      </w:pPr>
      <w:r w:rsidRPr="0081612F">
        <w:rPr>
          <w:rFonts w:ascii="Book Antiqua" w:hAnsi="Book Antiqua"/>
          <w:bCs/>
          <w:lang w:val="es-ES_tradnl"/>
        </w:rPr>
        <w:t xml:space="preserve">El Estado Ecuatoriano debe evaluar la situación epidemiológica de los territorios próximos a las áreas de influencia y territorios de los PIAV y establecer </w:t>
      </w:r>
      <w:r w:rsidR="00240CE7" w:rsidRPr="0081612F">
        <w:rPr>
          <w:rFonts w:ascii="Book Antiqua" w:hAnsi="Book Antiqua"/>
          <w:bCs/>
          <w:lang w:val="es-ES_tradnl"/>
        </w:rPr>
        <w:t>un mecanismo</w:t>
      </w:r>
      <w:r w:rsidRPr="0081612F">
        <w:rPr>
          <w:rFonts w:ascii="Book Antiqua" w:hAnsi="Book Antiqua"/>
          <w:bCs/>
          <w:lang w:val="es-ES_tradnl"/>
        </w:rPr>
        <w:t xml:space="preserve"> especial para la atención en salud que garantice los derechos de las poblaciones locales y establezca cercos epidemiológicos en relación a cuadros de morbilidad que podrían poner en riesgo a la población indígena en aislamiento voluntario. </w:t>
      </w:r>
    </w:p>
    <w:p w14:paraId="0753EA89" w14:textId="77777777" w:rsidR="00D77E76" w:rsidRPr="007F18B6" w:rsidRDefault="00D77E76" w:rsidP="00D77E76">
      <w:pPr>
        <w:rPr>
          <w:b/>
          <w:bCs/>
          <w:lang w:val="es-ES_tradnl"/>
        </w:rPr>
      </w:pPr>
    </w:p>
    <w:p w14:paraId="39592DD0" w14:textId="77777777" w:rsidR="00D77E76" w:rsidRPr="00331CF6" w:rsidRDefault="00D77E76" w:rsidP="00D77E76">
      <w:pPr>
        <w:rPr>
          <w:lang w:val="es-ES_tradnl"/>
        </w:rPr>
      </w:pPr>
    </w:p>
    <w:p w14:paraId="60878BB3" w14:textId="313CBDB0" w:rsidR="00652A20" w:rsidRDefault="00652A20" w:rsidP="00652A20">
      <w:pPr>
        <w:spacing w:line="240" w:lineRule="auto"/>
        <w:jc w:val="both"/>
        <w:rPr>
          <w:lang w:val="es-ES_tradnl"/>
        </w:rPr>
      </w:pPr>
    </w:p>
    <w:p w14:paraId="6E080B5C" w14:textId="56893667" w:rsidR="00652A20" w:rsidRDefault="00652A20" w:rsidP="00652A20">
      <w:pPr>
        <w:spacing w:line="240" w:lineRule="auto"/>
        <w:jc w:val="both"/>
        <w:rPr>
          <w:lang w:val="es-ES_tradnl"/>
        </w:rPr>
      </w:pPr>
    </w:p>
    <w:p w14:paraId="6C6F2D42" w14:textId="22A6B44F" w:rsidR="00652A20" w:rsidRDefault="00652A20" w:rsidP="00652A20">
      <w:pPr>
        <w:spacing w:line="240" w:lineRule="auto"/>
        <w:jc w:val="both"/>
        <w:rPr>
          <w:lang w:val="es-ES_tradnl"/>
        </w:rPr>
      </w:pPr>
    </w:p>
    <w:p w14:paraId="20AC1776" w14:textId="79F167F9" w:rsidR="00652A20" w:rsidRDefault="00652A20" w:rsidP="00652A20">
      <w:pPr>
        <w:spacing w:line="240" w:lineRule="auto"/>
        <w:jc w:val="both"/>
        <w:rPr>
          <w:lang w:val="es-ES_tradnl"/>
        </w:rPr>
      </w:pPr>
    </w:p>
    <w:p w14:paraId="56134A27" w14:textId="3D2EB238" w:rsidR="00652A20" w:rsidRDefault="007A143B" w:rsidP="00652A20">
      <w:pPr>
        <w:spacing w:line="240" w:lineRule="auto"/>
        <w:jc w:val="both"/>
        <w:rPr>
          <w:lang w:val="es-ES_tradnl"/>
        </w:rPr>
      </w:pPr>
      <w:r w:rsidRPr="00DF2885">
        <w:rPr>
          <w:i/>
          <w:iCs/>
          <w:noProof/>
          <w:lang w:val="es-ES_tradnl"/>
        </w:rPr>
        <w:drawing>
          <wp:anchor distT="0" distB="0" distL="114300" distR="114300" simplePos="0" relativeHeight="251659264" behindDoc="0" locked="0" layoutInCell="1" allowOverlap="1" wp14:anchorId="6A3751C6" wp14:editId="3CD21EB3">
            <wp:simplePos x="0" y="0"/>
            <wp:positionH relativeFrom="column">
              <wp:posOffset>3619500</wp:posOffset>
            </wp:positionH>
            <wp:positionV relativeFrom="paragraph">
              <wp:posOffset>5715</wp:posOffset>
            </wp:positionV>
            <wp:extent cx="1600200" cy="82867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00200" cy="828675"/>
                    </a:xfrm>
                    <a:prstGeom prst="rect">
                      <a:avLst/>
                    </a:prstGeom>
                  </pic:spPr>
                </pic:pic>
              </a:graphicData>
            </a:graphic>
          </wp:anchor>
        </w:drawing>
      </w:r>
    </w:p>
    <w:p w14:paraId="42F920A5" w14:textId="076C2B6C" w:rsidR="00652A20" w:rsidRDefault="00652A20" w:rsidP="00652A20">
      <w:pPr>
        <w:spacing w:line="240" w:lineRule="auto"/>
        <w:jc w:val="both"/>
        <w:rPr>
          <w:lang w:val="es-ES_tradnl"/>
        </w:rPr>
      </w:pPr>
    </w:p>
    <w:p w14:paraId="41D08683" w14:textId="77777777" w:rsidR="007A143B" w:rsidRDefault="007A143B" w:rsidP="00652A20">
      <w:pPr>
        <w:spacing w:line="240" w:lineRule="auto"/>
        <w:jc w:val="both"/>
        <w:rPr>
          <w:lang w:val="es-ES_tradnl"/>
        </w:rPr>
      </w:pPr>
      <w:r w:rsidRPr="00652A20">
        <w:rPr>
          <w:noProof/>
        </w:rPr>
        <w:drawing>
          <wp:anchor distT="0" distB="0" distL="114300" distR="114300" simplePos="0" relativeHeight="251665408" behindDoc="0" locked="0" layoutInCell="1" allowOverlap="1" wp14:anchorId="11A3D7E6" wp14:editId="4FC5F20F">
            <wp:simplePos x="0" y="0"/>
            <wp:positionH relativeFrom="column">
              <wp:posOffset>450850</wp:posOffset>
            </wp:positionH>
            <wp:positionV relativeFrom="paragraph">
              <wp:posOffset>6985</wp:posOffset>
            </wp:positionV>
            <wp:extent cx="1762125" cy="514350"/>
            <wp:effectExtent l="0" t="0" r="9525" b="0"/>
            <wp:wrapThrough wrapText="bothSides">
              <wp:wrapPolygon edited="0">
                <wp:start x="0" y="0"/>
                <wp:lineTo x="0" y="20800"/>
                <wp:lineTo x="21483" y="20800"/>
                <wp:lineTo x="21483" y="0"/>
                <wp:lineTo x="0" y="0"/>
              </wp:wrapPolygon>
            </wp:wrapThrough>
            <wp:docPr id="13498701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2125" cy="514350"/>
                    </a:xfrm>
                    <a:prstGeom prst="rect">
                      <a:avLst/>
                    </a:prstGeom>
                    <a:noFill/>
                    <a:ln>
                      <a:noFill/>
                    </a:ln>
                  </pic:spPr>
                </pic:pic>
              </a:graphicData>
            </a:graphic>
          </wp:anchor>
        </w:drawing>
      </w:r>
      <w:r w:rsidR="00652A20" w:rsidRPr="00652A20">
        <w:rPr>
          <w:lang w:val="pt-BR"/>
        </w:rPr>
        <w:br/>
      </w:r>
    </w:p>
    <w:p w14:paraId="62182F87" w14:textId="77777777" w:rsidR="007A143B" w:rsidRDefault="007A143B" w:rsidP="00652A20">
      <w:pPr>
        <w:spacing w:line="240" w:lineRule="auto"/>
        <w:jc w:val="both"/>
        <w:rPr>
          <w:lang w:val="es-ES_tradnl"/>
        </w:rPr>
      </w:pPr>
    </w:p>
    <w:p w14:paraId="523C3F5B" w14:textId="77777777" w:rsidR="007A143B" w:rsidRDefault="007A143B" w:rsidP="00652A20">
      <w:pPr>
        <w:spacing w:line="240" w:lineRule="auto"/>
        <w:jc w:val="both"/>
        <w:rPr>
          <w:lang w:val="es-ES_tradnl"/>
        </w:rPr>
      </w:pPr>
    </w:p>
    <w:p w14:paraId="7042FE00" w14:textId="77777777" w:rsidR="007A143B" w:rsidRDefault="007A143B" w:rsidP="00652A20">
      <w:pPr>
        <w:spacing w:line="240" w:lineRule="auto"/>
        <w:jc w:val="both"/>
        <w:rPr>
          <w:lang w:val="es-ES_tradnl"/>
        </w:rPr>
      </w:pPr>
    </w:p>
    <w:p w14:paraId="057F138E" w14:textId="7FC40328" w:rsidR="00652A20" w:rsidRDefault="007A143B" w:rsidP="00652A20">
      <w:pPr>
        <w:spacing w:line="240" w:lineRule="auto"/>
        <w:jc w:val="both"/>
        <w:rPr>
          <w:lang w:val="es-ES_tradnl"/>
        </w:rPr>
      </w:pPr>
      <w:r>
        <w:rPr>
          <w:lang w:val="es-ES_tradnl"/>
        </w:rPr>
        <w:t xml:space="preserve">              </w:t>
      </w:r>
      <w:r w:rsidR="00652A20" w:rsidRPr="00652A20">
        <w:rPr>
          <w:lang w:val="es-ES_tradnl"/>
        </w:rPr>
        <w:t xml:space="preserve">Daniel Aristizábal, </w:t>
      </w:r>
      <w:r w:rsidR="00DF2885">
        <w:rPr>
          <w:lang w:val="es-ES_tradnl"/>
        </w:rPr>
        <w:tab/>
      </w:r>
      <w:r w:rsidR="00DF2885">
        <w:rPr>
          <w:lang w:val="es-ES_tradnl"/>
        </w:rPr>
        <w:tab/>
      </w:r>
      <w:r w:rsidR="00DF2885">
        <w:rPr>
          <w:lang w:val="es-ES_tradnl"/>
        </w:rPr>
        <w:tab/>
      </w:r>
      <w:r>
        <w:rPr>
          <w:lang w:val="es-ES_tradnl"/>
        </w:rPr>
        <w:t xml:space="preserve">                           </w:t>
      </w:r>
      <w:r w:rsidR="00DF2885">
        <w:rPr>
          <w:lang w:val="es-ES_tradnl"/>
        </w:rPr>
        <w:t xml:space="preserve">Vanessa </w:t>
      </w:r>
      <w:proofErr w:type="spellStart"/>
      <w:r w:rsidR="00DF2885">
        <w:rPr>
          <w:lang w:val="es-ES_tradnl"/>
        </w:rPr>
        <w:t>Barham</w:t>
      </w:r>
      <w:proofErr w:type="spellEnd"/>
    </w:p>
    <w:p w14:paraId="526D5ADA" w14:textId="0D30C279" w:rsidR="00652A20" w:rsidRPr="00652A20" w:rsidRDefault="007A143B" w:rsidP="00652A20">
      <w:pPr>
        <w:spacing w:line="240" w:lineRule="auto"/>
        <w:jc w:val="both"/>
        <w:rPr>
          <w:i/>
          <w:iCs/>
          <w:lang w:val="es-ES_tradnl"/>
        </w:rPr>
      </w:pPr>
      <w:r>
        <w:rPr>
          <w:i/>
          <w:iCs/>
          <w:lang w:val="es-ES_tradnl"/>
        </w:rPr>
        <w:t xml:space="preserve">           </w:t>
      </w:r>
      <w:r w:rsidR="00652A20" w:rsidRPr="00652A20">
        <w:rPr>
          <w:i/>
          <w:iCs/>
          <w:lang w:val="es-ES_tradnl"/>
        </w:rPr>
        <w:t>Secretaria GTI-PIACI</w:t>
      </w:r>
      <w:r w:rsidR="00DF2885">
        <w:rPr>
          <w:i/>
          <w:iCs/>
          <w:lang w:val="es-ES_tradnl"/>
        </w:rPr>
        <w:tab/>
      </w:r>
      <w:r w:rsidR="00DF2885">
        <w:rPr>
          <w:i/>
          <w:iCs/>
          <w:lang w:val="es-ES_tradnl"/>
        </w:rPr>
        <w:tab/>
      </w:r>
      <w:r w:rsidR="00DF2885">
        <w:rPr>
          <w:i/>
          <w:iCs/>
          <w:lang w:val="es-ES_tradnl"/>
        </w:rPr>
        <w:tab/>
      </w:r>
      <w:r>
        <w:rPr>
          <w:i/>
          <w:iCs/>
          <w:lang w:val="es-ES_tradnl"/>
        </w:rPr>
        <w:t xml:space="preserve">                        </w:t>
      </w:r>
      <w:proofErr w:type="gramStart"/>
      <w:r w:rsidR="00DF2885">
        <w:rPr>
          <w:i/>
          <w:iCs/>
          <w:lang w:val="es-ES_tradnl"/>
        </w:rPr>
        <w:t>Directora</w:t>
      </w:r>
      <w:proofErr w:type="gramEnd"/>
      <w:r w:rsidR="00DF2885">
        <w:rPr>
          <w:i/>
          <w:iCs/>
          <w:lang w:val="es-ES_tradnl"/>
        </w:rPr>
        <w:t xml:space="preserve"> Quipa INC.</w:t>
      </w:r>
    </w:p>
    <w:p w14:paraId="48433E61" w14:textId="13B91DFF" w:rsidR="00652A20" w:rsidRPr="00652A20" w:rsidRDefault="00652A20" w:rsidP="00652A20">
      <w:pPr>
        <w:jc w:val="both"/>
        <w:rPr>
          <w:lang w:val="es-ES_tradnl"/>
        </w:rPr>
      </w:pPr>
    </w:p>
    <w:p w14:paraId="56BCD944" w14:textId="4F48A8B8" w:rsidR="00652A20" w:rsidRPr="00652A20" w:rsidRDefault="007A143B" w:rsidP="00652A20">
      <w:pPr>
        <w:rPr>
          <w:lang w:val="es-ES_tradnl"/>
        </w:rPr>
      </w:pPr>
      <w:r>
        <w:rPr>
          <w:noProof/>
        </w:rPr>
        <w:drawing>
          <wp:anchor distT="114300" distB="114300" distL="114300" distR="114300" simplePos="0" relativeHeight="251664384" behindDoc="1" locked="0" layoutInCell="1" hidden="0" allowOverlap="1" wp14:anchorId="6E71BF52" wp14:editId="23701413">
            <wp:simplePos x="0" y="0"/>
            <wp:positionH relativeFrom="margin">
              <wp:posOffset>3879215</wp:posOffset>
            </wp:positionH>
            <wp:positionV relativeFrom="paragraph">
              <wp:posOffset>94615</wp:posOffset>
            </wp:positionV>
            <wp:extent cx="996950" cy="81915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996950" cy="819150"/>
                    </a:xfrm>
                    <a:prstGeom prst="rect">
                      <a:avLst/>
                    </a:prstGeom>
                    <a:ln/>
                  </pic:spPr>
                </pic:pic>
              </a:graphicData>
            </a:graphic>
            <wp14:sizeRelH relativeFrom="margin">
              <wp14:pctWidth>0</wp14:pctWidth>
            </wp14:sizeRelH>
            <wp14:sizeRelV relativeFrom="margin">
              <wp14:pctHeight>0</wp14:pctHeight>
            </wp14:sizeRelV>
          </wp:anchor>
        </w:drawing>
      </w:r>
      <w:r w:rsidRPr="00652A20">
        <w:rPr>
          <w:noProof/>
        </w:rPr>
        <w:drawing>
          <wp:anchor distT="0" distB="0" distL="114300" distR="114300" simplePos="0" relativeHeight="251657216" behindDoc="0" locked="0" layoutInCell="1" allowOverlap="1" wp14:anchorId="25E7F13A" wp14:editId="5C8EB975">
            <wp:simplePos x="0" y="0"/>
            <wp:positionH relativeFrom="margin">
              <wp:posOffset>173355</wp:posOffset>
            </wp:positionH>
            <wp:positionV relativeFrom="margin">
              <wp:posOffset>4437380</wp:posOffset>
            </wp:positionV>
            <wp:extent cx="1889760" cy="857250"/>
            <wp:effectExtent l="0" t="0" r="0" b="0"/>
            <wp:wrapSquare wrapText="bothSides"/>
            <wp:docPr id="1528650418" name="Imagen 3" descr="Un letrero de color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50418" name="Imagen 3" descr="Un letrero de color blanco&#10;&#10;Descripción generada automáticamente con confianza baja"/>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9760" cy="857250"/>
                    </a:xfrm>
                    <a:prstGeom prst="rect">
                      <a:avLst/>
                    </a:prstGeom>
                  </pic:spPr>
                </pic:pic>
              </a:graphicData>
            </a:graphic>
            <wp14:sizeRelH relativeFrom="margin">
              <wp14:pctWidth>0</wp14:pctWidth>
            </wp14:sizeRelH>
            <wp14:sizeRelV relativeFrom="margin">
              <wp14:pctHeight>0</wp14:pctHeight>
            </wp14:sizeRelV>
          </wp:anchor>
        </w:drawing>
      </w:r>
      <w:r w:rsidR="00652A20" w:rsidRPr="00652A20">
        <w:rPr>
          <w:lang w:val="es-ES_tradnl"/>
        </w:rPr>
        <w:t xml:space="preserve"> </w:t>
      </w:r>
    </w:p>
    <w:p w14:paraId="08A3EF74" w14:textId="4DBE09D8" w:rsidR="00BC01CA" w:rsidRPr="00652A20" w:rsidRDefault="00BC01CA"/>
    <w:sectPr w:rsidR="00BC01CA" w:rsidRPr="00652A20" w:rsidSect="00652A20">
      <w:headerReference w:type="default" r:id="rId14"/>
      <w:footerReference w:type="default" r:id="rId15"/>
      <w:pgSz w:w="11909" w:h="16834"/>
      <w:pgMar w:top="162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68F87" w14:textId="77777777" w:rsidR="005509B4" w:rsidRDefault="005509B4">
      <w:pPr>
        <w:spacing w:line="240" w:lineRule="auto"/>
      </w:pPr>
      <w:r>
        <w:separator/>
      </w:r>
    </w:p>
  </w:endnote>
  <w:endnote w:type="continuationSeparator" w:id="0">
    <w:p w14:paraId="2F611030" w14:textId="77777777" w:rsidR="005509B4" w:rsidRDefault="005509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330C" w14:textId="77777777" w:rsidR="00652A20" w:rsidRDefault="00652A20">
    <w:pPr>
      <w:spacing w:line="240" w:lineRule="auto"/>
      <w:jc w:val="center"/>
      <w:rPr>
        <w:b/>
        <w:lang w:val="en-US"/>
      </w:rPr>
    </w:pPr>
  </w:p>
  <w:p w14:paraId="4C62D3E6" w14:textId="277A2CFA" w:rsidR="00BC01CA" w:rsidRPr="00652A20" w:rsidRDefault="00695667">
    <w:pPr>
      <w:spacing w:line="240" w:lineRule="auto"/>
      <w:jc w:val="center"/>
      <w:rPr>
        <w:b/>
        <w:lang w:val="en-US"/>
      </w:rPr>
    </w:pPr>
    <w:r w:rsidRPr="00652A20">
      <w:rPr>
        <w:b/>
        <w:lang w:val="en-US"/>
      </w:rPr>
      <w:t>QUIPA INC</w:t>
    </w:r>
  </w:p>
  <w:p w14:paraId="06680E5A" w14:textId="77777777" w:rsidR="00BC01CA" w:rsidRPr="00652A20" w:rsidRDefault="00695667">
    <w:pPr>
      <w:spacing w:line="240" w:lineRule="auto"/>
      <w:jc w:val="center"/>
      <w:rPr>
        <w:b/>
        <w:lang w:val="en-US"/>
      </w:rPr>
    </w:pPr>
    <w:r w:rsidRPr="00652A20">
      <w:rPr>
        <w:b/>
        <w:lang w:val="en-US"/>
      </w:rPr>
      <w:t xml:space="preserve">EIN: </w:t>
    </w:r>
    <w:r w:rsidRPr="00652A20">
      <w:rPr>
        <w:rFonts w:ascii="Roboto" w:eastAsia="Roboto" w:hAnsi="Roboto" w:cs="Roboto"/>
        <w:b/>
        <w:color w:val="202124"/>
        <w:sz w:val="24"/>
        <w:szCs w:val="24"/>
        <w:highlight w:val="white"/>
        <w:lang w:val="en-US"/>
      </w:rPr>
      <w:t>92-2809538</w:t>
    </w:r>
  </w:p>
  <w:p w14:paraId="60FB4678" w14:textId="77777777" w:rsidR="00BC01CA" w:rsidRPr="00652A20" w:rsidRDefault="00695667">
    <w:pPr>
      <w:spacing w:line="240" w:lineRule="auto"/>
      <w:jc w:val="center"/>
      <w:rPr>
        <w:b/>
        <w:lang w:val="en-US"/>
      </w:rPr>
    </w:pPr>
    <w:r w:rsidRPr="00652A20">
      <w:rPr>
        <w:rFonts w:ascii="Roboto" w:eastAsia="Roboto" w:hAnsi="Roboto" w:cs="Roboto"/>
        <w:b/>
        <w:color w:val="202124"/>
        <w:sz w:val="24"/>
        <w:szCs w:val="24"/>
        <w:highlight w:val="white"/>
        <w:lang w:val="en-US"/>
      </w:rPr>
      <w:t>418 BROADWAY STE N. ALBANY, NY 12207</w:t>
    </w:r>
  </w:p>
  <w:p w14:paraId="22CB5724" w14:textId="77777777" w:rsidR="00BC01CA" w:rsidRPr="00652A20" w:rsidRDefault="00BC01CA">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0117C" w14:textId="77777777" w:rsidR="005509B4" w:rsidRDefault="005509B4">
      <w:pPr>
        <w:spacing w:line="240" w:lineRule="auto"/>
      </w:pPr>
      <w:r>
        <w:separator/>
      </w:r>
    </w:p>
  </w:footnote>
  <w:footnote w:type="continuationSeparator" w:id="0">
    <w:p w14:paraId="4AD6A3C6" w14:textId="77777777" w:rsidR="005509B4" w:rsidRDefault="005509B4">
      <w:pPr>
        <w:spacing w:line="240" w:lineRule="auto"/>
      </w:pPr>
      <w:r>
        <w:continuationSeparator/>
      </w:r>
    </w:p>
  </w:footnote>
  <w:footnote w:id="1">
    <w:p w14:paraId="38B94743" w14:textId="34AD08C4" w:rsidR="00652A20" w:rsidRPr="00604B78" w:rsidRDefault="00652A20" w:rsidP="00652A20">
      <w:pPr>
        <w:pStyle w:val="FootnoteText"/>
        <w:rPr>
          <w:rFonts w:ascii="Times New Roman" w:hAnsi="Times New Roman" w:cs="Times New Roman"/>
        </w:rPr>
      </w:pPr>
      <w:r>
        <w:rPr>
          <w:rStyle w:val="FootnoteReference"/>
        </w:rPr>
        <w:footnoteRef/>
      </w:r>
      <w:r>
        <w:t xml:space="preserve"> </w:t>
      </w:r>
      <w:r w:rsidRPr="00604B78">
        <w:rPr>
          <w:rFonts w:ascii="Times New Roman" w:hAnsi="Times New Roman" w:cs="Times New Roman"/>
        </w:rPr>
        <w:t xml:space="preserve">En el caso de los Tagaeri, son un grupo familiar waorani que evitó el proceso de contacto en los años 1960 planificado y ejecutado por parte grupos religiosos misioneros del Instituto Lingüístico de Verano. Los Taromenane parecerían ser un grupo no emparentado con los waorani contactado, pero perteneciente al tronco lingüistico y cultural de la nacionalidad waorani.  De igual forma, los Dugakaeri, son grupos familiares waorani que han evitado todo tipo de </w:t>
      </w:r>
      <w:r w:rsidR="00817343" w:rsidRPr="00604B78">
        <w:rPr>
          <w:rFonts w:ascii="Times New Roman" w:hAnsi="Times New Roman" w:cs="Times New Roman"/>
        </w:rPr>
        <w:t>contacto,</w:t>
      </w:r>
      <w:r w:rsidRPr="00604B78">
        <w:rPr>
          <w:rFonts w:ascii="Times New Roman" w:hAnsi="Times New Roman" w:cs="Times New Roman"/>
        </w:rPr>
        <w:t xml:space="preserve"> pero las comunidades que viven en los alrededores suelen encontrar vestigios de su presencia. </w:t>
      </w:r>
    </w:p>
  </w:footnote>
  <w:footnote w:id="2">
    <w:p w14:paraId="36EFAA9C" w14:textId="77777777" w:rsidR="00652A20" w:rsidRPr="006773FD" w:rsidRDefault="00652A20" w:rsidP="00652A20">
      <w:pPr>
        <w:spacing w:after="160" w:line="256" w:lineRule="auto"/>
        <w:jc w:val="both"/>
        <w:rPr>
          <w:rFonts w:ascii="Times New Roman" w:hAnsi="Times New Roman" w:cs="Times New Roman"/>
          <w:i/>
          <w:sz w:val="20"/>
          <w:szCs w:val="20"/>
        </w:rPr>
      </w:pPr>
      <w:r w:rsidRPr="00604B78">
        <w:rPr>
          <w:rStyle w:val="FootnoteReference"/>
          <w:rFonts w:ascii="Times New Roman" w:hAnsi="Times New Roman" w:cs="Times New Roman"/>
          <w:sz w:val="20"/>
          <w:szCs w:val="20"/>
        </w:rPr>
        <w:footnoteRef/>
      </w:r>
      <w:r w:rsidRPr="00604B78">
        <w:rPr>
          <w:rFonts w:ascii="Times New Roman" w:hAnsi="Times New Roman" w:cs="Times New Roman"/>
          <w:sz w:val="20"/>
          <w:szCs w:val="20"/>
        </w:rPr>
        <w:t xml:space="preserve"> </w:t>
      </w:r>
      <w:r w:rsidRPr="00604B78">
        <w:rPr>
          <w:rFonts w:ascii="Times New Roman" w:hAnsi="Times New Roman" w:cs="Times New Roman"/>
          <w:i/>
          <w:sz w:val="20"/>
          <w:szCs w:val="20"/>
        </w:rPr>
        <w:t>La Zona Intangible Tagaeri Taromenane (ZITT) fue creado en 1999, aunque en sus inicios carecía de una delimitación geográfica precisa. No fue sino hasta el 3 de enero de 2007, mediante el Decreto Ejecutivo No. 2187, que se estableció oficialmente una extensión de kilómetros alrededor de la ZITT. Posteriormente, y como resultado de la consulta popular realizada en el año 2018, el Estado emitió el Decreto Ejecutivo No. 751, del 21 de mayo de 2019, en el cual se procedió a la ampliación de la Zona Intangible Tagaeri-Taromenane, alcanzando una extensión total de 818,501.42 hectáreas, con una Zona de Amortiguamiento de 10 kilómetros que abarca 399,605.07 hectáreas.</w:t>
      </w:r>
    </w:p>
  </w:footnote>
  <w:footnote w:id="3">
    <w:p w14:paraId="2370F146" w14:textId="6911FA09" w:rsidR="00652A20" w:rsidRPr="006773FD" w:rsidRDefault="00652A20" w:rsidP="00652A20">
      <w:pPr>
        <w:pStyle w:val="FootnoteText"/>
      </w:pPr>
      <w:r>
        <w:rPr>
          <w:rStyle w:val="FootnoteReference"/>
        </w:rPr>
        <w:footnoteRef/>
      </w:r>
      <w:r>
        <w:t xml:space="preserve"> </w:t>
      </w:r>
      <w:r w:rsidRPr="00817343">
        <w:t>Medidas cautelares 2006</w:t>
      </w:r>
    </w:p>
  </w:footnote>
  <w:footnote w:id="4">
    <w:p w14:paraId="3EE4D2A9" w14:textId="77777777" w:rsidR="00652A20" w:rsidRPr="00BC1456" w:rsidRDefault="00652A20" w:rsidP="00652A20">
      <w:pPr>
        <w:pStyle w:val="FootnoteText"/>
        <w:rPr>
          <w:rFonts w:ascii="Times New Roman" w:hAnsi="Times New Roman" w:cs="Times New Roman"/>
          <w:i/>
          <w:u w:val="single"/>
        </w:rPr>
      </w:pPr>
      <w:r>
        <w:rPr>
          <w:rStyle w:val="FootnoteReference"/>
        </w:rPr>
        <w:footnoteRef/>
      </w:r>
      <w:r>
        <w:t xml:space="preserve"> </w:t>
      </w:r>
      <w:r>
        <w:rPr>
          <w:rFonts w:ascii="Times New Roman" w:hAnsi="Times New Roman" w:cs="Times New Roman"/>
          <w:i/>
        </w:rPr>
        <w:t>La</w:t>
      </w:r>
      <w:r w:rsidRPr="00BC1456">
        <w:rPr>
          <w:rFonts w:ascii="Times New Roman" w:hAnsi="Times New Roman" w:cs="Times New Roman"/>
          <w:i/>
        </w:rPr>
        <w:t xml:space="preserve"> Corte Interamericana señala que el Estado tendría responsabilidad internacional “</w:t>
      </w:r>
      <w:r w:rsidRPr="00BC1456">
        <w:rPr>
          <w:rFonts w:ascii="Times New Roman" w:hAnsi="Times New Roman" w:cs="Times New Roman"/>
          <w:i/>
          <w:u w:val="single"/>
        </w:rPr>
        <w:t>por una serie de alegadas violaciones a los derechos de los Pueblos Indígenas Tagaeri y Taromenane y sus miembros, en el marco de proyectos que presuntamente afectan sus territorios, recursos naturales y modo de vida. Asimismo, trata sobre tres incidentes de muertes violentas de miembros de dichos pueblos ocurridos en 2003, 2006 y 2014, así como la falta de medidas adecuadas de protección en relación con dos niñas, las niñas C y D, miembros de un pueblo en aislamiento voluntario, tras los hechos de 2013”</w:t>
      </w:r>
    </w:p>
    <w:p w14:paraId="6B727B21" w14:textId="77777777" w:rsidR="00652A20" w:rsidRPr="00BA24F2" w:rsidRDefault="00652A20" w:rsidP="00652A20">
      <w:pPr>
        <w:pStyle w:val="FootnoteText"/>
      </w:pPr>
      <w:r w:rsidRPr="00BC1456">
        <w:rPr>
          <w:rFonts w:ascii="Times New Roman" w:hAnsi="Times New Roman" w:cs="Times New Roman"/>
          <w:lang w:val="es-MX"/>
        </w:rPr>
        <w:t>Durante la Audiencia de la Corte IDH, del 23 de agosto de 2022, en Brasilia (Brasil), el Estado ecuatoriano reconoció parcialmente su responsabilidad internacional por la violación a los derechos consagrados en los artículos 8.1 y 25.1 de la Convención Americana de Derechos Humanos (CADH), en relación con la obligación establecida en el artículo 1.1 del mismo instrumento, frente a las masacres ocurridas en los años 2003 y 2006 sobre los PIA, a diferencia de lo ocurrido en 2013</w:t>
      </w:r>
      <w:r>
        <w:rPr>
          <w:lang w:val="es-MX"/>
        </w:rPr>
        <w:t>.</w:t>
      </w:r>
    </w:p>
  </w:footnote>
  <w:footnote w:id="5">
    <w:p w14:paraId="21EA83BF" w14:textId="77777777" w:rsidR="00652A20" w:rsidRPr="00A517A8" w:rsidRDefault="00652A20" w:rsidP="00652A20">
      <w:pPr>
        <w:pStyle w:val="FootnoteText"/>
      </w:pPr>
      <w:r>
        <w:rPr>
          <w:rStyle w:val="FootnoteReference"/>
        </w:rPr>
        <w:footnoteRef/>
      </w:r>
      <w:r>
        <w:t xml:space="preserve"> Ahora que una de las menores ha cumplido la mayoría de edad, ha solicitado voluntariamente salir del programa de protección de testigos de la FGE. </w:t>
      </w:r>
    </w:p>
  </w:footnote>
  <w:footnote w:id="6">
    <w:p w14:paraId="3CCCF973" w14:textId="08C78967" w:rsidR="00652A20" w:rsidRPr="00A208D0" w:rsidRDefault="00652A20" w:rsidP="00652A20">
      <w:pPr>
        <w:pStyle w:val="FootnoteText"/>
      </w:pPr>
      <w:r>
        <w:rPr>
          <w:rStyle w:val="FootnoteReference"/>
        </w:rPr>
        <w:footnoteRef/>
      </w:r>
      <w:r>
        <w:t xml:space="preserve"> Hoy Ministerio del Ambiente, Agua y Transición Ecológica del Ecuador (MAATE)</w:t>
      </w:r>
    </w:p>
  </w:footnote>
  <w:footnote w:id="7">
    <w:p w14:paraId="1E8A7A0F" w14:textId="77777777" w:rsidR="00652A20" w:rsidRPr="00117FB2" w:rsidRDefault="00652A20" w:rsidP="00652A20">
      <w:pPr>
        <w:pStyle w:val="FootnoteText"/>
      </w:pPr>
      <w:r>
        <w:rPr>
          <w:rStyle w:val="FootnoteReference"/>
        </w:rPr>
        <w:footnoteRef/>
      </w:r>
      <w:r>
        <w:t xml:space="preserve"> En Ecuador, las Subsecretarías obtienen el rango equivalente a vice-ministerios y contemplan una estructura de organización con mayor complejidad y mayores capacidades resolutivas dentro de un Ministerio. </w:t>
      </w:r>
    </w:p>
  </w:footnote>
  <w:footnote w:id="8">
    <w:p w14:paraId="41795DA7" w14:textId="77777777" w:rsidR="00652A20" w:rsidRPr="003F1D31" w:rsidRDefault="00652A20" w:rsidP="00652A20">
      <w:pPr>
        <w:pStyle w:val="FootnoteText"/>
      </w:pPr>
      <w:r>
        <w:rPr>
          <w:rStyle w:val="FootnoteReference"/>
        </w:rPr>
        <w:footnoteRef/>
      </w:r>
      <w:r>
        <w:t xml:space="preserve"> De ellos 2 técnicos son kichwas y 6 técnicos son waorani. </w:t>
      </w:r>
    </w:p>
  </w:footnote>
  <w:footnote w:id="9">
    <w:p w14:paraId="680A9F17" w14:textId="368C4C41" w:rsidR="00652A20" w:rsidRPr="00510E95" w:rsidRDefault="00652A20" w:rsidP="00652A20">
      <w:pPr>
        <w:pStyle w:val="FootnoteText"/>
      </w:pPr>
      <w:r>
        <w:rPr>
          <w:rStyle w:val="FootnoteReference"/>
        </w:rPr>
        <w:footnoteRef/>
      </w:r>
      <w:r>
        <w:t xml:space="preserve"> </w:t>
      </w:r>
      <w:r w:rsidRPr="00817343">
        <w:t>https://www.fundacionlabaka.org/index.php/observatorio/contaminacion/43-presentamos-informe-sobre-tala-de-madera-y-caceria-ilegal-en-la-zitt-2</w:t>
      </w:r>
      <w:r>
        <w:t xml:space="preserve"> </w:t>
      </w:r>
    </w:p>
  </w:footnote>
  <w:footnote w:id="10">
    <w:p w14:paraId="071B1F25" w14:textId="5A18A581" w:rsidR="00652A20" w:rsidRPr="00486F43" w:rsidRDefault="00652A20" w:rsidP="00652A20">
      <w:pPr>
        <w:pStyle w:val="FootnoteText"/>
      </w:pPr>
      <w:r>
        <w:rPr>
          <w:rStyle w:val="FootnoteReference"/>
        </w:rPr>
        <w:footnoteRef/>
      </w:r>
      <w:r>
        <w:t xml:space="preserve"> </w:t>
      </w:r>
      <w:r w:rsidRPr="00817343">
        <w:t xml:space="preserve">CONFENIAE Ecuador | </w:t>
      </w:r>
      <w:r w:rsidRPr="00817343">
        <w:rPr>
          <w:rFonts w:ascii="Segoe UI Emoji" w:hAnsi="Segoe UI Emoji" w:cs="Segoe UI Emoji"/>
        </w:rPr>
        <w:t>🔴</w:t>
      </w:r>
      <w:r w:rsidRPr="00817343">
        <w:t>#Pronunciamiento Ante las pretenciones del gobierno de Daniel Noboa Azin de expandir la frontera petrolera, violando nuestro derecho a la … | Instagram</w:t>
      </w:r>
    </w:p>
  </w:footnote>
  <w:footnote w:id="11">
    <w:p w14:paraId="36868F1B" w14:textId="503D19BD" w:rsidR="00652A20" w:rsidRPr="00575494" w:rsidRDefault="00652A20" w:rsidP="00652A20">
      <w:pPr>
        <w:shd w:val="clear" w:color="auto" w:fill="FFFFFF"/>
        <w:spacing w:line="240" w:lineRule="auto"/>
        <w:rPr>
          <w:rFonts w:eastAsia="Times New Roman"/>
          <w:color w:val="222222"/>
          <w:sz w:val="24"/>
          <w:szCs w:val="24"/>
          <w:lang w:val="es-MX"/>
        </w:rPr>
      </w:pPr>
      <w:r>
        <w:rPr>
          <w:rStyle w:val="FootnoteReference"/>
        </w:rPr>
        <w:footnoteRef/>
      </w:r>
      <w:r>
        <w:t xml:space="preserve"> </w:t>
      </w:r>
      <w:r w:rsidRPr="00817343">
        <w:rPr>
          <w:rFonts w:ascii="Times New Roman" w:hAnsi="Times New Roman" w:cs="Times New Roman"/>
          <w:sz w:val="20"/>
          <w:szCs w:val="20"/>
        </w:rPr>
        <w:t>Gobierno lanza ambicioso plan para captar USD 41.500 millones de inversión privada en el sector petrolero</w:t>
      </w:r>
      <w:r w:rsidRPr="00652A20">
        <w:rPr>
          <w:rFonts w:ascii="Times New Roman" w:hAnsi="Times New Roman" w:cs="Times New Roman"/>
          <w:color w:val="0000FF" w:themeColor="hyperlink"/>
          <w:sz w:val="20"/>
          <w:szCs w:val="20"/>
          <w:u w:val="single"/>
        </w:rPr>
        <w:t>.</w:t>
      </w:r>
      <w:r>
        <w:rPr>
          <w:rFonts w:ascii="Times New Roman" w:hAnsi="Times New Roman" w:cs="Times New Roman"/>
          <w:color w:val="0000FF" w:themeColor="hyperlink"/>
          <w:sz w:val="20"/>
          <w:szCs w:val="20"/>
          <w:u w:val="single"/>
        </w:rPr>
        <w:t xml:space="preserve"> </w:t>
      </w:r>
    </w:p>
    <w:p w14:paraId="632CCF48" w14:textId="77777777" w:rsidR="00652A20" w:rsidRPr="009A0977" w:rsidRDefault="00652A20" w:rsidP="00652A20">
      <w:pPr>
        <w:pStyle w:val="FootnoteText"/>
        <w:rPr>
          <w:lang w:val="es-MX"/>
        </w:rPr>
      </w:pPr>
    </w:p>
  </w:footnote>
  <w:footnote w:id="12">
    <w:p w14:paraId="4918DA24" w14:textId="77777777" w:rsidR="00652A20" w:rsidRPr="009D6B62" w:rsidRDefault="00652A20" w:rsidP="00652A20">
      <w:pPr>
        <w:pStyle w:val="FootnoteText"/>
        <w:jc w:val="both"/>
        <w:rPr>
          <w:rFonts w:ascii="Times New Roman" w:hAnsi="Times New Roman" w:cs="Times New Roman"/>
          <w:i/>
        </w:rPr>
      </w:pPr>
      <w:r w:rsidRPr="00F45CEC">
        <w:rPr>
          <w:rStyle w:val="FootnoteReference"/>
          <w:rFonts w:ascii="Times New Roman" w:hAnsi="Times New Roman" w:cs="Times New Roman"/>
        </w:rPr>
        <w:footnoteRef/>
      </w:r>
      <w:r w:rsidRPr="00F45CEC">
        <w:rPr>
          <w:rFonts w:ascii="Times New Roman" w:hAnsi="Times New Roman" w:cs="Times New Roman"/>
        </w:rPr>
        <w:t xml:space="preserve"> </w:t>
      </w:r>
      <w:r w:rsidRPr="00E60F2D">
        <w:rPr>
          <w:rFonts w:ascii="Times New Roman" w:hAnsi="Times New Roman" w:cs="Times New Roman"/>
          <w:lang w:val="es-MX"/>
        </w:rPr>
        <w:t>Recuperado de Sentencia Caso Waorani-Masacre 2013 en:</w:t>
      </w:r>
      <w:r w:rsidRPr="009D6B62">
        <w:rPr>
          <w:rFonts w:ascii="Times New Roman" w:hAnsi="Times New Roman" w:cs="Times New Roman"/>
          <w:i/>
        </w:rPr>
        <w:t xml:space="preserve"> </w:t>
      </w:r>
    </w:p>
    <w:p w14:paraId="597580E0" w14:textId="37A56945" w:rsidR="00652A20" w:rsidRPr="00F45CEC" w:rsidRDefault="00652A20" w:rsidP="00652A20">
      <w:pPr>
        <w:pStyle w:val="FootnoteText"/>
        <w:jc w:val="both"/>
        <w:rPr>
          <w:rFonts w:ascii="Times New Roman" w:hAnsi="Times New Roman" w:cs="Times New Roman"/>
          <w:lang w:val="es-ES_tradnl"/>
        </w:rPr>
      </w:pPr>
      <w:r w:rsidRPr="009D6B62">
        <w:rPr>
          <w:rFonts w:ascii="Times New Roman" w:hAnsi="Times New Roman" w:cs="Times New Roman"/>
          <w:lang w:val="es-ES_tradnl"/>
        </w:rPr>
        <w:t xml:space="preserve"> </w:t>
      </w:r>
      <w:r w:rsidRPr="00817343">
        <w:rPr>
          <w:rFonts w:ascii="Times New Roman" w:hAnsi="Times New Roman" w:cs="Times New Roman"/>
          <w:lang w:val="es-ES_tradnl"/>
        </w:rPr>
        <w:t>https://www.researchgate.net/publication/337445738_Sentencia_Caso_Waorani_-_Masacre_2013</w:t>
      </w:r>
    </w:p>
  </w:footnote>
  <w:footnote w:id="13">
    <w:p w14:paraId="0BDDFD80" w14:textId="0A291692" w:rsidR="00652A20" w:rsidRPr="006D45CC" w:rsidRDefault="00652A20" w:rsidP="00652A20">
      <w:pPr>
        <w:pStyle w:val="FootnoteText"/>
      </w:pPr>
      <w:r>
        <w:rPr>
          <w:rStyle w:val="FootnoteReference"/>
        </w:rPr>
        <w:footnoteRef/>
      </w:r>
      <w:r>
        <w:t xml:space="preserve"> </w:t>
      </w:r>
      <w:r w:rsidRPr="00817343">
        <w:t>https://drive.google.com/file/d/1gHV4EeRmmcQpBH03vROQ4yM8TBRFU-SU/view?usp=sharing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D99A" w14:textId="3D2858B9" w:rsidR="00240CE7" w:rsidRDefault="00240CE7">
    <w:pPr>
      <w:pStyle w:val="Header"/>
    </w:pPr>
    <w:bookmarkStart w:id="0" w:name="_Hlk180673657"/>
    <w:bookmarkEnd w:id="0"/>
    <w:r>
      <w:rPr>
        <w:noProof/>
      </w:rPr>
      <w:drawing>
        <wp:anchor distT="114300" distB="114300" distL="114300" distR="114300" simplePos="0" relativeHeight="251651584" behindDoc="1" locked="0" layoutInCell="1" hidden="0" allowOverlap="1" wp14:anchorId="4FE08A99" wp14:editId="1AB9C924">
          <wp:simplePos x="0" y="0"/>
          <wp:positionH relativeFrom="margin">
            <wp:posOffset>5403850</wp:posOffset>
          </wp:positionH>
          <wp:positionV relativeFrom="paragraph">
            <wp:posOffset>-361950</wp:posOffset>
          </wp:positionV>
          <wp:extent cx="996950" cy="81915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96950" cy="8191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319E9"/>
    <w:multiLevelType w:val="hybridMultilevel"/>
    <w:tmpl w:val="6B422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2D1629"/>
    <w:multiLevelType w:val="hybridMultilevel"/>
    <w:tmpl w:val="AC722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99E5132"/>
    <w:multiLevelType w:val="hybridMultilevel"/>
    <w:tmpl w:val="05888D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6C781961"/>
    <w:multiLevelType w:val="hybridMultilevel"/>
    <w:tmpl w:val="874268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1CA"/>
    <w:rsid w:val="00031052"/>
    <w:rsid w:val="000945C6"/>
    <w:rsid w:val="001F70FB"/>
    <w:rsid w:val="00240CE7"/>
    <w:rsid w:val="00280B28"/>
    <w:rsid w:val="003C2A8E"/>
    <w:rsid w:val="005509B4"/>
    <w:rsid w:val="00643FAF"/>
    <w:rsid w:val="00652A20"/>
    <w:rsid w:val="00695667"/>
    <w:rsid w:val="00727C6E"/>
    <w:rsid w:val="00753578"/>
    <w:rsid w:val="007A143B"/>
    <w:rsid w:val="0081612F"/>
    <w:rsid w:val="00817343"/>
    <w:rsid w:val="009D525B"/>
    <w:rsid w:val="00A609FE"/>
    <w:rsid w:val="00BC01CA"/>
    <w:rsid w:val="00BC62CF"/>
    <w:rsid w:val="00BD6942"/>
    <w:rsid w:val="00D21423"/>
    <w:rsid w:val="00D77E76"/>
    <w:rsid w:val="00DF2885"/>
    <w:rsid w:val="00E3139F"/>
    <w:rsid w:val="00E90515"/>
    <w:rsid w:val="00EC5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054771"/>
  <w15:docId w15:val="{481D4010-C97E-402A-9939-78E8C209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52A20"/>
    <w:pPr>
      <w:tabs>
        <w:tab w:val="center" w:pos="4680"/>
        <w:tab w:val="right" w:pos="9360"/>
      </w:tabs>
      <w:spacing w:line="240" w:lineRule="auto"/>
    </w:pPr>
  </w:style>
  <w:style w:type="character" w:customStyle="1" w:styleId="HeaderChar">
    <w:name w:val="Header Char"/>
    <w:basedOn w:val="DefaultParagraphFont"/>
    <w:link w:val="Header"/>
    <w:uiPriority w:val="99"/>
    <w:rsid w:val="00652A20"/>
  </w:style>
  <w:style w:type="paragraph" w:styleId="Footer">
    <w:name w:val="footer"/>
    <w:basedOn w:val="Normal"/>
    <w:link w:val="FooterChar"/>
    <w:uiPriority w:val="99"/>
    <w:unhideWhenUsed/>
    <w:rsid w:val="00652A20"/>
    <w:pPr>
      <w:tabs>
        <w:tab w:val="center" w:pos="4680"/>
        <w:tab w:val="right" w:pos="9360"/>
      </w:tabs>
      <w:spacing w:line="240" w:lineRule="auto"/>
    </w:pPr>
  </w:style>
  <w:style w:type="character" w:customStyle="1" w:styleId="FooterChar">
    <w:name w:val="Footer Char"/>
    <w:basedOn w:val="DefaultParagraphFont"/>
    <w:link w:val="Footer"/>
    <w:uiPriority w:val="99"/>
    <w:rsid w:val="00652A20"/>
  </w:style>
  <w:style w:type="paragraph" w:styleId="ListParagraph">
    <w:name w:val="List Paragraph"/>
    <w:basedOn w:val="Normal"/>
    <w:uiPriority w:val="34"/>
    <w:qFormat/>
    <w:rsid w:val="00652A20"/>
    <w:pPr>
      <w:spacing w:after="200"/>
      <w:ind w:left="720"/>
      <w:contextualSpacing/>
    </w:pPr>
    <w:rPr>
      <w:rFonts w:asciiTheme="minorHAnsi" w:eastAsiaTheme="minorHAnsi" w:hAnsiTheme="minorHAnsi" w:cstheme="minorBidi"/>
      <w:lang w:val="es-EC"/>
    </w:rPr>
  </w:style>
  <w:style w:type="paragraph" w:styleId="FootnoteText">
    <w:name w:val="footnote text"/>
    <w:aliases w:val="fn,Footnote ak,Footnotes,Footnote Text Char Char Char Char,Footnote Text Char Char Char,Footnote Text Char Char Char Char Char,Footnote reference,FA Fu Car,5_G,Note de bas de page2,Fußnotentext RAXEN,Footnote Text Char2 Char,Tex"/>
    <w:basedOn w:val="Normal"/>
    <w:link w:val="FootnoteTextChar"/>
    <w:uiPriority w:val="99"/>
    <w:unhideWhenUsed/>
    <w:rsid w:val="00652A20"/>
    <w:pPr>
      <w:spacing w:line="240" w:lineRule="auto"/>
    </w:pPr>
    <w:rPr>
      <w:rFonts w:asciiTheme="minorHAnsi" w:eastAsiaTheme="minorHAnsi" w:hAnsiTheme="minorHAnsi" w:cstheme="minorBidi"/>
      <w:sz w:val="20"/>
      <w:szCs w:val="20"/>
      <w:lang w:val="es-EC"/>
    </w:rPr>
  </w:style>
  <w:style w:type="character" w:customStyle="1" w:styleId="FootnoteTextChar">
    <w:name w:val="Footnote Text Char"/>
    <w:aliases w:val="fn Char,Footnote ak Char,Footnotes Char,Footnote Text Char Char Char Char Char1,Footnote Text Char Char Char Char1,Footnote Text Char Char Char Char Char Char,Footnote reference Char,FA Fu Car Char,5_G Char,Note de bas de page2 Char"/>
    <w:basedOn w:val="DefaultParagraphFont"/>
    <w:link w:val="FootnoteText"/>
    <w:uiPriority w:val="99"/>
    <w:rsid w:val="00652A20"/>
    <w:rPr>
      <w:rFonts w:asciiTheme="minorHAnsi" w:eastAsiaTheme="minorHAnsi" w:hAnsiTheme="minorHAnsi" w:cstheme="minorBidi"/>
      <w:sz w:val="20"/>
      <w:szCs w:val="20"/>
      <w:lang w:val="es-EC"/>
    </w:rPr>
  </w:style>
  <w:style w:type="character" w:styleId="FootnoteReference">
    <w:name w:val="footnote reference"/>
    <w:aliases w:val="Appel note de bas de page,Footnotes refss,f,referencia nota al pie,BVI fnr,Footnote number,4_G,16 Point,Superscript 6 Point,BVI fnr Char Char1 Car Char Char Car Car Car Car Car,pie pddes,BVI fnr Char Char1 Car Char Char,ftref,Ref"/>
    <w:basedOn w:val="DefaultParagraphFont"/>
    <w:link w:val="BVIfnrCharChar1CarCharCharCarCarCarCar"/>
    <w:uiPriority w:val="99"/>
    <w:unhideWhenUsed/>
    <w:qFormat/>
    <w:rsid w:val="00652A20"/>
    <w:rPr>
      <w:vertAlign w:val="superscript"/>
    </w:rPr>
  </w:style>
  <w:style w:type="character" w:styleId="Hyperlink">
    <w:name w:val="Hyperlink"/>
    <w:basedOn w:val="DefaultParagraphFont"/>
    <w:uiPriority w:val="99"/>
    <w:unhideWhenUsed/>
    <w:rsid w:val="00652A20"/>
    <w:rPr>
      <w:color w:val="0000FF" w:themeColor="hyperlink"/>
      <w:u w:val="single"/>
    </w:rPr>
  </w:style>
  <w:style w:type="paragraph" w:customStyle="1" w:styleId="BVIfnrCharChar1CarCharCharCarCarCarCar">
    <w:name w:val="BVI fnr Char Char1 Car Char Char Car Car Car Car"/>
    <w:aliases w:val="BVI fnr Car Car Char Char1 Car Char Char Car Car Car Car,BVI fnr Car Char Char1 Car Char Char Car Car Car Car"/>
    <w:basedOn w:val="Normal"/>
    <w:link w:val="FootnoteReference"/>
    <w:uiPriority w:val="99"/>
    <w:rsid w:val="00652A20"/>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x.com/RecNaturalesEC/status/1827114678394483187" TargetMode="External"/><Relationship Id="rId13" Type="http://schemas.openxmlformats.org/officeDocument/2006/relationships/image" Target="media/image4.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primicias.ec/economia/gobierno-noboa-inversion-privada-petroleo-gas-natural-76817/"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2024-10-25T07:47:57+00:00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9A4BF45-30D0-4003-B5CD-7A91A1A59CAA}">
  <ds:schemaRefs>
    <ds:schemaRef ds:uri="http://schemas.openxmlformats.org/officeDocument/2006/bibliography"/>
  </ds:schemaRefs>
</ds:datastoreItem>
</file>

<file path=customXml/itemProps2.xml><?xml version="1.0" encoding="utf-8"?>
<ds:datastoreItem xmlns:ds="http://schemas.openxmlformats.org/officeDocument/2006/customXml" ds:itemID="{46F7A84D-68CE-48F0-9802-6BE480D0DDDB}"/>
</file>

<file path=customXml/itemProps3.xml><?xml version="1.0" encoding="utf-8"?>
<ds:datastoreItem xmlns:ds="http://schemas.openxmlformats.org/officeDocument/2006/customXml" ds:itemID="{B530F86B-6F0B-4BEB-AA70-E9259BFEB09E}"/>
</file>

<file path=customXml/itemProps4.xml><?xml version="1.0" encoding="utf-8"?>
<ds:datastoreItem xmlns:ds="http://schemas.openxmlformats.org/officeDocument/2006/customXml" ds:itemID="{E94761B4-D135-4930-8ABA-56B8C4BEC576}"/>
</file>

<file path=docProps/app.xml><?xml version="1.0" encoding="utf-8"?>
<Properties xmlns="http://schemas.openxmlformats.org/officeDocument/2006/extended-properties" xmlns:vt="http://schemas.openxmlformats.org/officeDocument/2006/docPropsVTypes">
  <Template>Normal</Template>
  <TotalTime>1</TotalTime>
  <Pages>10</Pages>
  <Words>3457</Words>
  <Characters>19710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Nashira Aguavil</dc:creator>
  <cp:lastModifiedBy>Alice Nashira Aguavil</cp:lastModifiedBy>
  <cp:revision>2</cp:revision>
  <dcterms:created xsi:type="dcterms:W3CDTF">2024-10-24T22:53:00Z</dcterms:created>
  <dcterms:modified xsi:type="dcterms:W3CDTF">2024-10-24T22:53:00Z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