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B3C59" w14:textId="77777777" w:rsidR="00811A39" w:rsidRDefault="00811A39">
      <w:pPr>
        <w:shd w:val="clear" w:color="auto" w:fill="FFFFFF"/>
        <w:spacing w:before="240" w:after="240"/>
        <w:jc w:val="center"/>
        <w:rPr>
          <w:b/>
          <w:sz w:val="36"/>
          <w:szCs w:val="36"/>
        </w:rPr>
      </w:pPr>
    </w:p>
    <w:p w14:paraId="7E0703F6" w14:textId="77777777" w:rsidR="00811A39" w:rsidRDefault="005411C0">
      <w:pPr>
        <w:shd w:val="clear" w:color="auto" w:fill="FFFFFF"/>
        <w:spacing w:before="240" w:after="240"/>
        <w:jc w:val="center"/>
        <w:rPr>
          <w:b/>
          <w:sz w:val="36"/>
          <w:szCs w:val="36"/>
        </w:rPr>
      </w:pPr>
      <w:r>
        <w:rPr>
          <w:b/>
          <w:sz w:val="36"/>
          <w:szCs w:val="36"/>
        </w:rPr>
        <w:t>CONVENTION ON THE ELIMINATION OF ALL FORMS OF DISCRIMINATION AGAINST WOMEN</w:t>
      </w:r>
    </w:p>
    <w:p w14:paraId="6E2FE834" w14:textId="77777777" w:rsidR="00811A39" w:rsidRDefault="00811A39">
      <w:pPr>
        <w:shd w:val="clear" w:color="auto" w:fill="FFFFFF"/>
        <w:spacing w:before="240" w:after="240"/>
        <w:jc w:val="center"/>
        <w:rPr>
          <w:b/>
          <w:sz w:val="36"/>
          <w:szCs w:val="36"/>
        </w:rPr>
      </w:pPr>
    </w:p>
    <w:p w14:paraId="3EEC0C33" w14:textId="77777777" w:rsidR="00811A39" w:rsidRDefault="005411C0">
      <w:pPr>
        <w:shd w:val="clear" w:color="auto" w:fill="FFFFFF"/>
        <w:spacing w:before="240" w:after="240"/>
        <w:jc w:val="center"/>
        <w:rPr>
          <w:b/>
          <w:sz w:val="36"/>
          <w:szCs w:val="36"/>
        </w:rPr>
      </w:pPr>
      <w:r>
        <w:rPr>
          <w:b/>
          <w:noProof/>
          <w:sz w:val="36"/>
          <w:szCs w:val="36"/>
        </w:rPr>
        <w:drawing>
          <wp:inline distT="114300" distB="114300" distL="114300" distR="114300" wp14:anchorId="54238B01" wp14:editId="72987A8E">
            <wp:extent cx="5943600" cy="25400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943600" cy="2540000"/>
                    </a:xfrm>
                    <a:prstGeom prst="rect">
                      <a:avLst/>
                    </a:prstGeom>
                    <a:ln/>
                  </pic:spPr>
                </pic:pic>
              </a:graphicData>
            </a:graphic>
          </wp:inline>
        </w:drawing>
      </w:r>
    </w:p>
    <w:p w14:paraId="009CDD5E" w14:textId="77777777" w:rsidR="00811A39" w:rsidRDefault="005411C0">
      <w:pPr>
        <w:shd w:val="clear" w:color="auto" w:fill="FFFFFF"/>
        <w:spacing w:before="240" w:after="240"/>
        <w:jc w:val="center"/>
        <w:rPr>
          <w:b/>
          <w:sz w:val="36"/>
          <w:szCs w:val="36"/>
        </w:rPr>
      </w:pPr>
      <w:r>
        <w:rPr>
          <w:b/>
          <w:sz w:val="36"/>
          <w:szCs w:val="36"/>
        </w:rPr>
        <w:t>SHADOW REPORT BY THE HUMANITARIAN ORGANIZATION FOR MIGRATION ECONOMICS (HOME)</w:t>
      </w:r>
    </w:p>
    <w:p w14:paraId="1CE514A6" w14:textId="77777777" w:rsidR="00811A39" w:rsidRDefault="00811A39">
      <w:pPr>
        <w:shd w:val="clear" w:color="auto" w:fill="FFFFFF"/>
        <w:spacing w:before="240" w:after="240"/>
        <w:jc w:val="center"/>
        <w:rPr>
          <w:b/>
          <w:sz w:val="36"/>
          <w:szCs w:val="36"/>
        </w:rPr>
      </w:pPr>
    </w:p>
    <w:p w14:paraId="1B55F24F" w14:textId="77777777" w:rsidR="00811A39" w:rsidRDefault="005411C0">
      <w:pPr>
        <w:shd w:val="clear" w:color="auto" w:fill="FFFFFF"/>
        <w:spacing w:before="240" w:after="240"/>
        <w:jc w:val="center"/>
        <w:rPr>
          <w:b/>
          <w:sz w:val="36"/>
          <w:szCs w:val="36"/>
        </w:rPr>
      </w:pPr>
      <w:r>
        <w:rPr>
          <w:b/>
          <w:sz w:val="36"/>
          <w:szCs w:val="36"/>
        </w:rPr>
        <w:t>APRIL 2024</w:t>
      </w:r>
    </w:p>
    <w:p w14:paraId="4B3D830C" w14:textId="77777777" w:rsidR="00811A39" w:rsidRDefault="00811A39">
      <w:pPr>
        <w:shd w:val="clear" w:color="auto" w:fill="FFFFFF"/>
        <w:jc w:val="both"/>
        <w:rPr>
          <w:b/>
        </w:rPr>
      </w:pPr>
    </w:p>
    <w:p w14:paraId="11D94A5A" w14:textId="77777777" w:rsidR="00811A39" w:rsidRDefault="00811A39">
      <w:pPr>
        <w:shd w:val="clear" w:color="auto" w:fill="FFFFFF"/>
        <w:jc w:val="both"/>
        <w:rPr>
          <w:b/>
        </w:rPr>
      </w:pPr>
    </w:p>
    <w:p w14:paraId="5806188A" w14:textId="77777777" w:rsidR="00811A39" w:rsidRDefault="00811A39">
      <w:pPr>
        <w:shd w:val="clear" w:color="auto" w:fill="FFFFFF"/>
        <w:jc w:val="both"/>
        <w:rPr>
          <w:b/>
        </w:rPr>
      </w:pPr>
    </w:p>
    <w:p w14:paraId="7CE848A9" w14:textId="77777777" w:rsidR="00811A39" w:rsidRDefault="00811A39">
      <w:pPr>
        <w:shd w:val="clear" w:color="auto" w:fill="FFFFFF"/>
        <w:jc w:val="both"/>
        <w:rPr>
          <w:b/>
        </w:rPr>
      </w:pPr>
    </w:p>
    <w:p w14:paraId="76387620" w14:textId="77777777" w:rsidR="00811A39" w:rsidRDefault="00811A39">
      <w:pPr>
        <w:shd w:val="clear" w:color="auto" w:fill="FFFFFF"/>
        <w:jc w:val="both"/>
        <w:rPr>
          <w:b/>
        </w:rPr>
      </w:pPr>
    </w:p>
    <w:p w14:paraId="6F1897D8" w14:textId="77777777" w:rsidR="00811A39" w:rsidRDefault="00811A39">
      <w:pPr>
        <w:shd w:val="clear" w:color="auto" w:fill="FFFFFF"/>
        <w:jc w:val="both"/>
        <w:rPr>
          <w:b/>
        </w:rPr>
      </w:pPr>
    </w:p>
    <w:p w14:paraId="1D861ACE" w14:textId="77777777" w:rsidR="00811A39" w:rsidRDefault="00811A39">
      <w:pPr>
        <w:shd w:val="clear" w:color="auto" w:fill="FFFFFF"/>
        <w:jc w:val="both"/>
        <w:rPr>
          <w:b/>
        </w:rPr>
      </w:pPr>
    </w:p>
    <w:p w14:paraId="3CBF0284" w14:textId="77777777" w:rsidR="00811A39" w:rsidRDefault="00811A39">
      <w:pPr>
        <w:shd w:val="clear" w:color="auto" w:fill="FFFFFF"/>
        <w:jc w:val="both"/>
        <w:rPr>
          <w:b/>
        </w:rPr>
      </w:pPr>
    </w:p>
    <w:p w14:paraId="06D045D8" w14:textId="77777777" w:rsidR="00811A39" w:rsidRDefault="00811A39">
      <w:pPr>
        <w:shd w:val="clear" w:color="auto" w:fill="FFFFFF"/>
        <w:jc w:val="both"/>
        <w:rPr>
          <w:b/>
        </w:rPr>
      </w:pPr>
    </w:p>
    <w:p w14:paraId="7F14124F" w14:textId="77777777" w:rsidR="00811A39" w:rsidRDefault="00811A39">
      <w:pPr>
        <w:shd w:val="clear" w:color="auto" w:fill="FFFFFF"/>
        <w:jc w:val="both"/>
        <w:rPr>
          <w:b/>
        </w:rPr>
      </w:pPr>
    </w:p>
    <w:p w14:paraId="400F4C4C" w14:textId="77777777" w:rsidR="00811A39" w:rsidRDefault="005411C0">
      <w:pPr>
        <w:shd w:val="clear" w:color="auto" w:fill="FFFFFF"/>
        <w:jc w:val="both"/>
        <w:rPr>
          <w:b/>
        </w:rPr>
      </w:pPr>
      <w:r>
        <w:rPr>
          <w:b/>
        </w:rPr>
        <w:t xml:space="preserve">About HOME </w:t>
      </w:r>
    </w:p>
    <w:p w14:paraId="25EED328" w14:textId="77777777" w:rsidR="00811A39" w:rsidRDefault="00811A39">
      <w:pPr>
        <w:shd w:val="clear" w:color="auto" w:fill="FFFFFF"/>
        <w:jc w:val="both"/>
        <w:rPr>
          <w:b/>
        </w:rPr>
      </w:pPr>
    </w:p>
    <w:p w14:paraId="56276D50" w14:textId="604E225A" w:rsidR="00811A39" w:rsidRDefault="005411C0">
      <w:pPr>
        <w:shd w:val="clear" w:color="auto" w:fill="FFFFFF"/>
        <w:jc w:val="both"/>
      </w:pPr>
      <w:r>
        <w:t xml:space="preserve">HOME is a non-governmental organization based in Singapore that serves the needs of the migrant community. Established in 2004, HOME provides </w:t>
      </w:r>
      <w:proofErr w:type="gramStart"/>
      <w:r>
        <w:t>a number of</w:t>
      </w:r>
      <w:proofErr w:type="gramEnd"/>
      <w:r>
        <w:t xml:space="preserve"> services to thousands of </w:t>
      </w:r>
      <w:r w:rsidR="005C0073">
        <w:t xml:space="preserve">low-waged </w:t>
      </w:r>
      <w:r>
        <w:t>migrant workers, including migrant domestic workers</w:t>
      </w:r>
      <w:r w:rsidR="005C0073">
        <w:t>,</w:t>
      </w:r>
      <w:r>
        <w:t xml:space="preserve"> through the provision of shelter, legal assistance, training, and rehabilitation programmes. </w:t>
      </w:r>
    </w:p>
    <w:p w14:paraId="4199705A" w14:textId="77777777" w:rsidR="00811A39" w:rsidRDefault="00811A39">
      <w:pPr>
        <w:shd w:val="clear" w:color="auto" w:fill="FFFFFF"/>
        <w:jc w:val="both"/>
      </w:pPr>
    </w:p>
    <w:p w14:paraId="367801D1" w14:textId="77777777" w:rsidR="00811A39" w:rsidRDefault="005411C0">
      <w:pPr>
        <w:shd w:val="clear" w:color="auto" w:fill="FFFFFF"/>
        <w:jc w:val="both"/>
      </w:pPr>
      <w:r>
        <w:tab/>
      </w:r>
      <w:r>
        <w:tab/>
      </w:r>
      <w:r>
        <w:tab/>
      </w:r>
      <w:r>
        <w:tab/>
      </w:r>
      <w:r>
        <w:tab/>
      </w:r>
      <w:r>
        <w:tab/>
      </w:r>
    </w:p>
    <w:p w14:paraId="34EA6F97" w14:textId="77777777" w:rsidR="00811A39" w:rsidRDefault="005411C0">
      <w:pPr>
        <w:jc w:val="both"/>
      </w:pPr>
      <w:r>
        <w:br w:type="page"/>
      </w:r>
    </w:p>
    <w:p w14:paraId="20C7C455" w14:textId="77777777" w:rsidR="00811A39" w:rsidRDefault="005411C0">
      <w:pPr>
        <w:jc w:val="both"/>
      </w:pPr>
      <w:r>
        <w:rPr>
          <w:b/>
        </w:rPr>
        <w:lastRenderedPageBreak/>
        <w:t>Introduction</w:t>
      </w:r>
      <w:r>
        <w:rPr>
          <w:b/>
        </w:rPr>
        <w:tab/>
      </w:r>
      <w:r>
        <w:tab/>
      </w:r>
    </w:p>
    <w:p w14:paraId="2AC3A781" w14:textId="77777777" w:rsidR="00811A39" w:rsidRDefault="005411C0">
      <w:pPr>
        <w:jc w:val="both"/>
      </w:pPr>
      <w:r>
        <w:tab/>
      </w:r>
      <w:r>
        <w:tab/>
      </w:r>
    </w:p>
    <w:p w14:paraId="2EFDC34D" w14:textId="77777777" w:rsidR="00811A39" w:rsidRDefault="005411C0">
      <w:pPr>
        <w:numPr>
          <w:ilvl w:val="0"/>
          <w:numId w:val="1"/>
        </w:numPr>
        <w:jc w:val="both"/>
      </w:pPr>
      <w:r>
        <w:t>This report focuses on the treatment of migrant domestic workers (MDWs) and other women migrant workers vis-à-vis Singapore’s obligations under CEDAW.</w:t>
      </w:r>
      <w:r>
        <w:br/>
        <w:t xml:space="preserve"> </w:t>
      </w:r>
      <w:r>
        <w:tab/>
      </w:r>
      <w:r>
        <w:tab/>
      </w:r>
      <w:r>
        <w:tab/>
      </w:r>
      <w:r>
        <w:tab/>
      </w:r>
      <w:r>
        <w:tab/>
      </w:r>
      <w:r>
        <w:tab/>
      </w:r>
      <w:r>
        <w:tab/>
      </w:r>
    </w:p>
    <w:p w14:paraId="583A26BB" w14:textId="77777777" w:rsidR="00811A39" w:rsidRDefault="005411C0">
      <w:pPr>
        <w:numPr>
          <w:ilvl w:val="0"/>
          <w:numId w:val="1"/>
        </w:numPr>
        <w:jc w:val="both"/>
      </w:pPr>
      <w:r>
        <w:t>As of December 2023, there are approximately 286,300 MDWs.</w:t>
      </w:r>
      <w:r>
        <w:rPr>
          <w:vertAlign w:val="superscript"/>
        </w:rPr>
        <w:footnoteReference w:id="1"/>
      </w:r>
      <w:r>
        <w:t xml:space="preserve"> MDWs are required by law to live with their employers and perform “household and domestic” duties.</w:t>
      </w:r>
      <w:r>
        <w:rPr>
          <w:vertAlign w:val="superscript"/>
        </w:rPr>
        <w:footnoteReference w:id="2"/>
      </w:r>
      <w:r>
        <w:rPr>
          <w:sz w:val="14"/>
          <w:szCs w:val="14"/>
        </w:rPr>
        <w:br/>
        <w:t xml:space="preserve"> </w:t>
      </w:r>
      <w:r>
        <w:tab/>
      </w:r>
      <w:r>
        <w:tab/>
      </w:r>
      <w:r>
        <w:tab/>
      </w:r>
      <w:r>
        <w:tab/>
      </w:r>
      <w:r>
        <w:tab/>
      </w:r>
      <w:r>
        <w:tab/>
      </w:r>
      <w:r>
        <w:tab/>
      </w:r>
    </w:p>
    <w:p w14:paraId="49ECB1E5" w14:textId="77777777" w:rsidR="00811A39" w:rsidRDefault="005411C0">
      <w:pPr>
        <w:numPr>
          <w:ilvl w:val="0"/>
          <w:numId w:val="1"/>
        </w:numPr>
        <w:jc w:val="both"/>
      </w:pPr>
      <w:r>
        <w:t>MDWs are a vital and visible part of Singaporean households and society at large. However, many of their rights under CEDAW remain unfulfilled.</w:t>
      </w:r>
      <w:r>
        <w:br/>
        <w:t xml:space="preserve"> </w:t>
      </w:r>
      <w:r>
        <w:tab/>
      </w:r>
      <w:r>
        <w:tab/>
      </w:r>
      <w:r>
        <w:tab/>
      </w:r>
      <w:r>
        <w:tab/>
      </w:r>
      <w:r>
        <w:tab/>
      </w:r>
      <w:r>
        <w:tab/>
      </w:r>
      <w:r>
        <w:tab/>
      </w:r>
      <w:r>
        <w:tab/>
      </w:r>
    </w:p>
    <w:p w14:paraId="18716F7E" w14:textId="77777777" w:rsidR="00811A39" w:rsidRDefault="005411C0">
      <w:pPr>
        <w:jc w:val="both"/>
      </w:pPr>
      <w:r>
        <w:rPr>
          <w:b/>
        </w:rPr>
        <w:t>Article 6: Trafficking</w:t>
      </w:r>
      <w:r>
        <w:rPr>
          <w:b/>
        </w:rPr>
        <w:br/>
      </w:r>
      <w:r>
        <w:t xml:space="preserve"> </w:t>
      </w:r>
      <w:r>
        <w:tab/>
      </w:r>
      <w:r>
        <w:tab/>
      </w:r>
      <w:r>
        <w:tab/>
      </w:r>
      <w:r>
        <w:tab/>
      </w:r>
      <w:r>
        <w:tab/>
      </w:r>
      <w:r>
        <w:tab/>
      </w:r>
      <w:r>
        <w:tab/>
      </w:r>
    </w:p>
    <w:p w14:paraId="52CEEB52" w14:textId="77777777" w:rsidR="00811A39" w:rsidRDefault="005411C0">
      <w:pPr>
        <w:numPr>
          <w:ilvl w:val="0"/>
          <w:numId w:val="1"/>
        </w:numPr>
        <w:pBdr>
          <w:top w:val="nil"/>
          <w:left w:val="nil"/>
          <w:bottom w:val="nil"/>
          <w:right w:val="nil"/>
          <w:between w:val="nil"/>
        </w:pBdr>
        <w:jc w:val="both"/>
      </w:pPr>
      <w:r>
        <w:t xml:space="preserve">In 2014, Singapore enacted the Prevention of Human Trafficking Act (PHTA). However, support measures for victims of trafficking under this Act are discretionary and only provided on a case-by-case basis, as they still lack a </w:t>
      </w:r>
      <w:proofErr w:type="gramStart"/>
      <w:r>
        <w:t>legally-mandated</w:t>
      </w:r>
      <w:proofErr w:type="gramEnd"/>
      <w:r>
        <w:t xml:space="preserve"> right to protection measures. Amongst these absent but essential measures are:</w:t>
      </w:r>
    </w:p>
    <w:p w14:paraId="67268B9E" w14:textId="77777777" w:rsidR="00811A39" w:rsidRDefault="005411C0">
      <w:pPr>
        <w:numPr>
          <w:ilvl w:val="1"/>
          <w:numId w:val="15"/>
        </w:numPr>
        <w:jc w:val="both"/>
      </w:pPr>
      <w:r>
        <w:t>The right to not be prosecuted for legal infractions committed while trafficked, including immigration offences (which may result due to workers being deceived about the legality of the permits they are issued</w:t>
      </w:r>
      <w:proofErr w:type="gramStart"/>
      <w:r>
        <w:t>);</w:t>
      </w:r>
      <w:proofErr w:type="gramEnd"/>
    </w:p>
    <w:p w14:paraId="4CC71CA4" w14:textId="77777777" w:rsidR="00811A39" w:rsidRDefault="005411C0">
      <w:pPr>
        <w:numPr>
          <w:ilvl w:val="1"/>
          <w:numId w:val="15"/>
        </w:numPr>
        <w:jc w:val="both"/>
      </w:pPr>
      <w:r>
        <w:t xml:space="preserve">Informed consent to participation in investigations, protection and </w:t>
      </w:r>
      <w:proofErr w:type="gramStart"/>
      <w:r>
        <w:t>privacy;</w:t>
      </w:r>
      <w:proofErr w:type="gramEnd"/>
    </w:p>
    <w:p w14:paraId="0DA29D2B" w14:textId="77777777" w:rsidR="00811A39" w:rsidRDefault="005411C0">
      <w:pPr>
        <w:numPr>
          <w:ilvl w:val="1"/>
          <w:numId w:val="15"/>
        </w:numPr>
        <w:jc w:val="both"/>
      </w:pPr>
      <w:r>
        <w:t xml:space="preserve">Legal assistance at no </w:t>
      </w:r>
      <w:proofErr w:type="gramStart"/>
      <w:r>
        <w:t>cost;</w:t>
      </w:r>
      <w:proofErr w:type="gramEnd"/>
    </w:p>
    <w:p w14:paraId="32742914" w14:textId="77777777" w:rsidR="00811A39" w:rsidRDefault="005411C0">
      <w:pPr>
        <w:numPr>
          <w:ilvl w:val="1"/>
          <w:numId w:val="15"/>
        </w:numPr>
        <w:jc w:val="both"/>
      </w:pPr>
      <w:r>
        <w:t xml:space="preserve">The right to decent work opportunities, accommodation, medical/psychological </w:t>
      </w:r>
      <w:proofErr w:type="gramStart"/>
      <w:r>
        <w:t>services</w:t>
      </w:r>
      <w:proofErr w:type="gramEnd"/>
      <w:r>
        <w:t xml:space="preserve"> and compensation.</w:t>
      </w:r>
    </w:p>
    <w:p w14:paraId="2D58AF6C" w14:textId="77777777" w:rsidR="00811A39" w:rsidRDefault="00811A39">
      <w:pPr>
        <w:ind w:left="1440"/>
        <w:jc w:val="both"/>
      </w:pPr>
    </w:p>
    <w:p w14:paraId="3E4E7CD4" w14:textId="77777777" w:rsidR="00811A39" w:rsidRDefault="005411C0">
      <w:pPr>
        <w:numPr>
          <w:ilvl w:val="0"/>
          <w:numId w:val="1"/>
        </w:numPr>
        <w:jc w:val="both"/>
      </w:pPr>
      <w:r>
        <w:t>Moreover, core indicators such as forced labour, exploitation, ‘abuse of vulnerability’, ‘coercion’, ‘deception’ are not defined under the PHTA nor aligned with international standards such as the UNODC Model Law, thus inhibiting victim identification and provision of holistic support for survivors of forced labour and trafficking.</w:t>
      </w:r>
    </w:p>
    <w:p w14:paraId="6417AC80" w14:textId="77777777" w:rsidR="00811A39" w:rsidRDefault="00811A39">
      <w:pPr>
        <w:ind w:left="720"/>
        <w:jc w:val="both"/>
      </w:pPr>
    </w:p>
    <w:p w14:paraId="7B41A262" w14:textId="77777777" w:rsidR="00811A39" w:rsidRDefault="005411C0">
      <w:pPr>
        <w:ind w:left="720"/>
        <w:jc w:val="both"/>
      </w:pPr>
      <w:r>
        <w:rPr>
          <w:u w:val="single"/>
        </w:rPr>
        <w:t>Recommendations</w:t>
      </w:r>
      <w:r>
        <w:t>:</w:t>
      </w:r>
    </w:p>
    <w:p w14:paraId="1FFF7B6C" w14:textId="77777777" w:rsidR="00811A39" w:rsidRDefault="00811A39">
      <w:pPr>
        <w:jc w:val="both"/>
        <w:rPr>
          <w:b/>
        </w:rPr>
      </w:pPr>
    </w:p>
    <w:p w14:paraId="272E8E6A" w14:textId="77777777" w:rsidR="00811A39" w:rsidRDefault="005411C0">
      <w:pPr>
        <w:numPr>
          <w:ilvl w:val="0"/>
          <w:numId w:val="2"/>
        </w:numPr>
        <w:shd w:val="clear" w:color="auto" w:fill="FFFFFF"/>
        <w:jc w:val="both"/>
      </w:pPr>
      <w:r>
        <w:t>Amend the Prevention of Human Trafficking Act 2014 and ensure full compliance with the UN’s Protocol to Prevent, Suppress and Punish Trafficking in Persons. While Singapore has enacted the PHTA, key terms need to be aligned with international standards.</w:t>
      </w:r>
    </w:p>
    <w:p w14:paraId="401A4A7B" w14:textId="77777777" w:rsidR="00811A39" w:rsidRDefault="005411C0">
      <w:pPr>
        <w:shd w:val="clear" w:color="auto" w:fill="FFFFFF"/>
        <w:ind w:left="720"/>
        <w:jc w:val="both"/>
      </w:pPr>
      <w:r>
        <w:t xml:space="preserve"> </w:t>
      </w:r>
    </w:p>
    <w:p w14:paraId="4BA81F95" w14:textId="77777777" w:rsidR="00811A39" w:rsidRDefault="005411C0">
      <w:pPr>
        <w:numPr>
          <w:ilvl w:val="0"/>
          <w:numId w:val="3"/>
        </w:numPr>
        <w:shd w:val="clear" w:color="auto" w:fill="FFFFFF"/>
        <w:jc w:val="both"/>
      </w:pPr>
      <w:r>
        <w:t>Ratify the 2014 Protocol on Forced Labour and work towards applying the recommendations set out in the Forced Labour (Supplementary Measures) Recommendation, 2014 (No. 203). Singapore signed C029 in 1965 but has yet to ratify the 2014 protocol. We urge the government to ratify the 2014 Protocol and take concrete steps to apply the recommendations, including but not limited to:</w:t>
      </w:r>
    </w:p>
    <w:p w14:paraId="0BD07B3D" w14:textId="77777777" w:rsidR="00811A39" w:rsidRDefault="005411C0">
      <w:pPr>
        <w:numPr>
          <w:ilvl w:val="1"/>
          <w:numId w:val="3"/>
        </w:numPr>
        <w:shd w:val="clear" w:color="auto" w:fill="FFFFFF"/>
        <w:jc w:val="both"/>
      </w:pPr>
      <w:r>
        <w:lastRenderedPageBreak/>
        <w:t xml:space="preserve">Ensuring effective victim protection and access to appropriate and effective remedies for survivors of forced </w:t>
      </w:r>
      <w:proofErr w:type="gramStart"/>
      <w:r>
        <w:t>labour;</w:t>
      </w:r>
      <w:proofErr w:type="gramEnd"/>
    </w:p>
    <w:p w14:paraId="58147A0C" w14:textId="77777777" w:rsidR="00811A39" w:rsidRDefault="005411C0">
      <w:pPr>
        <w:numPr>
          <w:ilvl w:val="1"/>
          <w:numId w:val="3"/>
        </w:numPr>
        <w:shd w:val="clear" w:color="auto" w:fill="FFFFFF"/>
        <w:jc w:val="both"/>
      </w:pPr>
      <w:r>
        <w:t>Protecting migrant workers from abusive and fraudulent recruitment and placement practices, in particular tackling the issue of high recruitment fees that are incurred in both countries of origins and destination; and</w:t>
      </w:r>
    </w:p>
    <w:p w14:paraId="249B029E" w14:textId="77777777" w:rsidR="00811A39" w:rsidRDefault="005411C0">
      <w:pPr>
        <w:numPr>
          <w:ilvl w:val="1"/>
          <w:numId w:val="3"/>
        </w:numPr>
        <w:shd w:val="clear" w:color="auto" w:fill="FFFFFF"/>
        <w:jc w:val="both"/>
      </w:pPr>
      <w:r>
        <w:t>Addressing the root causes that heighten the risks of forced labour, such as deception on job scope, working conditions, and salary.</w:t>
      </w:r>
    </w:p>
    <w:p w14:paraId="69C01C38" w14:textId="77777777" w:rsidR="00811A39" w:rsidRDefault="005411C0">
      <w:pPr>
        <w:shd w:val="clear" w:color="auto" w:fill="FFFFFF"/>
        <w:jc w:val="both"/>
      </w:pPr>
      <w:r>
        <w:t xml:space="preserve"> </w:t>
      </w:r>
      <w:r>
        <w:tab/>
      </w:r>
      <w:r>
        <w:tab/>
      </w:r>
      <w:r>
        <w:tab/>
      </w:r>
      <w:r>
        <w:tab/>
      </w:r>
      <w:r>
        <w:tab/>
      </w:r>
    </w:p>
    <w:p w14:paraId="0A0792B9" w14:textId="77777777" w:rsidR="00811A39" w:rsidRDefault="005411C0">
      <w:pPr>
        <w:jc w:val="both"/>
        <w:rPr>
          <w:b/>
        </w:rPr>
      </w:pPr>
      <w:r>
        <w:rPr>
          <w:b/>
        </w:rPr>
        <w:t xml:space="preserve">Article 7: Political and Public Life </w:t>
      </w:r>
    </w:p>
    <w:p w14:paraId="5F9478C7" w14:textId="77777777" w:rsidR="00811A39" w:rsidRDefault="00811A39">
      <w:pPr>
        <w:jc w:val="both"/>
      </w:pPr>
    </w:p>
    <w:p w14:paraId="5DEA65A0" w14:textId="77777777" w:rsidR="00811A39" w:rsidRDefault="005411C0">
      <w:pPr>
        <w:numPr>
          <w:ilvl w:val="0"/>
          <w:numId w:val="7"/>
        </w:numPr>
        <w:pBdr>
          <w:top w:val="nil"/>
          <w:left w:val="nil"/>
          <w:bottom w:val="nil"/>
          <w:right w:val="nil"/>
          <w:between w:val="nil"/>
        </w:pBdr>
        <w:jc w:val="both"/>
      </w:pPr>
      <w:r>
        <w:t>Singapore’s Trade Unions Act disallows foreigners from holding key appointments and executive committee positions in trade unions without the approval of the Minister.</w:t>
      </w:r>
      <w:r>
        <w:rPr>
          <w:vertAlign w:val="superscript"/>
        </w:rPr>
        <w:footnoteReference w:id="3"/>
      </w:r>
      <w:r>
        <w:t xml:space="preserve"> Formation of societies and interest groups by low-wage migrant workers are also highly restricted: regulations stipulate that office-bearers of such societies should be Singapore citizens or Permanent Residents. These restrictions have prevented women migrant workers, in particular MDWs, from taking ownership and having agency in issues which directly affect them. </w:t>
      </w:r>
    </w:p>
    <w:p w14:paraId="04498438" w14:textId="77777777" w:rsidR="00811A39" w:rsidRDefault="00811A39">
      <w:pPr>
        <w:jc w:val="both"/>
      </w:pPr>
    </w:p>
    <w:p w14:paraId="13620AB3" w14:textId="77777777" w:rsidR="00811A39" w:rsidRDefault="005411C0">
      <w:pPr>
        <w:jc w:val="both"/>
        <w:rPr>
          <w:b/>
        </w:rPr>
      </w:pPr>
      <w:r>
        <w:rPr>
          <w:b/>
        </w:rPr>
        <w:t>Article 11: Employment</w:t>
      </w:r>
      <w:r>
        <w:rPr>
          <w:b/>
        </w:rPr>
        <w:tab/>
      </w:r>
    </w:p>
    <w:p w14:paraId="33412AE7" w14:textId="77777777" w:rsidR="00811A39" w:rsidRDefault="005411C0">
      <w:pPr>
        <w:jc w:val="both"/>
      </w:pPr>
      <w:r>
        <w:tab/>
      </w:r>
      <w:r>
        <w:tab/>
      </w:r>
      <w:r>
        <w:tab/>
      </w:r>
    </w:p>
    <w:p w14:paraId="6617AA65" w14:textId="77777777" w:rsidR="00811A39" w:rsidRDefault="005411C0">
      <w:pPr>
        <w:jc w:val="both"/>
        <w:rPr>
          <w:i/>
        </w:rPr>
      </w:pPr>
      <w:r>
        <w:rPr>
          <w:i/>
        </w:rPr>
        <w:t>Exclusion from Employment Act</w:t>
      </w:r>
    </w:p>
    <w:p w14:paraId="34F0D3A9" w14:textId="77777777" w:rsidR="00811A39" w:rsidRDefault="00811A39">
      <w:pPr>
        <w:jc w:val="both"/>
      </w:pPr>
    </w:p>
    <w:p w14:paraId="15F4D49C" w14:textId="77777777" w:rsidR="00811A39" w:rsidRDefault="005411C0">
      <w:pPr>
        <w:numPr>
          <w:ilvl w:val="0"/>
          <w:numId w:val="7"/>
        </w:numPr>
        <w:jc w:val="both"/>
      </w:pPr>
      <w:r>
        <w:t>In the previous CEDAW review, the Committee expressed concern over the exclusion of MDWs from the Employment Act (EA), which is the main labour law in Singapore and covers basic labour rights such as working hours, paid sick leave, and annual leave.</w:t>
      </w:r>
      <w:r>
        <w:rPr>
          <w:vertAlign w:val="superscript"/>
        </w:rPr>
        <w:footnoteReference w:id="4"/>
      </w:r>
      <w:r>
        <w:t xml:space="preserve"> However, MDWs remain excluded from the EA</w:t>
      </w:r>
      <w:r>
        <w:rPr>
          <w:sz w:val="14"/>
          <w:szCs w:val="14"/>
        </w:rPr>
        <w:t xml:space="preserve"> </w:t>
      </w:r>
      <w:r>
        <w:t>on the basis that their domestic work is “quite different from normal work”.</w:t>
      </w:r>
      <w:r>
        <w:rPr>
          <w:vertAlign w:val="superscript"/>
        </w:rPr>
        <w:footnoteReference w:id="5"/>
      </w:r>
      <w:r>
        <w:t xml:space="preserve"> This makes it difficult to regulate their working conditions, leaving them bereft of core labour rights.</w:t>
      </w:r>
    </w:p>
    <w:p w14:paraId="6C8D32D2" w14:textId="77777777" w:rsidR="00811A39" w:rsidRDefault="00811A39">
      <w:pPr>
        <w:ind w:left="720"/>
        <w:jc w:val="both"/>
      </w:pPr>
    </w:p>
    <w:p w14:paraId="7FE38D6F" w14:textId="77777777" w:rsidR="00811A39" w:rsidRDefault="005411C0">
      <w:pPr>
        <w:jc w:val="both"/>
        <w:rPr>
          <w:i/>
        </w:rPr>
      </w:pPr>
      <w:r>
        <w:rPr>
          <w:i/>
        </w:rPr>
        <w:t>Inadequate protections under EFMA</w:t>
      </w:r>
    </w:p>
    <w:p w14:paraId="57B5D1EF" w14:textId="77777777" w:rsidR="00811A39" w:rsidRDefault="00811A39">
      <w:pPr>
        <w:jc w:val="both"/>
      </w:pPr>
    </w:p>
    <w:p w14:paraId="7543AC57" w14:textId="4635BE49" w:rsidR="00811A39" w:rsidRDefault="005411C0">
      <w:pPr>
        <w:numPr>
          <w:ilvl w:val="0"/>
          <w:numId w:val="7"/>
        </w:numPr>
        <w:shd w:val="clear" w:color="auto" w:fill="FFFFFF"/>
        <w:jc w:val="both"/>
      </w:pPr>
      <w:r>
        <w:t>In Singapore, MDWs are covered under the Employment of Foreign Manpower Act (EFMA), which uses subjective standards such as requiring employers to provide “acceptable” accommodation, “adequate" food, "adequate" rest, and "reasonable" notice of repatriation.</w:t>
      </w:r>
      <w:r>
        <w:rPr>
          <w:vertAlign w:val="superscript"/>
        </w:rPr>
        <w:footnoteReference w:id="6"/>
      </w:r>
      <w:r>
        <w:t xml:space="preserve"> These vague and subjective standards often translate into labour standards being determined by individual employers. MDWs are left more vulnerable due </w:t>
      </w:r>
      <w:r>
        <w:lastRenderedPageBreak/>
        <w:t>to inconsistent enforcement of these standards that ignore a key factor, that is, the inequality in the bargaining powers between the employer and the MDW.</w:t>
      </w:r>
    </w:p>
    <w:p w14:paraId="403782BC" w14:textId="77777777" w:rsidR="00811A39" w:rsidRDefault="00811A39">
      <w:pPr>
        <w:shd w:val="clear" w:color="auto" w:fill="FFFFFF"/>
        <w:ind w:left="720"/>
        <w:jc w:val="both"/>
      </w:pPr>
    </w:p>
    <w:p w14:paraId="2C9F4D53" w14:textId="77777777" w:rsidR="00811A39" w:rsidRDefault="005411C0">
      <w:pPr>
        <w:jc w:val="both"/>
        <w:rPr>
          <w:i/>
        </w:rPr>
      </w:pPr>
      <w:r>
        <w:rPr>
          <w:i/>
        </w:rPr>
        <w:t xml:space="preserve">Lack of right to redress for wrongful </w:t>
      </w:r>
      <w:proofErr w:type="gramStart"/>
      <w:r>
        <w:rPr>
          <w:i/>
        </w:rPr>
        <w:t>dismissals</w:t>
      </w:r>
      <w:proofErr w:type="gramEnd"/>
    </w:p>
    <w:p w14:paraId="7666399F" w14:textId="77777777" w:rsidR="00811A39" w:rsidRDefault="00811A39">
      <w:pPr>
        <w:jc w:val="both"/>
      </w:pPr>
    </w:p>
    <w:p w14:paraId="4ABD8C1C" w14:textId="77777777" w:rsidR="00811A39" w:rsidRDefault="005411C0">
      <w:pPr>
        <w:numPr>
          <w:ilvl w:val="0"/>
          <w:numId w:val="7"/>
        </w:numPr>
        <w:shd w:val="clear" w:color="auto" w:fill="FFFFFF"/>
        <w:jc w:val="both"/>
      </w:pPr>
      <w:r>
        <w:t xml:space="preserve">Due to their exclusion from the EA, MDWs are denied the right to redress for wrongful dismissals from the Employment Claims Tribunal. Thus, rather than utilising low-cost means to redress employment disputes, they must rely on statutory mediation processes instead. If this fails, MDWs </w:t>
      </w:r>
      <w:proofErr w:type="gramStart"/>
      <w:r>
        <w:t>have to</w:t>
      </w:r>
      <w:proofErr w:type="gramEnd"/>
      <w:r>
        <w:t xml:space="preserve"> resort to costly and complicated civil proceedings. This is an impractical and often unfeasible option, particularly for claims in which the quanta may be relatively small vis-à-vis the costs of initiating a civil claim.</w:t>
      </w:r>
    </w:p>
    <w:p w14:paraId="64B4F80B" w14:textId="77777777" w:rsidR="00811A39" w:rsidRDefault="00811A39">
      <w:pPr>
        <w:shd w:val="clear" w:color="auto" w:fill="FFFFFF"/>
        <w:ind w:left="720"/>
        <w:jc w:val="both"/>
      </w:pPr>
    </w:p>
    <w:p w14:paraId="0D9CB117" w14:textId="77777777" w:rsidR="00811A39" w:rsidRDefault="005411C0">
      <w:pPr>
        <w:jc w:val="both"/>
        <w:rPr>
          <w:i/>
        </w:rPr>
      </w:pPr>
      <w:r>
        <w:rPr>
          <w:i/>
        </w:rPr>
        <w:t xml:space="preserve">Overwork and caregiving burden </w:t>
      </w:r>
    </w:p>
    <w:p w14:paraId="4F4272D5" w14:textId="77777777" w:rsidR="00811A39" w:rsidRDefault="00811A39">
      <w:pPr>
        <w:jc w:val="both"/>
      </w:pPr>
    </w:p>
    <w:p w14:paraId="433C270D" w14:textId="77777777" w:rsidR="00811A39" w:rsidRDefault="005411C0">
      <w:pPr>
        <w:numPr>
          <w:ilvl w:val="0"/>
          <w:numId w:val="7"/>
        </w:numPr>
        <w:shd w:val="clear" w:color="auto" w:fill="FFFFFF"/>
        <w:jc w:val="both"/>
      </w:pPr>
      <w:r>
        <w:t xml:space="preserve">Beyond the provision that MDWs should be given “adequate” rest, the law is silent about the duration of daily rest to be given to an MDW. According to HOME’s casework data, daily working hours commonly exceed 12 hours. It is also not uncommon for MDWs to report that they work up to 16-18 hours. </w:t>
      </w:r>
    </w:p>
    <w:p w14:paraId="75B2F71C" w14:textId="77777777" w:rsidR="00811A39" w:rsidRDefault="00811A39">
      <w:pPr>
        <w:shd w:val="clear" w:color="auto" w:fill="FFFFFF"/>
        <w:ind w:left="720"/>
        <w:jc w:val="both"/>
      </w:pPr>
    </w:p>
    <w:p w14:paraId="6DBEE1C2" w14:textId="77777777" w:rsidR="00811A39" w:rsidRDefault="005411C0">
      <w:pPr>
        <w:numPr>
          <w:ilvl w:val="0"/>
          <w:numId w:val="7"/>
        </w:numPr>
        <w:shd w:val="clear" w:color="auto" w:fill="FFFFFF"/>
        <w:jc w:val="both"/>
      </w:pPr>
      <w:r>
        <w:t>Increasingly, HOME has observed that MDWs have been hired to undertake eldercare duties, without receiving adequate training. These MDWs are also overworked, with some reporting having to provide round-the-clock care to their care recipients. On average, they reported working 14.5 hours a day, with sleep interrupted up to 10 times a night.</w:t>
      </w:r>
      <w:r>
        <w:rPr>
          <w:vertAlign w:val="superscript"/>
        </w:rPr>
        <w:footnoteReference w:id="7"/>
      </w:r>
      <w:r>
        <w:t xml:space="preserve"> </w:t>
      </w:r>
    </w:p>
    <w:p w14:paraId="4EE7C197" w14:textId="77777777" w:rsidR="00811A39" w:rsidRDefault="00811A39">
      <w:pPr>
        <w:shd w:val="clear" w:color="auto" w:fill="FFFFFF"/>
        <w:ind w:left="720"/>
        <w:jc w:val="both"/>
      </w:pPr>
    </w:p>
    <w:p w14:paraId="2BFAB046" w14:textId="77777777" w:rsidR="00811A39" w:rsidRDefault="005411C0">
      <w:pPr>
        <w:numPr>
          <w:ilvl w:val="0"/>
          <w:numId w:val="7"/>
        </w:numPr>
        <w:shd w:val="clear" w:color="auto" w:fill="FFFFFF"/>
        <w:jc w:val="both"/>
      </w:pPr>
      <w:r>
        <w:t xml:space="preserve">Inadequate training for MDWs hired for caregiving duties, be it for the elderly or individuals with special needs, increases the stress of the worker and negatively impacts their physical and mental well-being. </w:t>
      </w:r>
    </w:p>
    <w:p w14:paraId="4B492EEB" w14:textId="77777777" w:rsidR="00811A39" w:rsidRDefault="00811A39">
      <w:pPr>
        <w:shd w:val="clear" w:color="auto" w:fill="FFFFFF"/>
        <w:jc w:val="both"/>
      </w:pPr>
    </w:p>
    <w:p w14:paraId="5199BDC5" w14:textId="77777777" w:rsidR="00811A39" w:rsidRDefault="005411C0">
      <w:pPr>
        <w:jc w:val="both"/>
      </w:pPr>
      <w:r>
        <w:rPr>
          <w:u w:val="single"/>
        </w:rPr>
        <w:t>Recommendations</w:t>
      </w:r>
      <w:r>
        <w:t>:</w:t>
      </w:r>
    </w:p>
    <w:p w14:paraId="12120496" w14:textId="77777777" w:rsidR="00811A39" w:rsidRDefault="00811A39">
      <w:pPr>
        <w:jc w:val="both"/>
      </w:pPr>
    </w:p>
    <w:p w14:paraId="5846B60C" w14:textId="5E77AA7F" w:rsidR="00811A39" w:rsidRDefault="005411C0">
      <w:pPr>
        <w:numPr>
          <w:ilvl w:val="0"/>
          <w:numId w:val="10"/>
        </w:numPr>
        <w:jc w:val="both"/>
      </w:pPr>
      <w:r>
        <w:t>Allow migrant workers to form their own associations and trade unions so they are empowered</w:t>
      </w:r>
      <w:r w:rsidR="005C0073">
        <w:t xml:space="preserve"> to </w:t>
      </w:r>
      <w:r>
        <w:t>represent their own interests.</w:t>
      </w:r>
    </w:p>
    <w:p w14:paraId="2BC2D61C" w14:textId="77777777" w:rsidR="00811A39" w:rsidRDefault="00811A39">
      <w:pPr>
        <w:ind w:left="720"/>
        <w:jc w:val="both"/>
        <w:rPr>
          <w:b/>
        </w:rPr>
      </w:pPr>
    </w:p>
    <w:p w14:paraId="6C9CAB4A" w14:textId="77777777" w:rsidR="00811A39" w:rsidRDefault="005411C0">
      <w:pPr>
        <w:numPr>
          <w:ilvl w:val="0"/>
          <w:numId w:val="10"/>
        </w:numPr>
        <w:jc w:val="both"/>
      </w:pPr>
      <w:r>
        <w:t>Include MDWs in the EA to secure their core labour rights.</w:t>
      </w:r>
      <w:r>
        <w:br/>
        <w:t xml:space="preserve"> </w:t>
      </w:r>
      <w:r>
        <w:tab/>
      </w:r>
      <w:r>
        <w:tab/>
      </w:r>
      <w:r>
        <w:tab/>
      </w:r>
      <w:r>
        <w:tab/>
      </w:r>
      <w:r>
        <w:tab/>
      </w:r>
      <w:r>
        <w:tab/>
      </w:r>
      <w:r>
        <w:tab/>
      </w:r>
    </w:p>
    <w:p w14:paraId="51641BC9" w14:textId="77777777" w:rsidR="00811A39" w:rsidRDefault="005411C0">
      <w:pPr>
        <w:numPr>
          <w:ilvl w:val="0"/>
          <w:numId w:val="10"/>
        </w:numPr>
        <w:jc w:val="both"/>
      </w:pPr>
      <w:r>
        <w:t xml:space="preserve">Provide specific information about employers’ obligations under EFMA regarding “adequate” food and </w:t>
      </w:r>
      <w:proofErr w:type="gramStart"/>
      <w:r>
        <w:t>rest, and</w:t>
      </w:r>
      <w:proofErr w:type="gramEnd"/>
      <w:r>
        <w:t xml:space="preserve"> clarify whether current guidelines on these standards will be given the force of law. </w:t>
      </w:r>
      <w:r>
        <w:br/>
      </w:r>
      <w:r>
        <w:br/>
        <w:t xml:space="preserve"> </w:t>
      </w:r>
      <w:r>
        <w:tab/>
      </w:r>
      <w:r>
        <w:tab/>
      </w:r>
      <w:r>
        <w:tab/>
      </w:r>
      <w:r>
        <w:tab/>
      </w:r>
      <w:r>
        <w:tab/>
      </w:r>
      <w:r>
        <w:tab/>
      </w:r>
      <w:r>
        <w:tab/>
      </w:r>
    </w:p>
    <w:p w14:paraId="088AC910" w14:textId="77777777" w:rsidR="00811A39" w:rsidRDefault="005411C0">
      <w:pPr>
        <w:numPr>
          <w:ilvl w:val="0"/>
          <w:numId w:val="10"/>
        </w:numPr>
        <w:jc w:val="both"/>
      </w:pPr>
      <w:r>
        <w:lastRenderedPageBreak/>
        <w:t>Allow MDWs to seek recourse from the Employment Claims Tribunal for salary and wrongful dismissal disputes.</w:t>
      </w:r>
      <w:r>
        <w:br/>
        <w:t xml:space="preserve"> </w:t>
      </w:r>
      <w:r>
        <w:tab/>
      </w:r>
      <w:r>
        <w:tab/>
      </w:r>
      <w:r>
        <w:tab/>
      </w:r>
      <w:r>
        <w:tab/>
      </w:r>
      <w:r>
        <w:tab/>
      </w:r>
      <w:r>
        <w:tab/>
      </w:r>
      <w:r>
        <w:tab/>
      </w:r>
    </w:p>
    <w:p w14:paraId="4F501286" w14:textId="77777777" w:rsidR="00811A39" w:rsidRDefault="005411C0">
      <w:pPr>
        <w:numPr>
          <w:ilvl w:val="0"/>
          <w:numId w:val="10"/>
        </w:numPr>
        <w:jc w:val="both"/>
      </w:pPr>
      <w:r>
        <w:t>Introduce measures to regulate MDWs’ working hours, secure compensation for overtime work, and impose sufficient legal implications on employers who impose long working hours upon MDWs.</w:t>
      </w:r>
      <w:r>
        <w:tab/>
      </w:r>
      <w:r>
        <w:tab/>
      </w:r>
    </w:p>
    <w:p w14:paraId="4DE382DC" w14:textId="77777777" w:rsidR="00811A39" w:rsidRDefault="00811A39">
      <w:pPr>
        <w:ind w:left="720"/>
        <w:jc w:val="both"/>
      </w:pPr>
    </w:p>
    <w:p w14:paraId="2C200625" w14:textId="77777777" w:rsidR="00811A39" w:rsidRDefault="005411C0">
      <w:pPr>
        <w:numPr>
          <w:ilvl w:val="0"/>
          <w:numId w:val="10"/>
        </w:numPr>
        <w:jc w:val="both"/>
      </w:pPr>
      <w:r>
        <w:t xml:space="preserve">Introduce a separate work pass category for MDWs who undertake caregiving duties, such as for eldercare or children with special needs. This will pave way towards ensuring that they have mandatory training and adequate social support. </w:t>
      </w:r>
    </w:p>
    <w:p w14:paraId="63987336" w14:textId="77777777" w:rsidR="00811A39" w:rsidRDefault="005411C0">
      <w:pPr>
        <w:ind w:left="720"/>
        <w:jc w:val="both"/>
      </w:pPr>
      <w:r>
        <w:tab/>
      </w:r>
      <w:r>
        <w:tab/>
        <w:t xml:space="preserve"> </w:t>
      </w:r>
      <w:r>
        <w:tab/>
      </w:r>
      <w:r>
        <w:tab/>
      </w:r>
      <w:r>
        <w:tab/>
      </w:r>
      <w:r>
        <w:tab/>
      </w:r>
      <w:r>
        <w:tab/>
      </w:r>
    </w:p>
    <w:p w14:paraId="6A88BA2D" w14:textId="77777777" w:rsidR="00811A39" w:rsidRDefault="005411C0">
      <w:pPr>
        <w:jc w:val="both"/>
        <w:rPr>
          <w:i/>
        </w:rPr>
      </w:pPr>
      <w:r>
        <w:rPr>
          <w:i/>
        </w:rPr>
        <w:t>“Mandatory rest day” regulations &amp; other rest day issues</w:t>
      </w:r>
    </w:p>
    <w:p w14:paraId="1A5B4F34" w14:textId="77777777" w:rsidR="00811A39" w:rsidRDefault="00811A39">
      <w:pPr>
        <w:jc w:val="both"/>
      </w:pPr>
    </w:p>
    <w:p w14:paraId="3BFA4539" w14:textId="59B37760" w:rsidR="00811A39" w:rsidRDefault="005411C0">
      <w:pPr>
        <w:numPr>
          <w:ilvl w:val="0"/>
          <w:numId w:val="11"/>
        </w:numPr>
        <w:jc w:val="both"/>
      </w:pPr>
      <w:r>
        <w:t xml:space="preserve">In 2012, Singapore amended EFMA to mandate that MDWs were to receive a weekly rest day. However, employers </w:t>
      </w:r>
      <w:r w:rsidR="00B37F7E">
        <w:t>were</w:t>
      </w:r>
      <w:r>
        <w:t xml:space="preserve"> allowed to pay workers in lieu of the day-off. This is usually no more than SGD 20</w:t>
      </w:r>
      <w:r>
        <w:rPr>
          <w:color w:val="252528"/>
          <w:highlight w:val="white"/>
        </w:rPr>
        <w:t>–</w:t>
      </w:r>
      <w:r>
        <w:t>30 (USD 15</w:t>
      </w:r>
      <w:r>
        <w:rPr>
          <w:color w:val="252528"/>
          <w:highlight w:val="white"/>
        </w:rPr>
        <w:t>–</w:t>
      </w:r>
      <w:r>
        <w:t xml:space="preserve">20) per rest day, a fraction of the workers’ basic salary. Employers were thus able to deny a worker rest days for the entire duration of the contract (usually 2 years), </w:t>
      </w:r>
      <w:proofErr w:type="gramStart"/>
      <w:r>
        <w:t>as long as</w:t>
      </w:r>
      <w:proofErr w:type="gramEnd"/>
      <w:r>
        <w:t xml:space="preserve"> she was paid compensation in lieu. </w:t>
      </w:r>
    </w:p>
    <w:p w14:paraId="0B3E728D" w14:textId="77777777" w:rsidR="00811A39" w:rsidRDefault="00811A39">
      <w:pPr>
        <w:ind w:left="720"/>
        <w:jc w:val="both"/>
      </w:pPr>
    </w:p>
    <w:p w14:paraId="75BD52B4" w14:textId="77777777" w:rsidR="00811A39" w:rsidRDefault="005411C0">
      <w:pPr>
        <w:numPr>
          <w:ilvl w:val="0"/>
          <w:numId w:val="11"/>
        </w:numPr>
        <w:jc w:val="both"/>
      </w:pPr>
      <w:r>
        <w:t xml:space="preserve">The duration of a rest day is also not defined in the law as 24 continuous hours, leaving employers the power to determine the hours. HOME frequently encounters MDWs who </w:t>
      </w:r>
      <w:proofErr w:type="gramStart"/>
      <w:r>
        <w:t>have to</w:t>
      </w:r>
      <w:proofErr w:type="gramEnd"/>
      <w:r>
        <w:t xml:space="preserve"> do chores before and after their hours of rest on designated rest days, without receiving compensation.</w:t>
      </w:r>
      <w:r>
        <w:br/>
        <w:t xml:space="preserve"> </w:t>
      </w:r>
      <w:r>
        <w:tab/>
      </w:r>
      <w:r>
        <w:tab/>
      </w:r>
      <w:r>
        <w:tab/>
      </w:r>
      <w:r>
        <w:tab/>
      </w:r>
      <w:r>
        <w:tab/>
      </w:r>
      <w:r>
        <w:tab/>
      </w:r>
      <w:r>
        <w:tab/>
      </w:r>
    </w:p>
    <w:p w14:paraId="7B1AA82A" w14:textId="17D4E230" w:rsidR="00811A39" w:rsidRDefault="005411C0">
      <w:pPr>
        <w:numPr>
          <w:ilvl w:val="0"/>
          <w:numId w:val="11"/>
        </w:numPr>
        <w:jc w:val="both"/>
      </w:pPr>
      <w:r>
        <w:t>On 1 January 2023, a new regulation for a monthly compulsory day-off came into effect. Employers are now required to give their MDW one compulsory day off a month that cannot be financially compensated.</w:t>
      </w:r>
      <w:r>
        <w:rPr>
          <w:vertAlign w:val="superscript"/>
        </w:rPr>
        <w:footnoteReference w:id="8"/>
      </w:r>
      <w:r>
        <w:t xml:space="preserve"> However, this still falls short of basic workers’ rights guaranteed in other international labour standards</w:t>
      </w:r>
      <w:r w:rsidR="00B37F7E">
        <w:t>.</w:t>
      </w:r>
      <w:r w:rsidR="00B37F7E">
        <w:rPr>
          <w:rStyle w:val="FootnoteReference"/>
        </w:rPr>
        <w:footnoteReference w:id="9"/>
      </w:r>
      <w:r>
        <w:t xml:space="preserve"> Further, as mentioned above, the duration of the mandatory rest day is not mandated to be 24 hours.</w:t>
      </w:r>
      <w:r>
        <w:rPr>
          <w:vertAlign w:val="superscript"/>
        </w:rPr>
        <w:footnoteReference w:id="10"/>
      </w:r>
      <w:r>
        <w:t xml:space="preserve"> </w:t>
      </w:r>
      <w:r>
        <w:tab/>
      </w:r>
      <w:r>
        <w:tab/>
      </w:r>
    </w:p>
    <w:p w14:paraId="48B25F4C" w14:textId="77777777" w:rsidR="00811A39" w:rsidRDefault="005411C0">
      <w:pPr>
        <w:ind w:left="720"/>
        <w:jc w:val="both"/>
      </w:pPr>
      <w:r>
        <w:tab/>
      </w:r>
      <w:r>
        <w:tab/>
      </w:r>
      <w:r>
        <w:tab/>
      </w:r>
      <w:r>
        <w:tab/>
      </w:r>
    </w:p>
    <w:p w14:paraId="7DFED32D" w14:textId="77777777" w:rsidR="00811A39" w:rsidRDefault="005411C0">
      <w:pPr>
        <w:numPr>
          <w:ilvl w:val="0"/>
          <w:numId w:val="4"/>
        </w:numPr>
        <w:jc w:val="both"/>
      </w:pPr>
      <w:r>
        <w:t>Moreover, in response to a parliamentary question on whether the mandatory rest day would be defined as a continuous 24-hour period, the Ministry of Manpower (MOM) stated that such measures will impose “rigidity” on employers and MDWs.</w:t>
      </w:r>
      <w:r>
        <w:rPr>
          <w:vertAlign w:val="superscript"/>
        </w:rPr>
        <w:footnoteReference w:id="11"/>
      </w:r>
      <w:r>
        <w:rPr>
          <w:vertAlign w:val="superscript"/>
        </w:rPr>
        <w:t>,</w:t>
      </w:r>
      <w:r>
        <w:rPr>
          <w:vertAlign w:val="superscript"/>
        </w:rPr>
        <w:footnoteReference w:id="12"/>
      </w:r>
      <w:r>
        <w:t xml:space="preserve"> Such an approach prioritises employers’ convenience over granting MDWs basic labour protections that ensure their physical and mental well-being. </w:t>
      </w:r>
    </w:p>
    <w:p w14:paraId="33F86D1E" w14:textId="76CB8813" w:rsidR="00811A39" w:rsidRDefault="005411C0">
      <w:pPr>
        <w:numPr>
          <w:ilvl w:val="0"/>
          <w:numId w:val="4"/>
        </w:numPr>
        <w:shd w:val="clear" w:color="auto" w:fill="FFFFFF"/>
        <w:spacing w:before="260" w:after="260"/>
        <w:jc w:val="both"/>
        <w:rPr>
          <w:sz w:val="18"/>
          <w:szCs w:val="18"/>
        </w:rPr>
      </w:pPr>
      <w:r>
        <w:rPr>
          <w:color w:val="222222"/>
        </w:rPr>
        <w:lastRenderedPageBreak/>
        <w:t>A “guide for employers”</w:t>
      </w:r>
      <w:r>
        <w:rPr>
          <w:color w:val="222222"/>
          <w:vertAlign w:val="superscript"/>
        </w:rPr>
        <w:footnoteReference w:id="13"/>
      </w:r>
      <w:r>
        <w:rPr>
          <w:color w:val="222222"/>
        </w:rPr>
        <w:t xml:space="preserve"> was released by MOM when the mandatory rest day was introduced. This guide stated that “most employers give workers at least eight hours of rest” during a rest day,</w:t>
      </w:r>
      <w:r>
        <w:rPr>
          <w:color w:val="222222"/>
          <w:vertAlign w:val="superscript"/>
        </w:rPr>
        <w:footnoteReference w:id="14"/>
      </w:r>
      <w:r>
        <w:rPr>
          <w:color w:val="222222"/>
        </w:rPr>
        <w:t xml:space="preserve"> tacitly approving practices where an MDW’s day-off still involved them rendering some degree of work. </w:t>
      </w:r>
      <w:r w:rsidR="005C0073">
        <w:rPr>
          <w:color w:val="222222"/>
        </w:rPr>
        <w:t>The mandatory rest day can also be split into two half-days. This does</w:t>
      </w:r>
      <w:r>
        <w:rPr>
          <w:color w:val="222222"/>
        </w:rPr>
        <w:t xml:space="preserve"> not allow MDWs to enjoy the full complement of </w:t>
      </w:r>
      <w:r w:rsidR="005C0073">
        <w:rPr>
          <w:color w:val="222222"/>
        </w:rPr>
        <w:t xml:space="preserve">a </w:t>
      </w:r>
      <w:r>
        <w:rPr>
          <w:color w:val="222222"/>
        </w:rPr>
        <w:t xml:space="preserve">rest day—which should be uninterrupted, and free from work. </w:t>
      </w:r>
      <w:r>
        <w:tab/>
      </w:r>
    </w:p>
    <w:p w14:paraId="5C7EF6D5" w14:textId="490F5363" w:rsidR="00811A39" w:rsidRDefault="005411C0">
      <w:pPr>
        <w:numPr>
          <w:ilvl w:val="0"/>
          <w:numId w:val="4"/>
        </w:numPr>
        <w:jc w:val="both"/>
      </w:pPr>
      <w:r>
        <w:t xml:space="preserve">There is also a lack of measures to ensure that compensation is paid for the work done during the MDW’s assigned rest days. </w:t>
      </w:r>
      <w:r w:rsidR="005C0073">
        <w:t>M</w:t>
      </w:r>
      <w:r>
        <w:t xml:space="preserve">echanisms </w:t>
      </w:r>
      <w:r w:rsidR="005C0073">
        <w:t xml:space="preserve">should be put </w:t>
      </w:r>
      <w:r>
        <w:t xml:space="preserve">in place to detect MDWs who are not granted their mandatory rest day, and/or made to work during designated rest </w:t>
      </w:r>
      <w:proofErr w:type="gramStart"/>
      <w:r>
        <w:t>days, and</w:t>
      </w:r>
      <w:proofErr w:type="gramEnd"/>
      <w:r>
        <w:t xml:space="preserve"> cannot seek help due to the employers restricting their communication and access to helplines and authorities. </w:t>
      </w:r>
    </w:p>
    <w:p w14:paraId="0DD0288B" w14:textId="77777777" w:rsidR="00811A39" w:rsidRDefault="00811A39">
      <w:pPr>
        <w:ind w:left="720"/>
        <w:jc w:val="both"/>
      </w:pPr>
    </w:p>
    <w:p w14:paraId="05B003D6" w14:textId="77777777" w:rsidR="00811A39" w:rsidRDefault="005411C0">
      <w:pPr>
        <w:ind w:left="720"/>
        <w:jc w:val="both"/>
      </w:pPr>
      <w:r>
        <w:rPr>
          <w:u w:val="single"/>
        </w:rPr>
        <w:t>Recommendations</w:t>
      </w:r>
      <w:r>
        <w:t>:</w:t>
      </w:r>
      <w:r>
        <w:tab/>
      </w:r>
      <w:r>
        <w:tab/>
      </w:r>
    </w:p>
    <w:p w14:paraId="4C8FEA14" w14:textId="77777777" w:rsidR="00811A39" w:rsidRDefault="005411C0">
      <w:pPr>
        <w:ind w:left="720"/>
        <w:jc w:val="both"/>
      </w:pPr>
      <w:r>
        <w:tab/>
      </w:r>
      <w:r>
        <w:tab/>
      </w:r>
      <w:r>
        <w:tab/>
        <w:t xml:space="preserve"> </w:t>
      </w:r>
      <w:r>
        <w:tab/>
      </w:r>
      <w:r>
        <w:tab/>
      </w:r>
      <w:r>
        <w:tab/>
      </w:r>
      <w:r>
        <w:tab/>
      </w:r>
      <w:r>
        <w:tab/>
      </w:r>
    </w:p>
    <w:p w14:paraId="4813EA17" w14:textId="77777777" w:rsidR="00811A39" w:rsidRDefault="005411C0">
      <w:pPr>
        <w:numPr>
          <w:ilvl w:val="0"/>
          <w:numId w:val="14"/>
        </w:numPr>
        <w:jc w:val="both"/>
      </w:pPr>
      <w:r>
        <w:t>Implement mechanisms to detect MDWs who are not granted their mandatory rest day and cannot seek help due to the employers restricting their communication and access to helplines and authorities.</w:t>
      </w:r>
      <w:r>
        <w:br/>
        <w:t xml:space="preserve"> </w:t>
      </w:r>
      <w:r>
        <w:tab/>
      </w:r>
      <w:r>
        <w:tab/>
      </w:r>
      <w:r>
        <w:tab/>
      </w:r>
      <w:r>
        <w:tab/>
      </w:r>
      <w:r>
        <w:tab/>
      </w:r>
      <w:r>
        <w:tab/>
      </w:r>
      <w:r>
        <w:tab/>
      </w:r>
    </w:p>
    <w:p w14:paraId="3F08529E" w14:textId="77777777" w:rsidR="00811A39" w:rsidRDefault="005411C0">
      <w:pPr>
        <w:numPr>
          <w:ilvl w:val="0"/>
          <w:numId w:val="14"/>
        </w:numPr>
        <w:jc w:val="both"/>
      </w:pPr>
      <w:r>
        <w:t>Implement mechanisms to ensure that compensation is paid for work done during the MDW’s assigned rest days.</w:t>
      </w:r>
      <w:r>
        <w:br/>
        <w:t xml:space="preserve"> </w:t>
      </w:r>
      <w:r>
        <w:tab/>
      </w:r>
      <w:r>
        <w:tab/>
      </w:r>
      <w:r>
        <w:tab/>
      </w:r>
      <w:r>
        <w:tab/>
      </w:r>
      <w:r>
        <w:tab/>
      </w:r>
      <w:r>
        <w:tab/>
      </w:r>
      <w:r>
        <w:tab/>
      </w:r>
    </w:p>
    <w:p w14:paraId="3D563E35" w14:textId="77777777" w:rsidR="00811A39" w:rsidRDefault="005411C0">
      <w:pPr>
        <w:numPr>
          <w:ilvl w:val="0"/>
          <w:numId w:val="14"/>
        </w:numPr>
        <w:jc w:val="both"/>
      </w:pPr>
      <w:r>
        <w:t>Increase the frequency of mandatory rest days to once a week.</w:t>
      </w:r>
      <w:r>
        <w:br/>
        <w:t xml:space="preserve"> </w:t>
      </w:r>
      <w:r>
        <w:tab/>
      </w:r>
      <w:r>
        <w:tab/>
      </w:r>
      <w:r>
        <w:tab/>
      </w:r>
      <w:r>
        <w:tab/>
      </w:r>
      <w:r>
        <w:tab/>
      </w:r>
      <w:r>
        <w:tab/>
      </w:r>
      <w:r>
        <w:tab/>
      </w:r>
    </w:p>
    <w:p w14:paraId="309D43AF" w14:textId="77777777" w:rsidR="00811A39" w:rsidRDefault="005411C0">
      <w:pPr>
        <w:numPr>
          <w:ilvl w:val="0"/>
          <w:numId w:val="14"/>
        </w:numPr>
        <w:jc w:val="both"/>
      </w:pPr>
      <w:r>
        <w:t>Define a rest day for MDWs as 24 continuous hours.</w:t>
      </w:r>
      <w:r>
        <w:tab/>
      </w:r>
      <w:r>
        <w:tab/>
      </w:r>
      <w:r>
        <w:tab/>
      </w:r>
      <w:r>
        <w:tab/>
      </w:r>
      <w:r>
        <w:tab/>
      </w:r>
      <w:r>
        <w:tab/>
      </w:r>
      <w:r>
        <w:tab/>
      </w:r>
    </w:p>
    <w:p w14:paraId="1C3A4E8B" w14:textId="77777777" w:rsidR="00811A39" w:rsidRDefault="005411C0">
      <w:pPr>
        <w:jc w:val="both"/>
      </w:pPr>
      <w:r>
        <w:rPr>
          <w:i/>
        </w:rPr>
        <w:t>Lack of job mobility</w:t>
      </w:r>
      <w:r>
        <w:rPr>
          <w:i/>
        </w:rPr>
        <w:tab/>
      </w:r>
      <w:r>
        <w:tab/>
      </w:r>
      <w:r>
        <w:tab/>
      </w:r>
    </w:p>
    <w:p w14:paraId="03E3E64B" w14:textId="77777777" w:rsidR="00811A39" w:rsidRDefault="005411C0">
      <w:pPr>
        <w:jc w:val="both"/>
      </w:pPr>
      <w:r>
        <w:tab/>
      </w:r>
      <w:r>
        <w:tab/>
      </w:r>
    </w:p>
    <w:p w14:paraId="59067CC6" w14:textId="77777777" w:rsidR="00811A39" w:rsidRDefault="005411C0">
      <w:pPr>
        <w:numPr>
          <w:ilvl w:val="0"/>
          <w:numId w:val="13"/>
        </w:numPr>
        <w:jc w:val="both"/>
      </w:pPr>
      <w:r>
        <w:t xml:space="preserve">MDWs legitimise their stay in Singapore by way of a Work Permit (WP). WPs are valid for one or two years. WP renewals do not require the signed consent of the MDW. Employers retain the unilateral right to cancel an MDW’s WP without her knowledge or consent. MDWs also do not have the right to switch employers freely; they require the consent of their current employers to change jobs even upon the expiry of their WP terms. Although the Committee has previously recommended to revise </w:t>
      </w:r>
      <w:proofErr w:type="gramStart"/>
      <w:r>
        <w:t>this criteria</w:t>
      </w:r>
      <w:proofErr w:type="gramEnd"/>
      <w:r>
        <w:t>,</w:t>
      </w:r>
      <w:r>
        <w:rPr>
          <w:vertAlign w:val="superscript"/>
        </w:rPr>
        <w:footnoteReference w:id="15"/>
      </w:r>
      <w:r>
        <w:t xml:space="preserve"> no action has been taken.</w:t>
      </w:r>
    </w:p>
    <w:p w14:paraId="68ED943D" w14:textId="77777777" w:rsidR="00811A39" w:rsidRDefault="00811A39">
      <w:pPr>
        <w:ind w:left="720"/>
        <w:jc w:val="both"/>
      </w:pPr>
    </w:p>
    <w:p w14:paraId="7D5CDFF8" w14:textId="77777777" w:rsidR="00811A39" w:rsidRDefault="005411C0">
      <w:pPr>
        <w:numPr>
          <w:ilvl w:val="0"/>
          <w:numId w:val="13"/>
        </w:numPr>
        <w:jc w:val="both"/>
      </w:pPr>
      <w:r>
        <w:t xml:space="preserve">Although employers are required by law to provide “reasonable” notice of repatriation, it is not known what constitutes “reasonable” notice. Employers have been known to dismiss </w:t>
      </w:r>
      <w:r>
        <w:lastRenderedPageBreak/>
        <w:t>and repatriate an MDW within a day, with less than 24 hours’ notice.</w:t>
      </w:r>
      <w:r>
        <w:br/>
        <w:t xml:space="preserve"> </w:t>
      </w:r>
      <w:r>
        <w:tab/>
      </w:r>
      <w:r>
        <w:tab/>
      </w:r>
      <w:r>
        <w:tab/>
      </w:r>
      <w:r>
        <w:tab/>
      </w:r>
      <w:r>
        <w:tab/>
      </w:r>
      <w:r>
        <w:tab/>
      </w:r>
      <w:r>
        <w:tab/>
      </w:r>
    </w:p>
    <w:p w14:paraId="6F0917F0" w14:textId="77777777" w:rsidR="00811A39" w:rsidRDefault="005411C0">
      <w:pPr>
        <w:numPr>
          <w:ilvl w:val="0"/>
          <w:numId w:val="13"/>
        </w:numPr>
        <w:jc w:val="both"/>
      </w:pPr>
      <w:r>
        <w:t xml:space="preserve">MDWs who are held back to assist in investigations may be granted permission to switch employers on a case-by-case basis under the Temporary Job Scheme (TJS). In other instances, where there have been </w:t>
      </w:r>
      <w:proofErr w:type="gramStart"/>
      <w:r>
        <w:t>violations</w:t>
      </w:r>
      <w:proofErr w:type="gramEnd"/>
      <w:r>
        <w:t xml:space="preserve"> but investigations are not pending, workers are allowed to switch employers under the Change of Employer (COE) scheme. Otherwise, MDWs are entirely dependent on employers for job transfers. Refusal to grant TJS or COE are often opaque in reasoning.</w:t>
      </w:r>
    </w:p>
    <w:p w14:paraId="4AE8534A" w14:textId="77777777" w:rsidR="00811A39" w:rsidRDefault="00811A39">
      <w:pPr>
        <w:jc w:val="both"/>
      </w:pPr>
    </w:p>
    <w:p w14:paraId="4DD01686" w14:textId="0EBA4F4E" w:rsidR="00811A39" w:rsidRDefault="00B37F7E">
      <w:pPr>
        <w:numPr>
          <w:ilvl w:val="0"/>
          <w:numId w:val="13"/>
        </w:numPr>
        <w:jc w:val="both"/>
      </w:pPr>
      <w:r>
        <w:rPr>
          <w:color w:val="000000"/>
        </w:rPr>
        <w:t>In 2020, MOM amended EFMA to allow employment agencies (EAs) to take over responsibility for MDWs whose employers wish to transfer them. As part of this scheme, EAs are to take on the responsibility of the MDW’s upkeep, and repatriation costs in the event placement is not successful.</w:t>
      </w:r>
      <w:r>
        <w:rPr>
          <w:color w:val="000000"/>
          <w:sz w:val="14"/>
          <w:szCs w:val="14"/>
        </w:rPr>
        <w:t xml:space="preserve"> </w:t>
      </w:r>
      <w:r>
        <w:rPr>
          <w:color w:val="000000"/>
        </w:rPr>
        <w:t>This was to encourage employers to transfer their MDWs without having to incur levy and other upkeep costs</w:t>
      </w:r>
      <w:r>
        <w:t xml:space="preserve">. </w:t>
      </w:r>
    </w:p>
    <w:p w14:paraId="42FCE7F3" w14:textId="77777777" w:rsidR="00811A39" w:rsidRDefault="00811A39">
      <w:pPr>
        <w:ind w:left="720"/>
        <w:jc w:val="both"/>
      </w:pPr>
    </w:p>
    <w:p w14:paraId="7B5B23E0" w14:textId="77777777" w:rsidR="00811A39" w:rsidRDefault="005411C0">
      <w:pPr>
        <w:numPr>
          <w:ilvl w:val="0"/>
          <w:numId w:val="13"/>
        </w:numPr>
        <w:jc w:val="both"/>
      </w:pPr>
      <w:r>
        <w:t xml:space="preserve">While the move encourages employers to grant transfers to MDWs, employers still retain the right to terminate their MDW. </w:t>
      </w:r>
      <w:r>
        <w:rPr>
          <w:highlight w:val="white"/>
        </w:rPr>
        <w:t>An EA may also compel an MDW to take up employment that she does not wish to, so that the agency does not continue to incur upkeep and repatriation costs.</w:t>
      </w:r>
    </w:p>
    <w:p w14:paraId="727C36F7" w14:textId="77777777" w:rsidR="00811A39" w:rsidRDefault="00811A39">
      <w:pPr>
        <w:ind w:left="720"/>
        <w:jc w:val="both"/>
      </w:pPr>
    </w:p>
    <w:p w14:paraId="2255A5D5" w14:textId="669CE78A" w:rsidR="00811A39" w:rsidRDefault="005411C0">
      <w:pPr>
        <w:numPr>
          <w:ilvl w:val="0"/>
          <w:numId w:val="13"/>
        </w:numPr>
        <w:jc w:val="both"/>
      </w:pPr>
      <w:r>
        <w:t>MOM has made information about their MDWs and their employment history more accessible to employers, including reasons for termination of previous employment.</w:t>
      </w:r>
      <w:r>
        <w:rPr>
          <w:vertAlign w:val="superscript"/>
        </w:rPr>
        <w:footnoteReference w:id="16"/>
      </w:r>
      <w:r>
        <w:rPr>
          <w:sz w:val="14"/>
          <w:szCs w:val="14"/>
        </w:rPr>
        <w:t xml:space="preserve"> </w:t>
      </w:r>
      <w:r w:rsidR="00B37F7E">
        <w:t>A</w:t>
      </w:r>
      <w:r>
        <w:t xml:space="preserve">n online ‘feedback’ system </w:t>
      </w:r>
      <w:r w:rsidR="00B37F7E">
        <w:t>allows</w:t>
      </w:r>
      <w:r>
        <w:t xml:space="preserve"> employers to share their contact details with prospective employers about an MDW after the employment has been terminated. In HOME’s experience, this enables an employer to share negative, unsubstantiated feedback about an MDW which negatively affects her chance for re-employment. The work permit system thus gives employers plenty of opportunities to collect information about an MDW before hiring her. However, similar opportunities are not granted to MDWs.</w:t>
      </w:r>
      <w:r>
        <w:tab/>
      </w:r>
    </w:p>
    <w:p w14:paraId="4AC798D9" w14:textId="77777777" w:rsidR="00811A39" w:rsidRDefault="00811A39">
      <w:pPr>
        <w:ind w:left="720"/>
        <w:jc w:val="both"/>
      </w:pPr>
    </w:p>
    <w:p w14:paraId="663F86B6" w14:textId="77777777" w:rsidR="00811A39" w:rsidRDefault="005411C0">
      <w:pPr>
        <w:jc w:val="both"/>
      </w:pPr>
      <w:r>
        <w:rPr>
          <w:u w:val="single"/>
        </w:rPr>
        <w:t>Recommendations</w:t>
      </w:r>
      <w:r>
        <w:t>:</w:t>
      </w:r>
      <w:r>
        <w:tab/>
      </w:r>
      <w:r>
        <w:tab/>
      </w:r>
    </w:p>
    <w:p w14:paraId="2E1FD1B4" w14:textId="77777777" w:rsidR="00811A39" w:rsidRDefault="005411C0">
      <w:pPr>
        <w:jc w:val="both"/>
      </w:pPr>
      <w:r>
        <w:tab/>
      </w:r>
      <w:r>
        <w:tab/>
      </w:r>
      <w:r>
        <w:tab/>
      </w:r>
    </w:p>
    <w:p w14:paraId="15BCBB36" w14:textId="77777777" w:rsidR="00811A39" w:rsidRDefault="005411C0">
      <w:pPr>
        <w:numPr>
          <w:ilvl w:val="0"/>
          <w:numId w:val="5"/>
        </w:numPr>
        <w:jc w:val="both"/>
      </w:pPr>
      <w:r>
        <w:t xml:space="preserve">Grant all </w:t>
      </w:r>
      <w:proofErr w:type="gramStart"/>
      <w:r>
        <w:t>MDWs  the</w:t>
      </w:r>
      <w:proofErr w:type="gramEnd"/>
      <w:r>
        <w:t xml:space="preserve"> right to change employers, with clearly defined notice periods. </w:t>
      </w:r>
      <w:proofErr w:type="gramStart"/>
      <w:r>
        <w:t>In particular, they</w:t>
      </w:r>
      <w:proofErr w:type="gramEnd"/>
      <w:r>
        <w:t xml:space="preserve"> should be allowed to transfer employers at the end of their work permits, within a stipulated window before their permits expire.</w:t>
      </w:r>
      <w:r>
        <w:br/>
        <w:t xml:space="preserve"> </w:t>
      </w:r>
      <w:r>
        <w:tab/>
      </w:r>
      <w:r>
        <w:tab/>
      </w:r>
      <w:r>
        <w:tab/>
      </w:r>
      <w:r>
        <w:tab/>
      </w:r>
      <w:r>
        <w:tab/>
      </w:r>
      <w:r>
        <w:tab/>
      </w:r>
      <w:r>
        <w:tab/>
      </w:r>
    </w:p>
    <w:p w14:paraId="0466D1C6" w14:textId="77777777" w:rsidR="00811A39" w:rsidRDefault="005411C0">
      <w:pPr>
        <w:numPr>
          <w:ilvl w:val="0"/>
          <w:numId w:val="5"/>
        </w:numPr>
        <w:jc w:val="both"/>
      </w:pPr>
      <w:r>
        <w:t>Allow MDWs to view their prospective employers’ hiring history to alleviate the lack of information available to MDWs prior to employment.</w:t>
      </w:r>
      <w:r>
        <w:tab/>
      </w:r>
      <w:r>
        <w:tab/>
      </w:r>
    </w:p>
    <w:p w14:paraId="778A5385" w14:textId="77777777" w:rsidR="00811A39" w:rsidRDefault="005411C0">
      <w:pPr>
        <w:ind w:left="720"/>
        <w:jc w:val="both"/>
      </w:pPr>
      <w:r>
        <w:tab/>
      </w:r>
      <w:r>
        <w:tab/>
      </w:r>
    </w:p>
    <w:p w14:paraId="10B3172C" w14:textId="77777777" w:rsidR="00811A39" w:rsidRDefault="005411C0">
      <w:pPr>
        <w:jc w:val="both"/>
        <w:rPr>
          <w:i/>
        </w:rPr>
      </w:pPr>
      <w:r>
        <w:rPr>
          <w:i/>
        </w:rPr>
        <w:t xml:space="preserve">Forced confinement and restriction on </w:t>
      </w:r>
      <w:proofErr w:type="gramStart"/>
      <w:r>
        <w:rPr>
          <w:i/>
        </w:rPr>
        <w:t>communication</w:t>
      </w:r>
      <w:proofErr w:type="gramEnd"/>
    </w:p>
    <w:p w14:paraId="418C9E38" w14:textId="77777777" w:rsidR="00811A39" w:rsidRDefault="00811A39">
      <w:pPr>
        <w:jc w:val="both"/>
      </w:pPr>
    </w:p>
    <w:p w14:paraId="4A9E9CC4" w14:textId="77777777" w:rsidR="00811A39" w:rsidRDefault="005411C0">
      <w:pPr>
        <w:numPr>
          <w:ilvl w:val="0"/>
          <w:numId w:val="13"/>
        </w:numPr>
        <w:jc w:val="both"/>
      </w:pPr>
      <w:r>
        <w:lastRenderedPageBreak/>
        <w:t>MDWs’ freedom of movement becomes threatened when they are required to live with their employers, rendering them more vulnerable to confinement, isolation, and abuse. The use of CCTV is also commonplace to monitor MDWs’ actions throughout the day.</w:t>
      </w:r>
    </w:p>
    <w:p w14:paraId="41F0DD8D" w14:textId="77777777" w:rsidR="00811A39" w:rsidRDefault="00811A39">
      <w:pPr>
        <w:ind w:left="720"/>
        <w:jc w:val="both"/>
      </w:pPr>
    </w:p>
    <w:p w14:paraId="5070359A" w14:textId="77777777" w:rsidR="00811A39" w:rsidRDefault="005411C0">
      <w:pPr>
        <w:numPr>
          <w:ilvl w:val="0"/>
          <w:numId w:val="13"/>
        </w:numPr>
        <w:jc w:val="both"/>
      </w:pPr>
      <w:r>
        <w:t>Some employers restrict their MDW’s mobile phone usage, whereas some disallow MDWs from owning mobile phones altogether. Due to a lack of regulations surrounding an MDW’s phone usage, complaints on this matter have not resulted in meaningful change. Ultimately, it may trigger her repatriation.</w:t>
      </w:r>
    </w:p>
    <w:p w14:paraId="7BC52471" w14:textId="77777777" w:rsidR="00811A39" w:rsidRDefault="005411C0">
      <w:pPr>
        <w:shd w:val="clear" w:color="auto" w:fill="FFFFFF"/>
        <w:jc w:val="both"/>
      </w:pPr>
      <w:r>
        <w:tab/>
      </w:r>
      <w:r>
        <w:tab/>
      </w:r>
      <w:r>
        <w:tab/>
      </w:r>
      <w:r>
        <w:tab/>
      </w:r>
      <w:r>
        <w:tab/>
      </w:r>
      <w:r>
        <w:tab/>
      </w:r>
    </w:p>
    <w:p w14:paraId="5513F88A" w14:textId="77777777" w:rsidR="00811A39" w:rsidRDefault="005411C0">
      <w:pPr>
        <w:jc w:val="both"/>
        <w:rPr>
          <w:u w:val="single"/>
        </w:rPr>
      </w:pPr>
      <w:r>
        <w:rPr>
          <w:u w:val="single"/>
        </w:rPr>
        <w:t>Recommendations:</w:t>
      </w:r>
    </w:p>
    <w:p w14:paraId="7A3298C7" w14:textId="77777777" w:rsidR="00811A39" w:rsidRDefault="00811A39">
      <w:pPr>
        <w:jc w:val="both"/>
      </w:pPr>
    </w:p>
    <w:p w14:paraId="021BF18C" w14:textId="77777777" w:rsidR="00811A39" w:rsidRDefault="005411C0">
      <w:pPr>
        <w:numPr>
          <w:ilvl w:val="0"/>
          <w:numId w:val="16"/>
        </w:numPr>
        <w:shd w:val="clear" w:color="auto" w:fill="FFFFFF"/>
        <w:jc w:val="both"/>
      </w:pPr>
      <w:r>
        <w:t>Regulations given to employers and agents to ensure that an MDW has reasonable access to her mobile phone.</w:t>
      </w:r>
    </w:p>
    <w:p w14:paraId="050E4707" w14:textId="77777777" w:rsidR="00811A39" w:rsidRDefault="00811A39">
      <w:pPr>
        <w:shd w:val="clear" w:color="auto" w:fill="FFFFFF"/>
        <w:ind w:left="720"/>
        <w:jc w:val="both"/>
      </w:pPr>
    </w:p>
    <w:p w14:paraId="0FC78FBF" w14:textId="77777777" w:rsidR="00811A39" w:rsidRDefault="005411C0">
      <w:pPr>
        <w:numPr>
          <w:ilvl w:val="0"/>
          <w:numId w:val="16"/>
        </w:numPr>
        <w:shd w:val="clear" w:color="auto" w:fill="FFFFFF"/>
        <w:jc w:val="both"/>
      </w:pPr>
      <w:r>
        <w:t xml:space="preserve">Allow live-out options for MDWs. </w:t>
      </w:r>
    </w:p>
    <w:p w14:paraId="75E23F55" w14:textId="77777777" w:rsidR="00811A39" w:rsidRDefault="005411C0">
      <w:pPr>
        <w:shd w:val="clear" w:color="auto" w:fill="FFFFFF"/>
        <w:jc w:val="both"/>
      </w:pPr>
      <w:r>
        <w:tab/>
      </w:r>
      <w:r>
        <w:tab/>
      </w:r>
      <w:r>
        <w:tab/>
      </w:r>
      <w:r>
        <w:tab/>
      </w:r>
    </w:p>
    <w:p w14:paraId="03A4903D" w14:textId="77777777" w:rsidR="00811A39" w:rsidRDefault="005411C0">
      <w:pPr>
        <w:jc w:val="both"/>
      </w:pPr>
      <w:r>
        <w:rPr>
          <w:b/>
        </w:rPr>
        <w:t>Article 12: Health</w:t>
      </w:r>
      <w:r>
        <w:rPr>
          <w:b/>
        </w:rPr>
        <w:tab/>
      </w:r>
      <w:r>
        <w:rPr>
          <w:b/>
        </w:rPr>
        <w:tab/>
      </w:r>
      <w:r>
        <w:tab/>
      </w:r>
      <w:r>
        <w:tab/>
        <w:t xml:space="preserve"> </w:t>
      </w:r>
      <w:r>
        <w:tab/>
      </w:r>
      <w:r>
        <w:tab/>
      </w:r>
      <w:r>
        <w:tab/>
      </w:r>
      <w:r>
        <w:tab/>
      </w:r>
      <w:r>
        <w:tab/>
      </w:r>
      <w:r>
        <w:tab/>
      </w:r>
      <w:r>
        <w:tab/>
      </w:r>
      <w:r>
        <w:tab/>
      </w:r>
      <w:r>
        <w:tab/>
      </w:r>
    </w:p>
    <w:p w14:paraId="5B3E22B0" w14:textId="77777777" w:rsidR="00811A39" w:rsidRDefault="005411C0">
      <w:pPr>
        <w:jc w:val="both"/>
        <w:rPr>
          <w:i/>
        </w:rPr>
      </w:pPr>
      <w:r>
        <w:rPr>
          <w:i/>
        </w:rPr>
        <w:t>Inadequate insurance coverage and access to healthcare</w:t>
      </w:r>
    </w:p>
    <w:p w14:paraId="79C5B26B" w14:textId="77777777" w:rsidR="00811A39" w:rsidRDefault="00811A39">
      <w:pPr>
        <w:jc w:val="both"/>
      </w:pPr>
    </w:p>
    <w:p w14:paraId="305AB612" w14:textId="77777777" w:rsidR="00811A39" w:rsidRDefault="005411C0">
      <w:pPr>
        <w:numPr>
          <w:ilvl w:val="0"/>
          <w:numId w:val="6"/>
        </w:numPr>
        <w:jc w:val="both"/>
      </w:pPr>
      <w:r>
        <w:t>From July 2023, employers of MDWs are required to purchase and maintain medical insurance of minimum SGD 60,000 (USD 44,535) per 12-month period of the foreign employee’s employment.</w:t>
      </w:r>
      <w:r>
        <w:rPr>
          <w:vertAlign w:val="superscript"/>
        </w:rPr>
        <w:footnoteReference w:id="17"/>
      </w:r>
      <w:r>
        <w:br/>
        <w:t xml:space="preserve"> </w:t>
      </w:r>
      <w:r>
        <w:tab/>
      </w:r>
      <w:r>
        <w:tab/>
      </w:r>
      <w:r>
        <w:tab/>
      </w:r>
      <w:r>
        <w:tab/>
      </w:r>
      <w:r>
        <w:tab/>
      </w:r>
      <w:r>
        <w:tab/>
      </w:r>
      <w:r>
        <w:tab/>
      </w:r>
    </w:p>
    <w:p w14:paraId="2307AC7A" w14:textId="77777777" w:rsidR="00811A39" w:rsidRDefault="005411C0">
      <w:pPr>
        <w:numPr>
          <w:ilvl w:val="0"/>
          <w:numId w:val="6"/>
        </w:numPr>
        <w:jc w:val="both"/>
      </w:pPr>
      <w:r>
        <w:t xml:space="preserve">As this plan applies only to in-patient care and day surgery, fees for out-patient treatment (including dental care) are not covered by their insurance. Thus, MDWs are often forced to pay for their medical fees </w:t>
      </w:r>
      <w:proofErr w:type="gramStart"/>
      <w:r>
        <w:t>upfront, and</w:t>
      </w:r>
      <w:proofErr w:type="gramEnd"/>
      <w:r>
        <w:t xml:space="preserve"> may face difficulty claiming the sum from employers. Insurers will also co-pay 75% of amounts above $15,000, up to an annual claim limit of $60,000, with the remaining 25% being borne by the employer</w:t>
      </w:r>
      <w:r>
        <w:rPr>
          <w:vertAlign w:val="superscript"/>
        </w:rPr>
        <w:footnoteReference w:id="18"/>
      </w:r>
      <w:r>
        <w:rPr>
          <w:sz w:val="14"/>
          <w:szCs w:val="14"/>
        </w:rPr>
        <w:t xml:space="preserve"> </w:t>
      </w:r>
      <w:r>
        <w:t xml:space="preserve">Therefore, MDWs may still not receive their treatment as employers may be reluctant to co-pay amounts exceeding $15,000. Medical subsidies for migrant workers were also removed in 2008. </w:t>
      </w:r>
    </w:p>
    <w:p w14:paraId="78709949" w14:textId="77777777" w:rsidR="00811A39" w:rsidRDefault="00811A39">
      <w:pPr>
        <w:ind w:left="720"/>
        <w:jc w:val="both"/>
      </w:pPr>
    </w:p>
    <w:p w14:paraId="12B584FA" w14:textId="77777777" w:rsidR="00811A39" w:rsidRDefault="005411C0">
      <w:pPr>
        <w:numPr>
          <w:ilvl w:val="0"/>
          <w:numId w:val="6"/>
        </w:numPr>
        <w:jc w:val="both"/>
      </w:pPr>
      <w:r>
        <w:t>All female WP holders are subject to six-monthly mandatory medical examinations (6ME) that screen them for “pregnancy and infectious diseases such as syphilis, HIV and tuberculosis.”</w:t>
      </w:r>
      <w:r>
        <w:rPr>
          <w:vertAlign w:val="superscript"/>
        </w:rPr>
        <w:footnoteReference w:id="19"/>
      </w:r>
      <w:r>
        <w:t xml:space="preserve"> However, the 6ME does not provide screenings for chronic illnesses, such as cancer. HOME has encountered MDWs diagnosed at </w:t>
      </w:r>
      <w:proofErr w:type="gramStart"/>
      <w:r>
        <w:t>fairly advanced</w:t>
      </w:r>
      <w:proofErr w:type="gramEnd"/>
      <w:r>
        <w:t xml:space="preserve"> stages in cancer or other serious illnesses, where the burden of medical costs, compounded by the lack of subsidies, resulted in MDWs having little choice but to return home to seek treatment. </w:t>
      </w:r>
    </w:p>
    <w:p w14:paraId="58BB1D3F" w14:textId="77777777" w:rsidR="00811A39" w:rsidRDefault="00811A39">
      <w:pPr>
        <w:jc w:val="both"/>
      </w:pPr>
    </w:p>
    <w:p w14:paraId="1D5DDD18" w14:textId="77777777" w:rsidR="00811A39" w:rsidRDefault="005411C0">
      <w:pPr>
        <w:jc w:val="both"/>
        <w:rPr>
          <w:i/>
        </w:rPr>
      </w:pPr>
      <w:r>
        <w:rPr>
          <w:i/>
        </w:rPr>
        <w:t>Work Injury Compensation Act</w:t>
      </w:r>
    </w:p>
    <w:p w14:paraId="34F7A814" w14:textId="77777777" w:rsidR="00811A39" w:rsidRDefault="00811A39">
      <w:pPr>
        <w:jc w:val="both"/>
      </w:pPr>
    </w:p>
    <w:p w14:paraId="1BF7D040" w14:textId="77777777" w:rsidR="00811A39" w:rsidRDefault="005411C0">
      <w:pPr>
        <w:numPr>
          <w:ilvl w:val="0"/>
          <w:numId w:val="6"/>
        </w:numPr>
        <w:jc w:val="both"/>
      </w:pPr>
      <w:r>
        <w:t>MDWs are currently excluded from the Work Injury Compensation Act (WICA), a no-fault system that awards lump sum compensation to workers who sustain injuries at the workplace that result in permanent incapacity. WICA also provides for claims related to medical leave wages (including hospital leave) and medical expenses. When a work injury results in the death of a worker covered under WICA, family members and dependents may claim compensation, with the compensation ranging from SGD 76,000 - 225,000 (</w:t>
      </w:r>
      <w:proofErr w:type="spellStart"/>
      <w:r>
        <w:t>approx</w:t>
      </w:r>
      <w:proofErr w:type="spellEnd"/>
      <w:r>
        <w:t xml:space="preserve"> USD 56,400 - 167,000).</w:t>
      </w:r>
      <w:r>
        <w:rPr>
          <w:vertAlign w:val="superscript"/>
        </w:rPr>
        <w:footnoteReference w:id="20"/>
      </w:r>
    </w:p>
    <w:p w14:paraId="0CFCD795" w14:textId="77777777" w:rsidR="00811A39" w:rsidRDefault="00811A39">
      <w:pPr>
        <w:ind w:left="720"/>
        <w:jc w:val="both"/>
      </w:pPr>
    </w:p>
    <w:p w14:paraId="5AE728AC" w14:textId="77777777" w:rsidR="00811A39" w:rsidRDefault="005411C0">
      <w:pPr>
        <w:numPr>
          <w:ilvl w:val="0"/>
          <w:numId w:val="6"/>
        </w:numPr>
        <w:jc w:val="both"/>
      </w:pPr>
      <w:r>
        <w:t xml:space="preserve">Being excluded from WICA means an MDW who either sustains serious injuries </w:t>
      </w:r>
      <w:proofErr w:type="gramStart"/>
      <w:r>
        <w:t>during the course of</w:t>
      </w:r>
      <w:proofErr w:type="gramEnd"/>
      <w:r>
        <w:t xml:space="preserve"> their work at the household (their workplace), incur a disability, or face death will not be able to claim beyond the personal accident insurance limit of S$60,000 (USD 44,535).</w:t>
      </w:r>
      <w:r>
        <w:rPr>
          <w:vertAlign w:val="superscript"/>
        </w:rPr>
        <w:footnoteReference w:id="21"/>
      </w:r>
      <w:r>
        <w:rPr>
          <w:sz w:val="14"/>
          <w:szCs w:val="14"/>
        </w:rPr>
        <w:t xml:space="preserve"> </w:t>
      </w:r>
      <w:r>
        <w:t>This is an amount that is significantly lower than the sum guaranteed by WICA. Personal accident insurance benefits provide less in terms of compensation and cover fewer types of injuries.</w:t>
      </w:r>
      <w:r>
        <w:tab/>
      </w:r>
    </w:p>
    <w:p w14:paraId="71103B81" w14:textId="77777777" w:rsidR="00811A39" w:rsidRDefault="00811A39">
      <w:pPr>
        <w:ind w:left="720"/>
        <w:jc w:val="both"/>
      </w:pPr>
    </w:p>
    <w:p w14:paraId="16C7A8B8" w14:textId="77777777" w:rsidR="00811A39" w:rsidRDefault="005411C0">
      <w:pPr>
        <w:ind w:left="720"/>
        <w:jc w:val="both"/>
        <w:rPr>
          <w:u w:val="single"/>
        </w:rPr>
      </w:pPr>
      <w:r>
        <w:rPr>
          <w:u w:val="single"/>
        </w:rPr>
        <w:t>Recommendations:</w:t>
      </w:r>
    </w:p>
    <w:p w14:paraId="04A06135" w14:textId="77777777" w:rsidR="00811A39" w:rsidRDefault="005411C0">
      <w:pPr>
        <w:numPr>
          <w:ilvl w:val="0"/>
          <w:numId w:val="8"/>
        </w:numPr>
        <w:jc w:val="both"/>
      </w:pPr>
      <w:r>
        <w:t>Include MDWs under the WICA so that they are entitled to the compensation and benefits that are equal to other low-wage employees in Singapore.</w:t>
      </w:r>
    </w:p>
    <w:p w14:paraId="17BDD0E0" w14:textId="77777777" w:rsidR="00811A39" w:rsidRDefault="00811A39">
      <w:pPr>
        <w:ind w:left="720"/>
        <w:jc w:val="both"/>
      </w:pPr>
    </w:p>
    <w:p w14:paraId="6802D1B4" w14:textId="77777777" w:rsidR="00811A39" w:rsidRDefault="005411C0">
      <w:pPr>
        <w:numPr>
          <w:ilvl w:val="0"/>
          <w:numId w:val="8"/>
        </w:numPr>
        <w:jc w:val="both"/>
      </w:pPr>
      <w:r>
        <w:t xml:space="preserve">Provide screenings for chronic illnesses, such that the further development of these illnesses can be prevented. </w:t>
      </w:r>
    </w:p>
    <w:p w14:paraId="4F33C64C" w14:textId="77777777" w:rsidR="00811A39" w:rsidRDefault="00811A39">
      <w:pPr>
        <w:ind w:left="720"/>
        <w:jc w:val="both"/>
      </w:pPr>
    </w:p>
    <w:p w14:paraId="104B3EA2" w14:textId="77777777" w:rsidR="00811A39" w:rsidRDefault="005411C0">
      <w:pPr>
        <w:numPr>
          <w:ilvl w:val="0"/>
          <w:numId w:val="8"/>
        </w:numPr>
        <w:jc w:val="both"/>
      </w:pPr>
      <w:r>
        <w:t xml:space="preserve">Extend subsidies of medical treatment at all public hospitals and clinics to migrant workers. </w:t>
      </w:r>
    </w:p>
    <w:p w14:paraId="31AE8B58" w14:textId="77777777" w:rsidR="00811A39" w:rsidRDefault="00811A39">
      <w:pPr>
        <w:ind w:left="720"/>
        <w:jc w:val="both"/>
      </w:pPr>
    </w:p>
    <w:p w14:paraId="1024752E" w14:textId="77777777" w:rsidR="00811A39" w:rsidRDefault="005411C0">
      <w:pPr>
        <w:jc w:val="both"/>
      </w:pPr>
      <w:r>
        <w:rPr>
          <w:i/>
        </w:rPr>
        <w:t>Pregnancy</w:t>
      </w:r>
      <w:r>
        <w:rPr>
          <w:i/>
        </w:rPr>
        <w:tab/>
      </w:r>
      <w:r>
        <w:tab/>
      </w:r>
      <w:r>
        <w:tab/>
      </w:r>
      <w:r>
        <w:tab/>
      </w:r>
      <w:r>
        <w:tab/>
      </w:r>
      <w:r>
        <w:tab/>
      </w:r>
    </w:p>
    <w:p w14:paraId="61B020C1" w14:textId="77777777" w:rsidR="00811A39" w:rsidRDefault="00811A39">
      <w:pPr>
        <w:jc w:val="both"/>
      </w:pPr>
    </w:p>
    <w:p w14:paraId="3CE56B0C" w14:textId="77777777" w:rsidR="00811A39" w:rsidRDefault="005411C0">
      <w:pPr>
        <w:numPr>
          <w:ilvl w:val="0"/>
          <w:numId w:val="12"/>
        </w:numPr>
        <w:jc w:val="both"/>
      </w:pPr>
      <w:r>
        <w:t>Employers are instructed that if their MDW does not pass her 6ME and are found to be pregnant, her work permit must be cancelled and the MDW is to be repatriated immediately.</w:t>
      </w:r>
      <w:r>
        <w:rPr>
          <w:vertAlign w:val="superscript"/>
        </w:rPr>
        <w:footnoteReference w:id="22"/>
      </w:r>
      <w:r>
        <w:rPr>
          <w:sz w:val="14"/>
          <w:szCs w:val="14"/>
        </w:rPr>
        <w:t xml:space="preserve"> </w:t>
      </w:r>
      <w:r>
        <w:t>They may also be barred from seeking future employment in Singapore. Although the Committee has previously recommended the repeal of this law,</w:t>
      </w:r>
      <w:r>
        <w:rPr>
          <w:vertAlign w:val="superscript"/>
        </w:rPr>
        <w:footnoteReference w:id="23"/>
      </w:r>
      <w:r>
        <w:t xml:space="preserve"> no action has been taken.</w:t>
      </w:r>
      <w:r>
        <w:br/>
        <w:t xml:space="preserve"> </w:t>
      </w:r>
      <w:r>
        <w:tab/>
      </w:r>
      <w:r>
        <w:tab/>
      </w:r>
      <w:r>
        <w:tab/>
      </w:r>
      <w:r>
        <w:tab/>
      </w:r>
      <w:r>
        <w:tab/>
      </w:r>
      <w:r>
        <w:tab/>
      </w:r>
      <w:r>
        <w:tab/>
      </w:r>
    </w:p>
    <w:p w14:paraId="48488A85" w14:textId="77777777" w:rsidR="00811A39" w:rsidRDefault="005411C0">
      <w:pPr>
        <w:numPr>
          <w:ilvl w:val="0"/>
          <w:numId w:val="12"/>
        </w:numPr>
        <w:jc w:val="both"/>
      </w:pPr>
      <w:r>
        <w:t>It is also currently a breach of WP regulations for a female migrant worker to become pregnant and deliver a child in Singapore during the validity of her WP, unless she is already married to a Singaporean or permanent resident (PR). Employers are expected to report their MDW’s pregnancy, even if the pregnancy is not detected during the 6ME.</w:t>
      </w:r>
      <w:r>
        <w:rPr>
          <w:vertAlign w:val="superscript"/>
        </w:rPr>
        <w:footnoteReference w:id="24"/>
      </w:r>
      <w:r>
        <w:t xml:space="preserve"> </w:t>
      </w:r>
      <w:r>
        <w:lastRenderedPageBreak/>
        <w:t>Once a pregnancy is reported, the worker faces blacklisting and repatriation back to their home country, where they may not return to work in Singapore in the future.</w:t>
      </w:r>
      <w:r>
        <w:rPr>
          <w:vertAlign w:val="superscript"/>
        </w:rPr>
        <w:footnoteReference w:id="25"/>
      </w:r>
      <w:r>
        <w:t xml:space="preserve"> As a result, MDWs may resort to unsafe methods of abortion, such as tapping into the black market for abortion pills online.</w:t>
      </w:r>
      <w:r>
        <w:rPr>
          <w:vertAlign w:val="superscript"/>
        </w:rPr>
        <w:footnoteReference w:id="26"/>
      </w:r>
      <w:r>
        <w:t xml:space="preserve">    </w:t>
      </w:r>
    </w:p>
    <w:p w14:paraId="21F6DE05" w14:textId="77777777" w:rsidR="00811A39" w:rsidRDefault="00811A39">
      <w:pPr>
        <w:ind w:left="720"/>
        <w:jc w:val="both"/>
      </w:pPr>
    </w:p>
    <w:p w14:paraId="16B02728" w14:textId="77777777" w:rsidR="00811A39" w:rsidRDefault="005411C0">
      <w:pPr>
        <w:numPr>
          <w:ilvl w:val="0"/>
          <w:numId w:val="12"/>
        </w:numPr>
        <w:jc w:val="both"/>
      </w:pPr>
      <w:r>
        <w:t>WP conditions also stipulate that permit holders “shall not be involved in any illegal, immoral or undesirable activities, including breaking up families in Singapore”.</w:t>
      </w:r>
      <w:r>
        <w:rPr>
          <w:vertAlign w:val="superscript"/>
        </w:rPr>
        <w:footnoteReference w:id="27"/>
      </w:r>
      <w:r>
        <w:t xml:space="preserve"> This </w:t>
      </w:r>
      <w:proofErr w:type="gramStart"/>
      <w:r>
        <w:t>broadly-worded</w:t>
      </w:r>
      <w:proofErr w:type="gramEnd"/>
      <w:r>
        <w:t xml:space="preserve"> provision potentially criminalises female migrant workers, especially MDWs, who become involved in intimate relationships with Singaporeans or PRs, thus inducing moral policing.</w:t>
      </w:r>
    </w:p>
    <w:p w14:paraId="7EDAEBFD" w14:textId="77777777" w:rsidR="00811A39" w:rsidRDefault="00811A39">
      <w:pPr>
        <w:jc w:val="both"/>
      </w:pPr>
    </w:p>
    <w:p w14:paraId="2F9C4D89" w14:textId="77777777" w:rsidR="00811A39" w:rsidRDefault="005411C0">
      <w:pPr>
        <w:jc w:val="both"/>
      </w:pPr>
      <w:r>
        <w:rPr>
          <w:u w:val="single"/>
        </w:rPr>
        <w:t>Recommendations</w:t>
      </w:r>
      <w:r>
        <w:t>:</w:t>
      </w:r>
    </w:p>
    <w:p w14:paraId="1A5747BB" w14:textId="77777777" w:rsidR="00811A39" w:rsidRDefault="00811A39">
      <w:pPr>
        <w:jc w:val="both"/>
      </w:pPr>
    </w:p>
    <w:p w14:paraId="216784F0" w14:textId="77777777" w:rsidR="00811A39" w:rsidRDefault="005411C0">
      <w:pPr>
        <w:numPr>
          <w:ilvl w:val="0"/>
          <w:numId w:val="9"/>
        </w:numPr>
        <w:jc w:val="both"/>
      </w:pPr>
      <w:r>
        <w:t>We support the recommendation from the UN CEDAW report in 2011 to repeal the law requiring work permit holders,</w:t>
      </w:r>
      <w:r>
        <w:rPr>
          <w:vertAlign w:val="superscript"/>
        </w:rPr>
        <w:footnoteReference w:id="28"/>
      </w:r>
      <w:r>
        <w:rPr>
          <w:vertAlign w:val="superscript"/>
        </w:rPr>
        <w:t>,</w:t>
      </w:r>
      <w:r>
        <w:rPr>
          <w:vertAlign w:val="superscript"/>
        </w:rPr>
        <w:footnoteReference w:id="29"/>
      </w:r>
      <w:r>
        <w:t xml:space="preserve"> including MDWs, to be tested and subsequently deported and blacklisted on grounds of pregnancy. Rather, allow pregnant MDWs to continue their pregnancy in their home country before returning to Singapore to work.</w:t>
      </w:r>
    </w:p>
    <w:p w14:paraId="1B63A0EA" w14:textId="77777777" w:rsidR="00811A39" w:rsidRDefault="00811A39">
      <w:pPr>
        <w:ind w:left="720"/>
        <w:jc w:val="both"/>
      </w:pPr>
    </w:p>
    <w:p w14:paraId="5820ED8C" w14:textId="77777777" w:rsidR="00811A39" w:rsidRDefault="005411C0">
      <w:pPr>
        <w:numPr>
          <w:ilvl w:val="0"/>
          <w:numId w:val="9"/>
        </w:numPr>
        <w:jc w:val="both"/>
      </w:pPr>
      <w:r>
        <w:t xml:space="preserve">Remove </w:t>
      </w:r>
      <w:proofErr w:type="gramStart"/>
      <w:r>
        <w:t>broadly-worded</w:t>
      </w:r>
      <w:proofErr w:type="gramEnd"/>
      <w:r>
        <w:t xml:space="preserve"> provisions that police the private lives and behaviours of MDWs. </w:t>
      </w:r>
    </w:p>
    <w:p w14:paraId="02460B13" w14:textId="77777777" w:rsidR="00811A39" w:rsidRDefault="005411C0">
      <w:pPr>
        <w:jc w:val="both"/>
      </w:pPr>
      <w:r>
        <w:tab/>
      </w:r>
      <w:r>
        <w:tab/>
      </w:r>
    </w:p>
    <w:sectPr w:rsidR="00811A3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36BDC" w14:textId="77777777" w:rsidR="007F312E" w:rsidRDefault="007F312E">
      <w:pPr>
        <w:spacing w:line="240" w:lineRule="auto"/>
      </w:pPr>
      <w:r>
        <w:separator/>
      </w:r>
    </w:p>
  </w:endnote>
  <w:endnote w:type="continuationSeparator" w:id="0">
    <w:p w14:paraId="50FEF65F" w14:textId="77777777" w:rsidR="007F312E" w:rsidRDefault="007F31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C1551" w14:textId="77777777" w:rsidR="007F312E" w:rsidRDefault="007F312E">
      <w:pPr>
        <w:spacing w:line="240" w:lineRule="auto"/>
      </w:pPr>
      <w:r>
        <w:separator/>
      </w:r>
    </w:p>
  </w:footnote>
  <w:footnote w:type="continuationSeparator" w:id="0">
    <w:p w14:paraId="35DC1BE4" w14:textId="77777777" w:rsidR="007F312E" w:rsidRDefault="007F312E">
      <w:pPr>
        <w:spacing w:line="240" w:lineRule="auto"/>
      </w:pPr>
      <w:r>
        <w:continuationSeparator/>
      </w:r>
    </w:p>
  </w:footnote>
  <w:footnote w:id="1">
    <w:p w14:paraId="2705E9B6" w14:textId="77777777" w:rsidR="00811A39" w:rsidRDefault="005411C0">
      <w:pPr>
        <w:spacing w:line="240" w:lineRule="auto"/>
        <w:rPr>
          <w:sz w:val="20"/>
          <w:szCs w:val="20"/>
        </w:rPr>
      </w:pPr>
      <w:r>
        <w:rPr>
          <w:vertAlign w:val="superscript"/>
        </w:rPr>
        <w:footnoteRef/>
      </w:r>
      <w:r>
        <w:rPr>
          <w:sz w:val="20"/>
          <w:szCs w:val="20"/>
        </w:rPr>
        <w:t xml:space="preserve"> Ministry of Manpower, “</w:t>
      </w:r>
      <w:hyperlink r:id="rId1">
        <w:r>
          <w:rPr>
            <w:color w:val="1155CC"/>
            <w:sz w:val="20"/>
            <w:szCs w:val="20"/>
            <w:u w:val="single"/>
          </w:rPr>
          <w:t>Foreign workforce numbers</w:t>
        </w:r>
      </w:hyperlink>
      <w:r>
        <w:rPr>
          <w:sz w:val="20"/>
          <w:szCs w:val="20"/>
        </w:rPr>
        <w:t>”.</w:t>
      </w:r>
    </w:p>
  </w:footnote>
  <w:footnote w:id="2">
    <w:p w14:paraId="28E3C5C8" w14:textId="77777777" w:rsidR="00811A39" w:rsidRDefault="005411C0">
      <w:pPr>
        <w:spacing w:line="240" w:lineRule="auto"/>
        <w:rPr>
          <w:sz w:val="20"/>
          <w:szCs w:val="20"/>
        </w:rPr>
      </w:pPr>
      <w:r>
        <w:rPr>
          <w:vertAlign w:val="superscript"/>
        </w:rPr>
        <w:footnoteRef/>
      </w:r>
      <w:r>
        <w:rPr>
          <w:sz w:val="20"/>
          <w:szCs w:val="20"/>
        </w:rPr>
        <w:t xml:space="preserve"> Employment of Foreign Manpower Act, Employment of Foreign Manpower (Work Passes) Regulations 2012, Fourth Schedule, Part II, </w:t>
      </w:r>
      <w:proofErr w:type="gramStart"/>
      <w:r>
        <w:rPr>
          <w:sz w:val="20"/>
          <w:szCs w:val="20"/>
        </w:rPr>
        <w:t>s(</w:t>
      </w:r>
      <w:proofErr w:type="gramEnd"/>
      <w:r>
        <w:rPr>
          <w:sz w:val="20"/>
          <w:szCs w:val="20"/>
        </w:rPr>
        <w:t>3).</w:t>
      </w:r>
    </w:p>
  </w:footnote>
  <w:footnote w:id="3">
    <w:p w14:paraId="45275B41" w14:textId="77777777" w:rsidR="00811A39" w:rsidRDefault="005411C0">
      <w:pPr>
        <w:spacing w:line="240" w:lineRule="auto"/>
        <w:rPr>
          <w:sz w:val="20"/>
          <w:szCs w:val="20"/>
        </w:rPr>
      </w:pPr>
      <w:r>
        <w:rPr>
          <w:vertAlign w:val="superscript"/>
        </w:rPr>
        <w:footnoteRef/>
      </w:r>
      <w:r>
        <w:rPr>
          <w:sz w:val="20"/>
          <w:szCs w:val="20"/>
        </w:rPr>
        <w:t xml:space="preserve"> Trade Unions Act (Chapter 333), Part V, </w:t>
      </w:r>
      <w:proofErr w:type="gramStart"/>
      <w:r>
        <w:rPr>
          <w:sz w:val="20"/>
          <w:szCs w:val="20"/>
        </w:rPr>
        <w:t>s(</w:t>
      </w:r>
      <w:proofErr w:type="gramEnd"/>
      <w:r>
        <w:rPr>
          <w:sz w:val="20"/>
          <w:szCs w:val="20"/>
        </w:rPr>
        <w:t xml:space="preserve">30), s(31). </w:t>
      </w:r>
    </w:p>
  </w:footnote>
  <w:footnote w:id="4">
    <w:p w14:paraId="11E49F0A" w14:textId="77777777" w:rsidR="00811A39" w:rsidRDefault="005411C0">
      <w:pPr>
        <w:spacing w:line="240" w:lineRule="auto"/>
        <w:rPr>
          <w:sz w:val="20"/>
          <w:szCs w:val="20"/>
        </w:rPr>
      </w:pPr>
      <w:r>
        <w:rPr>
          <w:vertAlign w:val="superscript"/>
        </w:rPr>
        <w:footnoteRef/>
      </w:r>
      <w:r>
        <w:rPr>
          <w:sz w:val="20"/>
          <w:szCs w:val="20"/>
        </w:rPr>
        <w:t xml:space="preserve"> CEDAW Committee, Concluding Observations on the Fifth Periodic Report of Singapore, CEDAW/C/SGP/CO/5. 21 November 2017, para. 35(a).</w:t>
      </w:r>
    </w:p>
  </w:footnote>
  <w:footnote w:id="5">
    <w:p w14:paraId="0AB5EE9F" w14:textId="77777777" w:rsidR="00811A39" w:rsidRDefault="005411C0">
      <w:pPr>
        <w:spacing w:line="240" w:lineRule="auto"/>
        <w:rPr>
          <w:sz w:val="20"/>
          <w:szCs w:val="20"/>
        </w:rPr>
      </w:pPr>
      <w:r>
        <w:rPr>
          <w:vertAlign w:val="superscript"/>
        </w:rPr>
        <w:footnoteRef/>
      </w:r>
      <w:r>
        <w:rPr>
          <w:sz w:val="20"/>
          <w:szCs w:val="20"/>
        </w:rPr>
        <w:t xml:space="preserve"> Parliamentary Debates Singapore: Official Report, vol 85 at vol 998 (18 November 2008): </w:t>
      </w:r>
      <w:r>
        <w:rPr>
          <w:color w:val="1155CC"/>
          <w:sz w:val="20"/>
          <w:szCs w:val="20"/>
        </w:rPr>
        <w:t>https://sprs.parl.gov.sg/search/topic?reportid=016_20081118_S0003_T0001.</w:t>
      </w:r>
    </w:p>
  </w:footnote>
  <w:footnote w:id="6">
    <w:p w14:paraId="008FEEC8" w14:textId="77777777" w:rsidR="00811A39" w:rsidRDefault="005411C0">
      <w:pPr>
        <w:spacing w:line="240" w:lineRule="auto"/>
        <w:rPr>
          <w:sz w:val="20"/>
          <w:szCs w:val="20"/>
        </w:rPr>
      </w:pPr>
      <w:r>
        <w:rPr>
          <w:vertAlign w:val="superscript"/>
        </w:rPr>
        <w:footnoteRef/>
      </w:r>
      <w:r>
        <w:rPr>
          <w:sz w:val="20"/>
          <w:szCs w:val="20"/>
        </w:rPr>
        <w:t xml:space="preserve"> Employment of Foreign Manpower Act (Chapter 91A), Employment of Foreign Manpower (Work Passes) Regulations 2012, Fourth Schedule, Part 1, </w:t>
      </w:r>
      <w:proofErr w:type="gramStart"/>
      <w:r>
        <w:rPr>
          <w:sz w:val="20"/>
          <w:szCs w:val="20"/>
        </w:rPr>
        <w:t>s(</w:t>
      </w:r>
      <w:proofErr w:type="gramEnd"/>
      <w:r>
        <w:rPr>
          <w:sz w:val="20"/>
          <w:szCs w:val="20"/>
        </w:rPr>
        <w:t>1), s(4), s(10a) ; Part II, s(12).</w:t>
      </w:r>
    </w:p>
  </w:footnote>
  <w:footnote w:id="7">
    <w:p w14:paraId="2CC817CB" w14:textId="77777777" w:rsidR="00811A39" w:rsidRDefault="005411C0">
      <w:pPr>
        <w:spacing w:line="240" w:lineRule="auto"/>
        <w:rPr>
          <w:sz w:val="20"/>
          <w:szCs w:val="20"/>
        </w:rPr>
      </w:pPr>
      <w:r>
        <w:rPr>
          <w:vertAlign w:val="superscript"/>
        </w:rPr>
        <w:footnoteRef/>
      </w:r>
      <w:r>
        <w:rPr>
          <w:sz w:val="20"/>
          <w:szCs w:val="20"/>
        </w:rPr>
        <w:t xml:space="preserve"> HOME and AWARE, </w:t>
      </w:r>
      <w:hyperlink r:id="rId2">
        <w:r>
          <w:rPr>
            <w:color w:val="1155CC"/>
            <w:sz w:val="20"/>
            <w:szCs w:val="20"/>
            <w:u w:val="single"/>
          </w:rPr>
          <w:t>“Neither Family Nor Employee: the caregiving burden of migrant domestic workers in Singapore</w:t>
        </w:r>
      </w:hyperlink>
      <w:r>
        <w:rPr>
          <w:sz w:val="20"/>
          <w:szCs w:val="20"/>
        </w:rPr>
        <w:t xml:space="preserve">” (November 2020), page 21 </w:t>
      </w:r>
    </w:p>
  </w:footnote>
  <w:footnote w:id="8">
    <w:p w14:paraId="134595E0" w14:textId="77777777" w:rsidR="00811A39" w:rsidRDefault="005411C0">
      <w:pPr>
        <w:spacing w:line="240" w:lineRule="auto"/>
        <w:rPr>
          <w:sz w:val="20"/>
          <w:szCs w:val="20"/>
        </w:rPr>
      </w:pPr>
      <w:r>
        <w:rPr>
          <w:vertAlign w:val="superscript"/>
        </w:rPr>
        <w:footnoteRef/>
      </w:r>
      <w:r>
        <w:rPr>
          <w:sz w:val="20"/>
          <w:szCs w:val="20"/>
        </w:rPr>
        <w:t xml:space="preserve"> Ministry of Manpower, “</w:t>
      </w:r>
      <w:hyperlink r:id="rId3">
        <w:r>
          <w:rPr>
            <w:color w:val="1155CC"/>
            <w:sz w:val="20"/>
            <w:szCs w:val="20"/>
            <w:u w:val="single"/>
          </w:rPr>
          <w:t>Rest days, health and well-being for migrant domestic workers</w:t>
        </w:r>
      </w:hyperlink>
      <w:r>
        <w:rPr>
          <w:sz w:val="20"/>
          <w:szCs w:val="20"/>
        </w:rPr>
        <w:t>”.</w:t>
      </w:r>
    </w:p>
  </w:footnote>
  <w:footnote w:id="9">
    <w:p w14:paraId="04813113" w14:textId="2A519297" w:rsidR="00B37F7E" w:rsidRPr="00B37F7E" w:rsidRDefault="00B37F7E">
      <w:pPr>
        <w:pStyle w:val="FootnoteText"/>
        <w:rPr>
          <w:lang w:val="en-SG"/>
        </w:rPr>
      </w:pPr>
      <w:r>
        <w:rPr>
          <w:rStyle w:val="FootnoteReference"/>
        </w:rPr>
        <w:footnoteRef/>
      </w:r>
      <w:r>
        <w:t xml:space="preserve"> </w:t>
      </w:r>
      <w:r>
        <w:rPr>
          <w:lang w:val="en-SG"/>
        </w:rPr>
        <w:t xml:space="preserve">C189. </w:t>
      </w:r>
    </w:p>
  </w:footnote>
  <w:footnote w:id="10">
    <w:p w14:paraId="6F936A28" w14:textId="77777777" w:rsidR="00811A39" w:rsidRDefault="005411C0">
      <w:pPr>
        <w:spacing w:line="240" w:lineRule="auto"/>
        <w:rPr>
          <w:sz w:val="20"/>
          <w:szCs w:val="20"/>
        </w:rPr>
      </w:pPr>
      <w:r>
        <w:rPr>
          <w:vertAlign w:val="superscript"/>
        </w:rPr>
        <w:footnoteRef/>
      </w:r>
      <w:r>
        <w:rPr>
          <w:sz w:val="20"/>
          <w:szCs w:val="20"/>
        </w:rPr>
        <w:t xml:space="preserve"> Article 10(2), C189.</w:t>
      </w:r>
    </w:p>
  </w:footnote>
  <w:footnote w:id="11">
    <w:p w14:paraId="055C766F" w14:textId="77777777" w:rsidR="00811A39" w:rsidRDefault="005411C0">
      <w:pPr>
        <w:spacing w:line="240" w:lineRule="auto"/>
        <w:rPr>
          <w:sz w:val="20"/>
          <w:szCs w:val="20"/>
        </w:rPr>
      </w:pPr>
      <w:r>
        <w:rPr>
          <w:vertAlign w:val="superscript"/>
        </w:rPr>
        <w:footnoteRef/>
      </w:r>
      <w:r>
        <w:rPr>
          <w:sz w:val="20"/>
          <w:szCs w:val="20"/>
        </w:rPr>
        <w:t xml:space="preserve"> </w:t>
      </w:r>
      <w:r>
        <w:rPr>
          <w:i/>
          <w:sz w:val="20"/>
          <w:szCs w:val="20"/>
        </w:rPr>
        <w:t>Singapore Parliamentary Debates, Official Report</w:t>
      </w:r>
      <w:r>
        <w:rPr>
          <w:sz w:val="20"/>
          <w:szCs w:val="20"/>
        </w:rPr>
        <w:t xml:space="preserve"> (2 March 2022) vol 95 (Gan </w:t>
      </w:r>
      <w:proofErr w:type="spellStart"/>
      <w:r>
        <w:rPr>
          <w:sz w:val="20"/>
          <w:szCs w:val="20"/>
        </w:rPr>
        <w:t>Siow</w:t>
      </w:r>
      <w:proofErr w:type="spellEnd"/>
      <w:r>
        <w:rPr>
          <w:sz w:val="20"/>
          <w:szCs w:val="20"/>
        </w:rPr>
        <w:t xml:space="preserve"> Huang, Minister of State for Manpower).</w:t>
      </w:r>
    </w:p>
  </w:footnote>
  <w:footnote w:id="12">
    <w:p w14:paraId="47383FCA" w14:textId="77777777" w:rsidR="00811A39" w:rsidRDefault="005411C0">
      <w:pPr>
        <w:spacing w:line="240" w:lineRule="auto"/>
        <w:rPr>
          <w:sz w:val="20"/>
          <w:szCs w:val="20"/>
        </w:rPr>
      </w:pPr>
      <w:r>
        <w:rPr>
          <w:vertAlign w:val="superscript"/>
        </w:rPr>
        <w:footnoteRef/>
      </w:r>
      <w:r>
        <w:rPr>
          <w:sz w:val="20"/>
          <w:szCs w:val="20"/>
        </w:rPr>
        <w:t xml:space="preserve"> Straits Times, “</w:t>
      </w:r>
      <w:hyperlink r:id="rId4">
        <w:r>
          <w:rPr>
            <w:color w:val="1155CC"/>
            <w:sz w:val="20"/>
            <w:szCs w:val="20"/>
            <w:u w:val="single"/>
          </w:rPr>
          <w:t>Fixed, uninterrupted rest time for domestic workers ‘imposes rigidity’ on households: MOM</w:t>
        </w:r>
      </w:hyperlink>
      <w:r>
        <w:rPr>
          <w:sz w:val="20"/>
          <w:szCs w:val="20"/>
        </w:rPr>
        <w:t>”, 2 March 2022.</w:t>
      </w:r>
      <w:r>
        <w:rPr>
          <w:color w:val="1155CC"/>
          <w:sz w:val="20"/>
          <w:szCs w:val="20"/>
        </w:rPr>
        <w:t xml:space="preserve"> </w:t>
      </w:r>
    </w:p>
  </w:footnote>
  <w:footnote w:id="13">
    <w:p w14:paraId="53F3FC74" w14:textId="77777777" w:rsidR="00811A39" w:rsidRDefault="005411C0">
      <w:pPr>
        <w:spacing w:line="240" w:lineRule="auto"/>
        <w:rPr>
          <w:sz w:val="20"/>
          <w:szCs w:val="20"/>
        </w:rPr>
      </w:pPr>
      <w:r>
        <w:rPr>
          <w:vertAlign w:val="superscript"/>
        </w:rPr>
        <w:footnoteRef/>
      </w:r>
      <w:r>
        <w:rPr>
          <w:sz w:val="20"/>
          <w:szCs w:val="20"/>
        </w:rPr>
        <w:t xml:space="preserve"> Ministry of Manpower, “</w:t>
      </w:r>
      <w:hyperlink r:id="rId5">
        <w:r>
          <w:rPr>
            <w:color w:val="1155CC"/>
            <w:sz w:val="20"/>
            <w:szCs w:val="20"/>
            <w:u w:val="single"/>
          </w:rPr>
          <w:t>Preparing for your Migrant Domestic Worker’s Rest Days: A Guide for Employers</w:t>
        </w:r>
      </w:hyperlink>
      <w:r>
        <w:rPr>
          <w:sz w:val="20"/>
          <w:szCs w:val="20"/>
        </w:rPr>
        <w:t>”.</w:t>
      </w:r>
    </w:p>
  </w:footnote>
  <w:footnote w:id="14">
    <w:p w14:paraId="5228C056" w14:textId="77777777" w:rsidR="00811A39" w:rsidRDefault="005411C0">
      <w:pPr>
        <w:spacing w:line="240" w:lineRule="auto"/>
        <w:rPr>
          <w:sz w:val="20"/>
          <w:szCs w:val="20"/>
        </w:rPr>
      </w:pPr>
      <w:r>
        <w:rPr>
          <w:vertAlign w:val="superscript"/>
        </w:rPr>
        <w:footnoteRef/>
      </w:r>
      <w:r>
        <w:rPr>
          <w:sz w:val="20"/>
          <w:szCs w:val="20"/>
        </w:rPr>
        <w:t xml:space="preserve"> Ibid., </w:t>
      </w:r>
      <w:proofErr w:type="spellStart"/>
      <w:r>
        <w:rPr>
          <w:sz w:val="20"/>
          <w:szCs w:val="20"/>
        </w:rPr>
        <w:t>pg</w:t>
      </w:r>
      <w:proofErr w:type="spellEnd"/>
      <w:r>
        <w:rPr>
          <w:sz w:val="20"/>
          <w:szCs w:val="20"/>
        </w:rPr>
        <w:t xml:space="preserve"> 4.</w:t>
      </w:r>
    </w:p>
  </w:footnote>
  <w:footnote w:id="15">
    <w:p w14:paraId="0067870D" w14:textId="77777777" w:rsidR="00811A39" w:rsidRDefault="005411C0">
      <w:pPr>
        <w:spacing w:line="240" w:lineRule="auto"/>
        <w:rPr>
          <w:sz w:val="20"/>
          <w:szCs w:val="20"/>
        </w:rPr>
      </w:pPr>
      <w:r>
        <w:rPr>
          <w:vertAlign w:val="superscript"/>
        </w:rPr>
        <w:footnoteRef/>
      </w:r>
      <w:r>
        <w:rPr>
          <w:sz w:val="20"/>
          <w:szCs w:val="20"/>
        </w:rPr>
        <w:t xml:space="preserve"> CEDAW Committee, Concluding Observations on the Fifth Periodic Report of Singapore, CEDAW/C/SGP/CO/5. 21 November 2017, para. 35(b).</w:t>
      </w:r>
    </w:p>
  </w:footnote>
  <w:footnote w:id="16">
    <w:p w14:paraId="1EB4AF1A" w14:textId="77777777" w:rsidR="00811A39" w:rsidRDefault="005411C0">
      <w:pPr>
        <w:spacing w:line="240" w:lineRule="auto"/>
        <w:rPr>
          <w:sz w:val="20"/>
          <w:szCs w:val="20"/>
        </w:rPr>
      </w:pPr>
      <w:r>
        <w:rPr>
          <w:vertAlign w:val="superscript"/>
        </w:rPr>
        <w:footnoteRef/>
      </w:r>
      <w:r>
        <w:rPr>
          <w:sz w:val="20"/>
          <w:szCs w:val="20"/>
        </w:rPr>
        <w:t xml:space="preserve"> Straits Times, “</w:t>
      </w:r>
      <w:hyperlink r:id="rId6">
        <w:r>
          <w:rPr>
            <w:color w:val="1155CC"/>
            <w:sz w:val="20"/>
            <w:szCs w:val="20"/>
            <w:u w:val="single"/>
          </w:rPr>
          <w:t>More details on work history of domestic workers made available to prospective employers</w:t>
        </w:r>
      </w:hyperlink>
      <w:r>
        <w:rPr>
          <w:sz w:val="20"/>
          <w:szCs w:val="20"/>
        </w:rPr>
        <w:t>”, 3 November 2021.</w:t>
      </w:r>
    </w:p>
  </w:footnote>
  <w:footnote w:id="17">
    <w:p w14:paraId="14AE46D3" w14:textId="77777777" w:rsidR="00811A39" w:rsidRDefault="005411C0">
      <w:pPr>
        <w:spacing w:line="240" w:lineRule="auto"/>
        <w:rPr>
          <w:sz w:val="20"/>
          <w:szCs w:val="20"/>
        </w:rPr>
      </w:pPr>
      <w:r>
        <w:rPr>
          <w:vertAlign w:val="superscript"/>
        </w:rPr>
        <w:footnoteRef/>
      </w:r>
      <w:r>
        <w:rPr>
          <w:sz w:val="20"/>
          <w:szCs w:val="20"/>
        </w:rPr>
        <w:t xml:space="preserve"> Ministry of Manpower, “</w:t>
      </w:r>
      <w:hyperlink r:id="rId7">
        <w:r>
          <w:rPr>
            <w:color w:val="1155CC"/>
            <w:sz w:val="20"/>
            <w:szCs w:val="20"/>
            <w:u w:val="single"/>
          </w:rPr>
          <w:t>Insurance requirements for MDWs</w:t>
        </w:r>
      </w:hyperlink>
      <w:r>
        <w:rPr>
          <w:sz w:val="20"/>
          <w:szCs w:val="20"/>
        </w:rPr>
        <w:t>”.</w:t>
      </w:r>
    </w:p>
  </w:footnote>
  <w:footnote w:id="18">
    <w:p w14:paraId="7CDFCE5C" w14:textId="77777777" w:rsidR="00811A39" w:rsidRDefault="005411C0">
      <w:pPr>
        <w:spacing w:line="240" w:lineRule="auto"/>
        <w:rPr>
          <w:i/>
          <w:sz w:val="20"/>
          <w:szCs w:val="20"/>
        </w:rPr>
      </w:pPr>
      <w:r>
        <w:rPr>
          <w:vertAlign w:val="superscript"/>
        </w:rPr>
        <w:footnoteRef/>
      </w:r>
      <w:r>
        <w:rPr>
          <w:sz w:val="20"/>
          <w:szCs w:val="20"/>
        </w:rPr>
        <w:t xml:space="preserve"> </w:t>
      </w:r>
      <w:r>
        <w:rPr>
          <w:i/>
          <w:sz w:val="20"/>
          <w:szCs w:val="20"/>
        </w:rPr>
        <w:t>Ibid.</w:t>
      </w:r>
    </w:p>
  </w:footnote>
  <w:footnote w:id="19">
    <w:p w14:paraId="30FCAB17" w14:textId="77777777" w:rsidR="00811A39" w:rsidRDefault="005411C0">
      <w:pPr>
        <w:spacing w:line="240" w:lineRule="auto"/>
        <w:rPr>
          <w:sz w:val="20"/>
          <w:szCs w:val="20"/>
        </w:rPr>
      </w:pPr>
      <w:r>
        <w:rPr>
          <w:vertAlign w:val="superscript"/>
        </w:rPr>
        <w:footnoteRef/>
      </w:r>
      <w:r>
        <w:rPr>
          <w:sz w:val="20"/>
          <w:szCs w:val="20"/>
        </w:rPr>
        <w:t xml:space="preserve"> Ministry of Manpower. “</w:t>
      </w:r>
      <w:hyperlink r:id="rId8">
        <w:r>
          <w:rPr>
            <w:color w:val="1155CC"/>
            <w:sz w:val="20"/>
            <w:szCs w:val="20"/>
            <w:u w:val="single"/>
          </w:rPr>
          <w:t>Six-monthly Medical Examination (6ME) for MDWs</w:t>
        </w:r>
      </w:hyperlink>
      <w:r>
        <w:rPr>
          <w:sz w:val="20"/>
          <w:szCs w:val="20"/>
        </w:rPr>
        <w:t xml:space="preserve">”. </w:t>
      </w:r>
    </w:p>
  </w:footnote>
  <w:footnote w:id="20">
    <w:p w14:paraId="683C5B02" w14:textId="77777777" w:rsidR="00811A39" w:rsidRDefault="005411C0">
      <w:pPr>
        <w:spacing w:line="240" w:lineRule="auto"/>
        <w:rPr>
          <w:sz w:val="20"/>
          <w:szCs w:val="20"/>
        </w:rPr>
      </w:pPr>
      <w:r>
        <w:rPr>
          <w:vertAlign w:val="superscript"/>
        </w:rPr>
        <w:footnoteRef/>
      </w:r>
      <w:r>
        <w:rPr>
          <w:sz w:val="20"/>
          <w:szCs w:val="20"/>
        </w:rPr>
        <w:t xml:space="preserve"> Ministry of Manpower, “</w:t>
      </w:r>
      <w:hyperlink r:id="rId9">
        <w:r>
          <w:rPr>
            <w:color w:val="1155CC"/>
            <w:sz w:val="20"/>
            <w:szCs w:val="20"/>
            <w:u w:val="single"/>
          </w:rPr>
          <w:t>Changes to Work Injury Compensation Act in 2020</w:t>
        </w:r>
      </w:hyperlink>
      <w:r>
        <w:rPr>
          <w:sz w:val="20"/>
          <w:szCs w:val="20"/>
        </w:rPr>
        <w:t xml:space="preserve">”. </w:t>
      </w:r>
    </w:p>
  </w:footnote>
  <w:footnote w:id="21">
    <w:p w14:paraId="6E7C4AC5" w14:textId="77777777" w:rsidR="00811A39" w:rsidRDefault="005411C0">
      <w:pPr>
        <w:spacing w:line="240" w:lineRule="auto"/>
        <w:rPr>
          <w:sz w:val="20"/>
          <w:szCs w:val="20"/>
        </w:rPr>
      </w:pPr>
      <w:r>
        <w:rPr>
          <w:vertAlign w:val="superscript"/>
        </w:rPr>
        <w:footnoteRef/>
      </w:r>
      <w:r>
        <w:rPr>
          <w:sz w:val="20"/>
          <w:szCs w:val="20"/>
        </w:rPr>
        <w:t xml:space="preserve"> Employment of Foreign Manpower Act, Employment of Foreign Manpower (Work Passes) Regulations 2012, First Schedule, Part II, s(2</w:t>
      </w:r>
      <w:proofErr w:type="gramStart"/>
      <w:r>
        <w:rPr>
          <w:sz w:val="20"/>
          <w:szCs w:val="20"/>
        </w:rPr>
        <w:t>A)(</w:t>
      </w:r>
      <w:proofErr w:type="gramEnd"/>
      <w:r>
        <w:rPr>
          <w:sz w:val="20"/>
          <w:szCs w:val="20"/>
        </w:rPr>
        <w:t>a)(ii).</w:t>
      </w:r>
    </w:p>
  </w:footnote>
  <w:footnote w:id="22">
    <w:p w14:paraId="314D48C0" w14:textId="77777777" w:rsidR="00811A39" w:rsidRDefault="005411C0">
      <w:pPr>
        <w:spacing w:line="240" w:lineRule="auto"/>
        <w:rPr>
          <w:i/>
          <w:sz w:val="20"/>
          <w:szCs w:val="20"/>
        </w:rPr>
      </w:pPr>
      <w:r>
        <w:rPr>
          <w:vertAlign w:val="superscript"/>
        </w:rPr>
        <w:footnoteRef/>
      </w:r>
      <w:r>
        <w:rPr>
          <w:sz w:val="20"/>
          <w:szCs w:val="20"/>
        </w:rPr>
        <w:t xml:space="preserve"> </w:t>
      </w:r>
      <w:r>
        <w:rPr>
          <w:i/>
          <w:sz w:val="20"/>
          <w:szCs w:val="20"/>
        </w:rPr>
        <w:t>Ibid.</w:t>
      </w:r>
    </w:p>
  </w:footnote>
  <w:footnote w:id="23">
    <w:p w14:paraId="7CECB7DA" w14:textId="77777777" w:rsidR="00811A39" w:rsidRDefault="005411C0">
      <w:pPr>
        <w:spacing w:line="240" w:lineRule="auto"/>
        <w:rPr>
          <w:sz w:val="20"/>
          <w:szCs w:val="20"/>
        </w:rPr>
      </w:pPr>
      <w:r>
        <w:rPr>
          <w:vertAlign w:val="superscript"/>
        </w:rPr>
        <w:footnoteRef/>
      </w:r>
      <w:r>
        <w:rPr>
          <w:sz w:val="20"/>
          <w:szCs w:val="20"/>
        </w:rPr>
        <w:t xml:space="preserve"> CEDAW Committee, Concluding Observations on the Fifth Periodic Report of Singapore, CEDAW/C/SGP/CO/5. 21 November 2017, para. 35(c).</w:t>
      </w:r>
    </w:p>
  </w:footnote>
  <w:footnote w:id="24">
    <w:p w14:paraId="205618B0" w14:textId="77777777" w:rsidR="00811A39" w:rsidRDefault="005411C0">
      <w:pPr>
        <w:spacing w:line="240" w:lineRule="auto"/>
        <w:rPr>
          <w:sz w:val="20"/>
          <w:szCs w:val="20"/>
        </w:rPr>
      </w:pPr>
      <w:r>
        <w:rPr>
          <w:vertAlign w:val="superscript"/>
        </w:rPr>
        <w:footnoteRef/>
      </w:r>
      <w:r>
        <w:rPr>
          <w:sz w:val="20"/>
          <w:szCs w:val="20"/>
        </w:rPr>
        <w:t xml:space="preserve"> Ministry of Manpower, “</w:t>
      </w:r>
      <w:hyperlink r:id="rId10">
        <w:r>
          <w:rPr>
            <w:color w:val="1155CC"/>
            <w:sz w:val="20"/>
            <w:szCs w:val="20"/>
            <w:u w:val="single"/>
          </w:rPr>
          <w:t>Work Permit for migrant domestic workers (MDWs): notify MOM</w:t>
        </w:r>
      </w:hyperlink>
      <w:r>
        <w:rPr>
          <w:color w:val="0C0D0D"/>
          <w:sz w:val="20"/>
          <w:szCs w:val="20"/>
        </w:rPr>
        <w:t>”.</w:t>
      </w:r>
    </w:p>
  </w:footnote>
  <w:footnote w:id="25">
    <w:p w14:paraId="21FDE065" w14:textId="77777777" w:rsidR="00811A39" w:rsidRDefault="005411C0">
      <w:pPr>
        <w:spacing w:line="240" w:lineRule="auto"/>
        <w:rPr>
          <w:sz w:val="20"/>
          <w:szCs w:val="20"/>
        </w:rPr>
      </w:pPr>
      <w:r>
        <w:rPr>
          <w:vertAlign w:val="superscript"/>
        </w:rPr>
        <w:footnoteRef/>
      </w:r>
      <w:r>
        <w:rPr>
          <w:sz w:val="20"/>
          <w:szCs w:val="20"/>
        </w:rPr>
        <w:t xml:space="preserve"> CNA, “‘</w:t>
      </w:r>
      <w:hyperlink r:id="rId11">
        <w:r>
          <w:rPr>
            <w:color w:val="1155CC"/>
            <w:sz w:val="20"/>
            <w:szCs w:val="20"/>
            <w:u w:val="single"/>
          </w:rPr>
          <w:t>A disposable population’: Pregnant maids face choice between abortion, losing job in Singapore</w:t>
        </w:r>
      </w:hyperlink>
      <w:r>
        <w:rPr>
          <w:sz w:val="20"/>
          <w:szCs w:val="20"/>
        </w:rPr>
        <w:t xml:space="preserve">”, 16 April 2023. </w:t>
      </w:r>
    </w:p>
  </w:footnote>
  <w:footnote w:id="26">
    <w:p w14:paraId="23964EF8" w14:textId="77777777" w:rsidR="00811A39" w:rsidRDefault="005411C0">
      <w:pPr>
        <w:spacing w:line="240" w:lineRule="auto"/>
        <w:rPr>
          <w:i/>
          <w:sz w:val="20"/>
          <w:szCs w:val="20"/>
        </w:rPr>
      </w:pPr>
      <w:r>
        <w:rPr>
          <w:vertAlign w:val="superscript"/>
        </w:rPr>
        <w:footnoteRef/>
      </w:r>
      <w:r>
        <w:rPr>
          <w:sz w:val="20"/>
          <w:szCs w:val="20"/>
        </w:rPr>
        <w:t xml:space="preserve"> </w:t>
      </w:r>
      <w:r>
        <w:rPr>
          <w:i/>
          <w:sz w:val="20"/>
          <w:szCs w:val="20"/>
        </w:rPr>
        <w:t>Ibid.</w:t>
      </w:r>
    </w:p>
  </w:footnote>
  <w:footnote w:id="27">
    <w:p w14:paraId="5860567C" w14:textId="77777777" w:rsidR="00811A39" w:rsidRDefault="005411C0">
      <w:pPr>
        <w:spacing w:line="240" w:lineRule="auto"/>
        <w:rPr>
          <w:sz w:val="20"/>
          <w:szCs w:val="20"/>
        </w:rPr>
      </w:pPr>
      <w:r>
        <w:rPr>
          <w:vertAlign w:val="superscript"/>
        </w:rPr>
        <w:footnoteRef/>
      </w:r>
      <w:r>
        <w:rPr>
          <w:sz w:val="20"/>
          <w:szCs w:val="20"/>
        </w:rPr>
        <w:t xml:space="preserve"> Employment of Foreign Manpower Act, Employment of Foreign Manpower (Work Passes) Regulations 2012, Fourth Schedule, Part VI, </w:t>
      </w:r>
      <w:proofErr w:type="gramStart"/>
      <w:r>
        <w:rPr>
          <w:sz w:val="20"/>
          <w:szCs w:val="20"/>
        </w:rPr>
        <w:t>s(</w:t>
      </w:r>
      <w:proofErr w:type="gramEnd"/>
      <w:r>
        <w:rPr>
          <w:sz w:val="20"/>
          <w:szCs w:val="20"/>
        </w:rPr>
        <w:t>8)</w:t>
      </w:r>
    </w:p>
  </w:footnote>
  <w:footnote w:id="28">
    <w:p w14:paraId="02E2BD73" w14:textId="77777777" w:rsidR="00811A39" w:rsidRDefault="005411C0">
      <w:pPr>
        <w:spacing w:line="240" w:lineRule="auto"/>
        <w:rPr>
          <w:sz w:val="20"/>
          <w:szCs w:val="20"/>
        </w:rPr>
      </w:pPr>
      <w:r>
        <w:rPr>
          <w:vertAlign w:val="superscript"/>
        </w:rPr>
        <w:footnoteRef/>
      </w:r>
      <w:r>
        <w:rPr>
          <w:sz w:val="20"/>
          <w:szCs w:val="20"/>
        </w:rPr>
        <w:t xml:space="preserve"> CEDAW, “Concluding observations on the fifth periodic report of Singapore”, 68th Session, 23 October–17 November 2017 (CEDAW/C/SGP/CO/5), p. 10.</w:t>
      </w:r>
    </w:p>
  </w:footnote>
  <w:footnote w:id="29">
    <w:p w14:paraId="4F8A958E" w14:textId="77777777" w:rsidR="00811A39" w:rsidRDefault="005411C0">
      <w:pPr>
        <w:spacing w:line="240" w:lineRule="auto"/>
        <w:rPr>
          <w:sz w:val="20"/>
          <w:szCs w:val="20"/>
        </w:rPr>
      </w:pPr>
      <w:r>
        <w:rPr>
          <w:vertAlign w:val="superscript"/>
        </w:rPr>
        <w:footnoteRef/>
      </w:r>
      <w:r>
        <w:rPr>
          <w:sz w:val="20"/>
          <w:szCs w:val="20"/>
        </w:rPr>
        <w:t xml:space="preserve"> CERD, “List of themes in relation to the initial report of Singapore”, 101st Session, 20 April - 08 May 2020 (CERD/C/SGP/Q/1), pp. 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870BC4"/>
    <w:multiLevelType w:val="multilevel"/>
    <w:tmpl w:val="450C475A"/>
    <w:lvl w:ilvl="0">
      <w:start w:val="1"/>
      <w:numFmt w:val="decimal"/>
      <w:lvlText w:val="%1."/>
      <w:lvlJc w:val="left"/>
      <w:pPr>
        <w:ind w:left="720" w:hanging="360"/>
      </w:pPr>
      <w:rPr>
        <w:u w:val="none"/>
      </w:rPr>
    </w:lvl>
    <w:lvl w:ilvl="1">
      <w:start w:val="1"/>
      <w:numFmt w:val="bullet"/>
      <w:lvlText w:val="●"/>
      <w:lvlJc w:val="left"/>
      <w:pPr>
        <w:ind w:left="1440" w:hanging="360"/>
      </w:pPr>
      <w:rPr>
        <w:sz w:val="22"/>
        <w:szCs w:val="22"/>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2FD54268"/>
    <w:multiLevelType w:val="multilevel"/>
    <w:tmpl w:val="9AD8EF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2FD70C77"/>
    <w:multiLevelType w:val="multilevel"/>
    <w:tmpl w:val="E87A37E2"/>
    <w:lvl w:ilvl="0">
      <w:start w:val="1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32EC4A41"/>
    <w:multiLevelType w:val="multilevel"/>
    <w:tmpl w:val="DE0E3C2C"/>
    <w:lvl w:ilvl="0">
      <w:start w:val="1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39CE43E4"/>
    <w:multiLevelType w:val="multilevel"/>
    <w:tmpl w:val="9894D976"/>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3B306ABB"/>
    <w:multiLevelType w:val="multilevel"/>
    <w:tmpl w:val="A8C63320"/>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3FB96FDC"/>
    <w:multiLevelType w:val="multilevel"/>
    <w:tmpl w:val="26DC37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6990C64"/>
    <w:multiLevelType w:val="multilevel"/>
    <w:tmpl w:val="29D4F7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E71186A"/>
    <w:multiLevelType w:val="multilevel"/>
    <w:tmpl w:val="A3EC48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FE65FC8"/>
    <w:multiLevelType w:val="multilevel"/>
    <w:tmpl w:val="691823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128310E"/>
    <w:multiLevelType w:val="multilevel"/>
    <w:tmpl w:val="4E4AC2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36F03E7"/>
    <w:multiLevelType w:val="multilevel"/>
    <w:tmpl w:val="A6F6D070"/>
    <w:lvl w:ilvl="0">
      <w:start w:val="2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5F7F489B"/>
    <w:multiLevelType w:val="multilevel"/>
    <w:tmpl w:val="6A64F616"/>
    <w:lvl w:ilvl="0">
      <w:start w:val="2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67587346"/>
    <w:multiLevelType w:val="multilevel"/>
    <w:tmpl w:val="0CDA65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6BDF23C2"/>
    <w:multiLevelType w:val="multilevel"/>
    <w:tmpl w:val="16483034"/>
    <w:lvl w:ilvl="0">
      <w:start w:val="1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7E07201D"/>
    <w:multiLevelType w:val="multilevel"/>
    <w:tmpl w:val="67886B72"/>
    <w:lvl w:ilvl="0">
      <w:start w:val="2"/>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785929007">
    <w:abstractNumId w:val="0"/>
  </w:num>
  <w:num w:numId="2" w16cid:durableId="976253838">
    <w:abstractNumId w:val="9"/>
  </w:num>
  <w:num w:numId="3" w16cid:durableId="1608343927">
    <w:abstractNumId w:val="15"/>
  </w:num>
  <w:num w:numId="4" w16cid:durableId="1503156640">
    <w:abstractNumId w:val="3"/>
  </w:num>
  <w:num w:numId="5" w16cid:durableId="1701006937">
    <w:abstractNumId w:val="8"/>
  </w:num>
  <w:num w:numId="6" w16cid:durableId="1886334775">
    <w:abstractNumId w:val="12"/>
  </w:num>
  <w:num w:numId="7" w16cid:durableId="816991722">
    <w:abstractNumId w:val="5"/>
  </w:num>
  <w:num w:numId="8" w16cid:durableId="236668861">
    <w:abstractNumId w:val="13"/>
  </w:num>
  <w:num w:numId="9" w16cid:durableId="2027976925">
    <w:abstractNumId w:val="7"/>
  </w:num>
  <w:num w:numId="10" w16cid:durableId="1684092663">
    <w:abstractNumId w:val="6"/>
  </w:num>
  <w:num w:numId="11" w16cid:durableId="1990396640">
    <w:abstractNumId w:val="14"/>
  </w:num>
  <w:num w:numId="12" w16cid:durableId="753865267">
    <w:abstractNumId w:val="11"/>
  </w:num>
  <w:num w:numId="13" w16cid:durableId="2130514581">
    <w:abstractNumId w:val="2"/>
  </w:num>
  <w:num w:numId="14" w16cid:durableId="913471959">
    <w:abstractNumId w:val="1"/>
  </w:num>
  <w:num w:numId="15" w16cid:durableId="1330906488">
    <w:abstractNumId w:val="4"/>
  </w:num>
  <w:num w:numId="16" w16cid:durableId="3161543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A39"/>
    <w:rsid w:val="003B14A0"/>
    <w:rsid w:val="005411C0"/>
    <w:rsid w:val="005C0073"/>
    <w:rsid w:val="007F312E"/>
    <w:rsid w:val="00811A39"/>
    <w:rsid w:val="00956483"/>
    <w:rsid w:val="00B37F7E"/>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F2DDE"/>
  <w15:docId w15:val="{802636F8-7AEA-4CAF-88A1-F8B90DC84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SG"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hd w:val="clear" w:color="auto" w:fill="FFFFFF"/>
      <w:spacing w:before="240" w:after="240"/>
      <w:outlineLvl w:val="0"/>
    </w:pPr>
    <w:rPr>
      <w:b/>
    </w:rPr>
  </w:style>
  <w:style w:type="paragraph" w:styleId="Heading2">
    <w:name w:val="heading 2"/>
    <w:basedOn w:val="Normal"/>
    <w:next w:val="Normal"/>
    <w:uiPriority w:val="9"/>
    <w:semiHidden/>
    <w:unhideWhenUsed/>
    <w:qFormat/>
    <w:pPr>
      <w:keepNext/>
      <w:keepLines/>
      <w:shd w:val="clear" w:color="auto" w:fill="FFFFFF"/>
      <w:spacing w:after="240"/>
      <w:outlineLvl w:val="1"/>
    </w:pPr>
    <w:rPr>
      <w:u w:val="single"/>
    </w:rPr>
  </w:style>
  <w:style w:type="paragraph" w:styleId="Heading3">
    <w:name w:val="heading 3"/>
    <w:basedOn w:val="Normal"/>
    <w:next w:val="Normal"/>
    <w:uiPriority w:val="9"/>
    <w:semiHidden/>
    <w:unhideWhenUsed/>
    <w:qFormat/>
    <w:pPr>
      <w:keepNext/>
      <w:keepLines/>
      <w:shd w:val="clear" w:color="auto" w:fill="FFFFFF"/>
      <w:spacing w:before="240" w:after="240"/>
      <w:ind w:firstLine="720"/>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b/>
      <w:u w:val="single"/>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B37F7E"/>
    <w:pPr>
      <w:spacing w:line="240" w:lineRule="auto"/>
    </w:pPr>
    <w:rPr>
      <w:sz w:val="20"/>
      <w:szCs w:val="20"/>
    </w:rPr>
  </w:style>
  <w:style w:type="character" w:customStyle="1" w:styleId="FootnoteTextChar">
    <w:name w:val="Footnote Text Char"/>
    <w:basedOn w:val="DefaultParagraphFont"/>
    <w:link w:val="FootnoteText"/>
    <w:uiPriority w:val="99"/>
    <w:semiHidden/>
    <w:rsid w:val="00B37F7E"/>
    <w:rPr>
      <w:sz w:val="20"/>
      <w:szCs w:val="20"/>
    </w:rPr>
  </w:style>
  <w:style w:type="character" w:styleId="FootnoteReference">
    <w:name w:val="footnote reference"/>
    <w:basedOn w:val="DefaultParagraphFont"/>
    <w:uiPriority w:val="99"/>
    <w:semiHidden/>
    <w:unhideWhenUsed/>
    <w:rsid w:val="00B37F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mom.gov.sg/passes-and-permits/work-permit-for-foreign-domestic-worker/eligibility-and-requirements/six-monthly-medical-examination" TargetMode="External"/><Relationship Id="rId3" Type="http://schemas.openxmlformats.org/officeDocument/2006/relationships/hyperlink" Target="https://www.mom.gov.sg/passes-and-permits/work-permit-for-foreign-domestic-worker/employers-guide/rest-days-and-well-being" TargetMode="External"/><Relationship Id="rId7" Type="http://schemas.openxmlformats.org/officeDocument/2006/relationships/hyperlink" Target="https://www.mom.gov.sg/passes-and-permits/work-permit-for-foreign-domestic-worker/eligibility-and-requirements/insurance-requirements" TargetMode="External"/><Relationship Id="rId2" Type="http://schemas.openxmlformats.org/officeDocument/2006/relationships/hyperlink" Target="https://static1.squarespace.com/static/5a12725612abd96b9c737354/t/5fac89f79488406ed960a252/1605143091925/AWARE_HOME_MDW+Report+%2811+Nov%29.pdf" TargetMode="External"/><Relationship Id="rId1" Type="http://schemas.openxmlformats.org/officeDocument/2006/relationships/hyperlink" Target="https://www.mom.gov.sg/documents-and-publications/foreign-workforce-numbers" TargetMode="External"/><Relationship Id="rId6" Type="http://schemas.openxmlformats.org/officeDocument/2006/relationships/hyperlink" Target="https://www.straitstimes.com/singapore/politics/more-details-on-work-history-of-domestic-workers-made-available-to-prospective" TargetMode="External"/><Relationship Id="rId11" Type="http://schemas.openxmlformats.org/officeDocument/2006/relationships/hyperlink" Target="https://www.channelnewsasia.com/cna-insider/avoid-deportation-pregnant-maids-domestic-workers-singapore-unsafe-abortions-3417116" TargetMode="External"/><Relationship Id="rId5" Type="http://schemas.openxmlformats.org/officeDocument/2006/relationships/hyperlink" Target="https://www.mom.gov.sg/-/media/mom/documents/publications/guides/migrant-domestic-worker-rest-day-guide.pdf" TargetMode="External"/><Relationship Id="rId10" Type="http://schemas.openxmlformats.org/officeDocument/2006/relationships/hyperlink" Target="https://www.mom.gov.sg/passes-and-permits/work-permit-for-foreign-domestic-worker/notify-mom-of-changes" TargetMode="External"/><Relationship Id="rId4" Type="http://schemas.openxmlformats.org/officeDocument/2006/relationships/hyperlink" Target="https://www.straitstimes.com/singapore/jobs/fixed-uninterrupted-rest-time-for-maids-on-rest-days-imposes-rigidity-on-households-mom" TargetMode="External"/><Relationship Id="rId9" Type="http://schemas.openxmlformats.org/officeDocument/2006/relationships/hyperlink" Target="https://www.mom.gov.sg/workplace-safety-and-health/work-injury-compensation/changes-to-wica-in-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BAF5AD-FE67-448D-8BF4-18EB337EB219}">
  <ds:schemaRefs>
    <ds:schemaRef ds:uri="http://schemas.openxmlformats.org/officeDocument/2006/bibliography"/>
  </ds:schemaRefs>
</ds:datastoreItem>
</file>

<file path=customXml/itemProps2.xml><?xml version="1.0" encoding="utf-8"?>
<ds:datastoreItem xmlns:ds="http://schemas.openxmlformats.org/officeDocument/2006/customXml" ds:itemID="{859116CC-9FB1-4D5E-8DFA-F591AC2A9600}"/>
</file>

<file path=customXml/itemProps3.xml><?xml version="1.0" encoding="utf-8"?>
<ds:datastoreItem xmlns:ds="http://schemas.openxmlformats.org/officeDocument/2006/customXml" ds:itemID="{3987C2D1-BF8A-4474-B7E8-F08BF92D149A}"/>
</file>

<file path=docProps/app.xml><?xml version="1.0" encoding="utf-8"?>
<Properties xmlns="http://schemas.openxmlformats.org/officeDocument/2006/extended-properties" xmlns:vt="http://schemas.openxmlformats.org/officeDocument/2006/docPropsVTypes">
  <Template>Normal.dotm</Template>
  <TotalTime>1</TotalTime>
  <Pages>11</Pages>
  <Words>2887</Words>
  <Characters>15880</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Janna Iskakova</cp:lastModifiedBy>
  <cp:revision>2</cp:revision>
  <dcterms:created xsi:type="dcterms:W3CDTF">2024-04-16T12:59:00Z</dcterms:created>
  <dcterms:modified xsi:type="dcterms:W3CDTF">2024-04-16T12:59:00Z</dcterms:modified>
</cp:coreProperties>
</file>