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92151" w14:textId="77777777" w:rsidR="00D71CDF" w:rsidRDefault="00D71CDF" w:rsidP="00D71CDF">
      <w:pPr>
        <w:pStyle w:val="HChG"/>
      </w:pPr>
      <w:r>
        <w:tab/>
      </w:r>
    </w:p>
    <w:p w14:paraId="1D5A0777" w14:textId="07B84DA4" w:rsidR="00D71CDF" w:rsidRDefault="00D71CDF" w:rsidP="00D71CDF">
      <w:pPr>
        <w:pStyle w:val="HChG"/>
        <w:ind w:left="142" w:firstLine="0"/>
        <w:rPr>
          <w:sz w:val="32"/>
        </w:rPr>
      </w:pPr>
      <w:r w:rsidRPr="00D71CDF">
        <w:rPr>
          <w:sz w:val="32"/>
        </w:rPr>
        <w:t xml:space="preserve">Addendum </w:t>
      </w:r>
      <w:r w:rsidR="00EA4E9A">
        <w:rPr>
          <w:sz w:val="32"/>
        </w:rPr>
        <w:t xml:space="preserve">update </w:t>
      </w:r>
      <w:r w:rsidRPr="00D71CDF">
        <w:rPr>
          <w:sz w:val="32"/>
        </w:rPr>
        <w:t xml:space="preserve">to the replies of Ireland to the </w:t>
      </w:r>
      <w:r w:rsidR="00366A8A" w:rsidRPr="00D71CDF">
        <w:rPr>
          <w:sz w:val="32"/>
        </w:rPr>
        <w:t>list of issues</w:t>
      </w:r>
      <w:r>
        <w:rPr>
          <w:sz w:val="32"/>
        </w:rPr>
        <w:t xml:space="preserve"> in </w:t>
      </w:r>
      <w:r w:rsidR="005B1222" w:rsidRPr="00D71CDF">
        <w:rPr>
          <w:sz w:val="32"/>
        </w:rPr>
        <w:t xml:space="preserve">relation to its </w:t>
      </w:r>
      <w:r w:rsidR="00A00DEA" w:rsidRPr="00D71CDF">
        <w:rPr>
          <w:sz w:val="32"/>
        </w:rPr>
        <w:t>fifth</w:t>
      </w:r>
      <w:r w:rsidR="005B1222" w:rsidRPr="00D71CDF">
        <w:rPr>
          <w:sz w:val="32"/>
        </w:rPr>
        <w:t xml:space="preserve"> periodic report</w:t>
      </w:r>
    </w:p>
    <w:p w14:paraId="1A542733" w14:textId="34E55833" w:rsidR="00D71CDF" w:rsidRPr="00D71CDF" w:rsidRDefault="00D71CDF" w:rsidP="00D71CDF">
      <w:pPr>
        <w:pStyle w:val="HChG"/>
        <w:ind w:left="142" w:firstLine="0"/>
        <w:rPr>
          <w:b w:val="0"/>
          <w:sz w:val="22"/>
        </w:rPr>
      </w:pPr>
      <w:r w:rsidRPr="00D71CDF">
        <w:rPr>
          <w:b w:val="0"/>
          <w:sz w:val="22"/>
        </w:rPr>
        <w:t xml:space="preserve">Updated to end of May 2022. Updates and new additions </w:t>
      </w:r>
      <w:r w:rsidRPr="0014127E">
        <w:rPr>
          <w:b w:val="0"/>
          <w:sz w:val="22"/>
          <w:highlight w:val="lightGray"/>
        </w:rPr>
        <w:t>are highlighted</w:t>
      </w:r>
      <w:r w:rsidRPr="00D71CDF">
        <w:rPr>
          <w:b w:val="0"/>
          <w:sz w:val="22"/>
        </w:rPr>
        <w:t xml:space="preserve">. </w:t>
      </w:r>
    </w:p>
    <w:p w14:paraId="4B485F43" w14:textId="77777777" w:rsidR="003256CE" w:rsidRDefault="003256CE">
      <w:pPr>
        <w:pStyle w:val="SingleTxtG"/>
        <w:jc w:val="right"/>
      </w:pPr>
    </w:p>
    <w:p w14:paraId="327B793D" w14:textId="77777777" w:rsidR="003256CE" w:rsidRDefault="003256CE">
      <w:pPr>
        <w:suppressAutoHyphens w:val="0"/>
        <w:spacing w:after="200" w:line="276" w:lineRule="auto"/>
        <w:rPr>
          <w:rFonts w:eastAsiaTheme="minorHAnsi"/>
        </w:rPr>
      </w:pPr>
      <w:r>
        <w:br w:type="page"/>
      </w:r>
    </w:p>
    <w:p w14:paraId="01C3B0F3" w14:textId="77777777" w:rsidR="00A00DEA" w:rsidRPr="0075351D" w:rsidRDefault="003256CE" w:rsidP="00A00DEA">
      <w:pPr>
        <w:pStyle w:val="H1G"/>
      </w:pPr>
      <w:r>
        <w:rPr>
          <w:lang w:val="en-US"/>
        </w:rPr>
        <w:lastRenderedPageBreak/>
        <w:tab/>
      </w:r>
      <w:r w:rsidR="000A30B5">
        <w:rPr>
          <w:lang w:val="en-US"/>
        </w:rPr>
        <w:tab/>
      </w:r>
      <w:r w:rsidR="00A00DEA" w:rsidRPr="0075351D">
        <w:t>Constitutional and legal framework within which the Covenant is implemented (art. 2)</w:t>
      </w:r>
    </w:p>
    <w:p w14:paraId="4B6805CF" w14:textId="77777777" w:rsidR="00A00DEA" w:rsidRPr="0044411D" w:rsidRDefault="00A00DEA" w:rsidP="00A00DEA">
      <w:pPr>
        <w:pStyle w:val="H23G"/>
      </w:pPr>
      <w:r>
        <w:tab/>
      </w:r>
      <w:r w:rsidRPr="002F0A15">
        <w:tab/>
      </w:r>
      <w:r>
        <w:t xml:space="preserve">Reply to paragraph 1 </w:t>
      </w:r>
    </w:p>
    <w:p w14:paraId="3B861501" w14:textId="002581E7" w:rsidR="00A00DEA" w:rsidRDefault="00A00DEA" w:rsidP="00A00DEA">
      <w:pPr>
        <w:pStyle w:val="SingleTxtG"/>
        <w:kinsoku/>
        <w:overflowPunct/>
        <w:autoSpaceDE/>
        <w:autoSpaceDN/>
        <w:adjustRightInd/>
        <w:snapToGrid/>
      </w:pPr>
      <w:r>
        <w:t>1.</w:t>
      </w:r>
      <w:r>
        <w:tab/>
        <w:t>Ireland has a dualist legal system and consequently the terms of international agreements to which Ireland becomes a party do not become part of the domestic law of the State unless expressly incorporated by or under an Act of the Oireachtas. By virtue of Article 29.6 of the Constitution, the text of an international agreement can only be expressly incorporated into the domestic law of the State as determined by the Legislature. Where a measure to implement an international agreement would require a change to the Constitution this requires a referendum. It is important to note that Ireland does not become party to treaties until it is first in a position to comply with the obligations imposed by the treaty in question, including amending domestic law as necessary. Often it will not be possible for the State to meet the obligations it assumes under the terms of an international agreement without first taking steps required by domestic law, or otherwise, enabling it to do so.</w:t>
      </w:r>
    </w:p>
    <w:p w14:paraId="21E08B53" w14:textId="0982F60A" w:rsidR="00A00DEA" w:rsidRDefault="00A00DEA" w:rsidP="00A00DEA">
      <w:pPr>
        <w:pStyle w:val="SingleTxtG"/>
        <w:kinsoku/>
        <w:overflowPunct/>
        <w:autoSpaceDE/>
        <w:autoSpaceDN/>
        <w:adjustRightInd/>
        <w:snapToGrid/>
      </w:pPr>
      <w:r>
        <w:t>2.</w:t>
      </w:r>
      <w:r>
        <w:tab/>
        <w:t xml:space="preserve">Many of the rights contained within the Covenant are part of the domestic law of Ireland by virtue of provisions in the Constitution of Ireland, including areas of human rights law which have been developed by the Irish Courts through the </w:t>
      </w:r>
      <w:r>
        <w:tab/>
        <w:t xml:space="preserve">doctrine of unenumerated personal rights under Article 40.3 of the Constitution. In other cases, legislative provisions give effect to rights specified in the Covenant, while the common law also provides further protections. Ireland, in conformity with </w:t>
      </w:r>
      <w:r>
        <w:tab/>
        <w:t xml:space="preserve">its obligations to the Covenant, has chosen to implement its obligations under the Covenant using these mechanisms rather than by direct incorporation. </w:t>
      </w:r>
    </w:p>
    <w:p w14:paraId="3E4DBF53" w14:textId="41EBAE1A" w:rsidR="00A00DEA" w:rsidRPr="004F484B" w:rsidRDefault="00A00DEA" w:rsidP="00A00DEA">
      <w:pPr>
        <w:pStyle w:val="SingleTxtG"/>
        <w:kinsoku/>
        <w:overflowPunct/>
        <w:autoSpaceDE/>
        <w:autoSpaceDN/>
        <w:adjustRightInd/>
        <w:snapToGrid/>
      </w:pPr>
      <w:r w:rsidRPr="004F484B">
        <w:t>3.</w:t>
      </w:r>
      <w:r w:rsidRPr="004F484B">
        <w:tab/>
        <w:t xml:space="preserve">The Committee should note that Ireland had made a reservation in relation to Article 10.2 of the Covenant, not Article 10.1. Ireland accepts the principles referred to in Article 10.2 and implements them as far as practically possible. It reserves the right to regard full implementation of these principles as objectives to be achieved progressively. </w:t>
      </w:r>
    </w:p>
    <w:p w14:paraId="47B1BAA1" w14:textId="30E0FA36" w:rsidR="00A00DEA" w:rsidRPr="004F484B" w:rsidRDefault="00A00DEA" w:rsidP="00A00DEA">
      <w:pPr>
        <w:pStyle w:val="SingleTxtG"/>
        <w:kinsoku/>
        <w:overflowPunct/>
        <w:autoSpaceDE/>
        <w:autoSpaceDN/>
        <w:adjustRightInd/>
        <w:snapToGrid/>
      </w:pPr>
      <w:r w:rsidRPr="004F484B">
        <w:t>4.</w:t>
      </w:r>
      <w:r w:rsidRPr="004F484B">
        <w:tab/>
        <w:t xml:space="preserve">Article 10.2 (b): </w:t>
      </w:r>
      <w:proofErr w:type="spellStart"/>
      <w:r w:rsidRPr="004F484B">
        <w:t>Oberstown</w:t>
      </w:r>
      <w:proofErr w:type="spellEnd"/>
      <w:r w:rsidRPr="004F484B">
        <w:t xml:space="preserve"> Children Detention Campus is the sole detention facility for the remand or committal of children up to the age of 18 years. Children and adults, whether on remand or detained, are accommodated in separate facilities. In this regard, the withdrawal of Article 10.2 (b) is under consideration.  </w:t>
      </w:r>
    </w:p>
    <w:p w14:paraId="08518669" w14:textId="179E599F" w:rsidR="00A00DEA" w:rsidRDefault="00A00DEA" w:rsidP="00A00DEA">
      <w:pPr>
        <w:pStyle w:val="SingleTxtG"/>
        <w:kinsoku/>
        <w:overflowPunct/>
        <w:autoSpaceDE/>
        <w:autoSpaceDN/>
        <w:adjustRightInd/>
        <w:snapToGrid/>
      </w:pPr>
      <w:r>
        <w:t>5.</w:t>
      </w:r>
      <w:r>
        <w:tab/>
      </w:r>
      <w:r w:rsidRPr="00F02D9F">
        <w:t>Article 20.1: Ireland’s position is unchanged.</w:t>
      </w:r>
    </w:p>
    <w:p w14:paraId="3A9E2E68" w14:textId="6CAF2EAB" w:rsidR="00A00DEA" w:rsidRPr="004F484B" w:rsidRDefault="00A00DEA" w:rsidP="00A00DEA">
      <w:pPr>
        <w:pStyle w:val="SingleTxtG"/>
        <w:kinsoku/>
        <w:overflowPunct/>
        <w:autoSpaceDE/>
        <w:autoSpaceDN/>
        <w:adjustRightInd/>
        <w:snapToGrid/>
      </w:pPr>
      <w:r w:rsidRPr="004F484B">
        <w:t>6.</w:t>
      </w:r>
      <w:r w:rsidRPr="004F484B">
        <w:tab/>
        <w:t xml:space="preserve">The Government has a policy of keeping existing reservations to human rights treaties actively under review, consistent with the Vienna Declaration and Program of Action and has removed a number of reservations no longer considered necessary. </w:t>
      </w:r>
    </w:p>
    <w:p w14:paraId="61671176" w14:textId="65DD0FAC" w:rsidR="00A00DEA" w:rsidRPr="00F02D9F" w:rsidRDefault="00A00DEA" w:rsidP="00A00DEA">
      <w:pPr>
        <w:pStyle w:val="SingleTxtG"/>
        <w:kinsoku/>
        <w:overflowPunct/>
        <w:autoSpaceDE/>
        <w:autoSpaceDN/>
        <w:adjustRightInd/>
        <w:snapToGrid/>
      </w:pPr>
      <w:r w:rsidRPr="00F02D9F">
        <w:t>7.</w:t>
      </w:r>
      <w:r w:rsidRPr="00F02D9F">
        <w:tab/>
        <w:t>The establishment of a Judicial Council on 17 December 2019 formalis</w:t>
      </w:r>
      <w:r>
        <w:t>ed</w:t>
      </w:r>
      <w:r w:rsidRPr="00F02D9F">
        <w:t xml:space="preserve"> a number of important</w:t>
      </w:r>
      <w:r>
        <w:t xml:space="preserve"> </w:t>
      </w:r>
      <w:r w:rsidRPr="00F02D9F">
        <w:t xml:space="preserve">judicial functions. These include: </w:t>
      </w:r>
    </w:p>
    <w:p w14:paraId="4A15D939" w14:textId="52998055" w:rsidR="00A00DEA" w:rsidRPr="00F02D9F" w:rsidRDefault="00A00DEA" w:rsidP="00A00DEA">
      <w:pPr>
        <w:pStyle w:val="Bullet1G"/>
        <w:numPr>
          <w:ilvl w:val="0"/>
          <w:numId w:val="0"/>
        </w:numPr>
        <w:tabs>
          <w:tab w:val="left" w:pos="1701"/>
        </w:tabs>
        <w:ind w:left="1701" w:hanging="170"/>
      </w:pPr>
      <w:r w:rsidRPr="00F02D9F">
        <w:t>•</w:t>
      </w:r>
      <w:r w:rsidRPr="00F02D9F">
        <w:tab/>
        <w:t xml:space="preserve">Provision for the continuing education of judges </w:t>
      </w:r>
    </w:p>
    <w:p w14:paraId="433B3520" w14:textId="53893A96" w:rsidR="00A00DEA" w:rsidRPr="006B1E42" w:rsidRDefault="00A00DEA" w:rsidP="00A00DEA">
      <w:pPr>
        <w:pStyle w:val="Bullet1G"/>
        <w:numPr>
          <w:ilvl w:val="0"/>
          <w:numId w:val="0"/>
        </w:numPr>
        <w:tabs>
          <w:tab w:val="left" w:pos="1701"/>
        </w:tabs>
        <w:ind w:left="1701" w:hanging="170"/>
      </w:pPr>
      <w:r w:rsidRPr="006B1E42">
        <w:t>•</w:t>
      </w:r>
      <w:r w:rsidRPr="006B1E42">
        <w:tab/>
        <w:t xml:space="preserve">Guidelines for awards in </w:t>
      </w:r>
      <w:r>
        <w:t>p</w:t>
      </w:r>
      <w:r w:rsidRPr="006B1E42">
        <w:t xml:space="preserve">ersonal </w:t>
      </w:r>
      <w:r>
        <w:t>i</w:t>
      </w:r>
      <w:r w:rsidRPr="006B1E42">
        <w:t xml:space="preserve">njuries cases Sentencing Guidelines </w:t>
      </w:r>
    </w:p>
    <w:p w14:paraId="5171E929" w14:textId="54EF0515" w:rsidR="00A00DEA" w:rsidRDefault="00A00DEA" w:rsidP="00A00DEA">
      <w:pPr>
        <w:pStyle w:val="Bullet1G"/>
        <w:numPr>
          <w:ilvl w:val="0"/>
          <w:numId w:val="0"/>
        </w:numPr>
        <w:tabs>
          <w:tab w:val="left" w:pos="1701"/>
        </w:tabs>
        <w:ind w:left="1701" w:hanging="170"/>
      </w:pPr>
      <w:r w:rsidRPr="00F02D9F">
        <w:t>•</w:t>
      </w:r>
      <w:r w:rsidRPr="00F02D9F">
        <w:tab/>
      </w:r>
      <w:r>
        <w:t>A</w:t>
      </w:r>
      <w:r w:rsidRPr="00F02D9F">
        <w:t xml:space="preserve"> judicial code of conduct and the introduction of mechanisms for </w:t>
      </w:r>
      <w:r>
        <w:t xml:space="preserve">addressing </w:t>
      </w:r>
      <w:r w:rsidRPr="00F02D9F">
        <w:t>complaints</w:t>
      </w:r>
      <w:r>
        <w:t>.</w:t>
      </w:r>
      <w:r w:rsidRPr="00F02D9F">
        <w:t xml:space="preserve"> </w:t>
      </w:r>
    </w:p>
    <w:p w14:paraId="70A2CE84" w14:textId="520B7B35" w:rsidR="00073536" w:rsidRPr="00F02D9F" w:rsidRDefault="00073536" w:rsidP="00A00DEA">
      <w:pPr>
        <w:pStyle w:val="Bullet1G"/>
        <w:numPr>
          <w:ilvl w:val="0"/>
          <w:numId w:val="0"/>
        </w:numPr>
        <w:tabs>
          <w:tab w:val="left" w:pos="1701"/>
        </w:tabs>
        <w:ind w:left="1701" w:hanging="170"/>
      </w:pPr>
      <w:r w:rsidRPr="00D71CDF">
        <w:rPr>
          <w:highlight w:val="lightGray"/>
        </w:rPr>
        <w:t>All Committees of the Council which have been provided for in the Act have been established. The Act sets out various timeframes for the production of relevant guidelines by the Committees.</w:t>
      </w:r>
      <w:r>
        <w:t xml:space="preserve"> </w:t>
      </w:r>
    </w:p>
    <w:p w14:paraId="1A0AB040" w14:textId="04E75A3D" w:rsidR="00A00DEA" w:rsidRDefault="00A00DEA" w:rsidP="00A00DEA">
      <w:pPr>
        <w:pStyle w:val="SingleTxtG"/>
        <w:kinsoku/>
        <w:overflowPunct/>
        <w:autoSpaceDE/>
        <w:autoSpaceDN/>
        <w:adjustRightInd/>
        <w:snapToGrid/>
      </w:pPr>
      <w:r>
        <w:t>8.</w:t>
      </w:r>
      <w:r>
        <w:tab/>
      </w:r>
      <w:r w:rsidRPr="00F02D9F">
        <w:t xml:space="preserve">Under Budget 2020, €1.25 million was provided for the </w:t>
      </w:r>
      <w:r>
        <w:t xml:space="preserve">Council’s </w:t>
      </w:r>
      <w:r w:rsidRPr="00F02D9F">
        <w:t xml:space="preserve">establishment, bringing the total allocation to €1.5 million for the period 2019-2020. </w:t>
      </w:r>
      <w:r w:rsidR="00073536" w:rsidRPr="00D71CDF">
        <w:rPr>
          <w:highlight w:val="lightGray"/>
        </w:rPr>
        <w:t>The Council was allocated €1.754 million for 2021 and 2022 respectively.</w:t>
      </w:r>
      <w:r w:rsidRPr="00F02D9F">
        <w:t xml:space="preserve"> </w:t>
      </w:r>
    </w:p>
    <w:p w14:paraId="27183F60" w14:textId="4C86D8F0" w:rsidR="00A00DEA" w:rsidRPr="00F02D9F" w:rsidRDefault="00A00DEA" w:rsidP="00A00DEA">
      <w:pPr>
        <w:pStyle w:val="SingleTxtG"/>
        <w:kinsoku/>
        <w:overflowPunct/>
        <w:autoSpaceDE/>
        <w:autoSpaceDN/>
        <w:adjustRightInd/>
        <w:snapToGrid/>
      </w:pPr>
      <w:r w:rsidRPr="00F02D9F">
        <w:t>9.</w:t>
      </w:r>
      <w:r w:rsidRPr="00F02D9F">
        <w:tab/>
      </w:r>
      <w:r w:rsidRPr="0005778E">
        <w:t xml:space="preserve">Regarding the funding of bodies that form the institutional framework within which the Covenant is implemented, see </w:t>
      </w:r>
      <w:r>
        <w:t>paragraph 10</w:t>
      </w:r>
      <w:r w:rsidRPr="0005778E">
        <w:t>.</w:t>
      </w:r>
      <w:r w:rsidRPr="00150C03">
        <w:rPr>
          <w:highlight w:val="yellow"/>
        </w:rPr>
        <w:t xml:space="preserve"> </w:t>
      </w:r>
    </w:p>
    <w:p w14:paraId="1309A023" w14:textId="07847859" w:rsidR="00A00DEA" w:rsidRDefault="00A00DEA" w:rsidP="00A00DEA">
      <w:pPr>
        <w:pStyle w:val="H23G"/>
      </w:pPr>
      <w:r>
        <w:lastRenderedPageBreak/>
        <w:tab/>
      </w:r>
      <w:r>
        <w:tab/>
        <w:t xml:space="preserve">Reply to paragraph 2 </w:t>
      </w:r>
    </w:p>
    <w:p w14:paraId="09F13F6E" w14:textId="2D7A6BD0" w:rsidR="00A00DEA" w:rsidRPr="008756D6" w:rsidRDefault="00A00DEA" w:rsidP="00A00DEA">
      <w:pPr>
        <w:pStyle w:val="SingleTxtG"/>
        <w:kinsoku/>
        <w:overflowPunct/>
        <w:autoSpaceDE/>
        <w:autoSpaceDN/>
        <w:adjustRightInd/>
        <w:snapToGrid/>
      </w:pPr>
      <w:r w:rsidRPr="008756D6">
        <w:t>10.</w:t>
      </w:r>
      <w:r w:rsidRPr="008756D6">
        <w:tab/>
        <w:t>IHR</w:t>
      </w:r>
      <w:r>
        <w:t>EC</w:t>
      </w:r>
      <w:r w:rsidRPr="008756D6">
        <w:t xml:space="preserve"> is Ireland’s National Human Rights Institution an</w:t>
      </w:r>
      <w:r>
        <w:t xml:space="preserve">d the National Equality Body. </w:t>
      </w:r>
      <w:r w:rsidRPr="008756D6">
        <w:t>There have been no revisions to the 2014 Irish Human Rights and Equality Commission Act within the reporting period.</w:t>
      </w:r>
    </w:p>
    <w:p w14:paraId="56F1C1CE" w14:textId="74DF5F09" w:rsidR="001A0A60" w:rsidRDefault="00A00DEA" w:rsidP="001A0A60">
      <w:pPr>
        <w:pStyle w:val="SingleTxtG"/>
        <w:kinsoku/>
        <w:overflowPunct/>
        <w:autoSpaceDE/>
        <w:autoSpaceDN/>
        <w:adjustRightInd/>
        <w:snapToGrid/>
      </w:pPr>
      <w:r w:rsidRPr="008756D6">
        <w:t>11.</w:t>
      </w:r>
      <w:r w:rsidRPr="008756D6">
        <w:tab/>
        <w:t>Since 2015, IHREC has been fund</w:t>
      </w:r>
      <w:r>
        <w:t>ed through the Oireachtas</w:t>
      </w:r>
      <w:r>
        <w:rPr>
          <w:rStyle w:val="FootnoteReference"/>
        </w:rPr>
        <w:footnoteReference w:id="2"/>
      </w:r>
      <w:r>
        <w:t xml:space="preserve"> </w:t>
      </w:r>
      <w:r w:rsidR="001A0A60">
        <w:t>in accordance with</w:t>
      </w:r>
      <w:r w:rsidR="00DD4626">
        <w:t xml:space="preserve"> </w:t>
      </w:r>
      <w:r>
        <w:t>the</w:t>
      </w:r>
      <w:r w:rsidR="001A0A60">
        <w:t xml:space="preserve"> Irish Human Rights and Equality Commission Act</w:t>
      </w:r>
      <w:r>
        <w:t xml:space="preserve"> 2014</w:t>
      </w:r>
      <w:r w:rsidRPr="008756D6">
        <w:t xml:space="preserve">. </w:t>
      </w:r>
      <w:r>
        <w:t>F</w:t>
      </w:r>
      <w:r w:rsidRPr="008756D6">
        <w:t>rom 2015 to 2019</w:t>
      </w:r>
      <w:r>
        <w:t>,</w:t>
      </w:r>
      <w:r w:rsidRPr="008756D6">
        <w:t xml:space="preserve"> </w:t>
      </w:r>
      <w:r>
        <w:t xml:space="preserve">total </w:t>
      </w:r>
      <w:r w:rsidRPr="008756D6">
        <w:t>funding of €3</w:t>
      </w:r>
      <w:r w:rsidR="001A0A60">
        <w:t>9.539</w:t>
      </w:r>
      <w:r w:rsidRPr="008756D6">
        <w:t>m was made available</w:t>
      </w:r>
      <w:r w:rsidR="001A0A60">
        <w:t xml:space="preserve">. </w:t>
      </w:r>
      <w:r w:rsidR="001A0A60" w:rsidRPr="00D71CDF">
        <w:rPr>
          <w:rFonts w:cstheme="minorHAnsi"/>
          <w:highlight w:val="lightGray"/>
        </w:rPr>
        <w:t>In 2021 the Irish Human Rights and Equality Commission was allocated €6.933m and in 2022 this was increased to €7.533m.</w:t>
      </w:r>
    </w:p>
    <w:p w14:paraId="02D8AB35" w14:textId="0B5AA21C" w:rsidR="001A0A60" w:rsidRPr="008756D6" w:rsidRDefault="001A0A60" w:rsidP="001A0A60">
      <w:pPr>
        <w:pStyle w:val="SingleTxtG"/>
        <w:kinsoku/>
        <w:overflowPunct/>
        <w:autoSpaceDE/>
        <w:autoSpaceDN/>
        <w:adjustRightInd/>
        <w:snapToGrid/>
      </w:pPr>
      <w:r w:rsidRPr="00D71CDF">
        <w:rPr>
          <w:rFonts w:cstheme="minorHAnsi"/>
          <w:highlight w:val="lightGray"/>
        </w:rPr>
        <w:t>The Commission has its own budget vote and reports directly to the Oireachtas. The Commission’s Director is the Accounting Officer and is directly accountable to the Public Accounts Committee, the Parliamentary Committee responsible for establishing how public funds are spent.</w:t>
      </w:r>
    </w:p>
    <w:p w14:paraId="504A9B11" w14:textId="6FF1FE70" w:rsidR="00A00DEA" w:rsidRDefault="00A00DEA" w:rsidP="00A00DEA">
      <w:pPr>
        <w:pStyle w:val="H1G"/>
      </w:pPr>
      <w:r>
        <w:tab/>
      </w:r>
      <w:r>
        <w:tab/>
        <w:t>Anti-corruption measures</w:t>
      </w:r>
      <w:r w:rsidRPr="0075351D">
        <w:t xml:space="preserve"> (art</w:t>
      </w:r>
      <w:r>
        <w:t>s</w:t>
      </w:r>
      <w:r w:rsidRPr="0075351D">
        <w:t>. 2</w:t>
      </w:r>
      <w:r>
        <w:t xml:space="preserve"> and 25)</w:t>
      </w:r>
    </w:p>
    <w:p w14:paraId="592BCE57" w14:textId="4AF93CF7" w:rsidR="00A00DEA" w:rsidRDefault="00A00DEA" w:rsidP="00A00DEA">
      <w:pPr>
        <w:pStyle w:val="H23G"/>
      </w:pPr>
      <w:r>
        <w:tab/>
      </w:r>
      <w:r>
        <w:tab/>
        <w:t xml:space="preserve">Reply to paragraph 3(a) </w:t>
      </w:r>
    </w:p>
    <w:p w14:paraId="58BD700F" w14:textId="75BED87E" w:rsidR="00A00DEA" w:rsidRPr="00C725AA" w:rsidRDefault="00A00DEA" w:rsidP="00A00DEA">
      <w:pPr>
        <w:pStyle w:val="SingleTxtG"/>
        <w:kinsoku/>
        <w:overflowPunct/>
        <w:autoSpaceDE/>
        <w:autoSpaceDN/>
        <w:adjustRightInd/>
        <w:snapToGrid/>
      </w:pPr>
      <w:r w:rsidRPr="00C725AA">
        <w:t>12.</w:t>
      </w:r>
      <w:r w:rsidRPr="00C725AA">
        <w:tab/>
      </w:r>
      <w:r w:rsidRPr="00344D97">
        <w:t xml:space="preserve">The Criminal Justice (Corruption Offences) Act 2018 replaced the Prevention of Corruption Acts </w:t>
      </w:r>
      <w:r>
        <w:t xml:space="preserve">1889 to 2010. It introduced measures </w:t>
      </w:r>
      <w:r w:rsidRPr="00344D97">
        <w:t xml:space="preserve">to </w:t>
      </w:r>
      <w:r>
        <w:t xml:space="preserve">better implement Ireland’s </w:t>
      </w:r>
      <w:r w:rsidRPr="00344D97">
        <w:t xml:space="preserve">obligations under the OECD, </w:t>
      </w:r>
      <w:proofErr w:type="gramStart"/>
      <w:r w:rsidRPr="00344D97">
        <w:t>UN</w:t>
      </w:r>
      <w:proofErr w:type="gramEnd"/>
      <w:r w:rsidRPr="00344D97">
        <w:t xml:space="preserve"> and Council of Europe</w:t>
      </w:r>
      <w:r>
        <w:t xml:space="preserve"> (</w:t>
      </w:r>
      <w:proofErr w:type="spellStart"/>
      <w:r>
        <w:t>CoE</w:t>
      </w:r>
      <w:proofErr w:type="spellEnd"/>
      <w:r>
        <w:t>)</w:t>
      </w:r>
      <w:r w:rsidRPr="00344D97">
        <w:t xml:space="preserve"> Conventions</w:t>
      </w:r>
      <w:r>
        <w:t xml:space="preserve"> and the </w:t>
      </w:r>
      <w:r w:rsidRPr="00344D97">
        <w:t xml:space="preserve">recommendations of the Mahon Tribunal. </w:t>
      </w:r>
      <w:r>
        <w:t>T</w:t>
      </w:r>
      <w:r w:rsidRPr="00344D97">
        <w:t>he Act include</w:t>
      </w:r>
      <w:r>
        <w:t>s the establishment of new offences for</w:t>
      </w:r>
      <w:r w:rsidRPr="00344D97">
        <w:t>:</w:t>
      </w:r>
    </w:p>
    <w:p w14:paraId="7680C936" w14:textId="2E365746" w:rsidR="00A00DEA" w:rsidRDefault="00A00DEA" w:rsidP="00A00DEA">
      <w:pPr>
        <w:pStyle w:val="Bullet1G"/>
        <w:numPr>
          <w:ilvl w:val="0"/>
          <w:numId w:val="0"/>
        </w:numPr>
        <w:tabs>
          <w:tab w:val="left" w:pos="1701"/>
        </w:tabs>
        <w:ind w:left="1701" w:hanging="170"/>
      </w:pPr>
      <w:r>
        <w:t>•</w:t>
      </w:r>
      <w:r>
        <w:tab/>
        <w:t>A</w:t>
      </w:r>
      <w:r w:rsidRPr="007C0FDE">
        <w:t>ctive and passive trading in influence</w:t>
      </w:r>
      <w:r>
        <w:t>.</w:t>
      </w:r>
    </w:p>
    <w:p w14:paraId="45B41926" w14:textId="1C0CB2DC" w:rsidR="00A00DEA" w:rsidRDefault="00A00DEA" w:rsidP="00A00DEA">
      <w:pPr>
        <w:pStyle w:val="Bullet1G"/>
        <w:numPr>
          <w:ilvl w:val="0"/>
          <w:numId w:val="0"/>
        </w:numPr>
        <w:tabs>
          <w:tab w:val="left" w:pos="1701"/>
        </w:tabs>
        <w:ind w:left="1701" w:hanging="170"/>
      </w:pPr>
      <w:r>
        <w:t>•</w:t>
      </w:r>
      <w:r>
        <w:tab/>
        <w:t>A</w:t>
      </w:r>
      <w:r w:rsidRPr="007C0FDE">
        <w:t>n official doing a corrupt act in relation to their office giving a gift, consideration or advantage knowing that it will be used to commit a corruption offence</w:t>
      </w:r>
      <w:r>
        <w:t>.</w:t>
      </w:r>
      <w:r w:rsidRPr="007C0FDE">
        <w:t xml:space="preserve"> </w:t>
      </w:r>
    </w:p>
    <w:p w14:paraId="29359C73" w14:textId="43AB41EB" w:rsidR="00A00DEA" w:rsidRPr="007C0FDE" w:rsidRDefault="00A00DEA" w:rsidP="00A00DEA">
      <w:pPr>
        <w:pStyle w:val="Bullet1G"/>
        <w:numPr>
          <w:ilvl w:val="0"/>
          <w:numId w:val="0"/>
        </w:numPr>
        <w:tabs>
          <w:tab w:val="left" w:pos="1701"/>
        </w:tabs>
        <w:ind w:left="1701" w:hanging="170"/>
      </w:pPr>
      <w:r w:rsidRPr="007C0FDE">
        <w:t>•</w:t>
      </w:r>
      <w:r w:rsidRPr="007C0FDE">
        <w:tab/>
      </w:r>
      <w:r>
        <w:t>C</w:t>
      </w:r>
      <w:r w:rsidRPr="007C0FDE">
        <w:t>reating or using false documents.</w:t>
      </w:r>
    </w:p>
    <w:p w14:paraId="08BFB2DC" w14:textId="6EE0DDD6" w:rsidR="00A00DEA" w:rsidRPr="00344D97" w:rsidRDefault="00A00DEA" w:rsidP="00A00DEA">
      <w:pPr>
        <w:pStyle w:val="Bullet1G"/>
        <w:numPr>
          <w:ilvl w:val="0"/>
          <w:numId w:val="0"/>
        </w:numPr>
        <w:tabs>
          <w:tab w:val="left" w:pos="1701"/>
        </w:tabs>
        <w:ind w:left="1701" w:hanging="170"/>
      </w:pPr>
      <w:r w:rsidRPr="00344D97">
        <w:t>•</w:t>
      </w:r>
      <w:r w:rsidRPr="00344D97">
        <w:tab/>
      </w:r>
      <w:r>
        <w:t>I</w:t>
      </w:r>
      <w:r w:rsidRPr="00344D97">
        <w:t>ntimidation where a threat of harm is used instead of a bribe.</w:t>
      </w:r>
    </w:p>
    <w:p w14:paraId="3D3D558C" w14:textId="5D7F11F5" w:rsidR="00A00DEA" w:rsidRPr="00E77A9D" w:rsidRDefault="00A00DEA" w:rsidP="00A00DEA">
      <w:pPr>
        <w:pStyle w:val="Bullet1G"/>
        <w:numPr>
          <w:ilvl w:val="0"/>
          <w:numId w:val="0"/>
        </w:numPr>
        <w:tabs>
          <w:tab w:val="left" w:pos="1701"/>
        </w:tabs>
        <w:ind w:left="1701" w:hanging="170"/>
      </w:pPr>
      <w:r w:rsidRPr="00E77A9D">
        <w:t>•</w:t>
      </w:r>
      <w:r w:rsidRPr="00E77A9D">
        <w:tab/>
        <w:t>The presumption of corrupt gifts extended to connected persons</w:t>
      </w:r>
      <w:r>
        <w:t>.</w:t>
      </w:r>
      <w:r w:rsidRPr="00E77A9D">
        <w:t xml:space="preserve"> </w:t>
      </w:r>
    </w:p>
    <w:p w14:paraId="7507BB77" w14:textId="5DF00F12" w:rsidR="00A00DEA" w:rsidRPr="00344D97" w:rsidRDefault="00A00DEA" w:rsidP="00A00DEA">
      <w:pPr>
        <w:pStyle w:val="Bullet1G"/>
        <w:numPr>
          <w:ilvl w:val="0"/>
          <w:numId w:val="0"/>
        </w:numPr>
        <w:tabs>
          <w:tab w:val="left" w:pos="1701"/>
        </w:tabs>
        <w:ind w:left="1701" w:hanging="170"/>
      </w:pPr>
      <w:r w:rsidRPr="00344D97">
        <w:t>•</w:t>
      </w:r>
      <w:r w:rsidRPr="00344D97">
        <w:tab/>
      </w:r>
      <w:r>
        <w:t>P</w:t>
      </w:r>
      <w:r w:rsidRPr="00344D97">
        <w:t>rovisions for forfeiture of public office and prohibition from seeking public office for up to ten years</w:t>
      </w:r>
      <w:r>
        <w:t>.</w:t>
      </w:r>
      <w:r w:rsidRPr="00344D97">
        <w:t xml:space="preserve"> </w:t>
      </w:r>
    </w:p>
    <w:p w14:paraId="44AFBBBE" w14:textId="7893ECCB" w:rsidR="00A00DEA" w:rsidRDefault="00A00DEA" w:rsidP="00A00DEA">
      <w:pPr>
        <w:pStyle w:val="Bullet1G"/>
        <w:numPr>
          <w:ilvl w:val="0"/>
          <w:numId w:val="0"/>
        </w:numPr>
        <w:tabs>
          <w:tab w:val="left" w:pos="1701"/>
        </w:tabs>
        <w:ind w:left="1701" w:hanging="170"/>
      </w:pPr>
      <w:r>
        <w:t>•</w:t>
      </w:r>
      <w:r>
        <w:tab/>
      </w:r>
      <w:r w:rsidRPr="00E77A9D">
        <w:t xml:space="preserve">New strict liability offence for bodies corporate where any individual connected with the company has </w:t>
      </w:r>
      <w:r>
        <w:t>been found guilty of corruption and;</w:t>
      </w:r>
    </w:p>
    <w:p w14:paraId="24C23713" w14:textId="7144D45D" w:rsidR="00A00DEA" w:rsidRPr="00E77A9D" w:rsidRDefault="00A00DEA" w:rsidP="00A00DEA">
      <w:pPr>
        <w:pStyle w:val="Bullet1G"/>
        <w:numPr>
          <w:ilvl w:val="0"/>
          <w:numId w:val="0"/>
        </w:numPr>
        <w:tabs>
          <w:tab w:val="left" w:pos="1701"/>
        </w:tabs>
        <w:ind w:left="1701" w:hanging="170"/>
      </w:pPr>
      <w:r w:rsidRPr="00E77A9D">
        <w:t>•</w:t>
      </w:r>
      <w:r w:rsidRPr="00E77A9D">
        <w:tab/>
        <w:t>Provisions for seizure and forfeiture of bribes.</w:t>
      </w:r>
    </w:p>
    <w:p w14:paraId="7312D9FC" w14:textId="05691EF5" w:rsidR="00A00DEA" w:rsidRPr="006D194A" w:rsidRDefault="00A00DEA" w:rsidP="00A00DEA">
      <w:pPr>
        <w:pStyle w:val="H23G"/>
      </w:pPr>
      <w:r>
        <w:tab/>
      </w:r>
      <w:r>
        <w:tab/>
        <w:t xml:space="preserve">Reply to paragraph 3(b) </w:t>
      </w:r>
    </w:p>
    <w:p w14:paraId="4D76A9F8" w14:textId="3FABD32A" w:rsidR="00073536" w:rsidRDefault="00A00DEA" w:rsidP="00073536">
      <w:pPr>
        <w:pStyle w:val="SingleTxtG"/>
        <w:kinsoku/>
        <w:overflowPunct/>
        <w:autoSpaceDE/>
        <w:autoSpaceDN/>
        <w:adjustRightInd/>
        <w:snapToGrid/>
      </w:pPr>
      <w:r w:rsidRPr="00344D97">
        <w:t>13.</w:t>
      </w:r>
      <w:r w:rsidRPr="00344D97">
        <w:tab/>
        <w:t xml:space="preserve">The Public Sector Standards Bill 2015 proposed the consolidation of some of the legislation relating to Ethics in Public Office. </w:t>
      </w:r>
      <w:r>
        <w:t>This</w:t>
      </w:r>
      <w:r w:rsidRPr="00344D97">
        <w:t xml:space="preserve"> lapsed with the dissolutio</w:t>
      </w:r>
      <w:r>
        <w:t xml:space="preserve">n of the </w:t>
      </w:r>
      <w:proofErr w:type="spellStart"/>
      <w:r>
        <w:t>Dáil</w:t>
      </w:r>
      <w:proofErr w:type="spellEnd"/>
      <w:r>
        <w:t xml:space="preserve"> in January 2020.</w:t>
      </w:r>
      <w:r w:rsidRPr="00344D97">
        <w:t xml:space="preserve"> </w:t>
      </w:r>
      <w:r w:rsidR="00073536" w:rsidRPr="00D71CDF">
        <w:rPr>
          <w:highlight w:val="lightGray"/>
        </w:rPr>
        <w:t xml:space="preserve">A review of Ethics in Public Office </w:t>
      </w:r>
      <w:r w:rsidR="00073536" w:rsidRPr="00D71CDF">
        <w:rPr>
          <w:highlight w:val="lightGray"/>
          <w:lang w:val="en-IE"/>
        </w:rPr>
        <w:t>has been underway since September 2021, with formal stakeholder engagement and a public consultation commencing in November 2021 and closing in January 2022.</w:t>
      </w:r>
      <w:r w:rsidR="00073536" w:rsidRPr="00D71CDF">
        <w:rPr>
          <w:highlight w:val="lightGray"/>
        </w:rPr>
        <w:t xml:space="preserve"> The review is expected to be complete by end Q2 2022.</w:t>
      </w:r>
    </w:p>
    <w:p w14:paraId="3073F0BD" w14:textId="15A18A56" w:rsidR="00A00DEA" w:rsidRPr="00344D97" w:rsidRDefault="00A00DEA" w:rsidP="00A00DEA">
      <w:pPr>
        <w:pStyle w:val="SingleTxtG"/>
        <w:kinsoku/>
        <w:overflowPunct/>
        <w:autoSpaceDE/>
        <w:autoSpaceDN/>
        <w:adjustRightInd/>
        <w:snapToGrid/>
      </w:pPr>
    </w:p>
    <w:p w14:paraId="44E9394E" w14:textId="550D603A" w:rsidR="00A00DEA" w:rsidRDefault="00A00DEA" w:rsidP="00A00DEA">
      <w:pPr>
        <w:pStyle w:val="H23G"/>
      </w:pPr>
      <w:r>
        <w:rPr>
          <w:rFonts w:ascii="Lato" w:hAnsi="Lato" w:cs="Calibri"/>
          <w:b w:val="0"/>
          <w:lang w:eastAsia="en-IE"/>
        </w:rPr>
        <w:tab/>
      </w:r>
      <w:r>
        <w:rPr>
          <w:rFonts w:ascii="Lato" w:hAnsi="Lato" w:cs="Calibri"/>
          <w:b w:val="0"/>
          <w:lang w:eastAsia="en-IE"/>
        </w:rPr>
        <w:tab/>
      </w:r>
      <w:r>
        <w:t xml:space="preserve">Reply to paragraph 3(c) </w:t>
      </w:r>
    </w:p>
    <w:p w14:paraId="6B6F9334" w14:textId="6D17CC26" w:rsidR="00A00DEA" w:rsidRPr="00D71CDF" w:rsidRDefault="00A00DEA" w:rsidP="00A00DEA">
      <w:pPr>
        <w:pStyle w:val="SingleTxtG"/>
        <w:kinsoku/>
        <w:overflowPunct/>
        <w:autoSpaceDE/>
        <w:autoSpaceDN/>
        <w:adjustRightInd/>
        <w:snapToGrid/>
        <w:rPr>
          <w:u w:val="single"/>
        </w:rPr>
      </w:pPr>
      <w:r w:rsidRPr="00E05F0B">
        <w:t>14.</w:t>
      </w:r>
      <w:r w:rsidRPr="00E05F0B">
        <w:tab/>
      </w:r>
      <w:r w:rsidR="00073536" w:rsidRPr="00D71CDF">
        <w:rPr>
          <w:highlight w:val="lightGray"/>
        </w:rPr>
        <w:t xml:space="preserve">The Garda Anti-Corruption Unit (GACU) was established by An Garda Síochána (AGS), Ireland’s national police and security service, in November 2020. </w:t>
      </w:r>
      <w:r w:rsidR="00073536" w:rsidRPr="00D71CDF">
        <w:rPr>
          <w:bCs/>
          <w:highlight w:val="lightGray"/>
        </w:rPr>
        <w:t>The GACU has a national remit to prevent, detect and investigate corruption and criminality committed, or suspected of being committed, by members of An Garda Síochána or Garda Staff.</w:t>
      </w:r>
      <w:r w:rsidR="00924022" w:rsidRPr="00D71CDF">
        <w:rPr>
          <w:highlight w:val="lightGray"/>
        </w:rPr>
        <w:t xml:space="preserve"> The Department of Justice is in the process of finalising the implementation plan for the Report in consultation with AGS.  </w:t>
      </w:r>
      <w:r w:rsidR="00073536" w:rsidRPr="00D71CDF">
        <w:rPr>
          <w:highlight w:val="lightGray"/>
        </w:rPr>
        <w:t xml:space="preserve"> </w:t>
      </w:r>
      <w:r w:rsidR="00073536" w:rsidRPr="008961D7">
        <w:t xml:space="preserve">A report on Countering Internal Corruption was published in </w:t>
      </w:r>
      <w:r w:rsidR="00073536" w:rsidRPr="008961D7">
        <w:lastRenderedPageBreak/>
        <w:t>March 2021. In June 2021, AGS published its new Anti-Corruption Policy, the Professional Boundaries and Abuse of Power for Sexual Gain Policy, as well as the Substance Misuse (Controlled Drugs) Policy</w:t>
      </w:r>
      <w:r w:rsidRPr="008961D7">
        <w:t>.</w:t>
      </w:r>
    </w:p>
    <w:p w14:paraId="326F214F" w14:textId="0F997540" w:rsidR="00A00DEA" w:rsidRPr="00E05F0B" w:rsidRDefault="00A00DEA" w:rsidP="00A00DEA">
      <w:pPr>
        <w:pStyle w:val="SingleTxtG"/>
        <w:kinsoku/>
        <w:overflowPunct/>
        <w:autoSpaceDE/>
        <w:autoSpaceDN/>
        <w:adjustRightInd/>
        <w:snapToGrid/>
      </w:pPr>
      <w:r w:rsidRPr="00E05F0B">
        <w:t>15.</w:t>
      </w:r>
      <w:r w:rsidRPr="00E05F0B">
        <w:tab/>
      </w:r>
      <w:r w:rsidR="00073536" w:rsidRPr="008961D7">
        <w:t>The Review of Structures and Strategies to Prevent, Investigate and Penalise Economic Crime and Corruption, undertaken by the Department of Justice (DOJ), was published on 3 December 2020. The review was led by James Hamilton, the former Director of Public Prosecutions (DPP), who chaired a review group comprising representation from Government Departments and agencies with responsibility for economic crime and corruption as well as external experts</w:t>
      </w:r>
      <w:r w:rsidRPr="008961D7">
        <w:t>.</w:t>
      </w:r>
      <w:r>
        <w:t xml:space="preserve"> </w:t>
      </w:r>
    </w:p>
    <w:p w14:paraId="6C5DB16F" w14:textId="2C8ED4AB" w:rsidR="00A00DEA" w:rsidRPr="00295D5E" w:rsidRDefault="00A00DEA" w:rsidP="00A00DEA">
      <w:pPr>
        <w:pStyle w:val="SingleTxtG"/>
        <w:kinsoku/>
        <w:overflowPunct/>
        <w:autoSpaceDE/>
        <w:autoSpaceDN/>
        <w:adjustRightInd/>
        <w:snapToGrid/>
      </w:pPr>
      <w:r w:rsidRPr="00295D5E">
        <w:t>16.</w:t>
      </w:r>
      <w:r w:rsidRPr="00295D5E">
        <w:tab/>
      </w:r>
      <w:r w:rsidR="00073536" w:rsidRPr="008961D7">
        <w:t xml:space="preserve">The Hamilton Report focuses on measures to enhance enforcement and prevention capacity in the criminal justice sphere. </w:t>
      </w:r>
      <w:r w:rsidR="00073536" w:rsidRPr="00D71CDF">
        <w:rPr>
          <w:highlight w:val="lightGray"/>
        </w:rPr>
        <w:t xml:space="preserve">In April 2021, an all-of-government </w:t>
      </w:r>
      <w:hyperlink r:id="rId11" w:history="1">
        <w:r w:rsidR="00073536" w:rsidRPr="00D71CDF">
          <w:rPr>
            <w:highlight w:val="lightGray"/>
          </w:rPr>
          <w:t>implementation plan</w:t>
        </w:r>
      </w:hyperlink>
      <w:r w:rsidR="00073536" w:rsidRPr="00D71CDF">
        <w:rPr>
          <w:highlight w:val="lightGray"/>
        </w:rPr>
        <w:t xml:space="preserve"> to progress the review’s recommendations was published with actions and deliverables broadly categorised under the following headings: (</w:t>
      </w:r>
      <w:proofErr w:type="spellStart"/>
      <w:r w:rsidR="00073536" w:rsidRPr="00D71CDF">
        <w:rPr>
          <w:highlight w:val="lightGray"/>
        </w:rPr>
        <w:t>i</w:t>
      </w:r>
      <w:proofErr w:type="spellEnd"/>
      <w:r w:rsidR="00073536" w:rsidRPr="00D71CDF">
        <w:rPr>
          <w:highlight w:val="lightGray"/>
        </w:rPr>
        <w:t>) Structural/Systemic, (ii) Resourcing, and (iii) Legislative. Work is continuing to implement the recommendations, which fall to be implemented by a number of Government Departments and State Agencies.</w:t>
      </w:r>
    </w:p>
    <w:p w14:paraId="26C432B1" w14:textId="77777777" w:rsidR="00A00DEA" w:rsidRDefault="00A00DEA" w:rsidP="00A00DEA">
      <w:pPr>
        <w:pStyle w:val="H1G"/>
      </w:pPr>
      <w:r>
        <w:tab/>
      </w:r>
      <w:r>
        <w:tab/>
      </w:r>
      <w:r w:rsidRPr="002F01AB">
        <w:t>Accountability for past human rights violations (arts. 2, 6, 7 and 14)</w:t>
      </w:r>
    </w:p>
    <w:p w14:paraId="4FD97994" w14:textId="1E29AF79" w:rsidR="00A00DEA" w:rsidRDefault="00A00DEA" w:rsidP="00A00DEA">
      <w:pPr>
        <w:pStyle w:val="H23G"/>
      </w:pPr>
      <w:r>
        <w:tab/>
      </w:r>
      <w:r>
        <w:tab/>
      </w:r>
      <w:r w:rsidRPr="002F01AB">
        <w:t>Reply to paragraph 4</w:t>
      </w:r>
      <w:r>
        <w:t>(a)</w:t>
      </w:r>
      <w:r w:rsidRPr="002F01AB">
        <w:t xml:space="preserve"> </w:t>
      </w:r>
    </w:p>
    <w:p w14:paraId="34B12D4E" w14:textId="06A542DD" w:rsidR="00A00DEA" w:rsidRPr="00E32897" w:rsidRDefault="00A00DEA" w:rsidP="00A00DEA">
      <w:pPr>
        <w:pStyle w:val="SingleTxtG"/>
        <w:kinsoku/>
        <w:overflowPunct/>
        <w:autoSpaceDE/>
        <w:autoSpaceDN/>
        <w:adjustRightInd/>
        <w:snapToGrid/>
      </w:pPr>
      <w:r w:rsidRPr="00E32897">
        <w:t>17.</w:t>
      </w:r>
      <w:r w:rsidRPr="00E32897">
        <w:tab/>
        <w:t xml:space="preserve">Following the publication of </w:t>
      </w:r>
      <w:r>
        <w:t>t</w:t>
      </w:r>
      <w:r w:rsidRPr="00E32897">
        <w:t>he Report of the Commission to Inquire into Child Abuse (the Ryan Report), a</w:t>
      </w:r>
      <w:r>
        <w:t>n</w:t>
      </w:r>
      <w:r w:rsidRPr="00E32897">
        <w:t xml:space="preserve"> Implementation Plan was </w:t>
      </w:r>
      <w:r>
        <w:t>adopted</w:t>
      </w:r>
      <w:r w:rsidRPr="00E32897">
        <w:t xml:space="preserve"> in July 2009</w:t>
      </w:r>
      <w:r>
        <w:t xml:space="preserve"> containing ninety-nine actions</w:t>
      </w:r>
      <w:r w:rsidRPr="00E32897">
        <w:t xml:space="preserve">. Ninety-five actions are now complete or ongoing </w:t>
      </w:r>
      <w:r>
        <w:t>with</w:t>
      </w:r>
      <w:r w:rsidRPr="00E32897">
        <w:t xml:space="preserve"> four outstanding.</w:t>
      </w:r>
      <w:r>
        <w:t xml:space="preserve"> </w:t>
      </w:r>
    </w:p>
    <w:p w14:paraId="0C23D17F" w14:textId="578E3C1F" w:rsidR="00A00DEA" w:rsidRPr="00E32897" w:rsidRDefault="00A00DEA" w:rsidP="00A00DEA">
      <w:pPr>
        <w:pStyle w:val="SingleTxtG"/>
        <w:kinsoku/>
        <w:overflowPunct/>
        <w:autoSpaceDE/>
        <w:autoSpaceDN/>
        <w:adjustRightInd/>
        <w:snapToGrid/>
      </w:pPr>
      <w:r w:rsidRPr="00E32897">
        <w:t>18.</w:t>
      </w:r>
      <w:r w:rsidRPr="00E32897">
        <w:tab/>
      </w:r>
      <w:r>
        <w:t>The Ferns Report was published in 2005. The Government accepted its recommendations. The Report of the Commission of Investigation into the Catholic Archdiocese of Dublin was published in 2009. The report by the Commission of Investigation into the handling by Church and State authorities of allegations of child sexual abuse in the Catholic Diocese of Cloyne was published in 2011.</w:t>
      </w:r>
    </w:p>
    <w:p w14:paraId="5528A58A" w14:textId="7562387C" w:rsidR="00A00DEA" w:rsidRPr="00E32897" w:rsidRDefault="00A00DEA" w:rsidP="00A00DEA">
      <w:pPr>
        <w:pStyle w:val="SingleTxtG"/>
        <w:kinsoku/>
        <w:overflowPunct/>
        <w:autoSpaceDE/>
        <w:autoSpaceDN/>
        <w:adjustRightInd/>
        <w:snapToGrid/>
      </w:pPr>
      <w:r w:rsidRPr="00E32897">
        <w:t>19.</w:t>
      </w:r>
      <w:r w:rsidRPr="00E32897">
        <w:tab/>
        <w:t>The Magdalen Ex-Gratia Scheme was established by the Government following the publication of the report of an Inter-Departmental Committee set up to establish the facts of State involvement in Magdalen Laundries. T</w:t>
      </w:r>
      <w:r>
        <w:t xml:space="preserve">o date </w:t>
      </w:r>
      <w:r w:rsidRPr="00D71CDF">
        <w:rPr>
          <w:highlight w:val="lightGray"/>
        </w:rPr>
        <w:t>€</w:t>
      </w:r>
      <w:r w:rsidR="003A1378" w:rsidRPr="00D71CDF">
        <w:rPr>
          <w:highlight w:val="lightGray"/>
        </w:rPr>
        <w:t>32.9m</w:t>
      </w:r>
      <w:r>
        <w:t xml:space="preserve"> has been paid to </w:t>
      </w:r>
      <w:r w:rsidR="003A1378" w:rsidRPr="00D71CDF">
        <w:rPr>
          <w:highlight w:val="lightGray"/>
        </w:rPr>
        <w:t>818</w:t>
      </w:r>
      <w:r w:rsidRPr="00D71CDF">
        <w:rPr>
          <w:highlight w:val="lightGray"/>
        </w:rPr>
        <w:t xml:space="preserve"> applicants</w:t>
      </w:r>
      <w:r>
        <w:t xml:space="preserve"> in addition to</w:t>
      </w:r>
      <w:r w:rsidRPr="00E32897">
        <w:t xml:space="preserve"> medical benefits and pension payments.</w:t>
      </w:r>
    </w:p>
    <w:p w14:paraId="13638603" w14:textId="0D37C690" w:rsidR="00A00DEA" w:rsidRDefault="00A00DEA" w:rsidP="00A00DEA">
      <w:pPr>
        <w:pStyle w:val="SingleTxtG"/>
        <w:kinsoku/>
        <w:overflowPunct/>
        <w:autoSpaceDE/>
        <w:autoSpaceDN/>
        <w:adjustRightInd/>
        <w:snapToGrid/>
      </w:pPr>
      <w:r>
        <w:t>20.</w:t>
      </w:r>
      <w:r>
        <w:tab/>
        <w:t>The Commission of Investigation into Mother and Baby Homes and certain related matters was established to account for what happened to vulnerable women and children in these Homes during the period 1922 to 1998. It submitted its final report on 30 October 2020.</w:t>
      </w:r>
      <w:r>
        <w:rPr>
          <w:rStyle w:val="FootnoteReference"/>
        </w:rPr>
        <w:footnoteReference w:id="3"/>
      </w:r>
      <w:r>
        <w:t xml:space="preserve"> </w:t>
      </w:r>
    </w:p>
    <w:p w14:paraId="6C18E3A0" w14:textId="2B66437C" w:rsidR="00A00DEA" w:rsidRDefault="00A00DEA" w:rsidP="00A00DEA">
      <w:pPr>
        <w:pStyle w:val="SingleTxtG"/>
        <w:kinsoku/>
        <w:overflowPunct/>
        <w:autoSpaceDE/>
        <w:autoSpaceDN/>
        <w:adjustRightInd/>
        <w:snapToGrid/>
      </w:pPr>
      <w:r>
        <w:t>21.</w:t>
      </w:r>
      <w:r>
        <w:tab/>
        <w:t>The Government is giving careful consideration to the report, with a view to developing an Action Plan spanning eight themes:</w:t>
      </w:r>
    </w:p>
    <w:p w14:paraId="11E1565B" w14:textId="641F9A10" w:rsidR="00A00DEA" w:rsidRPr="00E66956" w:rsidRDefault="00A00DEA" w:rsidP="00A00DEA">
      <w:pPr>
        <w:pStyle w:val="Bullet1G"/>
        <w:numPr>
          <w:ilvl w:val="0"/>
          <w:numId w:val="0"/>
        </w:numPr>
        <w:tabs>
          <w:tab w:val="left" w:pos="1701"/>
        </w:tabs>
        <w:ind w:left="1701" w:hanging="170"/>
      </w:pPr>
      <w:r w:rsidRPr="00E66956">
        <w:t>•</w:t>
      </w:r>
      <w:r w:rsidRPr="00E66956">
        <w:tab/>
        <w:t>A survivor-centred approach</w:t>
      </w:r>
    </w:p>
    <w:p w14:paraId="0CBAA3D3" w14:textId="35D5BF7B" w:rsidR="00A00DEA" w:rsidRPr="00E66956" w:rsidRDefault="00A00DEA" w:rsidP="00A00DEA">
      <w:pPr>
        <w:pStyle w:val="Bullet1G"/>
        <w:numPr>
          <w:ilvl w:val="0"/>
          <w:numId w:val="0"/>
        </w:numPr>
        <w:tabs>
          <w:tab w:val="left" w:pos="1701"/>
        </w:tabs>
        <w:ind w:left="1701" w:hanging="170"/>
      </w:pPr>
      <w:r w:rsidRPr="00E66956">
        <w:t>•</w:t>
      </w:r>
      <w:r w:rsidRPr="00E66956">
        <w:tab/>
        <w:t>Apology</w:t>
      </w:r>
    </w:p>
    <w:p w14:paraId="6F2B830E" w14:textId="0955A634" w:rsidR="00A00DEA" w:rsidRPr="00E66956" w:rsidRDefault="00A00DEA" w:rsidP="00A00DEA">
      <w:pPr>
        <w:pStyle w:val="Bullet1G"/>
        <w:numPr>
          <w:ilvl w:val="0"/>
          <w:numId w:val="0"/>
        </w:numPr>
        <w:tabs>
          <w:tab w:val="left" w:pos="1701"/>
        </w:tabs>
        <w:ind w:left="1701" w:hanging="170"/>
      </w:pPr>
      <w:r w:rsidRPr="00E66956">
        <w:t>•</w:t>
      </w:r>
      <w:r w:rsidRPr="00E66956">
        <w:tab/>
        <w:t>Access to personal information</w:t>
      </w:r>
    </w:p>
    <w:p w14:paraId="734FB322" w14:textId="2DA0B53D" w:rsidR="00A00DEA" w:rsidRPr="00E66956" w:rsidRDefault="00A00DEA" w:rsidP="00A00DEA">
      <w:pPr>
        <w:pStyle w:val="Bullet1G"/>
        <w:numPr>
          <w:ilvl w:val="0"/>
          <w:numId w:val="0"/>
        </w:numPr>
        <w:tabs>
          <w:tab w:val="left" w:pos="1701"/>
        </w:tabs>
        <w:ind w:left="1701" w:hanging="170"/>
      </w:pPr>
      <w:r w:rsidRPr="00E66956">
        <w:t>•</w:t>
      </w:r>
      <w:r w:rsidRPr="00E66956">
        <w:tab/>
        <w:t>Archiving and databases</w:t>
      </w:r>
    </w:p>
    <w:p w14:paraId="539813B7" w14:textId="542F1761" w:rsidR="00A00DEA" w:rsidRPr="00E66956" w:rsidRDefault="00A00DEA" w:rsidP="00A00DEA">
      <w:pPr>
        <w:pStyle w:val="Bullet1G"/>
        <w:numPr>
          <w:ilvl w:val="0"/>
          <w:numId w:val="0"/>
        </w:numPr>
        <w:tabs>
          <w:tab w:val="left" w:pos="1701"/>
        </w:tabs>
        <w:ind w:left="1701" w:hanging="170"/>
      </w:pPr>
      <w:r w:rsidRPr="00E66956">
        <w:t>•</w:t>
      </w:r>
      <w:r w:rsidRPr="00E66956">
        <w:tab/>
        <w:t>Education and research</w:t>
      </w:r>
    </w:p>
    <w:p w14:paraId="0C3930C5" w14:textId="54B58EAB" w:rsidR="00A00DEA" w:rsidRPr="00E66956" w:rsidRDefault="00A00DEA" w:rsidP="00A00DEA">
      <w:pPr>
        <w:pStyle w:val="Bullet1G"/>
        <w:numPr>
          <w:ilvl w:val="0"/>
          <w:numId w:val="0"/>
        </w:numPr>
        <w:tabs>
          <w:tab w:val="left" w:pos="1701"/>
        </w:tabs>
        <w:ind w:left="1701" w:hanging="170"/>
      </w:pPr>
      <w:r w:rsidRPr="00E66956">
        <w:t>•</w:t>
      </w:r>
      <w:r w:rsidRPr="00E66956">
        <w:tab/>
        <w:t>Memorialisation</w:t>
      </w:r>
    </w:p>
    <w:p w14:paraId="0910AE84" w14:textId="0EF7D510" w:rsidR="00A00DEA" w:rsidRPr="00E66956" w:rsidRDefault="00A00DEA" w:rsidP="00A00DEA">
      <w:pPr>
        <w:pStyle w:val="Bullet1G"/>
        <w:numPr>
          <w:ilvl w:val="0"/>
          <w:numId w:val="0"/>
        </w:numPr>
        <w:tabs>
          <w:tab w:val="left" w:pos="1701"/>
        </w:tabs>
        <w:ind w:left="1701" w:hanging="170"/>
      </w:pPr>
      <w:r w:rsidRPr="00E66956">
        <w:t>•</w:t>
      </w:r>
      <w:r w:rsidRPr="00E66956">
        <w:tab/>
        <w:t>Restorative recognition</w:t>
      </w:r>
    </w:p>
    <w:p w14:paraId="6003B33A" w14:textId="713B6753" w:rsidR="00A00DEA" w:rsidRDefault="00A00DEA" w:rsidP="00A00DEA">
      <w:pPr>
        <w:pStyle w:val="Bullet1G"/>
        <w:numPr>
          <w:ilvl w:val="0"/>
          <w:numId w:val="0"/>
        </w:numPr>
        <w:tabs>
          <w:tab w:val="left" w:pos="1701"/>
        </w:tabs>
        <w:ind w:left="1701" w:hanging="170"/>
      </w:pPr>
      <w:r>
        <w:t>•</w:t>
      </w:r>
      <w:r>
        <w:tab/>
      </w:r>
      <w:r w:rsidRPr="00E66956">
        <w:t>Dignified burial</w:t>
      </w:r>
    </w:p>
    <w:p w14:paraId="5064FF9E" w14:textId="7BA7D8F7" w:rsidR="00A00DEA" w:rsidRDefault="00A00DEA" w:rsidP="00A00DEA">
      <w:pPr>
        <w:pStyle w:val="SingleTxtG"/>
        <w:kinsoku/>
        <w:overflowPunct/>
        <w:autoSpaceDE/>
        <w:autoSpaceDN/>
        <w:adjustRightInd/>
        <w:snapToGrid/>
      </w:pPr>
      <w:r>
        <w:t>22.</w:t>
      </w:r>
      <w:r>
        <w:tab/>
        <w:t>When</w:t>
      </w:r>
      <w:r w:rsidRPr="00CA1CE6">
        <w:t xml:space="preserve"> publishing the</w:t>
      </w:r>
      <w:r>
        <w:t xml:space="preserve"> Final Report of the Commission of Investigation</w:t>
      </w:r>
      <w:r w:rsidRPr="00CA1CE6">
        <w:t xml:space="preserve">, the </w:t>
      </w:r>
      <w:r>
        <w:t>Government</w:t>
      </w:r>
      <w:r w:rsidRPr="00CA1CE6">
        <w:t xml:space="preserve"> paid tribute to the former residents of these institutions; acknowledged their courage and thanked them for their testimony. </w:t>
      </w:r>
    </w:p>
    <w:p w14:paraId="476E4598" w14:textId="6EFD0BD2" w:rsidR="00A00DEA" w:rsidRDefault="00A00DEA" w:rsidP="00A00DEA">
      <w:pPr>
        <w:pStyle w:val="H23G"/>
      </w:pPr>
      <w:r>
        <w:lastRenderedPageBreak/>
        <w:tab/>
      </w:r>
      <w:r>
        <w:tab/>
      </w:r>
      <w:r w:rsidRPr="002F01AB">
        <w:t>Reply to paragraph 4</w:t>
      </w:r>
      <w:r>
        <w:t>(b)</w:t>
      </w:r>
    </w:p>
    <w:p w14:paraId="3C76E396" w14:textId="64646C9E" w:rsidR="00A00DEA" w:rsidRDefault="00A00DEA" w:rsidP="00A00DEA">
      <w:pPr>
        <w:pStyle w:val="SingleTxtG"/>
        <w:kinsoku/>
        <w:overflowPunct/>
        <w:autoSpaceDE/>
        <w:autoSpaceDN/>
        <w:adjustRightInd/>
        <w:snapToGrid/>
      </w:pPr>
      <w:r>
        <w:t>23.</w:t>
      </w:r>
      <w:r>
        <w:tab/>
        <w:t xml:space="preserve">When establishing the independent </w:t>
      </w:r>
      <w:r w:rsidRPr="00E77404">
        <w:t>Commission of Investigation (Mother and Baby Homes)</w:t>
      </w:r>
      <w:r>
        <w:t xml:space="preserve">, the </w:t>
      </w:r>
      <w:r w:rsidRPr="00E77404">
        <w:t xml:space="preserve">Government </w:t>
      </w:r>
      <w:r>
        <w:t>established</w:t>
      </w:r>
      <w:r w:rsidRPr="00E77404">
        <w:t xml:space="preserve"> </w:t>
      </w:r>
      <w:r>
        <w:t>an inquiry</w:t>
      </w:r>
      <w:r w:rsidRPr="00E77404">
        <w:t xml:space="preserve"> with the scope and legal power to examine the broad range of </w:t>
      </w:r>
      <w:r>
        <w:t>related public concerns,</w:t>
      </w:r>
      <w:r w:rsidRPr="00E77404">
        <w:t xml:space="preserve"> and to make any</w:t>
      </w:r>
      <w:r>
        <w:t xml:space="preserve"> findings and recommendations</w:t>
      </w:r>
      <w:r w:rsidRPr="00E77404">
        <w:t xml:space="preserve"> which the Commission deem</w:t>
      </w:r>
      <w:r>
        <w:t>ed</w:t>
      </w:r>
      <w:r w:rsidRPr="00E77404">
        <w:t xml:space="preserve"> </w:t>
      </w:r>
      <w:r>
        <w:t>appropriate</w:t>
      </w:r>
      <w:r w:rsidRPr="00E77404">
        <w:t>.</w:t>
      </w:r>
    </w:p>
    <w:p w14:paraId="3805B5C1" w14:textId="7BA0D6FC" w:rsidR="00A00DEA" w:rsidRDefault="00A00DEA" w:rsidP="00A00DEA">
      <w:pPr>
        <w:pStyle w:val="SingleTxtG"/>
        <w:kinsoku/>
        <w:overflowPunct/>
        <w:autoSpaceDE/>
        <w:autoSpaceDN/>
        <w:adjustRightInd/>
        <w:snapToGrid/>
      </w:pPr>
      <w:r>
        <w:t>24.</w:t>
      </w:r>
      <w:r>
        <w:tab/>
        <w:t>The Commission had significant powers and autonomy and was tasked with examining</w:t>
      </w:r>
      <w:r w:rsidRPr="00763781">
        <w:t xml:space="preserve"> records </w:t>
      </w:r>
      <w:r>
        <w:t>and testimony</w:t>
      </w:r>
      <w:r w:rsidRPr="00763781">
        <w:t xml:space="preserve">, which the State, or other parties, </w:t>
      </w:r>
      <w:r>
        <w:t>may</w:t>
      </w:r>
      <w:r w:rsidRPr="00763781">
        <w:t xml:space="preserve"> not have had access to previously.</w:t>
      </w:r>
      <w:r>
        <w:t xml:space="preserve"> </w:t>
      </w:r>
      <w:r w:rsidRPr="00763781">
        <w:t xml:space="preserve">In recognising that new information could be uncovered </w:t>
      </w:r>
      <w:proofErr w:type="gramStart"/>
      <w:r w:rsidRPr="00763781">
        <w:t>in the course of</w:t>
      </w:r>
      <w:proofErr w:type="gramEnd"/>
      <w:r w:rsidRPr="00763781">
        <w:t xml:space="preserve"> the investigation, the </w:t>
      </w:r>
      <w:r>
        <w:t>Commission</w:t>
      </w:r>
      <w:r w:rsidRPr="00763781">
        <w:t xml:space="preserve"> </w:t>
      </w:r>
      <w:r>
        <w:t>was</w:t>
      </w:r>
      <w:r w:rsidRPr="00763781">
        <w:t xml:space="preserve"> required to report </w:t>
      </w:r>
      <w:r>
        <w:t>on any</w:t>
      </w:r>
      <w:r w:rsidRPr="00763781">
        <w:t xml:space="preserve"> matters or institutions outs</w:t>
      </w:r>
      <w:r>
        <w:t>ide its scope which it considered</w:t>
      </w:r>
      <w:r w:rsidRPr="00763781">
        <w:t xml:space="preserve"> may warrant further investigation in the public interest</w:t>
      </w:r>
      <w:r>
        <w:t xml:space="preserve">. In its second interim report, the Commission offered an assessment of the requests it had received </w:t>
      </w:r>
      <w:r w:rsidRPr="00A77017">
        <w:t>for additional institutions to be investigated</w:t>
      </w:r>
      <w:r>
        <w:t xml:space="preserve"> but did not identify any additional matters warranting investigation</w:t>
      </w:r>
      <w:r w:rsidRPr="00763781">
        <w:t>.</w:t>
      </w:r>
      <w:r>
        <w:t xml:space="preserve"> Notably, the Commission reported that </w:t>
      </w:r>
      <w:r w:rsidRPr="00180459">
        <w:t>the institutions it investigated were</w:t>
      </w:r>
      <w:r>
        <w:t>:</w:t>
      </w:r>
      <w:r w:rsidRPr="00180459">
        <w:t xml:space="preserve"> “</w:t>
      </w:r>
      <w:r>
        <w:t>U</w:t>
      </w:r>
      <w:r w:rsidRPr="00180459">
        <w:t>nquestionably the main such homes that existed during the 20th century.”</w:t>
      </w:r>
    </w:p>
    <w:p w14:paraId="525961DD" w14:textId="3C3941DF" w:rsidR="00A00DEA" w:rsidRDefault="00A00DEA" w:rsidP="00A00DEA">
      <w:pPr>
        <w:pStyle w:val="SingleTxtG"/>
        <w:kinsoku/>
        <w:overflowPunct/>
        <w:autoSpaceDE/>
        <w:autoSpaceDN/>
        <w:adjustRightInd/>
        <w:snapToGrid/>
      </w:pPr>
      <w:r>
        <w:t>25.</w:t>
      </w:r>
      <w:r>
        <w:tab/>
        <w:t xml:space="preserve">The comprehensive scope of the investigation is evident in a final </w:t>
      </w:r>
      <w:r w:rsidRPr="00903353">
        <w:t xml:space="preserve">report </w:t>
      </w:r>
      <w:r>
        <w:t xml:space="preserve">which consists of 39 chapters, each dealing with a specific institution or theme. </w:t>
      </w:r>
      <w:r w:rsidRPr="00180459">
        <w:t>The report brings a considerable amount of previously unknown information into the public domain.</w:t>
      </w:r>
      <w:r>
        <w:t xml:space="preserve"> The State has taken account of the Commission’s findings and its recommendations but has not been limited by these in developing a comprehensive Action Plan containing 22 actions. These measures are intended to address the priority concerns of those who spent time in these institutions and will be implemented in </w:t>
      </w:r>
      <w:r w:rsidRPr="00FD1381">
        <w:t>a survivor-centred way.</w:t>
      </w:r>
    </w:p>
    <w:p w14:paraId="4A0C37D2" w14:textId="5CB2C316" w:rsidR="00A00DEA" w:rsidRPr="00D96CB0" w:rsidRDefault="008A1F1D" w:rsidP="00A00DEA">
      <w:pPr>
        <w:pStyle w:val="SingleTxtG"/>
        <w:ind w:firstLine="567"/>
      </w:pPr>
      <w:r>
        <w:t>(a)</w:t>
      </w:r>
      <w:r w:rsidR="00A00DEA" w:rsidRPr="00D96CB0">
        <w:tab/>
        <w:t>The Committee’s report on Magdalen Laundries published in February 2013 provides a comprehensive analysis of State involvement and the living and working conditions in these institutions. Redress has been provided through the Magdalen Laundry Restorative Justice Scheme</w:t>
      </w:r>
      <w:r w:rsidR="00A00DEA">
        <w:t>,</w:t>
      </w:r>
      <w:r w:rsidR="00A00DEA" w:rsidRPr="00D96CB0">
        <w:t xml:space="preserve"> which addresses the needs of the women, is non-adversarial and is based on length of stay in an institution. </w:t>
      </w:r>
    </w:p>
    <w:p w14:paraId="51C659A4" w14:textId="50F301B3" w:rsidR="00A00DEA" w:rsidRDefault="008A1F1D" w:rsidP="00A00DEA">
      <w:pPr>
        <w:pStyle w:val="SingleTxtG"/>
        <w:ind w:firstLine="567"/>
      </w:pPr>
      <w:r>
        <w:t>(b)</w:t>
      </w:r>
      <w:r w:rsidR="00A00DEA">
        <w:tab/>
      </w:r>
      <w:r w:rsidR="00A00DEA" w:rsidRPr="00D96CB0">
        <w:t xml:space="preserve">The Government is committed to the establishment of memorials and has made a financial commitment of €500,000.  The Government supported the ‘Dublin Honours </w:t>
      </w:r>
      <w:proofErr w:type="spellStart"/>
      <w:r w:rsidR="00A00DEA">
        <w:t>Magdalene</w:t>
      </w:r>
      <w:r w:rsidR="00A00DEA" w:rsidRPr="00D96CB0">
        <w:t>s</w:t>
      </w:r>
      <w:proofErr w:type="spellEnd"/>
      <w:r w:rsidR="00A00DEA" w:rsidRPr="00D96CB0">
        <w:t xml:space="preserve">’ event in June 2018. Over 200 former residents of Magdalen Laundries attended the event, which was held in the official residence of the Lord Mayor of Dublin. </w:t>
      </w:r>
    </w:p>
    <w:p w14:paraId="4169C710" w14:textId="159520A6" w:rsidR="00A00DEA" w:rsidRDefault="008A1F1D" w:rsidP="00A00DEA">
      <w:pPr>
        <w:pStyle w:val="SingleTxtG"/>
        <w:ind w:firstLine="567"/>
      </w:pPr>
      <w:r>
        <w:t>(c)</w:t>
      </w:r>
      <w:r w:rsidR="00A00DEA">
        <w:tab/>
      </w:r>
      <w:r w:rsidR="00A00DEA" w:rsidRPr="00D96CB0">
        <w:t>There is no statute of limitations with regards to criminal investigations. Individuals can make a complaint to AGS where they believe that the treatment to which they were subject in a Laundry was a criminal offence.</w:t>
      </w:r>
    </w:p>
    <w:p w14:paraId="4BCE0C43" w14:textId="1F7438EE" w:rsidR="00A00DEA" w:rsidRDefault="00A00DEA" w:rsidP="00A00DEA">
      <w:pPr>
        <w:pStyle w:val="H23G"/>
      </w:pPr>
      <w:r>
        <w:tab/>
      </w:r>
      <w:r>
        <w:tab/>
      </w:r>
      <w:r w:rsidRPr="002F01AB">
        <w:t>Reply to paragraph 4</w:t>
      </w:r>
      <w:r>
        <w:t>(c)</w:t>
      </w:r>
    </w:p>
    <w:p w14:paraId="6F89BA43" w14:textId="15123402" w:rsidR="00A00DEA" w:rsidRDefault="008A1F1D" w:rsidP="00A00DEA">
      <w:pPr>
        <w:pStyle w:val="SingleTxtG"/>
        <w:kinsoku/>
        <w:overflowPunct/>
        <w:autoSpaceDE/>
        <w:autoSpaceDN/>
        <w:adjustRightInd/>
        <w:snapToGrid/>
      </w:pPr>
      <w:r>
        <w:t>26.</w:t>
      </w:r>
      <w:r w:rsidR="00A00DEA">
        <w:tab/>
        <w:t xml:space="preserve">The Commission of Investigation into </w:t>
      </w:r>
      <w:r w:rsidR="00A00DEA" w:rsidRPr="007A6A41">
        <w:t>Mother and Baby Hom</w:t>
      </w:r>
      <w:r w:rsidR="00A00DEA">
        <w:t xml:space="preserve">es was designed to facilitate </w:t>
      </w:r>
      <w:r w:rsidR="00A00DEA" w:rsidRPr="007A6A41">
        <w:t>effect</w:t>
      </w:r>
      <w:r w:rsidR="00A00DEA">
        <w:t>ive fact-finding, not</w:t>
      </w:r>
      <w:r w:rsidR="00A00DEA" w:rsidRPr="007A6A41">
        <w:t xml:space="preserve"> to impose penalties or adjudicate on individual behaviours. </w:t>
      </w:r>
    </w:p>
    <w:p w14:paraId="11BB7E46" w14:textId="7661F0F0" w:rsidR="00A00DEA" w:rsidRDefault="008A1F1D" w:rsidP="00A00DEA">
      <w:pPr>
        <w:pStyle w:val="SingleTxtG"/>
        <w:kinsoku/>
        <w:overflowPunct/>
        <w:autoSpaceDE/>
        <w:autoSpaceDN/>
        <w:adjustRightInd/>
        <w:snapToGrid/>
      </w:pPr>
      <w:r>
        <w:t>27.</w:t>
      </w:r>
      <w:r w:rsidR="00A00DEA">
        <w:tab/>
        <w:t xml:space="preserve">AGS </w:t>
      </w:r>
      <w:r w:rsidR="00A00DEA" w:rsidRPr="001A6D62">
        <w:t>co</w:t>
      </w:r>
      <w:r w:rsidR="00A00DEA">
        <w:t xml:space="preserve">nsidered the Commission’s Final Report and determined </w:t>
      </w:r>
      <w:r w:rsidR="00A00DEA" w:rsidRPr="001A6D62">
        <w:t xml:space="preserve">that there is insufficient </w:t>
      </w:r>
      <w:r w:rsidR="00A00DEA">
        <w:t xml:space="preserve">information </w:t>
      </w:r>
      <w:r w:rsidR="00A00DEA" w:rsidRPr="001A6D62">
        <w:t>to commence criminal investigation</w:t>
      </w:r>
      <w:r w:rsidR="00A00DEA">
        <w:t>s</w:t>
      </w:r>
      <w:r w:rsidR="00A00DEA" w:rsidRPr="001A6D62">
        <w:t>.</w:t>
      </w:r>
      <w:r w:rsidR="00A00DEA">
        <w:t xml:space="preserve"> AGS</w:t>
      </w:r>
      <w:r w:rsidR="00A00DEA" w:rsidRPr="001A6D62">
        <w:t xml:space="preserve"> </w:t>
      </w:r>
      <w:r w:rsidR="00A00DEA">
        <w:t>issued a statement on 29 April 2021 appealing</w:t>
      </w:r>
      <w:r w:rsidR="00A00DEA" w:rsidRPr="001A6D62">
        <w:t xml:space="preserve"> </w:t>
      </w:r>
      <w:r w:rsidR="00A00DEA">
        <w:t>for information from anyone who wishes</w:t>
      </w:r>
      <w:r w:rsidR="00A00DEA" w:rsidRPr="001A6D62">
        <w:t xml:space="preserve"> to report a crime relating to a pregnancy and/or abuse at a Mother and Baby Home</w:t>
      </w:r>
      <w:r w:rsidR="00A00DEA">
        <w:t>. AGS will deal with reports in a sensitive manner and will, where possible, conduct investigations.  AGS</w:t>
      </w:r>
      <w:r w:rsidR="00A00DEA" w:rsidRPr="001A6D62">
        <w:t xml:space="preserve"> </w:t>
      </w:r>
      <w:r w:rsidR="00A00DEA">
        <w:t xml:space="preserve">advised that there may be limitations as to the action that can be taken in some cases due to the loss of evidence over time or suspects and/or witnesses being deceased. </w:t>
      </w:r>
    </w:p>
    <w:p w14:paraId="60E8067D" w14:textId="26651A94" w:rsidR="00A00DEA" w:rsidRDefault="008A1F1D" w:rsidP="00A00DEA">
      <w:pPr>
        <w:pStyle w:val="SingleTxtG"/>
        <w:kinsoku/>
        <w:overflowPunct/>
        <w:autoSpaceDE/>
        <w:autoSpaceDN/>
        <w:adjustRightInd/>
        <w:snapToGrid/>
      </w:pPr>
      <w:r>
        <w:t>28.</w:t>
      </w:r>
      <w:r w:rsidR="00A00DEA">
        <w:tab/>
        <w:t>Upon the dissolution of the Commission of Investigation on 28 February 2021, the State became the controller for all the personal data contained in the Commission’s archive.</w:t>
      </w:r>
    </w:p>
    <w:p w14:paraId="404DD90E" w14:textId="0FB96F1E" w:rsidR="00A00DEA" w:rsidRDefault="008A1F1D" w:rsidP="00A00DEA">
      <w:pPr>
        <w:pStyle w:val="SingleTxtG"/>
        <w:kinsoku/>
        <w:overflowPunct/>
        <w:autoSpaceDE/>
        <w:autoSpaceDN/>
        <w:adjustRightInd/>
        <w:snapToGrid/>
      </w:pPr>
      <w:r>
        <w:t>29.</w:t>
      </w:r>
      <w:r w:rsidR="00A00DEA">
        <w:tab/>
        <w:t xml:space="preserve">This State is responsible for protecting the rights of the individuals who are identified in these records. Everyone has the right to access their own personal data through a request to the Data Controller. The spouse or next of kin of a deceased person may potentially have a right to access data. Each request is considered on a </w:t>
      </w:r>
      <w:proofErr w:type="gramStart"/>
      <w:r w:rsidR="00A00DEA">
        <w:t>case by case</w:t>
      </w:r>
      <w:proofErr w:type="gramEnd"/>
      <w:r w:rsidR="00A00DEA">
        <w:t xml:space="preserve"> basis.</w:t>
      </w:r>
    </w:p>
    <w:p w14:paraId="05BB36DC" w14:textId="78E83DEE" w:rsidR="00A00DEA" w:rsidRPr="002F01AB" w:rsidRDefault="00A00DEA" w:rsidP="00A00DEA">
      <w:pPr>
        <w:pStyle w:val="H23G"/>
      </w:pPr>
      <w:r>
        <w:lastRenderedPageBreak/>
        <w:tab/>
      </w:r>
      <w:r>
        <w:tab/>
      </w:r>
      <w:r w:rsidRPr="002F01AB">
        <w:t xml:space="preserve">Reply to </w:t>
      </w:r>
      <w:r>
        <w:t xml:space="preserve">paragraph 5 </w:t>
      </w:r>
    </w:p>
    <w:p w14:paraId="427ADC06" w14:textId="57E89316" w:rsidR="00A00DEA" w:rsidRDefault="008A1F1D" w:rsidP="00A00DEA">
      <w:pPr>
        <w:pStyle w:val="SingleTxtG"/>
        <w:kinsoku/>
        <w:overflowPunct/>
        <w:autoSpaceDE/>
        <w:autoSpaceDN/>
        <w:adjustRightInd/>
        <w:snapToGrid/>
      </w:pPr>
      <w:r>
        <w:t>30.</w:t>
      </w:r>
      <w:r w:rsidR="00A00DEA">
        <w:tab/>
        <w:t>T</w:t>
      </w:r>
      <w:r w:rsidR="00A00DEA" w:rsidRPr="00C8166B">
        <w:t xml:space="preserve">he State has </w:t>
      </w:r>
      <w:r w:rsidR="00A00DEA">
        <w:t>implemented</w:t>
      </w:r>
      <w:r w:rsidR="00A00DEA" w:rsidRPr="00C8166B">
        <w:t xml:space="preserve"> a range of measures for women affected by Symphysiotomy. All available facts </w:t>
      </w:r>
      <w:r w:rsidR="00A00DEA">
        <w:t>are contained</w:t>
      </w:r>
      <w:r w:rsidR="00A00DEA" w:rsidRPr="00C8166B">
        <w:t xml:space="preserve"> in three independent reports (Walsh, Murphy and Harding Clark, 2013 - 2016) </w:t>
      </w:r>
    </w:p>
    <w:p w14:paraId="7E57A2E0" w14:textId="105F8DE2" w:rsidR="00A00DEA" w:rsidRPr="002975E5" w:rsidRDefault="008A1F1D" w:rsidP="00A00DEA">
      <w:pPr>
        <w:pStyle w:val="SingleTxtG"/>
        <w:kinsoku/>
        <w:overflowPunct/>
        <w:autoSpaceDE/>
        <w:autoSpaceDN/>
        <w:adjustRightInd/>
        <w:snapToGrid/>
      </w:pPr>
      <w:r>
        <w:t>31.</w:t>
      </w:r>
      <w:r w:rsidR="00A00DEA" w:rsidRPr="002975E5">
        <w:tab/>
        <w:t xml:space="preserve">The Symphysiotomy Payment Scheme </w:t>
      </w:r>
      <w:r w:rsidR="00A00DEA">
        <w:t xml:space="preserve">(SPS) </w:t>
      </w:r>
      <w:r w:rsidR="00A00DEA" w:rsidRPr="002975E5">
        <w:t xml:space="preserve">was accessed </w:t>
      </w:r>
      <w:r w:rsidR="00A00DEA">
        <w:t xml:space="preserve">through </w:t>
      </w:r>
      <w:r w:rsidR="00A00DEA" w:rsidRPr="002975E5">
        <w:t>application</w:t>
      </w:r>
      <w:r w:rsidR="00A00DEA">
        <w:t>s</w:t>
      </w:r>
      <w:r w:rsidR="00A00DEA" w:rsidRPr="002975E5">
        <w:t xml:space="preserve"> to the Scheme. </w:t>
      </w:r>
      <w:r w:rsidR="00A00DEA">
        <w:t>E</w:t>
      </w:r>
      <w:r w:rsidR="00A00DEA" w:rsidRPr="002975E5">
        <w:t xml:space="preserve">x-gratia payments </w:t>
      </w:r>
      <w:r w:rsidR="00A00DEA">
        <w:t xml:space="preserve">totalling €29.8m </w:t>
      </w:r>
      <w:r w:rsidR="00A00DEA" w:rsidRPr="002975E5">
        <w:t xml:space="preserve">were </w:t>
      </w:r>
      <w:r w:rsidR="00A00DEA">
        <w:t>disbursed</w:t>
      </w:r>
      <w:r w:rsidR="00A00DEA" w:rsidRPr="002975E5">
        <w:t xml:space="preserve"> </w:t>
      </w:r>
      <w:r w:rsidR="00A00DEA">
        <w:t xml:space="preserve">to </w:t>
      </w:r>
      <w:r w:rsidR="00A00DEA" w:rsidRPr="002975E5">
        <w:t xml:space="preserve">399 women who underwent the procedure. </w:t>
      </w:r>
    </w:p>
    <w:p w14:paraId="03105D45" w14:textId="3CD2D73E" w:rsidR="00A00DEA" w:rsidRDefault="008A1F1D" w:rsidP="00A00DEA">
      <w:pPr>
        <w:pStyle w:val="SingleTxtG"/>
        <w:kinsoku/>
        <w:overflowPunct/>
        <w:autoSpaceDE/>
        <w:autoSpaceDN/>
        <w:adjustRightInd/>
        <w:snapToGrid/>
      </w:pPr>
      <w:r>
        <w:t>32.</w:t>
      </w:r>
      <w:r w:rsidR="00A00DEA">
        <w:t>.</w:t>
      </w:r>
      <w:r w:rsidR="00A00DEA">
        <w:tab/>
      </w:r>
      <w:r w:rsidR="00A00DEA" w:rsidRPr="002975E5">
        <w:t xml:space="preserve">The Health Service provides </w:t>
      </w:r>
      <w:r w:rsidR="00A00DEA">
        <w:t xml:space="preserve">free </w:t>
      </w:r>
      <w:r w:rsidR="00A00DEA" w:rsidRPr="002975E5">
        <w:t>ongoing medical services to a</w:t>
      </w:r>
      <w:r w:rsidR="00A00DEA">
        <w:t>ll women who had a Symphysiotomy</w:t>
      </w:r>
      <w:r w:rsidR="00A00DEA" w:rsidRPr="002975E5">
        <w:t xml:space="preserve">. </w:t>
      </w:r>
      <w:r w:rsidR="00A00DEA">
        <w:t>T</w:t>
      </w:r>
      <w:r w:rsidR="00A00DEA" w:rsidRPr="002975E5">
        <w:t xml:space="preserve">he </w:t>
      </w:r>
      <w:r w:rsidR="00A00DEA">
        <w:t>December 2020</w:t>
      </w:r>
      <w:r w:rsidR="00A00DEA" w:rsidRPr="002975E5">
        <w:t xml:space="preserve"> judgment of the </w:t>
      </w:r>
      <w:r w:rsidR="00A00DEA">
        <w:t xml:space="preserve">European Court of Human Rights </w:t>
      </w:r>
      <w:r w:rsidR="00A00DEA" w:rsidRPr="002975E5">
        <w:t>found that</w:t>
      </w:r>
      <w:r w:rsidR="00A00DEA">
        <w:t>, “I</w:t>
      </w:r>
      <w:r w:rsidR="00A00DEA" w:rsidRPr="002975E5">
        <w:t xml:space="preserve">n the Court’s view these factors had sufficed to meet any obligation the State might have </w:t>
      </w:r>
      <w:r w:rsidR="00A00DEA">
        <w:t xml:space="preserve">been under to provide redress.” </w:t>
      </w:r>
    </w:p>
    <w:p w14:paraId="25D6D724" w14:textId="7F982B94" w:rsidR="00A00DEA" w:rsidRPr="002E5507" w:rsidRDefault="008A1F1D" w:rsidP="00A00DEA">
      <w:pPr>
        <w:pStyle w:val="SingleTxtG"/>
        <w:kinsoku/>
        <w:overflowPunct/>
        <w:autoSpaceDE/>
        <w:autoSpaceDN/>
        <w:adjustRightInd/>
        <w:snapToGrid/>
      </w:pPr>
      <w:r>
        <w:t>33.</w:t>
      </w:r>
      <w:r w:rsidR="00A00DEA" w:rsidRPr="002E5507">
        <w:tab/>
      </w:r>
      <w:r w:rsidR="00A00DEA">
        <w:t xml:space="preserve">The </w:t>
      </w:r>
      <w:r w:rsidR="00A00DEA" w:rsidRPr="002E5507">
        <w:t>Murphy</w:t>
      </w:r>
      <w:r w:rsidR="00A00DEA">
        <w:t xml:space="preserve"> report</w:t>
      </w:r>
      <w:r w:rsidR="00A00DEA" w:rsidRPr="002E5507">
        <w:t xml:space="preserve"> found that a court was not likely to hold that it was necessary to have obtained an informed consent in unexpected lifesaving emergency situations of obstructed delivery during labour.</w:t>
      </w:r>
    </w:p>
    <w:p w14:paraId="3E0846F7" w14:textId="49EBC2E8" w:rsidR="00A00DEA" w:rsidRPr="00D96CB0" w:rsidRDefault="008A1F1D" w:rsidP="00A00DEA">
      <w:pPr>
        <w:pStyle w:val="SingleTxtG"/>
        <w:kinsoku/>
        <w:overflowPunct/>
        <w:autoSpaceDE/>
        <w:autoSpaceDN/>
        <w:adjustRightInd/>
        <w:snapToGrid/>
        <w:rPr>
          <w:color w:val="000000"/>
        </w:rPr>
      </w:pPr>
      <w:r>
        <w:rPr>
          <w:color w:val="000000"/>
        </w:rPr>
        <w:t>34.</w:t>
      </w:r>
      <w:r w:rsidR="00A00DEA" w:rsidRPr="00D96CB0">
        <w:rPr>
          <w:color w:val="000000"/>
        </w:rPr>
        <w:tab/>
        <w:t>Judge Clark’s Report and the outcome of a 2015 High Court case found that the procedure at that time “</w:t>
      </w:r>
      <w:r w:rsidR="00A00DEA" w:rsidRPr="00D96CB0">
        <w:rPr>
          <w:i/>
          <w:iCs/>
          <w:color w:val="000000"/>
        </w:rPr>
        <w:t xml:space="preserve">was not without justification”. </w:t>
      </w:r>
      <w:r w:rsidR="00A00DEA" w:rsidRPr="00D96CB0">
        <w:rPr>
          <w:color w:val="000000"/>
          <w:bdr w:val="none" w:sz="0" w:space="0" w:color="auto" w:frame="1"/>
        </w:rPr>
        <w:t>This decision </w:t>
      </w:r>
      <w:r w:rsidR="00A00DEA" w:rsidRPr="00D96CB0">
        <w:rPr>
          <w:color w:val="000000"/>
        </w:rPr>
        <w:t xml:space="preserve">was upheld by the Court of Appeal. The legal </w:t>
      </w:r>
      <w:r w:rsidR="00A00DEA">
        <w:rPr>
          <w:color w:val="000000"/>
        </w:rPr>
        <w:t>position is that, at the time, S</w:t>
      </w:r>
      <w:r w:rsidR="00A00DEA" w:rsidRPr="00D96CB0">
        <w:rPr>
          <w:color w:val="000000"/>
        </w:rPr>
        <w:t>ymphysiotomy in certain cases was a reasonable option, and so it would be necessary to establish in any particular case that the procedure was not justified. The Courts have yet to make any such finding, and so</w:t>
      </w:r>
      <w:r w:rsidR="00A00DEA" w:rsidRPr="00D96CB0">
        <w:rPr>
          <w:color w:val="000000"/>
          <w:bdr w:val="none" w:sz="0" w:space="0" w:color="auto" w:frame="1"/>
        </w:rPr>
        <w:t> </w:t>
      </w:r>
      <w:r w:rsidR="00A00DEA" w:rsidRPr="00D96CB0">
        <w:rPr>
          <w:color w:val="000000"/>
        </w:rPr>
        <w:t>it cannot be accepted that obstetricians who conducted the procedure at the time should now be punished.</w:t>
      </w:r>
      <w:r w:rsidR="00A00DEA" w:rsidRPr="00D96CB0">
        <w:rPr>
          <w:b/>
          <w:bCs/>
          <w:color w:val="000000"/>
          <w:bdr w:val="none" w:sz="0" w:space="0" w:color="auto" w:frame="1"/>
        </w:rPr>
        <w:t>  </w:t>
      </w:r>
      <w:r w:rsidR="00A00DEA" w:rsidRPr="00D96CB0">
        <w:rPr>
          <w:b/>
          <w:bCs/>
          <w:color w:val="000000"/>
        </w:rPr>
        <w:t> </w:t>
      </w:r>
    </w:p>
    <w:p w14:paraId="43C29A72" w14:textId="415166A4" w:rsidR="00A00DEA" w:rsidRDefault="00A00DEA" w:rsidP="00A00DEA">
      <w:pPr>
        <w:pStyle w:val="H1G"/>
      </w:pPr>
      <w:r>
        <w:tab/>
      </w:r>
      <w:r>
        <w:tab/>
        <w:t xml:space="preserve">Derogations (arts. 4, 9, 12, 21 and 22) </w:t>
      </w:r>
    </w:p>
    <w:p w14:paraId="2DEA1565" w14:textId="7D95C9C1" w:rsidR="00A00DEA" w:rsidRDefault="00A00DEA" w:rsidP="00A00DEA">
      <w:pPr>
        <w:pStyle w:val="H23G"/>
      </w:pPr>
      <w:r>
        <w:tab/>
      </w:r>
      <w:r>
        <w:tab/>
      </w:r>
      <w:r w:rsidRPr="002F01AB">
        <w:t xml:space="preserve">Reply to </w:t>
      </w:r>
      <w:r>
        <w:t xml:space="preserve">paragraph 6 </w:t>
      </w:r>
    </w:p>
    <w:p w14:paraId="24D9DDC3" w14:textId="084AB63C" w:rsidR="00A00DEA" w:rsidRPr="00D96CB0" w:rsidRDefault="008A1F1D" w:rsidP="00A00DEA">
      <w:pPr>
        <w:pStyle w:val="SingleTxtG"/>
        <w:kinsoku/>
        <w:overflowPunct/>
        <w:autoSpaceDE/>
        <w:autoSpaceDN/>
        <w:adjustRightInd/>
        <w:snapToGrid/>
      </w:pPr>
      <w:r>
        <w:t>35.</w:t>
      </w:r>
      <w:r w:rsidR="00A00DEA" w:rsidRPr="00D96CB0">
        <w:tab/>
      </w:r>
      <w:r w:rsidR="00A00DEA" w:rsidRPr="00421C15">
        <w:t xml:space="preserve">The </w:t>
      </w:r>
      <w:r w:rsidR="00A00DEA">
        <w:t xml:space="preserve">Health </w:t>
      </w:r>
      <w:r w:rsidR="00D54DE2">
        <w:t>(</w:t>
      </w:r>
      <w:r w:rsidR="00D54DE2" w:rsidRPr="00D71CDF">
        <w:t>Preservation and Protection and other Emergency Measures in the Public Interest)</w:t>
      </w:r>
      <w:r w:rsidR="00D54DE2">
        <w:t xml:space="preserve"> </w:t>
      </w:r>
      <w:r w:rsidR="00A00DEA">
        <w:t>Act 2020</w:t>
      </w:r>
      <w:r w:rsidR="00A00DEA" w:rsidRPr="00421C15">
        <w:t xml:space="preserve"> was enacted on 20 March 2020</w:t>
      </w:r>
      <w:r w:rsidR="00A00DEA">
        <w:t xml:space="preserve">. It </w:t>
      </w:r>
      <w:r w:rsidR="00A00DEA" w:rsidRPr="00421C15">
        <w:t>amended the Health Act 1947 authorising the Minister to make regulations for preventing the spread of COVID-19</w:t>
      </w:r>
      <w:r w:rsidR="00A00DEA">
        <w:t>, through the introduction of various measures, including</w:t>
      </w:r>
      <w:r w:rsidR="00A00DEA" w:rsidRPr="00421C15">
        <w:t xml:space="preserve"> by</w:t>
      </w:r>
      <w:r w:rsidR="00A00DEA">
        <w:t xml:space="preserve"> </w:t>
      </w:r>
      <w:r w:rsidR="00A00DEA" w:rsidRPr="00421C15">
        <w:t>restricting travel</w:t>
      </w:r>
      <w:r w:rsidR="00A00DEA">
        <w:t xml:space="preserve"> </w:t>
      </w:r>
      <w:r w:rsidR="00A00DEA" w:rsidRPr="00421C15">
        <w:t xml:space="preserve">within Ireland; requiring persons to remain </w:t>
      </w:r>
      <w:r w:rsidR="00A00DEA">
        <w:t>at home, with specified exceptions</w:t>
      </w:r>
      <w:r w:rsidR="00A00DEA" w:rsidRPr="00421C15">
        <w:t>; prohibiting events that could reasonably be considered to pose a risk of infection; and, other measures consider</w:t>
      </w:r>
      <w:r w:rsidR="00A00DEA">
        <w:t>ed</w:t>
      </w:r>
      <w:r w:rsidR="00A00DEA" w:rsidRPr="00421C15">
        <w:t xml:space="preserve"> necessary. The Act was extended </w:t>
      </w:r>
      <w:r w:rsidR="00A00DEA" w:rsidRPr="00D96CB0">
        <w:t>to 09 November 2021 by the enactment of the Health and Criminal Justice (Covid-19) (Amendment) Act 2021 on 06 June 2021</w:t>
      </w:r>
      <w:r w:rsidR="00D54DE2">
        <w:t xml:space="preserve"> </w:t>
      </w:r>
      <w:r w:rsidR="00D54DE2" w:rsidRPr="00D71CDF">
        <w:rPr>
          <w:highlight w:val="lightGray"/>
        </w:rPr>
        <w:t>and further extended to 31 March 2022 with the enactment of the Health and Criminal Justice (Covid-19) (No.2) Act 2021</w:t>
      </w:r>
      <w:r w:rsidR="00A00DEA" w:rsidRPr="00D71CDF">
        <w:rPr>
          <w:highlight w:val="lightGray"/>
        </w:rPr>
        <w:t>.</w:t>
      </w:r>
      <w:r w:rsidR="00D54DE2" w:rsidRPr="00D71CDF">
        <w:rPr>
          <w:highlight w:val="lightGray"/>
        </w:rPr>
        <w:t xml:space="preserve"> There were no further extensions and the Act fell on 31 March.</w:t>
      </w:r>
    </w:p>
    <w:p w14:paraId="551D4413" w14:textId="65ED2EFD" w:rsidR="00A00DEA" w:rsidRDefault="008A1F1D" w:rsidP="00A00DEA">
      <w:pPr>
        <w:pStyle w:val="SingleTxtG"/>
      </w:pPr>
      <w:r>
        <w:t>36.</w:t>
      </w:r>
      <w:r w:rsidR="00A00DEA">
        <w:tab/>
      </w:r>
      <w:r w:rsidR="00A00DEA" w:rsidRPr="00D90D2B">
        <w:t xml:space="preserve">No derogation has been made under Article 4 of </w:t>
      </w:r>
      <w:r w:rsidR="00A00DEA">
        <w:t xml:space="preserve">the Covenant in relation to the </w:t>
      </w:r>
      <w:r w:rsidR="00A00DEA" w:rsidRPr="00D90D2B">
        <w:t>measures taken by the State party to address the COVID-19 pandemic.</w:t>
      </w:r>
    </w:p>
    <w:p w14:paraId="5EC97C9E" w14:textId="60565EFE" w:rsidR="00A00DEA" w:rsidRDefault="008A1F1D" w:rsidP="00A00DEA">
      <w:pPr>
        <w:pStyle w:val="SingleTxtG"/>
        <w:kinsoku/>
        <w:overflowPunct/>
        <w:autoSpaceDE/>
        <w:autoSpaceDN/>
        <w:adjustRightInd/>
        <w:snapToGrid/>
      </w:pPr>
      <w:r>
        <w:t>37.</w:t>
      </w:r>
      <w:r w:rsidR="00A00DEA">
        <w:tab/>
      </w:r>
      <w:r w:rsidR="00073536" w:rsidRPr="00D71CDF">
        <w:rPr>
          <w:highlight w:val="lightGray"/>
        </w:rPr>
        <w:t xml:space="preserve">Various regulations were introduced to give An Garda Síochána additional powers, including arrest without warrant. Offences were punishable by a fine of up to €5,000, up to six months imprisonment, or a combination of both. The penal provisions were enforced by AGS using the 4 </w:t>
      </w:r>
      <w:proofErr w:type="gramStart"/>
      <w:r w:rsidR="00073536" w:rsidRPr="00D71CDF">
        <w:rPr>
          <w:highlight w:val="lightGray"/>
        </w:rPr>
        <w:t>E’s</w:t>
      </w:r>
      <w:proofErr w:type="gramEnd"/>
      <w:r w:rsidR="00073536" w:rsidRPr="00D71CDF">
        <w:rPr>
          <w:highlight w:val="lightGray"/>
        </w:rPr>
        <w:t xml:space="preserve"> of engagement, encouragement, education and, as a last resort, enforcement.</w:t>
      </w:r>
    </w:p>
    <w:p w14:paraId="72BEB2EE" w14:textId="10275B96" w:rsidR="00A00DEA" w:rsidRDefault="008A1F1D" w:rsidP="00A00DEA">
      <w:pPr>
        <w:pStyle w:val="SingleTxtG"/>
        <w:kinsoku/>
        <w:overflowPunct/>
        <w:autoSpaceDE/>
        <w:autoSpaceDN/>
        <w:adjustRightInd/>
        <w:snapToGrid/>
      </w:pPr>
      <w:r>
        <w:t>38.</w:t>
      </w:r>
      <w:r w:rsidR="00A00DEA">
        <w:tab/>
      </w:r>
      <w:r w:rsidR="00093468" w:rsidRPr="00D71CDF">
        <w:rPr>
          <w:highlight w:val="lightGray"/>
        </w:rPr>
        <w:t>The Act provided that guidance and advice could be supported by enforcement with proportionate penalties</w:t>
      </w:r>
      <w:r w:rsidR="00093468" w:rsidRPr="00093468">
        <w:t xml:space="preserve">. </w:t>
      </w:r>
    </w:p>
    <w:p w14:paraId="18E34621" w14:textId="7763AF09" w:rsidR="00A00DEA" w:rsidRDefault="008A1F1D" w:rsidP="00A00DEA">
      <w:pPr>
        <w:pStyle w:val="SingleTxtG"/>
        <w:kinsoku/>
        <w:overflowPunct/>
        <w:autoSpaceDE/>
        <w:autoSpaceDN/>
        <w:adjustRightInd/>
        <w:snapToGrid/>
      </w:pPr>
      <w:r>
        <w:t>39.</w:t>
      </w:r>
      <w:r w:rsidR="00A00DEA">
        <w:tab/>
      </w:r>
      <w:r w:rsidR="00A00DEA" w:rsidRPr="00421C15">
        <w:t>Section 5(5) of the 1947</w:t>
      </w:r>
      <w:r w:rsidR="00A00DEA">
        <w:t xml:space="preserve"> Act</w:t>
      </w:r>
      <w:r w:rsidR="00A00DEA" w:rsidRPr="00421C15">
        <w:t xml:space="preserve"> provides that regulation</w:t>
      </w:r>
      <w:r w:rsidR="00A00DEA">
        <w:t xml:space="preserve">s made </w:t>
      </w:r>
      <w:r w:rsidR="00A00DEA" w:rsidRPr="00421C15">
        <w:t xml:space="preserve">under the Act must be laid before the Oireachtas. </w:t>
      </w:r>
      <w:r w:rsidR="00A00DEA">
        <w:t>T</w:t>
      </w:r>
      <w:r w:rsidR="00A00DEA" w:rsidRPr="00421C15">
        <w:t xml:space="preserve">he Oireachtas has 21 days to annul </w:t>
      </w:r>
      <w:r w:rsidR="00A00DEA">
        <w:t xml:space="preserve">these </w:t>
      </w:r>
      <w:r w:rsidR="00A00DEA" w:rsidRPr="00421C15">
        <w:t xml:space="preserve">Regulations. </w:t>
      </w:r>
    </w:p>
    <w:p w14:paraId="62062898" w14:textId="48DC92DB" w:rsidR="00A00DEA" w:rsidRPr="006D194A" w:rsidRDefault="008A1F1D" w:rsidP="00A00DEA">
      <w:pPr>
        <w:pStyle w:val="SingleTxtG"/>
        <w:kinsoku/>
        <w:overflowPunct/>
        <w:autoSpaceDE/>
        <w:autoSpaceDN/>
        <w:adjustRightInd/>
        <w:snapToGrid/>
      </w:pPr>
      <w:r>
        <w:t>40.</w:t>
      </w:r>
      <w:r w:rsidR="00A00DEA" w:rsidRPr="006D194A">
        <w:tab/>
      </w:r>
      <w:r w:rsidR="00073536" w:rsidRPr="00C657C9">
        <w:t xml:space="preserve">The Government launched the ‘Still Here’ campaign in collaboration with civil society organisations (CSOs) in 2020. It informs domestic abuse victims that supports are still available regardless of the level of COVID-19 restrictions and that travel restrictions do not apply to persons at risk. </w:t>
      </w:r>
      <w:r w:rsidR="00073536" w:rsidRPr="00D71CDF">
        <w:rPr>
          <w:highlight w:val="lightGray"/>
        </w:rPr>
        <w:t>The campaign is ready to be re-launched at any point when it appears the COVID-19 pandemic restrictions may worsen. The last burst of the campaign ran from the 26</w:t>
      </w:r>
      <w:r w:rsidR="00073536" w:rsidRPr="00D71CDF">
        <w:rPr>
          <w:highlight w:val="lightGray"/>
          <w:vertAlign w:val="superscript"/>
        </w:rPr>
        <w:t>th</w:t>
      </w:r>
      <w:r w:rsidR="00073536" w:rsidRPr="00D71CDF">
        <w:rPr>
          <w:highlight w:val="lightGray"/>
        </w:rPr>
        <w:t xml:space="preserve"> of December 2021 until 2</w:t>
      </w:r>
      <w:r w:rsidR="00073536" w:rsidRPr="00D71CDF">
        <w:rPr>
          <w:highlight w:val="lightGray"/>
          <w:vertAlign w:val="superscript"/>
        </w:rPr>
        <w:t>nd</w:t>
      </w:r>
      <w:r w:rsidR="00073536" w:rsidRPr="00D71CDF">
        <w:rPr>
          <w:highlight w:val="lightGray"/>
        </w:rPr>
        <w:t xml:space="preserve"> of January 2022.</w:t>
      </w:r>
    </w:p>
    <w:p w14:paraId="1B52557A" w14:textId="0CC48482" w:rsidR="00A00DEA" w:rsidRDefault="00A00DEA" w:rsidP="00A00DEA">
      <w:pPr>
        <w:pStyle w:val="H1G"/>
      </w:pPr>
      <w:r>
        <w:lastRenderedPageBreak/>
        <w:tab/>
      </w:r>
      <w:r>
        <w:tab/>
        <w:t>Non-discrimination (arts. 2, 3, 13, 20, 23, 26 and 27)</w:t>
      </w:r>
    </w:p>
    <w:p w14:paraId="38AC51E8" w14:textId="18B70779" w:rsidR="00A00DEA" w:rsidRDefault="00A00DEA" w:rsidP="00A00DEA">
      <w:pPr>
        <w:pStyle w:val="H23G"/>
      </w:pPr>
      <w:r>
        <w:tab/>
      </w:r>
      <w:r>
        <w:tab/>
      </w:r>
      <w:r w:rsidRPr="002F01AB">
        <w:t xml:space="preserve">Reply to </w:t>
      </w:r>
      <w:r>
        <w:t xml:space="preserve">paragraph 7(a) </w:t>
      </w:r>
    </w:p>
    <w:p w14:paraId="33EA4A6D" w14:textId="76EBB0BC" w:rsidR="00A00DEA" w:rsidRPr="006D194A" w:rsidRDefault="008A1F1D" w:rsidP="00A00DEA">
      <w:pPr>
        <w:pStyle w:val="SingleTxtG"/>
        <w:kinsoku/>
        <w:overflowPunct/>
        <w:autoSpaceDE/>
        <w:autoSpaceDN/>
        <w:adjustRightInd/>
        <w:snapToGrid/>
      </w:pPr>
      <w:r>
        <w:t>41.</w:t>
      </w:r>
      <w:r w:rsidR="00A00DEA" w:rsidRPr="006D194A">
        <w:tab/>
        <w:t xml:space="preserve">The Equal Status Acts 2000-2018 prohibit discrimination </w:t>
      </w:r>
      <w:r w:rsidR="00A00DEA">
        <w:t xml:space="preserve">on </w:t>
      </w:r>
      <w:r w:rsidR="00A00DEA" w:rsidRPr="006D194A">
        <w:t>the grounds of gender, marital status, family status, age, disability, sexual orientation, race, religion and membership of the Traveller community.</w:t>
      </w:r>
    </w:p>
    <w:p w14:paraId="3E35FB7C" w14:textId="7F9C6933" w:rsidR="00A00DEA" w:rsidRDefault="008A1F1D" w:rsidP="00A00DEA">
      <w:pPr>
        <w:pStyle w:val="SingleTxtG"/>
        <w:kinsoku/>
        <w:overflowPunct/>
        <w:autoSpaceDE/>
        <w:autoSpaceDN/>
        <w:adjustRightInd/>
        <w:snapToGrid/>
      </w:pPr>
      <w:r>
        <w:t>42.</w:t>
      </w:r>
      <w:r w:rsidR="00A00DEA">
        <w:tab/>
      </w:r>
      <w:r w:rsidR="001A0A60" w:rsidRPr="008961D7">
        <w:rPr>
          <w:rFonts w:cstheme="minorHAnsi"/>
          <w:highlight w:val="lightGray"/>
        </w:rPr>
        <w:t>In 2020, IHREC dealt with 1,732 queries about human rights and equality law, compared to 2,165 in 2019. In 2020, IHREC made 352 referrals to other information resources or services. There were approximately 221 queries directly identified as related to Covid-19 and human rights and equality. This represents 13% of the total queries. During 2020, 13 client files granted legal advice assistance but not legal representation were concluded. During 2020, 18 cases involving 27 individual clients granted legal advice and representation were decided or otherwise concluded.</w:t>
      </w:r>
    </w:p>
    <w:p w14:paraId="37FD8D41" w14:textId="45C54A62" w:rsidR="00A00DEA" w:rsidRPr="000B00E5" w:rsidRDefault="008A1F1D" w:rsidP="00A00DEA">
      <w:pPr>
        <w:pStyle w:val="SingleTxtG"/>
        <w:kinsoku/>
        <w:overflowPunct/>
        <w:autoSpaceDE/>
        <w:autoSpaceDN/>
        <w:adjustRightInd/>
        <w:snapToGrid/>
      </w:pPr>
      <w:r>
        <w:t xml:space="preserve">43. </w:t>
      </w:r>
      <w:r w:rsidR="00A00DEA" w:rsidRPr="000B00E5">
        <w:tab/>
        <w:t>The Government established an expert group to review the Housing (Traveller Accommodation) Act 1998 and other legislation concerning the provision of Traveller-specific accommodation. In 2019</w:t>
      </w:r>
      <w:r w:rsidR="00A00DEA">
        <w:t>,</w:t>
      </w:r>
      <w:r w:rsidR="00A00DEA" w:rsidRPr="000B00E5">
        <w:t xml:space="preserve"> the Traveller Accommodation Expert Group report made a recommendation </w:t>
      </w:r>
      <w:proofErr w:type="gramStart"/>
      <w:r w:rsidR="00A00DEA" w:rsidRPr="000B00E5">
        <w:t>in regard to</w:t>
      </w:r>
      <w:proofErr w:type="gramEnd"/>
      <w:r w:rsidR="00A00DEA" w:rsidRPr="000B00E5">
        <w:t xml:space="preserve"> the existing legislation which is in place governing Trespass and Evictions which is under consideration by the Government. </w:t>
      </w:r>
    </w:p>
    <w:p w14:paraId="1520BBDA" w14:textId="3CC3617A" w:rsidR="00A00DEA" w:rsidRPr="000B00E5" w:rsidRDefault="008A1F1D" w:rsidP="00A00DEA">
      <w:pPr>
        <w:pStyle w:val="SingleTxtG"/>
        <w:kinsoku/>
        <w:overflowPunct/>
        <w:autoSpaceDE/>
        <w:autoSpaceDN/>
        <w:adjustRightInd/>
        <w:snapToGrid/>
        <w:rPr>
          <w:iCs/>
        </w:rPr>
      </w:pPr>
      <w:r>
        <w:rPr>
          <w:iCs/>
        </w:rPr>
        <w:t>44</w:t>
      </w:r>
      <w:r w:rsidR="00A00DEA" w:rsidRPr="000B00E5">
        <w:rPr>
          <w:iCs/>
        </w:rPr>
        <w:t>.</w:t>
      </w:r>
      <w:r w:rsidR="00A00DEA" w:rsidRPr="000B00E5">
        <w:rPr>
          <w:iCs/>
        </w:rPr>
        <w:tab/>
      </w:r>
      <w:r w:rsidR="00A00DEA" w:rsidRPr="000B00E5">
        <w:t xml:space="preserve">In relation to the Committee’s previous observations regarding the removal of Roma children, </w:t>
      </w:r>
      <w:r w:rsidR="00A00DEA" w:rsidRPr="000B00E5">
        <w:rPr>
          <w:iCs/>
        </w:rPr>
        <w:t xml:space="preserve">this refers to two children from the Roma community who were removed from their family’s care by AGS in </w:t>
      </w:r>
      <w:proofErr w:type="gramStart"/>
      <w:r w:rsidR="00A00DEA" w:rsidRPr="000B00E5">
        <w:rPr>
          <w:iCs/>
        </w:rPr>
        <w:t>2013;</w:t>
      </w:r>
      <w:proofErr w:type="gramEnd"/>
      <w:r w:rsidR="00A00DEA" w:rsidRPr="000B00E5">
        <w:rPr>
          <w:iCs/>
        </w:rPr>
        <w:t xml:space="preserve"> Child A and Child T.</w:t>
      </w:r>
    </w:p>
    <w:p w14:paraId="23D34761" w14:textId="2E7F50ED" w:rsidR="00A00DEA" w:rsidRPr="000B00E5" w:rsidRDefault="008A1F1D" w:rsidP="00A00DEA">
      <w:pPr>
        <w:pStyle w:val="SingleTxtG"/>
        <w:kinsoku/>
        <w:overflowPunct/>
        <w:autoSpaceDE/>
        <w:autoSpaceDN/>
        <w:adjustRightInd/>
        <w:snapToGrid/>
      </w:pPr>
      <w:r>
        <w:t>45</w:t>
      </w:r>
      <w:r w:rsidR="00A00DEA" w:rsidRPr="000B00E5">
        <w:t>.</w:t>
      </w:r>
      <w:r w:rsidR="00A00DEA" w:rsidRPr="000B00E5">
        <w:tab/>
      </w:r>
      <w:r w:rsidR="00A00DEA" w:rsidRPr="000B00E5">
        <w:rPr>
          <w:iCs/>
        </w:rPr>
        <w:t xml:space="preserve">AGS used emergency powers under Section 12 of the Child Care Act 1991. Once invoked, the child removed must be placed in the custody of the child protection services. </w:t>
      </w:r>
    </w:p>
    <w:p w14:paraId="7B661C04" w14:textId="65505223" w:rsidR="00A00DEA" w:rsidRPr="000B00E5" w:rsidRDefault="008A1F1D" w:rsidP="00A00DEA">
      <w:pPr>
        <w:pStyle w:val="SingleTxtG"/>
        <w:kinsoku/>
        <w:overflowPunct/>
        <w:autoSpaceDE/>
        <w:autoSpaceDN/>
        <w:adjustRightInd/>
        <w:snapToGrid/>
        <w:rPr>
          <w:iCs/>
        </w:rPr>
      </w:pPr>
      <w:r>
        <w:rPr>
          <w:iCs/>
        </w:rPr>
        <w:t>46</w:t>
      </w:r>
      <w:r w:rsidR="00A00DEA" w:rsidRPr="000B00E5">
        <w:rPr>
          <w:iCs/>
        </w:rPr>
        <w:t>.</w:t>
      </w:r>
      <w:r w:rsidR="00A00DEA" w:rsidRPr="000B00E5">
        <w:rPr>
          <w:iCs/>
        </w:rPr>
        <w:tab/>
        <w:t>It was established that the belief that Child A was abducted or otherwise with their family under false</w:t>
      </w:r>
      <w:r w:rsidR="00A00DEA">
        <w:rPr>
          <w:iCs/>
        </w:rPr>
        <w:t xml:space="preserve"> pretences was incorrect. </w:t>
      </w:r>
      <w:r w:rsidR="00A00DEA" w:rsidRPr="000B00E5">
        <w:rPr>
          <w:iCs/>
        </w:rPr>
        <w:t>With respect to Child T, an emergency care order was granted for 24 hours to facilitate a DNA test to confirm the child’s relationship with their parents. Both children were returned to the care of their parents.</w:t>
      </w:r>
    </w:p>
    <w:p w14:paraId="174DC61C" w14:textId="556BF1D7" w:rsidR="00A00DEA" w:rsidRPr="000B00E5" w:rsidRDefault="008A1F1D" w:rsidP="00A00DEA">
      <w:pPr>
        <w:pStyle w:val="SingleTxtG"/>
        <w:kinsoku/>
        <w:overflowPunct/>
        <w:autoSpaceDE/>
        <w:autoSpaceDN/>
        <w:adjustRightInd/>
        <w:snapToGrid/>
        <w:rPr>
          <w:iCs/>
        </w:rPr>
      </w:pPr>
      <w:r>
        <w:rPr>
          <w:iCs/>
        </w:rPr>
        <w:t>47</w:t>
      </w:r>
      <w:r w:rsidR="00A00DEA" w:rsidRPr="000B00E5">
        <w:rPr>
          <w:iCs/>
        </w:rPr>
        <w:t>.</w:t>
      </w:r>
      <w:r w:rsidR="00A00DEA" w:rsidRPr="000B00E5">
        <w:rPr>
          <w:iCs/>
        </w:rPr>
        <w:tab/>
        <w:t>Emily Logan, the then Ombudsman for Children, carried out a review of the actions of AGS and other agencies when exercising powers under Section 12.</w:t>
      </w:r>
    </w:p>
    <w:p w14:paraId="1DB5CF01" w14:textId="292998E1" w:rsidR="00A00DEA" w:rsidRPr="000B00E5" w:rsidRDefault="008A1F1D" w:rsidP="00A00DEA">
      <w:pPr>
        <w:pStyle w:val="SingleTxtG"/>
        <w:kinsoku/>
        <w:overflowPunct/>
        <w:autoSpaceDE/>
        <w:autoSpaceDN/>
        <w:adjustRightInd/>
        <w:snapToGrid/>
      </w:pPr>
      <w:r>
        <w:t>48</w:t>
      </w:r>
      <w:r w:rsidR="00A00DEA" w:rsidRPr="000B00E5">
        <w:t>.</w:t>
      </w:r>
      <w:r w:rsidR="00A00DEA" w:rsidRPr="000B00E5">
        <w:tab/>
      </w:r>
      <w:r w:rsidR="00A00DEA" w:rsidRPr="000B00E5">
        <w:rPr>
          <w:iCs/>
        </w:rPr>
        <w:t>Ms Logan’s report contained a number of recommendations, including</w:t>
      </w:r>
      <w:r w:rsidR="00A00DEA" w:rsidRPr="000B00E5">
        <w:t>:</w:t>
      </w:r>
    </w:p>
    <w:p w14:paraId="62D320FE" w14:textId="497817E0" w:rsidR="00A00DEA" w:rsidRPr="00A00DEA" w:rsidRDefault="00A00DEA" w:rsidP="00A00DEA">
      <w:pPr>
        <w:pStyle w:val="Bullet1G"/>
      </w:pPr>
      <w:r w:rsidRPr="00A00DEA">
        <w:t>An audit of the use of Section 12 of the Child Care Act 1991;</w:t>
      </w:r>
    </w:p>
    <w:p w14:paraId="58A5A2FD" w14:textId="614F6FAF" w:rsidR="00A00DEA" w:rsidRPr="00A00DEA" w:rsidRDefault="00A00DEA" w:rsidP="00A00DEA">
      <w:pPr>
        <w:pStyle w:val="Bullet1G"/>
      </w:pPr>
      <w:r w:rsidRPr="00A00DEA">
        <w:t>Access to National Child Care Information System to be given to AGS and;</w:t>
      </w:r>
    </w:p>
    <w:p w14:paraId="656AA145" w14:textId="24AAE893" w:rsidR="00A00DEA" w:rsidRPr="00A00DEA" w:rsidRDefault="00A00DEA" w:rsidP="00A00DEA">
      <w:pPr>
        <w:pStyle w:val="Bullet1G"/>
      </w:pPr>
      <w:r w:rsidRPr="00A00DEA">
        <w:t>Addressing deficits in cultural competency among State bodies through training.</w:t>
      </w:r>
    </w:p>
    <w:p w14:paraId="5E2E997C" w14:textId="14BF244D" w:rsidR="00A00DEA" w:rsidRDefault="00A00DEA" w:rsidP="00A00DEA">
      <w:pPr>
        <w:pStyle w:val="H23G"/>
      </w:pPr>
      <w:r>
        <w:tab/>
      </w:r>
      <w:r>
        <w:tab/>
      </w:r>
      <w:r w:rsidRPr="002F01AB">
        <w:t xml:space="preserve">Reply to </w:t>
      </w:r>
      <w:r>
        <w:t xml:space="preserve">paragraph 7(b) </w:t>
      </w:r>
    </w:p>
    <w:p w14:paraId="61D82B8F" w14:textId="4F5EC2E9" w:rsidR="00DF79C6" w:rsidRPr="008961D7" w:rsidRDefault="008A1F1D" w:rsidP="00DF79C6">
      <w:pPr>
        <w:pStyle w:val="SingleTxtG"/>
        <w:rPr>
          <w:highlight w:val="lightGray"/>
        </w:rPr>
      </w:pPr>
      <w:r>
        <w:t>49</w:t>
      </w:r>
      <w:r w:rsidR="00A00DEA">
        <w:t>.</w:t>
      </w:r>
      <w:r w:rsidR="00A00DEA">
        <w:tab/>
      </w:r>
      <w:r w:rsidR="00A00DEA">
        <w:rPr>
          <w:rFonts w:cs="Calibri"/>
        </w:rPr>
        <w:t>In 2017, the Government formally recognised the Irish Traveller community as a distinct ethnic group. T</w:t>
      </w:r>
      <w:r w:rsidR="00A00DEA" w:rsidRPr="00440E95">
        <w:rPr>
          <w:rFonts w:cs="Calibri"/>
        </w:rPr>
        <w:t xml:space="preserve">he </w:t>
      </w:r>
      <w:r w:rsidR="00A00DEA" w:rsidRPr="00D5322A">
        <w:rPr>
          <w:rFonts w:cs="Calibri"/>
        </w:rPr>
        <w:t>National Traveller and Roma Inclusion Strategy 2017–2021</w:t>
      </w:r>
      <w:r w:rsidR="00A00DEA" w:rsidRPr="00440E95">
        <w:rPr>
          <w:rFonts w:cs="Calibri"/>
        </w:rPr>
        <w:t xml:space="preserve"> contains 149 actions, </w:t>
      </w:r>
      <w:r w:rsidR="00A00DEA">
        <w:rPr>
          <w:rFonts w:cs="Calibri"/>
        </w:rPr>
        <w:t xml:space="preserve">in areas </w:t>
      </w:r>
      <w:r w:rsidR="00A00DEA" w:rsidRPr="00440E95">
        <w:rPr>
          <w:rFonts w:cs="Calibri"/>
        </w:rPr>
        <w:t>including Employment, Education and Health. Progress is monitored by a Steering Committee that includes Traveller and Roma representatives an</w:t>
      </w:r>
      <w:r w:rsidR="00A00DEA">
        <w:rPr>
          <w:rFonts w:cs="Calibri"/>
        </w:rPr>
        <w:t xml:space="preserve">d CSOs. </w:t>
      </w:r>
      <w:r w:rsidR="000058D2" w:rsidRPr="008961D7">
        <w:rPr>
          <w:highlight w:val="lightGray"/>
        </w:rPr>
        <w:t>The 2020 Programme for Government commits to a review of the existing Strategy and that the successor strategy ha</w:t>
      </w:r>
      <w:r w:rsidR="00490306" w:rsidRPr="008961D7">
        <w:rPr>
          <w:highlight w:val="lightGray"/>
        </w:rPr>
        <w:t>s</w:t>
      </w:r>
      <w:r w:rsidR="000058D2" w:rsidRPr="008961D7">
        <w:rPr>
          <w:highlight w:val="lightGray"/>
        </w:rPr>
        <w:t xml:space="preserve"> a stronger outcomes-focused approach. Work is underway on the review and the Steering Committee will remain in place until the new Strategy has been finalised.  </w:t>
      </w:r>
      <w:r w:rsidR="00DF79C6" w:rsidRPr="008961D7">
        <w:rPr>
          <w:highlight w:val="lightGray"/>
        </w:rPr>
        <w:t>Pathways to Work 2021-2025, the Government’s national employment strategy, was published in July 2021.  The goal of Pathways to Work is to help ensure that as many jobs as possible go to people who are unemployed.  The strategy is not just about those who lost their jobs during the pandemic, it is also about helping those who, prior to the onset of the COVID-19 pandemic, faced disadvantage in the labour market.</w:t>
      </w:r>
    </w:p>
    <w:p w14:paraId="0CC42382" w14:textId="77777777" w:rsidR="00DF79C6" w:rsidRPr="00DD4626" w:rsidRDefault="00DF79C6" w:rsidP="00DD4626">
      <w:pPr>
        <w:pStyle w:val="SingleTxtG"/>
      </w:pPr>
      <w:r w:rsidRPr="008961D7">
        <w:rPr>
          <w:highlight w:val="lightGray"/>
        </w:rPr>
        <w:t>One of the strategy’s five key strands is ‘Working for All – Leaving No one Behind’, which has the objective of promoting better labour market outcomes for all, including those facing additional barriers to work such as minority groups.</w:t>
      </w:r>
    </w:p>
    <w:p w14:paraId="5B92DA29" w14:textId="77777777" w:rsidR="00DF79C6" w:rsidRPr="00DD4626" w:rsidRDefault="00DF79C6" w:rsidP="00DF79C6">
      <w:pPr>
        <w:pStyle w:val="SingleTxtG"/>
      </w:pPr>
    </w:p>
    <w:p w14:paraId="2BC84FFB" w14:textId="77777777" w:rsidR="00DF79C6" w:rsidRPr="008961D7" w:rsidRDefault="00DF79C6" w:rsidP="00DF79C6">
      <w:pPr>
        <w:pStyle w:val="SingleTxtG"/>
        <w:rPr>
          <w:highlight w:val="lightGray"/>
        </w:rPr>
      </w:pPr>
      <w:r w:rsidRPr="008961D7">
        <w:rPr>
          <w:highlight w:val="lightGray"/>
        </w:rPr>
        <w:lastRenderedPageBreak/>
        <w:t xml:space="preserve">The Traveller and Roma community face particular disadvantage in the labour market.  Pathways to Work commits to engaging with community representative bodies to produce Traveller (and/or Roma)-specific employment service engagement tools and to consult with stakeholders from the Traveller (and/or Roma) community to advise the Public Employment Service. </w:t>
      </w:r>
    </w:p>
    <w:p w14:paraId="215EE2CB" w14:textId="2AF418E4" w:rsidR="00A00DEA" w:rsidRPr="00DD4626" w:rsidRDefault="00DF79C6" w:rsidP="00DD4626">
      <w:pPr>
        <w:pStyle w:val="SingleTxtG"/>
        <w:kinsoku/>
        <w:overflowPunct/>
        <w:autoSpaceDE/>
        <w:autoSpaceDN/>
        <w:adjustRightInd/>
        <w:snapToGrid/>
      </w:pPr>
      <w:r w:rsidRPr="008961D7">
        <w:rPr>
          <w:highlight w:val="lightGray"/>
        </w:rPr>
        <w:t>Establishing pathways to education and work will also be underpinned by the policy objectives of the successor strategies to the National Traveller and Roma Integration Strategy (NTRIS) and the Migrant Integration Strategy. Furthermore, the Government will develop a comprehensive Traveller and Roma Training, Employment and Enterprise Plan as committed to in Pathways to Work.</w:t>
      </w:r>
    </w:p>
    <w:p w14:paraId="502F485B" w14:textId="006F2193" w:rsidR="00A00DEA" w:rsidRDefault="008A1F1D" w:rsidP="00A00DEA">
      <w:pPr>
        <w:pStyle w:val="SingleTxtG"/>
        <w:kinsoku/>
        <w:overflowPunct/>
        <w:autoSpaceDE/>
        <w:autoSpaceDN/>
        <w:adjustRightInd/>
        <w:snapToGrid/>
      </w:pPr>
      <w:r>
        <w:t>50</w:t>
      </w:r>
      <w:r w:rsidR="00A00DEA">
        <w:t>.</w:t>
      </w:r>
      <w:r w:rsidR="00A00DEA">
        <w:tab/>
      </w:r>
      <w:r w:rsidR="00A00DEA" w:rsidRPr="00F21983">
        <w:t xml:space="preserve">In 2020, €3.8 million in funding was provided </w:t>
      </w:r>
      <w:r w:rsidR="00A00DEA">
        <w:t>for</w:t>
      </w:r>
      <w:r w:rsidR="00A00DEA" w:rsidRPr="00F21983">
        <w:t xml:space="preserve"> Traveller and Roma inclusion. An additional €1</w:t>
      </w:r>
      <w:r w:rsidR="00A00DEA">
        <w:t xml:space="preserve"> </w:t>
      </w:r>
      <w:r w:rsidR="00A00DEA" w:rsidRPr="00F21983">
        <w:t xml:space="preserve">million has been </w:t>
      </w:r>
      <w:r w:rsidR="00A00DEA" w:rsidRPr="00DD4626">
        <w:t xml:space="preserve">granted for 2021 to continue existing supports and to counteract the impact of COVID-19. </w:t>
      </w:r>
      <w:r w:rsidR="000058D2" w:rsidRPr="008961D7">
        <w:rPr>
          <w:highlight w:val="lightGray"/>
        </w:rPr>
        <w:t>In 2022, €6.5 million in funding is being provided for Traveller and Roma inclusion, up from €3.8 million in 2020. This allows for the continuation of existing supports along with additional funding to counteract the impact of COVID-19.</w:t>
      </w:r>
    </w:p>
    <w:p w14:paraId="40F7B741" w14:textId="0291C345" w:rsidR="00A00DEA" w:rsidRPr="00F21983" w:rsidRDefault="008A1F1D" w:rsidP="00A00DEA">
      <w:pPr>
        <w:pStyle w:val="SingleTxtG"/>
        <w:kinsoku/>
        <w:overflowPunct/>
        <w:autoSpaceDE/>
        <w:autoSpaceDN/>
        <w:adjustRightInd/>
        <w:snapToGrid/>
      </w:pPr>
      <w:r>
        <w:t>51</w:t>
      </w:r>
      <w:r w:rsidR="00A00DEA" w:rsidRPr="00F21983">
        <w:t>.</w:t>
      </w:r>
      <w:r w:rsidR="00A00DEA" w:rsidRPr="00F21983">
        <w:tab/>
        <w:t xml:space="preserve">Ireland’s National LGBTI+ Inclusion Strategy 2019-2021 was launched on 28 November 2019. It pursues objectives </w:t>
      </w:r>
      <w:r w:rsidR="00A00DEA">
        <w:t xml:space="preserve">that ensures </w:t>
      </w:r>
      <w:r w:rsidR="00A00DEA" w:rsidRPr="00F21983">
        <w:t>LGBTI+ people are</w:t>
      </w:r>
      <w:r w:rsidR="00A00DEA">
        <w:t xml:space="preserve"> treated equally and feel supported. </w:t>
      </w:r>
      <w:r w:rsidR="000058D2" w:rsidRPr="008961D7">
        <w:rPr>
          <w:highlight w:val="lightGray"/>
        </w:rPr>
        <w:t>The strategy has been extended until the end of 2022.</w:t>
      </w:r>
    </w:p>
    <w:p w14:paraId="7A3E1D8A" w14:textId="689E4B61" w:rsidR="00A00DEA" w:rsidRDefault="008A1F1D" w:rsidP="00A00DEA">
      <w:pPr>
        <w:pStyle w:val="SingleTxtG"/>
        <w:kinsoku/>
        <w:overflowPunct/>
        <w:autoSpaceDE/>
        <w:autoSpaceDN/>
        <w:adjustRightInd/>
        <w:snapToGrid/>
      </w:pPr>
      <w:r>
        <w:t>52</w:t>
      </w:r>
      <w:r w:rsidR="00A00DEA">
        <w:t>.</w:t>
      </w:r>
      <w:r w:rsidR="00A00DEA">
        <w:tab/>
      </w:r>
      <w:r w:rsidR="00A00DEA" w:rsidRPr="001C369A">
        <w:t>The LGBTI+ National Youth Strategy has been extended to 2022 due to COVID-19 to allow full implementation. Reporting on the Strategy’s implementation will begin in Q3 2021.</w:t>
      </w:r>
      <w:r w:rsidR="00A00DEA" w:rsidRPr="00281089">
        <w:t xml:space="preserve"> </w:t>
      </w:r>
    </w:p>
    <w:p w14:paraId="3C002AAC" w14:textId="50BB5351" w:rsidR="00A00DEA" w:rsidRDefault="008A1F1D" w:rsidP="001A0A60">
      <w:pPr>
        <w:pStyle w:val="SingleTxtG"/>
        <w:kinsoku/>
        <w:overflowPunct/>
        <w:autoSpaceDE/>
        <w:autoSpaceDN/>
        <w:adjustRightInd/>
        <w:snapToGrid/>
      </w:pPr>
      <w:r>
        <w:t>53</w:t>
      </w:r>
      <w:r w:rsidR="00A00DEA" w:rsidRPr="00E66956">
        <w:t>.</w:t>
      </w:r>
      <w:r w:rsidR="00A00DEA" w:rsidRPr="00E66956">
        <w:tab/>
        <w:t>Since 2017</w:t>
      </w:r>
      <w:r w:rsidR="00A00DEA" w:rsidRPr="00101A55">
        <w:t>, the Migrant Integration Strategy (MIS) 2017-2020 (exte</w:t>
      </w:r>
      <w:r w:rsidR="00A00DEA">
        <w:t>nded to end of 2021 due to COVID-19</w:t>
      </w:r>
      <w:r w:rsidR="00A00DEA" w:rsidRPr="00101A55">
        <w:t>)</w:t>
      </w:r>
      <w:r w:rsidR="00A00DEA">
        <w:t xml:space="preserve"> </w:t>
      </w:r>
      <w:r w:rsidR="00A00DEA" w:rsidRPr="00E66956">
        <w:t xml:space="preserve">contains actions aimed at </w:t>
      </w:r>
      <w:r w:rsidR="00A00DEA">
        <w:t xml:space="preserve">addressing racism and xenophobia and </w:t>
      </w:r>
      <w:r w:rsidR="00A00DEA" w:rsidRPr="00E66956">
        <w:t>promoting diversity and inclusion</w:t>
      </w:r>
    </w:p>
    <w:p w14:paraId="1D083E48" w14:textId="653AB8BB" w:rsidR="001A0A60" w:rsidRPr="008961D7" w:rsidRDefault="001A0A60" w:rsidP="001A0A60">
      <w:pPr>
        <w:pStyle w:val="SingleTxtG"/>
        <w:kinsoku/>
        <w:overflowPunct/>
        <w:autoSpaceDE/>
        <w:autoSpaceDN/>
        <w:adjustRightInd/>
        <w:snapToGrid/>
        <w:rPr>
          <w:rFonts w:cstheme="minorHAnsi"/>
          <w:highlight w:val="lightGray"/>
        </w:rPr>
      </w:pPr>
      <w:r w:rsidRPr="008961D7">
        <w:rPr>
          <w:highlight w:val="lightGray"/>
        </w:rPr>
        <w:t xml:space="preserve">The Department of Children, </w:t>
      </w:r>
      <w:r w:rsidRPr="008961D7">
        <w:rPr>
          <w:rFonts w:cstheme="minorHAnsi"/>
          <w:highlight w:val="lightGray"/>
        </w:rPr>
        <w:t>Equality, Disability, Integration and Youth has commissioned a study to evaluate the processes for implementation of three equality strategies, which includes the National Strategy for Women and Girls, the Migrant Integration Strategy and the National Traveller and Roma Inclusion Strategy. This study commenced in June and will be completed in 2022, and will inform the development of future policy. The study will be published on the Department’s website.</w:t>
      </w:r>
    </w:p>
    <w:p w14:paraId="18CDD78C" w14:textId="5BFED262" w:rsidR="001A0A60" w:rsidRPr="00E66956" w:rsidRDefault="001A0A60" w:rsidP="001A0A60">
      <w:pPr>
        <w:pStyle w:val="SingleTxtG"/>
        <w:kinsoku/>
        <w:overflowPunct/>
        <w:autoSpaceDE/>
        <w:autoSpaceDN/>
        <w:adjustRightInd/>
        <w:snapToGrid/>
      </w:pPr>
      <w:r w:rsidRPr="008961D7">
        <w:rPr>
          <w:highlight w:val="lightGray"/>
        </w:rPr>
        <w:t xml:space="preserve">The Government has committed </w:t>
      </w:r>
      <w:r w:rsidRPr="008961D7">
        <w:rPr>
          <w:rFonts w:cstheme="minorHAnsi"/>
          <w:highlight w:val="lightGray"/>
        </w:rPr>
        <w:t xml:space="preserve">in the Programme for Government 2020 to developing and implementing a successor to the Migrant Integration Strategy. Consultations </w:t>
      </w:r>
      <w:proofErr w:type="gramStart"/>
      <w:r w:rsidRPr="008961D7">
        <w:rPr>
          <w:rFonts w:cstheme="minorHAnsi"/>
          <w:highlight w:val="lightGray"/>
        </w:rPr>
        <w:t>in regard to</w:t>
      </w:r>
      <w:proofErr w:type="gramEnd"/>
      <w:r w:rsidRPr="008961D7">
        <w:rPr>
          <w:rFonts w:cstheme="minorHAnsi"/>
          <w:highlight w:val="lightGray"/>
        </w:rPr>
        <w:t xml:space="preserve"> the successor strategy will commence during 2022. In the interim, the principles and priorities of the Migrant Integration Strategy continue to guide the Government's work to address integration.</w:t>
      </w:r>
    </w:p>
    <w:p w14:paraId="6D71E5EB" w14:textId="7C37211B" w:rsidR="00A00DEA" w:rsidRPr="00E66956" w:rsidRDefault="008A1F1D" w:rsidP="00A00DEA">
      <w:pPr>
        <w:pStyle w:val="SingleTxtG"/>
        <w:kinsoku/>
        <w:overflowPunct/>
        <w:autoSpaceDE/>
        <w:autoSpaceDN/>
        <w:adjustRightInd/>
        <w:snapToGrid/>
      </w:pPr>
      <w:r>
        <w:t>54</w:t>
      </w:r>
      <w:r w:rsidR="00A00DEA" w:rsidRPr="00E66956">
        <w:t>.</w:t>
      </w:r>
      <w:r w:rsidR="00A00DEA" w:rsidRPr="00E66956">
        <w:tab/>
        <w:t>A Progress Report shows that, as of June 2019, 54 of the 76 actions fall into the 'on track' or 'comp</w:t>
      </w:r>
      <w:r w:rsidR="00A00DEA">
        <w:t xml:space="preserve">leted' reporting categories. </w:t>
      </w:r>
    </w:p>
    <w:p w14:paraId="458E559E" w14:textId="10610C02" w:rsidR="00A00DEA" w:rsidRDefault="008A1F1D" w:rsidP="00A00DEA">
      <w:pPr>
        <w:pStyle w:val="SingleTxtG"/>
        <w:kinsoku/>
        <w:overflowPunct/>
        <w:autoSpaceDE/>
        <w:autoSpaceDN/>
        <w:adjustRightInd/>
        <w:snapToGrid/>
      </w:pPr>
      <w:r>
        <w:t>55</w:t>
      </w:r>
      <w:r w:rsidR="00A00DEA">
        <w:t>.</w:t>
      </w:r>
      <w:r w:rsidR="00A00DEA">
        <w:tab/>
      </w:r>
      <w:r w:rsidR="00747C80" w:rsidRPr="008961D7">
        <w:rPr>
          <w:iCs/>
          <w:highlight w:val="lightGray"/>
        </w:rPr>
        <w:t>The Anti-Racism Committee was established in 2020 to review evidence and make recommendations on how best to strengthen the Government’s approach to tackling racism. The National Action Plan Against Racism is currently being finalised, in consultation with the Committee. It is anticipated that this will be formally submitted to Government in summer 2022</w:t>
      </w:r>
    </w:p>
    <w:p w14:paraId="7EF548B1" w14:textId="2FDF08E0" w:rsidR="00A00DEA" w:rsidRDefault="00A00DEA" w:rsidP="00A00DEA">
      <w:pPr>
        <w:pStyle w:val="H23G"/>
      </w:pPr>
      <w:r>
        <w:tab/>
      </w:r>
      <w:r>
        <w:tab/>
      </w:r>
      <w:r w:rsidRPr="002F01AB">
        <w:t xml:space="preserve">Reply to </w:t>
      </w:r>
      <w:r>
        <w:t xml:space="preserve">paragraph 7(c) </w:t>
      </w:r>
    </w:p>
    <w:p w14:paraId="22F2AEF5" w14:textId="61FE6D27" w:rsidR="00A00DEA" w:rsidRPr="004408B0" w:rsidRDefault="008A1F1D" w:rsidP="00DD4626">
      <w:pPr>
        <w:pStyle w:val="SingleTxtG"/>
      </w:pPr>
      <w:r>
        <w:t>56</w:t>
      </w:r>
      <w:r w:rsidR="00A00DEA" w:rsidRPr="004408B0">
        <w:t>.</w:t>
      </w:r>
      <w:r w:rsidR="00A00DEA" w:rsidRPr="004408B0">
        <w:tab/>
      </w:r>
      <w:r w:rsidR="00EF7D6C">
        <w:t xml:space="preserve">The National Public Health Emergency Team (NPHET) for COVID-19 was established in January 2020 </w:t>
      </w:r>
      <w:r w:rsidR="00EF7D6C" w:rsidRPr="008961D7">
        <w:rPr>
          <w:highlight w:val="lightGray"/>
        </w:rPr>
        <w:t xml:space="preserve">to provide evidence-based advice to the Minister for Health and Government on the public health aspects of what has been a cross-Government strategic response to COVID-19 in Ireland.  At all times, the NPHET’s advice was informed by three core priorities: (1) the protection of the most vulnerable; (2) the continued resumption of non-COVID health and social care services; and (3) the need to protect the ongoing delivery of education and childcare. The NPHET COVID-19 Vulnerable People Subgroup was established in March 2020 to support the NPHET in its work by providing oversight and assurance with regard to the specific preparedness measures and actions required to be taken to protect vulnerable groups and individuals in society. An integrated cross-Government </w:t>
      </w:r>
      <w:r w:rsidR="00EF7D6C" w:rsidRPr="008961D7">
        <w:rPr>
          <w:highlight w:val="lightGray"/>
        </w:rPr>
        <w:lastRenderedPageBreak/>
        <w:t>approach was taken by the Subgroup with the responsibility for the implementation of actions remaining with the relevant government Department/Agency. In July 2020, in accordance with the need to regularise the emergency structures established at the start of the pandemic, the Subgroup on Vulnerable People was stood down, having met its terms of reference. Its work was realigned into the appropriate policy and operational functions of the Department of Health or other relevant Departments, organisations, or bodies. A cross-Government mechanism to coordinate sustained support for those who are vulnerable, and disproportionately impacted by the pandemic remained in place within the Department of the Taoiseach. Each government Department with lead policy responsibility was represented on this oversight group.</w:t>
      </w:r>
      <w:r w:rsidR="00EF7D6C" w:rsidDel="00EF7D6C">
        <w:t xml:space="preserve"> </w:t>
      </w:r>
    </w:p>
    <w:p w14:paraId="3FD7D475" w14:textId="356C6093" w:rsidR="00A00DEA" w:rsidRPr="00DD4626" w:rsidRDefault="00A00DEA" w:rsidP="00DD4626">
      <w:pPr>
        <w:pStyle w:val="SingleTxtG"/>
        <w:rPr>
          <w:b/>
        </w:rPr>
      </w:pPr>
      <w:r w:rsidRPr="00DD4626">
        <w:rPr>
          <w:b/>
        </w:rPr>
        <w:tab/>
        <w:t xml:space="preserve">Reply to paragraph 8 </w:t>
      </w:r>
    </w:p>
    <w:p w14:paraId="6C87C534" w14:textId="77777777" w:rsidR="00073536" w:rsidRPr="008961D7" w:rsidRDefault="008A1F1D" w:rsidP="00A00DEA">
      <w:pPr>
        <w:pStyle w:val="SingleTxtG"/>
        <w:kinsoku/>
        <w:overflowPunct/>
        <w:autoSpaceDE/>
        <w:autoSpaceDN/>
        <w:adjustRightInd/>
        <w:snapToGrid/>
        <w:rPr>
          <w:highlight w:val="lightGray"/>
        </w:rPr>
      </w:pPr>
      <w:r>
        <w:t>57</w:t>
      </w:r>
      <w:r w:rsidR="00A00DEA">
        <w:t>.</w:t>
      </w:r>
      <w:r w:rsidR="00A00DEA">
        <w:tab/>
        <w:t>The General Scheme of the Criminal Justice (Hate Crime) Bill 2021</w:t>
      </w:r>
      <w:r w:rsidR="00A00DEA">
        <w:rPr>
          <w:rStyle w:val="FootnoteReference"/>
        </w:rPr>
        <w:footnoteReference w:id="4"/>
      </w:r>
      <w:r w:rsidR="00A00DEA">
        <w:t xml:space="preserve"> was published in April 2021.</w:t>
      </w:r>
      <w:r w:rsidR="00A00DEA" w:rsidRPr="00DC76C4">
        <w:t xml:space="preserve"> </w:t>
      </w:r>
      <w:r w:rsidR="00073536" w:rsidRPr="008961D7">
        <w:rPr>
          <w:highlight w:val="lightGray"/>
        </w:rPr>
        <w:t xml:space="preserve">Following its publication, the General Scheme was referred to the Joint Oireachtas Committee on Justice for pre-legislative scrutiny, which took place on 17 November 2021 and reported on 8 April 2022. The Minister for Justice recently published Justice Plan 2022 and it commits to advancing this work and to publishing the Hate Crime Bill in the summer of 2022.     </w:t>
      </w:r>
    </w:p>
    <w:p w14:paraId="2819F986" w14:textId="77777777" w:rsidR="00073536" w:rsidRDefault="00073536" w:rsidP="00073536">
      <w:pPr>
        <w:pStyle w:val="SingleTxtG"/>
      </w:pPr>
      <w:r w:rsidRPr="008961D7">
        <w:rPr>
          <w:highlight w:val="lightGray"/>
        </w:rPr>
        <w:t>This new Bill will repeal and replace the 1989 Prohibition of Incitement to Hatred Act, creating new and simpler offences of incitement to hatred. It will also address hate crime by creating new, aggravated forms of certain existing criminal offences, where those offences are motivated by prejudice against a protected characteristic. These characteristics include those in the 1989 Act</w:t>
      </w:r>
      <w:r>
        <w:t xml:space="preserve"> and have been expanded to include gender, including gender expression or identity, and disability, and to ensure Traveller ethnicity is recognised on the same basis as other ethnicities.</w:t>
      </w:r>
    </w:p>
    <w:p w14:paraId="02A43611" w14:textId="031A58D8" w:rsidR="00A00DEA" w:rsidRDefault="008A1F1D" w:rsidP="00A00DEA">
      <w:pPr>
        <w:pStyle w:val="SingleTxtG"/>
        <w:kinsoku/>
        <w:overflowPunct/>
        <w:autoSpaceDE/>
        <w:autoSpaceDN/>
        <w:adjustRightInd/>
        <w:snapToGrid/>
      </w:pPr>
      <w:r>
        <w:t>58</w:t>
      </w:r>
      <w:r w:rsidR="00A00DEA">
        <w:t>.</w:t>
      </w:r>
      <w:r w:rsidR="00A00DEA">
        <w:tab/>
      </w:r>
      <w:r w:rsidR="00A00DEA" w:rsidRPr="00DC76C4">
        <w:t xml:space="preserve">The aggravated offences will carry an enhanced penalty, and the </w:t>
      </w:r>
      <w:r w:rsidR="00A00DEA">
        <w:t xml:space="preserve">conviction </w:t>
      </w:r>
      <w:r w:rsidR="00A00DEA" w:rsidRPr="00DC76C4">
        <w:t>record</w:t>
      </w:r>
      <w:r w:rsidR="00A00DEA">
        <w:t xml:space="preserve"> would</w:t>
      </w:r>
      <w:r w:rsidR="00A00DEA" w:rsidRPr="00DC76C4">
        <w:t xml:space="preserve"> state that the off</w:t>
      </w:r>
      <w:r w:rsidR="00A00DEA">
        <w:t>ence was motivated by prejudice.</w:t>
      </w:r>
      <w:r w:rsidR="00A00DEA" w:rsidRPr="000736E5">
        <w:t xml:space="preserve"> </w:t>
      </w:r>
      <w:r w:rsidR="00A00DEA">
        <w:t>T</w:t>
      </w:r>
      <w:r w:rsidR="00A00DEA" w:rsidRPr="009F04CF">
        <w:t xml:space="preserve">he </w:t>
      </w:r>
      <w:hyperlink r:id="rId12" w:history="1">
        <w:r w:rsidR="00A00DEA" w:rsidRPr="009F04CF">
          <w:t>Legislating for Hate Speech and Hate Crime in Ireland, Public Consultation Report</w:t>
        </w:r>
      </w:hyperlink>
      <w:r w:rsidR="00A00DEA" w:rsidRPr="009F04CF">
        <w:t xml:space="preserve"> </w:t>
      </w:r>
      <w:r w:rsidR="00A00DEA">
        <w:t xml:space="preserve">was published </w:t>
      </w:r>
      <w:r w:rsidR="00A00DEA" w:rsidRPr="009F04CF">
        <w:t>on 17 December 2020</w:t>
      </w:r>
      <w:r w:rsidR="00987ACF">
        <w:rPr>
          <w:rStyle w:val="FootnoteReference"/>
        </w:rPr>
        <w:footnoteReference w:id="5"/>
      </w:r>
      <w:r w:rsidR="00A00DEA" w:rsidRPr="009F04CF">
        <w:t xml:space="preserve">. </w:t>
      </w:r>
      <w:r w:rsidR="00A00DEA">
        <w:t>T</w:t>
      </w:r>
      <w:r w:rsidR="00A00DEA" w:rsidRPr="008B6509">
        <w:t xml:space="preserve">he constitutional rights </w:t>
      </w:r>
      <w:r w:rsidR="00A00DEA">
        <w:t xml:space="preserve">of freedom of expression and </w:t>
      </w:r>
      <w:r w:rsidR="00A00DEA" w:rsidRPr="008B6509">
        <w:t>association will be respected in the new legislation</w:t>
      </w:r>
      <w:r w:rsidR="00A00DEA">
        <w:t xml:space="preserve">. </w:t>
      </w:r>
    </w:p>
    <w:p w14:paraId="7A6B886C" w14:textId="790E52CF" w:rsidR="00A00DEA" w:rsidRPr="009F04CF" w:rsidRDefault="008A1F1D" w:rsidP="00A00DEA">
      <w:pPr>
        <w:pStyle w:val="SingleTxtG"/>
        <w:kinsoku/>
        <w:overflowPunct/>
        <w:autoSpaceDE/>
        <w:autoSpaceDN/>
        <w:adjustRightInd/>
        <w:snapToGrid/>
      </w:pPr>
      <w:r>
        <w:t>59</w:t>
      </w:r>
      <w:r w:rsidR="00A00DEA" w:rsidRPr="009F04CF">
        <w:t>.</w:t>
      </w:r>
      <w:r w:rsidR="00A00DEA" w:rsidRPr="009F04CF">
        <w:tab/>
      </w:r>
      <w:r w:rsidR="00A00DEA">
        <w:t>AGS</w:t>
      </w:r>
      <w:r w:rsidR="00A00DEA" w:rsidRPr="009F04CF">
        <w:t xml:space="preserve"> reported that hate-based motivations for crime incidents recorded for 2013-2018 were 113, 115, 16</w:t>
      </w:r>
      <w:r w:rsidR="00A00DEA">
        <w:t xml:space="preserve">3, 290, 324 and 340 respectively. </w:t>
      </w:r>
      <w:r w:rsidR="00A00DEA" w:rsidRPr="009F04CF">
        <w:t>There were 251 incidents recorded in 2019 and 178 in 2020</w:t>
      </w:r>
      <w:r w:rsidR="00A00DEA">
        <w:t xml:space="preserve"> </w:t>
      </w:r>
      <w:r w:rsidR="00A00DEA" w:rsidRPr="009F04CF">
        <w:t xml:space="preserve">(up to 18 </w:t>
      </w:r>
      <w:proofErr w:type="gramStart"/>
      <w:r w:rsidR="00A00DEA" w:rsidRPr="009F04CF">
        <w:t>September,</w:t>
      </w:r>
      <w:proofErr w:type="gramEnd"/>
      <w:r w:rsidR="00A00DEA" w:rsidRPr="009F04CF">
        <w:t xml:space="preserve"> 2020). The 2020 figure is likely to have been impacted by a reduction in m</w:t>
      </w:r>
      <w:r w:rsidR="00A00DEA">
        <w:t>ost crime types due to COVID-19</w:t>
      </w:r>
      <w:r w:rsidR="00A00DEA" w:rsidRPr="009F04CF">
        <w:t xml:space="preserve">. </w:t>
      </w:r>
      <w:r w:rsidR="00A00DEA">
        <w:t xml:space="preserve"> </w:t>
      </w:r>
      <w:r w:rsidR="00924022" w:rsidRPr="00924022">
        <w:t xml:space="preserve"> </w:t>
      </w:r>
      <w:r w:rsidR="00924022" w:rsidRPr="008961D7">
        <w:rPr>
          <w:highlight w:val="lightGray"/>
        </w:rPr>
        <w:t>Due to ongoing work on PULSE data, 2021 is being used as a new baseline year and AGS intend to release figures thereafter. Data from before and after the change are not comparable.</w:t>
      </w:r>
    </w:p>
    <w:p w14:paraId="0A5D877B" w14:textId="2E300759" w:rsidR="00A00DEA" w:rsidRPr="009F04CF" w:rsidRDefault="008A1F1D" w:rsidP="00A00DEA">
      <w:pPr>
        <w:pStyle w:val="SingleTxtG"/>
        <w:kinsoku/>
        <w:overflowPunct/>
        <w:autoSpaceDE/>
        <w:autoSpaceDN/>
        <w:adjustRightInd/>
        <w:snapToGrid/>
      </w:pPr>
      <w:r>
        <w:t>60</w:t>
      </w:r>
      <w:r w:rsidR="00A00DEA" w:rsidRPr="009F04CF">
        <w:t>.</w:t>
      </w:r>
      <w:r w:rsidR="00A00DEA" w:rsidRPr="009F04CF">
        <w:tab/>
        <w:t xml:space="preserve">The Garda Diversity and Integration Strategy 2019-2021 has a significant focus on enhancing the identification, reporting, investigation and prosecution of hate crimes. </w:t>
      </w:r>
    </w:p>
    <w:p w14:paraId="4123310E" w14:textId="3C53B0FC" w:rsidR="00A00DEA" w:rsidRDefault="008A1F1D" w:rsidP="00A00DEA">
      <w:pPr>
        <w:pStyle w:val="SingleTxtG"/>
        <w:kinsoku/>
        <w:overflowPunct/>
        <w:autoSpaceDE/>
        <w:autoSpaceDN/>
        <w:adjustRightInd/>
        <w:snapToGrid/>
      </w:pPr>
      <w:r>
        <w:t>61</w:t>
      </w:r>
      <w:r w:rsidR="00A00DEA">
        <w:t>.</w:t>
      </w:r>
      <w:r w:rsidR="00A00DEA">
        <w:tab/>
      </w:r>
      <w:r w:rsidR="00883B2B" w:rsidRPr="008961D7">
        <w:rPr>
          <w:highlight w:val="lightGray"/>
        </w:rPr>
        <w:t>New measures were introduced as part of PULSE 7.6, deployed in October 2020, which changed the way hate crime figures are recorded. This also introduced the ability to record non-crime hate related incidents. Due to the recording changes, figures from after the PULSE change are not comparable to those recorded previously. A new baseline for hate related incidents will be established in 2021, along with the introduction of training and other measures to improve recording</w:t>
      </w:r>
      <w:r w:rsidR="00DD4626" w:rsidRPr="008961D7">
        <w:rPr>
          <w:highlight w:val="lightGray"/>
        </w:rPr>
        <w:t>.</w:t>
      </w:r>
    </w:p>
    <w:p w14:paraId="57AEC961" w14:textId="36DE9DB6" w:rsidR="00A00DEA" w:rsidRDefault="00A00DEA" w:rsidP="00A00DEA">
      <w:pPr>
        <w:pStyle w:val="H1G"/>
      </w:pPr>
      <w:r>
        <w:lastRenderedPageBreak/>
        <w:tab/>
      </w:r>
      <w:r>
        <w:tab/>
        <w:t xml:space="preserve">Gender equality (arts. 2, 3 and 26) </w:t>
      </w:r>
    </w:p>
    <w:p w14:paraId="5F864B3A" w14:textId="4010EFE9" w:rsidR="00A00DEA" w:rsidRPr="00127895" w:rsidRDefault="00A00DEA" w:rsidP="00A00DEA">
      <w:pPr>
        <w:pStyle w:val="H23G"/>
      </w:pPr>
      <w:r>
        <w:tab/>
      </w:r>
      <w:r>
        <w:tab/>
        <w:t xml:space="preserve">Reply to paragraph 9(a) </w:t>
      </w:r>
    </w:p>
    <w:p w14:paraId="42C4197C" w14:textId="445309CD" w:rsidR="00A00DEA" w:rsidRPr="00940BF1" w:rsidRDefault="008A1F1D" w:rsidP="00A00DEA">
      <w:pPr>
        <w:pStyle w:val="SingleTxtG"/>
        <w:kinsoku/>
        <w:overflowPunct/>
        <w:autoSpaceDE/>
        <w:autoSpaceDN/>
        <w:adjustRightInd/>
        <w:snapToGrid/>
      </w:pPr>
      <w:r>
        <w:t>62</w:t>
      </w:r>
      <w:r w:rsidR="00A00DEA" w:rsidRPr="00940BF1">
        <w:t>.</w:t>
      </w:r>
      <w:r w:rsidR="00A00DEA" w:rsidRPr="00940BF1">
        <w:tab/>
      </w:r>
      <w:r w:rsidR="00A00DEA">
        <w:t>T</w:t>
      </w:r>
      <w:r w:rsidR="00A00DEA" w:rsidRPr="00940BF1">
        <w:t xml:space="preserve">he Government signalled its intention to hold a referendum to delete Article 41.2 from </w:t>
      </w:r>
      <w:r w:rsidR="00A00DEA">
        <w:t xml:space="preserve">the </w:t>
      </w:r>
      <w:r w:rsidR="00A00DEA" w:rsidRPr="00940BF1">
        <w:t>Constitution</w:t>
      </w:r>
      <w:r w:rsidR="00A00DEA">
        <w:t>.</w:t>
      </w:r>
      <w:r w:rsidR="00A00DEA" w:rsidRPr="00940BF1">
        <w:t xml:space="preserve"> The Joint Oireachtas Com</w:t>
      </w:r>
      <w:r w:rsidR="00A00DEA">
        <w:t xml:space="preserve">mittee on Justice and Equality </w:t>
      </w:r>
      <w:r w:rsidR="00A00DEA" w:rsidRPr="00940BF1">
        <w:t>agreed in its December 2018 report that the current wording of Article 41.2 is inappropriate</w:t>
      </w:r>
      <w:r w:rsidR="00A00DEA">
        <w:t>.</w:t>
      </w:r>
    </w:p>
    <w:p w14:paraId="78128023" w14:textId="057FCE62" w:rsidR="00A00DEA" w:rsidRDefault="008A1F1D" w:rsidP="00A00DEA">
      <w:pPr>
        <w:pStyle w:val="SingleTxtG"/>
        <w:kinsoku/>
        <w:overflowPunct/>
        <w:autoSpaceDE/>
        <w:autoSpaceDN/>
        <w:adjustRightInd/>
        <w:snapToGrid/>
      </w:pPr>
      <w:r>
        <w:t>63</w:t>
      </w:r>
      <w:r w:rsidR="00A00DEA" w:rsidRPr="00942A72">
        <w:t>.</w:t>
      </w:r>
      <w:r w:rsidR="00A00DEA" w:rsidRPr="00942A72">
        <w:tab/>
      </w:r>
      <w:r w:rsidR="00A00DEA">
        <w:t>In</w:t>
      </w:r>
      <w:r w:rsidR="00A00DEA" w:rsidRPr="00940BF1">
        <w:t xml:space="preserve"> June 2019, the Government decided to establish a</w:t>
      </w:r>
      <w:r w:rsidR="00A00DEA">
        <w:t>n independent</w:t>
      </w:r>
      <w:r w:rsidR="00A00DEA" w:rsidRPr="00940BF1">
        <w:t xml:space="preserve"> Citizens’ Assembly to bring forward proposals to advance gender equality</w:t>
      </w:r>
      <w:r w:rsidR="00A00DEA">
        <w:t xml:space="preserve">. </w:t>
      </w:r>
      <w:r w:rsidR="00A00DEA" w:rsidRPr="00942A72">
        <w:t xml:space="preserve">The Oireachtas resolution establishing this Citizens’ Assembly, including the topics for its consideration, was passed by both houses in July 2019. The Assembly completed its work and submitted its report of recommendations to the Oireachtas on 2 June 2021. The 2020 Programme for Government (PFG) commits to responding to these recommendations. </w:t>
      </w:r>
    </w:p>
    <w:p w14:paraId="131D3735" w14:textId="147C39FB" w:rsidR="001A0A60" w:rsidRPr="00942A72" w:rsidRDefault="001A0A60" w:rsidP="00A00DEA">
      <w:pPr>
        <w:pStyle w:val="SingleTxtG"/>
        <w:kinsoku/>
        <w:overflowPunct/>
        <w:autoSpaceDE/>
        <w:autoSpaceDN/>
        <w:adjustRightInd/>
        <w:snapToGrid/>
      </w:pPr>
      <w:r w:rsidRPr="008961D7">
        <w:rPr>
          <w:highlight w:val="lightGray"/>
        </w:rPr>
        <w:t xml:space="preserve">The Assembly </w:t>
      </w:r>
      <w:r w:rsidRPr="008961D7">
        <w:rPr>
          <w:szCs w:val="22"/>
          <w:highlight w:val="lightGray"/>
        </w:rPr>
        <w:t xml:space="preserve">completed its work and submitted its report of recommendations to the Oireachtas on 2 June 2021. Among the recommendations, the Assembly proposed the amendment of Article 40.1 of the Constitution to refer explicitly to gender equality and non-discrimination; the amendment of Article 41 of the Constitution so that it would protect private and family life with the protection afforded to the family not limited to the marital family; and the deletion of Article 41.2 of the Constitution and replacing it with language that is not gender specific and obliges the State to take reasonable measures to support care within the home and wider community. The Department of Children, Equality, Disability, Integration and Youth is examining the Citizens' Assembly's proposals </w:t>
      </w:r>
      <w:proofErr w:type="gramStart"/>
      <w:r w:rsidRPr="008961D7">
        <w:rPr>
          <w:szCs w:val="22"/>
          <w:highlight w:val="lightGray"/>
        </w:rPr>
        <w:t>in order to</w:t>
      </w:r>
      <w:proofErr w:type="gramEnd"/>
      <w:r w:rsidRPr="008961D7">
        <w:rPr>
          <w:szCs w:val="22"/>
          <w:highlight w:val="lightGray"/>
        </w:rPr>
        <w:t xml:space="preserve"> develop a response.</w:t>
      </w:r>
    </w:p>
    <w:p w14:paraId="606A4067" w14:textId="26331C98" w:rsidR="001A0A60" w:rsidRDefault="008A1F1D" w:rsidP="001A0A60">
      <w:pPr>
        <w:pStyle w:val="SingleTxtG"/>
        <w:kinsoku/>
        <w:overflowPunct/>
        <w:autoSpaceDE/>
        <w:autoSpaceDN/>
        <w:adjustRightInd/>
        <w:snapToGrid/>
      </w:pPr>
      <w:r>
        <w:t>64</w:t>
      </w:r>
      <w:r w:rsidR="00A00DEA">
        <w:t>.</w:t>
      </w:r>
      <w:r w:rsidR="00A00DEA">
        <w:tab/>
      </w:r>
      <w:r w:rsidR="001A0A60" w:rsidRPr="008961D7">
        <w:rPr>
          <w:szCs w:val="22"/>
          <w:highlight w:val="lightGray"/>
        </w:rPr>
        <w:t>A special Joint Oireachtas Committee on Gender Equality was established in December 2021 to consider the recommendations and the open letter to the Oireachtas contained in the Report of the Citizens’ Assembly on Gender Equality, together with the response of the Government to each such recommendation. The Committee is to report to both Houses within 9 months of its first public meeting, which took place on 3 March 2022. To date, the Committee has met with the Minister for Children, Equality, Disability, Integration and Youth, the Minister for Justice, the Minister for Further and Higher Education, Research and Innovation, and the Minister for Education and members of civil society.</w:t>
      </w:r>
    </w:p>
    <w:p w14:paraId="58C47CF8" w14:textId="06C1A2DC" w:rsidR="00A00DEA" w:rsidRPr="00940BF1" w:rsidRDefault="00A00DEA" w:rsidP="00A00DEA">
      <w:pPr>
        <w:pStyle w:val="H23G"/>
      </w:pPr>
      <w:r>
        <w:tab/>
      </w:r>
      <w:r>
        <w:tab/>
        <w:t xml:space="preserve">Reply to paragraph 9(b) </w:t>
      </w:r>
    </w:p>
    <w:p w14:paraId="30F21ABA" w14:textId="48810DDE" w:rsidR="00A00DEA" w:rsidRPr="00940BF1" w:rsidRDefault="008A1F1D" w:rsidP="00A00DEA">
      <w:pPr>
        <w:pStyle w:val="SingleTxtG"/>
        <w:kinsoku/>
        <w:overflowPunct/>
        <w:autoSpaceDE/>
        <w:autoSpaceDN/>
        <w:adjustRightInd/>
        <w:snapToGrid/>
      </w:pPr>
      <w:r>
        <w:t>65</w:t>
      </w:r>
      <w:r w:rsidR="00A00DEA" w:rsidRPr="00940BF1">
        <w:t>.</w:t>
      </w:r>
      <w:r w:rsidR="00A00DEA" w:rsidRPr="00940BF1">
        <w:tab/>
      </w:r>
      <w:r w:rsidR="00A00DEA">
        <w:t>T</w:t>
      </w:r>
      <w:r w:rsidR="00A00DEA" w:rsidRPr="00940BF1">
        <w:t xml:space="preserve">he National Strategy for Women and Girls 2017-2020 has been </w:t>
      </w:r>
      <w:r w:rsidR="00A00DEA">
        <w:t>extended to 2021 due to the impact of COVID-19. It</w:t>
      </w:r>
      <w:r w:rsidR="00A00DEA" w:rsidRPr="00940BF1">
        <w:t xml:space="preserve"> pursues 85 outcomes under six high-level objectives, advanced through 139 actions. </w:t>
      </w:r>
      <w:r w:rsidR="001A0A60" w:rsidRPr="003C74CC">
        <w:rPr>
          <w:szCs w:val="22"/>
          <w:highlight w:val="lightGray"/>
        </w:rPr>
        <w:t>On conclusion of the Strategy in 2021, 52 actions were completed and a further 85 actions are ongoing. Two actions were not progressed during the lifetime of the Strategy.</w:t>
      </w:r>
      <w:r w:rsidR="001A0A60" w:rsidRPr="00DD4626">
        <w:rPr>
          <w:szCs w:val="22"/>
        </w:rPr>
        <w:t xml:space="preserve"> </w:t>
      </w:r>
    </w:p>
    <w:p w14:paraId="52F821E5" w14:textId="6A2C33F8" w:rsidR="00A00DEA" w:rsidRPr="00940BF1" w:rsidRDefault="008A1F1D" w:rsidP="00A00DEA">
      <w:pPr>
        <w:pStyle w:val="SingleTxtG"/>
        <w:kinsoku/>
        <w:overflowPunct/>
        <w:autoSpaceDE/>
        <w:autoSpaceDN/>
        <w:adjustRightInd/>
        <w:snapToGrid/>
      </w:pPr>
      <w:r>
        <w:t>66</w:t>
      </w:r>
      <w:r w:rsidR="00A00DEA" w:rsidRPr="00940BF1">
        <w:t>.</w:t>
      </w:r>
      <w:r w:rsidR="00A00DEA" w:rsidRPr="00940BF1">
        <w:tab/>
        <w:t xml:space="preserve">A </w:t>
      </w:r>
      <w:r w:rsidR="00A00DEA">
        <w:t xml:space="preserve">progress </w:t>
      </w:r>
      <w:r w:rsidR="00A00DEA" w:rsidRPr="00940BF1">
        <w:t>report from May 2017 to July 2018 has been published</w:t>
      </w:r>
      <w:r w:rsidR="00A00DEA">
        <w:rPr>
          <w:rStyle w:val="FootnoteReference"/>
        </w:rPr>
        <w:footnoteReference w:id="6"/>
      </w:r>
      <w:r w:rsidR="00A00DEA" w:rsidRPr="00940BF1">
        <w:t xml:space="preserve"> and includes indicators relating to outcomes concerning poverty, education, labour market par</w:t>
      </w:r>
      <w:r w:rsidR="00A00DEA">
        <w:t>ticipation, health</w:t>
      </w:r>
      <w:r w:rsidR="00A00DEA" w:rsidRPr="00940BF1">
        <w:t xml:space="preserve">, violence against women, and leadership. A </w:t>
      </w:r>
      <w:r w:rsidR="00A00DEA">
        <w:t>progress report</w:t>
      </w:r>
      <w:r w:rsidR="00A00DEA" w:rsidRPr="00940BF1">
        <w:t xml:space="preserve"> from August 2018 to end 2020 will be published this year. </w:t>
      </w:r>
      <w:r w:rsidR="001A0A60" w:rsidRPr="003C74CC">
        <w:rPr>
          <w:szCs w:val="22"/>
          <w:highlight w:val="lightGray"/>
        </w:rPr>
        <w:t xml:space="preserve">The Department of Children, Equality, Disability, Integration and Youth has commissioned a study to evaluate the processes for implementation of three equality strategies, which includes the National Strategy for Women and Girls as well as the Migrant Integration Strategy and the National Traveller and Roma Inclusion Strategy. This study commenced in June and will be completed in 2022, and will inform the development of future policy. The study will be published on the Department’s website. The Government has committed in the Programme for Government 2020 to developing and implementing a successor to the National Strategy for Women and Girls. Consultations </w:t>
      </w:r>
      <w:proofErr w:type="gramStart"/>
      <w:r w:rsidR="001A0A60" w:rsidRPr="003C74CC">
        <w:rPr>
          <w:szCs w:val="22"/>
          <w:highlight w:val="lightGray"/>
        </w:rPr>
        <w:t>in regard to</w:t>
      </w:r>
      <w:proofErr w:type="gramEnd"/>
      <w:r w:rsidR="001A0A60" w:rsidRPr="003C74CC">
        <w:rPr>
          <w:szCs w:val="22"/>
          <w:highlight w:val="lightGray"/>
        </w:rPr>
        <w:t xml:space="preserve"> the successor strategy will commence during 2022. In the interim, the principles and priorities of the National Strategy for Women and Girls continue to guide the Government's work to advance gender equality and women's rights.</w:t>
      </w:r>
      <w:r w:rsidR="00A00DEA">
        <w:t xml:space="preserve"> </w:t>
      </w:r>
    </w:p>
    <w:p w14:paraId="2CA2EFF7" w14:textId="70D84308" w:rsidR="00A00DEA" w:rsidRPr="00940BF1" w:rsidRDefault="00A00DEA" w:rsidP="00A00DEA">
      <w:pPr>
        <w:pStyle w:val="H23G"/>
      </w:pPr>
      <w:r>
        <w:lastRenderedPageBreak/>
        <w:tab/>
      </w:r>
      <w:r>
        <w:tab/>
        <w:t xml:space="preserve">Reply to paragraph 9(c) </w:t>
      </w:r>
    </w:p>
    <w:p w14:paraId="09B6AAFE" w14:textId="16E95659" w:rsidR="00A00DEA" w:rsidRPr="00940BF1" w:rsidRDefault="008A1F1D" w:rsidP="00A00DEA">
      <w:pPr>
        <w:pStyle w:val="SingleTxtG"/>
        <w:kinsoku/>
        <w:overflowPunct/>
        <w:autoSpaceDE/>
        <w:autoSpaceDN/>
        <w:adjustRightInd/>
        <w:snapToGrid/>
      </w:pPr>
      <w:r>
        <w:t>67</w:t>
      </w:r>
      <w:r w:rsidR="00A00DEA" w:rsidRPr="00940BF1">
        <w:t>.</w:t>
      </w:r>
      <w:r w:rsidR="00A00DEA" w:rsidRPr="00940BF1">
        <w:tab/>
        <w:t xml:space="preserve">Provisions to encourage the selection of </w:t>
      </w:r>
      <w:r w:rsidR="00A00DEA">
        <w:t xml:space="preserve">more </w:t>
      </w:r>
      <w:r w:rsidR="00A00DEA" w:rsidRPr="00940BF1">
        <w:t xml:space="preserve">women candidates in general elections were introduced in the Electoral (Amendment) (Political Funding) Act 2012. </w:t>
      </w:r>
      <w:r w:rsidR="00A00DEA">
        <w:t>It</w:t>
      </w:r>
      <w:r w:rsidR="00A00DEA" w:rsidRPr="00940BF1">
        <w:t xml:space="preserve"> provided that political parties will face a reduction of half of their State funding if they do not have at least 30% women candidates at the next general election</w:t>
      </w:r>
      <w:r w:rsidR="00A00DEA">
        <w:rPr>
          <w:rStyle w:val="FootnoteReference"/>
        </w:rPr>
        <w:footnoteReference w:id="7"/>
      </w:r>
      <w:r w:rsidR="00582470">
        <w:t>,</w:t>
      </w:r>
      <w:r w:rsidR="00A00DEA" w:rsidRPr="00940BF1">
        <w:t xml:space="preserve"> </w:t>
      </w:r>
      <w:r w:rsidR="00A00DEA">
        <w:t>increasing</w:t>
      </w:r>
      <w:r w:rsidR="00A00DEA" w:rsidRPr="00940BF1">
        <w:t xml:space="preserve"> to 40% after </w:t>
      </w:r>
      <w:r w:rsidR="00A00DEA">
        <w:t>seven</w:t>
      </w:r>
      <w:r w:rsidR="00A00DEA" w:rsidRPr="00940BF1">
        <w:t xml:space="preserve"> years.</w:t>
      </w:r>
    </w:p>
    <w:p w14:paraId="3FCA8082" w14:textId="5FD12CFA" w:rsidR="00A00DEA" w:rsidRDefault="008A1F1D" w:rsidP="00A00DEA">
      <w:pPr>
        <w:pStyle w:val="SingleTxtG"/>
        <w:kinsoku/>
        <w:overflowPunct/>
        <w:autoSpaceDE/>
        <w:autoSpaceDN/>
        <w:adjustRightInd/>
        <w:snapToGrid/>
      </w:pPr>
      <w:r>
        <w:t>68</w:t>
      </w:r>
      <w:r w:rsidR="00A00DEA">
        <w:t>.</w:t>
      </w:r>
      <w:r w:rsidR="00A00DEA">
        <w:tab/>
        <w:t>The 30% quota was</w:t>
      </w:r>
      <w:r w:rsidR="00A00DEA" w:rsidRPr="00940BF1">
        <w:t xml:space="preserve"> met by all of the qualified political parties that contested the </w:t>
      </w:r>
      <w:r w:rsidR="00A00DEA">
        <w:t xml:space="preserve">2016 </w:t>
      </w:r>
      <w:r w:rsidR="00A00DEA" w:rsidRPr="00940BF1">
        <w:t>election and contributed to a 90% increase in women’s candidacy and a</w:t>
      </w:r>
      <w:r w:rsidR="00A00DEA">
        <w:t>n</w:t>
      </w:r>
      <w:r w:rsidR="00A00DEA" w:rsidRPr="00940BF1">
        <w:t xml:space="preserve"> increase in women in the </w:t>
      </w:r>
      <w:proofErr w:type="spellStart"/>
      <w:r w:rsidR="00A00DEA" w:rsidRPr="00940BF1">
        <w:t>Dáil</w:t>
      </w:r>
      <w:proofErr w:type="spellEnd"/>
      <w:r w:rsidR="00A00DEA" w:rsidRPr="00940BF1">
        <w:t>, from 15% in 2011, to 22%. This level was maintained</w:t>
      </w:r>
      <w:r w:rsidR="00A00DEA">
        <w:t xml:space="preserve"> </w:t>
      </w:r>
      <w:r w:rsidR="00A00DEA" w:rsidRPr="00940BF1">
        <w:t xml:space="preserve">in the </w:t>
      </w:r>
      <w:r w:rsidR="00A00DEA">
        <w:t>2020 general election</w:t>
      </w:r>
      <w:r w:rsidR="00A00DEA" w:rsidRPr="00940BF1">
        <w:t>, with 31% of candidates and 22.5</w:t>
      </w:r>
      <w:r w:rsidR="00A00DEA">
        <w:t xml:space="preserve">% of those elected being women. </w:t>
      </w:r>
      <w:r w:rsidR="00A00DEA" w:rsidRPr="00940BF1">
        <w:t xml:space="preserve">The current membership of Seanad </w:t>
      </w:r>
      <w:proofErr w:type="spellStart"/>
      <w:r w:rsidR="00A00DEA" w:rsidRPr="00940BF1">
        <w:t>Éireann</w:t>
      </w:r>
      <w:proofErr w:type="spellEnd"/>
      <w:r w:rsidR="00A00DEA" w:rsidRPr="00940BF1">
        <w:t>,</w:t>
      </w:r>
      <w:r w:rsidR="00A00DEA">
        <w:t xml:space="preserve"> is 40% female and 60% male. </w:t>
      </w:r>
    </w:p>
    <w:p w14:paraId="56B0C878" w14:textId="1CEFF949" w:rsidR="00A00DEA" w:rsidRPr="003C74CC" w:rsidRDefault="008A1F1D" w:rsidP="00A00DEA">
      <w:pPr>
        <w:pStyle w:val="SingleTxtG"/>
        <w:kinsoku/>
        <w:overflowPunct/>
        <w:autoSpaceDE/>
        <w:autoSpaceDN/>
        <w:adjustRightInd/>
        <w:snapToGrid/>
        <w:rPr>
          <w:iCs/>
          <w:color w:val="FF0000"/>
          <w:highlight w:val="lightGray"/>
        </w:rPr>
      </w:pPr>
      <w:r>
        <w:t>69</w:t>
      </w:r>
      <w:r w:rsidR="00A00DEA">
        <w:t>.</w:t>
      </w:r>
      <w:r w:rsidR="00A00DEA">
        <w:tab/>
      </w:r>
      <w:r w:rsidR="00A00DEA" w:rsidRPr="00940BF1">
        <w:t>The Government launched the Better Balance for Better Business Independent Review Group in 2018. Led by businesses, it aims to improve gender balance</w:t>
      </w:r>
      <w:r w:rsidR="00747C80">
        <w:t xml:space="preserve"> on the boards and</w:t>
      </w:r>
      <w:r w:rsidR="00A00DEA" w:rsidRPr="00940BF1">
        <w:t xml:space="preserve"> senior leadership</w:t>
      </w:r>
      <w:r w:rsidR="00747C80">
        <w:t xml:space="preserve"> teams of companies in Ireland</w:t>
      </w:r>
      <w:r w:rsidR="00A00DEA">
        <w:t>.</w:t>
      </w:r>
      <w:r w:rsidR="00A00DEA" w:rsidRPr="00940BF1">
        <w:t xml:space="preserve"> The initial target is to have 33% female representation on boards of Irish Stock Exchange Quotient 20</w:t>
      </w:r>
      <w:r w:rsidR="00747C80">
        <w:t xml:space="preserve"> (ISEQ20)</w:t>
      </w:r>
      <w:r w:rsidR="00A00DEA" w:rsidRPr="00940BF1">
        <w:t xml:space="preserve"> companies, with further targets of 25% female representation on boards for other listed companies, by the end of 2023</w:t>
      </w:r>
      <w:r w:rsidR="00747C80">
        <w:t xml:space="preserve">, </w:t>
      </w:r>
      <w:r w:rsidR="00747C80" w:rsidRPr="003C74CC">
        <w:rPr>
          <w:highlight w:val="lightGray"/>
        </w:rPr>
        <w:t>with ann</w:t>
      </w:r>
      <w:r w:rsidR="00604EBD" w:rsidRPr="003C74CC">
        <w:rPr>
          <w:highlight w:val="lightGray"/>
        </w:rPr>
        <w:t>ual targets set also</w:t>
      </w:r>
      <w:r w:rsidR="00A00DEA" w:rsidRPr="00940BF1">
        <w:t>.</w:t>
      </w:r>
      <w:r w:rsidR="00604EBD">
        <w:t xml:space="preserve"> In addition, t</w:t>
      </w:r>
      <w:r w:rsidR="00A00DEA" w:rsidRPr="00940BF1">
        <w:t xml:space="preserve">he Group set targets for women on the boards and leadership teams of large Irish-owned </w:t>
      </w:r>
      <w:r w:rsidR="00A00DEA">
        <w:t xml:space="preserve">and multinational </w:t>
      </w:r>
      <w:r w:rsidR="00A00DEA" w:rsidRPr="00940BF1">
        <w:t>companie</w:t>
      </w:r>
      <w:r w:rsidR="00A00DEA">
        <w:t xml:space="preserve">s. </w:t>
      </w:r>
      <w:r w:rsidR="00A00DEA" w:rsidRPr="00940BF1">
        <w:t>The Review Group</w:t>
      </w:r>
      <w:r w:rsidR="00A00DEA">
        <w:t>’s</w:t>
      </w:r>
      <w:r w:rsidR="00A00DEA" w:rsidRPr="00940BF1">
        <w:t xml:space="preserve"> </w:t>
      </w:r>
      <w:r w:rsidR="00A00DEA">
        <w:t xml:space="preserve">most recent report was published in </w:t>
      </w:r>
      <w:r w:rsidR="00604EBD" w:rsidRPr="003C74CC">
        <w:rPr>
          <w:highlight w:val="lightGray"/>
        </w:rPr>
        <w:t xml:space="preserve">December </w:t>
      </w:r>
      <w:r w:rsidR="00A00DEA" w:rsidRPr="003C74CC">
        <w:rPr>
          <w:highlight w:val="lightGray"/>
        </w:rPr>
        <w:t>202</w:t>
      </w:r>
      <w:r w:rsidR="00604EBD" w:rsidRPr="003C74CC">
        <w:rPr>
          <w:highlight w:val="lightGray"/>
        </w:rPr>
        <w:t xml:space="preserve">1 [Data from 1 March 2022 </w:t>
      </w:r>
      <w:r w:rsidR="00604EBD" w:rsidRPr="003C74CC">
        <w:rPr>
          <w:iCs/>
          <w:highlight w:val="lightGray"/>
        </w:rPr>
        <w:t>shows that female representation on the boards of the ISEQ20 companies now stands at 32% (exceeding the 2022 target of 30%), and, for the other listed companies, female representation is now at 23%. For leadership teams, ISEQ20 companies are now averaging 26% female representation with other listed companies achieving 21%.]</w:t>
      </w:r>
    </w:p>
    <w:p w14:paraId="35731639" w14:textId="2A993508" w:rsidR="001A0A60" w:rsidRDefault="001A0A60" w:rsidP="00A00DEA">
      <w:pPr>
        <w:pStyle w:val="SingleTxtG"/>
        <w:kinsoku/>
        <w:overflowPunct/>
        <w:autoSpaceDE/>
        <w:autoSpaceDN/>
        <w:adjustRightInd/>
        <w:snapToGrid/>
      </w:pPr>
      <w:r w:rsidRPr="003C74CC">
        <w:rPr>
          <w:iCs/>
          <w:highlight w:val="lightGray"/>
        </w:rPr>
        <w:t xml:space="preserve">Political agreement </w:t>
      </w:r>
      <w:r w:rsidRPr="003C74CC">
        <w:rPr>
          <w:szCs w:val="22"/>
          <w:highlight w:val="lightGray"/>
        </w:rPr>
        <w:t>was reached in June 2022 on a proposed EU Directive on improving the gender balance among non-executive directors of companies listed on stock exchanges and related measures. The Government will consider options for transposition of the measure in due course.</w:t>
      </w:r>
    </w:p>
    <w:p w14:paraId="57077890" w14:textId="7212F4E8" w:rsidR="00A00DEA" w:rsidRPr="0034259C" w:rsidRDefault="008A1F1D" w:rsidP="00A00DEA">
      <w:pPr>
        <w:pStyle w:val="SingleTxtG"/>
        <w:kinsoku/>
        <w:overflowPunct/>
        <w:autoSpaceDE/>
        <w:autoSpaceDN/>
        <w:adjustRightInd/>
        <w:snapToGrid/>
      </w:pPr>
      <w:r>
        <w:t>70</w:t>
      </w:r>
      <w:r w:rsidR="00A00DEA" w:rsidRPr="0034259C">
        <w:t>.</w:t>
      </w:r>
      <w:r w:rsidR="00A00DEA" w:rsidRPr="0034259C">
        <w:tab/>
        <w:t>The</w:t>
      </w:r>
      <w:r w:rsidR="00A00DEA">
        <w:t xml:space="preserve"> Gender Pay Gap Information Act</w:t>
      </w:r>
      <w:r w:rsidR="00A00DEA" w:rsidRPr="0034259C">
        <w:t xml:space="preserve"> 2019 to reduce</w:t>
      </w:r>
      <w:r w:rsidR="00A00DEA">
        <w:t xml:space="preserve"> the gender pay gap was</w:t>
      </w:r>
      <w:r w:rsidR="00A00DEA" w:rsidRPr="0034259C">
        <w:t xml:space="preserve"> enacted in July 2021.</w:t>
      </w:r>
    </w:p>
    <w:p w14:paraId="54A90567" w14:textId="5C4A6449" w:rsidR="00A00DEA" w:rsidRPr="0034259C" w:rsidRDefault="008A1F1D" w:rsidP="00A00DEA">
      <w:pPr>
        <w:pStyle w:val="SingleTxtG"/>
        <w:kinsoku/>
        <w:overflowPunct/>
        <w:autoSpaceDE/>
        <w:autoSpaceDN/>
        <w:adjustRightInd/>
        <w:snapToGrid/>
      </w:pPr>
      <w:r>
        <w:t>71</w:t>
      </w:r>
      <w:r w:rsidR="00A00DEA" w:rsidRPr="0034259C">
        <w:t>.</w:t>
      </w:r>
      <w:r w:rsidR="00A00DEA" w:rsidRPr="0034259C">
        <w:tab/>
        <w:t xml:space="preserve">Significant progress has been made in relation to female representation in senior Civil Service positions.  </w:t>
      </w:r>
    </w:p>
    <w:tbl>
      <w:tblPr>
        <w:tblW w:w="8843" w:type="dxa"/>
        <w:tblInd w:w="1134" w:type="dxa"/>
        <w:tblLayout w:type="fixed"/>
        <w:tblCellMar>
          <w:left w:w="0" w:type="dxa"/>
          <w:right w:w="0" w:type="dxa"/>
        </w:tblCellMar>
        <w:tblLook w:val="04A0" w:firstRow="1" w:lastRow="0" w:firstColumn="1" w:lastColumn="0" w:noHBand="0" w:noVBand="1"/>
      </w:tblPr>
      <w:tblGrid>
        <w:gridCol w:w="3690"/>
        <w:gridCol w:w="1045"/>
        <w:gridCol w:w="1162"/>
        <w:gridCol w:w="1473"/>
        <w:gridCol w:w="1473"/>
      </w:tblGrid>
      <w:tr w:rsidR="00604EBD" w:rsidRPr="00A00DEA" w14:paraId="4F72B069" w14:textId="17C20C55" w:rsidTr="00167D24">
        <w:trPr>
          <w:tblHeader/>
        </w:trPr>
        <w:tc>
          <w:tcPr>
            <w:tcW w:w="7370" w:type="dxa"/>
            <w:gridSpan w:val="4"/>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36E0997" w14:textId="77777777" w:rsidR="00604EBD" w:rsidRPr="00A00DEA" w:rsidRDefault="00604EBD" w:rsidP="00A00DEA">
            <w:pPr>
              <w:pStyle w:val="ListParagraph"/>
              <w:spacing w:before="80" w:after="80" w:line="200" w:lineRule="exact"/>
              <w:ind w:left="0"/>
              <w:rPr>
                <w:rFonts w:ascii="Times New Roman" w:hAnsi="Times New Roman" w:cs="Times New Roman"/>
                <w:bCs/>
                <w:i/>
                <w:sz w:val="16"/>
                <w:szCs w:val="20"/>
                <w:lang w:eastAsia="en-IE"/>
              </w:rPr>
            </w:pPr>
            <w:r w:rsidRPr="003C74CC">
              <w:rPr>
                <w:rFonts w:ascii="Times New Roman" w:hAnsi="Times New Roman" w:cs="Times New Roman"/>
                <w:bCs/>
                <w:i/>
                <w:sz w:val="16"/>
                <w:szCs w:val="20"/>
                <w:highlight w:val="lightGray"/>
              </w:rPr>
              <w:t>Percentage Female Representation in Senior Management Grades</w:t>
            </w:r>
          </w:p>
        </w:tc>
        <w:tc>
          <w:tcPr>
            <w:tcW w:w="1473" w:type="dxa"/>
            <w:tcBorders>
              <w:top w:val="single" w:sz="4" w:space="0" w:color="auto"/>
              <w:bottom w:val="single" w:sz="12" w:space="0" w:color="auto"/>
            </w:tcBorders>
          </w:tcPr>
          <w:p w14:paraId="0A5FCB4F" w14:textId="77777777" w:rsidR="00604EBD" w:rsidRPr="00A00DEA" w:rsidRDefault="00604EBD" w:rsidP="00A00DEA">
            <w:pPr>
              <w:pStyle w:val="ListParagraph"/>
              <w:spacing w:before="80" w:after="80" w:line="200" w:lineRule="exact"/>
              <w:ind w:left="0"/>
              <w:rPr>
                <w:rFonts w:ascii="Times New Roman" w:hAnsi="Times New Roman" w:cs="Times New Roman"/>
                <w:bCs/>
                <w:i/>
                <w:sz w:val="16"/>
                <w:szCs w:val="20"/>
              </w:rPr>
            </w:pPr>
          </w:p>
        </w:tc>
      </w:tr>
      <w:tr w:rsidR="00604EBD" w:rsidRPr="00A00DEA" w14:paraId="69233DC5" w14:textId="1807528B" w:rsidTr="00167D24">
        <w:tc>
          <w:tcPr>
            <w:tcW w:w="3690" w:type="dxa"/>
            <w:tcBorders>
              <w:top w:val="single" w:sz="12" w:space="0" w:color="auto"/>
            </w:tcBorders>
            <w:shd w:val="clear" w:color="auto" w:fill="auto"/>
            <w:tcMar>
              <w:top w:w="0" w:type="dxa"/>
              <w:left w:w="108" w:type="dxa"/>
              <w:bottom w:w="0" w:type="dxa"/>
              <w:right w:w="108" w:type="dxa"/>
            </w:tcMar>
            <w:hideMark/>
          </w:tcPr>
          <w:p w14:paraId="7DE67BB7"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Grade</w:t>
            </w:r>
          </w:p>
        </w:tc>
        <w:tc>
          <w:tcPr>
            <w:tcW w:w="1045" w:type="dxa"/>
            <w:tcBorders>
              <w:top w:val="single" w:sz="12" w:space="0" w:color="auto"/>
            </w:tcBorders>
            <w:shd w:val="clear" w:color="auto" w:fill="auto"/>
            <w:tcMar>
              <w:top w:w="0" w:type="dxa"/>
              <w:left w:w="108" w:type="dxa"/>
              <w:bottom w:w="0" w:type="dxa"/>
              <w:right w:w="108" w:type="dxa"/>
            </w:tcMar>
            <w:hideMark/>
          </w:tcPr>
          <w:p w14:paraId="0E2517F1"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1997</w:t>
            </w:r>
          </w:p>
        </w:tc>
        <w:tc>
          <w:tcPr>
            <w:tcW w:w="1162" w:type="dxa"/>
            <w:tcBorders>
              <w:top w:val="single" w:sz="12" w:space="0" w:color="auto"/>
            </w:tcBorders>
            <w:shd w:val="clear" w:color="auto" w:fill="auto"/>
            <w:tcMar>
              <w:top w:w="0" w:type="dxa"/>
              <w:left w:w="108" w:type="dxa"/>
              <w:bottom w:w="0" w:type="dxa"/>
              <w:right w:w="108" w:type="dxa"/>
            </w:tcMar>
            <w:hideMark/>
          </w:tcPr>
          <w:p w14:paraId="401420CA"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2007</w:t>
            </w:r>
          </w:p>
        </w:tc>
        <w:tc>
          <w:tcPr>
            <w:tcW w:w="1473" w:type="dxa"/>
            <w:tcBorders>
              <w:top w:val="single" w:sz="12" w:space="0" w:color="auto"/>
            </w:tcBorders>
            <w:shd w:val="clear" w:color="auto" w:fill="auto"/>
            <w:tcMar>
              <w:top w:w="0" w:type="dxa"/>
              <w:left w:w="108" w:type="dxa"/>
              <w:bottom w:w="0" w:type="dxa"/>
              <w:right w:w="108" w:type="dxa"/>
            </w:tcMar>
            <w:hideMark/>
          </w:tcPr>
          <w:p w14:paraId="5F3AAD9D"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2020</w:t>
            </w:r>
          </w:p>
        </w:tc>
        <w:tc>
          <w:tcPr>
            <w:tcW w:w="1473" w:type="dxa"/>
            <w:tcBorders>
              <w:top w:val="single" w:sz="12" w:space="0" w:color="auto"/>
            </w:tcBorders>
          </w:tcPr>
          <w:p w14:paraId="6BF664DA" w14:textId="4F47F5C6" w:rsidR="00604EBD" w:rsidRPr="003C74CC" w:rsidRDefault="00604EBD" w:rsidP="00A00DEA">
            <w:pPr>
              <w:pStyle w:val="ListParagraph"/>
              <w:spacing w:before="40" w:after="40" w:line="220" w:lineRule="exact"/>
              <w:ind w:left="0"/>
              <w:rPr>
                <w:rFonts w:ascii="Times New Roman" w:hAnsi="Times New Roman" w:cs="Times New Roman"/>
                <w:b/>
                <w:bCs/>
                <w:sz w:val="18"/>
                <w:szCs w:val="20"/>
                <w:highlight w:val="lightGray"/>
              </w:rPr>
            </w:pPr>
            <w:r w:rsidRPr="003C74CC">
              <w:rPr>
                <w:rFonts w:ascii="Times New Roman" w:hAnsi="Times New Roman" w:cs="Times New Roman"/>
                <w:b/>
                <w:bCs/>
                <w:sz w:val="18"/>
                <w:szCs w:val="20"/>
                <w:highlight w:val="lightGray"/>
              </w:rPr>
              <w:t>2021</w:t>
            </w:r>
          </w:p>
        </w:tc>
      </w:tr>
      <w:tr w:rsidR="00604EBD" w:rsidRPr="00A00DEA" w14:paraId="7C7EA083" w14:textId="6687EE89" w:rsidTr="00167D24">
        <w:tc>
          <w:tcPr>
            <w:tcW w:w="3690" w:type="dxa"/>
            <w:shd w:val="clear" w:color="auto" w:fill="auto"/>
            <w:tcMar>
              <w:top w:w="0" w:type="dxa"/>
              <w:left w:w="108" w:type="dxa"/>
              <w:bottom w:w="0" w:type="dxa"/>
              <w:right w:w="108" w:type="dxa"/>
            </w:tcMar>
            <w:hideMark/>
          </w:tcPr>
          <w:p w14:paraId="08059153"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Secretary General</w:t>
            </w:r>
          </w:p>
        </w:tc>
        <w:tc>
          <w:tcPr>
            <w:tcW w:w="1045" w:type="dxa"/>
            <w:shd w:val="clear" w:color="auto" w:fill="auto"/>
            <w:tcMar>
              <w:top w:w="0" w:type="dxa"/>
              <w:left w:w="108" w:type="dxa"/>
              <w:bottom w:w="0" w:type="dxa"/>
              <w:right w:w="108" w:type="dxa"/>
            </w:tcMar>
            <w:hideMark/>
          </w:tcPr>
          <w:p w14:paraId="58A4E010"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5%</w:t>
            </w:r>
          </w:p>
        </w:tc>
        <w:tc>
          <w:tcPr>
            <w:tcW w:w="1162" w:type="dxa"/>
            <w:shd w:val="clear" w:color="auto" w:fill="auto"/>
            <w:tcMar>
              <w:top w:w="0" w:type="dxa"/>
              <w:left w:w="108" w:type="dxa"/>
              <w:bottom w:w="0" w:type="dxa"/>
              <w:right w:w="108" w:type="dxa"/>
            </w:tcMar>
            <w:hideMark/>
          </w:tcPr>
          <w:p w14:paraId="4834A785"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19%</w:t>
            </w:r>
          </w:p>
        </w:tc>
        <w:tc>
          <w:tcPr>
            <w:tcW w:w="1473" w:type="dxa"/>
            <w:shd w:val="clear" w:color="auto" w:fill="auto"/>
            <w:tcMar>
              <w:top w:w="0" w:type="dxa"/>
              <w:left w:w="108" w:type="dxa"/>
              <w:bottom w:w="0" w:type="dxa"/>
              <w:right w:w="108" w:type="dxa"/>
            </w:tcMar>
            <w:hideMark/>
          </w:tcPr>
          <w:p w14:paraId="270B6DC3"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28%</w:t>
            </w:r>
          </w:p>
        </w:tc>
        <w:tc>
          <w:tcPr>
            <w:tcW w:w="1473" w:type="dxa"/>
          </w:tcPr>
          <w:p w14:paraId="07D6FAFA" w14:textId="6D326268" w:rsidR="00604EBD" w:rsidRPr="003C74CC" w:rsidRDefault="00604EBD" w:rsidP="00A00DEA">
            <w:pPr>
              <w:pStyle w:val="ListParagraph"/>
              <w:spacing w:before="40" w:after="40" w:line="220" w:lineRule="exact"/>
              <w:ind w:left="0"/>
              <w:rPr>
                <w:rFonts w:ascii="Times New Roman" w:hAnsi="Times New Roman" w:cs="Times New Roman"/>
                <w:sz w:val="18"/>
                <w:szCs w:val="20"/>
                <w:highlight w:val="lightGray"/>
              </w:rPr>
            </w:pPr>
            <w:r w:rsidRPr="003C74CC">
              <w:rPr>
                <w:rFonts w:ascii="Times New Roman" w:hAnsi="Times New Roman" w:cs="Times New Roman"/>
                <w:sz w:val="18"/>
                <w:szCs w:val="20"/>
                <w:highlight w:val="lightGray"/>
              </w:rPr>
              <w:t>32%</w:t>
            </w:r>
          </w:p>
        </w:tc>
      </w:tr>
      <w:tr w:rsidR="00604EBD" w:rsidRPr="00A00DEA" w14:paraId="62C00C4F" w14:textId="5D67104D" w:rsidTr="00167D24">
        <w:tc>
          <w:tcPr>
            <w:tcW w:w="3690" w:type="dxa"/>
            <w:shd w:val="clear" w:color="auto" w:fill="auto"/>
            <w:tcMar>
              <w:top w:w="0" w:type="dxa"/>
              <w:left w:w="108" w:type="dxa"/>
              <w:bottom w:w="0" w:type="dxa"/>
              <w:right w:w="108" w:type="dxa"/>
            </w:tcMar>
            <w:hideMark/>
          </w:tcPr>
          <w:p w14:paraId="20E0B728"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Assistant Secretary General</w:t>
            </w:r>
          </w:p>
        </w:tc>
        <w:tc>
          <w:tcPr>
            <w:tcW w:w="1045" w:type="dxa"/>
            <w:shd w:val="clear" w:color="auto" w:fill="auto"/>
            <w:tcMar>
              <w:top w:w="0" w:type="dxa"/>
              <w:left w:w="108" w:type="dxa"/>
              <w:bottom w:w="0" w:type="dxa"/>
              <w:right w:w="108" w:type="dxa"/>
            </w:tcMar>
            <w:hideMark/>
          </w:tcPr>
          <w:p w14:paraId="67DF2CDB"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10%</w:t>
            </w:r>
          </w:p>
        </w:tc>
        <w:tc>
          <w:tcPr>
            <w:tcW w:w="1162" w:type="dxa"/>
            <w:shd w:val="clear" w:color="auto" w:fill="auto"/>
            <w:tcMar>
              <w:top w:w="0" w:type="dxa"/>
              <w:left w:w="108" w:type="dxa"/>
              <w:bottom w:w="0" w:type="dxa"/>
              <w:right w:w="108" w:type="dxa"/>
            </w:tcMar>
            <w:hideMark/>
          </w:tcPr>
          <w:p w14:paraId="77C8B7A7"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19%</w:t>
            </w:r>
          </w:p>
        </w:tc>
        <w:tc>
          <w:tcPr>
            <w:tcW w:w="1473" w:type="dxa"/>
            <w:shd w:val="clear" w:color="auto" w:fill="auto"/>
            <w:tcMar>
              <w:top w:w="0" w:type="dxa"/>
              <w:left w:w="108" w:type="dxa"/>
              <w:bottom w:w="0" w:type="dxa"/>
              <w:right w:w="108" w:type="dxa"/>
            </w:tcMar>
            <w:hideMark/>
          </w:tcPr>
          <w:p w14:paraId="6A3A89A9"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37%</w:t>
            </w:r>
          </w:p>
        </w:tc>
        <w:tc>
          <w:tcPr>
            <w:tcW w:w="1473" w:type="dxa"/>
          </w:tcPr>
          <w:p w14:paraId="55E93EC0" w14:textId="3C322502" w:rsidR="00604EBD" w:rsidRPr="003C74CC" w:rsidRDefault="00604EBD" w:rsidP="00A00DEA">
            <w:pPr>
              <w:pStyle w:val="ListParagraph"/>
              <w:spacing w:before="40" w:after="40" w:line="220" w:lineRule="exact"/>
              <w:ind w:left="0"/>
              <w:rPr>
                <w:rFonts w:ascii="Times New Roman" w:hAnsi="Times New Roman" w:cs="Times New Roman"/>
                <w:sz w:val="18"/>
                <w:szCs w:val="20"/>
                <w:highlight w:val="lightGray"/>
              </w:rPr>
            </w:pPr>
            <w:r w:rsidRPr="003C74CC">
              <w:rPr>
                <w:rFonts w:ascii="Times New Roman" w:hAnsi="Times New Roman" w:cs="Times New Roman"/>
                <w:sz w:val="18"/>
                <w:szCs w:val="20"/>
                <w:highlight w:val="lightGray"/>
              </w:rPr>
              <w:t>43%</w:t>
            </w:r>
          </w:p>
        </w:tc>
      </w:tr>
      <w:tr w:rsidR="00604EBD" w:rsidRPr="00A00DEA" w14:paraId="7904A3E1" w14:textId="7019315A" w:rsidTr="00167D24">
        <w:tc>
          <w:tcPr>
            <w:tcW w:w="3690" w:type="dxa"/>
            <w:shd w:val="clear" w:color="auto" w:fill="auto"/>
            <w:tcMar>
              <w:top w:w="0" w:type="dxa"/>
              <w:left w:w="108" w:type="dxa"/>
              <w:bottom w:w="0" w:type="dxa"/>
              <w:right w:w="108" w:type="dxa"/>
            </w:tcMar>
            <w:hideMark/>
          </w:tcPr>
          <w:p w14:paraId="7CA50C76"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Principal Officer</w:t>
            </w:r>
          </w:p>
        </w:tc>
        <w:tc>
          <w:tcPr>
            <w:tcW w:w="1045" w:type="dxa"/>
            <w:shd w:val="clear" w:color="auto" w:fill="auto"/>
            <w:tcMar>
              <w:top w:w="0" w:type="dxa"/>
              <w:left w:w="108" w:type="dxa"/>
              <w:bottom w:w="0" w:type="dxa"/>
              <w:right w:w="108" w:type="dxa"/>
            </w:tcMar>
            <w:hideMark/>
          </w:tcPr>
          <w:p w14:paraId="62DBFBEF"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12%</w:t>
            </w:r>
          </w:p>
        </w:tc>
        <w:tc>
          <w:tcPr>
            <w:tcW w:w="1162" w:type="dxa"/>
            <w:shd w:val="clear" w:color="auto" w:fill="auto"/>
            <w:tcMar>
              <w:top w:w="0" w:type="dxa"/>
              <w:left w:w="108" w:type="dxa"/>
              <w:bottom w:w="0" w:type="dxa"/>
              <w:right w:w="108" w:type="dxa"/>
            </w:tcMar>
            <w:hideMark/>
          </w:tcPr>
          <w:p w14:paraId="2C5CDD69"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26%</w:t>
            </w:r>
          </w:p>
        </w:tc>
        <w:tc>
          <w:tcPr>
            <w:tcW w:w="1473" w:type="dxa"/>
            <w:shd w:val="clear" w:color="auto" w:fill="auto"/>
            <w:tcMar>
              <w:top w:w="0" w:type="dxa"/>
              <w:left w:w="108" w:type="dxa"/>
              <w:bottom w:w="0" w:type="dxa"/>
              <w:right w:w="108" w:type="dxa"/>
            </w:tcMar>
            <w:hideMark/>
          </w:tcPr>
          <w:p w14:paraId="01A6D9F8"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46%</w:t>
            </w:r>
          </w:p>
        </w:tc>
        <w:tc>
          <w:tcPr>
            <w:tcW w:w="1473" w:type="dxa"/>
          </w:tcPr>
          <w:p w14:paraId="11872F3A" w14:textId="5F047E02" w:rsidR="00604EBD" w:rsidRPr="003C74CC" w:rsidRDefault="00604EBD" w:rsidP="00A00DEA">
            <w:pPr>
              <w:pStyle w:val="ListParagraph"/>
              <w:spacing w:before="40" w:after="40" w:line="220" w:lineRule="exact"/>
              <w:ind w:left="0"/>
              <w:rPr>
                <w:rFonts w:ascii="Times New Roman" w:hAnsi="Times New Roman" w:cs="Times New Roman"/>
                <w:sz w:val="18"/>
                <w:szCs w:val="20"/>
                <w:highlight w:val="lightGray"/>
              </w:rPr>
            </w:pPr>
            <w:r w:rsidRPr="003C74CC">
              <w:rPr>
                <w:rFonts w:ascii="Times New Roman" w:hAnsi="Times New Roman" w:cs="Times New Roman"/>
                <w:sz w:val="18"/>
                <w:szCs w:val="20"/>
                <w:highlight w:val="lightGray"/>
              </w:rPr>
              <w:t>48%</w:t>
            </w:r>
          </w:p>
        </w:tc>
      </w:tr>
      <w:tr w:rsidR="00604EBD" w:rsidRPr="00A00DEA" w14:paraId="58B74379" w14:textId="0A2B7C58" w:rsidTr="00167D24">
        <w:tc>
          <w:tcPr>
            <w:tcW w:w="3690" w:type="dxa"/>
            <w:tcBorders>
              <w:bottom w:val="single" w:sz="12" w:space="0" w:color="auto"/>
            </w:tcBorders>
            <w:shd w:val="clear" w:color="auto" w:fill="auto"/>
            <w:tcMar>
              <w:top w:w="0" w:type="dxa"/>
              <w:left w:w="108" w:type="dxa"/>
              <w:bottom w:w="0" w:type="dxa"/>
              <w:right w:w="108" w:type="dxa"/>
            </w:tcMar>
            <w:hideMark/>
          </w:tcPr>
          <w:p w14:paraId="420FF60F" w14:textId="77777777" w:rsidR="00604EBD" w:rsidRPr="00A00DEA" w:rsidRDefault="00604EBD" w:rsidP="00A00DEA">
            <w:pPr>
              <w:pStyle w:val="ListParagraph"/>
              <w:spacing w:before="40" w:after="40" w:line="220" w:lineRule="exact"/>
              <w:ind w:left="0"/>
              <w:rPr>
                <w:rFonts w:ascii="Times New Roman" w:hAnsi="Times New Roman" w:cs="Times New Roman"/>
                <w:b/>
                <w:bCs/>
                <w:sz w:val="18"/>
                <w:szCs w:val="20"/>
              </w:rPr>
            </w:pPr>
            <w:r w:rsidRPr="00A00DEA">
              <w:rPr>
                <w:rFonts w:ascii="Times New Roman" w:hAnsi="Times New Roman" w:cs="Times New Roman"/>
                <w:b/>
                <w:bCs/>
                <w:sz w:val="18"/>
                <w:szCs w:val="20"/>
              </w:rPr>
              <w:t>Assistant Principal</w:t>
            </w:r>
          </w:p>
        </w:tc>
        <w:tc>
          <w:tcPr>
            <w:tcW w:w="1045" w:type="dxa"/>
            <w:tcBorders>
              <w:bottom w:val="single" w:sz="12" w:space="0" w:color="auto"/>
            </w:tcBorders>
            <w:shd w:val="clear" w:color="auto" w:fill="auto"/>
            <w:tcMar>
              <w:top w:w="0" w:type="dxa"/>
              <w:left w:w="108" w:type="dxa"/>
              <w:bottom w:w="0" w:type="dxa"/>
              <w:right w:w="108" w:type="dxa"/>
            </w:tcMar>
            <w:hideMark/>
          </w:tcPr>
          <w:p w14:paraId="795F8479"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24%</w:t>
            </w:r>
          </w:p>
        </w:tc>
        <w:tc>
          <w:tcPr>
            <w:tcW w:w="1162" w:type="dxa"/>
            <w:tcBorders>
              <w:bottom w:val="single" w:sz="12" w:space="0" w:color="auto"/>
            </w:tcBorders>
            <w:shd w:val="clear" w:color="auto" w:fill="auto"/>
            <w:tcMar>
              <w:top w:w="0" w:type="dxa"/>
              <w:left w:w="108" w:type="dxa"/>
              <w:bottom w:w="0" w:type="dxa"/>
              <w:right w:w="108" w:type="dxa"/>
            </w:tcMar>
            <w:hideMark/>
          </w:tcPr>
          <w:p w14:paraId="606A0CCB"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33%</w:t>
            </w:r>
          </w:p>
        </w:tc>
        <w:tc>
          <w:tcPr>
            <w:tcW w:w="1473" w:type="dxa"/>
            <w:tcBorders>
              <w:bottom w:val="single" w:sz="12" w:space="0" w:color="auto"/>
            </w:tcBorders>
            <w:shd w:val="clear" w:color="auto" w:fill="auto"/>
            <w:tcMar>
              <w:top w:w="0" w:type="dxa"/>
              <w:left w:w="108" w:type="dxa"/>
              <w:bottom w:w="0" w:type="dxa"/>
              <w:right w:w="108" w:type="dxa"/>
            </w:tcMar>
            <w:hideMark/>
          </w:tcPr>
          <w:p w14:paraId="5F79A4E1" w14:textId="77777777" w:rsidR="00604EBD" w:rsidRPr="00A00DEA" w:rsidRDefault="00604EBD" w:rsidP="00A00DEA">
            <w:pPr>
              <w:pStyle w:val="ListParagraph"/>
              <w:spacing w:before="40" w:after="40" w:line="220" w:lineRule="exact"/>
              <w:ind w:left="0"/>
              <w:rPr>
                <w:rFonts w:ascii="Times New Roman" w:hAnsi="Times New Roman" w:cs="Times New Roman"/>
                <w:sz w:val="18"/>
                <w:szCs w:val="20"/>
              </w:rPr>
            </w:pPr>
            <w:r w:rsidRPr="00A00DEA">
              <w:rPr>
                <w:rFonts w:ascii="Times New Roman" w:hAnsi="Times New Roman" w:cs="Times New Roman"/>
                <w:sz w:val="18"/>
                <w:szCs w:val="20"/>
              </w:rPr>
              <w:t>52%</w:t>
            </w:r>
          </w:p>
        </w:tc>
        <w:tc>
          <w:tcPr>
            <w:tcW w:w="1473" w:type="dxa"/>
            <w:tcBorders>
              <w:bottom w:val="single" w:sz="12" w:space="0" w:color="auto"/>
            </w:tcBorders>
          </w:tcPr>
          <w:p w14:paraId="414DFF41" w14:textId="0F527D11" w:rsidR="00604EBD" w:rsidRPr="003C74CC" w:rsidRDefault="00604EBD" w:rsidP="00A00DEA">
            <w:pPr>
              <w:pStyle w:val="ListParagraph"/>
              <w:spacing w:before="40" w:after="40" w:line="220" w:lineRule="exact"/>
              <w:ind w:left="0"/>
              <w:rPr>
                <w:rFonts w:ascii="Times New Roman" w:hAnsi="Times New Roman" w:cs="Times New Roman"/>
                <w:sz w:val="18"/>
                <w:szCs w:val="20"/>
                <w:highlight w:val="lightGray"/>
              </w:rPr>
            </w:pPr>
            <w:r w:rsidRPr="003C74CC">
              <w:rPr>
                <w:rFonts w:ascii="Times New Roman" w:hAnsi="Times New Roman" w:cs="Times New Roman"/>
                <w:sz w:val="18"/>
                <w:szCs w:val="20"/>
                <w:highlight w:val="lightGray"/>
              </w:rPr>
              <w:t>53%</w:t>
            </w:r>
          </w:p>
        </w:tc>
      </w:tr>
    </w:tbl>
    <w:p w14:paraId="6F2834C1" w14:textId="1B65FEEE" w:rsidR="00A00DEA" w:rsidRDefault="00A00DEA" w:rsidP="00A00DEA">
      <w:pPr>
        <w:pStyle w:val="H1G"/>
      </w:pPr>
      <w:r>
        <w:tab/>
      </w:r>
      <w:r>
        <w:tab/>
        <w:t xml:space="preserve">Violence against women, including domestic violence (arts. 2, 3, 6, 7, 24 and 26) </w:t>
      </w:r>
    </w:p>
    <w:p w14:paraId="747CC230" w14:textId="6676F692" w:rsidR="00A00DEA" w:rsidRDefault="00A00DEA" w:rsidP="00A00DEA">
      <w:pPr>
        <w:pStyle w:val="H23G"/>
      </w:pPr>
      <w:r>
        <w:tab/>
      </w:r>
      <w:r>
        <w:tab/>
        <w:t xml:space="preserve">Reply to paragraph 10(a) </w:t>
      </w:r>
    </w:p>
    <w:p w14:paraId="403A40F6" w14:textId="2CF6360A" w:rsidR="00A00DEA" w:rsidRPr="003B1A01" w:rsidRDefault="008A1F1D" w:rsidP="00A00DEA">
      <w:pPr>
        <w:pStyle w:val="SingleTxtG"/>
        <w:kinsoku/>
        <w:overflowPunct/>
        <w:autoSpaceDE/>
        <w:autoSpaceDN/>
        <w:adjustRightInd/>
        <w:snapToGrid/>
      </w:pPr>
      <w:r>
        <w:t>72</w:t>
      </w:r>
      <w:r w:rsidR="00A00DEA" w:rsidRPr="003B1A01">
        <w:t>.</w:t>
      </w:r>
      <w:r w:rsidR="00A00DEA" w:rsidRPr="003B1A01">
        <w:tab/>
      </w:r>
      <w:r w:rsidR="00A00DEA">
        <w:t xml:space="preserve">The Domestic Violence Act 2018 </w:t>
      </w:r>
      <w:r w:rsidR="00A00DEA" w:rsidRPr="003B1A01">
        <w:t>introduced new offences of forced marriage and coercive control.</w:t>
      </w:r>
    </w:p>
    <w:p w14:paraId="15DB05BF" w14:textId="7C83D839" w:rsidR="00A00DEA" w:rsidRPr="008F6E1F" w:rsidRDefault="008A1F1D" w:rsidP="00A00DEA">
      <w:pPr>
        <w:pStyle w:val="SingleTxtG"/>
        <w:kinsoku/>
        <w:overflowPunct/>
        <w:autoSpaceDE/>
        <w:autoSpaceDN/>
        <w:adjustRightInd/>
        <w:snapToGrid/>
      </w:pPr>
      <w:r>
        <w:t>73</w:t>
      </w:r>
      <w:r w:rsidR="00A00DEA" w:rsidRPr="008F6E1F">
        <w:t>.</w:t>
      </w:r>
      <w:r w:rsidR="00A00DEA" w:rsidRPr="008F6E1F">
        <w:tab/>
      </w:r>
      <w:r w:rsidR="00A00DEA" w:rsidRPr="003B1A01">
        <w:t xml:space="preserve">The Second National Strategy on DSGBV </w:t>
      </w:r>
      <w:r w:rsidR="00A00DEA">
        <w:t xml:space="preserve">has actions </w:t>
      </w:r>
      <w:r w:rsidR="00A00DEA" w:rsidRPr="003B1A01">
        <w:t xml:space="preserve">which specifically address </w:t>
      </w:r>
      <w:r w:rsidR="00A00DEA">
        <w:t xml:space="preserve">DSGBV in </w:t>
      </w:r>
      <w:r w:rsidR="00A00DEA" w:rsidRPr="003B1A01">
        <w:t xml:space="preserve">Traveller, </w:t>
      </w:r>
      <w:proofErr w:type="gramStart"/>
      <w:r w:rsidR="00A00DEA" w:rsidRPr="003B1A01">
        <w:t>Roma</w:t>
      </w:r>
      <w:proofErr w:type="gramEnd"/>
      <w:r w:rsidR="00A00DEA" w:rsidRPr="003B1A01">
        <w:t xml:space="preserve"> and migrant communities</w:t>
      </w:r>
      <w:r w:rsidR="00A00DEA">
        <w:t>.</w:t>
      </w:r>
      <w:r w:rsidR="00A00DEA">
        <w:rPr>
          <w:rStyle w:val="FootnoteReference"/>
        </w:rPr>
        <w:footnoteReference w:id="8"/>
      </w:r>
    </w:p>
    <w:p w14:paraId="0E7824D7" w14:textId="6748CE6C" w:rsidR="00A00DEA" w:rsidRPr="003B1A01" w:rsidRDefault="008A1F1D" w:rsidP="00A00DEA">
      <w:pPr>
        <w:pStyle w:val="SingleTxtG"/>
        <w:kinsoku/>
        <w:overflowPunct/>
        <w:autoSpaceDE/>
        <w:autoSpaceDN/>
        <w:adjustRightInd/>
        <w:snapToGrid/>
      </w:pPr>
      <w:r>
        <w:t>74</w:t>
      </w:r>
      <w:r w:rsidR="00A00DEA" w:rsidRPr="003B1A01">
        <w:t>.</w:t>
      </w:r>
      <w:r w:rsidR="00A00DEA" w:rsidRPr="003B1A01">
        <w:tab/>
      </w:r>
      <w:proofErr w:type="spellStart"/>
      <w:r w:rsidR="00A00DEA" w:rsidRPr="003B1A01">
        <w:t>Pavee</w:t>
      </w:r>
      <w:proofErr w:type="spellEnd"/>
      <w:r w:rsidR="00A00DEA" w:rsidRPr="003B1A01">
        <w:t xml:space="preserve"> Point</w:t>
      </w:r>
      <w:r w:rsidR="00A00DEA">
        <w:t xml:space="preserve"> (an NGO focusing on the rights of Travellers and Roma) </w:t>
      </w:r>
      <w:r w:rsidR="00A00DEA" w:rsidRPr="003B1A01">
        <w:t xml:space="preserve">and </w:t>
      </w:r>
      <w:proofErr w:type="spellStart"/>
      <w:r w:rsidR="00A00DEA" w:rsidRPr="003B1A01">
        <w:t>AkiDwa</w:t>
      </w:r>
      <w:proofErr w:type="spellEnd"/>
      <w:r w:rsidR="00A00DEA">
        <w:t xml:space="preserve"> (a network of migrant women promoting integration and equality), </w:t>
      </w:r>
      <w:r w:rsidR="00A00DEA" w:rsidRPr="003B1A01">
        <w:t xml:space="preserve">are members of the </w:t>
      </w:r>
      <w:r w:rsidR="00A00DEA">
        <w:lastRenderedPageBreak/>
        <w:t xml:space="preserve">Strategy’s </w:t>
      </w:r>
      <w:r w:rsidR="00A00DEA" w:rsidRPr="003B1A01">
        <w:t>monitoring committee</w:t>
      </w:r>
      <w:r w:rsidR="00A00DEA">
        <w:t xml:space="preserve">. </w:t>
      </w:r>
      <w:r w:rsidR="00A00DEA" w:rsidRPr="003B1A01">
        <w:t xml:space="preserve">The </w:t>
      </w:r>
      <w:r w:rsidR="00A00DEA">
        <w:t>lessons from this strategy</w:t>
      </w:r>
      <w:r w:rsidR="00A00DEA" w:rsidRPr="003B1A01">
        <w:t xml:space="preserve"> will </w:t>
      </w:r>
      <w:r w:rsidR="00A00DEA">
        <w:t>inform</w:t>
      </w:r>
      <w:r w:rsidR="00A00DEA" w:rsidRPr="003B1A01">
        <w:t xml:space="preserve"> the Thir</w:t>
      </w:r>
      <w:r w:rsidR="00A00DEA">
        <w:t xml:space="preserve">d Strategy commencing in </w:t>
      </w:r>
      <w:r w:rsidR="009835BA" w:rsidRPr="003C74CC">
        <w:rPr>
          <w:highlight w:val="lightGray"/>
        </w:rPr>
        <w:t xml:space="preserve">Q2 </w:t>
      </w:r>
      <w:r w:rsidR="00A00DEA" w:rsidRPr="003C74CC">
        <w:rPr>
          <w:highlight w:val="lightGray"/>
        </w:rPr>
        <w:t>2022</w:t>
      </w:r>
      <w:r w:rsidR="00A00DEA">
        <w:t xml:space="preserve">. </w:t>
      </w:r>
    </w:p>
    <w:p w14:paraId="1091A98E" w14:textId="717869DF" w:rsidR="00A00DEA" w:rsidRDefault="00A00DEA" w:rsidP="00A00DEA">
      <w:pPr>
        <w:pStyle w:val="H23G"/>
      </w:pPr>
      <w:r>
        <w:tab/>
      </w:r>
      <w:r>
        <w:tab/>
        <w:t xml:space="preserve">Reply to paragraph 10(b) </w:t>
      </w:r>
    </w:p>
    <w:p w14:paraId="2752DA63" w14:textId="78C281C9" w:rsidR="00A00DEA" w:rsidRPr="003B1A01" w:rsidRDefault="008A1F1D" w:rsidP="00A00DEA">
      <w:pPr>
        <w:pStyle w:val="SingleTxtG"/>
        <w:kinsoku/>
        <w:overflowPunct/>
        <w:autoSpaceDE/>
        <w:autoSpaceDN/>
        <w:adjustRightInd/>
        <w:snapToGrid/>
      </w:pPr>
      <w:r>
        <w:t>75</w:t>
      </w:r>
      <w:r w:rsidR="00A00DEA" w:rsidRPr="003B1A01">
        <w:t>.</w:t>
      </w:r>
      <w:r w:rsidR="00A00DEA" w:rsidRPr="003B1A01">
        <w:tab/>
      </w:r>
      <w:r w:rsidR="00611D90" w:rsidRPr="00C657C9">
        <w:t xml:space="preserve">An awareness campaign was launched in November 2016 which focused on domestic and sexual violence and harassment. The ‘bystander’ approach of the campaign has been effective with independent research showing the campaign to have an above industry average score including for understanding of the message. </w:t>
      </w:r>
      <w:r w:rsidR="00611D90" w:rsidRPr="003C74CC">
        <w:rPr>
          <w:highlight w:val="lightGray"/>
        </w:rPr>
        <w:t>In September 2021 a new campaign was launched to highlight Coco’s Law which criminalised the sharing of intimate images without consent. The Government is developing an awareness campaign on consent in the context of sexual activity and relationships which will be launched in summer 2022.</w:t>
      </w:r>
      <w:r w:rsidR="00611D90" w:rsidRPr="00C657C9">
        <w:t xml:space="preserve"> </w:t>
      </w:r>
    </w:p>
    <w:p w14:paraId="40281989" w14:textId="2FA784F9" w:rsidR="00A00DEA" w:rsidRDefault="00A00DEA" w:rsidP="00A00DEA">
      <w:pPr>
        <w:pStyle w:val="H23G"/>
      </w:pPr>
      <w:r>
        <w:tab/>
      </w:r>
      <w:r>
        <w:tab/>
        <w:t xml:space="preserve">Reply to paragraph 10(c) </w:t>
      </w:r>
    </w:p>
    <w:p w14:paraId="0B7B71C5" w14:textId="2386D448" w:rsidR="00A00DEA" w:rsidRPr="003B1A01" w:rsidRDefault="008A1F1D" w:rsidP="00A00DEA">
      <w:pPr>
        <w:pStyle w:val="SingleTxtG"/>
        <w:kinsoku/>
        <w:overflowPunct/>
        <w:autoSpaceDE/>
        <w:autoSpaceDN/>
        <w:adjustRightInd/>
        <w:snapToGrid/>
      </w:pPr>
      <w:r>
        <w:t>76</w:t>
      </w:r>
      <w:r w:rsidR="00A00DEA" w:rsidRPr="003B1A01">
        <w:t>.</w:t>
      </w:r>
      <w:r w:rsidR="00A00DEA" w:rsidRPr="003B1A01">
        <w:tab/>
        <w:t>Under the Second National Strategy, a</w:t>
      </w:r>
      <w:r w:rsidR="00A00DEA">
        <w:t xml:space="preserve"> system of </w:t>
      </w:r>
      <w:r w:rsidR="00A00DEA" w:rsidRPr="003B1A01">
        <w:t xml:space="preserve">data collection and analysis has been established. </w:t>
      </w:r>
      <w:r w:rsidR="00A00DEA">
        <w:t>Data is disaggregated by:</w:t>
      </w:r>
    </w:p>
    <w:p w14:paraId="342DFA6B" w14:textId="0226342C" w:rsidR="00A00DEA" w:rsidRPr="00A00DEA" w:rsidRDefault="00A00DEA" w:rsidP="00A00DEA">
      <w:pPr>
        <w:pStyle w:val="Bullet1G"/>
      </w:pPr>
      <w:r w:rsidRPr="00A00DEA">
        <w:t xml:space="preserve">Age, sex and ethnicity of the victim and perpetrator, </w:t>
      </w:r>
    </w:p>
    <w:p w14:paraId="62ECA6FF" w14:textId="7F1B6E3C" w:rsidR="00A00DEA" w:rsidRPr="00A00DEA" w:rsidRDefault="00A00DEA" w:rsidP="00A00DEA">
      <w:pPr>
        <w:pStyle w:val="Bullet1G"/>
      </w:pPr>
      <w:r w:rsidRPr="00A00DEA">
        <w:t xml:space="preserve">Their relationship; </w:t>
      </w:r>
    </w:p>
    <w:p w14:paraId="2BCF7375" w14:textId="558BA997" w:rsidR="00A00DEA" w:rsidRPr="00A00DEA" w:rsidRDefault="00A00DEA" w:rsidP="00A00DEA">
      <w:pPr>
        <w:pStyle w:val="Bullet1G"/>
      </w:pPr>
      <w:r w:rsidRPr="00A00DEA">
        <w:t>Any disabilities of victim or perpetrator.</w:t>
      </w:r>
    </w:p>
    <w:p w14:paraId="508D1BC8" w14:textId="068AA082" w:rsidR="00A00DEA" w:rsidRPr="003B1A01" w:rsidRDefault="008A1F1D" w:rsidP="00A00DEA">
      <w:pPr>
        <w:pStyle w:val="SingleTxtG"/>
        <w:kinsoku/>
        <w:overflowPunct/>
        <w:autoSpaceDE/>
        <w:autoSpaceDN/>
        <w:adjustRightInd/>
        <w:snapToGrid/>
      </w:pPr>
      <w:r>
        <w:t>77</w:t>
      </w:r>
      <w:r w:rsidR="00A00DEA" w:rsidRPr="003B1A01">
        <w:t>.</w:t>
      </w:r>
      <w:r w:rsidR="00A00DEA" w:rsidRPr="003B1A01">
        <w:tab/>
        <w:t>The Health Service Executive</w:t>
      </w:r>
      <w:r w:rsidR="00A00DEA">
        <w:t xml:space="preserve"> (HSE)</w:t>
      </w:r>
      <w:r w:rsidR="00A00DEA" w:rsidRPr="003B1A01">
        <w:t xml:space="preserve"> and Sexual Assault Treatme</w:t>
      </w:r>
      <w:r w:rsidR="00A00DEA">
        <w:t xml:space="preserve">nt Units (SATUs) promote </w:t>
      </w:r>
      <w:r w:rsidR="00A00DEA" w:rsidRPr="003B1A01">
        <w:t xml:space="preserve">data collection to assist with </w:t>
      </w:r>
      <w:r w:rsidR="00A00DEA">
        <w:t xml:space="preserve">service planning and delivery. </w:t>
      </w:r>
    </w:p>
    <w:p w14:paraId="506F9E0C" w14:textId="0F3C403F" w:rsidR="00A00DEA" w:rsidRPr="00284E5D" w:rsidRDefault="008A1F1D" w:rsidP="00A00DEA">
      <w:pPr>
        <w:pStyle w:val="SingleTxtG"/>
        <w:kinsoku/>
        <w:overflowPunct/>
        <w:autoSpaceDE/>
        <w:autoSpaceDN/>
        <w:adjustRightInd/>
        <w:snapToGrid/>
      </w:pPr>
      <w:r>
        <w:t>78</w:t>
      </w:r>
      <w:r w:rsidR="00A00DEA" w:rsidRPr="00284E5D">
        <w:t>.</w:t>
      </w:r>
      <w:r w:rsidR="00A00DEA" w:rsidRPr="00284E5D">
        <w:tab/>
      </w:r>
      <w:r w:rsidR="00A00DEA" w:rsidRPr="003B1A01">
        <w:t xml:space="preserve">AGS are developing capacity to analyse data from the PULSE system and are evaluating international best practice to inform development of policies in the domestic violence intervention and the investigation of sexual crime. </w:t>
      </w:r>
    </w:p>
    <w:p w14:paraId="65E67421" w14:textId="3ED536C5" w:rsidR="00611D90" w:rsidRPr="00167D24" w:rsidRDefault="00611D90" w:rsidP="00611D90">
      <w:pPr>
        <w:pStyle w:val="SingleTxtG"/>
        <w:rPr>
          <w:b/>
        </w:rPr>
      </w:pPr>
      <w:r w:rsidRPr="003C74CC">
        <w:rPr>
          <w:b/>
          <w:highlight w:val="lightGray"/>
        </w:rPr>
        <w:t>Table 1</w:t>
      </w:r>
      <w:r w:rsidRPr="00C054FD">
        <w:rPr>
          <w:b/>
          <w:highlight w:val="lightGray"/>
        </w:rPr>
        <w:t>: Figures for victims of sexual offences for the years 2017 – 2021 (Central Statistics Office cso.ie):</w:t>
      </w:r>
    </w:p>
    <w:tbl>
      <w:tblPr>
        <w:tblW w:w="7370" w:type="dxa"/>
        <w:tblInd w:w="1134" w:type="dxa"/>
        <w:tblLayout w:type="fixed"/>
        <w:tblCellMar>
          <w:left w:w="0" w:type="dxa"/>
          <w:right w:w="0" w:type="dxa"/>
        </w:tblCellMar>
        <w:tblLook w:val="04A0" w:firstRow="1" w:lastRow="0" w:firstColumn="1" w:lastColumn="0" w:noHBand="0" w:noVBand="1"/>
      </w:tblPr>
      <w:tblGrid>
        <w:gridCol w:w="2168"/>
        <w:gridCol w:w="5202"/>
      </w:tblGrid>
      <w:tr w:rsidR="00611D90" w:rsidRPr="00167D24" w14:paraId="3460F6AC" w14:textId="77777777" w:rsidTr="00147393">
        <w:trPr>
          <w:tblHeader/>
        </w:trPr>
        <w:tc>
          <w:tcPr>
            <w:tcW w:w="2168" w:type="dxa"/>
            <w:tcBorders>
              <w:top w:val="single" w:sz="4" w:space="0" w:color="auto"/>
              <w:bottom w:val="single" w:sz="12" w:space="0" w:color="auto"/>
            </w:tcBorders>
            <w:shd w:val="clear" w:color="auto" w:fill="auto"/>
            <w:vAlign w:val="bottom"/>
          </w:tcPr>
          <w:p w14:paraId="55020C60" w14:textId="77777777" w:rsidR="00611D90" w:rsidRPr="00167D24" w:rsidRDefault="00611D90" w:rsidP="00147393">
            <w:pPr>
              <w:suppressAutoHyphens w:val="0"/>
              <w:spacing w:before="80" w:after="80" w:line="200" w:lineRule="exact"/>
              <w:rPr>
                <w:i/>
                <w:sz w:val="16"/>
              </w:rPr>
            </w:pPr>
          </w:p>
        </w:tc>
        <w:tc>
          <w:tcPr>
            <w:tcW w:w="5202" w:type="dxa"/>
            <w:tcBorders>
              <w:top w:val="single" w:sz="4" w:space="0" w:color="auto"/>
              <w:bottom w:val="single" w:sz="12" w:space="0" w:color="auto"/>
            </w:tcBorders>
            <w:shd w:val="clear" w:color="auto" w:fill="auto"/>
            <w:vAlign w:val="bottom"/>
          </w:tcPr>
          <w:p w14:paraId="4AA1986A" w14:textId="77777777" w:rsidR="00611D90" w:rsidRPr="00167D24" w:rsidRDefault="00611D90" w:rsidP="00147393">
            <w:pPr>
              <w:suppressAutoHyphens w:val="0"/>
              <w:spacing w:before="80" w:after="80" w:line="200" w:lineRule="exact"/>
              <w:jc w:val="right"/>
              <w:rPr>
                <w:i/>
                <w:sz w:val="16"/>
              </w:rPr>
            </w:pPr>
          </w:p>
        </w:tc>
      </w:tr>
      <w:tr w:rsidR="00611D90" w:rsidRPr="00167D24" w14:paraId="12903FA1" w14:textId="77777777" w:rsidTr="00147393">
        <w:tc>
          <w:tcPr>
            <w:tcW w:w="2168" w:type="dxa"/>
            <w:tcBorders>
              <w:top w:val="single" w:sz="12" w:space="0" w:color="auto"/>
            </w:tcBorders>
            <w:shd w:val="clear" w:color="auto" w:fill="auto"/>
          </w:tcPr>
          <w:p w14:paraId="06E3E800" w14:textId="77777777" w:rsidR="00611D90" w:rsidRPr="003C74CC" w:rsidRDefault="00611D90" w:rsidP="00147393">
            <w:pPr>
              <w:suppressAutoHyphens w:val="0"/>
              <w:spacing w:before="40" w:after="40" w:line="220" w:lineRule="exact"/>
              <w:rPr>
                <w:sz w:val="18"/>
                <w:highlight w:val="lightGray"/>
              </w:rPr>
            </w:pPr>
            <w:r w:rsidRPr="003C74CC">
              <w:rPr>
                <w:b/>
                <w:sz w:val="18"/>
                <w:highlight w:val="lightGray"/>
              </w:rPr>
              <w:t>2017</w:t>
            </w:r>
          </w:p>
        </w:tc>
        <w:tc>
          <w:tcPr>
            <w:tcW w:w="5202" w:type="dxa"/>
            <w:tcBorders>
              <w:top w:val="single" w:sz="12" w:space="0" w:color="auto"/>
            </w:tcBorders>
            <w:shd w:val="clear" w:color="auto" w:fill="auto"/>
            <w:vAlign w:val="bottom"/>
          </w:tcPr>
          <w:p w14:paraId="7047EE5C" w14:textId="77777777" w:rsidR="00611D90" w:rsidRPr="003C74CC" w:rsidRDefault="00611D90" w:rsidP="00147393">
            <w:pPr>
              <w:suppressAutoHyphens w:val="0"/>
              <w:spacing w:before="40" w:after="40" w:line="220" w:lineRule="exact"/>
              <w:jc w:val="right"/>
              <w:rPr>
                <w:sz w:val="18"/>
                <w:highlight w:val="lightGray"/>
              </w:rPr>
            </w:pPr>
            <w:r w:rsidRPr="003C74CC">
              <w:rPr>
                <w:sz w:val="18"/>
                <w:highlight w:val="lightGray"/>
              </w:rPr>
              <w:t xml:space="preserve">2,524 (Female 2,047, Male 477) </w:t>
            </w:r>
          </w:p>
        </w:tc>
      </w:tr>
      <w:tr w:rsidR="00611D90" w:rsidRPr="00167D24" w14:paraId="43D9E39E" w14:textId="77777777" w:rsidTr="00147393">
        <w:tc>
          <w:tcPr>
            <w:tcW w:w="2168" w:type="dxa"/>
            <w:shd w:val="clear" w:color="auto" w:fill="auto"/>
          </w:tcPr>
          <w:p w14:paraId="42E5AEDF" w14:textId="77777777" w:rsidR="00611D90" w:rsidRPr="003C74CC" w:rsidRDefault="00611D90" w:rsidP="00147393">
            <w:pPr>
              <w:suppressAutoHyphens w:val="0"/>
              <w:spacing w:before="40" w:after="40" w:line="220" w:lineRule="exact"/>
              <w:rPr>
                <w:sz w:val="18"/>
                <w:highlight w:val="lightGray"/>
              </w:rPr>
            </w:pPr>
            <w:r w:rsidRPr="003C74CC">
              <w:rPr>
                <w:b/>
                <w:sz w:val="18"/>
                <w:highlight w:val="lightGray"/>
              </w:rPr>
              <w:t>2018</w:t>
            </w:r>
          </w:p>
        </w:tc>
        <w:tc>
          <w:tcPr>
            <w:tcW w:w="5202" w:type="dxa"/>
            <w:shd w:val="clear" w:color="auto" w:fill="auto"/>
            <w:vAlign w:val="bottom"/>
          </w:tcPr>
          <w:p w14:paraId="00728160" w14:textId="77777777" w:rsidR="00611D90" w:rsidRPr="003C74CC" w:rsidRDefault="00611D90" w:rsidP="00147393">
            <w:pPr>
              <w:suppressAutoHyphens w:val="0"/>
              <w:spacing w:before="40" w:after="40" w:line="220" w:lineRule="exact"/>
              <w:jc w:val="right"/>
              <w:rPr>
                <w:sz w:val="18"/>
                <w:highlight w:val="lightGray"/>
              </w:rPr>
            </w:pPr>
            <w:r w:rsidRPr="003C74CC">
              <w:rPr>
                <w:sz w:val="18"/>
                <w:highlight w:val="lightGray"/>
              </w:rPr>
              <w:t>2,794 (Female 2,286, Male 508)</w:t>
            </w:r>
          </w:p>
        </w:tc>
      </w:tr>
      <w:tr w:rsidR="00611D90" w:rsidRPr="00167D24" w14:paraId="07D94DFE" w14:textId="77777777" w:rsidTr="00147393">
        <w:tc>
          <w:tcPr>
            <w:tcW w:w="2168" w:type="dxa"/>
            <w:shd w:val="clear" w:color="auto" w:fill="auto"/>
          </w:tcPr>
          <w:p w14:paraId="18FDF088" w14:textId="77777777" w:rsidR="00611D90" w:rsidRPr="003C74CC" w:rsidRDefault="00611D90" w:rsidP="00147393">
            <w:pPr>
              <w:suppressAutoHyphens w:val="0"/>
              <w:spacing w:before="40" w:after="40" w:line="220" w:lineRule="exact"/>
              <w:rPr>
                <w:sz w:val="18"/>
                <w:highlight w:val="lightGray"/>
              </w:rPr>
            </w:pPr>
            <w:r w:rsidRPr="003C74CC">
              <w:rPr>
                <w:b/>
                <w:sz w:val="18"/>
                <w:highlight w:val="lightGray"/>
              </w:rPr>
              <w:t>2019</w:t>
            </w:r>
          </w:p>
        </w:tc>
        <w:tc>
          <w:tcPr>
            <w:tcW w:w="5202" w:type="dxa"/>
            <w:shd w:val="clear" w:color="auto" w:fill="auto"/>
            <w:vAlign w:val="bottom"/>
          </w:tcPr>
          <w:p w14:paraId="61013EF6" w14:textId="77777777" w:rsidR="00611D90" w:rsidRPr="003C74CC" w:rsidRDefault="00611D90" w:rsidP="00147393">
            <w:pPr>
              <w:suppressAutoHyphens w:val="0"/>
              <w:spacing w:before="40" w:after="40" w:line="220" w:lineRule="exact"/>
              <w:jc w:val="right"/>
              <w:rPr>
                <w:sz w:val="18"/>
                <w:highlight w:val="lightGray"/>
              </w:rPr>
            </w:pPr>
            <w:r w:rsidRPr="003C74CC">
              <w:rPr>
                <w:sz w:val="18"/>
                <w:highlight w:val="lightGray"/>
              </w:rPr>
              <w:t>2,827 (Female 2,290, Male 537)</w:t>
            </w:r>
          </w:p>
        </w:tc>
      </w:tr>
      <w:tr w:rsidR="00611D90" w:rsidRPr="00167D24" w14:paraId="06B2030F" w14:textId="77777777" w:rsidTr="00147393">
        <w:tc>
          <w:tcPr>
            <w:tcW w:w="2168" w:type="dxa"/>
            <w:shd w:val="clear" w:color="auto" w:fill="auto"/>
          </w:tcPr>
          <w:p w14:paraId="3691CEF5" w14:textId="77777777" w:rsidR="00611D90" w:rsidRPr="003C74CC" w:rsidRDefault="00611D90" w:rsidP="00147393">
            <w:pPr>
              <w:suppressAutoHyphens w:val="0"/>
              <w:spacing w:before="40" w:after="40" w:line="220" w:lineRule="exact"/>
              <w:rPr>
                <w:sz w:val="18"/>
                <w:highlight w:val="lightGray"/>
              </w:rPr>
            </w:pPr>
            <w:r w:rsidRPr="003C74CC">
              <w:rPr>
                <w:b/>
                <w:sz w:val="18"/>
                <w:highlight w:val="lightGray"/>
              </w:rPr>
              <w:t>2020</w:t>
            </w:r>
          </w:p>
        </w:tc>
        <w:tc>
          <w:tcPr>
            <w:tcW w:w="5202" w:type="dxa"/>
            <w:shd w:val="clear" w:color="auto" w:fill="auto"/>
            <w:vAlign w:val="bottom"/>
          </w:tcPr>
          <w:p w14:paraId="12BD6400" w14:textId="77777777" w:rsidR="00611D90" w:rsidRPr="003C74CC" w:rsidRDefault="00611D90" w:rsidP="00147393">
            <w:pPr>
              <w:suppressAutoHyphens w:val="0"/>
              <w:spacing w:before="40" w:after="40" w:line="220" w:lineRule="exact"/>
              <w:jc w:val="right"/>
              <w:rPr>
                <w:sz w:val="18"/>
                <w:highlight w:val="lightGray"/>
              </w:rPr>
            </w:pPr>
            <w:r w:rsidRPr="003C74CC">
              <w:rPr>
                <w:sz w:val="18"/>
                <w:highlight w:val="lightGray"/>
              </w:rPr>
              <w:t>2,534 (Female 2,006, Male 528)</w:t>
            </w:r>
          </w:p>
        </w:tc>
      </w:tr>
      <w:tr w:rsidR="00611D90" w:rsidRPr="005B6372" w14:paraId="2C76352C" w14:textId="77777777" w:rsidTr="00147393">
        <w:tc>
          <w:tcPr>
            <w:tcW w:w="2168" w:type="dxa"/>
            <w:shd w:val="clear" w:color="auto" w:fill="auto"/>
          </w:tcPr>
          <w:p w14:paraId="762C0C9F" w14:textId="77777777" w:rsidR="00611D90" w:rsidRPr="003C74CC" w:rsidRDefault="00611D90" w:rsidP="00147393">
            <w:pPr>
              <w:suppressAutoHyphens w:val="0"/>
              <w:spacing w:before="40" w:after="40" w:line="220" w:lineRule="exact"/>
              <w:rPr>
                <w:sz w:val="18"/>
                <w:highlight w:val="lightGray"/>
              </w:rPr>
            </w:pPr>
            <w:r w:rsidRPr="003C74CC">
              <w:rPr>
                <w:b/>
                <w:sz w:val="18"/>
                <w:highlight w:val="lightGray"/>
              </w:rPr>
              <w:t>2021</w:t>
            </w:r>
          </w:p>
        </w:tc>
        <w:tc>
          <w:tcPr>
            <w:tcW w:w="5202" w:type="dxa"/>
            <w:shd w:val="clear" w:color="auto" w:fill="auto"/>
            <w:vAlign w:val="bottom"/>
          </w:tcPr>
          <w:p w14:paraId="12ED161E" w14:textId="77777777" w:rsidR="00611D90" w:rsidRPr="003C74CC" w:rsidRDefault="00611D90" w:rsidP="00147393">
            <w:pPr>
              <w:suppressAutoHyphens w:val="0"/>
              <w:spacing w:before="40" w:after="40" w:line="220" w:lineRule="exact"/>
              <w:jc w:val="right"/>
              <w:rPr>
                <w:sz w:val="18"/>
                <w:highlight w:val="lightGray"/>
              </w:rPr>
            </w:pPr>
            <w:r w:rsidRPr="003C74CC">
              <w:rPr>
                <w:sz w:val="18"/>
                <w:highlight w:val="lightGray"/>
              </w:rPr>
              <w:t>2,892 (Female 2,357, Male 528)</w:t>
            </w:r>
          </w:p>
        </w:tc>
      </w:tr>
      <w:tr w:rsidR="00611D90" w:rsidRPr="005B6372" w14:paraId="3C7B3A74" w14:textId="77777777" w:rsidTr="00147393">
        <w:tc>
          <w:tcPr>
            <w:tcW w:w="2168" w:type="dxa"/>
            <w:tcBorders>
              <w:bottom w:val="single" w:sz="12" w:space="0" w:color="auto"/>
            </w:tcBorders>
            <w:shd w:val="clear" w:color="auto" w:fill="auto"/>
          </w:tcPr>
          <w:p w14:paraId="4DE29C45" w14:textId="77777777" w:rsidR="00611D90" w:rsidRPr="005B6372" w:rsidRDefault="00611D90" w:rsidP="00147393">
            <w:pPr>
              <w:suppressAutoHyphens w:val="0"/>
              <w:spacing w:before="40" w:after="40" w:line="220" w:lineRule="exact"/>
              <w:rPr>
                <w:sz w:val="18"/>
                <w:highlight w:val="yellow"/>
              </w:rPr>
            </w:pPr>
          </w:p>
        </w:tc>
        <w:tc>
          <w:tcPr>
            <w:tcW w:w="5202" w:type="dxa"/>
            <w:tcBorders>
              <w:bottom w:val="single" w:sz="12" w:space="0" w:color="auto"/>
            </w:tcBorders>
            <w:shd w:val="clear" w:color="auto" w:fill="auto"/>
            <w:vAlign w:val="bottom"/>
          </w:tcPr>
          <w:p w14:paraId="0991E141" w14:textId="77777777" w:rsidR="00611D90" w:rsidRPr="005B6372" w:rsidRDefault="00611D90" w:rsidP="00147393">
            <w:pPr>
              <w:suppressAutoHyphens w:val="0"/>
              <w:spacing w:before="40" w:after="40" w:line="220" w:lineRule="exact"/>
              <w:jc w:val="right"/>
              <w:rPr>
                <w:sz w:val="18"/>
                <w:highlight w:val="yellow"/>
              </w:rPr>
            </w:pPr>
          </w:p>
        </w:tc>
      </w:tr>
    </w:tbl>
    <w:p w14:paraId="119D5540" w14:textId="77777777" w:rsidR="00611D90" w:rsidRPr="003B1A01" w:rsidRDefault="00611D90" w:rsidP="00A00DEA">
      <w:pPr>
        <w:pStyle w:val="SingleTxtG"/>
        <w:rPr>
          <w:b/>
        </w:rPr>
      </w:pPr>
    </w:p>
    <w:p w14:paraId="1BB5F522" w14:textId="77777777" w:rsidR="00A00DEA" w:rsidRPr="003B1A01" w:rsidRDefault="00A00DEA" w:rsidP="00A00DEA">
      <w:pPr>
        <w:ind w:left="1440" w:firstLine="720"/>
      </w:pPr>
    </w:p>
    <w:p w14:paraId="390DA45D" w14:textId="77777777" w:rsidR="00611D90" w:rsidRPr="002465E4" w:rsidRDefault="00611D90" w:rsidP="00611D90">
      <w:pPr>
        <w:pStyle w:val="SingleTxtG"/>
        <w:rPr>
          <w:b/>
        </w:rPr>
      </w:pPr>
      <w:r w:rsidRPr="003C74CC">
        <w:rPr>
          <w:b/>
          <w:highlight w:val="lightGray"/>
        </w:rPr>
        <w:t xml:space="preserve">Table 2: </w:t>
      </w:r>
      <w:r w:rsidRPr="00C054FD">
        <w:rPr>
          <w:b/>
        </w:rPr>
        <w:t>There is no distinct offence for domestic violence. This table contains figures for applications to the District Court under domestic violence legislation.</w:t>
      </w:r>
      <w:r w:rsidRPr="002465E4">
        <w:rPr>
          <w:b/>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168"/>
        <w:gridCol w:w="5202"/>
      </w:tblGrid>
      <w:tr w:rsidR="00611D90" w:rsidRPr="00115B15" w14:paraId="5CA26507" w14:textId="77777777" w:rsidTr="00147393">
        <w:trPr>
          <w:tblHeader/>
        </w:trPr>
        <w:tc>
          <w:tcPr>
            <w:tcW w:w="2168" w:type="dxa"/>
            <w:tcBorders>
              <w:top w:val="single" w:sz="4" w:space="0" w:color="auto"/>
              <w:bottom w:val="single" w:sz="12" w:space="0" w:color="auto"/>
            </w:tcBorders>
            <w:shd w:val="clear" w:color="auto" w:fill="auto"/>
            <w:vAlign w:val="bottom"/>
          </w:tcPr>
          <w:p w14:paraId="5B675C93" w14:textId="77777777" w:rsidR="00611D90" w:rsidRPr="002465E4" w:rsidRDefault="00611D90" w:rsidP="00147393">
            <w:pPr>
              <w:suppressAutoHyphens w:val="0"/>
              <w:spacing w:before="80" w:after="80" w:line="200" w:lineRule="exact"/>
              <w:rPr>
                <w:i/>
                <w:sz w:val="16"/>
              </w:rPr>
            </w:pPr>
          </w:p>
        </w:tc>
        <w:tc>
          <w:tcPr>
            <w:tcW w:w="5202" w:type="dxa"/>
            <w:tcBorders>
              <w:top w:val="single" w:sz="4" w:space="0" w:color="auto"/>
              <w:bottom w:val="single" w:sz="12" w:space="0" w:color="auto"/>
            </w:tcBorders>
            <w:shd w:val="clear" w:color="auto" w:fill="auto"/>
            <w:vAlign w:val="bottom"/>
          </w:tcPr>
          <w:p w14:paraId="2757569C" w14:textId="77777777" w:rsidR="00611D90" w:rsidRPr="002465E4" w:rsidRDefault="00611D90" w:rsidP="00147393">
            <w:pPr>
              <w:suppressAutoHyphens w:val="0"/>
              <w:spacing w:before="80" w:after="80" w:line="200" w:lineRule="exact"/>
              <w:jc w:val="right"/>
              <w:rPr>
                <w:i/>
                <w:sz w:val="16"/>
              </w:rPr>
            </w:pPr>
          </w:p>
        </w:tc>
      </w:tr>
      <w:tr w:rsidR="00611D90" w:rsidRPr="00115B15" w14:paraId="31F77971" w14:textId="77777777" w:rsidTr="00147393">
        <w:tc>
          <w:tcPr>
            <w:tcW w:w="2168" w:type="dxa"/>
            <w:tcBorders>
              <w:top w:val="single" w:sz="12" w:space="0" w:color="auto"/>
            </w:tcBorders>
            <w:shd w:val="clear" w:color="auto" w:fill="auto"/>
          </w:tcPr>
          <w:p w14:paraId="5D0AACE3" w14:textId="77777777" w:rsidR="00611D90" w:rsidRPr="002465E4" w:rsidRDefault="00611D90" w:rsidP="00147393">
            <w:pPr>
              <w:suppressAutoHyphens w:val="0"/>
              <w:spacing w:before="40" w:after="40" w:line="220" w:lineRule="exact"/>
              <w:rPr>
                <w:sz w:val="18"/>
              </w:rPr>
            </w:pPr>
            <w:r w:rsidRPr="002465E4">
              <w:rPr>
                <w:b/>
                <w:sz w:val="18"/>
              </w:rPr>
              <w:t>2014</w:t>
            </w:r>
          </w:p>
        </w:tc>
        <w:tc>
          <w:tcPr>
            <w:tcW w:w="5202" w:type="dxa"/>
            <w:tcBorders>
              <w:top w:val="single" w:sz="12" w:space="0" w:color="auto"/>
            </w:tcBorders>
            <w:shd w:val="clear" w:color="auto" w:fill="auto"/>
            <w:vAlign w:val="bottom"/>
          </w:tcPr>
          <w:p w14:paraId="7D975727" w14:textId="77777777" w:rsidR="00611D90" w:rsidRPr="002465E4" w:rsidRDefault="00611D90" w:rsidP="00147393">
            <w:pPr>
              <w:suppressAutoHyphens w:val="0"/>
              <w:spacing w:before="40" w:after="40" w:line="220" w:lineRule="exact"/>
              <w:jc w:val="right"/>
              <w:rPr>
                <w:sz w:val="18"/>
              </w:rPr>
            </w:pPr>
            <w:r w:rsidRPr="002465E4">
              <w:rPr>
                <w:sz w:val="18"/>
              </w:rPr>
              <w:t>13,528</w:t>
            </w:r>
          </w:p>
        </w:tc>
      </w:tr>
      <w:tr w:rsidR="00611D90" w:rsidRPr="00115B15" w14:paraId="38971508" w14:textId="77777777" w:rsidTr="00147393">
        <w:tc>
          <w:tcPr>
            <w:tcW w:w="2168" w:type="dxa"/>
            <w:shd w:val="clear" w:color="auto" w:fill="auto"/>
          </w:tcPr>
          <w:p w14:paraId="7DFAAAB4" w14:textId="77777777" w:rsidR="00611D90" w:rsidRPr="002465E4" w:rsidRDefault="00611D90" w:rsidP="00147393">
            <w:pPr>
              <w:suppressAutoHyphens w:val="0"/>
              <w:spacing w:before="40" w:after="40" w:line="220" w:lineRule="exact"/>
              <w:rPr>
                <w:sz w:val="18"/>
              </w:rPr>
            </w:pPr>
            <w:r w:rsidRPr="002465E4">
              <w:rPr>
                <w:b/>
                <w:sz w:val="18"/>
              </w:rPr>
              <w:t>2015</w:t>
            </w:r>
          </w:p>
        </w:tc>
        <w:tc>
          <w:tcPr>
            <w:tcW w:w="5202" w:type="dxa"/>
            <w:shd w:val="clear" w:color="auto" w:fill="auto"/>
            <w:vAlign w:val="bottom"/>
          </w:tcPr>
          <w:p w14:paraId="1473C69C" w14:textId="77777777" w:rsidR="00611D90" w:rsidRPr="002465E4" w:rsidRDefault="00611D90" w:rsidP="00147393">
            <w:pPr>
              <w:suppressAutoHyphens w:val="0"/>
              <w:spacing w:before="40" w:after="40" w:line="220" w:lineRule="exact"/>
              <w:jc w:val="right"/>
              <w:rPr>
                <w:sz w:val="18"/>
              </w:rPr>
            </w:pPr>
            <w:r w:rsidRPr="002465E4">
              <w:rPr>
                <w:sz w:val="18"/>
              </w:rPr>
              <w:t>14,374</w:t>
            </w:r>
          </w:p>
        </w:tc>
      </w:tr>
      <w:tr w:rsidR="00611D90" w:rsidRPr="00115B15" w14:paraId="373EE971" w14:textId="77777777" w:rsidTr="00147393">
        <w:tc>
          <w:tcPr>
            <w:tcW w:w="2168" w:type="dxa"/>
            <w:shd w:val="clear" w:color="auto" w:fill="auto"/>
          </w:tcPr>
          <w:p w14:paraId="170E9CE4" w14:textId="77777777" w:rsidR="00611D90" w:rsidRPr="002465E4" w:rsidRDefault="00611D90" w:rsidP="00147393">
            <w:pPr>
              <w:suppressAutoHyphens w:val="0"/>
              <w:spacing w:before="40" w:after="40" w:line="220" w:lineRule="exact"/>
              <w:rPr>
                <w:sz w:val="18"/>
              </w:rPr>
            </w:pPr>
            <w:r w:rsidRPr="002465E4">
              <w:rPr>
                <w:b/>
                <w:sz w:val="18"/>
              </w:rPr>
              <w:t>2016</w:t>
            </w:r>
          </w:p>
        </w:tc>
        <w:tc>
          <w:tcPr>
            <w:tcW w:w="5202" w:type="dxa"/>
            <w:shd w:val="clear" w:color="auto" w:fill="auto"/>
            <w:vAlign w:val="bottom"/>
          </w:tcPr>
          <w:p w14:paraId="26A58729" w14:textId="77777777" w:rsidR="00611D90" w:rsidRPr="002465E4" w:rsidRDefault="00611D90" w:rsidP="00147393">
            <w:pPr>
              <w:suppressAutoHyphens w:val="0"/>
              <w:spacing w:before="40" w:after="40" w:line="220" w:lineRule="exact"/>
              <w:jc w:val="right"/>
              <w:rPr>
                <w:sz w:val="18"/>
              </w:rPr>
            </w:pPr>
            <w:r w:rsidRPr="002465E4">
              <w:rPr>
                <w:sz w:val="18"/>
              </w:rPr>
              <w:t>15,227</w:t>
            </w:r>
          </w:p>
        </w:tc>
      </w:tr>
      <w:tr w:rsidR="00611D90" w:rsidRPr="00115B15" w14:paraId="727C44E0" w14:textId="77777777" w:rsidTr="00147393">
        <w:tc>
          <w:tcPr>
            <w:tcW w:w="2168" w:type="dxa"/>
            <w:shd w:val="clear" w:color="auto" w:fill="auto"/>
          </w:tcPr>
          <w:p w14:paraId="038E5AB6" w14:textId="77777777" w:rsidR="00611D90" w:rsidRPr="002465E4" w:rsidRDefault="00611D90" w:rsidP="00147393">
            <w:pPr>
              <w:suppressAutoHyphens w:val="0"/>
              <w:spacing w:before="40" w:after="40" w:line="220" w:lineRule="exact"/>
              <w:rPr>
                <w:sz w:val="18"/>
              </w:rPr>
            </w:pPr>
            <w:r w:rsidRPr="002465E4">
              <w:rPr>
                <w:b/>
                <w:sz w:val="18"/>
              </w:rPr>
              <w:t>2017</w:t>
            </w:r>
          </w:p>
        </w:tc>
        <w:tc>
          <w:tcPr>
            <w:tcW w:w="5202" w:type="dxa"/>
            <w:shd w:val="clear" w:color="auto" w:fill="auto"/>
            <w:vAlign w:val="bottom"/>
          </w:tcPr>
          <w:p w14:paraId="073AB69C" w14:textId="77777777" w:rsidR="00611D90" w:rsidRPr="002465E4" w:rsidRDefault="00611D90" w:rsidP="00147393">
            <w:pPr>
              <w:pStyle w:val="Default"/>
              <w:spacing w:before="40" w:after="40" w:line="220" w:lineRule="exact"/>
              <w:jc w:val="right"/>
              <w:rPr>
                <w:color w:val="auto"/>
                <w:sz w:val="18"/>
                <w:szCs w:val="20"/>
              </w:rPr>
            </w:pPr>
            <w:r w:rsidRPr="002465E4">
              <w:rPr>
                <w:rFonts w:eastAsia="Times New Roman"/>
                <w:color w:val="auto"/>
                <w:sz w:val="18"/>
                <w:szCs w:val="20"/>
              </w:rPr>
              <w:t>15,962</w:t>
            </w:r>
          </w:p>
        </w:tc>
      </w:tr>
      <w:tr w:rsidR="00611D90" w:rsidRPr="00115B15" w14:paraId="6FA03908" w14:textId="77777777" w:rsidTr="00147393">
        <w:tc>
          <w:tcPr>
            <w:tcW w:w="2168" w:type="dxa"/>
            <w:shd w:val="clear" w:color="auto" w:fill="auto"/>
          </w:tcPr>
          <w:p w14:paraId="246B4D26" w14:textId="77777777" w:rsidR="00611D90" w:rsidRPr="002465E4" w:rsidRDefault="00611D90" w:rsidP="00147393">
            <w:pPr>
              <w:suppressAutoHyphens w:val="0"/>
              <w:spacing w:before="40" w:after="40" w:line="220" w:lineRule="exact"/>
              <w:rPr>
                <w:sz w:val="18"/>
              </w:rPr>
            </w:pPr>
            <w:r w:rsidRPr="002465E4">
              <w:rPr>
                <w:b/>
                <w:sz w:val="18"/>
              </w:rPr>
              <w:t>2018</w:t>
            </w:r>
          </w:p>
        </w:tc>
        <w:tc>
          <w:tcPr>
            <w:tcW w:w="5202" w:type="dxa"/>
            <w:shd w:val="clear" w:color="auto" w:fill="auto"/>
            <w:vAlign w:val="bottom"/>
          </w:tcPr>
          <w:p w14:paraId="437B6360" w14:textId="77777777" w:rsidR="00611D90" w:rsidRPr="002465E4" w:rsidRDefault="00611D90" w:rsidP="00147393">
            <w:pPr>
              <w:pStyle w:val="Default"/>
              <w:spacing w:before="40" w:after="40" w:line="220" w:lineRule="exact"/>
              <w:jc w:val="right"/>
              <w:rPr>
                <w:color w:val="auto"/>
                <w:sz w:val="18"/>
                <w:szCs w:val="20"/>
              </w:rPr>
            </w:pPr>
            <w:r w:rsidRPr="002465E4">
              <w:rPr>
                <w:rFonts w:eastAsia="Times New Roman"/>
                <w:color w:val="auto"/>
                <w:sz w:val="18"/>
                <w:szCs w:val="20"/>
              </w:rPr>
              <w:t>18,572</w:t>
            </w:r>
          </w:p>
        </w:tc>
      </w:tr>
      <w:tr w:rsidR="00611D90" w:rsidRPr="00115B15" w14:paraId="4AB75484" w14:textId="77777777" w:rsidTr="00147393">
        <w:tc>
          <w:tcPr>
            <w:tcW w:w="2168" w:type="dxa"/>
            <w:shd w:val="clear" w:color="auto" w:fill="auto"/>
          </w:tcPr>
          <w:p w14:paraId="70B8DBF8" w14:textId="77777777" w:rsidR="00611D90" w:rsidRPr="002465E4" w:rsidRDefault="00611D90" w:rsidP="00147393">
            <w:pPr>
              <w:suppressAutoHyphens w:val="0"/>
              <w:spacing w:before="40" w:after="40" w:line="220" w:lineRule="exact"/>
              <w:rPr>
                <w:sz w:val="18"/>
              </w:rPr>
            </w:pPr>
            <w:r w:rsidRPr="002465E4">
              <w:rPr>
                <w:b/>
                <w:sz w:val="18"/>
              </w:rPr>
              <w:t>2019</w:t>
            </w:r>
          </w:p>
        </w:tc>
        <w:tc>
          <w:tcPr>
            <w:tcW w:w="5202" w:type="dxa"/>
            <w:shd w:val="clear" w:color="auto" w:fill="auto"/>
            <w:vAlign w:val="bottom"/>
          </w:tcPr>
          <w:p w14:paraId="7EDBA0DE" w14:textId="77777777" w:rsidR="00611D90" w:rsidRPr="002465E4" w:rsidRDefault="00611D90" w:rsidP="00147393">
            <w:pPr>
              <w:suppressAutoHyphens w:val="0"/>
              <w:spacing w:before="40" w:after="40" w:line="220" w:lineRule="exact"/>
              <w:jc w:val="right"/>
              <w:rPr>
                <w:sz w:val="18"/>
              </w:rPr>
            </w:pPr>
            <w:r w:rsidRPr="002465E4">
              <w:rPr>
                <w:sz w:val="18"/>
              </w:rPr>
              <w:t>20,501</w:t>
            </w:r>
          </w:p>
        </w:tc>
      </w:tr>
      <w:tr w:rsidR="00611D90" w:rsidRPr="005B6372" w14:paraId="0984A18D" w14:textId="77777777" w:rsidTr="00147393">
        <w:tc>
          <w:tcPr>
            <w:tcW w:w="2168" w:type="dxa"/>
            <w:shd w:val="clear" w:color="auto" w:fill="auto"/>
          </w:tcPr>
          <w:p w14:paraId="76322D22" w14:textId="77777777" w:rsidR="00611D90" w:rsidRPr="003C74CC" w:rsidRDefault="00611D90" w:rsidP="00147393">
            <w:pPr>
              <w:suppressAutoHyphens w:val="0"/>
              <w:spacing w:before="40" w:after="40" w:line="220" w:lineRule="exact"/>
              <w:rPr>
                <w:b/>
                <w:sz w:val="18"/>
                <w:highlight w:val="lightGray"/>
              </w:rPr>
            </w:pPr>
            <w:r w:rsidRPr="003C74CC">
              <w:rPr>
                <w:b/>
                <w:sz w:val="18"/>
                <w:highlight w:val="lightGray"/>
              </w:rPr>
              <w:t xml:space="preserve">2020 -                           </w:t>
            </w:r>
          </w:p>
        </w:tc>
        <w:tc>
          <w:tcPr>
            <w:tcW w:w="5202" w:type="dxa"/>
            <w:shd w:val="clear" w:color="auto" w:fill="auto"/>
            <w:vAlign w:val="bottom"/>
          </w:tcPr>
          <w:p w14:paraId="7DFA61BE" w14:textId="77777777" w:rsidR="00611D90" w:rsidRPr="003C74CC" w:rsidRDefault="00611D90" w:rsidP="00147393">
            <w:pPr>
              <w:suppressAutoHyphens w:val="0"/>
              <w:spacing w:before="40" w:after="40" w:line="220" w:lineRule="exact"/>
              <w:jc w:val="right"/>
              <w:rPr>
                <w:sz w:val="18"/>
                <w:highlight w:val="lightGray"/>
              </w:rPr>
            </w:pPr>
            <w:r w:rsidRPr="003C74CC">
              <w:rPr>
                <w:sz w:val="18"/>
                <w:highlight w:val="lightGray"/>
              </w:rPr>
              <w:t>22970</w:t>
            </w:r>
            <w:r w:rsidRPr="003C74CC">
              <w:rPr>
                <w:b/>
                <w:sz w:val="18"/>
                <w:highlight w:val="lightGray"/>
              </w:rPr>
              <w:t xml:space="preserve">       </w:t>
            </w:r>
          </w:p>
        </w:tc>
      </w:tr>
    </w:tbl>
    <w:p w14:paraId="76DB2BBE" w14:textId="77777777" w:rsidR="00A00DEA" w:rsidRPr="00284E5D" w:rsidRDefault="00A00DEA" w:rsidP="00116EDD">
      <w:pPr>
        <w:pStyle w:val="SingleTxtG"/>
        <w:spacing w:before="240"/>
      </w:pPr>
      <w:r w:rsidRPr="003B1A01">
        <w:t>Under domestic violence legislation</w:t>
      </w:r>
      <w:r>
        <w:t xml:space="preserve">, the following are </w:t>
      </w:r>
      <w:proofErr w:type="gramStart"/>
      <w:r>
        <w:t>available;</w:t>
      </w:r>
      <w:proofErr w:type="gramEnd"/>
      <w:r>
        <w:t xml:space="preserve"> </w:t>
      </w:r>
    </w:p>
    <w:p w14:paraId="512A1018" w14:textId="2C0FD4DC" w:rsidR="00A00DEA" w:rsidRPr="00A00DEA" w:rsidRDefault="00A00DEA" w:rsidP="00116EDD">
      <w:pPr>
        <w:pStyle w:val="Bullet1G"/>
      </w:pPr>
      <w:r w:rsidRPr="00A00DEA">
        <w:t xml:space="preserve">A Safety Order </w:t>
      </w:r>
    </w:p>
    <w:p w14:paraId="55B858E3" w14:textId="3B3991D9" w:rsidR="00A00DEA" w:rsidRPr="00A00DEA" w:rsidRDefault="00A00DEA" w:rsidP="00116EDD">
      <w:pPr>
        <w:pStyle w:val="Bullet1G"/>
      </w:pPr>
      <w:r w:rsidRPr="00A00DEA">
        <w:t xml:space="preserve">A Protection Order </w:t>
      </w:r>
    </w:p>
    <w:p w14:paraId="1C36D316" w14:textId="674B4657" w:rsidR="00A00DEA" w:rsidRPr="00A00DEA" w:rsidRDefault="00A00DEA" w:rsidP="00116EDD">
      <w:pPr>
        <w:pStyle w:val="Bullet1G"/>
      </w:pPr>
      <w:r w:rsidRPr="00A00DEA">
        <w:lastRenderedPageBreak/>
        <w:t>A Barring Order (including Interim and Emergency orders)</w:t>
      </w:r>
    </w:p>
    <w:p w14:paraId="5D789CD1" w14:textId="15795A06" w:rsidR="00A00DEA" w:rsidRPr="003B1A01" w:rsidRDefault="008A1F1D" w:rsidP="00A00DEA">
      <w:pPr>
        <w:pStyle w:val="SingleTxtG"/>
        <w:kinsoku/>
        <w:overflowPunct/>
        <w:autoSpaceDE/>
        <w:autoSpaceDN/>
        <w:adjustRightInd/>
        <w:snapToGrid/>
      </w:pPr>
      <w:r>
        <w:t>79</w:t>
      </w:r>
      <w:r w:rsidR="00A00DEA" w:rsidRPr="003B1A01">
        <w:t>.</w:t>
      </w:r>
      <w:r w:rsidR="00A00DEA" w:rsidRPr="003B1A01">
        <w:tab/>
      </w:r>
      <w:r w:rsidR="00A00DEA">
        <w:t>T</w:t>
      </w:r>
      <w:r w:rsidR="00A00DEA" w:rsidRPr="003B1A01">
        <w:t xml:space="preserve">he sexual violence prevalence study is ongoing. A survey is being developed to include </w:t>
      </w:r>
      <w:r w:rsidR="00A00DEA">
        <w:t xml:space="preserve">data from </w:t>
      </w:r>
      <w:r w:rsidR="00A00DEA" w:rsidRPr="003B1A01">
        <w:t>migrant populations, Traveller communities and</w:t>
      </w:r>
      <w:r w:rsidR="00A00DEA">
        <w:t xml:space="preserve"> persons</w:t>
      </w:r>
      <w:r w:rsidR="00A00DEA" w:rsidRPr="003B1A01">
        <w:t xml:space="preserve"> with intellectual disabilities</w:t>
      </w:r>
      <w:r w:rsidR="00A00DEA">
        <w:t>.</w:t>
      </w:r>
    </w:p>
    <w:p w14:paraId="5D143940" w14:textId="6B7F674D" w:rsidR="00A00DEA" w:rsidRPr="003B1A01" w:rsidRDefault="008A1F1D" w:rsidP="00A00DEA">
      <w:pPr>
        <w:pStyle w:val="SingleTxtG"/>
        <w:kinsoku/>
        <w:overflowPunct/>
        <w:autoSpaceDE/>
        <w:autoSpaceDN/>
        <w:adjustRightInd/>
        <w:snapToGrid/>
      </w:pPr>
      <w:r>
        <w:t>80</w:t>
      </w:r>
      <w:r w:rsidR="00A00DEA" w:rsidRPr="003B1A01">
        <w:t>.</w:t>
      </w:r>
      <w:r w:rsidR="00A00DEA" w:rsidRPr="003B1A01">
        <w:tab/>
        <w:t>A</w:t>
      </w:r>
      <w:r w:rsidR="00A00DEA">
        <w:t xml:space="preserve">n </w:t>
      </w:r>
      <w:r w:rsidR="00A00DEA" w:rsidRPr="003B1A01">
        <w:t>ongoing multi-agency action plan</w:t>
      </w:r>
      <w:r w:rsidR="00A00DEA">
        <w:t xml:space="preserve"> </w:t>
      </w:r>
      <w:r w:rsidR="00A00DEA" w:rsidRPr="003B1A01">
        <w:t>to respond to domestic abuse during the pandemic cover</w:t>
      </w:r>
      <w:r w:rsidR="00A00DEA">
        <w:t>s</w:t>
      </w:r>
      <w:r w:rsidR="00A00DEA" w:rsidRPr="003B1A01">
        <w:t xml:space="preserve"> three main </w:t>
      </w:r>
      <w:proofErr w:type="gramStart"/>
      <w:r w:rsidR="00A00DEA" w:rsidRPr="003B1A01">
        <w:t>areas;</w:t>
      </w:r>
      <w:proofErr w:type="gramEnd"/>
    </w:p>
    <w:p w14:paraId="53F56F5E" w14:textId="636A6816" w:rsidR="00A00DEA" w:rsidRPr="00A00DEA" w:rsidRDefault="00A00DEA" w:rsidP="00116EDD">
      <w:pPr>
        <w:pStyle w:val="Bullet1G"/>
      </w:pPr>
      <w:r w:rsidRPr="00A00DEA">
        <w:t xml:space="preserve">Raising awareness of services and supports available </w:t>
      </w:r>
    </w:p>
    <w:p w14:paraId="09BE4AC9" w14:textId="0F8A8020" w:rsidR="00A00DEA" w:rsidRPr="00A00DEA" w:rsidRDefault="00A00DEA" w:rsidP="00116EDD">
      <w:pPr>
        <w:pStyle w:val="Bullet1G"/>
      </w:pPr>
      <w:r w:rsidRPr="00A00DEA">
        <w:t>Maintaining and prioritising services</w:t>
      </w:r>
    </w:p>
    <w:p w14:paraId="6447A821" w14:textId="7EA0ED4F" w:rsidR="00A00DEA" w:rsidRPr="00A00DEA" w:rsidRDefault="00A00DEA" w:rsidP="00116EDD">
      <w:pPr>
        <w:pStyle w:val="Bullet1G"/>
      </w:pPr>
      <w:r w:rsidRPr="00A00DEA">
        <w:t xml:space="preserve">Ensuring access to the courts for protection orders. </w:t>
      </w:r>
    </w:p>
    <w:p w14:paraId="14C1C7A2" w14:textId="5DA2200B" w:rsidR="00A00DEA" w:rsidRPr="003B1A01" w:rsidRDefault="008A1F1D" w:rsidP="00A00DEA">
      <w:pPr>
        <w:pStyle w:val="SingleTxtG"/>
        <w:kinsoku/>
        <w:overflowPunct/>
        <w:autoSpaceDE/>
        <w:autoSpaceDN/>
        <w:adjustRightInd/>
        <w:snapToGrid/>
      </w:pPr>
      <w:r>
        <w:t>81</w:t>
      </w:r>
      <w:r w:rsidR="00A00DEA" w:rsidRPr="003B1A01">
        <w:t>.</w:t>
      </w:r>
      <w:r w:rsidR="00A00DEA" w:rsidRPr="003B1A01">
        <w:tab/>
        <w:t xml:space="preserve">Section 8(3) of the Child and Family Agency Act, 2013, provides </w:t>
      </w:r>
      <w:proofErr w:type="spellStart"/>
      <w:r w:rsidR="00A00DEA" w:rsidRPr="003B1A01">
        <w:t>T</w:t>
      </w:r>
      <w:r w:rsidR="00A00DEA">
        <w:t>ú</w:t>
      </w:r>
      <w:r w:rsidR="00A00DEA" w:rsidRPr="003B1A01">
        <w:t>sla</w:t>
      </w:r>
      <w:proofErr w:type="spellEnd"/>
      <w:r w:rsidR="00A00DEA" w:rsidRPr="003B1A01">
        <w:t xml:space="preserve"> with responsibility for the care and protection of </w:t>
      </w:r>
      <w:r w:rsidR="00A00DEA">
        <w:t xml:space="preserve">DSGBV </w:t>
      </w:r>
      <w:r w:rsidR="00A00DEA" w:rsidRPr="003B1A01">
        <w:t xml:space="preserve">victims. </w:t>
      </w:r>
      <w:r w:rsidR="00A00DEA" w:rsidRPr="003C74CC">
        <w:rPr>
          <w:highlight w:val="lightGray"/>
        </w:rPr>
        <w:t>Funding has increased from</w:t>
      </w:r>
      <w:r w:rsidR="00A00DEA">
        <w:t xml:space="preserve"> </w:t>
      </w:r>
      <w:r w:rsidR="00A00DEA" w:rsidRPr="003C74CC">
        <w:rPr>
          <w:highlight w:val="lightGray"/>
        </w:rPr>
        <w:t>€</w:t>
      </w:r>
      <w:r w:rsidR="005976FC" w:rsidRPr="003C74CC">
        <w:rPr>
          <w:highlight w:val="lightGray"/>
        </w:rPr>
        <w:t>23.8m in 2018 to €31m in 2022, a 30% increase</w:t>
      </w:r>
      <w:r w:rsidR="005976FC">
        <w:t>.</w:t>
      </w:r>
    </w:p>
    <w:p w14:paraId="6914489F" w14:textId="67721D3C" w:rsidR="00A00DEA" w:rsidRDefault="008A1F1D" w:rsidP="00A00DEA">
      <w:pPr>
        <w:pStyle w:val="SingleTxtG"/>
        <w:kinsoku/>
        <w:overflowPunct/>
        <w:autoSpaceDE/>
        <w:autoSpaceDN/>
        <w:adjustRightInd/>
        <w:snapToGrid/>
      </w:pPr>
      <w:r>
        <w:t>82</w:t>
      </w:r>
      <w:r w:rsidR="00A00DEA">
        <w:t>.</w:t>
      </w:r>
      <w:r w:rsidR="00A00DEA">
        <w:tab/>
      </w:r>
      <w:r w:rsidR="00A00DEA" w:rsidRPr="003B1A01">
        <w:t>Since 2016, there has been a</w:t>
      </w:r>
      <w:r w:rsidR="00A00DEA">
        <w:t>n</w:t>
      </w:r>
      <w:r w:rsidR="00A00DEA" w:rsidRPr="003B1A01">
        <w:t xml:space="preserve"> increase in outreach services in rural or isolated areas</w:t>
      </w:r>
      <w:r w:rsidR="00A00DEA">
        <w:t>.</w:t>
      </w:r>
      <w:r w:rsidR="00A00DEA" w:rsidRPr="003B1A01">
        <w:t xml:space="preserve"> Therapeutic programmes for child witnesses or victims of </w:t>
      </w:r>
      <w:r w:rsidR="00A00DEA">
        <w:t xml:space="preserve">DSGBV </w:t>
      </w:r>
      <w:r w:rsidR="00A00DEA" w:rsidRPr="003B1A01">
        <w:t>are being rolled out</w:t>
      </w:r>
      <w:r w:rsidR="00A00DEA">
        <w:t xml:space="preserve">. </w:t>
      </w:r>
      <w:r w:rsidR="005976FC" w:rsidRPr="003C74CC">
        <w:rPr>
          <w:highlight w:val="lightGray"/>
        </w:rPr>
        <w:t xml:space="preserve">The impact of domestic violence on children has flagged the increased need for a specialist child protection focus in domestic violence cases. </w:t>
      </w:r>
      <w:proofErr w:type="spellStart"/>
      <w:r w:rsidR="005976FC" w:rsidRPr="003C74CC">
        <w:rPr>
          <w:highlight w:val="lightGray"/>
        </w:rPr>
        <w:t>Tusla</w:t>
      </w:r>
      <w:proofErr w:type="spellEnd"/>
      <w:r w:rsidR="005976FC" w:rsidRPr="003C74CC">
        <w:rPr>
          <w:highlight w:val="lightGray"/>
        </w:rPr>
        <w:t xml:space="preserve"> will allocate Domestic Violence and Abuse Support Practitioners to the ‘Front Door’ in each of the </w:t>
      </w:r>
      <w:proofErr w:type="spellStart"/>
      <w:r w:rsidR="005976FC" w:rsidRPr="003C74CC">
        <w:rPr>
          <w:highlight w:val="lightGray"/>
        </w:rPr>
        <w:t>Tusla</w:t>
      </w:r>
      <w:proofErr w:type="spellEnd"/>
      <w:r w:rsidR="005976FC" w:rsidRPr="003C74CC">
        <w:rPr>
          <w:highlight w:val="lightGray"/>
        </w:rPr>
        <w:t xml:space="preserve"> Regions, improving the handling of Domestic Violence related child protection referrals.</w:t>
      </w:r>
    </w:p>
    <w:p w14:paraId="4A32F37F" w14:textId="1F41D28A" w:rsidR="00A00DEA" w:rsidRPr="003B1A01" w:rsidRDefault="008A1F1D" w:rsidP="00A00DEA">
      <w:pPr>
        <w:pStyle w:val="SingleTxtG"/>
        <w:kinsoku/>
        <w:overflowPunct/>
        <w:autoSpaceDE/>
        <w:autoSpaceDN/>
        <w:adjustRightInd/>
        <w:snapToGrid/>
      </w:pPr>
      <w:r>
        <w:t>83</w:t>
      </w:r>
      <w:r w:rsidR="00A00DEA" w:rsidRPr="003B1A01">
        <w:t>.</w:t>
      </w:r>
      <w:r w:rsidR="00A00DEA" w:rsidRPr="003B1A01">
        <w:tab/>
      </w:r>
      <w:r w:rsidR="005976FC" w:rsidRPr="003C74CC">
        <w:rPr>
          <w:highlight w:val="lightGray"/>
        </w:rPr>
        <w:t xml:space="preserve">In 2021, total funding of €30m was allocated by </w:t>
      </w:r>
      <w:proofErr w:type="spellStart"/>
      <w:r w:rsidR="005976FC" w:rsidRPr="003C74CC">
        <w:rPr>
          <w:highlight w:val="lightGray"/>
        </w:rPr>
        <w:t>Tusla</w:t>
      </w:r>
      <w:proofErr w:type="spellEnd"/>
      <w:r w:rsidR="005976FC" w:rsidRPr="003C74CC">
        <w:rPr>
          <w:highlight w:val="lightGray"/>
        </w:rPr>
        <w:t xml:space="preserve"> to services, with €17.8m dedicated to refuge services. </w:t>
      </w:r>
      <w:proofErr w:type="spellStart"/>
      <w:r w:rsidR="005976FC" w:rsidRPr="003C74CC">
        <w:rPr>
          <w:highlight w:val="lightGray"/>
        </w:rPr>
        <w:t>Tusla</w:t>
      </w:r>
      <w:proofErr w:type="spellEnd"/>
      <w:r w:rsidR="005976FC" w:rsidRPr="003C74CC">
        <w:rPr>
          <w:highlight w:val="lightGray"/>
        </w:rPr>
        <w:t xml:space="preserve"> provides funding to approximately 60 DSGBV services. There are 149 units of safe emergency accommodation currently operational, including shared and independent units. For 2022, </w:t>
      </w:r>
      <w:proofErr w:type="spellStart"/>
      <w:r w:rsidR="005976FC" w:rsidRPr="003C74CC">
        <w:rPr>
          <w:highlight w:val="lightGray"/>
        </w:rPr>
        <w:t>Tusla</w:t>
      </w:r>
      <w:proofErr w:type="spellEnd"/>
      <w:r w:rsidR="005976FC" w:rsidRPr="003C74CC">
        <w:rPr>
          <w:highlight w:val="lightGray"/>
        </w:rPr>
        <w:t xml:space="preserve"> has allocated €1m to progress the recommendations of its recent Review of Emergency Accommodation</w:t>
      </w:r>
    </w:p>
    <w:p w14:paraId="1FB43305" w14:textId="1FCE83E8" w:rsidR="00A00DEA" w:rsidRPr="003B1A01" w:rsidRDefault="008A1F1D" w:rsidP="00A00DEA">
      <w:pPr>
        <w:pStyle w:val="SingleTxtG"/>
        <w:kinsoku/>
        <w:overflowPunct/>
        <w:autoSpaceDE/>
        <w:autoSpaceDN/>
        <w:adjustRightInd/>
        <w:snapToGrid/>
      </w:pPr>
      <w:r>
        <w:t>84</w:t>
      </w:r>
      <w:r w:rsidR="00A00DEA" w:rsidRPr="003B1A01">
        <w:t>.</w:t>
      </w:r>
      <w:r w:rsidR="00A00DEA" w:rsidRPr="003B1A01">
        <w:tab/>
      </w:r>
      <w:proofErr w:type="spellStart"/>
      <w:r w:rsidR="00A00DEA" w:rsidRPr="003B1A01">
        <w:t>T</w:t>
      </w:r>
      <w:r w:rsidR="00A00DEA">
        <w:t>ú</w:t>
      </w:r>
      <w:r w:rsidR="00A00DEA" w:rsidRPr="003B1A01">
        <w:t>sla</w:t>
      </w:r>
      <w:proofErr w:type="spellEnd"/>
      <w:r w:rsidR="00A00DEA" w:rsidRPr="003B1A01">
        <w:t xml:space="preserve"> is funding pilot projects for the Traveller community, and one for Roma women, experiencing or at risk of DSGBV</w:t>
      </w:r>
      <w:r w:rsidR="00A00DEA">
        <w:t>.</w:t>
      </w:r>
    </w:p>
    <w:p w14:paraId="5F15FF29" w14:textId="5E032895" w:rsidR="00A00DEA" w:rsidRPr="007A504E" w:rsidRDefault="008A1F1D" w:rsidP="005976FC">
      <w:pPr>
        <w:pStyle w:val="SingleTxtG"/>
        <w:kinsoku/>
        <w:overflowPunct/>
        <w:autoSpaceDE/>
        <w:autoSpaceDN/>
        <w:adjustRightInd/>
        <w:snapToGrid/>
      </w:pPr>
      <w:r>
        <w:t>85</w:t>
      </w:r>
      <w:r w:rsidR="00A00DEA" w:rsidRPr="007A504E">
        <w:t>.</w:t>
      </w:r>
      <w:r w:rsidR="00A00DEA" w:rsidRPr="007A504E">
        <w:tab/>
      </w:r>
      <w:r w:rsidR="00A00DEA">
        <w:t>During</w:t>
      </w:r>
      <w:r w:rsidR="00A00DEA" w:rsidRPr="003B1A01">
        <w:t xml:space="preserve"> the pandemic, </w:t>
      </w:r>
      <w:proofErr w:type="spellStart"/>
      <w:r w:rsidR="00A00DEA" w:rsidRPr="003B1A01">
        <w:t>T</w:t>
      </w:r>
      <w:r w:rsidR="00A00DEA">
        <w:t>ú</w:t>
      </w:r>
      <w:r w:rsidR="00A00DEA" w:rsidRPr="003B1A01">
        <w:t>sla</w:t>
      </w:r>
      <w:proofErr w:type="spellEnd"/>
      <w:r w:rsidR="00A00DEA" w:rsidRPr="003B1A01">
        <w:t xml:space="preserve"> prioritised DSGBV </w:t>
      </w:r>
      <w:r w:rsidR="005976FC" w:rsidRPr="003C74CC">
        <w:rPr>
          <w:highlight w:val="lightGray"/>
        </w:rPr>
        <w:t xml:space="preserve">as one of the Agency’s top three priority service areas, with a particular focus on domestic violence refuge services, given the level of risk for victims living with violence and abuse in their </w:t>
      </w:r>
      <w:proofErr w:type="gramStart"/>
      <w:r w:rsidR="005976FC" w:rsidRPr="003C74CC">
        <w:rPr>
          <w:highlight w:val="lightGray"/>
        </w:rPr>
        <w:t xml:space="preserve">homes  </w:t>
      </w:r>
      <w:proofErr w:type="spellStart"/>
      <w:r w:rsidR="005976FC" w:rsidRPr="003C74CC">
        <w:rPr>
          <w:highlight w:val="lightGray"/>
        </w:rPr>
        <w:t>Tusla’s</w:t>
      </w:r>
      <w:proofErr w:type="spellEnd"/>
      <w:proofErr w:type="gramEnd"/>
      <w:r w:rsidR="005976FC" w:rsidRPr="003C74CC">
        <w:rPr>
          <w:highlight w:val="lightGray"/>
        </w:rPr>
        <w:t xml:space="preserve"> funding of €30m in 2021 included €2m in contingency funding to address challenges arising from Covid-19. This provision has been included in core funding for 2022.</w:t>
      </w:r>
    </w:p>
    <w:p w14:paraId="139DBB0E" w14:textId="69808273" w:rsidR="005976FC" w:rsidRPr="003C74CC" w:rsidRDefault="008A1F1D" w:rsidP="00B4794F">
      <w:pPr>
        <w:pStyle w:val="SingleTxtG"/>
        <w:kinsoku/>
        <w:overflowPunct/>
        <w:autoSpaceDE/>
        <w:autoSpaceDN/>
        <w:adjustRightInd/>
        <w:snapToGrid/>
        <w:rPr>
          <w:highlight w:val="lightGray"/>
        </w:rPr>
      </w:pPr>
      <w:r>
        <w:t>86</w:t>
      </w:r>
      <w:r w:rsidR="00A00DEA" w:rsidRPr="00284E5D">
        <w:t>.</w:t>
      </w:r>
      <w:r w:rsidR="00A00DEA" w:rsidRPr="00284E5D">
        <w:tab/>
      </w:r>
      <w:r w:rsidR="00A00DEA" w:rsidRPr="0070224F">
        <w:t xml:space="preserve"> </w:t>
      </w:r>
      <w:r w:rsidR="005976FC" w:rsidRPr="003C74CC">
        <w:rPr>
          <w:highlight w:val="lightGray"/>
        </w:rPr>
        <w:t xml:space="preserve">In 2021, </w:t>
      </w:r>
      <w:proofErr w:type="spellStart"/>
      <w:r w:rsidR="005976FC" w:rsidRPr="003C74CC">
        <w:rPr>
          <w:highlight w:val="lightGray"/>
        </w:rPr>
        <w:t>Tusla</w:t>
      </w:r>
      <w:proofErr w:type="spellEnd"/>
      <w:r w:rsidR="005976FC" w:rsidRPr="003C74CC">
        <w:rPr>
          <w:highlight w:val="lightGray"/>
        </w:rPr>
        <w:t xml:space="preserve"> provided resources to refurbish and reconfigure spaces to bring back into use, as some units that had been out of operation because of Covid-19 requirements. Resources were also provided to expand the provision of Safe Home units.</w:t>
      </w:r>
    </w:p>
    <w:p w14:paraId="251DCD79" w14:textId="77777777" w:rsidR="005976FC" w:rsidRPr="002B741D" w:rsidRDefault="005976FC" w:rsidP="005976FC">
      <w:pPr>
        <w:suppressAutoHyphens w:val="0"/>
        <w:spacing w:before="100" w:beforeAutospacing="1" w:after="100" w:afterAutospacing="1" w:line="240" w:lineRule="auto"/>
        <w:ind w:left="1134"/>
        <w:rPr>
          <w:szCs w:val="24"/>
          <w:lang w:val="en-IE" w:eastAsia="en-IE"/>
        </w:rPr>
      </w:pPr>
      <w:r w:rsidRPr="003C74CC">
        <w:rPr>
          <w:szCs w:val="24"/>
          <w:highlight w:val="lightGray"/>
          <w:lang w:val="en-IE" w:eastAsia="en-IE"/>
        </w:rPr>
        <w:t>Each family place/unit can accommodate one person and their children/other dependents.</w:t>
      </w:r>
      <w:r w:rsidRPr="002B741D">
        <w:rPr>
          <w:szCs w:val="24"/>
          <w:lang w:val="en-IE" w:eastAsia="en-IE"/>
        </w:rPr>
        <w:t xml:space="preserve"> </w:t>
      </w:r>
    </w:p>
    <w:p w14:paraId="66FC8D0F" w14:textId="584612AD" w:rsidR="005976FC" w:rsidRPr="003C74CC" w:rsidRDefault="005976FC" w:rsidP="005976FC">
      <w:pPr>
        <w:pStyle w:val="SingleTxtG"/>
        <w:kinsoku/>
        <w:overflowPunct/>
        <w:autoSpaceDE/>
        <w:autoSpaceDN/>
        <w:adjustRightInd/>
        <w:snapToGrid/>
        <w:rPr>
          <w:highlight w:val="lightGray"/>
        </w:rPr>
      </w:pPr>
      <w:r w:rsidRPr="003C74CC">
        <w:rPr>
          <w:highlight w:val="lightGray"/>
        </w:rPr>
        <w:t>Refuge units operational as of 31/12/2021:</w:t>
      </w:r>
    </w:p>
    <w:tbl>
      <w:tblPr>
        <w:tblW w:w="7370" w:type="dxa"/>
        <w:tblInd w:w="1134" w:type="dxa"/>
        <w:tblLayout w:type="fixed"/>
        <w:tblCellMar>
          <w:left w:w="0" w:type="dxa"/>
          <w:right w:w="0" w:type="dxa"/>
        </w:tblCellMar>
        <w:tblLook w:val="04A0" w:firstRow="1" w:lastRow="0" w:firstColumn="1" w:lastColumn="0" w:noHBand="0" w:noVBand="1"/>
      </w:tblPr>
      <w:tblGrid>
        <w:gridCol w:w="2785"/>
        <w:gridCol w:w="4585"/>
      </w:tblGrid>
      <w:tr w:rsidR="005976FC" w:rsidRPr="003C74CC" w14:paraId="4D8310F6" w14:textId="77777777" w:rsidTr="005976FC">
        <w:trPr>
          <w:tblHeader/>
        </w:trPr>
        <w:tc>
          <w:tcPr>
            <w:tcW w:w="27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2FD17E4E" w14:textId="77777777" w:rsidR="005976FC" w:rsidRPr="003C74CC" w:rsidRDefault="005976FC" w:rsidP="005976FC">
            <w:pPr>
              <w:suppressAutoHyphens w:val="0"/>
              <w:spacing w:before="80" w:after="80" w:line="200" w:lineRule="exact"/>
              <w:rPr>
                <w:i/>
                <w:sz w:val="16"/>
                <w:highlight w:val="lightGray"/>
              </w:rPr>
            </w:pPr>
            <w:r w:rsidRPr="003C74CC">
              <w:rPr>
                <w:i/>
                <w:sz w:val="16"/>
                <w:highlight w:val="lightGray"/>
              </w:rPr>
              <w:t>Number accommodation units in refuge</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12E7465D" w14:textId="77777777" w:rsidR="005976FC" w:rsidRPr="003C74CC" w:rsidRDefault="005976FC" w:rsidP="005976FC">
            <w:pPr>
              <w:suppressAutoHyphens w:val="0"/>
              <w:spacing w:before="80" w:after="80" w:line="200" w:lineRule="exact"/>
              <w:jc w:val="right"/>
              <w:rPr>
                <w:i/>
                <w:sz w:val="16"/>
                <w:highlight w:val="lightGray"/>
              </w:rPr>
            </w:pPr>
            <w:r w:rsidRPr="003C74CC">
              <w:rPr>
                <w:i/>
                <w:sz w:val="16"/>
                <w:highlight w:val="lightGray"/>
              </w:rPr>
              <w:t>137</w:t>
            </w:r>
          </w:p>
        </w:tc>
      </w:tr>
      <w:tr w:rsidR="005976FC" w:rsidRPr="003C74CC" w14:paraId="1040A91A" w14:textId="77777777" w:rsidTr="005976FC">
        <w:trPr>
          <w:tblHeader/>
        </w:trPr>
        <w:tc>
          <w:tcPr>
            <w:tcW w:w="27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382E8988" w14:textId="77777777" w:rsidR="005976FC" w:rsidRPr="003C74CC" w:rsidRDefault="005976FC" w:rsidP="005976FC">
            <w:pPr>
              <w:suppressAutoHyphens w:val="0"/>
              <w:spacing w:before="80" w:after="80" w:line="200" w:lineRule="exact"/>
              <w:rPr>
                <w:i/>
                <w:sz w:val="16"/>
                <w:highlight w:val="lightGray"/>
              </w:rPr>
            </w:pPr>
            <w:r w:rsidRPr="003C74CC">
              <w:rPr>
                <w:i/>
                <w:sz w:val="16"/>
                <w:highlight w:val="lightGray"/>
              </w:rPr>
              <w:t>Safe Home units (independent units of safe emergency accommodation) currently operational</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6C5EE9EA" w14:textId="77777777" w:rsidR="005976FC" w:rsidRPr="003C74CC" w:rsidRDefault="005976FC" w:rsidP="005976FC">
            <w:pPr>
              <w:suppressAutoHyphens w:val="0"/>
              <w:spacing w:before="80" w:after="80" w:line="200" w:lineRule="exact"/>
              <w:jc w:val="right"/>
              <w:rPr>
                <w:i/>
                <w:sz w:val="16"/>
                <w:highlight w:val="lightGray"/>
              </w:rPr>
            </w:pPr>
            <w:r w:rsidRPr="003C74CC">
              <w:rPr>
                <w:i/>
                <w:sz w:val="16"/>
                <w:highlight w:val="lightGray"/>
              </w:rPr>
              <w:t>18</w:t>
            </w:r>
          </w:p>
        </w:tc>
      </w:tr>
      <w:tr w:rsidR="005976FC" w:rsidRPr="003C74CC" w14:paraId="2B22272C" w14:textId="77777777" w:rsidTr="005976FC">
        <w:trPr>
          <w:tblHeader/>
        </w:trPr>
        <w:tc>
          <w:tcPr>
            <w:tcW w:w="27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1BA3FDEC" w14:textId="77777777" w:rsidR="005976FC" w:rsidRPr="003C74CC" w:rsidRDefault="005976FC" w:rsidP="005976FC">
            <w:pPr>
              <w:suppressAutoHyphens w:val="0"/>
              <w:spacing w:before="80" w:after="80" w:line="200" w:lineRule="exact"/>
              <w:rPr>
                <w:i/>
                <w:sz w:val="16"/>
                <w:highlight w:val="lightGray"/>
              </w:rPr>
            </w:pPr>
            <w:r w:rsidRPr="003C74CC">
              <w:rPr>
                <w:i/>
                <w:sz w:val="16"/>
                <w:highlight w:val="lightGray"/>
              </w:rPr>
              <w:t>Total number of units of safe emergency accommodation currently operational (including refuge units; units acquired to supplement refuge units and Safe Home units)</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7D511867" w14:textId="77777777" w:rsidR="005976FC" w:rsidRPr="003C74CC" w:rsidRDefault="005976FC" w:rsidP="005976FC">
            <w:pPr>
              <w:suppressAutoHyphens w:val="0"/>
              <w:spacing w:before="80" w:after="80" w:line="200" w:lineRule="exact"/>
              <w:jc w:val="right"/>
              <w:rPr>
                <w:i/>
                <w:sz w:val="16"/>
                <w:highlight w:val="lightGray"/>
              </w:rPr>
            </w:pPr>
            <w:r w:rsidRPr="003C74CC">
              <w:rPr>
                <w:i/>
                <w:sz w:val="16"/>
                <w:highlight w:val="lightGray"/>
              </w:rPr>
              <w:t>149</w:t>
            </w:r>
          </w:p>
        </w:tc>
      </w:tr>
      <w:tr w:rsidR="005976FC" w14:paraId="5355C261" w14:textId="77777777" w:rsidTr="005976FC">
        <w:trPr>
          <w:tblHeader/>
        </w:trPr>
        <w:tc>
          <w:tcPr>
            <w:tcW w:w="27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58459149" w14:textId="77777777" w:rsidR="005976FC" w:rsidRPr="003C74CC" w:rsidRDefault="005976FC" w:rsidP="005976FC">
            <w:pPr>
              <w:suppressAutoHyphens w:val="0"/>
              <w:spacing w:before="80" w:after="80" w:line="200" w:lineRule="exact"/>
              <w:rPr>
                <w:i/>
                <w:sz w:val="16"/>
                <w:highlight w:val="lightGray"/>
              </w:rPr>
            </w:pPr>
            <w:r w:rsidRPr="003C74CC">
              <w:rPr>
                <w:i/>
                <w:sz w:val="16"/>
                <w:highlight w:val="lightGray"/>
              </w:rPr>
              <w:t>Number of domestic violence services with routine access to Airbnb and Hotels in addition to core provision</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7FE3703D" w14:textId="77777777" w:rsidR="005976FC" w:rsidRPr="005976FC" w:rsidRDefault="005976FC" w:rsidP="005976FC">
            <w:pPr>
              <w:suppressAutoHyphens w:val="0"/>
              <w:spacing w:before="80" w:after="80" w:line="200" w:lineRule="exact"/>
              <w:jc w:val="right"/>
              <w:rPr>
                <w:i/>
                <w:sz w:val="16"/>
              </w:rPr>
            </w:pPr>
            <w:r w:rsidRPr="003C74CC">
              <w:rPr>
                <w:i/>
                <w:sz w:val="16"/>
                <w:highlight w:val="lightGray"/>
              </w:rPr>
              <w:t>7</w:t>
            </w:r>
          </w:p>
        </w:tc>
      </w:tr>
    </w:tbl>
    <w:p w14:paraId="3813D119" w14:textId="669FE7C9" w:rsidR="005976FC" w:rsidRPr="00284E5D" w:rsidRDefault="008A1F1D" w:rsidP="005976FC">
      <w:pPr>
        <w:pStyle w:val="SingleTxtG"/>
        <w:kinsoku/>
        <w:overflowPunct/>
        <w:autoSpaceDE/>
        <w:autoSpaceDN/>
        <w:adjustRightInd/>
        <w:snapToGrid/>
        <w:spacing w:before="120"/>
      </w:pPr>
      <w:r>
        <w:t>87</w:t>
      </w:r>
      <w:r w:rsidR="00A00DEA" w:rsidRPr="00284E5D">
        <w:t>.</w:t>
      </w:r>
      <w:r w:rsidR="00A00DEA" w:rsidRPr="00284E5D">
        <w:tab/>
        <w:t xml:space="preserve">Due to COVID-19 guidelines, the number of operational refuge units has reduced, particularly in refuges with shared facilities. Accommodation in refuges has been </w:t>
      </w:r>
      <w:r w:rsidR="00A00DEA" w:rsidRPr="00284E5D">
        <w:lastRenderedPageBreak/>
        <w:t xml:space="preserve">supplemented with access to a range of alternative safe accommodation </w:t>
      </w:r>
      <w:proofErr w:type="gramStart"/>
      <w:r w:rsidR="00A00DEA" w:rsidRPr="00284E5D">
        <w:t>units..</w:t>
      </w:r>
      <w:proofErr w:type="gramEnd"/>
      <w:r w:rsidR="005976FC">
        <w:t xml:space="preserve"> </w:t>
      </w:r>
      <w:r w:rsidR="005976FC" w:rsidRPr="003C74CC">
        <w:rPr>
          <w:szCs w:val="24"/>
          <w:highlight w:val="lightGray"/>
          <w:lang w:val="en-IE" w:eastAsia="en-IE"/>
        </w:rPr>
        <w:t xml:space="preserve">It should be noted that since the start of the Covid-19 pandemic there have been necessary changes to refuge accommodation particularly where units have shared living facilities. This has resulted in a degree of flux around accommodation with additional accommodation being procured on both ongoing basis and once-off bespoke arrangements for individual women/men/families as needed. This results in some variations in the numbers of victims supported by services accessing accommodation units week to week. </w:t>
      </w:r>
      <w:proofErr w:type="spellStart"/>
      <w:r w:rsidR="005976FC" w:rsidRPr="003C74CC">
        <w:rPr>
          <w:szCs w:val="24"/>
          <w:highlight w:val="lightGray"/>
          <w:lang w:val="en-IE" w:eastAsia="en-IE"/>
        </w:rPr>
        <w:t>Tusla</w:t>
      </w:r>
      <w:proofErr w:type="spellEnd"/>
      <w:r w:rsidR="005976FC" w:rsidRPr="003C74CC">
        <w:rPr>
          <w:szCs w:val="24"/>
          <w:highlight w:val="lightGray"/>
          <w:lang w:val="en-IE" w:eastAsia="en-IE"/>
        </w:rPr>
        <w:t xml:space="preserve"> have endeavoured to ensure that the number of safe accommodation units were maintained at a minimum at pre-Covid levels, and that there was additional capacity available to meet demands across the country.</w:t>
      </w:r>
    </w:p>
    <w:p w14:paraId="0443580D" w14:textId="1DFB96C9" w:rsidR="00A00DEA" w:rsidRPr="00284E5D" w:rsidRDefault="00A00DEA" w:rsidP="00116EDD">
      <w:pPr>
        <w:pStyle w:val="SingleTxtG"/>
        <w:kinsoku/>
        <w:overflowPunct/>
        <w:autoSpaceDE/>
        <w:autoSpaceDN/>
        <w:adjustRightInd/>
        <w:snapToGrid/>
        <w:spacing w:before="120"/>
      </w:pPr>
    </w:p>
    <w:p w14:paraId="56B4873F" w14:textId="01395092" w:rsidR="00A00DEA" w:rsidRPr="00127895" w:rsidRDefault="00116EDD" w:rsidP="00116EDD">
      <w:pPr>
        <w:pStyle w:val="H1G"/>
      </w:pPr>
      <w:r>
        <w:tab/>
      </w:r>
      <w:r>
        <w:tab/>
      </w:r>
      <w:r w:rsidR="00A00DEA" w:rsidRPr="00127895">
        <w:t>Termination of pregnancy, maternal mortality and reproductive rights (arts. 2, 3, 6, 7 and 24)</w:t>
      </w:r>
    </w:p>
    <w:p w14:paraId="5904EB71" w14:textId="06383813" w:rsidR="00A00DEA" w:rsidRDefault="00116EDD" w:rsidP="00116EDD">
      <w:pPr>
        <w:pStyle w:val="H23G"/>
      </w:pPr>
      <w:r>
        <w:tab/>
      </w:r>
      <w:r>
        <w:tab/>
      </w:r>
      <w:r w:rsidR="00A00DEA">
        <w:t xml:space="preserve">Reply to paragraph 11(a) </w:t>
      </w:r>
    </w:p>
    <w:p w14:paraId="406D3510" w14:textId="2F5314A3" w:rsidR="00A00DEA" w:rsidRPr="002D107A" w:rsidRDefault="008A1F1D" w:rsidP="00A00DEA">
      <w:pPr>
        <w:pStyle w:val="SingleTxtG"/>
        <w:kinsoku/>
        <w:overflowPunct/>
        <w:autoSpaceDE/>
        <w:autoSpaceDN/>
        <w:adjustRightInd/>
        <w:snapToGrid/>
      </w:pPr>
      <w:r>
        <w:t>88</w:t>
      </w:r>
      <w:r w:rsidR="00A00DEA" w:rsidRPr="002D107A">
        <w:t>.</w:t>
      </w:r>
      <w:r w:rsidR="00A00DEA" w:rsidRPr="002D107A">
        <w:tab/>
      </w:r>
      <w:r w:rsidR="00A00DEA">
        <w:t>T</w:t>
      </w:r>
      <w:r w:rsidR="00A00DEA" w:rsidRPr="002C41B3">
        <w:t xml:space="preserve">he Health (Regulation of Termination of Pregnancy) Act 2018 commenced on 1 January 2019.  It permits termination where </w:t>
      </w:r>
      <w:r w:rsidR="00A00DEA">
        <w:t>there is a risk to the life, or</w:t>
      </w:r>
      <w:r w:rsidR="00A00DEA" w:rsidRPr="002C41B3">
        <w:t xml:space="preserve"> serious harm to</w:t>
      </w:r>
      <w:r w:rsidR="00A00DEA">
        <w:t xml:space="preserve"> </w:t>
      </w:r>
      <w:r w:rsidR="00A00DEA" w:rsidRPr="002C41B3">
        <w:t>the pregnant woman; where there is a condition present which is likely to lead to the death of the foetus either before or within 28 days of birth; and without restriction up to 12 weeks of pregnancy.</w:t>
      </w:r>
      <w:r w:rsidR="00A00DEA">
        <w:t xml:space="preserve"> </w:t>
      </w:r>
      <w:r w:rsidR="00A00DEA" w:rsidRPr="002C41B3">
        <w:t>Services are delivered in both community and hospital settings throughout Ireland.</w:t>
      </w:r>
    </w:p>
    <w:p w14:paraId="38998440" w14:textId="214B6E0F" w:rsidR="00A00DEA" w:rsidRDefault="008A1F1D" w:rsidP="00A00DEA">
      <w:pPr>
        <w:pStyle w:val="SingleTxtG"/>
        <w:kinsoku/>
        <w:overflowPunct/>
        <w:autoSpaceDE/>
        <w:autoSpaceDN/>
        <w:adjustRightInd/>
        <w:snapToGrid/>
      </w:pPr>
      <w:r>
        <w:t>89</w:t>
      </w:r>
      <w:r w:rsidR="00A00DEA">
        <w:t>.</w:t>
      </w:r>
      <w:r w:rsidR="00A00DEA">
        <w:tab/>
      </w:r>
      <w:r w:rsidR="00A00DEA" w:rsidRPr="002C41B3">
        <w:t>Section 12 of the Act permits termination by a medical practitioner who certifies that a pregnancy has not exceeded 12 weeks.  Three days must elapse between certification and the procedure being carried out. The first Annual Report showed that the majority (98%) accessed termination of pregnancy under section 12, indicating that the three-day interval does not present a significant barrier.</w:t>
      </w:r>
    </w:p>
    <w:p w14:paraId="0722B5C0" w14:textId="699F2380" w:rsidR="00A00DEA" w:rsidRPr="002D107A" w:rsidRDefault="00116EDD" w:rsidP="00116EDD">
      <w:pPr>
        <w:pStyle w:val="H23G"/>
      </w:pPr>
      <w:r>
        <w:tab/>
      </w:r>
      <w:r>
        <w:tab/>
      </w:r>
      <w:r w:rsidR="00A00DEA">
        <w:t xml:space="preserve">Reply to paragraph 11(b) </w:t>
      </w:r>
    </w:p>
    <w:p w14:paraId="59A340AB" w14:textId="65C9FBCE" w:rsidR="00A00DEA" w:rsidRDefault="008A1F1D" w:rsidP="00A00DEA">
      <w:pPr>
        <w:pStyle w:val="SingleTxtG"/>
        <w:kinsoku/>
        <w:overflowPunct/>
        <w:autoSpaceDE/>
        <w:autoSpaceDN/>
        <w:adjustRightInd/>
        <w:snapToGrid/>
      </w:pPr>
      <w:r>
        <w:t>90</w:t>
      </w:r>
      <w:r w:rsidR="00A00DEA">
        <w:t>.</w:t>
      </w:r>
      <w:r w:rsidR="00A00DEA">
        <w:tab/>
      </w:r>
      <w:r w:rsidR="00A00DEA" w:rsidRPr="002C41B3">
        <w:t xml:space="preserve">Section 11 permits termination where there is a condition present that is likely to lead to the death of the foetus before or within 28 days of birth, subject to certification by two medical practitioners.  There is no gestational limit for carrying out a termination under </w:t>
      </w:r>
      <w:r w:rsidR="00A00DEA">
        <w:t>S</w:t>
      </w:r>
      <w:r w:rsidR="00A00DEA" w:rsidRPr="002C41B3">
        <w:t>ection 11. Its provisions are consistent with the recommendations made by the Joint Oireachtas Commit</w:t>
      </w:r>
      <w:r w:rsidR="00A00DEA">
        <w:t>tee and the Citizens’ Assembly</w:t>
      </w:r>
      <w:r w:rsidR="00A00DEA" w:rsidRPr="002C41B3">
        <w:t>.</w:t>
      </w:r>
      <w:r w:rsidR="00A00DEA">
        <w:t xml:space="preserve"> </w:t>
      </w:r>
    </w:p>
    <w:p w14:paraId="66F4C99E" w14:textId="4073CA3B" w:rsidR="00A00DEA" w:rsidRPr="002C41B3" w:rsidRDefault="00116EDD" w:rsidP="00116EDD">
      <w:pPr>
        <w:pStyle w:val="H23G"/>
      </w:pPr>
      <w:r>
        <w:tab/>
      </w:r>
      <w:r>
        <w:tab/>
      </w:r>
      <w:r w:rsidR="00A00DEA">
        <w:t xml:space="preserve">Reply to paragraph 11(c) </w:t>
      </w:r>
    </w:p>
    <w:p w14:paraId="57E7A902" w14:textId="10CDFD2F" w:rsidR="00A00DEA" w:rsidRDefault="008A1F1D" w:rsidP="00A00DEA">
      <w:pPr>
        <w:pStyle w:val="SingleTxtG"/>
        <w:kinsoku/>
        <w:overflowPunct/>
        <w:autoSpaceDE/>
        <w:autoSpaceDN/>
        <w:adjustRightInd/>
        <w:snapToGrid/>
      </w:pPr>
      <w:r>
        <w:t>91</w:t>
      </w:r>
      <w:r w:rsidR="00A00DEA">
        <w:t>.</w:t>
      </w:r>
      <w:r w:rsidR="00A00DEA">
        <w:tab/>
        <w:t>I</w:t>
      </w:r>
      <w:r w:rsidR="00A00DEA" w:rsidRPr="002C41B3">
        <w:t xml:space="preserve">t is an offence to intentionally end the life of a foetus otherwise than in accordance with the Act. Its provisions do not apply to a woman who has ended/attempted to end her own pregnancy. The HSE has advised that there is a good geographic spread of General Practitioners providing services, together with ten maternity hospitals/units throughout the country. Further rollout of services </w:t>
      </w:r>
      <w:r w:rsidR="00A00DEA">
        <w:t>are</w:t>
      </w:r>
      <w:r w:rsidR="00A00DEA" w:rsidRPr="002C41B3">
        <w:t xml:space="preserve"> planned. There has been a</w:t>
      </w:r>
      <w:r w:rsidR="00A00DEA">
        <w:t xml:space="preserve"> very</w:t>
      </w:r>
      <w:r w:rsidR="00A00DEA" w:rsidRPr="002C41B3">
        <w:t xml:space="preserve"> limited number of anti-abortion protests</w:t>
      </w:r>
      <w:r w:rsidR="00A00DEA">
        <w:t>.</w:t>
      </w:r>
    </w:p>
    <w:p w14:paraId="6D4BA02B" w14:textId="793B7FBA" w:rsidR="00A00DEA" w:rsidRPr="002C41B3" w:rsidRDefault="00116EDD" w:rsidP="00116EDD">
      <w:pPr>
        <w:pStyle w:val="H23G"/>
      </w:pPr>
      <w:r>
        <w:tab/>
      </w:r>
      <w:r>
        <w:tab/>
      </w:r>
      <w:r w:rsidR="00A00DEA">
        <w:t xml:space="preserve">Reply to paragraph 11(d) </w:t>
      </w:r>
    </w:p>
    <w:p w14:paraId="094C87C9" w14:textId="4976A467" w:rsidR="00A00DEA" w:rsidRPr="002C41B3" w:rsidRDefault="008A1F1D" w:rsidP="00A00DEA">
      <w:pPr>
        <w:pStyle w:val="SingleTxtG"/>
        <w:kinsoku/>
        <w:overflowPunct/>
        <w:autoSpaceDE/>
        <w:autoSpaceDN/>
        <w:adjustRightInd/>
        <w:snapToGrid/>
      </w:pPr>
      <w:r>
        <w:t>92</w:t>
      </w:r>
      <w:r w:rsidR="00A00DEA" w:rsidRPr="002C41B3">
        <w:t>.</w:t>
      </w:r>
      <w:r w:rsidR="00A00DEA" w:rsidRPr="002C41B3">
        <w:tab/>
        <w:t>Health services for all International Protection</w:t>
      </w:r>
      <w:r w:rsidR="00A00DEA">
        <w:t xml:space="preserve"> (IP)</w:t>
      </w:r>
      <w:r w:rsidR="00A00DEA" w:rsidRPr="002C41B3">
        <w:t xml:space="preserve"> applicants are mainstreamed.   Applicants access health services through the same referral pathways as citizens including referral to maternity and abortion services. </w:t>
      </w:r>
      <w:r w:rsidR="00A00DEA">
        <w:t>T</w:t>
      </w:r>
      <w:r w:rsidR="00A00DEA" w:rsidRPr="002C41B3">
        <w:t>he Act provide</w:t>
      </w:r>
      <w:r w:rsidR="00A00DEA">
        <w:t>s</w:t>
      </w:r>
      <w:r w:rsidR="00A00DEA" w:rsidRPr="002C41B3">
        <w:t xml:space="preserve"> universal</w:t>
      </w:r>
      <w:r w:rsidR="00A00DEA">
        <w:t xml:space="preserve"> free</w:t>
      </w:r>
      <w:r w:rsidR="00A00DEA" w:rsidRPr="002C41B3">
        <w:t xml:space="preserve"> access to termination of pregnancy services for people who are resident in the State</w:t>
      </w:r>
      <w:r w:rsidR="00A00DEA">
        <w:t>.</w:t>
      </w:r>
    </w:p>
    <w:p w14:paraId="5D304510" w14:textId="4D5E7F80" w:rsidR="00A00DEA" w:rsidRPr="00127895" w:rsidRDefault="00116EDD" w:rsidP="00116EDD">
      <w:pPr>
        <w:pStyle w:val="H1G"/>
      </w:pPr>
      <w:r>
        <w:tab/>
      </w:r>
      <w:r>
        <w:tab/>
      </w:r>
      <w:r w:rsidR="00A00DEA">
        <w:t>Right to life (arts. 6 and 7)</w:t>
      </w:r>
    </w:p>
    <w:p w14:paraId="7D7ED5B7" w14:textId="5CD436C9" w:rsidR="00A00DEA" w:rsidRDefault="00116EDD" w:rsidP="00116EDD">
      <w:pPr>
        <w:pStyle w:val="H23G"/>
      </w:pPr>
      <w:r>
        <w:tab/>
      </w:r>
      <w:r>
        <w:tab/>
      </w:r>
      <w:r w:rsidR="00A00DEA">
        <w:t xml:space="preserve">Reply to paragraph 12 </w:t>
      </w:r>
    </w:p>
    <w:p w14:paraId="0CF16423" w14:textId="34C9B7AC" w:rsidR="00A00DEA" w:rsidRPr="00002E53" w:rsidRDefault="008A1F1D" w:rsidP="00A00DEA">
      <w:pPr>
        <w:pStyle w:val="SingleTxtG"/>
        <w:kinsoku/>
        <w:overflowPunct/>
        <w:autoSpaceDE/>
        <w:autoSpaceDN/>
        <w:adjustRightInd/>
        <w:snapToGrid/>
      </w:pPr>
      <w:r>
        <w:t>93</w:t>
      </w:r>
      <w:r w:rsidR="00A00DEA" w:rsidRPr="00002E53">
        <w:t>.</w:t>
      </w:r>
      <w:r w:rsidR="00A00DEA" w:rsidRPr="00002E53">
        <w:tab/>
        <w:t xml:space="preserve">Up to </w:t>
      </w:r>
      <w:r w:rsidR="007E3017" w:rsidRPr="003C74CC">
        <w:rPr>
          <w:highlight w:val="lightGray"/>
        </w:rPr>
        <w:t>25 May 2022</w:t>
      </w:r>
      <w:r w:rsidR="00A00DEA" w:rsidRPr="00002E53">
        <w:t xml:space="preserve">, it is reported that </w:t>
      </w:r>
      <w:r w:rsidR="007E3017" w:rsidRPr="003C74CC">
        <w:rPr>
          <w:highlight w:val="lightGray"/>
        </w:rPr>
        <w:t>there have been 7,304 COVID-19 deaths in Ireland</w:t>
      </w:r>
      <w:r w:rsidR="00A00DEA" w:rsidRPr="00002E53">
        <w:t xml:space="preserve">. The reported epidemiology is based on the Computerised Infectious Disease </w:t>
      </w:r>
      <w:r w:rsidR="00A00DEA" w:rsidRPr="00002E53">
        <w:lastRenderedPageBreak/>
        <w:t xml:space="preserve">Reporting (CIDR) system. </w:t>
      </w:r>
      <w:r w:rsidR="007E3017" w:rsidRPr="003C74CC">
        <w:rPr>
          <w:highlight w:val="lightGray"/>
        </w:rPr>
        <w:t>The definition of a COVID-19 death currently used by Ireland’s Health Protection Surveillance Centre (for surveillance purposes) is in line with the World Health Organization (WHO) COVID-19 death classification and reporting guidance.</w:t>
      </w:r>
      <w:r w:rsidR="007E3017">
        <w:t xml:space="preserve"> </w:t>
      </w:r>
    </w:p>
    <w:p w14:paraId="6EC56A80" w14:textId="30C1A84C" w:rsidR="008B3415" w:rsidRPr="003C74CC" w:rsidRDefault="008A1F1D" w:rsidP="008B3415">
      <w:pPr>
        <w:pStyle w:val="SingleTxtG"/>
        <w:rPr>
          <w:highlight w:val="lightGray"/>
        </w:rPr>
      </w:pPr>
      <w:bookmarkStart w:id="0" w:name="_Hlk76738033"/>
      <w:r>
        <w:t>95</w:t>
      </w:r>
      <w:r w:rsidR="00A00DEA" w:rsidRPr="00A21D2D">
        <w:t>.</w:t>
      </w:r>
      <w:r w:rsidR="00A00DEA" w:rsidRPr="00A21D2D">
        <w:tab/>
      </w:r>
      <w:r w:rsidR="00A00DEA" w:rsidRPr="00002E53">
        <w:t xml:space="preserve">Of the </w:t>
      </w:r>
      <w:r w:rsidR="005744F1" w:rsidRPr="003C74CC">
        <w:rPr>
          <w:highlight w:val="lightGray"/>
        </w:rPr>
        <w:t>7,</w:t>
      </w:r>
      <w:r w:rsidR="007E3017" w:rsidRPr="003C74CC">
        <w:rPr>
          <w:highlight w:val="lightGray"/>
        </w:rPr>
        <w:t>304</w:t>
      </w:r>
      <w:r w:rsidR="00A00DEA" w:rsidRPr="003C74CC">
        <w:rPr>
          <w:highlight w:val="lightGray"/>
        </w:rPr>
        <w:t xml:space="preserve"> deaths notified </w:t>
      </w:r>
      <w:bookmarkEnd w:id="0"/>
      <w:r w:rsidR="007E3017" w:rsidRPr="003C74CC">
        <w:rPr>
          <w:highlight w:val="lightGray"/>
        </w:rPr>
        <w:t>up to 25 May 2022</w:t>
      </w:r>
      <w:r w:rsidR="00A00DEA" w:rsidRPr="00002E53">
        <w:t>, 2,</w:t>
      </w:r>
      <w:r w:rsidR="007E3017">
        <w:t>842</w:t>
      </w:r>
      <w:r w:rsidR="00A00DEA" w:rsidRPr="00002E53">
        <w:t xml:space="preserve"> were associated with outbreaks in residential settings including </w:t>
      </w:r>
      <w:r w:rsidR="00A00DEA" w:rsidRPr="003C74CC">
        <w:rPr>
          <w:highlight w:val="lightGray"/>
        </w:rPr>
        <w:t>2</w:t>
      </w:r>
      <w:r w:rsidR="007E3017" w:rsidRPr="003C74CC">
        <w:rPr>
          <w:highlight w:val="lightGray"/>
        </w:rPr>
        <w:t>,509</w:t>
      </w:r>
      <w:r w:rsidR="00A00DEA" w:rsidRPr="00002E53">
        <w:t xml:space="preserve"> deaths associated with outbreaks in nursing homes, </w:t>
      </w:r>
      <w:r w:rsidR="00A00DEA" w:rsidRPr="003C74CC">
        <w:rPr>
          <w:highlight w:val="lightGray"/>
        </w:rPr>
        <w:t>1</w:t>
      </w:r>
      <w:r w:rsidR="007E3017" w:rsidRPr="003C74CC">
        <w:rPr>
          <w:highlight w:val="lightGray"/>
        </w:rPr>
        <w:t>95</w:t>
      </w:r>
      <w:r w:rsidR="00A00DEA" w:rsidRPr="00002E53">
        <w:t xml:space="preserve"> linked to outbreaks in Community Hospitals/long-stay units and </w:t>
      </w:r>
      <w:r w:rsidR="00A00DEA" w:rsidRPr="003C74CC">
        <w:rPr>
          <w:highlight w:val="lightGray"/>
        </w:rPr>
        <w:t>1</w:t>
      </w:r>
      <w:r w:rsidR="007E3017" w:rsidRPr="003C74CC">
        <w:rPr>
          <w:highlight w:val="lightGray"/>
        </w:rPr>
        <w:t>20</w:t>
      </w:r>
      <w:r w:rsidR="00A00DEA" w:rsidRPr="00002E53">
        <w:t xml:space="preserve"> deaths associated with other residential units. </w:t>
      </w:r>
      <w:r w:rsidR="008B3415" w:rsidRPr="003C74CC">
        <w:rPr>
          <w:highlight w:val="lightGray"/>
        </w:rPr>
        <w:t xml:space="preserve">A number of key studies published since 2020, including a recent WHO report on ‘Global excess deaths associated with COVID-19, January 2020 - December 2021’, published on 5th May 2022, have all indicated that Ireland appears to have experienced both lower COVID-19 mortality and lower excess mortality during the COVID-19 pandemic than many other countries in Europe and globally. All key studies to date also indicate that excess mortality in Ireland over the period studied was lower than total reported COVID-19 deaths in Ireland in that period, indicating that surveillance of COVID-19 mortality in Ireland was comprehensive. </w:t>
      </w:r>
    </w:p>
    <w:p w14:paraId="1A4D5008" w14:textId="12C1A036" w:rsidR="00A00DEA" w:rsidRPr="00A21D2D" w:rsidRDefault="008B3415" w:rsidP="008B3415">
      <w:pPr>
        <w:pStyle w:val="SingleTxtG"/>
        <w:kinsoku/>
        <w:overflowPunct/>
        <w:autoSpaceDE/>
        <w:autoSpaceDN/>
        <w:adjustRightInd/>
        <w:snapToGrid/>
      </w:pPr>
      <w:r w:rsidRPr="003C74CC">
        <w:rPr>
          <w:highlight w:val="lightGray"/>
        </w:rPr>
        <w:t>Further information is available in the ‘Weekly Report from the Chief Medical Officer to the Minister for Health’ of 29th April 2022</w:t>
      </w:r>
      <w:r w:rsidR="00167D24" w:rsidRPr="003C74CC">
        <w:rPr>
          <w:highlight w:val="lightGray"/>
        </w:rPr>
        <w:t>.</w:t>
      </w:r>
    </w:p>
    <w:p w14:paraId="2303FF00" w14:textId="6CC05316" w:rsidR="00A00DEA" w:rsidRPr="00450D0F" w:rsidRDefault="008A1F1D" w:rsidP="00A00DEA">
      <w:pPr>
        <w:pStyle w:val="SingleTxtG"/>
        <w:kinsoku/>
        <w:overflowPunct/>
        <w:autoSpaceDE/>
        <w:autoSpaceDN/>
        <w:adjustRightInd/>
        <w:snapToGrid/>
      </w:pPr>
      <w:r>
        <w:t>96</w:t>
      </w:r>
      <w:r w:rsidR="00A00DEA" w:rsidRPr="00450D0F">
        <w:t>.</w:t>
      </w:r>
      <w:r w:rsidR="00A00DEA" w:rsidRPr="00450D0F">
        <w:tab/>
      </w:r>
      <w:r w:rsidR="00A00DEA">
        <w:t>Ireland’s</w:t>
      </w:r>
      <w:r w:rsidR="00A00DEA" w:rsidRPr="00450D0F">
        <w:t xml:space="preserve"> response to COVID-19 has been a Government public health led approach. The health sector response </w:t>
      </w:r>
      <w:r w:rsidR="007E3017">
        <w:t>was</w:t>
      </w:r>
      <w:r w:rsidR="007E3017" w:rsidRPr="00450D0F">
        <w:t xml:space="preserve"> </w:t>
      </w:r>
      <w:r w:rsidR="00A00DEA" w:rsidRPr="00450D0F">
        <w:t xml:space="preserve">led by </w:t>
      </w:r>
      <w:r w:rsidR="00A00DEA">
        <w:t>NPHET</w:t>
      </w:r>
      <w:r w:rsidR="00A00DEA" w:rsidRPr="00450D0F">
        <w:t xml:space="preserve"> which overs</w:t>
      </w:r>
      <w:r w:rsidR="007E3017">
        <w:t>aw</w:t>
      </w:r>
      <w:r w:rsidR="00A00DEA" w:rsidRPr="00450D0F">
        <w:t xml:space="preserve"> and provide</w:t>
      </w:r>
      <w:r w:rsidR="007E3017">
        <w:t>d</w:t>
      </w:r>
      <w:r w:rsidR="00A00DEA" w:rsidRPr="00450D0F">
        <w:t xml:space="preserve"> national guidance and advice</w:t>
      </w:r>
      <w:r w:rsidR="00A00DEA">
        <w:t>.</w:t>
      </w:r>
    </w:p>
    <w:p w14:paraId="0F9E2290" w14:textId="5E2018AA" w:rsidR="003A1378" w:rsidRPr="00101C3A" w:rsidRDefault="008A1F1D" w:rsidP="003C74CC">
      <w:pPr>
        <w:pStyle w:val="SingleTxtG"/>
        <w:kinsoku/>
        <w:overflowPunct/>
        <w:autoSpaceDE/>
        <w:autoSpaceDN/>
        <w:adjustRightInd/>
        <w:snapToGrid/>
      </w:pPr>
      <w:r>
        <w:t>97</w:t>
      </w:r>
      <w:r w:rsidR="00A00DEA" w:rsidRPr="00101C3A">
        <w:t>.</w:t>
      </w:r>
      <w:r w:rsidR="00A00DEA" w:rsidRPr="00101C3A">
        <w:tab/>
      </w:r>
      <w:r w:rsidR="00A00DEA" w:rsidRPr="00450D0F">
        <w:t xml:space="preserve">The supports </w:t>
      </w:r>
      <w:r w:rsidR="00A00DEA">
        <w:t xml:space="preserve">in relation to Long Term Care Facilities </w:t>
      </w:r>
      <w:r w:rsidR="00A00DEA" w:rsidRPr="00450D0F">
        <w:t>include public health guidance</w:t>
      </w:r>
      <w:r w:rsidR="00A00DEA">
        <w:t xml:space="preserve"> and training on infection prevention and control</w:t>
      </w:r>
      <w:r w:rsidR="00A00DEA" w:rsidRPr="00450D0F">
        <w:t xml:space="preserve">, provision of PPE, testing of </w:t>
      </w:r>
      <w:r w:rsidR="00A00DEA">
        <w:t>nursing home staff,</w:t>
      </w:r>
      <w:r w:rsidR="00A00DEA" w:rsidRPr="00450D0F">
        <w:t xml:space="preserve"> </w:t>
      </w:r>
      <w:r w:rsidR="007E3017" w:rsidRPr="003C74CC">
        <w:rPr>
          <w:highlight w:val="lightGray"/>
        </w:rPr>
        <w:t>prioritisation of nursing home residents in the rollout of the vaccine programme</w:t>
      </w:r>
      <w:r w:rsidR="007E3017">
        <w:t xml:space="preserve">, </w:t>
      </w:r>
      <w:r w:rsidR="00A00DEA" w:rsidRPr="00450D0F">
        <w:t>and temporary financial support to nursing home</w:t>
      </w:r>
      <w:r w:rsidR="00A00DEA">
        <w:t>s.</w:t>
      </w:r>
    </w:p>
    <w:p w14:paraId="43CBA2D5" w14:textId="33CE3F51" w:rsidR="00A00DEA" w:rsidRDefault="00116EDD" w:rsidP="00116EDD">
      <w:pPr>
        <w:pStyle w:val="H23G"/>
      </w:pPr>
      <w:r>
        <w:tab/>
      </w:r>
      <w:r>
        <w:tab/>
      </w:r>
      <w:r w:rsidR="00A00DEA">
        <w:t xml:space="preserve">Reply to paragraph 13 </w:t>
      </w:r>
    </w:p>
    <w:p w14:paraId="0F8313FA" w14:textId="1BD21AE0" w:rsidR="00A00DEA" w:rsidRPr="0045521F" w:rsidRDefault="00116EDD" w:rsidP="00116EDD">
      <w:pPr>
        <w:pStyle w:val="H4G"/>
      </w:pPr>
      <w:r>
        <w:tab/>
      </w:r>
      <w:r>
        <w:tab/>
      </w:r>
      <w:r w:rsidR="00A00DEA" w:rsidRPr="0045521F">
        <w:t>Deaths in Detention</w:t>
      </w:r>
    </w:p>
    <w:p w14:paraId="32A209A8" w14:textId="6CEDA9F2" w:rsidR="00A00DEA" w:rsidRPr="00116EDD" w:rsidRDefault="00A00DEA" w:rsidP="00A00DEA">
      <w:pPr>
        <w:pStyle w:val="SingleTxtG"/>
        <w:rPr>
          <w:b/>
          <w:bCs/>
        </w:rPr>
      </w:pPr>
      <w:r w:rsidRPr="003C74CC">
        <w:rPr>
          <w:b/>
          <w:bCs/>
          <w:highlight w:val="lightGray"/>
        </w:rPr>
        <w:t>Number of deaths in custody 2017-202</w:t>
      </w:r>
      <w:r w:rsidR="00A34ED0" w:rsidRPr="003C74CC">
        <w:rPr>
          <w:b/>
          <w:bCs/>
          <w:highlight w:val="lightGray"/>
        </w:rPr>
        <w:t>1</w:t>
      </w:r>
      <w:r w:rsidRPr="003C74CC">
        <w:rPr>
          <w:b/>
          <w:bCs/>
          <w:highlight w:val="lightGray"/>
        </w:rPr>
        <w:t xml:space="preserve"> </w:t>
      </w:r>
      <w:r w:rsidRPr="00C054FD">
        <w:rPr>
          <w:b/>
          <w:bCs/>
        </w:rPr>
        <w:t>and results of subsequent investigations.</w:t>
      </w:r>
    </w:p>
    <w:tbl>
      <w:tblPr>
        <w:tblW w:w="7370" w:type="dxa"/>
        <w:tblInd w:w="1134" w:type="dxa"/>
        <w:tblLayout w:type="fixed"/>
        <w:tblCellMar>
          <w:left w:w="0" w:type="dxa"/>
          <w:right w:w="0" w:type="dxa"/>
        </w:tblCellMar>
        <w:tblLook w:val="04A0" w:firstRow="1" w:lastRow="0" w:firstColumn="1" w:lastColumn="0" w:noHBand="0" w:noVBand="1"/>
      </w:tblPr>
      <w:tblGrid>
        <w:gridCol w:w="658"/>
        <w:gridCol w:w="742"/>
        <w:gridCol w:w="1218"/>
        <w:gridCol w:w="779"/>
        <w:gridCol w:w="611"/>
        <w:gridCol w:w="919"/>
        <w:gridCol w:w="883"/>
        <w:gridCol w:w="808"/>
        <w:gridCol w:w="752"/>
      </w:tblGrid>
      <w:tr w:rsidR="00A34ED0" w:rsidRPr="00116EDD" w14:paraId="7A352BB9" w14:textId="77777777" w:rsidTr="00147393">
        <w:trPr>
          <w:tblHeader/>
        </w:trPr>
        <w:tc>
          <w:tcPr>
            <w:tcW w:w="6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4E0D4D8" w14:textId="77777777" w:rsidR="00A34ED0" w:rsidRPr="00116EDD" w:rsidRDefault="00A34ED0" w:rsidP="00147393">
            <w:pPr>
              <w:suppressAutoHyphens w:val="0"/>
              <w:spacing w:before="80" w:after="80" w:line="200" w:lineRule="exact"/>
              <w:rPr>
                <w:rFonts w:eastAsia="Calibri"/>
                <w:bCs/>
                <w:i/>
                <w:sz w:val="16"/>
                <w:lang w:eastAsia="en-IE"/>
              </w:rPr>
            </w:pPr>
            <w:r w:rsidRPr="00116EDD">
              <w:rPr>
                <w:rFonts w:eastAsia="Calibri"/>
                <w:bCs/>
                <w:i/>
                <w:sz w:val="16"/>
                <w:lang w:eastAsia="en-IE"/>
              </w:rPr>
              <w:t>Cause of Death</w:t>
            </w:r>
          </w:p>
        </w:tc>
        <w:tc>
          <w:tcPr>
            <w:tcW w:w="74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0523BB6"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Suicide</w:t>
            </w:r>
          </w:p>
        </w:tc>
        <w:tc>
          <w:tcPr>
            <w:tcW w:w="12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DC97567"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Misadventure</w:t>
            </w:r>
          </w:p>
        </w:tc>
        <w:tc>
          <w:tcPr>
            <w:tcW w:w="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4A9EAC7"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Natural Causes</w:t>
            </w:r>
          </w:p>
        </w:tc>
        <w:tc>
          <w:tcPr>
            <w:tcW w:w="6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5A09F85"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Open</w:t>
            </w:r>
          </w:p>
        </w:tc>
        <w:tc>
          <w:tcPr>
            <w:tcW w:w="9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E14993F"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Narrative Verdict</w:t>
            </w:r>
          </w:p>
        </w:tc>
        <w:tc>
          <w:tcPr>
            <w:tcW w:w="88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747B6E4"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Unlawful Killing</w:t>
            </w:r>
          </w:p>
        </w:tc>
        <w:tc>
          <w:tcPr>
            <w:tcW w:w="80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5401ABA"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Inquest Pending</w:t>
            </w:r>
          </w:p>
        </w:tc>
        <w:tc>
          <w:tcPr>
            <w:tcW w:w="7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74E1981"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Annual Total</w:t>
            </w:r>
          </w:p>
        </w:tc>
      </w:tr>
      <w:tr w:rsidR="00A34ED0" w:rsidRPr="00335F20" w14:paraId="6390B833" w14:textId="77777777" w:rsidTr="00147393">
        <w:trPr>
          <w:tblHeader/>
        </w:trPr>
        <w:tc>
          <w:tcPr>
            <w:tcW w:w="6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4DB4B72" w14:textId="77777777" w:rsidR="00A34ED0" w:rsidRPr="003C74CC" w:rsidRDefault="00A34ED0" w:rsidP="00147393">
            <w:pPr>
              <w:suppressAutoHyphens w:val="0"/>
              <w:spacing w:before="80" w:after="80" w:line="200" w:lineRule="exact"/>
              <w:rPr>
                <w:rFonts w:eastAsia="Calibri"/>
                <w:bCs/>
                <w:i/>
                <w:sz w:val="16"/>
                <w:highlight w:val="lightGray"/>
                <w:lang w:eastAsia="en-IE"/>
              </w:rPr>
            </w:pPr>
            <w:r w:rsidRPr="003C74CC">
              <w:rPr>
                <w:rFonts w:eastAsia="Calibri"/>
                <w:bCs/>
                <w:i/>
                <w:sz w:val="16"/>
                <w:highlight w:val="lightGray"/>
                <w:lang w:eastAsia="en-IE"/>
              </w:rPr>
              <w:t>2021</w:t>
            </w:r>
          </w:p>
        </w:tc>
        <w:tc>
          <w:tcPr>
            <w:tcW w:w="74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BEA3C57"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p>
        </w:tc>
        <w:tc>
          <w:tcPr>
            <w:tcW w:w="12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419ACF8"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p>
        </w:tc>
        <w:tc>
          <w:tcPr>
            <w:tcW w:w="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80D9E5B"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p>
        </w:tc>
        <w:tc>
          <w:tcPr>
            <w:tcW w:w="6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D80D110"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p>
        </w:tc>
        <w:tc>
          <w:tcPr>
            <w:tcW w:w="9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1E14202"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p>
        </w:tc>
        <w:tc>
          <w:tcPr>
            <w:tcW w:w="88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9AE0F7C"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p>
        </w:tc>
        <w:tc>
          <w:tcPr>
            <w:tcW w:w="80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594C9D6"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r w:rsidRPr="003C74CC">
              <w:rPr>
                <w:rFonts w:eastAsia="Calibri"/>
                <w:bCs/>
                <w:i/>
                <w:sz w:val="16"/>
                <w:highlight w:val="lightGray"/>
                <w:lang w:eastAsia="en-IE"/>
              </w:rPr>
              <w:t>8</w:t>
            </w:r>
          </w:p>
        </w:tc>
        <w:tc>
          <w:tcPr>
            <w:tcW w:w="7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80FDCA7" w14:textId="77777777" w:rsidR="00A34ED0" w:rsidRPr="003C74CC" w:rsidRDefault="00A34ED0" w:rsidP="00147393">
            <w:pPr>
              <w:suppressAutoHyphens w:val="0"/>
              <w:spacing w:before="80" w:after="80" w:line="200" w:lineRule="exact"/>
              <w:jc w:val="right"/>
              <w:rPr>
                <w:rFonts w:eastAsia="Calibri"/>
                <w:bCs/>
                <w:i/>
                <w:sz w:val="16"/>
                <w:highlight w:val="lightGray"/>
                <w:lang w:eastAsia="en-IE"/>
              </w:rPr>
            </w:pPr>
            <w:r w:rsidRPr="003C74CC">
              <w:rPr>
                <w:rFonts w:eastAsia="Calibri"/>
                <w:bCs/>
                <w:i/>
                <w:sz w:val="16"/>
                <w:highlight w:val="lightGray"/>
                <w:lang w:eastAsia="en-IE"/>
              </w:rPr>
              <w:t>8</w:t>
            </w:r>
          </w:p>
        </w:tc>
      </w:tr>
      <w:tr w:rsidR="00A34ED0" w:rsidRPr="00335F20" w14:paraId="00FB597F" w14:textId="77777777" w:rsidTr="00147393">
        <w:trPr>
          <w:tblHeader/>
        </w:trPr>
        <w:tc>
          <w:tcPr>
            <w:tcW w:w="6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1F76BF2" w14:textId="77777777" w:rsidR="00A34ED0" w:rsidRPr="00335F20" w:rsidRDefault="00A34ED0" w:rsidP="00147393">
            <w:pPr>
              <w:suppressAutoHyphens w:val="0"/>
              <w:spacing w:before="80" w:after="80" w:line="200" w:lineRule="exact"/>
              <w:rPr>
                <w:rFonts w:eastAsia="Calibri"/>
                <w:bCs/>
                <w:i/>
                <w:sz w:val="16"/>
                <w:lang w:eastAsia="en-IE"/>
              </w:rPr>
            </w:pPr>
            <w:r w:rsidRPr="00335F20">
              <w:rPr>
                <w:rFonts w:eastAsia="Calibri"/>
                <w:bCs/>
                <w:i/>
                <w:sz w:val="16"/>
                <w:lang w:eastAsia="en-IE"/>
              </w:rPr>
              <w:t>2020</w:t>
            </w:r>
          </w:p>
        </w:tc>
        <w:tc>
          <w:tcPr>
            <w:tcW w:w="74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BF50093"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12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123E331"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8CF95D6"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6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EB3EDB6"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9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7B33716"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8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15503E8"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0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583CEF8"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8</w:t>
            </w:r>
          </w:p>
        </w:tc>
        <w:tc>
          <w:tcPr>
            <w:tcW w:w="7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CA7EB50"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8</w:t>
            </w:r>
          </w:p>
        </w:tc>
      </w:tr>
      <w:tr w:rsidR="00A34ED0" w:rsidRPr="00335F20" w14:paraId="3A5AC3B0" w14:textId="77777777" w:rsidTr="00147393">
        <w:trPr>
          <w:tblHeader/>
        </w:trPr>
        <w:tc>
          <w:tcPr>
            <w:tcW w:w="6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5A5134F" w14:textId="77777777" w:rsidR="00A34ED0" w:rsidRPr="00335F20" w:rsidRDefault="00A34ED0" w:rsidP="00147393">
            <w:pPr>
              <w:suppressAutoHyphens w:val="0"/>
              <w:spacing w:before="80" w:after="80" w:line="200" w:lineRule="exact"/>
              <w:rPr>
                <w:rFonts w:eastAsia="Calibri"/>
                <w:bCs/>
                <w:i/>
                <w:sz w:val="16"/>
                <w:lang w:eastAsia="en-IE"/>
              </w:rPr>
            </w:pPr>
            <w:r w:rsidRPr="00335F20">
              <w:rPr>
                <w:rFonts w:eastAsia="Calibri"/>
                <w:bCs/>
                <w:i/>
                <w:sz w:val="16"/>
                <w:lang w:eastAsia="en-IE"/>
              </w:rPr>
              <w:t>2019</w:t>
            </w:r>
          </w:p>
        </w:tc>
        <w:tc>
          <w:tcPr>
            <w:tcW w:w="74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8E2A40D"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12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9BC70AC"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D3B4A2E"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3</w:t>
            </w:r>
          </w:p>
        </w:tc>
        <w:tc>
          <w:tcPr>
            <w:tcW w:w="6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6999C6E"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9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E12FA02"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8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90DF499"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0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76D4B34"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11</w:t>
            </w:r>
          </w:p>
        </w:tc>
        <w:tc>
          <w:tcPr>
            <w:tcW w:w="7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6EAD784"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14</w:t>
            </w:r>
          </w:p>
        </w:tc>
      </w:tr>
      <w:tr w:rsidR="00A34ED0" w:rsidRPr="00335F20" w14:paraId="390B67AA" w14:textId="77777777" w:rsidTr="00147393">
        <w:trPr>
          <w:tblHeader/>
        </w:trPr>
        <w:tc>
          <w:tcPr>
            <w:tcW w:w="6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711FD85" w14:textId="77777777" w:rsidR="00A34ED0" w:rsidRPr="00335F20" w:rsidRDefault="00A34ED0" w:rsidP="00147393">
            <w:pPr>
              <w:suppressAutoHyphens w:val="0"/>
              <w:spacing w:before="80" w:after="80" w:line="200" w:lineRule="exact"/>
              <w:rPr>
                <w:rFonts w:eastAsia="Calibri"/>
                <w:bCs/>
                <w:i/>
                <w:sz w:val="16"/>
                <w:lang w:eastAsia="en-IE"/>
              </w:rPr>
            </w:pPr>
            <w:r w:rsidRPr="00335F20">
              <w:rPr>
                <w:rFonts w:eastAsia="Calibri"/>
                <w:bCs/>
                <w:i/>
                <w:sz w:val="16"/>
                <w:lang w:eastAsia="en-IE"/>
              </w:rPr>
              <w:t>2018</w:t>
            </w:r>
          </w:p>
        </w:tc>
        <w:tc>
          <w:tcPr>
            <w:tcW w:w="74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837B534"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1</w:t>
            </w:r>
          </w:p>
        </w:tc>
        <w:tc>
          <w:tcPr>
            <w:tcW w:w="12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C2F5639"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1</w:t>
            </w:r>
          </w:p>
        </w:tc>
        <w:tc>
          <w:tcPr>
            <w:tcW w:w="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F0B8361"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3</w:t>
            </w:r>
          </w:p>
        </w:tc>
        <w:tc>
          <w:tcPr>
            <w:tcW w:w="6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7BBDC54"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9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D007648"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8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5C673FD"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0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95C5D7F"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4</w:t>
            </w:r>
          </w:p>
        </w:tc>
        <w:tc>
          <w:tcPr>
            <w:tcW w:w="7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77B8789"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9</w:t>
            </w:r>
          </w:p>
        </w:tc>
      </w:tr>
      <w:tr w:rsidR="00A34ED0" w:rsidRPr="00335F20" w14:paraId="7FD0D848" w14:textId="77777777" w:rsidTr="00147393">
        <w:trPr>
          <w:tblHeader/>
        </w:trPr>
        <w:tc>
          <w:tcPr>
            <w:tcW w:w="6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594B6E2" w14:textId="77777777" w:rsidR="00A34ED0" w:rsidRPr="00335F20" w:rsidRDefault="00A34ED0" w:rsidP="00147393">
            <w:pPr>
              <w:suppressAutoHyphens w:val="0"/>
              <w:spacing w:before="80" w:after="80" w:line="200" w:lineRule="exact"/>
              <w:rPr>
                <w:rFonts w:eastAsia="Calibri"/>
                <w:bCs/>
                <w:i/>
                <w:sz w:val="16"/>
                <w:lang w:eastAsia="en-IE"/>
              </w:rPr>
            </w:pPr>
            <w:r w:rsidRPr="00335F20">
              <w:rPr>
                <w:rFonts w:eastAsia="Calibri"/>
                <w:bCs/>
                <w:i/>
                <w:sz w:val="16"/>
                <w:lang w:eastAsia="en-IE"/>
              </w:rPr>
              <w:t>2017</w:t>
            </w:r>
          </w:p>
        </w:tc>
        <w:tc>
          <w:tcPr>
            <w:tcW w:w="74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538B293"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2</w:t>
            </w:r>
          </w:p>
        </w:tc>
        <w:tc>
          <w:tcPr>
            <w:tcW w:w="121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B278D43"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1</w:t>
            </w:r>
          </w:p>
        </w:tc>
        <w:tc>
          <w:tcPr>
            <w:tcW w:w="77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76337B5"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2</w:t>
            </w:r>
          </w:p>
        </w:tc>
        <w:tc>
          <w:tcPr>
            <w:tcW w:w="61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45CD19A"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2</w:t>
            </w:r>
          </w:p>
        </w:tc>
        <w:tc>
          <w:tcPr>
            <w:tcW w:w="91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7E1D94A"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8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E59A546" w14:textId="77777777" w:rsidR="00A34ED0" w:rsidRPr="00335F20" w:rsidRDefault="00A34ED0" w:rsidP="00147393">
            <w:pPr>
              <w:suppressAutoHyphens w:val="0"/>
              <w:spacing w:before="80" w:after="80" w:line="200" w:lineRule="exact"/>
              <w:jc w:val="right"/>
              <w:rPr>
                <w:rFonts w:eastAsia="Calibri"/>
                <w:bCs/>
                <w:i/>
                <w:sz w:val="16"/>
                <w:lang w:eastAsia="en-IE"/>
              </w:rPr>
            </w:pPr>
          </w:p>
        </w:tc>
        <w:tc>
          <w:tcPr>
            <w:tcW w:w="80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02673E0"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3</w:t>
            </w:r>
          </w:p>
        </w:tc>
        <w:tc>
          <w:tcPr>
            <w:tcW w:w="7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E38458B" w14:textId="77777777" w:rsidR="00A34ED0" w:rsidRPr="00335F20" w:rsidRDefault="00A34ED0" w:rsidP="00147393">
            <w:pPr>
              <w:suppressAutoHyphens w:val="0"/>
              <w:spacing w:before="80" w:after="80" w:line="200" w:lineRule="exact"/>
              <w:jc w:val="right"/>
              <w:rPr>
                <w:rFonts w:eastAsia="Calibri"/>
                <w:bCs/>
                <w:i/>
                <w:sz w:val="16"/>
                <w:lang w:eastAsia="en-IE"/>
              </w:rPr>
            </w:pPr>
            <w:r w:rsidRPr="00335F20">
              <w:rPr>
                <w:rFonts w:eastAsia="Calibri"/>
                <w:bCs/>
                <w:i/>
                <w:sz w:val="16"/>
                <w:lang w:eastAsia="en-IE"/>
              </w:rPr>
              <w:t>10</w:t>
            </w:r>
          </w:p>
        </w:tc>
      </w:tr>
    </w:tbl>
    <w:p w14:paraId="16425050" w14:textId="461670F2" w:rsidR="00A00DEA" w:rsidRPr="00A21D2D" w:rsidRDefault="00A00DEA" w:rsidP="00116EDD">
      <w:pPr>
        <w:pStyle w:val="SingleTxtG"/>
        <w:spacing w:before="240"/>
      </w:pPr>
      <w:r w:rsidRPr="003C74CC">
        <w:rPr>
          <w:b/>
          <w:highlight w:val="lightGray"/>
        </w:rPr>
        <w:t>Deaths in Custody 2017 – 202</w:t>
      </w:r>
      <w:r w:rsidR="00A34ED0" w:rsidRPr="003C74CC">
        <w:rPr>
          <w:b/>
          <w:highlight w:val="lightGray"/>
        </w:rPr>
        <w:t>1</w:t>
      </w:r>
      <w:r w:rsidRPr="003C74CC">
        <w:rPr>
          <w:b/>
          <w:highlight w:val="lightGray"/>
        </w:rPr>
        <w:t xml:space="preserve"> </w:t>
      </w:r>
      <w:r w:rsidRPr="00C054FD">
        <w:rPr>
          <w:b/>
        </w:rPr>
        <w:t>to date that took place while the prisoner was outside the prison on Renewable Temporary Release, Full Temporary Release or Unlawfully at Large</w:t>
      </w:r>
      <w:r w:rsidRPr="00C054FD">
        <w:t>:</w:t>
      </w:r>
    </w:p>
    <w:tbl>
      <w:tblPr>
        <w:tblW w:w="7370" w:type="dxa"/>
        <w:tblInd w:w="1134" w:type="dxa"/>
        <w:tblLayout w:type="fixed"/>
        <w:tblCellMar>
          <w:left w:w="0" w:type="dxa"/>
          <w:right w:w="0" w:type="dxa"/>
        </w:tblCellMar>
        <w:tblLook w:val="04A0" w:firstRow="1" w:lastRow="0" w:firstColumn="1" w:lastColumn="0" w:noHBand="0" w:noVBand="1"/>
      </w:tblPr>
      <w:tblGrid>
        <w:gridCol w:w="724"/>
        <w:gridCol w:w="1195"/>
        <w:gridCol w:w="1645"/>
        <w:gridCol w:w="1359"/>
        <w:gridCol w:w="1341"/>
        <w:gridCol w:w="1106"/>
      </w:tblGrid>
      <w:tr w:rsidR="00A34ED0" w:rsidRPr="00116EDD" w14:paraId="0BEF7B48" w14:textId="77777777" w:rsidTr="00147393">
        <w:trPr>
          <w:tblHeader/>
        </w:trPr>
        <w:tc>
          <w:tcPr>
            <w:tcW w:w="72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3ED8F1A" w14:textId="77777777" w:rsidR="00A34ED0" w:rsidRPr="00116EDD" w:rsidRDefault="00A34ED0" w:rsidP="00147393">
            <w:pPr>
              <w:suppressAutoHyphens w:val="0"/>
              <w:spacing w:before="80" w:after="80" w:line="200" w:lineRule="exact"/>
              <w:rPr>
                <w:rFonts w:eastAsia="Calibri"/>
                <w:bCs/>
                <w:i/>
                <w:sz w:val="16"/>
                <w:lang w:eastAsia="en-IE"/>
              </w:rPr>
            </w:pPr>
            <w:r w:rsidRPr="00116EDD">
              <w:rPr>
                <w:rFonts w:eastAsia="Calibri"/>
                <w:bCs/>
                <w:i/>
                <w:sz w:val="16"/>
                <w:lang w:eastAsia="en-IE"/>
              </w:rPr>
              <w:t>Year</w:t>
            </w:r>
          </w:p>
        </w:tc>
        <w:tc>
          <w:tcPr>
            <w:tcW w:w="119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B97B654"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Temporary Release</w:t>
            </w:r>
          </w:p>
        </w:tc>
        <w:tc>
          <w:tcPr>
            <w:tcW w:w="164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63AA535"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Renewable Temporary Release</w:t>
            </w:r>
          </w:p>
        </w:tc>
        <w:tc>
          <w:tcPr>
            <w:tcW w:w="135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2E0C349"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Full Temporary Release</w:t>
            </w:r>
          </w:p>
        </w:tc>
        <w:tc>
          <w:tcPr>
            <w:tcW w:w="134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3B0A9FA"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Unlawfully at large</w:t>
            </w:r>
          </w:p>
        </w:tc>
        <w:tc>
          <w:tcPr>
            <w:tcW w:w="110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B75A960" w14:textId="77777777" w:rsidR="00A34ED0" w:rsidRPr="00116EDD" w:rsidRDefault="00A34ED0" w:rsidP="00147393">
            <w:pPr>
              <w:suppressAutoHyphens w:val="0"/>
              <w:spacing w:before="80" w:after="80" w:line="200" w:lineRule="exact"/>
              <w:jc w:val="right"/>
              <w:rPr>
                <w:rFonts w:eastAsia="Calibri"/>
                <w:bCs/>
                <w:i/>
                <w:sz w:val="16"/>
                <w:lang w:eastAsia="en-IE"/>
              </w:rPr>
            </w:pPr>
            <w:r w:rsidRPr="00116EDD">
              <w:rPr>
                <w:rFonts w:eastAsia="Calibri"/>
                <w:bCs/>
                <w:i/>
                <w:sz w:val="16"/>
                <w:lang w:eastAsia="en-IE"/>
              </w:rPr>
              <w:t>Annual Total</w:t>
            </w:r>
          </w:p>
        </w:tc>
      </w:tr>
      <w:tr w:rsidR="00A34ED0" w:rsidRPr="00116EDD" w14:paraId="079664DF" w14:textId="77777777" w:rsidTr="00147393">
        <w:tc>
          <w:tcPr>
            <w:tcW w:w="724" w:type="dxa"/>
            <w:tcBorders>
              <w:top w:val="single" w:sz="12" w:space="0" w:color="auto"/>
            </w:tcBorders>
            <w:shd w:val="clear" w:color="auto" w:fill="auto"/>
            <w:tcMar>
              <w:top w:w="0" w:type="dxa"/>
              <w:left w:w="108" w:type="dxa"/>
              <w:bottom w:w="0" w:type="dxa"/>
              <w:right w:w="108" w:type="dxa"/>
            </w:tcMar>
          </w:tcPr>
          <w:p w14:paraId="7D591D7E" w14:textId="77777777" w:rsidR="00A34ED0" w:rsidRPr="003C74CC" w:rsidRDefault="00A34ED0" w:rsidP="00147393">
            <w:pPr>
              <w:suppressAutoHyphens w:val="0"/>
              <w:spacing w:before="40" w:after="40" w:line="220" w:lineRule="exact"/>
              <w:rPr>
                <w:rFonts w:eastAsia="Calibri"/>
                <w:b/>
                <w:bCs/>
                <w:sz w:val="18"/>
                <w:highlight w:val="lightGray"/>
                <w:lang w:eastAsia="en-IE"/>
              </w:rPr>
            </w:pPr>
            <w:r w:rsidRPr="003C74CC">
              <w:rPr>
                <w:rFonts w:eastAsia="Calibri"/>
                <w:b/>
                <w:bCs/>
                <w:sz w:val="18"/>
                <w:highlight w:val="lightGray"/>
                <w:lang w:eastAsia="en-IE"/>
              </w:rPr>
              <w:t>2021</w:t>
            </w:r>
          </w:p>
        </w:tc>
        <w:tc>
          <w:tcPr>
            <w:tcW w:w="1195" w:type="dxa"/>
            <w:tcBorders>
              <w:top w:val="single" w:sz="12" w:space="0" w:color="auto"/>
            </w:tcBorders>
            <w:shd w:val="clear" w:color="auto" w:fill="auto"/>
            <w:tcMar>
              <w:top w:w="0" w:type="dxa"/>
              <w:left w:w="108" w:type="dxa"/>
              <w:bottom w:w="0" w:type="dxa"/>
              <w:right w:w="108" w:type="dxa"/>
            </w:tcMar>
            <w:vAlign w:val="bottom"/>
          </w:tcPr>
          <w:p w14:paraId="5ECD6EA5" w14:textId="77777777" w:rsidR="00A34ED0" w:rsidRPr="003C74CC" w:rsidRDefault="00A34ED0" w:rsidP="00147393">
            <w:pPr>
              <w:suppressAutoHyphens w:val="0"/>
              <w:spacing w:before="40" w:after="40" w:line="220" w:lineRule="exact"/>
              <w:jc w:val="right"/>
              <w:rPr>
                <w:rFonts w:eastAsia="Calibri"/>
                <w:b/>
                <w:bCs/>
                <w:sz w:val="18"/>
                <w:highlight w:val="lightGray"/>
                <w:lang w:eastAsia="en-IE"/>
              </w:rPr>
            </w:pPr>
          </w:p>
        </w:tc>
        <w:tc>
          <w:tcPr>
            <w:tcW w:w="1645" w:type="dxa"/>
            <w:tcBorders>
              <w:top w:val="single" w:sz="12" w:space="0" w:color="auto"/>
            </w:tcBorders>
            <w:shd w:val="clear" w:color="auto" w:fill="auto"/>
            <w:tcMar>
              <w:top w:w="0" w:type="dxa"/>
              <w:left w:w="108" w:type="dxa"/>
              <w:bottom w:w="0" w:type="dxa"/>
              <w:right w:w="108" w:type="dxa"/>
            </w:tcMar>
            <w:vAlign w:val="bottom"/>
          </w:tcPr>
          <w:p w14:paraId="0A1AA429" w14:textId="77777777" w:rsidR="00A34ED0" w:rsidRPr="003C74CC" w:rsidRDefault="00A34ED0" w:rsidP="00147393">
            <w:pPr>
              <w:suppressAutoHyphens w:val="0"/>
              <w:spacing w:before="40" w:after="40" w:line="220" w:lineRule="exact"/>
              <w:jc w:val="right"/>
              <w:rPr>
                <w:rFonts w:eastAsia="Calibri"/>
                <w:b/>
                <w:bCs/>
                <w:sz w:val="18"/>
                <w:highlight w:val="lightGray"/>
                <w:lang w:eastAsia="en-IE"/>
              </w:rPr>
            </w:pPr>
            <w:r w:rsidRPr="003C74CC">
              <w:rPr>
                <w:rFonts w:eastAsia="Calibri"/>
                <w:b/>
                <w:bCs/>
                <w:sz w:val="18"/>
                <w:highlight w:val="lightGray"/>
                <w:lang w:eastAsia="en-IE"/>
              </w:rPr>
              <w:t>2</w:t>
            </w:r>
          </w:p>
        </w:tc>
        <w:tc>
          <w:tcPr>
            <w:tcW w:w="1359" w:type="dxa"/>
            <w:tcBorders>
              <w:top w:val="single" w:sz="12" w:space="0" w:color="auto"/>
            </w:tcBorders>
            <w:shd w:val="clear" w:color="auto" w:fill="auto"/>
            <w:tcMar>
              <w:top w:w="0" w:type="dxa"/>
              <w:left w:w="108" w:type="dxa"/>
              <w:bottom w:w="0" w:type="dxa"/>
              <w:right w:w="108" w:type="dxa"/>
            </w:tcMar>
            <w:vAlign w:val="bottom"/>
          </w:tcPr>
          <w:p w14:paraId="3B1861CE" w14:textId="77777777" w:rsidR="00A34ED0" w:rsidRPr="003C74CC" w:rsidRDefault="00A34ED0" w:rsidP="00147393">
            <w:pPr>
              <w:suppressAutoHyphens w:val="0"/>
              <w:spacing w:before="40" w:after="40" w:line="220" w:lineRule="exact"/>
              <w:jc w:val="right"/>
              <w:rPr>
                <w:rFonts w:eastAsia="Calibri"/>
                <w:b/>
                <w:bCs/>
                <w:sz w:val="18"/>
                <w:highlight w:val="lightGray"/>
                <w:lang w:eastAsia="en-IE"/>
              </w:rPr>
            </w:pPr>
          </w:p>
        </w:tc>
        <w:tc>
          <w:tcPr>
            <w:tcW w:w="1341" w:type="dxa"/>
            <w:tcBorders>
              <w:top w:val="single" w:sz="12" w:space="0" w:color="auto"/>
            </w:tcBorders>
            <w:shd w:val="clear" w:color="auto" w:fill="auto"/>
            <w:tcMar>
              <w:top w:w="0" w:type="dxa"/>
              <w:left w:w="108" w:type="dxa"/>
              <w:bottom w:w="0" w:type="dxa"/>
              <w:right w:w="108" w:type="dxa"/>
            </w:tcMar>
            <w:vAlign w:val="bottom"/>
          </w:tcPr>
          <w:p w14:paraId="316CFC6B" w14:textId="77777777" w:rsidR="00A34ED0" w:rsidRPr="003C74CC" w:rsidRDefault="00A34ED0" w:rsidP="00147393">
            <w:pPr>
              <w:suppressAutoHyphens w:val="0"/>
              <w:spacing w:before="40" w:after="40" w:line="220" w:lineRule="exact"/>
              <w:jc w:val="right"/>
              <w:rPr>
                <w:rFonts w:eastAsia="Calibri"/>
                <w:b/>
                <w:bCs/>
                <w:sz w:val="18"/>
                <w:highlight w:val="lightGray"/>
                <w:lang w:eastAsia="en-IE"/>
              </w:rPr>
            </w:pPr>
          </w:p>
        </w:tc>
        <w:tc>
          <w:tcPr>
            <w:tcW w:w="1106" w:type="dxa"/>
            <w:tcBorders>
              <w:top w:val="single" w:sz="12" w:space="0" w:color="auto"/>
            </w:tcBorders>
            <w:shd w:val="clear" w:color="auto" w:fill="auto"/>
            <w:tcMar>
              <w:top w:w="0" w:type="dxa"/>
              <w:left w:w="108" w:type="dxa"/>
              <w:bottom w:w="0" w:type="dxa"/>
              <w:right w:w="108" w:type="dxa"/>
            </w:tcMar>
            <w:vAlign w:val="bottom"/>
          </w:tcPr>
          <w:p w14:paraId="3D1C73E1" w14:textId="77777777" w:rsidR="00A34ED0" w:rsidRPr="003C74CC" w:rsidRDefault="00A34ED0" w:rsidP="00147393">
            <w:pPr>
              <w:suppressAutoHyphens w:val="0"/>
              <w:spacing w:before="40" w:after="40" w:line="220" w:lineRule="exact"/>
              <w:jc w:val="right"/>
              <w:rPr>
                <w:rFonts w:eastAsia="Calibri"/>
                <w:b/>
                <w:bCs/>
                <w:sz w:val="18"/>
                <w:highlight w:val="lightGray"/>
                <w:lang w:eastAsia="en-IE"/>
              </w:rPr>
            </w:pPr>
            <w:r w:rsidRPr="003C74CC">
              <w:rPr>
                <w:rFonts w:eastAsia="Calibri"/>
                <w:b/>
                <w:bCs/>
                <w:sz w:val="18"/>
                <w:highlight w:val="lightGray"/>
                <w:lang w:eastAsia="en-IE"/>
              </w:rPr>
              <w:t>2</w:t>
            </w:r>
          </w:p>
        </w:tc>
      </w:tr>
      <w:tr w:rsidR="00A34ED0" w:rsidRPr="00116EDD" w14:paraId="74CDCC2D" w14:textId="77777777" w:rsidTr="00147393">
        <w:tc>
          <w:tcPr>
            <w:tcW w:w="724" w:type="dxa"/>
            <w:shd w:val="clear" w:color="auto" w:fill="auto"/>
            <w:tcMar>
              <w:top w:w="0" w:type="dxa"/>
              <w:left w:w="108" w:type="dxa"/>
              <w:bottom w:w="0" w:type="dxa"/>
              <w:right w:w="108" w:type="dxa"/>
            </w:tcMar>
          </w:tcPr>
          <w:p w14:paraId="2FA8623B" w14:textId="77777777" w:rsidR="00A34ED0" w:rsidRPr="00116EDD" w:rsidRDefault="00A34ED0" w:rsidP="00147393">
            <w:pPr>
              <w:suppressAutoHyphens w:val="0"/>
              <w:spacing w:before="40" w:after="40" w:line="220" w:lineRule="exact"/>
              <w:rPr>
                <w:rFonts w:eastAsia="Calibri"/>
                <w:b/>
                <w:bCs/>
                <w:sz w:val="18"/>
                <w:lang w:eastAsia="en-IE"/>
              </w:rPr>
            </w:pPr>
            <w:r w:rsidRPr="00116EDD">
              <w:rPr>
                <w:rFonts w:eastAsia="Calibri"/>
                <w:b/>
                <w:bCs/>
                <w:sz w:val="18"/>
                <w:lang w:eastAsia="en-IE"/>
              </w:rPr>
              <w:t>2020</w:t>
            </w:r>
          </w:p>
        </w:tc>
        <w:tc>
          <w:tcPr>
            <w:tcW w:w="1195" w:type="dxa"/>
            <w:shd w:val="clear" w:color="auto" w:fill="auto"/>
            <w:tcMar>
              <w:top w:w="0" w:type="dxa"/>
              <w:left w:w="108" w:type="dxa"/>
              <w:bottom w:w="0" w:type="dxa"/>
              <w:right w:w="108" w:type="dxa"/>
            </w:tcMar>
            <w:vAlign w:val="bottom"/>
          </w:tcPr>
          <w:p w14:paraId="69CD3325" w14:textId="77777777" w:rsidR="00A34ED0" w:rsidRPr="00116EDD" w:rsidRDefault="00A34ED0" w:rsidP="00147393">
            <w:pPr>
              <w:suppressAutoHyphens w:val="0"/>
              <w:spacing w:before="40" w:after="40" w:line="220" w:lineRule="exact"/>
              <w:jc w:val="right"/>
              <w:rPr>
                <w:rFonts w:eastAsia="Calibri"/>
                <w:b/>
                <w:bCs/>
                <w:sz w:val="18"/>
                <w:lang w:eastAsia="en-IE"/>
              </w:rPr>
            </w:pPr>
            <w:r>
              <w:rPr>
                <w:rFonts w:eastAsia="Calibri"/>
                <w:b/>
                <w:bCs/>
                <w:sz w:val="18"/>
                <w:lang w:eastAsia="en-IE"/>
              </w:rPr>
              <w:t>3</w:t>
            </w:r>
          </w:p>
        </w:tc>
        <w:tc>
          <w:tcPr>
            <w:tcW w:w="1645" w:type="dxa"/>
            <w:shd w:val="clear" w:color="auto" w:fill="auto"/>
            <w:tcMar>
              <w:top w:w="0" w:type="dxa"/>
              <w:left w:w="108" w:type="dxa"/>
              <w:bottom w:w="0" w:type="dxa"/>
              <w:right w:w="108" w:type="dxa"/>
            </w:tcMar>
            <w:vAlign w:val="bottom"/>
          </w:tcPr>
          <w:p w14:paraId="002FF7C0" w14:textId="77777777" w:rsidR="00A34ED0" w:rsidRPr="00116EDD" w:rsidRDefault="00A34ED0" w:rsidP="00147393">
            <w:pPr>
              <w:suppressAutoHyphens w:val="0"/>
              <w:spacing w:before="40" w:after="40" w:line="220" w:lineRule="exact"/>
              <w:jc w:val="right"/>
              <w:rPr>
                <w:rFonts w:eastAsia="Calibri"/>
                <w:b/>
                <w:bCs/>
                <w:sz w:val="18"/>
                <w:lang w:eastAsia="en-IE"/>
              </w:rPr>
            </w:pPr>
            <w:r>
              <w:rPr>
                <w:rFonts w:eastAsia="Calibri"/>
                <w:b/>
                <w:bCs/>
                <w:sz w:val="18"/>
                <w:lang w:eastAsia="en-IE"/>
              </w:rPr>
              <w:t>2</w:t>
            </w:r>
          </w:p>
        </w:tc>
        <w:tc>
          <w:tcPr>
            <w:tcW w:w="1359" w:type="dxa"/>
            <w:shd w:val="clear" w:color="auto" w:fill="auto"/>
            <w:tcMar>
              <w:top w:w="0" w:type="dxa"/>
              <w:left w:w="108" w:type="dxa"/>
              <w:bottom w:w="0" w:type="dxa"/>
              <w:right w:w="108" w:type="dxa"/>
            </w:tcMar>
            <w:vAlign w:val="bottom"/>
          </w:tcPr>
          <w:p w14:paraId="4B40240A" w14:textId="77777777" w:rsidR="00A34ED0" w:rsidRPr="00116EDD" w:rsidRDefault="00A34ED0" w:rsidP="00147393">
            <w:pPr>
              <w:suppressAutoHyphens w:val="0"/>
              <w:spacing w:before="40" w:after="40" w:line="220" w:lineRule="exact"/>
              <w:jc w:val="right"/>
              <w:rPr>
                <w:rFonts w:eastAsia="Calibri"/>
                <w:b/>
                <w:bCs/>
                <w:sz w:val="18"/>
                <w:lang w:eastAsia="en-IE"/>
              </w:rPr>
            </w:pPr>
          </w:p>
        </w:tc>
        <w:tc>
          <w:tcPr>
            <w:tcW w:w="1341" w:type="dxa"/>
            <w:shd w:val="clear" w:color="auto" w:fill="auto"/>
            <w:tcMar>
              <w:top w:w="0" w:type="dxa"/>
              <w:left w:w="108" w:type="dxa"/>
              <w:bottom w:w="0" w:type="dxa"/>
              <w:right w:w="108" w:type="dxa"/>
            </w:tcMar>
            <w:vAlign w:val="bottom"/>
          </w:tcPr>
          <w:p w14:paraId="76B382AD" w14:textId="77777777" w:rsidR="00A34ED0" w:rsidRPr="00116EDD" w:rsidRDefault="00A34ED0" w:rsidP="00147393">
            <w:pPr>
              <w:suppressAutoHyphens w:val="0"/>
              <w:spacing w:before="40" w:after="40" w:line="220" w:lineRule="exact"/>
              <w:jc w:val="right"/>
              <w:rPr>
                <w:rFonts w:eastAsia="Calibri"/>
                <w:b/>
                <w:bCs/>
                <w:sz w:val="18"/>
                <w:lang w:eastAsia="en-IE"/>
              </w:rPr>
            </w:pPr>
            <w:r w:rsidRPr="00116EDD">
              <w:rPr>
                <w:rFonts w:eastAsia="Calibri"/>
                <w:b/>
                <w:bCs/>
                <w:sz w:val="18"/>
                <w:lang w:eastAsia="en-IE"/>
              </w:rPr>
              <w:t>1</w:t>
            </w:r>
          </w:p>
        </w:tc>
        <w:tc>
          <w:tcPr>
            <w:tcW w:w="1106" w:type="dxa"/>
            <w:shd w:val="clear" w:color="auto" w:fill="auto"/>
            <w:tcMar>
              <w:top w:w="0" w:type="dxa"/>
              <w:left w:w="108" w:type="dxa"/>
              <w:bottom w:w="0" w:type="dxa"/>
              <w:right w:w="108" w:type="dxa"/>
            </w:tcMar>
            <w:vAlign w:val="bottom"/>
          </w:tcPr>
          <w:p w14:paraId="5FA9166A" w14:textId="77777777" w:rsidR="00A34ED0" w:rsidRPr="00116EDD" w:rsidRDefault="00A34ED0" w:rsidP="00147393">
            <w:pPr>
              <w:suppressAutoHyphens w:val="0"/>
              <w:spacing w:before="40" w:after="40" w:line="220" w:lineRule="exact"/>
              <w:jc w:val="right"/>
              <w:rPr>
                <w:rFonts w:eastAsia="Calibri"/>
                <w:b/>
                <w:bCs/>
                <w:sz w:val="18"/>
                <w:lang w:eastAsia="en-IE"/>
              </w:rPr>
            </w:pPr>
            <w:r>
              <w:rPr>
                <w:rFonts w:eastAsia="Calibri"/>
                <w:b/>
                <w:bCs/>
                <w:sz w:val="18"/>
                <w:lang w:eastAsia="en-IE"/>
              </w:rPr>
              <w:t>6</w:t>
            </w:r>
          </w:p>
        </w:tc>
      </w:tr>
      <w:tr w:rsidR="00A34ED0" w:rsidRPr="00116EDD" w14:paraId="2164B168" w14:textId="77777777" w:rsidTr="00147393">
        <w:tc>
          <w:tcPr>
            <w:tcW w:w="724" w:type="dxa"/>
            <w:shd w:val="clear" w:color="auto" w:fill="auto"/>
            <w:tcMar>
              <w:top w:w="0" w:type="dxa"/>
              <w:left w:w="108" w:type="dxa"/>
              <w:bottom w:w="0" w:type="dxa"/>
              <w:right w:w="108" w:type="dxa"/>
            </w:tcMar>
          </w:tcPr>
          <w:p w14:paraId="161EDB3A" w14:textId="77777777" w:rsidR="00A34ED0" w:rsidRPr="00116EDD" w:rsidRDefault="00A34ED0" w:rsidP="00147393">
            <w:pPr>
              <w:suppressAutoHyphens w:val="0"/>
              <w:spacing w:before="40" w:after="40" w:line="220" w:lineRule="exact"/>
              <w:rPr>
                <w:rFonts w:eastAsia="Calibri"/>
                <w:b/>
                <w:bCs/>
                <w:sz w:val="18"/>
                <w:lang w:eastAsia="en-IE"/>
              </w:rPr>
            </w:pPr>
            <w:r w:rsidRPr="00116EDD">
              <w:rPr>
                <w:rFonts w:eastAsia="Calibri"/>
                <w:b/>
                <w:bCs/>
                <w:sz w:val="18"/>
                <w:lang w:eastAsia="en-IE"/>
              </w:rPr>
              <w:t>2019</w:t>
            </w:r>
          </w:p>
        </w:tc>
        <w:tc>
          <w:tcPr>
            <w:tcW w:w="1195" w:type="dxa"/>
            <w:shd w:val="clear" w:color="auto" w:fill="auto"/>
            <w:tcMar>
              <w:top w:w="0" w:type="dxa"/>
              <w:left w:w="108" w:type="dxa"/>
              <w:bottom w:w="0" w:type="dxa"/>
              <w:right w:w="108" w:type="dxa"/>
            </w:tcMar>
            <w:vAlign w:val="bottom"/>
          </w:tcPr>
          <w:p w14:paraId="38CD03BB" w14:textId="77777777" w:rsidR="00A34ED0" w:rsidRPr="00116EDD" w:rsidRDefault="00A34ED0" w:rsidP="00147393">
            <w:pPr>
              <w:suppressAutoHyphens w:val="0"/>
              <w:spacing w:before="40" w:after="40" w:line="220" w:lineRule="exact"/>
              <w:jc w:val="right"/>
              <w:rPr>
                <w:rFonts w:eastAsia="Calibri"/>
                <w:b/>
                <w:bCs/>
                <w:sz w:val="18"/>
                <w:lang w:eastAsia="en-IE"/>
              </w:rPr>
            </w:pPr>
            <w:r w:rsidRPr="00116EDD">
              <w:rPr>
                <w:rFonts w:eastAsia="Calibri"/>
                <w:b/>
                <w:bCs/>
                <w:sz w:val="18"/>
                <w:lang w:eastAsia="en-IE"/>
              </w:rPr>
              <w:t>1</w:t>
            </w:r>
          </w:p>
        </w:tc>
        <w:tc>
          <w:tcPr>
            <w:tcW w:w="1645" w:type="dxa"/>
            <w:shd w:val="clear" w:color="auto" w:fill="auto"/>
            <w:tcMar>
              <w:top w:w="0" w:type="dxa"/>
              <w:left w:w="108" w:type="dxa"/>
              <w:bottom w:w="0" w:type="dxa"/>
              <w:right w:w="108" w:type="dxa"/>
            </w:tcMar>
            <w:vAlign w:val="bottom"/>
          </w:tcPr>
          <w:p w14:paraId="2C14F799" w14:textId="77777777" w:rsidR="00A34ED0" w:rsidRPr="00116EDD" w:rsidRDefault="00A34ED0" w:rsidP="00147393">
            <w:pPr>
              <w:suppressAutoHyphens w:val="0"/>
              <w:spacing w:before="40" w:after="40" w:line="220" w:lineRule="exact"/>
              <w:jc w:val="right"/>
              <w:rPr>
                <w:rFonts w:eastAsia="Calibri"/>
                <w:b/>
                <w:bCs/>
                <w:sz w:val="18"/>
                <w:lang w:eastAsia="en-IE"/>
              </w:rPr>
            </w:pPr>
            <w:r>
              <w:rPr>
                <w:rFonts w:eastAsia="Calibri"/>
                <w:b/>
                <w:bCs/>
                <w:sz w:val="18"/>
                <w:lang w:eastAsia="en-IE"/>
              </w:rPr>
              <w:t>6</w:t>
            </w:r>
          </w:p>
        </w:tc>
        <w:tc>
          <w:tcPr>
            <w:tcW w:w="1359" w:type="dxa"/>
            <w:shd w:val="clear" w:color="auto" w:fill="auto"/>
            <w:tcMar>
              <w:top w:w="0" w:type="dxa"/>
              <w:left w:w="108" w:type="dxa"/>
              <w:bottom w:w="0" w:type="dxa"/>
              <w:right w:w="108" w:type="dxa"/>
            </w:tcMar>
            <w:vAlign w:val="bottom"/>
          </w:tcPr>
          <w:p w14:paraId="3B6B7A2E" w14:textId="77777777" w:rsidR="00A34ED0" w:rsidRPr="00116EDD" w:rsidRDefault="00A34ED0" w:rsidP="00147393">
            <w:pPr>
              <w:suppressAutoHyphens w:val="0"/>
              <w:spacing w:before="40" w:after="40" w:line="220" w:lineRule="exact"/>
              <w:jc w:val="right"/>
              <w:rPr>
                <w:rFonts w:eastAsia="Calibri"/>
                <w:b/>
                <w:bCs/>
                <w:sz w:val="18"/>
                <w:lang w:eastAsia="en-IE"/>
              </w:rPr>
            </w:pPr>
          </w:p>
        </w:tc>
        <w:tc>
          <w:tcPr>
            <w:tcW w:w="1341" w:type="dxa"/>
            <w:shd w:val="clear" w:color="auto" w:fill="auto"/>
            <w:tcMar>
              <w:top w:w="0" w:type="dxa"/>
              <w:left w:w="108" w:type="dxa"/>
              <w:bottom w:w="0" w:type="dxa"/>
              <w:right w:w="108" w:type="dxa"/>
            </w:tcMar>
            <w:vAlign w:val="bottom"/>
          </w:tcPr>
          <w:p w14:paraId="253B0922" w14:textId="77777777" w:rsidR="00A34ED0" w:rsidRPr="00116EDD" w:rsidRDefault="00A34ED0" w:rsidP="00147393">
            <w:pPr>
              <w:suppressAutoHyphens w:val="0"/>
              <w:spacing w:before="40" w:after="40" w:line="220" w:lineRule="exact"/>
              <w:jc w:val="right"/>
              <w:rPr>
                <w:rFonts w:eastAsia="Calibri"/>
                <w:b/>
                <w:bCs/>
                <w:sz w:val="18"/>
                <w:lang w:eastAsia="en-IE"/>
              </w:rPr>
            </w:pPr>
          </w:p>
        </w:tc>
        <w:tc>
          <w:tcPr>
            <w:tcW w:w="1106" w:type="dxa"/>
            <w:shd w:val="clear" w:color="auto" w:fill="auto"/>
            <w:tcMar>
              <w:top w:w="0" w:type="dxa"/>
              <w:left w:w="108" w:type="dxa"/>
              <w:bottom w:w="0" w:type="dxa"/>
              <w:right w:w="108" w:type="dxa"/>
            </w:tcMar>
            <w:vAlign w:val="bottom"/>
          </w:tcPr>
          <w:p w14:paraId="64DA2FB2" w14:textId="77777777" w:rsidR="00A34ED0" w:rsidRPr="00116EDD" w:rsidRDefault="00A34ED0" w:rsidP="00147393">
            <w:pPr>
              <w:suppressAutoHyphens w:val="0"/>
              <w:spacing w:before="40" w:after="40" w:line="220" w:lineRule="exact"/>
              <w:jc w:val="right"/>
              <w:rPr>
                <w:rFonts w:eastAsia="Calibri"/>
                <w:b/>
                <w:bCs/>
                <w:sz w:val="18"/>
                <w:lang w:eastAsia="en-IE"/>
              </w:rPr>
            </w:pPr>
            <w:r>
              <w:rPr>
                <w:rFonts w:eastAsia="Calibri"/>
                <w:b/>
                <w:bCs/>
                <w:sz w:val="18"/>
                <w:lang w:eastAsia="en-IE"/>
              </w:rPr>
              <w:t>7</w:t>
            </w:r>
          </w:p>
        </w:tc>
      </w:tr>
      <w:tr w:rsidR="00A34ED0" w:rsidRPr="00116EDD" w14:paraId="14980E76" w14:textId="77777777" w:rsidTr="00147393">
        <w:tc>
          <w:tcPr>
            <w:tcW w:w="724" w:type="dxa"/>
            <w:shd w:val="clear" w:color="auto" w:fill="auto"/>
            <w:tcMar>
              <w:top w:w="0" w:type="dxa"/>
              <w:left w:w="108" w:type="dxa"/>
              <w:bottom w:w="0" w:type="dxa"/>
              <w:right w:w="108" w:type="dxa"/>
            </w:tcMar>
            <w:hideMark/>
          </w:tcPr>
          <w:p w14:paraId="2EF6B248" w14:textId="77777777" w:rsidR="00A34ED0" w:rsidRPr="00116EDD" w:rsidRDefault="00A34ED0" w:rsidP="00147393">
            <w:pPr>
              <w:suppressAutoHyphens w:val="0"/>
              <w:spacing w:before="40" w:after="40" w:line="220" w:lineRule="exact"/>
              <w:rPr>
                <w:rFonts w:eastAsia="Calibri"/>
                <w:b/>
                <w:bCs/>
                <w:sz w:val="18"/>
                <w:lang w:eastAsia="en-IE"/>
              </w:rPr>
            </w:pPr>
            <w:r w:rsidRPr="00116EDD">
              <w:rPr>
                <w:rFonts w:eastAsia="Calibri"/>
                <w:b/>
                <w:bCs/>
                <w:sz w:val="18"/>
                <w:lang w:eastAsia="en-IE"/>
              </w:rPr>
              <w:t>2018</w:t>
            </w:r>
          </w:p>
        </w:tc>
        <w:tc>
          <w:tcPr>
            <w:tcW w:w="1195" w:type="dxa"/>
            <w:shd w:val="clear" w:color="auto" w:fill="auto"/>
            <w:tcMar>
              <w:top w:w="0" w:type="dxa"/>
              <w:left w:w="108" w:type="dxa"/>
              <w:bottom w:w="0" w:type="dxa"/>
              <w:right w:w="108" w:type="dxa"/>
            </w:tcMar>
            <w:vAlign w:val="bottom"/>
            <w:hideMark/>
          </w:tcPr>
          <w:p w14:paraId="49224348" w14:textId="77777777" w:rsidR="00A34ED0" w:rsidRPr="00116EDD" w:rsidRDefault="00A34ED0" w:rsidP="00147393">
            <w:pPr>
              <w:suppressAutoHyphens w:val="0"/>
              <w:spacing w:before="40" w:after="40" w:line="220" w:lineRule="exact"/>
              <w:jc w:val="right"/>
              <w:rPr>
                <w:rFonts w:eastAsia="Calibri"/>
                <w:b/>
                <w:bCs/>
                <w:sz w:val="18"/>
                <w:lang w:eastAsia="en-IE"/>
              </w:rPr>
            </w:pPr>
            <w:r w:rsidRPr="00116EDD">
              <w:rPr>
                <w:rFonts w:eastAsia="Calibri"/>
                <w:b/>
                <w:bCs/>
                <w:sz w:val="18"/>
                <w:lang w:eastAsia="en-IE"/>
              </w:rPr>
              <w:t>2</w:t>
            </w:r>
          </w:p>
        </w:tc>
        <w:tc>
          <w:tcPr>
            <w:tcW w:w="1645" w:type="dxa"/>
            <w:shd w:val="clear" w:color="auto" w:fill="auto"/>
            <w:tcMar>
              <w:top w:w="0" w:type="dxa"/>
              <w:left w:w="108" w:type="dxa"/>
              <w:bottom w:w="0" w:type="dxa"/>
              <w:right w:w="108" w:type="dxa"/>
            </w:tcMar>
            <w:vAlign w:val="bottom"/>
            <w:hideMark/>
          </w:tcPr>
          <w:p w14:paraId="427BF3CD" w14:textId="77777777" w:rsidR="00A34ED0" w:rsidRPr="00116EDD" w:rsidRDefault="00A34ED0" w:rsidP="00147393">
            <w:pPr>
              <w:suppressAutoHyphens w:val="0"/>
              <w:spacing w:before="40" w:after="40" w:line="220" w:lineRule="exact"/>
              <w:jc w:val="right"/>
              <w:rPr>
                <w:rFonts w:eastAsia="Calibri"/>
                <w:b/>
                <w:bCs/>
                <w:sz w:val="18"/>
                <w:lang w:eastAsia="en-IE"/>
              </w:rPr>
            </w:pPr>
            <w:r w:rsidRPr="00116EDD">
              <w:rPr>
                <w:rFonts w:eastAsia="Calibri"/>
                <w:b/>
                <w:bCs/>
                <w:sz w:val="18"/>
                <w:lang w:eastAsia="en-IE"/>
              </w:rPr>
              <w:t>7</w:t>
            </w:r>
          </w:p>
        </w:tc>
        <w:tc>
          <w:tcPr>
            <w:tcW w:w="1359" w:type="dxa"/>
            <w:shd w:val="clear" w:color="auto" w:fill="auto"/>
            <w:tcMar>
              <w:top w:w="0" w:type="dxa"/>
              <w:left w:w="108" w:type="dxa"/>
              <w:bottom w:w="0" w:type="dxa"/>
              <w:right w:w="108" w:type="dxa"/>
            </w:tcMar>
            <w:vAlign w:val="bottom"/>
          </w:tcPr>
          <w:p w14:paraId="2844E6BA" w14:textId="77777777" w:rsidR="00A34ED0" w:rsidRPr="00116EDD" w:rsidRDefault="00A34ED0" w:rsidP="00147393">
            <w:pPr>
              <w:suppressAutoHyphens w:val="0"/>
              <w:spacing w:before="40" w:after="40" w:line="220" w:lineRule="exact"/>
              <w:jc w:val="right"/>
              <w:rPr>
                <w:rFonts w:eastAsia="Calibri"/>
                <w:b/>
                <w:bCs/>
                <w:sz w:val="18"/>
                <w:lang w:eastAsia="en-IE"/>
              </w:rPr>
            </w:pPr>
          </w:p>
        </w:tc>
        <w:tc>
          <w:tcPr>
            <w:tcW w:w="1341" w:type="dxa"/>
            <w:shd w:val="clear" w:color="auto" w:fill="auto"/>
            <w:tcMar>
              <w:top w:w="0" w:type="dxa"/>
              <w:left w:w="108" w:type="dxa"/>
              <w:bottom w:w="0" w:type="dxa"/>
              <w:right w:w="108" w:type="dxa"/>
            </w:tcMar>
            <w:vAlign w:val="bottom"/>
            <w:hideMark/>
          </w:tcPr>
          <w:p w14:paraId="76542C95" w14:textId="77777777" w:rsidR="00A34ED0" w:rsidRPr="00116EDD" w:rsidRDefault="00A34ED0" w:rsidP="00147393">
            <w:pPr>
              <w:suppressAutoHyphens w:val="0"/>
              <w:spacing w:before="40" w:after="40" w:line="220" w:lineRule="exact"/>
              <w:jc w:val="right"/>
              <w:rPr>
                <w:rFonts w:eastAsia="Calibri"/>
                <w:b/>
                <w:bCs/>
                <w:sz w:val="18"/>
                <w:lang w:eastAsia="en-IE"/>
              </w:rPr>
            </w:pPr>
            <w:r w:rsidRPr="00116EDD">
              <w:rPr>
                <w:rFonts w:eastAsia="Calibri"/>
                <w:b/>
                <w:bCs/>
                <w:sz w:val="18"/>
                <w:lang w:eastAsia="en-IE"/>
              </w:rPr>
              <w:t>1</w:t>
            </w:r>
          </w:p>
        </w:tc>
        <w:tc>
          <w:tcPr>
            <w:tcW w:w="1106" w:type="dxa"/>
            <w:shd w:val="clear" w:color="auto" w:fill="auto"/>
            <w:tcMar>
              <w:top w:w="0" w:type="dxa"/>
              <w:left w:w="108" w:type="dxa"/>
              <w:bottom w:w="0" w:type="dxa"/>
              <w:right w:w="108" w:type="dxa"/>
            </w:tcMar>
            <w:vAlign w:val="bottom"/>
            <w:hideMark/>
          </w:tcPr>
          <w:p w14:paraId="163F471E" w14:textId="77777777" w:rsidR="00A34ED0" w:rsidRPr="00116EDD" w:rsidRDefault="00A34ED0" w:rsidP="00147393">
            <w:pPr>
              <w:suppressAutoHyphens w:val="0"/>
              <w:spacing w:before="40" w:after="40" w:line="220" w:lineRule="exact"/>
              <w:jc w:val="right"/>
              <w:rPr>
                <w:rFonts w:eastAsia="Calibri"/>
                <w:b/>
                <w:bCs/>
                <w:sz w:val="18"/>
                <w:lang w:eastAsia="en-IE"/>
              </w:rPr>
            </w:pPr>
            <w:r w:rsidRPr="00116EDD">
              <w:rPr>
                <w:rFonts w:eastAsia="Calibri"/>
                <w:b/>
                <w:bCs/>
                <w:sz w:val="18"/>
                <w:lang w:eastAsia="en-IE"/>
              </w:rPr>
              <w:t>10</w:t>
            </w:r>
          </w:p>
        </w:tc>
      </w:tr>
      <w:tr w:rsidR="00A34ED0" w:rsidRPr="00116EDD" w14:paraId="5B8E98BF" w14:textId="77777777" w:rsidTr="00147393">
        <w:tc>
          <w:tcPr>
            <w:tcW w:w="724" w:type="dxa"/>
            <w:tcBorders>
              <w:bottom w:val="single" w:sz="12" w:space="0" w:color="auto"/>
            </w:tcBorders>
            <w:shd w:val="clear" w:color="auto" w:fill="auto"/>
            <w:tcMar>
              <w:top w:w="0" w:type="dxa"/>
              <w:left w:w="108" w:type="dxa"/>
              <w:bottom w:w="0" w:type="dxa"/>
              <w:right w:w="108" w:type="dxa"/>
            </w:tcMar>
            <w:hideMark/>
          </w:tcPr>
          <w:p w14:paraId="286F8010" w14:textId="77777777" w:rsidR="00A34ED0" w:rsidRPr="00116EDD" w:rsidRDefault="00A34ED0" w:rsidP="00147393">
            <w:pPr>
              <w:suppressAutoHyphens w:val="0"/>
              <w:spacing w:before="40" w:after="40" w:line="220" w:lineRule="exact"/>
              <w:rPr>
                <w:rFonts w:eastAsia="Calibri"/>
                <w:b/>
                <w:bCs/>
                <w:sz w:val="18"/>
                <w:lang w:eastAsia="en-IE"/>
              </w:rPr>
            </w:pPr>
            <w:r w:rsidRPr="00116EDD">
              <w:rPr>
                <w:rFonts w:eastAsia="Calibri"/>
                <w:b/>
                <w:bCs/>
                <w:sz w:val="18"/>
                <w:lang w:eastAsia="en-IE"/>
              </w:rPr>
              <w:t>2017</w:t>
            </w:r>
          </w:p>
        </w:tc>
        <w:tc>
          <w:tcPr>
            <w:tcW w:w="1195" w:type="dxa"/>
            <w:tcBorders>
              <w:bottom w:val="single" w:sz="12" w:space="0" w:color="auto"/>
            </w:tcBorders>
            <w:shd w:val="clear" w:color="auto" w:fill="auto"/>
            <w:tcMar>
              <w:top w:w="0" w:type="dxa"/>
              <w:left w:w="108" w:type="dxa"/>
              <w:bottom w:w="0" w:type="dxa"/>
              <w:right w:w="108" w:type="dxa"/>
            </w:tcMar>
            <w:vAlign w:val="bottom"/>
            <w:hideMark/>
          </w:tcPr>
          <w:p w14:paraId="5890AC52" w14:textId="77777777" w:rsidR="00A34ED0" w:rsidRPr="00116EDD" w:rsidRDefault="00A34ED0" w:rsidP="00147393">
            <w:pPr>
              <w:suppressAutoHyphens w:val="0"/>
              <w:spacing w:before="40" w:after="40" w:line="220" w:lineRule="exact"/>
              <w:jc w:val="right"/>
              <w:rPr>
                <w:rFonts w:eastAsia="Calibri"/>
                <w:b/>
                <w:bCs/>
                <w:sz w:val="18"/>
                <w:lang w:eastAsia="en-IE"/>
              </w:rPr>
            </w:pPr>
            <w:r w:rsidRPr="00116EDD">
              <w:rPr>
                <w:rFonts w:eastAsia="Calibri"/>
                <w:b/>
                <w:bCs/>
                <w:sz w:val="18"/>
                <w:lang w:eastAsia="en-IE"/>
              </w:rPr>
              <w:t>4</w:t>
            </w:r>
          </w:p>
        </w:tc>
        <w:tc>
          <w:tcPr>
            <w:tcW w:w="1645" w:type="dxa"/>
            <w:tcBorders>
              <w:bottom w:val="single" w:sz="12" w:space="0" w:color="auto"/>
            </w:tcBorders>
            <w:shd w:val="clear" w:color="auto" w:fill="auto"/>
            <w:tcMar>
              <w:top w:w="0" w:type="dxa"/>
              <w:left w:w="108" w:type="dxa"/>
              <w:bottom w:w="0" w:type="dxa"/>
              <w:right w:w="108" w:type="dxa"/>
            </w:tcMar>
            <w:vAlign w:val="bottom"/>
            <w:hideMark/>
          </w:tcPr>
          <w:p w14:paraId="412F9CB5" w14:textId="77777777" w:rsidR="00A34ED0" w:rsidRPr="00116EDD" w:rsidRDefault="00A34ED0" w:rsidP="00147393">
            <w:pPr>
              <w:suppressAutoHyphens w:val="0"/>
              <w:spacing w:before="40" w:after="40" w:line="220" w:lineRule="exact"/>
              <w:jc w:val="right"/>
              <w:rPr>
                <w:rFonts w:eastAsia="Calibri"/>
                <w:b/>
                <w:bCs/>
                <w:sz w:val="18"/>
                <w:lang w:eastAsia="en-IE"/>
              </w:rPr>
            </w:pPr>
          </w:p>
        </w:tc>
        <w:tc>
          <w:tcPr>
            <w:tcW w:w="1359" w:type="dxa"/>
            <w:tcBorders>
              <w:bottom w:val="single" w:sz="12" w:space="0" w:color="auto"/>
            </w:tcBorders>
            <w:shd w:val="clear" w:color="auto" w:fill="auto"/>
            <w:tcMar>
              <w:top w:w="0" w:type="dxa"/>
              <w:left w:w="108" w:type="dxa"/>
              <w:bottom w:w="0" w:type="dxa"/>
              <w:right w:w="108" w:type="dxa"/>
            </w:tcMar>
            <w:vAlign w:val="bottom"/>
          </w:tcPr>
          <w:p w14:paraId="5A9B9A34" w14:textId="77777777" w:rsidR="00A34ED0" w:rsidRPr="00116EDD" w:rsidRDefault="00A34ED0" w:rsidP="00147393">
            <w:pPr>
              <w:suppressAutoHyphens w:val="0"/>
              <w:spacing w:before="40" w:after="40" w:line="220" w:lineRule="exact"/>
              <w:jc w:val="right"/>
              <w:rPr>
                <w:rFonts w:eastAsia="Calibri"/>
                <w:b/>
                <w:bCs/>
                <w:sz w:val="18"/>
                <w:lang w:eastAsia="en-IE"/>
              </w:rPr>
            </w:pPr>
          </w:p>
        </w:tc>
        <w:tc>
          <w:tcPr>
            <w:tcW w:w="1341" w:type="dxa"/>
            <w:tcBorders>
              <w:bottom w:val="single" w:sz="12" w:space="0" w:color="auto"/>
            </w:tcBorders>
            <w:shd w:val="clear" w:color="auto" w:fill="auto"/>
            <w:tcMar>
              <w:top w:w="0" w:type="dxa"/>
              <w:left w:w="108" w:type="dxa"/>
              <w:bottom w:w="0" w:type="dxa"/>
              <w:right w:w="108" w:type="dxa"/>
            </w:tcMar>
            <w:vAlign w:val="bottom"/>
          </w:tcPr>
          <w:p w14:paraId="1E779D8D" w14:textId="77777777" w:rsidR="00A34ED0" w:rsidRPr="00116EDD" w:rsidRDefault="00A34ED0" w:rsidP="00147393">
            <w:pPr>
              <w:suppressAutoHyphens w:val="0"/>
              <w:spacing w:before="40" w:after="40" w:line="220" w:lineRule="exact"/>
              <w:jc w:val="right"/>
              <w:rPr>
                <w:rFonts w:eastAsia="Calibri"/>
                <w:b/>
                <w:bCs/>
                <w:sz w:val="18"/>
                <w:lang w:eastAsia="en-IE"/>
              </w:rPr>
            </w:pPr>
          </w:p>
        </w:tc>
        <w:tc>
          <w:tcPr>
            <w:tcW w:w="1106" w:type="dxa"/>
            <w:tcBorders>
              <w:bottom w:val="single" w:sz="12" w:space="0" w:color="auto"/>
            </w:tcBorders>
            <w:shd w:val="clear" w:color="auto" w:fill="auto"/>
            <w:tcMar>
              <w:top w:w="0" w:type="dxa"/>
              <w:left w:w="108" w:type="dxa"/>
              <w:bottom w:w="0" w:type="dxa"/>
              <w:right w:w="108" w:type="dxa"/>
            </w:tcMar>
            <w:vAlign w:val="bottom"/>
            <w:hideMark/>
          </w:tcPr>
          <w:p w14:paraId="6DE3E9D6" w14:textId="77777777" w:rsidR="00A34ED0" w:rsidRPr="00116EDD" w:rsidRDefault="00A34ED0" w:rsidP="00147393">
            <w:pPr>
              <w:suppressAutoHyphens w:val="0"/>
              <w:spacing w:before="40" w:after="40" w:line="220" w:lineRule="exact"/>
              <w:jc w:val="right"/>
              <w:rPr>
                <w:rFonts w:eastAsia="Calibri"/>
                <w:b/>
                <w:bCs/>
                <w:sz w:val="18"/>
                <w:lang w:eastAsia="en-IE"/>
              </w:rPr>
            </w:pPr>
            <w:r>
              <w:rPr>
                <w:rFonts w:eastAsia="Calibri"/>
                <w:b/>
                <w:bCs/>
                <w:sz w:val="18"/>
                <w:lang w:eastAsia="en-IE"/>
              </w:rPr>
              <w:t>4</w:t>
            </w:r>
          </w:p>
        </w:tc>
      </w:tr>
    </w:tbl>
    <w:p w14:paraId="61365700" w14:textId="4ED2309B" w:rsidR="00A00DEA" w:rsidRPr="00DD3D9B" w:rsidRDefault="008A1F1D" w:rsidP="00116EDD">
      <w:pPr>
        <w:pStyle w:val="SingleTxtG"/>
        <w:kinsoku/>
        <w:overflowPunct/>
        <w:autoSpaceDE/>
        <w:autoSpaceDN/>
        <w:adjustRightInd/>
        <w:snapToGrid/>
        <w:spacing w:before="120"/>
      </w:pPr>
      <w:r>
        <w:lastRenderedPageBreak/>
        <w:t>98</w:t>
      </w:r>
      <w:r w:rsidR="00A00DEA" w:rsidRPr="00DD3D9B">
        <w:t>.</w:t>
      </w:r>
      <w:r w:rsidR="00A00DEA" w:rsidRPr="00DD3D9B">
        <w:tab/>
      </w:r>
      <w:r w:rsidR="00A00DEA" w:rsidRPr="0045521F">
        <w:t>The Inspector of Prisons (IOP) investigates the circumstance</w:t>
      </w:r>
      <w:r w:rsidR="00A00DEA">
        <w:t xml:space="preserve">s surrounding deaths in custody. These are independent from investigations conducted by AGS or a Coroner. </w:t>
      </w:r>
      <w:r w:rsidR="00A34ED0">
        <w:t>T</w:t>
      </w:r>
      <w:r w:rsidR="00A34ED0" w:rsidRPr="0045521F">
        <w:t>he reports are available on the IOP website</w:t>
      </w:r>
      <w:r w:rsidR="00A34ED0">
        <w:rPr>
          <w:rStyle w:val="FootnoteReference"/>
        </w:rPr>
        <w:footnoteReference w:id="9"/>
      </w:r>
      <w:r w:rsidR="00A34ED0">
        <w:t xml:space="preserve"> </w:t>
      </w:r>
      <w:r w:rsidR="00A34ED0" w:rsidRPr="00C054FD">
        <w:rPr>
          <w:highlight w:val="lightGray"/>
        </w:rPr>
        <w:t>and the website of the Department of Justice</w:t>
      </w:r>
      <w:r w:rsidR="00A34ED0" w:rsidRPr="0045521F">
        <w:t>.</w:t>
      </w:r>
    </w:p>
    <w:p w14:paraId="7CB49342" w14:textId="7FC033FF" w:rsidR="00A00DEA" w:rsidRPr="0079673A" w:rsidRDefault="008A1F1D" w:rsidP="00A00DEA">
      <w:pPr>
        <w:pStyle w:val="SingleTxtG"/>
        <w:kinsoku/>
        <w:overflowPunct/>
        <w:autoSpaceDE/>
        <w:autoSpaceDN/>
        <w:adjustRightInd/>
        <w:snapToGrid/>
      </w:pPr>
      <w:r>
        <w:t>99</w:t>
      </w:r>
      <w:r w:rsidR="00A00DEA" w:rsidRPr="0079673A">
        <w:t>.</w:t>
      </w:r>
      <w:r w:rsidR="00A00DEA" w:rsidRPr="0079673A">
        <w:tab/>
        <w:t>Healthcare ha</w:t>
      </w:r>
      <w:r w:rsidR="00A00DEA">
        <w:t>s</w:t>
      </w:r>
      <w:r w:rsidR="00A00DEA" w:rsidRPr="0079673A">
        <w:t xml:space="preserve"> been provided in Irish Prisons through</w:t>
      </w:r>
      <w:r w:rsidR="00A00DEA">
        <w:t>out</w:t>
      </w:r>
      <w:r w:rsidR="00A00DEA" w:rsidRPr="0079673A">
        <w:t xml:space="preserve"> the pandemic</w:t>
      </w:r>
      <w:r w:rsidR="00A00DEA">
        <w:t xml:space="preserve"> including</w:t>
      </w:r>
      <w:r w:rsidR="00A00DEA" w:rsidRPr="0079673A">
        <w:t xml:space="preserve"> </w:t>
      </w:r>
      <w:r w:rsidR="00A00DEA">
        <w:t>mental</w:t>
      </w:r>
      <w:r w:rsidR="00A00DEA" w:rsidRPr="0079673A">
        <w:t xml:space="preserve"> health</w:t>
      </w:r>
      <w:r w:rsidR="00A00DEA">
        <w:t>, dental and addiction services.</w:t>
      </w:r>
      <w:r w:rsidR="00A00DEA" w:rsidRPr="0079673A">
        <w:t xml:space="preserve"> </w:t>
      </w:r>
    </w:p>
    <w:p w14:paraId="368247A8" w14:textId="0B97BD78" w:rsidR="00A00DEA" w:rsidRPr="00DD3D9B" w:rsidRDefault="008A1F1D" w:rsidP="00A00DEA">
      <w:pPr>
        <w:pStyle w:val="SingleTxtG"/>
        <w:kinsoku/>
        <w:overflowPunct/>
        <w:autoSpaceDE/>
        <w:autoSpaceDN/>
        <w:adjustRightInd/>
        <w:snapToGrid/>
      </w:pPr>
      <w:r>
        <w:t>100</w:t>
      </w:r>
      <w:r w:rsidR="00A00DEA" w:rsidRPr="00DD3D9B">
        <w:t>.</w:t>
      </w:r>
      <w:r w:rsidR="00A00DEA" w:rsidRPr="00DD3D9B">
        <w:tab/>
      </w:r>
      <w:r w:rsidR="00A00DEA" w:rsidRPr="0079673A">
        <w:t xml:space="preserve">Detainees </w:t>
      </w:r>
      <w:r w:rsidR="00A00DEA">
        <w:t xml:space="preserve">may be </w:t>
      </w:r>
      <w:r w:rsidR="00A00DEA" w:rsidRPr="0079673A">
        <w:t>referred to ho</w:t>
      </w:r>
      <w:r w:rsidR="00A00DEA">
        <w:t>spital for specialist opinion as appropriate.</w:t>
      </w:r>
    </w:p>
    <w:p w14:paraId="563919F9" w14:textId="5AEE2FB4" w:rsidR="00A34ED0" w:rsidRDefault="008A1F1D" w:rsidP="00A34ED0">
      <w:pPr>
        <w:pStyle w:val="SingleTxtG"/>
      </w:pPr>
      <w:r>
        <w:t>101</w:t>
      </w:r>
      <w:r w:rsidR="00A00DEA">
        <w:t>.</w:t>
      </w:r>
      <w:r w:rsidR="00A00DEA">
        <w:tab/>
      </w:r>
      <w:r w:rsidR="00A34ED0" w:rsidRPr="00C054FD">
        <w:rPr>
          <w:highlight w:val="lightGray"/>
        </w:rPr>
        <w:t xml:space="preserve">The Irish Prison Service are currently undertaking a complete review of the Prison Rules 2007 to take account of the new European Prison Rules 2020. The review was delayed due to the challenges presented by the management of Covid-19 in prisons however, significant work has been completed on possible amendments and these are under consideration by the Irish Prison Service at present. In the interim, the Irish Prison Service has identified a number of existing Prison Rules which require urgent </w:t>
      </w:r>
      <w:proofErr w:type="gramStart"/>
      <w:r w:rsidR="00A34ED0" w:rsidRPr="00C054FD">
        <w:rPr>
          <w:highlight w:val="lightGray"/>
        </w:rPr>
        <w:t>amendment</w:t>
      </w:r>
      <w:proofErr w:type="gramEnd"/>
      <w:r w:rsidR="00A34ED0" w:rsidRPr="00C054FD">
        <w:rPr>
          <w:highlight w:val="lightGray"/>
        </w:rPr>
        <w:t xml:space="preserve"> and this includes amendments to the rule governing the Use of Special Observations Cells (SOCs) (Rule 64) and rule governing Special Monitoring (SM) (Rule 80).</w:t>
      </w:r>
      <w:r w:rsidR="00A34ED0">
        <w:t xml:space="preserve"> </w:t>
      </w:r>
    </w:p>
    <w:p w14:paraId="58784053" w14:textId="77777777" w:rsidR="00A34ED0" w:rsidRPr="00C054FD" w:rsidRDefault="00A34ED0" w:rsidP="00A34ED0">
      <w:pPr>
        <w:pStyle w:val="SingleTxtG"/>
        <w:rPr>
          <w:highlight w:val="lightGray"/>
        </w:rPr>
      </w:pPr>
      <w:r w:rsidRPr="00C054FD">
        <w:rPr>
          <w:highlight w:val="lightGray"/>
        </w:rPr>
        <w:t xml:space="preserve">Work on the drafting of revised Rules for SOCs and SM has commenced and subject to Irish Prison Service and Department of Justice approval should allow for the drafting of a new Statutory Instrument later in 2022 (Q4), and subject to other conflicting drafting and legislative priorities.  </w:t>
      </w:r>
    </w:p>
    <w:p w14:paraId="0D51A098" w14:textId="14FB5ED2" w:rsidR="00A34ED0" w:rsidRPr="00C054FD" w:rsidRDefault="00A34ED0" w:rsidP="00A34ED0">
      <w:pPr>
        <w:pStyle w:val="SingleTxtG"/>
        <w:rPr>
          <w:highlight w:val="lightGray"/>
        </w:rPr>
      </w:pPr>
      <w:r w:rsidRPr="00C054FD">
        <w:rPr>
          <w:highlight w:val="lightGray"/>
        </w:rPr>
        <w:t>The revised rules will provide greater legal clarity on the operation on observation cells for enhanced monitoring for healthcare reasons (current</w:t>
      </w:r>
      <w:r w:rsidR="009835BA" w:rsidRPr="00C054FD">
        <w:rPr>
          <w:highlight w:val="lightGray"/>
        </w:rPr>
        <w:t>ly</w:t>
      </w:r>
      <w:r w:rsidRPr="00C054FD">
        <w:rPr>
          <w:highlight w:val="lightGray"/>
        </w:rPr>
        <w:t xml:space="preserve"> known as SOCs) and the operation of observation cells for enhanced monitoring for operational and security reasons (currently known as Close Supervision Cells (CSCs)). </w:t>
      </w:r>
    </w:p>
    <w:p w14:paraId="0F8AA257" w14:textId="77777777" w:rsidR="00A34ED0" w:rsidRDefault="00A34ED0" w:rsidP="00A34ED0">
      <w:pPr>
        <w:pStyle w:val="SingleTxtG"/>
        <w:kinsoku/>
        <w:overflowPunct/>
        <w:autoSpaceDE/>
        <w:autoSpaceDN/>
        <w:adjustRightInd/>
        <w:snapToGrid/>
      </w:pPr>
      <w:r w:rsidRPr="00C054FD">
        <w:rPr>
          <w:highlight w:val="lightGray"/>
        </w:rPr>
        <w:t>A full analysis of the Standard Operating Procedures (SOPs) for both SOCs and CSCs will be completed in Q3 of 2022 as part of the this review and any changes to the SOPs arising from the Rule changes will be completed in conjunction with the signing by the Minister of the new Statutory Instrument.</w:t>
      </w:r>
      <w:r>
        <w:t xml:space="preserve">  </w:t>
      </w:r>
      <w:r w:rsidRPr="0079673A">
        <w:t xml:space="preserve"> </w:t>
      </w:r>
    </w:p>
    <w:p w14:paraId="37B56307" w14:textId="77777777" w:rsidR="00A34ED0" w:rsidRDefault="00A34ED0" w:rsidP="00A00DEA">
      <w:pPr>
        <w:pStyle w:val="SingleTxtG"/>
        <w:kinsoku/>
        <w:overflowPunct/>
        <w:autoSpaceDE/>
        <w:autoSpaceDN/>
        <w:adjustRightInd/>
        <w:snapToGrid/>
      </w:pPr>
    </w:p>
    <w:p w14:paraId="79B8787A" w14:textId="1AF92616" w:rsidR="00A00DEA" w:rsidRPr="0079673A" w:rsidRDefault="008A1F1D" w:rsidP="00A00DEA">
      <w:pPr>
        <w:pStyle w:val="SingleTxtG"/>
        <w:kinsoku/>
        <w:overflowPunct/>
        <w:autoSpaceDE/>
        <w:autoSpaceDN/>
        <w:adjustRightInd/>
        <w:snapToGrid/>
      </w:pPr>
      <w:r>
        <w:t>102</w:t>
      </w:r>
      <w:r w:rsidR="00A00DEA" w:rsidRPr="0079673A">
        <w:t>.</w:t>
      </w:r>
      <w:r w:rsidR="00A00DEA" w:rsidRPr="0079673A">
        <w:tab/>
      </w:r>
      <w:r w:rsidR="00A00DEA">
        <w:t>M</w:t>
      </w:r>
      <w:r w:rsidR="00A00DEA" w:rsidRPr="0079673A">
        <w:t xml:space="preserve">easures </w:t>
      </w:r>
      <w:r w:rsidR="00A00DEA">
        <w:t>have been implemented to prevent COVID</w:t>
      </w:r>
      <w:r w:rsidR="00A00DEA" w:rsidRPr="0079673A">
        <w:t>-19 transmission</w:t>
      </w:r>
      <w:r w:rsidR="00A00DEA">
        <w:t xml:space="preserve"> in prisons.  </w:t>
      </w:r>
      <w:r w:rsidR="00A00DEA" w:rsidRPr="0079673A">
        <w:t>The</w:t>
      </w:r>
      <w:r w:rsidR="00A00DEA">
        <w:t>se</w:t>
      </w:r>
      <w:r w:rsidR="00A00DEA" w:rsidRPr="0079673A">
        <w:t xml:space="preserve"> were guided</w:t>
      </w:r>
      <w:r w:rsidR="00A00DEA">
        <w:t xml:space="preserve"> by</w:t>
      </w:r>
      <w:r w:rsidR="00A00DEA" w:rsidRPr="0079673A">
        <w:t xml:space="preserve"> </w:t>
      </w:r>
      <w:r w:rsidR="00A00DEA">
        <w:t>NPHET’s advice a</w:t>
      </w:r>
      <w:r w:rsidR="00A00DEA" w:rsidRPr="0079673A">
        <w:t xml:space="preserve">nd were consistent with the </w:t>
      </w:r>
      <w:r w:rsidR="00A00DEA">
        <w:t xml:space="preserve">WHO-issued </w:t>
      </w:r>
      <w:r w:rsidR="00A00DEA" w:rsidRPr="0079673A">
        <w:t>prison specific guidance for the management of C</w:t>
      </w:r>
      <w:r w:rsidR="00A00DEA">
        <w:t>OVID</w:t>
      </w:r>
      <w:r w:rsidR="00A00DEA" w:rsidRPr="0079673A">
        <w:t>-19</w:t>
      </w:r>
      <w:r w:rsidR="009835BA">
        <w:t>.</w:t>
      </w:r>
      <w:r w:rsidR="00A00DEA" w:rsidRPr="0079673A">
        <w:t xml:space="preserve"> The measures include</w:t>
      </w:r>
      <w:r w:rsidR="009835BA">
        <w:t>d</w:t>
      </w:r>
      <w:r w:rsidR="00A00DEA" w:rsidRPr="0079673A">
        <w:t>: </w:t>
      </w:r>
    </w:p>
    <w:p w14:paraId="61606BAC" w14:textId="31745A10" w:rsidR="00A00DEA" w:rsidRPr="00A00DEA" w:rsidRDefault="00A00DEA" w:rsidP="00116EDD">
      <w:pPr>
        <w:pStyle w:val="Bullet1G"/>
      </w:pPr>
      <w:r w:rsidRPr="00A00DEA">
        <w:t>A basic health check for all persons entering prisons; </w:t>
      </w:r>
    </w:p>
    <w:p w14:paraId="4B0F8372" w14:textId="1038CEFC" w:rsidR="00A00DEA" w:rsidRPr="00A00DEA" w:rsidRDefault="00A00DEA" w:rsidP="00116EDD">
      <w:pPr>
        <w:pStyle w:val="Bullet1G"/>
      </w:pPr>
      <w:r w:rsidRPr="00A00DEA">
        <w:t>The replacement of physical family visits with video visits when required by COVID-19 restrictions;</w:t>
      </w:r>
    </w:p>
    <w:p w14:paraId="2D327DB6" w14:textId="5C0F8A92" w:rsidR="00A00DEA" w:rsidRPr="00A00DEA" w:rsidRDefault="00A00DEA" w:rsidP="00116EDD">
      <w:pPr>
        <w:pStyle w:val="Bullet1G"/>
      </w:pPr>
      <w:r w:rsidRPr="00A00DEA">
        <w:t>Testing of all new committals; enabling a prisoner to exit quarantine at an earlier stage, provided test results are negative; </w:t>
      </w:r>
    </w:p>
    <w:p w14:paraId="050D8C08" w14:textId="569CE87A" w:rsidR="00A00DEA" w:rsidRPr="00A00DEA" w:rsidRDefault="00A00DEA" w:rsidP="00116EDD">
      <w:pPr>
        <w:pStyle w:val="Bullet1G"/>
      </w:pPr>
      <w:r w:rsidRPr="00A00DEA">
        <w:t>Isolation of suspected cases to prevent transmission. The provision of cocooned accommodation for vulnerable prisoners including those aged over 70 years or the medically vulnerable; </w:t>
      </w:r>
    </w:p>
    <w:p w14:paraId="73C1CB5F" w14:textId="0652A846" w:rsidR="00A00DEA" w:rsidRPr="00A00DEA" w:rsidRDefault="00A00DEA" w:rsidP="00116EDD">
      <w:pPr>
        <w:pStyle w:val="Bullet1G"/>
      </w:pPr>
      <w:r w:rsidRPr="00A00DEA">
        <w:t>Training for IPS staff and the provision of PPE; </w:t>
      </w:r>
    </w:p>
    <w:p w14:paraId="6CA3EBC0" w14:textId="3B44CFF3" w:rsidR="00A00DEA" w:rsidRPr="00A00DEA" w:rsidRDefault="00A00DEA" w:rsidP="00116EDD">
      <w:pPr>
        <w:pStyle w:val="Bullet1G"/>
      </w:pPr>
      <w:r w:rsidRPr="00A00DEA">
        <w:t>Conducting  risk assessments and implementing additional controls;</w:t>
      </w:r>
    </w:p>
    <w:p w14:paraId="679828D9" w14:textId="34AD7B5D" w:rsidR="00A00DEA" w:rsidRPr="00A00DEA" w:rsidRDefault="00A00DEA" w:rsidP="00116EDD">
      <w:pPr>
        <w:pStyle w:val="Bullet1G"/>
      </w:pPr>
      <w:r w:rsidRPr="00A00DEA">
        <w:t>Communication with staff and prisoners and the establishment of a contact tracing model.</w:t>
      </w:r>
      <w:r w:rsidRPr="0079673A">
        <w:t xml:space="preserve"> </w:t>
      </w:r>
      <w:r w:rsidRPr="00A00DEA">
        <w:rPr>
          <w:b/>
          <w:bCs/>
          <w:sz w:val="24"/>
          <w:szCs w:val="24"/>
        </w:rPr>
        <w:t xml:space="preserve">           </w:t>
      </w:r>
    </w:p>
    <w:p w14:paraId="3BEE16A3" w14:textId="74B82B90" w:rsidR="00A00DEA" w:rsidRDefault="008A1F1D" w:rsidP="00A00DEA">
      <w:pPr>
        <w:pStyle w:val="SingleTxtG"/>
        <w:kinsoku/>
        <w:overflowPunct/>
        <w:autoSpaceDE/>
        <w:autoSpaceDN/>
        <w:adjustRightInd/>
        <w:snapToGrid/>
      </w:pPr>
      <w:r>
        <w:t>103</w:t>
      </w:r>
      <w:r w:rsidR="00A00DEA">
        <w:t>.</w:t>
      </w:r>
      <w:r w:rsidR="00A00DEA">
        <w:tab/>
      </w:r>
      <w:r w:rsidR="00A00DEA" w:rsidRPr="00991B0B">
        <w:t xml:space="preserve">The IPS conducts a weekly review of measures, taking account of latest Government public health guidelines.  </w:t>
      </w:r>
      <w:r w:rsidR="00A00DEA">
        <w:t>P</w:t>
      </w:r>
      <w:r w:rsidR="00A00DEA" w:rsidRPr="00991B0B">
        <w:t>risoners who are in isolation and quarantine have access to a range of services and facilities within the prison</w:t>
      </w:r>
      <w:r w:rsidR="00A00DEA">
        <w:t>.</w:t>
      </w:r>
      <w:r w:rsidR="00A00DEA" w:rsidRPr="00991B0B">
        <w:t xml:space="preserve"> </w:t>
      </w:r>
    </w:p>
    <w:p w14:paraId="37E748CD" w14:textId="741297DC" w:rsidR="00A00DEA" w:rsidRPr="00C679F1" w:rsidRDefault="008A1F1D" w:rsidP="00A00DEA">
      <w:pPr>
        <w:pStyle w:val="SingleTxtG"/>
        <w:kinsoku/>
        <w:overflowPunct/>
        <w:autoSpaceDE/>
        <w:autoSpaceDN/>
        <w:adjustRightInd/>
        <w:snapToGrid/>
      </w:pPr>
      <w:r>
        <w:t>104</w:t>
      </w:r>
      <w:r w:rsidR="00A00DEA" w:rsidRPr="00C679F1">
        <w:t>.</w:t>
      </w:r>
      <w:r w:rsidR="00A00DEA" w:rsidRPr="00C679F1">
        <w:tab/>
      </w:r>
      <w:r w:rsidR="00A34ED0">
        <w:t>The IOP</w:t>
      </w:r>
      <w:r w:rsidR="00A34ED0" w:rsidRPr="00991B0B">
        <w:t xml:space="preserve"> </w:t>
      </w:r>
      <w:r w:rsidR="00A34ED0">
        <w:t>visited</w:t>
      </w:r>
      <w:r w:rsidR="00A34ED0" w:rsidRPr="00991B0B">
        <w:t xml:space="preserve"> all 12 prisons during the first month of restrictions related to COVID-19. These </w:t>
      </w:r>
      <w:r w:rsidR="00A34ED0" w:rsidRPr="00CA062C">
        <w:t>visits</w:t>
      </w:r>
      <w:r w:rsidR="00A34ED0" w:rsidRPr="00991B0B">
        <w:t xml:space="preserve"> examined how the prisons implemented COVID-specific preventive measures and </w:t>
      </w:r>
      <w:r w:rsidR="00A34ED0">
        <w:t xml:space="preserve">their impact </w:t>
      </w:r>
      <w:r w:rsidR="00A34ED0" w:rsidRPr="00991B0B">
        <w:t xml:space="preserve">on </w:t>
      </w:r>
      <w:r w:rsidR="00A34ED0">
        <w:t xml:space="preserve">prisoners. </w:t>
      </w:r>
      <w:r w:rsidR="00A34ED0" w:rsidRPr="00991B0B">
        <w:t xml:space="preserve"> </w:t>
      </w:r>
      <w:r w:rsidR="00A34ED0" w:rsidRPr="00C054FD">
        <w:rPr>
          <w:highlight w:val="lightGray"/>
        </w:rPr>
        <w:t xml:space="preserve">Furthermore, during 2020 the Inspector of Prisons </w:t>
      </w:r>
      <w:r w:rsidR="00A34ED0" w:rsidRPr="00C054FD">
        <w:rPr>
          <w:highlight w:val="lightGray"/>
        </w:rPr>
        <w:lastRenderedPageBreak/>
        <w:t>visited every prison to assess the impact of the pandemic and details of these inspections are contained in the 2020 Inspector of Prisons Annual Report. In response to the pandemic and in relation to the need to continue to monitor the situation within prisons for prisoners and staff, the Inspector suspended her 2021 general inspection programme and embarked on a COVID focused inspection schedule. This was designed to provide a human rights-based assessment of the response of the Prison Service to the pandemic. Reports on these visits are available on the websites of the IOP and the Department of Justice.</w:t>
      </w:r>
    </w:p>
    <w:p w14:paraId="3EE0B54B" w14:textId="6033C4E0" w:rsidR="00A00DEA" w:rsidRPr="00E66956" w:rsidRDefault="008A1F1D" w:rsidP="00A00DEA">
      <w:pPr>
        <w:pStyle w:val="SingleTxtG"/>
        <w:kinsoku/>
        <w:overflowPunct/>
        <w:autoSpaceDE/>
        <w:autoSpaceDN/>
        <w:adjustRightInd/>
        <w:snapToGrid/>
      </w:pPr>
      <w:r>
        <w:t>105</w:t>
      </w:r>
      <w:r w:rsidR="00A00DEA" w:rsidRPr="00E66956">
        <w:t>.</w:t>
      </w:r>
      <w:r w:rsidR="00A00DEA" w:rsidRPr="00E66956">
        <w:tab/>
        <w:t xml:space="preserve">There were no deaths of children in </w:t>
      </w:r>
      <w:proofErr w:type="spellStart"/>
      <w:r w:rsidR="00A00DEA" w:rsidRPr="00E66956">
        <w:t>Oberstown</w:t>
      </w:r>
      <w:proofErr w:type="spellEnd"/>
      <w:r w:rsidR="00A00DEA" w:rsidRPr="00E66956">
        <w:t xml:space="preserve"> Children Detention Campus during the reporting period. There </w:t>
      </w:r>
      <w:r w:rsidR="005D317C">
        <w:t>have</w:t>
      </w:r>
      <w:r w:rsidR="005D317C" w:rsidRPr="00E66956">
        <w:t xml:space="preserve"> </w:t>
      </w:r>
      <w:r w:rsidR="00A00DEA" w:rsidRPr="00E66956">
        <w:t xml:space="preserve">been </w:t>
      </w:r>
      <w:r w:rsidR="002675A8" w:rsidRPr="00C054FD">
        <w:rPr>
          <w:highlight w:val="lightGray"/>
        </w:rPr>
        <w:t xml:space="preserve">17 </w:t>
      </w:r>
      <w:r w:rsidR="00A00DEA" w:rsidRPr="00C054FD">
        <w:rPr>
          <w:highlight w:val="lightGray"/>
        </w:rPr>
        <w:t xml:space="preserve">positive COVID cases </w:t>
      </w:r>
      <w:r w:rsidR="002675A8" w:rsidRPr="00C054FD">
        <w:rPr>
          <w:highlight w:val="lightGray"/>
        </w:rPr>
        <w:t>in total from 2020 to date</w:t>
      </w:r>
      <w:r w:rsidR="002675A8">
        <w:t>.</w:t>
      </w:r>
    </w:p>
    <w:p w14:paraId="4D97C966" w14:textId="35FB0748" w:rsidR="00A00DEA" w:rsidRPr="00002E53" w:rsidRDefault="008A1F1D" w:rsidP="00A00DEA">
      <w:pPr>
        <w:pStyle w:val="SingleTxtG"/>
        <w:kinsoku/>
        <w:overflowPunct/>
        <w:autoSpaceDE/>
        <w:autoSpaceDN/>
        <w:adjustRightInd/>
        <w:snapToGrid/>
      </w:pPr>
      <w:r>
        <w:t>106</w:t>
      </w:r>
      <w:r w:rsidR="00A00DEA" w:rsidRPr="00002E53">
        <w:t>.</w:t>
      </w:r>
      <w:r w:rsidR="00A00DEA" w:rsidRPr="00002E53">
        <w:tab/>
        <w:t xml:space="preserve">The </w:t>
      </w:r>
      <w:proofErr w:type="spellStart"/>
      <w:r w:rsidR="00A00DEA" w:rsidRPr="00002E53">
        <w:t>Oberstown</w:t>
      </w:r>
      <w:proofErr w:type="spellEnd"/>
      <w:r w:rsidR="00A00DEA" w:rsidRPr="00002E53">
        <w:t xml:space="preserve"> campus school re-opened on 1 March 2021 and family screened visits have resumed, supported by health and safety procedures. </w:t>
      </w:r>
    </w:p>
    <w:p w14:paraId="53162F03" w14:textId="024035BA" w:rsidR="00A00DEA" w:rsidRPr="00002E53" w:rsidRDefault="008A1F1D" w:rsidP="00A00DEA">
      <w:pPr>
        <w:pStyle w:val="SingleTxtG"/>
        <w:kinsoku/>
        <w:overflowPunct/>
        <w:autoSpaceDE/>
        <w:autoSpaceDN/>
        <w:adjustRightInd/>
        <w:snapToGrid/>
      </w:pPr>
      <w:r>
        <w:t>107</w:t>
      </w:r>
      <w:r w:rsidR="00A00DEA" w:rsidRPr="00002E53">
        <w:t>.</w:t>
      </w:r>
      <w:r w:rsidR="00A00DEA" w:rsidRPr="00002E53">
        <w:tab/>
      </w:r>
      <w:r w:rsidR="00A34ED0" w:rsidRPr="00C054FD">
        <w:rPr>
          <w:highlight w:val="lightGray"/>
        </w:rPr>
        <w:t xml:space="preserve">In </w:t>
      </w:r>
      <w:proofErr w:type="gramStart"/>
      <w:r w:rsidR="00A34ED0" w:rsidRPr="00C054FD">
        <w:rPr>
          <w:highlight w:val="lightGray"/>
        </w:rPr>
        <w:t>May,</w:t>
      </w:r>
      <w:proofErr w:type="gramEnd"/>
      <w:r w:rsidR="00A34ED0" w:rsidRPr="00C054FD">
        <w:rPr>
          <w:highlight w:val="lightGray"/>
        </w:rPr>
        <w:t xml:space="preserve"> 2022, the IPS removed infection control screens from physical visiting booths and physical contact between prisoners and visitors is again permitted (in line with Prison Rules).</w:t>
      </w:r>
    </w:p>
    <w:p w14:paraId="15166195" w14:textId="19D8C684" w:rsidR="00A00DEA" w:rsidRPr="00002E53" w:rsidRDefault="008A1F1D" w:rsidP="00A00DEA">
      <w:pPr>
        <w:pStyle w:val="SingleTxtG"/>
        <w:kinsoku/>
        <w:overflowPunct/>
        <w:autoSpaceDE/>
        <w:autoSpaceDN/>
        <w:adjustRightInd/>
        <w:snapToGrid/>
        <w:rPr>
          <w:strike/>
        </w:rPr>
      </w:pPr>
      <w:r>
        <w:t>108</w:t>
      </w:r>
      <w:r w:rsidR="00A00DEA" w:rsidRPr="00002E53">
        <w:t>.</w:t>
      </w:r>
      <w:r w:rsidR="00A00DEA" w:rsidRPr="00002E53">
        <w:tab/>
      </w:r>
      <w:r w:rsidR="00A34ED0" w:rsidRPr="00C054FD">
        <w:rPr>
          <w:highlight w:val="lightGray"/>
        </w:rPr>
        <w:t>Visiting times for Open Centres are to return to pre-pandemic levels. Hospitality areas in prison visiting centres have been permitted to resume and children’s play areas will re-open. Prisoners will continue to have access to a video visit on the week that they do not have a physical visit.</w:t>
      </w:r>
      <w:r w:rsidR="00A34ED0">
        <w:t xml:space="preserve"> </w:t>
      </w:r>
      <w:r w:rsidR="00A34ED0" w:rsidRPr="00002E53">
        <w:t xml:space="preserve"> </w:t>
      </w:r>
    </w:p>
    <w:p w14:paraId="16AA3C4A" w14:textId="0B9559E9" w:rsidR="00A00DEA" w:rsidRPr="00002E53" w:rsidRDefault="008A1F1D" w:rsidP="00A00DEA">
      <w:pPr>
        <w:pStyle w:val="SingleTxtG"/>
        <w:kinsoku/>
        <w:overflowPunct/>
        <w:autoSpaceDE/>
        <w:autoSpaceDN/>
        <w:adjustRightInd/>
        <w:snapToGrid/>
      </w:pPr>
      <w:r>
        <w:t>109</w:t>
      </w:r>
      <w:r w:rsidR="00A00DEA" w:rsidRPr="00002E53">
        <w:t>.</w:t>
      </w:r>
      <w:r w:rsidR="00A00DEA" w:rsidRPr="00002E53">
        <w:tab/>
      </w:r>
      <w:r w:rsidR="00A34ED0" w:rsidRPr="00C054FD">
        <w:rPr>
          <w:highlight w:val="lightGray"/>
        </w:rPr>
        <w:t>As a result the majority of restrictive measures have been lifted. However, the Prison Service, recognising the threat that Covid-19 continues to pose to the vulnerable prison population, has continued a number of infection control measures such as the quarantining of new committals and the isolation of suspected cases. All such measures are continually reviewed taking account of the community rate of transmission, the level of risk posed, and current public health advice.</w:t>
      </w:r>
      <w:r w:rsidR="00A34ED0" w:rsidRPr="00002E53">
        <w:t>  </w:t>
      </w:r>
    </w:p>
    <w:p w14:paraId="57F59822" w14:textId="4AADA614" w:rsidR="00A00DEA" w:rsidRDefault="00116EDD" w:rsidP="00116EDD">
      <w:pPr>
        <w:pStyle w:val="H23G"/>
      </w:pPr>
      <w:r>
        <w:tab/>
      </w:r>
      <w:r>
        <w:tab/>
      </w:r>
      <w:r w:rsidR="00A00DEA">
        <w:t xml:space="preserve">Reply to paragraph 14 </w:t>
      </w:r>
    </w:p>
    <w:p w14:paraId="6620CDFC" w14:textId="056EE1D8" w:rsidR="00A00DEA" w:rsidRDefault="008A1F1D" w:rsidP="00A00DEA">
      <w:pPr>
        <w:pStyle w:val="SingleTxtG"/>
        <w:kinsoku/>
        <w:overflowPunct/>
        <w:autoSpaceDE/>
        <w:autoSpaceDN/>
        <w:adjustRightInd/>
        <w:snapToGrid/>
      </w:pPr>
      <w:r>
        <w:t>110</w:t>
      </w:r>
      <w:r w:rsidR="00A00DEA">
        <w:t>.</w:t>
      </w:r>
      <w:r w:rsidR="00A00DEA">
        <w:tab/>
      </w:r>
      <w:r w:rsidR="00147393" w:rsidRPr="00147393">
        <w:t xml:space="preserve">No excessive force was used in policing protests against COVID-19 restrictions. The Policing Authority found that AGS acted with restraint in the policing response. Where protests occurred, AGS engaged with the individuals over a considerable period of time. In instances of continued non-compliance with public health regulations and failure to comply with AGS, and where gatherings became violent, AGS intervened in an appropriate manner to restore public safety. </w:t>
      </w:r>
    </w:p>
    <w:p w14:paraId="138B296C" w14:textId="160479C4" w:rsidR="00A00DEA" w:rsidRPr="00504167" w:rsidRDefault="008A1F1D" w:rsidP="00A00DEA">
      <w:pPr>
        <w:pStyle w:val="SingleTxtG"/>
        <w:kinsoku/>
        <w:overflowPunct/>
        <w:autoSpaceDE/>
        <w:autoSpaceDN/>
        <w:adjustRightInd/>
        <w:snapToGrid/>
      </w:pPr>
      <w:r>
        <w:t>111</w:t>
      </w:r>
      <w:r w:rsidR="00A00DEA" w:rsidRPr="00504167">
        <w:t>.</w:t>
      </w:r>
      <w:r w:rsidR="00A00DEA" w:rsidRPr="00504167">
        <w:tab/>
      </w:r>
      <w:r w:rsidR="00147393" w:rsidRPr="00147393">
        <w:t>The Private Security Authority (PSA), established under the Private Security Services (PSS) Act 2004, is the independent body which regulates the private security industry. The services licensable by the PSA would not be considered law enforcement activities. Private security companies are not permitted to carry firearms.</w:t>
      </w:r>
      <w:r w:rsidR="00147393">
        <w:t xml:space="preserve"> </w:t>
      </w:r>
    </w:p>
    <w:p w14:paraId="3EB29709" w14:textId="17D88F6F" w:rsidR="00A00DEA" w:rsidRDefault="00116EDD" w:rsidP="00116EDD">
      <w:pPr>
        <w:pStyle w:val="H1G"/>
      </w:pPr>
      <w:r>
        <w:tab/>
      </w:r>
      <w:r>
        <w:tab/>
      </w:r>
      <w:r w:rsidR="00A00DEA">
        <w:t>Trafficking in persons (arts. 6, 7, 8 and 24)</w:t>
      </w:r>
    </w:p>
    <w:p w14:paraId="64591A3F" w14:textId="70C072EB" w:rsidR="00A00DEA" w:rsidRDefault="00116EDD" w:rsidP="00116EDD">
      <w:pPr>
        <w:pStyle w:val="H23G"/>
      </w:pPr>
      <w:r>
        <w:tab/>
      </w:r>
      <w:r>
        <w:tab/>
      </w:r>
      <w:r w:rsidR="00A00DEA">
        <w:t xml:space="preserve">Reply to paragraph 15(a) </w:t>
      </w:r>
    </w:p>
    <w:p w14:paraId="3A9E4F25" w14:textId="078DD787" w:rsidR="00A00DEA" w:rsidRDefault="008A1F1D" w:rsidP="00A00DEA">
      <w:pPr>
        <w:pStyle w:val="SingleTxtG"/>
        <w:kinsoku/>
        <w:overflowPunct/>
        <w:autoSpaceDE/>
        <w:autoSpaceDN/>
        <w:adjustRightInd/>
        <w:snapToGrid/>
      </w:pPr>
      <w:r>
        <w:t>112</w:t>
      </w:r>
      <w:r w:rsidR="00A00DEA">
        <w:t>.</w:t>
      </w:r>
      <w:r w:rsidR="00A00DEA">
        <w:tab/>
      </w:r>
      <w:r w:rsidR="00147393" w:rsidRPr="00147393">
        <w:t>The Second National Action Plan to Prevent and Combat Human Trafficking was published in October 2016 and identified 65 actions to combat trafficking and assist victims. Work continues to proceed on the plan’s implementation and new policy instruments are continually reviewed and introduced.</w:t>
      </w:r>
      <w:r w:rsidR="00147393">
        <w:t xml:space="preserve"> </w:t>
      </w:r>
    </w:p>
    <w:p w14:paraId="664F22FE" w14:textId="225B3191" w:rsidR="00A00DEA" w:rsidRPr="00002E53" w:rsidRDefault="008A1F1D" w:rsidP="00A00DEA">
      <w:pPr>
        <w:pStyle w:val="SingleTxtG"/>
        <w:kinsoku/>
        <w:overflowPunct/>
        <w:autoSpaceDE/>
        <w:autoSpaceDN/>
        <w:adjustRightInd/>
        <w:snapToGrid/>
      </w:pPr>
      <w:r>
        <w:t>113</w:t>
      </w:r>
      <w:r w:rsidR="00A00DEA" w:rsidRPr="00002E53">
        <w:t>.</w:t>
      </w:r>
      <w:r w:rsidR="00A00DEA" w:rsidRPr="00002E53">
        <w:tab/>
      </w:r>
      <w:r w:rsidR="00147393" w:rsidRPr="00147393">
        <w:t>A Human Trafficking Stakeholder Forum was established in September 2020 and a subgroup of the Forum is working with DOJ on the development of a new Action Plan.</w:t>
      </w:r>
      <w:r w:rsidR="00147393">
        <w:t xml:space="preserve"> </w:t>
      </w:r>
    </w:p>
    <w:p w14:paraId="04FE6157" w14:textId="5D238BC9" w:rsidR="00A00DEA" w:rsidRPr="009E280A" w:rsidRDefault="008A1F1D" w:rsidP="00A00DEA">
      <w:pPr>
        <w:pStyle w:val="SingleTxtG"/>
        <w:kinsoku/>
        <w:overflowPunct/>
        <w:autoSpaceDE/>
        <w:autoSpaceDN/>
        <w:adjustRightInd/>
        <w:snapToGrid/>
      </w:pPr>
      <w:r>
        <w:t>114</w:t>
      </w:r>
      <w:r w:rsidR="00A00DEA" w:rsidRPr="009E280A">
        <w:t>.</w:t>
      </w:r>
      <w:r w:rsidR="00A00DEA" w:rsidRPr="009E280A">
        <w:tab/>
      </w:r>
      <w:r w:rsidR="00147393" w:rsidRPr="00147393">
        <w:t xml:space="preserve">In 2020, IHREC was designated as Ireland’s independent National Rapporteur for Anti-Human Trafficking. Its responsibilities include monitoring the implementation of anti-trafficking policy at the national level and playing a role in data collection on trafficking in human beings at national level. </w:t>
      </w:r>
    </w:p>
    <w:p w14:paraId="1A846740" w14:textId="06A94F75" w:rsidR="00A00DEA" w:rsidRDefault="00116EDD" w:rsidP="00116EDD">
      <w:pPr>
        <w:pStyle w:val="H23G"/>
      </w:pPr>
      <w:r>
        <w:lastRenderedPageBreak/>
        <w:tab/>
      </w:r>
      <w:r>
        <w:tab/>
      </w:r>
      <w:r w:rsidR="00A00DEA">
        <w:t xml:space="preserve">Reply to paragraph 15(b) and (c) </w:t>
      </w:r>
    </w:p>
    <w:p w14:paraId="2B463D5E" w14:textId="22D62C84" w:rsidR="00A00DEA" w:rsidRPr="00B27BB9" w:rsidRDefault="008A1F1D" w:rsidP="00A00DEA">
      <w:pPr>
        <w:pStyle w:val="SingleTxtG"/>
        <w:kinsoku/>
        <w:overflowPunct/>
        <w:autoSpaceDE/>
        <w:autoSpaceDN/>
        <w:adjustRightInd/>
        <w:snapToGrid/>
      </w:pPr>
      <w:r>
        <w:t>115</w:t>
      </w:r>
      <w:r w:rsidR="00A00DEA" w:rsidRPr="00B27BB9">
        <w:t>.</w:t>
      </w:r>
      <w:r w:rsidR="00A00DEA" w:rsidRPr="00B27BB9">
        <w:tab/>
      </w:r>
      <w:r w:rsidR="00A00DEA">
        <w:t>AGS</w:t>
      </w:r>
      <w:r w:rsidR="00A00DEA" w:rsidRPr="00B27BB9">
        <w:t xml:space="preserve"> have within the Garda National Protective Services Bureau (GNPSB) a Human Trafficking Inve</w:t>
      </w:r>
      <w:r w:rsidR="00A00DEA">
        <w:t>stigation and Coordination Unit.</w:t>
      </w:r>
      <w:r w:rsidR="00A00DEA" w:rsidRPr="00B27BB9">
        <w:t xml:space="preserve"> This unit undertakes investigations to assist victims, as well as identify suspects and evidence to present to the DPP. </w:t>
      </w:r>
    </w:p>
    <w:p w14:paraId="40ACFB51" w14:textId="0D7684FF" w:rsidR="00A00DEA" w:rsidRPr="00B27BB9" w:rsidRDefault="008A1F1D" w:rsidP="00A00DEA">
      <w:pPr>
        <w:pStyle w:val="SingleTxtG"/>
        <w:kinsoku/>
        <w:overflowPunct/>
        <w:autoSpaceDE/>
        <w:autoSpaceDN/>
        <w:adjustRightInd/>
        <w:snapToGrid/>
      </w:pPr>
      <w:r>
        <w:t>116</w:t>
      </w:r>
      <w:r w:rsidR="00A00DEA" w:rsidRPr="00B27BB9">
        <w:t>.</w:t>
      </w:r>
      <w:r w:rsidR="00A00DEA" w:rsidRPr="00B27BB9">
        <w:tab/>
        <w:t xml:space="preserve">All victims referred to </w:t>
      </w:r>
      <w:r w:rsidR="00A00DEA">
        <w:t>AGS</w:t>
      </w:r>
      <w:r w:rsidR="00A00DEA" w:rsidRPr="00B27BB9">
        <w:t xml:space="preserve"> have their complaints investigated. </w:t>
      </w:r>
    </w:p>
    <w:p w14:paraId="473226CC" w14:textId="16D8E83B" w:rsidR="00A00DEA" w:rsidRPr="00B27BB9" w:rsidRDefault="008A1F1D" w:rsidP="00A00DEA">
      <w:pPr>
        <w:pStyle w:val="SingleTxtG"/>
        <w:kinsoku/>
        <w:overflowPunct/>
        <w:autoSpaceDE/>
        <w:autoSpaceDN/>
        <w:adjustRightInd/>
        <w:snapToGrid/>
      </w:pPr>
      <w:r>
        <w:t>117</w:t>
      </w:r>
      <w:r w:rsidR="00A00DEA" w:rsidRPr="00B27BB9">
        <w:t>.</w:t>
      </w:r>
      <w:r w:rsidR="00A00DEA" w:rsidRPr="00B27BB9">
        <w:tab/>
        <w:t>Once reported</w:t>
      </w:r>
      <w:r w:rsidR="00A00DEA">
        <w:t>,</w:t>
      </w:r>
      <w:r w:rsidR="00A00DEA" w:rsidRPr="00B27BB9">
        <w:t xml:space="preserve"> a statement is taken in which details will be recorde</w:t>
      </w:r>
      <w:r w:rsidR="00A00DEA">
        <w:t>d regarding the matters alleged</w:t>
      </w:r>
      <w:r w:rsidR="00A00DEA" w:rsidRPr="00B27BB9">
        <w:t>. Upon concluding that ‘prima facia’ evidence exists</w:t>
      </w:r>
      <w:r w:rsidR="00A00DEA">
        <w:t>,</w:t>
      </w:r>
      <w:r w:rsidR="00A00DEA" w:rsidRPr="00B27BB9">
        <w:t xml:space="preserve"> an investigation team will be e</w:t>
      </w:r>
      <w:r w:rsidR="00A00DEA">
        <w:t xml:space="preserve">stablished. </w:t>
      </w:r>
    </w:p>
    <w:p w14:paraId="6A0727D0" w14:textId="1A51DEC0" w:rsidR="00A00DEA" w:rsidRDefault="008A1F1D" w:rsidP="00A00DEA">
      <w:pPr>
        <w:pStyle w:val="SingleTxtG"/>
        <w:kinsoku/>
        <w:overflowPunct/>
        <w:autoSpaceDE/>
        <w:autoSpaceDN/>
        <w:adjustRightInd/>
        <w:snapToGrid/>
      </w:pPr>
      <w:r>
        <w:t>118</w:t>
      </w:r>
      <w:r w:rsidR="00A00DEA">
        <w:t>.</w:t>
      </w:r>
      <w:r w:rsidR="00A00DEA">
        <w:tab/>
        <w:t xml:space="preserve">Following the investigation, </w:t>
      </w:r>
      <w:r w:rsidR="00A00DEA" w:rsidRPr="00B27BB9">
        <w:t xml:space="preserve">a file is submitted to the </w:t>
      </w:r>
      <w:r w:rsidR="00A00DEA">
        <w:t xml:space="preserve">DPP </w:t>
      </w:r>
      <w:r w:rsidR="00A00DEA" w:rsidRPr="00B27BB9">
        <w:t>who then decide</w:t>
      </w:r>
      <w:r w:rsidR="00A00DEA">
        <w:t>s</w:t>
      </w:r>
      <w:r w:rsidR="00A00DEA" w:rsidRPr="00B27BB9">
        <w:t xml:space="preserve"> on a prosecution. </w:t>
      </w:r>
    </w:p>
    <w:p w14:paraId="16BC6448" w14:textId="3733E9AD" w:rsidR="00A00DEA" w:rsidRPr="00B27BB9" w:rsidRDefault="008A1F1D" w:rsidP="00A00DEA">
      <w:pPr>
        <w:pStyle w:val="SingleTxtG"/>
        <w:kinsoku/>
        <w:overflowPunct/>
        <w:autoSpaceDE/>
        <w:autoSpaceDN/>
        <w:adjustRightInd/>
        <w:snapToGrid/>
      </w:pPr>
      <w:r>
        <w:t>119</w:t>
      </w:r>
      <w:r w:rsidR="00A00DEA" w:rsidRPr="00B27BB9">
        <w:t>.</w:t>
      </w:r>
      <w:r w:rsidR="00A00DEA" w:rsidRPr="00B27BB9">
        <w:tab/>
      </w:r>
      <w:r w:rsidR="002205F3" w:rsidRPr="00C054FD">
        <w:rPr>
          <w:highlight w:val="lightGray"/>
        </w:rPr>
        <w:t>On 11 June 2021, the first convictions for human trafficking in Ireland were handed down. Two individuals were found guilty on two counts of trafficking women from </w:t>
      </w:r>
      <w:hyperlink r:id="rId13" w:history="1">
        <w:r w:rsidR="002205F3" w:rsidRPr="00C054FD">
          <w:rPr>
            <w:highlight w:val="lightGray"/>
          </w:rPr>
          <w:t>Nigeria</w:t>
        </w:r>
      </w:hyperlink>
      <w:r w:rsidR="002205F3" w:rsidRPr="00C054FD">
        <w:rPr>
          <w:highlight w:val="lightGray"/>
        </w:rPr>
        <w:t> into Ireland on dates between September 2016 and June 2018 contrary to the Criminal Law (Human Trafficking) Act 2008.</w:t>
      </w:r>
    </w:p>
    <w:p w14:paraId="545FCBC9" w14:textId="6115858A" w:rsidR="00A00DEA" w:rsidRPr="00B27BB9" w:rsidRDefault="008A1F1D" w:rsidP="00A00DEA">
      <w:pPr>
        <w:pStyle w:val="SingleTxtG"/>
        <w:kinsoku/>
        <w:overflowPunct/>
        <w:autoSpaceDE/>
        <w:autoSpaceDN/>
        <w:adjustRightInd/>
        <w:snapToGrid/>
      </w:pPr>
      <w:r>
        <w:t>120</w:t>
      </w:r>
      <w:r w:rsidR="00A00DEA" w:rsidRPr="00B27BB9">
        <w:t>.</w:t>
      </w:r>
      <w:r w:rsidR="00A00DEA" w:rsidRPr="00B27BB9">
        <w:tab/>
      </w:r>
      <w:r w:rsidR="00A00DEA">
        <w:t xml:space="preserve">The Government </w:t>
      </w:r>
      <w:r w:rsidR="00A00DEA" w:rsidRPr="00B27BB9">
        <w:t>recogni</w:t>
      </w:r>
      <w:r w:rsidR="00A00DEA">
        <w:t>s</w:t>
      </w:r>
      <w:r w:rsidR="00A00DEA" w:rsidRPr="00B27BB9">
        <w:t xml:space="preserve">es </w:t>
      </w:r>
      <w:r w:rsidR="00A00DEA">
        <w:t>challenges with victims/</w:t>
      </w:r>
      <w:r w:rsidR="00A00DEA" w:rsidRPr="00B27BB9">
        <w:t>witnesses not supportin</w:t>
      </w:r>
      <w:r w:rsidR="00A00DEA">
        <w:t>g the criminal justice process and,</w:t>
      </w:r>
      <w:r w:rsidR="00A00DEA" w:rsidRPr="00B27BB9">
        <w:t xml:space="preserve"> in conjunction with </w:t>
      </w:r>
      <w:r w:rsidR="00A00DEA">
        <w:t>AGS and the</w:t>
      </w:r>
      <w:r w:rsidR="00A00DEA" w:rsidRPr="00B27BB9">
        <w:t xml:space="preserve"> </w:t>
      </w:r>
      <w:r w:rsidR="00A00DEA">
        <w:t xml:space="preserve">DPP, </w:t>
      </w:r>
      <w:r w:rsidR="00A00DEA" w:rsidRPr="00B27BB9">
        <w:t>are address</w:t>
      </w:r>
      <w:r w:rsidR="00A00DEA">
        <w:t>ing</w:t>
      </w:r>
      <w:r w:rsidR="00A00DEA" w:rsidRPr="00B27BB9">
        <w:t xml:space="preserve"> how best to ma</w:t>
      </w:r>
      <w:r w:rsidR="00A00DEA">
        <w:t>intain the wellbeing of victims/</w:t>
      </w:r>
      <w:r w:rsidR="00A00DEA" w:rsidRPr="00B27BB9">
        <w:t>witnesses throughout th</w:t>
      </w:r>
      <w:r w:rsidR="00A00DEA">
        <w:t>is process.</w:t>
      </w:r>
    </w:p>
    <w:p w14:paraId="7A19CF9C" w14:textId="11B0E231" w:rsidR="00A00DEA" w:rsidRPr="00002E53" w:rsidRDefault="008A1F1D" w:rsidP="00A00DEA">
      <w:pPr>
        <w:pStyle w:val="SingleTxtG"/>
        <w:kinsoku/>
        <w:overflowPunct/>
        <w:autoSpaceDE/>
        <w:autoSpaceDN/>
        <w:adjustRightInd/>
        <w:snapToGrid/>
      </w:pPr>
      <w:r>
        <w:t>121</w:t>
      </w:r>
      <w:r w:rsidR="00A00DEA" w:rsidRPr="00002E53">
        <w:t>.</w:t>
      </w:r>
      <w:r w:rsidR="00A00DEA" w:rsidRPr="00002E53">
        <w:tab/>
        <w:t xml:space="preserve">In May 2021, the Government approved plans for a revised National Referral Mechanism (NRM) to make it easier for victims of human trafficking to come forward and be supported, with a general scheme of a Bill to be drafted to put the new NRM on a statutory footing. The NRM provides a way </w:t>
      </w:r>
      <w:r w:rsidR="00A00DEA">
        <w:t>for all agencies to co-operate,</w:t>
      </w:r>
      <w:r w:rsidR="00A00DEA" w:rsidRPr="00002E53">
        <w:t xml:space="preserve"> identify victims and facilitate their access to accommodation and support</w:t>
      </w:r>
      <w:r w:rsidR="00A00DEA" w:rsidRPr="00002E53">
        <w:rPr>
          <w:strike/>
        </w:rPr>
        <w:t xml:space="preserve">. </w:t>
      </w:r>
    </w:p>
    <w:p w14:paraId="4B3E7B99" w14:textId="49E22A39" w:rsidR="00A00DEA" w:rsidRPr="00B27BB9" w:rsidRDefault="00A00DEA" w:rsidP="00A00DEA">
      <w:pPr>
        <w:pStyle w:val="SingleTxtG"/>
        <w:kinsoku/>
        <w:overflowPunct/>
        <w:autoSpaceDE/>
        <w:autoSpaceDN/>
        <w:adjustRightInd/>
        <w:snapToGrid/>
      </w:pPr>
      <w:r w:rsidRPr="00B27BB9">
        <w:t>1</w:t>
      </w:r>
      <w:r w:rsidR="008A1F1D">
        <w:t>22</w:t>
      </w:r>
      <w:r w:rsidRPr="00B27BB9">
        <w:t>.</w:t>
      </w:r>
      <w:r w:rsidRPr="00B27BB9">
        <w:tab/>
        <w:t>In regard to the “the 53 cases bought before th</w:t>
      </w:r>
      <w:r>
        <w:t>e courts between 2014 and 2017”</w:t>
      </w:r>
      <w:r w:rsidRPr="00B27BB9">
        <w:t xml:space="preserve"> in 2018, </w:t>
      </w:r>
      <w:r>
        <w:t>AGS</w:t>
      </w:r>
      <w:r w:rsidRPr="00B27BB9">
        <w:t xml:space="preserve"> changed the manner in which it </w:t>
      </w:r>
      <w:r>
        <w:t>reported trafficking-related statistics</w:t>
      </w:r>
      <w:r w:rsidRPr="00B27BB9">
        <w:t xml:space="preserve">. </w:t>
      </w:r>
      <w:r>
        <w:t>Until</w:t>
      </w:r>
      <w:r w:rsidRPr="00B27BB9">
        <w:t xml:space="preserve"> 2018</w:t>
      </w:r>
      <w:r>
        <w:t>,</w:t>
      </w:r>
      <w:r w:rsidRPr="00B27BB9">
        <w:t xml:space="preserve"> breaches of section 3(2), Child Trafficking and Pornography Act 1998, as amended by the Criminal Law (Human Trafficking) Act 2008, which relate to sexual exploitation of a child, had been included in statistics relating to </w:t>
      </w:r>
      <w:r>
        <w:t xml:space="preserve">incidents </w:t>
      </w:r>
      <w:r w:rsidRPr="00B27BB9">
        <w:t>of trafficking. However, the offences concerned do not include the ingredients of human trafficking and comparable offences in other jurisdictions and are not included in statistics r</w:t>
      </w:r>
      <w:r>
        <w:t xml:space="preserve">elevant to trafficking. </w:t>
      </w:r>
    </w:p>
    <w:p w14:paraId="37187406" w14:textId="60102817" w:rsidR="00A00DEA" w:rsidRDefault="00A00DEA" w:rsidP="00A00DEA">
      <w:pPr>
        <w:pStyle w:val="SingleTxtG"/>
        <w:kinsoku/>
        <w:overflowPunct/>
        <w:autoSpaceDE/>
        <w:autoSpaceDN/>
        <w:adjustRightInd/>
        <w:snapToGrid/>
      </w:pPr>
      <w:r>
        <w:t>1</w:t>
      </w:r>
      <w:r w:rsidR="008A1F1D">
        <w:t>23</w:t>
      </w:r>
      <w:r>
        <w:t>.</w:t>
      </w:r>
      <w:r>
        <w:tab/>
      </w:r>
      <w:r w:rsidRPr="00B27BB9">
        <w:t>With the removal of these offences the corrected number of charges for Human Trafficking offences between 01/01/2014 and 31/12/2017, is ele</w:t>
      </w:r>
      <w:r>
        <w:t>ven charges brought against th</w:t>
      </w:r>
      <w:r w:rsidRPr="00B27BB9">
        <w:t>ree persons. None of these charges concluded in a conviction.</w:t>
      </w:r>
    </w:p>
    <w:p w14:paraId="583F8981" w14:textId="77777777" w:rsidR="002205F3" w:rsidRPr="00C054FD" w:rsidRDefault="002205F3" w:rsidP="002205F3">
      <w:pPr>
        <w:pStyle w:val="NormalWeb"/>
        <w:ind w:left="1134" w:right="1133"/>
        <w:rPr>
          <w:color w:val="000000"/>
          <w:sz w:val="20"/>
          <w:szCs w:val="20"/>
          <w:highlight w:val="lightGray"/>
        </w:rPr>
      </w:pPr>
      <w:r w:rsidRPr="00C054FD">
        <w:rPr>
          <w:color w:val="000000"/>
          <w:sz w:val="20"/>
          <w:szCs w:val="20"/>
          <w:highlight w:val="lightGray"/>
        </w:rPr>
        <w:t>A search of the PULSE database was conducted on 4 April 2022 to identify any charge created since 1 January 2010 whereby an offence contrary to either the Illegal Immigrants (Trafficking) Act, 2000 or the Criminal Law (Human Trafficking) Act, 2008 was referenced.  The total number of unique charges created since 1 January 2012 to 31 December 2021 per legislative act is as follows:</w:t>
      </w:r>
    </w:p>
    <w:tbl>
      <w:tblPr>
        <w:tblStyle w:val="TableGrid"/>
        <w:tblW w:w="0" w:type="auto"/>
        <w:tblInd w:w="1129" w:type="dxa"/>
        <w:tblLook w:val="04A0" w:firstRow="1" w:lastRow="0" w:firstColumn="1" w:lastColumn="0" w:noHBand="0" w:noVBand="1"/>
      </w:tblPr>
      <w:tblGrid>
        <w:gridCol w:w="4148"/>
        <w:gridCol w:w="4148"/>
      </w:tblGrid>
      <w:tr w:rsidR="002205F3" w:rsidRPr="00C054FD" w14:paraId="6E2FC79A" w14:textId="77777777" w:rsidTr="00147393">
        <w:tc>
          <w:tcPr>
            <w:tcW w:w="4148" w:type="dxa"/>
          </w:tcPr>
          <w:p w14:paraId="27417882" w14:textId="77777777" w:rsidR="002205F3" w:rsidRPr="00C054FD" w:rsidRDefault="002205F3" w:rsidP="00147393">
            <w:pPr>
              <w:pStyle w:val="NormalWeb"/>
              <w:rPr>
                <w:color w:val="000000"/>
                <w:sz w:val="20"/>
                <w:szCs w:val="20"/>
                <w:highlight w:val="lightGray"/>
              </w:rPr>
            </w:pPr>
            <w:r w:rsidRPr="00C054FD">
              <w:rPr>
                <w:color w:val="000000"/>
                <w:sz w:val="20"/>
                <w:szCs w:val="20"/>
                <w:highlight w:val="lightGray"/>
              </w:rPr>
              <w:t>Legislative Act</w:t>
            </w:r>
          </w:p>
        </w:tc>
        <w:tc>
          <w:tcPr>
            <w:tcW w:w="4148" w:type="dxa"/>
          </w:tcPr>
          <w:p w14:paraId="15B8D0D2" w14:textId="77777777" w:rsidR="002205F3" w:rsidRPr="00C054FD" w:rsidRDefault="002205F3" w:rsidP="00147393">
            <w:pPr>
              <w:pStyle w:val="NormalWeb"/>
              <w:rPr>
                <w:color w:val="000000"/>
                <w:sz w:val="20"/>
                <w:szCs w:val="20"/>
                <w:highlight w:val="lightGray"/>
              </w:rPr>
            </w:pPr>
            <w:r w:rsidRPr="00C054FD">
              <w:rPr>
                <w:color w:val="000000"/>
                <w:sz w:val="20"/>
                <w:szCs w:val="20"/>
                <w:highlight w:val="lightGray"/>
              </w:rPr>
              <w:t>Total Charges</w:t>
            </w:r>
          </w:p>
        </w:tc>
      </w:tr>
      <w:tr w:rsidR="002205F3" w:rsidRPr="00C054FD" w14:paraId="43728677" w14:textId="77777777" w:rsidTr="00147393">
        <w:tc>
          <w:tcPr>
            <w:tcW w:w="4148" w:type="dxa"/>
            <w:vAlign w:val="center"/>
          </w:tcPr>
          <w:p w14:paraId="3A094B71" w14:textId="77777777" w:rsidR="002205F3" w:rsidRPr="00C054FD" w:rsidRDefault="002205F3" w:rsidP="00147393">
            <w:pPr>
              <w:spacing w:after="240"/>
              <w:rPr>
                <w:color w:val="000000"/>
                <w:highlight w:val="lightGray"/>
              </w:rPr>
            </w:pPr>
            <w:r w:rsidRPr="00C054FD">
              <w:rPr>
                <w:color w:val="000000"/>
                <w:highlight w:val="lightGray"/>
              </w:rPr>
              <w:t>Illegal Immigrants (Trafficking) Act, 2000</w:t>
            </w:r>
          </w:p>
        </w:tc>
        <w:tc>
          <w:tcPr>
            <w:tcW w:w="4148" w:type="dxa"/>
            <w:vAlign w:val="center"/>
          </w:tcPr>
          <w:p w14:paraId="11A0087E" w14:textId="77777777" w:rsidR="002205F3" w:rsidRPr="00C054FD" w:rsidRDefault="002205F3" w:rsidP="00147393">
            <w:pPr>
              <w:spacing w:after="240"/>
              <w:rPr>
                <w:color w:val="000000"/>
                <w:highlight w:val="lightGray"/>
              </w:rPr>
            </w:pPr>
            <w:r w:rsidRPr="00C054FD">
              <w:rPr>
                <w:color w:val="000000"/>
                <w:highlight w:val="lightGray"/>
              </w:rPr>
              <w:t>72</w:t>
            </w:r>
          </w:p>
        </w:tc>
      </w:tr>
      <w:tr w:rsidR="002205F3" w:rsidRPr="00C054FD" w14:paraId="6AAE36CA" w14:textId="77777777" w:rsidTr="00147393">
        <w:tc>
          <w:tcPr>
            <w:tcW w:w="4148" w:type="dxa"/>
            <w:vAlign w:val="center"/>
          </w:tcPr>
          <w:p w14:paraId="1B9D6204" w14:textId="77777777" w:rsidR="002205F3" w:rsidRPr="00C054FD" w:rsidRDefault="002205F3" w:rsidP="00147393">
            <w:pPr>
              <w:spacing w:after="240"/>
              <w:rPr>
                <w:color w:val="000000"/>
                <w:highlight w:val="lightGray"/>
              </w:rPr>
            </w:pPr>
            <w:r w:rsidRPr="00C054FD">
              <w:rPr>
                <w:color w:val="000000"/>
                <w:highlight w:val="lightGray"/>
              </w:rPr>
              <w:t>Criminal Law (Human Trafficking) Act, 2008</w:t>
            </w:r>
          </w:p>
        </w:tc>
        <w:tc>
          <w:tcPr>
            <w:tcW w:w="4148" w:type="dxa"/>
            <w:vAlign w:val="center"/>
          </w:tcPr>
          <w:p w14:paraId="7FC604AC" w14:textId="77777777" w:rsidR="002205F3" w:rsidRPr="00C054FD" w:rsidRDefault="002205F3" w:rsidP="00147393">
            <w:pPr>
              <w:spacing w:after="240"/>
              <w:rPr>
                <w:color w:val="000000"/>
                <w:highlight w:val="lightGray"/>
              </w:rPr>
            </w:pPr>
            <w:r w:rsidRPr="00C054FD">
              <w:rPr>
                <w:color w:val="000000"/>
                <w:highlight w:val="lightGray"/>
              </w:rPr>
              <w:t>122</w:t>
            </w:r>
          </w:p>
        </w:tc>
      </w:tr>
      <w:tr w:rsidR="002205F3" w:rsidRPr="00C054FD" w14:paraId="6B440062" w14:textId="77777777" w:rsidTr="00147393">
        <w:tc>
          <w:tcPr>
            <w:tcW w:w="4148" w:type="dxa"/>
            <w:vAlign w:val="center"/>
          </w:tcPr>
          <w:p w14:paraId="3878CA69" w14:textId="77777777" w:rsidR="002205F3" w:rsidRPr="00C054FD" w:rsidRDefault="002205F3" w:rsidP="00147393">
            <w:pPr>
              <w:spacing w:after="240"/>
              <w:rPr>
                <w:color w:val="000000"/>
                <w:highlight w:val="lightGray"/>
              </w:rPr>
            </w:pPr>
            <w:r w:rsidRPr="00C054FD">
              <w:rPr>
                <w:color w:val="000000"/>
                <w:highlight w:val="lightGray"/>
              </w:rPr>
              <w:t>Grand Total</w:t>
            </w:r>
          </w:p>
        </w:tc>
        <w:tc>
          <w:tcPr>
            <w:tcW w:w="4148" w:type="dxa"/>
            <w:vAlign w:val="center"/>
          </w:tcPr>
          <w:p w14:paraId="0CF9EE9F" w14:textId="77777777" w:rsidR="002205F3" w:rsidRPr="00C054FD" w:rsidRDefault="002205F3" w:rsidP="00147393">
            <w:pPr>
              <w:spacing w:after="240"/>
              <w:rPr>
                <w:color w:val="000000"/>
                <w:highlight w:val="lightGray"/>
              </w:rPr>
            </w:pPr>
            <w:r w:rsidRPr="00C054FD">
              <w:rPr>
                <w:color w:val="000000"/>
                <w:highlight w:val="lightGray"/>
              </w:rPr>
              <w:t>194</w:t>
            </w:r>
          </w:p>
        </w:tc>
      </w:tr>
    </w:tbl>
    <w:p w14:paraId="66DED65E" w14:textId="6A10E924" w:rsidR="002205F3" w:rsidRPr="00C054FD" w:rsidRDefault="002205F3" w:rsidP="00A00DEA">
      <w:pPr>
        <w:pStyle w:val="SingleTxtG"/>
        <w:kinsoku/>
        <w:overflowPunct/>
        <w:autoSpaceDE/>
        <w:autoSpaceDN/>
        <w:adjustRightInd/>
        <w:snapToGrid/>
        <w:rPr>
          <w:highlight w:val="lightGray"/>
        </w:rPr>
      </w:pPr>
    </w:p>
    <w:p w14:paraId="25CCFC45" w14:textId="7486AEDC" w:rsidR="002205F3" w:rsidRPr="00167D24" w:rsidRDefault="002205F3" w:rsidP="00167D24">
      <w:pPr>
        <w:pStyle w:val="NormalWeb"/>
        <w:ind w:left="1134" w:right="1133"/>
        <w:rPr>
          <w:color w:val="000000"/>
        </w:rPr>
      </w:pPr>
      <w:r w:rsidRPr="00C054FD">
        <w:rPr>
          <w:color w:val="000000"/>
          <w:sz w:val="20"/>
          <w:szCs w:val="20"/>
          <w:highlight w:val="lightGray"/>
        </w:rPr>
        <w:t>In addition to the above, there were 377 incidents of Human Trafficking Offences reported and investigated which either remain under investigation or in which charges under other legislation have been created to date.</w:t>
      </w:r>
    </w:p>
    <w:p w14:paraId="47A5E539" w14:textId="0434C70D" w:rsidR="00A00DEA" w:rsidRDefault="00116EDD" w:rsidP="00116EDD">
      <w:pPr>
        <w:pStyle w:val="H23G"/>
      </w:pPr>
      <w:r>
        <w:lastRenderedPageBreak/>
        <w:tab/>
      </w:r>
      <w:r>
        <w:tab/>
      </w:r>
      <w:r w:rsidR="00A00DEA">
        <w:t xml:space="preserve">Reply to paragraph 16 </w:t>
      </w:r>
    </w:p>
    <w:p w14:paraId="329889FC" w14:textId="6F098967" w:rsidR="00A00DEA" w:rsidRPr="00B27BB9" w:rsidRDefault="00A00DEA" w:rsidP="00A00DEA">
      <w:pPr>
        <w:pStyle w:val="SingleTxtG"/>
        <w:kinsoku/>
        <w:overflowPunct/>
        <w:autoSpaceDE/>
        <w:autoSpaceDN/>
        <w:adjustRightInd/>
        <w:snapToGrid/>
      </w:pPr>
      <w:r w:rsidRPr="00B27BB9">
        <w:t>1</w:t>
      </w:r>
      <w:r w:rsidR="008A1F1D">
        <w:t>24</w:t>
      </w:r>
      <w:r w:rsidRPr="00B27BB9">
        <w:t>.</w:t>
      </w:r>
      <w:r w:rsidRPr="00B27BB9">
        <w:tab/>
        <w:t xml:space="preserve">Consent to treatment for persons involuntarily detained in </w:t>
      </w:r>
      <w:r>
        <w:t>a</w:t>
      </w:r>
      <w:r w:rsidRPr="00B27BB9">
        <w:t xml:space="preserve"> centre is </w:t>
      </w:r>
      <w:r>
        <w:t>outlined</w:t>
      </w:r>
      <w:r w:rsidRPr="00B27BB9">
        <w:t xml:space="preserve"> in Part 4 of the Mental Health Act 2001. Section 57 of the 2001 Act sets out the limited cases where treatment can be given without the </w:t>
      </w:r>
      <w:r>
        <w:t xml:space="preserve">patient’s </w:t>
      </w:r>
      <w:r w:rsidRPr="00B27BB9">
        <w:t xml:space="preserve">consent. </w:t>
      </w:r>
    </w:p>
    <w:p w14:paraId="20F253DA" w14:textId="5BE91B5E" w:rsidR="00A00DEA" w:rsidRPr="00B27BB9" w:rsidRDefault="00A00DEA" w:rsidP="00A00DEA">
      <w:pPr>
        <w:pStyle w:val="SingleTxtG"/>
        <w:kinsoku/>
        <w:overflowPunct/>
        <w:autoSpaceDE/>
        <w:autoSpaceDN/>
        <w:adjustRightInd/>
        <w:snapToGrid/>
      </w:pPr>
      <w:r w:rsidRPr="00B27BB9">
        <w:t>1</w:t>
      </w:r>
      <w:r w:rsidR="008A1F1D">
        <w:t>25</w:t>
      </w:r>
      <w:r w:rsidRPr="00B27BB9">
        <w:t>.</w:t>
      </w:r>
      <w:r w:rsidRPr="00B27BB9">
        <w:tab/>
        <w:t xml:space="preserve">Sections 59(b) and 60(b) </w:t>
      </w:r>
      <w:r>
        <w:t>outline</w:t>
      </w:r>
      <w:r w:rsidRPr="00B27BB9">
        <w:t xml:space="preserve"> the conditions under which treatment can be given in the cases of electroconvulsive therapy and administration of medicine in cases where the patient </w:t>
      </w:r>
      <w:r>
        <w:t xml:space="preserve">cannot </w:t>
      </w:r>
      <w:r w:rsidRPr="00B27BB9">
        <w:t>consent. In the case of administering both types of treatment to patients who cannot consent, the authorisation of a second consultant psychiatrist must be granted following referral by the consultant ps</w:t>
      </w:r>
      <w:r>
        <w:t xml:space="preserve">ychiatrist responsible for the </w:t>
      </w:r>
      <w:r w:rsidRPr="00B27BB9">
        <w:t>patient</w:t>
      </w:r>
      <w:r>
        <w:t xml:space="preserve">. </w:t>
      </w:r>
      <w:r w:rsidRPr="00B27BB9">
        <w:t>.</w:t>
      </w:r>
    </w:p>
    <w:p w14:paraId="0B879ABB" w14:textId="18CBD52B" w:rsidR="00A00DEA" w:rsidRPr="004F5D01" w:rsidRDefault="00A00DEA" w:rsidP="00A00DEA">
      <w:pPr>
        <w:pStyle w:val="SingleTxtG"/>
        <w:kinsoku/>
        <w:overflowPunct/>
        <w:autoSpaceDE/>
        <w:autoSpaceDN/>
        <w:adjustRightInd/>
        <w:snapToGrid/>
      </w:pPr>
      <w:r w:rsidRPr="004F5D01">
        <w:t>1</w:t>
      </w:r>
      <w:r w:rsidR="008A1F1D">
        <w:t>26</w:t>
      </w:r>
      <w:r w:rsidRPr="004F5D01">
        <w:t>.</w:t>
      </w:r>
      <w:r w:rsidRPr="004F5D01">
        <w:tab/>
      </w:r>
      <w:r w:rsidRPr="00B27BB9">
        <w:t>The Mental Health (Amendment) Act 2015 amended sections 59(b) and 60(b) of the 2001 Act to remove ‘or unwilling’ in the provisions related to the continuation of electroconvulsive therapy and administration of medicine. The 2015 Act was commenced on 15 February 2016</w:t>
      </w:r>
      <w:r>
        <w:t>.</w:t>
      </w:r>
      <w:r w:rsidRPr="004F5D01">
        <w:rPr>
          <w:highlight w:val="yellow"/>
        </w:rPr>
        <w:t xml:space="preserve"> </w:t>
      </w:r>
    </w:p>
    <w:p w14:paraId="6C47A4D0" w14:textId="5EBD9B4D" w:rsidR="00A00DEA" w:rsidRDefault="00A00DEA" w:rsidP="00A00DEA">
      <w:pPr>
        <w:pStyle w:val="SingleTxtG"/>
        <w:kinsoku/>
        <w:overflowPunct/>
        <w:autoSpaceDE/>
        <w:autoSpaceDN/>
        <w:adjustRightInd/>
        <w:snapToGrid/>
      </w:pPr>
      <w:r>
        <w:t>1</w:t>
      </w:r>
      <w:r w:rsidR="008A1F1D">
        <w:t>27</w:t>
      </w:r>
      <w:r>
        <w:t>.</w:t>
      </w:r>
      <w:r>
        <w:tab/>
      </w:r>
      <w:r w:rsidRPr="00637436">
        <w:t xml:space="preserve">In July 2021, the Government approved heads of a bill to amend the Mental Health Act 2001, including a complete overhaul of Part 4 of the 2001 Act, generally in line with the recommendations of a 2015 Expert Group Review on the Act and aligned with the principles of the Assisted Decision-Making (Capacity) Act 2015.  </w:t>
      </w:r>
    </w:p>
    <w:p w14:paraId="02D2CA8E" w14:textId="2AFBBA28" w:rsidR="00A00DEA" w:rsidRPr="00B27BB9" w:rsidRDefault="00A00DEA" w:rsidP="00A00DEA">
      <w:pPr>
        <w:pStyle w:val="SingleTxtG"/>
        <w:kinsoku/>
        <w:overflowPunct/>
        <w:autoSpaceDE/>
        <w:autoSpaceDN/>
        <w:adjustRightInd/>
        <w:snapToGrid/>
      </w:pPr>
      <w:r w:rsidRPr="00B27BB9">
        <w:t>1</w:t>
      </w:r>
      <w:r w:rsidR="008A1F1D">
        <w:t>28</w:t>
      </w:r>
      <w:r w:rsidRPr="00B27BB9">
        <w:t>.</w:t>
      </w:r>
      <w:r w:rsidRPr="00B27BB9">
        <w:tab/>
        <w:t>The 2015</w:t>
      </w:r>
      <w:r>
        <w:t xml:space="preserve"> Act</w:t>
      </w:r>
      <w:r w:rsidRPr="00B27BB9">
        <w:t xml:space="preserve"> provides a statutory framework to support decision-making by adul</w:t>
      </w:r>
      <w:r>
        <w:t xml:space="preserve">ts with capacity difficulties. </w:t>
      </w:r>
      <w:r w:rsidRPr="00B27BB9">
        <w:t>It provides for the end of the wardship system and the establishment of a new Decision Support Service (DSS).  Features of th</w:t>
      </w:r>
      <w:r>
        <w:t>is</w:t>
      </w:r>
      <w:r w:rsidRPr="00B27BB9">
        <w:t xml:space="preserve"> Act include:</w:t>
      </w:r>
    </w:p>
    <w:p w14:paraId="6BB149BA" w14:textId="5C2083C6" w:rsidR="00A00DEA" w:rsidRPr="00A00DEA" w:rsidRDefault="00A00DEA" w:rsidP="00116EDD">
      <w:pPr>
        <w:pStyle w:val="Bullet1G"/>
      </w:pPr>
      <w:r w:rsidRPr="00A00DEA">
        <w:t>Presumption that a person has capacity to make a decision unless it is shown otherwise.</w:t>
      </w:r>
    </w:p>
    <w:p w14:paraId="0B6661DB" w14:textId="5BF1CABD" w:rsidR="00A00DEA" w:rsidRPr="00A00DEA" w:rsidRDefault="00A00DEA" w:rsidP="00116EDD">
      <w:pPr>
        <w:pStyle w:val="Bullet1G"/>
      </w:pPr>
      <w:r w:rsidRPr="00A00DEA">
        <w:t>Provision for five decision supporters – a Decision-Making Assistant, a Co-Decision-Maker, a Decision-Making Representative, an attorney in relation to an Enduring Power of Attorney, and a healthcare representative in relation to an Advance Healthcare Directive (ADH).</w:t>
      </w:r>
    </w:p>
    <w:p w14:paraId="71C4CDB8" w14:textId="7FD887AF" w:rsidR="00A00DEA" w:rsidRPr="00A00DEA" w:rsidRDefault="00A00DEA" w:rsidP="00116EDD">
      <w:pPr>
        <w:pStyle w:val="Bullet1G"/>
      </w:pPr>
      <w:r w:rsidRPr="00A00DEA">
        <w:t>Where a person does not have the capacity to make a particular decision alone, their capacity is assessed in relation to that decision.  Service providers must enable a person to make their decision by supports appropriate to their capacity to make that decision.</w:t>
      </w:r>
    </w:p>
    <w:p w14:paraId="261510C5" w14:textId="404E1AE3" w:rsidR="00A00DEA" w:rsidRPr="00A00DEA" w:rsidRDefault="00A00DEA" w:rsidP="00116EDD">
      <w:pPr>
        <w:pStyle w:val="Bullet1G"/>
      </w:pPr>
      <w:r w:rsidRPr="00A00DEA">
        <w:t>A legal framework for making ADHs.</w:t>
      </w:r>
    </w:p>
    <w:p w14:paraId="11311209" w14:textId="16215A90" w:rsidR="00A00DEA" w:rsidRPr="004F5D01" w:rsidRDefault="00A00DEA" w:rsidP="00A00DEA">
      <w:pPr>
        <w:pStyle w:val="SingleTxtG"/>
        <w:kinsoku/>
        <w:overflowPunct/>
        <w:autoSpaceDE/>
        <w:autoSpaceDN/>
        <w:adjustRightInd/>
        <w:snapToGrid/>
      </w:pPr>
      <w:r w:rsidRPr="004F5D01">
        <w:t>1</w:t>
      </w:r>
      <w:r w:rsidR="008A1F1D">
        <w:t>29</w:t>
      </w:r>
      <w:r w:rsidRPr="004F5D01">
        <w:t>.</w:t>
      </w:r>
      <w:r w:rsidRPr="004F5D01">
        <w:tab/>
      </w:r>
      <w:r w:rsidRPr="00B27BB9">
        <w:t>Th</w:t>
      </w:r>
      <w:r>
        <w:t>is</w:t>
      </w:r>
      <w:r w:rsidRPr="00B27BB9">
        <w:t xml:space="preserve"> Act was signed into law on 30 December 2015 but has not been fully commenced.  An amendment bill is needed to clarify technical issues with the 2015 Act</w:t>
      </w:r>
      <w:r>
        <w:t xml:space="preserve">. </w:t>
      </w:r>
      <w:r w:rsidRPr="00B27BB9">
        <w:t>The amendment bill is due to be enacted by the end of 2021 with full commencement by June 2022.</w:t>
      </w:r>
    </w:p>
    <w:p w14:paraId="30386864" w14:textId="6A0C543F" w:rsidR="00A00DEA" w:rsidRDefault="00116EDD" w:rsidP="00116EDD">
      <w:pPr>
        <w:pStyle w:val="H23G"/>
      </w:pPr>
      <w:r>
        <w:tab/>
      </w:r>
      <w:r>
        <w:tab/>
      </w:r>
      <w:r w:rsidR="00A00DEA">
        <w:t xml:space="preserve">Reply to paragraph 17(a) </w:t>
      </w:r>
    </w:p>
    <w:p w14:paraId="2E4511F6" w14:textId="189C0B79" w:rsidR="00A00DEA" w:rsidRDefault="00A00DEA" w:rsidP="00A00DEA">
      <w:pPr>
        <w:pStyle w:val="SingleTxtG"/>
        <w:kinsoku/>
        <w:overflowPunct/>
        <w:autoSpaceDE/>
        <w:autoSpaceDN/>
        <w:adjustRightInd/>
        <w:snapToGrid/>
      </w:pPr>
      <w:r>
        <w:t>1</w:t>
      </w:r>
      <w:r w:rsidR="008A1F1D">
        <w:t>30</w:t>
      </w:r>
      <w:r>
        <w:t>.</w:t>
      </w:r>
      <w:r>
        <w:tab/>
      </w:r>
      <w:r w:rsidRPr="00B27BB9">
        <w:t>Prison Governors are</w:t>
      </w:r>
      <w:r>
        <w:t xml:space="preserve"> </w:t>
      </w:r>
      <w:r w:rsidRPr="00B27BB9">
        <w:t xml:space="preserve">required to admit into custody all prisoners committed to prison by the Courts. The </w:t>
      </w:r>
      <w:r>
        <w:t>IPS</w:t>
      </w:r>
      <w:r w:rsidRPr="00B27BB9">
        <w:t xml:space="preserve"> continue</w:t>
      </w:r>
      <w:r>
        <w:t>s</w:t>
      </w:r>
      <w:r w:rsidRPr="00B27BB9">
        <w:t xml:space="preserve"> to manage </w:t>
      </w:r>
      <w:r>
        <w:t xml:space="preserve">prison overcrowding </w:t>
      </w:r>
      <w:r w:rsidRPr="00B27BB9">
        <w:t>issues by</w:t>
      </w:r>
      <w:r>
        <w:t xml:space="preserve"> </w:t>
      </w:r>
      <w:r w:rsidRPr="00B27BB9">
        <w:t>identifying</w:t>
      </w:r>
      <w:r>
        <w:t xml:space="preserve"> potentially suitable</w:t>
      </w:r>
      <w:r w:rsidRPr="00B27BB9">
        <w:t xml:space="preserve"> prisoners for structured early temporary release </w:t>
      </w:r>
      <w:r>
        <w:t xml:space="preserve">or </w:t>
      </w:r>
      <w:r w:rsidRPr="00B27BB9">
        <w:t>by</w:t>
      </w:r>
      <w:r>
        <w:t xml:space="preserve"> </w:t>
      </w:r>
      <w:r w:rsidRPr="00B27BB9">
        <w:t xml:space="preserve">transfer to other prisons, </w:t>
      </w:r>
      <w:proofErr w:type="gramStart"/>
      <w:r w:rsidRPr="00B27BB9">
        <w:t>in order to</w:t>
      </w:r>
      <w:proofErr w:type="gramEnd"/>
      <w:r w:rsidRPr="00B27BB9">
        <w:t xml:space="preserve"> re</w:t>
      </w:r>
      <w:r>
        <w:t>duce prison numbers and improve</w:t>
      </w:r>
      <w:r w:rsidRPr="00B27BB9">
        <w:t xml:space="preserve"> conditions</w:t>
      </w:r>
      <w:r>
        <w:t>.</w:t>
      </w:r>
    </w:p>
    <w:p w14:paraId="2ACEC50A" w14:textId="6C5D8602" w:rsidR="00A00DEA" w:rsidRPr="00B27BB9" w:rsidRDefault="00A00DEA" w:rsidP="00A00DEA">
      <w:pPr>
        <w:pStyle w:val="SingleTxtG"/>
        <w:kinsoku/>
        <w:overflowPunct/>
        <w:autoSpaceDE/>
        <w:autoSpaceDN/>
        <w:adjustRightInd/>
        <w:snapToGrid/>
      </w:pPr>
      <w:r w:rsidRPr="00C054FD">
        <w:rPr>
          <w:highlight w:val="lightGray"/>
        </w:rPr>
        <w:t>1</w:t>
      </w:r>
      <w:r w:rsidR="008A1F1D" w:rsidRPr="00C054FD">
        <w:rPr>
          <w:highlight w:val="lightGray"/>
        </w:rPr>
        <w:t>31</w:t>
      </w:r>
      <w:r w:rsidRPr="00B27BB9">
        <w:t>.</w:t>
      </w:r>
      <w:r w:rsidRPr="00B27BB9">
        <w:tab/>
      </w:r>
      <w:r w:rsidR="002205F3" w:rsidRPr="00C054FD">
        <w:rPr>
          <w:highlight w:val="lightGray"/>
        </w:rPr>
        <w:t>As of 7 May 2022, the prison population was 4,043.</w:t>
      </w:r>
      <w:r w:rsidR="002205F3" w:rsidRPr="00B27BB9">
        <w:t xml:space="preserve"> </w:t>
      </w:r>
      <w:r>
        <w:t xml:space="preserve"> </w:t>
      </w:r>
    </w:p>
    <w:p w14:paraId="5969CCB9" w14:textId="22F7B331" w:rsidR="00A00DEA" w:rsidRPr="00B27BB9" w:rsidRDefault="00A00DEA" w:rsidP="00A00DEA">
      <w:pPr>
        <w:pStyle w:val="SingleTxtG"/>
        <w:kinsoku/>
        <w:overflowPunct/>
        <w:autoSpaceDE/>
        <w:autoSpaceDN/>
        <w:adjustRightInd/>
        <w:snapToGrid/>
      </w:pPr>
      <w:r w:rsidRPr="00B27BB9">
        <w:t>1</w:t>
      </w:r>
      <w:r w:rsidR="008A1F1D">
        <w:t>32</w:t>
      </w:r>
      <w:r w:rsidRPr="00B27BB9">
        <w:t>.</w:t>
      </w:r>
      <w:r w:rsidRPr="00B27BB9">
        <w:tab/>
      </w:r>
      <w:r w:rsidR="002205F3">
        <w:t xml:space="preserve">In September 2020, the Department of Justice </w:t>
      </w:r>
      <w:r w:rsidR="002205F3" w:rsidRPr="00B27BB9">
        <w:t>established a working group to conduct a review of policy options for pr</w:t>
      </w:r>
      <w:r w:rsidR="002205F3">
        <w:t xml:space="preserve">isons and penal reform. </w:t>
      </w:r>
      <w:r w:rsidR="002205F3" w:rsidRPr="00B27BB9">
        <w:t>An Action Plan incorporating prison and penal reform initiatives for the period 202</w:t>
      </w:r>
      <w:r w:rsidR="002205F3">
        <w:t>2</w:t>
      </w:r>
      <w:r w:rsidR="002205F3" w:rsidRPr="00B27BB9">
        <w:t>-202</w:t>
      </w:r>
      <w:r w:rsidR="002205F3">
        <w:t>4</w:t>
      </w:r>
      <w:r w:rsidR="002205F3" w:rsidRPr="00B27BB9">
        <w:t xml:space="preserve"> </w:t>
      </w:r>
      <w:r w:rsidR="002205F3" w:rsidRPr="00C054FD">
        <w:rPr>
          <w:highlight w:val="lightGray"/>
        </w:rPr>
        <w:t>will be published shortly</w:t>
      </w:r>
      <w:r w:rsidR="002205F3">
        <w:t xml:space="preserve">. </w:t>
      </w:r>
      <w:r w:rsidR="002205F3" w:rsidRPr="00B27BB9">
        <w:t xml:space="preserve">The development and expansion of </w:t>
      </w:r>
      <w:r w:rsidR="002205F3">
        <w:t>a range of community sanctions is a key objective.</w:t>
      </w:r>
    </w:p>
    <w:p w14:paraId="4ADFC8F9" w14:textId="78A359F7" w:rsidR="00A00DEA" w:rsidRPr="00C679F1" w:rsidRDefault="00A00DEA" w:rsidP="00A00DEA">
      <w:pPr>
        <w:pStyle w:val="SingleTxtG"/>
        <w:kinsoku/>
        <w:overflowPunct/>
        <w:autoSpaceDE/>
        <w:autoSpaceDN/>
        <w:adjustRightInd/>
        <w:snapToGrid/>
      </w:pPr>
      <w:r w:rsidRPr="00C679F1">
        <w:t>1</w:t>
      </w:r>
      <w:r w:rsidR="008A1F1D">
        <w:t>33</w:t>
      </w:r>
      <w:r w:rsidRPr="00C679F1">
        <w:t>.</w:t>
      </w:r>
      <w:r w:rsidRPr="00C679F1">
        <w:tab/>
      </w:r>
      <w:r>
        <w:t xml:space="preserve">The review </w:t>
      </w:r>
      <w:r w:rsidRPr="00B27BB9">
        <w:t xml:space="preserve">concluded that the principle of imprisonment as a sanction of last resort </w:t>
      </w:r>
      <w:r>
        <w:t>and a presumption against the imposition of custodial sentences of less than 12 months for individuals who do not pose a serious risk to the community</w:t>
      </w:r>
      <w:r w:rsidRPr="00B27BB9">
        <w:t xml:space="preserve"> should be incorporated into statute</w:t>
      </w:r>
      <w:r>
        <w:t xml:space="preserve">. </w:t>
      </w:r>
      <w:r w:rsidR="002205F3">
        <w:t>This is currently being examined in the revision</w:t>
      </w:r>
      <w:r w:rsidR="002205F3" w:rsidRPr="001B5A73">
        <w:t xml:space="preserve"> of</w:t>
      </w:r>
      <w:r w:rsidR="002205F3">
        <w:t xml:space="preserve"> the</w:t>
      </w:r>
      <w:r w:rsidR="002205F3" w:rsidRPr="001B5A73">
        <w:t xml:space="preserve"> Criminal Justice </w:t>
      </w:r>
      <w:r w:rsidR="002205F3">
        <w:t xml:space="preserve">(Community Sanctions) Bill 2014 </w:t>
      </w:r>
      <w:r w:rsidR="002205F3" w:rsidRPr="00C054FD">
        <w:rPr>
          <w:highlight w:val="lightGray"/>
        </w:rPr>
        <w:t>which is due to be completed in the second quarter of this year.</w:t>
      </w:r>
    </w:p>
    <w:p w14:paraId="062DC44A" w14:textId="23B20DB2" w:rsidR="00A00DEA" w:rsidRPr="00B27BB9" w:rsidRDefault="00A00DEA" w:rsidP="00A00DEA">
      <w:pPr>
        <w:pStyle w:val="SingleTxtG"/>
        <w:kinsoku/>
        <w:overflowPunct/>
        <w:autoSpaceDE/>
        <w:autoSpaceDN/>
        <w:adjustRightInd/>
        <w:snapToGrid/>
      </w:pPr>
      <w:r w:rsidRPr="00B27BB9">
        <w:lastRenderedPageBreak/>
        <w:t>1</w:t>
      </w:r>
      <w:r w:rsidR="008A1F1D">
        <w:t>34</w:t>
      </w:r>
      <w:r w:rsidRPr="00B27BB9">
        <w:t>.</w:t>
      </w:r>
      <w:r w:rsidRPr="00B27BB9">
        <w:tab/>
        <w:t xml:space="preserve">The Prison Service’s Capital Strategy 2016-2021 outlines plans for the replacement of the accommodation in Limerick and Portlaoise prisons as well as improvements across other prisons. </w:t>
      </w:r>
      <w:r w:rsidRPr="00167D24">
        <w:t xml:space="preserve">On completion of these projects, “slopping out” will be completely eliminated.  </w:t>
      </w:r>
    </w:p>
    <w:p w14:paraId="6410C6E2" w14:textId="4D0BEEEE" w:rsidR="00A00DEA" w:rsidRPr="00B27BB9" w:rsidRDefault="00116EDD" w:rsidP="00116EDD">
      <w:pPr>
        <w:pStyle w:val="H23G"/>
      </w:pPr>
      <w:r>
        <w:tab/>
      </w:r>
      <w:r>
        <w:tab/>
      </w:r>
      <w:r w:rsidR="00A00DEA">
        <w:t xml:space="preserve">Reply to paragraph 17(b) </w:t>
      </w:r>
      <w:r w:rsidR="00A00DEA" w:rsidRPr="00B27BB9">
        <w:t xml:space="preserve"> </w:t>
      </w:r>
    </w:p>
    <w:p w14:paraId="1892D5E1" w14:textId="00C43AF0" w:rsidR="00A00DEA" w:rsidRPr="00AC6999" w:rsidRDefault="00A00DEA" w:rsidP="00A00DEA">
      <w:pPr>
        <w:pStyle w:val="SingleTxtG"/>
        <w:kinsoku/>
        <w:overflowPunct/>
        <w:autoSpaceDE/>
        <w:autoSpaceDN/>
        <w:adjustRightInd/>
        <w:snapToGrid/>
        <w:rPr>
          <w:i/>
        </w:rPr>
      </w:pPr>
      <w:r w:rsidRPr="00AC6999">
        <w:t>1</w:t>
      </w:r>
      <w:r w:rsidR="008A1F1D">
        <w:t>35</w:t>
      </w:r>
      <w:r w:rsidRPr="00AC6999">
        <w:t>.</w:t>
      </w:r>
      <w:r w:rsidRPr="00AC6999">
        <w:tab/>
      </w:r>
      <w:r w:rsidRPr="00B27BB9">
        <w:t>Rule 71 of the 2007 Prison Rules refers to Sep</w:t>
      </w:r>
      <w:r>
        <w:t xml:space="preserve">arate Accommodation and states: </w:t>
      </w:r>
      <w:r w:rsidRPr="002B1F19">
        <w:rPr>
          <w:i/>
        </w:rPr>
        <w:t>'</w:t>
      </w:r>
      <w:proofErr w:type="spellStart"/>
      <w:r w:rsidRPr="002B1F19">
        <w:rPr>
          <w:i/>
        </w:rPr>
        <w:t>Unconvicted</w:t>
      </w:r>
      <w:proofErr w:type="spellEnd"/>
      <w:r w:rsidRPr="002B1F19">
        <w:rPr>
          <w:i/>
        </w:rPr>
        <w:t xml:space="preserve"> prisoners shall, in so far as is practicable and subject to the maintenance of good order and safe and secure custody, be accommodated in areas that are separate from those in which convicted prisoners are accommodated or to which convicted prisoners have access, and convicted prisoners shall, as far as is practicable, not be permitted access to areas to which </w:t>
      </w:r>
      <w:proofErr w:type="spellStart"/>
      <w:r w:rsidRPr="002B1F19">
        <w:rPr>
          <w:i/>
        </w:rPr>
        <w:t>unconvicted</w:t>
      </w:r>
      <w:proofErr w:type="spellEnd"/>
      <w:r w:rsidRPr="002B1F19">
        <w:rPr>
          <w:i/>
        </w:rPr>
        <w:t xml:space="preserve"> prisoners have access at those times when </w:t>
      </w:r>
      <w:proofErr w:type="spellStart"/>
      <w:r w:rsidRPr="002B1F19">
        <w:rPr>
          <w:i/>
        </w:rPr>
        <w:t>unconvict</w:t>
      </w:r>
      <w:r>
        <w:rPr>
          <w:i/>
        </w:rPr>
        <w:t>ed</w:t>
      </w:r>
      <w:proofErr w:type="spellEnd"/>
      <w:r>
        <w:rPr>
          <w:i/>
        </w:rPr>
        <w:t xml:space="preserve"> prisoners have such access.’</w:t>
      </w:r>
    </w:p>
    <w:p w14:paraId="5423DB80" w14:textId="0315B16E" w:rsidR="00A00DEA" w:rsidRPr="003C6DD9" w:rsidRDefault="00A00DEA" w:rsidP="00A00DEA">
      <w:pPr>
        <w:pStyle w:val="SingleTxtG"/>
        <w:kinsoku/>
        <w:overflowPunct/>
        <w:autoSpaceDE/>
        <w:autoSpaceDN/>
        <w:adjustRightInd/>
        <w:snapToGrid/>
      </w:pPr>
      <w:r w:rsidRPr="003C6DD9">
        <w:t>1</w:t>
      </w:r>
      <w:r w:rsidR="008A1F1D">
        <w:t>36</w:t>
      </w:r>
      <w:r w:rsidRPr="003C6DD9">
        <w:t>.</w:t>
      </w:r>
      <w:r w:rsidRPr="003C6DD9">
        <w:tab/>
      </w:r>
      <w:proofErr w:type="spellStart"/>
      <w:r>
        <w:t>Cloverhill</w:t>
      </w:r>
      <w:proofErr w:type="spellEnd"/>
      <w:r>
        <w:t xml:space="preserve"> Prison</w:t>
      </w:r>
      <w:r w:rsidRPr="002B1F19">
        <w:t xml:space="preserve"> </w:t>
      </w:r>
      <w:r>
        <w:t>is the only dedicated remand prison.</w:t>
      </w:r>
      <w:r w:rsidRPr="002B1F19">
        <w:t xml:space="preserve"> Whilst every effort is taken by prison management to minimise the accommodation of remand and sentenced prisoners </w:t>
      </w:r>
      <w:r>
        <w:t xml:space="preserve">together </w:t>
      </w:r>
      <w:r w:rsidRPr="002B1F19">
        <w:t xml:space="preserve">it is not always possible to guarantee same. </w:t>
      </w:r>
    </w:p>
    <w:p w14:paraId="78901A1C" w14:textId="679CE7B3" w:rsidR="00A00DEA" w:rsidRDefault="00116EDD" w:rsidP="00116EDD">
      <w:pPr>
        <w:pStyle w:val="H23G"/>
      </w:pPr>
      <w:r>
        <w:tab/>
      </w:r>
      <w:r>
        <w:tab/>
      </w:r>
      <w:r w:rsidR="00A00DEA">
        <w:t xml:space="preserve">Reply to paragraph 17(c) </w:t>
      </w:r>
    </w:p>
    <w:p w14:paraId="709E22B9" w14:textId="515D0874" w:rsidR="00A00DEA" w:rsidRPr="002B1F19" w:rsidRDefault="00A00DEA" w:rsidP="00A00DEA">
      <w:pPr>
        <w:pStyle w:val="SingleTxtG"/>
        <w:kinsoku/>
        <w:overflowPunct/>
        <w:autoSpaceDE/>
        <w:autoSpaceDN/>
        <w:adjustRightInd/>
        <w:snapToGrid/>
      </w:pPr>
      <w:r w:rsidRPr="002B1F19">
        <w:t>1</w:t>
      </w:r>
      <w:r w:rsidR="008A1F1D">
        <w:t>37</w:t>
      </w:r>
      <w:r w:rsidRPr="002B1F19">
        <w:t>.</w:t>
      </w:r>
      <w:r w:rsidRPr="002B1F19">
        <w:tab/>
        <w:t xml:space="preserve">The National Violence Reduction Unit (NVRU) has been operating in </w:t>
      </w:r>
      <w:r>
        <w:t>Portlaoise</w:t>
      </w:r>
      <w:r w:rsidRPr="002B1F19">
        <w:t xml:space="preserve"> Pri</w:t>
      </w:r>
      <w:r>
        <w:t xml:space="preserve">son since November 2018.  It is </w:t>
      </w:r>
      <w:r w:rsidRPr="002B1F19">
        <w:t>m</w:t>
      </w:r>
      <w:r>
        <w:t xml:space="preserve">anaged by an Assistant Governor and Senior Psychologist. </w:t>
      </w:r>
      <w:r w:rsidRPr="002B1F19">
        <w:t xml:space="preserve">The NVRU </w:t>
      </w:r>
      <w:r>
        <w:t>provides</w:t>
      </w:r>
      <w:r w:rsidRPr="002B1F19">
        <w:t xml:space="preserve"> an enhanced, psychologically informed service to those in custody who were typically being managed through a regime of ‘barrier handling’ and regular transfer between prisons due to their levels of violence in custody.  </w:t>
      </w:r>
      <w:r w:rsidR="002205F3" w:rsidRPr="00C054FD">
        <w:rPr>
          <w:highlight w:val="lightGray"/>
        </w:rPr>
        <w:t xml:space="preserve">As of </w:t>
      </w:r>
      <w:proofErr w:type="gramStart"/>
      <w:r w:rsidR="002205F3" w:rsidRPr="00C054FD">
        <w:rPr>
          <w:highlight w:val="lightGray"/>
        </w:rPr>
        <w:t>May 2022</w:t>
      </w:r>
      <w:proofErr w:type="gramEnd"/>
      <w:r w:rsidR="002205F3" w:rsidRPr="00C054FD">
        <w:rPr>
          <w:highlight w:val="lightGray"/>
        </w:rPr>
        <w:t xml:space="preserve"> there were 6 people in the NVRU for intervention.</w:t>
      </w:r>
    </w:p>
    <w:p w14:paraId="0E838AC1" w14:textId="69C7242F" w:rsidR="00A00DEA" w:rsidRPr="002B1F19" w:rsidRDefault="00116EDD" w:rsidP="00116EDD">
      <w:pPr>
        <w:pStyle w:val="H4G"/>
      </w:pPr>
      <w:r>
        <w:tab/>
      </w:r>
      <w:r>
        <w:tab/>
      </w:r>
      <w:r w:rsidR="00A00DEA" w:rsidRPr="002B1F19">
        <w:t>Overview of P19 (disciplinary sanction) Data - 2 y</w:t>
      </w:r>
      <w:r w:rsidR="00A00DEA">
        <w:t>ear pre/</w:t>
      </w:r>
      <w:r w:rsidR="00A00DEA" w:rsidRPr="002B1F19">
        <w:t>post NVRU</w:t>
      </w:r>
    </w:p>
    <w:p w14:paraId="2CDC6BA0" w14:textId="77777777" w:rsidR="002205F3" w:rsidRPr="00AC6999" w:rsidRDefault="002205F3" w:rsidP="002205F3">
      <w:pPr>
        <w:pStyle w:val="SingleTxtG"/>
      </w:pPr>
      <w:r>
        <w:t>(</w:t>
      </w:r>
      <w:r w:rsidRPr="002B1F19">
        <w:t>This is preliminary data and includes people in custody who have been residing on the NVRU</w:t>
      </w:r>
      <w:r>
        <w:t xml:space="preserve"> for less than two years. </w:t>
      </w:r>
      <w:r w:rsidRPr="00C054FD">
        <w:rPr>
          <w:highlight w:val="lightGray"/>
        </w:rPr>
        <w:t>In reviewing this data please note that two of the prisoners currently on the NVRU are only on it a few weeks/months so this is likely to skew the figures towards the high percentage change.</w:t>
      </w:r>
      <w:r>
        <w:t>)    </w:t>
      </w:r>
    </w:p>
    <w:tbl>
      <w:tblPr>
        <w:tblW w:w="7370" w:type="dxa"/>
        <w:tblInd w:w="1134" w:type="dxa"/>
        <w:tblLayout w:type="fixed"/>
        <w:tblCellMar>
          <w:left w:w="0" w:type="dxa"/>
          <w:right w:w="0" w:type="dxa"/>
        </w:tblCellMar>
        <w:tblLook w:val="04A0" w:firstRow="1" w:lastRow="0" w:firstColumn="1" w:lastColumn="0" w:noHBand="0" w:noVBand="1"/>
      </w:tblPr>
      <w:tblGrid>
        <w:gridCol w:w="2720"/>
        <w:gridCol w:w="1604"/>
        <w:gridCol w:w="1763"/>
        <w:gridCol w:w="1283"/>
      </w:tblGrid>
      <w:tr w:rsidR="002205F3" w:rsidRPr="00116EDD" w14:paraId="5341BF98" w14:textId="77777777" w:rsidTr="00147393">
        <w:trPr>
          <w:tblHeader/>
        </w:trPr>
        <w:tc>
          <w:tcPr>
            <w:tcW w:w="2720" w:type="dxa"/>
            <w:tcBorders>
              <w:top w:val="single" w:sz="4" w:space="0" w:color="auto"/>
              <w:bottom w:val="single" w:sz="12" w:space="0" w:color="auto"/>
            </w:tcBorders>
            <w:shd w:val="clear" w:color="auto" w:fill="auto"/>
            <w:vAlign w:val="bottom"/>
          </w:tcPr>
          <w:p w14:paraId="3A4D8AFD" w14:textId="77777777" w:rsidR="002205F3" w:rsidRPr="00116EDD" w:rsidRDefault="002205F3" w:rsidP="00147393">
            <w:pPr>
              <w:suppressAutoHyphens w:val="0"/>
              <w:spacing w:before="80" w:after="80" w:line="200" w:lineRule="exact"/>
              <w:rPr>
                <w:i/>
                <w:sz w:val="16"/>
              </w:rPr>
            </w:pPr>
          </w:p>
        </w:tc>
        <w:tc>
          <w:tcPr>
            <w:tcW w:w="1604" w:type="dxa"/>
            <w:tcBorders>
              <w:top w:val="single" w:sz="4" w:space="0" w:color="auto"/>
              <w:bottom w:val="single" w:sz="12" w:space="0" w:color="auto"/>
            </w:tcBorders>
            <w:shd w:val="clear" w:color="auto" w:fill="auto"/>
            <w:vAlign w:val="bottom"/>
          </w:tcPr>
          <w:p w14:paraId="4BD9D6B0" w14:textId="3F47A025" w:rsidR="002205F3" w:rsidRPr="00C054FD" w:rsidRDefault="002205F3" w:rsidP="00AD0BD5">
            <w:pPr>
              <w:suppressAutoHyphens w:val="0"/>
              <w:spacing w:before="80" w:after="80" w:line="200" w:lineRule="exact"/>
              <w:jc w:val="center"/>
              <w:rPr>
                <w:i/>
                <w:sz w:val="16"/>
                <w:highlight w:val="lightGray"/>
              </w:rPr>
            </w:pPr>
            <w:r w:rsidRPr="00C054FD">
              <w:rPr>
                <w:i/>
                <w:sz w:val="16"/>
                <w:highlight w:val="lightGray"/>
              </w:rPr>
              <w:t xml:space="preserve">2 </w:t>
            </w:r>
            <w:proofErr w:type="spellStart"/>
            <w:r w:rsidRPr="00C054FD">
              <w:rPr>
                <w:i/>
                <w:sz w:val="16"/>
                <w:highlight w:val="lightGray"/>
              </w:rPr>
              <w:t>Yr</w:t>
            </w:r>
            <w:proofErr w:type="spellEnd"/>
            <w:r w:rsidRPr="00C054FD">
              <w:rPr>
                <w:i/>
                <w:sz w:val="16"/>
                <w:highlight w:val="lightGray"/>
              </w:rPr>
              <w:t xml:space="preserve"> Prior to NVRU</w:t>
            </w:r>
            <w:r w:rsidR="00BA56AC" w:rsidRPr="00C054FD">
              <w:rPr>
                <w:i/>
                <w:sz w:val="16"/>
                <w:highlight w:val="lightGray"/>
              </w:rPr>
              <w:t xml:space="preserve"> </w:t>
            </w:r>
            <w:r w:rsidRPr="00C054FD">
              <w:rPr>
                <w:i/>
                <w:sz w:val="16"/>
                <w:highlight w:val="lightGray"/>
              </w:rPr>
              <w:t>Entry</w:t>
            </w:r>
          </w:p>
        </w:tc>
        <w:tc>
          <w:tcPr>
            <w:tcW w:w="1763" w:type="dxa"/>
            <w:tcBorders>
              <w:top w:val="single" w:sz="4" w:space="0" w:color="auto"/>
              <w:bottom w:val="single" w:sz="12" w:space="0" w:color="auto"/>
            </w:tcBorders>
            <w:shd w:val="clear" w:color="auto" w:fill="auto"/>
            <w:vAlign w:val="bottom"/>
          </w:tcPr>
          <w:p w14:paraId="7F0E026A" w14:textId="77777777" w:rsidR="002205F3" w:rsidRPr="00C054FD" w:rsidRDefault="002205F3" w:rsidP="00AD0BD5">
            <w:pPr>
              <w:suppressAutoHyphens w:val="0"/>
              <w:spacing w:before="80" w:after="80" w:line="200" w:lineRule="exact"/>
              <w:jc w:val="center"/>
              <w:rPr>
                <w:i/>
                <w:sz w:val="16"/>
                <w:highlight w:val="lightGray"/>
              </w:rPr>
            </w:pPr>
            <w:r w:rsidRPr="00C054FD">
              <w:rPr>
                <w:i/>
                <w:sz w:val="16"/>
                <w:highlight w:val="lightGray"/>
              </w:rPr>
              <w:t xml:space="preserve">2 </w:t>
            </w:r>
            <w:proofErr w:type="spellStart"/>
            <w:r w:rsidRPr="00C054FD">
              <w:rPr>
                <w:i/>
                <w:sz w:val="16"/>
                <w:highlight w:val="lightGray"/>
              </w:rPr>
              <w:t>Yr</w:t>
            </w:r>
            <w:proofErr w:type="spellEnd"/>
            <w:r w:rsidRPr="00C054FD">
              <w:rPr>
                <w:i/>
                <w:sz w:val="16"/>
                <w:highlight w:val="lightGray"/>
              </w:rPr>
              <w:t xml:space="preserve"> post NVRU Entry</w:t>
            </w:r>
          </w:p>
        </w:tc>
        <w:tc>
          <w:tcPr>
            <w:tcW w:w="1283" w:type="dxa"/>
            <w:tcBorders>
              <w:top w:val="single" w:sz="4" w:space="0" w:color="auto"/>
              <w:bottom w:val="single" w:sz="12" w:space="0" w:color="auto"/>
            </w:tcBorders>
            <w:shd w:val="clear" w:color="auto" w:fill="auto"/>
            <w:vAlign w:val="bottom"/>
          </w:tcPr>
          <w:p w14:paraId="577F8C99" w14:textId="77777777" w:rsidR="002205F3" w:rsidRPr="00C054FD" w:rsidRDefault="002205F3" w:rsidP="00AD0BD5">
            <w:pPr>
              <w:suppressAutoHyphens w:val="0"/>
              <w:spacing w:before="80" w:after="80" w:line="200" w:lineRule="exact"/>
              <w:jc w:val="center"/>
              <w:rPr>
                <w:i/>
                <w:sz w:val="16"/>
                <w:highlight w:val="lightGray"/>
              </w:rPr>
            </w:pPr>
            <w:r w:rsidRPr="00C054FD">
              <w:rPr>
                <w:i/>
                <w:sz w:val="16"/>
                <w:highlight w:val="lightGray"/>
              </w:rPr>
              <w:t>% Change</w:t>
            </w:r>
          </w:p>
        </w:tc>
      </w:tr>
      <w:tr w:rsidR="002205F3" w:rsidRPr="00116EDD" w14:paraId="7ABDD4CF" w14:textId="77777777" w:rsidTr="00147393">
        <w:tc>
          <w:tcPr>
            <w:tcW w:w="2720" w:type="dxa"/>
            <w:tcBorders>
              <w:top w:val="single" w:sz="12" w:space="0" w:color="auto"/>
            </w:tcBorders>
            <w:shd w:val="clear" w:color="auto" w:fill="auto"/>
          </w:tcPr>
          <w:p w14:paraId="1C600748" w14:textId="77777777" w:rsidR="002205F3" w:rsidRPr="00116EDD" w:rsidRDefault="002205F3" w:rsidP="00147393">
            <w:pPr>
              <w:suppressAutoHyphens w:val="0"/>
              <w:spacing w:before="40" w:after="40" w:line="220" w:lineRule="exact"/>
              <w:rPr>
                <w:sz w:val="18"/>
              </w:rPr>
            </w:pPr>
            <w:r w:rsidRPr="00116EDD">
              <w:rPr>
                <w:sz w:val="18"/>
              </w:rPr>
              <w:t>Overall P19 Reports</w:t>
            </w:r>
          </w:p>
        </w:tc>
        <w:tc>
          <w:tcPr>
            <w:tcW w:w="1604" w:type="dxa"/>
            <w:tcBorders>
              <w:top w:val="single" w:sz="12" w:space="0" w:color="auto"/>
            </w:tcBorders>
            <w:shd w:val="clear" w:color="auto" w:fill="auto"/>
            <w:vAlign w:val="bottom"/>
          </w:tcPr>
          <w:p w14:paraId="2B041F90" w14:textId="77777777" w:rsidR="002205F3" w:rsidRPr="00C054FD" w:rsidRDefault="002205F3" w:rsidP="00147393">
            <w:pPr>
              <w:suppressAutoHyphens w:val="0"/>
              <w:spacing w:before="40" w:after="40" w:line="220" w:lineRule="exact"/>
              <w:jc w:val="right"/>
              <w:rPr>
                <w:sz w:val="18"/>
                <w:highlight w:val="lightGray"/>
              </w:rPr>
            </w:pPr>
            <w:r w:rsidRPr="00C054FD">
              <w:rPr>
                <w:sz w:val="18"/>
                <w:highlight w:val="lightGray"/>
              </w:rPr>
              <w:t>54</w:t>
            </w:r>
          </w:p>
        </w:tc>
        <w:tc>
          <w:tcPr>
            <w:tcW w:w="1763" w:type="dxa"/>
            <w:tcBorders>
              <w:top w:val="single" w:sz="12" w:space="0" w:color="auto"/>
            </w:tcBorders>
            <w:shd w:val="clear" w:color="auto" w:fill="auto"/>
            <w:vAlign w:val="bottom"/>
          </w:tcPr>
          <w:p w14:paraId="583B98F3" w14:textId="77777777" w:rsidR="002205F3" w:rsidRPr="00C054FD" w:rsidRDefault="002205F3" w:rsidP="00147393">
            <w:pPr>
              <w:suppressAutoHyphens w:val="0"/>
              <w:spacing w:before="40" w:after="40" w:line="220" w:lineRule="exact"/>
              <w:jc w:val="right"/>
              <w:rPr>
                <w:sz w:val="18"/>
                <w:highlight w:val="lightGray"/>
              </w:rPr>
            </w:pPr>
            <w:r w:rsidRPr="00C054FD">
              <w:rPr>
                <w:sz w:val="18"/>
                <w:highlight w:val="lightGray"/>
              </w:rPr>
              <w:t>19</w:t>
            </w:r>
          </w:p>
        </w:tc>
        <w:tc>
          <w:tcPr>
            <w:tcW w:w="1283" w:type="dxa"/>
            <w:tcBorders>
              <w:top w:val="single" w:sz="12" w:space="0" w:color="auto"/>
            </w:tcBorders>
            <w:shd w:val="clear" w:color="auto" w:fill="auto"/>
            <w:vAlign w:val="bottom"/>
          </w:tcPr>
          <w:p w14:paraId="0167809E" w14:textId="77777777" w:rsidR="002205F3" w:rsidRPr="00C054FD" w:rsidRDefault="002205F3" w:rsidP="00147393">
            <w:pPr>
              <w:suppressAutoHyphens w:val="0"/>
              <w:spacing w:before="40" w:after="40" w:line="220" w:lineRule="exact"/>
              <w:jc w:val="right"/>
              <w:rPr>
                <w:sz w:val="18"/>
                <w:highlight w:val="lightGray"/>
              </w:rPr>
            </w:pPr>
            <w:r w:rsidRPr="00C054FD">
              <w:rPr>
                <w:sz w:val="18"/>
                <w:highlight w:val="lightGray"/>
              </w:rPr>
              <w:t>64%</w:t>
            </w:r>
          </w:p>
        </w:tc>
      </w:tr>
      <w:tr w:rsidR="002205F3" w:rsidRPr="00116EDD" w14:paraId="1F6E1FE0" w14:textId="77777777" w:rsidTr="00147393">
        <w:tc>
          <w:tcPr>
            <w:tcW w:w="2720" w:type="dxa"/>
            <w:tcBorders>
              <w:bottom w:val="single" w:sz="12" w:space="0" w:color="auto"/>
            </w:tcBorders>
            <w:shd w:val="clear" w:color="auto" w:fill="auto"/>
          </w:tcPr>
          <w:p w14:paraId="5F99F7DE" w14:textId="77777777" w:rsidR="002205F3" w:rsidRPr="00116EDD" w:rsidRDefault="002205F3" w:rsidP="00147393">
            <w:pPr>
              <w:suppressAutoHyphens w:val="0"/>
              <w:spacing w:before="40" w:after="40" w:line="220" w:lineRule="exact"/>
              <w:rPr>
                <w:sz w:val="18"/>
              </w:rPr>
            </w:pPr>
            <w:r w:rsidRPr="00116EDD">
              <w:rPr>
                <w:sz w:val="18"/>
              </w:rPr>
              <w:t>Overall P19 for Violence/Threats</w:t>
            </w:r>
          </w:p>
        </w:tc>
        <w:tc>
          <w:tcPr>
            <w:tcW w:w="1604" w:type="dxa"/>
            <w:tcBorders>
              <w:bottom w:val="single" w:sz="12" w:space="0" w:color="auto"/>
            </w:tcBorders>
            <w:shd w:val="clear" w:color="auto" w:fill="auto"/>
            <w:vAlign w:val="bottom"/>
          </w:tcPr>
          <w:p w14:paraId="30C6EFF8" w14:textId="77777777" w:rsidR="002205F3" w:rsidRPr="00C054FD" w:rsidRDefault="002205F3" w:rsidP="00147393">
            <w:pPr>
              <w:suppressAutoHyphens w:val="0"/>
              <w:spacing w:before="40" w:after="40" w:line="220" w:lineRule="exact"/>
              <w:jc w:val="right"/>
              <w:rPr>
                <w:sz w:val="18"/>
                <w:highlight w:val="lightGray"/>
              </w:rPr>
            </w:pPr>
            <w:r w:rsidRPr="00C054FD">
              <w:rPr>
                <w:sz w:val="18"/>
                <w:highlight w:val="lightGray"/>
              </w:rPr>
              <w:t>26</w:t>
            </w:r>
          </w:p>
        </w:tc>
        <w:tc>
          <w:tcPr>
            <w:tcW w:w="1763" w:type="dxa"/>
            <w:tcBorders>
              <w:bottom w:val="single" w:sz="12" w:space="0" w:color="auto"/>
            </w:tcBorders>
            <w:shd w:val="clear" w:color="auto" w:fill="auto"/>
            <w:vAlign w:val="bottom"/>
          </w:tcPr>
          <w:p w14:paraId="5AF0BB48" w14:textId="77777777" w:rsidR="002205F3" w:rsidRPr="00C054FD" w:rsidRDefault="002205F3" w:rsidP="00147393">
            <w:pPr>
              <w:suppressAutoHyphens w:val="0"/>
              <w:spacing w:before="40" w:after="40" w:line="220" w:lineRule="exact"/>
              <w:jc w:val="right"/>
              <w:rPr>
                <w:sz w:val="18"/>
                <w:highlight w:val="lightGray"/>
              </w:rPr>
            </w:pPr>
            <w:r w:rsidRPr="00C054FD">
              <w:rPr>
                <w:sz w:val="18"/>
                <w:highlight w:val="lightGray"/>
              </w:rPr>
              <w:t>8</w:t>
            </w:r>
          </w:p>
        </w:tc>
        <w:tc>
          <w:tcPr>
            <w:tcW w:w="1283" w:type="dxa"/>
            <w:tcBorders>
              <w:bottom w:val="single" w:sz="12" w:space="0" w:color="auto"/>
            </w:tcBorders>
            <w:shd w:val="clear" w:color="auto" w:fill="auto"/>
            <w:vAlign w:val="bottom"/>
          </w:tcPr>
          <w:p w14:paraId="604DB037" w14:textId="77777777" w:rsidR="002205F3" w:rsidRPr="00C054FD" w:rsidRDefault="002205F3" w:rsidP="00147393">
            <w:pPr>
              <w:suppressAutoHyphens w:val="0"/>
              <w:spacing w:before="40" w:after="40" w:line="220" w:lineRule="exact"/>
              <w:jc w:val="right"/>
              <w:rPr>
                <w:sz w:val="18"/>
                <w:highlight w:val="lightGray"/>
              </w:rPr>
            </w:pPr>
            <w:r w:rsidRPr="00C054FD">
              <w:rPr>
                <w:sz w:val="18"/>
                <w:highlight w:val="lightGray"/>
              </w:rPr>
              <w:t>69%</w:t>
            </w:r>
          </w:p>
        </w:tc>
      </w:tr>
    </w:tbl>
    <w:p w14:paraId="2D99A851" w14:textId="45C33040" w:rsidR="00A00DEA" w:rsidRPr="00C679F1" w:rsidRDefault="00A00DEA" w:rsidP="00116EDD">
      <w:pPr>
        <w:pStyle w:val="SingleTxtG"/>
        <w:kinsoku/>
        <w:overflowPunct/>
        <w:autoSpaceDE/>
        <w:autoSpaceDN/>
        <w:adjustRightInd/>
        <w:snapToGrid/>
        <w:spacing w:before="240"/>
      </w:pPr>
      <w:r w:rsidRPr="00C679F1">
        <w:t>1</w:t>
      </w:r>
      <w:r w:rsidR="00855E70">
        <w:t>38</w:t>
      </w:r>
      <w:r w:rsidRPr="00C679F1">
        <w:t>.</w:t>
      </w:r>
      <w:r w:rsidRPr="00C679F1">
        <w:tab/>
      </w:r>
      <w:r w:rsidRPr="002B1F19">
        <w:t>There appears to be anecdotal evidence of a slight increase in violence particularly during the early stages of committal as peop</w:t>
      </w:r>
      <w:r>
        <w:t xml:space="preserve">le adapt to the new regime.  </w:t>
      </w:r>
    </w:p>
    <w:p w14:paraId="7ADAEB56" w14:textId="6C1EE1B0" w:rsidR="00A00DEA" w:rsidRPr="002B1F19" w:rsidRDefault="00A00DEA" w:rsidP="00A00DEA">
      <w:pPr>
        <w:pStyle w:val="SingleTxtG"/>
        <w:kinsoku/>
        <w:overflowPunct/>
        <w:autoSpaceDE/>
        <w:autoSpaceDN/>
        <w:adjustRightInd/>
        <w:snapToGrid/>
      </w:pPr>
      <w:r w:rsidRPr="002B1F19">
        <w:t>1</w:t>
      </w:r>
      <w:r w:rsidR="00855E70">
        <w:t>39</w:t>
      </w:r>
      <w:r w:rsidRPr="002B1F19">
        <w:t>.</w:t>
      </w:r>
      <w:r w:rsidRPr="002B1F19">
        <w:tab/>
        <w:t>Due to the small size, intensive regime and strict adherence to protocols</w:t>
      </w:r>
      <w:r>
        <w:t>,</w:t>
      </w:r>
      <w:r w:rsidRPr="002B1F19">
        <w:t xml:space="preserve"> it is likely that people in custody on the NVRU may be more likely to receive a P19 because their behaviour is more likely</w:t>
      </w:r>
      <w:r>
        <w:t xml:space="preserve"> to be observed and recorded. </w:t>
      </w:r>
    </w:p>
    <w:p w14:paraId="3B83401F" w14:textId="77C4FFFD" w:rsidR="00A00DEA" w:rsidRPr="002B1F19" w:rsidRDefault="00A00DEA" w:rsidP="00A00DEA">
      <w:pPr>
        <w:pStyle w:val="SingleTxtG"/>
        <w:kinsoku/>
        <w:overflowPunct/>
        <w:autoSpaceDE/>
        <w:autoSpaceDN/>
        <w:adjustRightInd/>
        <w:snapToGrid/>
      </w:pPr>
      <w:r w:rsidRPr="002B1F19">
        <w:t>1</w:t>
      </w:r>
      <w:r w:rsidR="00855E70">
        <w:t>40</w:t>
      </w:r>
      <w:r w:rsidRPr="002B1F19">
        <w:t>.</w:t>
      </w:r>
      <w:r w:rsidRPr="002B1F19">
        <w:tab/>
        <w:t>There are no similar facilities in other prisons</w:t>
      </w:r>
      <w:r>
        <w:t>.</w:t>
      </w:r>
      <w:r w:rsidRPr="002B1F19">
        <w:t xml:space="preserve"> The IPS, in collaboration with the National Forensic Mental Health Service has established two dedicated areas where high support is provided to vulnerable prisoners with mental illness – D2 wing in </w:t>
      </w:r>
      <w:proofErr w:type="spellStart"/>
      <w:r w:rsidRPr="002B1F19">
        <w:t>Cloverhill</w:t>
      </w:r>
      <w:proofErr w:type="spellEnd"/>
      <w:r w:rsidRPr="002B1F19">
        <w:t xml:space="preserve"> Prison (for people on remand) and the High Support Unit in Mountjoy (for people who are sentenced).  </w:t>
      </w:r>
    </w:p>
    <w:p w14:paraId="1757E0AB" w14:textId="570DF9B3" w:rsidR="00A00DEA" w:rsidRDefault="00116EDD" w:rsidP="00116EDD">
      <w:pPr>
        <w:pStyle w:val="H23G"/>
      </w:pPr>
      <w:r>
        <w:tab/>
      </w:r>
      <w:r>
        <w:tab/>
      </w:r>
      <w:r w:rsidR="00A00DEA">
        <w:t xml:space="preserve">Reply to paragraph 17(d) </w:t>
      </w:r>
    </w:p>
    <w:p w14:paraId="7E505446" w14:textId="5B9D9235" w:rsidR="00A00DEA" w:rsidRDefault="00A00DEA" w:rsidP="00A00DEA">
      <w:pPr>
        <w:pStyle w:val="SingleTxtG"/>
        <w:kinsoku/>
        <w:overflowPunct/>
        <w:autoSpaceDE/>
        <w:autoSpaceDN/>
        <w:adjustRightInd/>
        <w:snapToGrid/>
      </w:pPr>
      <w:r>
        <w:t>1</w:t>
      </w:r>
      <w:r w:rsidR="00855E70">
        <w:t>41</w:t>
      </w:r>
      <w:r>
        <w:t>.</w:t>
      </w:r>
      <w:r>
        <w:tab/>
      </w:r>
      <w:r w:rsidRPr="002B1F19">
        <w:t>Ireland ratified the UN Convention against Torture in 2002. Ireland is a signatory to the</w:t>
      </w:r>
      <w:r>
        <w:t xml:space="preserve"> Optional</w:t>
      </w:r>
      <w:r w:rsidRPr="002B1F19">
        <w:t xml:space="preserve"> </w:t>
      </w:r>
      <w:r>
        <w:t>P</w:t>
      </w:r>
      <w:r w:rsidRPr="002B1F19">
        <w:t>rotocol and will ratify it, once the necessary legislation is in place to provide for National Preventive Mechanisms (NPMs) to inspect and monitor places of detention</w:t>
      </w:r>
      <w:r>
        <w:t xml:space="preserve">. </w:t>
      </w:r>
    </w:p>
    <w:p w14:paraId="03A7ECCF" w14:textId="4D68E43C" w:rsidR="002205F3" w:rsidRPr="00AD0BD5" w:rsidRDefault="00A00DEA" w:rsidP="002205F3">
      <w:pPr>
        <w:pStyle w:val="SingleTxtG"/>
        <w:kinsoku/>
        <w:overflowPunct/>
        <w:autoSpaceDE/>
        <w:autoSpaceDN/>
        <w:adjustRightInd/>
        <w:snapToGrid/>
        <w:rPr>
          <w:color w:val="000000"/>
        </w:rPr>
      </w:pPr>
      <w:r w:rsidRPr="00C054FD">
        <w:rPr>
          <w:highlight w:val="lightGray"/>
        </w:rPr>
        <w:t>1</w:t>
      </w:r>
      <w:r w:rsidR="00855E70" w:rsidRPr="00C054FD">
        <w:rPr>
          <w:highlight w:val="lightGray"/>
        </w:rPr>
        <w:t>42</w:t>
      </w:r>
      <w:r w:rsidRPr="00C054FD">
        <w:rPr>
          <w:highlight w:val="lightGray"/>
        </w:rPr>
        <w:t>.</w:t>
      </w:r>
      <w:r w:rsidRPr="00C054FD">
        <w:rPr>
          <w:highlight w:val="lightGray"/>
        </w:rPr>
        <w:tab/>
      </w:r>
      <w:r w:rsidR="002205F3" w:rsidRPr="00C054FD">
        <w:rPr>
          <w:color w:val="000000"/>
          <w:highlight w:val="lightGray"/>
        </w:rPr>
        <w:t xml:space="preserve">Meeting the timeline in the Programme for Government to allow for the ratification of OPCAT has proved challenging due to the complexities of this legislation and its cross-departmental nature. The General Scheme of the Inspection of Places of Detention Bill is currently being finalised and it is intended to bring it to Government for approval </w:t>
      </w:r>
      <w:r w:rsidR="002205F3" w:rsidRPr="00C054FD">
        <w:rPr>
          <w:color w:val="000000"/>
          <w:highlight w:val="lightGray"/>
        </w:rPr>
        <w:lastRenderedPageBreak/>
        <w:t>shortly. </w:t>
      </w:r>
      <w:r w:rsidR="002205F3" w:rsidRPr="00C054FD">
        <w:rPr>
          <w:highlight w:val="lightGray"/>
        </w:rPr>
        <w:t xml:space="preserve"> The intended approach is that the IOP is to be designated as a single NPM for the Criminal Justice Sector. DOJ is leading on the preparation for a multiple institution NPM model in terms of developing the necessary legislation for ratification of OPCAT.</w:t>
      </w:r>
      <w:r w:rsidR="002205F3" w:rsidRPr="007F5FF7">
        <w:t xml:space="preserve">  </w:t>
      </w:r>
    </w:p>
    <w:p w14:paraId="6ABE03CD" w14:textId="6A7901F2" w:rsidR="00A00DEA" w:rsidRPr="002B1F19" w:rsidRDefault="00A00DEA" w:rsidP="00A00DEA">
      <w:pPr>
        <w:pStyle w:val="SingleTxtG"/>
        <w:kinsoku/>
        <w:overflowPunct/>
        <w:autoSpaceDE/>
        <w:autoSpaceDN/>
        <w:adjustRightInd/>
        <w:snapToGrid/>
      </w:pPr>
    </w:p>
    <w:p w14:paraId="2D9437A8" w14:textId="7CEF32D4" w:rsidR="00A00DEA" w:rsidRPr="00AC6999" w:rsidRDefault="00116EDD" w:rsidP="00116EDD">
      <w:pPr>
        <w:pStyle w:val="H23G"/>
      </w:pPr>
      <w:r>
        <w:tab/>
      </w:r>
      <w:r>
        <w:tab/>
      </w:r>
      <w:r w:rsidR="00A00DEA">
        <w:t xml:space="preserve">Reply to paragraph 18 </w:t>
      </w:r>
    </w:p>
    <w:p w14:paraId="5C38958B" w14:textId="3A10C214" w:rsidR="00A00DEA" w:rsidRPr="00E96DC2" w:rsidRDefault="00A00DEA" w:rsidP="00A00DEA">
      <w:pPr>
        <w:pStyle w:val="SingleTxtG"/>
        <w:kinsoku/>
        <w:overflowPunct/>
        <w:autoSpaceDE/>
        <w:autoSpaceDN/>
        <w:adjustRightInd/>
        <w:snapToGrid/>
      </w:pPr>
      <w:r w:rsidRPr="00E96DC2">
        <w:t>1</w:t>
      </w:r>
      <w:r w:rsidR="00855E70">
        <w:t>43</w:t>
      </w:r>
      <w:r w:rsidRPr="00E96DC2">
        <w:t>.</w:t>
      </w:r>
      <w:r w:rsidRPr="00E96DC2">
        <w:tab/>
      </w:r>
      <w:r>
        <w:t xml:space="preserve">The Fines </w:t>
      </w:r>
      <w:r w:rsidRPr="00E96DC2">
        <w:t>(Recovery and Payment) Act 2014 provides for alternative orders to imprisonment</w:t>
      </w:r>
      <w:r>
        <w:t xml:space="preserve"> for the non-payment of fines. </w:t>
      </w:r>
    </w:p>
    <w:p w14:paraId="01CDE478" w14:textId="2FF25CD9" w:rsidR="00A00DEA" w:rsidRPr="00E96DC2" w:rsidRDefault="00A00DEA" w:rsidP="00A00DEA">
      <w:pPr>
        <w:pStyle w:val="SingleTxtG"/>
        <w:kinsoku/>
        <w:overflowPunct/>
        <w:autoSpaceDE/>
        <w:autoSpaceDN/>
        <w:adjustRightInd/>
        <w:snapToGrid/>
      </w:pPr>
      <w:r w:rsidRPr="00E96DC2">
        <w:t>1</w:t>
      </w:r>
      <w:r w:rsidR="00855E70">
        <w:t>44</w:t>
      </w:r>
      <w:r w:rsidRPr="00E96DC2">
        <w:t>.</w:t>
      </w:r>
      <w:r w:rsidRPr="00E96DC2">
        <w:tab/>
        <w:t>The Act stipulates that a person who defaults on their court</w:t>
      </w:r>
      <w:r>
        <w:t xml:space="preserve"> imposed</w:t>
      </w:r>
      <w:r w:rsidRPr="00E96DC2">
        <w:t xml:space="preserve"> fine must be brought to court, before a judge can make an alternative order. Once the defaulter attends the enforcement hearing, a judge can decide upon an attachment of ear</w:t>
      </w:r>
      <w:r>
        <w:t xml:space="preserve">nings order, a recovery order, </w:t>
      </w:r>
      <w:r w:rsidRPr="00E96DC2">
        <w:t xml:space="preserve">or a community service order. If the court is not satisfied with the alternative options, an order committing the person to prison can be made. </w:t>
      </w:r>
    </w:p>
    <w:p w14:paraId="52C28371" w14:textId="7FE0B3AA" w:rsidR="00A00DEA" w:rsidRPr="00E96DC2" w:rsidRDefault="00A00DEA" w:rsidP="00A00DEA">
      <w:pPr>
        <w:pStyle w:val="SingleTxtG"/>
        <w:kinsoku/>
        <w:overflowPunct/>
        <w:autoSpaceDE/>
        <w:autoSpaceDN/>
        <w:adjustRightInd/>
        <w:snapToGrid/>
      </w:pPr>
      <w:r w:rsidRPr="00E96DC2">
        <w:t>1</w:t>
      </w:r>
      <w:r w:rsidR="00855E70">
        <w:t>45</w:t>
      </w:r>
      <w:r w:rsidRPr="00E96DC2">
        <w:t>.</w:t>
      </w:r>
      <w:r w:rsidRPr="00E96DC2">
        <w:tab/>
        <w:t xml:space="preserve">All outcomes require the </w:t>
      </w:r>
      <w:r>
        <w:t xml:space="preserve">attendance of the </w:t>
      </w:r>
      <w:r w:rsidRPr="00E96DC2">
        <w:t xml:space="preserve">defaulter. In the event of non-attendance – and if satisfied that the original notice was served – a court may adjourn the enforcement hearing to a new date or issue a warrant for </w:t>
      </w:r>
      <w:r>
        <w:t>arrest</w:t>
      </w:r>
      <w:r w:rsidRPr="00E96DC2">
        <w:t xml:space="preserve">. </w:t>
      </w:r>
    </w:p>
    <w:p w14:paraId="0B397A92" w14:textId="6A5981DB" w:rsidR="00A00DEA" w:rsidRPr="00E96DC2" w:rsidRDefault="00A00DEA" w:rsidP="00A00DEA">
      <w:pPr>
        <w:pStyle w:val="SingleTxtG"/>
        <w:kinsoku/>
        <w:overflowPunct/>
        <w:autoSpaceDE/>
        <w:autoSpaceDN/>
        <w:adjustRightInd/>
        <w:snapToGrid/>
      </w:pPr>
      <w:r w:rsidRPr="00E96DC2">
        <w:t>1</w:t>
      </w:r>
      <w:r w:rsidR="00855E70">
        <w:t>46</w:t>
      </w:r>
      <w:r w:rsidRPr="00E96DC2">
        <w:t>.</w:t>
      </w:r>
      <w:r w:rsidRPr="00E96DC2">
        <w:tab/>
        <w:t xml:space="preserve">A Departmental High Level Group – which includes representatives from the Courts Service, the Office of the Attorney General, </w:t>
      </w:r>
      <w:r>
        <w:t>AGS</w:t>
      </w:r>
      <w:r w:rsidRPr="00E96DC2">
        <w:t xml:space="preserve">, the DPP, the </w:t>
      </w:r>
      <w:r>
        <w:t>IPS</w:t>
      </w:r>
      <w:r w:rsidRPr="00E96DC2">
        <w:t xml:space="preserve"> and the Prob</w:t>
      </w:r>
      <w:r>
        <w:t xml:space="preserve">ation Service – was established. Work is ongoing on </w:t>
      </w:r>
      <w:r w:rsidRPr="00E96DC2">
        <w:t xml:space="preserve">how to improve </w:t>
      </w:r>
      <w:r>
        <w:t xml:space="preserve">the collection process. </w:t>
      </w:r>
    </w:p>
    <w:p w14:paraId="5E25E443" w14:textId="00F35ED4" w:rsidR="00A00DEA" w:rsidRDefault="00116EDD" w:rsidP="00116EDD">
      <w:pPr>
        <w:pStyle w:val="H1G"/>
      </w:pPr>
      <w:r>
        <w:tab/>
      </w:r>
      <w:r>
        <w:tab/>
      </w:r>
      <w:r>
        <w:tab/>
      </w:r>
      <w:r w:rsidR="00A00DEA">
        <w:t>Rights of Refugees and asylum seekers (arts. 2 and 13)</w:t>
      </w:r>
    </w:p>
    <w:p w14:paraId="5A700173" w14:textId="053D4E35" w:rsidR="00A00DEA" w:rsidRDefault="00116EDD" w:rsidP="00116EDD">
      <w:pPr>
        <w:pStyle w:val="H23G"/>
      </w:pPr>
      <w:r>
        <w:tab/>
      </w:r>
      <w:r>
        <w:tab/>
      </w:r>
      <w:r w:rsidR="00A00DEA">
        <w:t xml:space="preserve">Reply to paragraph 19(a)  </w:t>
      </w:r>
    </w:p>
    <w:p w14:paraId="5F4DD884" w14:textId="06D7AD91" w:rsidR="00A00DEA" w:rsidRPr="007A6988" w:rsidRDefault="00A00DEA" w:rsidP="00A00DEA">
      <w:pPr>
        <w:pStyle w:val="SingleTxtG"/>
        <w:kinsoku/>
        <w:overflowPunct/>
        <w:autoSpaceDE/>
        <w:autoSpaceDN/>
        <w:adjustRightInd/>
        <w:snapToGrid/>
      </w:pPr>
      <w:r w:rsidRPr="007A6988">
        <w:t>1</w:t>
      </w:r>
      <w:r w:rsidR="00855E70">
        <w:t>47</w:t>
      </w:r>
      <w:r w:rsidRPr="007A6988">
        <w:t>.</w:t>
      </w:r>
      <w:r w:rsidRPr="007A6988">
        <w:tab/>
        <w:t>The International Protection Act 2015 was comm</w:t>
      </w:r>
      <w:r>
        <w:t>enced on 31 December 2016. It</w:t>
      </w:r>
      <w:r w:rsidRPr="007A6988">
        <w:t xml:space="preserve"> </w:t>
      </w:r>
      <w:r>
        <w:t>creates</w:t>
      </w:r>
      <w:r w:rsidRPr="007A6988">
        <w:t xml:space="preserve"> a single application procedure in Ireland’s protection process</w:t>
      </w:r>
      <w:r>
        <w:t xml:space="preserve">. </w:t>
      </w:r>
      <w:r w:rsidRPr="007A6988">
        <w:t>Under th</w:t>
      </w:r>
      <w:r>
        <w:t>is</w:t>
      </w:r>
      <w:r w:rsidRPr="007A6988">
        <w:t xml:space="preserve"> procedure, an applicant makes one application and has all grounds for seeking international protection and </w:t>
      </w:r>
      <w:r>
        <w:t xml:space="preserve">for permission </w:t>
      </w:r>
      <w:r w:rsidRPr="007A6988">
        <w:t>to remain in the State on humanitarian grounds</w:t>
      </w:r>
      <w:r>
        <w:t xml:space="preserve"> </w:t>
      </w:r>
      <w:r w:rsidRPr="007A6988">
        <w:t>determined in one process. This replaces the sequential processing of applications under the repealed Refugee Act 1996</w:t>
      </w:r>
      <w:r>
        <w:t>.</w:t>
      </w:r>
      <w:r w:rsidRPr="007A6988">
        <w:t xml:space="preserve"> </w:t>
      </w:r>
    </w:p>
    <w:p w14:paraId="487822EF" w14:textId="1B2A4295" w:rsidR="00A00DEA" w:rsidRPr="007A6988" w:rsidRDefault="00A00DEA" w:rsidP="00A00DEA">
      <w:pPr>
        <w:pStyle w:val="SingleTxtG"/>
        <w:kinsoku/>
        <w:overflowPunct/>
        <w:autoSpaceDE/>
        <w:autoSpaceDN/>
        <w:adjustRightInd/>
        <w:snapToGrid/>
      </w:pPr>
      <w:r w:rsidRPr="007A6988">
        <w:t>1</w:t>
      </w:r>
      <w:r w:rsidR="00855E70">
        <w:t>48</w:t>
      </w:r>
      <w:r w:rsidRPr="007A6988">
        <w:t>.</w:t>
      </w:r>
      <w:r w:rsidRPr="007A6988">
        <w:tab/>
      </w:r>
      <w:r>
        <w:t>T</w:t>
      </w:r>
      <w:r w:rsidRPr="007A6988">
        <w:t xml:space="preserve">he International </w:t>
      </w:r>
      <w:r>
        <w:t>Protection Office (IPO) within DOJ</w:t>
      </w:r>
      <w:r w:rsidRPr="007A6988">
        <w:t xml:space="preserve"> and the independent International Protection Appeals Tribunal (IPAT) replaced the Office of the Refugee Applications Commissioner (ORAC) and the Refugee Appeals Tribunal (RAT). </w:t>
      </w:r>
    </w:p>
    <w:p w14:paraId="43E102A4" w14:textId="3F491CBB" w:rsidR="00A00DEA" w:rsidRPr="007A6988" w:rsidRDefault="00A00DEA" w:rsidP="00A00DEA">
      <w:pPr>
        <w:pStyle w:val="SingleTxtG"/>
        <w:kinsoku/>
        <w:overflowPunct/>
        <w:autoSpaceDE/>
        <w:autoSpaceDN/>
        <w:adjustRightInd/>
        <w:snapToGrid/>
      </w:pPr>
      <w:r w:rsidRPr="007A6988">
        <w:t>1</w:t>
      </w:r>
      <w:r w:rsidR="00855E70">
        <w:t>49</w:t>
      </w:r>
      <w:r w:rsidRPr="007A6988">
        <w:t>.</w:t>
      </w:r>
      <w:r w:rsidRPr="007A6988">
        <w:tab/>
        <w:t xml:space="preserve">Under the transitional measures of the 2015 Act, IPO </w:t>
      </w:r>
      <w:r>
        <w:t>took</w:t>
      </w:r>
      <w:r w:rsidRPr="007A6988">
        <w:t xml:space="preserve"> responsibility for the processing of some </w:t>
      </w:r>
      <w:r>
        <w:t>outstanding 3,500 cases</w:t>
      </w:r>
      <w:r w:rsidRPr="007A6988">
        <w:t>.  A further 5</w:t>
      </w:r>
      <w:r>
        <w:t>00 cases were transitioned post-</w:t>
      </w:r>
      <w:r w:rsidRPr="007A6988">
        <w:t>commencement. Cases continue to be transitioned</w:t>
      </w:r>
      <w:r>
        <w:t>.</w:t>
      </w:r>
      <w:r w:rsidRPr="007A6988">
        <w:t xml:space="preserve"> </w:t>
      </w:r>
    </w:p>
    <w:p w14:paraId="2A2F22EC" w14:textId="72DFFA29" w:rsidR="00A00DEA" w:rsidRPr="00CA0BC4" w:rsidRDefault="00A00DEA" w:rsidP="00A00DEA">
      <w:pPr>
        <w:pStyle w:val="SingleTxtG"/>
        <w:kinsoku/>
        <w:overflowPunct/>
        <w:autoSpaceDE/>
        <w:autoSpaceDN/>
        <w:adjustRightInd/>
        <w:snapToGrid/>
      </w:pPr>
      <w:r w:rsidRPr="00CA0BC4">
        <w:t>1</w:t>
      </w:r>
      <w:r w:rsidR="00855E70">
        <w:t>50</w:t>
      </w:r>
      <w:r w:rsidRPr="00CA0BC4">
        <w:t>.</w:t>
      </w:r>
      <w:r w:rsidRPr="00CA0BC4">
        <w:tab/>
      </w:r>
      <w:r w:rsidRPr="007A6988">
        <w:t xml:space="preserve">IPO </w:t>
      </w:r>
      <w:r>
        <w:t>is</w:t>
      </w:r>
      <w:r w:rsidRPr="007A6988">
        <w:t xml:space="preserve"> required to investigate applications on the basis of three elements, namely; determination of refugee status, determination of subsidiary protection status; and </w:t>
      </w:r>
      <w:r>
        <w:t xml:space="preserve">if </w:t>
      </w:r>
      <w:r w:rsidRPr="007A6988">
        <w:t>there</w:t>
      </w:r>
      <w:r>
        <w:t xml:space="preserve"> are grounds to grant a person </w:t>
      </w:r>
      <w:r w:rsidRPr="007A6988">
        <w:t>permission to remain in the State. The level of investigation required is therefore more comprehensive</w:t>
      </w:r>
      <w:r>
        <w:t>,</w:t>
      </w:r>
      <w:r w:rsidRPr="007A6988">
        <w:t xml:space="preserve"> com</w:t>
      </w:r>
      <w:r>
        <w:t xml:space="preserve">plex and time consuming. </w:t>
      </w:r>
    </w:p>
    <w:p w14:paraId="6D5B8D4D" w14:textId="158CFAFF" w:rsidR="00A00DEA" w:rsidRPr="00CA0BC4" w:rsidRDefault="00A00DEA" w:rsidP="00A00DEA">
      <w:pPr>
        <w:pStyle w:val="SingleTxtG"/>
        <w:kinsoku/>
        <w:overflowPunct/>
        <w:autoSpaceDE/>
        <w:autoSpaceDN/>
        <w:adjustRightInd/>
        <w:snapToGrid/>
      </w:pPr>
      <w:r w:rsidRPr="00CA0BC4">
        <w:t>1</w:t>
      </w:r>
      <w:r w:rsidR="00855E70">
        <w:t>51</w:t>
      </w:r>
      <w:r w:rsidRPr="00CA0BC4">
        <w:t>.</w:t>
      </w:r>
      <w:r w:rsidRPr="00CA0BC4">
        <w:tab/>
      </w:r>
      <w:r w:rsidRPr="007A6988">
        <w:t xml:space="preserve">Prioritisation of international protection applications is provided for in the 2015 </w:t>
      </w:r>
      <w:r>
        <w:t xml:space="preserve">Act. When the </w:t>
      </w:r>
      <w:r w:rsidRPr="007A6988">
        <w:t>supporting documentation is r</w:t>
      </w:r>
      <w:r>
        <w:t xml:space="preserve">eturned by applicants, the IPO </w:t>
      </w:r>
      <w:r w:rsidRPr="007A6988">
        <w:t>schedul</w:t>
      </w:r>
      <w:r>
        <w:t>es</w:t>
      </w:r>
      <w:r w:rsidRPr="007A6988">
        <w:t xml:space="preserve"> applications for interview </w:t>
      </w:r>
      <w:proofErr w:type="gramStart"/>
      <w:r w:rsidRPr="007A6988">
        <w:t>on the basis of</w:t>
      </w:r>
      <w:proofErr w:type="gramEnd"/>
      <w:r w:rsidRPr="007A6988">
        <w:t xml:space="preserve"> date of application</w:t>
      </w:r>
      <w:r>
        <w:t>. C</w:t>
      </w:r>
      <w:r w:rsidRPr="007A6988">
        <w:t xml:space="preserve">ertain categories of applicant are also prioritised from refugee generating countries </w:t>
      </w:r>
      <w:r>
        <w:t xml:space="preserve">and unaccompanied minors. </w:t>
      </w:r>
      <w:r w:rsidRPr="007A6988">
        <w:t>Th</w:t>
      </w:r>
      <w:r>
        <w:t xml:space="preserve">is </w:t>
      </w:r>
      <w:r w:rsidRPr="007A6988">
        <w:t xml:space="preserve">approach </w:t>
      </w:r>
      <w:r>
        <w:t>has been agreed with the UNHCR.</w:t>
      </w:r>
    </w:p>
    <w:p w14:paraId="6C48AD72" w14:textId="52578BEC" w:rsidR="00A00DEA" w:rsidRPr="007A6988" w:rsidRDefault="00A00DEA" w:rsidP="00A00DEA">
      <w:pPr>
        <w:pStyle w:val="SingleTxtG"/>
        <w:kinsoku/>
        <w:overflowPunct/>
        <w:autoSpaceDE/>
        <w:autoSpaceDN/>
        <w:adjustRightInd/>
        <w:snapToGrid/>
      </w:pPr>
      <w:r w:rsidRPr="007A6988">
        <w:t>1</w:t>
      </w:r>
      <w:r w:rsidR="00855E70">
        <w:t>52</w:t>
      </w:r>
      <w:r w:rsidRPr="007A6988">
        <w:t>.</w:t>
      </w:r>
      <w:r w:rsidRPr="007A6988">
        <w:tab/>
        <w:t xml:space="preserve">The </w:t>
      </w:r>
      <w:r>
        <w:t xml:space="preserve">PFG </w:t>
      </w:r>
      <w:r w:rsidRPr="007A6988">
        <w:t xml:space="preserve">commits </w:t>
      </w:r>
      <w:r w:rsidRPr="00C054FD">
        <w:rPr>
          <w:highlight w:val="lightGray"/>
        </w:rPr>
        <w:t>to</w:t>
      </w:r>
      <w:r w:rsidR="002205F3" w:rsidRPr="00C054FD">
        <w:rPr>
          <w:highlight w:val="lightGray"/>
        </w:rPr>
        <w:t xml:space="preserve"> ensuring that international protection applications </w:t>
      </w:r>
      <w:proofErr w:type="gramStart"/>
      <w:r w:rsidR="002205F3" w:rsidRPr="00C054FD">
        <w:rPr>
          <w:highlight w:val="lightGray"/>
        </w:rPr>
        <w:t>are  dealt</w:t>
      </w:r>
      <w:proofErr w:type="gramEnd"/>
      <w:r w:rsidR="002205F3" w:rsidRPr="00C054FD">
        <w:rPr>
          <w:highlight w:val="lightGray"/>
        </w:rPr>
        <w:t xml:space="preserve"> with and brought to finality as quickly as possible, while always ensuring fair procedure and a human rights-based approach.</w:t>
      </w:r>
      <w:r w:rsidR="002205F3">
        <w:t xml:space="preserve"> </w:t>
      </w:r>
    </w:p>
    <w:p w14:paraId="366C7E53" w14:textId="3EA8B85D" w:rsidR="002205F3" w:rsidRDefault="002205F3" w:rsidP="00AD0BD5">
      <w:pPr>
        <w:pStyle w:val="SingleTxtG"/>
        <w:tabs>
          <w:tab w:val="left" w:pos="6278"/>
        </w:tabs>
        <w:rPr>
          <w:b/>
          <w:bCs/>
          <w:color w:val="000000"/>
        </w:rPr>
      </w:pPr>
      <w:r w:rsidRPr="00C054FD">
        <w:rPr>
          <w:b/>
          <w:bCs/>
          <w:highlight w:val="lightGray"/>
        </w:rPr>
        <w:t xml:space="preserve">Cases pending end Dec </w:t>
      </w:r>
      <w:r w:rsidRPr="00C054FD">
        <w:rPr>
          <w:b/>
          <w:bCs/>
          <w:color w:val="000000"/>
          <w:highlight w:val="lightGray"/>
        </w:rPr>
        <w:t>2021 by length of time pending.</w:t>
      </w:r>
      <w:r w:rsidRPr="00F557EC">
        <w:rPr>
          <w:b/>
          <w:bCs/>
          <w:color w:val="000000"/>
        </w:rPr>
        <w:t xml:space="preserve"> </w:t>
      </w:r>
      <w:r w:rsidR="00E0467A">
        <w:rPr>
          <w:b/>
          <w:bCs/>
          <w:color w:val="000000"/>
        </w:rPr>
        <w:tab/>
      </w:r>
    </w:p>
    <w:tbl>
      <w:tblPr>
        <w:tblW w:w="7370" w:type="dxa"/>
        <w:tblInd w:w="1134" w:type="dxa"/>
        <w:tblLayout w:type="fixed"/>
        <w:tblCellMar>
          <w:left w:w="0" w:type="dxa"/>
          <w:right w:w="0" w:type="dxa"/>
        </w:tblCellMar>
        <w:tblLook w:val="04A0" w:firstRow="1" w:lastRow="0" w:firstColumn="1" w:lastColumn="0" w:noHBand="0" w:noVBand="1"/>
      </w:tblPr>
      <w:tblGrid>
        <w:gridCol w:w="5384"/>
        <w:gridCol w:w="1986"/>
      </w:tblGrid>
      <w:tr w:rsidR="00E0467A" w:rsidRPr="002465E4" w14:paraId="1BB8697D" w14:textId="77777777" w:rsidTr="00E0467A">
        <w:trPr>
          <w:tblHeader/>
        </w:trPr>
        <w:tc>
          <w:tcPr>
            <w:tcW w:w="7370" w:type="dxa"/>
            <w:gridSpan w:val="2"/>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90F518D" w14:textId="77777777" w:rsidR="00E0467A" w:rsidRPr="00E0467A" w:rsidRDefault="00E0467A" w:rsidP="00E0467A">
            <w:pPr>
              <w:suppressAutoHyphens w:val="0"/>
              <w:spacing w:before="80" w:after="80" w:line="200" w:lineRule="exact"/>
              <w:rPr>
                <w:i/>
                <w:sz w:val="16"/>
                <w:lang w:eastAsia="en-IE"/>
              </w:rPr>
            </w:pPr>
            <w:r w:rsidRPr="00E0467A">
              <w:rPr>
                <w:i/>
                <w:sz w:val="16"/>
                <w:lang w:eastAsia="en-IE"/>
              </w:rPr>
              <w:t xml:space="preserve">International Protection applications pending at </w:t>
            </w:r>
            <w:r w:rsidRPr="00C054FD">
              <w:rPr>
                <w:i/>
                <w:sz w:val="16"/>
                <w:highlight w:val="lightGray"/>
                <w:lang w:eastAsia="en-IE"/>
              </w:rPr>
              <w:t>end December 2021*</w:t>
            </w:r>
          </w:p>
        </w:tc>
      </w:tr>
      <w:tr w:rsidR="00E0467A" w:rsidRPr="002465E4" w14:paraId="35EDB7C4" w14:textId="77777777" w:rsidTr="00E0467A">
        <w:tc>
          <w:tcPr>
            <w:tcW w:w="5384" w:type="dxa"/>
            <w:noWrap/>
            <w:tcMar>
              <w:top w:w="0" w:type="dxa"/>
              <w:left w:w="108" w:type="dxa"/>
              <w:bottom w:w="0" w:type="dxa"/>
              <w:right w:w="108" w:type="dxa"/>
            </w:tcMar>
            <w:hideMark/>
          </w:tcPr>
          <w:p w14:paraId="0CB39D08" w14:textId="77777777" w:rsidR="00E0467A" w:rsidRPr="002465E4" w:rsidRDefault="00E0467A" w:rsidP="00147393">
            <w:pPr>
              <w:spacing w:before="40" w:after="40" w:line="220" w:lineRule="exact"/>
              <w:rPr>
                <w:sz w:val="18"/>
                <w:szCs w:val="18"/>
                <w:lang w:eastAsia="en-IE"/>
              </w:rPr>
            </w:pPr>
            <w:r w:rsidRPr="002465E4">
              <w:rPr>
                <w:sz w:val="18"/>
                <w:szCs w:val="18"/>
                <w:lang w:eastAsia="en-IE"/>
              </w:rPr>
              <w:t>Less than 3 months</w:t>
            </w:r>
          </w:p>
        </w:tc>
        <w:tc>
          <w:tcPr>
            <w:tcW w:w="1986" w:type="dxa"/>
            <w:noWrap/>
            <w:tcMar>
              <w:top w:w="0" w:type="dxa"/>
              <w:left w:w="108" w:type="dxa"/>
              <w:bottom w:w="0" w:type="dxa"/>
              <w:right w:w="108" w:type="dxa"/>
            </w:tcMar>
            <w:hideMark/>
          </w:tcPr>
          <w:p w14:paraId="619BED5B" w14:textId="77777777" w:rsidR="00E0467A" w:rsidRPr="00C054FD" w:rsidRDefault="00E0467A" w:rsidP="00147393">
            <w:pPr>
              <w:spacing w:before="40" w:after="40" w:line="220" w:lineRule="exact"/>
              <w:rPr>
                <w:sz w:val="18"/>
                <w:szCs w:val="18"/>
                <w:highlight w:val="lightGray"/>
                <w:lang w:eastAsia="en-IE"/>
              </w:rPr>
            </w:pPr>
            <w:r w:rsidRPr="00C054FD">
              <w:rPr>
                <w:sz w:val="18"/>
                <w:szCs w:val="18"/>
                <w:highlight w:val="lightGray"/>
                <w:lang w:eastAsia="en-IE"/>
              </w:rPr>
              <w:t>1,152</w:t>
            </w:r>
          </w:p>
        </w:tc>
      </w:tr>
      <w:tr w:rsidR="00E0467A" w:rsidRPr="002465E4" w14:paraId="283C74D2" w14:textId="77777777" w:rsidTr="00E0467A">
        <w:tc>
          <w:tcPr>
            <w:tcW w:w="5384" w:type="dxa"/>
            <w:noWrap/>
            <w:tcMar>
              <w:top w:w="0" w:type="dxa"/>
              <w:left w:w="108" w:type="dxa"/>
              <w:bottom w:w="0" w:type="dxa"/>
              <w:right w:w="108" w:type="dxa"/>
            </w:tcMar>
            <w:hideMark/>
          </w:tcPr>
          <w:p w14:paraId="7BAFAFC5" w14:textId="77777777" w:rsidR="00E0467A" w:rsidRPr="002465E4" w:rsidRDefault="00E0467A" w:rsidP="00147393">
            <w:pPr>
              <w:spacing w:before="40" w:after="40" w:line="220" w:lineRule="exact"/>
              <w:rPr>
                <w:sz w:val="18"/>
                <w:szCs w:val="18"/>
                <w:lang w:eastAsia="en-IE"/>
              </w:rPr>
            </w:pPr>
            <w:r w:rsidRPr="002465E4">
              <w:rPr>
                <w:sz w:val="18"/>
                <w:szCs w:val="18"/>
                <w:lang w:eastAsia="en-IE"/>
              </w:rPr>
              <w:t>Between 3 and 6 months</w:t>
            </w:r>
          </w:p>
        </w:tc>
        <w:tc>
          <w:tcPr>
            <w:tcW w:w="1986" w:type="dxa"/>
            <w:noWrap/>
            <w:tcMar>
              <w:top w:w="0" w:type="dxa"/>
              <w:left w:w="108" w:type="dxa"/>
              <w:bottom w:w="0" w:type="dxa"/>
              <w:right w:w="108" w:type="dxa"/>
            </w:tcMar>
            <w:hideMark/>
          </w:tcPr>
          <w:p w14:paraId="1DF7030B" w14:textId="77777777" w:rsidR="00E0467A" w:rsidRPr="00C054FD" w:rsidRDefault="00E0467A" w:rsidP="00147393">
            <w:pPr>
              <w:spacing w:before="40" w:after="40" w:line="220" w:lineRule="exact"/>
              <w:rPr>
                <w:sz w:val="18"/>
                <w:szCs w:val="18"/>
                <w:highlight w:val="lightGray"/>
                <w:lang w:eastAsia="en-IE"/>
              </w:rPr>
            </w:pPr>
            <w:r w:rsidRPr="00C054FD">
              <w:rPr>
                <w:sz w:val="18"/>
                <w:szCs w:val="18"/>
                <w:highlight w:val="lightGray"/>
                <w:lang w:eastAsia="en-IE"/>
              </w:rPr>
              <w:t>687</w:t>
            </w:r>
          </w:p>
        </w:tc>
      </w:tr>
      <w:tr w:rsidR="00E0467A" w:rsidRPr="002465E4" w14:paraId="763F21B9" w14:textId="77777777" w:rsidTr="00E0467A">
        <w:tc>
          <w:tcPr>
            <w:tcW w:w="5384" w:type="dxa"/>
            <w:noWrap/>
            <w:tcMar>
              <w:top w:w="0" w:type="dxa"/>
              <w:left w:w="108" w:type="dxa"/>
              <w:bottom w:w="0" w:type="dxa"/>
              <w:right w:w="108" w:type="dxa"/>
            </w:tcMar>
            <w:hideMark/>
          </w:tcPr>
          <w:p w14:paraId="325A5C21" w14:textId="77777777" w:rsidR="00E0467A" w:rsidRPr="002465E4" w:rsidRDefault="00E0467A" w:rsidP="00147393">
            <w:pPr>
              <w:spacing w:before="40" w:after="40" w:line="220" w:lineRule="exact"/>
              <w:rPr>
                <w:sz w:val="18"/>
                <w:szCs w:val="18"/>
                <w:lang w:eastAsia="en-IE"/>
              </w:rPr>
            </w:pPr>
            <w:r w:rsidRPr="002465E4">
              <w:rPr>
                <w:sz w:val="18"/>
                <w:szCs w:val="18"/>
                <w:lang w:eastAsia="en-IE"/>
              </w:rPr>
              <w:lastRenderedPageBreak/>
              <w:t>Between 6 and 12 months</w:t>
            </w:r>
          </w:p>
        </w:tc>
        <w:tc>
          <w:tcPr>
            <w:tcW w:w="1986" w:type="dxa"/>
            <w:noWrap/>
            <w:tcMar>
              <w:top w:w="0" w:type="dxa"/>
              <w:left w:w="108" w:type="dxa"/>
              <w:bottom w:w="0" w:type="dxa"/>
              <w:right w:w="108" w:type="dxa"/>
            </w:tcMar>
            <w:hideMark/>
          </w:tcPr>
          <w:p w14:paraId="4F8D2E89" w14:textId="77777777" w:rsidR="00E0467A" w:rsidRPr="00C054FD" w:rsidRDefault="00E0467A" w:rsidP="00147393">
            <w:pPr>
              <w:spacing w:before="40" w:after="40" w:line="220" w:lineRule="exact"/>
              <w:rPr>
                <w:sz w:val="18"/>
                <w:szCs w:val="18"/>
                <w:highlight w:val="lightGray"/>
                <w:lang w:eastAsia="en-IE"/>
              </w:rPr>
            </w:pPr>
            <w:r w:rsidRPr="00C054FD">
              <w:rPr>
                <w:sz w:val="18"/>
                <w:szCs w:val="18"/>
                <w:highlight w:val="lightGray"/>
                <w:lang w:eastAsia="en-IE"/>
              </w:rPr>
              <w:t>561</w:t>
            </w:r>
          </w:p>
        </w:tc>
      </w:tr>
      <w:tr w:rsidR="00E0467A" w:rsidRPr="002465E4" w14:paraId="72AFBCF7" w14:textId="77777777" w:rsidTr="00E0467A">
        <w:tc>
          <w:tcPr>
            <w:tcW w:w="5384" w:type="dxa"/>
            <w:noWrap/>
            <w:tcMar>
              <w:top w:w="0" w:type="dxa"/>
              <w:left w:w="108" w:type="dxa"/>
              <w:bottom w:w="0" w:type="dxa"/>
              <w:right w:w="108" w:type="dxa"/>
            </w:tcMar>
            <w:hideMark/>
          </w:tcPr>
          <w:p w14:paraId="6EFD9BE2" w14:textId="77777777" w:rsidR="00E0467A" w:rsidRPr="002465E4" w:rsidRDefault="00E0467A" w:rsidP="00147393">
            <w:pPr>
              <w:spacing w:before="40" w:after="40" w:line="220" w:lineRule="exact"/>
              <w:rPr>
                <w:sz w:val="18"/>
                <w:szCs w:val="18"/>
                <w:lang w:eastAsia="en-IE"/>
              </w:rPr>
            </w:pPr>
            <w:r w:rsidRPr="002465E4">
              <w:rPr>
                <w:sz w:val="18"/>
                <w:szCs w:val="18"/>
                <w:lang w:eastAsia="en-IE"/>
              </w:rPr>
              <w:t>Between 12 and 24 months</w:t>
            </w:r>
          </w:p>
        </w:tc>
        <w:tc>
          <w:tcPr>
            <w:tcW w:w="1986" w:type="dxa"/>
            <w:noWrap/>
            <w:tcMar>
              <w:top w:w="0" w:type="dxa"/>
              <w:left w:w="108" w:type="dxa"/>
              <w:bottom w:w="0" w:type="dxa"/>
              <w:right w:w="108" w:type="dxa"/>
            </w:tcMar>
            <w:hideMark/>
          </w:tcPr>
          <w:p w14:paraId="125219AD" w14:textId="77777777" w:rsidR="00E0467A" w:rsidRPr="00C054FD" w:rsidRDefault="00E0467A" w:rsidP="00147393">
            <w:pPr>
              <w:spacing w:before="40" w:after="40" w:line="220" w:lineRule="exact"/>
              <w:rPr>
                <w:sz w:val="18"/>
                <w:szCs w:val="18"/>
                <w:highlight w:val="lightGray"/>
                <w:lang w:eastAsia="en-IE"/>
              </w:rPr>
            </w:pPr>
            <w:r w:rsidRPr="00C054FD">
              <w:rPr>
                <w:sz w:val="18"/>
                <w:szCs w:val="18"/>
                <w:highlight w:val="lightGray"/>
                <w:lang w:eastAsia="en-IE"/>
              </w:rPr>
              <w:t>912</w:t>
            </w:r>
          </w:p>
        </w:tc>
      </w:tr>
      <w:tr w:rsidR="00E0467A" w:rsidRPr="002465E4" w14:paraId="011592E8" w14:textId="77777777" w:rsidTr="00E0467A">
        <w:tc>
          <w:tcPr>
            <w:tcW w:w="5384" w:type="dxa"/>
            <w:noWrap/>
            <w:tcMar>
              <w:top w:w="0" w:type="dxa"/>
              <w:left w:w="108" w:type="dxa"/>
              <w:bottom w:w="0" w:type="dxa"/>
              <w:right w:w="108" w:type="dxa"/>
            </w:tcMar>
            <w:hideMark/>
          </w:tcPr>
          <w:p w14:paraId="5AF135A2" w14:textId="77777777" w:rsidR="00E0467A" w:rsidRPr="002465E4" w:rsidRDefault="00E0467A" w:rsidP="00147393">
            <w:pPr>
              <w:spacing w:before="40" w:after="40" w:line="220" w:lineRule="exact"/>
              <w:rPr>
                <w:sz w:val="18"/>
                <w:szCs w:val="18"/>
                <w:lang w:eastAsia="en-IE"/>
              </w:rPr>
            </w:pPr>
            <w:r w:rsidRPr="002465E4">
              <w:rPr>
                <w:sz w:val="18"/>
                <w:szCs w:val="18"/>
                <w:lang w:eastAsia="en-IE"/>
              </w:rPr>
              <w:t>More than 24 months</w:t>
            </w:r>
          </w:p>
        </w:tc>
        <w:tc>
          <w:tcPr>
            <w:tcW w:w="1986" w:type="dxa"/>
            <w:noWrap/>
            <w:tcMar>
              <w:top w:w="0" w:type="dxa"/>
              <w:left w:w="108" w:type="dxa"/>
              <w:bottom w:w="0" w:type="dxa"/>
              <w:right w:w="108" w:type="dxa"/>
            </w:tcMar>
            <w:hideMark/>
          </w:tcPr>
          <w:p w14:paraId="72A362E3" w14:textId="77777777" w:rsidR="00E0467A" w:rsidRPr="00C054FD" w:rsidRDefault="00E0467A" w:rsidP="00147393">
            <w:pPr>
              <w:spacing w:before="40" w:after="40" w:line="220" w:lineRule="exact"/>
              <w:rPr>
                <w:sz w:val="18"/>
                <w:szCs w:val="18"/>
                <w:highlight w:val="lightGray"/>
                <w:lang w:eastAsia="en-IE"/>
              </w:rPr>
            </w:pPr>
            <w:r w:rsidRPr="00C054FD">
              <w:rPr>
                <w:sz w:val="18"/>
                <w:szCs w:val="18"/>
                <w:highlight w:val="lightGray"/>
                <w:lang w:eastAsia="en-IE"/>
              </w:rPr>
              <w:t>2,119</w:t>
            </w:r>
          </w:p>
        </w:tc>
      </w:tr>
      <w:tr w:rsidR="00E0467A" w:rsidRPr="00F557EC" w14:paraId="613F9C63" w14:textId="77777777" w:rsidTr="00E0467A">
        <w:tc>
          <w:tcPr>
            <w:tcW w:w="5384" w:type="dxa"/>
            <w:tcBorders>
              <w:top w:val="nil"/>
              <w:left w:val="nil"/>
              <w:bottom w:val="single" w:sz="12" w:space="0" w:color="auto"/>
              <w:right w:val="nil"/>
            </w:tcBorders>
            <w:noWrap/>
            <w:tcMar>
              <w:top w:w="0" w:type="dxa"/>
              <w:left w:w="108" w:type="dxa"/>
              <w:bottom w:w="0" w:type="dxa"/>
              <w:right w:w="108" w:type="dxa"/>
            </w:tcMar>
            <w:hideMark/>
          </w:tcPr>
          <w:p w14:paraId="33B18C3F" w14:textId="77777777" w:rsidR="00E0467A" w:rsidRPr="002465E4" w:rsidRDefault="00E0467A" w:rsidP="00147393">
            <w:pPr>
              <w:spacing w:before="40" w:after="40" w:line="220" w:lineRule="exact"/>
              <w:rPr>
                <w:sz w:val="18"/>
                <w:szCs w:val="18"/>
                <w:lang w:eastAsia="en-IE"/>
              </w:rPr>
            </w:pPr>
            <w:r w:rsidRPr="002465E4">
              <w:rPr>
                <w:sz w:val="18"/>
                <w:szCs w:val="18"/>
                <w:lang w:eastAsia="en-IE"/>
              </w:rPr>
              <w:t xml:space="preserve">Total </w:t>
            </w:r>
          </w:p>
        </w:tc>
        <w:tc>
          <w:tcPr>
            <w:tcW w:w="1986" w:type="dxa"/>
            <w:tcBorders>
              <w:top w:val="nil"/>
              <w:left w:val="nil"/>
              <w:bottom w:val="single" w:sz="12" w:space="0" w:color="auto"/>
              <w:right w:val="nil"/>
            </w:tcBorders>
            <w:noWrap/>
            <w:tcMar>
              <w:top w:w="0" w:type="dxa"/>
              <w:left w:w="108" w:type="dxa"/>
              <w:bottom w:w="0" w:type="dxa"/>
              <w:right w:w="108" w:type="dxa"/>
            </w:tcMar>
            <w:hideMark/>
          </w:tcPr>
          <w:p w14:paraId="3D5E2F0B" w14:textId="77777777" w:rsidR="00E0467A" w:rsidRPr="00C054FD" w:rsidRDefault="00E0467A" w:rsidP="00147393">
            <w:pPr>
              <w:spacing w:before="40" w:after="40" w:line="220" w:lineRule="exact"/>
              <w:rPr>
                <w:sz w:val="18"/>
                <w:szCs w:val="18"/>
                <w:highlight w:val="lightGray"/>
                <w:lang w:eastAsia="en-IE"/>
              </w:rPr>
            </w:pPr>
            <w:r w:rsidRPr="00C054FD">
              <w:rPr>
                <w:sz w:val="18"/>
                <w:szCs w:val="18"/>
                <w:highlight w:val="lightGray"/>
                <w:lang w:eastAsia="en-IE"/>
              </w:rPr>
              <w:t>5,431</w:t>
            </w:r>
          </w:p>
        </w:tc>
      </w:tr>
    </w:tbl>
    <w:p w14:paraId="120577C0" w14:textId="12A88073" w:rsidR="00A00DEA" w:rsidRDefault="00A00DEA" w:rsidP="00A00DEA">
      <w:pPr>
        <w:pStyle w:val="SingleTxtG"/>
        <w:rPr>
          <w:b/>
        </w:rPr>
      </w:pPr>
      <w:r w:rsidRPr="007A6988">
        <w:rPr>
          <w:b/>
        </w:rPr>
        <w:t>Applications made under the International Protection Act 2015, commenced on 31 December 2016.</w:t>
      </w:r>
    </w:p>
    <w:tbl>
      <w:tblPr>
        <w:tblW w:w="7370" w:type="dxa"/>
        <w:tblInd w:w="1134" w:type="dxa"/>
        <w:tblLayout w:type="fixed"/>
        <w:tblCellMar>
          <w:left w:w="0" w:type="dxa"/>
          <w:right w:w="0" w:type="dxa"/>
        </w:tblCellMar>
        <w:tblLook w:val="04A0" w:firstRow="1" w:lastRow="0" w:firstColumn="1" w:lastColumn="0" w:noHBand="0" w:noVBand="1"/>
      </w:tblPr>
      <w:tblGrid>
        <w:gridCol w:w="4280"/>
        <w:gridCol w:w="3090"/>
      </w:tblGrid>
      <w:tr w:rsidR="00E0467A" w14:paraId="6A66A7BF" w14:textId="77777777" w:rsidTr="00E0467A">
        <w:trPr>
          <w:tblHeader/>
        </w:trPr>
        <w:tc>
          <w:tcPr>
            <w:tcW w:w="7370" w:type="dxa"/>
            <w:gridSpan w:val="2"/>
            <w:tcBorders>
              <w:top w:val="single" w:sz="4" w:space="0" w:color="auto"/>
              <w:bottom w:val="single" w:sz="12" w:space="0" w:color="auto"/>
            </w:tcBorders>
            <w:shd w:val="clear" w:color="auto" w:fill="auto"/>
            <w:vAlign w:val="bottom"/>
            <w:hideMark/>
          </w:tcPr>
          <w:p w14:paraId="285545E2" w14:textId="77777777" w:rsidR="00E0467A" w:rsidRPr="00E0467A" w:rsidRDefault="00E0467A" w:rsidP="00E0467A">
            <w:pPr>
              <w:suppressAutoHyphens w:val="0"/>
              <w:spacing w:before="80" w:after="80" w:line="200" w:lineRule="exact"/>
              <w:rPr>
                <w:i/>
                <w:sz w:val="16"/>
                <w:lang w:eastAsia="en-IE"/>
              </w:rPr>
            </w:pPr>
            <w:r w:rsidRPr="00E0467A">
              <w:rPr>
                <w:i/>
                <w:sz w:val="16"/>
                <w:lang w:eastAsia="en-IE"/>
              </w:rPr>
              <w:t>2017- 2021</w:t>
            </w:r>
          </w:p>
        </w:tc>
      </w:tr>
      <w:tr w:rsidR="00E0467A" w14:paraId="6CBFA6A1" w14:textId="77777777" w:rsidTr="00E0467A">
        <w:tc>
          <w:tcPr>
            <w:tcW w:w="4280" w:type="dxa"/>
            <w:hideMark/>
          </w:tcPr>
          <w:p w14:paraId="7F3E3083" w14:textId="77777777" w:rsidR="00E0467A" w:rsidRDefault="00E0467A" w:rsidP="00147393">
            <w:pPr>
              <w:spacing w:before="40" w:after="40" w:line="220" w:lineRule="exact"/>
              <w:rPr>
                <w:sz w:val="18"/>
                <w:szCs w:val="18"/>
                <w:lang w:eastAsia="en-IE"/>
              </w:rPr>
            </w:pPr>
            <w:r>
              <w:rPr>
                <w:b/>
                <w:bCs/>
                <w:sz w:val="18"/>
                <w:szCs w:val="18"/>
                <w:lang w:eastAsia="en-IE"/>
              </w:rPr>
              <w:t>Year</w:t>
            </w:r>
          </w:p>
        </w:tc>
        <w:tc>
          <w:tcPr>
            <w:tcW w:w="3090" w:type="dxa"/>
            <w:hideMark/>
          </w:tcPr>
          <w:p w14:paraId="0FD80189" w14:textId="77777777" w:rsidR="00E0467A" w:rsidRDefault="00E0467A" w:rsidP="00147393">
            <w:pPr>
              <w:spacing w:before="40" w:after="40" w:line="220" w:lineRule="exact"/>
              <w:rPr>
                <w:sz w:val="18"/>
                <w:szCs w:val="18"/>
                <w:lang w:eastAsia="en-IE"/>
              </w:rPr>
            </w:pPr>
            <w:r>
              <w:rPr>
                <w:b/>
                <w:bCs/>
                <w:sz w:val="18"/>
                <w:szCs w:val="18"/>
                <w:lang w:eastAsia="en-IE"/>
              </w:rPr>
              <w:t>Total</w:t>
            </w:r>
          </w:p>
        </w:tc>
      </w:tr>
      <w:tr w:rsidR="00E0467A" w14:paraId="0E0B5382" w14:textId="77777777" w:rsidTr="00E0467A">
        <w:tc>
          <w:tcPr>
            <w:tcW w:w="4280" w:type="dxa"/>
            <w:hideMark/>
          </w:tcPr>
          <w:p w14:paraId="0F6861BB" w14:textId="77777777" w:rsidR="00E0467A" w:rsidRDefault="00E0467A" w:rsidP="00147393">
            <w:pPr>
              <w:spacing w:before="40" w:after="40" w:line="220" w:lineRule="exact"/>
              <w:rPr>
                <w:sz w:val="18"/>
                <w:szCs w:val="18"/>
                <w:lang w:eastAsia="en-IE"/>
              </w:rPr>
            </w:pPr>
            <w:r>
              <w:rPr>
                <w:sz w:val="18"/>
                <w:szCs w:val="18"/>
                <w:lang w:eastAsia="en-IE"/>
              </w:rPr>
              <w:t>2017</w:t>
            </w:r>
          </w:p>
        </w:tc>
        <w:tc>
          <w:tcPr>
            <w:tcW w:w="3090" w:type="dxa"/>
            <w:hideMark/>
          </w:tcPr>
          <w:p w14:paraId="327A047F" w14:textId="77777777" w:rsidR="00E0467A" w:rsidRDefault="00E0467A" w:rsidP="00147393">
            <w:pPr>
              <w:spacing w:before="40" w:after="40" w:line="220" w:lineRule="exact"/>
              <w:rPr>
                <w:sz w:val="18"/>
                <w:szCs w:val="18"/>
                <w:lang w:eastAsia="en-IE"/>
              </w:rPr>
            </w:pPr>
            <w:r>
              <w:rPr>
                <w:sz w:val="18"/>
                <w:szCs w:val="18"/>
                <w:lang w:eastAsia="en-IE"/>
              </w:rPr>
              <w:t>2,920</w:t>
            </w:r>
          </w:p>
        </w:tc>
      </w:tr>
      <w:tr w:rsidR="00E0467A" w14:paraId="1FC8E2CB" w14:textId="77777777" w:rsidTr="00E0467A">
        <w:tc>
          <w:tcPr>
            <w:tcW w:w="4280" w:type="dxa"/>
            <w:hideMark/>
          </w:tcPr>
          <w:p w14:paraId="638F4DC2" w14:textId="77777777" w:rsidR="00E0467A" w:rsidRDefault="00E0467A" w:rsidP="00147393">
            <w:pPr>
              <w:spacing w:before="40" w:after="40" w:line="220" w:lineRule="exact"/>
              <w:rPr>
                <w:sz w:val="18"/>
                <w:szCs w:val="18"/>
                <w:lang w:eastAsia="en-IE"/>
              </w:rPr>
            </w:pPr>
            <w:r>
              <w:rPr>
                <w:sz w:val="18"/>
                <w:szCs w:val="18"/>
                <w:lang w:eastAsia="en-IE"/>
              </w:rPr>
              <w:t>2018</w:t>
            </w:r>
          </w:p>
        </w:tc>
        <w:tc>
          <w:tcPr>
            <w:tcW w:w="3090" w:type="dxa"/>
            <w:hideMark/>
          </w:tcPr>
          <w:p w14:paraId="0BA6F9C6" w14:textId="77777777" w:rsidR="00E0467A" w:rsidRDefault="00E0467A" w:rsidP="00147393">
            <w:pPr>
              <w:spacing w:before="40" w:after="40" w:line="220" w:lineRule="exact"/>
              <w:rPr>
                <w:sz w:val="18"/>
                <w:szCs w:val="18"/>
                <w:lang w:eastAsia="en-IE"/>
              </w:rPr>
            </w:pPr>
            <w:r>
              <w:rPr>
                <w:sz w:val="18"/>
                <w:szCs w:val="18"/>
                <w:lang w:eastAsia="en-IE"/>
              </w:rPr>
              <w:t>3,674</w:t>
            </w:r>
          </w:p>
        </w:tc>
      </w:tr>
      <w:tr w:rsidR="00E0467A" w:rsidRPr="00F557EC" w14:paraId="45FEC8A3" w14:textId="77777777" w:rsidTr="00E0467A">
        <w:tc>
          <w:tcPr>
            <w:tcW w:w="4280" w:type="dxa"/>
            <w:hideMark/>
          </w:tcPr>
          <w:p w14:paraId="78B1529F" w14:textId="77777777" w:rsidR="00E0467A" w:rsidRPr="00F557EC" w:rsidRDefault="00E0467A" w:rsidP="00147393">
            <w:pPr>
              <w:spacing w:before="40" w:after="40" w:line="220" w:lineRule="exact"/>
              <w:rPr>
                <w:sz w:val="18"/>
                <w:szCs w:val="18"/>
                <w:lang w:eastAsia="en-IE"/>
              </w:rPr>
            </w:pPr>
            <w:r w:rsidRPr="00F557EC">
              <w:rPr>
                <w:sz w:val="18"/>
                <w:szCs w:val="18"/>
                <w:lang w:eastAsia="en-IE"/>
              </w:rPr>
              <w:t>2019</w:t>
            </w:r>
          </w:p>
        </w:tc>
        <w:tc>
          <w:tcPr>
            <w:tcW w:w="3090" w:type="dxa"/>
            <w:hideMark/>
          </w:tcPr>
          <w:p w14:paraId="45BB858A" w14:textId="77777777" w:rsidR="00E0467A" w:rsidRPr="00F557EC" w:rsidRDefault="00E0467A" w:rsidP="00147393">
            <w:pPr>
              <w:spacing w:before="40" w:after="40" w:line="220" w:lineRule="exact"/>
              <w:rPr>
                <w:sz w:val="18"/>
                <w:szCs w:val="18"/>
                <w:lang w:eastAsia="en-IE"/>
              </w:rPr>
            </w:pPr>
            <w:r w:rsidRPr="00F557EC">
              <w:rPr>
                <w:sz w:val="18"/>
                <w:szCs w:val="18"/>
                <w:lang w:eastAsia="en-IE"/>
              </w:rPr>
              <w:t>4,781</w:t>
            </w:r>
          </w:p>
        </w:tc>
      </w:tr>
      <w:tr w:rsidR="00E0467A" w:rsidRPr="00F557EC" w14:paraId="5CCAB5FE" w14:textId="77777777" w:rsidTr="00E0467A">
        <w:tc>
          <w:tcPr>
            <w:tcW w:w="4280" w:type="dxa"/>
            <w:hideMark/>
          </w:tcPr>
          <w:p w14:paraId="5A63F652" w14:textId="77777777" w:rsidR="00E0467A" w:rsidRPr="00C054FD" w:rsidRDefault="00E0467A" w:rsidP="00147393">
            <w:pPr>
              <w:spacing w:before="40" w:after="40" w:line="220" w:lineRule="exact"/>
              <w:rPr>
                <w:sz w:val="18"/>
                <w:szCs w:val="18"/>
                <w:lang w:eastAsia="en-IE"/>
              </w:rPr>
            </w:pPr>
            <w:r w:rsidRPr="00C054FD">
              <w:rPr>
                <w:sz w:val="18"/>
                <w:szCs w:val="18"/>
                <w:lang w:eastAsia="en-IE"/>
              </w:rPr>
              <w:t>2020</w:t>
            </w:r>
          </w:p>
          <w:p w14:paraId="47ED9137" w14:textId="77777777" w:rsidR="00E0467A" w:rsidRPr="00C054FD" w:rsidRDefault="00E0467A" w:rsidP="00147393">
            <w:pPr>
              <w:spacing w:before="40" w:after="40" w:line="220" w:lineRule="exact"/>
              <w:rPr>
                <w:sz w:val="18"/>
                <w:szCs w:val="18"/>
                <w:lang w:eastAsia="en-IE"/>
              </w:rPr>
            </w:pPr>
            <w:r w:rsidRPr="00C054FD">
              <w:rPr>
                <w:sz w:val="18"/>
                <w:szCs w:val="18"/>
                <w:highlight w:val="lightGray"/>
                <w:lang w:eastAsia="en-IE"/>
              </w:rPr>
              <w:t>2021</w:t>
            </w:r>
          </w:p>
        </w:tc>
        <w:tc>
          <w:tcPr>
            <w:tcW w:w="3090" w:type="dxa"/>
            <w:hideMark/>
          </w:tcPr>
          <w:p w14:paraId="7FE8B442" w14:textId="77777777" w:rsidR="00E0467A" w:rsidRPr="00C054FD" w:rsidRDefault="00E0467A" w:rsidP="00147393">
            <w:pPr>
              <w:spacing w:before="40" w:after="40" w:line="220" w:lineRule="exact"/>
              <w:rPr>
                <w:sz w:val="18"/>
                <w:szCs w:val="18"/>
                <w:lang w:eastAsia="en-IE"/>
              </w:rPr>
            </w:pPr>
            <w:r w:rsidRPr="00C054FD">
              <w:rPr>
                <w:sz w:val="18"/>
                <w:szCs w:val="18"/>
                <w:lang w:eastAsia="en-IE"/>
              </w:rPr>
              <w:t>1,566*</w:t>
            </w:r>
          </w:p>
          <w:p w14:paraId="1D583A8B" w14:textId="77777777" w:rsidR="00E0467A" w:rsidRPr="00C054FD" w:rsidRDefault="00E0467A" w:rsidP="00147393">
            <w:pPr>
              <w:spacing w:before="40" w:after="40" w:line="220" w:lineRule="exact"/>
              <w:rPr>
                <w:sz w:val="18"/>
                <w:szCs w:val="18"/>
                <w:highlight w:val="lightGray"/>
                <w:lang w:eastAsia="en-IE"/>
              </w:rPr>
            </w:pPr>
            <w:r w:rsidRPr="00C054FD">
              <w:rPr>
                <w:sz w:val="18"/>
                <w:szCs w:val="18"/>
                <w:highlight w:val="lightGray"/>
                <w:lang w:eastAsia="en-IE"/>
              </w:rPr>
              <w:t>2, 649</w:t>
            </w:r>
          </w:p>
        </w:tc>
      </w:tr>
      <w:tr w:rsidR="00E0467A" w:rsidRPr="002465E4" w14:paraId="5424F14C" w14:textId="77777777" w:rsidTr="00E0467A">
        <w:tc>
          <w:tcPr>
            <w:tcW w:w="4280" w:type="dxa"/>
            <w:tcBorders>
              <w:top w:val="nil"/>
              <w:left w:val="nil"/>
              <w:bottom w:val="single" w:sz="12" w:space="0" w:color="auto"/>
              <w:right w:val="nil"/>
            </w:tcBorders>
            <w:hideMark/>
          </w:tcPr>
          <w:p w14:paraId="67B4C6C2" w14:textId="77777777" w:rsidR="00E0467A" w:rsidRPr="00CB61E4" w:rsidRDefault="00E0467A" w:rsidP="00147393">
            <w:pPr>
              <w:spacing w:before="40" w:after="40" w:line="220" w:lineRule="exact"/>
              <w:rPr>
                <w:sz w:val="18"/>
                <w:szCs w:val="18"/>
                <w:highlight w:val="lightGray"/>
                <w:lang w:eastAsia="en-IE"/>
              </w:rPr>
            </w:pPr>
            <w:r w:rsidRPr="00CB61E4">
              <w:rPr>
                <w:b/>
                <w:bCs/>
                <w:sz w:val="18"/>
                <w:szCs w:val="18"/>
                <w:highlight w:val="lightGray"/>
                <w:lang w:eastAsia="en-IE"/>
              </w:rPr>
              <w:t>Total</w:t>
            </w:r>
          </w:p>
        </w:tc>
        <w:tc>
          <w:tcPr>
            <w:tcW w:w="3090" w:type="dxa"/>
            <w:tcBorders>
              <w:top w:val="nil"/>
              <w:left w:val="nil"/>
              <w:bottom w:val="single" w:sz="12" w:space="0" w:color="auto"/>
              <w:right w:val="nil"/>
            </w:tcBorders>
            <w:hideMark/>
          </w:tcPr>
          <w:p w14:paraId="1D39F97D" w14:textId="71A47F7D" w:rsidR="00E0467A" w:rsidRPr="00CB61E4" w:rsidRDefault="00CB61E4" w:rsidP="00147393">
            <w:pPr>
              <w:spacing w:before="40" w:after="40" w:line="220" w:lineRule="exact"/>
              <w:rPr>
                <w:sz w:val="18"/>
                <w:szCs w:val="18"/>
                <w:highlight w:val="lightGray"/>
                <w:lang w:eastAsia="en-IE"/>
              </w:rPr>
            </w:pPr>
            <w:r w:rsidRPr="00CB61E4">
              <w:rPr>
                <w:b/>
                <w:bCs/>
                <w:sz w:val="18"/>
                <w:szCs w:val="18"/>
                <w:highlight w:val="lightGray"/>
                <w:lang w:eastAsia="en-IE"/>
              </w:rPr>
              <w:t>15,590</w:t>
            </w:r>
          </w:p>
        </w:tc>
      </w:tr>
    </w:tbl>
    <w:p w14:paraId="7AD7540B" w14:textId="77777777" w:rsidR="00A00DEA" w:rsidRPr="00991B0B" w:rsidRDefault="00A00DEA" w:rsidP="00A00DEA">
      <w:pPr>
        <w:pStyle w:val="SingleTxtG"/>
      </w:pPr>
      <w:r>
        <w:t xml:space="preserve">*Statistics </w:t>
      </w:r>
      <w:r w:rsidRPr="00E65E38">
        <w:t>may be subject to data cleansing.</w:t>
      </w:r>
    </w:p>
    <w:p w14:paraId="67C6AD16" w14:textId="51630076" w:rsidR="00E0467A" w:rsidRDefault="00E0467A" w:rsidP="00E0467A">
      <w:pPr>
        <w:pStyle w:val="SingleTxtG"/>
      </w:pPr>
      <w:r w:rsidRPr="00F557EC">
        <w:t xml:space="preserve">The median processing time for all international protection applications determined at first instance in 2018 was 19.7 months, 17.5 months in 2019, 17.6 months in 2020 </w:t>
      </w:r>
      <w:r w:rsidRPr="003D10C9">
        <w:rPr>
          <w:highlight w:val="lightGray"/>
        </w:rPr>
        <w:t>and 23 months in 2021.</w:t>
      </w:r>
    </w:p>
    <w:p w14:paraId="338D1ECC" w14:textId="47021A75" w:rsidR="00A00DEA" w:rsidRPr="00A7627F" w:rsidRDefault="00116EDD" w:rsidP="00116EDD">
      <w:pPr>
        <w:pStyle w:val="H23G"/>
      </w:pPr>
      <w:r>
        <w:tab/>
      </w:r>
      <w:r>
        <w:tab/>
      </w:r>
      <w:r w:rsidR="00A00DEA">
        <w:t xml:space="preserve">Reply to paragraph 19(b) </w:t>
      </w:r>
    </w:p>
    <w:p w14:paraId="47E33D7E" w14:textId="12E766B1" w:rsidR="00A00DEA" w:rsidRPr="00E65E38" w:rsidRDefault="00A00DEA" w:rsidP="00A00DEA">
      <w:pPr>
        <w:pStyle w:val="SingleTxtG"/>
        <w:kinsoku/>
        <w:overflowPunct/>
        <w:autoSpaceDE/>
        <w:autoSpaceDN/>
        <w:adjustRightInd/>
        <w:snapToGrid/>
      </w:pPr>
      <w:r w:rsidRPr="00E65E38">
        <w:t>1</w:t>
      </w:r>
      <w:r w:rsidR="00855E70">
        <w:t>53</w:t>
      </w:r>
      <w:r w:rsidRPr="00E65E38">
        <w:t>.</w:t>
      </w:r>
      <w:r w:rsidRPr="00E65E38">
        <w:tab/>
      </w:r>
      <w:r>
        <w:t>IPAT was established on 31</w:t>
      </w:r>
      <w:r w:rsidRPr="00E65E38">
        <w:t xml:space="preserve"> December 2016 </w:t>
      </w:r>
      <w:r>
        <w:t>and replaced the RAT. IPAT’s function</w:t>
      </w:r>
      <w:r w:rsidRPr="00E65E38">
        <w:t xml:space="preserve"> is to determine appeals against decisions made by an International Protection Officer on applications for protection status</w:t>
      </w:r>
      <w:r>
        <w:t>. IPAT</w:t>
      </w:r>
      <w:r w:rsidRPr="00E65E38">
        <w:t xml:space="preserve"> also determines appeals under the </w:t>
      </w:r>
      <w:r>
        <w:t>EU</w:t>
      </w:r>
      <w:r w:rsidRPr="00E65E38">
        <w:t xml:space="preserve"> Regulations 2018, as well as appeals against recommendations that an application be deemed inadmissible</w:t>
      </w:r>
      <w:r>
        <w:t>.</w:t>
      </w:r>
      <w:r w:rsidRPr="00E65E38">
        <w:t xml:space="preserve"> </w:t>
      </w:r>
    </w:p>
    <w:p w14:paraId="0C19ED84" w14:textId="77777777" w:rsidR="00A00DEA" w:rsidRPr="00E65E38" w:rsidRDefault="00A00DEA" w:rsidP="00A00DEA">
      <w:pPr>
        <w:pStyle w:val="SingleTxtG"/>
        <w:rPr>
          <w:b/>
        </w:rPr>
      </w:pPr>
      <w:r>
        <w:rPr>
          <w:b/>
        </w:rPr>
        <w:t>I</w:t>
      </w:r>
      <w:r w:rsidRPr="00E65E38">
        <w:rPr>
          <w:b/>
        </w:rPr>
        <w:t>nternational Protection Appeals Tribunal Metrics and Data</w:t>
      </w:r>
    </w:p>
    <w:tbl>
      <w:tblPr>
        <w:tblW w:w="8797" w:type="dxa"/>
        <w:tblInd w:w="1134" w:type="dxa"/>
        <w:tblLayout w:type="fixed"/>
        <w:tblCellMar>
          <w:left w:w="0" w:type="dxa"/>
          <w:right w:w="0" w:type="dxa"/>
        </w:tblCellMar>
        <w:tblLook w:val="04A0" w:firstRow="1" w:lastRow="0" w:firstColumn="1" w:lastColumn="0" w:noHBand="0" w:noVBand="1"/>
      </w:tblPr>
      <w:tblGrid>
        <w:gridCol w:w="3563"/>
        <w:gridCol w:w="1427"/>
        <w:gridCol w:w="1427"/>
        <w:gridCol w:w="1190"/>
        <w:gridCol w:w="1190"/>
      </w:tblGrid>
      <w:tr w:rsidR="00E0467A" w:rsidRPr="00116EDD" w14:paraId="51F98CDB" w14:textId="77777777" w:rsidTr="00951B69">
        <w:trPr>
          <w:tblHeader/>
        </w:trPr>
        <w:tc>
          <w:tcPr>
            <w:tcW w:w="3563" w:type="dxa"/>
            <w:tcBorders>
              <w:top w:val="single" w:sz="4" w:space="0" w:color="auto"/>
              <w:bottom w:val="single" w:sz="12" w:space="0" w:color="auto"/>
            </w:tcBorders>
            <w:shd w:val="clear" w:color="auto" w:fill="auto"/>
            <w:vAlign w:val="bottom"/>
          </w:tcPr>
          <w:p w14:paraId="3EA87B55" w14:textId="77777777" w:rsidR="00E0467A" w:rsidRPr="00116EDD" w:rsidRDefault="00E0467A" w:rsidP="00116EDD">
            <w:pPr>
              <w:suppressAutoHyphens w:val="0"/>
              <w:spacing w:before="80" w:after="80" w:line="200" w:lineRule="exact"/>
              <w:rPr>
                <w:i/>
                <w:sz w:val="16"/>
              </w:rPr>
            </w:pPr>
            <w:r w:rsidRPr="00116EDD">
              <w:rPr>
                <w:i/>
                <w:sz w:val="16"/>
              </w:rPr>
              <w:t>Year</w:t>
            </w:r>
          </w:p>
        </w:tc>
        <w:tc>
          <w:tcPr>
            <w:tcW w:w="1427" w:type="dxa"/>
            <w:tcBorders>
              <w:top w:val="single" w:sz="4" w:space="0" w:color="auto"/>
              <w:bottom w:val="single" w:sz="12" w:space="0" w:color="auto"/>
            </w:tcBorders>
          </w:tcPr>
          <w:p w14:paraId="48E04D23" w14:textId="7C63D199" w:rsidR="00E0467A" w:rsidRPr="003D10C9" w:rsidRDefault="00E0467A" w:rsidP="00116EDD">
            <w:pPr>
              <w:suppressAutoHyphens w:val="0"/>
              <w:spacing w:before="80" w:after="80" w:line="200" w:lineRule="exact"/>
              <w:jc w:val="right"/>
              <w:rPr>
                <w:i/>
                <w:sz w:val="16"/>
                <w:highlight w:val="lightGray"/>
              </w:rPr>
            </w:pPr>
            <w:r w:rsidRPr="003D10C9">
              <w:rPr>
                <w:i/>
                <w:sz w:val="16"/>
                <w:highlight w:val="lightGray"/>
              </w:rPr>
              <w:t>2021</w:t>
            </w:r>
          </w:p>
        </w:tc>
        <w:tc>
          <w:tcPr>
            <w:tcW w:w="1427" w:type="dxa"/>
            <w:tcBorders>
              <w:top w:val="single" w:sz="4" w:space="0" w:color="auto"/>
              <w:bottom w:val="single" w:sz="12" w:space="0" w:color="auto"/>
            </w:tcBorders>
            <w:shd w:val="clear" w:color="auto" w:fill="auto"/>
            <w:vAlign w:val="bottom"/>
          </w:tcPr>
          <w:p w14:paraId="60904771" w14:textId="2A458A88" w:rsidR="00E0467A" w:rsidRPr="003D10C9" w:rsidRDefault="00E0467A" w:rsidP="00116EDD">
            <w:pPr>
              <w:suppressAutoHyphens w:val="0"/>
              <w:spacing w:before="80" w:after="80" w:line="200" w:lineRule="exact"/>
              <w:jc w:val="right"/>
              <w:rPr>
                <w:i/>
                <w:sz w:val="16"/>
                <w:highlight w:val="lightGray"/>
              </w:rPr>
            </w:pPr>
            <w:r w:rsidRPr="003D10C9">
              <w:rPr>
                <w:i/>
                <w:sz w:val="16"/>
                <w:highlight w:val="lightGray"/>
              </w:rPr>
              <w:t>2020</w:t>
            </w:r>
          </w:p>
        </w:tc>
        <w:tc>
          <w:tcPr>
            <w:tcW w:w="1190" w:type="dxa"/>
            <w:tcBorders>
              <w:top w:val="single" w:sz="4" w:space="0" w:color="auto"/>
              <w:bottom w:val="single" w:sz="12" w:space="0" w:color="auto"/>
            </w:tcBorders>
            <w:shd w:val="clear" w:color="auto" w:fill="auto"/>
            <w:vAlign w:val="bottom"/>
          </w:tcPr>
          <w:p w14:paraId="1A11928B" w14:textId="77777777" w:rsidR="00E0467A" w:rsidRPr="003D10C9" w:rsidRDefault="00E0467A" w:rsidP="00116EDD">
            <w:pPr>
              <w:suppressAutoHyphens w:val="0"/>
              <w:spacing w:before="80" w:after="80" w:line="200" w:lineRule="exact"/>
              <w:jc w:val="right"/>
              <w:rPr>
                <w:i/>
                <w:sz w:val="16"/>
                <w:highlight w:val="lightGray"/>
              </w:rPr>
            </w:pPr>
            <w:r w:rsidRPr="003D10C9">
              <w:rPr>
                <w:i/>
                <w:sz w:val="16"/>
                <w:highlight w:val="lightGray"/>
              </w:rPr>
              <w:t>2019</w:t>
            </w:r>
          </w:p>
        </w:tc>
        <w:tc>
          <w:tcPr>
            <w:tcW w:w="1190" w:type="dxa"/>
            <w:tcBorders>
              <w:top w:val="single" w:sz="4" w:space="0" w:color="auto"/>
              <w:bottom w:val="single" w:sz="12" w:space="0" w:color="auto"/>
            </w:tcBorders>
            <w:shd w:val="clear" w:color="auto" w:fill="auto"/>
            <w:vAlign w:val="bottom"/>
          </w:tcPr>
          <w:p w14:paraId="2F2FA5D4" w14:textId="77777777" w:rsidR="00E0467A" w:rsidRPr="003D10C9" w:rsidRDefault="00E0467A" w:rsidP="00116EDD">
            <w:pPr>
              <w:suppressAutoHyphens w:val="0"/>
              <w:spacing w:before="80" w:after="80" w:line="200" w:lineRule="exact"/>
              <w:jc w:val="right"/>
              <w:rPr>
                <w:i/>
                <w:sz w:val="16"/>
                <w:highlight w:val="lightGray"/>
              </w:rPr>
            </w:pPr>
            <w:r w:rsidRPr="003D10C9">
              <w:rPr>
                <w:i/>
                <w:sz w:val="16"/>
                <w:highlight w:val="lightGray"/>
              </w:rPr>
              <w:t>2018</w:t>
            </w:r>
          </w:p>
        </w:tc>
      </w:tr>
      <w:tr w:rsidR="00E0467A" w:rsidRPr="00116EDD" w14:paraId="0730EC63" w14:textId="77777777" w:rsidTr="00951B69">
        <w:tc>
          <w:tcPr>
            <w:tcW w:w="3563" w:type="dxa"/>
            <w:tcBorders>
              <w:top w:val="single" w:sz="12" w:space="0" w:color="auto"/>
            </w:tcBorders>
            <w:shd w:val="clear" w:color="auto" w:fill="auto"/>
          </w:tcPr>
          <w:p w14:paraId="6D9D9B67" w14:textId="77777777" w:rsidR="00E0467A" w:rsidRPr="00116EDD" w:rsidRDefault="00E0467A" w:rsidP="00116EDD">
            <w:pPr>
              <w:suppressAutoHyphens w:val="0"/>
              <w:spacing w:before="40" w:after="40" w:line="220" w:lineRule="exact"/>
              <w:rPr>
                <w:b/>
                <w:sz w:val="18"/>
              </w:rPr>
            </w:pPr>
            <w:r w:rsidRPr="00116EDD">
              <w:rPr>
                <w:b/>
                <w:sz w:val="18"/>
              </w:rPr>
              <w:t xml:space="preserve">Appeals received </w:t>
            </w:r>
          </w:p>
        </w:tc>
        <w:tc>
          <w:tcPr>
            <w:tcW w:w="1427" w:type="dxa"/>
            <w:tcBorders>
              <w:top w:val="single" w:sz="12" w:space="0" w:color="auto"/>
            </w:tcBorders>
          </w:tcPr>
          <w:p w14:paraId="62B357D8" w14:textId="55ED18F1"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768</w:t>
            </w:r>
          </w:p>
        </w:tc>
        <w:tc>
          <w:tcPr>
            <w:tcW w:w="1427" w:type="dxa"/>
            <w:tcBorders>
              <w:top w:val="single" w:sz="12" w:space="0" w:color="auto"/>
            </w:tcBorders>
            <w:shd w:val="clear" w:color="auto" w:fill="auto"/>
            <w:vAlign w:val="bottom"/>
          </w:tcPr>
          <w:p w14:paraId="525FA332" w14:textId="23AC961B"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126</w:t>
            </w:r>
            <w:r w:rsidR="00924022" w:rsidRPr="003D10C9">
              <w:rPr>
                <w:sz w:val="18"/>
                <w:highlight w:val="lightGray"/>
              </w:rPr>
              <w:t>2</w:t>
            </w:r>
          </w:p>
        </w:tc>
        <w:tc>
          <w:tcPr>
            <w:tcW w:w="1190" w:type="dxa"/>
            <w:tcBorders>
              <w:top w:val="single" w:sz="12" w:space="0" w:color="auto"/>
            </w:tcBorders>
            <w:shd w:val="clear" w:color="auto" w:fill="auto"/>
            <w:vAlign w:val="bottom"/>
          </w:tcPr>
          <w:p w14:paraId="3A049AD8" w14:textId="689B15B7"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206</w:t>
            </w:r>
            <w:r w:rsidR="00924022" w:rsidRPr="003D10C9">
              <w:rPr>
                <w:sz w:val="18"/>
                <w:highlight w:val="lightGray"/>
              </w:rPr>
              <w:t>4</w:t>
            </w:r>
          </w:p>
        </w:tc>
        <w:tc>
          <w:tcPr>
            <w:tcW w:w="1190" w:type="dxa"/>
            <w:tcBorders>
              <w:top w:val="single" w:sz="12" w:space="0" w:color="auto"/>
            </w:tcBorders>
            <w:shd w:val="clear" w:color="auto" w:fill="auto"/>
            <w:vAlign w:val="bottom"/>
          </w:tcPr>
          <w:p w14:paraId="5DB5169A" w14:textId="50415F2A"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21</w:t>
            </w:r>
            <w:r w:rsidR="00924022" w:rsidRPr="003D10C9">
              <w:rPr>
                <w:sz w:val="18"/>
                <w:highlight w:val="lightGray"/>
              </w:rPr>
              <w:t>51</w:t>
            </w:r>
          </w:p>
        </w:tc>
      </w:tr>
      <w:tr w:rsidR="00E0467A" w:rsidRPr="00116EDD" w14:paraId="6FE45B3A" w14:textId="77777777" w:rsidTr="00951B69">
        <w:tc>
          <w:tcPr>
            <w:tcW w:w="3563" w:type="dxa"/>
            <w:shd w:val="clear" w:color="auto" w:fill="auto"/>
          </w:tcPr>
          <w:p w14:paraId="7AE94EA7" w14:textId="77777777" w:rsidR="00E0467A" w:rsidRPr="00116EDD" w:rsidRDefault="00E0467A" w:rsidP="00116EDD">
            <w:pPr>
              <w:suppressAutoHyphens w:val="0"/>
              <w:spacing w:before="40" w:after="40" w:line="220" w:lineRule="exact"/>
              <w:rPr>
                <w:b/>
                <w:sz w:val="18"/>
              </w:rPr>
            </w:pPr>
            <w:r w:rsidRPr="00116EDD">
              <w:rPr>
                <w:b/>
                <w:sz w:val="18"/>
              </w:rPr>
              <w:t>Cases Scheduled</w:t>
            </w:r>
          </w:p>
        </w:tc>
        <w:tc>
          <w:tcPr>
            <w:tcW w:w="1427" w:type="dxa"/>
          </w:tcPr>
          <w:p w14:paraId="034FE7CD" w14:textId="501271A0"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2169</w:t>
            </w:r>
          </w:p>
        </w:tc>
        <w:tc>
          <w:tcPr>
            <w:tcW w:w="1427" w:type="dxa"/>
            <w:shd w:val="clear" w:color="auto" w:fill="auto"/>
            <w:vAlign w:val="bottom"/>
          </w:tcPr>
          <w:p w14:paraId="637B61D0" w14:textId="43D1C5FA"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1418</w:t>
            </w:r>
          </w:p>
        </w:tc>
        <w:tc>
          <w:tcPr>
            <w:tcW w:w="1190" w:type="dxa"/>
            <w:shd w:val="clear" w:color="auto" w:fill="auto"/>
            <w:vAlign w:val="bottom"/>
          </w:tcPr>
          <w:p w14:paraId="0F64603A" w14:textId="77777777"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2633</w:t>
            </w:r>
          </w:p>
        </w:tc>
        <w:tc>
          <w:tcPr>
            <w:tcW w:w="1190" w:type="dxa"/>
            <w:shd w:val="clear" w:color="auto" w:fill="auto"/>
            <w:vAlign w:val="bottom"/>
          </w:tcPr>
          <w:p w14:paraId="18CC479F" w14:textId="77777777"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1714</w:t>
            </w:r>
          </w:p>
        </w:tc>
      </w:tr>
      <w:tr w:rsidR="00E0467A" w:rsidRPr="00116EDD" w14:paraId="7924A065" w14:textId="77777777" w:rsidTr="00951B69">
        <w:tc>
          <w:tcPr>
            <w:tcW w:w="3563" w:type="dxa"/>
            <w:shd w:val="clear" w:color="auto" w:fill="auto"/>
          </w:tcPr>
          <w:p w14:paraId="268CB051" w14:textId="77777777" w:rsidR="00E0467A" w:rsidRPr="00116EDD" w:rsidRDefault="00E0467A" w:rsidP="00116EDD">
            <w:pPr>
              <w:suppressAutoHyphens w:val="0"/>
              <w:spacing w:before="40" w:after="40" w:line="220" w:lineRule="exact"/>
              <w:rPr>
                <w:b/>
                <w:sz w:val="18"/>
              </w:rPr>
            </w:pPr>
            <w:r w:rsidRPr="00116EDD">
              <w:rPr>
                <w:b/>
                <w:sz w:val="18"/>
              </w:rPr>
              <w:t>Decisions Issued</w:t>
            </w:r>
          </w:p>
        </w:tc>
        <w:tc>
          <w:tcPr>
            <w:tcW w:w="1427" w:type="dxa"/>
          </w:tcPr>
          <w:p w14:paraId="5CCCF231" w14:textId="7B0F7889"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1080</w:t>
            </w:r>
          </w:p>
        </w:tc>
        <w:tc>
          <w:tcPr>
            <w:tcW w:w="1427" w:type="dxa"/>
            <w:shd w:val="clear" w:color="auto" w:fill="auto"/>
            <w:vAlign w:val="bottom"/>
          </w:tcPr>
          <w:p w14:paraId="7E54CACB" w14:textId="7B861082" w:rsidR="00E0467A" w:rsidRPr="003D10C9" w:rsidRDefault="00E0467A" w:rsidP="00924022">
            <w:pPr>
              <w:suppressAutoHyphens w:val="0"/>
              <w:spacing w:before="40" w:after="40" w:line="220" w:lineRule="exact"/>
              <w:jc w:val="right"/>
              <w:rPr>
                <w:sz w:val="18"/>
                <w:highlight w:val="lightGray"/>
              </w:rPr>
            </w:pPr>
            <w:r w:rsidRPr="003D10C9">
              <w:rPr>
                <w:sz w:val="18"/>
                <w:highlight w:val="lightGray"/>
              </w:rPr>
              <w:t>108</w:t>
            </w:r>
            <w:r w:rsidR="00924022" w:rsidRPr="003D10C9">
              <w:rPr>
                <w:sz w:val="18"/>
                <w:highlight w:val="lightGray"/>
              </w:rPr>
              <w:t>7</w:t>
            </w:r>
          </w:p>
        </w:tc>
        <w:tc>
          <w:tcPr>
            <w:tcW w:w="1190" w:type="dxa"/>
            <w:shd w:val="clear" w:color="auto" w:fill="auto"/>
            <w:vAlign w:val="bottom"/>
          </w:tcPr>
          <w:p w14:paraId="15F4D6DE" w14:textId="77777777"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1944</w:t>
            </w:r>
          </w:p>
        </w:tc>
        <w:tc>
          <w:tcPr>
            <w:tcW w:w="1190" w:type="dxa"/>
            <w:shd w:val="clear" w:color="auto" w:fill="auto"/>
            <w:vAlign w:val="bottom"/>
          </w:tcPr>
          <w:p w14:paraId="6CE3C5B5" w14:textId="4FD5C337"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10</w:t>
            </w:r>
            <w:r w:rsidR="00924022" w:rsidRPr="003D10C9">
              <w:rPr>
                <w:sz w:val="18"/>
                <w:highlight w:val="lightGray"/>
              </w:rPr>
              <w:t>92</w:t>
            </w:r>
          </w:p>
        </w:tc>
      </w:tr>
      <w:tr w:rsidR="00E0467A" w:rsidRPr="00116EDD" w14:paraId="0213F071" w14:textId="77777777" w:rsidTr="00951B69">
        <w:tc>
          <w:tcPr>
            <w:tcW w:w="3563" w:type="dxa"/>
            <w:shd w:val="clear" w:color="auto" w:fill="auto"/>
          </w:tcPr>
          <w:p w14:paraId="0D2A3569" w14:textId="77777777" w:rsidR="00E0467A" w:rsidRPr="00116EDD" w:rsidRDefault="00E0467A" w:rsidP="00116EDD">
            <w:pPr>
              <w:suppressAutoHyphens w:val="0"/>
              <w:spacing w:before="40" w:after="40" w:line="220" w:lineRule="exact"/>
              <w:rPr>
                <w:b/>
                <w:sz w:val="18"/>
              </w:rPr>
            </w:pPr>
            <w:r w:rsidRPr="00116EDD">
              <w:rPr>
                <w:b/>
                <w:sz w:val="18"/>
              </w:rPr>
              <w:t>Total Appeals Completed</w:t>
            </w:r>
          </w:p>
        </w:tc>
        <w:tc>
          <w:tcPr>
            <w:tcW w:w="1427" w:type="dxa"/>
          </w:tcPr>
          <w:p w14:paraId="2B270AD0" w14:textId="78B07CF4" w:rsidR="00E0467A" w:rsidRPr="003D10C9" w:rsidRDefault="00924022" w:rsidP="00116EDD">
            <w:pPr>
              <w:suppressAutoHyphens w:val="0"/>
              <w:spacing w:before="40" w:after="40" w:line="220" w:lineRule="exact"/>
              <w:jc w:val="right"/>
              <w:rPr>
                <w:sz w:val="18"/>
                <w:highlight w:val="lightGray"/>
              </w:rPr>
            </w:pPr>
            <w:r w:rsidRPr="003D10C9">
              <w:rPr>
                <w:sz w:val="18"/>
                <w:highlight w:val="lightGray"/>
              </w:rPr>
              <w:t>12</w:t>
            </w:r>
            <w:r w:rsidR="00E0467A" w:rsidRPr="003D10C9">
              <w:rPr>
                <w:sz w:val="18"/>
                <w:highlight w:val="lightGray"/>
              </w:rPr>
              <w:t>28</w:t>
            </w:r>
          </w:p>
        </w:tc>
        <w:tc>
          <w:tcPr>
            <w:tcW w:w="1427" w:type="dxa"/>
            <w:shd w:val="clear" w:color="auto" w:fill="auto"/>
            <w:vAlign w:val="bottom"/>
          </w:tcPr>
          <w:p w14:paraId="274FB438" w14:textId="4E8C59E5"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11</w:t>
            </w:r>
            <w:r w:rsidR="00924022" w:rsidRPr="003D10C9">
              <w:rPr>
                <w:sz w:val="18"/>
                <w:highlight w:val="lightGray"/>
              </w:rPr>
              <w:t>69</w:t>
            </w:r>
          </w:p>
        </w:tc>
        <w:tc>
          <w:tcPr>
            <w:tcW w:w="1190" w:type="dxa"/>
            <w:shd w:val="clear" w:color="auto" w:fill="auto"/>
            <w:vAlign w:val="bottom"/>
          </w:tcPr>
          <w:p w14:paraId="37C18F3A" w14:textId="77777777"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2180</w:t>
            </w:r>
          </w:p>
        </w:tc>
        <w:tc>
          <w:tcPr>
            <w:tcW w:w="1190" w:type="dxa"/>
            <w:shd w:val="clear" w:color="auto" w:fill="auto"/>
            <w:vAlign w:val="bottom"/>
          </w:tcPr>
          <w:p w14:paraId="17A07778" w14:textId="37AE205F" w:rsidR="00E0467A" w:rsidRPr="003D10C9" w:rsidRDefault="00924022" w:rsidP="00116EDD">
            <w:pPr>
              <w:suppressAutoHyphens w:val="0"/>
              <w:spacing w:before="40" w:after="40" w:line="220" w:lineRule="exact"/>
              <w:jc w:val="right"/>
              <w:rPr>
                <w:sz w:val="18"/>
                <w:highlight w:val="lightGray"/>
              </w:rPr>
            </w:pPr>
            <w:r w:rsidRPr="003D10C9">
              <w:rPr>
                <w:sz w:val="18"/>
                <w:highlight w:val="lightGray"/>
              </w:rPr>
              <w:t>1342</w:t>
            </w:r>
          </w:p>
        </w:tc>
      </w:tr>
      <w:tr w:rsidR="00E0467A" w:rsidRPr="00116EDD" w14:paraId="5C521326" w14:textId="77777777" w:rsidTr="00951B69">
        <w:tc>
          <w:tcPr>
            <w:tcW w:w="3563" w:type="dxa"/>
            <w:tcBorders>
              <w:bottom w:val="single" w:sz="12" w:space="0" w:color="auto"/>
            </w:tcBorders>
            <w:shd w:val="clear" w:color="auto" w:fill="auto"/>
          </w:tcPr>
          <w:p w14:paraId="51FBDB38" w14:textId="77777777" w:rsidR="00E0467A" w:rsidRPr="00116EDD" w:rsidRDefault="00E0467A" w:rsidP="00116EDD">
            <w:pPr>
              <w:suppressAutoHyphens w:val="0"/>
              <w:spacing w:before="40" w:after="40" w:line="220" w:lineRule="exact"/>
              <w:rPr>
                <w:b/>
                <w:sz w:val="18"/>
              </w:rPr>
            </w:pPr>
            <w:r w:rsidRPr="00116EDD">
              <w:rPr>
                <w:b/>
                <w:sz w:val="18"/>
              </w:rPr>
              <w:t>Live Appeals at Year End</w:t>
            </w:r>
          </w:p>
        </w:tc>
        <w:tc>
          <w:tcPr>
            <w:tcW w:w="1427" w:type="dxa"/>
            <w:tcBorders>
              <w:bottom w:val="single" w:sz="12" w:space="0" w:color="auto"/>
            </w:tcBorders>
          </w:tcPr>
          <w:p w14:paraId="27F8C49B" w14:textId="3CD38641"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1180</w:t>
            </w:r>
          </w:p>
        </w:tc>
        <w:tc>
          <w:tcPr>
            <w:tcW w:w="1427" w:type="dxa"/>
            <w:tcBorders>
              <w:bottom w:val="single" w:sz="12" w:space="0" w:color="auto"/>
            </w:tcBorders>
            <w:shd w:val="clear" w:color="auto" w:fill="auto"/>
            <w:vAlign w:val="bottom"/>
          </w:tcPr>
          <w:p w14:paraId="4615C7B7" w14:textId="55734F96"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1655</w:t>
            </w:r>
          </w:p>
        </w:tc>
        <w:tc>
          <w:tcPr>
            <w:tcW w:w="1190" w:type="dxa"/>
            <w:tcBorders>
              <w:bottom w:val="single" w:sz="12" w:space="0" w:color="auto"/>
            </w:tcBorders>
            <w:shd w:val="clear" w:color="auto" w:fill="auto"/>
            <w:vAlign w:val="bottom"/>
          </w:tcPr>
          <w:p w14:paraId="4C9B9630" w14:textId="198261A0"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15</w:t>
            </w:r>
            <w:r w:rsidR="00924022" w:rsidRPr="003D10C9">
              <w:rPr>
                <w:sz w:val="18"/>
                <w:highlight w:val="lightGray"/>
              </w:rPr>
              <w:t>58</w:t>
            </w:r>
          </w:p>
        </w:tc>
        <w:tc>
          <w:tcPr>
            <w:tcW w:w="1190" w:type="dxa"/>
            <w:tcBorders>
              <w:bottom w:val="single" w:sz="12" w:space="0" w:color="auto"/>
            </w:tcBorders>
            <w:shd w:val="clear" w:color="auto" w:fill="auto"/>
            <w:vAlign w:val="bottom"/>
          </w:tcPr>
          <w:p w14:paraId="07DDA00F" w14:textId="4D733893" w:rsidR="00E0467A" w:rsidRPr="003D10C9" w:rsidRDefault="00E0467A" w:rsidP="00116EDD">
            <w:pPr>
              <w:suppressAutoHyphens w:val="0"/>
              <w:spacing w:before="40" w:after="40" w:line="220" w:lineRule="exact"/>
              <w:jc w:val="right"/>
              <w:rPr>
                <w:sz w:val="18"/>
                <w:highlight w:val="lightGray"/>
              </w:rPr>
            </w:pPr>
            <w:r w:rsidRPr="003D10C9">
              <w:rPr>
                <w:sz w:val="18"/>
                <w:highlight w:val="lightGray"/>
              </w:rPr>
              <w:t>159</w:t>
            </w:r>
            <w:r w:rsidR="00924022" w:rsidRPr="003D10C9">
              <w:rPr>
                <w:sz w:val="18"/>
                <w:highlight w:val="lightGray"/>
              </w:rPr>
              <w:t>7</w:t>
            </w:r>
          </w:p>
        </w:tc>
      </w:tr>
    </w:tbl>
    <w:p w14:paraId="01CCB2D7" w14:textId="2B7106AD" w:rsidR="00A00DEA" w:rsidRPr="007133ED" w:rsidRDefault="00116EDD" w:rsidP="00116EDD">
      <w:pPr>
        <w:pStyle w:val="H23G"/>
      </w:pPr>
      <w:r>
        <w:tab/>
      </w:r>
      <w:r>
        <w:tab/>
      </w:r>
      <w:r w:rsidR="00A00DEA">
        <w:t xml:space="preserve">Reply to paragraph 19(c) </w:t>
      </w:r>
    </w:p>
    <w:p w14:paraId="24F5A35F" w14:textId="525B4B86" w:rsidR="00A00DEA" w:rsidRPr="007B6B58" w:rsidRDefault="00A00DEA" w:rsidP="00A00DEA">
      <w:pPr>
        <w:pStyle w:val="SingleTxtG"/>
        <w:kinsoku/>
        <w:overflowPunct/>
        <w:autoSpaceDE/>
        <w:autoSpaceDN/>
        <w:adjustRightInd/>
        <w:snapToGrid/>
      </w:pPr>
      <w:r w:rsidRPr="007B6B58">
        <w:t>1</w:t>
      </w:r>
      <w:r w:rsidR="00855E70">
        <w:t>54</w:t>
      </w:r>
      <w:r w:rsidRPr="007B6B58">
        <w:t>.</w:t>
      </w:r>
      <w:r w:rsidRPr="007B6B58">
        <w:tab/>
      </w:r>
      <w:r>
        <w:t>T</w:t>
      </w:r>
      <w:r w:rsidRPr="007A6988">
        <w:t xml:space="preserve">he Government </w:t>
      </w:r>
      <w:r>
        <w:t xml:space="preserve">has </w:t>
      </w:r>
      <w:r w:rsidRPr="007A6988">
        <w:t>pledg</w:t>
      </w:r>
      <w:r>
        <w:t>ed to end the system of asylum-</w:t>
      </w:r>
      <w:r w:rsidRPr="007A6988">
        <w:t>seeker support commonly known as Direct Provision and replace it with a new International Protection</w:t>
      </w:r>
      <w:r>
        <w:t xml:space="preserve"> </w:t>
      </w:r>
      <w:r w:rsidRPr="007A6988">
        <w:t>policy</w:t>
      </w:r>
      <w:r>
        <w:t>.</w:t>
      </w:r>
      <w:r w:rsidRPr="007A6988">
        <w:t xml:space="preserve"> </w:t>
      </w:r>
      <w:r>
        <w:t>A</w:t>
      </w:r>
      <w:r w:rsidRPr="007A6988">
        <w:t xml:space="preserve"> White Paper </w:t>
      </w:r>
      <w:r>
        <w:t>was published in February 2021</w:t>
      </w:r>
      <w:r w:rsidRPr="007A6988">
        <w:t xml:space="preserve"> and includes the following commitments:</w:t>
      </w:r>
    </w:p>
    <w:p w14:paraId="7E892F01" w14:textId="3FEC9FB2" w:rsidR="00A00DEA" w:rsidRPr="00A00DEA" w:rsidRDefault="00A00DEA" w:rsidP="00116EDD">
      <w:pPr>
        <w:pStyle w:val="Bullet1G"/>
      </w:pPr>
      <w:r w:rsidRPr="00A00DEA">
        <w:t>New measures ensuring that international protection applications are addressed as quickly as possible, while ensuring a human-rights-based approach.</w:t>
      </w:r>
    </w:p>
    <w:p w14:paraId="6FDD32BF" w14:textId="5BA81338" w:rsidR="00A00DEA" w:rsidRPr="00A00DEA" w:rsidRDefault="00A00DEA" w:rsidP="00116EDD">
      <w:pPr>
        <w:pStyle w:val="Bullet1G"/>
      </w:pPr>
      <w:r w:rsidRPr="00A00DEA">
        <w:t>New models of community engagement, ensuring that the establishment of new accommodation is done in an inclusive  fashion and;</w:t>
      </w:r>
    </w:p>
    <w:p w14:paraId="13F0AD1F" w14:textId="579218FB" w:rsidR="00A00DEA" w:rsidRPr="00A00DEA" w:rsidRDefault="00A00DEA" w:rsidP="00116EDD">
      <w:pPr>
        <w:pStyle w:val="Bullet1G"/>
      </w:pPr>
      <w:r w:rsidRPr="00A00DEA">
        <w:t>An annualised capital and current investment programme.</w:t>
      </w:r>
    </w:p>
    <w:p w14:paraId="6CDE00D9" w14:textId="7145495E" w:rsidR="00A00DEA" w:rsidRPr="002C3C8C" w:rsidRDefault="00A00DEA" w:rsidP="00A00DEA">
      <w:pPr>
        <w:pStyle w:val="SingleTxtG"/>
        <w:kinsoku/>
        <w:overflowPunct/>
        <w:autoSpaceDE/>
        <w:autoSpaceDN/>
        <w:adjustRightInd/>
        <w:snapToGrid/>
      </w:pPr>
      <w:r w:rsidRPr="002C3C8C">
        <w:t>1</w:t>
      </w:r>
      <w:r w:rsidR="00855E70">
        <w:t>55</w:t>
      </w:r>
      <w:r w:rsidRPr="002C3C8C">
        <w:t>.</w:t>
      </w:r>
      <w:r w:rsidRPr="002C3C8C">
        <w:tab/>
      </w:r>
      <w:r w:rsidR="00E0467A" w:rsidRPr="00991B0B">
        <w:t xml:space="preserve">A revised Immigration, Residence and Protection Bill 2010 lapsed with the dissolution of the </w:t>
      </w:r>
      <w:r w:rsidR="00E0467A">
        <w:t>Oireachtas</w:t>
      </w:r>
      <w:r w:rsidR="00E0467A" w:rsidRPr="00991B0B">
        <w:t xml:space="preserve">.  In 2015, the protection elements of the Bill were brought forward separately in </w:t>
      </w:r>
      <w:r w:rsidR="00E0467A">
        <w:t xml:space="preserve">the </w:t>
      </w:r>
      <w:r w:rsidR="00E0467A" w:rsidRPr="00991B0B">
        <w:t>International</w:t>
      </w:r>
      <w:r w:rsidR="00E0467A" w:rsidRPr="00487B4D">
        <w:t xml:space="preserve"> Protection Act 2015. </w:t>
      </w:r>
      <w:r w:rsidR="00E0467A" w:rsidRPr="003D10C9">
        <w:rPr>
          <w:highlight w:val="lightGray"/>
        </w:rPr>
        <w:t xml:space="preserve">Elements of the 2010 Bill in respect of people smuggling were progressed through the Criminal Justice (Smuggling of Persons) Act 2021 which gave effect to EU Council Directive 2002/90/EC defining the </w:t>
      </w:r>
      <w:r w:rsidR="00E0467A" w:rsidRPr="003D10C9">
        <w:rPr>
          <w:highlight w:val="lightGray"/>
        </w:rPr>
        <w:lastRenderedPageBreak/>
        <w:t>facilitation of unauthorised entry, transit and residence, EU Framework Decision 2002/946/JHA on the strengthening of the penal framework to prevent the facilitation of unauthorised entry, transit and residence, and, in part, the UN Protocol against the smuggling of migrants by land, sea and air supplementing the UN Convention against transnational organised crime.</w:t>
      </w:r>
    </w:p>
    <w:p w14:paraId="1BD38064" w14:textId="5DB781A7" w:rsidR="00A00DEA" w:rsidRDefault="00A00DEA" w:rsidP="00A00DEA">
      <w:pPr>
        <w:pStyle w:val="SingleTxtG"/>
        <w:kinsoku/>
        <w:overflowPunct/>
        <w:autoSpaceDE/>
        <w:autoSpaceDN/>
        <w:adjustRightInd/>
        <w:snapToGrid/>
      </w:pPr>
      <w:r>
        <w:t>1</w:t>
      </w:r>
      <w:r w:rsidR="00855E70">
        <w:t>56</w:t>
      </w:r>
      <w:r>
        <w:t>.</w:t>
      </w:r>
      <w:r>
        <w:tab/>
        <w:t>I</w:t>
      </w:r>
      <w:r w:rsidRPr="007A6988">
        <w:t xml:space="preserve">mprovements are being made to the accommodation </w:t>
      </w:r>
      <w:r>
        <w:t>for international protection applicants.</w:t>
      </w:r>
      <w:r w:rsidRPr="007A6988">
        <w:t xml:space="preserve"> All properties selected were required to implement the National Standards for accommodation centres. Almost 77% of </w:t>
      </w:r>
      <w:r>
        <w:t>these</w:t>
      </w:r>
      <w:r w:rsidRPr="007A6988">
        <w:t xml:space="preserve"> accommodation centres offer access to self-catering and family spaces.</w:t>
      </w:r>
    </w:p>
    <w:p w14:paraId="5882B15F" w14:textId="63F5C4A0" w:rsidR="00A00DEA" w:rsidRPr="007A6988" w:rsidRDefault="00A00DEA" w:rsidP="00A00DEA">
      <w:pPr>
        <w:pStyle w:val="SingleTxtG"/>
        <w:kinsoku/>
        <w:overflowPunct/>
        <w:autoSpaceDE/>
        <w:autoSpaceDN/>
        <w:adjustRightInd/>
        <w:snapToGrid/>
      </w:pPr>
      <w:r w:rsidRPr="007A6988">
        <w:t>1</w:t>
      </w:r>
      <w:r w:rsidR="00855E70">
        <w:t>57</w:t>
      </w:r>
      <w:r w:rsidRPr="007A6988">
        <w:t>.</w:t>
      </w:r>
      <w:r w:rsidRPr="007A6988">
        <w:tab/>
      </w:r>
      <w:r>
        <w:t>Discussions with HIQA</w:t>
      </w:r>
      <w:r w:rsidRPr="007A6988">
        <w:t xml:space="preserve"> are ongoing about the role of monitoring the services provided to those accommodated in </w:t>
      </w:r>
      <w:r>
        <w:t>these</w:t>
      </w:r>
      <w:r w:rsidRPr="007A6988">
        <w:t xml:space="preserve"> centres.  Inspection of centres continued during the pandemic. All centres were inspected at least once in 2020.  </w:t>
      </w:r>
      <w:r>
        <w:t xml:space="preserve">A </w:t>
      </w:r>
      <w:r w:rsidRPr="007A6988">
        <w:t xml:space="preserve">vulnerability assessment process is being piloted by the International Protection Accommodation Service (IPAS).  </w:t>
      </w:r>
      <w:r>
        <w:t>It</w:t>
      </w:r>
      <w:r w:rsidRPr="007A6988">
        <w:t xml:space="preserve"> </w:t>
      </w:r>
      <w:r>
        <w:t xml:space="preserve">will </w:t>
      </w:r>
      <w:r w:rsidRPr="007A6988">
        <w:t>determine if</w:t>
      </w:r>
      <w:r>
        <w:t xml:space="preserve"> </w:t>
      </w:r>
      <w:r w:rsidRPr="007A6988">
        <w:t xml:space="preserve">an applicant is deemed to have special reception needs and </w:t>
      </w:r>
      <w:r>
        <w:t xml:space="preserve">how to </w:t>
      </w:r>
      <w:r w:rsidRPr="007A6988">
        <w:t>address th</w:t>
      </w:r>
      <w:r>
        <w:t>em</w:t>
      </w:r>
      <w:r w:rsidRPr="007A6988">
        <w:t>.  </w:t>
      </w:r>
    </w:p>
    <w:p w14:paraId="28DB5D82" w14:textId="6685099C" w:rsidR="00A00DEA" w:rsidRPr="007A6988" w:rsidRDefault="00A00DEA" w:rsidP="00A00DEA">
      <w:pPr>
        <w:pStyle w:val="SingleTxtG"/>
        <w:kinsoku/>
        <w:overflowPunct/>
        <w:autoSpaceDE/>
        <w:autoSpaceDN/>
        <w:adjustRightInd/>
        <w:snapToGrid/>
      </w:pPr>
      <w:r w:rsidRPr="007A6988">
        <w:t>1</w:t>
      </w:r>
      <w:r w:rsidR="00855E70">
        <w:t>58</w:t>
      </w:r>
      <w:r w:rsidRPr="007A6988">
        <w:t>.</w:t>
      </w:r>
      <w:r w:rsidRPr="007A6988">
        <w:tab/>
      </w:r>
      <w:r>
        <w:t xml:space="preserve">COVID-19 </w:t>
      </w:r>
      <w:r w:rsidRPr="007A6988">
        <w:t xml:space="preserve">Measures have been put in place by IPAS </w:t>
      </w:r>
      <w:r>
        <w:t>and</w:t>
      </w:r>
      <w:r w:rsidRPr="007A6988">
        <w:t xml:space="preserve"> the HS</w:t>
      </w:r>
      <w:r>
        <w:t>E.  They were first implemented</w:t>
      </w:r>
      <w:r w:rsidRPr="007A6988">
        <w:t xml:space="preserve"> in March 2020</w:t>
      </w:r>
      <w:r>
        <w:t>.</w:t>
      </w:r>
      <w:r w:rsidRPr="007A6988">
        <w:t xml:space="preserve"> </w:t>
      </w:r>
      <w:r>
        <w:t>They include:</w:t>
      </w:r>
    </w:p>
    <w:p w14:paraId="029F0F75" w14:textId="00658040" w:rsidR="00A00DEA" w:rsidRPr="00A00DEA" w:rsidRDefault="00A00DEA" w:rsidP="00116EDD">
      <w:pPr>
        <w:pStyle w:val="Bullet1G"/>
      </w:pPr>
      <w:r w:rsidRPr="00A00DEA">
        <w:t xml:space="preserve">Self-isolation facilities; </w:t>
      </w:r>
    </w:p>
    <w:p w14:paraId="2B20BD11" w14:textId="0177875A" w:rsidR="00A00DEA" w:rsidRPr="00A00DEA" w:rsidRDefault="00A00DEA" w:rsidP="00116EDD">
      <w:pPr>
        <w:pStyle w:val="Bullet1G"/>
      </w:pPr>
      <w:r w:rsidRPr="00A00DEA">
        <w:t>Increased capacity to support social distancing;</w:t>
      </w:r>
    </w:p>
    <w:p w14:paraId="22020C8C" w14:textId="723E3B0E" w:rsidR="00A00DEA" w:rsidRPr="00A00DEA" w:rsidRDefault="00A00DEA" w:rsidP="00116EDD">
      <w:pPr>
        <w:pStyle w:val="Bullet1G"/>
      </w:pPr>
      <w:r w:rsidRPr="00A00DEA">
        <w:t>Enhanced cleaning regimes and provision of PPE;</w:t>
      </w:r>
    </w:p>
    <w:p w14:paraId="43A81965" w14:textId="55E939BC" w:rsidR="00A00DEA" w:rsidRPr="00A00DEA" w:rsidRDefault="00A00DEA" w:rsidP="00116EDD">
      <w:pPr>
        <w:pStyle w:val="Bullet1G"/>
      </w:pPr>
      <w:r w:rsidRPr="00A00DEA">
        <w:t>Regular communications  on public health advice;</w:t>
      </w:r>
    </w:p>
    <w:p w14:paraId="22E31CEC" w14:textId="3D9976A6" w:rsidR="00A00DEA" w:rsidRPr="00A00DEA" w:rsidRDefault="00A00DEA" w:rsidP="00116EDD">
      <w:pPr>
        <w:pStyle w:val="Bullet1G"/>
      </w:pPr>
      <w:r w:rsidRPr="00A00DEA">
        <w:t xml:space="preserve">Cocooning of all medically vulnerable and ‘over 65’ residents; </w:t>
      </w:r>
    </w:p>
    <w:p w14:paraId="7DD94C6B" w14:textId="45DECB07" w:rsidR="00A00DEA" w:rsidRPr="00A00DEA" w:rsidRDefault="00A00DEA" w:rsidP="00116EDD">
      <w:pPr>
        <w:pStyle w:val="Bullet1G"/>
      </w:pPr>
      <w:r w:rsidRPr="00A00DEA">
        <w:t>Temporary Accommodation Scheme for healthcare workers; and</w:t>
      </w:r>
    </w:p>
    <w:p w14:paraId="1455980A" w14:textId="49D98C23" w:rsidR="00A00DEA" w:rsidRPr="00A00DEA" w:rsidRDefault="00A00DEA" w:rsidP="00116EDD">
      <w:pPr>
        <w:pStyle w:val="Bullet1G"/>
      </w:pPr>
      <w:r w:rsidRPr="00A00DEA">
        <w:t>Quarantine facilities for IP applicants entering or re-entering accommodation centres.</w:t>
      </w:r>
    </w:p>
    <w:p w14:paraId="1C4616B1" w14:textId="18CE9D8F" w:rsidR="00A00DEA" w:rsidRPr="00002E53" w:rsidRDefault="00A00DEA" w:rsidP="00A00DEA">
      <w:pPr>
        <w:pStyle w:val="NormalWeb"/>
        <w:spacing w:before="120" w:after="120" w:line="240" w:lineRule="atLeast"/>
        <w:ind w:left="1134" w:right="1134"/>
        <w:jc w:val="both"/>
        <w:rPr>
          <w:sz w:val="20"/>
          <w:szCs w:val="20"/>
        </w:rPr>
      </w:pPr>
      <w:r w:rsidRPr="00002E53">
        <w:rPr>
          <w:sz w:val="20"/>
          <w:szCs w:val="20"/>
        </w:rPr>
        <w:t>1</w:t>
      </w:r>
      <w:r w:rsidR="00855E70">
        <w:rPr>
          <w:sz w:val="20"/>
          <w:szCs w:val="20"/>
        </w:rPr>
        <w:t>59</w:t>
      </w:r>
      <w:r w:rsidRPr="00002E53">
        <w:rPr>
          <w:sz w:val="20"/>
          <w:szCs w:val="20"/>
        </w:rPr>
        <w:t>.</w:t>
      </w:r>
      <w:r w:rsidRPr="00002E53">
        <w:rPr>
          <w:sz w:val="20"/>
          <w:szCs w:val="20"/>
        </w:rPr>
        <w:tab/>
        <w:t xml:space="preserve">Since the beginning of 2020 over 1,550 bed spaces were procured.  Over 600 residents were relocated to support social distancing and cocooning measures. No more than three single people are sharing a room. This policy will continue when the COVID-19 crisis is over.  </w:t>
      </w:r>
    </w:p>
    <w:p w14:paraId="47E13395" w14:textId="497F4267" w:rsidR="00A00DEA" w:rsidRPr="007A6988" w:rsidRDefault="00A00DEA" w:rsidP="00A00DEA">
      <w:pPr>
        <w:pStyle w:val="SingleTxtG"/>
        <w:kinsoku/>
        <w:overflowPunct/>
        <w:autoSpaceDE/>
        <w:autoSpaceDN/>
        <w:adjustRightInd/>
        <w:snapToGrid/>
      </w:pPr>
      <w:r w:rsidRPr="007A6988">
        <w:t>1</w:t>
      </w:r>
      <w:r w:rsidR="00855E70">
        <w:t>60</w:t>
      </w:r>
      <w:r w:rsidRPr="007A6988">
        <w:t>.</w:t>
      </w:r>
      <w:r w:rsidRPr="007A6988">
        <w:tab/>
        <w:t xml:space="preserve">A COVID-19 testing programme ran </w:t>
      </w:r>
      <w:r>
        <w:t>in</w:t>
      </w:r>
      <w:r w:rsidRPr="007A6988">
        <w:t> September 2020 to safeguard residents and staff in all Accommodation Centres. Serial testing at individual centres, including the two centres in Kildare, have taken place as and when health authorities determined it to be necessary.   </w:t>
      </w:r>
    </w:p>
    <w:p w14:paraId="1E4C8913" w14:textId="0507E897" w:rsidR="00E0467A" w:rsidRPr="00F40E73" w:rsidRDefault="00A00DEA" w:rsidP="00CB61E4">
      <w:pPr>
        <w:pStyle w:val="SingleTxtG"/>
        <w:kinsoku/>
        <w:overflowPunct/>
        <w:autoSpaceDE/>
        <w:autoSpaceDN/>
        <w:adjustRightInd/>
        <w:snapToGrid/>
      </w:pPr>
      <w:r w:rsidRPr="00F40E73">
        <w:t>1</w:t>
      </w:r>
      <w:r w:rsidR="00855E70">
        <w:t>61</w:t>
      </w:r>
      <w:r w:rsidRPr="00F40E73">
        <w:t>.</w:t>
      </w:r>
      <w:r w:rsidRPr="00F40E73">
        <w:tab/>
      </w:r>
      <w:r w:rsidRPr="00175959">
        <w:t xml:space="preserve">Residents who test positive are voluntarily moved offsite for self-isolation, along with their close contacts, until they can safely return. </w:t>
      </w:r>
    </w:p>
    <w:p w14:paraId="6CE9193E" w14:textId="144C7FE9" w:rsidR="00A00DEA" w:rsidRDefault="00116EDD" w:rsidP="00116EDD">
      <w:pPr>
        <w:pStyle w:val="H1G"/>
      </w:pPr>
      <w:r>
        <w:tab/>
      </w:r>
      <w:r>
        <w:tab/>
      </w:r>
      <w:r w:rsidR="00A00DEA">
        <w:t>Freedom of conscience and religious belief (arts. 2, 18 and 26)</w:t>
      </w:r>
    </w:p>
    <w:p w14:paraId="457A3F22" w14:textId="1A52E3D4" w:rsidR="00A00DEA" w:rsidRPr="00F46C2B" w:rsidRDefault="00116EDD" w:rsidP="00116EDD">
      <w:pPr>
        <w:pStyle w:val="H23G"/>
      </w:pPr>
      <w:r>
        <w:tab/>
      </w:r>
      <w:r>
        <w:tab/>
      </w:r>
      <w:r w:rsidR="00A00DEA">
        <w:t xml:space="preserve">Reply to paragraph 20(a) </w:t>
      </w:r>
    </w:p>
    <w:p w14:paraId="67B61979" w14:textId="0D56B279" w:rsidR="00A00DEA" w:rsidRPr="00E65E38" w:rsidRDefault="00A00DEA" w:rsidP="00A00DEA">
      <w:pPr>
        <w:pStyle w:val="SingleTxtG"/>
        <w:kinsoku/>
        <w:overflowPunct/>
        <w:autoSpaceDE/>
        <w:autoSpaceDN/>
        <w:adjustRightInd/>
        <w:snapToGrid/>
      </w:pPr>
      <w:r w:rsidRPr="00E65E38">
        <w:t>1</w:t>
      </w:r>
      <w:r w:rsidR="00855E70">
        <w:t>62</w:t>
      </w:r>
      <w:r w:rsidRPr="00E65E38">
        <w:t>.</w:t>
      </w:r>
      <w:r w:rsidRPr="00E65E38">
        <w:tab/>
        <w:t>The E</w:t>
      </w:r>
      <w:r>
        <w:t xml:space="preserve">ducation (Admission to Schools) </w:t>
      </w:r>
      <w:r w:rsidRPr="00E65E38">
        <w:t xml:space="preserve">Act 2018 </w:t>
      </w:r>
      <w:r>
        <w:t xml:space="preserve">aims </w:t>
      </w:r>
      <w:r w:rsidRPr="00E65E38">
        <w:t xml:space="preserve">to create an equitable approach to school admissions policies for all primary and post-primary schools. </w:t>
      </w:r>
    </w:p>
    <w:p w14:paraId="4FFC222E" w14:textId="5209789D" w:rsidR="00A00DEA" w:rsidRPr="00175959" w:rsidRDefault="00A00DEA" w:rsidP="00A00DEA">
      <w:pPr>
        <w:pStyle w:val="SingleTxtG"/>
        <w:kinsoku/>
        <w:overflowPunct/>
        <w:autoSpaceDE/>
        <w:autoSpaceDN/>
        <w:adjustRightInd/>
        <w:snapToGrid/>
      </w:pPr>
      <w:r w:rsidRPr="00175959">
        <w:t>1</w:t>
      </w:r>
      <w:r w:rsidR="00855E70">
        <w:t>63</w:t>
      </w:r>
      <w:r w:rsidRPr="00175959">
        <w:t>.</w:t>
      </w:r>
      <w:r w:rsidRPr="00175959">
        <w:tab/>
      </w:r>
      <w:r w:rsidRPr="00E65E38">
        <w:t>The Act ensure</w:t>
      </w:r>
      <w:r>
        <w:t>s</w:t>
      </w:r>
      <w:r w:rsidRPr="00E65E38">
        <w:t xml:space="preserve"> that where a school is not oversubscribed and places are available</w:t>
      </w:r>
      <w:r>
        <w:t>,</w:t>
      </w:r>
      <w:r w:rsidRPr="00E65E38">
        <w:t xml:space="preserve"> the school must admit all </w:t>
      </w:r>
      <w:r>
        <w:t>applicants</w:t>
      </w:r>
      <w:r w:rsidRPr="00E65E38">
        <w:t xml:space="preserve">.  </w:t>
      </w:r>
      <w:r>
        <w:t>A</w:t>
      </w:r>
      <w:r w:rsidRPr="00E65E38">
        <w:t xml:space="preserve"> school must </w:t>
      </w:r>
      <w:r>
        <w:t>indicate, in its admission policy</w:t>
      </w:r>
      <w:r w:rsidRPr="00E65E38">
        <w:t xml:space="preserve"> that the school will not discriminate on any of the grounds specified in the Equal Sta</w:t>
      </w:r>
      <w:r>
        <w:t>tus Act 2000.</w:t>
      </w:r>
    </w:p>
    <w:p w14:paraId="16B815C8" w14:textId="506502C4" w:rsidR="00A00DEA" w:rsidRDefault="00A00DEA" w:rsidP="00A00DEA">
      <w:pPr>
        <w:pStyle w:val="SingleTxtG"/>
        <w:kinsoku/>
        <w:overflowPunct/>
        <w:autoSpaceDE/>
        <w:autoSpaceDN/>
        <w:adjustRightInd/>
        <w:snapToGrid/>
      </w:pPr>
      <w:r>
        <w:t>1</w:t>
      </w:r>
      <w:r w:rsidR="00855E70">
        <w:t>64</w:t>
      </w:r>
      <w:r>
        <w:t>.</w:t>
      </w:r>
      <w:r>
        <w:tab/>
      </w:r>
      <w:r w:rsidRPr="00E65E38">
        <w:t>The Government’s objective is to have 400 multi-denominational or non-denominational schools</w:t>
      </w:r>
      <w:r>
        <w:t xml:space="preserve"> in the primary system by 2030.  </w:t>
      </w:r>
      <w:r w:rsidRPr="00E65E38">
        <w:t>As of February 2021</w:t>
      </w:r>
      <w:r>
        <w:t xml:space="preserve"> there are now </w:t>
      </w:r>
      <w:r w:rsidRPr="00E65E38">
        <w:t>159</w:t>
      </w:r>
      <w:r w:rsidRPr="00C94BD9">
        <w:t xml:space="preserve"> </w:t>
      </w:r>
      <w:r w:rsidRPr="00E65E38">
        <w:t>multi-denominational primary schools</w:t>
      </w:r>
      <w:r>
        <w:t xml:space="preserve"> and 359 </w:t>
      </w:r>
      <w:r w:rsidRPr="00E65E38">
        <w:t>multi-denominational or non-denom</w:t>
      </w:r>
      <w:r>
        <w:t xml:space="preserve">inational post-primary schools. </w:t>
      </w:r>
    </w:p>
    <w:p w14:paraId="4B06F80B" w14:textId="4DC28672" w:rsidR="00A00DEA" w:rsidRDefault="00116EDD" w:rsidP="00116EDD">
      <w:pPr>
        <w:pStyle w:val="H23G"/>
      </w:pPr>
      <w:r>
        <w:lastRenderedPageBreak/>
        <w:tab/>
      </w:r>
      <w:r>
        <w:tab/>
      </w:r>
      <w:r w:rsidR="00A00DEA">
        <w:t>Reply to paragraph 20(b)</w:t>
      </w:r>
    </w:p>
    <w:p w14:paraId="29B996FD" w14:textId="4E27E9FA" w:rsidR="00A00DEA" w:rsidRPr="00002E53" w:rsidRDefault="00A00DEA" w:rsidP="00A00DEA">
      <w:pPr>
        <w:pStyle w:val="SingleTxtG"/>
        <w:kinsoku/>
        <w:overflowPunct/>
        <w:autoSpaceDE/>
        <w:autoSpaceDN/>
        <w:adjustRightInd/>
        <w:snapToGrid/>
      </w:pPr>
      <w:r w:rsidRPr="00002E53">
        <w:t>1</w:t>
      </w:r>
      <w:r w:rsidR="00855E70">
        <w:t>65</w:t>
      </w:r>
      <w:r w:rsidRPr="00002E53">
        <w:t>.</w:t>
      </w:r>
      <w:r w:rsidRPr="00002E53">
        <w:tab/>
        <w:t xml:space="preserve">Articles 12.8, 31.4 and 35.5.1 of the Constitution requires the President, judges and members of the Council of State to take a religious oath upon assuming office. </w:t>
      </w:r>
    </w:p>
    <w:p w14:paraId="4FE22AAC" w14:textId="6C47EE50" w:rsidR="00A00DEA" w:rsidRPr="00002E53" w:rsidRDefault="00A00DEA" w:rsidP="00A00DEA">
      <w:pPr>
        <w:pStyle w:val="SingleTxtG"/>
        <w:kinsoku/>
        <w:overflowPunct/>
        <w:autoSpaceDE/>
        <w:autoSpaceDN/>
        <w:adjustRightInd/>
        <w:snapToGrid/>
      </w:pPr>
      <w:r w:rsidRPr="00002E53">
        <w:t>1</w:t>
      </w:r>
      <w:r w:rsidR="00855E70">
        <w:t>66</w:t>
      </w:r>
      <w:r w:rsidRPr="00002E53">
        <w:t>.</w:t>
      </w:r>
      <w:r w:rsidRPr="00002E53">
        <w:tab/>
        <w:t xml:space="preserve">The Government approved consideration of an amendment to this provision in 2012. The matter was then referred to the Constitutional Convention. </w:t>
      </w:r>
    </w:p>
    <w:p w14:paraId="328BDC41" w14:textId="1E8E72BE" w:rsidR="00A00DEA" w:rsidRPr="00002E53" w:rsidRDefault="00A00DEA" w:rsidP="00A00DEA">
      <w:pPr>
        <w:pStyle w:val="SingleTxtG"/>
        <w:kinsoku/>
        <w:overflowPunct/>
        <w:autoSpaceDE/>
        <w:autoSpaceDN/>
        <w:adjustRightInd/>
        <w:snapToGrid/>
      </w:pPr>
      <w:r w:rsidRPr="00002E53">
        <w:t>1</w:t>
      </w:r>
      <w:r w:rsidR="00855E70">
        <w:t>67</w:t>
      </w:r>
      <w:r w:rsidRPr="00002E53">
        <w:t>.</w:t>
      </w:r>
      <w:r w:rsidRPr="00002E53">
        <w:tab/>
        <w:t xml:space="preserve">Between 2013 and 2014, 27% of all public submissions to the Constitutional Convention had recommendations based on the secularisation of the Constitution. </w:t>
      </w:r>
    </w:p>
    <w:p w14:paraId="3A8D864D" w14:textId="59D4AA47" w:rsidR="00A00DEA" w:rsidRPr="00002E53" w:rsidRDefault="00A00DEA" w:rsidP="00A00DEA">
      <w:pPr>
        <w:pStyle w:val="SingleTxtG"/>
        <w:kinsoku/>
        <w:overflowPunct/>
        <w:autoSpaceDE/>
        <w:autoSpaceDN/>
        <w:adjustRightInd/>
        <w:snapToGrid/>
      </w:pPr>
      <w:r w:rsidRPr="00002E53">
        <w:t>1</w:t>
      </w:r>
      <w:r w:rsidR="00855E70">
        <w:t>68</w:t>
      </w:r>
      <w:r w:rsidRPr="00002E53">
        <w:t>.</w:t>
      </w:r>
      <w:r w:rsidRPr="00002E53">
        <w:tab/>
        <w:t xml:space="preserve">Following the Convention, the 35th Amendment of the Constitution (Separation of Church and State) Bill 2017 included the removal of the requirement to sign a religious oath. The Bill lapsed with the dissolution of the Oireachtas in 2020. </w:t>
      </w:r>
    </w:p>
    <w:p w14:paraId="7EFD1ECB" w14:textId="36DA5A59" w:rsidR="00A00DEA" w:rsidRPr="00A91E1E" w:rsidRDefault="00116EDD" w:rsidP="00116EDD">
      <w:pPr>
        <w:pStyle w:val="H23G"/>
        <w:rPr>
          <w:highlight w:val="yellow"/>
        </w:rPr>
      </w:pPr>
      <w:r>
        <w:tab/>
      </w:r>
      <w:r>
        <w:tab/>
      </w:r>
      <w:r w:rsidR="00A00DEA">
        <w:t>Reply to paragraph 20(c)</w:t>
      </w:r>
    </w:p>
    <w:p w14:paraId="62204492" w14:textId="4E955C07" w:rsidR="00A00DEA" w:rsidRPr="00002E53" w:rsidRDefault="00A00DEA" w:rsidP="00A00DEA">
      <w:pPr>
        <w:pStyle w:val="SingleTxtG"/>
        <w:kinsoku/>
        <w:overflowPunct/>
        <w:autoSpaceDE/>
        <w:autoSpaceDN/>
        <w:adjustRightInd/>
        <w:snapToGrid/>
      </w:pPr>
      <w:r w:rsidRPr="00002E53">
        <w:t>1</w:t>
      </w:r>
      <w:r w:rsidR="00855E70">
        <w:t>69</w:t>
      </w:r>
      <w:r w:rsidRPr="00002E53">
        <w:t>.</w:t>
      </w:r>
      <w:r w:rsidRPr="00002E53">
        <w:tab/>
        <w:t xml:space="preserve">The Equality (Miscellaneous Provisions) Act 2015, which commenced on 1 January 2016, provided for certain changes in the exclusion of discrimination on particular grounds in certain employments, including educational or medical institutions maintained, in whole or in part, by monies provided by the Oireachtas by amending Section 37 of the Employment Equality Act 1998. </w:t>
      </w:r>
    </w:p>
    <w:p w14:paraId="0AF38596" w14:textId="52F86A82" w:rsidR="00A00DEA" w:rsidRPr="00002E53" w:rsidRDefault="00A00DEA" w:rsidP="00A00DEA">
      <w:pPr>
        <w:pStyle w:val="SingleTxtG"/>
        <w:kinsoku/>
        <w:overflowPunct/>
        <w:autoSpaceDE/>
        <w:autoSpaceDN/>
        <w:adjustRightInd/>
        <w:snapToGrid/>
      </w:pPr>
      <w:r w:rsidRPr="00002E53">
        <w:t>1</w:t>
      </w:r>
      <w:r w:rsidR="00855E70">
        <w:t>70</w:t>
      </w:r>
      <w:r w:rsidRPr="00002E53">
        <w:t>.</w:t>
      </w:r>
      <w:r w:rsidRPr="00002E53">
        <w:tab/>
        <w:t xml:space="preserve">The purpose of the amendment is to protect employees against discrimination, while respecting religious freedoms guaranteed in the Constitution. </w:t>
      </w:r>
    </w:p>
    <w:p w14:paraId="3B58783A" w14:textId="1F1AE1A2" w:rsidR="00A00DEA" w:rsidRPr="00002E53" w:rsidRDefault="00A00DEA" w:rsidP="00A00DEA">
      <w:pPr>
        <w:pStyle w:val="SingleTxtG"/>
        <w:kinsoku/>
        <w:overflowPunct/>
        <w:autoSpaceDE/>
        <w:autoSpaceDN/>
        <w:adjustRightInd/>
        <w:snapToGrid/>
      </w:pPr>
      <w:r w:rsidRPr="00002E53">
        <w:t>1</w:t>
      </w:r>
      <w:r w:rsidR="00855E70">
        <w:t>71</w:t>
      </w:r>
      <w:r w:rsidRPr="00002E53">
        <w:t>.</w:t>
      </w:r>
      <w:r w:rsidRPr="00002E53">
        <w:tab/>
        <w:t>The amended Section 37 imposes a higher burden of proof on relevant employers. It obliges them to show that any favourable treatment of an employee or prospective employee is limited to the religion ground and the treatment does not constitute discrimination on any of the other discriminatory grounds.</w:t>
      </w:r>
      <w:r w:rsidRPr="00002E53">
        <w:rPr>
          <w:rStyle w:val="FootnoteReference"/>
        </w:rPr>
        <w:footnoteReference w:id="10"/>
      </w:r>
      <w:r w:rsidRPr="00002E53">
        <w:t xml:space="preserve"> </w:t>
      </w:r>
    </w:p>
    <w:p w14:paraId="4C090D68" w14:textId="654EC69C" w:rsidR="00A00DEA" w:rsidRDefault="00A00DEA" w:rsidP="00A00DEA">
      <w:pPr>
        <w:pStyle w:val="SingleTxtG"/>
        <w:kinsoku/>
        <w:overflowPunct/>
        <w:autoSpaceDE/>
        <w:autoSpaceDN/>
        <w:adjustRightInd/>
        <w:snapToGrid/>
      </w:pPr>
      <w:r>
        <w:t>1</w:t>
      </w:r>
      <w:r w:rsidR="00855E70">
        <w:t>72</w:t>
      </w:r>
      <w:r>
        <w:t>.</w:t>
      </w:r>
      <w:r>
        <w:tab/>
      </w:r>
      <w:r w:rsidRPr="00002E53">
        <w:t>Favourable treatment on the grounds of religion shall be taken to be discrimination</w:t>
      </w:r>
      <w:r>
        <w:t>,</w:t>
      </w:r>
      <w:r w:rsidRPr="00002E53">
        <w:t xml:space="preserve"> unless by reason of the nature of the institution’s activities, the religion of the employee or prospective employee constitutes a genuine, legitimate and justified occupational requirement having regard to the institution’s ethos</w:t>
      </w:r>
      <w:r>
        <w:t>,</w:t>
      </w:r>
      <w:r w:rsidRPr="00002E53">
        <w:t xml:space="preserve"> that the action taken against a person must be objectively justified by reference to that institution’s aim of protecting its religious ethos and that the means of achieving that aim are appropriate and necessary.</w:t>
      </w:r>
    </w:p>
    <w:p w14:paraId="1C241B05" w14:textId="40A27A4A" w:rsidR="00A00DEA" w:rsidRDefault="00116EDD" w:rsidP="00116EDD">
      <w:pPr>
        <w:pStyle w:val="H1G"/>
      </w:pPr>
      <w:r>
        <w:tab/>
      </w:r>
      <w:r>
        <w:tab/>
      </w:r>
      <w:r w:rsidR="00A00DEA" w:rsidRPr="00203288">
        <w:t>Freedom of expression, assembly and association (arts. 2, 19, 21 and 22)</w:t>
      </w:r>
    </w:p>
    <w:p w14:paraId="57DE54AB" w14:textId="3A27D8F0" w:rsidR="00A00DEA" w:rsidRDefault="00116EDD" w:rsidP="00116EDD">
      <w:pPr>
        <w:pStyle w:val="H23G"/>
      </w:pPr>
      <w:r>
        <w:tab/>
      </w:r>
      <w:r>
        <w:tab/>
      </w:r>
      <w:r w:rsidR="00A00DEA">
        <w:t xml:space="preserve">Reply to paragraph 21 </w:t>
      </w:r>
    </w:p>
    <w:p w14:paraId="7F19B0FB" w14:textId="2CC263F9" w:rsidR="00A00DEA" w:rsidRDefault="00A00DEA" w:rsidP="00A00DEA">
      <w:pPr>
        <w:pStyle w:val="SingleTxtG"/>
        <w:kinsoku/>
        <w:overflowPunct/>
        <w:autoSpaceDE/>
        <w:autoSpaceDN/>
        <w:adjustRightInd/>
        <w:snapToGrid/>
      </w:pPr>
      <w:r>
        <w:t>1</w:t>
      </w:r>
      <w:r w:rsidR="00855E70">
        <w:t>73</w:t>
      </w:r>
      <w:r>
        <w:t>.</w:t>
      </w:r>
      <w:r>
        <w:tab/>
        <w:t xml:space="preserve">The Government </w:t>
      </w:r>
      <w:r w:rsidRPr="003D10C9">
        <w:rPr>
          <w:highlight w:val="lightGray"/>
        </w:rPr>
        <w:t xml:space="preserve">will </w:t>
      </w:r>
      <w:r w:rsidR="00924022" w:rsidRPr="003D10C9">
        <w:rPr>
          <w:highlight w:val="lightGray"/>
        </w:rPr>
        <w:t>continue its</w:t>
      </w:r>
      <w:r w:rsidRPr="003D10C9">
        <w:rPr>
          <w:highlight w:val="lightGray"/>
        </w:rPr>
        <w:t xml:space="preserve"> review</w:t>
      </w:r>
      <w:r w:rsidRPr="00E65E38">
        <w:t xml:space="preserve"> of the censorship arrangements</w:t>
      </w:r>
      <w:r>
        <w:t>,</w:t>
      </w:r>
      <w:r w:rsidRPr="00E65E38">
        <w:t xml:space="preserve"> </w:t>
      </w:r>
      <w:r>
        <w:t>including the 1929 Act</w:t>
      </w:r>
      <w:r w:rsidRPr="00E65E38">
        <w:t xml:space="preserve"> this year</w:t>
      </w:r>
      <w:r>
        <w:t>.</w:t>
      </w:r>
    </w:p>
    <w:p w14:paraId="0F4CFEB8" w14:textId="74825AE1" w:rsidR="00A00DEA" w:rsidRDefault="00116EDD" w:rsidP="00116EDD">
      <w:pPr>
        <w:pStyle w:val="H23G"/>
      </w:pPr>
      <w:r>
        <w:tab/>
      </w:r>
      <w:r>
        <w:tab/>
      </w:r>
      <w:r w:rsidR="00A00DEA">
        <w:t xml:space="preserve">Reply to paragraph 22(a) </w:t>
      </w:r>
    </w:p>
    <w:p w14:paraId="509F1162" w14:textId="49C3E386" w:rsidR="00A00DEA" w:rsidRPr="00991B0B" w:rsidRDefault="00A00DEA" w:rsidP="00A00DEA">
      <w:pPr>
        <w:pStyle w:val="SingleTxtG"/>
        <w:kinsoku/>
        <w:overflowPunct/>
        <w:autoSpaceDE/>
        <w:autoSpaceDN/>
        <w:adjustRightInd/>
        <w:snapToGrid/>
      </w:pPr>
      <w:r w:rsidRPr="00991B0B">
        <w:t>1</w:t>
      </w:r>
      <w:r w:rsidR="00855E70">
        <w:t>74</w:t>
      </w:r>
      <w:r w:rsidRPr="00991B0B">
        <w:t>.</w:t>
      </w:r>
      <w:r w:rsidRPr="00991B0B">
        <w:tab/>
        <w:t>The Criminal Justice (Public Order) Act 1994 does not provide for any offence against peaceful assembly for the purposes of protest.  The Act provides for offences of violent</w:t>
      </w:r>
      <w:r>
        <w:t>,</w:t>
      </w:r>
      <w:r w:rsidRPr="00991B0B">
        <w:t xml:space="preserve"> intoxicated and disruptive behaviours in public places.  The powers granted to </w:t>
      </w:r>
      <w:r>
        <w:t>AGS</w:t>
      </w:r>
      <w:r w:rsidRPr="00991B0B">
        <w:t xml:space="preserve"> under the Act are all related to the commission of these offences and are designed to protect the rights of the public.  </w:t>
      </w:r>
    </w:p>
    <w:p w14:paraId="341765FD" w14:textId="703789A0" w:rsidR="00A00DEA" w:rsidRPr="00236E5C" w:rsidRDefault="00116EDD" w:rsidP="00116EDD">
      <w:pPr>
        <w:pStyle w:val="H23G"/>
      </w:pPr>
      <w:r>
        <w:tab/>
      </w:r>
      <w:r>
        <w:tab/>
      </w:r>
      <w:r w:rsidR="00A00DEA" w:rsidRPr="00236E5C">
        <w:t>Reply to paragraph 2</w:t>
      </w:r>
      <w:r w:rsidR="00A00DEA">
        <w:t>2</w:t>
      </w:r>
      <w:r w:rsidR="00A00DEA" w:rsidRPr="00236E5C">
        <w:t xml:space="preserve">(b) </w:t>
      </w:r>
    </w:p>
    <w:p w14:paraId="0ABB4F9A" w14:textId="538BACEC" w:rsidR="00A00DEA" w:rsidRPr="00991B0B" w:rsidRDefault="00A00DEA" w:rsidP="00A00DEA">
      <w:pPr>
        <w:pStyle w:val="SingleTxtG"/>
        <w:kinsoku/>
        <w:overflowPunct/>
        <w:autoSpaceDE/>
        <w:autoSpaceDN/>
        <w:adjustRightInd/>
        <w:snapToGrid/>
      </w:pPr>
      <w:r w:rsidRPr="00991B0B">
        <w:t>1</w:t>
      </w:r>
      <w:r w:rsidR="00855E70">
        <w:t>75</w:t>
      </w:r>
      <w:r w:rsidRPr="00991B0B">
        <w:t>.</w:t>
      </w:r>
      <w:r w:rsidRPr="00991B0B">
        <w:tab/>
      </w:r>
      <w:r w:rsidR="00E0467A" w:rsidRPr="00991B0B">
        <w:t>The Private Security Services Act does</w:t>
      </w:r>
      <w:r w:rsidR="00E0467A">
        <w:t xml:space="preserve"> </w:t>
      </w:r>
      <w:r w:rsidR="00E0467A" w:rsidRPr="00991B0B">
        <w:t>n</w:t>
      </w:r>
      <w:r w:rsidR="00E0467A">
        <w:t>o</w:t>
      </w:r>
      <w:r w:rsidR="00E0467A" w:rsidRPr="00991B0B">
        <w:t xml:space="preserve">t convey law enforcement powers. </w:t>
      </w:r>
      <w:r w:rsidR="00E0467A" w:rsidRPr="003D10C9">
        <w:rPr>
          <w:highlight w:val="lightGray"/>
        </w:rPr>
        <w:t xml:space="preserve">Legislation to permit the Private Security Authority (PSA) to regulate the activities of private security personnel assisting those enforcing court orders within the remit of the PSA the Private Security Services (Amendment) Act 2021, was enacted in July 2021. The Act contains amendments to the Private Security Services Act 2004 and the Enforcement of Court Orders Act 1926, primarily to allow ‘enforcement guard’ to be included in the list of private security services to be licensed by the PSA under the 2004 Act. The PSA has established a </w:t>
      </w:r>
      <w:r w:rsidR="00E0467A" w:rsidRPr="003D10C9">
        <w:rPr>
          <w:highlight w:val="lightGray"/>
        </w:rPr>
        <w:lastRenderedPageBreak/>
        <w:t>working group of stakeholders to develop the operational and training requirements that will apply to licensing. The PSA is expected to announce a timeframe for licensing by mid-2022.</w:t>
      </w:r>
    </w:p>
    <w:p w14:paraId="4EE970AE" w14:textId="0C06E709" w:rsidR="00A00DEA" w:rsidRPr="00991B0B" w:rsidRDefault="00A00DEA" w:rsidP="00A00DEA">
      <w:pPr>
        <w:pStyle w:val="SingleTxtG"/>
        <w:kinsoku/>
        <w:overflowPunct/>
        <w:autoSpaceDE/>
        <w:autoSpaceDN/>
        <w:adjustRightInd/>
        <w:snapToGrid/>
      </w:pPr>
      <w:r w:rsidRPr="00991B0B">
        <w:t>1</w:t>
      </w:r>
      <w:r w:rsidR="00855E70">
        <w:t>76</w:t>
      </w:r>
      <w:r w:rsidRPr="00991B0B">
        <w:t>.</w:t>
      </w:r>
      <w:r w:rsidRPr="00991B0B">
        <w:tab/>
      </w:r>
      <w:r w:rsidR="00E0467A" w:rsidRPr="00991B0B">
        <w:t xml:space="preserve">The use of the Public Order Acts to police protests is an operational decision for the </w:t>
      </w:r>
      <w:r w:rsidR="00E0467A">
        <w:t>AGS Commissioner</w:t>
      </w:r>
      <w:r w:rsidR="00E0467A" w:rsidRPr="007B35CA">
        <w:t>.</w:t>
      </w:r>
      <w:r w:rsidR="00E0467A">
        <w:t xml:space="preserve"> The </w:t>
      </w:r>
      <w:r w:rsidR="00E0467A" w:rsidRPr="00991B0B">
        <w:t>use of the</w:t>
      </w:r>
      <w:r w:rsidR="00E0467A">
        <w:t>se</w:t>
      </w:r>
      <w:r w:rsidR="00E0467A" w:rsidRPr="00991B0B">
        <w:t xml:space="preserve"> Acts is engaged sparingly when incidents of violent disorder occur. Use of the powers of the</w:t>
      </w:r>
      <w:r w:rsidR="00E0467A">
        <w:t>se</w:t>
      </w:r>
      <w:r w:rsidR="00E0467A" w:rsidRPr="00991B0B">
        <w:t xml:space="preserve"> Act</w:t>
      </w:r>
      <w:r w:rsidR="00E0467A">
        <w:t>s</w:t>
      </w:r>
      <w:r w:rsidR="00E0467A" w:rsidRPr="00991B0B">
        <w:t xml:space="preserve"> are proportional and subject to checks and balance</w:t>
      </w:r>
      <w:r w:rsidR="00E0467A">
        <w:t>s</w:t>
      </w:r>
      <w:r w:rsidR="00E0467A" w:rsidRPr="00991B0B">
        <w:t xml:space="preserve"> by the DPP</w:t>
      </w:r>
      <w:r w:rsidR="00E0467A">
        <w:t xml:space="preserve">. </w:t>
      </w:r>
    </w:p>
    <w:p w14:paraId="31DB53C8" w14:textId="765145A8" w:rsidR="00A00DEA" w:rsidRPr="00B71931" w:rsidRDefault="00116EDD" w:rsidP="00116EDD">
      <w:pPr>
        <w:pStyle w:val="H23G"/>
        <w:rPr>
          <w:rFonts w:ascii="Lato" w:hAnsi="Lato"/>
          <w:i/>
          <w:iCs/>
          <w:color w:val="404040"/>
        </w:rPr>
      </w:pPr>
      <w:r>
        <w:tab/>
      </w:r>
      <w:r>
        <w:tab/>
      </w:r>
      <w:r w:rsidR="00A00DEA" w:rsidRPr="00236E5C">
        <w:t xml:space="preserve">Reply to paragraph </w:t>
      </w:r>
      <w:r w:rsidR="00A00DEA">
        <w:t>22(c</w:t>
      </w:r>
      <w:r w:rsidR="00A00DEA" w:rsidRPr="00236E5C">
        <w:t xml:space="preserve">) </w:t>
      </w:r>
    </w:p>
    <w:p w14:paraId="533B6FF9" w14:textId="1672AEC3" w:rsidR="00A00DEA" w:rsidRDefault="00A00DEA" w:rsidP="00A00DEA">
      <w:pPr>
        <w:pStyle w:val="SingleTxtG"/>
        <w:kinsoku/>
        <w:overflowPunct/>
        <w:autoSpaceDE/>
        <w:autoSpaceDN/>
        <w:adjustRightInd/>
        <w:snapToGrid/>
      </w:pPr>
      <w:r>
        <w:t>1</w:t>
      </w:r>
      <w:r w:rsidR="00855E70">
        <w:t>77</w:t>
      </w:r>
      <w:r>
        <w:t>.</w:t>
      </w:r>
      <w:r>
        <w:tab/>
        <w:t xml:space="preserve">Article 40.6.1 of the Constitution guarantees the right of persons to form associations and unions. Article 40.6.2 specifies that the laws regulating this right shall contain no discrimination. </w:t>
      </w:r>
    </w:p>
    <w:p w14:paraId="2A437B93" w14:textId="48A72ED4" w:rsidR="00A00DEA" w:rsidRDefault="00A00DEA" w:rsidP="00A00DEA">
      <w:pPr>
        <w:pStyle w:val="SingleTxtG"/>
        <w:kinsoku/>
        <w:overflowPunct/>
        <w:autoSpaceDE/>
        <w:autoSpaceDN/>
        <w:adjustRightInd/>
        <w:snapToGrid/>
      </w:pPr>
      <w:r>
        <w:t>1</w:t>
      </w:r>
      <w:r w:rsidR="00855E70">
        <w:t>78</w:t>
      </w:r>
      <w:r>
        <w:t>.</w:t>
      </w:r>
      <w:r>
        <w:tab/>
        <w:t xml:space="preserve">The Industrial Relations Amendment Act 2015 provides a mechanism by which the fairness of the employment conditions of workers can be assessed in employments where collective bargaining does not take place. The legislation ensures the retention of Ireland’s voluntary system of industrial relations.  It also means that where an employer chooses not to engage in collective bargaining either with a trade union or an internal ‘excepted body’, and where the number of employees on whose behalf the matter is being pursued is not insignificant. </w:t>
      </w:r>
    </w:p>
    <w:p w14:paraId="79E88141" w14:textId="50BC5980" w:rsidR="00A00DEA" w:rsidRDefault="00A00DEA" w:rsidP="00A00DEA">
      <w:pPr>
        <w:pStyle w:val="SingleTxtG"/>
        <w:kinsoku/>
        <w:overflowPunct/>
        <w:autoSpaceDE/>
        <w:autoSpaceDN/>
        <w:adjustRightInd/>
        <w:snapToGrid/>
      </w:pPr>
      <w:r>
        <w:t>1</w:t>
      </w:r>
      <w:r w:rsidR="00855E70">
        <w:t>79</w:t>
      </w:r>
      <w:r>
        <w:t>.</w:t>
      </w:r>
      <w:r>
        <w:tab/>
        <w:t>The 2001 Industrial Relations Amendment Act has been remediated to ensure that a framework exists that allows a trade union to have the remuneration and terms and conditions of its members in that employment assessed against relevant comparators and determined by the Labour Court, if necessary. It ensures that where an employer is engaged in collective bargaining with an internal ‘excepted body’, as opposed to a trade union, that body must satisfy the Labour Court as to its independence of the employer.   </w:t>
      </w:r>
    </w:p>
    <w:p w14:paraId="67B3860F" w14:textId="64C25F36" w:rsidR="00A00DEA" w:rsidRDefault="00A00DEA" w:rsidP="00A00DEA">
      <w:pPr>
        <w:pStyle w:val="SingleTxtG"/>
        <w:kinsoku/>
        <w:overflowPunct/>
        <w:autoSpaceDE/>
        <w:autoSpaceDN/>
        <w:adjustRightInd/>
        <w:snapToGrid/>
      </w:pPr>
      <w:r>
        <w:t>1</w:t>
      </w:r>
      <w:r w:rsidR="00855E70">
        <w:t>80</w:t>
      </w:r>
      <w:r>
        <w:t>.</w:t>
      </w:r>
      <w:r>
        <w:tab/>
        <w:t>An explicit prohibition on the use by employers of inducements designed specifically to have staff forego collective representation by a trade union was introduced with the adoption of a statutory Code of Practice on Victimisation in October 2015.</w:t>
      </w:r>
    </w:p>
    <w:p w14:paraId="1FE99400" w14:textId="5A2E3CE1" w:rsidR="00A00DEA" w:rsidRDefault="00116EDD" w:rsidP="00116EDD">
      <w:pPr>
        <w:pStyle w:val="H1G"/>
      </w:pPr>
      <w:r>
        <w:tab/>
      </w:r>
      <w:r>
        <w:tab/>
      </w:r>
      <w:r w:rsidR="00A00DEA">
        <w:t>Right to privacy (art. 17)</w:t>
      </w:r>
    </w:p>
    <w:p w14:paraId="42752143" w14:textId="2A954A06" w:rsidR="00A00DEA" w:rsidRDefault="00116EDD" w:rsidP="00116EDD">
      <w:pPr>
        <w:pStyle w:val="H23G"/>
      </w:pPr>
      <w:r>
        <w:tab/>
      </w:r>
      <w:r>
        <w:tab/>
      </w:r>
      <w:r w:rsidR="00A00DEA">
        <w:t xml:space="preserve">Reply to paragraph 23(a) </w:t>
      </w:r>
    </w:p>
    <w:p w14:paraId="1EAD3218" w14:textId="2346702B" w:rsidR="00A00DEA" w:rsidRPr="00192D72" w:rsidRDefault="00A00DEA" w:rsidP="00A00DEA">
      <w:pPr>
        <w:pStyle w:val="SingleTxtG"/>
        <w:kinsoku/>
        <w:overflowPunct/>
        <w:autoSpaceDE/>
        <w:autoSpaceDN/>
        <w:adjustRightInd/>
        <w:snapToGrid/>
      </w:pPr>
      <w:r w:rsidRPr="00192D72">
        <w:t>1</w:t>
      </w:r>
      <w:r w:rsidR="00855E70">
        <w:t>81</w:t>
      </w:r>
      <w:r w:rsidRPr="00192D72">
        <w:t>.</w:t>
      </w:r>
      <w:r w:rsidRPr="00192D72">
        <w:tab/>
      </w:r>
      <w:r w:rsidR="00E0467A">
        <w:t xml:space="preserve">The Data Protection Commission (DPC) is responsible for upholding the fundamental right of individuals to have their personal data protected.  It monitors the application of the GDPR, and has functions related to other regulatory frameworks, including the Irish </w:t>
      </w:r>
      <w:proofErr w:type="spellStart"/>
      <w:r w:rsidR="00E0467A">
        <w:t>ePrivacy</w:t>
      </w:r>
      <w:proofErr w:type="spellEnd"/>
      <w:r w:rsidR="00E0467A">
        <w:t xml:space="preserve"> Regulations (2011) and the EU Law Enforcement Directive (LED). The statutory powers of the DPC are established under the Data Protection Act 2018. </w:t>
      </w:r>
      <w:r w:rsidR="00E0467A" w:rsidRPr="003D10C9">
        <w:rPr>
          <w:highlight w:val="lightGray"/>
        </w:rPr>
        <w:t>The Data Protection Commission is completely independent in the performance of its tasks and the exercise of its powers. It does not report to the Department of Justice, nor has the Department any oversight or enforcement powers in relation to the Commission.</w:t>
      </w:r>
    </w:p>
    <w:p w14:paraId="756772E5" w14:textId="0D226874" w:rsidR="00A00DEA" w:rsidRPr="00E66956" w:rsidRDefault="00A00DEA" w:rsidP="00A00DEA">
      <w:pPr>
        <w:pStyle w:val="SingleTxtG"/>
        <w:kinsoku/>
        <w:overflowPunct/>
        <w:autoSpaceDE/>
        <w:autoSpaceDN/>
        <w:adjustRightInd/>
        <w:snapToGrid/>
      </w:pPr>
      <w:r w:rsidRPr="00E66956">
        <w:t>1</w:t>
      </w:r>
      <w:r w:rsidR="00855E70">
        <w:t>82</w:t>
      </w:r>
      <w:r w:rsidRPr="00E66956">
        <w:t>.</w:t>
      </w:r>
      <w:r w:rsidRPr="00E66956">
        <w:tab/>
        <w:t xml:space="preserve">The Public Services Card (PSC) is an identity token issued by the Department of Social Protection (DSP). </w:t>
      </w:r>
      <w:r>
        <w:t xml:space="preserve">It confirms </w:t>
      </w:r>
      <w:r w:rsidRPr="00E66956">
        <w:t>that a person has authenticated their identity to a substantial level of assurance</w:t>
      </w:r>
      <w:r>
        <w:t>.</w:t>
      </w:r>
      <w:r w:rsidRPr="00E66956">
        <w:t xml:space="preserve"> </w:t>
      </w:r>
      <w:r>
        <w:t xml:space="preserve">This authentication process </w:t>
      </w:r>
      <w:r w:rsidRPr="00E66956">
        <w:t>enhance</w:t>
      </w:r>
      <w:r>
        <w:t>s</w:t>
      </w:r>
      <w:r w:rsidRPr="00E66956">
        <w:t xml:space="preserve"> protection of a person’s personal data and privacy by ensuring that someone else cannot assume their identity, and supports the purpose of Article 17. </w:t>
      </w:r>
    </w:p>
    <w:p w14:paraId="1CAFB387" w14:textId="555DB203" w:rsidR="00A00DEA" w:rsidRPr="00E66956" w:rsidRDefault="00A00DEA" w:rsidP="00A00DEA">
      <w:pPr>
        <w:pStyle w:val="SingleTxtG"/>
        <w:kinsoku/>
        <w:overflowPunct/>
        <w:autoSpaceDE/>
        <w:autoSpaceDN/>
        <w:adjustRightInd/>
        <w:snapToGrid/>
      </w:pPr>
      <w:r w:rsidRPr="00E66956">
        <w:t>1</w:t>
      </w:r>
      <w:r w:rsidR="00855E70">
        <w:t>83</w:t>
      </w:r>
      <w:r w:rsidRPr="00E66956">
        <w:t>.</w:t>
      </w:r>
      <w:r w:rsidRPr="00E66956">
        <w:tab/>
      </w:r>
      <w:r>
        <w:t>The</w:t>
      </w:r>
      <w:r w:rsidRPr="00E66956">
        <w:t xml:space="preserve"> </w:t>
      </w:r>
      <w:hyperlink r:id="rId14" w:history="1">
        <w:r w:rsidRPr="00E66956">
          <w:t>So</w:t>
        </w:r>
        <w:r>
          <w:t xml:space="preserve">cial Welfare Consolidation Act </w:t>
        </w:r>
        <w:r w:rsidRPr="00E66956">
          <w:t>2005</w:t>
        </w:r>
      </w:hyperlink>
      <w:r w:rsidRPr="00E66956">
        <w:t xml:space="preserve"> (SWCA)</w:t>
      </w:r>
      <w:r>
        <w:rPr>
          <w:rStyle w:val="FootnoteReference"/>
        </w:rPr>
        <w:footnoteReference w:id="11"/>
      </w:r>
      <w:r w:rsidRPr="00E66956">
        <w:t xml:space="preserve"> sets out the process to </w:t>
      </w:r>
      <w:r w:rsidR="00192EB4" w:rsidRPr="003D10C9">
        <w:rPr>
          <w:highlight w:val="lightGray"/>
        </w:rPr>
        <w:t>authenticate identity</w:t>
      </w:r>
      <w:r w:rsidR="00192EB4">
        <w:t xml:space="preserve"> </w:t>
      </w:r>
      <w:r w:rsidRPr="00E66956">
        <w:t>to a s</w:t>
      </w:r>
      <w:r>
        <w:t>ubstantial level of assurance.</w:t>
      </w:r>
      <w:r w:rsidRPr="00E66956">
        <w:t xml:space="preserve"> </w:t>
      </w:r>
      <w:r>
        <w:t>A</w:t>
      </w:r>
      <w:r w:rsidRPr="00E66956">
        <w:t xml:space="preserve"> person can be required to attend </w:t>
      </w:r>
      <w:r>
        <w:t xml:space="preserve">an interview at a DSP Office and to provide </w:t>
      </w:r>
      <w:r w:rsidRPr="00E66956">
        <w:t>documentary evidence as may be required for the purposes</w:t>
      </w:r>
      <w:r>
        <w:t xml:space="preserve"> of authenticating identity and</w:t>
      </w:r>
      <w:r w:rsidRPr="00E66956">
        <w:t xml:space="preserve"> may </w:t>
      </w:r>
      <w:r>
        <w:t xml:space="preserve">also </w:t>
      </w:r>
      <w:r w:rsidRPr="00E66956">
        <w:t>be required to allo</w:t>
      </w:r>
      <w:r>
        <w:t xml:space="preserve">w a photograph to be taken and </w:t>
      </w:r>
      <w:r w:rsidRPr="00E66956">
        <w:t>to provide a sample of their signature.</w:t>
      </w:r>
    </w:p>
    <w:p w14:paraId="1B871118" w14:textId="3AA58BF3" w:rsidR="00A00DEA" w:rsidRPr="00E66956" w:rsidRDefault="00A00DEA" w:rsidP="00A00DEA">
      <w:pPr>
        <w:pStyle w:val="SingleTxtG"/>
        <w:kinsoku/>
        <w:overflowPunct/>
        <w:autoSpaceDE/>
        <w:autoSpaceDN/>
        <w:adjustRightInd/>
        <w:snapToGrid/>
      </w:pPr>
      <w:r w:rsidRPr="00E66956">
        <w:lastRenderedPageBreak/>
        <w:t>1</w:t>
      </w:r>
      <w:r w:rsidR="00855E70">
        <w:t>84</w:t>
      </w:r>
      <w:r w:rsidRPr="00E66956">
        <w:t>.</w:t>
      </w:r>
      <w:r w:rsidRPr="00E66956">
        <w:tab/>
      </w:r>
      <w:r>
        <w:t>E</w:t>
      </w:r>
      <w:r w:rsidRPr="00E66956">
        <w:t>ach pho</w:t>
      </w:r>
      <w:r>
        <w:t xml:space="preserve">tograph taken is compared with </w:t>
      </w:r>
      <w:r w:rsidRPr="00E66956">
        <w:t>other photographs submitted</w:t>
      </w:r>
      <w:r>
        <w:t>.</w:t>
      </w:r>
      <w:r w:rsidRPr="00E66956">
        <w:t xml:space="preserve"> </w:t>
      </w:r>
      <w:r>
        <w:t xml:space="preserve">This </w:t>
      </w:r>
      <w:r w:rsidRPr="00E66956">
        <w:t xml:space="preserve">is to ensure that only one person is using the same identity. </w:t>
      </w:r>
      <w:r>
        <w:t>A</w:t>
      </w:r>
      <w:r w:rsidRPr="00E66956">
        <w:t xml:space="preserve"> person’s identity is </w:t>
      </w:r>
      <w:r>
        <w:t xml:space="preserve">therefore </w:t>
      </w:r>
      <w:r w:rsidRPr="00E66956">
        <w:t>protected as is access to their da</w:t>
      </w:r>
      <w:r>
        <w:t>ta, consistent with Article 17.</w:t>
      </w:r>
    </w:p>
    <w:p w14:paraId="27A79166" w14:textId="7BF6CB35" w:rsidR="00A00DEA" w:rsidRDefault="00A00DEA" w:rsidP="00A00DEA">
      <w:pPr>
        <w:pStyle w:val="SingleTxtG"/>
        <w:kinsoku/>
        <w:overflowPunct/>
        <w:autoSpaceDE/>
        <w:autoSpaceDN/>
        <w:adjustRightInd/>
        <w:snapToGrid/>
      </w:pPr>
      <w:r>
        <w:t>1</w:t>
      </w:r>
      <w:r w:rsidR="00855E70">
        <w:t>85</w:t>
      </w:r>
      <w:r>
        <w:t>.</w:t>
      </w:r>
      <w:r>
        <w:tab/>
      </w:r>
      <w:r w:rsidRPr="00E66956">
        <w:t>The PSC can only be offered as proof of identity to a limited number of public bodies that are specified in</w:t>
      </w:r>
      <w:r>
        <w:t xml:space="preserve"> </w:t>
      </w:r>
      <w:r w:rsidRPr="00E66956">
        <w:t xml:space="preserve">the SWCA. It cannot be used or requested by any private organisation, or by any public body which is not specified in this schedule.  </w:t>
      </w:r>
      <w:r>
        <w:t>T</w:t>
      </w:r>
      <w:r w:rsidRPr="00E66956">
        <w:t>he bodies specified in Statute are not obliged to request the PSC</w:t>
      </w:r>
      <w:r>
        <w:t xml:space="preserve">. These bodies can </w:t>
      </w:r>
      <w:r w:rsidRPr="00E66956">
        <w:t xml:space="preserve">decide whether to rely on it alone or to use an alternative </w:t>
      </w:r>
      <w:r>
        <w:t xml:space="preserve">identity verification </w:t>
      </w:r>
      <w:r w:rsidRPr="00E66956">
        <w:t xml:space="preserve">method.  </w:t>
      </w:r>
    </w:p>
    <w:p w14:paraId="6281BB10" w14:textId="45DE999A" w:rsidR="00A00DEA" w:rsidRDefault="00A00DEA" w:rsidP="00A00DEA">
      <w:pPr>
        <w:pStyle w:val="SingleTxtG"/>
        <w:kinsoku/>
        <w:overflowPunct/>
        <w:autoSpaceDE/>
        <w:autoSpaceDN/>
        <w:adjustRightInd/>
        <w:snapToGrid/>
      </w:pPr>
      <w:r>
        <w:t>1</w:t>
      </w:r>
      <w:r w:rsidR="00855E70">
        <w:t>86</w:t>
      </w:r>
      <w:r>
        <w:t>.</w:t>
      </w:r>
      <w:r>
        <w:tab/>
      </w:r>
      <w:r w:rsidRPr="00E66956">
        <w:t xml:space="preserve">The data that is collected </w:t>
      </w:r>
      <w:r>
        <w:t xml:space="preserve">is limited to </w:t>
      </w:r>
      <w:r w:rsidRPr="00E66956">
        <w:t xml:space="preserve">12 items as specified in the </w:t>
      </w:r>
      <w:hyperlink r:id="rId15" w:history="1">
        <w:r>
          <w:t>SWCA</w:t>
        </w:r>
      </w:hyperlink>
      <w:r w:rsidRPr="00E66956">
        <w:t xml:space="preserve"> (</w:t>
      </w:r>
      <w:r>
        <w:t xml:space="preserve">including </w:t>
      </w:r>
      <w:r w:rsidRPr="00E66956">
        <w:t xml:space="preserve">name, date of birth, place of birth, address, nationality, </w:t>
      </w:r>
      <w:r>
        <w:t>signature and</w:t>
      </w:r>
      <w:r w:rsidRPr="00E66956">
        <w:t xml:space="preserve"> </w:t>
      </w:r>
      <w:r>
        <w:t>photograph). T</w:t>
      </w:r>
      <w:r w:rsidRPr="00E66956">
        <w:t>he data is stored in secure, State-</w:t>
      </w:r>
      <w:r>
        <w:t xml:space="preserve">owned and operated datacentres. </w:t>
      </w:r>
      <w:r w:rsidRPr="00E66956">
        <w:t>DSP is the</w:t>
      </w:r>
      <w:r>
        <w:t xml:space="preserve"> c</w:t>
      </w:r>
      <w:r w:rsidRPr="00E66956">
        <w:t xml:space="preserve">ontroller for all such </w:t>
      </w:r>
      <w:r>
        <w:t>data. I</w:t>
      </w:r>
      <w:r w:rsidRPr="00E66956">
        <w:t>ts data processing operations co</w:t>
      </w:r>
      <w:r>
        <w:t xml:space="preserve">mply fully with the GDPR, </w:t>
      </w:r>
      <w:r w:rsidRPr="00E66956">
        <w:t>national legislation and are f</w:t>
      </w:r>
      <w:r>
        <w:t xml:space="preserve">ully compatible with Article 17. </w:t>
      </w:r>
    </w:p>
    <w:p w14:paraId="58A0DB12" w14:textId="2BAF8DAE" w:rsidR="00A00DEA" w:rsidRPr="00E66956" w:rsidRDefault="00116EDD" w:rsidP="00116EDD">
      <w:pPr>
        <w:pStyle w:val="H23G"/>
      </w:pPr>
      <w:r>
        <w:tab/>
      </w:r>
      <w:r>
        <w:tab/>
      </w:r>
      <w:r w:rsidR="00A00DEA">
        <w:t xml:space="preserve">Reply to paragraph 23(b) </w:t>
      </w:r>
    </w:p>
    <w:p w14:paraId="2E011AB5" w14:textId="07B791C6" w:rsidR="00A00DEA" w:rsidRPr="00E66956" w:rsidRDefault="00A00DEA" w:rsidP="00A00DEA">
      <w:pPr>
        <w:pStyle w:val="SingleTxtG"/>
        <w:kinsoku/>
        <w:overflowPunct/>
        <w:autoSpaceDE/>
        <w:autoSpaceDN/>
        <w:adjustRightInd/>
        <w:snapToGrid/>
      </w:pPr>
      <w:r w:rsidRPr="00E66956">
        <w:t>1</w:t>
      </w:r>
      <w:r w:rsidR="00855E70">
        <w:t>87</w:t>
      </w:r>
      <w:r w:rsidRPr="00E66956">
        <w:t>.</w:t>
      </w:r>
      <w:r w:rsidRPr="00E66956">
        <w:tab/>
      </w:r>
      <w:r>
        <w:t xml:space="preserve">The SWCA stipulates that a person </w:t>
      </w:r>
      <w:r w:rsidRPr="00E66956">
        <w:t>must authenticate their identity before being issued with a Personal Public Service Number (PPSN)</w:t>
      </w:r>
      <w:r>
        <w:t xml:space="preserve">, a welfare payment, </w:t>
      </w:r>
      <w:r w:rsidRPr="00E66956">
        <w:t>or a PSC by DSP</w:t>
      </w:r>
      <w:r>
        <w:t>.</w:t>
      </w:r>
      <w:r w:rsidRPr="00E66956">
        <w:t xml:space="preserve"> </w:t>
      </w:r>
    </w:p>
    <w:p w14:paraId="7B6A4B12" w14:textId="286010D4" w:rsidR="00A00DEA" w:rsidRPr="00CC6013" w:rsidRDefault="00A00DEA" w:rsidP="00A00DEA">
      <w:pPr>
        <w:pStyle w:val="SingleTxtG"/>
        <w:kinsoku/>
        <w:overflowPunct/>
        <w:autoSpaceDE/>
        <w:autoSpaceDN/>
        <w:adjustRightInd/>
        <w:snapToGrid/>
      </w:pPr>
      <w:r w:rsidRPr="00CC6013">
        <w:t>1</w:t>
      </w:r>
      <w:r w:rsidR="00855E70">
        <w:t>88</w:t>
      </w:r>
      <w:r w:rsidRPr="00CC6013">
        <w:t>.</w:t>
      </w:r>
      <w:r w:rsidRPr="00CC6013">
        <w:tab/>
      </w:r>
      <w:r>
        <w:t>I</w:t>
      </w:r>
      <w:r w:rsidRPr="00E66956">
        <w:t xml:space="preserve">t is a matter for each public body specified in the SWCA to decide whether a person must have authenticated their identity in this way before they can avail of services </w:t>
      </w:r>
      <w:r>
        <w:t>from</w:t>
      </w:r>
      <w:r w:rsidRPr="00E66956">
        <w:t xml:space="preserve"> that body. Although the SWCA provides the power for such bodies to request the PSC, most </w:t>
      </w:r>
      <w:r>
        <w:t xml:space="preserve">bodies </w:t>
      </w:r>
      <w:r w:rsidRPr="00E66956">
        <w:t xml:space="preserve">continue to provide alternative options for people to </w:t>
      </w:r>
      <w:r>
        <w:t>authenticate their identity.</w:t>
      </w:r>
    </w:p>
    <w:p w14:paraId="18DABAAC" w14:textId="59A5FA06" w:rsidR="00A00DEA" w:rsidRPr="00E66956" w:rsidRDefault="00116EDD" w:rsidP="00116EDD">
      <w:pPr>
        <w:pStyle w:val="H23G"/>
      </w:pPr>
      <w:r>
        <w:tab/>
      </w:r>
      <w:r>
        <w:tab/>
      </w:r>
      <w:r w:rsidR="00A00DEA">
        <w:t xml:space="preserve">Reply to paragraph 23(c) </w:t>
      </w:r>
    </w:p>
    <w:p w14:paraId="1A381D92" w14:textId="7E1A6BDA" w:rsidR="00A00DEA" w:rsidRPr="00CC6013" w:rsidRDefault="00A00DEA" w:rsidP="00A00DEA">
      <w:pPr>
        <w:pStyle w:val="SingleTxtG"/>
        <w:kinsoku/>
        <w:overflowPunct/>
        <w:autoSpaceDE/>
        <w:autoSpaceDN/>
        <w:adjustRightInd/>
        <w:snapToGrid/>
      </w:pPr>
      <w:r w:rsidRPr="00CC6013">
        <w:t>1</w:t>
      </w:r>
      <w:r w:rsidR="00855E70">
        <w:t>89</w:t>
      </w:r>
      <w:r w:rsidRPr="00CC6013">
        <w:t>.</w:t>
      </w:r>
      <w:r w:rsidRPr="00CC6013">
        <w:tab/>
      </w:r>
      <w:r w:rsidR="00AA7F9B" w:rsidRPr="00AA7F9B">
        <w:t xml:space="preserve">In 2017, the DPC commenced an investigation into the data processing DSP carries out in respect of the </w:t>
      </w:r>
      <w:proofErr w:type="gramStart"/>
      <w:r w:rsidR="00AA7F9B" w:rsidRPr="00AA7F9B">
        <w:t>SAFE[</w:t>
      </w:r>
      <w:proofErr w:type="gramEnd"/>
      <w:r w:rsidR="00AA7F9B" w:rsidRPr="00AA7F9B">
        <w:t>1]/PSC process.  The DPC sent its Final Report on this investigation to DSP in August 2019. An Enforcement Notice was issued to DSP in December 2019.</w:t>
      </w:r>
    </w:p>
    <w:p w14:paraId="75D32FA5" w14:textId="5E404547" w:rsidR="00A00DEA" w:rsidRPr="00CC6013" w:rsidRDefault="00A00DEA" w:rsidP="00A00DEA">
      <w:pPr>
        <w:pStyle w:val="SingleTxtG"/>
        <w:kinsoku/>
        <w:overflowPunct/>
        <w:autoSpaceDE/>
        <w:autoSpaceDN/>
        <w:adjustRightInd/>
        <w:snapToGrid/>
      </w:pPr>
      <w:r w:rsidRPr="00CC6013">
        <w:t>1</w:t>
      </w:r>
      <w:r w:rsidR="00855E70">
        <w:t>90</w:t>
      </w:r>
      <w:r w:rsidRPr="00CC6013">
        <w:t>.</w:t>
      </w:r>
      <w:r w:rsidRPr="00CC6013">
        <w:tab/>
      </w:r>
      <w:r w:rsidR="00AA7F9B" w:rsidRPr="00AA7F9B">
        <w:t>The DPC found that the processing of personal data to authenticate a person's identity for services delivered by DSP itself is lawful, but that the processing was not lawful when a person is acquiring a PSC solely for use with the services of other specified public bodies. It also found that DSP does not have the right to indefinitely retain supporting documents and information collected for authenticating identity, and that the information provided to users in respect of SAFE/PSC did not satisfy transparency requirements.</w:t>
      </w:r>
      <w:r w:rsidR="00AA7F9B">
        <w:t xml:space="preserve"> </w:t>
      </w:r>
    </w:p>
    <w:p w14:paraId="61391B21" w14:textId="77777777" w:rsidR="00AA7F9B" w:rsidRDefault="00A00DEA" w:rsidP="00AA7F9B">
      <w:pPr>
        <w:pStyle w:val="SingleTxtG"/>
      </w:pPr>
      <w:r w:rsidRPr="00E66956">
        <w:t>1</w:t>
      </w:r>
      <w:r w:rsidR="00855E70">
        <w:t>91</w:t>
      </w:r>
      <w:r w:rsidRPr="00E66956">
        <w:t>.</w:t>
      </w:r>
      <w:r w:rsidRPr="00E66956">
        <w:tab/>
      </w:r>
      <w:r w:rsidR="00AA7F9B">
        <w:t>Having carefully considered DPC’s report and having received legal advice from the Office of the AG, DSP is satisfied that:</w:t>
      </w:r>
    </w:p>
    <w:p w14:paraId="66D29F3F" w14:textId="77777777" w:rsidR="00AA7F9B" w:rsidRDefault="00AA7F9B" w:rsidP="00AA7F9B">
      <w:pPr>
        <w:pStyle w:val="SingleTxtG"/>
      </w:pPr>
      <w:r>
        <w:t>•</w:t>
      </w:r>
      <w:r>
        <w:tab/>
        <w:t xml:space="preserve">The processing of personal data for the authentication of a person’s identity is lawful in situations where the person is acquiring a PSC for use with another specified public </w:t>
      </w:r>
      <w:proofErr w:type="gramStart"/>
      <w:r>
        <w:t>body;</w:t>
      </w:r>
      <w:proofErr w:type="gramEnd"/>
    </w:p>
    <w:p w14:paraId="3934210F" w14:textId="77777777" w:rsidR="00AA7F9B" w:rsidRDefault="00AA7F9B" w:rsidP="00AA7F9B">
      <w:pPr>
        <w:pStyle w:val="SingleTxtG"/>
      </w:pPr>
      <w:r>
        <w:t>•</w:t>
      </w:r>
      <w:r>
        <w:tab/>
        <w:t xml:space="preserve">DSP has a right to retain data in respect of SAFE </w:t>
      </w:r>
      <w:proofErr w:type="gramStart"/>
      <w:r>
        <w:t>registration;</w:t>
      </w:r>
      <w:proofErr w:type="gramEnd"/>
    </w:p>
    <w:p w14:paraId="1FE508E1" w14:textId="77777777" w:rsidR="00AA7F9B" w:rsidRDefault="00AA7F9B" w:rsidP="00AA7F9B">
      <w:pPr>
        <w:pStyle w:val="SingleTxtG"/>
      </w:pPr>
      <w:r>
        <w:t>•</w:t>
      </w:r>
      <w:r>
        <w:tab/>
        <w:t xml:space="preserve">The information collected and retained is proportionate to the purpose of authenticating </w:t>
      </w:r>
      <w:proofErr w:type="gramStart"/>
      <w:r>
        <w:t>identity;</w:t>
      </w:r>
      <w:proofErr w:type="gramEnd"/>
    </w:p>
    <w:p w14:paraId="1DA12E28" w14:textId="02ECF9BA" w:rsidR="00192EB4" w:rsidRPr="00A00DEA" w:rsidRDefault="00AA7F9B">
      <w:pPr>
        <w:pStyle w:val="SingleTxtG"/>
        <w:kinsoku/>
        <w:overflowPunct/>
        <w:autoSpaceDE/>
        <w:autoSpaceDN/>
        <w:adjustRightInd/>
        <w:snapToGrid/>
      </w:pPr>
      <w:r>
        <w:t>•</w:t>
      </w:r>
      <w:r>
        <w:tab/>
        <w:t>The information provided satisfies transparency requirements</w:t>
      </w:r>
      <w:r w:rsidR="00951B69" w:rsidRPr="003D10C9">
        <w:rPr>
          <w:rStyle w:val="FootnoteReference"/>
          <w:highlight w:val="lightGray"/>
        </w:rPr>
        <w:footnoteReference w:id="12"/>
      </w:r>
      <w:r w:rsidR="00951B69">
        <w:t>.</w:t>
      </w:r>
      <w:r>
        <w:t xml:space="preserve"> </w:t>
      </w:r>
    </w:p>
    <w:p w14:paraId="7FDE7790" w14:textId="1E6F0D28" w:rsidR="00A00DEA" w:rsidRPr="00A00DEA" w:rsidRDefault="00A00DEA" w:rsidP="00951B69">
      <w:pPr>
        <w:pStyle w:val="SingleTxtG"/>
        <w:kinsoku/>
        <w:overflowPunct/>
        <w:autoSpaceDE/>
        <w:autoSpaceDN/>
        <w:adjustRightInd/>
        <w:snapToGrid/>
        <w:ind w:left="0"/>
      </w:pPr>
      <w:r w:rsidRPr="00A00DEA">
        <w:t xml:space="preserve"> </w:t>
      </w:r>
    </w:p>
    <w:p w14:paraId="149DCF85" w14:textId="133D8BD7" w:rsidR="00A00DEA" w:rsidRPr="00E65E38" w:rsidRDefault="00A00DEA" w:rsidP="00A00DEA">
      <w:pPr>
        <w:pStyle w:val="SingleTxtG"/>
        <w:kinsoku/>
        <w:overflowPunct/>
        <w:autoSpaceDE/>
        <w:autoSpaceDN/>
        <w:adjustRightInd/>
        <w:snapToGrid/>
      </w:pPr>
      <w:r w:rsidRPr="00E65E38">
        <w:t>1</w:t>
      </w:r>
      <w:r w:rsidR="00855E70">
        <w:t>92</w:t>
      </w:r>
      <w:r w:rsidRPr="00E65E38">
        <w:t>.</w:t>
      </w:r>
      <w:r w:rsidRPr="00E65E38">
        <w:tab/>
      </w:r>
      <w:r w:rsidR="00AA7F9B" w:rsidRPr="003D10C9">
        <w:rPr>
          <w:highlight w:val="lightGray"/>
        </w:rPr>
        <w:t>Legal proceedings in which the Department of Social Protection appealed against an Enforcement Notice issued by the Data Protection Commission (DPC) in relation to the Department’s processing of personal data when issuing Public Services Cards (PSC) have been resolved</w:t>
      </w:r>
      <w:r w:rsidR="00AA7F9B" w:rsidRPr="003D10C9">
        <w:rPr>
          <w:rStyle w:val="FootnoteReference"/>
          <w:highlight w:val="lightGray"/>
        </w:rPr>
        <w:footnoteReference w:id="13"/>
      </w:r>
      <w:r w:rsidR="00AA7F9B" w:rsidRPr="003D10C9">
        <w:rPr>
          <w:highlight w:val="lightGray"/>
        </w:rPr>
        <w:t>.</w:t>
      </w:r>
      <w:r w:rsidR="00D51567" w:rsidRPr="003D10C9">
        <w:rPr>
          <w:highlight w:val="lightGray"/>
        </w:rPr>
        <w:t xml:space="preserve"> </w:t>
      </w:r>
      <w:r w:rsidR="00192EB4" w:rsidRPr="003D10C9">
        <w:rPr>
          <w:highlight w:val="lightGray"/>
        </w:rPr>
        <w:t xml:space="preserve">The Agreement reached between the parties acknowledges that DSP can continue to process personal data as is necessary and proportionate in order to authenticate a person’s identity and issue them with a PSC. This PSC can be used for the purposes of </w:t>
      </w:r>
      <w:r w:rsidR="00192EB4" w:rsidRPr="003D10C9">
        <w:rPr>
          <w:highlight w:val="lightGray"/>
        </w:rPr>
        <w:lastRenderedPageBreak/>
        <w:t xml:space="preserve">proving identity when accessing public services. The Agreement also acknowledges that other specified public bodies may continue to use the PSC as a means of verifying the identity of the people they deal with, provided that they also accept other methods of authenticating identity. The Agreement also acknowledges and accepts that DSP and other specified bodies can continue to use </w:t>
      </w:r>
      <w:proofErr w:type="spellStart"/>
      <w:r w:rsidR="00192EB4" w:rsidRPr="003D10C9">
        <w:rPr>
          <w:highlight w:val="lightGray"/>
        </w:rPr>
        <w:t>MyGovID</w:t>
      </w:r>
      <w:proofErr w:type="spellEnd"/>
      <w:r w:rsidR="00192EB4" w:rsidRPr="003D10C9">
        <w:rPr>
          <w:highlight w:val="lightGray"/>
        </w:rPr>
        <w:t xml:space="preserve"> as the sole means of authenticating identity for the purpose of accessing online services, provided that an alternative </w:t>
      </w:r>
      <w:r w:rsidR="00D54DE2" w:rsidRPr="003D10C9">
        <w:rPr>
          <w:highlight w:val="lightGray"/>
        </w:rPr>
        <w:t>service channel is made available. The DSP and the DPC agreed to work together on the development and implementation of a programme of work in relation to data retention and transparency, and agreement was reached on the scope and implementation of that programme of work in April 2022</w:t>
      </w:r>
      <w:r w:rsidRPr="003D10C9">
        <w:rPr>
          <w:highlight w:val="lightGray"/>
        </w:rPr>
        <w:t xml:space="preserve">. </w:t>
      </w:r>
      <w:r w:rsidR="003A1378" w:rsidRPr="003D10C9">
        <w:rPr>
          <w:highlight w:val="lightGray"/>
        </w:rPr>
        <w:t xml:space="preserve">The Department </w:t>
      </w:r>
      <w:r w:rsidR="003A1378" w:rsidRPr="003D10C9">
        <w:rPr>
          <w:iCs/>
          <w:highlight w:val="lightGray"/>
        </w:rPr>
        <w:t>has, as part of that programme of work, made changes to the SAFE registration process so that copies of documents provided as proof of address are no longer retained by the Department. Instead, a new Customer Declaration has been introduced which shows, inter alia, the data held by the Department in respect of the customer, which the customer signs to confirm its correctness. The Department’s Privacy Statement has also been updated to ensure readers are aware that the Statement includes information relating to the processing of personal data in respect of identity authentication (SAFE registration) and</w:t>
      </w:r>
      <w:r w:rsidR="003C3092" w:rsidRPr="003D10C9">
        <w:rPr>
          <w:iCs/>
          <w:highlight w:val="lightGray"/>
        </w:rPr>
        <w:t xml:space="preserve"> the Public Services Card (PSC)</w:t>
      </w:r>
      <w:r w:rsidR="00951B69" w:rsidRPr="003D10C9">
        <w:rPr>
          <w:iCs/>
          <w:highlight w:val="lightGray"/>
        </w:rPr>
        <w:t>.</w:t>
      </w:r>
    </w:p>
    <w:p w14:paraId="052ECCB4" w14:textId="3B360527" w:rsidR="00A00DEA" w:rsidRPr="00E65E38" w:rsidRDefault="00A00DEA" w:rsidP="00A00DEA">
      <w:pPr>
        <w:pStyle w:val="SingleTxtG"/>
        <w:kinsoku/>
        <w:overflowPunct/>
        <w:autoSpaceDE/>
        <w:autoSpaceDN/>
        <w:adjustRightInd/>
        <w:snapToGrid/>
      </w:pPr>
      <w:r w:rsidRPr="00E65E38">
        <w:t>1</w:t>
      </w:r>
      <w:r w:rsidR="00855E70">
        <w:t>93</w:t>
      </w:r>
      <w:r w:rsidRPr="00E65E38">
        <w:t>.</w:t>
      </w:r>
      <w:r w:rsidRPr="00E65E38">
        <w:tab/>
      </w:r>
      <w:r w:rsidR="00AA7F9B" w:rsidRPr="00AA7F9B">
        <w:t xml:space="preserve">The DPC has received complaints in relation to Real-Time Bidding (RTB), and is also currently engaged in a statutory inquiry in relation to this issue. This Inquiry commenced in May 2019 following the receipt by the DPC of submissions in September 2018 where concerns were raised regarding the online behavioural advertising industry and, in particular, the Google Authorised Buyers system.  The DPC is now also handling the concerns, as raised in 2018, as a complaint for the purposes of Article 107 of the 2018 Act and Article 77 of the GDPR.  The DPC has also received complaints forwarded by authorities from other member states.  In view of the overlap of the issues between the complaints received to date by the DPC and the Inquiry, the DPC is progressing the Inquiry in the first instance, as its outcome will inform the outcome of the complaints. </w:t>
      </w:r>
    </w:p>
    <w:p w14:paraId="6F6FCF62" w14:textId="04C7DBF9" w:rsidR="00A00DEA" w:rsidRPr="00E65E38" w:rsidRDefault="00A00DEA" w:rsidP="00A00DEA">
      <w:pPr>
        <w:pStyle w:val="SingleTxtG"/>
        <w:kinsoku/>
        <w:overflowPunct/>
        <w:autoSpaceDE/>
        <w:autoSpaceDN/>
        <w:adjustRightInd/>
        <w:snapToGrid/>
      </w:pPr>
      <w:r w:rsidRPr="00E65E38">
        <w:t>1</w:t>
      </w:r>
      <w:r w:rsidR="00855E70">
        <w:t>94</w:t>
      </w:r>
      <w:r w:rsidRPr="00E65E38">
        <w:t>.</w:t>
      </w:r>
      <w:r w:rsidRPr="00E65E38">
        <w:tab/>
      </w:r>
      <w:r w:rsidR="00AA7F9B" w:rsidRPr="00AA7F9B">
        <w:t xml:space="preserve">As the Inquiry is ongoing, the DPC cannot comment upon Google’s compliance with the aspects of the GDPR under examination, nor would it be appropriate for it to express any views on the compatibility of the RTB process with the requirements of Article 17 of the Covenant.  </w:t>
      </w:r>
    </w:p>
    <w:p w14:paraId="6E35B972" w14:textId="321E1416" w:rsidR="00A00DEA" w:rsidRDefault="00116EDD" w:rsidP="00116EDD">
      <w:pPr>
        <w:pStyle w:val="H1G"/>
      </w:pPr>
      <w:r>
        <w:tab/>
      </w:r>
      <w:r>
        <w:tab/>
      </w:r>
      <w:r w:rsidR="00A00DEA">
        <w:t>Participation in public affairs (arts. 7, 14, 25 and 26)</w:t>
      </w:r>
    </w:p>
    <w:p w14:paraId="1E1838F0" w14:textId="19FBCB67" w:rsidR="00A00DEA" w:rsidRPr="00203288" w:rsidRDefault="00116EDD" w:rsidP="00116EDD">
      <w:pPr>
        <w:pStyle w:val="H23G"/>
      </w:pPr>
      <w:r>
        <w:tab/>
      </w:r>
      <w:r>
        <w:tab/>
      </w:r>
      <w:r w:rsidR="00A00DEA">
        <w:t xml:space="preserve">Reply to paragraph 24               </w:t>
      </w:r>
    </w:p>
    <w:p w14:paraId="7EF90A99" w14:textId="627B47E7" w:rsidR="00A00DEA" w:rsidRPr="000A0818" w:rsidRDefault="00A00DEA" w:rsidP="00A00DEA">
      <w:pPr>
        <w:pStyle w:val="SingleTxtG"/>
        <w:kinsoku/>
        <w:overflowPunct/>
        <w:autoSpaceDE/>
        <w:autoSpaceDN/>
        <w:adjustRightInd/>
        <w:snapToGrid/>
      </w:pPr>
      <w:r w:rsidRPr="000A0818">
        <w:t>1</w:t>
      </w:r>
      <w:r w:rsidR="00855E70">
        <w:t>96</w:t>
      </w:r>
      <w:r w:rsidRPr="000A0818">
        <w:t>.</w:t>
      </w:r>
      <w:r w:rsidRPr="000A0818">
        <w:tab/>
      </w:r>
      <w:r>
        <w:t>In</w:t>
      </w:r>
      <w:r w:rsidRPr="000A0818">
        <w:t xml:space="preserve"> December 2020, the Government approved the draft</w:t>
      </w:r>
      <w:r>
        <w:t>ing of an Electoral Reform Bill</w:t>
      </w:r>
      <w:r w:rsidRPr="000A0818">
        <w:t xml:space="preserve">.  The general scheme </w:t>
      </w:r>
      <w:r>
        <w:t xml:space="preserve">of the Bill </w:t>
      </w:r>
      <w:r w:rsidRPr="000A0818">
        <w:t>includ</w:t>
      </w:r>
      <w:r>
        <w:t>es</w:t>
      </w:r>
      <w:r w:rsidRPr="000A0818">
        <w:t xml:space="preserve"> the establishment of a</w:t>
      </w:r>
      <w:r>
        <w:t>n</w:t>
      </w:r>
      <w:r w:rsidRPr="000A0818">
        <w:t xml:space="preserve"> independent Electoral Commission</w:t>
      </w:r>
      <w:r>
        <w:t xml:space="preserve"> by the end of 2021.</w:t>
      </w:r>
    </w:p>
    <w:p w14:paraId="33189ABA" w14:textId="2E8243A8" w:rsidR="00A00DEA" w:rsidRPr="000A0818" w:rsidRDefault="00A00DEA" w:rsidP="00A00DEA">
      <w:pPr>
        <w:pStyle w:val="SingleTxtG"/>
        <w:kinsoku/>
        <w:overflowPunct/>
        <w:autoSpaceDE/>
        <w:autoSpaceDN/>
        <w:adjustRightInd/>
        <w:snapToGrid/>
      </w:pPr>
      <w:r w:rsidRPr="000A0818">
        <w:t>1</w:t>
      </w:r>
      <w:r w:rsidR="00855E70">
        <w:t>97</w:t>
      </w:r>
      <w:r w:rsidRPr="000A0818">
        <w:t>.</w:t>
      </w:r>
      <w:r w:rsidRPr="000A0818">
        <w:tab/>
      </w:r>
      <w:r>
        <w:t>The Commission</w:t>
      </w:r>
      <w:r w:rsidRPr="000A0818">
        <w:t xml:space="preserve"> </w:t>
      </w:r>
      <w:r>
        <w:t xml:space="preserve">will report to the Oireachtas. Its functions will include: </w:t>
      </w:r>
    </w:p>
    <w:p w14:paraId="51F490E2" w14:textId="659136FF" w:rsidR="00A00DEA" w:rsidRPr="00A00DEA" w:rsidRDefault="00A00DEA" w:rsidP="00116EDD">
      <w:pPr>
        <w:pStyle w:val="Bullet1G"/>
      </w:pPr>
      <w:r w:rsidRPr="00A00DEA">
        <w:t xml:space="preserve">Policies to promote public awareness and enhance voter participation in respect of electoral events and referendums; </w:t>
      </w:r>
    </w:p>
    <w:p w14:paraId="2E671A99" w14:textId="4F324CE3" w:rsidR="00A00DEA" w:rsidRPr="00A00DEA" w:rsidRDefault="00A00DEA" w:rsidP="00116EDD">
      <w:pPr>
        <w:pStyle w:val="Bullet1G"/>
      </w:pPr>
      <w:r w:rsidRPr="00A00DEA">
        <w:t xml:space="preserve">The preparation and maintenance of a register of political parties; </w:t>
      </w:r>
    </w:p>
    <w:p w14:paraId="44743A05" w14:textId="770878D9" w:rsidR="00A00DEA" w:rsidRPr="00A00DEA" w:rsidRDefault="00A00DEA" w:rsidP="00116EDD">
      <w:pPr>
        <w:pStyle w:val="Bullet1G"/>
      </w:pPr>
      <w:r w:rsidRPr="00A00DEA">
        <w:t xml:space="preserve">Preparing reports for the review of constituencies for the election of members to the Oireachtas and European Parliament; </w:t>
      </w:r>
    </w:p>
    <w:p w14:paraId="39E2B4DF" w14:textId="774C59C7" w:rsidR="00A00DEA" w:rsidRPr="00A00DEA" w:rsidRDefault="00A00DEA" w:rsidP="00116EDD">
      <w:pPr>
        <w:pStyle w:val="Bullet1G"/>
      </w:pPr>
      <w:r w:rsidRPr="00A00DEA">
        <w:t xml:space="preserve">Researching electoral policy and procedure, and providing advice to the Oireachtas and to the Minister for Housing, Local Government and Heritage; </w:t>
      </w:r>
    </w:p>
    <w:p w14:paraId="4941ADCC" w14:textId="41D7C39C" w:rsidR="00A00DEA" w:rsidRPr="00A00DEA" w:rsidRDefault="00A00DEA" w:rsidP="00116EDD">
      <w:pPr>
        <w:pStyle w:val="Bullet1G"/>
      </w:pPr>
      <w:r w:rsidRPr="00A00DEA">
        <w:t xml:space="preserve">Oversight of the Register of Electors; and </w:t>
      </w:r>
    </w:p>
    <w:p w14:paraId="77B53C54" w14:textId="512DCCCE" w:rsidR="00A00DEA" w:rsidRPr="00A00DEA" w:rsidRDefault="00A00DEA" w:rsidP="00116EDD">
      <w:pPr>
        <w:pStyle w:val="Bullet1G"/>
      </w:pPr>
      <w:r w:rsidRPr="00A00DEA">
        <w:t xml:space="preserve">The regulation of online political advertising during electoral periods.   </w:t>
      </w:r>
    </w:p>
    <w:p w14:paraId="7ED85ED1" w14:textId="566A5C98" w:rsidR="00A00DEA" w:rsidRDefault="00A00DEA" w:rsidP="00A00DEA">
      <w:pPr>
        <w:pStyle w:val="SingleTxtG"/>
        <w:kinsoku/>
        <w:overflowPunct/>
        <w:autoSpaceDE/>
        <w:autoSpaceDN/>
        <w:adjustRightInd/>
        <w:snapToGrid/>
      </w:pPr>
      <w:r>
        <w:t>1</w:t>
      </w:r>
      <w:r w:rsidR="00855E70">
        <w:t>98</w:t>
      </w:r>
      <w:r>
        <w:t>.</w:t>
      </w:r>
      <w:r>
        <w:tab/>
        <w:t>T</w:t>
      </w:r>
      <w:r w:rsidRPr="000A0818">
        <w:t xml:space="preserve">he Commission will take on additional functions, including the oversight of electoral events and functions currently held by the Standards in Public Office Commission, </w:t>
      </w:r>
      <w:r>
        <w:t>regarding</w:t>
      </w:r>
      <w:r w:rsidRPr="000A0818">
        <w:t xml:space="preserve"> political funding and election expenditure.</w:t>
      </w:r>
    </w:p>
    <w:p w14:paraId="3A42877E" w14:textId="2554B4DB" w:rsidR="00116EDD" w:rsidRPr="00116EDD" w:rsidRDefault="00116EDD" w:rsidP="00116EDD">
      <w:pPr>
        <w:pStyle w:val="SingleTxtG"/>
        <w:kinsoku/>
        <w:overflowPunct/>
        <w:autoSpaceDE/>
        <w:autoSpaceDN/>
        <w:adjustRightInd/>
        <w:snapToGrid/>
        <w:spacing w:before="240" w:after="0"/>
        <w:jc w:val="center"/>
        <w:rPr>
          <w:u w:val="single"/>
        </w:rPr>
      </w:pPr>
      <w:r>
        <w:rPr>
          <w:u w:val="single"/>
        </w:rPr>
        <w:tab/>
      </w:r>
      <w:r>
        <w:rPr>
          <w:u w:val="single"/>
        </w:rPr>
        <w:tab/>
      </w:r>
      <w:r>
        <w:rPr>
          <w:u w:val="single"/>
        </w:rPr>
        <w:tab/>
      </w:r>
    </w:p>
    <w:sectPr w:rsidR="00116EDD" w:rsidRPr="00116EDD">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9FDC7" w14:textId="77777777" w:rsidR="00D71CDF" w:rsidRDefault="00D71CDF">
      <w:pPr>
        <w:spacing w:line="240" w:lineRule="auto"/>
      </w:pPr>
    </w:p>
  </w:endnote>
  <w:endnote w:type="continuationSeparator" w:id="0">
    <w:p w14:paraId="7DCAE3E9" w14:textId="77777777" w:rsidR="00D71CDF" w:rsidRDefault="00D71CDF">
      <w:pPr>
        <w:pStyle w:val="Footer"/>
      </w:pPr>
    </w:p>
  </w:endnote>
  <w:endnote w:type="continuationNotice" w:id="1">
    <w:p w14:paraId="042608B8" w14:textId="77777777" w:rsidR="00D71CDF" w:rsidRDefault="00D71C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Lato">
    <w:altName w:val="Lato"/>
    <w:charset w:val="00"/>
    <w:family w:val="swiss"/>
    <w:pitch w:val="variable"/>
    <w:sig w:usb0="E10002FF" w:usb1="5000ECFF" w:usb2="00000021"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DA8D6" w14:textId="3E65AFF2" w:rsidR="00D71CDF" w:rsidRDefault="00D71CD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EA4E9A">
      <w:rPr>
        <w:b/>
        <w:noProof/>
        <w:sz w:val="18"/>
      </w:rPr>
      <w:t>22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1A2A7" w14:textId="1CDE52C6" w:rsidR="00D71CDF" w:rsidRDefault="00D71CDF">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EA4E9A">
      <w:rPr>
        <w:b/>
        <w:noProof/>
        <w:sz w:val="18"/>
      </w:rPr>
      <w:t>27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733E" w14:textId="77777777" w:rsidR="00D71CDF" w:rsidRDefault="00D71CDF">
    <w:pPr>
      <w:pStyle w:val="Footer"/>
    </w:pPr>
    <w:r>
      <w:rPr>
        <w:rFonts w:ascii="C39T30Lfz" w:hAnsi="C39T30Lfz"/>
        <w:noProof/>
        <w:sz w:val="56"/>
        <w:szCs w:val="56"/>
        <w:lang w:val="fr-FR" w:eastAsia="fr-FR"/>
      </w:rPr>
      <w:fldChar w:fldCharType="begin"/>
    </w:r>
    <w:r>
      <w:rPr>
        <w:rFonts w:ascii="C39T30Lfz" w:hAnsi="C39T30Lfz"/>
        <w:noProof/>
        <w:sz w:val="56"/>
        <w:szCs w:val="56"/>
        <w:lang w:val="fr-FR" w:eastAsia="fr-FR"/>
      </w:rPr>
      <w:instrText xml:space="preserve"> DOCPROPERTY  bar  \* MERGEFORMAT </w:instrText>
    </w:r>
    <w:r>
      <w:rPr>
        <w:rFonts w:ascii="C39T30Lfz" w:hAnsi="C39T30Lfz"/>
        <w:noProof/>
        <w:sz w:val="56"/>
        <w:szCs w:val="56"/>
        <w:lang w:val="fr-FR" w:eastAsia="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6D90D" w14:textId="77777777" w:rsidR="00D71CDF" w:rsidRDefault="00D71CDF">
      <w:pPr>
        <w:pStyle w:val="Footer"/>
        <w:tabs>
          <w:tab w:val="right" w:pos="2155"/>
        </w:tabs>
        <w:spacing w:after="80" w:line="240" w:lineRule="atLeast"/>
        <w:ind w:left="680"/>
        <w:rPr>
          <w:u w:val="single"/>
        </w:rPr>
      </w:pPr>
      <w:r>
        <w:rPr>
          <w:u w:val="single"/>
        </w:rPr>
        <w:tab/>
      </w:r>
    </w:p>
  </w:footnote>
  <w:footnote w:type="continuationSeparator" w:id="0">
    <w:p w14:paraId="09BC9B8B" w14:textId="77777777" w:rsidR="00D71CDF" w:rsidRDefault="00D71CDF">
      <w:pPr>
        <w:pStyle w:val="Footer"/>
        <w:tabs>
          <w:tab w:val="right" w:pos="2155"/>
        </w:tabs>
        <w:spacing w:after="80" w:line="240" w:lineRule="atLeast"/>
        <w:ind w:left="680"/>
        <w:rPr>
          <w:u w:val="single"/>
        </w:rPr>
      </w:pPr>
      <w:r>
        <w:rPr>
          <w:u w:val="single"/>
        </w:rPr>
        <w:tab/>
      </w:r>
    </w:p>
  </w:footnote>
  <w:footnote w:type="continuationNotice" w:id="1">
    <w:p w14:paraId="7A397141" w14:textId="77777777" w:rsidR="00D71CDF" w:rsidRDefault="00D71CDF">
      <w:pPr>
        <w:spacing w:line="240" w:lineRule="auto"/>
        <w:rPr>
          <w:sz w:val="2"/>
          <w:szCs w:val="2"/>
        </w:rPr>
      </w:pPr>
    </w:p>
  </w:footnote>
  <w:footnote w:id="2">
    <w:p w14:paraId="4A9BE9D2" w14:textId="055850C4" w:rsidR="00D71CDF" w:rsidRPr="0079255F" w:rsidRDefault="00D71CDF" w:rsidP="00A00DEA">
      <w:pPr>
        <w:pStyle w:val="FootnoteText"/>
        <w:rPr>
          <w:lang w:val="en-IE"/>
        </w:rPr>
      </w:pPr>
      <w:r>
        <w:tab/>
      </w:r>
      <w:r>
        <w:rPr>
          <w:rStyle w:val="FootnoteReference"/>
        </w:rPr>
        <w:footnoteRef/>
      </w:r>
      <w:r>
        <w:tab/>
      </w:r>
      <w:r w:rsidRPr="0079255F">
        <w:t xml:space="preserve">Ireland’s national parliament, comprising of two houses; </w:t>
      </w:r>
      <w:proofErr w:type="spellStart"/>
      <w:r w:rsidRPr="0079255F">
        <w:t>Dáil</w:t>
      </w:r>
      <w:proofErr w:type="spellEnd"/>
      <w:r w:rsidRPr="0079255F">
        <w:t xml:space="preserve"> </w:t>
      </w:r>
      <w:proofErr w:type="spellStart"/>
      <w:r w:rsidRPr="0079255F">
        <w:t>Éireann</w:t>
      </w:r>
      <w:proofErr w:type="spellEnd"/>
      <w:r w:rsidRPr="0079255F">
        <w:t xml:space="preserve"> (Lower h</w:t>
      </w:r>
      <w:r>
        <w:t xml:space="preserve">ouse) and Seanad </w:t>
      </w:r>
      <w:proofErr w:type="spellStart"/>
      <w:r>
        <w:t>Éireann</w:t>
      </w:r>
      <w:proofErr w:type="spellEnd"/>
      <w:r>
        <w:t xml:space="preserve"> (upper </w:t>
      </w:r>
      <w:r w:rsidRPr="0079255F">
        <w:t>house)</w:t>
      </w:r>
    </w:p>
  </w:footnote>
  <w:footnote w:id="3">
    <w:p w14:paraId="5A6609C9" w14:textId="3DC47B74" w:rsidR="00D71CDF" w:rsidRPr="0079255F" w:rsidRDefault="00D71CDF" w:rsidP="00A00DEA">
      <w:pPr>
        <w:pStyle w:val="FootnoteText"/>
        <w:rPr>
          <w:lang w:val="en-IE"/>
        </w:rPr>
      </w:pPr>
      <w:r>
        <w:rPr>
          <w:lang w:val="en-IE"/>
        </w:rPr>
        <w:tab/>
      </w:r>
      <w:r>
        <w:rPr>
          <w:rStyle w:val="FootnoteReference"/>
        </w:rPr>
        <w:footnoteRef/>
      </w:r>
      <w:r>
        <w:rPr>
          <w:lang w:val="en-IE"/>
        </w:rPr>
        <w:t xml:space="preserve"> </w:t>
      </w:r>
      <w:r>
        <w:rPr>
          <w:lang w:val="en-IE"/>
        </w:rPr>
        <w:tab/>
      </w:r>
      <w:r w:rsidRPr="0079255F">
        <w:rPr>
          <w:lang w:val="en-IE"/>
        </w:rPr>
        <w:t>https://www.gov.ie/en/publication/d4b3d-final-report-of-the-commission-of-investigation-into-mother-and-baby-homes/</w:t>
      </w:r>
    </w:p>
  </w:footnote>
  <w:footnote w:id="4">
    <w:p w14:paraId="17923E76" w14:textId="4F3B704C" w:rsidR="00D71CDF" w:rsidRPr="00A7627F" w:rsidRDefault="00D71CDF" w:rsidP="00A00DEA">
      <w:pPr>
        <w:pStyle w:val="FootnoteText"/>
        <w:rPr>
          <w:lang w:val="en-IE"/>
        </w:rPr>
      </w:pPr>
      <w:r>
        <w:tab/>
      </w:r>
      <w:r>
        <w:rPr>
          <w:rStyle w:val="FootnoteReference"/>
        </w:rPr>
        <w:footnoteRef/>
      </w:r>
      <w:r>
        <w:tab/>
      </w:r>
      <w:r w:rsidRPr="00A7627F">
        <w:t>http://www.justice.ie/en/JELR/General_Scheme_Criminal_</w:t>
      </w:r>
      <w:r>
        <w:br/>
      </w:r>
      <w:r w:rsidRPr="00A7627F">
        <w:t>Justice_(Hate_Crime)_Bill_2021.pdf/Files/General_Scheme_Criminal_Justice_(Hate_Crime)_Bill_2021.pdf</w:t>
      </w:r>
    </w:p>
  </w:footnote>
  <w:footnote w:id="5">
    <w:p w14:paraId="24CEF7F7" w14:textId="06268286" w:rsidR="00D71CDF" w:rsidRPr="00DD4626" w:rsidRDefault="00D71CDF" w:rsidP="00DD4626">
      <w:pPr>
        <w:pStyle w:val="FootnoteText"/>
        <w:ind w:left="2041"/>
        <w:rPr>
          <w:lang w:val="en-IE"/>
        </w:rPr>
      </w:pPr>
      <w:r w:rsidRPr="008961D7">
        <w:rPr>
          <w:rStyle w:val="FootnoteReference"/>
          <w:highlight w:val="lightGray"/>
        </w:rPr>
        <w:footnoteRef/>
      </w:r>
      <w:r w:rsidRPr="008961D7">
        <w:rPr>
          <w:highlight w:val="lightGray"/>
        </w:rPr>
        <w:t xml:space="preserve"> </w:t>
      </w:r>
      <w:hyperlink r:id="rId1" w:history="1">
        <w:r w:rsidRPr="008961D7">
          <w:rPr>
            <w:rStyle w:val="Hyperlink"/>
            <w:color w:val="auto"/>
            <w:highlight w:val="lightGray"/>
          </w:rPr>
          <w:t>Legislating_for_Hate_Speech_and_Hate_Crime_in_Ireland_Web.pdf (justice.ie)</w:t>
        </w:r>
      </w:hyperlink>
    </w:p>
  </w:footnote>
  <w:footnote w:id="6">
    <w:p w14:paraId="6072F18F" w14:textId="5541D85B" w:rsidR="00D71CDF" w:rsidRPr="00991B0B" w:rsidRDefault="00D71CDF" w:rsidP="00A00DEA">
      <w:pPr>
        <w:pStyle w:val="FootnoteText"/>
        <w:rPr>
          <w:lang w:val="en-IE"/>
        </w:rPr>
      </w:pPr>
      <w:r>
        <w:tab/>
      </w:r>
      <w:r>
        <w:rPr>
          <w:rStyle w:val="FootnoteReference"/>
        </w:rPr>
        <w:footnoteRef/>
      </w:r>
      <w:r>
        <w:t xml:space="preserve"> </w:t>
      </w:r>
      <w:r>
        <w:tab/>
      </w:r>
      <w:r w:rsidRPr="00F916D3">
        <w:t>http://www.genderequality.ie/en/GE/Pages/NationalWomensStrategy</w:t>
      </w:r>
    </w:p>
  </w:footnote>
  <w:footnote w:id="7">
    <w:p w14:paraId="34A9D9BC" w14:textId="233A8B13" w:rsidR="00D71CDF" w:rsidRPr="00991B0B" w:rsidRDefault="00D71CDF" w:rsidP="00A00DEA">
      <w:pPr>
        <w:pStyle w:val="FootnoteText"/>
        <w:rPr>
          <w:lang w:val="en-IE"/>
        </w:rPr>
      </w:pPr>
      <w:r>
        <w:rPr>
          <w:lang w:val="en-IE"/>
        </w:rPr>
        <w:tab/>
      </w:r>
      <w:r>
        <w:rPr>
          <w:rStyle w:val="FootnoteReference"/>
        </w:rPr>
        <w:footnoteRef/>
      </w:r>
      <w:r>
        <w:rPr>
          <w:lang w:val="en-IE"/>
        </w:rPr>
        <w:tab/>
        <w:t>The election in question took place in February 2016</w:t>
      </w:r>
    </w:p>
  </w:footnote>
  <w:footnote w:id="8">
    <w:p w14:paraId="7312D284" w14:textId="5E02E796" w:rsidR="00D71CDF" w:rsidRPr="00991B0B" w:rsidRDefault="00D71CDF" w:rsidP="00A00DEA">
      <w:pPr>
        <w:pStyle w:val="FootnoteText"/>
        <w:rPr>
          <w:lang w:val="en-IE"/>
        </w:rPr>
      </w:pPr>
      <w:r>
        <w:tab/>
      </w:r>
      <w:r>
        <w:rPr>
          <w:rStyle w:val="FootnoteReference"/>
        </w:rPr>
        <w:footnoteRef/>
      </w:r>
      <w:r>
        <w:t xml:space="preserve"> </w:t>
      </w:r>
      <w:r>
        <w:tab/>
        <w:t xml:space="preserve">See Actions 2.1000 and 2.1100 on p. 11 of Strategy </w:t>
      </w:r>
      <w:r w:rsidRPr="00932CCC">
        <w:t>http://www.justice.ie/en/JELR/Pages/Second-</w:t>
      </w:r>
      <w:r w:rsidRPr="00A00DEA">
        <w:t>National</w:t>
      </w:r>
      <w:r w:rsidRPr="00932CCC">
        <w:t>-Strategy-on-Domestic-Sexual-and-Gender-based-Violence-2016-2021</w:t>
      </w:r>
    </w:p>
  </w:footnote>
  <w:footnote w:id="9">
    <w:p w14:paraId="70F382B6" w14:textId="77777777" w:rsidR="00D71CDF" w:rsidRPr="00991B0B" w:rsidRDefault="00D71CDF" w:rsidP="00A34ED0">
      <w:pPr>
        <w:pStyle w:val="FootnoteText"/>
        <w:ind w:left="2155"/>
        <w:rPr>
          <w:lang w:val="en-IE"/>
        </w:rPr>
      </w:pPr>
      <w:r>
        <w:rPr>
          <w:rStyle w:val="FootnoteReference"/>
        </w:rPr>
        <w:footnoteRef/>
      </w:r>
      <w:r>
        <w:t xml:space="preserve"> </w:t>
      </w:r>
      <w:hyperlink r:id="rId2" w:history="1">
        <w:r w:rsidRPr="006C0D65">
          <w:t>https://www.oip.ie/death-in-custody/</w:t>
        </w:r>
      </w:hyperlink>
      <w:r>
        <w:rPr>
          <w:b/>
        </w:rPr>
        <w:t xml:space="preserve"> </w:t>
      </w:r>
    </w:p>
  </w:footnote>
  <w:footnote w:id="10">
    <w:p w14:paraId="3FE6E101" w14:textId="774E8963" w:rsidR="00D71CDF" w:rsidRPr="00192D72" w:rsidRDefault="00D71CDF" w:rsidP="00116EDD">
      <w:pPr>
        <w:pStyle w:val="FootnoteText"/>
        <w:rPr>
          <w:lang w:val="en-IE"/>
        </w:rPr>
      </w:pPr>
      <w:r>
        <w:tab/>
      </w:r>
      <w:r>
        <w:rPr>
          <w:rStyle w:val="FootnoteReference"/>
        </w:rPr>
        <w:footnoteRef/>
      </w:r>
      <w:r>
        <w:t xml:space="preserve"> </w:t>
      </w:r>
      <w:r>
        <w:tab/>
      </w:r>
      <w:r w:rsidRPr="00CC26A4">
        <w:rPr>
          <w:lang w:val="en-IE"/>
        </w:rPr>
        <w:t>As outlined in paragraph 41.</w:t>
      </w:r>
    </w:p>
  </w:footnote>
  <w:footnote w:id="11">
    <w:p w14:paraId="1752B3D7" w14:textId="558255B4" w:rsidR="00D71CDF" w:rsidRPr="00991B0B" w:rsidRDefault="00D71CDF" w:rsidP="00116EDD">
      <w:pPr>
        <w:pStyle w:val="FootnoteText"/>
        <w:rPr>
          <w:lang w:val="en-IE"/>
        </w:rPr>
      </w:pPr>
      <w:r>
        <w:tab/>
      </w:r>
      <w:r>
        <w:rPr>
          <w:rStyle w:val="FootnoteReference"/>
        </w:rPr>
        <w:footnoteRef/>
      </w:r>
      <w:r>
        <w:t xml:space="preserve"> </w:t>
      </w:r>
      <w:r>
        <w:tab/>
      </w:r>
      <w:r w:rsidRPr="002652ED">
        <w:t>http://www.irishstatutebook.ie/eli/2005/act/26/enacted/en/html</w:t>
      </w:r>
    </w:p>
  </w:footnote>
  <w:footnote w:id="12">
    <w:p w14:paraId="3A463F04" w14:textId="00AB1188" w:rsidR="00D71CDF" w:rsidRPr="00951B69" w:rsidRDefault="00D71CDF" w:rsidP="00951B69">
      <w:pPr>
        <w:pStyle w:val="FootnoteText"/>
        <w:ind w:left="2155"/>
        <w:rPr>
          <w:szCs w:val="18"/>
          <w:lang w:val="en-IE"/>
        </w:rPr>
      </w:pPr>
      <w:r w:rsidRPr="003D10C9">
        <w:rPr>
          <w:rStyle w:val="FootnoteReference"/>
          <w:highlight w:val="lightGray"/>
        </w:rPr>
        <w:footnoteRef/>
      </w:r>
      <w:r w:rsidRPr="003D10C9">
        <w:rPr>
          <w:highlight w:val="lightGray"/>
        </w:rPr>
        <w:t xml:space="preserve"> </w:t>
      </w:r>
      <w:hyperlink r:id="rId3" w:history="1">
        <w:r w:rsidRPr="003D10C9">
          <w:rPr>
            <w:rStyle w:val="Hyperlink"/>
            <w:color w:val="auto"/>
            <w:szCs w:val="18"/>
            <w:highlight w:val="lightGray"/>
          </w:rPr>
          <w:t>https://www.dataprotection.ie/index.php/en/news-media/latest-news/dpc-welcomes-resolution-proceedings-relating-public-services-card</w:t>
        </w:r>
      </w:hyperlink>
    </w:p>
  </w:footnote>
  <w:footnote w:id="13">
    <w:p w14:paraId="4797504E" w14:textId="7EF93686" w:rsidR="00D71CDF" w:rsidRPr="00951B69" w:rsidRDefault="00D71CDF" w:rsidP="00951B69">
      <w:pPr>
        <w:pStyle w:val="FootnoteText"/>
        <w:ind w:left="2155"/>
        <w:rPr>
          <w:lang w:val="en-IE"/>
        </w:rPr>
      </w:pPr>
      <w:r w:rsidRPr="00951B69">
        <w:rPr>
          <w:rStyle w:val="FootnoteReference"/>
          <w:szCs w:val="18"/>
        </w:rPr>
        <w:footnoteRef/>
      </w:r>
      <w:r w:rsidRPr="00951B69">
        <w:rPr>
          <w:szCs w:val="18"/>
        </w:rPr>
        <w:t xml:space="preserve"> </w:t>
      </w:r>
      <w:hyperlink r:id="rId4" w:history="1">
        <w:r w:rsidRPr="00951B69">
          <w:rPr>
            <w:rStyle w:val="Hyperlink"/>
            <w:color w:val="auto"/>
            <w:szCs w:val="18"/>
          </w:rPr>
          <w:t>https://www.gov.ie/en/publication/5088f-psc/</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F42CE" w14:textId="4DA8B4D2" w:rsidR="00D71CDF" w:rsidRDefault="00D71CD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0C23F80"/>
    <w:multiLevelType w:val="hybridMultilevel"/>
    <w:tmpl w:val="9DDECD5C"/>
    <w:lvl w:ilvl="0" w:tplc="18090001">
      <w:start w:val="1"/>
      <w:numFmt w:val="bullet"/>
      <w:pStyle w:val="List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3"/>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3686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7B"/>
    <w:rsid w:val="000058D2"/>
    <w:rsid w:val="00073536"/>
    <w:rsid w:val="00077611"/>
    <w:rsid w:val="00093468"/>
    <w:rsid w:val="000A30B5"/>
    <w:rsid w:val="000B5063"/>
    <w:rsid w:val="00116EDD"/>
    <w:rsid w:val="00130214"/>
    <w:rsid w:val="0014127E"/>
    <w:rsid w:val="00147393"/>
    <w:rsid w:val="0015115A"/>
    <w:rsid w:val="00167D24"/>
    <w:rsid w:val="00192EB4"/>
    <w:rsid w:val="001A0A60"/>
    <w:rsid w:val="001C013B"/>
    <w:rsid w:val="001D7C4A"/>
    <w:rsid w:val="002205F3"/>
    <w:rsid w:val="00225015"/>
    <w:rsid w:val="00227BBB"/>
    <w:rsid w:val="00235176"/>
    <w:rsid w:val="00257C72"/>
    <w:rsid w:val="002675A8"/>
    <w:rsid w:val="002E5FCA"/>
    <w:rsid w:val="002F67AF"/>
    <w:rsid w:val="003256CE"/>
    <w:rsid w:val="0035687F"/>
    <w:rsid w:val="00366A8A"/>
    <w:rsid w:val="0038380C"/>
    <w:rsid w:val="003A1378"/>
    <w:rsid w:val="003C3092"/>
    <w:rsid w:val="003C74CC"/>
    <w:rsid w:val="003D10C9"/>
    <w:rsid w:val="00426806"/>
    <w:rsid w:val="00490306"/>
    <w:rsid w:val="00505312"/>
    <w:rsid w:val="005067A9"/>
    <w:rsid w:val="0054690F"/>
    <w:rsid w:val="00556991"/>
    <w:rsid w:val="005744F1"/>
    <w:rsid w:val="00582470"/>
    <w:rsid w:val="005976FC"/>
    <w:rsid w:val="005A4E6E"/>
    <w:rsid w:val="005A5DA9"/>
    <w:rsid w:val="005B1222"/>
    <w:rsid w:val="005D317C"/>
    <w:rsid w:val="00604EBD"/>
    <w:rsid w:val="00611D90"/>
    <w:rsid w:val="00655814"/>
    <w:rsid w:val="00685452"/>
    <w:rsid w:val="006B2826"/>
    <w:rsid w:val="00747C80"/>
    <w:rsid w:val="0077682D"/>
    <w:rsid w:val="00781568"/>
    <w:rsid w:val="0079474A"/>
    <w:rsid w:val="007A6D28"/>
    <w:rsid w:val="007B487B"/>
    <w:rsid w:val="007D134E"/>
    <w:rsid w:val="007E3017"/>
    <w:rsid w:val="008107F1"/>
    <w:rsid w:val="008227B7"/>
    <w:rsid w:val="00823A62"/>
    <w:rsid w:val="00841630"/>
    <w:rsid w:val="00853AF2"/>
    <w:rsid w:val="00855E70"/>
    <w:rsid w:val="00877557"/>
    <w:rsid w:val="00883B2B"/>
    <w:rsid w:val="008855E2"/>
    <w:rsid w:val="008961D7"/>
    <w:rsid w:val="008A1F1D"/>
    <w:rsid w:val="008B3415"/>
    <w:rsid w:val="008F61AD"/>
    <w:rsid w:val="009011CA"/>
    <w:rsid w:val="0090470A"/>
    <w:rsid w:val="00924022"/>
    <w:rsid w:val="00936B06"/>
    <w:rsid w:val="00941204"/>
    <w:rsid w:val="00951B69"/>
    <w:rsid w:val="009539F9"/>
    <w:rsid w:val="009835BA"/>
    <w:rsid w:val="00987ACF"/>
    <w:rsid w:val="009F2042"/>
    <w:rsid w:val="00A00DEA"/>
    <w:rsid w:val="00A10D43"/>
    <w:rsid w:val="00A11400"/>
    <w:rsid w:val="00A34ED0"/>
    <w:rsid w:val="00A35C0F"/>
    <w:rsid w:val="00A51247"/>
    <w:rsid w:val="00AA0E85"/>
    <w:rsid w:val="00AA7F9B"/>
    <w:rsid w:val="00AC7F30"/>
    <w:rsid w:val="00AD0BD5"/>
    <w:rsid w:val="00AF0B3E"/>
    <w:rsid w:val="00AF481E"/>
    <w:rsid w:val="00B261A0"/>
    <w:rsid w:val="00B42B83"/>
    <w:rsid w:val="00B4589C"/>
    <w:rsid w:val="00B4794F"/>
    <w:rsid w:val="00B5655A"/>
    <w:rsid w:val="00B608E5"/>
    <w:rsid w:val="00BA56AC"/>
    <w:rsid w:val="00BD0BD5"/>
    <w:rsid w:val="00C054FD"/>
    <w:rsid w:val="00C65D7B"/>
    <w:rsid w:val="00C70762"/>
    <w:rsid w:val="00C80FF8"/>
    <w:rsid w:val="00C93E19"/>
    <w:rsid w:val="00CA73EE"/>
    <w:rsid w:val="00CB61E4"/>
    <w:rsid w:val="00CC26A4"/>
    <w:rsid w:val="00D12210"/>
    <w:rsid w:val="00D30396"/>
    <w:rsid w:val="00D51567"/>
    <w:rsid w:val="00D54DE2"/>
    <w:rsid w:val="00D63EBE"/>
    <w:rsid w:val="00D71CDF"/>
    <w:rsid w:val="00D838A9"/>
    <w:rsid w:val="00DB5B42"/>
    <w:rsid w:val="00DD0C90"/>
    <w:rsid w:val="00DD17DE"/>
    <w:rsid w:val="00DD4626"/>
    <w:rsid w:val="00DF79C6"/>
    <w:rsid w:val="00E0467A"/>
    <w:rsid w:val="00E57D65"/>
    <w:rsid w:val="00E93FA2"/>
    <w:rsid w:val="00EA4E9A"/>
    <w:rsid w:val="00EC0167"/>
    <w:rsid w:val="00EF7D6C"/>
    <w:rsid w:val="00F6527B"/>
    <w:rsid w:val="00FE59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F1DF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uiPriority w:val="99"/>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3256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Paragraph">
    <w:name w:val="List Paragraph"/>
    <w:aliases w:val="body,Odsek zoznamu2,Heading3,Lista 1,Dot pt,No Spacing1,List Paragraph Char Char Char,Indicator Text,Numbered Para 1,List Paragraph1,Bullet Points,MAIN CONTENT,OBC Bullet,List Paragraph11,List Paragraph12,F5 List Paragraph,Bullet 1"/>
    <w:basedOn w:val="Normal"/>
    <w:link w:val="ListParagraphChar"/>
    <w:uiPriority w:val="34"/>
    <w:qFormat/>
    <w:rsid w:val="003256CE"/>
    <w:pPr>
      <w:suppressAutoHyphens w:val="0"/>
      <w:spacing w:after="160" w:line="259" w:lineRule="auto"/>
      <w:ind w:left="720"/>
      <w:contextualSpacing/>
    </w:pPr>
    <w:rPr>
      <w:rFonts w:asciiTheme="minorHAnsi" w:eastAsiaTheme="minorHAnsi" w:hAnsiTheme="minorHAnsi" w:cstheme="minorBidi"/>
      <w:sz w:val="22"/>
      <w:szCs w:val="22"/>
      <w:lang w:val="pt-PT"/>
    </w:rPr>
  </w:style>
  <w:style w:type="numbering" w:customStyle="1" w:styleId="NoList1">
    <w:name w:val="No List1"/>
    <w:next w:val="NoList"/>
    <w:uiPriority w:val="99"/>
    <w:semiHidden/>
    <w:unhideWhenUsed/>
    <w:rsid w:val="00FE59DB"/>
  </w:style>
  <w:style w:type="table" w:customStyle="1" w:styleId="TableGrid2">
    <w:name w:val="Table Grid2"/>
    <w:basedOn w:val="TableNormal"/>
    <w:next w:val="TableGrid"/>
    <w:uiPriority w:val="39"/>
    <w:rsid w:val="00FE59DB"/>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A30B5"/>
    <w:pPr>
      <w:autoSpaceDE w:val="0"/>
      <w:autoSpaceDN w:val="0"/>
      <w:adjustRightInd w:val="0"/>
      <w:spacing w:after="0" w:line="240" w:lineRule="auto"/>
    </w:pPr>
    <w:rPr>
      <w:rFonts w:ascii="Times New Roman" w:hAnsi="Times New Roman" w:cs="Times New Roman"/>
      <w:color w:val="000000"/>
      <w:sz w:val="24"/>
      <w:szCs w:val="24"/>
      <w:lang w:val="pt-PT"/>
    </w:rPr>
  </w:style>
  <w:style w:type="paragraph" w:styleId="HTMLPreformatted">
    <w:name w:val="HTML Preformatted"/>
    <w:basedOn w:val="Normal"/>
    <w:link w:val="HTMLPreformattedChar"/>
    <w:uiPriority w:val="99"/>
    <w:unhideWhenUsed/>
    <w:rsid w:val="000A30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pt-PT" w:eastAsia="pt-PT"/>
    </w:rPr>
  </w:style>
  <w:style w:type="character" w:customStyle="1" w:styleId="HTMLPreformattedChar">
    <w:name w:val="HTML Preformatted Char"/>
    <w:basedOn w:val="DefaultParagraphFont"/>
    <w:link w:val="HTMLPreformatted"/>
    <w:uiPriority w:val="99"/>
    <w:rsid w:val="000A30B5"/>
    <w:rPr>
      <w:rFonts w:ascii="Courier New" w:eastAsia="Times New Roman" w:hAnsi="Courier New" w:cs="Courier New"/>
      <w:sz w:val="20"/>
      <w:szCs w:val="20"/>
      <w:lang w:val="pt-PT" w:eastAsia="pt-PT"/>
    </w:rPr>
  </w:style>
  <w:style w:type="character" w:customStyle="1" w:styleId="ListParagraphChar">
    <w:name w:val="List Paragraph Char"/>
    <w:aliases w:val="body Char,Odsek zoznamu2 Char,Heading3 Char,Lista 1 Char,Dot pt Char,No Spacing1 Char,List Paragraph Char Char Char Char,Indicator Text Char,Numbered Para 1 Char,List Paragraph1 Char,Bullet Points Char,MAIN CONTENT Char,Bullet 1 Char"/>
    <w:basedOn w:val="DefaultParagraphFont"/>
    <w:link w:val="ListParagraph"/>
    <w:uiPriority w:val="34"/>
    <w:qFormat/>
    <w:locked/>
    <w:rsid w:val="000A30B5"/>
    <w:rPr>
      <w:lang w:val="pt-PT"/>
    </w:rPr>
  </w:style>
  <w:style w:type="paragraph" w:styleId="Caption">
    <w:name w:val="caption"/>
    <w:basedOn w:val="Normal"/>
    <w:next w:val="Normal"/>
    <w:unhideWhenUsed/>
    <w:qFormat/>
    <w:rsid w:val="000A30B5"/>
    <w:pPr>
      <w:suppressAutoHyphens w:val="0"/>
      <w:spacing w:after="200" w:line="240" w:lineRule="auto"/>
    </w:pPr>
    <w:rPr>
      <w:b/>
      <w:bCs/>
      <w:color w:val="4F81BD" w:themeColor="accent1"/>
      <w:sz w:val="18"/>
      <w:szCs w:val="18"/>
      <w:lang w:val="pt-PT" w:eastAsia="pt-PT"/>
    </w:rPr>
  </w:style>
  <w:style w:type="table" w:styleId="GridTable4-Accent1">
    <w:name w:val="Grid Table 4 Accent 1"/>
    <w:basedOn w:val="TableNormal"/>
    <w:uiPriority w:val="49"/>
    <w:rsid w:val="000A30B5"/>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unhideWhenUsed/>
    <w:rsid w:val="000A30B5"/>
    <w:pPr>
      <w:suppressAutoHyphens w:val="0"/>
      <w:spacing w:after="200" w:line="240" w:lineRule="auto"/>
    </w:pPr>
    <w:rPr>
      <w:rFonts w:ascii="Cambria" w:eastAsia="Cambria" w:hAnsi="Cambria"/>
      <w:lang w:val="en-US"/>
    </w:rPr>
  </w:style>
  <w:style w:type="character" w:customStyle="1" w:styleId="CommentTextChar">
    <w:name w:val="Comment Text Char"/>
    <w:basedOn w:val="DefaultParagraphFont"/>
    <w:link w:val="CommentText"/>
    <w:uiPriority w:val="99"/>
    <w:rsid w:val="000A30B5"/>
    <w:rPr>
      <w:rFonts w:ascii="Cambria" w:eastAsia="Cambria" w:hAnsi="Cambria" w:cs="Times New Roman"/>
      <w:sz w:val="20"/>
      <w:szCs w:val="20"/>
      <w:lang w:val="en-US"/>
    </w:rPr>
  </w:style>
  <w:style w:type="character" w:customStyle="1" w:styleId="UnresolvedMention1">
    <w:name w:val="Unresolved Mention1"/>
    <w:basedOn w:val="DefaultParagraphFont"/>
    <w:uiPriority w:val="99"/>
    <w:semiHidden/>
    <w:unhideWhenUsed/>
    <w:rsid w:val="000A30B5"/>
    <w:rPr>
      <w:color w:val="605E5C"/>
      <w:shd w:val="clear" w:color="auto" w:fill="E1DFDD"/>
    </w:rPr>
  </w:style>
  <w:style w:type="character" w:styleId="CommentReference">
    <w:name w:val="annotation reference"/>
    <w:basedOn w:val="DefaultParagraphFont"/>
    <w:uiPriority w:val="99"/>
    <w:unhideWhenUsed/>
    <w:rsid w:val="000A30B5"/>
    <w:rPr>
      <w:sz w:val="16"/>
      <w:szCs w:val="16"/>
    </w:rPr>
  </w:style>
  <w:style w:type="paragraph" w:styleId="CommentSubject">
    <w:name w:val="annotation subject"/>
    <w:basedOn w:val="CommentText"/>
    <w:next w:val="CommentText"/>
    <w:link w:val="CommentSubjectChar"/>
    <w:uiPriority w:val="99"/>
    <w:unhideWhenUsed/>
    <w:rsid w:val="000A30B5"/>
    <w:pPr>
      <w:spacing w:after="160"/>
    </w:pPr>
    <w:rPr>
      <w:rFonts w:asciiTheme="minorHAnsi" w:eastAsiaTheme="minorHAnsi" w:hAnsiTheme="minorHAnsi" w:cstheme="minorBidi"/>
      <w:b/>
      <w:bCs/>
      <w:lang w:val="pt-PT"/>
    </w:rPr>
  </w:style>
  <w:style w:type="character" w:customStyle="1" w:styleId="CommentSubjectChar">
    <w:name w:val="Comment Subject Char"/>
    <w:basedOn w:val="CommentTextChar"/>
    <w:link w:val="CommentSubject"/>
    <w:uiPriority w:val="99"/>
    <w:rsid w:val="000A30B5"/>
    <w:rPr>
      <w:rFonts w:ascii="Cambria" w:eastAsia="Cambria" w:hAnsi="Cambria" w:cs="Times New Roman"/>
      <w:b/>
      <w:bCs/>
      <w:sz w:val="20"/>
      <w:szCs w:val="20"/>
      <w:lang w:val="pt-PT"/>
    </w:rPr>
  </w:style>
  <w:style w:type="paragraph" w:styleId="NoSpacing">
    <w:name w:val="No Spacing"/>
    <w:link w:val="NoSpacingChar"/>
    <w:uiPriority w:val="1"/>
    <w:qFormat/>
    <w:rsid w:val="00A00DEA"/>
    <w:pPr>
      <w:spacing w:after="0" w:line="240" w:lineRule="auto"/>
    </w:pPr>
    <w:rPr>
      <w:rFonts w:ascii="Calibri" w:eastAsia="Calibri" w:hAnsi="Calibri" w:cs="Times New Roman"/>
      <w:lang w:val="en-IE"/>
    </w:rPr>
  </w:style>
  <w:style w:type="paragraph" w:styleId="PlainText">
    <w:name w:val="Plain Text"/>
    <w:basedOn w:val="Normal"/>
    <w:link w:val="PlainTextChar"/>
    <w:uiPriority w:val="99"/>
    <w:rsid w:val="00A00DEA"/>
    <w:pPr>
      <w:suppressAutoHyphens w:val="0"/>
      <w:spacing w:line="240" w:lineRule="auto"/>
    </w:pPr>
    <w:rPr>
      <w:rFonts w:ascii="Consolas" w:eastAsia="Calibri" w:hAnsi="Consolas"/>
      <w:sz w:val="21"/>
      <w:szCs w:val="21"/>
      <w:lang w:val="en-IE"/>
    </w:rPr>
  </w:style>
  <w:style w:type="character" w:customStyle="1" w:styleId="PlainTextChar">
    <w:name w:val="Plain Text Char"/>
    <w:basedOn w:val="DefaultParagraphFont"/>
    <w:link w:val="PlainText"/>
    <w:uiPriority w:val="99"/>
    <w:rsid w:val="00A00DEA"/>
    <w:rPr>
      <w:rFonts w:ascii="Consolas" w:eastAsia="Calibri" w:hAnsi="Consolas" w:cs="Times New Roman"/>
      <w:sz w:val="21"/>
      <w:szCs w:val="21"/>
      <w:lang w:val="en-IE"/>
    </w:rPr>
  </w:style>
  <w:style w:type="paragraph" w:styleId="ListBullet">
    <w:name w:val="List Bullet"/>
    <w:basedOn w:val="Normal"/>
    <w:uiPriority w:val="99"/>
    <w:rsid w:val="00A00DEA"/>
    <w:pPr>
      <w:numPr>
        <w:numId w:val="6"/>
      </w:numPr>
      <w:tabs>
        <w:tab w:val="num" w:pos="360"/>
      </w:tabs>
      <w:suppressAutoHyphens w:val="0"/>
      <w:spacing w:after="200" w:line="276" w:lineRule="auto"/>
      <w:ind w:left="360"/>
      <w:contextualSpacing/>
    </w:pPr>
    <w:rPr>
      <w:rFonts w:ascii="Calibri" w:eastAsia="Calibri" w:hAnsi="Calibri"/>
      <w:sz w:val="22"/>
      <w:szCs w:val="22"/>
      <w:lang w:val="en-IE"/>
    </w:rPr>
  </w:style>
  <w:style w:type="paragraph" w:styleId="NormalWeb">
    <w:name w:val="Normal (Web)"/>
    <w:basedOn w:val="Normal"/>
    <w:uiPriority w:val="99"/>
    <w:unhideWhenUsed/>
    <w:rsid w:val="00A00DEA"/>
    <w:pPr>
      <w:suppressAutoHyphens w:val="0"/>
      <w:spacing w:after="240" w:line="240" w:lineRule="auto"/>
    </w:pPr>
    <w:rPr>
      <w:sz w:val="24"/>
      <w:szCs w:val="24"/>
      <w:lang w:val="en-IE" w:eastAsia="en-IE"/>
    </w:rPr>
  </w:style>
  <w:style w:type="character" w:customStyle="1" w:styleId="NoSpacingChar">
    <w:name w:val="No Spacing Char"/>
    <w:link w:val="NoSpacing"/>
    <w:uiPriority w:val="1"/>
    <w:locked/>
    <w:rsid w:val="00A00DEA"/>
    <w:rPr>
      <w:rFonts w:ascii="Calibri" w:eastAsia="Calibri" w:hAnsi="Calibri" w:cs="Times New Roman"/>
      <w:lang w:val="en-IE"/>
    </w:rPr>
  </w:style>
  <w:style w:type="character" w:styleId="Emphasis">
    <w:name w:val="Emphasis"/>
    <w:uiPriority w:val="20"/>
    <w:qFormat/>
    <w:rsid w:val="00A00DEA"/>
    <w:rPr>
      <w:i/>
      <w:iCs/>
    </w:rPr>
  </w:style>
  <w:style w:type="character" w:styleId="Strong">
    <w:name w:val="Strong"/>
    <w:uiPriority w:val="22"/>
    <w:qFormat/>
    <w:rsid w:val="00A00DEA"/>
    <w:rPr>
      <w:b/>
      <w:bCs/>
    </w:rPr>
  </w:style>
  <w:style w:type="paragraph" w:styleId="Revision">
    <w:name w:val="Revision"/>
    <w:hidden/>
    <w:uiPriority w:val="99"/>
    <w:semiHidden/>
    <w:rsid w:val="00A00DEA"/>
    <w:pPr>
      <w:spacing w:after="0" w:line="240" w:lineRule="auto"/>
    </w:pPr>
    <w:rPr>
      <w:rFonts w:ascii="Times New Roman" w:eastAsia="Times New Roman" w:hAnsi="Times New Roman" w:cs="Times New Roman"/>
      <w:sz w:val="20"/>
      <w:szCs w:val="20"/>
      <w:lang w:val="en-GB"/>
    </w:rPr>
  </w:style>
  <w:style w:type="character" w:customStyle="1" w:styleId="actor">
    <w:name w:val="actor"/>
    <w:rsid w:val="00A00DEA"/>
  </w:style>
  <w:style w:type="character" w:customStyle="1" w:styleId="time">
    <w:name w:val="time"/>
    <w:rsid w:val="00A00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494927">
      <w:bodyDiv w:val="1"/>
      <w:marLeft w:val="0"/>
      <w:marRight w:val="0"/>
      <w:marTop w:val="0"/>
      <w:marBottom w:val="0"/>
      <w:divBdr>
        <w:top w:val="none" w:sz="0" w:space="0" w:color="auto"/>
        <w:left w:val="none" w:sz="0" w:space="0" w:color="auto"/>
        <w:bottom w:val="none" w:sz="0" w:space="0" w:color="auto"/>
        <w:right w:val="none" w:sz="0" w:space="0" w:color="auto"/>
      </w:divBdr>
    </w:div>
    <w:div w:id="1600868530">
      <w:bodyDiv w:val="1"/>
      <w:marLeft w:val="0"/>
      <w:marRight w:val="0"/>
      <w:marTop w:val="0"/>
      <w:marBottom w:val="0"/>
      <w:divBdr>
        <w:top w:val="none" w:sz="0" w:space="0" w:color="auto"/>
        <w:left w:val="none" w:sz="0" w:space="0" w:color="auto"/>
        <w:bottom w:val="none" w:sz="0" w:space="0" w:color="auto"/>
        <w:right w:val="none" w:sz="0" w:space="0" w:color="auto"/>
      </w:divBdr>
    </w:div>
    <w:div w:id="191817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rishtimes.com/topics/topics-7.1213540?article=true&amp;tag_location=Nigeri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justice.ie/en/JELR/Legislating_for_Hate_Speech_and_Hate_Crime_in_Ireland_Web.pdf/Files/Legislating_for_Hate_Speech_and_Hate_Crime_in_Ireland_Web.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nticorruption.ie/wp-content/uploads/2021/08/HRG-Implementation-Plan.pdf" TargetMode="External"/><Relationship Id="rId5" Type="http://schemas.openxmlformats.org/officeDocument/2006/relationships/numbering" Target="numbering.xml"/><Relationship Id="rId15" Type="http://schemas.openxmlformats.org/officeDocument/2006/relationships/hyperlink" Target="https://www.gov.ie/en/policy-information/81fdaa-social-welfare-consolidation-act-2005/"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ie/en/policy-information/81fdaa-social-welfare-consolidation-act-200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ataprotection.ie/index.php/en/news-media/latest-news/dpc-welcomes-resolution-proceedings-relating-public-services-card" TargetMode="External"/><Relationship Id="rId2" Type="http://schemas.openxmlformats.org/officeDocument/2006/relationships/hyperlink" Target="https://www.oip.ie/death-in-custody/" TargetMode="External"/><Relationship Id="rId1" Type="http://schemas.openxmlformats.org/officeDocument/2006/relationships/hyperlink" Target="https://www.justice.ie/en/JELR/Legislating_for_Hate_Speech_and_Hate_Crime_in_Ireland_Web.pdf/Files/Legislating_for_Hate_Speech_and_Hate_Crime_in_Ireland_Web.pdf" TargetMode="External"/><Relationship Id="rId4" Type="http://schemas.openxmlformats.org/officeDocument/2006/relationships/hyperlink" Target="https://www.gov.ie/en/publication/5088f-p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45FC3-7D08-4565-BC95-FD6699BFBA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1612D9-2583-496A-B290-A97EBFF3CB40}">
  <ds:schemaRefs>
    <ds:schemaRef ds:uri="http://schemas.microsoft.com/sharepoint/v3/contenttype/forms"/>
  </ds:schemaRefs>
</ds:datastoreItem>
</file>

<file path=customXml/itemProps3.xml><?xml version="1.0" encoding="utf-8"?>
<ds:datastoreItem xmlns:ds="http://schemas.openxmlformats.org/officeDocument/2006/customXml" ds:itemID="{CEC6BBB7-0764-40FE-8C43-1BCEC7EF6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CB20BA3-3270-45C6-B244-D2B2D59BA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13141</Words>
  <Characters>74908</Characters>
  <Application>Microsoft Office Word</Application>
  <DocSecurity>0</DocSecurity>
  <Lines>624</Lines>
  <Paragraphs>175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CCPR/C/CPV /Q/1/Add.1</vt:lpstr>
      <vt:lpstr/>
      <vt:lpstr/>
    </vt:vector>
  </TitlesOfParts>
  <Company>DCM</Company>
  <LinksUpToDate>false</LinksUpToDate>
  <CharactersWithSpaces>87874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 /Q/1/Add.1</dc:title>
  <dc:creator>Gloria</dc:creator>
  <cp:lastModifiedBy>Cherry Lou</cp:lastModifiedBy>
  <cp:revision>2</cp:revision>
  <cp:lastPrinted>2017-04-21T12:16:00Z</cp:lastPrinted>
  <dcterms:created xsi:type="dcterms:W3CDTF">2022-11-22T11:45:00Z</dcterms:created>
  <dcterms:modified xsi:type="dcterms:W3CDTF">2022-11-22T11:45:00Z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C/CPV /Q/1/Add.1</vt:lpwstr>
  </property>
  <property fmtid="{D5CDD505-2E9C-101B-9397-08002B2CF9AE}" pid="3" name="symh">
    <vt:lpwstr>CCPR/C/CPV /Q/1/Add.1</vt:lpwstr>
  </property>
  <property fmtid="{D5CDD505-2E9C-101B-9397-08002B2CF9AE}" pid="4" name="dist">
    <vt:lpwstr>General</vt:lpwstr>
  </property>
  <property fmtid="{D5CDD505-2E9C-101B-9397-08002B2CF9AE}" pid="5" name="date">
    <vt:lpwstr>21 October 2019</vt:lpwstr>
  </property>
  <property fmtid="{D5CDD505-2E9C-101B-9397-08002B2CF9AE}" pid="6" name="sdate">
    <vt:lpwstr>14 October-8 November 2019</vt:lpwstr>
  </property>
  <property fmtid="{D5CDD505-2E9C-101B-9397-08002B2CF9AE}" pid="7" name="virs">
    <vt:lpwstr>English, French and Spanish only</vt:lpwstr>
  </property>
  <property fmtid="{D5CDD505-2E9C-101B-9397-08002B2CF9AE}" pid="8" name="snum">
    <vt:lpwstr>127th</vt:lpwstr>
  </property>
  <property fmtid="{D5CDD505-2E9C-101B-9397-08002B2CF9AE}" pid="9" name="anum">
    <vt:lpwstr>[NUMBER]</vt:lpwstr>
  </property>
  <property fmtid="{D5CDD505-2E9C-101B-9397-08002B2CF9AE}" pid="10" name="count">
    <vt:lpwstr>Cabo Verde</vt:lpwstr>
  </property>
  <property fmtid="{D5CDD505-2E9C-101B-9397-08002B2CF9AE}" pid="11" name="countw">
    <vt:lpwstr>Cabo Verde</vt:lpwstr>
  </property>
  <property fmtid="{D5CDD505-2E9C-101B-9397-08002B2CF9AE}" pid="12" name="countwd">
    <vt:lpwstr>Cabo Verde</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initial report of Cabo Verde</vt:lpwstr>
  </property>
  <property fmtid="{D5CDD505-2E9C-101B-9397-08002B2CF9AE}" pid="19" name="preps">
    <vt:lpwstr>initial report of Cabo Verde</vt:lpwstr>
  </property>
  <property fmtid="{D5CDD505-2E9C-101B-9397-08002B2CF9AE}" pid="20" name="prepw">
    <vt:lpwstr>initial report</vt:lpwstr>
  </property>
  <property fmtid="{D5CDD505-2E9C-101B-9397-08002B2CF9AE}" pid="21" name="prepws">
    <vt:lpwstr>initial report</vt:lpwstr>
  </property>
  <property fmtid="{D5CDD505-2E9C-101B-9397-08002B2CF9AE}" pid="22" name="prepwc">
    <vt:lpwstr>Initial report</vt:lpwstr>
  </property>
  <property fmtid="{D5CDD505-2E9C-101B-9397-08002B2CF9AE}" pid="23" name="olang">
    <vt:lpwstr>English</vt:lpwstr>
  </property>
  <property fmtid="{D5CDD505-2E9C-101B-9397-08002B2CF9AE}" pid="24" name="Date-Generated">
    <vt:filetime>2019-10-21T09:15:52Z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Replies</vt:lpwstr>
  </property>
  <property fmtid="{D5CDD505-2E9C-101B-9397-08002B2CF9AE}" pid="29" name="doctype">
    <vt:lpwstr>Final</vt:lpwstr>
  </property>
  <property fmtid="{D5CDD505-2E9C-101B-9397-08002B2CF9AE}" pid="30" name="category">
    <vt:lpwstr>CCPR</vt:lpwstr>
  </property>
  <property fmtid="{D5CDD505-2E9C-101B-9397-08002B2CF9AE}" pid="31" name="ContentTypeId">
    <vt:lpwstr>0x0101001095AF07E9D52746B60E2F270CE938D2</vt:lpwstr>
  </property>
</Properties>
</file>