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5A8A7" w14:textId="77777777" w:rsidR="00C93244" w:rsidRDefault="00C93244" w:rsidP="008B32A7">
      <w:pPr>
        <w:pStyle w:val="Heading1"/>
        <w:shd w:val="clear" w:color="auto" w:fill="D4E2FF" w:themeFill="text1" w:themeFillTint="1A"/>
        <w:rPr>
          <w:rFonts w:asciiTheme="minorHAnsi" w:hAnsiTheme="minorHAnsi"/>
        </w:rPr>
      </w:pPr>
      <w:r w:rsidRPr="00F950FE">
        <w:rPr>
          <w:rFonts w:cs="Arial"/>
          <w:b/>
          <w:bCs/>
          <w:color w:val="2C3843" w:themeColor="background2" w:themeShade="40"/>
          <w:sz w:val="18"/>
          <w:szCs w:val="20"/>
        </w:rPr>
        <w:t>Comité pour l’élimination de la discrimination à l’égard des femmes (CEDEF)</w:t>
      </w:r>
      <w:r w:rsidRPr="00F950FE">
        <w:rPr>
          <w:rFonts w:cs="Arial"/>
          <w:b/>
          <w:bCs/>
          <w:color w:val="2C3843" w:themeColor="background2" w:themeShade="40"/>
          <w:sz w:val="18"/>
          <w:szCs w:val="20"/>
        </w:rPr>
        <w:br/>
      </w:r>
      <w:r w:rsidR="00871E19">
        <w:rPr>
          <w:rFonts w:cs="Arial"/>
          <w:b/>
          <w:bCs/>
          <w:color w:val="2C3843" w:themeColor="background2" w:themeShade="40"/>
          <w:sz w:val="18"/>
          <w:szCs w:val="20"/>
        </w:rPr>
        <w:t>86ème</w:t>
      </w:r>
      <w:r w:rsidRPr="00F950FE">
        <w:rPr>
          <w:rFonts w:cs="Arial"/>
          <w:b/>
          <w:bCs/>
          <w:color w:val="2C3843" w:themeColor="background2" w:themeShade="40"/>
          <w:sz w:val="18"/>
          <w:szCs w:val="20"/>
        </w:rPr>
        <w:t xml:space="preserve"> Session</w:t>
      </w:r>
      <w:r w:rsidRPr="00F950FE">
        <w:rPr>
          <w:rFonts w:cs="Arial"/>
          <w:b/>
          <w:bCs/>
          <w:color w:val="2C3843" w:themeColor="background2" w:themeShade="40"/>
          <w:sz w:val="18"/>
          <w:szCs w:val="20"/>
        </w:rPr>
        <w:br/>
      </w:r>
      <w:r w:rsidR="00871E19">
        <w:rPr>
          <w:rFonts w:cs="Arial"/>
          <w:b/>
          <w:bCs/>
          <w:color w:val="2C3843" w:themeColor="background2" w:themeShade="40"/>
          <w:sz w:val="18"/>
          <w:szCs w:val="20"/>
        </w:rPr>
        <w:t xml:space="preserve">Rapport alternatif en vue de l’examen de </w:t>
      </w:r>
      <w:r w:rsidRPr="00F950FE">
        <w:rPr>
          <w:rFonts w:cs="Arial"/>
          <w:b/>
          <w:bCs/>
          <w:color w:val="2C3843" w:themeColor="background2" w:themeShade="40"/>
          <w:sz w:val="18"/>
          <w:szCs w:val="20"/>
        </w:rPr>
        <w:t>la France</w:t>
      </w:r>
    </w:p>
    <w:p w14:paraId="7373EA74" w14:textId="77777777" w:rsidR="00C93244" w:rsidRDefault="00C93244" w:rsidP="008B32A7">
      <w:pPr>
        <w:shd w:val="clear" w:color="auto" w:fill="D4E2FF" w:themeFill="text1" w:themeFillTint="1A"/>
      </w:pPr>
    </w:p>
    <w:p w14:paraId="40F65189" w14:textId="77777777" w:rsidR="00C93244" w:rsidRDefault="00C93244" w:rsidP="008B32A7">
      <w:pPr>
        <w:shd w:val="clear" w:color="auto" w:fill="D4E2FF" w:themeFill="text1" w:themeFillTint="1A"/>
        <w:jc w:val="center"/>
      </w:pPr>
      <w:r w:rsidRPr="00855FEE">
        <w:rPr>
          <w:noProof/>
          <w:lang w:eastAsia="fr-FR"/>
        </w:rPr>
        <w:drawing>
          <wp:inline distT="0" distB="0" distL="0" distR="0" wp14:anchorId="5A9E4D5E" wp14:editId="6E007281">
            <wp:extent cx="1265555" cy="768707"/>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5555" cy="768707"/>
                    </a:xfrm>
                    <a:prstGeom prst="rect">
                      <a:avLst/>
                    </a:prstGeom>
                    <a:noFill/>
                    <a:ln>
                      <a:noFill/>
                    </a:ln>
                  </pic:spPr>
                </pic:pic>
              </a:graphicData>
            </a:graphic>
          </wp:inline>
        </w:drawing>
      </w:r>
    </w:p>
    <w:p w14:paraId="44A2D61A" w14:textId="77777777" w:rsidR="00C93244" w:rsidRDefault="00C93244" w:rsidP="008B32A7">
      <w:pPr>
        <w:shd w:val="clear" w:color="auto" w:fill="D4E2FF" w:themeFill="text1" w:themeFillTint="1A"/>
      </w:pPr>
    </w:p>
    <w:p w14:paraId="35FC7B69" w14:textId="77777777" w:rsidR="00C93244" w:rsidRDefault="00C93244" w:rsidP="008B32A7">
      <w:pPr>
        <w:shd w:val="clear" w:color="auto" w:fill="D4E2FF" w:themeFill="text1" w:themeFillTint="1A"/>
        <w:jc w:val="center"/>
        <w:rPr>
          <w:b/>
          <w:sz w:val="40"/>
          <w:szCs w:val="40"/>
        </w:rPr>
      </w:pPr>
      <w:r w:rsidRPr="00C93244">
        <w:rPr>
          <w:b/>
          <w:sz w:val="40"/>
          <w:szCs w:val="40"/>
        </w:rPr>
        <w:t>Rapport parallèle de la Commission nationale consultative des droits de l’homme, INDH française, au CEDEF</w:t>
      </w:r>
    </w:p>
    <w:p w14:paraId="32174E6D" w14:textId="77777777" w:rsidR="00C93244" w:rsidRDefault="00871E19" w:rsidP="008B32A7">
      <w:pPr>
        <w:shd w:val="clear" w:color="auto" w:fill="D4E2FF" w:themeFill="text1" w:themeFillTint="1A"/>
        <w:jc w:val="center"/>
        <w:rPr>
          <w:color w:val="2C3843" w:themeColor="background2" w:themeShade="40"/>
        </w:rPr>
      </w:pPr>
      <w:r w:rsidRPr="00871E19">
        <w:rPr>
          <w:color w:val="2C3843" w:themeColor="background2" w:themeShade="40"/>
        </w:rPr>
        <w:t>11 septembre</w:t>
      </w:r>
      <w:r w:rsidR="00C93244" w:rsidRPr="00871E19">
        <w:rPr>
          <w:color w:val="2C3843" w:themeColor="background2" w:themeShade="40"/>
        </w:rPr>
        <w:t xml:space="preserve"> 2023</w:t>
      </w:r>
    </w:p>
    <w:p w14:paraId="432878EC" w14:textId="77777777" w:rsidR="00C93244" w:rsidRDefault="00C93244" w:rsidP="008B32A7">
      <w:pPr>
        <w:shd w:val="clear" w:color="auto" w:fill="D4E2FF" w:themeFill="text1" w:themeFillTint="1A"/>
        <w:jc w:val="center"/>
        <w:rPr>
          <w:color w:val="2C3843" w:themeColor="background2" w:themeShade="40"/>
        </w:rPr>
      </w:pPr>
    </w:p>
    <w:p w14:paraId="49C9EE12" w14:textId="0136BC75" w:rsidR="00CC49CE" w:rsidRPr="00841AF8" w:rsidRDefault="00C93244" w:rsidP="00841AF8">
      <w:pPr>
        <w:shd w:val="clear" w:color="auto" w:fill="D4E2FF" w:themeFill="text1" w:themeFillTint="1A"/>
        <w:jc w:val="center"/>
        <w:rPr>
          <w:b/>
          <w:sz w:val="40"/>
          <w:szCs w:val="40"/>
        </w:rPr>
        <w:sectPr w:rsidR="00CC49CE" w:rsidRPr="00841AF8" w:rsidSect="00B2543A">
          <w:footerReference w:type="default" r:id="rId9"/>
          <w:footerReference w:type="first" r:id="rId10"/>
          <w:pgSz w:w="12240" w:h="16340"/>
          <w:pgMar w:top="1460" w:right="1198" w:bottom="451" w:left="1007" w:header="720" w:footer="720" w:gutter="0"/>
          <w:pgNumType w:start="0"/>
          <w:cols w:space="720"/>
          <w:noEndnote/>
          <w:titlePg/>
          <w:docGrid w:linePitch="299"/>
        </w:sectPr>
      </w:pPr>
      <w:r w:rsidRPr="00B2543A">
        <w:rPr>
          <w:noProof/>
          <w:lang w:eastAsia="fr-FR"/>
        </w:rPr>
        <w:drawing>
          <wp:inline distT="0" distB="0" distL="0" distR="0" wp14:anchorId="060AE7A5" wp14:editId="7FD384D1">
            <wp:extent cx="5311220" cy="3862705"/>
            <wp:effectExtent l="0" t="0" r="3810" b="444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11220" cy="3862705"/>
                    </a:xfrm>
                    <a:prstGeom prst="rect">
                      <a:avLst/>
                    </a:prstGeom>
                    <a:noFill/>
                    <a:ln>
                      <a:noFill/>
                    </a:ln>
                  </pic:spPr>
                </pic:pic>
              </a:graphicData>
            </a:graphic>
          </wp:inline>
        </w:drawing>
      </w:r>
    </w:p>
    <w:p w14:paraId="36BA909D" w14:textId="77777777" w:rsidR="00B038C0" w:rsidRDefault="00B038C0" w:rsidP="001C116A">
      <w:pPr>
        <w:pStyle w:val="Heading1"/>
        <w:spacing w:before="0" w:after="240" w:line="240" w:lineRule="auto"/>
        <w:rPr>
          <w:rFonts w:asciiTheme="minorHAnsi" w:hAnsiTheme="minorHAnsi"/>
        </w:rPr>
      </w:pPr>
      <w:r w:rsidRPr="00F950FE">
        <w:rPr>
          <w:rFonts w:asciiTheme="minorHAnsi" w:hAnsiTheme="minorHAnsi"/>
        </w:rPr>
        <w:lastRenderedPageBreak/>
        <w:t xml:space="preserve">Présentation de </w:t>
      </w:r>
      <w:r w:rsidR="007A6AEE">
        <w:rPr>
          <w:rFonts w:asciiTheme="minorHAnsi" w:hAnsiTheme="minorHAnsi"/>
        </w:rPr>
        <w:t>la CNCDH</w:t>
      </w:r>
    </w:p>
    <w:p w14:paraId="2E4AB2D3" w14:textId="77777777" w:rsidR="00FC6A45" w:rsidRPr="009978F5" w:rsidRDefault="00FC6A45" w:rsidP="001C116A">
      <w:pPr>
        <w:spacing w:after="240" w:line="240" w:lineRule="auto"/>
        <w:jc w:val="both"/>
      </w:pPr>
      <w:r w:rsidRPr="009978F5">
        <w:t xml:space="preserve">La Commission nationale consultative des droits de l’homme (CNCDH) est l’Institution française de promotion et de protection des droits de l’homme (INDH) française, établie conformément aux Principes de Paris et accréditée de statut A. </w:t>
      </w:r>
    </w:p>
    <w:p w14:paraId="02BB0FB0" w14:textId="77777777" w:rsidR="00FC6A45" w:rsidRPr="009978F5" w:rsidRDefault="00FC6A45" w:rsidP="001C116A">
      <w:pPr>
        <w:spacing w:after="240" w:line="240" w:lineRule="auto"/>
        <w:jc w:val="both"/>
      </w:pPr>
      <w:r w:rsidRPr="009978F5">
        <w:t>La CNCDH est investie d’une mission générale de conseil et de contrôle auprès du Gouvernement et du Parlement dans le domaine des droits humains, du droit international humanitaire et de l’action humanitaire. Dans ce cadre, elle contribue en toute indépendance au projet de rapport de la Franc</w:t>
      </w:r>
      <w:r w:rsidR="00EB13FE" w:rsidRPr="009978F5">
        <w:t>e aux instances internationales</w:t>
      </w:r>
      <w:r w:rsidRPr="009978F5">
        <w:t xml:space="preserve"> et en particulier, aux comités conventionnels des Nations unies, et transmet à ces mêmes instances des éléments d’informations sur le respect des droits de l’Homme en France. </w:t>
      </w:r>
    </w:p>
    <w:p w14:paraId="5D558DE8" w14:textId="77777777" w:rsidR="007A6AEE" w:rsidRPr="009978F5" w:rsidRDefault="00FC6A45" w:rsidP="001C116A">
      <w:pPr>
        <w:spacing w:after="240" w:line="240" w:lineRule="auto"/>
        <w:jc w:val="both"/>
      </w:pPr>
      <w:r w:rsidRPr="009978F5">
        <w:t xml:space="preserve">Au-delà de ses avis destinés à éclairer la décision politique, la CNCDH est une autorité indépendante d’évaluation des politiques publiques de par ses mandats de Rapporteur national sur la lutte contre le racisme, l’antisémitisme et la xénophobie, la lutte contre la traite </w:t>
      </w:r>
      <w:r w:rsidR="00446F57" w:rsidRPr="009978F5">
        <w:t xml:space="preserve">et l’exploitation </w:t>
      </w:r>
      <w:r w:rsidRPr="009978F5">
        <w:t>des êtres humains</w:t>
      </w:r>
      <w:r w:rsidR="00446F57" w:rsidRPr="009978F5">
        <w:t>,</w:t>
      </w:r>
      <w:r w:rsidRPr="009978F5">
        <w:t xml:space="preserve"> sur la lutte contre la haine</w:t>
      </w:r>
      <w:r w:rsidR="00446F57" w:rsidRPr="009978F5">
        <w:t xml:space="preserve"> et les discriminations anti-LGBT, </w:t>
      </w:r>
      <w:r w:rsidRPr="009978F5">
        <w:t>sur la mise en œuvre des principes directeurs des Nations Unies relatifs aux droits de l’homme et aux entreprises</w:t>
      </w:r>
      <w:r w:rsidR="00446F57" w:rsidRPr="009978F5">
        <w:t xml:space="preserve"> ainsi que sur les droits des personnes handicapées</w:t>
      </w:r>
      <w:r w:rsidRPr="009978F5">
        <w:t xml:space="preserve">. </w:t>
      </w:r>
    </w:p>
    <w:p w14:paraId="3631D540" w14:textId="77777777" w:rsidR="007A6AEE" w:rsidRDefault="00D73B0A" w:rsidP="001C116A">
      <w:pPr>
        <w:pStyle w:val="Heading1"/>
        <w:spacing w:before="0" w:after="240" w:line="240" w:lineRule="auto"/>
        <w:rPr>
          <w:rFonts w:asciiTheme="minorHAnsi" w:hAnsiTheme="minorHAnsi"/>
        </w:rPr>
      </w:pPr>
      <w:r>
        <w:rPr>
          <w:rFonts w:asciiTheme="minorHAnsi" w:hAnsiTheme="minorHAnsi"/>
        </w:rPr>
        <w:t>La CNCDH et</w:t>
      </w:r>
      <w:r w:rsidR="007A6AEE" w:rsidRPr="007A6AEE">
        <w:rPr>
          <w:rFonts w:asciiTheme="minorHAnsi" w:hAnsiTheme="minorHAnsi"/>
        </w:rPr>
        <w:t xml:space="preserve"> les droits des femmes</w:t>
      </w:r>
    </w:p>
    <w:p w14:paraId="30CECC2C" w14:textId="78FBBF43" w:rsidR="00694548" w:rsidRPr="009978F5" w:rsidRDefault="00D5548F" w:rsidP="001C116A">
      <w:pPr>
        <w:spacing w:after="240" w:line="240" w:lineRule="auto"/>
        <w:jc w:val="both"/>
        <w:rPr>
          <w:rFonts w:ascii="Calibri" w:hAnsi="Calibri"/>
        </w:rPr>
      </w:pPr>
      <w:r w:rsidRPr="009978F5">
        <w:rPr>
          <w:rFonts w:ascii="Calibri" w:hAnsi="Calibri"/>
        </w:rPr>
        <w:t xml:space="preserve">La </w:t>
      </w:r>
      <w:r w:rsidR="009A5AF7" w:rsidRPr="009978F5">
        <w:rPr>
          <w:rFonts w:ascii="Calibri" w:hAnsi="Calibri"/>
        </w:rPr>
        <w:t>question des droits de</w:t>
      </w:r>
      <w:r w:rsidR="00AA6EA4" w:rsidRPr="009978F5">
        <w:rPr>
          <w:rFonts w:ascii="Calibri" w:hAnsi="Calibri"/>
        </w:rPr>
        <w:t xml:space="preserve">s femmes et de l’égalité femmes </w:t>
      </w:r>
      <w:r w:rsidR="009A5AF7" w:rsidRPr="009978F5">
        <w:rPr>
          <w:rFonts w:ascii="Calibri" w:hAnsi="Calibri"/>
        </w:rPr>
        <w:t>hommes est au cœur des travaux de la CNCDH</w:t>
      </w:r>
      <w:r w:rsidR="00B435A0" w:rsidRPr="009978F5">
        <w:rPr>
          <w:rStyle w:val="FootnoteReference"/>
          <w:rFonts w:ascii="Calibri" w:hAnsi="Calibri"/>
        </w:rPr>
        <w:footnoteReference w:id="1"/>
      </w:r>
      <w:r w:rsidR="009A5AF7" w:rsidRPr="009978F5">
        <w:rPr>
          <w:rFonts w:ascii="Calibri" w:hAnsi="Calibri"/>
        </w:rPr>
        <w:t xml:space="preserve"> </w:t>
      </w:r>
      <w:r w:rsidRPr="009978F5">
        <w:rPr>
          <w:rFonts w:ascii="Calibri" w:hAnsi="Calibri"/>
        </w:rPr>
        <w:t xml:space="preserve">et ce, selon deux modalités : elle </w:t>
      </w:r>
      <w:r w:rsidR="00AA6EA4" w:rsidRPr="009978F5">
        <w:rPr>
          <w:rFonts w:ascii="Calibri" w:hAnsi="Calibri"/>
        </w:rPr>
        <w:t>explicite</w:t>
      </w:r>
      <w:r w:rsidRPr="009978F5">
        <w:rPr>
          <w:rFonts w:ascii="Calibri" w:hAnsi="Calibri"/>
        </w:rPr>
        <w:t xml:space="preserve"> la dimension du genre dans chacune des violations des droits humains </w:t>
      </w:r>
      <w:r w:rsidR="008E6CC5" w:rsidRPr="009978F5">
        <w:rPr>
          <w:rFonts w:ascii="Calibri" w:hAnsi="Calibri"/>
        </w:rPr>
        <w:t>qu’elle investigue et</w:t>
      </w:r>
      <w:r w:rsidRPr="009978F5">
        <w:rPr>
          <w:rFonts w:ascii="Calibri" w:hAnsi="Calibri"/>
        </w:rPr>
        <w:t xml:space="preserve"> elle s’engage également sur tous les débat</w:t>
      </w:r>
      <w:r w:rsidR="007A6AEE" w:rsidRPr="009978F5">
        <w:rPr>
          <w:rFonts w:ascii="Calibri" w:hAnsi="Calibri"/>
        </w:rPr>
        <w:t>s d’importance pour les femmes notamment</w:t>
      </w:r>
      <w:r w:rsidRPr="009978F5">
        <w:rPr>
          <w:rFonts w:ascii="Calibri" w:hAnsi="Calibri"/>
        </w:rPr>
        <w:t xml:space="preserve"> les violences sexuelles, la PMA pour toutes, les discriminations sexistes en </w:t>
      </w:r>
      <w:r w:rsidR="00833D94" w:rsidRPr="009978F5">
        <w:rPr>
          <w:rFonts w:ascii="Calibri" w:hAnsi="Calibri"/>
        </w:rPr>
        <w:t xml:space="preserve">matière de </w:t>
      </w:r>
      <w:r w:rsidRPr="009978F5">
        <w:rPr>
          <w:rFonts w:ascii="Calibri" w:hAnsi="Calibri"/>
        </w:rPr>
        <w:t>sant</w:t>
      </w:r>
      <w:r w:rsidR="007A6AEE" w:rsidRPr="009978F5">
        <w:rPr>
          <w:rFonts w:ascii="Calibri" w:hAnsi="Calibri"/>
        </w:rPr>
        <w:t xml:space="preserve">é. </w:t>
      </w:r>
      <w:r w:rsidR="009A5AF7" w:rsidRPr="009978F5">
        <w:rPr>
          <w:rFonts w:ascii="Calibri" w:hAnsi="Calibri"/>
        </w:rPr>
        <w:t>Dès 2016, la CNCDH s’est montré</w:t>
      </w:r>
      <w:r w:rsidR="008208BC" w:rsidRPr="009978F5">
        <w:rPr>
          <w:rFonts w:ascii="Calibri" w:hAnsi="Calibri"/>
        </w:rPr>
        <w:t>e</w:t>
      </w:r>
      <w:r w:rsidR="009A5AF7" w:rsidRPr="009978F5">
        <w:rPr>
          <w:rFonts w:ascii="Calibri" w:hAnsi="Calibri"/>
        </w:rPr>
        <w:t xml:space="preserve"> pionnière en consacrant le terme de </w:t>
      </w:r>
      <w:r w:rsidRPr="009978F5">
        <w:rPr>
          <w:rFonts w:ascii="Calibri" w:hAnsi="Calibri"/>
        </w:rPr>
        <w:t>« </w:t>
      </w:r>
      <w:r w:rsidR="009A5AF7" w:rsidRPr="009978F5">
        <w:rPr>
          <w:rFonts w:ascii="Calibri" w:hAnsi="Calibri"/>
        </w:rPr>
        <w:t>féminicides</w:t>
      </w:r>
      <w:r w:rsidRPr="009978F5">
        <w:rPr>
          <w:rFonts w:ascii="Calibri" w:hAnsi="Calibri"/>
        </w:rPr>
        <w:t xml:space="preserve"> » </w:t>
      </w:r>
      <w:r w:rsidR="009A5AF7" w:rsidRPr="009978F5">
        <w:rPr>
          <w:rFonts w:ascii="Calibri" w:hAnsi="Calibri"/>
        </w:rPr>
        <w:t xml:space="preserve">dans le cadre d’un </w:t>
      </w:r>
      <w:hyperlink r:id="rId12" w:history="1">
        <w:r w:rsidR="009A5AF7" w:rsidRPr="009978F5">
          <w:rPr>
            <w:rFonts w:ascii="Calibri" w:hAnsi="Calibri"/>
            <w:i/>
          </w:rPr>
          <w:t>Avis sur les violences contre les femmes et les féminicides</w:t>
        </w:r>
        <w:r w:rsidR="009A5AF7" w:rsidRPr="009978F5">
          <w:rPr>
            <w:rFonts w:ascii="Calibri" w:hAnsi="Calibri"/>
          </w:rPr>
          <w:t>.</w:t>
        </w:r>
        <w:r w:rsidR="00BE2058" w:rsidRPr="009978F5">
          <w:rPr>
            <w:rFonts w:ascii="Calibri" w:hAnsi="Calibri"/>
          </w:rPr>
          <w:t xml:space="preserve"> </w:t>
        </w:r>
        <w:r w:rsidR="006062FB" w:rsidRPr="009978F5">
          <w:rPr>
            <w:rFonts w:ascii="Calibri" w:hAnsi="Calibri"/>
          </w:rPr>
          <w:t>Dans une volonté d’approfondir un travail d’éducation aux droits humains et de rendre les droits des femmes accessibles à toutes et tous, e</w:t>
        </w:r>
        <w:r w:rsidR="009A5AF7" w:rsidRPr="009978F5">
          <w:rPr>
            <w:rFonts w:ascii="Calibri" w:hAnsi="Calibri"/>
          </w:rPr>
          <w:t xml:space="preserve">lle a </w:t>
        </w:r>
      </w:hyperlink>
      <w:r w:rsidR="00B435A0" w:rsidRPr="009978F5">
        <w:rPr>
          <w:rFonts w:ascii="Calibri" w:hAnsi="Calibri"/>
        </w:rPr>
        <w:t xml:space="preserve">aussi </w:t>
      </w:r>
      <w:r w:rsidR="006062FB" w:rsidRPr="009978F5">
        <w:rPr>
          <w:rFonts w:ascii="Calibri" w:hAnsi="Calibri"/>
        </w:rPr>
        <w:t xml:space="preserve">organisé </w:t>
      </w:r>
      <w:hyperlink r:id="rId13" w:history="1">
        <w:r w:rsidR="006062FB" w:rsidRPr="009978F5">
          <w:rPr>
            <w:rStyle w:val="Hyperlink"/>
            <w:rFonts w:ascii="Calibri" w:hAnsi="Calibri"/>
            <w:color w:val="auto"/>
            <w:u w:val="none"/>
          </w:rPr>
          <w:t>trois webinaires</w:t>
        </w:r>
      </w:hyperlink>
      <w:r w:rsidR="006062FB" w:rsidRPr="009978F5">
        <w:rPr>
          <w:rFonts w:ascii="Calibri" w:hAnsi="Calibri"/>
        </w:rPr>
        <w:t xml:space="preserve"> sur le sujet et a </w:t>
      </w:r>
      <w:r w:rsidR="00B435A0" w:rsidRPr="009978F5">
        <w:rPr>
          <w:rFonts w:ascii="Calibri" w:hAnsi="Calibri"/>
        </w:rPr>
        <w:t xml:space="preserve">récemment publié </w:t>
      </w:r>
      <w:r w:rsidR="00F3256B" w:rsidRPr="009978F5">
        <w:rPr>
          <w:rFonts w:ascii="Calibri" w:hAnsi="Calibri"/>
        </w:rPr>
        <w:t xml:space="preserve">leurs </w:t>
      </w:r>
      <w:hyperlink r:id="rId14" w:history="1">
        <w:r w:rsidRPr="009978F5">
          <w:rPr>
            <w:rStyle w:val="Hyperlink"/>
            <w:rFonts w:ascii="Calibri" w:hAnsi="Calibri"/>
            <w:color w:val="auto"/>
            <w:u w:val="none"/>
          </w:rPr>
          <w:t>actes</w:t>
        </w:r>
      </w:hyperlink>
      <w:r w:rsidR="007A6AEE" w:rsidRPr="009978F5">
        <w:rPr>
          <w:rFonts w:ascii="Calibri" w:hAnsi="Calibri"/>
        </w:rPr>
        <w:t xml:space="preserve">. </w:t>
      </w:r>
    </w:p>
    <w:p w14:paraId="1A729E54" w14:textId="77777777" w:rsidR="00491DBE" w:rsidRDefault="00491DBE" w:rsidP="00491DBE">
      <w:pPr>
        <w:spacing w:after="240" w:line="240" w:lineRule="auto"/>
      </w:pPr>
      <w:r>
        <w:rPr>
          <w:rFonts w:eastAsiaTheme="majorEastAsia" w:cstheme="majorBidi"/>
          <w:color w:val="6287D0" w:themeColor="accent1" w:themeShade="BF"/>
          <w:sz w:val="32"/>
          <w:szCs w:val="32"/>
        </w:rPr>
        <w:t>Remarques préliminaires </w:t>
      </w:r>
    </w:p>
    <w:p w14:paraId="7943F049" w14:textId="78F0E873" w:rsidR="004359B9" w:rsidRDefault="00094CC3" w:rsidP="004359B9">
      <w:pPr>
        <w:spacing w:after="240" w:line="240" w:lineRule="auto"/>
        <w:jc w:val="both"/>
        <w:rPr>
          <w:rFonts w:cstheme="minorHAnsi"/>
          <w:bCs/>
        </w:rPr>
      </w:pPr>
      <w:r>
        <w:t xml:space="preserve">La CNCDH s’étonne que la France ait demandé un report de </w:t>
      </w:r>
      <w:r w:rsidRPr="004D3FD0">
        <w:rPr>
          <w:rFonts w:cstheme="minorHAnsi"/>
          <w:bCs/>
        </w:rPr>
        <w:t>l’examen périodique par le Comité CEDEF</w:t>
      </w:r>
      <w:r>
        <w:rPr>
          <w:rFonts w:cstheme="minorHAnsi"/>
          <w:bCs/>
        </w:rPr>
        <w:t xml:space="preserve"> et n’ai</w:t>
      </w:r>
      <w:r w:rsidR="006850BC">
        <w:rPr>
          <w:rFonts w:cstheme="minorHAnsi"/>
          <w:bCs/>
        </w:rPr>
        <w:t>t</w:t>
      </w:r>
      <w:r>
        <w:rPr>
          <w:rFonts w:cstheme="minorHAnsi"/>
          <w:bCs/>
        </w:rPr>
        <w:t xml:space="preserve"> rendu son rapport que le 5 juillet 2023 et ce, alors qu’il était attendu un an plus tôt.</w:t>
      </w:r>
      <w:r w:rsidR="00491DBE">
        <w:rPr>
          <w:rFonts w:cstheme="minorHAnsi"/>
          <w:bCs/>
        </w:rPr>
        <w:t xml:space="preserve"> </w:t>
      </w:r>
      <w:r w:rsidR="00061226">
        <w:rPr>
          <w:rFonts w:cstheme="minorHAnsi"/>
          <w:bCs/>
        </w:rPr>
        <w:t>Pour rappel, la CNCDH n’a</w:t>
      </w:r>
      <w:r w:rsidR="00491DBE">
        <w:rPr>
          <w:rFonts w:cstheme="minorHAnsi"/>
          <w:bCs/>
        </w:rPr>
        <w:t xml:space="preserve">vait reçu que très tardivement le projet de rapport de la France et n’avait disposé que de </w:t>
      </w:r>
      <w:r w:rsidRPr="004D3FD0">
        <w:rPr>
          <w:rFonts w:cstheme="minorHAnsi"/>
          <w:bCs/>
        </w:rPr>
        <w:t xml:space="preserve">4 jours ouvrés, en pleine période de vacances scolaires, pour travailler sur un document de 45 pages. </w:t>
      </w:r>
      <w:r w:rsidRPr="00491DBE">
        <w:rPr>
          <w:rFonts w:cstheme="minorHAnsi"/>
          <w:bCs/>
        </w:rPr>
        <w:t xml:space="preserve">L’ensemble de ces éléments témoigne soit d’un désintérêt pour le sujet des droits des femmes, soit d’un </w:t>
      </w:r>
      <w:r w:rsidRPr="00310E68">
        <w:rPr>
          <w:rFonts w:cstheme="minorHAnsi"/>
          <w:bCs/>
        </w:rPr>
        <w:t>désinvestissement pour rendre compte auprès des organes des Nations unies des politiques engagées sur les sujets prioritaires.</w:t>
      </w:r>
      <w:r w:rsidR="00B842B9" w:rsidRPr="00310E68">
        <w:rPr>
          <w:rFonts w:cstheme="minorHAnsi"/>
          <w:bCs/>
        </w:rPr>
        <w:t xml:space="preserve">  </w:t>
      </w:r>
      <w:r w:rsidR="004359B9" w:rsidRPr="00310E68">
        <w:rPr>
          <w:rFonts w:cstheme="minorHAnsi"/>
          <w:bCs/>
        </w:rPr>
        <w:t xml:space="preserve">En outre, la CNCDH s’étonne </w:t>
      </w:r>
      <w:r w:rsidR="00225AA9">
        <w:rPr>
          <w:rFonts w:cstheme="minorHAnsi"/>
          <w:bCs/>
        </w:rPr>
        <w:t>du</w:t>
      </w:r>
      <w:r w:rsidR="004359B9" w:rsidRPr="00310E68">
        <w:rPr>
          <w:rFonts w:cstheme="minorHAnsi"/>
          <w:bCs/>
        </w:rPr>
        <w:t xml:space="preserve"> refus d’inclure l'infraction pénale de viol, fondée sur l'absence de consentement. Enfin la CNCDH s’étonne que la ratification de la convention n° 190 soit faite par la France, mais à droit constant, c’est-à-dire sans aucune modification législative.</w:t>
      </w:r>
    </w:p>
    <w:p w14:paraId="4D128088" w14:textId="77777777" w:rsidR="00D42062" w:rsidRPr="00310E68" w:rsidRDefault="00D42062" w:rsidP="004359B9">
      <w:pPr>
        <w:spacing w:after="240" w:line="240" w:lineRule="auto"/>
        <w:jc w:val="both"/>
        <w:rPr>
          <w:rFonts w:cstheme="minorHAnsi"/>
          <w:bCs/>
        </w:rPr>
      </w:pPr>
    </w:p>
    <w:p w14:paraId="3E66255E" w14:textId="77777777" w:rsidR="00A466A9" w:rsidRDefault="00A466A9" w:rsidP="00530B88">
      <w:pPr>
        <w:jc w:val="both"/>
        <w:rPr>
          <w:rFonts w:cstheme="minorHAnsi"/>
          <w:bCs/>
        </w:rPr>
      </w:pPr>
    </w:p>
    <w:p w14:paraId="6FB462EF" w14:textId="77777777" w:rsidR="00DA42E8" w:rsidRPr="00DA42E8" w:rsidRDefault="00DA42E8" w:rsidP="00DA42E8">
      <w:pPr>
        <w:pStyle w:val="Heading2"/>
      </w:pPr>
      <w:r>
        <w:lastRenderedPageBreak/>
        <w:t xml:space="preserve">Les trois recommandations </w:t>
      </w:r>
      <w:r w:rsidR="000E2B89">
        <w:t xml:space="preserve">prioritaires </w:t>
      </w:r>
      <w:r>
        <w:t xml:space="preserve">de la CNCDH : </w:t>
      </w:r>
    </w:p>
    <w:p w14:paraId="76445837" w14:textId="77777777" w:rsidR="00FD13FA" w:rsidRDefault="00FD13FA" w:rsidP="00FD13FA"/>
    <w:p w14:paraId="36F93DAD" w14:textId="77777777" w:rsidR="00D67EB7" w:rsidRPr="00712521" w:rsidRDefault="00D67EB7" w:rsidP="00D67EB7">
      <w:pPr>
        <w:pStyle w:val="ListParagraph"/>
        <w:numPr>
          <w:ilvl w:val="0"/>
          <w:numId w:val="9"/>
        </w:numPr>
        <w:spacing w:before="100" w:beforeAutospacing="1" w:after="100" w:afterAutospacing="1" w:line="240" w:lineRule="auto"/>
        <w:rPr>
          <w:b/>
          <w:bCs/>
        </w:rPr>
      </w:pPr>
      <w:r w:rsidRPr="00712521">
        <w:rPr>
          <w:b/>
          <w:bCs/>
        </w:rPr>
        <w:t>Redéfinir</w:t>
      </w:r>
      <w:r w:rsidR="00871C89" w:rsidRPr="00712521">
        <w:rPr>
          <w:b/>
          <w:bCs/>
        </w:rPr>
        <w:t xml:space="preserve"> le </w:t>
      </w:r>
      <w:r w:rsidRPr="00712521">
        <w:rPr>
          <w:b/>
          <w:bCs/>
        </w:rPr>
        <w:t>viol</w:t>
      </w:r>
      <w:r w:rsidR="00871C89" w:rsidRPr="00712521">
        <w:rPr>
          <w:b/>
          <w:bCs/>
        </w:rPr>
        <w:t xml:space="preserve"> en y intégrant la notion de consentement</w:t>
      </w:r>
    </w:p>
    <w:p w14:paraId="12BFEDE4" w14:textId="07CED3AA" w:rsidR="00D67EB7" w:rsidRDefault="00D67EB7" w:rsidP="00D67EB7">
      <w:pPr>
        <w:spacing w:before="100" w:beforeAutospacing="1" w:after="100" w:afterAutospacing="1" w:line="240" w:lineRule="auto"/>
        <w:jc w:val="both"/>
      </w:pPr>
      <w:r>
        <w:t xml:space="preserve">En France, </w:t>
      </w:r>
      <w:hyperlink r:id="rId15" w:anchor=":~:text=Le%20viol%20est%20un%20acte,%3A%20vaginale%2C%20anale%20ou%20buccale." w:tgtFrame="_blank" w:tooltip="Nouvelle fenêtre" w:history="1">
        <w:r w:rsidRPr="00284D75">
          <w:t>le viol est défini légalement</w:t>
        </w:r>
      </w:hyperlink>
      <w:r>
        <w:t xml:space="preserve"> comme</w:t>
      </w:r>
      <w:r w:rsidRPr="00E20988">
        <w:rPr>
          <w:i/>
          <w:iCs/>
        </w:rPr>
        <w:t xml:space="preserve"> « tout acte de pénétration sexuelle, de quelque nature qu’il soit, commis sur la personne d’autrui ou sur la personne de l’auteur par violence, contrainte, menace ou surprise »</w:t>
      </w:r>
      <w:r>
        <w:t>. Cette définition ne fait pas mention de la notion de consentement</w:t>
      </w:r>
      <w:r w:rsidR="001D1AE7">
        <w:t>,</w:t>
      </w:r>
      <w:r>
        <w:t xml:space="preserve"> ce qui </w:t>
      </w:r>
      <w:r w:rsidR="00940CF7">
        <w:t xml:space="preserve">fait peser </w:t>
      </w:r>
      <w:r>
        <w:t>la charge de la preuve</w:t>
      </w:r>
      <w:r w:rsidR="00940CF7">
        <w:t xml:space="preserve"> sur la victime</w:t>
      </w:r>
      <w:r>
        <w:t xml:space="preserve"> et </w:t>
      </w:r>
      <w:r w:rsidR="00940CF7">
        <w:t xml:space="preserve">peut représenter un frein à la </w:t>
      </w:r>
      <w:r>
        <w:t>condamnation</w:t>
      </w:r>
      <w:r w:rsidR="00940CF7">
        <w:t xml:space="preserve"> de l’auteur.</w:t>
      </w:r>
      <w:r>
        <w:t xml:space="preserve"> C’est le cas notamment des personnes en état de sidération ou encore de certains viols conjugaux</w:t>
      </w:r>
      <w:r w:rsidRPr="0003495B">
        <w:t xml:space="preserve">. </w:t>
      </w:r>
    </w:p>
    <w:p w14:paraId="681607B6" w14:textId="6997F205" w:rsidR="00D67EB7" w:rsidRDefault="00D67EB7" w:rsidP="00D67EB7">
      <w:pPr>
        <w:spacing w:before="100" w:beforeAutospacing="1" w:after="100" w:afterAutospacing="1" w:line="240" w:lineRule="auto"/>
        <w:jc w:val="both"/>
      </w:pPr>
      <w:r>
        <w:t xml:space="preserve">Aujourd’hui, beaucoup de viols (crimes) se voient requalifiés </w:t>
      </w:r>
      <w:r w:rsidR="00CC4C49">
        <w:t xml:space="preserve">en </w:t>
      </w:r>
      <w:r>
        <w:t>agressions sexuelles (délits)</w:t>
      </w:r>
      <w:r w:rsidR="00AE3BFE">
        <w:t xml:space="preserve"> e</w:t>
      </w:r>
      <w:r w:rsidR="00CC4C49">
        <w:t xml:space="preserve">t certains </w:t>
      </w:r>
      <w:r>
        <w:t xml:space="preserve">ne sont pas punis par la loi. Il est donc urgent de repenser cette </w:t>
      </w:r>
      <w:r w:rsidR="005D185A">
        <w:t>définition afin de</w:t>
      </w:r>
      <w:r>
        <w:t xml:space="preserve"> mettre un terme à toute fo</w:t>
      </w:r>
      <w:r w:rsidR="0099407F">
        <w:t>r</w:t>
      </w:r>
      <w:r>
        <w:t>me d’impunité</w:t>
      </w:r>
      <w:r w:rsidR="006E59F9">
        <w:t xml:space="preserve"> en garantissant une meilleure réponse pénale</w:t>
      </w:r>
      <w:r w:rsidR="00CC4C49">
        <w:t xml:space="preserve"> et en intégrant explicitement le terme de consentement dans la loi. </w:t>
      </w:r>
    </w:p>
    <w:p w14:paraId="3032C0B0" w14:textId="77777777" w:rsidR="006E59F9" w:rsidRPr="00712521" w:rsidRDefault="006E59F9" w:rsidP="006E59F9">
      <w:pPr>
        <w:pStyle w:val="ListParagraph"/>
        <w:numPr>
          <w:ilvl w:val="0"/>
          <w:numId w:val="9"/>
        </w:numPr>
        <w:rPr>
          <w:b/>
          <w:bCs/>
        </w:rPr>
      </w:pPr>
      <w:r w:rsidRPr="00712521">
        <w:rPr>
          <w:b/>
          <w:bCs/>
        </w:rPr>
        <w:t>Favoriser l’égalité filles garçons par une réorganisation de l’espace scolaire</w:t>
      </w:r>
    </w:p>
    <w:p w14:paraId="2616E52C" w14:textId="390CD5EA" w:rsidR="00DA42E8" w:rsidRDefault="00AF0B2C" w:rsidP="002811B4">
      <w:pPr>
        <w:spacing w:before="100" w:beforeAutospacing="1" w:after="100" w:afterAutospacing="1" w:line="240" w:lineRule="auto"/>
        <w:jc w:val="both"/>
      </w:pPr>
      <w:r>
        <w:t xml:space="preserve">Au-delà des enseignements, il est primordial d’instaurer un conditionnement favorable à l’égalité filles-garçons à l’Ecole. </w:t>
      </w:r>
      <w:r w:rsidR="00DB1FED">
        <w:t>Il</w:t>
      </w:r>
      <w:r w:rsidR="006E59F9">
        <w:t xml:space="preserve"> serait souhaitable que le ministère de l’Education nationale impulse</w:t>
      </w:r>
      <w:r w:rsidR="00276EB2">
        <w:t>,</w:t>
      </w:r>
      <w:r w:rsidR="006E59F9">
        <w:t xml:space="preserve"> en collaboration avec les collectivités territoriales, une politique qui permette l’égalité dans l’espace scolaire. Il importe de questionner les séparations filles/garçons de toute forme (armoire</w:t>
      </w:r>
      <w:r>
        <w:t>s</w:t>
      </w:r>
      <w:r w:rsidR="006E59F9">
        <w:t xml:space="preserve"> rose</w:t>
      </w:r>
      <w:r w:rsidR="00276EB2">
        <w:t>s</w:t>
      </w:r>
      <w:r w:rsidR="006E59F9">
        <w:t xml:space="preserve">/bleues, distinction entre toilettes pour filles et pour garçons…) afin de favoriser une culture de la mixité </w:t>
      </w:r>
      <w:r>
        <w:t>et</w:t>
      </w:r>
      <w:r w:rsidR="006E59F9">
        <w:t xml:space="preserve"> faire baisser les violences entre filles/garçon. Cela pourrait aussi se traduire par la reconfiguration de certaines cours de récréation qui reproduisent une société patriarcale avec des garçons actifs, dominant l’espace</w:t>
      </w:r>
      <w:r w:rsidR="00C2204B">
        <w:t>,</w:t>
      </w:r>
      <w:r w:rsidR="006E59F9">
        <w:t xml:space="preserve"> et des filles se positionnant en périphérie.</w:t>
      </w:r>
    </w:p>
    <w:p w14:paraId="57629C87" w14:textId="77777777" w:rsidR="006E59F9" w:rsidRDefault="006E59F9" w:rsidP="006E59F9">
      <w:pPr>
        <w:pStyle w:val="ListParagraph"/>
      </w:pPr>
    </w:p>
    <w:p w14:paraId="7D1BD52F" w14:textId="77777777" w:rsidR="001A440D" w:rsidRPr="00712521" w:rsidRDefault="001A440D" w:rsidP="001A440D">
      <w:pPr>
        <w:pStyle w:val="ListParagraph"/>
        <w:numPr>
          <w:ilvl w:val="0"/>
          <w:numId w:val="9"/>
        </w:numPr>
        <w:spacing w:before="100" w:beforeAutospacing="1" w:after="100" w:afterAutospacing="1" w:line="240" w:lineRule="auto"/>
        <w:rPr>
          <w:b/>
          <w:bCs/>
        </w:rPr>
      </w:pPr>
      <w:r w:rsidRPr="00712521">
        <w:rPr>
          <w:b/>
          <w:bCs/>
        </w:rPr>
        <w:t>Prévoir des référentiels de prise en charge des malades adaptés aux femmes</w:t>
      </w:r>
    </w:p>
    <w:p w14:paraId="1D2DF0C4" w14:textId="3F899ADD" w:rsidR="00A466A9" w:rsidRDefault="001A440D" w:rsidP="00FF0073">
      <w:pPr>
        <w:spacing w:before="100" w:beforeAutospacing="1" w:after="100" w:afterAutospacing="1" w:line="240" w:lineRule="auto"/>
        <w:jc w:val="both"/>
      </w:pPr>
      <w:r>
        <w:t>Les référentiels de prise en charge des malades sont trop souvent bâtis sur un modèle masculin, menant à des sous diagnostics voire à de mauvais dosages chez les femmes.</w:t>
      </w:r>
      <w:r w:rsidRPr="000256B9">
        <w:t xml:space="preserve"> </w:t>
      </w:r>
      <w:r w:rsidR="00AE133F">
        <w:t>Pendant longtemps</w:t>
      </w:r>
      <w:r w:rsidR="00747CED">
        <w:t xml:space="preserve">, </w:t>
      </w:r>
      <w:r w:rsidR="000053B5" w:rsidRPr="000053B5">
        <w:t xml:space="preserve">mais encore parfois aujourd’hui, les signes de maladies cardiovasculaires ont été basés sur les symptômes ressentis par les hommes, comme la douleur </w:t>
      </w:r>
      <w:r w:rsidR="00AE133F">
        <w:t>thoracique</w:t>
      </w:r>
      <w:r w:rsidR="000053B5" w:rsidRPr="000053B5">
        <w:t>, menant à un déficit de diagnostic</w:t>
      </w:r>
      <w:r w:rsidR="00DB1FED">
        <w:t xml:space="preserve"> et</w:t>
      </w:r>
      <w:r w:rsidR="000053B5" w:rsidRPr="000053B5">
        <w:t xml:space="preserve"> à une prise en charge plus tardive</w:t>
      </w:r>
      <w:r w:rsidR="00DB1FED">
        <w:t xml:space="preserve"> chez les femmes</w:t>
      </w:r>
      <w:r w:rsidR="000053B5" w:rsidRPr="000053B5">
        <w:t>, et ce alors que c’est leur première cause de mortalité.</w:t>
      </w:r>
      <w:r w:rsidR="00A466A9">
        <w:br w:type="page"/>
      </w:r>
    </w:p>
    <w:p w14:paraId="067A56D7" w14:textId="77777777" w:rsidR="00B3290B" w:rsidRDefault="00FD13FA" w:rsidP="00B3290B">
      <w:pPr>
        <w:jc w:val="both"/>
        <w:rPr>
          <w:rStyle w:val="markedcontent"/>
          <w:rFonts w:eastAsiaTheme="majorEastAsia" w:cs="Arial"/>
          <w:color w:val="2F539D" w:themeColor="accent1" w:themeShade="7F"/>
        </w:rPr>
      </w:pPr>
      <w:r w:rsidRPr="001B620D">
        <w:rPr>
          <w:rStyle w:val="markedcontent"/>
          <w:rFonts w:eastAsiaTheme="majorEastAsia" w:cs="Arial"/>
          <w:color w:val="2F539D" w:themeColor="accent1" w:themeShade="7F"/>
        </w:rPr>
        <w:lastRenderedPageBreak/>
        <w:t xml:space="preserve">Point 1 – </w:t>
      </w:r>
      <w:r w:rsidR="007E21C5" w:rsidRPr="001B620D">
        <w:rPr>
          <w:rStyle w:val="markedcontent"/>
          <w:rFonts w:eastAsiaTheme="majorEastAsia" w:cs="Arial"/>
          <w:color w:val="2F539D" w:themeColor="accent1" w:themeShade="7F"/>
        </w:rPr>
        <w:t>V</w:t>
      </w:r>
      <w:r w:rsidRPr="001B620D">
        <w:rPr>
          <w:rStyle w:val="markedcontent"/>
          <w:rFonts w:eastAsiaTheme="majorEastAsia" w:cs="Arial"/>
          <w:color w:val="2F539D" w:themeColor="accent1" w:themeShade="7F"/>
        </w:rPr>
        <w:t>isibilité de la Convent</w:t>
      </w:r>
      <w:r w:rsidR="007E21C5" w:rsidRPr="001B620D">
        <w:rPr>
          <w:rStyle w:val="markedcontent"/>
          <w:rFonts w:eastAsiaTheme="majorEastAsia" w:cs="Arial"/>
          <w:color w:val="2F539D" w:themeColor="accent1" w:themeShade="7F"/>
        </w:rPr>
        <w:t>ion et du Protocole facultatif</w:t>
      </w:r>
    </w:p>
    <w:p w14:paraId="1E621C19" w14:textId="2B322D19" w:rsidR="007E21C5" w:rsidRDefault="007E21C5" w:rsidP="00B3290B">
      <w:pPr>
        <w:jc w:val="both"/>
        <w:rPr>
          <w:rFonts w:cs="Calibri"/>
          <w:lang w:eastAsia="fr-FR"/>
        </w:rPr>
      </w:pPr>
      <w:r>
        <w:br/>
      </w:r>
      <w:r w:rsidR="006340A5" w:rsidRPr="006340A5">
        <w:rPr>
          <w:rFonts w:cs="Calibri"/>
          <w:b/>
          <w:lang w:eastAsia="fr-FR"/>
        </w:rPr>
        <w:t xml:space="preserve">&gt; </w:t>
      </w:r>
      <w:r w:rsidR="006E1132" w:rsidRPr="006340A5">
        <w:rPr>
          <w:rFonts w:cs="Calibri"/>
          <w:b/>
          <w:lang w:eastAsia="fr-FR"/>
        </w:rPr>
        <w:t>Recommandation</w:t>
      </w:r>
      <w:r w:rsidR="006340A5" w:rsidRPr="006340A5">
        <w:rPr>
          <w:rFonts w:cs="Calibri"/>
          <w:b/>
          <w:lang w:eastAsia="fr-FR"/>
        </w:rPr>
        <w:t> :</w:t>
      </w:r>
      <w:r w:rsidR="00966AD0">
        <w:rPr>
          <w:rFonts w:cs="Calibri"/>
          <w:b/>
          <w:lang w:eastAsia="fr-FR"/>
        </w:rPr>
        <w:t xml:space="preserve"> D</w:t>
      </w:r>
      <w:r w:rsidRPr="006340A5">
        <w:rPr>
          <w:rFonts w:cs="Calibri"/>
          <w:b/>
          <w:lang w:eastAsia="fr-FR"/>
        </w:rPr>
        <w:t xml:space="preserve">iffuser largement la Convention </w:t>
      </w:r>
      <w:r w:rsidRPr="006340A5">
        <w:rPr>
          <w:rFonts w:cs="Calibri"/>
          <w:b/>
        </w:rPr>
        <w:t>auprès des professionnels de la justice et notamment des avocats, afin qu’ils la mentionnent dans leurs saisines.</w:t>
      </w:r>
      <w:r w:rsidRPr="00C0787B">
        <w:rPr>
          <w:rFonts w:cs="Calibri"/>
        </w:rPr>
        <w:t xml:space="preserve"> </w:t>
      </w:r>
      <w:r w:rsidR="00DB1FED">
        <w:rPr>
          <w:rFonts w:cs="Calibri"/>
        </w:rPr>
        <w:t>L</w:t>
      </w:r>
      <w:r w:rsidR="0098101A">
        <w:rPr>
          <w:rFonts w:cs="Calibri"/>
        </w:rPr>
        <w:t>a CNCDH</w:t>
      </w:r>
      <w:r w:rsidR="0098101A" w:rsidRPr="00C0787B">
        <w:rPr>
          <w:rFonts w:cs="Calibri"/>
        </w:rPr>
        <w:t xml:space="preserve"> </w:t>
      </w:r>
      <w:r w:rsidRPr="00C0787B">
        <w:rPr>
          <w:rFonts w:cs="Calibri"/>
        </w:rPr>
        <w:t xml:space="preserve">rappelle la nécessité de </w:t>
      </w:r>
      <w:r w:rsidRPr="00C0787B">
        <w:rPr>
          <w:rFonts w:cs="Calibri"/>
          <w:lang w:eastAsia="fr-FR"/>
        </w:rPr>
        <w:t xml:space="preserve">renforcer les moyens financiers pour leur permettre de lutter contre les </w:t>
      </w:r>
      <w:r w:rsidR="00E54EC3">
        <w:rPr>
          <w:rFonts w:cs="Calibri"/>
          <w:lang w:eastAsia="fr-FR"/>
        </w:rPr>
        <w:t>violences sexistes et sexuelles.</w:t>
      </w:r>
      <w:r w:rsidR="007F147B">
        <w:rPr>
          <w:rFonts w:cs="Calibri"/>
          <w:lang w:eastAsia="fr-FR"/>
        </w:rPr>
        <w:t xml:space="preserve"> </w:t>
      </w:r>
    </w:p>
    <w:p w14:paraId="34DCA215" w14:textId="0BDB627D" w:rsidR="006340A5" w:rsidRDefault="006340A5" w:rsidP="00B3290B">
      <w:pPr>
        <w:jc w:val="both"/>
        <w:rPr>
          <w:rFonts w:cs="Calibri"/>
        </w:rPr>
      </w:pPr>
      <w:r w:rsidRPr="007E21C5">
        <w:rPr>
          <w:rFonts w:cs="Calibri"/>
          <w:lang w:eastAsia="fr-FR"/>
        </w:rPr>
        <w:t xml:space="preserve">La CNCDH constate que </w:t>
      </w:r>
      <w:r w:rsidRPr="007E21C5">
        <w:rPr>
          <w:rFonts w:cs="Calibri"/>
        </w:rPr>
        <w:t xml:space="preserve">la Convention n’est que rarement invoquée par les </w:t>
      </w:r>
      <w:r w:rsidR="009B1199" w:rsidRPr="007E21C5">
        <w:rPr>
          <w:rFonts w:cs="Calibri"/>
        </w:rPr>
        <w:t>juridictions ;</w:t>
      </w:r>
      <w:r w:rsidRPr="007E21C5">
        <w:rPr>
          <w:rFonts w:cs="Calibri"/>
        </w:rPr>
        <w:t xml:space="preserve"> certaines décisions de justice s’y réfèrent pour évoquer le cadre juridique mais ne se fondent pas directement dessus pour trancher un litige, ce qui révèle une méconnaissance profonde de la Convention par ces professionnels.</w:t>
      </w:r>
    </w:p>
    <w:p w14:paraId="0F42BF8C" w14:textId="7A5DFD92" w:rsidR="004359B9" w:rsidRPr="004D0A0D" w:rsidRDefault="004359B9" w:rsidP="00B3290B">
      <w:pPr>
        <w:jc w:val="both"/>
        <w:rPr>
          <w:rFonts w:cs="Calibri"/>
          <w:b/>
          <w:bCs/>
          <w:lang w:eastAsia="fr-FR"/>
        </w:rPr>
      </w:pPr>
      <w:r w:rsidRPr="00310E68">
        <w:rPr>
          <w:rFonts w:cs="Calibri"/>
          <w:b/>
          <w:lang w:eastAsia="fr-FR"/>
        </w:rPr>
        <w:t>&gt; Recommandation </w:t>
      </w:r>
      <w:r w:rsidRPr="00310E68">
        <w:rPr>
          <w:rFonts w:cs="Calibri"/>
          <w:b/>
          <w:bCs/>
          <w:lang w:eastAsia="fr-FR"/>
        </w:rPr>
        <w:t xml:space="preserve">: Mise en place d’une formation obligatoire intégrée dans la formation initiale et continue de l’ensemble des </w:t>
      </w:r>
      <w:proofErr w:type="spellStart"/>
      <w:r w:rsidRPr="00310E68">
        <w:rPr>
          <w:rFonts w:cs="Calibri"/>
          <w:b/>
          <w:bCs/>
          <w:lang w:eastAsia="fr-FR"/>
        </w:rPr>
        <w:t>professionnel·les</w:t>
      </w:r>
      <w:proofErr w:type="spellEnd"/>
      <w:r w:rsidRPr="00310E68">
        <w:rPr>
          <w:rFonts w:cs="Calibri"/>
          <w:b/>
          <w:bCs/>
          <w:lang w:eastAsia="fr-FR"/>
        </w:rPr>
        <w:t>. La définition du cahier des charges de la formation incomberait aux pouvoirs publics, et les habilitations des organismes de formation relèveraient du ministère du travail sur la base de ce cahier des charges.</w:t>
      </w:r>
    </w:p>
    <w:p w14:paraId="0EBB0F04" w14:textId="77777777" w:rsidR="00572F3E" w:rsidRDefault="007E21C5" w:rsidP="00572F3E">
      <w:pPr>
        <w:spacing w:line="264" w:lineRule="auto"/>
        <w:jc w:val="both"/>
        <w:rPr>
          <w:rFonts w:cs="Calibri"/>
        </w:rPr>
      </w:pPr>
      <w:r>
        <w:t xml:space="preserve"> </w:t>
      </w:r>
      <w:r>
        <w:br/>
      </w:r>
      <w:r w:rsidRPr="000C710D">
        <w:rPr>
          <w:rStyle w:val="markedcontent"/>
          <w:rFonts w:eastAsiaTheme="majorEastAsia" w:cs="Arial"/>
          <w:color w:val="2F539D" w:themeColor="accent1" w:themeShade="7F"/>
        </w:rPr>
        <w:t>Point 2</w:t>
      </w:r>
      <w:r w:rsidR="00E372BC">
        <w:rPr>
          <w:rStyle w:val="markedcontent"/>
          <w:rFonts w:eastAsiaTheme="majorEastAsia" w:cs="Arial"/>
          <w:color w:val="2F539D" w:themeColor="accent1" w:themeShade="7F"/>
        </w:rPr>
        <w:t>a</w:t>
      </w:r>
      <w:r w:rsidRPr="000C710D">
        <w:rPr>
          <w:rStyle w:val="markedcontent"/>
          <w:rFonts w:eastAsiaTheme="majorEastAsia" w:cs="Arial"/>
          <w:color w:val="2F539D" w:themeColor="accent1" w:themeShade="7F"/>
        </w:rPr>
        <w:t xml:space="preserve"> – Droits des femmes et égalité des genres dans le contexte de la pandémie et des mesures de relèvement</w:t>
      </w:r>
      <w:r>
        <w:br/>
      </w:r>
    </w:p>
    <w:p w14:paraId="393BC5ED" w14:textId="6037DE97" w:rsidR="007E21C5" w:rsidRDefault="00E372BC" w:rsidP="00572F3E">
      <w:pPr>
        <w:tabs>
          <w:tab w:val="left" w:pos="1560"/>
        </w:tabs>
        <w:spacing w:after="0" w:line="264" w:lineRule="auto"/>
        <w:jc w:val="both"/>
        <w:rPr>
          <w:b/>
          <w:bCs/>
        </w:rPr>
      </w:pPr>
      <w:r w:rsidRPr="00E372BC">
        <w:rPr>
          <w:rFonts w:cs="Calibri"/>
          <w:b/>
        </w:rPr>
        <w:t xml:space="preserve">&gt; </w:t>
      </w:r>
      <w:r w:rsidR="006E1132" w:rsidRPr="00E372BC">
        <w:rPr>
          <w:rFonts w:cs="Calibri"/>
          <w:b/>
        </w:rPr>
        <w:t xml:space="preserve">Recommandation : </w:t>
      </w:r>
      <w:r w:rsidRPr="00E372BC">
        <w:rPr>
          <w:rFonts w:cs="Calibri"/>
          <w:b/>
        </w:rPr>
        <w:t>M</w:t>
      </w:r>
      <w:r w:rsidR="00572F3E" w:rsidRPr="00E372BC">
        <w:rPr>
          <w:rFonts w:cs="Calibri"/>
          <w:b/>
        </w:rPr>
        <w:t xml:space="preserve">ener une politique de </w:t>
      </w:r>
      <w:r w:rsidR="00572F3E" w:rsidRPr="00E372BC">
        <w:rPr>
          <w:b/>
          <w:bCs/>
        </w:rPr>
        <w:t>lutte contre les violences conjug</w:t>
      </w:r>
      <w:r w:rsidR="006E1132" w:rsidRPr="00E372BC">
        <w:rPr>
          <w:b/>
          <w:bCs/>
        </w:rPr>
        <w:t>ales</w:t>
      </w:r>
      <w:r w:rsidR="00651A32">
        <w:rPr>
          <w:b/>
          <w:bCs/>
        </w:rPr>
        <w:t xml:space="preserve"> </w:t>
      </w:r>
      <w:r w:rsidR="006E1132" w:rsidRPr="00E372BC">
        <w:rPr>
          <w:b/>
          <w:bCs/>
        </w:rPr>
        <w:t>d’envergure concernant le repér</w:t>
      </w:r>
      <w:r w:rsidR="00572F3E" w:rsidRPr="00E372BC">
        <w:rPr>
          <w:b/>
          <w:bCs/>
        </w:rPr>
        <w:t>age et l’accompagnement des victimes et des auteurs de violences, en promouvant une prise en charge globale (médicale, psychologique, sociale et judiciaire) et la mise en réseau de l’ensemble des acteurs impliqués</w:t>
      </w:r>
      <w:r w:rsidR="00AE3BFE">
        <w:rPr>
          <w:b/>
          <w:bCs/>
        </w:rPr>
        <w:t>.</w:t>
      </w:r>
    </w:p>
    <w:p w14:paraId="4524D4C9" w14:textId="77777777" w:rsidR="00E372BC" w:rsidRPr="00E372BC" w:rsidRDefault="00E372BC" w:rsidP="00572F3E">
      <w:pPr>
        <w:tabs>
          <w:tab w:val="left" w:pos="1560"/>
        </w:tabs>
        <w:spacing w:after="0" w:line="264" w:lineRule="auto"/>
        <w:jc w:val="both"/>
        <w:rPr>
          <w:b/>
          <w:bCs/>
        </w:rPr>
      </w:pPr>
    </w:p>
    <w:p w14:paraId="58671A6D" w14:textId="77777777" w:rsidR="00DB1FED" w:rsidRDefault="00E372BC" w:rsidP="00DB1FED">
      <w:pPr>
        <w:tabs>
          <w:tab w:val="left" w:pos="1560"/>
        </w:tabs>
        <w:spacing w:after="0" w:line="264" w:lineRule="auto"/>
        <w:jc w:val="both"/>
        <w:rPr>
          <w:rFonts w:cs="Calibri"/>
        </w:rPr>
      </w:pPr>
      <w:r>
        <w:rPr>
          <w:rFonts w:cs="Calibri"/>
        </w:rPr>
        <w:t>I</w:t>
      </w:r>
      <w:r w:rsidRPr="00F02D9C">
        <w:rPr>
          <w:rFonts w:cs="Calibri"/>
        </w:rPr>
        <w:t>l est encore trop peu recouru au bracelet anti-rapprochement, pourtant inscrit dans le droit français depuis la loi du 28 décembre 2019</w:t>
      </w:r>
      <w:r w:rsidR="00DB1FED">
        <w:rPr>
          <w:rFonts w:cs="Calibri"/>
        </w:rPr>
        <w:t xml:space="preserve">, ainsi qu’au développement d’applications sur téléphone facilitant la lutte contre les violences conjugales. </w:t>
      </w:r>
    </w:p>
    <w:p w14:paraId="31040BFF" w14:textId="066DA75C" w:rsidR="00E372BC" w:rsidRDefault="00E372BC" w:rsidP="00E372BC">
      <w:pPr>
        <w:tabs>
          <w:tab w:val="left" w:pos="1560"/>
        </w:tabs>
        <w:spacing w:after="0" w:line="264" w:lineRule="auto"/>
        <w:jc w:val="both"/>
        <w:rPr>
          <w:rFonts w:cs="Calibri"/>
        </w:rPr>
      </w:pPr>
    </w:p>
    <w:p w14:paraId="034CFB79" w14:textId="3BCEFBEE" w:rsidR="00DD24DA" w:rsidRDefault="00651A32" w:rsidP="001E09E7">
      <w:pPr>
        <w:tabs>
          <w:tab w:val="left" w:pos="1560"/>
        </w:tabs>
        <w:spacing w:after="0" w:line="264" w:lineRule="auto"/>
        <w:jc w:val="both"/>
        <w:rPr>
          <w:b/>
          <w:bCs/>
        </w:rPr>
      </w:pPr>
      <w:r w:rsidRPr="00ED25C8">
        <w:rPr>
          <w:b/>
          <w:bCs/>
        </w:rPr>
        <w:t>&gt; Recommandation</w:t>
      </w:r>
      <w:r w:rsidR="00ED25C8" w:rsidRPr="00ED25C8">
        <w:rPr>
          <w:b/>
          <w:bCs/>
        </w:rPr>
        <w:t xml:space="preserve"> : </w:t>
      </w:r>
      <w:r w:rsidR="007707E6">
        <w:rPr>
          <w:b/>
          <w:bCs/>
        </w:rPr>
        <w:t>Afin de</w:t>
      </w:r>
      <w:r w:rsidR="00DD24DA">
        <w:rPr>
          <w:b/>
          <w:bCs/>
        </w:rPr>
        <w:t xml:space="preserve"> f</w:t>
      </w:r>
      <w:r w:rsidR="00ED25C8" w:rsidRPr="00ED25C8">
        <w:rPr>
          <w:b/>
          <w:bCs/>
        </w:rPr>
        <w:t>aciliter la détection des victimes</w:t>
      </w:r>
      <w:r w:rsidR="00ED25C8">
        <w:rPr>
          <w:b/>
          <w:bCs/>
        </w:rPr>
        <w:t xml:space="preserve"> </w:t>
      </w:r>
      <w:r w:rsidR="007707E6">
        <w:rPr>
          <w:b/>
          <w:bCs/>
        </w:rPr>
        <w:t xml:space="preserve">de </w:t>
      </w:r>
      <w:r w:rsidR="007707E6" w:rsidRPr="007707E6">
        <w:rPr>
          <w:b/>
          <w:bCs/>
        </w:rPr>
        <w:t xml:space="preserve">violences sexuelles </w:t>
      </w:r>
      <w:r w:rsidR="00ED25C8" w:rsidRPr="00ED25C8">
        <w:rPr>
          <w:b/>
          <w:bCs/>
        </w:rPr>
        <w:t xml:space="preserve">et faire reculer le « chiffre noir », la CNCDH recommande la poursuite des efforts en matière </w:t>
      </w:r>
      <w:r w:rsidR="00DD24DA">
        <w:rPr>
          <w:b/>
          <w:bCs/>
        </w:rPr>
        <w:t>d</w:t>
      </w:r>
      <w:r w:rsidR="00ED25C8" w:rsidRPr="00ED25C8">
        <w:rPr>
          <w:b/>
          <w:bCs/>
        </w:rPr>
        <w:t xml:space="preserve">’accueil des victimes et </w:t>
      </w:r>
      <w:r w:rsidR="007707E6">
        <w:rPr>
          <w:b/>
          <w:bCs/>
        </w:rPr>
        <w:t>un renforcement de</w:t>
      </w:r>
      <w:r w:rsidR="00DD24DA">
        <w:rPr>
          <w:b/>
          <w:bCs/>
        </w:rPr>
        <w:t xml:space="preserve"> la </w:t>
      </w:r>
      <w:r w:rsidR="00ED25C8" w:rsidRPr="00ED25C8">
        <w:rPr>
          <w:b/>
          <w:bCs/>
        </w:rPr>
        <w:t>formation des professionnels.</w:t>
      </w:r>
    </w:p>
    <w:p w14:paraId="3B580F86" w14:textId="77777777" w:rsidR="004359B9" w:rsidRDefault="004359B9" w:rsidP="001E09E7">
      <w:pPr>
        <w:tabs>
          <w:tab w:val="left" w:pos="1560"/>
        </w:tabs>
        <w:spacing w:after="0" w:line="264" w:lineRule="auto"/>
        <w:jc w:val="both"/>
        <w:rPr>
          <w:b/>
          <w:bCs/>
        </w:rPr>
      </w:pPr>
    </w:p>
    <w:p w14:paraId="3C5854DC" w14:textId="77777777" w:rsidR="00940CF7" w:rsidRDefault="00940CF7" w:rsidP="001E09E7">
      <w:pPr>
        <w:tabs>
          <w:tab w:val="left" w:pos="1560"/>
        </w:tabs>
        <w:spacing w:after="0" w:line="264" w:lineRule="auto"/>
        <w:jc w:val="both"/>
      </w:pPr>
    </w:p>
    <w:p w14:paraId="23BC49D9" w14:textId="77777777" w:rsidR="00620C29" w:rsidRDefault="00620C29" w:rsidP="00B3290B">
      <w:pPr>
        <w:pStyle w:val="Heading3"/>
        <w:rPr>
          <w:rStyle w:val="markedcontent"/>
          <w:rFonts w:asciiTheme="minorHAnsi" w:hAnsiTheme="minorHAnsi" w:cs="Arial"/>
          <w:sz w:val="22"/>
          <w:szCs w:val="22"/>
        </w:rPr>
      </w:pPr>
      <w:r w:rsidRPr="00506056">
        <w:rPr>
          <w:rStyle w:val="markedcontent"/>
          <w:rFonts w:asciiTheme="minorHAnsi" w:hAnsiTheme="minorHAnsi" w:cs="Arial"/>
          <w:sz w:val="22"/>
          <w:szCs w:val="22"/>
        </w:rPr>
        <w:t xml:space="preserve">Point </w:t>
      </w:r>
      <w:r>
        <w:rPr>
          <w:rStyle w:val="markedcontent"/>
          <w:rFonts w:asciiTheme="minorHAnsi" w:hAnsiTheme="minorHAnsi" w:cs="Arial"/>
          <w:sz w:val="22"/>
          <w:szCs w:val="22"/>
        </w:rPr>
        <w:t>3</w:t>
      </w:r>
      <w:r w:rsidRPr="00506056">
        <w:rPr>
          <w:rStyle w:val="markedcontent"/>
          <w:rFonts w:asciiTheme="minorHAnsi" w:hAnsiTheme="minorHAnsi" w:cs="Arial"/>
          <w:sz w:val="22"/>
          <w:szCs w:val="22"/>
        </w:rPr>
        <w:t xml:space="preserve">– </w:t>
      </w:r>
      <w:r>
        <w:rPr>
          <w:rStyle w:val="markedcontent"/>
          <w:rFonts w:asciiTheme="minorHAnsi" w:hAnsiTheme="minorHAnsi" w:cs="Arial"/>
          <w:sz w:val="22"/>
          <w:szCs w:val="22"/>
        </w:rPr>
        <w:t>Accès à la justice</w:t>
      </w:r>
    </w:p>
    <w:p w14:paraId="0969E014" w14:textId="77777777" w:rsidR="00B3290B" w:rsidRPr="00B3290B" w:rsidRDefault="00B3290B" w:rsidP="00B3290B"/>
    <w:p w14:paraId="3DC6155D" w14:textId="77777777" w:rsidR="001F40B7" w:rsidRDefault="001F40B7" w:rsidP="00620C29">
      <w:pPr>
        <w:spacing w:line="264" w:lineRule="auto"/>
        <w:jc w:val="both"/>
        <w:rPr>
          <w:rFonts w:cs="Calibri"/>
        </w:rPr>
      </w:pPr>
      <w:r w:rsidRPr="001F40B7">
        <w:rPr>
          <w:rFonts w:cs="Calibri"/>
          <w:b/>
          <w:lang w:eastAsia="fr-FR"/>
        </w:rPr>
        <w:t xml:space="preserve">&gt; </w:t>
      </w:r>
      <w:r>
        <w:rPr>
          <w:rFonts w:cs="Calibri"/>
          <w:b/>
          <w:lang w:eastAsia="fr-FR"/>
        </w:rPr>
        <w:t xml:space="preserve">Recommandation : </w:t>
      </w:r>
      <w:r w:rsidRPr="001F40B7">
        <w:rPr>
          <w:rFonts w:cs="Calibri"/>
          <w:b/>
          <w:lang w:eastAsia="fr-FR"/>
        </w:rPr>
        <w:t xml:space="preserve">Renforcer l’effectivité de l’action de groupe en simplifiant la procédure et en prévoyant un soutien financier complet </w:t>
      </w:r>
      <w:r w:rsidR="000D612C">
        <w:rPr>
          <w:rFonts w:cs="Calibri"/>
          <w:b/>
        </w:rPr>
        <w:t>aux</w:t>
      </w:r>
      <w:r w:rsidR="000D612C" w:rsidRPr="001F40B7">
        <w:rPr>
          <w:rFonts w:cs="Calibri"/>
          <w:b/>
        </w:rPr>
        <w:t xml:space="preserve"> </w:t>
      </w:r>
      <w:r w:rsidRPr="001F40B7">
        <w:rPr>
          <w:rFonts w:cs="Calibri"/>
          <w:b/>
        </w:rPr>
        <w:t xml:space="preserve">frais engagés par les associations ou </w:t>
      </w:r>
      <w:r w:rsidR="009569EE">
        <w:rPr>
          <w:rFonts w:cs="Calibri"/>
          <w:b/>
        </w:rPr>
        <w:t xml:space="preserve">en créant </w:t>
      </w:r>
      <w:r w:rsidRPr="001F40B7">
        <w:rPr>
          <w:rFonts w:cs="Calibri"/>
          <w:b/>
        </w:rPr>
        <w:t xml:space="preserve">un fonds de soutien, comme il </w:t>
      </w:r>
      <w:r w:rsidR="006929C4">
        <w:rPr>
          <w:rFonts w:cs="Calibri"/>
          <w:b/>
        </w:rPr>
        <w:t xml:space="preserve">en </w:t>
      </w:r>
      <w:r w:rsidRPr="001F40B7">
        <w:rPr>
          <w:rFonts w:cs="Calibri"/>
          <w:b/>
        </w:rPr>
        <w:t>existe par exemple au Québec</w:t>
      </w:r>
      <w:r w:rsidRPr="001F40B7">
        <w:rPr>
          <w:rFonts w:cs="Calibri"/>
        </w:rPr>
        <w:t>.</w:t>
      </w:r>
    </w:p>
    <w:p w14:paraId="5792043A" w14:textId="1603DDF7" w:rsidR="004359B9" w:rsidRPr="005417E1" w:rsidRDefault="000D360F" w:rsidP="005417E1">
      <w:pPr>
        <w:tabs>
          <w:tab w:val="left" w:pos="1560"/>
        </w:tabs>
        <w:spacing w:after="0" w:line="264" w:lineRule="auto"/>
        <w:jc w:val="both"/>
      </w:pPr>
      <w:r w:rsidRPr="00154532">
        <w:rPr>
          <w:rFonts w:cs="Calibri"/>
          <w:lang w:eastAsia="fr-FR"/>
        </w:rPr>
        <w:t>Le contentieux général lié aux discriminations</w:t>
      </w:r>
      <w:r w:rsidR="00154532">
        <w:rPr>
          <w:rFonts w:cs="Calibri"/>
          <w:lang w:eastAsia="fr-FR"/>
        </w:rPr>
        <w:t>,</w:t>
      </w:r>
      <w:r w:rsidRPr="00154532">
        <w:rPr>
          <w:rFonts w:cs="Calibri"/>
          <w:lang w:eastAsia="fr-FR"/>
        </w:rPr>
        <w:t xml:space="preserve"> </w:t>
      </w:r>
      <w:r w:rsidR="00DB1FED" w:rsidRPr="00154532">
        <w:rPr>
          <w:rFonts w:cs="Calibri"/>
          <w:lang w:eastAsia="fr-FR"/>
        </w:rPr>
        <w:t xml:space="preserve">notamment à celles fondées sur le sexe </w:t>
      </w:r>
      <w:r w:rsidRPr="00154532">
        <w:rPr>
          <w:rFonts w:cs="Calibri"/>
          <w:lang w:eastAsia="fr-FR"/>
        </w:rPr>
        <w:t>reste très faible</w:t>
      </w:r>
      <w:r w:rsidR="00DB1FED">
        <w:rPr>
          <w:rFonts w:cs="Calibri"/>
          <w:lang w:eastAsia="fr-FR"/>
        </w:rPr>
        <w:t xml:space="preserve">, </w:t>
      </w:r>
      <w:r w:rsidRPr="00F02D9C">
        <w:t>sans doute en raison de la difficulté de prouver l’intention discriminatoire.</w:t>
      </w:r>
      <w:r w:rsidR="005417E1">
        <w:t xml:space="preserve"> </w:t>
      </w:r>
      <w:r w:rsidR="001F40B7">
        <w:rPr>
          <w:rFonts w:cs="Calibri"/>
          <w:lang w:eastAsia="fr-FR"/>
        </w:rPr>
        <w:t>L</w:t>
      </w:r>
      <w:r w:rsidR="00620C29" w:rsidRPr="00F02D9C">
        <w:rPr>
          <w:rFonts w:cs="Calibri"/>
          <w:lang w:eastAsia="fr-FR"/>
        </w:rPr>
        <w:t>’action de groupe</w:t>
      </w:r>
      <w:r w:rsidR="001F40B7">
        <w:rPr>
          <w:rFonts w:cs="Calibri"/>
          <w:lang w:eastAsia="fr-FR"/>
        </w:rPr>
        <w:t xml:space="preserve"> </w:t>
      </w:r>
      <w:r w:rsidR="00620C29" w:rsidRPr="00F02D9C">
        <w:rPr>
          <w:rFonts w:cs="Calibri"/>
        </w:rPr>
        <w:t>reste peu utilisée en matière de discriminations</w:t>
      </w:r>
      <w:r w:rsidR="00620C29" w:rsidRPr="00F02D9C">
        <w:rPr>
          <w:rFonts w:cs="Calibri"/>
          <w:lang w:eastAsia="fr-FR"/>
        </w:rPr>
        <w:t xml:space="preserve">.  Une seule </w:t>
      </w:r>
      <w:r w:rsidR="00F413C1" w:rsidRPr="00F02D9C">
        <w:rPr>
          <w:rFonts w:cs="Calibri"/>
          <w:lang w:eastAsia="fr-FR"/>
        </w:rPr>
        <w:t>concernant les femmes</w:t>
      </w:r>
      <w:r w:rsidR="00F413C1">
        <w:rPr>
          <w:rFonts w:cs="Calibri"/>
        </w:rPr>
        <w:t>,</w:t>
      </w:r>
      <w:r w:rsidR="00F413C1" w:rsidRPr="00F02D9C">
        <w:rPr>
          <w:rFonts w:cs="Calibri"/>
          <w:lang w:eastAsia="fr-FR"/>
        </w:rPr>
        <w:t xml:space="preserve"> </w:t>
      </w:r>
      <w:r w:rsidR="00620C29" w:rsidRPr="00F02D9C">
        <w:rPr>
          <w:rFonts w:cs="Calibri"/>
          <w:lang w:eastAsia="fr-FR"/>
        </w:rPr>
        <w:t xml:space="preserve">a été introduite, </w:t>
      </w:r>
      <w:r w:rsidR="00620C29" w:rsidRPr="00F02D9C">
        <w:rPr>
          <w:rFonts w:cs="Calibri"/>
        </w:rPr>
        <w:t>en octobre 2020, par la confédération générale du travail, la CGT, contre la succursale de la Caisse d’Epargne</w:t>
      </w:r>
      <w:r w:rsidR="00F413C1">
        <w:rPr>
          <w:rFonts w:cs="Calibri"/>
        </w:rPr>
        <w:t xml:space="preserve"> et l</w:t>
      </w:r>
      <w:r w:rsidR="00F413C1" w:rsidRPr="00F02D9C">
        <w:rPr>
          <w:rFonts w:cs="Calibri"/>
        </w:rPr>
        <w:t>a procédure est toujours en cours</w:t>
      </w:r>
      <w:r w:rsidR="00620C29" w:rsidRPr="00F02D9C">
        <w:rPr>
          <w:rFonts w:cs="Calibri"/>
        </w:rPr>
        <w:t>.</w:t>
      </w:r>
      <w:r w:rsidR="00F413C1">
        <w:rPr>
          <w:rFonts w:cs="Calibri"/>
        </w:rPr>
        <w:t xml:space="preserve"> </w:t>
      </w:r>
      <w:r w:rsidR="00620C29" w:rsidRPr="00F02D9C">
        <w:rPr>
          <w:rFonts w:cs="Calibri"/>
        </w:rPr>
        <w:t xml:space="preserve">La CNCDH estime que le bilan est décevant dès lors que ce contentieux n’est pas encore suffisamment appréhendé </w:t>
      </w:r>
      <w:r w:rsidR="00620C29" w:rsidRPr="00F02D9C">
        <w:rPr>
          <w:rFonts w:cs="Calibri"/>
        </w:rPr>
        <w:lastRenderedPageBreak/>
        <w:t xml:space="preserve">par les citoyens et que le nombre de procédures introduites reste très faible. Les délais procéduraux sont extrêmement longs, ce qui peut être dissuasif. </w:t>
      </w:r>
    </w:p>
    <w:p w14:paraId="17B90069" w14:textId="77777777" w:rsidR="009E08C0" w:rsidRDefault="00F17B1C" w:rsidP="00F17B1C">
      <w:pPr>
        <w:pStyle w:val="Heading3"/>
        <w:rPr>
          <w:rStyle w:val="markedcontent"/>
          <w:rFonts w:asciiTheme="minorHAnsi" w:hAnsiTheme="minorHAnsi" w:cs="Arial"/>
          <w:sz w:val="22"/>
          <w:szCs w:val="22"/>
        </w:rPr>
      </w:pPr>
      <w:r>
        <w:br/>
      </w:r>
      <w:r w:rsidRPr="00F17B1C">
        <w:rPr>
          <w:rStyle w:val="markedcontent"/>
          <w:rFonts w:asciiTheme="minorHAnsi" w:hAnsiTheme="minorHAnsi" w:cs="Arial"/>
          <w:sz w:val="22"/>
          <w:szCs w:val="22"/>
        </w:rPr>
        <w:t>Point 4 – Mécanisme national de promotion des femmes</w:t>
      </w:r>
    </w:p>
    <w:p w14:paraId="2F517FBB" w14:textId="77777777" w:rsidR="00F10A6F" w:rsidRDefault="00800769" w:rsidP="00F10A6F">
      <w:pPr>
        <w:spacing w:line="264" w:lineRule="auto"/>
        <w:jc w:val="both"/>
        <w:rPr>
          <w:rFonts w:cs="Calibri"/>
        </w:rPr>
      </w:pPr>
      <w:r>
        <w:rPr>
          <w:rFonts w:cstheme="minorHAnsi"/>
          <w:bCs/>
        </w:rPr>
        <w:br/>
      </w:r>
      <w:r w:rsidR="00F10A6F">
        <w:rPr>
          <w:rFonts w:cs="Calibri"/>
        </w:rPr>
        <w:t xml:space="preserve">La France dispose aujourd’hui d’un </w:t>
      </w:r>
      <w:r w:rsidR="00F10A6F" w:rsidRPr="00F10A6F">
        <w:rPr>
          <w:rFonts w:cs="Calibri"/>
        </w:rPr>
        <w:t>Ministère chargé de l’égalité entre les femmes et les hommes et de la l</w:t>
      </w:r>
      <w:r w:rsidR="00F10A6F">
        <w:rPr>
          <w:rFonts w:cs="Calibri"/>
        </w:rPr>
        <w:t xml:space="preserve">utte contre les discriminations et qui s’intitulait, jusqu’en juillet 2023 </w:t>
      </w:r>
      <w:r w:rsidR="00F10A6F" w:rsidRPr="00F10A6F">
        <w:rPr>
          <w:rFonts w:cs="Calibri"/>
        </w:rPr>
        <w:t>« </w:t>
      </w:r>
      <w:r w:rsidR="00F10A6F">
        <w:rPr>
          <w:rFonts w:cs="Calibri"/>
        </w:rPr>
        <w:t>M</w:t>
      </w:r>
      <w:r w:rsidR="00F10A6F" w:rsidRPr="00F10A6F">
        <w:rPr>
          <w:rFonts w:cs="Calibri"/>
        </w:rPr>
        <w:t>inistère déléguée chargée de l'Égalité entre les femmes et les hommes, de la Diversité et de l'Égalité des chances</w:t>
      </w:r>
      <w:r w:rsidR="00F10A6F">
        <w:rPr>
          <w:rFonts w:cs="Calibri"/>
        </w:rPr>
        <w:t> ».</w:t>
      </w:r>
    </w:p>
    <w:p w14:paraId="649DFCA0" w14:textId="77777777" w:rsidR="00B3290B" w:rsidRDefault="00904C72" w:rsidP="00F10A6F">
      <w:pPr>
        <w:spacing w:line="264" w:lineRule="auto"/>
        <w:jc w:val="both"/>
      </w:pPr>
      <w:r w:rsidRPr="00F10A6F">
        <w:rPr>
          <w:rFonts w:cs="Calibri"/>
        </w:rPr>
        <w:t xml:space="preserve">La CNCDH s’étonne que la France ne se dote pas à minima d’un ministère d’Etat sur le sujet. Le statut de ministère délégué placé sous l’autorité de la Première ministre limite son action politique. </w:t>
      </w:r>
      <w:r w:rsidR="00F10A6F">
        <w:rPr>
          <w:rFonts w:cs="Calibri"/>
        </w:rPr>
        <w:t>De plus, s</w:t>
      </w:r>
      <w:r w:rsidRPr="00F10A6F">
        <w:rPr>
          <w:rFonts w:cs="Calibri"/>
        </w:rPr>
        <w:t xml:space="preserve">a dimension interministérielle soumet ses actions aux priorités des autres ministères et limite son pouvoir d’action au sein des administrations. On peut également s’étonner d’un portefeuille très vaste pour un ministère aux dotations limitées. </w:t>
      </w:r>
    </w:p>
    <w:p w14:paraId="1BF18235" w14:textId="77777777" w:rsidR="00E67206" w:rsidRDefault="00BE21FF" w:rsidP="001A5369">
      <w:pPr>
        <w:shd w:val="clear" w:color="auto" w:fill="D4E2FF" w:themeFill="text1" w:themeFillTint="1A"/>
        <w:spacing w:line="264" w:lineRule="auto"/>
        <w:jc w:val="both"/>
        <w:rPr>
          <w:rStyle w:val="markedcontent"/>
          <w:rFonts w:cs="Arial"/>
        </w:rPr>
      </w:pPr>
      <w:r>
        <w:rPr>
          <w:rStyle w:val="markedcontent"/>
          <w:rFonts w:cs="Arial"/>
        </w:rPr>
        <w:t>Question</w:t>
      </w:r>
      <w:r w:rsidR="00E67206">
        <w:rPr>
          <w:rStyle w:val="markedcontent"/>
          <w:rFonts w:cs="Arial"/>
        </w:rPr>
        <w:t>s</w:t>
      </w:r>
      <w:r w:rsidR="007F0BD8">
        <w:rPr>
          <w:rStyle w:val="markedcontent"/>
          <w:rFonts w:cs="Arial"/>
        </w:rPr>
        <w:t> :</w:t>
      </w:r>
      <w:r w:rsidR="00E67206">
        <w:rPr>
          <w:rStyle w:val="markedcontent"/>
          <w:rFonts w:cs="Arial"/>
        </w:rPr>
        <w:br/>
        <w:t>- La France peut-elle apporter des précisions concernant l’intégration des femmes migrantes ?</w:t>
      </w:r>
    </w:p>
    <w:p w14:paraId="1B1CFD4E" w14:textId="77777777" w:rsidR="005F1D10" w:rsidRPr="009978F5" w:rsidRDefault="009978F5" w:rsidP="009978F5">
      <w:pPr>
        <w:shd w:val="clear" w:color="auto" w:fill="D4E2FF" w:themeFill="text1" w:themeFillTint="1A"/>
        <w:spacing w:line="264" w:lineRule="auto"/>
        <w:jc w:val="both"/>
        <w:rPr>
          <w:rStyle w:val="markedcontent"/>
          <w:rFonts w:cs="Arial"/>
        </w:rPr>
      </w:pPr>
      <w:r>
        <w:rPr>
          <w:rStyle w:val="markedcontent"/>
          <w:rFonts w:cs="Arial"/>
        </w:rPr>
        <w:t>-</w:t>
      </w:r>
      <w:r w:rsidR="007F0BD8" w:rsidRPr="009978F5">
        <w:rPr>
          <w:rStyle w:val="markedcontent"/>
          <w:rFonts w:cs="Arial"/>
        </w:rPr>
        <w:t>Comment le guide pratique interministériel de lutte contre les discriminations est-il diffusé ?</w:t>
      </w:r>
    </w:p>
    <w:p w14:paraId="04AD4018" w14:textId="77777777" w:rsidR="00760D0C" w:rsidRDefault="00760D0C" w:rsidP="00F36F0E">
      <w:pPr>
        <w:pStyle w:val="Heading3"/>
        <w:rPr>
          <w:rStyle w:val="markedcontent"/>
          <w:rFonts w:asciiTheme="minorHAnsi" w:hAnsiTheme="minorHAnsi" w:cs="Arial"/>
          <w:sz w:val="22"/>
          <w:szCs w:val="22"/>
        </w:rPr>
      </w:pPr>
    </w:p>
    <w:p w14:paraId="05807FFC" w14:textId="77777777" w:rsidR="00B3290B" w:rsidRDefault="00F36F0E" w:rsidP="004D0A0D">
      <w:pPr>
        <w:pStyle w:val="Heading3"/>
        <w:rPr>
          <w:rStyle w:val="markedcontent"/>
          <w:rFonts w:asciiTheme="minorHAnsi" w:hAnsiTheme="minorHAnsi" w:cs="Arial"/>
          <w:sz w:val="22"/>
          <w:szCs w:val="22"/>
        </w:rPr>
      </w:pPr>
      <w:r w:rsidRPr="00F36F0E">
        <w:rPr>
          <w:rStyle w:val="markedcontent"/>
          <w:rFonts w:asciiTheme="minorHAnsi" w:hAnsiTheme="minorHAnsi" w:cs="Arial"/>
          <w:sz w:val="22"/>
          <w:szCs w:val="22"/>
        </w:rPr>
        <w:t>Point</w:t>
      </w:r>
      <w:r w:rsidR="00682D62">
        <w:rPr>
          <w:rStyle w:val="markedcontent"/>
          <w:rFonts w:asciiTheme="minorHAnsi" w:hAnsiTheme="minorHAnsi" w:cs="Arial"/>
          <w:sz w:val="22"/>
          <w:szCs w:val="22"/>
        </w:rPr>
        <w:t>s</w:t>
      </w:r>
      <w:r w:rsidRPr="00F36F0E">
        <w:rPr>
          <w:rStyle w:val="markedcontent"/>
          <w:rFonts w:asciiTheme="minorHAnsi" w:hAnsiTheme="minorHAnsi" w:cs="Arial"/>
          <w:sz w:val="22"/>
          <w:szCs w:val="22"/>
        </w:rPr>
        <w:t xml:space="preserve"> </w:t>
      </w:r>
      <w:r w:rsidR="00682D62">
        <w:rPr>
          <w:rStyle w:val="markedcontent"/>
          <w:rFonts w:asciiTheme="minorHAnsi" w:hAnsiTheme="minorHAnsi" w:cs="Arial"/>
          <w:sz w:val="22"/>
          <w:szCs w:val="22"/>
        </w:rPr>
        <w:t>6 &amp;</w:t>
      </w:r>
      <w:r w:rsidRPr="00F36F0E">
        <w:rPr>
          <w:rStyle w:val="markedcontent"/>
          <w:rFonts w:asciiTheme="minorHAnsi" w:hAnsiTheme="minorHAnsi" w:cs="Arial"/>
          <w:sz w:val="22"/>
          <w:szCs w:val="22"/>
        </w:rPr>
        <w:t xml:space="preserve"> 7 - Stéréotypes </w:t>
      </w:r>
    </w:p>
    <w:p w14:paraId="2DBAA0EB" w14:textId="77777777" w:rsidR="004D0A0D" w:rsidRPr="004D0A0D" w:rsidRDefault="004D0A0D" w:rsidP="004D0A0D"/>
    <w:p w14:paraId="6BBC1DF4" w14:textId="6179FAE1" w:rsidR="00B97E6D" w:rsidRDefault="00B97E6D" w:rsidP="0005232A">
      <w:pPr>
        <w:jc w:val="both"/>
        <w:rPr>
          <w:bCs/>
        </w:rPr>
      </w:pPr>
      <w:r w:rsidRPr="00B97E6D">
        <w:rPr>
          <w:b/>
          <w:bCs/>
        </w:rPr>
        <w:t>&gt; Recommandation : La CNCDH recommande que l’ensemble des actions de sensibilisation intègrent un prisme intersectionnel.</w:t>
      </w:r>
      <w:r w:rsidRPr="00D53B21">
        <w:rPr>
          <w:bCs/>
        </w:rPr>
        <w:t xml:space="preserve"> </w:t>
      </w:r>
      <w:r w:rsidR="009B291D">
        <w:rPr>
          <w:bCs/>
        </w:rPr>
        <w:t xml:space="preserve">Cela serait notamment pertinent </w:t>
      </w:r>
      <w:r w:rsidR="0078244A">
        <w:rPr>
          <w:bCs/>
        </w:rPr>
        <w:t xml:space="preserve">au regard </w:t>
      </w:r>
      <w:r w:rsidRPr="00D53B21">
        <w:rPr>
          <w:bCs/>
        </w:rPr>
        <w:t>de</w:t>
      </w:r>
      <w:r w:rsidR="0078244A">
        <w:rPr>
          <w:bCs/>
        </w:rPr>
        <w:t>s</w:t>
      </w:r>
      <w:r w:rsidRPr="00D53B21">
        <w:rPr>
          <w:bCs/>
        </w:rPr>
        <w:t xml:space="preserve"> femmes maghrébines portant le voile </w:t>
      </w:r>
      <w:r w:rsidR="00720976">
        <w:rPr>
          <w:bCs/>
        </w:rPr>
        <w:t>qui ne sont pas représentées dans des postures d’experte mais</w:t>
      </w:r>
      <w:r w:rsidR="00720976" w:rsidRPr="00D53B21">
        <w:rPr>
          <w:bCs/>
        </w:rPr>
        <w:t xml:space="preserve"> comme </w:t>
      </w:r>
      <w:r w:rsidR="00720976">
        <w:rPr>
          <w:bCs/>
        </w:rPr>
        <w:t>des supposées</w:t>
      </w:r>
      <w:r w:rsidR="00720976" w:rsidRPr="00D53B21">
        <w:rPr>
          <w:bCs/>
        </w:rPr>
        <w:t xml:space="preserve"> « victimes » de leur culture</w:t>
      </w:r>
      <w:r w:rsidR="00720976">
        <w:rPr>
          <w:bCs/>
        </w:rPr>
        <w:t xml:space="preserve"> ou</w:t>
      </w:r>
      <w:r w:rsidR="00720976" w:rsidRPr="00D53B21">
        <w:rPr>
          <w:bCs/>
        </w:rPr>
        <w:t xml:space="preserve"> des menaces pour les « valeurs françaises »</w:t>
      </w:r>
      <w:r w:rsidR="00720976">
        <w:rPr>
          <w:bCs/>
        </w:rPr>
        <w:t xml:space="preserve">. </w:t>
      </w:r>
      <w:r w:rsidRPr="00D53B21">
        <w:rPr>
          <w:bCs/>
        </w:rPr>
        <w:t>Il en va de m</w:t>
      </w:r>
      <w:r>
        <w:rPr>
          <w:bCs/>
        </w:rPr>
        <w:t xml:space="preserve">ême des femmes noires ayant plusieurs enfants qui sont perçues comme </w:t>
      </w:r>
      <w:r w:rsidR="002E21B1">
        <w:rPr>
          <w:bCs/>
        </w:rPr>
        <w:t xml:space="preserve">bénéficiant </w:t>
      </w:r>
      <w:r w:rsidR="0048609B">
        <w:rPr>
          <w:bCs/>
        </w:rPr>
        <w:t xml:space="preserve">exagérément </w:t>
      </w:r>
      <w:r w:rsidR="002E21B1">
        <w:rPr>
          <w:bCs/>
        </w:rPr>
        <w:t>d’allocations sociales.</w:t>
      </w:r>
    </w:p>
    <w:p w14:paraId="2AD5F787" w14:textId="0203B860" w:rsidR="00B97E6D" w:rsidRPr="00B97E6D" w:rsidRDefault="00B97E6D" w:rsidP="00B97E6D">
      <w:pPr>
        <w:rPr>
          <w:b/>
          <w:bCs/>
        </w:rPr>
      </w:pPr>
      <w:r w:rsidRPr="00B97E6D">
        <w:rPr>
          <w:b/>
          <w:bCs/>
        </w:rPr>
        <w:t>Recommandation : Afin de lutter contre les stéréotypes de genre dans le sport, la CNCDH recommande d’encourager la valorisation des sports mixtes dans les grands médias.</w:t>
      </w:r>
    </w:p>
    <w:p w14:paraId="6D85C072" w14:textId="77777777" w:rsidR="004359B9" w:rsidRPr="009978F5" w:rsidRDefault="004359B9" w:rsidP="004359B9">
      <w:pPr>
        <w:rPr>
          <w:rStyle w:val="markedcontent"/>
          <w:rFonts w:eastAsiaTheme="majorEastAsia" w:cs="Arial"/>
          <w:b/>
          <w:bCs/>
        </w:rPr>
      </w:pPr>
      <w:r w:rsidRPr="009978F5">
        <w:rPr>
          <w:rStyle w:val="markedcontent"/>
          <w:rFonts w:eastAsiaTheme="majorEastAsia" w:cs="Arial"/>
          <w:b/>
          <w:bCs/>
        </w:rPr>
        <w:t xml:space="preserve">Recommandation : Afin de lutter contre les stéréotypes de genre sur le lieu de travail, la CNCDH recommande la mise en place d’un plan de prévention et de procédure sécurisée pour les victimes et témoins en donnant aux inspecteurs du travail des prérogatives de sanction. </w:t>
      </w:r>
    </w:p>
    <w:p w14:paraId="3F34BD6A" w14:textId="77777777" w:rsidR="005E01B3" w:rsidRDefault="005E01B3" w:rsidP="00091DF4">
      <w:pPr>
        <w:rPr>
          <w:rStyle w:val="markedcontent"/>
          <w:rFonts w:eastAsiaTheme="majorEastAsia" w:cs="Arial"/>
          <w:color w:val="2F539D" w:themeColor="accent1" w:themeShade="7F"/>
        </w:rPr>
      </w:pPr>
    </w:p>
    <w:p w14:paraId="655369D7" w14:textId="77777777" w:rsidR="00B3290B" w:rsidRDefault="00682D62" w:rsidP="00091DF4">
      <w:pPr>
        <w:rPr>
          <w:rStyle w:val="markedcontent"/>
          <w:rFonts w:eastAsiaTheme="majorEastAsia" w:cs="Arial"/>
          <w:color w:val="2F539D" w:themeColor="accent1" w:themeShade="7F"/>
        </w:rPr>
      </w:pPr>
      <w:r w:rsidRPr="00682D62">
        <w:rPr>
          <w:rStyle w:val="markedcontent"/>
          <w:rFonts w:eastAsiaTheme="majorEastAsia" w:cs="Arial"/>
          <w:color w:val="2F539D" w:themeColor="accent1" w:themeShade="7F"/>
        </w:rPr>
        <w:t>Point 8 - Pratiques préjudiciables</w:t>
      </w:r>
    </w:p>
    <w:p w14:paraId="4C10513E" w14:textId="77777777" w:rsidR="00091DF4" w:rsidRPr="00C77362" w:rsidRDefault="00682D62" w:rsidP="00091DF4">
      <w:pPr>
        <w:rPr>
          <w:b/>
          <w:bCs/>
        </w:rPr>
      </w:pPr>
      <w:r>
        <w:rPr>
          <w:bCs/>
        </w:rPr>
        <w:br/>
      </w:r>
      <w:r w:rsidR="00091DF4" w:rsidRPr="00C77362">
        <w:rPr>
          <w:b/>
          <w:bCs/>
        </w:rPr>
        <w:t xml:space="preserve">&gt; </w:t>
      </w:r>
      <w:r w:rsidR="00C77362" w:rsidRPr="00C77362">
        <w:rPr>
          <w:b/>
          <w:bCs/>
        </w:rPr>
        <w:t xml:space="preserve">Recommandation : </w:t>
      </w:r>
      <w:r w:rsidR="00091DF4" w:rsidRPr="00C77362">
        <w:rPr>
          <w:b/>
          <w:bCs/>
        </w:rPr>
        <w:t>Interdire les interventions chirurgicales sur les nouveau-nés ou les tout-petits enfants (sauf dans les cas où la vie de l’enfant est en jeu, ou dans les situations de graves souffrances physiques ou mentales).</w:t>
      </w:r>
    </w:p>
    <w:p w14:paraId="398F9870" w14:textId="3CB76F2D" w:rsidR="009C6F3D" w:rsidRDefault="00091DF4" w:rsidP="0005232A">
      <w:pPr>
        <w:jc w:val="both"/>
        <w:rPr>
          <w:rStyle w:val="markedcontent"/>
          <w:rFonts w:eastAsiaTheme="majorEastAsia" w:cs="Arial"/>
          <w:color w:val="2F539D" w:themeColor="accent1" w:themeShade="7F"/>
        </w:rPr>
      </w:pPr>
      <w:r>
        <w:rPr>
          <w:bCs/>
        </w:rPr>
        <w:lastRenderedPageBreak/>
        <w:t xml:space="preserve">La CNCDH </w:t>
      </w:r>
      <w:r w:rsidRPr="00091DF4">
        <w:rPr>
          <w:bCs/>
        </w:rPr>
        <w:t>rappelle que dans la prise en charge des personnes présentant une variation des caractéristiques sexuelles, la présentation de toutes les options thérapeutiques, y compris l’abstention, et de leurs conséquences est garantie, et qu’il importe que les enfants soient associés, dans toute la mesure du possible, aux décisions</w:t>
      </w:r>
      <w:r w:rsidR="0095233A">
        <w:rPr>
          <w:bCs/>
        </w:rPr>
        <w:t>.</w:t>
      </w:r>
      <w:r w:rsidR="002F795A" w:rsidRPr="002F795A">
        <w:rPr>
          <w:bCs/>
        </w:rPr>
        <w:t xml:space="preserve"> </w:t>
      </w:r>
      <w:r w:rsidR="009C6F3D">
        <w:rPr>
          <w:bCs/>
        </w:rPr>
        <w:br/>
      </w:r>
    </w:p>
    <w:p w14:paraId="72398A80" w14:textId="3C2A3066" w:rsidR="00B3290B" w:rsidRDefault="00682D62" w:rsidP="0005232A">
      <w:pPr>
        <w:jc w:val="both"/>
        <w:rPr>
          <w:rStyle w:val="markedcontent"/>
          <w:rFonts w:eastAsiaTheme="majorEastAsia" w:cs="Arial"/>
          <w:color w:val="2F539D" w:themeColor="accent1" w:themeShade="7F"/>
        </w:rPr>
      </w:pPr>
      <w:r w:rsidRPr="00682D62">
        <w:rPr>
          <w:rStyle w:val="markedcontent"/>
          <w:rFonts w:eastAsiaTheme="majorEastAsia" w:cs="Arial"/>
          <w:color w:val="2F539D" w:themeColor="accent1" w:themeShade="7F"/>
        </w:rPr>
        <w:t>Point 9 – Violence à l’égard des femmes fondée sur le genre</w:t>
      </w:r>
    </w:p>
    <w:p w14:paraId="24835580" w14:textId="77777777" w:rsidR="00AF395E" w:rsidRPr="00641FAB" w:rsidRDefault="00682D62" w:rsidP="00712521">
      <w:pPr>
        <w:jc w:val="both"/>
        <w:rPr>
          <w:rFonts w:ascii="Calibri" w:hAnsi="Calibri" w:cs="Calibri"/>
          <w:b/>
        </w:rPr>
      </w:pPr>
      <w:r w:rsidRPr="00682D62">
        <w:rPr>
          <w:rStyle w:val="markedcontent"/>
          <w:rFonts w:eastAsiaTheme="majorEastAsia" w:cs="Arial"/>
          <w:color w:val="2F539D" w:themeColor="accent1" w:themeShade="7F"/>
        </w:rPr>
        <w:br/>
      </w:r>
      <w:r w:rsidR="00AF395E" w:rsidRPr="00641FAB">
        <w:rPr>
          <w:rFonts w:ascii="Calibri" w:hAnsi="Calibri" w:cs="Calibri"/>
          <w:b/>
        </w:rPr>
        <w:t xml:space="preserve">&gt; Recommandation : Préciser </w:t>
      </w:r>
      <w:r w:rsidR="00A776B0">
        <w:rPr>
          <w:rFonts w:ascii="Calibri" w:hAnsi="Calibri" w:cs="Calibri"/>
          <w:b/>
        </w:rPr>
        <w:t>pour chacune des</w:t>
      </w:r>
      <w:r w:rsidR="00641FAB">
        <w:rPr>
          <w:rFonts w:ascii="Calibri" w:hAnsi="Calibri" w:cs="Calibri"/>
          <w:b/>
        </w:rPr>
        <w:t xml:space="preserve"> étapes de la chaine pénale </w:t>
      </w:r>
      <w:r w:rsidR="00AF395E" w:rsidRPr="00641FAB">
        <w:rPr>
          <w:rFonts w:ascii="Calibri" w:hAnsi="Calibri" w:cs="Calibri"/>
          <w:b/>
        </w:rPr>
        <w:t xml:space="preserve">le nombre de plaintes, d’enquêtes, d’auteurs poursuivis, de déclarations de culpabilité, de condamnations prononcées, les relations entre les auteurs et les victimes, les éventuels cas de récidives… </w:t>
      </w:r>
    </w:p>
    <w:p w14:paraId="5D73D2DC" w14:textId="56D220C1" w:rsidR="000B68F5" w:rsidRPr="00F02D9C" w:rsidRDefault="00701537" w:rsidP="0005232A">
      <w:pPr>
        <w:jc w:val="both"/>
        <w:rPr>
          <w:rFonts w:ascii="Calibri" w:hAnsi="Calibri" w:cs="Calibri"/>
        </w:rPr>
      </w:pPr>
      <w:r>
        <w:rPr>
          <w:rFonts w:ascii="Calibri" w:hAnsi="Calibri" w:cs="Calibri"/>
        </w:rPr>
        <w:t>L</w:t>
      </w:r>
      <w:r w:rsidR="000B68F5" w:rsidRPr="00F02D9C">
        <w:rPr>
          <w:rFonts w:ascii="Calibri" w:hAnsi="Calibri" w:cs="Calibri"/>
        </w:rPr>
        <w:t>es chiffres de la justice, s’ils permettent de comprendre une partie du phénomène, ne sont pas représentatifs des violences commises envers les femmes</w:t>
      </w:r>
      <w:r w:rsidR="00790ABF">
        <w:rPr>
          <w:rFonts w:ascii="Calibri" w:hAnsi="Calibri" w:cs="Calibri"/>
        </w:rPr>
        <w:t>,</w:t>
      </w:r>
      <w:r w:rsidR="000B68F5" w:rsidRPr="00F02D9C">
        <w:rPr>
          <w:rFonts w:ascii="Calibri" w:hAnsi="Calibri" w:cs="Calibri"/>
        </w:rPr>
        <w:t xml:space="preserve"> qui continuent de faire l’objet d’un </w:t>
      </w:r>
      <w:r w:rsidR="00790ABF">
        <w:rPr>
          <w:rFonts w:ascii="Calibri" w:hAnsi="Calibri" w:cs="Calibri"/>
        </w:rPr>
        <w:t>« </w:t>
      </w:r>
      <w:r w:rsidR="000B68F5" w:rsidRPr="00F02D9C">
        <w:rPr>
          <w:rFonts w:ascii="Calibri" w:hAnsi="Calibri" w:cs="Calibri"/>
        </w:rPr>
        <w:t>chiffre noir</w:t>
      </w:r>
      <w:r w:rsidR="00790ABF">
        <w:rPr>
          <w:rFonts w:ascii="Calibri" w:hAnsi="Calibri" w:cs="Calibri"/>
        </w:rPr>
        <w:t> »</w:t>
      </w:r>
      <w:r w:rsidR="000B68F5" w:rsidRPr="00F02D9C">
        <w:rPr>
          <w:rFonts w:ascii="Calibri" w:hAnsi="Calibri" w:cs="Calibri"/>
        </w:rPr>
        <w:t xml:space="preserve"> très élevé, certains actes criminels ou délictuels échappant totalement à la justice. </w:t>
      </w:r>
    </w:p>
    <w:p w14:paraId="3F6D2713" w14:textId="77777777" w:rsidR="00AF395E" w:rsidRDefault="00AF395E" w:rsidP="000B68F5">
      <w:pPr>
        <w:spacing w:after="0" w:line="264" w:lineRule="auto"/>
        <w:jc w:val="both"/>
        <w:rPr>
          <w:rFonts w:cs="Calibri"/>
        </w:rPr>
      </w:pPr>
    </w:p>
    <w:p w14:paraId="5980E5FB" w14:textId="77777777" w:rsidR="00641FAB" w:rsidRPr="00641FAB" w:rsidRDefault="00641FAB" w:rsidP="000B68F5">
      <w:pPr>
        <w:spacing w:after="0" w:line="264" w:lineRule="auto"/>
        <w:jc w:val="both"/>
        <w:rPr>
          <w:rFonts w:cs="Calibri"/>
          <w:b/>
        </w:rPr>
      </w:pPr>
      <w:r w:rsidRPr="00641FAB">
        <w:rPr>
          <w:rFonts w:cs="Calibri"/>
          <w:b/>
        </w:rPr>
        <w:t xml:space="preserve">&gt; Recommandation : Eclaircir le cadre juridique </w:t>
      </w:r>
      <w:r w:rsidR="009D7E7E">
        <w:rPr>
          <w:rFonts w:cs="Calibri"/>
          <w:b/>
        </w:rPr>
        <w:t xml:space="preserve">et le rendre davantage </w:t>
      </w:r>
      <w:r w:rsidR="000B68F5" w:rsidRPr="00641FAB">
        <w:rPr>
          <w:rFonts w:cs="Calibri"/>
          <w:b/>
        </w:rPr>
        <w:t xml:space="preserve">accessible, aussi bien </w:t>
      </w:r>
      <w:r w:rsidR="00ED265E">
        <w:rPr>
          <w:rFonts w:cs="Calibri"/>
          <w:b/>
        </w:rPr>
        <w:t>pour</w:t>
      </w:r>
      <w:r w:rsidR="00ED265E" w:rsidRPr="00641FAB">
        <w:rPr>
          <w:rFonts w:cs="Calibri"/>
          <w:b/>
        </w:rPr>
        <w:t xml:space="preserve"> </w:t>
      </w:r>
      <w:r w:rsidR="00C729E0">
        <w:rPr>
          <w:rFonts w:cs="Calibri"/>
          <w:b/>
        </w:rPr>
        <w:t>les victimes que par les auteurs</w:t>
      </w:r>
      <w:r w:rsidR="000B68F5" w:rsidRPr="00641FAB">
        <w:rPr>
          <w:rFonts w:cs="Calibri"/>
          <w:b/>
        </w:rPr>
        <w:t xml:space="preserve">. </w:t>
      </w:r>
    </w:p>
    <w:p w14:paraId="4103C578" w14:textId="059C326E" w:rsidR="000B68F5" w:rsidRPr="00F02D9C" w:rsidRDefault="000B68F5" w:rsidP="0005232A">
      <w:pPr>
        <w:spacing w:after="0" w:line="264" w:lineRule="auto"/>
        <w:jc w:val="both"/>
        <w:rPr>
          <w:rFonts w:cs="Calibri"/>
        </w:rPr>
      </w:pPr>
      <w:r w:rsidRPr="00F02D9C">
        <w:rPr>
          <w:rFonts w:cs="Calibri"/>
        </w:rPr>
        <w:t>Actuellement, les violences fondées sur le genre peuvent recouvrer des qualifications pénales diverses</w:t>
      </w:r>
      <w:r w:rsidR="00154532">
        <w:rPr>
          <w:rFonts w:cs="Calibri"/>
        </w:rPr>
        <w:t xml:space="preserve"> mais</w:t>
      </w:r>
      <w:r w:rsidRPr="00F02D9C">
        <w:rPr>
          <w:rFonts w:cs="Calibri"/>
        </w:rPr>
        <w:t xml:space="preserve"> la notion de féminicide n’est pas inscrite dans le code pénal et les meurtres envers les femmes apparaissent par le biais des circonstances aggravantes, comme par exemple, lorsque la victime a une « </w:t>
      </w:r>
      <w:r w:rsidRPr="00F02D9C">
        <w:rPr>
          <w:rFonts w:cs="Calibri"/>
          <w:i/>
        </w:rPr>
        <w:t>vulnérabilité</w:t>
      </w:r>
      <w:r w:rsidRPr="00F02D9C">
        <w:rPr>
          <w:rFonts w:cs="Calibri"/>
        </w:rPr>
        <w:t> » due à un « </w:t>
      </w:r>
      <w:r w:rsidRPr="00F02D9C">
        <w:rPr>
          <w:rFonts w:cs="Calibri"/>
          <w:i/>
        </w:rPr>
        <w:t>état de grossesse</w:t>
      </w:r>
      <w:r w:rsidRPr="00F02D9C">
        <w:rPr>
          <w:rFonts w:cs="Calibri"/>
        </w:rPr>
        <w:t> » ou lorsque le meurtre est commis « </w:t>
      </w:r>
      <w:r w:rsidRPr="00F02D9C">
        <w:rPr>
          <w:rFonts w:cs="Calibri"/>
          <w:i/>
        </w:rPr>
        <w:t>par le conjoint ou le concubin de la victime ou le partenaire lié par un pacte civil de solidarité »</w:t>
      </w:r>
      <w:r w:rsidRPr="00F02D9C">
        <w:rPr>
          <w:rFonts w:cs="Calibri"/>
        </w:rPr>
        <w:t xml:space="preserve">. </w:t>
      </w:r>
    </w:p>
    <w:p w14:paraId="48BB6D07" w14:textId="77777777" w:rsidR="000B68F5" w:rsidRPr="00F02D9C" w:rsidRDefault="000B68F5" w:rsidP="000B68F5">
      <w:pPr>
        <w:spacing w:after="0" w:line="264" w:lineRule="auto"/>
        <w:jc w:val="both"/>
        <w:rPr>
          <w:rFonts w:cs="Calibri"/>
        </w:rPr>
      </w:pPr>
    </w:p>
    <w:p w14:paraId="5952769D" w14:textId="77777777" w:rsidR="000B68F5" w:rsidRPr="00641FAB" w:rsidRDefault="00641FAB" w:rsidP="000B68F5">
      <w:pPr>
        <w:spacing w:after="0" w:line="264" w:lineRule="auto"/>
        <w:jc w:val="both"/>
        <w:rPr>
          <w:rFonts w:cs="Calibri"/>
          <w:b/>
        </w:rPr>
      </w:pPr>
      <w:r w:rsidRPr="00641FAB">
        <w:rPr>
          <w:b/>
          <w:bCs/>
        </w:rPr>
        <w:t xml:space="preserve">&gt; </w:t>
      </w:r>
      <w:r w:rsidR="00A64AE4" w:rsidRPr="00641FAB">
        <w:rPr>
          <w:b/>
          <w:bCs/>
        </w:rPr>
        <w:t xml:space="preserve">Recommandation : </w:t>
      </w:r>
      <w:r w:rsidR="000B68F5" w:rsidRPr="00641FAB">
        <w:rPr>
          <w:rFonts w:eastAsia="Times New Roman" w:cs="Arial"/>
          <w:b/>
          <w:color w:val="000000"/>
          <w:lang w:eastAsia="fr-FR"/>
        </w:rPr>
        <w:t xml:space="preserve">La CNCDH recommande la poursuite des efforts en matière de professionnalisation de l’accueil des victimes et de formation des professionnels intervenant dans le champ des violences envers les femmes. </w:t>
      </w:r>
    </w:p>
    <w:p w14:paraId="4B9D5367" w14:textId="75A14A32" w:rsidR="0084624F" w:rsidRPr="00521478" w:rsidRDefault="0084624F" w:rsidP="00712521">
      <w:pPr>
        <w:spacing w:before="100" w:beforeAutospacing="1" w:after="100" w:afterAutospacing="1" w:line="240" w:lineRule="auto"/>
        <w:jc w:val="both"/>
        <w:rPr>
          <w:b/>
        </w:rPr>
      </w:pPr>
      <w:r w:rsidRPr="00521478">
        <w:rPr>
          <w:b/>
        </w:rPr>
        <w:t>&gt; Recommandation : Faciliter l'accès aux droits et à la justice pour les femmes en situation de handicap victimes de violences</w:t>
      </w:r>
      <w:r w:rsidR="00B149BB">
        <w:rPr>
          <w:b/>
        </w:rPr>
        <w:t>.</w:t>
      </w:r>
    </w:p>
    <w:p w14:paraId="6D95859C" w14:textId="05548737" w:rsidR="0084624F" w:rsidRPr="00521478" w:rsidRDefault="0084624F" w:rsidP="0005232A">
      <w:pPr>
        <w:spacing w:before="100" w:beforeAutospacing="1" w:after="100" w:afterAutospacing="1" w:line="240" w:lineRule="auto"/>
        <w:jc w:val="both"/>
      </w:pPr>
      <w:r w:rsidRPr="00521478">
        <w:t>L'invisibilité des femmes handicapées en tant que victimes de violences est due en partie à l</w:t>
      </w:r>
      <w:r w:rsidR="00B149BB">
        <w:t>eur</w:t>
      </w:r>
      <w:r w:rsidRPr="00521478">
        <w:t xml:space="preserve"> désexualisation, les renvoyant à une image d'objet de soin plutôt que de sujet de droit. Ces stéréotypes et préjugés les considèrent souvent comme moins vulnérables face aux violences sexuelles, ce qui contribue à minimiser leur expérience et à entraver leur capacité à dénoncer ces actes. Le manque de statistiques et de données scientifiques consolidées empêche également la mise en place de politiques publiques </w:t>
      </w:r>
      <w:r w:rsidR="00554632" w:rsidRPr="00521478">
        <w:t>efficace</w:t>
      </w:r>
      <w:r w:rsidR="0095233A">
        <w:t>s</w:t>
      </w:r>
      <w:r w:rsidRPr="00521478">
        <w:t>.</w:t>
      </w:r>
    </w:p>
    <w:p w14:paraId="1C33A0CB" w14:textId="77777777" w:rsidR="0084624F" w:rsidRDefault="00521478" w:rsidP="0005232A">
      <w:pPr>
        <w:spacing w:before="100" w:beforeAutospacing="1" w:after="100" w:afterAutospacing="1" w:line="240" w:lineRule="auto"/>
        <w:jc w:val="both"/>
      </w:pPr>
      <w:r>
        <w:rPr>
          <w:b/>
        </w:rPr>
        <w:t xml:space="preserve">&gt; Recommandation : </w:t>
      </w:r>
      <w:r w:rsidR="00003CF9">
        <w:rPr>
          <w:b/>
        </w:rPr>
        <w:t>F</w:t>
      </w:r>
      <w:r w:rsidR="0084624F" w:rsidRPr="00521478">
        <w:rPr>
          <w:b/>
        </w:rPr>
        <w:t xml:space="preserve">ormer les agents habilités à recevoir les plaintes </w:t>
      </w:r>
      <w:r w:rsidR="00F935BD">
        <w:rPr>
          <w:b/>
        </w:rPr>
        <w:t xml:space="preserve">aux </w:t>
      </w:r>
      <w:r w:rsidR="0084624F" w:rsidRPr="00521478">
        <w:rPr>
          <w:b/>
        </w:rPr>
        <w:t>adaptations nécessaires pour un accueil et un accompagnement adaptés</w:t>
      </w:r>
      <w:r>
        <w:rPr>
          <w:b/>
        </w:rPr>
        <w:t xml:space="preserve"> aux personnes en situation de handicap</w:t>
      </w:r>
      <w:r w:rsidR="00393A42">
        <w:rPr>
          <w:b/>
        </w:rPr>
        <w:t>. De façon complémentaire</w:t>
      </w:r>
      <w:r w:rsidR="002A36EB">
        <w:rPr>
          <w:b/>
        </w:rPr>
        <w:t>,</w:t>
      </w:r>
      <w:r w:rsidR="00393A42">
        <w:rPr>
          <w:b/>
        </w:rPr>
        <w:t xml:space="preserve"> il </w:t>
      </w:r>
      <w:r w:rsidR="0084624F" w:rsidRPr="00521478">
        <w:rPr>
          <w:b/>
        </w:rPr>
        <w:t>est également crucial d'informer les femmes handicapées sur leurs droits et de rendre les locaux accessibles pour le dépôt de plainte</w:t>
      </w:r>
      <w:r w:rsidR="0084624F" w:rsidRPr="00521478">
        <w:t>.</w:t>
      </w:r>
    </w:p>
    <w:p w14:paraId="03AC4D9D" w14:textId="32723C20" w:rsidR="00F1410C" w:rsidRPr="00521478" w:rsidRDefault="00F1410C" w:rsidP="0005232A">
      <w:pPr>
        <w:spacing w:before="100" w:beforeAutospacing="1" w:after="100" w:afterAutospacing="1" w:line="240" w:lineRule="auto"/>
        <w:jc w:val="both"/>
      </w:pPr>
      <w:r w:rsidRPr="00521478">
        <w:t xml:space="preserve">Les difficultés de communication, notamment pour les femmes avec un handicap cognitif, psychique ou mental, rendent le recueil de plaintes pour agression sexuelle particulièrement compliqué. Les victimes peuvent également se retrouver piégées dans une situation de violence étant dépendantes de leurs agresseurs pour des besoins économiques, de logement ou d'aide quotidienne. Le dépôt de plainte est souvent un parcours difficile, </w:t>
      </w:r>
      <w:r w:rsidRPr="00521478">
        <w:lastRenderedPageBreak/>
        <w:t xml:space="preserve">avec des refus de dépôt de plainte par des agents des forces de l'ordre ou des </w:t>
      </w:r>
      <w:r w:rsidR="00B81FD9">
        <w:t>retours</w:t>
      </w:r>
      <w:r w:rsidR="00B81FD9" w:rsidRPr="00521478">
        <w:t xml:space="preserve"> </w:t>
      </w:r>
      <w:r w:rsidR="00B81FD9">
        <w:t xml:space="preserve">négatifs </w:t>
      </w:r>
      <w:r w:rsidRPr="00521478">
        <w:t>de la part des professionnels en charge de l'accueil des victimes.</w:t>
      </w:r>
    </w:p>
    <w:p w14:paraId="042A268D" w14:textId="77777777" w:rsidR="009A14E0" w:rsidRDefault="00E961D4" w:rsidP="00B3290B">
      <w:pPr>
        <w:pStyle w:val="Heading3"/>
        <w:rPr>
          <w:rStyle w:val="markedcontent"/>
          <w:rFonts w:asciiTheme="minorHAnsi" w:hAnsiTheme="minorHAnsi" w:cs="Arial"/>
          <w:sz w:val="22"/>
          <w:szCs w:val="22"/>
        </w:rPr>
      </w:pPr>
      <w:r w:rsidRPr="00506056">
        <w:rPr>
          <w:rStyle w:val="markedcontent"/>
          <w:rFonts w:asciiTheme="minorHAnsi" w:hAnsiTheme="minorHAnsi" w:cs="Arial"/>
          <w:sz w:val="22"/>
          <w:szCs w:val="22"/>
        </w:rPr>
        <w:t xml:space="preserve">Point </w:t>
      </w:r>
      <w:r w:rsidRPr="00E961D4">
        <w:rPr>
          <w:rStyle w:val="markedcontent"/>
          <w:rFonts w:asciiTheme="minorHAnsi" w:hAnsiTheme="minorHAnsi" w:cs="Arial"/>
          <w:sz w:val="22"/>
          <w:szCs w:val="22"/>
        </w:rPr>
        <w:t>10</w:t>
      </w:r>
      <w:r w:rsidRPr="00506056">
        <w:rPr>
          <w:rStyle w:val="markedcontent"/>
          <w:rFonts w:asciiTheme="minorHAnsi" w:hAnsiTheme="minorHAnsi" w:cs="Arial"/>
          <w:sz w:val="22"/>
          <w:szCs w:val="22"/>
        </w:rPr>
        <w:t xml:space="preserve"> – </w:t>
      </w:r>
      <w:r w:rsidRPr="00E961D4">
        <w:rPr>
          <w:rStyle w:val="markedcontent"/>
          <w:rFonts w:asciiTheme="minorHAnsi" w:hAnsiTheme="minorHAnsi" w:cs="Arial"/>
          <w:sz w:val="22"/>
          <w:szCs w:val="22"/>
        </w:rPr>
        <w:t>Obligations extraterritoriales</w:t>
      </w:r>
    </w:p>
    <w:p w14:paraId="6015B0A2" w14:textId="77777777" w:rsidR="00B3290B" w:rsidRPr="00B3290B" w:rsidRDefault="00B3290B" w:rsidP="00B3290B"/>
    <w:p w14:paraId="3B2626A5" w14:textId="77777777" w:rsidR="009A14E0" w:rsidRDefault="009A14E0" w:rsidP="0005232A">
      <w:pPr>
        <w:spacing w:after="0" w:line="264" w:lineRule="auto"/>
        <w:jc w:val="both"/>
        <w:rPr>
          <w:b/>
          <w:bCs/>
        </w:rPr>
      </w:pPr>
      <w:r w:rsidRPr="009A14E0">
        <w:rPr>
          <w:b/>
          <w:bCs/>
        </w:rPr>
        <w:t>&gt; Recommandation :</w:t>
      </w:r>
      <w:r>
        <w:rPr>
          <w:b/>
          <w:bCs/>
        </w:rPr>
        <w:t xml:space="preserve"> D</w:t>
      </w:r>
      <w:r w:rsidRPr="009A14E0">
        <w:rPr>
          <w:b/>
          <w:bCs/>
        </w:rPr>
        <w:t>onner davantage d’informations sur les évaluations dressées au cours des cinq dernières années en matière de transfert d’armes afin</w:t>
      </w:r>
      <w:r>
        <w:rPr>
          <w:b/>
          <w:bCs/>
        </w:rPr>
        <w:t xml:space="preserve"> </w:t>
      </w:r>
      <w:r w:rsidRPr="009A14E0">
        <w:rPr>
          <w:b/>
          <w:bCs/>
        </w:rPr>
        <w:t>de</w:t>
      </w:r>
      <w:r>
        <w:rPr>
          <w:b/>
          <w:bCs/>
        </w:rPr>
        <w:t> :</w:t>
      </w:r>
    </w:p>
    <w:p w14:paraId="41A56215" w14:textId="77777777" w:rsidR="009A14E0" w:rsidRDefault="009A14E0" w:rsidP="009A14E0">
      <w:pPr>
        <w:spacing w:after="0" w:line="264" w:lineRule="auto"/>
        <w:jc w:val="both"/>
        <w:rPr>
          <w:b/>
          <w:bCs/>
        </w:rPr>
      </w:pPr>
      <w:r>
        <w:rPr>
          <w:b/>
          <w:bCs/>
        </w:rPr>
        <w:t>-</w:t>
      </w:r>
      <w:r w:rsidRPr="009A14E0">
        <w:rPr>
          <w:b/>
          <w:bCs/>
        </w:rPr>
        <w:t xml:space="preserve"> renseigner la manière dont la France procède à l’évaluation du contrôle qu’elle exerce, in </w:t>
      </w:r>
      <w:proofErr w:type="spellStart"/>
      <w:r w:rsidRPr="009A14E0">
        <w:rPr>
          <w:b/>
          <w:bCs/>
        </w:rPr>
        <w:t>concreto</w:t>
      </w:r>
      <w:proofErr w:type="spellEnd"/>
      <w:r w:rsidRPr="009A14E0">
        <w:rPr>
          <w:b/>
          <w:bCs/>
        </w:rPr>
        <w:t xml:space="preserve">, au regard du Traité sur le commerce des armes ou de la position commune 2008/944/PESC de l’Union européenne (à la lumière de ses obligations au titre de la CEDAW) </w:t>
      </w:r>
    </w:p>
    <w:p w14:paraId="00B086D1" w14:textId="77777777" w:rsidR="009A14E0" w:rsidRPr="009A14E0" w:rsidRDefault="009A14E0" w:rsidP="009A14E0">
      <w:pPr>
        <w:spacing w:after="0" w:line="264" w:lineRule="auto"/>
        <w:jc w:val="both"/>
        <w:rPr>
          <w:b/>
          <w:bCs/>
        </w:rPr>
      </w:pPr>
      <w:r>
        <w:rPr>
          <w:b/>
          <w:bCs/>
        </w:rPr>
        <w:t xml:space="preserve">- </w:t>
      </w:r>
      <w:r w:rsidRPr="009A14E0">
        <w:rPr>
          <w:b/>
          <w:bCs/>
        </w:rPr>
        <w:t>préciser davantage</w:t>
      </w:r>
      <w:r w:rsidR="00EB4AEE">
        <w:rPr>
          <w:b/>
          <w:bCs/>
        </w:rPr>
        <w:t xml:space="preserve"> les</w:t>
      </w:r>
      <w:r w:rsidRPr="009A14E0">
        <w:rPr>
          <w:b/>
          <w:bCs/>
        </w:rPr>
        <w:t xml:space="preserve"> critères à l’aune desquels la France évalue le risque que les différents types de matériels exportés puissent servir à commettre des violations du droit international des droits de l’homme </w:t>
      </w:r>
      <w:r w:rsidR="00D02737">
        <w:rPr>
          <w:b/>
          <w:bCs/>
        </w:rPr>
        <w:t xml:space="preserve">ou du droit international humanitaire </w:t>
      </w:r>
      <w:r w:rsidRPr="009A14E0">
        <w:rPr>
          <w:b/>
          <w:bCs/>
        </w:rPr>
        <w:t>(ou en faciliter la commission).</w:t>
      </w:r>
    </w:p>
    <w:p w14:paraId="0F30A279" w14:textId="77777777" w:rsidR="009A14E0" w:rsidRDefault="009A14E0" w:rsidP="009A14E0">
      <w:pPr>
        <w:rPr>
          <w:color w:val="0070C0"/>
        </w:rPr>
      </w:pPr>
    </w:p>
    <w:p w14:paraId="57D5A551" w14:textId="77777777" w:rsidR="009A14E0" w:rsidRPr="00307E60" w:rsidRDefault="00307E60" w:rsidP="0005232A">
      <w:pPr>
        <w:jc w:val="both"/>
        <w:rPr>
          <w:b/>
          <w:bCs/>
        </w:rPr>
      </w:pPr>
      <w:r>
        <w:rPr>
          <w:b/>
          <w:bCs/>
        </w:rPr>
        <w:t xml:space="preserve">&gt; </w:t>
      </w:r>
      <w:r w:rsidR="009A14E0" w:rsidRPr="00307E60">
        <w:rPr>
          <w:b/>
          <w:bCs/>
        </w:rPr>
        <w:t xml:space="preserve">Recommandation : </w:t>
      </w:r>
      <w:r w:rsidR="002D525A">
        <w:rPr>
          <w:b/>
          <w:bCs/>
        </w:rPr>
        <w:t>O</w:t>
      </w:r>
      <w:r w:rsidR="009A14E0" w:rsidRPr="00307E60">
        <w:rPr>
          <w:b/>
          <w:bCs/>
        </w:rPr>
        <w:t>utre les informations qui doivent être renseignées par les industriels dans les demandes de licence d’exportation d’armements, indiquer ce que fait la France (au titre de ses obligations positives) pour inciter à développer davantage le contrôle interne au sein des entreprises sur ces questions (par exemple en lien avec la loi française sur le devoir de vigilance).</w:t>
      </w:r>
    </w:p>
    <w:p w14:paraId="3A3403F5" w14:textId="77777777" w:rsidR="00E961D4" w:rsidRDefault="00E961D4" w:rsidP="006944C1">
      <w:pPr>
        <w:pStyle w:val="Default"/>
        <w:rPr>
          <w:rStyle w:val="markedcontent"/>
          <w:rFonts w:ascii="Arial" w:hAnsi="Arial" w:cs="Arial"/>
          <w:sz w:val="23"/>
          <w:szCs w:val="23"/>
        </w:rPr>
      </w:pPr>
    </w:p>
    <w:p w14:paraId="7888A2F8" w14:textId="77777777" w:rsidR="00352954" w:rsidRDefault="00F36EC9" w:rsidP="008C0EE3">
      <w:pPr>
        <w:pStyle w:val="Heading3"/>
        <w:rPr>
          <w:rStyle w:val="markedcontent"/>
          <w:rFonts w:asciiTheme="minorHAnsi" w:hAnsiTheme="minorHAnsi" w:cs="Arial"/>
          <w:sz w:val="22"/>
          <w:szCs w:val="22"/>
        </w:rPr>
      </w:pPr>
      <w:r w:rsidRPr="00506056">
        <w:rPr>
          <w:rStyle w:val="markedcontent"/>
          <w:rFonts w:asciiTheme="minorHAnsi" w:hAnsiTheme="minorHAnsi" w:cs="Arial"/>
          <w:sz w:val="22"/>
          <w:szCs w:val="22"/>
        </w:rPr>
        <w:t>Point</w:t>
      </w:r>
      <w:r w:rsidR="00683C64">
        <w:rPr>
          <w:rStyle w:val="markedcontent"/>
          <w:rFonts w:cs="Arial"/>
        </w:rPr>
        <w:t>s</w:t>
      </w:r>
      <w:r w:rsidRPr="00506056">
        <w:rPr>
          <w:rStyle w:val="markedcontent"/>
          <w:rFonts w:asciiTheme="minorHAnsi" w:hAnsiTheme="minorHAnsi" w:cs="Arial"/>
          <w:sz w:val="22"/>
          <w:szCs w:val="22"/>
        </w:rPr>
        <w:t xml:space="preserve"> 11</w:t>
      </w:r>
      <w:r w:rsidR="00683C64">
        <w:rPr>
          <w:rStyle w:val="markedcontent"/>
          <w:rFonts w:cs="Arial"/>
        </w:rPr>
        <w:t xml:space="preserve"> &amp; 12</w:t>
      </w:r>
      <w:r w:rsidRPr="00506056">
        <w:rPr>
          <w:rStyle w:val="markedcontent"/>
          <w:rFonts w:asciiTheme="minorHAnsi" w:hAnsiTheme="minorHAnsi" w:cs="Arial"/>
          <w:sz w:val="22"/>
          <w:szCs w:val="22"/>
        </w:rPr>
        <w:t xml:space="preserve"> – Traite et exploitation de la prostitution</w:t>
      </w:r>
    </w:p>
    <w:p w14:paraId="2CE1038C" w14:textId="77777777" w:rsidR="00B3290B" w:rsidRPr="00B3290B" w:rsidRDefault="00B3290B" w:rsidP="00B3290B"/>
    <w:p w14:paraId="4F51EAA6" w14:textId="77777777" w:rsidR="00A64AE4" w:rsidRPr="00BC73DE" w:rsidRDefault="00A64AE4" w:rsidP="00A64AE4">
      <w:pPr>
        <w:autoSpaceDE w:val="0"/>
        <w:autoSpaceDN w:val="0"/>
        <w:jc w:val="both"/>
        <w:rPr>
          <w:b/>
          <w:color w:val="000000"/>
        </w:rPr>
      </w:pPr>
      <w:r w:rsidRPr="00BC73DE">
        <w:rPr>
          <w:b/>
          <w:color w:val="000000"/>
        </w:rPr>
        <w:t xml:space="preserve">&gt; Recommandation : </w:t>
      </w:r>
      <w:r w:rsidRPr="00BC73DE">
        <w:rPr>
          <w:b/>
          <w:bCs/>
          <w:color w:val="000000"/>
        </w:rPr>
        <w:t>Bien qualifier la différence entre traite et prostitution</w:t>
      </w:r>
    </w:p>
    <w:p w14:paraId="14A3C583" w14:textId="77777777" w:rsidR="00FB57D0" w:rsidRDefault="00FB57D0" w:rsidP="00FB57D0">
      <w:pPr>
        <w:autoSpaceDE w:val="0"/>
        <w:autoSpaceDN w:val="0"/>
        <w:jc w:val="both"/>
      </w:pPr>
      <w:r>
        <w:t xml:space="preserve">L’infraction de traite des êtres humains est particulièrement difficile à caractériser et elle est souvent délaissée par les magistrats du parquet au profit de qualifications plus simples à caractériser telle que l’infraction de proxénétisme avec la circonstance aggravante liée à la minorité de la victime. </w:t>
      </w:r>
    </w:p>
    <w:p w14:paraId="69DCF8F2" w14:textId="77777777" w:rsidR="00FB57D0" w:rsidRDefault="00FB57D0" w:rsidP="00A64AE4">
      <w:pPr>
        <w:autoSpaceDE w:val="0"/>
        <w:autoSpaceDN w:val="0"/>
        <w:jc w:val="both"/>
      </w:pPr>
      <w:r>
        <w:t>Cette dernière qualification a des conséquences sur les victimes de traite des êtres humains qui ne sont pas reconnues en tant que tel</w:t>
      </w:r>
      <w:r w:rsidR="002643EA">
        <w:t>les</w:t>
      </w:r>
      <w:r>
        <w:t xml:space="preserve"> et ne bénéficient pas des droits afférents. Certaines victimes de traite, refusant de collaborer à l’enquête ou d’intégrer un parcours de sortie de la prostitution, ou encore ne pouvant justifier de la rupture du lien avec les personnes qui les exploitent, n’ont pas accès à leurs droits. La CNCDH rappelle par ailleurs la nécessité de la mise à l’abri immédiate des mineurs qui doit être inconditionnelle et dissociée de la reconnaissance du statut de victime ou de la coopération judiciaire</w:t>
      </w:r>
      <w:r w:rsidR="005A0A19">
        <w:t>.</w:t>
      </w:r>
    </w:p>
    <w:p w14:paraId="5D474B42" w14:textId="77777777" w:rsidR="00A64AE4" w:rsidRDefault="00A64AE4" w:rsidP="00A64AE4">
      <w:pPr>
        <w:autoSpaceDE w:val="0"/>
        <w:autoSpaceDN w:val="0"/>
        <w:jc w:val="both"/>
        <w:rPr>
          <w:color w:val="000000"/>
        </w:rPr>
      </w:pPr>
      <w:r w:rsidRPr="00BC73DE">
        <w:rPr>
          <w:b/>
          <w:color w:val="000000"/>
        </w:rPr>
        <w:t xml:space="preserve">&gt; </w:t>
      </w:r>
      <w:r w:rsidRPr="00BC73DE">
        <w:rPr>
          <w:b/>
          <w:bCs/>
        </w:rPr>
        <w:t>Recommandation :</w:t>
      </w:r>
      <w:r>
        <w:rPr>
          <w:bCs/>
        </w:rPr>
        <w:t xml:space="preserve"> </w:t>
      </w:r>
      <w:r>
        <w:rPr>
          <w:color w:val="000000"/>
        </w:rPr>
        <w:t xml:space="preserve"> </w:t>
      </w:r>
      <w:r w:rsidRPr="00E961D4">
        <w:rPr>
          <w:b/>
          <w:color w:val="000000"/>
        </w:rPr>
        <w:t>Mettre fin à la notion de « prostitution des mineurs »</w:t>
      </w:r>
    </w:p>
    <w:p w14:paraId="131EF9AC" w14:textId="5EEFF022" w:rsidR="00A64AE4" w:rsidRDefault="00A64AE4" w:rsidP="00FB57D0">
      <w:pPr>
        <w:jc w:val="both"/>
      </w:pPr>
      <w:r>
        <w:rPr>
          <w:color w:val="000000"/>
        </w:rPr>
        <w:t xml:space="preserve">La CNCDH </w:t>
      </w:r>
      <w:r w:rsidRPr="009B5C77">
        <w:rPr>
          <w:color w:val="000000"/>
        </w:rPr>
        <w:t>constat</w:t>
      </w:r>
      <w:r w:rsidR="009978F5">
        <w:rPr>
          <w:color w:val="000000"/>
        </w:rPr>
        <w:t>e</w:t>
      </w:r>
      <w:r w:rsidRPr="009B5C77">
        <w:rPr>
          <w:color w:val="000000"/>
        </w:rPr>
        <w:t xml:space="preserve"> une confusion sémantique problématique au sujet des mineurs. </w:t>
      </w:r>
      <w:r w:rsidR="00E8795E">
        <w:rPr>
          <w:color w:val="000000"/>
        </w:rPr>
        <w:t>Du fait de</w:t>
      </w:r>
      <w:r w:rsidRPr="009B5C77">
        <w:rPr>
          <w:color w:val="000000"/>
        </w:rPr>
        <w:t xml:space="preserve"> leur minorité, il n’est pas pertinent de parler de </w:t>
      </w:r>
      <w:r w:rsidRPr="009B5C77">
        <w:t>« </w:t>
      </w:r>
      <w:r w:rsidRPr="009B5C77">
        <w:rPr>
          <w:color w:val="000000"/>
        </w:rPr>
        <w:t>prostitution</w:t>
      </w:r>
      <w:r w:rsidRPr="009B5C77">
        <w:t> »</w:t>
      </w:r>
      <w:r w:rsidRPr="009B5C77">
        <w:rPr>
          <w:color w:val="000000"/>
        </w:rPr>
        <w:t xml:space="preserve"> dans </w:t>
      </w:r>
      <w:r w:rsidRPr="003C3706">
        <w:t xml:space="preserve">leur cas. Elle rappelle qu’un mineur </w:t>
      </w:r>
      <w:r w:rsidRPr="009B5C77">
        <w:t>en situation de prostitution est une personne vulnérable, victime d</w:t>
      </w:r>
      <w:r w:rsidR="00E16CEC">
        <w:t>’</w:t>
      </w:r>
      <w:r w:rsidRPr="009B5C77">
        <w:t>agression sexuelle, dont la situation favorise l’emprise d’un ou plusieurs tiers. La notion de consentement ne peut lui être opposée.</w:t>
      </w:r>
      <w:r>
        <w:t xml:space="preserve">  </w:t>
      </w:r>
    </w:p>
    <w:p w14:paraId="265CF508" w14:textId="77777777" w:rsidR="00FB57D0" w:rsidRDefault="009B5C77" w:rsidP="00FB57D0">
      <w:pPr>
        <w:jc w:val="both"/>
        <w:rPr>
          <w:b/>
          <w:bCs/>
        </w:rPr>
      </w:pPr>
      <w:r w:rsidRPr="00BC73DE">
        <w:rPr>
          <w:b/>
        </w:rPr>
        <w:t>&gt;</w:t>
      </w:r>
      <w:r w:rsidR="00A64AE4" w:rsidRPr="00BC73DE">
        <w:rPr>
          <w:b/>
        </w:rPr>
        <w:t>Recommandation</w:t>
      </w:r>
      <w:r w:rsidR="00E16CEC">
        <w:rPr>
          <w:b/>
        </w:rPr>
        <w:t> </w:t>
      </w:r>
      <w:r w:rsidR="00A64AE4" w:rsidRPr="00BC73DE">
        <w:rPr>
          <w:b/>
        </w:rPr>
        <w:t>:</w:t>
      </w:r>
      <w:r w:rsidR="00A64AE4">
        <w:t xml:space="preserve"> </w:t>
      </w:r>
      <w:r w:rsidRPr="009B5C77">
        <w:t xml:space="preserve"> </w:t>
      </w:r>
      <w:r w:rsidRPr="009B5C77">
        <w:rPr>
          <w:b/>
          <w:bCs/>
        </w:rPr>
        <w:t>Garantir l’effectivité des engagements de l’Etat</w:t>
      </w:r>
    </w:p>
    <w:p w14:paraId="5730FA90" w14:textId="77777777" w:rsidR="00FB57D0" w:rsidRDefault="00FB57D0" w:rsidP="00FB57D0">
      <w:pPr>
        <w:jc w:val="both"/>
      </w:pPr>
      <w:r>
        <w:lastRenderedPageBreak/>
        <w:t>La majorité des mesures annoncées étaient déjà présentes dans les premiers plans nationaux d’action. Le mécanisme national d’identification et d’orientation des victimes de la traite des êtres humains (MNIO) n’est toujours pas en place.</w:t>
      </w:r>
    </w:p>
    <w:p w14:paraId="0D094B2B" w14:textId="77777777" w:rsidR="00FB57D0" w:rsidRDefault="00FB57D0" w:rsidP="00FB57D0">
      <w:r>
        <w:t xml:space="preserve">La CNCDH constate que l’enveloppe budgétaire n’est pas à la hauteur des ambitions. </w:t>
      </w:r>
    </w:p>
    <w:p w14:paraId="389576D4" w14:textId="77777777" w:rsidR="00FB57D0" w:rsidRDefault="009B5C77" w:rsidP="00FB57D0">
      <w:pPr>
        <w:rPr>
          <w:b/>
          <w:bCs/>
          <w:lang w:eastAsia="fr-FR"/>
        </w:rPr>
      </w:pPr>
      <w:r w:rsidRPr="00BC73DE">
        <w:rPr>
          <w:b/>
        </w:rPr>
        <w:t>&gt;</w:t>
      </w:r>
      <w:r w:rsidRPr="00BC73DE">
        <w:rPr>
          <w:b/>
          <w:bCs/>
          <w:lang w:eastAsia="fr-FR"/>
        </w:rPr>
        <w:t xml:space="preserve"> </w:t>
      </w:r>
      <w:r w:rsidR="00A64AE4" w:rsidRPr="00BC73DE">
        <w:rPr>
          <w:b/>
          <w:bCs/>
        </w:rPr>
        <w:t>Recommandation</w:t>
      </w:r>
      <w:r w:rsidR="00E16CEC">
        <w:rPr>
          <w:b/>
          <w:bCs/>
        </w:rPr>
        <w:t> </w:t>
      </w:r>
      <w:r w:rsidR="00A64AE4" w:rsidRPr="00BC73DE">
        <w:rPr>
          <w:b/>
          <w:bCs/>
        </w:rPr>
        <w:t>:</w:t>
      </w:r>
      <w:r w:rsidR="00A64AE4">
        <w:rPr>
          <w:bCs/>
        </w:rPr>
        <w:t xml:space="preserve">  </w:t>
      </w:r>
      <w:r w:rsidR="00A64AE4">
        <w:rPr>
          <w:b/>
          <w:bCs/>
          <w:lang w:eastAsia="fr-FR"/>
        </w:rPr>
        <w:t>Renforcer la prévention de la traite à des fins d’exploitation sexuelle</w:t>
      </w:r>
    </w:p>
    <w:p w14:paraId="58FC846C" w14:textId="039E1388" w:rsidR="00FB57D0" w:rsidRDefault="00FB57D0" w:rsidP="00FB57D0">
      <w:pPr>
        <w:jc w:val="both"/>
      </w:pPr>
      <w:r>
        <w:t>Afin de mieux faire connaître et prévenir le phénomène de traite à des fins d’exploitation sexuelle, la CNCDH recommande de mettre en œuvre un plan de communication ainsi qu’une grande campagne nationale sur différents supports ainsi que de créer un site internet rassemblant l’ensemble des outils pédagogiques disponibles.</w:t>
      </w:r>
    </w:p>
    <w:p w14:paraId="6A71022B" w14:textId="77777777" w:rsidR="00FB57D0" w:rsidRDefault="00FB57D0" w:rsidP="009B5C77"/>
    <w:p w14:paraId="0C6D0AC9" w14:textId="77777777" w:rsidR="00900F33" w:rsidRDefault="00900F33" w:rsidP="00900F33">
      <w:pPr>
        <w:shd w:val="clear" w:color="auto" w:fill="D4E2FF" w:themeFill="text1" w:themeFillTint="1A"/>
      </w:pPr>
      <w:r>
        <w:t>Question</w:t>
      </w:r>
      <w:r w:rsidR="00E16CEC">
        <w:t> </w:t>
      </w:r>
      <w:r>
        <w:t>: Quelle forme, concrète, prendra le MNIO, dont la création est annoncée pour figurer dans le 3</w:t>
      </w:r>
      <w:r>
        <w:rPr>
          <w:vertAlign w:val="superscript"/>
        </w:rPr>
        <w:t>ème</w:t>
      </w:r>
      <w:r>
        <w:t xml:space="preserve"> PNA</w:t>
      </w:r>
      <w:r w:rsidR="00E16CEC">
        <w:t> </w:t>
      </w:r>
      <w:r>
        <w:t>?</w:t>
      </w:r>
    </w:p>
    <w:p w14:paraId="4E43685B" w14:textId="77777777" w:rsidR="00DD0240" w:rsidRDefault="00DD0240" w:rsidP="006944C1">
      <w:pPr>
        <w:pStyle w:val="Default"/>
        <w:rPr>
          <w:b/>
          <w:bCs/>
          <w:sz w:val="20"/>
          <w:szCs w:val="20"/>
        </w:rPr>
      </w:pPr>
    </w:p>
    <w:p w14:paraId="0B0752C3" w14:textId="77777777" w:rsidR="00FB4A80" w:rsidRPr="00AD009F" w:rsidRDefault="00AD009F" w:rsidP="006944C1">
      <w:pPr>
        <w:pStyle w:val="Default"/>
        <w:rPr>
          <w:rStyle w:val="markedcontent"/>
          <w:rFonts w:asciiTheme="majorHAnsi" w:eastAsiaTheme="majorEastAsia" w:hAnsiTheme="majorHAnsi" w:cs="Arial"/>
          <w:color w:val="2F539D" w:themeColor="accent1" w:themeShade="7F"/>
          <w:sz w:val="22"/>
          <w:szCs w:val="22"/>
        </w:rPr>
      </w:pPr>
      <w:r w:rsidRPr="00AD009F">
        <w:rPr>
          <w:rStyle w:val="markedcontent"/>
          <w:rFonts w:asciiTheme="majorHAnsi" w:eastAsiaTheme="majorEastAsia" w:hAnsiTheme="majorHAnsi" w:cs="Arial"/>
          <w:color w:val="2F539D" w:themeColor="accent1" w:themeShade="7F"/>
          <w:sz w:val="22"/>
          <w:szCs w:val="22"/>
        </w:rPr>
        <w:t>Point</w:t>
      </w:r>
      <w:r w:rsidR="00E16CEC" w:rsidRPr="00AD009F">
        <w:rPr>
          <w:rStyle w:val="markedcontent"/>
          <w:rFonts w:asciiTheme="majorHAnsi" w:eastAsiaTheme="majorEastAsia" w:hAnsiTheme="majorHAnsi" w:cs="Arial"/>
          <w:color w:val="2F539D" w:themeColor="accent1" w:themeShade="7F"/>
          <w:sz w:val="22"/>
          <w:szCs w:val="22"/>
        </w:rPr>
        <w:t xml:space="preserve"> 13 </w:t>
      </w:r>
      <w:r w:rsidRPr="00AD009F">
        <w:rPr>
          <w:rStyle w:val="markedcontent"/>
          <w:rFonts w:asciiTheme="majorHAnsi" w:eastAsiaTheme="majorEastAsia" w:hAnsiTheme="majorHAnsi" w:cs="Arial"/>
          <w:color w:val="2F539D" w:themeColor="accent1" w:themeShade="7F"/>
          <w:sz w:val="22"/>
          <w:szCs w:val="22"/>
        </w:rPr>
        <w:t>- P</w:t>
      </w:r>
      <w:r w:rsidR="00B908D4" w:rsidRPr="00AD009F">
        <w:rPr>
          <w:rStyle w:val="markedcontent"/>
          <w:rFonts w:asciiTheme="majorHAnsi" w:eastAsiaTheme="majorEastAsia" w:hAnsiTheme="majorHAnsi" w:cs="Arial"/>
          <w:color w:val="2F539D" w:themeColor="accent1" w:themeShade="7F"/>
          <w:sz w:val="22"/>
          <w:szCs w:val="22"/>
        </w:rPr>
        <w:t>articipation à la vie politique et à la vie publique</w:t>
      </w:r>
      <w:r w:rsidR="00E16CEC" w:rsidRPr="00AD009F">
        <w:rPr>
          <w:rStyle w:val="markedcontent"/>
          <w:rFonts w:asciiTheme="majorHAnsi" w:eastAsiaTheme="majorEastAsia" w:hAnsiTheme="majorHAnsi" w:cs="Arial"/>
          <w:color w:val="2F539D" w:themeColor="accent1" w:themeShade="7F"/>
          <w:sz w:val="22"/>
          <w:szCs w:val="22"/>
        </w:rPr>
        <w:t xml:space="preserve"> </w:t>
      </w:r>
    </w:p>
    <w:p w14:paraId="32FEC54D" w14:textId="77777777" w:rsidR="00FB4A80" w:rsidRDefault="00FB4A80" w:rsidP="006944C1">
      <w:pPr>
        <w:pStyle w:val="Default"/>
        <w:rPr>
          <w:b/>
          <w:bCs/>
          <w:sz w:val="20"/>
          <w:szCs w:val="20"/>
        </w:rPr>
      </w:pPr>
    </w:p>
    <w:p w14:paraId="72E3F93B" w14:textId="77777777" w:rsidR="00FB4A80" w:rsidRPr="009978F5" w:rsidRDefault="00FB4A80" w:rsidP="009978F5">
      <w:pPr>
        <w:shd w:val="clear" w:color="auto" w:fill="D4E2FF" w:themeFill="text1" w:themeFillTint="1A"/>
        <w:jc w:val="both"/>
        <w:rPr>
          <w:rFonts w:ascii="Times New Roman" w:hAnsi="Times New Roman" w:cs="Times New Roman"/>
          <w:b/>
          <w:bCs/>
          <w:color w:val="000000"/>
          <w:sz w:val="20"/>
          <w:szCs w:val="20"/>
        </w:rPr>
      </w:pPr>
      <w:r>
        <w:t xml:space="preserve">Question : </w:t>
      </w:r>
      <w:r w:rsidR="00AD009F">
        <w:t>Pouvez-vous fournir des informations chiffrées concernant</w:t>
      </w:r>
      <w:r>
        <w:t xml:space="preserve"> le nombre de retenues sur dotation effectuées 2014 pour non-respect de la pa</w:t>
      </w:r>
      <w:r w:rsidR="00E877AA">
        <w:t>rité par les partis politiques ?</w:t>
      </w:r>
      <w:r w:rsidR="00E877AA" w:rsidRPr="009978F5">
        <w:rPr>
          <w:rFonts w:ascii="Times New Roman" w:hAnsi="Times New Roman" w:cs="Times New Roman"/>
          <w:b/>
          <w:bCs/>
          <w:color w:val="000000"/>
          <w:sz w:val="20"/>
          <w:szCs w:val="20"/>
        </w:rPr>
        <w:t xml:space="preserve"> </w:t>
      </w:r>
    </w:p>
    <w:p w14:paraId="2EDD399B" w14:textId="77777777" w:rsidR="00FB4A80" w:rsidRDefault="00FB4A80" w:rsidP="006944C1">
      <w:pPr>
        <w:pStyle w:val="Default"/>
        <w:rPr>
          <w:b/>
          <w:bCs/>
          <w:sz w:val="20"/>
          <w:szCs w:val="20"/>
        </w:rPr>
      </w:pPr>
    </w:p>
    <w:p w14:paraId="77F7BBCF" w14:textId="77777777" w:rsidR="006944C1" w:rsidRDefault="00506056" w:rsidP="00B3290B">
      <w:pPr>
        <w:pStyle w:val="Heading3"/>
        <w:rPr>
          <w:rStyle w:val="markedcontent"/>
          <w:rFonts w:cs="Arial"/>
          <w:sz w:val="22"/>
          <w:szCs w:val="22"/>
        </w:rPr>
      </w:pPr>
      <w:r w:rsidRPr="00036C7D">
        <w:rPr>
          <w:rStyle w:val="markedcontent"/>
          <w:rFonts w:cs="Arial"/>
          <w:sz w:val="22"/>
          <w:szCs w:val="22"/>
        </w:rPr>
        <w:t xml:space="preserve">Points 14, 15, 16 - </w:t>
      </w:r>
      <w:r w:rsidR="006944C1" w:rsidRPr="00036C7D">
        <w:rPr>
          <w:rStyle w:val="markedcontent"/>
          <w:rFonts w:cs="Arial"/>
          <w:sz w:val="22"/>
          <w:szCs w:val="22"/>
        </w:rPr>
        <w:t xml:space="preserve">Éducation </w:t>
      </w:r>
    </w:p>
    <w:p w14:paraId="75ECDF7E" w14:textId="77777777" w:rsidR="00B3290B" w:rsidRPr="00B3290B" w:rsidRDefault="00B3290B" w:rsidP="00B3290B"/>
    <w:p w14:paraId="1B46E92D" w14:textId="77777777" w:rsidR="00FB57D0" w:rsidRDefault="00BC73DE" w:rsidP="00FB57D0">
      <w:pPr>
        <w:jc w:val="both"/>
        <w:rPr>
          <w:b/>
        </w:rPr>
      </w:pPr>
      <w:r w:rsidRPr="00BC73DE">
        <w:rPr>
          <w:b/>
        </w:rPr>
        <w:t>&gt; Recommandation : Revoir les programmes scolaires à l’aune de l’égalité filles/garçons ainsi que le matériel pédagogique qui l’accompagne</w:t>
      </w:r>
    </w:p>
    <w:p w14:paraId="0A6C1554" w14:textId="737A686F" w:rsidR="0016427F" w:rsidRDefault="0016427F" w:rsidP="00FB57D0">
      <w:pPr>
        <w:jc w:val="both"/>
      </w:pPr>
      <w:r>
        <w:br/>
        <w:t>Les programmes scolaires doivent aussi être revus dans leur ensemble de manière</w:t>
      </w:r>
      <w:r w:rsidR="00B908D4">
        <w:t xml:space="preserve"> à </w:t>
      </w:r>
      <w:r>
        <w:t xml:space="preserve">assurer une juste représentation des femmes. </w:t>
      </w:r>
      <w:r w:rsidR="005168C7">
        <w:t>N</w:t>
      </w:r>
      <w:r>
        <w:t xml:space="preserve">otamment dans le cadre des cours d’histoire où les femmes sont parfois étudiées comme une </w:t>
      </w:r>
      <w:r w:rsidR="00774CFE">
        <w:t xml:space="preserve">thématique </w:t>
      </w:r>
      <w:r>
        <w:t>spécifi</w:t>
      </w:r>
      <w:r w:rsidR="00774CFE">
        <w:t>que</w:t>
      </w:r>
      <w:r>
        <w:t xml:space="preserve"> plutôt que </w:t>
      </w:r>
      <w:r w:rsidR="005168C7">
        <w:t xml:space="preserve">d’être </w:t>
      </w:r>
      <w:r>
        <w:t>positionn</w:t>
      </w:r>
      <w:r w:rsidR="005168C7">
        <w:t>ées</w:t>
      </w:r>
      <w:r w:rsidR="00D0427F">
        <w:t xml:space="preserve">, </w:t>
      </w:r>
      <w:r w:rsidR="00D0427F" w:rsidRPr="005168C7">
        <w:t>comme les hommes,</w:t>
      </w:r>
      <w:r w:rsidRPr="005168C7">
        <w:t xml:space="preserve"> en tant qu’actrices de changement de tous temps.</w:t>
      </w:r>
      <w:r w:rsidRPr="0016427F">
        <w:t xml:space="preserve"> </w:t>
      </w:r>
    </w:p>
    <w:p w14:paraId="6F7AF0E8" w14:textId="77777777" w:rsidR="00FB57D0" w:rsidRDefault="00C26099" w:rsidP="00FB57D0">
      <w:pPr>
        <w:jc w:val="both"/>
        <w:rPr>
          <w:b/>
        </w:rPr>
      </w:pPr>
      <w:r>
        <w:br/>
      </w:r>
      <w:r w:rsidR="00BC73DE" w:rsidRPr="00BC73DE">
        <w:rPr>
          <w:b/>
        </w:rPr>
        <w:t xml:space="preserve">&gt; </w:t>
      </w:r>
      <w:r w:rsidR="00BC73DE">
        <w:rPr>
          <w:b/>
        </w:rPr>
        <w:t xml:space="preserve">Recommandation : </w:t>
      </w:r>
      <w:r w:rsidR="00BC73DE" w:rsidRPr="00BC73DE">
        <w:rPr>
          <w:b/>
        </w:rPr>
        <w:t>Sensibiliser les enseignants et le personnel éducatif aux biais implicites</w:t>
      </w:r>
    </w:p>
    <w:p w14:paraId="5A78F9BA" w14:textId="694DD7E3" w:rsidR="002F7043" w:rsidRDefault="00DA0D43" w:rsidP="00FB57D0">
      <w:pPr>
        <w:jc w:val="both"/>
      </w:pPr>
      <w:r>
        <w:rPr>
          <w:b/>
          <w:u w:val="single"/>
        </w:rPr>
        <w:br/>
      </w:r>
      <w:r w:rsidRPr="00DA0D43">
        <w:t>A l’image de la société, les enseignants sont porteurs de bi</w:t>
      </w:r>
      <w:r>
        <w:t xml:space="preserve">ais qui conduisent à la reproduction d’une société inégalitaire. L’usage de termes distincts en fonction </w:t>
      </w:r>
      <w:r w:rsidR="00E31D73">
        <w:t>du genre</w:t>
      </w:r>
      <w:r>
        <w:t>, l’inégale répartition de la parole ou encore le type de questions posés aux élèves en fonction de leur sexe porte</w:t>
      </w:r>
      <w:r w:rsidR="00455154">
        <w:t>nt</w:t>
      </w:r>
      <w:r>
        <w:t xml:space="preserve"> préjudice à la c</w:t>
      </w:r>
      <w:r w:rsidR="002F7043">
        <w:t>onstruc</w:t>
      </w:r>
      <w:r>
        <w:t>tion d’une société égalitaire</w:t>
      </w:r>
      <w:r w:rsidR="002F7043">
        <w:t>. Une sensibilisation systématique de l’ensemble des enseignants, tant en formation initiale que continue, doit être mise en place. En parallèle</w:t>
      </w:r>
      <w:r w:rsidR="00652235">
        <w:t>,</w:t>
      </w:r>
      <w:r w:rsidR="002F7043">
        <w:t xml:space="preserve"> il importe que l’ensemble du personnel</w:t>
      </w:r>
      <w:r w:rsidR="00F413C1">
        <w:t xml:space="preserve"> </w:t>
      </w:r>
      <w:r w:rsidR="002F7043">
        <w:t xml:space="preserve">éducatif puisse bénéficier de </w:t>
      </w:r>
      <w:r w:rsidR="00162201">
        <w:t>ce type de format</w:t>
      </w:r>
      <w:r w:rsidR="00C81158">
        <w:t>ion</w:t>
      </w:r>
      <w:r w:rsidR="00162201">
        <w:t xml:space="preserve"> de manière à instaurer une culture égalit</w:t>
      </w:r>
      <w:r w:rsidR="00125571">
        <w:t>aire</w:t>
      </w:r>
      <w:r w:rsidR="00162201">
        <w:t xml:space="preserve"> </w:t>
      </w:r>
      <w:r w:rsidR="007C2A02">
        <w:t>dans l’ensemble des interactions en milieu scolaire.</w:t>
      </w:r>
    </w:p>
    <w:p w14:paraId="6E1141BD" w14:textId="090342B9" w:rsidR="00917FD9" w:rsidRPr="00BC73DE" w:rsidRDefault="00BC73DE" w:rsidP="00712521">
      <w:pPr>
        <w:jc w:val="both"/>
        <w:rPr>
          <w:b/>
        </w:rPr>
      </w:pPr>
      <w:r w:rsidRPr="00BC73DE">
        <w:rPr>
          <w:b/>
        </w:rPr>
        <w:lastRenderedPageBreak/>
        <w:t xml:space="preserve">&gt; </w:t>
      </w:r>
      <w:r>
        <w:rPr>
          <w:b/>
        </w:rPr>
        <w:t xml:space="preserve">Recommandation : </w:t>
      </w:r>
      <w:r w:rsidRPr="00BC73DE">
        <w:rPr>
          <w:b/>
        </w:rPr>
        <w:t xml:space="preserve">Garantir un égal </w:t>
      </w:r>
      <w:r w:rsidR="008B57D8" w:rsidRPr="00BC73DE">
        <w:rPr>
          <w:b/>
        </w:rPr>
        <w:t>accès aux loisirs pour les filles afin de leur permettre leur plein épanou</w:t>
      </w:r>
      <w:r w:rsidR="0039154E" w:rsidRPr="00BC73DE">
        <w:rPr>
          <w:b/>
        </w:rPr>
        <w:t xml:space="preserve">issement et leur autonomisation. </w:t>
      </w:r>
    </w:p>
    <w:p w14:paraId="2713E274" w14:textId="77777777" w:rsidR="007E12C0" w:rsidRPr="009710FC" w:rsidRDefault="00917FD9" w:rsidP="008161B5">
      <w:pPr>
        <w:rPr>
          <w:b/>
        </w:rPr>
      </w:pPr>
      <w:r>
        <w:t xml:space="preserve"> </w:t>
      </w:r>
      <w:r w:rsidR="009710FC" w:rsidRPr="009710FC">
        <w:rPr>
          <w:b/>
        </w:rPr>
        <w:t xml:space="preserve">&gt; </w:t>
      </w:r>
      <w:r w:rsidR="00B9009C">
        <w:rPr>
          <w:b/>
        </w:rPr>
        <w:t xml:space="preserve">Recommandation : </w:t>
      </w:r>
      <w:r w:rsidR="009710FC" w:rsidRPr="009710FC">
        <w:rPr>
          <w:b/>
        </w:rPr>
        <w:t>Remplacer l’expression « éducation à la sexualité » par « éducation à la vie affective et sexuelle »</w:t>
      </w:r>
    </w:p>
    <w:p w14:paraId="6838FFF6" w14:textId="45831AAD" w:rsidR="00E44B50" w:rsidRPr="00E44B50" w:rsidRDefault="00125571" w:rsidP="00FB57D0">
      <w:pPr>
        <w:jc w:val="both"/>
      </w:pPr>
      <w:r w:rsidRPr="00E44B50">
        <w:t>Ce</w:t>
      </w:r>
      <w:r w:rsidR="00F413C1">
        <w:t xml:space="preserve"> </w:t>
      </w:r>
      <w:r w:rsidRPr="00E44B50">
        <w:t xml:space="preserve">changement de désignation permet de sortir d’une approche qui, enseignée en 3h </w:t>
      </w:r>
      <w:r w:rsidR="006B1BAA" w:rsidRPr="00E44B50">
        <w:t xml:space="preserve">chaque année </w:t>
      </w:r>
      <w:r w:rsidRPr="00E44B50">
        <w:t>tend à se centrer autour de problématiques médica</w:t>
      </w:r>
      <w:r w:rsidR="00E602E8" w:rsidRPr="00E44B50">
        <w:t>les et anatomiques au détriment de questionnements sur les relations amoureuses</w:t>
      </w:r>
      <w:r w:rsidR="00543164">
        <w:t>,</w:t>
      </w:r>
      <w:r w:rsidR="00E602E8" w:rsidRPr="00E44B50">
        <w:t xml:space="preserve"> leurs liens avec la sexualité ainsi que de questionnements sur les potentiels rapports de domination et de violence.</w:t>
      </w:r>
    </w:p>
    <w:p w14:paraId="6DC07E9E" w14:textId="77777777" w:rsidR="008E2721" w:rsidRDefault="00E44B50" w:rsidP="00A002F1">
      <w:pPr>
        <w:shd w:val="clear" w:color="auto" w:fill="D4E2FF" w:themeFill="text1" w:themeFillTint="1A"/>
      </w:pPr>
      <w:r w:rsidRPr="00B9009C">
        <w:rPr>
          <w:b/>
        </w:rPr>
        <w:t>Question :</w:t>
      </w:r>
      <w:r w:rsidRPr="00E44B50">
        <w:t xml:space="preserve"> </w:t>
      </w:r>
      <w:r w:rsidR="00B9009C">
        <w:br/>
      </w:r>
      <w:r w:rsidR="00712521">
        <w:t>Co</w:t>
      </w:r>
      <w:r w:rsidR="008E1F87">
        <w:t>mment s’assurer qu’un programme de 3</w:t>
      </w:r>
      <w:r w:rsidR="00627E9A">
        <w:t xml:space="preserve"> séances</w:t>
      </w:r>
      <w:r w:rsidR="008E1F87">
        <w:t xml:space="preserve"> par an</w:t>
      </w:r>
      <w:r w:rsidR="00A002F1">
        <w:t xml:space="preserve"> (dont le cadre et la durée restent flous)</w:t>
      </w:r>
      <w:r w:rsidR="008E1F87">
        <w:t xml:space="preserve"> </w:t>
      </w:r>
      <w:r w:rsidR="00627E9A">
        <w:t>s</w:t>
      </w:r>
      <w:r w:rsidR="008E1F87">
        <w:t xml:space="preserve">uffise à </w:t>
      </w:r>
      <w:r w:rsidR="00CB7475">
        <w:t xml:space="preserve">assurer une éducation </w:t>
      </w:r>
      <w:r w:rsidR="0071681E">
        <w:t>suffisante</w:t>
      </w:r>
      <w:r w:rsidR="00B06294">
        <w:t xml:space="preserve"> des élèves</w:t>
      </w:r>
      <w:r w:rsidR="0071681E">
        <w:t xml:space="preserve"> </w:t>
      </w:r>
      <w:r w:rsidR="00CB7475">
        <w:t>à la vie affective et sexuelle</w:t>
      </w:r>
      <w:r w:rsidR="007F0758">
        <w:t> ?</w:t>
      </w:r>
      <w:r w:rsidR="008E1F87">
        <w:t xml:space="preserve"> </w:t>
      </w:r>
    </w:p>
    <w:p w14:paraId="0CC67614" w14:textId="77777777" w:rsidR="00C572AD" w:rsidRPr="00AA29C7" w:rsidRDefault="00C572AD" w:rsidP="00C572AD">
      <w:pPr>
        <w:pStyle w:val="Heading3"/>
        <w:rPr>
          <w:rFonts w:asciiTheme="minorHAnsi" w:hAnsiTheme="minorHAnsi" w:cs="Arial"/>
          <w:sz w:val="22"/>
          <w:szCs w:val="22"/>
        </w:rPr>
      </w:pPr>
      <w:r>
        <w:rPr>
          <w:rStyle w:val="markedcontent"/>
          <w:rFonts w:asciiTheme="minorHAnsi" w:hAnsiTheme="minorHAnsi" w:cs="Arial"/>
          <w:sz w:val="22"/>
          <w:szCs w:val="22"/>
        </w:rPr>
        <w:t>Po</w:t>
      </w:r>
      <w:r w:rsidRPr="007B32FC">
        <w:rPr>
          <w:rStyle w:val="markedcontent"/>
          <w:rFonts w:asciiTheme="minorHAnsi" w:hAnsiTheme="minorHAnsi" w:cs="Arial"/>
          <w:sz w:val="22"/>
          <w:szCs w:val="22"/>
        </w:rPr>
        <w:t>int 16 - Emploi</w:t>
      </w:r>
    </w:p>
    <w:p w14:paraId="34AC885A" w14:textId="77777777" w:rsidR="00C572AD" w:rsidRPr="00320559" w:rsidRDefault="00C572AD" w:rsidP="00C572AD">
      <w:pPr>
        <w:spacing w:before="100" w:beforeAutospacing="1" w:after="100" w:afterAutospacing="1" w:line="240" w:lineRule="auto"/>
        <w:jc w:val="both"/>
      </w:pPr>
      <w:r w:rsidRPr="00320559">
        <w:rPr>
          <w:b/>
        </w:rPr>
        <w:t>&gt; Recommandation : Mieux prendre en compte la pénibilité du travail féminin.</w:t>
      </w:r>
    </w:p>
    <w:p w14:paraId="59F7A92E" w14:textId="58B10821" w:rsidR="00C572AD" w:rsidRDefault="0095233A" w:rsidP="00C572AD">
      <w:pPr>
        <w:spacing w:before="100" w:beforeAutospacing="1" w:after="100" w:afterAutospacing="1" w:line="240" w:lineRule="auto"/>
        <w:jc w:val="both"/>
      </w:pPr>
      <w:r>
        <w:t>L</w:t>
      </w:r>
      <w:r w:rsidR="00C572AD" w:rsidRPr="009178B4">
        <w:t xml:space="preserve">a réforme du code du travail, votée en septembre 2018 dans le cadre de la loi Travail, a modifié de façon substantielle la prévention et la prise en compte de la pénibilité au travail par les employeurs : la réforme a supprimé quatre facteurs de risque sur dix. Les critères pour obtenir des points sur le Compte professionnel de prévention restent très limités et concernent des emplois essentiellement masculins. Les seuils minimums tendent à exclure les personnes exerçant à temps partiel, principalement des femmes. De plus, même avec le maximum de points, le départ anticipé à la retraite n’est possible que deux ans avant l’âge requis. </w:t>
      </w:r>
    </w:p>
    <w:p w14:paraId="71D76899" w14:textId="77777777" w:rsidR="00156542" w:rsidRPr="008C1D15" w:rsidRDefault="00156542" w:rsidP="00156542">
      <w:pPr>
        <w:spacing w:before="100" w:beforeAutospacing="1" w:after="100" w:afterAutospacing="1" w:line="240" w:lineRule="auto"/>
        <w:jc w:val="both"/>
      </w:pPr>
      <w:r w:rsidRPr="008C1D15">
        <w:rPr>
          <w:b/>
        </w:rPr>
        <w:t>&gt; Recommandation : Rendre effective l’égalité salariale entre les femmes et les hommes</w:t>
      </w:r>
    </w:p>
    <w:p w14:paraId="6FD4B27C" w14:textId="1A91AE49" w:rsidR="00156542" w:rsidRPr="009978F5" w:rsidRDefault="00156542" w:rsidP="00AD009F">
      <w:pPr>
        <w:tabs>
          <w:tab w:val="left" w:pos="1560"/>
        </w:tabs>
        <w:spacing w:after="0" w:line="264" w:lineRule="auto"/>
        <w:jc w:val="both"/>
      </w:pPr>
      <w:r w:rsidRPr="009978F5">
        <w:t xml:space="preserve">La création de l’index sur l’égalité salariale a instauré une obligation de moyens en matière d’égalité professionnelle complétée par une obligation de résultats. Néanmoins, il ne répond pas à cette exigence </w:t>
      </w:r>
      <w:r w:rsidR="00F413C1" w:rsidRPr="009978F5">
        <w:t xml:space="preserve">et ne prend pas en compte les deux facteurs principaux qui expliquent l’écart des salaires qui sont le temps partiel subi et les métiers genrés. </w:t>
      </w:r>
      <w:r w:rsidR="00822F4B" w:rsidRPr="009978F5">
        <w:t>L</w:t>
      </w:r>
      <w:r w:rsidRPr="009978F5">
        <w:t xml:space="preserve">a construction de l’index repose exclusivement sur les Directions des Ressources Humaines qui n’ont aucune obligation de communiquer le détail du calcul. </w:t>
      </w:r>
    </w:p>
    <w:p w14:paraId="47EC5972" w14:textId="77777777" w:rsidR="00156542" w:rsidRPr="00AD009F" w:rsidRDefault="00156542" w:rsidP="00AD009F">
      <w:pPr>
        <w:tabs>
          <w:tab w:val="left" w:pos="1560"/>
        </w:tabs>
        <w:spacing w:after="0" w:line="264" w:lineRule="auto"/>
        <w:jc w:val="both"/>
        <w:rPr>
          <w:color w:val="B922B9" w:themeColor="accent6" w:themeShade="80"/>
        </w:rPr>
      </w:pPr>
    </w:p>
    <w:p w14:paraId="5130515D" w14:textId="77777777" w:rsidR="00C572AD" w:rsidRDefault="00C572AD" w:rsidP="00C572AD">
      <w:pPr>
        <w:shd w:val="clear" w:color="auto" w:fill="D4E2FF" w:themeFill="text1" w:themeFillTint="1A"/>
        <w:spacing w:before="100" w:beforeAutospacing="1" w:after="100" w:afterAutospacing="1" w:line="240" w:lineRule="auto"/>
      </w:pPr>
      <w:r w:rsidRPr="001A5369">
        <w:rPr>
          <w:b/>
        </w:rPr>
        <w:t>Questions :</w:t>
      </w:r>
      <w:r>
        <w:t xml:space="preserve"> </w:t>
      </w:r>
      <w:r>
        <w:br/>
      </w:r>
      <w:r>
        <w:br/>
        <w:t>- Comment l’Etat français garantit-il que la réforme des retraites garantisse l’égalité femmes-</w:t>
      </w:r>
      <w:r w:rsidR="009978F5">
        <w:t>hommes ?</w:t>
      </w:r>
      <w:r>
        <w:t xml:space="preserve"> </w:t>
      </w:r>
    </w:p>
    <w:p w14:paraId="45AE4CA7" w14:textId="45B13DE6" w:rsidR="00C572AD" w:rsidRPr="009178B4" w:rsidRDefault="00C572AD" w:rsidP="00C572AD">
      <w:pPr>
        <w:shd w:val="clear" w:color="auto" w:fill="D4E2FF" w:themeFill="text1" w:themeFillTint="1A"/>
        <w:spacing w:before="100" w:beforeAutospacing="1" w:after="100" w:afterAutospacing="1" w:line="240" w:lineRule="auto"/>
      </w:pPr>
      <w:r>
        <w:t>- Quelles solutions l’Etat français peut-il envisager de manière à faire en sorte que les hommes prennent bien leur congé paternité</w:t>
      </w:r>
      <w:r w:rsidR="00822F4B">
        <w:t xml:space="preserve"> ? Un</w:t>
      </w:r>
      <w:r>
        <w:t xml:space="preserve"> allongement de sa durée est-il envisagé ?</w:t>
      </w:r>
    </w:p>
    <w:p w14:paraId="4ABF83C6" w14:textId="77777777" w:rsidR="00C572AD" w:rsidRPr="00712521" w:rsidRDefault="00C572AD" w:rsidP="00712521"/>
    <w:p w14:paraId="302F2C5B" w14:textId="77777777" w:rsidR="00B3290B" w:rsidRPr="008D6B73" w:rsidRDefault="00D80D33" w:rsidP="008D6B73">
      <w:pPr>
        <w:pStyle w:val="Heading3"/>
        <w:rPr>
          <w:rFonts w:asciiTheme="minorHAnsi" w:hAnsiTheme="minorHAnsi" w:cs="Arial"/>
          <w:sz w:val="22"/>
          <w:szCs w:val="22"/>
        </w:rPr>
      </w:pPr>
      <w:r>
        <w:rPr>
          <w:rStyle w:val="markedcontent"/>
          <w:rFonts w:asciiTheme="minorHAnsi" w:hAnsiTheme="minorHAnsi" w:cs="Arial"/>
          <w:sz w:val="22"/>
          <w:szCs w:val="22"/>
        </w:rPr>
        <w:lastRenderedPageBreak/>
        <w:t xml:space="preserve">Point 18 - </w:t>
      </w:r>
      <w:r w:rsidR="008030F0" w:rsidRPr="00D80D33">
        <w:rPr>
          <w:rStyle w:val="markedcontent"/>
          <w:rFonts w:asciiTheme="minorHAnsi" w:hAnsiTheme="minorHAnsi" w:cs="Arial"/>
          <w:sz w:val="22"/>
          <w:szCs w:val="22"/>
        </w:rPr>
        <w:t xml:space="preserve">Santé </w:t>
      </w:r>
    </w:p>
    <w:p w14:paraId="1CC56857" w14:textId="36EC44D3" w:rsidR="001A5369" w:rsidRDefault="00B8373C" w:rsidP="00FB57D0">
      <w:pPr>
        <w:spacing w:before="100" w:beforeAutospacing="1" w:after="100" w:afterAutospacing="1" w:line="240" w:lineRule="auto"/>
        <w:jc w:val="both"/>
      </w:pPr>
      <w:r w:rsidRPr="008664CC">
        <w:rPr>
          <w:b/>
        </w:rPr>
        <w:t>&gt; Recommandation :</w:t>
      </w:r>
      <w:r w:rsidR="008664CC" w:rsidRPr="008664CC">
        <w:rPr>
          <w:b/>
        </w:rPr>
        <w:t xml:space="preserve"> Mieux prendre en compte les déterminants sociaux de santé des femmes</w:t>
      </w:r>
      <w:r w:rsidR="00BB551B">
        <w:rPr>
          <w:b/>
        </w:rPr>
        <w:t>.</w:t>
      </w:r>
      <w:r w:rsidR="008664CC" w:rsidRPr="008664CC">
        <w:rPr>
          <w:b/>
        </w:rPr>
        <w:br/>
      </w:r>
      <w:r w:rsidR="008664CC">
        <w:t>En France, l’espérance de vie sans incapacités est inférieure de sept ans à celle des hommes du fait de conditions de travail défavorables.</w:t>
      </w:r>
      <w:r w:rsidR="008664CC" w:rsidRPr="008664CC">
        <w:t xml:space="preserve"> </w:t>
      </w:r>
      <w:r w:rsidR="008664CC">
        <w:t>Une meilleure prise en compte des déterminants sociaux de santé permettrait aux femmes d’</w:t>
      </w:r>
      <w:r w:rsidR="008664CC" w:rsidRPr="00FF59E7">
        <w:t>accéder « au meilleur état de santé [qu’une personne] est capable d’atteindre »</w:t>
      </w:r>
      <w:r w:rsidR="008664CC" w:rsidRPr="00FF59E7">
        <w:rPr>
          <w:vertAlign w:val="superscript"/>
        </w:rPr>
        <w:footnoteReference w:id="2"/>
      </w:r>
      <w:r w:rsidR="008664CC">
        <w:t>.</w:t>
      </w:r>
    </w:p>
    <w:p w14:paraId="5C409DCE" w14:textId="77777777" w:rsidR="00B8373C" w:rsidRDefault="00B8373C" w:rsidP="00712521">
      <w:pPr>
        <w:shd w:val="clear" w:color="auto" w:fill="D4E2FF" w:themeFill="text1" w:themeFillTint="1A"/>
        <w:spacing w:before="100" w:beforeAutospacing="1" w:after="100" w:afterAutospacing="1" w:line="240" w:lineRule="auto"/>
        <w:jc w:val="both"/>
      </w:pPr>
      <w:r w:rsidRPr="001A5369">
        <w:rPr>
          <w:b/>
        </w:rPr>
        <w:t>Questions :</w:t>
      </w:r>
      <w:r>
        <w:br/>
        <w:t xml:space="preserve">- Quelles politiques de prévention sont prévues en Guyane dans le cadre de </w:t>
      </w:r>
      <w:r w:rsidRPr="00B8373C">
        <w:t>la stratégie de lutte contre les métaux lourds</w:t>
      </w:r>
      <w:r>
        <w:t xml:space="preserve"> ? </w:t>
      </w:r>
      <w:r>
        <w:br/>
        <w:t xml:space="preserve">- </w:t>
      </w:r>
      <w:r w:rsidR="003F79D4">
        <w:t>D</w:t>
      </w:r>
      <w:r>
        <w:t xml:space="preserve">es </w:t>
      </w:r>
      <w:r w:rsidRPr="00320559">
        <w:t>réparations financières de l’Etat ainsi qu’</w:t>
      </w:r>
      <w:r w:rsidR="008664CC" w:rsidRPr="00320559">
        <w:t>u</w:t>
      </w:r>
      <w:r w:rsidRPr="00320559">
        <w:t>n accompagnement</w:t>
      </w:r>
      <w:r w:rsidRPr="00656BF8">
        <w:t xml:space="preserve"> </w:t>
      </w:r>
      <w:r>
        <w:t>pour les personnes n’ayant pu être protégées sont-ils prévus ?</w:t>
      </w:r>
    </w:p>
    <w:p w14:paraId="35F2DDA0" w14:textId="77777777" w:rsidR="000256B9" w:rsidRDefault="008664CC" w:rsidP="00FB57D0">
      <w:pPr>
        <w:shd w:val="clear" w:color="auto" w:fill="D4E2FF" w:themeFill="text1" w:themeFillTint="1A"/>
        <w:spacing w:before="100" w:beforeAutospacing="1" w:after="100" w:afterAutospacing="1" w:line="240" w:lineRule="auto"/>
        <w:jc w:val="both"/>
      </w:pPr>
      <w:r>
        <w:t>- L’Etat prévoit-il des mesures spécifiques pour garantir l’effectivité de l’IVG en France ? Cette année l</w:t>
      </w:r>
      <w:r w:rsidR="00CC061A">
        <w:t xml:space="preserve">a France a fait face à une pénurie de pilule abortive, ce qui n’est pas sans conséquences pour les femmes. Produites aux Etats-Unis, une production à l’échelle européenne voire française ou la création de stocks de précaution sont des solutions qui doivent être étudiées afin de garantir la pleine effectivité du droit à l’IVG. </w:t>
      </w:r>
    </w:p>
    <w:p w14:paraId="412D0B48" w14:textId="77777777" w:rsidR="009522AF" w:rsidRDefault="0067603E" w:rsidP="001A5369">
      <w:pPr>
        <w:shd w:val="clear" w:color="auto" w:fill="D4E2FF" w:themeFill="text1" w:themeFillTint="1A"/>
        <w:spacing w:before="100" w:beforeAutospacing="1" w:after="100" w:afterAutospacing="1" w:line="240" w:lineRule="auto"/>
      </w:pPr>
      <w:r>
        <w:t>- Quelle mesures sont prévues pour mettre fin aux</w:t>
      </w:r>
      <w:r w:rsidR="0096503B">
        <w:t xml:space="preserve"> violences gynécologiques et obstétricales</w:t>
      </w:r>
      <w:r>
        <w:t> ?</w:t>
      </w:r>
    </w:p>
    <w:p w14:paraId="78169FEC" w14:textId="77777777" w:rsidR="00E2248C" w:rsidRDefault="00E2248C" w:rsidP="00E2248C">
      <w:pPr>
        <w:spacing w:before="100" w:beforeAutospacing="1" w:after="100" w:afterAutospacing="1" w:line="240" w:lineRule="auto"/>
        <w:rPr>
          <w:rStyle w:val="markedcontent"/>
          <w:rFonts w:eastAsiaTheme="majorEastAsia" w:cs="Arial"/>
          <w:color w:val="2F539D" w:themeColor="accent1" w:themeShade="7F"/>
        </w:rPr>
      </w:pPr>
      <w:r w:rsidRPr="00E2248C">
        <w:rPr>
          <w:rStyle w:val="markedcontent"/>
          <w:rFonts w:eastAsiaTheme="majorEastAsia" w:cs="Arial"/>
          <w:color w:val="2F539D" w:themeColor="accent1" w:themeShade="7F"/>
        </w:rPr>
        <w:t>Point 22- Changements climatiques et réduction des risques de catastrophe</w:t>
      </w:r>
    </w:p>
    <w:p w14:paraId="1702079D" w14:textId="2125D64E" w:rsidR="00E2248C" w:rsidRDefault="00E2248C" w:rsidP="00712521">
      <w:pPr>
        <w:shd w:val="clear" w:color="auto" w:fill="D4E2FF" w:themeFill="text1" w:themeFillTint="1A"/>
        <w:spacing w:before="100" w:beforeAutospacing="1" w:after="100" w:afterAutospacing="1" w:line="240" w:lineRule="auto"/>
        <w:jc w:val="both"/>
      </w:pPr>
      <w:r>
        <w:t xml:space="preserve">Question : </w:t>
      </w:r>
      <w:r w:rsidR="00223C1B" w:rsidRPr="00E2248C">
        <w:t xml:space="preserve"> </w:t>
      </w:r>
      <w:r w:rsidR="00E463A9">
        <w:t xml:space="preserve">Alors que les </w:t>
      </w:r>
      <w:r w:rsidR="00EF06A4">
        <w:t>femmes</w:t>
      </w:r>
      <w:r>
        <w:t xml:space="preserve"> </w:t>
      </w:r>
      <w:r w:rsidR="00EF06A4">
        <w:t xml:space="preserve">sont les </w:t>
      </w:r>
      <w:r>
        <w:t>premières victimes de changements climatiques et des catastrophes naturelles</w:t>
      </w:r>
      <w:r w:rsidR="00EF06A4">
        <w:t xml:space="preserve">, l’Etat français envisage-t-il d’intégrer à ses politiques publiques des données fondées sur le sexe afin d’y apporter des réponses adaptées ? </w:t>
      </w:r>
    </w:p>
    <w:p w14:paraId="43EAD4A6" w14:textId="77777777" w:rsidR="00284D75" w:rsidRDefault="00AA29C7" w:rsidP="00EF06A4">
      <w:r>
        <w:tab/>
      </w:r>
    </w:p>
    <w:p w14:paraId="77FB9488" w14:textId="77777777" w:rsidR="00FF0073" w:rsidRDefault="00FF0073" w:rsidP="00EF06A4"/>
    <w:p w14:paraId="43B86E8F" w14:textId="77777777" w:rsidR="00FF0073" w:rsidRDefault="00FF0073" w:rsidP="00EF06A4"/>
    <w:p w14:paraId="69BC0BE4" w14:textId="561B7772" w:rsidR="0085528A" w:rsidRDefault="0085528A" w:rsidP="006B1BAA"/>
    <w:p w14:paraId="76C2314B" w14:textId="559045F9" w:rsidR="003276A1" w:rsidRDefault="003276A1" w:rsidP="006B1BAA"/>
    <w:p w14:paraId="1AD954C6" w14:textId="77777777" w:rsidR="003276A1" w:rsidRDefault="003276A1" w:rsidP="006B1BAA"/>
    <w:p w14:paraId="6E2110DA" w14:textId="77777777" w:rsidR="0085528A" w:rsidRDefault="0085528A" w:rsidP="006B1BAA"/>
    <w:p w14:paraId="05907209" w14:textId="77777777" w:rsidR="0085528A" w:rsidRDefault="0085528A" w:rsidP="006B1BAA"/>
    <w:p w14:paraId="11737A0C" w14:textId="77777777" w:rsidR="0085528A" w:rsidRDefault="0085528A" w:rsidP="006B1BAA"/>
    <w:p w14:paraId="161DC95F" w14:textId="77777777" w:rsidR="0085528A" w:rsidRDefault="0085528A" w:rsidP="006B1BAA"/>
    <w:p w14:paraId="0FC2FF08" w14:textId="77777777" w:rsidR="0085528A" w:rsidRDefault="0085528A" w:rsidP="006B1BAA"/>
    <w:p w14:paraId="46BE8E41" w14:textId="77777777" w:rsidR="0085528A" w:rsidRDefault="0085528A" w:rsidP="006B1BAA"/>
    <w:p w14:paraId="17641DDF" w14:textId="77777777" w:rsidR="0085528A" w:rsidRDefault="0085528A" w:rsidP="006B1BAA"/>
    <w:p w14:paraId="76DAA7B6" w14:textId="77777777" w:rsidR="0085528A" w:rsidRDefault="0085528A" w:rsidP="006B1BAA"/>
    <w:p w14:paraId="3D60D7B2" w14:textId="77777777" w:rsidR="0085528A" w:rsidRDefault="0085528A" w:rsidP="006B1BAA"/>
    <w:p w14:paraId="473F94C4" w14:textId="77777777" w:rsidR="0085528A" w:rsidRDefault="0085528A" w:rsidP="006B1BAA"/>
    <w:p w14:paraId="6D3AF985" w14:textId="77777777" w:rsidR="0085528A" w:rsidRDefault="0085528A" w:rsidP="006B1BAA"/>
    <w:p w14:paraId="0A8346C0" w14:textId="77777777" w:rsidR="0085528A" w:rsidRDefault="0085528A" w:rsidP="006B1BAA"/>
    <w:p w14:paraId="693DE8B9" w14:textId="77777777" w:rsidR="0085528A" w:rsidRDefault="0085528A" w:rsidP="006B1BAA"/>
    <w:p w14:paraId="0715EB29" w14:textId="77777777" w:rsidR="0085528A" w:rsidRDefault="0085528A" w:rsidP="006B1BAA"/>
    <w:p w14:paraId="6EEB3139" w14:textId="77777777" w:rsidR="008030F0" w:rsidRDefault="00A22F48" w:rsidP="006B1BAA">
      <w:r>
        <w:br/>
      </w:r>
    </w:p>
    <w:p w14:paraId="4FCC53CA" w14:textId="3936BAF6" w:rsidR="006E59C4" w:rsidRDefault="006E59C4" w:rsidP="006B1BAA"/>
    <w:p w14:paraId="03AF53DA" w14:textId="4E6E0D8C" w:rsidR="003276A1" w:rsidRDefault="003276A1" w:rsidP="006B1BAA"/>
    <w:p w14:paraId="6F0A99F2" w14:textId="6D807E59" w:rsidR="003276A1" w:rsidRDefault="003276A1" w:rsidP="006B1BAA"/>
    <w:p w14:paraId="757C08AD" w14:textId="1307B8A6" w:rsidR="003276A1" w:rsidRDefault="003276A1" w:rsidP="006B1BAA"/>
    <w:p w14:paraId="2A4375BF" w14:textId="048B3381" w:rsidR="003276A1" w:rsidRDefault="003276A1" w:rsidP="006B1BAA"/>
    <w:p w14:paraId="6B4383B9" w14:textId="79AF5A53" w:rsidR="003276A1" w:rsidRDefault="003276A1" w:rsidP="006B1BAA"/>
    <w:p w14:paraId="5729170A" w14:textId="04342BD9" w:rsidR="003276A1" w:rsidRDefault="003276A1" w:rsidP="006B1BAA"/>
    <w:p w14:paraId="6082C805" w14:textId="755A6E52" w:rsidR="003276A1" w:rsidRDefault="003276A1" w:rsidP="006B1BAA"/>
    <w:p w14:paraId="2947307C" w14:textId="77777777" w:rsidR="003276A1" w:rsidRDefault="003276A1" w:rsidP="006B1BAA"/>
    <w:p w14:paraId="6CB73E6D" w14:textId="77777777" w:rsidR="00833DC1" w:rsidRPr="006E59C4" w:rsidRDefault="006E59C4" w:rsidP="00833DC1">
      <w:pPr>
        <w:rPr>
          <w:rFonts w:eastAsiaTheme="minorEastAsia" w:cs="Times New Roman"/>
          <w:noProof/>
          <w:lang w:eastAsia="fr-FR"/>
        </w:rPr>
      </w:pPr>
      <w:r w:rsidRPr="006E59C4">
        <w:rPr>
          <w:rFonts w:eastAsiaTheme="minorEastAsia" w:cs="Times New Roman"/>
          <w:noProof/>
          <w:lang w:eastAsia="fr-FR"/>
        </w:rPr>
        <w:t>Commission nationale consultative des droits de l’homme (CNCDH)</w:t>
      </w:r>
      <w:r w:rsidRPr="006E59C4">
        <w:rPr>
          <w:rFonts w:eastAsiaTheme="minorEastAsia" w:cs="Times New Roman"/>
          <w:noProof/>
          <w:lang w:eastAsia="fr-FR"/>
        </w:rPr>
        <w:br/>
      </w:r>
      <w:r w:rsidR="00833DC1" w:rsidRPr="006E59C4">
        <w:rPr>
          <w:rFonts w:eastAsiaTheme="minorEastAsia" w:cs="Times New Roman"/>
          <w:noProof/>
          <w:lang w:eastAsia="fr-FR"/>
        </w:rPr>
        <w:t>20 Avenue Ségur</w:t>
      </w:r>
      <w:r w:rsidR="00833DC1" w:rsidRPr="006E59C4">
        <w:rPr>
          <w:rFonts w:eastAsiaTheme="minorEastAsia" w:cs="Times New Roman"/>
          <w:noProof/>
          <w:lang w:eastAsia="fr-FR"/>
        </w:rPr>
        <w:br/>
        <w:t>TSA 40 720</w:t>
      </w:r>
      <w:r w:rsidR="00833DC1" w:rsidRPr="006E59C4">
        <w:rPr>
          <w:rFonts w:eastAsiaTheme="minorEastAsia" w:cs="Times New Roman"/>
          <w:noProof/>
          <w:lang w:eastAsia="fr-FR"/>
        </w:rPr>
        <w:br/>
        <w:t>75334 Paris Cedex 07</w:t>
      </w:r>
    </w:p>
    <w:p w14:paraId="4CE2D7D4" w14:textId="77777777" w:rsidR="006E59C4" w:rsidRPr="006E59C4" w:rsidRDefault="006E59C4" w:rsidP="006B1BAA">
      <w:r w:rsidRPr="006E59C4">
        <w:t>Contact : louise.savri@cncdh.fr</w:t>
      </w:r>
      <w:r w:rsidRPr="006E59C4">
        <w:br/>
        <w:t>T : 01 42 75 60 14</w:t>
      </w:r>
    </w:p>
    <w:p w14:paraId="357EC026" w14:textId="77777777" w:rsidR="003D6D72" w:rsidRPr="006E59C4" w:rsidRDefault="006E59C4" w:rsidP="006E59C4">
      <w:r w:rsidRPr="006E59C4">
        <w:t xml:space="preserve">Pour en savoir plus : </w:t>
      </w:r>
      <w:r w:rsidRPr="006E59C4">
        <w:br/>
      </w:r>
      <w:hyperlink r:id="rId16" w:history="1">
        <w:r w:rsidRPr="006E59C4">
          <w:rPr>
            <w:rStyle w:val="Hyperlink"/>
          </w:rPr>
          <w:t>https://www.cncdh.fr/</w:t>
        </w:r>
      </w:hyperlink>
      <w:r w:rsidRPr="006E59C4">
        <w:t xml:space="preserve"> </w:t>
      </w:r>
      <w:r w:rsidRPr="006E59C4">
        <w:br/>
      </w:r>
      <w:hyperlink r:id="rId17" w:history="1">
        <w:r w:rsidR="003D6D72" w:rsidRPr="006E59C4">
          <w:rPr>
            <w:rStyle w:val="Hyperlink"/>
          </w:rPr>
          <w:t>https://www.cncdh.fr/femmes</w:t>
        </w:r>
      </w:hyperlink>
      <w:r w:rsidR="003D6D72" w:rsidRPr="006E59C4">
        <w:t xml:space="preserve"> </w:t>
      </w:r>
    </w:p>
    <w:sectPr w:rsidR="003D6D72" w:rsidRPr="006E59C4" w:rsidSect="00CC49CE">
      <w:footerReference w:type="first" r:id="rId18"/>
      <w:pgSz w:w="12240" w:h="16340"/>
      <w:pgMar w:top="1460" w:right="1198" w:bottom="451" w:left="1007" w:header="720" w:footer="720" w:gutter="0"/>
      <w:pgNumType w:start="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02A0B" w14:textId="77777777" w:rsidR="00B20D41" w:rsidRDefault="00B20D41" w:rsidP="00967386">
      <w:pPr>
        <w:spacing w:after="0" w:line="240" w:lineRule="auto"/>
      </w:pPr>
      <w:r>
        <w:separator/>
      </w:r>
    </w:p>
  </w:endnote>
  <w:endnote w:type="continuationSeparator" w:id="0">
    <w:p w14:paraId="29FEBF02" w14:textId="77777777" w:rsidR="00B20D41" w:rsidRDefault="00B20D41" w:rsidP="00967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6218"/>
      <w:gridCol w:w="3817"/>
    </w:tblGrid>
    <w:tr w:rsidR="0059378A" w14:paraId="3B08F8C9" w14:textId="77777777" w:rsidTr="00CC5E1C">
      <w:trPr>
        <w:trHeight w:hRule="exact" w:val="115"/>
        <w:jc w:val="center"/>
      </w:trPr>
      <w:tc>
        <w:tcPr>
          <w:tcW w:w="6352" w:type="dxa"/>
          <w:shd w:val="clear" w:color="auto" w:fill="B2C4E8" w:themeFill="accent1"/>
          <w:tcMar>
            <w:top w:w="0" w:type="dxa"/>
            <w:bottom w:w="0" w:type="dxa"/>
          </w:tcMar>
        </w:tcPr>
        <w:p w14:paraId="2707AFF6" w14:textId="77777777" w:rsidR="0059378A" w:rsidRDefault="0059378A" w:rsidP="003517FB">
          <w:pPr>
            <w:pStyle w:val="Header"/>
            <w:jc w:val="right"/>
            <w:rPr>
              <w:caps/>
              <w:sz w:val="18"/>
            </w:rPr>
          </w:pPr>
        </w:p>
      </w:tc>
      <w:tc>
        <w:tcPr>
          <w:tcW w:w="3913" w:type="dxa"/>
          <w:shd w:val="clear" w:color="auto" w:fill="B2C4E8" w:themeFill="accent1"/>
          <w:tcMar>
            <w:top w:w="0" w:type="dxa"/>
            <w:bottom w:w="0" w:type="dxa"/>
          </w:tcMar>
        </w:tcPr>
        <w:p w14:paraId="6CF62C28" w14:textId="77777777" w:rsidR="0059378A" w:rsidRDefault="0059378A">
          <w:pPr>
            <w:pStyle w:val="Header"/>
            <w:jc w:val="right"/>
            <w:rPr>
              <w:caps/>
              <w:sz w:val="18"/>
            </w:rPr>
          </w:pPr>
        </w:p>
      </w:tc>
    </w:tr>
    <w:tr w:rsidR="0059378A" w14:paraId="12B745E5" w14:textId="77777777" w:rsidTr="00CC5E1C">
      <w:trPr>
        <w:jc w:val="center"/>
      </w:trPr>
      <w:sdt>
        <w:sdtPr>
          <w:rPr>
            <w:caps/>
            <w:color w:val="808080" w:themeColor="background1" w:themeShade="80"/>
            <w:sz w:val="18"/>
            <w:szCs w:val="18"/>
          </w:rPr>
          <w:alias w:val="Auteur"/>
          <w:tag w:val=""/>
          <w:id w:val="1534151868"/>
          <w:placeholder>
            <w:docPart w:val="86CB52BE3B7B48738D3EBE0FB1D2DE92"/>
          </w:placeholder>
          <w:dataBinding w:prefixMappings="xmlns:ns0='http://purl.org/dc/elements/1.1/' xmlns:ns1='http://schemas.openxmlformats.org/package/2006/metadata/core-properties' " w:xpath="/ns1:coreProperties[1]/ns0:creator[1]" w:storeItemID="{6C3C8BC8-F283-45AE-878A-BAB7291924A1}"/>
          <w:text/>
        </w:sdtPr>
        <w:sdtContent>
          <w:tc>
            <w:tcPr>
              <w:tcW w:w="6352" w:type="dxa"/>
              <w:shd w:val="clear" w:color="auto" w:fill="auto"/>
              <w:vAlign w:val="center"/>
            </w:tcPr>
            <w:p w14:paraId="623D1368" w14:textId="77777777" w:rsidR="0059378A" w:rsidRDefault="001C116A" w:rsidP="00CA6148">
              <w:pPr>
                <w:pStyle w:val="Footer"/>
                <w:rPr>
                  <w:caps/>
                  <w:color w:val="808080" w:themeColor="background1" w:themeShade="80"/>
                  <w:sz w:val="18"/>
                  <w:szCs w:val="18"/>
                </w:rPr>
              </w:pPr>
              <w:r>
                <w:rPr>
                  <w:caps/>
                  <w:color w:val="808080" w:themeColor="background1" w:themeShade="80"/>
                  <w:sz w:val="18"/>
                  <w:szCs w:val="18"/>
                </w:rPr>
                <w:t>Commission nationale consultative des droits de l’homme</w:t>
              </w:r>
            </w:p>
          </w:tc>
        </w:sdtContent>
      </w:sdt>
      <w:tc>
        <w:tcPr>
          <w:tcW w:w="3913" w:type="dxa"/>
          <w:shd w:val="clear" w:color="auto" w:fill="auto"/>
          <w:vAlign w:val="center"/>
        </w:tcPr>
        <w:p w14:paraId="5C1E5532" w14:textId="74E17D38" w:rsidR="0059378A" w:rsidRDefault="0059378A">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PAGE   \* MERGEFORMAT</w:instrText>
          </w:r>
          <w:r>
            <w:rPr>
              <w:caps/>
              <w:color w:val="808080" w:themeColor="background1" w:themeShade="80"/>
              <w:sz w:val="18"/>
              <w:szCs w:val="18"/>
            </w:rPr>
            <w:fldChar w:fldCharType="separate"/>
          </w:r>
          <w:r w:rsidR="0058640E">
            <w:rPr>
              <w:caps/>
              <w:noProof/>
              <w:color w:val="808080" w:themeColor="background1" w:themeShade="80"/>
              <w:sz w:val="18"/>
              <w:szCs w:val="18"/>
            </w:rPr>
            <w:t>7</w:t>
          </w:r>
          <w:r>
            <w:rPr>
              <w:caps/>
              <w:color w:val="808080" w:themeColor="background1" w:themeShade="80"/>
              <w:sz w:val="18"/>
              <w:szCs w:val="18"/>
            </w:rPr>
            <w:fldChar w:fldCharType="end"/>
          </w:r>
        </w:p>
      </w:tc>
    </w:tr>
  </w:tbl>
  <w:p w14:paraId="1C0116CB" w14:textId="77777777" w:rsidR="0069376A" w:rsidRDefault="006937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30380" w14:textId="77777777" w:rsidR="00196BAA" w:rsidRDefault="00196B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5667"/>
      <w:gridCol w:w="4368"/>
    </w:tblGrid>
    <w:tr w:rsidR="00CC49CE" w14:paraId="4730B611" w14:textId="77777777" w:rsidTr="005B7019">
      <w:trPr>
        <w:trHeight w:hRule="exact" w:val="115"/>
        <w:jc w:val="center"/>
      </w:trPr>
      <w:tc>
        <w:tcPr>
          <w:tcW w:w="5785" w:type="dxa"/>
          <w:shd w:val="clear" w:color="auto" w:fill="B2C4E8" w:themeFill="accent1"/>
          <w:tcMar>
            <w:top w:w="0" w:type="dxa"/>
            <w:bottom w:w="0" w:type="dxa"/>
          </w:tcMar>
        </w:tcPr>
        <w:p w14:paraId="1FE623F0" w14:textId="77777777" w:rsidR="00CC49CE" w:rsidRDefault="00CC49CE">
          <w:pPr>
            <w:pStyle w:val="Header"/>
            <w:rPr>
              <w:caps/>
              <w:sz w:val="18"/>
            </w:rPr>
          </w:pPr>
        </w:p>
      </w:tc>
      <w:tc>
        <w:tcPr>
          <w:tcW w:w="4480" w:type="dxa"/>
          <w:shd w:val="clear" w:color="auto" w:fill="B2C4E8" w:themeFill="accent1"/>
          <w:tcMar>
            <w:top w:w="0" w:type="dxa"/>
            <w:bottom w:w="0" w:type="dxa"/>
          </w:tcMar>
        </w:tcPr>
        <w:p w14:paraId="5AFD6C4D" w14:textId="77777777" w:rsidR="00CC49CE" w:rsidRDefault="00CC49CE">
          <w:pPr>
            <w:pStyle w:val="Header"/>
            <w:jc w:val="right"/>
            <w:rPr>
              <w:caps/>
              <w:sz w:val="18"/>
            </w:rPr>
          </w:pPr>
        </w:p>
      </w:tc>
    </w:tr>
    <w:tr w:rsidR="00CC49CE" w14:paraId="02F3E6E3" w14:textId="77777777" w:rsidTr="005B7019">
      <w:trPr>
        <w:jc w:val="center"/>
      </w:trPr>
      <w:sdt>
        <w:sdtPr>
          <w:rPr>
            <w:caps/>
            <w:color w:val="808080" w:themeColor="background1" w:themeShade="80"/>
            <w:sz w:val="18"/>
            <w:szCs w:val="18"/>
          </w:rPr>
          <w:alias w:val="Auteur"/>
          <w:tag w:val=""/>
          <w:id w:val="-2117437305"/>
          <w:placeholder>
            <w:docPart w:val="C7BC5ABB34B4447FA0ADBC00816BEC6D"/>
          </w:placeholder>
          <w:dataBinding w:prefixMappings="xmlns:ns0='http://purl.org/dc/elements/1.1/' xmlns:ns1='http://schemas.openxmlformats.org/package/2006/metadata/core-properties' " w:xpath="/ns1:coreProperties[1]/ns0:creator[1]" w:storeItemID="{6C3C8BC8-F283-45AE-878A-BAB7291924A1}"/>
          <w:text/>
        </w:sdtPr>
        <w:sdtContent>
          <w:tc>
            <w:tcPr>
              <w:tcW w:w="5785" w:type="dxa"/>
              <w:shd w:val="clear" w:color="auto" w:fill="auto"/>
              <w:vAlign w:val="center"/>
            </w:tcPr>
            <w:p w14:paraId="32C579D3" w14:textId="77777777" w:rsidR="00CC49CE" w:rsidRDefault="00CC49CE">
              <w:pPr>
                <w:pStyle w:val="Footer"/>
                <w:rPr>
                  <w:caps/>
                  <w:color w:val="808080" w:themeColor="background1" w:themeShade="80"/>
                  <w:sz w:val="18"/>
                  <w:szCs w:val="18"/>
                </w:rPr>
              </w:pPr>
              <w:r>
                <w:rPr>
                  <w:caps/>
                  <w:color w:val="808080" w:themeColor="background1" w:themeShade="80"/>
                  <w:sz w:val="18"/>
                  <w:szCs w:val="18"/>
                </w:rPr>
                <w:t>Commission nationale consultative des droits de l’homme</w:t>
              </w:r>
            </w:p>
          </w:tc>
        </w:sdtContent>
      </w:sdt>
      <w:tc>
        <w:tcPr>
          <w:tcW w:w="4480" w:type="dxa"/>
          <w:shd w:val="clear" w:color="auto" w:fill="auto"/>
          <w:vAlign w:val="center"/>
        </w:tcPr>
        <w:p w14:paraId="5CDF70B6" w14:textId="77777777" w:rsidR="00CC49CE" w:rsidRDefault="00CC49CE">
          <w:pPr>
            <w:pStyle w:val="Footer"/>
            <w:jc w:val="right"/>
            <w:rPr>
              <w:caps/>
              <w:color w:val="808080" w:themeColor="background1" w:themeShade="80"/>
              <w:sz w:val="18"/>
              <w:szCs w:val="18"/>
            </w:rPr>
          </w:pPr>
        </w:p>
      </w:tc>
    </w:tr>
  </w:tbl>
  <w:p w14:paraId="61ED541A" w14:textId="77777777" w:rsidR="00CC49CE" w:rsidRDefault="00CC49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3C63EE" w14:textId="77777777" w:rsidR="00B20D41" w:rsidRDefault="00B20D41" w:rsidP="00967386">
      <w:pPr>
        <w:spacing w:after="0" w:line="240" w:lineRule="auto"/>
      </w:pPr>
      <w:r>
        <w:separator/>
      </w:r>
    </w:p>
  </w:footnote>
  <w:footnote w:type="continuationSeparator" w:id="0">
    <w:p w14:paraId="12EE2060" w14:textId="77777777" w:rsidR="00B20D41" w:rsidRDefault="00B20D41" w:rsidP="00967386">
      <w:pPr>
        <w:spacing w:after="0" w:line="240" w:lineRule="auto"/>
      </w:pPr>
      <w:r>
        <w:continuationSeparator/>
      </w:r>
    </w:p>
  </w:footnote>
  <w:footnote w:id="1">
    <w:p w14:paraId="02E08FEE" w14:textId="77777777" w:rsidR="00B435A0" w:rsidRPr="00B435A0" w:rsidRDefault="00B435A0" w:rsidP="009978F5">
      <w:pPr>
        <w:spacing w:line="240" w:lineRule="auto"/>
        <w:jc w:val="both"/>
        <w:rPr>
          <w:color w:val="2C3843" w:themeColor="background2" w:themeShade="40"/>
        </w:rPr>
      </w:pPr>
      <w:r>
        <w:rPr>
          <w:rStyle w:val="FootnoteReference"/>
        </w:rPr>
        <w:footnoteRef/>
      </w:r>
      <w:r>
        <w:t xml:space="preserve"> </w:t>
      </w:r>
      <w:r w:rsidRPr="00AA6EA4">
        <w:rPr>
          <w:sz w:val="20"/>
          <w:szCs w:val="20"/>
        </w:rPr>
        <w:t>Une annexe reprend l’essentiel des travaux de la CNCDH relatifs aux droits des femmes.</w:t>
      </w:r>
    </w:p>
  </w:footnote>
  <w:footnote w:id="2">
    <w:p w14:paraId="0FDEFD5D" w14:textId="38051B12" w:rsidR="008664CC" w:rsidRDefault="008664CC" w:rsidP="0005232A">
      <w:pPr>
        <w:pStyle w:val="FootnoteText"/>
        <w:jc w:val="both"/>
      </w:pPr>
      <w:r>
        <w:rPr>
          <w:rStyle w:val="FootnoteReference"/>
        </w:rPr>
        <w:footnoteRef/>
      </w:r>
      <w:r w:rsidR="00AE3BFE">
        <w:t xml:space="preserve"> </w:t>
      </w:r>
      <w:r w:rsidRPr="00FF59E7">
        <w:t>Préambule à la Constitution de l’Organisation mondiale de la santé</w:t>
      </w:r>
      <w:r w:rsidR="00AE3BF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E493F"/>
    <w:multiLevelType w:val="hybridMultilevel"/>
    <w:tmpl w:val="D646C9A2"/>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77A1463"/>
    <w:multiLevelType w:val="hybridMultilevel"/>
    <w:tmpl w:val="067AF6B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2A7D2751"/>
    <w:multiLevelType w:val="hybridMultilevel"/>
    <w:tmpl w:val="F65E257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380F5A4D"/>
    <w:multiLevelType w:val="hybridMultilevel"/>
    <w:tmpl w:val="BF269AA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40AE22E3"/>
    <w:multiLevelType w:val="hybridMultilevel"/>
    <w:tmpl w:val="18E8E46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4B3C751F"/>
    <w:multiLevelType w:val="hybridMultilevel"/>
    <w:tmpl w:val="F2B6D7F0"/>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4D2D73E6"/>
    <w:multiLevelType w:val="hybridMultilevel"/>
    <w:tmpl w:val="9CE81926"/>
    <w:lvl w:ilvl="0" w:tplc="D5D26770">
      <w:numFmt w:val="bullet"/>
      <w:lvlText w:val=""/>
      <w:lvlJc w:val="left"/>
      <w:pPr>
        <w:ind w:left="720" w:hanging="360"/>
      </w:pPr>
      <w:rPr>
        <w:rFonts w:ascii="Wingdings" w:eastAsia="Calibr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EB7113A"/>
    <w:multiLevelType w:val="multilevel"/>
    <w:tmpl w:val="1B54B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920217"/>
    <w:multiLevelType w:val="hybridMultilevel"/>
    <w:tmpl w:val="C752362C"/>
    <w:lvl w:ilvl="0" w:tplc="974CE7CA">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37E422C"/>
    <w:multiLevelType w:val="hybridMultilevel"/>
    <w:tmpl w:val="FBF6D6C0"/>
    <w:lvl w:ilvl="0" w:tplc="040C0011">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391077217">
    <w:abstractNumId w:val="7"/>
  </w:num>
  <w:num w:numId="2" w16cid:durableId="1652515952">
    <w:abstractNumId w:val="5"/>
  </w:num>
  <w:num w:numId="3" w16cid:durableId="1823812271">
    <w:abstractNumId w:val="6"/>
  </w:num>
  <w:num w:numId="4" w16cid:durableId="944338359">
    <w:abstractNumId w:val="1"/>
  </w:num>
  <w:num w:numId="5" w16cid:durableId="272520499">
    <w:abstractNumId w:val="0"/>
  </w:num>
  <w:num w:numId="6" w16cid:durableId="782382628">
    <w:abstractNumId w:val="9"/>
  </w:num>
  <w:num w:numId="7" w16cid:durableId="495613887">
    <w:abstractNumId w:val="4"/>
  </w:num>
  <w:num w:numId="8" w16cid:durableId="1289123060">
    <w:abstractNumId w:val="2"/>
  </w:num>
  <w:num w:numId="9" w16cid:durableId="1140340214">
    <w:abstractNumId w:val="3"/>
  </w:num>
  <w:num w:numId="10" w16cid:durableId="16180284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8DA"/>
    <w:rsid w:val="00000786"/>
    <w:rsid w:val="00003CF9"/>
    <w:rsid w:val="000042FC"/>
    <w:rsid w:val="000053B5"/>
    <w:rsid w:val="00012D50"/>
    <w:rsid w:val="00013E9E"/>
    <w:rsid w:val="00017E48"/>
    <w:rsid w:val="00020894"/>
    <w:rsid w:val="000256B9"/>
    <w:rsid w:val="0003495B"/>
    <w:rsid w:val="00035FFF"/>
    <w:rsid w:val="00036C7D"/>
    <w:rsid w:val="000379C9"/>
    <w:rsid w:val="0004100B"/>
    <w:rsid w:val="0005000C"/>
    <w:rsid w:val="0005232A"/>
    <w:rsid w:val="00061226"/>
    <w:rsid w:val="00061444"/>
    <w:rsid w:val="00073837"/>
    <w:rsid w:val="00077129"/>
    <w:rsid w:val="000811D8"/>
    <w:rsid w:val="00091DF4"/>
    <w:rsid w:val="00094392"/>
    <w:rsid w:val="00094CC3"/>
    <w:rsid w:val="000B42BD"/>
    <w:rsid w:val="000B68F5"/>
    <w:rsid w:val="000C710D"/>
    <w:rsid w:val="000D360F"/>
    <w:rsid w:val="000D612C"/>
    <w:rsid w:val="000E2017"/>
    <w:rsid w:val="000E2B89"/>
    <w:rsid w:val="00101F13"/>
    <w:rsid w:val="00114E80"/>
    <w:rsid w:val="0011571E"/>
    <w:rsid w:val="00125571"/>
    <w:rsid w:val="00132332"/>
    <w:rsid w:val="001361B9"/>
    <w:rsid w:val="001362CE"/>
    <w:rsid w:val="00154532"/>
    <w:rsid w:val="00156542"/>
    <w:rsid w:val="00162201"/>
    <w:rsid w:val="0016427F"/>
    <w:rsid w:val="00165AEC"/>
    <w:rsid w:val="0018649B"/>
    <w:rsid w:val="00194228"/>
    <w:rsid w:val="00196BAA"/>
    <w:rsid w:val="001A3910"/>
    <w:rsid w:val="001A440D"/>
    <w:rsid w:val="001A5369"/>
    <w:rsid w:val="001B566E"/>
    <w:rsid w:val="001B620D"/>
    <w:rsid w:val="001C0690"/>
    <w:rsid w:val="001C116A"/>
    <w:rsid w:val="001C5A74"/>
    <w:rsid w:val="001D1AE7"/>
    <w:rsid w:val="001E0799"/>
    <w:rsid w:val="001E09E7"/>
    <w:rsid w:val="001E18E0"/>
    <w:rsid w:val="001F1B3C"/>
    <w:rsid w:val="001F40B7"/>
    <w:rsid w:val="00207752"/>
    <w:rsid w:val="00223C1B"/>
    <w:rsid w:val="00225848"/>
    <w:rsid w:val="00225AA9"/>
    <w:rsid w:val="00251977"/>
    <w:rsid w:val="0025521F"/>
    <w:rsid w:val="00257D9D"/>
    <w:rsid w:val="0026144D"/>
    <w:rsid w:val="002643EA"/>
    <w:rsid w:val="002674FF"/>
    <w:rsid w:val="00272618"/>
    <w:rsid w:val="00276001"/>
    <w:rsid w:val="00276EB2"/>
    <w:rsid w:val="002811B4"/>
    <w:rsid w:val="00284D75"/>
    <w:rsid w:val="002925FD"/>
    <w:rsid w:val="00297AE6"/>
    <w:rsid w:val="002A36EB"/>
    <w:rsid w:val="002A79AE"/>
    <w:rsid w:val="002B0462"/>
    <w:rsid w:val="002C14F2"/>
    <w:rsid w:val="002C4036"/>
    <w:rsid w:val="002C5CA5"/>
    <w:rsid w:val="002C67B6"/>
    <w:rsid w:val="002D525A"/>
    <w:rsid w:val="002E21B1"/>
    <w:rsid w:val="002F0FBF"/>
    <w:rsid w:val="002F3119"/>
    <w:rsid w:val="002F7043"/>
    <w:rsid w:val="002F795A"/>
    <w:rsid w:val="00307E60"/>
    <w:rsid w:val="00310E68"/>
    <w:rsid w:val="0031161A"/>
    <w:rsid w:val="0031378A"/>
    <w:rsid w:val="00320559"/>
    <w:rsid w:val="00324319"/>
    <w:rsid w:val="00325639"/>
    <w:rsid w:val="003276A1"/>
    <w:rsid w:val="00342BA4"/>
    <w:rsid w:val="00351025"/>
    <w:rsid w:val="003517FB"/>
    <w:rsid w:val="00352841"/>
    <w:rsid w:val="00352954"/>
    <w:rsid w:val="00373A04"/>
    <w:rsid w:val="003753B7"/>
    <w:rsid w:val="003908F2"/>
    <w:rsid w:val="0039154E"/>
    <w:rsid w:val="00391C47"/>
    <w:rsid w:val="00393A42"/>
    <w:rsid w:val="003B654F"/>
    <w:rsid w:val="003B68F2"/>
    <w:rsid w:val="003C09EA"/>
    <w:rsid w:val="003C3706"/>
    <w:rsid w:val="003D1778"/>
    <w:rsid w:val="003D4A4C"/>
    <w:rsid w:val="003D6D72"/>
    <w:rsid w:val="003F68A0"/>
    <w:rsid w:val="003F7960"/>
    <w:rsid w:val="003F79D4"/>
    <w:rsid w:val="00406CCB"/>
    <w:rsid w:val="004114AE"/>
    <w:rsid w:val="004140C5"/>
    <w:rsid w:val="00435469"/>
    <w:rsid w:val="004359B9"/>
    <w:rsid w:val="0044173E"/>
    <w:rsid w:val="00446F57"/>
    <w:rsid w:val="00455154"/>
    <w:rsid w:val="00485821"/>
    <w:rsid w:val="0048609B"/>
    <w:rsid w:val="00491DBE"/>
    <w:rsid w:val="00494F94"/>
    <w:rsid w:val="00495989"/>
    <w:rsid w:val="0049722A"/>
    <w:rsid w:val="004A278B"/>
    <w:rsid w:val="004C0926"/>
    <w:rsid w:val="004D05D7"/>
    <w:rsid w:val="004D0A0D"/>
    <w:rsid w:val="004E1CCE"/>
    <w:rsid w:val="004E48C9"/>
    <w:rsid w:val="004E6A3B"/>
    <w:rsid w:val="004F5CF8"/>
    <w:rsid w:val="004F63C1"/>
    <w:rsid w:val="00504A00"/>
    <w:rsid w:val="00506056"/>
    <w:rsid w:val="00506611"/>
    <w:rsid w:val="005168C7"/>
    <w:rsid w:val="00521478"/>
    <w:rsid w:val="00530B88"/>
    <w:rsid w:val="005379F1"/>
    <w:rsid w:val="005402BC"/>
    <w:rsid w:val="005417E1"/>
    <w:rsid w:val="00543164"/>
    <w:rsid w:val="0054432E"/>
    <w:rsid w:val="00554632"/>
    <w:rsid w:val="00563D20"/>
    <w:rsid w:val="00565CF0"/>
    <w:rsid w:val="00572515"/>
    <w:rsid w:val="00572715"/>
    <w:rsid w:val="00572F3E"/>
    <w:rsid w:val="00577D96"/>
    <w:rsid w:val="0058640E"/>
    <w:rsid w:val="005866F3"/>
    <w:rsid w:val="0059378A"/>
    <w:rsid w:val="005941C9"/>
    <w:rsid w:val="005A0A19"/>
    <w:rsid w:val="005A169C"/>
    <w:rsid w:val="005A55E3"/>
    <w:rsid w:val="005B55B0"/>
    <w:rsid w:val="005B653F"/>
    <w:rsid w:val="005B7019"/>
    <w:rsid w:val="005B717F"/>
    <w:rsid w:val="005C2440"/>
    <w:rsid w:val="005D185A"/>
    <w:rsid w:val="005E01B3"/>
    <w:rsid w:val="005F1D10"/>
    <w:rsid w:val="0060378C"/>
    <w:rsid w:val="00603E75"/>
    <w:rsid w:val="006062FB"/>
    <w:rsid w:val="00620C29"/>
    <w:rsid w:val="00627E9A"/>
    <w:rsid w:val="006340A5"/>
    <w:rsid w:val="00641FAB"/>
    <w:rsid w:val="00646C90"/>
    <w:rsid w:val="00651A32"/>
    <w:rsid w:val="00651A42"/>
    <w:rsid w:val="00652235"/>
    <w:rsid w:val="00656BF8"/>
    <w:rsid w:val="00661D3D"/>
    <w:rsid w:val="0066587C"/>
    <w:rsid w:val="0067603E"/>
    <w:rsid w:val="006779FC"/>
    <w:rsid w:val="00681641"/>
    <w:rsid w:val="00682D62"/>
    <w:rsid w:val="00683C64"/>
    <w:rsid w:val="006850BC"/>
    <w:rsid w:val="006929C4"/>
    <w:rsid w:val="0069376A"/>
    <w:rsid w:val="006944C1"/>
    <w:rsid w:val="00694548"/>
    <w:rsid w:val="006A192C"/>
    <w:rsid w:val="006B1BAA"/>
    <w:rsid w:val="006B41B3"/>
    <w:rsid w:val="006B6A85"/>
    <w:rsid w:val="006B79AB"/>
    <w:rsid w:val="006C26CE"/>
    <w:rsid w:val="006D34B3"/>
    <w:rsid w:val="006E1132"/>
    <w:rsid w:val="006E59C4"/>
    <w:rsid w:val="006E59F9"/>
    <w:rsid w:val="006F6175"/>
    <w:rsid w:val="00701537"/>
    <w:rsid w:val="00703209"/>
    <w:rsid w:val="007112B0"/>
    <w:rsid w:val="00712521"/>
    <w:rsid w:val="00713B7C"/>
    <w:rsid w:val="0071681E"/>
    <w:rsid w:val="00717451"/>
    <w:rsid w:val="00720976"/>
    <w:rsid w:val="007220B6"/>
    <w:rsid w:val="007260DD"/>
    <w:rsid w:val="00732F02"/>
    <w:rsid w:val="00747802"/>
    <w:rsid w:val="00747CED"/>
    <w:rsid w:val="007542F3"/>
    <w:rsid w:val="007552EF"/>
    <w:rsid w:val="00757C91"/>
    <w:rsid w:val="00760D0C"/>
    <w:rsid w:val="00765675"/>
    <w:rsid w:val="007707E6"/>
    <w:rsid w:val="0077274A"/>
    <w:rsid w:val="00774CFE"/>
    <w:rsid w:val="00775A1F"/>
    <w:rsid w:val="0078244A"/>
    <w:rsid w:val="007828A8"/>
    <w:rsid w:val="00790ABF"/>
    <w:rsid w:val="007940A6"/>
    <w:rsid w:val="00794F39"/>
    <w:rsid w:val="00795E36"/>
    <w:rsid w:val="0079648D"/>
    <w:rsid w:val="007A6AEE"/>
    <w:rsid w:val="007B2264"/>
    <w:rsid w:val="007B32FC"/>
    <w:rsid w:val="007C2A02"/>
    <w:rsid w:val="007C2A4F"/>
    <w:rsid w:val="007C3A25"/>
    <w:rsid w:val="007D50C2"/>
    <w:rsid w:val="007D753B"/>
    <w:rsid w:val="007E12C0"/>
    <w:rsid w:val="007E21C5"/>
    <w:rsid w:val="007F0758"/>
    <w:rsid w:val="007F0BD8"/>
    <w:rsid w:val="007F147B"/>
    <w:rsid w:val="007F2C12"/>
    <w:rsid w:val="00800769"/>
    <w:rsid w:val="008030F0"/>
    <w:rsid w:val="008161B5"/>
    <w:rsid w:val="008208BC"/>
    <w:rsid w:val="00822F4B"/>
    <w:rsid w:val="00823456"/>
    <w:rsid w:val="00833D94"/>
    <w:rsid w:val="00833DC1"/>
    <w:rsid w:val="00835794"/>
    <w:rsid w:val="00841AF8"/>
    <w:rsid w:val="00844F49"/>
    <w:rsid w:val="0084624F"/>
    <w:rsid w:val="0085528A"/>
    <w:rsid w:val="00855FEE"/>
    <w:rsid w:val="00860079"/>
    <w:rsid w:val="008664CC"/>
    <w:rsid w:val="00871C89"/>
    <w:rsid w:val="00871E19"/>
    <w:rsid w:val="00893889"/>
    <w:rsid w:val="00896198"/>
    <w:rsid w:val="008B250D"/>
    <w:rsid w:val="008B29C8"/>
    <w:rsid w:val="008B32A7"/>
    <w:rsid w:val="008B48EB"/>
    <w:rsid w:val="008B57D8"/>
    <w:rsid w:val="008C0EE3"/>
    <w:rsid w:val="008C1D15"/>
    <w:rsid w:val="008C372D"/>
    <w:rsid w:val="008C54E6"/>
    <w:rsid w:val="008D367A"/>
    <w:rsid w:val="008D6B73"/>
    <w:rsid w:val="008E1F87"/>
    <w:rsid w:val="008E2721"/>
    <w:rsid w:val="008E6CC5"/>
    <w:rsid w:val="00900F33"/>
    <w:rsid w:val="00904C72"/>
    <w:rsid w:val="009178B4"/>
    <w:rsid w:val="00917FD9"/>
    <w:rsid w:val="00940CF7"/>
    <w:rsid w:val="009522AF"/>
    <w:rsid w:val="0095233A"/>
    <w:rsid w:val="00953F50"/>
    <w:rsid w:val="00955AC2"/>
    <w:rsid w:val="009569EE"/>
    <w:rsid w:val="00956A02"/>
    <w:rsid w:val="0096503B"/>
    <w:rsid w:val="00966A94"/>
    <w:rsid w:val="00966AD0"/>
    <w:rsid w:val="00967386"/>
    <w:rsid w:val="009710FC"/>
    <w:rsid w:val="0098101A"/>
    <w:rsid w:val="009878C9"/>
    <w:rsid w:val="009911F4"/>
    <w:rsid w:val="0099407F"/>
    <w:rsid w:val="009978F5"/>
    <w:rsid w:val="009A14E0"/>
    <w:rsid w:val="009A5AF7"/>
    <w:rsid w:val="009B1199"/>
    <w:rsid w:val="009B291D"/>
    <w:rsid w:val="009B5C77"/>
    <w:rsid w:val="009C1599"/>
    <w:rsid w:val="009C2619"/>
    <w:rsid w:val="009C6F3D"/>
    <w:rsid w:val="009D7E7E"/>
    <w:rsid w:val="009E08C0"/>
    <w:rsid w:val="009E5C8C"/>
    <w:rsid w:val="009E6BF3"/>
    <w:rsid w:val="009F0CCC"/>
    <w:rsid w:val="00A002F1"/>
    <w:rsid w:val="00A113FB"/>
    <w:rsid w:val="00A128DA"/>
    <w:rsid w:val="00A21351"/>
    <w:rsid w:val="00A22F48"/>
    <w:rsid w:val="00A23DE4"/>
    <w:rsid w:val="00A355EB"/>
    <w:rsid w:val="00A466A9"/>
    <w:rsid w:val="00A64AE4"/>
    <w:rsid w:val="00A776B0"/>
    <w:rsid w:val="00A807D9"/>
    <w:rsid w:val="00A81F54"/>
    <w:rsid w:val="00A91E0A"/>
    <w:rsid w:val="00A961DF"/>
    <w:rsid w:val="00AA29C7"/>
    <w:rsid w:val="00AA2DFB"/>
    <w:rsid w:val="00AA6EA4"/>
    <w:rsid w:val="00AA7AAF"/>
    <w:rsid w:val="00AB0A01"/>
    <w:rsid w:val="00AC7FE7"/>
    <w:rsid w:val="00AD009F"/>
    <w:rsid w:val="00AE0035"/>
    <w:rsid w:val="00AE133F"/>
    <w:rsid w:val="00AE3BFE"/>
    <w:rsid w:val="00AF0684"/>
    <w:rsid w:val="00AF0B2C"/>
    <w:rsid w:val="00AF395E"/>
    <w:rsid w:val="00AF6BA6"/>
    <w:rsid w:val="00B038C0"/>
    <w:rsid w:val="00B06294"/>
    <w:rsid w:val="00B149BB"/>
    <w:rsid w:val="00B20D41"/>
    <w:rsid w:val="00B2543A"/>
    <w:rsid w:val="00B3290B"/>
    <w:rsid w:val="00B36D26"/>
    <w:rsid w:val="00B435A0"/>
    <w:rsid w:val="00B445BA"/>
    <w:rsid w:val="00B4663D"/>
    <w:rsid w:val="00B53DFD"/>
    <w:rsid w:val="00B662CE"/>
    <w:rsid w:val="00B71548"/>
    <w:rsid w:val="00B77EA4"/>
    <w:rsid w:val="00B81FD9"/>
    <w:rsid w:val="00B82C71"/>
    <w:rsid w:val="00B8373C"/>
    <w:rsid w:val="00B83CC7"/>
    <w:rsid w:val="00B842B9"/>
    <w:rsid w:val="00B9009C"/>
    <w:rsid w:val="00B908D4"/>
    <w:rsid w:val="00B97E6D"/>
    <w:rsid w:val="00BA4A5B"/>
    <w:rsid w:val="00BB18AF"/>
    <w:rsid w:val="00BB2DC8"/>
    <w:rsid w:val="00BB551B"/>
    <w:rsid w:val="00BC73DE"/>
    <w:rsid w:val="00BE2058"/>
    <w:rsid w:val="00BE21FF"/>
    <w:rsid w:val="00BE3D5D"/>
    <w:rsid w:val="00BF53B9"/>
    <w:rsid w:val="00C0787B"/>
    <w:rsid w:val="00C2204B"/>
    <w:rsid w:val="00C26099"/>
    <w:rsid w:val="00C3348C"/>
    <w:rsid w:val="00C35193"/>
    <w:rsid w:val="00C3679A"/>
    <w:rsid w:val="00C41FF3"/>
    <w:rsid w:val="00C450C1"/>
    <w:rsid w:val="00C572AD"/>
    <w:rsid w:val="00C61645"/>
    <w:rsid w:val="00C643DF"/>
    <w:rsid w:val="00C729E0"/>
    <w:rsid w:val="00C75BAA"/>
    <w:rsid w:val="00C77362"/>
    <w:rsid w:val="00C81158"/>
    <w:rsid w:val="00C823ED"/>
    <w:rsid w:val="00C93244"/>
    <w:rsid w:val="00CA6148"/>
    <w:rsid w:val="00CB1E8D"/>
    <w:rsid w:val="00CB2BD1"/>
    <w:rsid w:val="00CB7475"/>
    <w:rsid w:val="00CC061A"/>
    <w:rsid w:val="00CC2FDE"/>
    <w:rsid w:val="00CC49CE"/>
    <w:rsid w:val="00CC4C49"/>
    <w:rsid w:val="00CC51C9"/>
    <w:rsid w:val="00CC5E1C"/>
    <w:rsid w:val="00CD08C1"/>
    <w:rsid w:val="00CD33CB"/>
    <w:rsid w:val="00CE40FE"/>
    <w:rsid w:val="00D00894"/>
    <w:rsid w:val="00D02737"/>
    <w:rsid w:val="00D0427F"/>
    <w:rsid w:val="00D141EE"/>
    <w:rsid w:val="00D16A53"/>
    <w:rsid w:val="00D20CF7"/>
    <w:rsid w:val="00D21484"/>
    <w:rsid w:val="00D2183D"/>
    <w:rsid w:val="00D308D2"/>
    <w:rsid w:val="00D36A84"/>
    <w:rsid w:val="00D37B44"/>
    <w:rsid w:val="00D42062"/>
    <w:rsid w:val="00D53B21"/>
    <w:rsid w:val="00D5548F"/>
    <w:rsid w:val="00D6189C"/>
    <w:rsid w:val="00D67EB7"/>
    <w:rsid w:val="00D71CFC"/>
    <w:rsid w:val="00D73B0A"/>
    <w:rsid w:val="00D80D33"/>
    <w:rsid w:val="00D84CE2"/>
    <w:rsid w:val="00DA0D43"/>
    <w:rsid w:val="00DA42E8"/>
    <w:rsid w:val="00DB1FED"/>
    <w:rsid w:val="00DD0240"/>
    <w:rsid w:val="00DD24DA"/>
    <w:rsid w:val="00DF57F5"/>
    <w:rsid w:val="00DF76E3"/>
    <w:rsid w:val="00E13490"/>
    <w:rsid w:val="00E16CEC"/>
    <w:rsid w:val="00E20988"/>
    <w:rsid w:val="00E2248C"/>
    <w:rsid w:val="00E31D73"/>
    <w:rsid w:val="00E372BC"/>
    <w:rsid w:val="00E4017C"/>
    <w:rsid w:val="00E44B50"/>
    <w:rsid w:val="00E463A9"/>
    <w:rsid w:val="00E53FD5"/>
    <w:rsid w:val="00E54EC3"/>
    <w:rsid w:val="00E602E8"/>
    <w:rsid w:val="00E6398B"/>
    <w:rsid w:val="00E67206"/>
    <w:rsid w:val="00E74D19"/>
    <w:rsid w:val="00E839D2"/>
    <w:rsid w:val="00E877AA"/>
    <w:rsid w:val="00E8795E"/>
    <w:rsid w:val="00E961D4"/>
    <w:rsid w:val="00EA1BBE"/>
    <w:rsid w:val="00EB13FE"/>
    <w:rsid w:val="00EB4AEE"/>
    <w:rsid w:val="00EB61E7"/>
    <w:rsid w:val="00EB778F"/>
    <w:rsid w:val="00EB7C06"/>
    <w:rsid w:val="00EC1AA1"/>
    <w:rsid w:val="00EC3DA0"/>
    <w:rsid w:val="00ED25C8"/>
    <w:rsid w:val="00ED265E"/>
    <w:rsid w:val="00EE03DF"/>
    <w:rsid w:val="00EF06A4"/>
    <w:rsid w:val="00EF17ED"/>
    <w:rsid w:val="00EF5891"/>
    <w:rsid w:val="00F01230"/>
    <w:rsid w:val="00F05EFC"/>
    <w:rsid w:val="00F10A6F"/>
    <w:rsid w:val="00F1410C"/>
    <w:rsid w:val="00F1749F"/>
    <w:rsid w:val="00F17B1C"/>
    <w:rsid w:val="00F23BA9"/>
    <w:rsid w:val="00F3256B"/>
    <w:rsid w:val="00F36EC9"/>
    <w:rsid w:val="00F36F0E"/>
    <w:rsid w:val="00F37935"/>
    <w:rsid w:val="00F413C1"/>
    <w:rsid w:val="00F473AB"/>
    <w:rsid w:val="00F60A7C"/>
    <w:rsid w:val="00F60B0A"/>
    <w:rsid w:val="00F762C5"/>
    <w:rsid w:val="00F81245"/>
    <w:rsid w:val="00F82FFA"/>
    <w:rsid w:val="00F935BD"/>
    <w:rsid w:val="00F950FE"/>
    <w:rsid w:val="00FA356E"/>
    <w:rsid w:val="00FA3613"/>
    <w:rsid w:val="00FA4DB7"/>
    <w:rsid w:val="00FA7C49"/>
    <w:rsid w:val="00FB4A80"/>
    <w:rsid w:val="00FB57D0"/>
    <w:rsid w:val="00FC6A45"/>
    <w:rsid w:val="00FD13FA"/>
    <w:rsid w:val="00FF0073"/>
    <w:rsid w:val="00FF59E7"/>
    <w:rsid w:val="00FF7AA2"/>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5E7FEA"/>
  <w15:chartTrackingRefBased/>
  <w15:docId w15:val="{5CBC3E77-B269-435F-A8B9-2B57B509B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5891"/>
    <w:pPr>
      <w:keepNext/>
      <w:keepLines/>
      <w:spacing w:before="240" w:after="0"/>
      <w:outlineLvl w:val="0"/>
    </w:pPr>
    <w:rPr>
      <w:rFonts w:asciiTheme="majorHAnsi" w:eastAsiaTheme="majorEastAsia" w:hAnsiTheme="majorHAnsi" w:cstheme="majorBidi"/>
      <w:color w:val="6287D0" w:themeColor="accent1" w:themeShade="BF"/>
      <w:sz w:val="32"/>
      <w:szCs w:val="32"/>
    </w:rPr>
  </w:style>
  <w:style w:type="paragraph" w:styleId="Heading2">
    <w:name w:val="heading 2"/>
    <w:basedOn w:val="Normal"/>
    <w:next w:val="Normal"/>
    <w:link w:val="Heading2Char"/>
    <w:uiPriority w:val="9"/>
    <w:unhideWhenUsed/>
    <w:qFormat/>
    <w:rsid w:val="00EF5891"/>
    <w:pPr>
      <w:keepNext/>
      <w:keepLines/>
      <w:spacing w:before="40" w:after="0"/>
      <w:outlineLvl w:val="1"/>
    </w:pPr>
    <w:rPr>
      <w:rFonts w:asciiTheme="majorHAnsi" w:eastAsiaTheme="majorEastAsia" w:hAnsiTheme="majorHAnsi" w:cstheme="majorBidi"/>
      <w:color w:val="6287D0" w:themeColor="accent1" w:themeShade="BF"/>
      <w:sz w:val="26"/>
      <w:szCs w:val="26"/>
    </w:rPr>
  </w:style>
  <w:style w:type="paragraph" w:styleId="Heading3">
    <w:name w:val="heading 3"/>
    <w:basedOn w:val="Normal"/>
    <w:next w:val="Normal"/>
    <w:link w:val="Heading3Char"/>
    <w:uiPriority w:val="9"/>
    <w:unhideWhenUsed/>
    <w:qFormat/>
    <w:rsid w:val="009A5AF7"/>
    <w:pPr>
      <w:keepNext/>
      <w:keepLines/>
      <w:spacing w:before="40" w:after="0"/>
      <w:outlineLvl w:val="2"/>
    </w:pPr>
    <w:rPr>
      <w:rFonts w:asciiTheme="majorHAnsi" w:eastAsiaTheme="majorEastAsia" w:hAnsiTheme="majorHAnsi" w:cstheme="majorBidi"/>
      <w:color w:val="2F539D"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944C1"/>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unhideWhenUsed/>
    <w:qFormat/>
    <w:rsid w:val="006944C1"/>
    <w:rPr>
      <w:sz w:val="16"/>
      <w:szCs w:val="16"/>
    </w:rPr>
  </w:style>
  <w:style w:type="paragraph" w:styleId="CommentText">
    <w:name w:val="annotation text"/>
    <w:basedOn w:val="Normal"/>
    <w:link w:val="CommentTextChar"/>
    <w:uiPriority w:val="99"/>
    <w:unhideWhenUsed/>
    <w:qFormat/>
    <w:rsid w:val="006944C1"/>
    <w:pPr>
      <w:spacing w:line="240" w:lineRule="auto"/>
    </w:pPr>
    <w:rPr>
      <w:sz w:val="20"/>
      <w:szCs w:val="20"/>
    </w:rPr>
  </w:style>
  <w:style w:type="character" w:customStyle="1" w:styleId="CommentTextChar">
    <w:name w:val="Comment Text Char"/>
    <w:basedOn w:val="DefaultParagraphFont"/>
    <w:link w:val="CommentText"/>
    <w:uiPriority w:val="99"/>
    <w:qFormat/>
    <w:rsid w:val="006944C1"/>
    <w:rPr>
      <w:sz w:val="20"/>
      <w:szCs w:val="20"/>
    </w:rPr>
  </w:style>
  <w:style w:type="paragraph" w:styleId="CommentSubject">
    <w:name w:val="annotation subject"/>
    <w:basedOn w:val="CommentText"/>
    <w:next w:val="CommentText"/>
    <w:link w:val="CommentSubjectChar"/>
    <w:uiPriority w:val="99"/>
    <w:semiHidden/>
    <w:unhideWhenUsed/>
    <w:rsid w:val="006944C1"/>
    <w:rPr>
      <w:b/>
      <w:bCs/>
    </w:rPr>
  </w:style>
  <w:style w:type="character" w:customStyle="1" w:styleId="CommentSubjectChar">
    <w:name w:val="Comment Subject Char"/>
    <w:basedOn w:val="CommentTextChar"/>
    <w:link w:val="CommentSubject"/>
    <w:uiPriority w:val="99"/>
    <w:semiHidden/>
    <w:rsid w:val="006944C1"/>
    <w:rPr>
      <w:b/>
      <w:bCs/>
      <w:sz w:val="20"/>
      <w:szCs w:val="20"/>
    </w:rPr>
  </w:style>
  <w:style w:type="paragraph" w:styleId="BalloonText">
    <w:name w:val="Balloon Text"/>
    <w:basedOn w:val="Normal"/>
    <w:link w:val="BalloonTextChar"/>
    <w:uiPriority w:val="99"/>
    <w:semiHidden/>
    <w:unhideWhenUsed/>
    <w:rsid w:val="006944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44C1"/>
    <w:rPr>
      <w:rFonts w:ascii="Segoe UI" w:hAnsi="Segoe UI" w:cs="Segoe UI"/>
      <w:sz w:val="18"/>
      <w:szCs w:val="18"/>
    </w:rPr>
  </w:style>
  <w:style w:type="paragraph" w:styleId="FootnoteText">
    <w:name w:val="footnote text"/>
    <w:aliases w:val="Car Car Car Car,Car Car Car,Car Char Car Car Car,Car Char Car Car, Char4 Char, Char4 Char Char, Char4 Char Char Char Char, Char4 Char Char Char, Char4 Char Char Char Char Char Char Char, Char4 Char Char Char Char Char C Char Char, Ca"/>
    <w:basedOn w:val="Normal"/>
    <w:link w:val="FootnoteTextChar"/>
    <w:unhideWhenUsed/>
    <w:qFormat/>
    <w:rsid w:val="00967386"/>
    <w:pPr>
      <w:spacing w:after="0" w:line="240" w:lineRule="auto"/>
    </w:pPr>
    <w:rPr>
      <w:sz w:val="20"/>
      <w:szCs w:val="20"/>
    </w:rPr>
  </w:style>
  <w:style w:type="character" w:customStyle="1" w:styleId="FootnoteTextChar">
    <w:name w:val="Footnote Text Char"/>
    <w:aliases w:val="Car Car Car Car Char,Car Car Car Char,Car Char Car Car Car Char,Car Char Car Car Char, Char4 Char Char1, Char4 Char Char Char1, Char4 Char Char Char Char Char, Char4 Char Char Char Char1, Char4 Char Char Char Char Char Char Char Char"/>
    <w:basedOn w:val="DefaultParagraphFont"/>
    <w:link w:val="FootnoteText"/>
    <w:uiPriority w:val="99"/>
    <w:semiHidden/>
    <w:rsid w:val="00967386"/>
    <w:rPr>
      <w:sz w:val="20"/>
      <w:szCs w:val="20"/>
    </w:rPr>
  </w:style>
  <w:style w:type="character" w:styleId="FootnoteReference">
    <w:name w:val="footnote reference"/>
    <w:aliases w:val="*Footnote Reference,Ref,de nota al pie,de nota al pie + (Asian) MS Mincho,11 pt,註腳內容,Footnote Reference1,Ref1,de nota al pie1,de no,de nota al,Footnote Refernece,Car Char Car Char Car Char Char Char Char Char Char Char"/>
    <w:basedOn w:val="DefaultParagraphFont"/>
    <w:unhideWhenUsed/>
    <w:qFormat/>
    <w:rsid w:val="00967386"/>
    <w:rPr>
      <w:vertAlign w:val="superscript"/>
    </w:rPr>
  </w:style>
  <w:style w:type="character" w:styleId="Hyperlink">
    <w:name w:val="Hyperlink"/>
    <w:basedOn w:val="DefaultParagraphFont"/>
    <w:uiPriority w:val="99"/>
    <w:unhideWhenUsed/>
    <w:rsid w:val="00967386"/>
    <w:rPr>
      <w:color w:val="002060" w:themeColor="hyperlink"/>
      <w:u w:val="single"/>
    </w:rPr>
  </w:style>
  <w:style w:type="character" w:styleId="FollowedHyperlink">
    <w:name w:val="FollowedHyperlink"/>
    <w:basedOn w:val="DefaultParagraphFont"/>
    <w:uiPriority w:val="99"/>
    <w:semiHidden/>
    <w:unhideWhenUsed/>
    <w:rsid w:val="002F7043"/>
    <w:rPr>
      <w:color w:val="0070C0" w:themeColor="followedHyperlink"/>
      <w:u w:val="single"/>
    </w:rPr>
  </w:style>
  <w:style w:type="character" w:customStyle="1" w:styleId="markedcontent">
    <w:name w:val="markedcontent"/>
    <w:basedOn w:val="DefaultParagraphFont"/>
    <w:rsid w:val="0031378A"/>
  </w:style>
  <w:style w:type="character" w:customStyle="1" w:styleId="highlight">
    <w:name w:val="highlight"/>
    <w:basedOn w:val="DefaultParagraphFont"/>
    <w:rsid w:val="0031378A"/>
  </w:style>
  <w:style w:type="paragraph" w:styleId="Header">
    <w:name w:val="header"/>
    <w:aliases w:val="6_G"/>
    <w:basedOn w:val="Normal"/>
    <w:link w:val="HeaderChar"/>
    <w:uiPriority w:val="99"/>
    <w:unhideWhenUsed/>
    <w:qFormat/>
    <w:rsid w:val="0069376A"/>
    <w:pPr>
      <w:tabs>
        <w:tab w:val="center" w:pos="4536"/>
        <w:tab w:val="right" w:pos="9072"/>
      </w:tabs>
      <w:spacing w:after="0" w:line="240" w:lineRule="auto"/>
    </w:pPr>
  </w:style>
  <w:style w:type="character" w:customStyle="1" w:styleId="HeaderChar">
    <w:name w:val="Header Char"/>
    <w:aliases w:val="6_G Char"/>
    <w:basedOn w:val="DefaultParagraphFont"/>
    <w:link w:val="Header"/>
    <w:uiPriority w:val="99"/>
    <w:rsid w:val="0069376A"/>
  </w:style>
  <w:style w:type="paragraph" w:styleId="Footer">
    <w:name w:val="footer"/>
    <w:basedOn w:val="Normal"/>
    <w:link w:val="FooterChar"/>
    <w:uiPriority w:val="99"/>
    <w:unhideWhenUsed/>
    <w:rsid w:val="0069376A"/>
    <w:pPr>
      <w:tabs>
        <w:tab w:val="center" w:pos="4536"/>
        <w:tab w:val="right" w:pos="9072"/>
      </w:tabs>
      <w:spacing w:after="0" w:line="240" w:lineRule="auto"/>
    </w:pPr>
  </w:style>
  <w:style w:type="character" w:customStyle="1" w:styleId="FooterChar">
    <w:name w:val="Footer Char"/>
    <w:basedOn w:val="DefaultParagraphFont"/>
    <w:link w:val="Footer"/>
    <w:uiPriority w:val="99"/>
    <w:rsid w:val="0069376A"/>
  </w:style>
  <w:style w:type="character" w:styleId="Strong">
    <w:name w:val="Strong"/>
    <w:basedOn w:val="DefaultParagraphFont"/>
    <w:uiPriority w:val="22"/>
    <w:qFormat/>
    <w:rsid w:val="00CC061A"/>
    <w:rPr>
      <w:b/>
      <w:bCs/>
    </w:rPr>
  </w:style>
  <w:style w:type="character" w:customStyle="1" w:styleId="Heading1Char">
    <w:name w:val="Heading 1 Char"/>
    <w:basedOn w:val="DefaultParagraphFont"/>
    <w:link w:val="Heading1"/>
    <w:uiPriority w:val="9"/>
    <w:rsid w:val="00EF5891"/>
    <w:rPr>
      <w:rFonts w:asciiTheme="majorHAnsi" w:eastAsiaTheme="majorEastAsia" w:hAnsiTheme="majorHAnsi" w:cstheme="majorBidi"/>
      <w:color w:val="6287D0" w:themeColor="accent1" w:themeShade="BF"/>
      <w:sz w:val="32"/>
      <w:szCs w:val="32"/>
    </w:rPr>
  </w:style>
  <w:style w:type="character" w:customStyle="1" w:styleId="Heading2Char">
    <w:name w:val="Heading 2 Char"/>
    <w:basedOn w:val="DefaultParagraphFont"/>
    <w:link w:val="Heading2"/>
    <w:uiPriority w:val="9"/>
    <w:rsid w:val="00EF5891"/>
    <w:rPr>
      <w:rFonts w:asciiTheme="majorHAnsi" w:eastAsiaTheme="majorEastAsia" w:hAnsiTheme="majorHAnsi" w:cstheme="majorBidi"/>
      <w:color w:val="6287D0" w:themeColor="accent1" w:themeShade="BF"/>
      <w:sz w:val="26"/>
      <w:szCs w:val="26"/>
    </w:rPr>
  </w:style>
  <w:style w:type="paragraph" w:styleId="NoSpacing">
    <w:name w:val="No Spacing"/>
    <w:link w:val="NoSpacingChar"/>
    <w:uiPriority w:val="1"/>
    <w:qFormat/>
    <w:rsid w:val="00B2543A"/>
    <w:pPr>
      <w:spacing w:after="0" w:line="240" w:lineRule="auto"/>
    </w:pPr>
    <w:rPr>
      <w:rFonts w:eastAsiaTheme="minorEastAsia"/>
      <w:lang w:eastAsia="fr-FR"/>
    </w:rPr>
  </w:style>
  <w:style w:type="character" w:customStyle="1" w:styleId="NoSpacingChar">
    <w:name w:val="No Spacing Char"/>
    <w:basedOn w:val="DefaultParagraphFont"/>
    <w:link w:val="NoSpacing"/>
    <w:uiPriority w:val="1"/>
    <w:rsid w:val="00B2543A"/>
    <w:rPr>
      <w:rFonts w:eastAsiaTheme="minorEastAsia"/>
      <w:lang w:eastAsia="fr-FR"/>
    </w:rPr>
  </w:style>
  <w:style w:type="paragraph" w:styleId="NormalWeb">
    <w:name w:val="Normal (Web)"/>
    <w:basedOn w:val="Normal"/>
    <w:uiPriority w:val="99"/>
    <w:unhideWhenUsed/>
    <w:rsid w:val="00D5548F"/>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Heading3Char">
    <w:name w:val="Heading 3 Char"/>
    <w:basedOn w:val="DefaultParagraphFont"/>
    <w:link w:val="Heading3"/>
    <w:uiPriority w:val="9"/>
    <w:rsid w:val="009A5AF7"/>
    <w:rPr>
      <w:rFonts w:asciiTheme="majorHAnsi" w:eastAsiaTheme="majorEastAsia" w:hAnsiTheme="majorHAnsi" w:cstheme="majorBidi"/>
      <w:color w:val="2F539D" w:themeColor="accent1" w:themeShade="7F"/>
      <w:sz w:val="24"/>
      <w:szCs w:val="24"/>
    </w:rPr>
  </w:style>
  <w:style w:type="paragraph" w:styleId="ListParagraph">
    <w:name w:val="List Paragraph"/>
    <w:basedOn w:val="Normal"/>
    <w:uiPriority w:val="34"/>
    <w:qFormat/>
    <w:rsid w:val="00506056"/>
    <w:pPr>
      <w:ind w:left="720"/>
      <w:contextualSpacing/>
    </w:pPr>
  </w:style>
  <w:style w:type="character" w:customStyle="1" w:styleId="NotedebasdepageCar1">
    <w:name w:val="Note de bas de page Car1"/>
    <w:uiPriority w:val="99"/>
    <w:semiHidden/>
    <w:locked/>
    <w:rsid w:val="007D50C2"/>
    <w:rPr>
      <w:rFonts w:cs="Calibri"/>
      <w:lang w:eastAsia="en-US"/>
    </w:rPr>
  </w:style>
  <w:style w:type="character" w:styleId="Emphasis">
    <w:name w:val="Emphasis"/>
    <w:uiPriority w:val="20"/>
    <w:qFormat/>
    <w:rsid w:val="007D50C2"/>
    <w:rPr>
      <w:i/>
      <w:iCs/>
    </w:rPr>
  </w:style>
  <w:style w:type="character" w:customStyle="1" w:styleId="NotesdebasdepageCar">
    <w:name w:val="Notes de bas de page Car"/>
    <w:link w:val="Notesdebasdepage"/>
    <w:uiPriority w:val="99"/>
    <w:qFormat/>
    <w:locked/>
    <w:rsid w:val="00620C29"/>
    <w:rPr>
      <w:rFonts w:ascii="Arial" w:eastAsia="Times New Roman" w:hAnsi="Arial"/>
      <w:color w:val="000000"/>
      <w:sz w:val="18"/>
    </w:rPr>
  </w:style>
  <w:style w:type="paragraph" w:customStyle="1" w:styleId="Notesdebasdepage">
    <w:name w:val="Notes de bas de page"/>
    <w:basedOn w:val="FootnoteText"/>
    <w:link w:val="NotesdebasdepageCar"/>
    <w:uiPriority w:val="99"/>
    <w:qFormat/>
    <w:rsid w:val="00620C29"/>
    <w:pPr>
      <w:suppressAutoHyphens/>
      <w:jc w:val="both"/>
    </w:pPr>
    <w:rPr>
      <w:rFonts w:ascii="Arial" w:eastAsia="Times New Roman" w:hAnsi="Arial"/>
      <w:color w:val="000000"/>
      <w:sz w:val="18"/>
      <w:szCs w:val="22"/>
    </w:rPr>
  </w:style>
  <w:style w:type="paragraph" w:customStyle="1" w:styleId="popslotparagraph">
    <w:name w:val="popslotparagraph"/>
    <w:basedOn w:val="Normal"/>
    <w:rsid w:val="00504A00"/>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extedelespacerserv">
    <w:name w:val="Texte de l’espace réservé"/>
    <w:basedOn w:val="DefaultParagraphFont"/>
    <w:uiPriority w:val="99"/>
    <w:semiHidden/>
    <w:rsid w:val="001C116A"/>
    <w:rPr>
      <w:color w:val="808080"/>
    </w:rPr>
  </w:style>
  <w:style w:type="paragraph" w:styleId="Revision">
    <w:name w:val="Revision"/>
    <w:hidden/>
    <w:uiPriority w:val="99"/>
    <w:semiHidden/>
    <w:rsid w:val="0086007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08049">
      <w:bodyDiv w:val="1"/>
      <w:marLeft w:val="0"/>
      <w:marRight w:val="0"/>
      <w:marTop w:val="0"/>
      <w:marBottom w:val="0"/>
      <w:divBdr>
        <w:top w:val="none" w:sz="0" w:space="0" w:color="auto"/>
        <w:left w:val="none" w:sz="0" w:space="0" w:color="auto"/>
        <w:bottom w:val="none" w:sz="0" w:space="0" w:color="auto"/>
        <w:right w:val="none" w:sz="0" w:space="0" w:color="auto"/>
      </w:divBdr>
    </w:div>
    <w:div w:id="53282998">
      <w:bodyDiv w:val="1"/>
      <w:marLeft w:val="0"/>
      <w:marRight w:val="0"/>
      <w:marTop w:val="0"/>
      <w:marBottom w:val="0"/>
      <w:divBdr>
        <w:top w:val="none" w:sz="0" w:space="0" w:color="auto"/>
        <w:left w:val="none" w:sz="0" w:space="0" w:color="auto"/>
        <w:bottom w:val="none" w:sz="0" w:space="0" w:color="auto"/>
        <w:right w:val="none" w:sz="0" w:space="0" w:color="auto"/>
      </w:divBdr>
      <w:divsChild>
        <w:div w:id="976568411">
          <w:marLeft w:val="0"/>
          <w:marRight w:val="0"/>
          <w:marTop w:val="0"/>
          <w:marBottom w:val="0"/>
          <w:divBdr>
            <w:top w:val="none" w:sz="0" w:space="0" w:color="auto"/>
            <w:left w:val="none" w:sz="0" w:space="0" w:color="auto"/>
            <w:bottom w:val="none" w:sz="0" w:space="0" w:color="auto"/>
            <w:right w:val="none" w:sz="0" w:space="0" w:color="auto"/>
          </w:divBdr>
          <w:divsChild>
            <w:div w:id="7096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60197">
      <w:bodyDiv w:val="1"/>
      <w:marLeft w:val="0"/>
      <w:marRight w:val="0"/>
      <w:marTop w:val="0"/>
      <w:marBottom w:val="0"/>
      <w:divBdr>
        <w:top w:val="none" w:sz="0" w:space="0" w:color="auto"/>
        <w:left w:val="none" w:sz="0" w:space="0" w:color="auto"/>
        <w:bottom w:val="none" w:sz="0" w:space="0" w:color="auto"/>
        <w:right w:val="none" w:sz="0" w:space="0" w:color="auto"/>
      </w:divBdr>
    </w:div>
    <w:div w:id="543177804">
      <w:bodyDiv w:val="1"/>
      <w:marLeft w:val="0"/>
      <w:marRight w:val="0"/>
      <w:marTop w:val="0"/>
      <w:marBottom w:val="0"/>
      <w:divBdr>
        <w:top w:val="none" w:sz="0" w:space="0" w:color="auto"/>
        <w:left w:val="none" w:sz="0" w:space="0" w:color="auto"/>
        <w:bottom w:val="none" w:sz="0" w:space="0" w:color="auto"/>
        <w:right w:val="none" w:sz="0" w:space="0" w:color="auto"/>
      </w:divBdr>
    </w:div>
    <w:div w:id="554900240">
      <w:bodyDiv w:val="1"/>
      <w:marLeft w:val="0"/>
      <w:marRight w:val="0"/>
      <w:marTop w:val="0"/>
      <w:marBottom w:val="0"/>
      <w:divBdr>
        <w:top w:val="none" w:sz="0" w:space="0" w:color="auto"/>
        <w:left w:val="none" w:sz="0" w:space="0" w:color="auto"/>
        <w:bottom w:val="none" w:sz="0" w:space="0" w:color="auto"/>
        <w:right w:val="none" w:sz="0" w:space="0" w:color="auto"/>
      </w:divBdr>
      <w:divsChild>
        <w:div w:id="414984729">
          <w:marLeft w:val="0"/>
          <w:marRight w:val="0"/>
          <w:marTop w:val="0"/>
          <w:marBottom w:val="0"/>
          <w:divBdr>
            <w:top w:val="none" w:sz="0" w:space="0" w:color="auto"/>
            <w:left w:val="none" w:sz="0" w:space="0" w:color="auto"/>
            <w:bottom w:val="none" w:sz="0" w:space="0" w:color="auto"/>
            <w:right w:val="none" w:sz="0" w:space="0" w:color="auto"/>
          </w:divBdr>
        </w:div>
      </w:divsChild>
    </w:div>
    <w:div w:id="611671007">
      <w:bodyDiv w:val="1"/>
      <w:marLeft w:val="0"/>
      <w:marRight w:val="0"/>
      <w:marTop w:val="0"/>
      <w:marBottom w:val="0"/>
      <w:divBdr>
        <w:top w:val="none" w:sz="0" w:space="0" w:color="auto"/>
        <w:left w:val="none" w:sz="0" w:space="0" w:color="auto"/>
        <w:bottom w:val="none" w:sz="0" w:space="0" w:color="auto"/>
        <w:right w:val="none" w:sz="0" w:space="0" w:color="auto"/>
      </w:divBdr>
    </w:div>
    <w:div w:id="631712332">
      <w:bodyDiv w:val="1"/>
      <w:marLeft w:val="0"/>
      <w:marRight w:val="0"/>
      <w:marTop w:val="0"/>
      <w:marBottom w:val="0"/>
      <w:divBdr>
        <w:top w:val="none" w:sz="0" w:space="0" w:color="auto"/>
        <w:left w:val="none" w:sz="0" w:space="0" w:color="auto"/>
        <w:bottom w:val="none" w:sz="0" w:space="0" w:color="auto"/>
        <w:right w:val="none" w:sz="0" w:space="0" w:color="auto"/>
      </w:divBdr>
    </w:div>
    <w:div w:id="642080961">
      <w:bodyDiv w:val="1"/>
      <w:marLeft w:val="0"/>
      <w:marRight w:val="0"/>
      <w:marTop w:val="0"/>
      <w:marBottom w:val="0"/>
      <w:divBdr>
        <w:top w:val="none" w:sz="0" w:space="0" w:color="auto"/>
        <w:left w:val="none" w:sz="0" w:space="0" w:color="auto"/>
        <w:bottom w:val="none" w:sz="0" w:space="0" w:color="auto"/>
        <w:right w:val="none" w:sz="0" w:space="0" w:color="auto"/>
      </w:divBdr>
    </w:div>
    <w:div w:id="664014060">
      <w:bodyDiv w:val="1"/>
      <w:marLeft w:val="0"/>
      <w:marRight w:val="0"/>
      <w:marTop w:val="0"/>
      <w:marBottom w:val="0"/>
      <w:divBdr>
        <w:top w:val="none" w:sz="0" w:space="0" w:color="auto"/>
        <w:left w:val="none" w:sz="0" w:space="0" w:color="auto"/>
        <w:bottom w:val="none" w:sz="0" w:space="0" w:color="auto"/>
        <w:right w:val="none" w:sz="0" w:space="0" w:color="auto"/>
      </w:divBdr>
    </w:div>
    <w:div w:id="713233951">
      <w:bodyDiv w:val="1"/>
      <w:marLeft w:val="0"/>
      <w:marRight w:val="0"/>
      <w:marTop w:val="0"/>
      <w:marBottom w:val="0"/>
      <w:divBdr>
        <w:top w:val="none" w:sz="0" w:space="0" w:color="auto"/>
        <w:left w:val="none" w:sz="0" w:space="0" w:color="auto"/>
        <w:bottom w:val="none" w:sz="0" w:space="0" w:color="auto"/>
        <w:right w:val="none" w:sz="0" w:space="0" w:color="auto"/>
      </w:divBdr>
    </w:div>
    <w:div w:id="870073358">
      <w:bodyDiv w:val="1"/>
      <w:marLeft w:val="0"/>
      <w:marRight w:val="0"/>
      <w:marTop w:val="0"/>
      <w:marBottom w:val="0"/>
      <w:divBdr>
        <w:top w:val="none" w:sz="0" w:space="0" w:color="auto"/>
        <w:left w:val="none" w:sz="0" w:space="0" w:color="auto"/>
        <w:bottom w:val="none" w:sz="0" w:space="0" w:color="auto"/>
        <w:right w:val="none" w:sz="0" w:space="0" w:color="auto"/>
      </w:divBdr>
    </w:div>
    <w:div w:id="910693773">
      <w:bodyDiv w:val="1"/>
      <w:marLeft w:val="0"/>
      <w:marRight w:val="0"/>
      <w:marTop w:val="0"/>
      <w:marBottom w:val="0"/>
      <w:divBdr>
        <w:top w:val="none" w:sz="0" w:space="0" w:color="auto"/>
        <w:left w:val="none" w:sz="0" w:space="0" w:color="auto"/>
        <w:bottom w:val="none" w:sz="0" w:space="0" w:color="auto"/>
        <w:right w:val="none" w:sz="0" w:space="0" w:color="auto"/>
      </w:divBdr>
      <w:divsChild>
        <w:div w:id="705328104">
          <w:marLeft w:val="0"/>
          <w:marRight w:val="0"/>
          <w:marTop w:val="0"/>
          <w:marBottom w:val="0"/>
          <w:divBdr>
            <w:top w:val="none" w:sz="0" w:space="0" w:color="auto"/>
            <w:left w:val="none" w:sz="0" w:space="0" w:color="auto"/>
            <w:bottom w:val="none" w:sz="0" w:space="0" w:color="auto"/>
            <w:right w:val="none" w:sz="0" w:space="0" w:color="auto"/>
          </w:divBdr>
          <w:divsChild>
            <w:div w:id="56973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588108">
      <w:bodyDiv w:val="1"/>
      <w:marLeft w:val="0"/>
      <w:marRight w:val="0"/>
      <w:marTop w:val="0"/>
      <w:marBottom w:val="0"/>
      <w:divBdr>
        <w:top w:val="none" w:sz="0" w:space="0" w:color="auto"/>
        <w:left w:val="none" w:sz="0" w:space="0" w:color="auto"/>
        <w:bottom w:val="none" w:sz="0" w:space="0" w:color="auto"/>
        <w:right w:val="none" w:sz="0" w:space="0" w:color="auto"/>
      </w:divBdr>
    </w:div>
    <w:div w:id="979070300">
      <w:bodyDiv w:val="1"/>
      <w:marLeft w:val="0"/>
      <w:marRight w:val="0"/>
      <w:marTop w:val="0"/>
      <w:marBottom w:val="0"/>
      <w:divBdr>
        <w:top w:val="none" w:sz="0" w:space="0" w:color="auto"/>
        <w:left w:val="none" w:sz="0" w:space="0" w:color="auto"/>
        <w:bottom w:val="none" w:sz="0" w:space="0" w:color="auto"/>
        <w:right w:val="none" w:sz="0" w:space="0" w:color="auto"/>
      </w:divBdr>
    </w:div>
    <w:div w:id="999500292">
      <w:bodyDiv w:val="1"/>
      <w:marLeft w:val="0"/>
      <w:marRight w:val="0"/>
      <w:marTop w:val="0"/>
      <w:marBottom w:val="0"/>
      <w:divBdr>
        <w:top w:val="none" w:sz="0" w:space="0" w:color="auto"/>
        <w:left w:val="none" w:sz="0" w:space="0" w:color="auto"/>
        <w:bottom w:val="none" w:sz="0" w:space="0" w:color="auto"/>
        <w:right w:val="none" w:sz="0" w:space="0" w:color="auto"/>
      </w:divBdr>
    </w:div>
    <w:div w:id="1125198850">
      <w:bodyDiv w:val="1"/>
      <w:marLeft w:val="0"/>
      <w:marRight w:val="0"/>
      <w:marTop w:val="0"/>
      <w:marBottom w:val="0"/>
      <w:divBdr>
        <w:top w:val="none" w:sz="0" w:space="0" w:color="auto"/>
        <w:left w:val="none" w:sz="0" w:space="0" w:color="auto"/>
        <w:bottom w:val="none" w:sz="0" w:space="0" w:color="auto"/>
        <w:right w:val="none" w:sz="0" w:space="0" w:color="auto"/>
      </w:divBdr>
    </w:div>
    <w:div w:id="1150443124">
      <w:bodyDiv w:val="1"/>
      <w:marLeft w:val="0"/>
      <w:marRight w:val="0"/>
      <w:marTop w:val="0"/>
      <w:marBottom w:val="0"/>
      <w:divBdr>
        <w:top w:val="none" w:sz="0" w:space="0" w:color="auto"/>
        <w:left w:val="none" w:sz="0" w:space="0" w:color="auto"/>
        <w:bottom w:val="none" w:sz="0" w:space="0" w:color="auto"/>
        <w:right w:val="none" w:sz="0" w:space="0" w:color="auto"/>
      </w:divBdr>
    </w:div>
    <w:div w:id="1244493471">
      <w:bodyDiv w:val="1"/>
      <w:marLeft w:val="0"/>
      <w:marRight w:val="0"/>
      <w:marTop w:val="0"/>
      <w:marBottom w:val="0"/>
      <w:divBdr>
        <w:top w:val="none" w:sz="0" w:space="0" w:color="auto"/>
        <w:left w:val="none" w:sz="0" w:space="0" w:color="auto"/>
        <w:bottom w:val="none" w:sz="0" w:space="0" w:color="auto"/>
        <w:right w:val="none" w:sz="0" w:space="0" w:color="auto"/>
      </w:divBdr>
    </w:div>
    <w:div w:id="1250114614">
      <w:bodyDiv w:val="1"/>
      <w:marLeft w:val="0"/>
      <w:marRight w:val="0"/>
      <w:marTop w:val="0"/>
      <w:marBottom w:val="0"/>
      <w:divBdr>
        <w:top w:val="none" w:sz="0" w:space="0" w:color="auto"/>
        <w:left w:val="none" w:sz="0" w:space="0" w:color="auto"/>
        <w:bottom w:val="none" w:sz="0" w:space="0" w:color="auto"/>
        <w:right w:val="none" w:sz="0" w:space="0" w:color="auto"/>
      </w:divBdr>
    </w:div>
    <w:div w:id="1359699611">
      <w:bodyDiv w:val="1"/>
      <w:marLeft w:val="0"/>
      <w:marRight w:val="0"/>
      <w:marTop w:val="0"/>
      <w:marBottom w:val="0"/>
      <w:divBdr>
        <w:top w:val="none" w:sz="0" w:space="0" w:color="auto"/>
        <w:left w:val="none" w:sz="0" w:space="0" w:color="auto"/>
        <w:bottom w:val="none" w:sz="0" w:space="0" w:color="auto"/>
        <w:right w:val="none" w:sz="0" w:space="0" w:color="auto"/>
      </w:divBdr>
    </w:div>
    <w:div w:id="1714693270">
      <w:bodyDiv w:val="1"/>
      <w:marLeft w:val="0"/>
      <w:marRight w:val="0"/>
      <w:marTop w:val="0"/>
      <w:marBottom w:val="0"/>
      <w:divBdr>
        <w:top w:val="none" w:sz="0" w:space="0" w:color="auto"/>
        <w:left w:val="none" w:sz="0" w:space="0" w:color="auto"/>
        <w:bottom w:val="none" w:sz="0" w:space="0" w:color="auto"/>
        <w:right w:val="none" w:sz="0" w:space="0" w:color="auto"/>
      </w:divBdr>
    </w:div>
    <w:div w:id="1740395785">
      <w:bodyDiv w:val="1"/>
      <w:marLeft w:val="0"/>
      <w:marRight w:val="0"/>
      <w:marTop w:val="0"/>
      <w:marBottom w:val="0"/>
      <w:divBdr>
        <w:top w:val="none" w:sz="0" w:space="0" w:color="auto"/>
        <w:left w:val="none" w:sz="0" w:space="0" w:color="auto"/>
        <w:bottom w:val="none" w:sz="0" w:space="0" w:color="auto"/>
        <w:right w:val="none" w:sz="0" w:space="0" w:color="auto"/>
      </w:divBdr>
    </w:div>
    <w:div w:id="1780828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youtube.com/playlist?list=PLPwUN-fDKS_GtxuWMfW-yXOzctkzkXP03"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ogle.com/url?sa=t&amp;rct=j&amp;q=&amp;esrc=s&amp;source=web&amp;cd=&amp;cad=rja&amp;uact=8&amp;ved=2ahUKEwiS_sPj8ZyAAxUaUKQEHUsLD_gQFnoECA0QAQ&amp;url=http%3A%2F%2Fwww.cncdh.fr%2Fpublications%2Favis-sur-les-violences-contre-les-femmes-et-les-feminicides&amp;usg=AOvVaw3SxH-mhLgRujA0rx8aaHFF&amp;opi=89978449" TargetMode="External"/><Relationship Id="rId17" Type="http://schemas.openxmlformats.org/officeDocument/2006/relationships/hyperlink" Target="https://www.cncdh.fr/femmes" TargetMode="External"/><Relationship Id="rId2" Type="http://schemas.openxmlformats.org/officeDocument/2006/relationships/numbering" Target="numbering.xml"/><Relationship Id="rId16" Type="http://schemas.openxmlformats.org/officeDocument/2006/relationships/hyperlink" Target="https://www.cncdh.fr/"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hyperlink" Target="https://www.service-public.fr/particuliers/vosdroits/F1526"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ncdh.fr/sites/default/files/2022-10/651220010_CNCDH_DroitsDesFemmes_Web_Access.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6CB52BE3B7B48738D3EBE0FB1D2DE92"/>
        <w:category>
          <w:name w:val="Général"/>
          <w:gallery w:val="placeholder"/>
        </w:category>
        <w:types>
          <w:type w:val="bbPlcHdr"/>
        </w:types>
        <w:behaviors>
          <w:behavior w:val="content"/>
        </w:behaviors>
        <w:guid w:val="{CE4B4D69-1C6F-47EC-B7D8-81FC654E606D}"/>
      </w:docPartPr>
      <w:docPartBody>
        <w:p w:rsidR="00E3586D" w:rsidRDefault="00314128" w:rsidP="00314128">
          <w:pPr>
            <w:pStyle w:val="86CB52BE3B7B48738D3EBE0FB1D2DE92"/>
          </w:pPr>
          <w:r>
            <w:rPr>
              <w:rStyle w:val="Textedelespacerserv"/>
            </w:rPr>
            <w:t>[Auteur]</w:t>
          </w:r>
        </w:p>
      </w:docPartBody>
    </w:docPart>
    <w:docPart>
      <w:docPartPr>
        <w:name w:val="C7BC5ABB34B4447FA0ADBC00816BEC6D"/>
        <w:category>
          <w:name w:val="Général"/>
          <w:gallery w:val="placeholder"/>
        </w:category>
        <w:types>
          <w:type w:val="bbPlcHdr"/>
        </w:types>
        <w:behaviors>
          <w:behavior w:val="content"/>
        </w:behaviors>
        <w:guid w:val="{EB7AA7AC-AB96-4548-A34E-DCBFD5CA6E2E}"/>
      </w:docPartPr>
      <w:docPartBody>
        <w:p w:rsidR="006D0EF7" w:rsidRDefault="00F83251" w:rsidP="00F83251">
          <w:pPr>
            <w:pStyle w:val="C7BC5ABB34B4447FA0ADBC00816BEC6D"/>
          </w:pPr>
          <w:r>
            <w:rPr>
              <w:rStyle w:val="Textedelespacerserv"/>
            </w:rPr>
            <w:t>[Auteur]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128"/>
    <w:rsid w:val="00012727"/>
    <w:rsid w:val="002B32C3"/>
    <w:rsid w:val="00314128"/>
    <w:rsid w:val="00633632"/>
    <w:rsid w:val="006D0EF7"/>
    <w:rsid w:val="00706B4C"/>
    <w:rsid w:val="00765940"/>
    <w:rsid w:val="00A562C0"/>
    <w:rsid w:val="00E14F91"/>
    <w:rsid w:val="00E3586D"/>
    <w:rsid w:val="00F83251"/>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edelespacerserv">
    <w:name w:val="Texte de l’espace réservé"/>
    <w:basedOn w:val="DefaultParagraphFont"/>
    <w:uiPriority w:val="99"/>
    <w:semiHidden/>
    <w:rsid w:val="00F83251"/>
    <w:rPr>
      <w:color w:val="808080"/>
    </w:rPr>
  </w:style>
  <w:style w:type="paragraph" w:customStyle="1" w:styleId="86CB52BE3B7B48738D3EBE0FB1D2DE92">
    <w:name w:val="86CB52BE3B7B48738D3EBE0FB1D2DE92"/>
    <w:rsid w:val="00314128"/>
  </w:style>
  <w:style w:type="paragraph" w:customStyle="1" w:styleId="C7BC5ABB34B4447FA0ADBC00816BEC6D">
    <w:name w:val="C7BC5ABB34B4447FA0ADBC00816BEC6D"/>
    <w:rsid w:val="00F83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Thème Office">
  <a:themeElements>
    <a:clrScheme name="Personnalisé 5">
      <a:dk1>
        <a:srgbClr val="002060"/>
      </a:dk1>
      <a:lt1>
        <a:srgbClr val="FFFFFF"/>
      </a:lt1>
      <a:dk2>
        <a:srgbClr val="FFFFFF"/>
      </a:dk2>
      <a:lt2>
        <a:srgbClr val="D9E0E6"/>
      </a:lt2>
      <a:accent1>
        <a:srgbClr val="B2C4E8"/>
      </a:accent1>
      <a:accent2>
        <a:srgbClr val="F66966"/>
      </a:accent2>
      <a:accent3>
        <a:srgbClr val="FFD13F"/>
      </a:accent3>
      <a:accent4>
        <a:srgbClr val="FFE48F"/>
      </a:accent4>
      <a:accent5>
        <a:srgbClr val="FFEDB3"/>
      </a:accent5>
      <a:accent6>
        <a:srgbClr val="F4C4F4"/>
      </a:accent6>
      <a:hlink>
        <a:srgbClr val="002060"/>
      </a:hlink>
      <a:folHlink>
        <a:srgbClr val="0070C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FABF6C-0FC0-4029-BEF3-485BB5BAC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3670</Words>
  <Characters>20921</Characters>
  <Application>Microsoft Office Word</Application>
  <DocSecurity>0</DocSecurity>
  <Lines>174</Lines>
  <Paragraphs>49</Paragraphs>
  <ScaleCrop>false</ScaleCrop>
  <HeadingPairs>
    <vt:vector size="2" baseType="variant">
      <vt:variant>
        <vt:lpstr>Titre</vt:lpstr>
      </vt:variant>
      <vt:variant>
        <vt:i4>1</vt:i4>
      </vt:variant>
    </vt:vector>
  </HeadingPairs>
  <TitlesOfParts>
    <vt:vector size="1" baseType="lpstr">
      <vt:lpstr>Rapport parallèle de la Commission nationale consultative des droits de l’homme, INDH française</vt:lpstr>
    </vt:vector>
  </TitlesOfParts>
  <Company>SPM</Company>
  <LinksUpToDate>false</LinksUpToDate>
  <CharactersWithSpaces>24542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 parallèle de la Commission nationale consultative des droits de l’homme, INDH française</dc:title>
  <dc:subject/>
  <dc:creator>Commission nationale consultative des droits de l’homme</dc:creator>
  <cp:keywords/>
  <dc:description/>
  <cp:lastModifiedBy>Caroline Harvey</cp:lastModifiedBy>
  <cp:revision>2</cp:revision>
  <dcterms:created xsi:type="dcterms:W3CDTF">2023-09-18T08:24:00Z</dcterms:created>
  <dcterms:modified xsi:type="dcterms:W3CDTF">2023-09-18T08:24:00Z</dcterms:modified>
</cp:coreProperties>
</file>