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20C6D" w14:textId="77777777" w:rsidR="005403E3" w:rsidRPr="00FA365A" w:rsidRDefault="005403E3" w:rsidP="00FA365A">
      <w:pPr>
        <w:jc w:val="both"/>
        <w:rPr>
          <w:color w:val="auto"/>
          <w:sz w:val="24"/>
          <w:szCs w:val="24"/>
        </w:rPr>
      </w:pPr>
    </w:p>
    <w:p w14:paraId="5E537D0D" w14:textId="77777777" w:rsidR="005403E3" w:rsidRPr="00FA365A" w:rsidRDefault="005403E3" w:rsidP="00FA365A">
      <w:pPr>
        <w:jc w:val="both"/>
        <w:rPr>
          <w:color w:val="auto"/>
          <w:sz w:val="24"/>
          <w:szCs w:val="24"/>
        </w:rPr>
      </w:pPr>
    </w:p>
    <w:p w14:paraId="43F13231" w14:textId="1BC200FA" w:rsidR="004B1E4E" w:rsidRPr="00FA365A" w:rsidRDefault="003C339D" w:rsidP="00FA365A">
      <w:pPr>
        <w:jc w:val="center"/>
        <w:rPr>
          <w:b/>
          <w:sz w:val="24"/>
          <w:szCs w:val="24"/>
        </w:rPr>
      </w:pPr>
      <w:r w:rsidRPr="00FA365A">
        <w:rPr>
          <w:b/>
          <w:sz w:val="24"/>
          <w:szCs w:val="24"/>
        </w:rPr>
        <w:t>Egypt</w:t>
      </w:r>
      <w:r w:rsidR="004B1E4E" w:rsidRPr="00FA365A">
        <w:rPr>
          <w:b/>
          <w:sz w:val="24"/>
          <w:szCs w:val="24"/>
        </w:rPr>
        <w:t xml:space="preserve">’s Compliance with </w:t>
      </w:r>
      <w:r w:rsidRPr="00FA365A">
        <w:rPr>
          <w:b/>
          <w:sz w:val="24"/>
          <w:szCs w:val="24"/>
        </w:rPr>
        <w:t xml:space="preserve">the Convention on the Elimination of All Forms of Discrimination Against Women: </w:t>
      </w:r>
      <w:r w:rsidR="00706125">
        <w:rPr>
          <w:b/>
          <w:sz w:val="24"/>
          <w:szCs w:val="24"/>
        </w:rPr>
        <w:t xml:space="preserve">The </w:t>
      </w:r>
      <w:r w:rsidRPr="00FA365A">
        <w:rPr>
          <w:b/>
          <w:sz w:val="24"/>
          <w:szCs w:val="24"/>
        </w:rPr>
        <w:t>Death Penalty</w:t>
      </w:r>
    </w:p>
    <w:p w14:paraId="171F4CCF" w14:textId="77777777" w:rsidR="004B1E4E" w:rsidRPr="00FA365A" w:rsidRDefault="004B1E4E" w:rsidP="00FA365A">
      <w:pPr>
        <w:jc w:val="center"/>
        <w:rPr>
          <w:sz w:val="24"/>
          <w:szCs w:val="24"/>
        </w:rPr>
      </w:pPr>
    </w:p>
    <w:p w14:paraId="26D24DDC" w14:textId="77777777" w:rsidR="004B1E4E" w:rsidRPr="00FA365A" w:rsidRDefault="004B1E4E" w:rsidP="00FA365A">
      <w:pPr>
        <w:jc w:val="center"/>
        <w:rPr>
          <w:b/>
          <w:sz w:val="24"/>
          <w:szCs w:val="24"/>
        </w:rPr>
      </w:pPr>
      <w:r w:rsidRPr="00FA365A">
        <w:rPr>
          <w:b/>
          <w:sz w:val="24"/>
          <w:szCs w:val="24"/>
        </w:rPr>
        <w:t xml:space="preserve">Submitted by </w:t>
      </w:r>
      <w:r w:rsidR="00AA7FCB" w:rsidRPr="00FA365A">
        <w:rPr>
          <w:b/>
          <w:sz w:val="24"/>
          <w:szCs w:val="24"/>
        </w:rPr>
        <w:t>T</w:t>
      </w:r>
      <w:r w:rsidRPr="00FA365A">
        <w:rPr>
          <w:b/>
          <w:sz w:val="24"/>
          <w:szCs w:val="24"/>
        </w:rPr>
        <w:t>he Advocates for Human Rights</w:t>
      </w:r>
    </w:p>
    <w:p w14:paraId="6D01AE49" w14:textId="77777777" w:rsidR="004B1E4E" w:rsidRPr="00FA365A" w:rsidRDefault="004B1E4E" w:rsidP="00FA365A">
      <w:pPr>
        <w:jc w:val="center"/>
        <w:rPr>
          <w:sz w:val="24"/>
          <w:szCs w:val="24"/>
        </w:rPr>
      </w:pPr>
      <w:r w:rsidRPr="00FA365A">
        <w:rPr>
          <w:sz w:val="24"/>
          <w:szCs w:val="24"/>
        </w:rPr>
        <w:t>a non-governmental organization in special consultative status with ECOSOC</w:t>
      </w:r>
      <w:r w:rsidR="00624A10" w:rsidRPr="00FA365A">
        <w:rPr>
          <w:sz w:val="24"/>
          <w:szCs w:val="24"/>
        </w:rPr>
        <w:t xml:space="preserve"> since 1996</w:t>
      </w:r>
    </w:p>
    <w:p w14:paraId="74881DA7" w14:textId="77777777" w:rsidR="004B1E4E" w:rsidRPr="00FA365A" w:rsidRDefault="004B1E4E" w:rsidP="00FA365A">
      <w:pPr>
        <w:jc w:val="center"/>
        <w:rPr>
          <w:sz w:val="24"/>
          <w:szCs w:val="24"/>
        </w:rPr>
      </w:pPr>
    </w:p>
    <w:p w14:paraId="24E688AE" w14:textId="6C076874" w:rsidR="004B1E4E" w:rsidRPr="00FA365A" w:rsidRDefault="004B1E4E" w:rsidP="00FA365A">
      <w:pPr>
        <w:jc w:val="center"/>
        <w:rPr>
          <w:b/>
          <w:bCs/>
          <w:sz w:val="24"/>
          <w:szCs w:val="24"/>
        </w:rPr>
      </w:pPr>
      <w:r w:rsidRPr="00FA365A">
        <w:rPr>
          <w:b/>
          <w:bCs/>
          <w:sz w:val="24"/>
          <w:szCs w:val="24"/>
        </w:rPr>
        <w:t xml:space="preserve">for the </w:t>
      </w:r>
      <w:r w:rsidR="003C339D" w:rsidRPr="00FA365A">
        <w:rPr>
          <w:b/>
          <w:bCs/>
          <w:sz w:val="24"/>
          <w:szCs w:val="24"/>
        </w:rPr>
        <w:t>80</w:t>
      </w:r>
      <w:r w:rsidR="003C339D" w:rsidRPr="00FA365A">
        <w:rPr>
          <w:b/>
          <w:bCs/>
          <w:sz w:val="24"/>
          <w:szCs w:val="24"/>
          <w:vertAlign w:val="superscript"/>
        </w:rPr>
        <w:t>th</w:t>
      </w:r>
      <w:r w:rsidRPr="00FA365A">
        <w:rPr>
          <w:b/>
          <w:bCs/>
          <w:sz w:val="24"/>
          <w:szCs w:val="24"/>
        </w:rPr>
        <w:t xml:space="preserve"> Session of the</w:t>
      </w:r>
      <w:r w:rsidR="003C339D" w:rsidRPr="00FA365A">
        <w:rPr>
          <w:b/>
          <w:bCs/>
          <w:sz w:val="24"/>
          <w:szCs w:val="24"/>
        </w:rPr>
        <w:t xml:space="preserve"> </w:t>
      </w:r>
      <w:r w:rsidR="003C339D" w:rsidRPr="00FA365A">
        <w:rPr>
          <w:b/>
          <w:sz w:val="24"/>
          <w:szCs w:val="24"/>
        </w:rPr>
        <w:t>Committee on the Elimination of All Forms of Discrimination Against Women</w:t>
      </w:r>
    </w:p>
    <w:p w14:paraId="42599716" w14:textId="6B46B82D" w:rsidR="00C214BA" w:rsidRPr="00FA365A" w:rsidRDefault="003C339D" w:rsidP="001D6169">
      <w:pPr>
        <w:spacing w:after="240"/>
        <w:jc w:val="center"/>
        <w:rPr>
          <w:b/>
          <w:bCs/>
          <w:sz w:val="24"/>
          <w:szCs w:val="24"/>
        </w:rPr>
      </w:pPr>
      <w:r w:rsidRPr="00FA365A">
        <w:rPr>
          <w:b/>
          <w:bCs/>
          <w:sz w:val="24"/>
          <w:szCs w:val="24"/>
        </w:rPr>
        <w:t>18 October – 12 November 2021</w:t>
      </w:r>
    </w:p>
    <w:p w14:paraId="69899961" w14:textId="484C6525" w:rsidR="005132BB" w:rsidRPr="001D6169" w:rsidRDefault="00F25480" w:rsidP="001D6169">
      <w:pPr>
        <w:spacing w:after="240"/>
        <w:jc w:val="center"/>
        <w:rPr>
          <w:b/>
          <w:bCs/>
          <w:sz w:val="24"/>
          <w:szCs w:val="24"/>
        </w:rPr>
      </w:pPr>
      <w:r>
        <w:rPr>
          <w:b/>
          <w:bCs/>
          <w:sz w:val="24"/>
          <w:szCs w:val="24"/>
        </w:rPr>
        <w:t xml:space="preserve">Submitted </w:t>
      </w:r>
      <w:r w:rsidR="003C339D" w:rsidRPr="00FA365A">
        <w:rPr>
          <w:b/>
          <w:bCs/>
          <w:sz w:val="24"/>
          <w:szCs w:val="24"/>
        </w:rPr>
        <w:t>20 September 2021</w:t>
      </w:r>
    </w:p>
    <w:p w14:paraId="64B92EAF" w14:textId="7A5E04DA" w:rsidR="27553789" w:rsidRPr="00FA365A" w:rsidRDefault="004B1E4E" w:rsidP="00FA365A">
      <w:pPr>
        <w:jc w:val="both"/>
        <w:rPr>
          <w:b/>
          <w:bCs/>
          <w:sz w:val="24"/>
          <w:szCs w:val="24"/>
        </w:rPr>
      </w:pPr>
      <w:r w:rsidRPr="00FA365A">
        <w:rPr>
          <w:b/>
          <w:sz w:val="24"/>
          <w:szCs w:val="24"/>
        </w:rPr>
        <w:t xml:space="preserve">The Advocates for Human Rights </w:t>
      </w:r>
      <w:r w:rsidRPr="00FA365A">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FA365A">
        <w:rPr>
          <w:sz w:val="24"/>
          <w:szCs w:val="24"/>
          <w:lang w:val="es-ES"/>
        </w:rPr>
        <w:t>including</w:t>
      </w:r>
      <w:r w:rsidRPr="00FA365A">
        <w:rPr>
          <w:sz w:val="24"/>
          <w:szCs w:val="24"/>
        </w:rPr>
        <w:t xml:space="preserve"> monitoring and fact finding, direct legal representation, education and training, and publications.</w:t>
      </w:r>
      <w:r w:rsidR="003C339D" w:rsidRPr="00FA365A">
        <w:rPr>
          <w:sz w:val="24"/>
          <w:szCs w:val="24"/>
        </w:rPr>
        <w:t xml:space="preserve"> </w:t>
      </w:r>
    </w:p>
    <w:p w14:paraId="246C4876" w14:textId="77777777" w:rsidR="0060432F" w:rsidRDefault="0060432F" w:rsidP="003A7EBC">
      <w:pPr>
        <w:jc w:val="both"/>
        <w:rPr>
          <w:sz w:val="24"/>
          <w:szCs w:val="24"/>
        </w:rPr>
      </w:pPr>
    </w:p>
    <w:p w14:paraId="6D6DF15B" w14:textId="77777777" w:rsidR="003A7EBC" w:rsidRPr="00A12F73" w:rsidRDefault="003A7EBC" w:rsidP="003A7EBC">
      <w:pPr>
        <w:jc w:val="both"/>
        <w:rPr>
          <w:sz w:val="24"/>
          <w:szCs w:val="24"/>
        </w:rPr>
      </w:pPr>
      <w:r w:rsidRPr="00A12F73">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DD12A7E" w14:textId="77777777" w:rsidR="003A7EBC" w:rsidRPr="00A12F73" w:rsidRDefault="003A7EBC" w:rsidP="003A7EBC">
      <w:pPr>
        <w:jc w:val="both"/>
        <w:rPr>
          <w:sz w:val="24"/>
          <w:szCs w:val="24"/>
        </w:rPr>
      </w:pPr>
    </w:p>
    <w:p w14:paraId="7AE434B8" w14:textId="0D8580BF" w:rsidR="00F4107A" w:rsidRDefault="0060432F" w:rsidP="00FA365A">
      <w:pPr>
        <w:jc w:val="both"/>
        <w:rPr>
          <w:sz w:val="24"/>
          <w:szCs w:val="24"/>
        </w:rPr>
      </w:pPr>
      <w:r w:rsidRPr="00FA365A">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739570E" w14:textId="77777777" w:rsidR="00B965CB" w:rsidRPr="00C64629" w:rsidRDefault="00B965CB" w:rsidP="00B965CB">
      <w:pPr>
        <w:widowControl w:val="0"/>
        <w:tabs>
          <w:tab w:val="left" w:pos="8595"/>
        </w:tabs>
        <w:autoSpaceDE w:val="0"/>
        <w:autoSpaceDN w:val="0"/>
        <w:adjustRightInd w:val="0"/>
        <w:spacing w:before="240"/>
        <w:jc w:val="both"/>
        <w:rPr>
          <w:color w:val="auto"/>
          <w:sz w:val="24"/>
          <w:szCs w:val="24"/>
          <w:lang w:val="en-GB"/>
        </w:rPr>
      </w:pPr>
      <w:r w:rsidRPr="0EB935B0">
        <w:rPr>
          <w:b/>
          <w:bCs/>
          <w:color w:val="auto"/>
          <w:sz w:val="24"/>
          <w:szCs w:val="24"/>
          <w:lang w:val="en-GB"/>
        </w:rPr>
        <w:t xml:space="preserve">The World Coalition Against the Death Penalty </w:t>
      </w:r>
      <w:r w:rsidRPr="0EB935B0">
        <w:rPr>
          <w:color w:val="auto"/>
          <w:sz w:val="24"/>
          <w:szCs w:val="24"/>
          <w:lang w:val="en-GB"/>
        </w:rPr>
        <w:t>(World Coalition), an alliance of more than 160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5A8CA05" w14:textId="77777777" w:rsidR="00ED1C78" w:rsidRPr="00FA365A" w:rsidRDefault="00ED1C78" w:rsidP="00FA365A">
      <w:pPr>
        <w:jc w:val="both"/>
        <w:rPr>
          <w:color w:val="auto"/>
          <w:sz w:val="24"/>
          <w:szCs w:val="24"/>
        </w:rPr>
      </w:pPr>
    </w:p>
    <w:p w14:paraId="6CD9AC33" w14:textId="50762DF2" w:rsidR="004B1E4E" w:rsidRPr="00FA365A" w:rsidRDefault="004B1E4E" w:rsidP="00FA365A">
      <w:pPr>
        <w:jc w:val="both"/>
        <w:rPr>
          <w:color w:val="auto"/>
          <w:sz w:val="24"/>
          <w:szCs w:val="24"/>
        </w:rPr>
      </w:pPr>
      <w:r w:rsidRPr="00FA365A">
        <w:rPr>
          <w:color w:val="auto"/>
          <w:sz w:val="24"/>
          <w:szCs w:val="24"/>
        </w:rPr>
        <w:br w:type="page"/>
      </w:r>
    </w:p>
    <w:p w14:paraId="20CCAA08" w14:textId="735DED2D" w:rsidR="00241361" w:rsidRPr="00FA365A" w:rsidRDefault="00E01361" w:rsidP="00FA365A">
      <w:pPr>
        <w:spacing w:after="120"/>
        <w:jc w:val="center"/>
        <w:rPr>
          <w:b/>
          <w:color w:val="auto"/>
          <w:sz w:val="24"/>
          <w:szCs w:val="24"/>
        </w:rPr>
      </w:pPr>
      <w:r w:rsidRPr="00FA365A">
        <w:rPr>
          <w:b/>
          <w:color w:val="auto"/>
          <w:sz w:val="24"/>
          <w:szCs w:val="24"/>
        </w:rPr>
        <w:lastRenderedPageBreak/>
        <w:t>Egypt fails to uphold its obligations under the Convention on the Elimination of All Forms of Discrimination Against Women</w:t>
      </w:r>
      <w:r w:rsidR="00A73385" w:rsidRPr="00FA365A">
        <w:rPr>
          <w:b/>
          <w:color w:val="auto"/>
          <w:sz w:val="24"/>
          <w:szCs w:val="24"/>
        </w:rPr>
        <w:t xml:space="preserve"> (List of Issues paragraph 2)</w:t>
      </w:r>
    </w:p>
    <w:p w14:paraId="281CB6E3" w14:textId="416341DB" w:rsidR="00401B94" w:rsidRPr="00FA365A" w:rsidRDefault="00A73385" w:rsidP="001B70B6">
      <w:pPr>
        <w:numPr>
          <w:ilvl w:val="0"/>
          <w:numId w:val="10"/>
        </w:numPr>
        <w:autoSpaceDE w:val="0"/>
        <w:autoSpaceDN w:val="0"/>
        <w:adjustRightInd w:val="0"/>
        <w:spacing w:after="120"/>
        <w:ind w:left="360"/>
        <w:jc w:val="both"/>
        <w:rPr>
          <w:sz w:val="24"/>
          <w:szCs w:val="24"/>
        </w:rPr>
      </w:pPr>
      <w:bookmarkStart w:id="0" w:name="_Ref4164018"/>
      <w:r w:rsidRPr="00FA365A">
        <w:rPr>
          <w:sz w:val="24"/>
          <w:szCs w:val="24"/>
        </w:rPr>
        <w:t>The Committee requested information about “specific courses provided by the National Centre for Judicial Studies to train judicial officers on the application of the Convention and the interpretation of national legislation in line with the Convention.”</w:t>
      </w:r>
      <w:r w:rsidR="00946FED" w:rsidRPr="00FA365A">
        <w:rPr>
          <w:sz w:val="24"/>
          <w:szCs w:val="24"/>
          <w:vertAlign w:val="superscript"/>
        </w:rPr>
        <w:footnoteReference w:id="2"/>
      </w:r>
      <w:r w:rsidR="008B4424" w:rsidRPr="00FA365A">
        <w:rPr>
          <w:sz w:val="24"/>
          <w:szCs w:val="24"/>
        </w:rPr>
        <w:t xml:space="preserve"> The State Party’s response </w:t>
      </w:r>
      <w:r w:rsidR="006410A2" w:rsidRPr="00FA365A">
        <w:rPr>
          <w:sz w:val="24"/>
          <w:szCs w:val="24"/>
        </w:rPr>
        <w:t xml:space="preserve">references “training programmes to enhance the capacities of prosecutors to respond effectively to violent crimes against women,” and </w:t>
      </w:r>
      <w:r w:rsidR="00946FED" w:rsidRPr="00FA365A">
        <w:rPr>
          <w:sz w:val="24"/>
          <w:szCs w:val="24"/>
        </w:rPr>
        <w:t>trainings for judges “on strategic interventions against violence against women.”</w:t>
      </w:r>
      <w:r w:rsidR="00946FED" w:rsidRPr="00FA365A">
        <w:rPr>
          <w:rStyle w:val="FootnoteReference"/>
          <w:sz w:val="24"/>
          <w:szCs w:val="24"/>
        </w:rPr>
        <w:footnoteReference w:id="3"/>
      </w:r>
    </w:p>
    <w:p w14:paraId="17E24780" w14:textId="2BC8048B" w:rsidR="00EF16AF" w:rsidRPr="00FA365A" w:rsidRDefault="00EF16AF" w:rsidP="001B70B6">
      <w:pPr>
        <w:numPr>
          <w:ilvl w:val="0"/>
          <w:numId w:val="10"/>
        </w:numPr>
        <w:autoSpaceDE w:val="0"/>
        <w:autoSpaceDN w:val="0"/>
        <w:adjustRightInd w:val="0"/>
        <w:spacing w:after="120"/>
        <w:ind w:left="360"/>
        <w:jc w:val="both"/>
        <w:rPr>
          <w:sz w:val="24"/>
          <w:szCs w:val="24"/>
        </w:rPr>
      </w:pPr>
      <w:r w:rsidRPr="00FA365A">
        <w:rPr>
          <w:sz w:val="24"/>
          <w:szCs w:val="24"/>
        </w:rPr>
        <w:t>The State Party’s response overlooks the need for comprehensive training</w:t>
      </w:r>
      <w:r w:rsidR="00D4458A" w:rsidRPr="00FA365A">
        <w:rPr>
          <w:sz w:val="24"/>
          <w:szCs w:val="24"/>
        </w:rPr>
        <w:t xml:space="preserve"> programs for prosecutors and judges when women are in conflict with the law. Such training programs are particularly important when women are at risk of being sentenced to death.</w:t>
      </w:r>
    </w:p>
    <w:p w14:paraId="18A97595" w14:textId="1E2C4C5F" w:rsidR="005D0353" w:rsidRPr="00FA365A" w:rsidRDefault="00816C1F" w:rsidP="001B70B6">
      <w:pPr>
        <w:numPr>
          <w:ilvl w:val="0"/>
          <w:numId w:val="10"/>
        </w:numPr>
        <w:autoSpaceDE w:val="0"/>
        <w:autoSpaceDN w:val="0"/>
        <w:adjustRightInd w:val="0"/>
        <w:spacing w:after="120"/>
        <w:ind w:left="360"/>
        <w:jc w:val="both"/>
        <w:rPr>
          <w:sz w:val="24"/>
          <w:szCs w:val="24"/>
        </w:rPr>
      </w:pPr>
      <w:r w:rsidRPr="00FA365A">
        <w:rPr>
          <w:sz w:val="24"/>
          <w:szCs w:val="24"/>
        </w:rPr>
        <w:t xml:space="preserve">There is limited information about women who have been sentenced to death or executed in Egypt. </w:t>
      </w:r>
      <w:r w:rsidR="005D0353" w:rsidRPr="00FA365A">
        <w:rPr>
          <w:sz w:val="24"/>
          <w:szCs w:val="24"/>
        </w:rPr>
        <w:t xml:space="preserve">Amnesty International explains that </w:t>
      </w:r>
      <w:r w:rsidR="00EB7EC6" w:rsidRPr="00FA365A">
        <w:rPr>
          <w:sz w:val="24"/>
          <w:szCs w:val="24"/>
        </w:rPr>
        <w:t>“Egyptian authorities do not publish statistics on executions or the number of prisoners on death row; nor do they inform families or lawyers in advance of executions.”</w:t>
      </w:r>
      <w:r w:rsidR="00EB7EC6" w:rsidRPr="00FA365A">
        <w:rPr>
          <w:rStyle w:val="FootnoteReference"/>
          <w:sz w:val="24"/>
          <w:szCs w:val="24"/>
        </w:rPr>
        <w:footnoteReference w:id="4"/>
      </w:r>
    </w:p>
    <w:p w14:paraId="6C38E3E6" w14:textId="3F4B498D" w:rsidR="007161C1" w:rsidRPr="00FA365A" w:rsidRDefault="000A602A" w:rsidP="001B70B6">
      <w:pPr>
        <w:numPr>
          <w:ilvl w:val="0"/>
          <w:numId w:val="10"/>
        </w:numPr>
        <w:autoSpaceDE w:val="0"/>
        <w:autoSpaceDN w:val="0"/>
        <w:adjustRightInd w:val="0"/>
        <w:spacing w:after="120"/>
        <w:ind w:left="360"/>
        <w:jc w:val="both"/>
        <w:rPr>
          <w:sz w:val="24"/>
          <w:szCs w:val="24"/>
        </w:rPr>
      </w:pPr>
      <w:r w:rsidRPr="00FA365A">
        <w:rPr>
          <w:sz w:val="24"/>
          <w:szCs w:val="24"/>
        </w:rPr>
        <w:t>After a woman is sentenced to death</w:t>
      </w:r>
      <w:r w:rsidR="00F71249">
        <w:rPr>
          <w:sz w:val="24"/>
          <w:szCs w:val="24"/>
        </w:rPr>
        <w:t xml:space="preserve"> in Egypt</w:t>
      </w:r>
      <w:r w:rsidRPr="00FA365A">
        <w:rPr>
          <w:sz w:val="24"/>
          <w:szCs w:val="24"/>
        </w:rPr>
        <w:t xml:space="preserve">, she is far more likely than a man to have her preliminary death sentence confirmed and to be executed. </w:t>
      </w:r>
      <w:r w:rsidR="007161C1" w:rsidRPr="00FA365A">
        <w:rPr>
          <w:sz w:val="24"/>
          <w:szCs w:val="24"/>
        </w:rPr>
        <w:t xml:space="preserve">According to Reprieve, </w:t>
      </w:r>
      <w:r w:rsidR="00E83600" w:rsidRPr="00FA365A">
        <w:rPr>
          <w:sz w:val="24"/>
          <w:szCs w:val="24"/>
        </w:rPr>
        <w:t>in the period between the January 2011 revolution and September 2018, individuals sentenced to death have been overwhelmingly male, but “women sentenced to death were executed during this period at more than double the rate of men.”</w:t>
      </w:r>
      <w:r w:rsidR="00E83600" w:rsidRPr="00FA365A">
        <w:rPr>
          <w:rStyle w:val="FootnoteReference"/>
          <w:sz w:val="24"/>
          <w:szCs w:val="24"/>
        </w:rPr>
        <w:footnoteReference w:id="5"/>
      </w:r>
      <w:r w:rsidR="00EC6856" w:rsidRPr="00FA365A">
        <w:rPr>
          <w:sz w:val="24"/>
          <w:szCs w:val="24"/>
        </w:rPr>
        <w:t xml:space="preserve"> Moreover, </w:t>
      </w:r>
      <w:r w:rsidR="00E2684F" w:rsidRPr="00FA365A">
        <w:rPr>
          <w:sz w:val="24"/>
          <w:szCs w:val="24"/>
        </w:rPr>
        <w:t xml:space="preserve">preliminary death sentences issued for women had an 82% confirmation rate, while death sentences issued for men were confirmed at </w:t>
      </w:r>
      <w:r w:rsidR="00DD128B" w:rsidRPr="00FA365A">
        <w:rPr>
          <w:sz w:val="24"/>
          <w:szCs w:val="24"/>
        </w:rPr>
        <w:t>just a 59% rate.</w:t>
      </w:r>
      <w:r w:rsidR="00DD128B" w:rsidRPr="00FA365A">
        <w:rPr>
          <w:rStyle w:val="FootnoteReference"/>
          <w:sz w:val="24"/>
          <w:szCs w:val="24"/>
        </w:rPr>
        <w:footnoteReference w:id="6"/>
      </w:r>
    </w:p>
    <w:p w14:paraId="0D89CCD9" w14:textId="2D08A03C" w:rsidR="00255E28" w:rsidRPr="00FA365A" w:rsidRDefault="00257017" w:rsidP="001B70B6">
      <w:pPr>
        <w:numPr>
          <w:ilvl w:val="0"/>
          <w:numId w:val="10"/>
        </w:numPr>
        <w:autoSpaceDE w:val="0"/>
        <w:autoSpaceDN w:val="0"/>
        <w:adjustRightInd w:val="0"/>
        <w:spacing w:after="120"/>
        <w:ind w:left="360"/>
        <w:jc w:val="both"/>
        <w:rPr>
          <w:sz w:val="24"/>
          <w:szCs w:val="24"/>
        </w:rPr>
      </w:pPr>
      <w:r w:rsidRPr="00FA365A">
        <w:rPr>
          <w:sz w:val="24"/>
          <w:szCs w:val="24"/>
        </w:rPr>
        <w:t>The Egypt Death Penalty Index,</w:t>
      </w:r>
      <w:r w:rsidR="005869E9" w:rsidRPr="00FA365A">
        <w:rPr>
          <w:sz w:val="24"/>
          <w:szCs w:val="24"/>
        </w:rPr>
        <w:t xml:space="preserve"> a database compiled by Reprieve, the Egyptian Commission for Rights and Freedoms, and a data research center based in Cairo, confirms that Egyptian authorities have executed at least </w:t>
      </w:r>
      <w:r w:rsidR="00255E28" w:rsidRPr="00FA365A">
        <w:rPr>
          <w:sz w:val="24"/>
          <w:szCs w:val="24"/>
        </w:rPr>
        <w:t>13 women since December 2015.</w:t>
      </w:r>
      <w:r w:rsidRPr="00FA365A">
        <w:rPr>
          <w:sz w:val="24"/>
          <w:szCs w:val="24"/>
        </w:rPr>
        <w:t xml:space="preserve"> </w:t>
      </w:r>
      <w:r w:rsidR="007C72CF" w:rsidRPr="00FA365A">
        <w:rPr>
          <w:sz w:val="24"/>
          <w:szCs w:val="24"/>
        </w:rPr>
        <w:t xml:space="preserve">Those figures do not </w:t>
      </w:r>
      <w:r w:rsidR="007C72CF" w:rsidRPr="00FA365A">
        <w:rPr>
          <w:sz w:val="24"/>
          <w:szCs w:val="24"/>
        </w:rPr>
        <w:lastRenderedPageBreak/>
        <w:t>include at least four additional executions of women in October 2020</w:t>
      </w:r>
      <w:r w:rsidR="00D05C16" w:rsidRPr="00FA365A">
        <w:rPr>
          <w:sz w:val="24"/>
          <w:szCs w:val="24"/>
        </w:rPr>
        <w:t>,</w:t>
      </w:r>
      <w:r w:rsidR="007F6975" w:rsidRPr="00FA365A">
        <w:rPr>
          <w:rStyle w:val="FootnoteReference"/>
          <w:sz w:val="24"/>
          <w:szCs w:val="24"/>
        </w:rPr>
        <w:footnoteReference w:id="7"/>
      </w:r>
      <w:r w:rsidR="00D05C16" w:rsidRPr="00FA365A">
        <w:rPr>
          <w:sz w:val="24"/>
          <w:szCs w:val="24"/>
        </w:rPr>
        <w:t xml:space="preserve"> and at least four additional executions of women in 2021.</w:t>
      </w:r>
      <w:r w:rsidR="00056EA2" w:rsidRPr="00FA365A">
        <w:rPr>
          <w:rStyle w:val="FootnoteReference"/>
          <w:sz w:val="24"/>
          <w:szCs w:val="24"/>
        </w:rPr>
        <w:footnoteReference w:id="8"/>
      </w:r>
    </w:p>
    <w:p w14:paraId="26D9781C" w14:textId="5DB9DCB8" w:rsidR="0044231C" w:rsidRPr="00FA365A" w:rsidRDefault="0044231C" w:rsidP="001B70B6">
      <w:pPr>
        <w:numPr>
          <w:ilvl w:val="0"/>
          <w:numId w:val="10"/>
        </w:numPr>
        <w:autoSpaceDE w:val="0"/>
        <w:autoSpaceDN w:val="0"/>
        <w:adjustRightInd w:val="0"/>
        <w:spacing w:after="120"/>
        <w:ind w:left="360"/>
        <w:jc w:val="both"/>
        <w:rPr>
          <w:sz w:val="24"/>
          <w:szCs w:val="24"/>
        </w:rPr>
      </w:pPr>
      <w:r w:rsidRPr="00FA365A">
        <w:rPr>
          <w:sz w:val="24"/>
          <w:szCs w:val="24"/>
        </w:rPr>
        <w:t xml:space="preserve">The Egypt Death Penalty Index lists </w:t>
      </w:r>
      <w:r w:rsidR="00CB735B" w:rsidRPr="00FA365A">
        <w:rPr>
          <w:sz w:val="24"/>
          <w:szCs w:val="24"/>
        </w:rPr>
        <w:t xml:space="preserve">75 women whose death sentences have been confirmed by the court of the first instance, </w:t>
      </w:r>
      <w:r w:rsidR="00BC3812" w:rsidRPr="00FA365A">
        <w:rPr>
          <w:sz w:val="24"/>
          <w:szCs w:val="24"/>
        </w:rPr>
        <w:t xml:space="preserve">four women whose death sentences have been confirmed in absentia by the court of the first instance, two women whose executions are imminent, </w:t>
      </w:r>
      <w:r w:rsidR="00E424F7" w:rsidRPr="00FA365A">
        <w:rPr>
          <w:sz w:val="24"/>
          <w:szCs w:val="24"/>
        </w:rPr>
        <w:t xml:space="preserve">57 women who have received a preliminary death sentence, </w:t>
      </w:r>
      <w:r w:rsidR="00B00F4C" w:rsidRPr="00FA365A">
        <w:rPr>
          <w:sz w:val="24"/>
          <w:szCs w:val="24"/>
        </w:rPr>
        <w:t>and 8 women who are serving a prison sentence after a confirmed or preliminary death sentence.</w:t>
      </w:r>
      <w:r w:rsidR="00825B98" w:rsidRPr="00FA365A">
        <w:rPr>
          <w:sz w:val="24"/>
          <w:szCs w:val="24"/>
        </w:rPr>
        <w:t xml:space="preserve"> 10 of those </w:t>
      </w:r>
      <w:r w:rsidR="00AE5870" w:rsidRPr="00FA365A">
        <w:rPr>
          <w:sz w:val="24"/>
          <w:szCs w:val="24"/>
        </w:rPr>
        <w:t xml:space="preserve">75 </w:t>
      </w:r>
      <w:r w:rsidR="00825B98" w:rsidRPr="00FA365A">
        <w:rPr>
          <w:sz w:val="24"/>
          <w:szCs w:val="24"/>
        </w:rPr>
        <w:t xml:space="preserve">women </w:t>
      </w:r>
      <w:r w:rsidR="003A4F85" w:rsidRPr="00FA365A">
        <w:rPr>
          <w:sz w:val="24"/>
          <w:szCs w:val="24"/>
        </w:rPr>
        <w:t>had been charged with “political offenses”; of those, one woman’s execution is imminent</w:t>
      </w:r>
      <w:r w:rsidR="00FD0BF4" w:rsidRPr="00FA365A">
        <w:rPr>
          <w:sz w:val="24"/>
          <w:szCs w:val="24"/>
        </w:rPr>
        <w:t xml:space="preserve">, one woman’s death sentence was confirmed in absentia, and three women were subsequently acquitted. </w:t>
      </w:r>
      <w:r w:rsidR="00C078CF" w:rsidRPr="00FA365A">
        <w:rPr>
          <w:sz w:val="24"/>
          <w:szCs w:val="24"/>
        </w:rPr>
        <w:t xml:space="preserve">Political offenses include “storming government installations,” “terrorist acts,” </w:t>
      </w:r>
      <w:r w:rsidR="00723666" w:rsidRPr="00FA365A">
        <w:rPr>
          <w:sz w:val="24"/>
          <w:szCs w:val="24"/>
        </w:rPr>
        <w:t>“terrorism toward religious minorities,” and espionage. All of the other women in the database have been convicted of murder.</w:t>
      </w:r>
      <w:r w:rsidR="00961F64" w:rsidRPr="00FA365A">
        <w:rPr>
          <w:rStyle w:val="FootnoteReference"/>
          <w:sz w:val="24"/>
          <w:szCs w:val="24"/>
        </w:rPr>
        <w:footnoteReference w:id="9"/>
      </w:r>
    </w:p>
    <w:p w14:paraId="1F48C55B" w14:textId="026AEBD0" w:rsidR="003315E1" w:rsidRPr="00FA365A" w:rsidRDefault="00024CFD" w:rsidP="001B70B6">
      <w:pPr>
        <w:numPr>
          <w:ilvl w:val="0"/>
          <w:numId w:val="10"/>
        </w:numPr>
        <w:autoSpaceDE w:val="0"/>
        <w:autoSpaceDN w:val="0"/>
        <w:adjustRightInd w:val="0"/>
        <w:spacing w:after="120"/>
        <w:ind w:left="360"/>
        <w:jc w:val="both"/>
        <w:rPr>
          <w:sz w:val="24"/>
          <w:szCs w:val="24"/>
        </w:rPr>
      </w:pPr>
      <w:r w:rsidRPr="00FA365A">
        <w:rPr>
          <w:sz w:val="24"/>
          <w:szCs w:val="24"/>
        </w:rPr>
        <w:t xml:space="preserve">Egypt has sentenced at least one girl to death in the last decade. </w:t>
      </w:r>
      <w:r w:rsidR="003315E1" w:rsidRPr="00FA365A">
        <w:rPr>
          <w:sz w:val="24"/>
          <w:szCs w:val="24"/>
        </w:rPr>
        <w:t xml:space="preserve">According to the Egypt Death Penalty Index, </w:t>
      </w:r>
      <w:r w:rsidR="002F0E4E">
        <w:rPr>
          <w:sz w:val="24"/>
          <w:szCs w:val="24"/>
        </w:rPr>
        <w:t>Ms. I</w:t>
      </w:r>
      <w:r w:rsidR="00620834" w:rsidRPr="00FA365A">
        <w:rPr>
          <w:sz w:val="24"/>
          <w:szCs w:val="24"/>
        </w:rPr>
        <w:t xml:space="preserve"> </w:t>
      </w:r>
      <w:r w:rsidR="004D367B" w:rsidRPr="00FA365A">
        <w:rPr>
          <w:sz w:val="24"/>
          <w:szCs w:val="24"/>
        </w:rPr>
        <w:t xml:space="preserve">was charged with and subsequently convicted of murder in 2014 when she was just 16 years old. </w:t>
      </w:r>
      <w:r w:rsidR="00CE1F02" w:rsidRPr="00FA365A">
        <w:rPr>
          <w:sz w:val="24"/>
          <w:szCs w:val="24"/>
        </w:rPr>
        <w:t xml:space="preserve">Her death sentence appears to have been subsequently converted to a </w:t>
      </w:r>
      <w:r w:rsidR="00B068A1" w:rsidRPr="00FA365A">
        <w:rPr>
          <w:sz w:val="24"/>
          <w:szCs w:val="24"/>
        </w:rPr>
        <w:t>prison sentence.</w:t>
      </w:r>
      <w:r w:rsidR="002E1DEE" w:rsidRPr="00FA365A">
        <w:rPr>
          <w:rStyle w:val="FootnoteReference"/>
          <w:sz w:val="24"/>
          <w:szCs w:val="24"/>
        </w:rPr>
        <w:footnoteReference w:id="10"/>
      </w:r>
    </w:p>
    <w:p w14:paraId="65572FF2" w14:textId="37225F96" w:rsidR="00930EB9" w:rsidRPr="00FA365A" w:rsidRDefault="00FC397A" w:rsidP="001B70B6">
      <w:pPr>
        <w:numPr>
          <w:ilvl w:val="0"/>
          <w:numId w:val="10"/>
        </w:numPr>
        <w:autoSpaceDE w:val="0"/>
        <w:autoSpaceDN w:val="0"/>
        <w:adjustRightInd w:val="0"/>
        <w:spacing w:after="120"/>
        <w:ind w:left="360"/>
        <w:jc w:val="both"/>
        <w:rPr>
          <w:sz w:val="24"/>
          <w:szCs w:val="24"/>
        </w:rPr>
      </w:pPr>
      <w:r w:rsidRPr="00FA365A">
        <w:rPr>
          <w:sz w:val="24"/>
          <w:szCs w:val="24"/>
        </w:rPr>
        <w:t xml:space="preserve">There is limited information available about the </w:t>
      </w:r>
      <w:r w:rsidR="00355849" w:rsidRPr="00FA365A">
        <w:rPr>
          <w:sz w:val="24"/>
          <w:szCs w:val="24"/>
        </w:rPr>
        <w:t>circumstances of the crimes for which these women have been sentenced to death</w:t>
      </w:r>
      <w:r w:rsidR="001E0FA6" w:rsidRPr="00FA365A">
        <w:rPr>
          <w:sz w:val="24"/>
          <w:szCs w:val="24"/>
        </w:rPr>
        <w:t xml:space="preserve">, but </w:t>
      </w:r>
      <w:r w:rsidR="005D544F" w:rsidRPr="00FA365A">
        <w:rPr>
          <w:sz w:val="24"/>
          <w:szCs w:val="24"/>
        </w:rPr>
        <w:t>available information</w:t>
      </w:r>
      <w:r w:rsidR="001E0FA6" w:rsidRPr="00FA365A">
        <w:rPr>
          <w:sz w:val="24"/>
          <w:szCs w:val="24"/>
        </w:rPr>
        <w:t xml:space="preserve"> suggest</w:t>
      </w:r>
      <w:r w:rsidR="005D544F" w:rsidRPr="00FA365A">
        <w:rPr>
          <w:sz w:val="24"/>
          <w:szCs w:val="24"/>
        </w:rPr>
        <w:t>s</w:t>
      </w:r>
      <w:r w:rsidR="001E0FA6" w:rsidRPr="00FA365A">
        <w:rPr>
          <w:sz w:val="24"/>
          <w:szCs w:val="24"/>
        </w:rPr>
        <w:t xml:space="preserve"> that </w:t>
      </w:r>
      <w:r w:rsidR="000563BF" w:rsidRPr="00FA365A">
        <w:rPr>
          <w:sz w:val="24"/>
          <w:szCs w:val="24"/>
        </w:rPr>
        <w:t xml:space="preserve">legal proceedings are not gender-sensitive and do not take into account an accused woman’s </w:t>
      </w:r>
      <w:r w:rsidR="00A52F55" w:rsidRPr="00FA365A">
        <w:rPr>
          <w:sz w:val="24"/>
          <w:szCs w:val="24"/>
        </w:rPr>
        <w:t>experiences of gender-based violence or the power dynamics between an accused woman and her male codefendants</w:t>
      </w:r>
      <w:r w:rsidR="00355849" w:rsidRPr="00FA365A">
        <w:rPr>
          <w:sz w:val="24"/>
          <w:szCs w:val="24"/>
        </w:rPr>
        <w:t xml:space="preserve">. One woman </w:t>
      </w:r>
      <w:r w:rsidR="00621276" w:rsidRPr="00FA365A">
        <w:rPr>
          <w:sz w:val="24"/>
          <w:szCs w:val="24"/>
        </w:rPr>
        <w:t xml:space="preserve">was </w:t>
      </w:r>
      <w:r w:rsidR="00355849" w:rsidRPr="00FA365A">
        <w:rPr>
          <w:sz w:val="24"/>
          <w:szCs w:val="24"/>
        </w:rPr>
        <w:t xml:space="preserve">executed </w:t>
      </w:r>
      <w:r w:rsidR="00621276" w:rsidRPr="00FA365A">
        <w:rPr>
          <w:sz w:val="24"/>
          <w:szCs w:val="24"/>
        </w:rPr>
        <w:t xml:space="preserve">in 2015 </w:t>
      </w:r>
      <w:r w:rsidR="00355849" w:rsidRPr="00FA365A">
        <w:rPr>
          <w:sz w:val="24"/>
          <w:szCs w:val="24"/>
        </w:rPr>
        <w:t>for killing her husband.</w:t>
      </w:r>
      <w:r w:rsidR="00621276" w:rsidRPr="00FA365A">
        <w:rPr>
          <w:rStyle w:val="FootnoteReference"/>
          <w:sz w:val="24"/>
          <w:szCs w:val="24"/>
        </w:rPr>
        <w:footnoteReference w:id="11"/>
      </w:r>
      <w:r w:rsidR="002F2A66" w:rsidRPr="00FA365A">
        <w:rPr>
          <w:sz w:val="24"/>
          <w:szCs w:val="24"/>
        </w:rPr>
        <w:t xml:space="preserve"> In June 2021, a woman was executed for her involvement in the killing of her 11-year-old son, even though </w:t>
      </w:r>
      <w:r w:rsidR="00210BB9" w:rsidRPr="00FA365A">
        <w:rPr>
          <w:sz w:val="24"/>
          <w:szCs w:val="24"/>
        </w:rPr>
        <w:t>her lover and an accomplice kidnapped the child and killed him.</w:t>
      </w:r>
      <w:r w:rsidR="00785990" w:rsidRPr="00FA365A">
        <w:rPr>
          <w:rStyle w:val="FootnoteReference"/>
          <w:sz w:val="24"/>
          <w:szCs w:val="24"/>
        </w:rPr>
        <w:footnoteReference w:id="12"/>
      </w:r>
      <w:r w:rsidR="00210BB9" w:rsidRPr="00FA365A">
        <w:rPr>
          <w:sz w:val="24"/>
          <w:szCs w:val="24"/>
        </w:rPr>
        <w:t xml:space="preserve"> </w:t>
      </w:r>
      <w:r w:rsidR="007B6CB4" w:rsidRPr="00FA365A">
        <w:rPr>
          <w:sz w:val="24"/>
          <w:szCs w:val="24"/>
        </w:rPr>
        <w:t>A 20-year-old woman was accused of killing her husband five days after their wedding</w:t>
      </w:r>
      <w:r w:rsidR="002F4D12" w:rsidRPr="00FA365A">
        <w:rPr>
          <w:sz w:val="24"/>
          <w:szCs w:val="24"/>
        </w:rPr>
        <w:t xml:space="preserve">. According to reports, she had refused to marry the man because she was in a relationship with someone else. </w:t>
      </w:r>
      <w:r w:rsidR="00E70D77" w:rsidRPr="00FA365A">
        <w:rPr>
          <w:sz w:val="24"/>
          <w:szCs w:val="24"/>
        </w:rPr>
        <w:t>In July 2020, t</w:t>
      </w:r>
      <w:r w:rsidR="002F4D12" w:rsidRPr="00FA365A">
        <w:rPr>
          <w:sz w:val="24"/>
          <w:szCs w:val="24"/>
        </w:rPr>
        <w:t>he criminal court referred the case to the Grand Mufti of Egypt to issue a religious opinion about whether a death sentence would be appropriate.</w:t>
      </w:r>
      <w:r w:rsidR="001E0FA6" w:rsidRPr="00FA365A">
        <w:rPr>
          <w:rStyle w:val="FootnoteReference"/>
          <w:sz w:val="24"/>
          <w:szCs w:val="24"/>
        </w:rPr>
        <w:footnoteReference w:id="13"/>
      </w:r>
      <w:bookmarkEnd w:id="0"/>
      <w:r w:rsidR="00930EB9" w:rsidRPr="00FA365A">
        <w:rPr>
          <w:sz w:val="24"/>
          <w:szCs w:val="24"/>
        </w:rPr>
        <w:t xml:space="preserve"> According to Hands Off Cain, Egyptian authorities executed two women in February 2018. The women were two of five </w:t>
      </w:r>
      <w:r w:rsidR="00930EB9" w:rsidRPr="00FA365A">
        <w:rPr>
          <w:sz w:val="24"/>
          <w:szCs w:val="24"/>
        </w:rPr>
        <w:lastRenderedPageBreak/>
        <w:t>relatives executed on the same day for the kidnapping and murder of a girl in 2013. The women were a 40-year-old housewife and a 19-year-old woman.</w:t>
      </w:r>
      <w:r w:rsidR="00930EB9" w:rsidRPr="00FA365A">
        <w:rPr>
          <w:rStyle w:val="FootnoteReference"/>
          <w:sz w:val="24"/>
          <w:szCs w:val="24"/>
        </w:rPr>
        <w:footnoteReference w:id="14"/>
      </w:r>
    </w:p>
    <w:p w14:paraId="62CEEFE9" w14:textId="060D1F86" w:rsidR="003B05B8" w:rsidRPr="00FA365A" w:rsidRDefault="00CD27F9" w:rsidP="001B70B6">
      <w:pPr>
        <w:numPr>
          <w:ilvl w:val="0"/>
          <w:numId w:val="10"/>
        </w:numPr>
        <w:autoSpaceDE w:val="0"/>
        <w:autoSpaceDN w:val="0"/>
        <w:adjustRightInd w:val="0"/>
        <w:spacing w:after="120"/>
        <w:ind w:left="360"/>
        <w:jc w:val="both"/>
        <w:rPr>
          <w:sz w:val="24"/>
          <w:szCs w:val="24"/>
        </w:rPr>
      </w:pPr>
      <w:r w:rsidRPr="00FA365A">
        <w:rPr>
          <w:sz w:val="24"/>
          <w:szCs w:val="24"/>
        </w:rPr>
        <w:t>Despite limited information, evidence suggests that women in Egypt face the death penalty in part because judicial proceedings</w:t>
      </w:r>
      <w:r w:rsidR="00860CA1" w:rsidRPr="00FA365A">
        <w:rPr>
          <w:sz w:val="24"/>
          <w:szCs w:val="24"/>
        </w:rPr>
        <w:t xml:space="preserve"> </w:t>
      </w:r>
      <w:r w:rsidR="005112E7" w:rsidRPr="00FA365A">
        <w:rPr>
          <w:sz w:val="24"/>
          <w:szCs w:val="24"/>
        </w:rPr>
        <w:t xml:space="preserve">discriminate against women and </w:t>
      </w:r>
      <w:r w:rsidR="00860CA1" w:rsidRPr="00FA365A">
        <w:rPr>
          <w:sz w:val="24"/>
          <w:szCs w:val="24"/>
        </w:rPr>
        <w:t>do not take into account the circumstances of the alleged crim</w:t>
      </w:r>
      <w:r w:rsidR="005112E7" w:rsidRPr="00FA365A">
        <w:rPr>
          <w:sz w:val="24"/>
          <w:szCs w:val="24"/>
        </w:rPr>
        <w:t>e</w:t>
      </w:r>
      <w:r w:rsidR="00860CA1" w:rsidRPr="00FA365A">
        <w:rPr>
          <w:sz w:val="24"/>
          <w:szCs w:val="24"/>
        </w:rPr>
        <w:t xml:space="preserve">. </w:t>
      </w:r>
      <w:r w:rsidR="00F2426D" w:rsidRPr="00FA365A">
        <w:rPr>
          <w:sz w:val="24"/>
          <w:szCs w:val="24"/>
        </w:rPr>
        <w:t xml:space="preserve">In a groundbreaking study, the Cornell Center on the Death Penalty Worldwide investigated </w:t>
      </w:r>
      <w:r w:rsidR="005137E4" w:rsidRPr="00FA365A">
        <w:rPr>
          <w:sz w:val="24"/>
          <w:szCs w:val="24"/>
        </w:rPr>
        <w:t>the contexts within which women are sentenced to death and executed. The study acknowledged, as is the case in Egypt, that “most women on death row have been sentenced to death for the crime of murder.”</w:t>
      </w:r>
      <w:r w:rsidR="007C6010" w:rsidRPr="00FA365A">
        <w:rPr>
          <w:sz w:val="24"/>
          <w:szCs w:val="24"/>
        </w:rPr>
        <w:t xml:space="preserve"> The report found that “[m]any of these crimes involve murders of close family members in a context of gender-based violence.”</w:t>
      </w:r>
      <w:r w:rsidR="00FB0235" w:rsidRPr="00FA365A">
        <w:rPr>
          <w:sz w:val="24"/>
          <w:szCs w:val="24"/>
        </w:rPr>
        <w:t xml:space="preserve"> In some cases, the woman was forcibly married, </w:t>
      </w:r>
      <w:r w:rsidR="00C94373" w:rsidRPr="00FA365A">
        <w:rPr>
          <w:sz w:val="24"/>
          <w:szCs w:val="24"/>
        </w:rPr>
        <w:t xml:space="preserve">as was the case of the 20-year-old woman described in the previous paragraph. </w:t>
      </w:r>
      <w:r w:rsidR="00537077" w:rsidRPr="00FA365A">
        <w:rPr>
          <w:sz w:val="24"/>
          <w:szCs w:val="24"/>
        </w:rPr>
        <w:t xml:space="preserve">In other cases, </w:t>
      </w:r>
      <w:r w:rsidR="00473ECC" w:rsidRPr="00FA365A">
        <w:rPr>
          <w:sz w:val="24"/>
          <w:szCs w:val="24"/>
        </w:rPr>
        <w:t>women may face “capital prosecution arising out of domestic abuse,” subjecting them to “gender discrimination on multiple levels.”</w:t>
      </w:r>
      <w:r w:rsidR="004A4BA7" w:rsidRPr="00FA365A">
        <w:rPr>
          <w:sz w:val="24"/>
          <w:szCs w:val="24"/>
        </w:rPr>
        <w:t xml:space="preserve"> For example, “evidence of abuse is difficult to gather</w:t>
      </w:r>
      <w:r w:rsidR="00CC4C0A" w:rsidRPr="00FA365A">
        <w:rPr>
          <w:sz w:val="24"/>
          <w:szCs w:val="24"/>
        </w:rPr>
        <w:t>,” and courts are often reluctant to recognize that a woman may have acted in self-defense.</w:t>
      </w:r>
      <w:r w:rsidR="00A81ED6" w:rsidRPr="00FA365A">
        <w:rPr>
          <w:sz w:val="24"/>
          <w:szCs w:val="24"/>
        </w:rPr>
        <w:t xml:space="preserve"> Moreover, courts rarely consider domestic abuse as a mitigating factor during sentencing.</w:t>
      </w:r>
      <w:r w:rsidR="00C109F6" w:rsidRPr="00FA365A">
        <w:rPr>
          <w:rStyle w:val="FootnoteReference"/>
          <w:sz w:val="24"/>
          <w:szCs w:val="24"/>
        </w:rPr>
        <w:footnoteReference w:id="15"/>
      </w:r>
      <w:r w:rsidR="00A81ED6" w:rsidRPr="00FA365A">
        <w:rPr>
          <w:sz w:val="24"/>
          <w:szCs w:val="24"/>
        </w:rPr>
        <w:t xml:space="preserve"> </w:t>
      </w:r>
      <w:r w:rsidR="00C109F6" w:rsidRPr="00FA365A">
        <w:rPr>
          <w:sz w:val="24"/>
          <w:szCs w:val="24"/>
        </w:rPr>
        <w:t>And i</w:t>
      </w:r>
      <w:r w:rsidR="003B05B8" w:rsidRPr="00FA365A">
        <w:rPr>
          <w:sz w:val="24"/>
          <w:szCs w:val="24"/>
        </w:rPr>
        <w:t>n cases with multiple co-defendants from the same family</w:t>
      </w:r>
      <w:r w:rsidR="00C130E6" w:rsidRPr="00FA365A">
        <w:rPr>
          <w:sz w:val="24"/>
          <w:szCs w:val="24"/>
        </w:rPr>
        <w:t xml:space="preserve"> or in an intimate partner relationship</w:t>
      </w:r>
      <w:r w:rsidR="003B05B8" w:rsidRPr="00FA365A">
        <w:rPr>
          <w:sz w:val="24"/>
          <w:szCs w:val="24"/>
        </w:rPr>
        <w:t xml:space="preserve">, courts also </w:t>
      </w:r>
      <w:r w:rsidR="00E4793F" w:rsidRPr="00FA365A">
        <w:rPr>
          <w:sz w:val="24"/>
          <w:szCs w:val="24"/>
        </w:rPr>
        <w:t xml:space="preserve">fail to account for power dynamics and </w:t>
      </w:r>
      <w:r w:rsidR="00C974AD">
        <w:rPr>
          <w:sz w:val="24"/>
          <w:szCs w:val="24"/>
        </w:rPr>
        <w:t xml:space="preserve">tactics of </w:t>
      </w:r>
      <w:r w:rsidR="00E4793F" w:rsidRPr="00FA365A">
        <w:rPr>
          <w:sz w:val="24"/>
          <w:szCs w:val="24"/>
        </w:rPr>
        <w:t xml:space="preserve">coercive control that may influence a woman’s participation in a crime. </w:t>
      </w:r>
      <w:r w:rsidR="000A718A" w:rsidRPr="00FA365A">
        <w:rPr>
          <w:sz w:val="24"/>
          <w:szCs w:val="24"/>
        </w:rPr>
        <w:t>Finally,</w:t>
      </w:r>
      <w:r w:rsidR="001127FE">
        <w:rPr>
          <w:sz w:val="24"/>
          <w:szCs w:val="24"/>
        </w:rPr>
        <w:t xml:space="preserve"> in the words of the former UN Special Rapporteur on Extrajudicial, Summary or Arbitrary Executions,</w:t>
      </w:r>
      <w:r w:rsidR="000A718A" w:rsidRPr="00FA365A">
        <w:rPr>
          <w:sz w:val="24"/>
          <w:szCs w:val="24"/>
        </w:rPr>
        <w:t xml:space="preserve"> </w:t>
      </w:r>
      <w:r w:rsidR="00B24EA5" w:rsidRPr="00FA365A">
        <w:rPr>
          <w:sz w:val="24"/>
          <w:szCs w:val="24"/>
        </w:rPr>
        <w:t>courts also “judge women not just for their alleged offenses, but also for what are perceived to be their moral failings as women</w:t>
      </w:r>
      <w:r w:rsidR="00CF054A" w:rsidRPr="00FA365A">
        <w:rPr>
          <w:sz w:val="24"/>
          <w:szCs w:val="24"/>
        </w:rPr>
        <w:t xml:space="preserve"> . . . . Nowhere are transgressions of the social norms of gender behavior punished more severely than in a capital trial.”</w:t>
      </w:r>
      <w:r w:rsidR="00CF054A" w:rsidRPr="00FA365A">
        <w:rPr>
          <w:rStyle w:val="FootnoteReference"/>
          <w:sz w:val="24"/>
          <w:szCs w:val="24"/>
        </w:rPr>
        <w:footnoteReference w:id="16"/>
      </w:r>
    </w:p>
    <w:p w14:paraId="3E4AA44D" w14:textId="31ED68EA" w:rsidR="00F51AFD" w:rsidRPr="00FA365A" w:rsidRDefault="00EA0EEB" w:rsidP="001B70B6">
      <w:pPr>
        <w:numPr>
          <w:ilvl w:val="0"/>
          <w:numId w:val="10"/>
        </w:numPr>
        <w:spacing w:after="120"/>
        <w:ind w:left="360"/>
        <w:jc w:val="both"/>
        <w:rPr>
          <w:color w:val="auto"/>
          <w:sz w:val="24"/>
          <w:szCs w:val="24"/>
        </w:rPr>
      </w:pPr>
      <w:r w:rsidRPr="00FA365A">
        <w:rPr>
          <w:b/>
          <w:color w:val="auto"/>
          <w:sz w:val="24"/>
          <w:szCs w:val="24"/>
        </w:rPr>
        <w:t xml:space="preserve">Suggested </w:t>
      </w:r>
      <w:r w:rsidR="000D22E7" w:rsidRPr="00FA365A">
        <w:rPr>
          <w:b/>
          <w:color w:val="auto"/>
          <w:sz w:val="24"/>
          <w:szCs w:val="24"/>
        </w:rPr>
        <w:t>recommendations</w:t>
      </w:r>
      <w:r w:rsidR="008D6B32" w:rsidRPr="00FA365A">
        <w:rPr>
          <w:rStyle w:val="FootnoteReference"/>
          <w:bCs/>
          <w:color w:val="auto"/>
          <w:sz w:val="24"/>
          <w:szCs w:val="24"/>
        </w:rPr>
        <w:footnoteReference w:id="17"/>
      </w:r>
      <w:r w:rsidR="000D22E7" w:rsidRPr="00FA365A">
        <w:rPr>
          <w:b/>
          <w:color w:val="auto"/>
          <w:sz w:val="24"/>
          <w:szCs w:val="24"/>
        </w:rPr>
        <w:t xml:space="preserve"> </w:t>
      </w:r>
      <w:r w:rsidR="000D22E7" w:rsidRPr="00FA365A">
        <w:rPr>
          <w:bCs/>
          <w:color w:val="auto"/>
          <w:sz w:val="24"/>
          <w:szCs w:val="24"/>
        </w:rPr>
        <w:t>for the government of Egypt</w:t>
      </w:r>
      <w:r w:rsidR="00ED57D3" w:rsidRPr="00FA365A">
        <w:rPr>
          <w:bCs/>
          <w:color w:val="auto"/>
          <w:sz w:val="24"/>
          <w:szCs w:val="24"/>
        </w:rPr>
        <w:t>:</w:t>
      </w:r>
    </w:p>
    <w:p w14:paraId="6C504E19" w14:textId="7E6F73F0" w:rsidR="003B49CC" w:rsidRPr="00FA365A" w:rsidRDefault="00261423"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 xml:space="preserve">Abolish the death penalty and replace it with a sentence that is fair, proportionate, and </w:t>
      </w:r>
      <w:r w:rsidR="00331564" w:rsidRPr="00FA365A">
        <w:rPr>
          <w:rFonts w:ascii="Times New Roman" w:eastAsia="Times New Roman" w:hAnsi="Times New Roman"/>
          <w:kern w:val="28"/>
          <w:sz w:val="24"/>
          <w:szCs w:val="24"/>
        </w:rPr>
        <w:t>consistent</w:t>
      </w:r>
      <w:r w:rsidRPr="00FA365A">
        <w:rPr>
          <w:rFonts w:ascii="Times New Roman" w:eastAsia="Times New Roman" w:hAnsi="Times New Roman"/>
          <w:kern w:val="28"/>
          <w:sz w:val="24"/>
          <w:szCs w:val="24"/>
        </w:rPr>
        <w:t xml:space="preserve"> with international human rights standards.</w:t>
      </w:r>
    </w:p>
    <w:p w14:paraId="5C287AAE" w14:textId="22681693"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hAnsi="Times New Roman"/>
          <w:sz w:val="24"/>
          <w:szCs w:val="24"/>
        </w:rPr>
        <w:t>In the interim</w:t>
      </w:r>
      <w:r w:rsidRPr="00FA365A">
        <w:rPr>
          <w:rFonts w:ascii="Times New Roman" w:eastAsia="Times New Roman" w:hAnsi="Times New Roman"/>
          <w:kern w:val="28"/>
          <w:sz w:val="24"/>
          <w:szCs w:val="24"/>
        </w:rPr>
        <w:t>, eliminate the death penalty as a possible sentence for offenses that do not involve an intentional killing committed at the hands of the person being sentenced.</w:t>
      </w:r>
    </w:p>
    <w:p w14:paraId="17F7451F" w14:textId="50DFAD39" w:rsidR="00633902"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 xml:space="preserve">In the interim, provide all judges </w:t>
      </w:r>
      <w:r w:rsidR="004F4A8C" w:rsidRPr="00FA365A">
        <w:rPr>
          <w:rFonts w:ascii="Times New Roman" w:eastAsia="Times New Roman" w:hAnsi="Times New Roman"/>
          <w:kern w:val="28"/>
          <w:sz w:val="24"/>
          <w:szCs w:val="24"/>
        </w:rPr>
        <w:t xml:space="preserve">who have </w:t>
      </w:r>
      <w:r w:rsidRPr="00FA365A">
        <w:rPr>
          <w:rFonts w:ascii="Times New Roman" w:eastAsia="Times New Roman" w:hAnsi="Times New Roman"/>
          <w:kern w:val="28"/>
          <w:sz w:val="24"/>
          <w:szCs w:val="24"/>
        </w:rPr>
        <w:t xml:space="preserve">sentencing authority with comprehensive gender-sensitization training, including with respect to women and girls in conflict with the law who have experienced gender-based violence, focusing </w:t>
      </w:r>
      <w:r w:rsidRPr="00FA365A">
        <w:rPr>
          <w:rFonts w:ascii="Times New Roman" w:eastAsia="Times New Roman" w:hAnsi="Times New Roman"/>
          <w:kern w:val="28"/>
          <w:sz w:val="24"/>
          <w:szCs w:val="24"/>
        </w:rPr>
        <w:lastRenderedPageBreak/>
        <w:t>on gender-based discrimination, domestic violence, and tactics of coercive control that may lead women to commit death-eligible offenses.</w:t>
      </w:r>
    </w:p>
    <w:p w14:paraId="3005318F" w14:textId="2B0ADE57" w:rsidR="00C86DDC" w:rsidRPr="00FA365A" w:rsidRDefault="00C86DDC"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Pr>
          <w:rFonts w:ascii="Times New Roman" w:eastAsia="Times New Roman" w:hAnsi="Times New Roman"/>
          <w:kern w:val="28"/>
          <w:sz w:val="24"/>
          <w:szCs w:val="24"/>
        </w:rPr>
        <w:t>Ensure that no woman or girl is sentenced to death for any crime committed when under the age of 18 years.</w:t>
      </w:r>
    </w:p>
    <w:p w14:paraId="04237CEC" w14:textId="77777777"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Implement legislative reforms to prevent the application of the death penalty when women and girls who have experienced gender-based violence, including early and forced marriage as well as rape and sexual assault, act against their abusers.</w:t>
      </w:r>
    </w:p>
    <w:p w14:paraId="607C2839" w14:textId="77777777"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Ensure that all women accused of capital crimes have access to free and effective legal representation by attorneys who specialize in capital representation.</w:t>
      </w:r>
    </w:p>
    <w:p w14:paraId="2FC00B76" w14:textId="77777777"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Commute the sentences of women sentenced to death for killing close family members who perpetrated gender-based violence against them.</w:t>
      </w:r>
    </w:p>
    <w:p w14:paraId="75848D06" w14:textId="4D8A7C90"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 xml:space="preserve">Commute the sentences of every woman sentenced to death for an offense that does not involve an intentional killing committed </w:t>
      </w:r>
      <w:r w:rsidR="00FA365A" w:rsidRPr="00FA365A">
        <w:rPr>
          <w:rFonts w:ascii="Times New Roman" w:eastAsia="Times New Roman" w:hAnsi="Times New Roman"/>
          <w:kern w:val="28"/>
          <w:sz w:val="24"/>
          <w:szCs w:val="24"/>
        </w:rPr>
        <w:t xml:space="preserve">at the hands of </w:t>
      </w:r>
      <w:r w:rsidRPr="00FA365A">
        <w:rPr>
          <w:rFonts w:ascii="Times New Roman" w:eastAsia="Times New Roman" w:hAnsi="Times New Roman"/>
          <w:kern w:val="28"/>
          <w:sz w:val="24"/>
          <w:szCs w:val="24"/>
        </w:rPr>
        <w:t>the woman.</w:t>
      </w:r>
    </w:p>
    <w:p w14:paraId="7923133E" w14:textId="77777777" w:rsidR="00633902"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375D0052" w14:textId="002A9C42" w:rsidR="0003318D" w:rsidRPr="00FA365A" w:rsidRDefault="00633902" w:rsidP="000B3FAB">
      <w:pPr>
        <w:pStyle w:val="ListParagraph"/>
        <w:numPr>
          <w:ilvl w:val="0"/>
          <w:numId w:val="14"/>
        </w:numPr>
        <w:spacing w:after="120"/>
        <w:ind w:left="1440"/>
        <w:contextualSpacing w:val="0"/>
        <w:jc w:val="both"/>
        <w:rPr>
          <w:rFonts w:ascii="Times New Roman" w:eastAsia="Times New Roman" w:hAnsi="Times New Roman"/>
          <w:kern w:val="28"/>
          <w:sz w:val="24"/>
          <w:szCs w:val="24"/>
        </w:rPr>
      </w:pPr>
      <w:r w:rsidRPr="00FA365A">
        <w:rPr>
          <w:rFonts w:ascii="Times New Roman" w:eastAsia="Times New Roman" w:hAnsi="Times New Roman"/>
          <w:kern w:val="28"/>
          <w:sz w:val="24"/>
          <w:szCs w:val="24"/>
        </w:rPr>
        <w:t>Provide and publish transparent information on the number of women</w:t>
      </w:r>
      <w:r w:rsidR="00B00001">
        <w:rPr>
          <w:rFonts w:ascii="Times New Roman" w:eastAsia="Times New Roman" w:hAnsi="Times New Roman"/>
          <w:kern w:val="28"/>
          <w:sz w:val="24"/>
          <w:szCs w:val="24"/>
        </w:rPr>
        <w:t xml:space="preserve"> sentenced to death </w:t>
      </w:r>
      <w:r w:rsidR="001D73A2">
        <w:rPr>
          <w:rFonts w:ascii="Times New Roman" w:eastAsia="Times New Roman" w:hAnsi="Times New Roman"/>
          <w:kern w:val="28"/>
          <w:sz w:val="24"/>
          <w:szCs w:val="24"/>
        </w:rPr>
        <w:t xml:space="preserve">and </w:t>
      </w:r>
      <w:r w:rsidRPr="00FA365A">
        <w:rPr>
          <w:rFonts w:ascii="Times New Roman" w:eastAsia="Times New Roman" w:hAnsi="Times New Roman"/>
          <w:kern w:val="28"/>
          <w:sz w:val="24"/>
          <w:szCs w:val="24"/>
        </w:rPr>
        <w:t>on death row, disaggregated by age,</w:t>
      </w:r>
      <w:r w:rsidR="00973A15">
        <w:rPr>
          <w:rFonts w:ascii="Times New Roman" w:eastAsia="Times New Roman" w:hAnsi="Times New Roman"/>
          <w:kern w:val="28"/>
          <w:sz w:val="24"/>
          <w:szCs w:val="24"/>
        </w:rPr>
        <w:t xml:space="preserve"> age of dependent children (if any),</w:t>
      </w:r>
      <w:r w:rsidRPr="00FA365A">
        <w:rPr>
          <w:rFonts w:ascii="Times New Roman" w:eastAsia="Times New Roman" w:hAnsi="Times New Roman"/>
          <w:kern w:val="28"/>
          <w:sz w:val="24"/>
          <w:szCs w:val="24"/>
        </w:rPr>
        <w:t xml:space="preserve"> nationality, ethnic group, crimes</w:t>
      </w:r>
      <w:r w:rsidRPr="00FA365A">
        <w:rPr>
          <w:rFonts w:ascii="Times New Roman" w:hAnsi="Times New Roman"/>
          <w:sz w:val="24"/>
          <w:szCs w:val="24"/>
        </w:rPr>
        <w:t xml:space="preserve"> of conviction, date of conviction,</w:t>
      </w:r>
      <w:r w:rsidR="00C92BCA">
        <w:rPr>
          <w:rFonts w:ascii="Times New Roman" w:hAnsi="Times New Roman"/>
          <w:sz w:val="24"/>
          <w:szCs w:val="24"/>
        </w:rPr>
        <w:t xml:space="preserve"> and date of execution (if applicable),</w:t>
      </w:r>
      <w:r w:rsidRPr="00FA365A">
        <w:rPr>
          <w:rFonts w:ascii="Times New Roman" w:hAnsi="Times New Roman"/>
          <w:sz w:val="24"/>
          <w:szCs w:val="24"/>
        </w:rPr>
        <w:t xml:space="preserve"> to facilitate analysis of the demographics of women on death row.</w:t>
      </w:r>
    </w:p>
    <w:sectPr w:rsidR="0003318D" w:rsidRPr="00FA365A"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5A25" w14:textId="77777777" w:rsidR="00925E77" w:rsidRDefault="00925E77">
      <w:r>
        <w:separator/>
      </w:r>
    </w:p>
  </w:endnote>
  <w:endnote w:type="continuationSeparator" w:id="0">
    <w:p w14:paraId="195CA808" w14:textId="77777777" w:rsidR="00925E77" w:rsidRDefault="00925E77">
      <w:r>
        <w:continuationSeparator/>
      </w:r>
    </w:p>
  </w:endnote>
  <w:endnote w:type="continuationNotice" w:id="1">
    <w:p w14:paraId="2AA9450A" w14:textId="77777777" w:rsidR="00925E77" w:rsidRDefault="00925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2F597F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37A6A" w14:textId="77777777" w:rsidR="00925E77" w:rsidRDefault="00925E77">
      <w:r>
        <w:separator/>
      </w:r>
    </w:p>
  </w:footnote>
  <w:footnote w:type="continuationSeparator" w:id="0">
    <w:p w14:paraId="00618064" w14:textId="77777777" w:rsidR="00925E77" w:rsidRDefault="00925E77">
      <w:r>
        <w:continuationSeparator/>
      </w:r>
    </w:p>
  </w:footnote>
  <w:footnote w:type="continuationNotice" w:id="1">
    <w:p w14:paraId="5A7DC9C6" w14:textId="77777777" w:rsidR="00925E77" w:rsidRDefault="00925E77"/>
  </w:footnote>
  <w:footnote w:id="2">
    <w:p w14:paraId="78A4A7DB" w14:textId="30896527" w:rsidR="00946FED" w:rsidRDefault="00946FED" w:rsidP="00946FED">
      <w:pPr>
        <w:pStyle w:val="FootnoteText"/>
      </w:pPr>
      <w:r>
        <w:rPr>
          <w:rStyle w:val="FootnoteReference"/>
        </w:rPr>
        <w:footnoteRef/>
      </w:r>
      <w:r>
        <w:t xml:space="preserve"> Committee on the Elimination of Discrimination Against Women, </w:t>
      </w:r>
      <w:r>
        <w:rPr>
          <w:i/>
          <w:iCs/>
        </w:rPr>
        <w:t xml:space="preserve">List of Issues and questions in relation to the combined eighth to tenth periodic reports of Egypt, </w:t>
      </w:r>
      <w:r>
        <w:t>(17 November 2020) U.N. Doc. CEDAW/C/EGY/Q/8-10. ¶ 2.</w:t>
      </w:r>
    </w:p>
  </w:footnote>
  <w:footnote w:id="3">
    <w:p w14:paraId="07D3B293" w14:textId="52E54A61" w:rsidR="00946FED" w:rsidRPr="00C04B00" w:rsidRDefault="00946FED">
      <w:pPr>
        <w:pStyle w:val="FootnoteText"/>
      </w:pPr>
      <w:r>
        <w:rPr>
          <w:rStyle w:val="FootnoteReference"/>
        </w:rPr>
        <w:footnoteRef/>
      </w:r>
      <w:r>
        <w:t xml:space="preserve"> </w:t>
      </w:r>
      <w:r w:rsidR="00C04B00">
        <w:t xml:space="preserve">Committee on the Elimination of Discrimination Against Women, </w:t>
      </w:r>
      <w:r w:rsidR="00C04B00">
        <w:rPr>
          <w:i/>
          <w:iCs/>
        </w:rPr>
        <w:t>Replies of Egypt to the list of issues and questions in relation to its combined eighth to tenth periodic reports</w:t>
      </w:r>
      <w:r w:rsidR="00C04B00">
        <w:t xml:space="preserve">, </w:t>
      </w:r>
      <w:r w:rsidR="00EF16AF">
        <w:t>July 7, 2021, U.N. Doc. CEDAW/C/EGY/RQ/8-10, ¶ 4.</w:t>
      </w:r>
    </w:p>
  </w:footnote>
  <w:footnote w:id="4">
    <w:p w14:paraId="0339F185" w14:textId="54401ADB" w:rsidR="00EB7EC6" w:rsidRPr="00EB7EC6" w:rsidRDefault="00EB7EC6">
      <w:pPr>
        <w:pStyle w:val="FootnoteText"/>
      </w:pPr>
      <w:r>
        <w:rPr>
          <w:rStyle w:val="FootnoteReference"/>
        </w:rPr>
        <w:footnoteRef/>
      </w:r>
      <w:r>
        <w:t xml:space="preserve"> </w:t>
      </w:r>
      <w:r>
        <w:rPr>
          <w:i/>
          <w:iCs/>
        </w:rPr>
        <w:t>Egypt: ‘horrifying execution spree’, with at least 57 killed in past two months</w:t>
      </w:r>
      <w:r>
        <w:t xml:space="preserve">, Amnesty International UK (Press Release), Dec. 1, 2020, </w:t>
      </w:r>
      <w:r w:rsidR="00515A44" w:rsidRPr="00515A44">
        <w:t>https://www.amnesty.org.uk/press-releases/egypt-horrifying-execution-spree-least-57-killed-past-two-months</w:t>
      </w:r>
      <w:r w:rsidR="00515A44">
        <w:t>.</w:t>
      </w:r>
    </w:p>
  </w:footnote>
  <w:footnote w:id="5">
    <w:p w14:paraId="24E89576" w14:textId="15FB5EE9" w:rsidR="00E83600" w:rsidRPr="00E83600" w:rsidRDefault="00E83600">
      <w:pPr>
        <w:pStyle w:val="FootnoteText"/>
      </w:pPr>
      <w:r>
        <w:rPr>
          <w:rStyle w:val="FootnoteReference"/>
        </w:rPr>
        <w:footnoteRef/>
      </w:r>
      <w:r>
        <w:t xml:space="preserve"> </w:t>
      </w:r>
      <w:r>
        <w:rPr>
          <w:i/>
          <w:iCs/>
        </w:rPr>
        <w:t>Mass Injustice: Statistical Findings on the Death Penalty in Egypt</w:t>
      </w:r>
      <w:r>
        <w:t xml:space="preserve">, Reprieve, </w:t>
      </w:r>
      <w:r w:rsidR="00550979">
        <w:t xml:space="preserve">(2019), </w:t>
      </w:r>
      <w:r w:rsidR="007E0768" w:rsidRPr="007E0768">
        <w:t>https://egyptdeathpenaltyindex.com/wp-content/uploads/2020/11/2019_05_09_PUB-EGY-Egypt-data-report-Mass-Injustice-WEB-version.pdf</w:t>
      </w:r>
      <w:r w:rsidR="0074108D">
        <w:t>, at 3.</w:t>
      </w:r>
    </w:p>
  </w:footnote>
  <w:footnote w:id="6">
    <w:p w14:paraId="7F8B44A6" w14:textId="6781642B" w:rsidR="00DD128B" w:rsidRPr="00E83600" w:rsidRDefault="00DD128B" w:rsidP="00DD128B">
      <w:pPr>
        <w:pStyle w:val="FootnoteText"/>
      </w:pPr>
      <w:r>
        <w:rPr>
          <w:rStyle w:val="FootnoteReference"/>
        </w:rPr>
        <w:footnoteRef/>
      </w:r>
      <w:r>
        <w:t xml:space="preserve"> </w:t>
      </w:r>
      <w:r>
        <w:rPr>
          <w:i/>
          <w:iCs/>
        </w:rPr>
        <w:t>Mass Injustice: Statistical Findings on the Death Penalty in Egypt</w:t>
      </w:r>
      <w:r>
        <w:t xml:space="preserve">, Reprieve, (2019), </w:t>
      </w:r>
      <w:r w:rsidRPr="007E0768">
        <w:t>https://egyptdeathpenaltyindex.com/wp-content/uploads/2020/11/2019_05_09_PUB-EGY-Egypt-data-report-Mass-Injustice-WEB-version.pdf</w:t>
      </w:r>
      <w:r>
        <w:t>, at 31.</w:t>
      </w:r>
    </w:p>
  </w:footnote>
  <w:footnote w:id="7">
    <w:p w14:paraId="6A94AB0D" w14:textId="77777777" w:rsidR="007F6975" w:rsidRPr="00013139" w:rsidRDefault="007F6975" w:rsidP="007F6975">
      <w:pPr>
        <w:pStyle w:val="FootnoteText"/>
      </w:pPr>
      <w:r>
        <w:rPr>
          <w:rStyle w:val="FootnoteReference"/>
        </w:rPr>
        <w:footnoteRef/>
      </w:r>
      <w:r>
        <w:t xml:space="preserve"> </w:t>
      </w:r>
      <w:r>
        <w:rPr>
          <w:i/>
          <w:iCs/>
        </w:rPr>
        <w:t>Egypt: Chilling rise in executions reveals depth of human rights crisis</w:t>
      </w:r>
      <w:r>
        <w:t xml:space="preserve">, Amnesty International (Press Release), Dec. 2, 2020, </w:t>
      </w:r>
      <w:r w:rsidRPr="00E34A0A">
        <w:t>https://www.amnesty.org/en/latest/press-release/2020/12/egypt-chilling-rise-in-executions-reveals-depth-of-human-rights-crisis/</w:t>
      </w:r>
      <w:r>
        <w:t>.</w:t>
      </w:r>
    </w:p>
  </w:footnote>
  <w:footnote w:id="8">
    <w:p w14:paraId="0655513B" w14:textId="2CC2CAA9" w:rsidR="00056EA2" w:rsidRDefault="00056EA2" w:rsidP="00056EA2">
      <w:pPr>
        <w:pStyle w:val="FootnoteText"/>
      </w:pPr>
      <w:r>
        <w:rPr>
          <w:rStyle w:val="FootnoteReference"/>
        </w:rPr>
        <w:footnoteRef/>
      </w:r>
      <w:r>
        <w:t xml:space="preserve"> Egypt Death Penalty Index, </w:t>
      </w:r>
      <w:r w:rsidRPr="002E1DEE">
        <w:t>https://egyptdeathpenaltyindex.com/</w:t>
      </w:r>
      <w:r w:rsidR="00DD09EB">
        <w:t xml:space="preserve">; </w:t>
      </w:r>
      <w:r w:rsidR="00DD09EB">
        <w:rPr>
          <w:i/>
          <w:iCs/>
        </w:rPr>
        <w:t>Egypt: 16 people, including at least three women, executed for ordinary crimes</w:t>
      </w:r>
      <w:r w:rsidR="00DD09EB">
        <w:t xml:space="preserve">, Mar. 5, 2021, </w:t>
      </w:r>
      <w:r w:rsidR="00DD09EB" w:rsidRPr="00D41D90">
        <w:t>https://www.ecpm.org/en/egypt-16-people-including-at-least-three-women-executed-for-ordinary-crimes/</w:t>
      </w:r>
      <w:r w:rsidR="00DD09EB">
        <w:t xml:space="preserve">; Mada Masr, </w:t>
      </w:r>
      <w:r w:rsidR="00DD09EB">
        <w:rPr>
          <w:i/>
          <w:iCs/>
        </w:rPr>
        <w:t>16 executions carried out over single week in Alexandria, Cairo</w:t>
      </w:r>
      <w:r w:rsidR="00DD09EB">
        <w:t xml:space="preserve">, June 27, 2021, </w:t>
      </w:r>
      <w:r w:rsidR="00DD09EB" w:rsidRPr="00952AE5">
        <w:t>https://www.madamasr.com/en/2021/06/27/news/u/16-executions-carried-out-over-single-week-in-alexandria-cairo/</w:t>
      </w:r>
      <w:r w:rsidR="00DD09EB">
        <w:t>.</w:t>
      </w:r>
    </w:p>
  </w:footnote>
  <w:footnote w:id="9">
    <w:p w14:paraId="7986848E" w14:textId="345CD3EA" w:rsidR="00961F64" w:rsidRDefault="00961F64">
      <w:pPr>
        <w:pStyle w:val="FootnoteText"/>
      </w:pPr>
      <w:r>
        <w:rPr>
          <w:rStyle w:val="FootnoteReference"/>
        </w:rPr>
        <w:footnoteRef/>
      </w:r>
      <w:r>
        <w:t xml:space="preserve"> </w:t>
      </w:r>
      <w:r w:rsidR="002E1DEE">
        <w:t xml:space="preserve">Egypt Death Penalty Index, </w:t>
      </w:r>
      <w:r w:rsidR="002E1DEE" w:rsidRPr="002E1DEE">
        <w:t>https://egyptdeathpenaltyindex.com/</w:t>
      </w:r>
      <w:r w:rsidR="002E1DEE">
        <w:t>.</w:t>
      </w:r>
    </w:p>
  </w:footnote>
  <w:footnote w:id="10">
    <w:p w14:paraId="72EBC865" w14:textId="77777777" w:rsidR="002E1DEE" w:rsidRDefault="002E1DEE" w:rsidP="002E1DEE">
      <w:pPr>
        <w:pStyle w:val="FootnoteText"/>
      </w:pPr>
      <w:r>
        <w:rPr>
          <w:rStyle w:val="FootnoteReference"/>
        </w:rPr>
        <w:footnoteRef/>
      </w:r>
      <w:r>
        <w:t xml:space="preserve"> Egypt Death Penalty Index, </w:t>
      </w:r>
      <w:r w:rsidRPr="002E1DEE">
        <w:t>https://egyptdeathpenaltyindex.com/</w:t>
      </w:r>
      <w:r>
        <w:t>.</w:t>
      </w:r>
    </w:p>
  </w:footnote>
  <w:footnote w:id="11">
    <w:p w14:paraId="41343FE9" w14:textId="7FA6C60B" w:rsidR="00621276" w:rsidRPr="00621276" w:rsidRDefault="00621276">
      <w:pPr>
        <w:pStyle w:val="FootnoteText"/>
      </w:pPr>
      <w:r>
        <w:rPr>
          <w:rStyle w:val="FootnoteReference"/>
        </w:rPr>
        <w:footnoteRef/>
      </w:r>
      <w:r>
        <w:t xml:space="preserve"> Amira Mahmoud Othman, </w:t>
      </w:r>
      <w:r>
        <w:rPr>
          <w:i/>
          <w:iCs/>
        </w:rPr>
        <w:t>The Death Penalty in Contemporary Egypt: States, Murderers, and State Murderers</w:t>
      </w:r>
      <w:r>
        <w:t xml:space="preserve">, </w:t>
      </w:r>
      <w:r w:rsidR="00FC7FC2">
        <w:t>American University in Cairo, Fall 2019, at 4</w:t>
      </w:r>
      <w:r w:rsidR="008770DA">
        <w:t>5</w:t>
      </w:r>
      <w:r w:rsidR="00FC7FC2">
        <w:t xml:space="preserve">, </w:t>
      </w:r>
      <w:r w:rsidR="00FC7FC2" w:rsidRPr="00FC7FC2">
        <w:t>https://fount.aucegypt.edu/etds/1566</w:t>
      </w:r>
      <w:r w:rsidR="00FC7FC2">
        <w:t>.</w:t>
      </w:r>
    </w:p>
  </w:footnote>
  <w:footnote w:id="12">
    <w:p w14:paraId="3B04FB23" w14:textId="33073E4B" w:rsidR="00785990" w:rsidRPr="00785990" w:rsidRDefault="00785990">
      <w:pPr>
        <w:pStyle w:val="FootnoteText"/>
      </w:pPr>
      <w:r>
        <w:rPr>
          <w:rStyle w:val="FootnoteReference"/>
        </w:rPr>
        <w:footnoteRef/>
      </w:r>
      <w:r>
        <w:t xml:space="preserve"> </w:t>
      </w:r>
      <w:r>
        <w:rPr>
          <w:i/>
          <w:iCs/>
        </w:rPr>
        <w:t>Mother executed after killing her 11-year-old son in Egypt</w:t>
      </w:r>
      <w:r>
        <w:t xml:space="preserve">, Roya News, June 28, 2021, </w:t>
      </w:r>
      <w:r w:rsidR="00EA5736" w:rsidRPr="00EA5736">
        <w:t>https://en.royanews.tv/news/29211/2021-06-28</w:t>
      </w:r>
      <w:r w:rsidR="00EA5736">
        <w:t>.</w:t>
      </w:r>
    </w:p>
  </w:footnote>
  <w:footnote w:id="13">
    <w:p w14:paraId="299D0C01" w14:textId="718B1E27" w:rsidR="001E0FA6" w:rsidRPr="001E0FA6" w:rsidRDefault="001E0FA6">
      <w:pPr>
        <w:pStyle w:val="FootnoteText"/>
      </w:pPr>
      <w:r>
        <w:rPr>
          <w:rStyle w:val="FootnoteReference"/>
        </w:rPr>
        <w:footnoteRef/>
      </w:r>
      <w:r>
        <w:t xml:space="preserve"> Al-Masry Al-Youm, </w:t>
      </w:r>
      <w:r>
        <w:rPr>
          <w:i/>
          <w:iCs/>
        </w:rPr>
        <w:t>Egyptian court refers “Beheira Bride” murder case to Grand Mufti to consider death sentence</w:t>
      </w:r>
      <w:r>
        <w:t xml:space="preserve">, Egypt Independent, July 30, 2020, </w:t>
      </w:r>
      <w:r w:rsidRPr="001E0FA6">
        <w:t>https://www.egyptindependent.com/2621915damanhur-court-referrers-case-papers-of-bride-to-mufti-of-egypt-for-killing-her-husband-2/</w:t>
      </w:r>
      <w:r>
        <w:t>.</w:t>
      </w:r>
    </w:p>
  </w:footnote>
  <w:footnote w:id="14">
    <w:p w14:paraId="47002794" w14:textId="77777777" w:rsidR="00930EB9" w:rsidRPr="00434A9A" w:rsidRDefault="00930EB9" w:rsidP="00930EB9">
      <w:pPr>
        <w:pStyle w:val="FootnoteText"/>
      </w:pPr>
      <w:r>
        <w:rPr>
          <w:rStyle w:val="FootnoteReference"/>
        </w:rPr>
        <w:footnoteRef/>
      </w:r>
      <w:r>
        <w:t xml:space="preserve"> </w:t>
      </w:r>
      <w:r>
        <w:rPr>
          <w:i/>
          <w:iCs/>
        </w:rPr>
        <w:t>Egypt executes six, two of whom were women</w:t>
      </w:r>
      <w:r>
        <w:t xml:space="preserve">, Hands Off Cain, June 4, 2018, </w:t>
      </w:r>
      <w:r w:rsidRPr="000E377B">
        <w:t>https://www.handsoffcain.info/notizia/egypt-executes-six-two-of-whom-were-women-40305364</w:t>
      </w:r>
      <w:r>
        <w:t>.</w:t>
      </w:r>
    </w:p>
  </w:footnote>
  <w:footnote w:id="15">
    <w:p w14:paraId="6BB5B3C3" w14:textId="45E4FC60" w:rsidR="00C109F6" w:rsidRPr="00DB66AA" w:rsidRDefault="00C109F6" w:rsidP="00C109F6">
      <w:pPr>
        <w:pStyle w:val="FootnoteText"/>
        <w:jc w:val="both"/>
      </w:pPr>
      <w:r>
        <w:rPr>
          <w:rStyle w:val="FootnoteReference"/>
        </w:rPr>
        <w:footnoteRef/>
      </w:r>
      <w:r>
        <w:t xml:space="preserve"> Cornell Center on the Death Penalty Worldwide, </w:t>
      </w:r>
      <w:r>
        <w:rPr>
          <w:i/>
          <w:iCs/>
        </w:rPr>
        <w:t>Judged for More Than Her Crime:</w:t>
      </w:r>
      <w:r w:rsidR="00DB66AA">
        <w:rPr>
          <w:i/>
          <w:iCs/>
        </w:rPr>
        <w:t xml:space="preserve"> A Global Overview of Women Facing the Death Penalty </w:t>
      </w:r>
      <w:r w:rsidR="00DB66AA">
        <w:t xml:space="preserve">(Sept. 2018), at </w:t>
      </w:r>
      <w:r w:rsidR="00126A32">
        <w:t>11-12</w:t>
      </w:r>
      <w:r w:rsidR="00DB66AA">
        <w:t xml:space="preserve">, </w:t>
      </w:r>
      <w:r w:rsidR="005112E7" w:rsidRPr="005112E7">
        <w:t>https://www.deathpenaltyworldwide.org/wp-content/uploads/2019/12/Judged-More-Than-Her-Crime.pdf</w:t>
      </w:r>
      <w:r w:rsidR="005112E7">
        <w:t>.</w:t>
      </w:r>
    </w:p>
  </w:footnote>
  <w:footnote w:id="16">
    <w:p w14:paraId="27EEEADF" w14:textId="0E74A5E4" w:rsidR="00CF054A" w:rsidRDefault="00CF054A">
      <w:pPr>
        <w:pStyle w:val="FootnoteText"/>
      </w:pPr>
      <w:r>
        <w:rPr>
          <w:rStyle w:val="FootnoteReference"/>
        </w:rPr>
        <w:footnoteRef/>
      </w:r>
      <w:r>
        <w:t xml:space="preserve"> Agnes Callamard, UN Special Rapporteur on Extrajudicial, Summary or Arbitrary Executions, Cornell Center on the Death Penalty Worldwide, </w:t>
      </w:r>
      <w:r>
        <w:rPr>
          <w:i/>
          <w:iCs/>
        </w:rPr>
        <w:t xml:space="preserve">Judged for More Than Her Crime: A Global Overview of Women Facing the Death Penalty </w:t>
      </w:r>
      <w:r>
        <w:t>(Sept. 2018), at 3,</w:t>
      </w:r>
      <w:r w:rsidR="005112E7" w:rsidRPr="005112E7">
        <w:t xml:space="preserve"> https://www.deathpenaltyworldwide.org/wp-content/uploads/2019/12/Judged-More-Than-Her-Crime.pdf</w:t>
      </w:r>
      <w:r w:rsidR="005112E7">
        <w:t>.</w:t>
      </w:r>
    </w:p>
  </w:footnote>
  <w:footnote w:id="17">
    <w:p w14:paraId="7BDEAD26" w14:textId="38BB658D" w:rsidR="008D6B32" w:rsidRDefault="008D6B32">
      <w:pPr>
        <w:pStyle w:val="FootnoteText"/>
      </w:pPr>
      <w:r>
        <w:rPr>
          <w:rStyle w:val="FootnoteReference"/>
        </w:rPr>
        <w:footnoteRef/>
      </w:r>
      <w:r>
        <w:t xml:space="preserve"> </w:t>
      </w:r>
      <w:r w:rsidR="00331564">
        <w:t xml:space="preserve">Some of these recommendations are borrowed or adapted from </w:t>
      </w:r>
      <w:r w:rsidR="00331564">
        <w:rPr>
          <w:i/>
          <w:iCs/>
        </w:rPr>
        <w:t>Judged for More Than Her Crime: A Global Overview of Women Facing the Death Penalty</w:t>
      </w:r>
      <w:r w:rsidR="00331564">
        <w:t xml:space="preserve">, Cornell Center on the Death Penalty Worldwide, Sept. 2018, at 35, </w:t>
      </w:r>
      <w:r w:rsidR="00331564" w:rsidRPr="003B4552">
        <w:t>https://www.deathpenaltyworldwide.org/wp-content/uploads/2019/12/Judged-More-Than-Her-Crime.pdf</w:t>
      </w:r>
      <w:r w:rsidR="003315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4ACF4565" w:rsidR="00804604" w:rsidRDefault="00ED1C78" w:rsidP="00ED1C78">
    <w:pPr>
      <w:pStyle w:val="Header"/>
    </w:pPr>
    <w:r>
      <w:rPr>
        <w:noProof/>
      </w:rPr>
      <w:drawing>
        <wp:anchor distT="0" distB="0" distL="114300" distR="114300" simplePos="0" relativeHeight="251658240" behindDoc="1" locked="0" layoutInCell="1" allowOverlap="1" wp14:anchorId="0D691956" wp14:editId="4AB2577D">
          <wp:simplePos x="0" y="0"/>
          <wp:positionH relativeFrom="column">
            <wp:posOffset>4333875</wp:posOffset>
          </wp:positionH>
          <wp:positionV relativeFrom="paragraph">
            <wp:posOffset>-171450</wp:posOffset>
          </wp:positionV>
          <wp:extent cx="1927225" cy="738505"/>
          <wp:effectExtent l="0" t="0" r="0" b="4445"/>
          <wp:wrapTight wrapText="bothSides">
            <wp:wrapPolygon edited="0">
              <wp:start x="0" y="0"/>
              <wp:lineTo x="0" y="21173"/>
              <wp:lineTo x="21351" y="21173"/>
              <wp:lineTo x="2135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7225" cy="738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AB0F87" wp14:editId="7341094B">
          <wp:extent cx="1343212" cy="609685"/>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43212" cy="6096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E514B3DC"/>
    <w:lvl w:ilvl="0" w:tplc="A4C2259E">
      <w:start w:val="1"/>
      <w:numFmt w:val="decimal"/>
      <w:lvlText w:val="%1."/>
      <w:lvlJc w:val="left"/>
      <w:pPr>
        <w:ind w:left="720" w:hanging="360"/>
      </w:pPr>
      <w:rPr>
        <w:rFonts w:hint="default"/>
        <w:b w:val="0"/>
        <w:sz w:val="24"/>
        <w:szCs w:val="24"/>
        <w:vertAlign w:val="baseline"/>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ED3566"/>
    <w:multiLevelType w:val="hybridMultilevel"/>
    <w:tmpl w:val="840AF840"/>
    <w:lvl w:ilvl="0" w:tplc="0409000F">
      <w:start w:val="1"/>
      <w:numFmt w:val="decimal"/>
      <w:lvlText w:val="%1."/>
      <w:lvlJc w:val="left"/>
      <w:pPr>
        <w:ind w:left="720" w:hanging="360"/>
      </w:pPr>
      <w:rPr>
        <w:rFonts w:hint="default"/>
        <w:b w:val="0"/>
        <w:sz w:val="24"/>
        <w:szCs w:val="24"/>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EF54D2C"/>
    <w:multiLevelType w:val="hybridMultilevel"/>
    <w:tmpl w:val="C232935E"/>
    <w:lvl w:ilvl="0" w:tplc="0409000F">
      <w:start w:val="1"/>
      <w:numFmt w:val="decimal"/>
      <w:lvlText w:val="%1."/>
      <w:lvlJc w:val="left"/>
      <w:pPr>
        <w:ind w:left="720" w:hanging="360"/>
      </w:pPr>
      <w:rPr>
        <w:rFonts w:hint="default"/>
        <w:b w:val="0"/>
        <w:sz w:val="24"/>
        <w:szCs w:val="24"/>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8D5B63"/>
    <w:multiLevelType w:val="hybridMultilevel"/>
    <w:tmpl w:val="4306BF3C"/>
    <w:lvl w:ilvl="0" w:tplc="04090001">
      <w:start w:val="1"/>
      <w:numFmt w:val="bullet"/>
      <w:lvlText w:val=""/>
      <w:lvlJc w:val="left"/>
      <w:pPr>
        <w:ind w:left="720" w:hanging="360"/>
      </w:pPr>
      <w:rPr>
        <w:rFonts w:ascii="Symbol" w:hAnsi="Symbol" w:hint="default"/>
        <w:b w:val="0"/>
        <w:sz w:val="24"/>
        <w:szCs w:val="24"/>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6"/>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4"/>
  </w:num>
  <w:num w:numId="8">
    <w:abstractNumId w:val="12"/>
  </w:num>
  <w:num w:numId="9">
    <w:abstractNumId w:val="2"/>
  </w:num>
  <w:num w:numId="10">
    <w:abstractNumId w:val="0"/>
  </w:num>
  <w:num w:numId="11">
    <w:abstractNumId w:val="5"/>
  </w:num>
  <w:num w:numId="12">
    <w:abstractNumId w:val="9"/>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940"/>
    <w:rsid w:val="0000650E"/>
    <w:rsid w:val="00013139"/>
    <w:rsid w:val="00015B40"/>
    <w:rsid w:val="00024CFD"/>
    <w:rsid w:val="00030F59"/>
    <w:rsid w:val="0003318D"/>
    <w:rsid w:val="000342B6"/>
    <w:rsid w:val="00041646"/>
    <w:rsid w:val="00046377"/>
    <w:rsid w:val="000563BF"/>
    <w:rsid w:val="00056CF5"/>
    <w:rsid w:val="00056EA2"/>
    <w:rsid w:val="00073473"/>
    <w:rsid w:val="000734A4"/>
    <w:rsid w:val="0008238F"/>
    <w:rsid w:val="00085935"/>
    <w:rsid w:val="000910FC"/>
    <w:rsid w:val="0009644E"/>
    <w:rsid w:val="000A1F17"/>
    <w:rsid w:val="000A602A"/>
    <w:rsid w:val="000A66B8"/>
    <w:rsid w:val="000A718A"/>
    <w:rsid w:val="000B042D"/>
    <w:rsid w:val="000B3FAB"/>
    <w:rsid w:val="000B4DB3"/>
    <w:rsid w:val="000C6340"/>
    <w:rsid w:val="000D0680"/>
    <w:rsid w:val="000D22E7"/>
    <w:rsid w:val="000E1DDC"/>
    <w:rsid w:val="000E377B"/>
    <w:rsid w:val="000F1E67"/>
    <w:rsid w:val="000F56E0"/>
    <w:rsid w:val="001008D1"/>
    <w:rsid w:val="00102AA5"/>
    <w:rsid w:val="00111994"/>
    <w:rsid w:val="001127FE"/>
    <w:rsid w:val="001152D1"/>
    <w:rsid w:val="001215B4"/>
    <w:rsid w:val="00126A32"/>
    <w:rsid w:val="00136514"/>
    <w:rsid w:val="00143423"/>
    <w:rsid w:val="00147EA4"/>
    <w:rsid w:val="001565F9"/>
    <w:rsid w:val="00160BDA"/>
    <w:rsid w:val="00161B8C"/>
    <w:rsid w:val="00180775"/>
    <w:rsid w:val="00181B2A"/>
    <w:rsid w:val="0018642B"/>
    <w:rsid w:val="001952B5"/>
    <w:rsid w:val="001A59C1"/>
    <w:rsid w:val="001A5ED5"/>
    <w:rsid w:val="001A7AF4"/>
    <w:rsid w:val="001B1AC4"/>
    <w:rsid w:val="001B27D7"/>
    <w:rsid w:val="001B4131"/>
    <w:rsid w:val="001B46C2"/>
    <w:rsid w:val="001B6F3F"/>
    <w:rsid w:val="001B70B6"/>
    <w:rsid w:val="001B799A"/>
    <w:rsid w:val="001C42EB"/>
    <w:rsid w:val="001C52BB"/>
    <w:rsid w:val="001C7E9B"/>
    <w:rsid w:val="001D6169"/>
    <w:rsid w:val="001D73A2"/>
    <w:rsid w:val="001E0A21"/>
    <w:rsid w:val="001E0FA6"/>
    <w:rsid w:val="001E7FE7"/>
    <w:rsid w:val="00210BB9"/>
    <w:rsid w:val="00216AFB"/>
    <w:rsid w:val="00220D48"/>
    <w:rsid w:val="00237C8C"/>
    <w:rsid w:val="00241361"/>
    <w:rsid w:val="002429B1"/>
    <w:rsid w:val="00242F64"/>
    <w:rsid w:val="002439A3"/>
    <w:rsid w:val="00243E14"/>
    <w:rsid w:val="00255789"/>
    <w:rsid w:val="00255E28"/>
    <w:rsid w:val="00257017"/>
    <w:rsid w:val="00261423"/>
    <w:rsid w:val="002673F7"/>
    <w:rsid w:val="00267508"/>
    <w:rsid w:val="00272519"/>
    <w:rsid w:val="002734D9"/>
    <w:rsid w:val="00273933"/>
    <w:rsid w:val="00282223"/>
    <w:rsid w:val="00291BE8"/>
    <w:rsid w:val="002A0797"/>
    <w:rsid w:val="002A4838"/>
    <w:rsid w:val="002A6ADA"/>
    <w:rsid w:val="002A7D0D"/>
    <w:rsid w:val="002C02E0"/>
    <w:rsid w:val="002C57BC"/>
    <w:rsid w:val="002C6152"/>
    <w:rsid w:val="002D36C6"/>
    <w:rsid w:val="002D7272"/>
    <w:rsid w:val="002E1DEE"/>
    <w:rsid w:val="002E34EA"/>
    <w:rsid w:val="002E46A1"/>
    <w:rsid w:val="002F0E4E"/>
    <w:rsid w:val="002F2A66"/>
    <w:rsid w:val="002F4D12"/>
    <w:rsid w:val="002F7A11"/>
    <w:rsid w:val="00315C53"/>
    <w:rsid w:val="00320FAC"/>
    <w:rsid w:val="00322CB1"/>
    <w:rsid w:val="00331564"/>
    <w:rsid w:val="003315E1"/>
    <w:rsid w:val="003369A6"/>
    <w:rsid w:val="00340484"/>
    <w:rsid w:val="00344140"/>
    <w:rsid w:val="00344556"/>
    <w:rsid w:val="00345B90"/>
    <w:rsid w:val="0035378E"/>
    <w:rsid w:val="0035424D"/>
    <w:rsid w:val="00355849"/>
    <w:rsid w:val="00374FD8"/>
    <w:rsid w:val="00390AC3"/>
    <w:rsid w:val="003937C6"/>
    <w:rsid w:val="003A0BC2"/>
    <w:rsid w:val="003A1D3E"/>
    <w:rsid w:val="003A4F85"/>
    <w:rsid w:val="003A6F6D"/>
    <w:rsid w:val="003A7151"/>
    <w:rsid w:val="003A7EBC"/>
    <w:rsid w:val="003B05B8"/>
    <w:rsid w:val="003B49CC"/>
    <w:rsid w:val="003C1E49"/>
    <w:rsid w:val="003C339D"/>
    <w:rsid w:val="003C60FE"/>
    <w:rsid w:val="003C767D"/>
    <w:rsid w:val="003E4F22"/>
    <w:rsid w:val="00401B94"/>
    <w:rsid w:val="0040501A"/>
    <w:rsid w:val="004076CD"/>
    <w:rsid w:val="00417CE5"/>
    <w:rsid w:val="00420A9A"/>
    <w:rsid w:val="00430A63"/>
    <w:rsid w:val="0043267C"/>
    <w:rsid w:val="00434A9A"/>
    <w:rsid w:val="0044231C"/>
    <w:rsid w:val="00450118"/>
    <w:rsid w:val="00450405"/>
    <w:rsid w:val="00453314"/>
    <w:rsid w:val="004561E3"/>
    <w:rsid w:val="004657AF"/>
    <w:rsid w:val="00472699"/>
    <w:rsid w:val="00473ECC"/>
    <w:rsid w:val="00476CC4"/>
    <w:rsid w:val="00484682"/>
    <w:rsid w:val="004866AE"/>
    <w:rsid w:val="00486E27"/>
    <w:rsid w:val="00493195"/>
    <w:rsid w:val="004A17D9"/>
    <w:rsid w:val="004A4BA7"/>
    <w:rsid w:val="004A5B01"/>
    <w:rsid w:val="004A7D93"/>
    <w:rsid w:val="004A7FF9"/>
    <w:rsid w:val="004B1E4E"/>
    <w:rsid w:val="004B4CAF"/>
    <w:rsid w:val="004B73AF"/>
    <w:rsid w:val="004D2568"/>
    <w:rsid w:val="004D367B"/>
    <w:rsid w:val="004D3EE9"/>
    <w:rsid w:val="004D51DD"/>
    <w:rsid w:val="004E7176"/>
    <w:rsid w:val="004E783D"/>
    <w:rsid w:val="004F2465"/>
    <w:rsid w:val="004F34E5"/>
    <w:rsid w:val="004F4A8C"/>
    <w:rsid w:val="00502106"/>
    <w:rsid w:val="00503D38"/>
    <w:rsid w:val="005055CB"/>
    <w:rsid w:val="005112E7"/>
    <w:rsid w:val="005122A7"/>
    <w:rsid w:val="00512B97"/>
    <w:rsid w:val="005132BB"/>
    <w:rsid w:val="005137E4"/>
    <w:rsid w:val="0051494C"/>
    <w:rsid w:val="00515A44"/>
    <w:rsid w:val="00524166"/>
    <w:rsid w:val="00524C18"/>
    <w:rsid w:val="00532D8E"/>
    <w:rsid w:val="005336C2"/>
    <w:rsid w:val="00537077"/>
    <w:rsid w:val="005403E3"/>
    <w:rsid w:val="00550979"/>
    <w:rsid w:val="0055461C"/>
    <w:rsid w:val="005638BB"/>
    <w:rsid w:val="00571EF6"/>
    <w:rsid w:val="005869E9"/>
    <w:rsid w:val="00595F25"/>
    <w:rsid w:val="0059754B"/>
    <w:rsid w:val="005B0C1B"/>
    <w:rsid w:val="005C183B"/>
    <w:rsid w:val="005C58B6"/>
    <w:rsid w:val="005C5BF7"/>
    <w:rsid w:val="005D0353"/>
    <w:rsid w:val="005D4EE6"/>
    <w:rsid w:val="005D544F"/>
    <w:rsid w:val="005F2A19"/>
    <w:rsid w:val="0060432F"/>
    <w:rsid w:val="0060568A"/>
    <w:rsid w:val="0060622C"/>
    <w:rsid w:val="006116BC"/>
    <w:rsid w:val="0061778F"/>
    <w:rsid w:val="00620834"/>
    <w:rsid w:val="00621276"/>
    <w:rsid w:val="00624A10"/>
    <w:rsid w:val="00626C39"/>
    <w:rsid w:val="00633902"/>
    <w:rsid w:val="006410A2"/>
    <w:rsid w:val="00643D7A"/>
    <w:rsid w:val="0064510A"/>
    <w:rsid w:val="00646D29"/>
    <w:rsid w:val="0066318F"/>
    <w:rsid w:val="00666060"/>
    <w:rsid w:val="00691CAE"/>
    <w:rsid w:val="006927DD"/>
    <w:rsid w:val="006B7B89"/>
    <w:rsid w:val="006C2DF8"/>
    <w:rsid w:val="006D39C4"/>
    <w:rsid w:val="006E0151"/>
    <w:rsid w:val="006E7D5B"/>
    <w:rsid w:val="006F582F"/>
    <w:rsid w:val="00705B03"/>
    <w:rsid w:val="00705F56"/>
    <w:rsid w:val="00706125"/>
    <w:rsid w:val="007143B8"/>
    <w:rsid w:val="007161C1"/>
    <w:rsid w:val="00723666"/>
    <w:rsid w:val="00725C13"/>
    <w:rsid w:val="007316AA"/>
    <w:rsid w:val="00734BDE"/>
    <w:rsid w:val="0074108D"/>
    <w:rsid w:val="00741B9C"/>
    <w:rsid w:val="00751B8E"/>
    <w:rsid w:val="0075389F"/>
    <w:rsid w:val="00757A1C"/>
    <w:rsid w:val="007637D8"/>
    <w:rsid w:val="00765EBC"/>
    <w:rsid w:val="00766E6D"/>
    <w:rsid w:val="0077231B"/>
    <w:rsid w:val="00774643"/>
    <w:rsid w:val="00776B4C"/>
    <w:rsid w:val="007838DE"/>
    <w:rsid w:val="00785990"/>
    <w:rsid w:val="007A2345"/>
    <w:rsid w:val="007B46CD"/>
    <w:rsid w:val="007B6CB4"/>
    <w:rsid w:val="007C4387"/>
    <w:rsid w:val="007C6010"/>
    <w:rsid w:val="007C72CF"/>
    <w:rsid w:val="007C7CCE"/>
    <w:rsid w:val="007D2FB7"/>
    <w:rsid w:val="007E0768"/>
    <w:rsid w:val="007E79C4"/>
    <w:rsid w:val="007E7AFA"/>
    <w:rsid w:val="007F23A8"/>
    <w:rsid w:val="007F42C3"/>
    <w:rsid w:val="007F6975"/>
    <w:rsid w:val="00804604"/>
    <w:rsid w:val="0081221D"/>
    <w:rsid w:val="00816C1F"/>
    <w:rsid w:val="0082239D"/>
    <w:rsid w:val="00825B98"/>
    <w:rsid w:val="00826961"/>
    <w:rsid w:val="00836428"/>
    <w:rsid w:val="00847C78"/>
    <w:rsid w:val="00852B97"/>
    <w:rsid w:val="00860C2E"/>
    <w:rsid w:val="00860CA1"/>
    <w:rsid w:val="00870521"/>
    <w:rsid w:val="0087642D"/>
    <w:rsid w:val="008770DA"/>
    <w:rsid w:val="008806CE"/>
    <w:rsid w:val="008856D7"/>
    <w:rsid w:val="0089523C"/>
    <w:rsid w:val="00897B47"/>
    <w:rsid w:val="008B4424"/>
    <w:rsid w:val="008B7094"/>
    <w:rsid w:val="008C1B93"/>
    <w:rsid w:val="008C226B"/>
    <w:rsid w:val="008C3B9B"/>
    <w:rsid w:val="008C7B1F"/>
    <w:rsid w:val="008C7B63"/>
    <w:rsid w:val="008D6B32"/>
    <w:rsid w:val="008E0859"/>
    <w:rsid w:val="008F0BDD"/>
    <w:rsid w:val="008F2F99"/>
    <w:rsid w:val="008F6084"/>
    <w:rsid w:val="00901D69"/>
    <w:rsid w:val="00904835"/>
    <w:rsid w:val="009057C8"/>
    <w:rsid w:val="00925E77"/>
    <w:rsid w:val="00927F73"/>
    <w:rsid w:val="00930EB9"/>
    <w:rsid w:val="00931763"/>
    <w:rsid w:val="0093193B"/>
    <w:rsid w:val="00933CDD"/>
    <w:rsid w:val="00946FED"/>
    <w:rsid w:val="00947170"/>
    <w:rsid w:val="00947B3D"/>
    <w:rsid w:val="00952AE5"/>
    <w:rsid w:val="00956E94"/>
    <w:rsid w:val="00961F64"/>
    <w:rsid w:val="00962312"/>
    <w:rsid w:val="009627A1"/>
    <w:rsid w:val="009712FE"/>
    <w:rsid w:val="00973A15"/>
    <w:rsid w:val="009875AD"/>
    <w:rsid w:val="009924AF"/>
    <w:rsid w:val="009A6009"/>
    <w:rsid w:val="009A7F71"/>
    <w:rsid w:val="009B51D7"/>
    <w:rsid w:val="009B7582"/>
    <w:rsid w:val="009C03F5"/>
    <w:rsid w:val="009C1773"/>
    <w:rsid w:val="009D3BEA"/>
    <w:rsid w:val="009D5161"/>
    <w:rsid w:val="009E261B"/>
    <w:rsid w:val="009E4D16"/>
    <w:rsid w:val="009F12E2"/>
    <w:rsid w:val="009F3358"/>
    <w:rsid w:val="009F478B"/>
    <w:rsid w:val="009F69C1"/>
    <w:rsid w:val="00A16829"/>
    <w:rsid w:val="00A40EE1"/>
    <w:rsid w:val="00A423ED"/>
    <w:rsid w:val="00A51F5A"/>
    <w:rsid w:val="00A52B79"/>
    <w:rsid w:val="00A52F55"/>
    <w:rsid w:val="00A536F3"/>
    <w:rsid w:val="00A56F00"/>
    <w:rsid w:val="00A73385"/>
    <w:rsid w:val="00A81ED6"/>
    <w:rsid w:val="00A87F77"/>
    <w:rsid w:val="00A91D08"/>
    <w:rsid w:val="00AA6318"/>
    <w:rsid w:val="00AA6A41"/>
    <w:rsid w:val="00AA7FCB"/>
    <w:rsid w:val="00AB59AE"/>
    <w:rsid w:val="00AB5BD9"/>
    <w:rsid w:val="00AC040C"/>
    <w:rsid w:val="00AD0AA1"/>
    <w:rsid w:val="00AD5E10"/>
    <w:rsid w:val="00AE07A3"/>
    <w:rsid w:val="00AE372A"/>
    <w:rsid w:val="00AE5870"/>
    <w:rsid w:val="00AF5D79"/>
    <w:rsid w:val="00B00001"/>
    <w:rsid w:val="00B00F4C"/>
    <w:rsid w:val="00B068A1"/>
    <w:rsid w:val="00B21B72"/>
    <w:rsid w:val="00B24EA5"/>
    <w:rsid w:val="00B275A9"/>
    <w:rsid w:val="00B40DBF"/>
    <w:rsid w:val="00B44231"/>
    <w:rsid w:val="00B457C4"/>
    <w:rsid w:val="00B54060"/>
    <w:rsid w:val="00B55826"/>
    <w:rsid w:val="00B71178"/>
    <w:rsid w:val="00B869D1"/>
    <w:rsid w:val="00B914A2"/>
    <w:rsid w:val="00B9541E"/>
    <w:rsid w:val="00B965CB"/>
    <w:rsid w:val="00BA4CDE"/>
    <w:rsid w:val="00BB0488"/>
    <w:rsid w:val="00BB3ED5"/>
    <w:rsid w:val="00BB4AB9"/>
    <w:rsid w:val="00BC07C0"/>
    <w:rsid w:val="00BC3812"/>
    <w:rsid w:val="00BD3CFF"/>
    <w:rsid w:val="00BE5529"/>
    <w:rsid w:val="00BE59BD"/>
    <w:rsid w:val="00C0174A"/>
    <w:rsid w:val="00C04B00"/>
    <w:rsid w:val="00C05D9B"/>
    <w:rsid w:val="00C078CF"/>
    <w:rsid w:val="00C109F6"/>
    <w:rsid w:val="00C130E6"/>
    <w:rsid w:val="00C214BA"/>
    <w:rsid w:val="00C26130"/>
    <w:rsid w:val="00C315B6"/>
    <w:rsid w:val="00C376F3"/>
    <w:rsid w:val="00C40BAC"/>
    <w:rsid w:val="00C4132F"/>
    <w:rsid w:val="00C463D2"/>
    <w:rsid w:val="00C62A44"/>
    <w:rsid w:val="00C74404"/>
    <w:rsid w:val="00C80A39"/>
    <w:rsid w:val="00C81936"/>
    <w:rsid w:val="00C84C4C"/>
    <w:rsid w:val="00C86DDC"/>
    <w:rsid w:val="00C92BCA"/>
    <w:rsid w:val="00C94373"/>
    <w:rsid w:val="00C95F5B"/>
    <w:rsid w:val="00C974AD"/>
    <w:rsid w:val="00CA1C4C"/>
    <w:rsid w:val="00CA5CC2"/>
    <w:rsid w:val="00CA7D78"/>
    <w:rsid w:val="00CB5F62"/>
    <w:rsid w:val="00CB631F"/>
    <w:rsid w:val="00CB735B"/>
    <w:rsid w:val="00CC05CF"/>
    <w:rsid w:val="00CC4C0A"/>
    <w:rsid w:val="00CC5314"/>
    <w:rsid w:val="00CD27F9"/>
    <w:rsid w:val="00CD59E5"/>
    <w:rsid w:val="00CE1F02"/>
    <w:rsid w:val="00CF054A"/>
    <w:rsid w:val="00CF37EF"/>
    <w:rsid w:val="00D0019C"/>
    <w:rsid w:val="00D03498"/>
    <w:rsid w:val="00D03635"/>
    <w:rsid w:val="00D05C16"/>
    <w:rsid w:val="00D0654E"/>
    <w:rsid w:val="00D16346"/>
    <w:rsid w:val="00D17F80"/>
    <w:rsid w:val="00D3182B"/>
    <w:rsid w:val="00D41D90"/>
    <w:rsid w:val="00D4458A"/>
    <w:rsid w:val="00D52AD6"/>
    <w:rsid w:val="00D861C1"/>
    <w:rsid w:val="00D86901"/>
    <w:rsid w:val="00D92835"/>
    <w:rsid w:val="00D94424"/>
    <w:rsid w:val="00DA6DB6"/>
    <w:rsid w:val="00DB66AA"/>
    <w:rsid w:val="00DC41C9"/>
    <w:rsid w:val="00DC5473"/>
    <w:rsid w:val="00DD09EB"/>
    <w:rsid w:val="00DD128B"/>
    <w:rsid w:val="00DD2F76"/>
    <w:rsid w:val="00DD36AF"/>
    <w:rsid w:val="00DD3996"/>
    <w:rsid w:val="00DD6867"/>
    <w:rsid w:val="00DE6FE8"/>
    <w:rsid w:val="00E01361"/>
    <w:rsid w:val="00E06D83"/>
    <w:rsid w:val="00E114C5"/>
    <w:rsid w:val="00E13D93"/>
    <w:rsid w:val="00E162F5"/>
    <w:rsid w:val="00E2684F"/>
    <w:rsid w:val="00E307F3"/>
    <w:rsid w:val="00E3230E"/>
    <w:rsid w:val="00E34A0A"/>
    <w:rsid w:val="00E35775"/>
    <w:rsid w:val="00E424F7"/>
    <w:rsid w:val="00E4793F"/>
    <w:rsid w:val="00E51F5A"/>
    <w:rsid w:val="00E55BDB"/>
    <w:rsid w:val="00E66CB4"/>
    <w:rsid w:val="00E70D77"/>
    <w:rsid w:val="00E74403"/>
    <w:rsid w:val="00E7556E"/>
    <w:rsid w:val="00E826D1"/>
    <w:rsid w:val="00E83600"/>
    <w:rsid w:val="00E86ACD"/>
    <w:rsid w:val="00E95CF7"/>
    <w:rsid w:val="00EA0EEB"/>
    <w:rsid w:val="00EA1769"/>
    <w:rsid w:val="00EA5736"/>
    <w:rsid w:val="00EA641E"/>
    <w:rsid w:val="00EB7EC6"/>
    <w:rsid w:val="00EC6856"/>
    <w:rsid w:val="00ED0FD2"/>
    <w:rsid w:val="00ED1C78"/>
    <w:rsid w:val="00ED2912"/>
    <w:rsid w:val="00ED2DCC"/>
    <w:rsid w:val="00ED57D3"/>
    <w:rsid w:val="00EF16AF"/>
    <w:rsid w:val="00EF2BE5"/>
    <w:rsid w:val="00F042FA"/>
    <w:rsid w:val="00F16374"/>
    <w:rsid w:val="00F22813"/>
    <w:rsid w:val="00F2426D"/>
    <w:rsid w:val="00F2442A"/>
    <w:rsid w:val="00F25480"/>
    <w:rsid w:val="00F27F9D"/>
    <w:rsid w:val="00F4107A"/>
    <w:rsid w:val="00F51AFD"/>
    <w:rsid w:val="00F56FDA"/>
    <w:rsid w:val="00F612FF"/>
    <w:rsid w:val="00F61AF7"/>
    <w:rsid w:val="00F6493F"/>
    <w:rsid w:val="00F71249"/>
    <w:rsid w:val="00F75663"/>
    <w:rsid w:val="00F811E7"/>
    <w:rsid w:val="00F85CF6"/>
    <w:rsid w:val="00F9056C"/>
    <w:rsid w:val="00F92EF4"/>
    <w:rsid w:val="00FA365A"/>
    <w:rsid w:val="00FB0235"/>
    <w:rsid w:val="00FB4891"/>
    <w:rsid w:val="00FC2C4D"/>
    <w:rsid w:val="00FC397A"/>
    <w:rsid w:val="00FC686F"/>
    <w:rsid w:val="00FC7FBE"/>
    <w:rsid w:val="00FC7FC2"/>
    <w:rsid w:val="00FD0BF4"/>
    <w:rsid w:val="00FD2B30"/>
    <w:rsid w:val="00FE0378"/>
    <w:rsid w:val="00FE1A03"/>
    <w:rsid w:val="00FE2347"/>
    <w:rsid w:val="00FE5E6C"/>
    <w:rsid w:val="20EBB8F7"/>
    <w:rsid w:val="27553789"/>
    <w:rsid w:val="33A7E4E3"/>
    <w:rsid w:val="6855B8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A4BC44"/>
  <w15:chartTrackingRefBased/>
  <w15:docId w15:val="{6D44A179-C059-414C-BE29-C20E406A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933CDD"/>
    <w:pPr>
      <w:spacing w:line="276" w:lineRule="auto"/>
    </w:pPr>
    <w:rPr>
      <w:rFonts w:ascii="Arial" w:eastAsia="Arial" w:hAnsi="Arial" w:cs="Arial"/>
      <w:kern w:val="0"/>
    </w:rPr>
  </w:style>
  <w:style w:type="character" w:customStyle="1" w:styleId="EndnoteTextChar">
    <w:name w:val="Endnote Text Char"/>
    <w:basedOn w:val="DefaultParagraphFont"/>
    <w:link w:val="EndnoteText"/>
    <w:uiPriority w:val="99"/>
    <w:rsid w:val="00933CDD"/>
    <w:rPr>
      <w:rFonts w:ascii="Arial" w:eastAsia="Arial" w:hAnsi="Arial" w:cs="Arial"/>
      <w:color w:val="000000"/>
      <w:lang w:eastAsia="en-US"/>
    </w:rPr>
  </w:style>
  <w:style w:type="character" w:styleId="EndnoteReference">
    <w:name w:val="endnote reference"/>
    <w:uiPriority w:val="99"/>
    <w:unhideWhenUsed/>
    <w:rsid w:val="00933CDD"/>
    <w:rPr>
      <w:vertAlign w:val="superscript"/>
    </w:rPr>
  </w:style>
  <w:style w:type="character" w:styleId="UnresolvedMention">
    <w:name w:val="Unresolved Mention"/>
    <w:basedOn w:val="DefaultParagraphFont"/>
    <w:uiPriority w:val="99"/>
    <w:semiHidden/>
    <w:unhideWhenUsed/>
    <w:rsid w:val="00741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E91FCA46-7451-49C1-9874-09879ABD2457}"/>
</file>

<file path=docProps/app.xml><?xml version="1.0" encoding="utf-8"?>
<Properties xmlns="http://schemas.openxmlformats.org/officeDocument/2006/extended-properties" xmlns:vt="http://schemas.openxmlformats.org/officeDocument/2006/docPropsVTypes">
  <Template>Normal</Template>
  <TotalTime>160</TotalTime>
  <Pages>5</Pages>
  <Words>1602</Words>
  <Characters>9137</Characters>
  <Application>Microsoft Office Word</Application>
  <DocSecurity>0</DocSecurity>
  <Lines>76</Lines>
  <Paragraphs>21</Paragraphs>
  <ScaleCrop>false</ScaleCrop>
  <Company>Minnesota Advocates for Human Rights</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237</cp:revision>
  <cp:lastPrinted>2011-09-16T18:52:00Z</cp:lastPrinted>
  <dcterms:created xsi:type="dcterms:W3CDTF">2021-09-17T16:11:00Z</dcterms:created>
  <dcterms:modified xsi:type="dcterms:W3CDTF">2021-09-22T15:30:00Z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