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BFA3D" w14:textId="77777777" w:rsidR="00FF243A" w:rsidRDefault="00000000">
      <w:pPr>
        <w:pStyle w:val="Heading1"/>
        <w:ind w:left="720"/>
        <w:rPr>
          <w:u w:val="none"/>
        </w:rPr>
      </w:pPr>
      <w:r>
        <w:t>Supplementary information on the Republic of uganda scheduled to be reviewed by the United Nations Human Rights Committee during its 138</w:t>
      </w:r>
      <w:r>
        <w:rPr>
          <w:vertAlign w:val="superscript"/>
        </w:rPr>
        <w:t>th</w:t>
      </w:r>
      <w:r>
        <w:t xml:space="preserve"> Session</w:t>
      </w:r>
    </w:p>
    <w:p w14:paraId="0F8BFA3E" w14:textId="77777777" w:rsidR="00FF243A" w:rsidRDefault="00000000">
      <w:pPr>
        <w:jc w:val="center"/>
        <w:rPr>
          <w:b/>
          <w:color w:val="1F3864"/>
          <w:u w:val="single"/>
        </w:rPr>
      </w:pPr>
      <w:r>
        <w:rPr>
          <w:b/>
          <w:color w:val="1F3864"/>
          <w:u w:val="single"/>
        </w:rPr>
        <w:t>26</w:t>
      </w:r>
      <w:r>
        <w:rPr>
          <w:b/>
          <w:color w:val="1F3864"/>
          <w:u w:val="single"/>
          <w:vertAlign w:val="superscript"/>
        </w:rPr>
        <w:t>th</w:t>
      </w:r>
      <w:r>
        <w:rPr>
          <w:b/>
          <w:color w:val="1F3864"/>
          <w:u w:val="single"/>
        </w:rPr>
        <w:t xml:space="preserve"> June 2023 – 28</w:t>
      </w:r>
      <w:r>
        <w:rPr>
          <w:b/>
          <w:color w:val="1F3864"/>
          <w:u w:val="single"/>
          <w:vertAlign w:val="superscript"/>
        </w:rPr>
        <w:t>th</w:t>
      </w:r>
      <w:r>
        <w:rPr>
          <w:b/>
          <w:color w:val="1F3864"/>
          <w:u w:val="single"/>
        </w:rPr>
        <w:t xml:space="preserve"> July 2023</w:t>
      </w:r>
    </w:p>
    <w:p w14:paraId="0F8BFA3F" w14:textId="77777777" w:rsidR="00FF243A" w:rsidRDefault="00000000">
      <w:r>
        <w:t xml:space="preserve">Dear Honorable members of the Committee, </w:t>
      </w:r>
    </w:p>
    <w:p w14:paraId="0F8BFA40" w14:textId="77777777" w:rsidR="00FF243A" w:rsidRDefault="00000000">
      <w:pPr>
        <w:pStyle w:val="Heading2"/>
      </w:pPr>
      <w:r>
        <w:t>Introduction</w:t>
      </w:r>
    </w:p>
    <w:p w14:paraId="0F8BFA41" w14:textId="77777777" w:rsidR="00FF243A" w:rsidRDefault="00000000">
      <w:pPr>
        <w:pBdr>
          <w:top w:val="nil"/>
          <w:left w:val="nil"/>
          <w:bottom w:val="nil"/>
          <w:right w:val="nil"/>
          <w:between w:val="nil"/>
        </w:pBdr>
        <w:spacing w:after="0"/>
        <w:rPr>
          <w:color w:val="000000"/>
        </w:rPr>
      </w:pPr>
      <w:r>
        <w:rPr>
          <w:color w:val="000000"/>
        </w:rPr>
        <w:t>The Center for Reproductive Rights (“</w:t>
      </w:r>
      <w:r>
        <w:rPr>
          <w:b/>
          <w:color w:val="000000"/>
        </w:rPr>
        <w:t>the Center</w:t>
      </w:r>
      <w:r>
        <w:rPr>
          <w:color w:val="000000"/>
        </w:rPr>
        <w:t>”), Network for Community Development (“</w:t>
      </w:r>
      <w:r>
        <w:rPr>
          <w:b/>
          <w:color w:val="000000"/>
        </w:rPr>
        <w:t>NCD”</w:t>
      </w:r>
      <w:r>
        <w:rPr>
          <w:color w:val="000000"/>
        </w:rPr>
        <w:t>) and the</w:t>
      </w:r>
      <w:r>
        <w:t xml:space="preserve"> </w:t>
      </w:r>
      <w:r>
        <w:rPr>
          <w:color w:val="000000"/>
        </w:rPr>
        <w:t>Women and Rural Development Network (“</w:t>
      </w:r>
      <w:r>
        <w:rPr>
          <w:b/>
          <w:color w:val="000000"/>
        </w:rPr>
        <w:t>WORUDET</w:t>
      </w:r>
      <w:r>
        <w:rPr>
          <w:color w:val="000000"/>
        </w:rPr>
        <w:t>”) submit this letter to provide the Human Rights Committee (“</w:t>
      </w:r>
      <w:r>
        <w:rPr>
          <w:b/>
          <w:color w:val="000000"/>
        </w:rPr>
        <w:t>the</w:t>
      </w:r>
      <w:r>
        <w:rPr>
          <w:color w:val="000000"/>
        </w:rPr>
        <w:t xml:space="preserve"> </w:t>
      </w:r>
      <w:r>
        <w:rPr>
          <w:b/>
          <w:color w:val="000000"/>
        </w:rPr>
        <w:t>Committee</w:t>
      </w:r>
      <w:r>
        <w:rPr>
          <w:color w:val="000000"/>
        </w:rPr>
        <w:t>”) with relevant information about the status of compliance by the Government of Uganda (“</w:t>
      </w:r>
      <w:r>
        <w:rPr>
          <w:b/>
          <w:color w:val="000000"/>
        </w:rPr>
        <w:t>Uganda</w:t>
      </w:r>
      <w:r>
        <w:rPr>
          <w:color w:val="000000"/>
        </w:rPr>
        <w:t>” or “</w:t>
      </w:r>
      <w:r>
        <w:rPr>
          <w:b/>
          <w:color w:val="000000"/>
        </w:rPr>
        <w:t>the</w:t>
      </w:r>
      <w:r>
        <w:rPr>
          <w:color w:val="000000"/>
        </w:rPr>
        <w:t xml:space="preserve"> </w:t>
      </w:r>
      <w:r>
        <w:rPr>
          <w:b/>
          <w:color w:val="000000"/>
        </w:rPr>
        <w:t>State</w:t>
      </w:r>
      <w:r>
        <w:rPr>
          <w:color w:val="000000"/>
        </w:rPr>
        <w:t>”) with its obligations under the International Covenant on Civil and Political Rights (“</w:t>
      </w:r>
      <w:r>
        <w:rPr>
          <w:b/>
          <w:color w:val="000000"/>
        </w:rPr>
        <w:t>the</w:t>
      </w:r>
      <w:r>
        <w:rPr>
          <w:color w:val="000000"/>
        </w:rPr>
        <w:t xml:space="preserve"> </w:t>
      </w:r>
      <w:r>
        <w:rPr>
          <w:b/>
          <w:color w:val="000000"/>
        </w:rPr>
        <w:t>ICCPR</w:t>
      </w:r>
      <w:r>
        <w:rPr>
          <w:color w:val="000000"/>
        </w:rPr>
        <w:t>” or “</w:t>
      </w:r>
      <w:r>
        <w:rPr>
          <w:b/>
          <w:color w:val="000000"/>
        </w:rPr>
        <w:t>the</w:t>
      </w:r>
      <w:r>
        <w:rPr>
          <w:color w:val="000000"/>
        </w:rPr>
        <w:t xml:space="preserve"> </w:t>
      </w:r>
      <w:r>
        <w:rPr>
          <w:b/>
          <w:color w:val="000000"/>
        </w:rPr>
        <w:t>Covenant</w:t>
      </w:r>
      <w:r>
        <w:rPr>
          <w:color w:val="000000"/>
        </w:rPr>
        <w:t>”), particularly with regards to the rights of women and girls, in a bid to assist the Committee with its review of Uganda during its upcoming 138</w:t>
      </w:r>
      <w:r>
        <w:rPr>
          <w:color w:val="000000"/>
          <w:vertAlign w:val="superscript"/>
        </w:rPr>
        <w:t>th</w:t>
      </w:r>
      <w:r>
        <w:rPr>
          <w:color w:val="000000"/>
        </w:rPr>
        <w:t xml:space="preserve"> Session.</w:t>
      </w:r>
    </w:p>
    <w:p w14:paraId="0F8BFA42" w14:textId="77777777" w:rsidR="00FF243A" w:rsidRDefault="00000000">
      <w:pPr>
        <w:pBdr>
          <w:top w:val="nil"/>
          <w:left w:val="nil"/>
          <w:bottom w:val="nil"/>
          <w:right w:val="nil"/>
          <w:between w:val="nil"/>
        </w:pBdr>
      </w:pPr>
      <w:r>
        <w:rPr>
          <w:color w:val="000000"/>
        </w:rPr>
        <w:t xml:space="preserve">The Center is an international non–governmental legal advocacy organization that uses the law to advance reproductive freedom as a fundamental human right that all governments are legally obligated to respect, protect, and fulfill. NCD is </w:t>
      </w:r>
      <w:r>
        <w:t xml:space="preserve">a non governmental  organization that aims at improving the lives of the poor and underserved communities in Uganda through capacity building , service delivery,information sharing and advocacy. WORUDET is a women’s rights organisation operating in Northern Uganda to ensure that women and children are valued and that they reach their full potential through the respect of their rights. </w:t>
      </w:r>
    </w:p>
    <w:p w14:paraId="0F8BFA43" w14:textId="77777777" w:rsidR="00FF243A" w:rsidRDefault="00000000">
      <w:pPr>
        <w:pStyle w:val="Heading2"/>
      </w:pPr>
      <w:r>
        <w:t xml:space="preserve">Background </w:t>
      </w:r>
    </w:p>
    <w:p w14:paraId="0F8BFA44" w14:textId="77777777" w:rsidR="00FF243A" w:rsidRDefault="00000000">
      <w:r>
        <w:t>Uganda has been a party to the ICCPR since 1995 and as a result is bound to respect, protect and fulfil the rights enshrined in the Covenant.</w:t>
      </w:r>
      <w:r>
        <w:rPr>
          <w:vertAlign w:val="superscript"/>
        </w:rPr>
        <w:footnoteReference w:id="1"/>
      </w:r>
      <w:r>
        <w:t xml:space="preserve"> Unfortunately, Uganda is failing to fulfil its obligations and as a result women and girls of the country are not only struggling to realize their civil and political rights but also related rights including their sexual and reproductive health rights. This submission shall canvass some of these gaps, specifically, challenges faced by women and girls in the context of their:</w:t>
      </w:r>
    </w:p>
    <w:p w14:paraId="0F8BFA45" w14:textId="77777777" w:rsidR="00FF243A" w:rsidRDefault="00000000">
      <w:pPr>
        <w:numPr>
          <w:ilvl w:val="0"/>
          <w:numId w:val="4"/>
        </w:numPr>
        <w:pBdr>
          <w:top w:val="nil"/>
          <w:left w:val="nil"/>
          <w:bottom w:val="nil"/>
          <w:right w:val="nil"/>
          <w:between w:val="nil"/>
        </w:pBdr>
        <w:spacing w:after="0"/>
      </w:pPr>
      <w:r>
        <w:rPr>
          <w:color w:val="000000"/>
        </w:rPr>
        <w:t>right to life;</w:t>
      </w:r>
    </w:p>
    <w:p w14:paraId="0F8BFA46" w14:textId="77777777" w:rsidR="00FF243A" w:rsidRDefault="00000000">
      <w:pPr>
        <w:numPr>
          <w:ilvl w:val="0"/>
          <w:numId w:val="4"/>
        </w:numPr>
        <w:pBdr>
          <w:top w:val="nil"/>
          <w:left w:val="nil"/>
          <w:bottom w:val="nil"/>
          <w:right w:val="nil"/>
          <w:between w:val="nil"/>
        </w:pBdr>
        <w:spacing w:after="0"/>
      </w:pPr>
      <w:r>
        <w:rPr>
          <w:color w:val="000000"/>
        </w:rPr>
        <w:t>freedom from torture, cruel, inhuman and degrading treatment; and</w:t>
      </w:r>
    </w:p>
    <w:p w14:paraId="0F8BFA47" w14:textId="77777777" w:rsidR="00FF243A" w:rsidRDefault="00000000">
      <w:pPr>
        <w:numPr>
          <w:ilvl w:val="0"/>
          <w:numId w:val="4"/>
        </w:numPr>
        <w:pBdr>
          <w:top w:val="nil"/>
          <w:left w:val="nil"/>
          <w:bottom w:val="nil"/>
          <w:right w:val="nil"/>
          <w:between w:val="nil"/>
        </w:pBdr>
      </w:pPr>
      <w:r>
        <w:rPr>
          <w:color w:val="000000"/>
        </w:rPr>
        <w:t>right to information.</w:t>
      </w:r>
    </w:p>
    <w:p w14:paraId="0F8BFA48" w14:textId="77777777" w:rsidR="00FF243A" w:rsidRDefault="00000000">
      <w:pPr>
        <w:pStyle w:val="Heading2"/>
        <w:numPr>
          <w:ilvl w:val="0"/>
          <w:numId w:val="5"/>
        </w:numPr>
      </w:pPr>
      <w:r>
        <w:lastRenderedPageBreak/>
        <w:t>Right to information</w:t>
      </w:r>
    </w:p>
    <w:p w14:paraId="0F8BFA49" w14:textId="77777777" w:rsidR="00FF243A" w:rsidRDefault="00000000">
      <w:r>
        <w:t>The ICCPR enshrines the right to information in Article 19. By virtue of Article 2 and 24 of the Covenant, Article 19 not only extends to adults but children as well. Further, state parties to the Covenant have the obligation to undertake measures, including social, cultural and economic measures to afford minors greater protection of their right to information because of their status as minors.</w:t>
      </w:r>
      <w:r>
        <w:rPr>
          <w:vertAlign w:val="superscript"/>
        </w:rPr>
        <w:footnoteReference w:id="2"/>
      </w:r>
      <w:r>
        <w:t xml:space="preserve"> Children’s right to information is indivisibly tied to their right to education because education is one of the primary means through which children, including adolescents, access information. Education provides children with the information that they need for both their immediate and long-term development including information that they need: to develop their identity, personality, talents and physical and mental abilities to their fullest potential; to understand and respect human rights; to develop and exercise their evolving capacities; and to grow into healthy and responsible adults. Thus, in order to ensure children’s right to information as required by Article 19, states have to ensure that all children have access to universal, quality, inclusive education including education on health. In the context of adolescents, that is children aged 10-19 years, health education must include “… </w:t>
      </w:r>
      <w:r>
        <w:rPr>
          <w:i/>
        </w:rPr>
        <w:t>age-appropriate, comprehensive and inclusive sexual and reproductive health education, based on scientific evidence and human rights standards</w:t>
      </w:r>
      <w:r>
        <w:t>…”.</w:t>
      </w:r>
      <w:r>
        <w:rPr>
          <w:vertAlign w:val="superscript"/>
        </w:rPr>
        <w:footnoteReference w:id="3"/>
      </w:r>
      <w:r>
        <w:rPr>
          <w:vertAlign w:val="superscript"/>
        </w:rPr>
        <w:t xml:space="preserve">, </w:t>
      </w:r>
      <w:r>
        <w:rPr>
          <w:vertAlign w:val="superscript"/>
        </w:rPr>
        <w:footnoteReference w:id="4"/>
      </w:r>
      <w:r>
        <w:rPr>
          <w:vertAlign w:val="superscript"/>
        </w:rPr>
        <w:t xml:space="preserve">, </w:t>
      </w:r>
      <w:r>
        <w:rPr>
          <w:vertAlign w:val="superscript"/>
        </w:rPr>
        <w:footnoteReference w:id="5"/>
      </w:r>
    </w:p>
    <w:p w14:paraId="0F8BFA4A" w14:textId="77777777" w:rsidR="00FF243A" w:rsidRDefault="00000000">
      <w:r>
        <w:t>Similarly, the constitution of Uganda, which is the supreme law of the land,</w:t>
      </w:r>
      <w:r>
        <w:rPr>
          <w:vertAlign w:val="superscript"/>
        </w:rPr>
        <w:footnoteReference w:id="6"/>
      </w:r>
      <w:r>
        <w:t xml:space="preserve"> recognizes that every person has a right to access information that is in possession of the state or any organ or agency of the state unless providing such information would endanger the security or sovereignty of the state or another person’s right to privacy.</w:t>
      </w:r>
      <w:r>
        <w:rPr>
          <w:vertAlign w:val="superscript"/>
        </w:rPr>
        <w:footnoteReference w:id="7"/>
      </w:r>
      <w:r>
        <w:t xml:space="preserve"> Particularly with regards to children, the Constitution provides that no child shall be deprived of education by reason of religious or other beliefs.</w:t>
      </w:r>
      <w:r>
        <w:rPr>
          <w:vertAlign w:val="superscript"/>
        </w:rPr>
        <w:footnoteReference w:id="8"/>
      </w:r>
      <w:r>
        <w:t xml:space="preserve"> The High Court of Uganda has interpreted the right to information and children’s right to education, as it is set out in the Constitution, to include the right to access comprehensive sexuality education. The Court has found that these rights place on the state the obligation to develop and implement policies and curricula to ensure this right is realized.</w:t>
      </w:r>
      <w:r>
        <w:rPr>
          <w:vertAlign w:val="superscript"/>
        </w:rPr>
        <w:footnoteReference w:id="9"/>
      </w:r>
      <w:r>
        <w:t xml:space="preserve"> </w:t>
      </w:r>
    </w:p>
    <w:p w14:paraId="0F8BFA4B" w14:textId="77777777" w:rsidR="00FF243A" w:rsidRDefault="00000000">
      <w:r>
        <w:lastRenderedPageBreak/>
        <w:t>Despite having these obligations enshrined in both the Covenant and its national Constitution, Uganda has taken measures that directly contravene these obligations. In 2018, Uganda adopted the National Sexuality Education Framework which includes provisions that hinder adolescents’ access to sexual and reproductive health information. For instance:</w:t>
      </w:r>
    </w:p>
    <w:p w14:paraId="0F8BFA4C" w14:textId="77777777" w:rsidR="00FF243A" w:rsidRDefault="00000000">
      <w:pPr>
        <w:numPr>
          <w:ilvl w:val="0"/>
          <w:numId w:val="1"/>
        </w:numPr>
        <w:pBdr>
          <w:top w:val="nil"/>
          <w:left w:val="nil"/>
          <w:bottom w:val="nil"/>
          <w:right w:val="nil"/>
          <w:between w:val="nil"/>
        </w:pBdr>
        <w:spacing w:after="0"/>
        <w:ind w:left="426" w:hanging="426"/>
      </w:pPr>
      <w:r>
        <w:rPr>
          <w:b/>
          <w:i/>
          <w:color w:val="000000"/>
        </w:rPr>
        <w:t>The Framework fails to provide adolescents with comprehensive, timely, non-discriminatory, non-biased and scientifically accurate information on prevention of pregnancy and transmission of STIs</w:t>
      </w:r>
      <w:r>
        <w:rPr>
          <w:color w:val="000000"/>
        </w:rPr>
        <w:t>:</w:t>
      </w:r>
      <w:r>
        <w:rPr>
          <w:color w:val="000000"/>
          <w:vertAlign w:val="superscript"/>
        </w:rPr>
        <w:footnoteReference w:id="10"/>
      </w:r>
      <w:r>
        <w:rPr>
          <w:color w:val="000000"/>
        </w:rPr>
        <w:t xml:space="preserve"> The Framework is centered on virginity and abstinence and conflates these concepts with purity and morality</w:t>
      </w:r>
      <w:r>
        <w:rPr>
          <w:color w:val="000000"/>
          <w:vertAlign w:val="superscript"/>
        </w:rPr>
        <w:footnoteReference w:id="11"/>
      </w:r>
      <w:r>
        <w:rPr>
          <w:color w:val="000000"/>
        </w:rPr>
        <w:t xml:space="preserve"> implying that adolescents who engage in sex are impure and immoral which feeds into existing taboos that already hinder adolescents’ access to sexual and reproductive health information and services.</w:t>
      </w:r>
      <w:r>
        <w:rPr>
          <w:color w:val="000000"/>
          <w:vertAlign w:val="superscript"/>
        </w:rPr>
        <w:footnoteReference w:id="12"/>
      </w:r>
      <w:r>
        <w:rPr>
          <w:color w:val="000000"/>
          <w:vertAlign w:val="superscript"/>
        </w:rPr>
        <w:t>,</w:t>
      </w:r>
      <w:r>
        <w:rPr>
          <w:color w:val="000000"/>
        </w:rPr>
        <w:t xml:space="preserve"> </w:t>
      </w:r>
      <w:r>
        <w:rPr>
          <w:color w:val="000000"/>
          <w:vertAlign w:val="superscript"/>
        </w:rPr>
        <w:footnoteReference w:id="13"/>
      </w:r>
      <w:r>
        <w:rPr>
          <w:color w:val="000000"/>
        </w:rPr>
        <w:t xml:space="preserve"> The framework requires that adolescents be taught that abstinence is the primary way to prevent pregnancy and protect themselves from sexually transmitted diseases.</w:t>
      </w:r>
      <w:r>
        <w:rPr>
          <w:color w:val="000000"/>
          <w:vertAlign w:val="superscript"/>
        </w:rPr>
        <w:footnoteReference w:id="14"/>
      </w:r>
      <w:r>
        <w:rPr>
          <w:color w:val="000000"/>
          <w:vertAlign w:val="superscript"/>
        </w:rPr>
        <w:t xml:space="preserve">, </w:t>
      </w:r>
      <w:r>
        <w:rPr>
          <w:color w:val="000000"/>
          <w:vertAlign w:val="superscript"/>
        </w:rPr>
        <w:footnoteReference w:id="15"/>
      </w:r>
      <w:r>
        <w:rPr>
          <w:color w:val="000000"/>
        </w:rPr>
        <w:t xml:space="preserve"> Further, the Framework does not require that adolescents be taught about the other methods of pregnancy prevention and protection from STIs until they are 13 years old. Even for adolescents between 13-19, the Framework does not mention the specific methods which they should be taught about.</w:t>
      </w:r>
      <w:r>
        <w:rPr>
          <w:b/>
          <w:color w:val="1F3864"/>
          <w:sz w:val="24"/>
          <w:szCs w:val="24"/>
        </w:rPr>
        <w:t xml:space="preserve"> </w:t>
      </w:r>
      <w:r>
        <w:rPr>
          <w:color w:val="000000"/>
          <w:vertAlign w:val="superscript"/>
        </w:rPr>
        <w:footnoteReference w:id="16"/>
      </w:r>
      <w:r>
        <w:rPr>
          <w:b/>
          <w:color w:val="1F3864"/>
          <w:sz w:val="24"/>
          <w:szCs w:val="24"/>
          <w:vertAlign w:val="superscript"/>
        </w:rPr>
        <w:t xml:space="preserve">, </w:t>
      </w:r>
      <w:r>
        <w:rPr>
          <w:color w:val="000000"/>
          <w:vertAlign w:val="superscript"/>
        </w:rPr>
        <w:footnoteReference w:id="17"/>
      </w:r>
      <w:r>
        <w:rPr>
          <w:color w:val="000000"/>
        </w:rPr>
        <w:t xml:space="preserve"> This framework was adopted despite existing evidence, including from the 2016 Uganda Demographic Health survey, that 7-13% of adolescents aged 10-14 years are sexually active and 50-55% of adolescents are sexually active by age 18.</w:t>
      </w:r>
      <w:r>
        <w:rPr>
          <w:color w:val="000000"/>
          <w:vertAlign w:val="superscript"/>
        </w:rPr>
        <w:footnoteReference w:id="18"/>
      </w:r>
      <w:r>
        <w:rPr>
          <w:color w:val="000000"/>
          <w:vertAlign w:val="superscript"/>
        </w:rPr>
        <w:t xml:space="preserve">, </w:t>
      </w:r>
      <w:r>
        <w:rPr>
          <w:color w:val="000000"/>
          <w:vertAlign w:val="superscript"/>
        </w:rPr>
        <w:footnoteReference w:id="19"/>
      </w:r>
      <w:r>
        <w:rPr>
          <w:color w:val="000000"/>
          <w:vertAlign w:val="superscript"/>
        </w:rPr>
        <w:t xml:space="preserve"> </w:t>
      </w:r>
      <w:r>
        <w:rPr>
          <w:color w:val="000000"/>
        </w:rPr>
        <w:t xml:space="preserve">Thus, we see that the sexuality curriculum fails to provide for adolescents to receive timely, </w:t>
      </w:r>
      <w:r>
        <w:rPr>
          <w:color w:val="000000"/>
        </w:rPr>
        <w:lastRenderedPageBreak/>
        <w:t xml:space="preserve">comprehensive and non-judgmental information that addresses their realities and their sexual and reproductive health needs. </w:t>
      </w:r>
    </w:p>
    <w:p w14:paraId="0F8BFA4D" w14:textId="77777777" w:rsidR="00FF243A" w:rsidRDefault="00000000">
      <w:pPr>
        <w:numPr>
          <w:ilvl w:val="0"/>
          <w:numId w:val="1"/>
        </w:numPr>
        <w:pBdr>
          <w:top w:val="nil"/>
          <w:left w:val="nil"/>
          <w:bottom w:val="nil"/>
          <w:right w:val="nil"/>
          <w:between w:val="nil"/>
        </w:pBdr>
        <w:spacing w:after="0"/>
        <w:ind w:left="426" w:hanging="426"/>
      </w:pPr>
      <w:r>
        <w:rPr>
          <w:b/>
          <w:i/>
          <w:color w:val="000000"/>
        </w:rPr>
        <w:t>The Framework requires that adolescents be provided with inaccurate information on sexual and gender-based violence that encourages the blaming of survivors and victims:</w:t>
      </w:r>
      <w:r>
        <w:rPr>
          <w:color w:val="000000"/>
        </w:rPr>
        <w:t xml:space="preserve"> It provides that adolescents be taught that they can protect themselves from violence by avoiding places and situations where abuse, harassment and violence happens and by being assertive and avoiding substances such as drugs and alcohol that may affect their decision making capabilities.</w:t>
      </w:r>
      <w:r>
        <w:rPr>
          <w:color w:val="000000"/>
          <w:vertAlign w:val="superscript"/>
        </w:rPr>
        <w:footnoteReference w:id="20"/>
      </w:r>
      <w:r>
        <w:rPr>
          <w:color w:val="000000"/>
          <w:vertAlign w:val="superscript"/>
        </w:rPr>
        <w:t>,</w:t>
      </w:r>
      <w:r>
        <w:rPr>
          <w:color w:val="000000"/>
        </w:rPr>
        <w:t xml:space="preserve"> </w:t>
      </w:r>
      <w:r>
        <w:rPr>
          <w:color w:val="000000"/>
          <w:vertAlign w:val="superscript"/>
        </w:rPr>
        <w:footnoteReference w:id="21"/>
      </w:r>
      <w:r>
        <w:rPr>
          <w:color w:val="000000"/>
          <w:vertAlign w:val="superscript"/>
        </w:rPr>
        <w:t xml:space="preserve">, </w:t>
      </w:r>
      <w:r>
        <w:rPr>
          <w:color w:val="000000"/>
          <w:vertAlign w:val="superscript"/>
        </w:rPr>
        <w:footnoteReference w:id="22"/>
      </w:r>
      <w:r>
        <w:rPr>
          <w:color w:val="000000"/>
        </w:rPr>
        <w:t xml:space="preserve"> Such teachings imply that victims and survivors are to blame, at least partially, for the violence meted out against them because they failed to take measures to protect themselves. While in actual fact, the blame for sexual violence lies entirely on the perpetrator.</w:t>
      </w:r>
      <w:r>
        <w:rPr>
          <w:color w:val="000000"/>
          <w:vertAlign w:val="superscript"/>
        </w:rPr>
        <w:footnoteReference w:id="23"/>
      </w:r>
      <w:r>
        <w:rPr>
          <w:color w:val="000000"/>
        </w:rPr>
        <w:t xml:space="preserve"> The accuracy and applicability of these teachings is clearly debunked by research and statistics on sexual violence against adolescents in Uganda which shows that the perpetrators of sexual violence against adolescents are mostly people that adolescents know and trust particularly, peers, including intimate partners, friends and acquaintances.</w:t>
      </w:r>
      <w:r>
        <w:rPr>
          <w:color w:val="000000"/>
          <w:vertAlign w:val="superscript"/>
        </w:rPr>
        <w:footnoteReference w:id="24"/>
      </w:r>
      <w:r>
        <w:rPr>
          <w:color w:val="000000"/>
          <w:vertAlign w:val="superscript"/>
        </w:rPr>
        <w:footnoteReference w:id="25"/>
      </w:r>
      <w:r>
        <w:rPr>
          <w:color w:val="000000"/>
        </w:rPr>
        <w:t xml:space="preserve"> Additionally, in the context of sexual harassment, most adolescents are harassed on their way to or from school, at home and while at school- all of which are places and situations adolescents cannot reasonably avoid.</w:t>
      </w:r>
      <w:r>
        <w:rPr>
          <w:color w:val="000000"/>
          <w:vertAlign w:val="superscript"/>
        </w:rPr>
        <w:footnoteReference w:id="26"/>
      </w:r>
      <w:r>
        <w:rPr>
          <w:color w:val="000000"/>
        </w:rPr>
        <w:t xml:space="preserve"> </w:t>
      </w:r>
    </w:p>
    <w:p w14:paraId="0F8BFA4E" w14:textId="77777777" w:rsidR="00FF243A" w:rsidRDefault="00000000">
      <w:pPr>
        <w:numPr>
          <w:ilvl w:val="0"/>
          <w:numId w:val="1"/>
        </w:numPr>
        <w:pBdr>
          <w:top w:val="nil"/>
          <w:left w:val="nil"/>
          <w:bottom w:val="nil"/>
          <w:right w:val="nil"/>
          <w:between w:val="nil"/>
        </w:pBdr>
        <w:ind w:left="426" w:hanging="426"/>
      </w:pPr>
      <w:r>
        <w:rPr>
          <w:b/>
          <w:i/>
          <w:color w:val="000000"/>
        </w:rPr>
        <w:t>The Framework enforces harmful gender stereotypes</w:t>
      </w:r>
      <w:r>
        <w:rPr>
          <w:color w:val="000000"/>
        </w:rPr>
        <w:t xml:space="preserve">: It requires that adolescents be taught that there are “… </w:t>
      </w:r>
      <w:r>
        <w:rPr>
          <w:i/>
          <w:color w:val="000000"/>
        </w:rPr>
        <w:t>social, economic and political roles, rights, entitlements, responsibilities, obligations [which are] associated with being female and male</w:t>
      </w:r>
      <w:r>
        <w:rPr>
          <w:color w:val="000000"/>
        </w:rPr>
        <w:t>…”;</w:t>
      </w:r>
      <w:r>
        <w:rPr>
          <w:color w:val="000000"/>
          <w:vertAlign w:val="superscript"/>
        </w:rPr>
        <w:footnoteReference w:id="27"/>
      </w:r>
      <w:r>
        <w:rPr>
          <w:color w:val="000000"/>
        </w:rPr>
        <w:t xml:space="preserve"> that “…</w:t>
      </w:r>
      <w:r>
        <w:rPr>
          <w:i/>
          <w:color w:val="000000"/>
        </w:rPr>
        <w:t>males and females express themselves differently in relationships.</w:t>
      </w:r>
      <w:r>
        <w:rPr>
          <w:color w:val="000000"/>
        </w:rPr>
        <w:t xml:space="preserve">..”; that “… </w:t>
      </w:r>
      <w:r>
        <w:rPr>
          <w:i/>
          <w:color w:val="000000"/>
        </w:rPr>
        <w:t xml:space="preserve">males and females are attracted by different </w:t>
      </w:r>
      <w:r>
        <w:rPr>
          <w:i/>
          <w:color w:val="000000"/>
        </w:rPr>
        <w:lastRenderedPageBreak/>
        <w:t>things</w:t>
      </w:r>
      <w:r>
        <w:rPr>
          <w:color w:val="000000"/>
        </w:rPr>
        <w:t>..”; and that only attraction to the opposite sex is natural.</w:t>
      </w:r>
      <w:r>
        <w:rPr>
          <w:color w:val="000000"/>
          <w:vertAlign w:val="superscript"/>
        </w:rPr>
        <w:footnoteReference w:id="28"/>
      </w:r>
      <w:r>
        <w:rPr>
          <w:color w:val="000000"/>
        </w:rPr>
        <w:t xml:space="preserve"> Such information is scientifically inaccurate and enforces existing gender biases and stereotypes that create inequality and justify gender-based violence in public and private spheres.</w:t>
      </w:r>
      <w:r>
        <w:rPr>
          <w:b/>
          <w:color w:val="1F3864"/>
          <w:sz w:val="24"/>
          <w:szCs w:val="24"/>
        </w:rPr>
        <w:t xml:space="preserve"> </w:t>
      </w:r>
      <w:r>
        <w:rPr>
          <w:color w:val="000000"/>
          <w:vertAlign w:val="superscript"/>
        </w:rPr>
        <w:footnoteReference w:id="29"/>
      </w:r>
      <w:r>
        <w:rPr>
          <w:color w:val="000000"/>
        </w:rPr>
        <w:t xml:space="preserve"> For instance, the false idea that boys and girls express themselves in specific ways that are predetermined by their sex or gender is the underlying principle behind the phrase “</w:t>
      </w:r>
      <w:r>
        <w:rPr>
          <w:i/>
          <w:color w:val="000000"/>
        </w:rPr>
        <w:t>boys will be boys</w:t>
      </w:r>
      <w:r>
        <w:rPr>
          <w:color w:val="000000"/>
        </w:rPr>
        <w:t>” which is used to justify physical, verbal or emotional abuse and harassment towards girls. Also, the false notion that only attraction to the opposite sex is natural is relied on to justify violence and discrimination against lesbian, gay and bisexual children and adults.</w:t>
      </w:r>
    </w:p>
    <w:p w14:paraId="0F8BFA4F" w14:textId="77777777" w:rsidR="00FF243A" w:rsidRDefault="00000000">
      <w:r>
        <w:t>Additionally, in contravention of Article 2 of the Covenant and Article 21 of the Constitution of Uganda which both prohibit discrimination, the state has failed to provide a comprehensive sexuality framework for all adolescents despite their status. Specifically, the state has failed to provide a sexuality education curriculum for out-of-school adolescents as the National Sexuality Education Framework only provides for in-school adolescents.</w:t>
      </w:r>
      <w:r>
        <w:rPr>
          <w:vertAlign w:val="superscript"/>
        </w:rPr>
        <w:footnoteReference w:id="30"/>
      </w:r>
      <w:r>
        <w:t xml:space="preserve"> This is despite the high drop-out rate of children in schools in Uganda which points to an urgent need for such a curriculum. 38% of children do not reach the final level of primary school and only 30% of children who join secondary school sit their final exam.</w:t>
      </w:r>
      <w:r>
        <w:rPr>
          <w:vertAlign w:val="superscript"/>
        </w:rPr>
        <w:footnoteReference w:id="31"/>
      </w:r>
      <w:r>
        <w:t xml:space="preserve"> Further, emerging global challenges are likely to increase this already high drop-out rate. For instance, 10% of children in the country did not return to school in 2022 when schools re-opened after being closed due to COVID-19.</w:t>
      </w:r>
      <w:r>
        <w:rPr>
          <w:vertAlign w:val="superscript"/>
        </w:rPr>
        <w:footnoteReference w:id="32"/>
      </w:r>
      <w:r>
        <w:t xml:space="preserve"> Also, adverse weather caused by climate change is also reducing school attendance. For instance, one study found that inordinately high rainfall reduces school attendance by 10%.</w:t>
      </w:r>
      <w:r>
        <w:rPr>
          <w:vertAlign w:val="superscript"/>
        </w:rPr>
        <w:footnoteReference w:id="33"/>
      </w:r>
    </w:p>
    <w:p w14:paraId="0F8BFA50" w14:textId="77777777" w:rsidR="00FF243A" w:rsidRDefault="00000000">
      <w:r>
        <w:t xml:space="preserve">The lack of access to accurate, comprehensive sexuality education is compounded by the fact that adolescents have no other reliable sources for such information. Adolescents are unable to access information from healthcare providers because many healthcare providers have negative and </w:t>
      </w:r>
      <w:r>
        <w:lastRenderedPageBreak/>
        <w:t xml:space="preserve">disrespectful attitudes towards adolescents who seek sexual and reproductive health information and services. They are also unable to get this information from their parents because parents consider it taboo to speak to their children about sex and related topics. Thus, adolescents’ main sources of information on sexual and reproductive health are their peers, the internet and traditional media such as radio all of which often provide them with inaccurate information. </w:t>
      </w:r>
      <w:r>
        <w:rPr>
          <w:vertAlign w:val="superscript"/>
        </w:rPr>
        <w:footnoteReference w:id="34"/>
      </w:r>
      <w:r>
        <w:rPr>
          <w:vertAlign w:val="superscript"/>
        </w:rPr>
        <w:t xml:space="preserve">, </w:t>
      </w:r>
      <w:r>
        <w:rPr>
          <w:vertAlign w:val="superscript"/>
        </w:rPr>
        <w:footnoteReference w:id="35"/>
      </w:r>
      <w:r>
        <w:t xml:space="preserve"> </w:t>
      </w:r>
    </w:p>
    <w:p w14:paraId="0F8BFA51" w14:textId="77777777" w:rsidR="00FF243A" w:rsidRDefault="00000000">
      <w:r>
        <w:t>The effect of this lack of information is twofold: negative health outcomes among adolescents such as teenage pregnancy and increased risk of STI infections; and rampant misinformation and disinformation among adolescents which also contributes towards teenage pregnancy. Uganda has a high rate of teenage pregnancy. The 2016 Demographic Health Survey found that 25% of adolescent girls aged 15-19 in Uganda have begun childbearing with 19% having had a live birth and 5% being pregnant with their first child.</w:t>
      </w:r>
      <w:r>
        <w:rPr>
          <w:vertAlign w:val="superscript"/>
        </w:rPr>
        <w:footnoteReference w:id="36"/>
      </w:r>
      <w:r>
        <w:t xml:space="preserve"> Also, research by UNFPA found that, a total of 354,736 teenage pregnancies were registered in 2020 and a total of 290,219 registered between January and September 2021.</w:t>
      </w:r>
      <w:r>
        <w:rPr>
          <w:vertAlign w:val="superscript"/>
        </w:rPr>
        <w:footnoteReference w:id="37"/>
      </w:r>
      <w:r>
        <w:t xml:space="preserve"> This high rate of teen pregnancy is largely attributable to lack of understanding by adolescents about their bodies, menstruation, sex and prevention of pregnancy. It is also attributable to misinformation and disinformation on these issues. For example, one study found that 52% of girls were either unsure or did not know that a girl can get pregnant the first time she has sex. Other factors that contribute to the high rate of teenage pregnancy are poverty, sexual violence and child marriage.</w:t>
      </w:r>
      <w:r>
        <w:rPr>
          <w:vertAlign w:val="superscript"/>
        </w:rPr>
        <w:footnoteReference w:id="38"/>
      </w:r>
      <w:r>
        <w:rPr>
          <w:vertAlign w:val="superscript"/>
        </w:rPr>
        <w:t>,</w:t>
      </w:r>
      <w:r>
        <w:rPr>
          <w:vertAlign w:val="superscript"/>
        </w:rPr>
        <w:footnoteReference w:id="39"/>
      </w:r>
      <w:r>
        <w:t xml:space="preserve"> Teenage pregnancy leads to negative life outcomes such as having to drop out of school: 22.3% of students who drop out of school do so because they are pregnant.</w:t>
      </w:r>
      <w:r>
        <w:rPr>
          <w:vertAlign w:val="superscript"/>
        </w:rPr>
        <w:footnoteReference w:id="40"/>
      </w:r>
      <w:r>
        <w:t xml:space="preserve"> Teenage pregnancy also results in death and morbidity for adolescents as 17.2% of maternal deaths occur among adolescents aged 15-19 years.</w:t>
      </w:r>
      <w:r>
        <w:rPr>
          <w:vertAlign w:val="superscript"/>
        </w:rPr>
        <w:footnoteReference w:id="41"/>
      </w:r>
    </w:p>
    <w:p w14:paraId="0F8BFA52" w14:textId="77777777" w:rsidR="00FF243A" w:rsidRDefault="00000000">
      <w:pPr>
        <w:pStyle w:val="Heading2"/>
        <w:numPr>
          <w:ilvl w:val="0"/>
          <w:numId w:val="5"/>
        </w:numPr>
      </w:pPr>
      <w:r>
        <w:lastRenderedPageBreak/>
        <w:t>Right to life</w:t>
      </w:r>
    </w:p>
    <w:p w14:paraId="0F8BFA53" w14:textId="77777777" w:rsidR="00FF243A" w:rsidRDefault="00000000">
      <w:r>
        <w:t>The maternal mortality ratio in Uganda stands at approximately 336 deaths per 100,000 live-births.</w:t>
      </w:r>
      <w:r>
        <w:rPr>
          <w:vertAlign w:val="superscript"/>
        </w:rPr>
        <w:footnoteReference w:id="42"/>
      </w:r>
      <w:r>
        <w:t xml:space="preserve"> Most causes of maternal mortality are preventable such as hemorrhage, infection, and complications from unsafe abortion.</w:t>
      </w:r>
      <w:r>
        <w:rPr>
          <w:vertAlign w:val="superscript"/>
        </w:rPr>
        <w:footnoteReference w:id="43"/>
      </w:r>
      <w:r>
        <w:t xml:space="preserve"> The most recent data, from 2013, found approximately 314,300 abortions occurred in Uganda that year- most of these were among women and girls aged 15-29 years and most of them were unsafe.</w:t>
      </w:r>
      <w:r>
        <w:rPr>
          <w:vertAlign w:val="superscript"/>
        </w:rPr>
        <w:footnoteReference w:id="44"/>
      </w:r>
      <w:r>
        <w:t xml:space="preserve"> For each woman or girl who dies as a result of unsafe abortion, many more women and girls suffer short term and long term morbidity which violates their right to enjoy a life with dignity.</w:t>
      </w:r>
      <w:r>
        <w:rPr>
          <w:vertAlign w:val="superscript"/>
        </w:rPr>
        <w:footnoteReference w:id="45"/>
      </w:r>
      <w:r>
        <w:t xml:space="preserve"> For instance, research conducted by the Center and its partners into the experiences of girls who survived unsafe abortion found that long term effects include vaginal bleeding triggered by normal, every day actions such as laughing or coughing even 8 years after the procedure.</w:t>
      </w:r>
      <w:r>
        <w:rPr>
          <w:vertAlign w:val="superscript"/>
        </w:rPr>
        <w:footnoteReference w:id="46"/>
      </w:r>
      <w:r>
        <w:t xml:space="preserve"> </w:t>
      </w:r>
    </w:p>
    <w:p w14:paraId="0F8BFA54" w14:textId="77777777" w:rsidR="00FF243A" w:rsidRDefault="00000000">
      <w:r>
        <w:t>Article 6 of the Covenant safeguards the right to life which is not merely the right to survive but the right to live a life of dignity.</w:t>
      </w:r>
      <w:r>
        <w:rPr>
          <w:vertAlign w:val="superscript"/>
        </w:rPr>
        <w:footnoteReference w:id="47"/>
      </w:r>
      <w:r>
        <w:t xml:space="preserve"> Particularly for women and girls, the Committee has guided that although state parties can adopt measures to regulate abortion care, the right to life imposes the obligation to ensure that such regulation does not violate the right to life of women and girls. The Committee explains that this means that states must provide effective access to safe and legal abortion care where the pregnancy endangers the life or health of the woman or girl; where carrying the pregnancy would cause the woman or girl substantial pain or suffering including where the pregnancy is a result of sexual violence or the foetus is not viable. Also, states have the obligation not to regulate access to safe, legal abortion care in a manner that compels women and girls to seek unsafe abortion.</w:t>
      </w:r>
      <w:r>
        <w:rPr>
          <w:vertAlign w:val="superscript"/>
        </w:rPr>
        <w:footnoteReference w:id="48"/>
      </w:r>
    </w:p>
    <w:p w14:paraId="0F8BFA55" w14:textId="77777777" w:rsidR="00FF243A" w:rsidRDefault="00000000">
      <w:r>
        <w:t xml:space="preserve">This position in international law is congruent with the provisions of Article 22(2) of the Constitution of Uganda which provides that: </w:t>
      </w:r>
      <w:r>
        <w:rPr>
          <w:i/>
        </w:rPr>
        <w:t>No person has the right to terminate the life of an unborn child except as may be authorised by law</w:t>
      </w:r>
      <w:r>
        <w:t xml:space="preserve">. </w:t>
      </w:r>
    </w:p>
    <w:p w14:paraId="0F8BFA56" w14:textId="77777777" w:rsidR="00FF243A" w:rsidRDefault="00000000">
      <w:r>
        <w:lastRenderedPageBreak/>
        <w:t>Unfortunately, despite the lived realities of women and girls and in contravention of both the ICCPR and its national Constitution, Uganda has failed to regulate abortion care in a manner that protects women and girls’ right to life. Specifically:</w:t>
      </w:r>
    </w:p>
    <w:p w14:paraId="0F8BFA57" w14:textId="77777777" w:rsidR="00FF243A" w:rsidRDefault="00000000">
      <w:pPr>
        <w:numPr>
          <w:ilvl w:val="1"/>
          <w:numId w:val="5"/>
        </w:numPr>
        <w:pBdr>
          <w:top w:val="nil"/>
          <w:left w:val="nil"/>
          <w:bottom w:val="nil"/>
          <w:right w:val="nil"/>
          <w:between w:val="nil"/>
        </w:pBdr>
        <w:spacing w:after="0"/>
        <w:ind w:left="426" w:hanging="426"/>
      </w:pPr>
      <w:r>
        <w:rPr>
          <w:b/>
          <w:i/>
          <w:color w:val="000000"/>
        </w:rPr>
        <w:t>Uganda has failed to enact laws to provide clear guidance on access to and provision of safe, legal abortion care</w:t>
      </w:r>
      <w:r>
        <w:rPr>
          <w:color w:val="000000"/>
        </w:rPr>
        <w:t>: The only act of parliament that regulates abortion is the Penal Code Act which criminalizes “</w:t>
      </w:r>
      <w:r>
        <w:rPr>
          <w:i/>
          <w:color w:val="000000"/>
        </w:rPr>
        <w:t>unlawful</w:t>
      </w:r>
      <w:r>
        <w:rPr>
          <w:color w:val="000000"/>
        </w:rPr>
        <w:t>” abortion and killing an unborn child. The law does not define what amounts to lawful abortion. It does provide that it is not an offence for a person to perform a surgical operation in good faith to save a woman’s life. Thus, the Penal Code Act allows for provision of abortion services to save the woman or girls’ life.</w:t>
      </w:r>
      <w:r>
        <w:rPr>
          <w:color w:val="000000"/>
          <w:vertAlign w:val="superscript"/>
        </w:rPr>
        <w:footnoteReference w:id="49"/>
      </w:r>
      <w:r>
        <w:rPr>
          <w:color w:val="000000"/>
          <w:vertAlign w:val="superscript"/>
        </w:rPr>
        <w:t>,</w:t>
      </w:r>
      <w:r>
        <w:rPr>
          <w:color w:val="000000"/>
        </w:rPr>
        <w:t xml:space="preserve"> </w:t>
      </w:r>
      <w:r>
        <w:rPr>
          <w:color w:val="000000"/>
          <w:vertAlign w:val="superscript"/>
        </w:rPr>
        <w:footnoteReference w:id="50"/>
      </w:r>
      <w:r>
        <w:rPr>
          <w:color w:val="000000"/>
        </w:rPr>
        <w:t xml:space="preserve"> In 2006, and again in 2012, the Ministry of Health adopted the National Policy Guidelines and Service Standards for Sexual and Reproductive Health and Rights (“</w:t>
      </w:r>
      <w:r>
        <w:rPr>
          <w:b/>
          <w:color w:val="000000"/>
        </w:rPr>
        <w:t>The</w:t>
      </w:r>
      <w:r>
        <w:rPr>
          <w:color w:val="000000"/>
        </w:rPr>
        <w:t xml:space="preserve"> </w:t>
      </w:r>
      <w:r>
        <w:rPr>
          <w:b/>
          <w:color w:val="000000"/>
        </w:rPr>
        <w:t>Guidelines</w:t>
      </w:r>
      <w:r>
        <w:rPr>
          <w:color w:val="000000"/>
        </w:rPr>
        <w:t>”) which are meant to guide the provision of sexual and reproductive health services. The Guidelines state that termination of pregnancy services can be provided where there is severe maternal illness which threatens the health of a pregnant woman (e.g. severe cardiac disease, renal disease, severe pre-eclampsia and eclampsia); severe foetal abnormalities which mean that the pregnancy is not viable; where the woman has cervical cancer or is HIV positive; or where the pregnancy is a result of  rape, incest and defilement.</w:t>
      </w:r>
      <w:r>
        <w:rPr>
          <w:color w:val="000000"/>
          <w:vertAlign w:val="superscript"/>
        </w:rPr>
        <w:footnoteReference w:id="51"/>
      </w:r>
      <w:r>
        <w:rPr>
          <w:color w:val="000000"/>
        </w:rPr>
        <w:t xml:space="preserve"> However, the Guidelines do not have the force of law.</w:t>
      </w:r>
    </w:p>
    <w:p w14:paraId="0F8BFA58" w14:textId="77777777" w:rsidR="00FF243A" w:rsidRDefault="00000000">
      <w:pPr>
        <w:numPr>
          <w:ilvl w:val="1"/>
          <w:numId w:val="5"/>
        </w:numPr>
        <w:pBdr>
          <w:top w:val="nil"/>
          <w:left w:val="nil"/>
          <w:bottom w:val="nil"/>
          <w:right w:val="nil"/>
          <w:between w:val="nil"/>
        </w:pBdr>
        <w:spacing w:after="0"/>
        <w:ind w:left="426" w:hanging="426"/>
      </w:pPr>
      <w:r>
        <w:rPr>
          <w:b/>
          <w:i/>
          <w:color w:val="000000"/>
        </w:rPr>
        <w:t xml:space="preserve">Uganda has taken measures that enforce the belief that all abortion care is illegal: </w:t>
      </w:r>
      <w:r>
        <w:rPr>
          <w:color w:val="000000"/>
        </w:rPr>
        <w:t>For instance, in 2015, the Ministry of Health adopted the Standards and Guidelines for Reducing Maternal Morbidity and Mortality from Unsafe Abortion in Uganda (“</w:t>
      </w:r>
      <w:r>
        <w:rPr>
          <w:b/>
          <w:color w:val="000000"/>
        </w:rPr>
        <w:t>the Standards and Guidelines</w:t>
      </w:r>
      <w:r>
        <w:rPr>
          <w:color w:val="000000"/>
        </w:rPr>
        <w:t>”) and, only 6 months later, stayed the application of these guidelines.</w:t>
      </w:r>
      <w:r>
        <w:rPr>
          <w:color w:val="000000"/>
          <w:vertAlign w:val="superscript"/>
        </w:rPr>
        <w:footnoteReference w:id="52"/>
      </w:r>
      <w:r>
        <w:rPr>
          <w:color w:val="000000"/>
        </w:rPr>
        <w:t xml:space="preserve"> Additionally, there are numerous accounts of police arresting women, girls and healthcare providers for seeking or providing abortion care and post abortion care even when there is no clarity on whether an offence has been committed. Some of these cases end in convictions, usually because the woman or girl is coerced into confessing. Other cases are dismissed after a number of postponements that usually span months or years. Other cases do not proceed to court for various reasons.</w:t>
      </w:r>
      <w:r>
        <w:rPr>
          <w:color w:val="000000"/>
          <w:vertAlign w:val="superscript"/>
        </w:rPr>
        <w:footnoteReference w:id="53"/>
      </w:r>
      <w:r>
        <w:rPr>
          <w:color w:val="000000"/>
        </w:rPr>
        <w:t xml:space="preserve"> For instance research into abortion-related arrests, prosecutions </w:t>
      </w:r>
      <w:r>
        <w:rPr>
          <w:color w:val="000000"/>
        </w:rPr>
        <w:lastRenderedPageBreak/>
        <w:t>and convictions found that between 2011-2014, there were 182 abortion-related arrests.</w:t>
      </w:r>
      <w:r>
        <w:rPr>
          <w:color w:val="000000"/>
          <w:vertAlign w:val="superscript"/>
        </w:rPr>
        <w:footnoteReference w:id="54"/>
      </w:r>
      <w:r>
        <w:rPr>
          <w:color w:val="000000"/>
        </w:rPr>
        <w:t xml:space="preserve"> Most recently, in February 2022, there was the case of </w:t>
      </w:r>
      <w:r>
        <w:rPr>
          <w:b/>
          <w:i/>
          <w:color w:val="000000"/>
          <w:u w:val="single"/>
        </w:rPr>
        <w:t>Uganda V Kato Frederick</w:t>
      </w:r>
      <w:r>
        <w:rPr>
          <w:color w:val="000000"/>
          <w:vertAlign w:val="superscript"/>
        </w:rPr>
        <w:footnoteReference w:id="55"/>
      </w:r>
      <w:r>
        <w:rPr>
          <w:color w:val="000000"/>
        </w:rPr>
        <w:t xml:space="preserve"> who was arrested for providing post-abortion care and charged with providing drugs to procure an abortion contrary to Section 143 of the Penal Code Act. After almost 2 years of the case being postponed without prosecution, as there were no witnesses or evidence the case was dismissed.</w:t>
      </w:r>
      <w:r>
        <w:rPr>
          <w:color w:val="000000"/>
          <w:vertAlign w:val="superscript"/>
        </w:rPr>
        <w:footnoteReference w:id="56"/>
      </w:r>
    </w:p>
    <w:p w14:paraId="0F8BFA59" w14:textId="77777777" w:rsidR="00FF243A" w:rsidRDefault="00000000">
      <w:pPr>
        <w:numPr>
          <w:ilvl w:val="1"/>
          <w:numId w:val="5"/>
        </w:numPr>
        <w:pBdr>
          <w:top w:val="nil"/>
          <w:left w:val="nil"/>
          <w:bottom w:val="nil"/>
          <w:right w:val="nil"/>
          <w:between w:val="nil"/>
        </w:pBdr>
        <w:ind w:left="426" w:hanging="426"/>
      </w:pPr>
      <w:r>
        <w:rPr>
          <w:b/>
          <w:i/>
          <w:color w:val="000000"/>
        </w:rPr>
        <w:t>Uganda has encouraged misinformation and disinformation on abortion care:</w:t>
      </w:r>
      <w:r>
        <w:rPr>
          <w:color w:val="000000"/>
        </w:rPr>
        <w:t xml:space="preserve"> The National Sexuality Education Framework requires that adolescents be given incomplete, biased and misleading information on abortion. For instance, the framework does not distinguish between safe and unsafe abortion and implies that all abortions are unsafe and cause physical, mental and social harm. Further it requires that 10–12-year-old adolescents be taught about the “</w:t>
      </w:r>
      <w:r>
        <w:rPr>
          <w:i/>
          <w:color w:val="000000"/>
        </w:rPr>
        <w:t>religious and cultural perspectives</w:t>
      </w:r>
      <w:r>
        <w:rPr>
          <w:color w:val="000000"/>
        </w:rPr>
        <w:t>” on abortion. It does not require them to be taught about the laws on abortion and the instances when they can legally seek abortion care.</w:t>
      </w:r>
      <w:r>
        <w:rPr>
          <w:color w:val="000000"/>
          <w:vertAlign w:val="superscript"/>
        </w:rPr>
        <w:footnoteReference w:id="57"/>
      </w:r>
      <w:r>
        <w:rPr>
          <w:color w:val="000000"/>
        </w:rPr>
        <w:t xml:space="preserve"> For 13–16-year-olds, while they are required to be taught about the provisions of the law on abortion, they are also required to be taught about how they can “…</w:t>
      </w:r>
      <w:r>
        <w:rPr>
          <w:i/>
          <w:color w:val="000000"/>
        </w:rPr>
        <w:t>counsel young people out of opting for abortion</w:t>
      </w:r>
      <w:r>
        <w:rPr>
          <w:color w:val="000000"/>
        </w:rPr>
        <w:t>.”</w:t>
      </w:r>
      <w:r>
        <w:rPr>
          <w:color w:val="000000"/>
          <w:vertAlign w:val="superscript"/>
        </w:rPr>
        <w:footnoteReference w:id="58"/>
      </w:r>
      <w:r>
        <w:rPr>
          <w:color w:val="000000"/>
        </w:rPr>
        <w:t xml:space="preserve"> Further the framework requires that adolescents who are above 17 are not only taught to counsel their peers out of seeking abortion care but also taught to commit themselves to “… </w:t>
      </w:r>
      <w:r>
        <w:rPr>
          <w:i/>
          <w:color w:val="000000"/>
        </w:rPr>
        <w:t>a world view that upholds the dignity of every form of human life</w:t>
      </w:r>
      <w:r>
        <w:rPr>
          <w:color w:val="000000"/>
        </w:rPr>
        <w:t>”</w:t>
      </w:r>
      <w:r>
        <w:rPr>
          <w:color w:val="000000"/>
          <w:vertAlign w:val="superscript"/>
        </w:rPr>
        <w:footnoteReference w:id="59"/>
      </w:r>
      <w:r>
        <w:rPr>
          <w:color w:val="000000"/>
        </w:rPr>
        <w:t xml:space="preserve"> implying that abortion care does not uphold the dignity of human life. The effect of this is that schools are not reliable sources of information on safe, legal abortion care which adolescents need.</w:t>
      </w:r>
      <w:r>
        <w:rPr>
          <w:color w:val="000000"/>
          <w:vertAlign w:val="superscript"/>
        </w:rPr>
        <w:footnoteReference w:id="60"/>
      </w:r>
      <w:r>
        <w:rPr>
          <w:color w:val="000000"/>
        </w:rPr>
        <w:t xml:space="preserve"> Thus adolescents are left to rely on parents, peers and their communities for information which is often inaccurate e.g. abortion causes infertility and cancer.</w:t>
      </w:r>
      <w:r>
        <w:rPr>
          <w:color w:val="000000"/>
          <w:vertAlign w:val="superscript"/>
        </w:rPr>
        <w:footnoteReference w:id="61"/>
      </w:r>
      <w:r>
        <w:rPr>
          <w:color w:val="000000"/>
        </w:rPr>
        <w:t xml:space="preserve"> They </w:t>
      </w:r>
      <w:r>
        <w:rPr>
          <w:color w:val="000000"/>
        </w:rPr>
        <w:lastRenderedPageBreak/>
        <w:t>are also compelled to seek unsafe abortion services even when they qualify for legal, safe abortion care.</w:t>
      </w:r>
      <w:r>
        <w:rPr>
          <w:color w:val="000000"/>
          <w:vertAlign w:val="superscript"/>
        </w:rPr>
        <w:footnoteReference w:id="62"/>
      </w:r>
    </w:p>
    <w:p w14:paraId="0F8BFA5A" w14:textId="77777777" w:rsidR="00FF243A" w:rsidRDefault="00000000">
      <w:pPr>
        <w:pStyle w:val="Heading2"/>
        <w:numPr>
          <w:ilvl w:val="0"/>
          <w:numId w:val="5"/>
        </w:numPr>
      </w:pPr>
      <w:r>
        <w:t>Freedom from torture, cruel, inhuman and degrading treatment</w:t>
      </w:r>
    </w:p>
    <w:p w14:paraId="0F8BFA5B" w14:textId="77777777" w:rsidR="00FF243A" w:rsidRDefault="00000000">
      <w:r>
        <w:t>Torture, cruel, inhuman and degrading treatment (“</w:t>
      </w:r>
      <w:r>
        <w:rPr>
          <w:b/>
        </w:rPr>
        <w:t>TCIDT</w:t>
      </w:r>
      <w:r>
        <w:t>”) are unconditionally prohibited by Article 7 of the ICCPR and Article 24 of the Constitution of Uganda. This means that Uganda has an obligation to prevent all TCIDT and address it when it occurs noting that there are no circumstances in which TCIDT can be justified or legalized. Moreover, states have an obligation to determine the ways in which gender puts women and girls at risk of acts of TCIDT and prevent and address these as well.</w:t>
      </w:r>
      <w:r>
        <w:rPr>
          <w:vertAlign w:val="superscript"/>
        </w:rPr>
        <w:footnoteReference w:id="63"/>
      </w:r>
      <w:r>
        <w:t xml:space="preserve"> </w:t>
      </w:r>
    </w:p>
    <w:p w14:paraId="0F8BFA5C" w14:textId="77777777" w:rsidR="00FF243A" w:rsidRDefault="00000000">
      <w:r>
        <w:t>In the previous section, we see that Uganda has failed to put in place measures that protect women and girls from having to undergo unsafe abortion. It has been recognized that because of the brutality of the methods as well as the long term and short-term complications, unsafe abortion can amount to torture, cruel, inhuman and degrading treatment.</w:t>
      </w:r>
      <w:r>
        <w:rPr>
          <w:vertAlign w:val="superscript"/>
        </w:rPr>
        <w:footnoteReference w:id="64"/>
      </w:r>
      <w:r>
        <w:t xml:space="preserve"> In addition to this, the government of Uganda has also mandated forced pregnancy testing through the 2020 Revised Guidelines for the Prevention and Management of Teenage Pregnancy in School Settings in Uganda (“</w:t>
      </w:r>
      <w:r>
        <w:rPr>
          <w:b/>
        </w:rPr>
        <w:t>the</w:t>
      </w:r>
      <w:r>
        <w:t xml:space="preserve"> </w:t>
      </w:r>
      <w:r>
        <w:rPr>
          <w:b/>
        </w:rPr>
        <w:t>Revised</w:t>
      </w:r>
      <w:r>
        <w:t xml:space="preserve"> </w:t>
      </w:r>
      <w:r>
        <w:rPr>
          <w:b/>
        </w:rPr>
        <w:t>Guidelines</w:t>
      </w:r>
      <w:r>
        <w:t>”). Forced pregnancy testing is a recognized form of torture, cruel, inhuman and degrading treatment as it causes psychological harm, physical pain and results in humiliating treatment in the form of public expulsion from school and stigmatization by teachers and peers.</w:t>
      </w:r>
      <w:r>
        <w:rPr>
          <w:vertAlign w:val="superscript"/>
        </w:rPr>
        <w:footnoteReference w:id="65"/>
      </w:r>
      <w:r>
        <w:t xml:space="preserve"> </w:t>
      </w:r>
    </w:p>
    <w:p w14:paraId="0F8BFA5D" w14:textId="77777777" w:rsidR="00FF243A" w:rsidRDefault="00000000">
      <w:r>
        <w:t xml:space="preserve">The Revised Guidelines require schools to conduct forced, mandatory testing of all adolescent girls at least once every 3 months (each school term). Additional tests can also be conducted during the term if it is reported or rumored that a girl is pregnant and before registration for final exams at the end of primary school, lower secondary school and upper secondary school. These tests are not required to be conducted by an appropriate, trained health professional such as a </w:t>
      </w:r>
      <w:r>
        <w:lastRenderedPageBreak/>
        <w:t xml:space="preserve">nurse, clinical officer or midwife. Rather they can be conducted by a trained counsellor who may either be a member of staff or a counsellor from a nearby health facility. </w:t>
      </w:r>
      <w:r>
        <w:rPr>
          <w:vertAlign w:val="superscript"/>
        </w:rPr>
        <w:footnoteReference w:id="66"/>
      </w:r>
    </w:p>
    <w:p w14:paraId="0F8BFA5E" w14:textId="77777777" w:rsidR="00FF243A" w:rsidRDefault="00000000">
      <w:r>
        <w:t>These pregnancy tests are also not required to be undertaken in private thus violating adolescent girls’ right to privacy which is guaranteed by Article 17 of the Covenant. For example, in cases where the testing is happening because a girl is rumored to be pregnant, the guidelines require that she be tested alongside other girls. Moreover, the results are also not required to be kept confidential as, where a girl is found to be pregnant, the school is required to summon her parents to share this information with them</w:t>
      </w:r>
      <w:r>
        <w:rPr>
          <w:vertAlign w:val="superscript"/>
        </w:rPr>
        <w:footnoteReference w:id="67"/>
      </w:r>
      <w:r>
        <w:t>- regardless of whether or not it would be in the best interests of the girl to do so. These provisions were included in the guidelines despite evidence that pregnant girls often suffer physical, verbal and emotional abuse from parents when they are found to be pregnant.</w:t>
      </w:r>
      <w:r>
        <w:rPr>
          <w:vertAlign w:val="superscript"/>
        </w:rPr>
        <w:footnoteReference w:id="68"/>
      </w:r>
    </w:p>
    <w:p w14:paraId="0F8BFA5F" w14:textId="77777777" w:rsidR="00FF243A" w:rsidRDefault="00000000">
      <w:r>
        <w:t>Despite the provisions in the guidelines, some schools will still expel girls or deny them the opportunity to sit for exams when they are found to be pregnant. Though, occasionally, where a girl is academically brilliant, she may be allowed to sit her exams. Conversely, when girls are allowed to continue with school either during pregnancy or after delivery, they are subjected to ridicule from their peers and teachers- which causes many girls to drop out.</w:t>
      </w:r>
      <w:r>
        <w:rPr>
          <w:vertAlign w:val="superscript"/>
        </w:rPr>
        <w:footnoteReference w:id="69"/>
      </w:r>
      <w:r>
        <w:t xml:space="preserve"> These practices prevail because the government has not taken sufficient steps to address the stigma associated with teen pregnancy and, in some instances, encourages it. For instance, the conflation of virginity and morality in the National Sexuality Framework discussed in the first part of this submission encourages this stigma.</w:t>
      </w:r>
    </w:p>
    <w:p w14:paraId="0F8BFA60" w14:textId="77777777" w:rsidR="00FF243A" w:rsidRDefault="00000000">
      <w:pPr>
        <w:pStyle w:val="Heading2"/>
      </w:pPr>
      <w:r>
        <w:t>Questions and Recommendation</w:t>
      </w:r>
    </w:p>
    <w:p w14:paraId="0F8BFA61" w14:textId="77777777" w:rsidR="00FF243A" w:rsidRDefault="00000000">
      <w:r>
        <w:t>In light of the issues canvassed in this submission, the Center, NCD and WORUDET hope that the Committee will consider addressing the following questions to the Government of Uganda:</w:t>
      </w:r>
    </w:p>
    <w:p w14:paraId="0F8BFA62" w14:textId="77777777" w:rsidR="00FF243A" w:rsidRDefault="00000000">
      <w:pPr>
        <w:numPr>
          <w:ilvl w:val="0"/>
          <w:numId w:val="2"/>
        </w:numPr>
        <w:pBdr>
          <w:top w:val="nil"/>
          <w:left w:val="nil"/>
          <w:bottom w:val="nil"/>
          <w:right w:val="nil"/>
          <w:between w:val="nil"/>
        </w:pBdr>
        <w:spacing w:after="0"/>
        <w:ind w:left="426" w:hanging="426"/>
      </w:pPr>
      <w:r>
        <w:rPr>
          <w:color w:val="000000"/>
        </w:rPr>
        <w:t xml:space="preserve">What measures are being put in place to review and amend the National Sexuality Education Framework (2018) to ensure that it provides for timely, scientifically accurate, evidence based, non-judgmental information on sexual and reproductive health including information </w:t>
      </w:r>
      <w:r>
        <w:rPr>
          <w:color w:val="000000"/>
        </w:rPr>
        <w:lastRenderedPageBreak/>
        <w:t>on prevention of pregnancy and STIs; addressing sexual and gender-based violence; access to safe, legal abortion care; and identifying and challenging harmful gender norms?</w:t>
      </w:r>
    </w:p>
    <w:p w14:paraId="0F8BFA63" w14:textId="3C83D821" w:rsidR="00FF243A" w:rsidRDefault="00000000">
      <w:pPr>
        <w:numPr>
          <w:ilvl w:val="0"/>
          <w:numId w:val="2"/>
        </w:numPr>
        <w:pBdr>
          <w:top w:val="nil"/>
          <w:left w:val="nil"/>
          <w:bottom w:val="nil"/>
          <w:right w:val="nil"/>
          <w:between w:val="nil"/>
        </w:pBdr>
        <w:spacing w:after="0"/>
        <w:ind w:left="426" w:hanging="426"/>
      </w:pPr>
      <w:r>
        <w:rPr>
          <w:color w:val="000000"/>
        </w:rPr>
        <w:t xml:space="preserve">What measures are being put in place to develop and implement a comprehensive sexuality education curriculum for out-of-school adolescents to ensure that they have access to </w:t>
      </w:r>
      <w:r w:rsidR="00947A07">
        <w:rPr>
          <w:color w:val="000000"/>
        </w:rPr>
        <w:t>timely, scientifically accurate</w:t>
      </w:r>
      <w:r w:rsidR="008C6C26">
        <w:rPr>
          <w:color w:val="000000"/>
        </w:rPr>
        <w:t>, age-and-stage-appropriate</w:t>
      </w:r>
      <w:r w:rsidR="00947A07">
        <w:rPr>
          <w:color w:val="000000"/>
        </w:rPr>
        <w:t xml:space="preserve"> </w:t>
      </w:r>
      <w:r>
        <w:rPr>
          <w:color w:val="000000"/>
        </w:rPr>
        <w:t>information regarding their sexual and reproductive health?</w:t>
      </w:r>
    </w:p>
    <w:p w14:paraId="0F8BFA64" w14:textId="3E3AB549" w:rsidR="00FF243A" w:rsidRDefault="00000000">
      <w:pPr>
        <w:numPr>
          <w:ilvl w:val="0"/>
          <w:numId w:val="2"/>
        </w:numPr>
        <w:pBdr>
          <w:top w:val="nil"/>
          <w:left w:val="nil"/>
          <w:bottom w:val="nil"/>
          <w:right w:val="nil"/>
          <w:between w:val="nil"/>
        </w:pBdr>
        <w:spacing w:after="0"/>
        <w:ind w:left="426" w:hanging="426"/>
      </w:pPr>
      <w:r>
        <w:rPr>
          <w:color w:val="000000"/>
        </w:rPr>
        <w:t>What measures are being put in place to develop and enact laws that provide for access to safe, legal abortion in accordance with the Constitution</w:t>
      </w:r>
      <w:r w:rsidR="00947A07">
        <w:rPr>
          <w:color w:val="000000"/>
        </w:rPr>
        <w:t xml:space="preserve"> of Uganda</w:t>
      </w:r>
      <w:r>
        <w:rPr>
          <w:color w:val="000000"/>
        </w:rPr>
        <w:t>?</w:t>
      </w:r>
    </w:p>
    <w:p w14:paraId="0F8BFA65" w14:textId="77777777" w:rsidR="00FF243A" w:rsidRDefault="00000000">
      <w:pPr>
        <w:numPr>
          <w:ilvl w:val="0"/>
          <w:numId w:val="2"/>
        </w:numPr>
        <w:pBdr>
          <w:top w:val="nil"/>
          <w:left w:val="nil"/>
          <w:bottom w:val="nil"/>
          <w:right w:val="nil"/>
          <w:between w:val="nil"/>
        </w:pBdr>
        <w:spacing w:after="0"/>
        <w:ind w:left="426" w:hanging="426"/>
      </w:pPr>
      <w:r>
        <w:rPr>
          <w:color w:val="000000"/>
        </w:rPr>
        <w:t xml:space="preserve">What measures are being put in place to address the harassment and unjustified arrest, prosecution and conviction of women, girls and healthcare providers who seek and provide safe abortion care in accordance with the law? </w:t>
      </w:r>
    </w:p>
    <w:p w14:paraId="0F8BFA66" w14:textId="1D3D7F97" w:rsidR="00FF243A" w:rsidRDefault="00000000">
      <w:pPr>
        <w:numPr>
          <w:ilvl w:val="0"/>
          <w:numId w:val="2"/>
        </w:numPr>
        <w:pBdr>
          <w:top w:val="nil"/>
          <w:left w:val="nil"/>
          <w:bottom w:val="nil"/>
          <w:right w:val="nil"/>
          <w:between w:val="nil"/>
        </w:pBdr>
        <w:ind w:left="426" w:hanging="426"/>
      </w:pPr>
      <w:r>
        <w:rPr>
          <w:color w:val="000000"/>
        </w:rPr>
        <w:t xml:space="preserve">What measures are being put in place to amend the Revised Guidelines for the Prevention and Management of Teenage Pregnancy in School Settings in Uganda to remove the </w:t>
      </w:r>
      <w:r w:rsidR="008C6C26">
        <w:rPr>
          <w:color w:val="000000"/>
        </w:rPr>
        <w:t>provisions</w:t>
      </w:r>
      <w:r>
        <w:rPr>
          <w:color w:val="000000"/>
        </w:rPr>
        <w:t xml:space="preserve"> that violate adolescent girls’ rights including the requirement for forced pregnancy testing?</w:t>
      </w:r>
    </w:p>
    <w:p w14:paraId="0F8BFA67" w14:textId="77777777" w:rsidR="00FF243A" w:rsidRDefault="00000000">
      <w:r>
        <w:t>The Center, NCD and WORUDET hope that the Committee will consider making the following recommendations to the Government of Uganda:</w:t>
      </w:r>
    </w:p>
    <w:p w14:paraId="0F8BFA68" w14:textId="0B6E4E94" w:rsidR="00FF243A" w:rsidRDefault="00000000">
      <w:pPr>
        <w:numPr>
          <w:ilvl w:val="0"/>
          <w:numId w:val="3"/>
        </w:numPr>
        <w:pBdr>
          <w:top w:val="nil"/>
          <w:left w:val="nil"/>
          <w:bottom w:val="nil"/>
          <w:right w:val="nil"/>
          <w:between w:val="nil"/>
        </w:pBdr>
        <w:spacing w:after="0"/>
        <w:ind w:left="426" w:hanging="426"/>
      </w:pPr>
      <w:r>
        <w:rPr>
          <w:color w:val="000000"/>
        </w:rPr>
        <w:t xml:space="preserve">Put in place the necessary </w:t>
      </w:r>
      <w:r w:rsidR="003A65DC">
        <w:rPr>
          <w:color w:val="000000"/>
        </w:rPr>
        <w:t xml:space="preserve">measures, including </w:t>
      </w:r>
      <w:r>
        <w:rPr>
          <w:color w:val="000000"/>
        </w:rPr>
        <w:t>administrative and budgetary measures</w:t>
      </w:r>
      <w:r w:rsidR="003A65DC">
        <w:rPr>
          <w:color w:val="000000"/>
        </w:rPr>
        <w:t>,</w:t>
      </w:r>
      <w:r>
        <w:rPr>
          <w:color w:val="000000"/>
        </w:rPr>
        <w:t xml:space="preserve"> to review and amend the National Sexuality Education Framework to ensure it provides comprehensive, timely, age-and-stage appropriate, scientifically accurate, evidence-based information on sexual and reproductive health and identifies and challenges negative and discriminatory gender stereotypes. </w:t>
      </w:r>
    </w:p>
    <w:p w14:paraId="0F8BFA69" w14:textId="66998BE1" w:rsidR="00FF243A" w:rsidRDefault="00000000">
      <w:pPr>
        <w:numPr>
          <w:ilvl w:val="0"/>
          <w:numId w:val="3"/>
        </w:numPr>
        <w:pBdr>
          <w:top w:val="nil"/>
          <w:left w:val="nil"/>
          <w:bottom w:val="nil"/>
          <w:right w:val="nil"/>
          <w:between w:val="nil"/>
        </w:pBdr>
        <w:spacing w:after="0"/>
        <w:ind w:left="426" w:hanging="426"/>
      </w:pPr>
      <w:r>
        <w:rPr>
          <w:color w:val="000000"/>
        </w:rPr>
        <w:t xml:space="preserve">Put in place the necessary </w:t>
      </w:r>
      <w:r w:rsidR="003A65DC">
        <w:rPr>
          <w:color w:val="000000"/>
        </w:rPr>
        <w:t xml:space="preserve">measures, including </w:t>
      </w:r>
      <w:r>
        <w:rPr>
          <w:color w:val="000000"/>
        </w:rPr>
        <w:t>administrative and budgetary measure</w:t>
      </w:r>
      <w:r w:rsidR="003A65DC">
        <w:rPr>
          <w:color w:val="000000"/>
        </w:rPr>
        <w:t>s,</w:t>
      </w:r>
      <w:r>
        <w:rPr>
          <w:color w:val="000000"/>
        </w:rPr>
        <w:t xml:space="preserve"> to develop and implement a comprehensive sexuality education curriculum for out of school adolescents that provides them with age-and-stage appropriate, scientifically accurate, evidence-based, non-biased and non-judgmental information on sexual and reproductive health.</w:t>
      </w:r>
    </w:p>
    <w:p w14:paraId="0F8BFA6A" w14:textId="11EBCACC" w:rsidR="00FF243A" w:rsidRDefault="00000000">
      <w:pPr>
        <w:numPr>
          <w:ilvl w:val="0"/>
          <w:numId w:val="3"/>
        </w:numPr>
        <w:pBdr>
          <w:top w:val="nil"/>
          <w:left w:val="nil"/>
          <w:bottom w:val="nil"/>
          <w:right w:val="nil"/>
          <w:between w:val="nil"/>
        </w:pBdr>
        <w:spacing w:after="0"/>
        <w:ind w:left="426" w:hanging="426"/>
      </w:pPr>
      <w:r>
        <w:rPr>
          <w:color w:val="000000"/>
        </w:rPr>
        <w:t>Put in place the necessary legislative, administrative, budgetary and programmatic measures to enact</w:t>
      </w:r>
      <w:r w:rsidR="00DF5901">
        <w:rPr>
          <w:color w:val="000000"/>
        </w:rPr>
        <w:t xml:space="preserve"> and implement</w:t>
      </w:r>
      <w:r>
        <w:rPr>
          <w:color w:val="000000"/>
        </w:rPr>
        <w:t xml:space="preserve"> a law that provides for access to comprehensive abortion care including safe, legal abortion care and post-abortion care for all women and girls</w:t>
      </w:r>
      <w:r w:rsidR="00DF5901">
        <w:rPr>
          <w:color w:val="000000"/>
        </w:rPr>
        <w:t xml:space="preserve"> in accordance with the Constitution of Uganda</w:t>
      </w:r>
      <w:r>
        <w:rPr>
          <w:color w:val="000000"/>
        </w:rPr>
        <w:t xml:space="preserve">;  </w:t>
      </w:r>
    </w:p>
    <w:p w14:paraId="0F8BFA6B" w14:textId="54424DDE" w:rsidR="00FF243A" w:rsidRDefault="00000000">
      <w:pPr>
        <w:numPr>
          <w:ilvl w:val="0"/>
          <w:numId w:val="3"/>
        </w:numPr>
        <w:pBdr>
          <w:top w:val="nil"/>
          <w:left w:val="nil"/>
          <w:bottom w:val="nil"/>
          <w:right w:val="nil"/>
          <w:between w:val="nil"/>
        </w:pBdr>
        <w:spacing w:after="0"/>
        <w:ind w:left="426" w:hanging="426"/>
      </w:pPr>
      <w:r>
        <w:rPr>
          <w:color w:val="000000"/>
        </w:rPr>
        <w:t xml:space="preserve">Put in place the necessary </w:t>
      </w:r>
      <w:r w:rsidR="00DF5901">
        <w:rPr>
          <w:color w:val="000000"/>
        </w:rPr>
        <w:t xml:space="preserve">measures, including </w:t>
      </w:r>
      <w:r>
        <w:rPr>
          <w:color w:val="000000"/>
        </w:rPr>
        <w:t>administrative and budgetary measures</w:t>
      </w:r>
      <w:r w:rsidR="00DF5901">
        <w:rPr>
          <w:color w:val="000000"/>
        </w:rPr>
        <w:t>,</w:t>
      </w:r>
      <w:r>
        <w:rPr>
          <w:color w:val="000000"/>
        </w:rPr>
        <w:t xml:space="preserve"> to review and amend the Revised Guidelines for the Prevention and Management of Teenage Pregnancy in School Settings in Uganda to remove all provisions that allow forced pregnancy</w:t>
      </w:r>
      <w:r w:rsidR="00DF5901">
        <w:rPr>
          <w:color w:val="000000"/>
        </w:rPr>
        <w:t xml:space="preserve"> testing</w:t>
      </w:r>
      <w:r>
        <w:rPr>
          <w:color w:val="000000"/>
        </w:rPr>
        <w:t>;</w:t>
      </w:r>
    </w:p>
    <w:p w14:paraId="0F8BFA6C" w14:textId="3DBDDFA4" w:rsidR="00FF243A" w:rsidRDefault="00000000">
      <w:pPr>
        <w:numPr>
          <w:ilvl w:val="0"/>
          <w:numId w:val="3"/>
        </w:numPr>
        <w:pBdr>
          <w:top w:val="nil"/>
          <w:left w:val="nil"/>
          <w:bottom w:val="nil"/>
          <w:right w:val="nil"/>
          <w:between w:val="nil"/>
        </w:pBdr>
        <w:ind w:left="426" w:hanging="426"/>
      </w:pPr>
      <w:r>
        <w:rPr>
          <w:color w:val="000000"/>
        </w:rPr>
        <w:t xml:space="preserve">Put in place the necessary </w:t>
      </w:r>
      <w:r w:rsidR="00DF5901">
        <w:rPr>
          <w:color w:val="000000"/>
        </w:rPr>
        <w:t xml:space="preserve">measures, including </w:t>
      </w:r>
      <w:r>
        <w:rPr>
          <w:color w:val="000000"/>
        </w:rPr>
        <w:t>administrative, budgetary and programmatic measures</w:t>
      </w:r>
      <w:r w:rsidR="00DF5901">
        <w:rPr>
          <w:color w:val="000000"/>
        </w:rPr>
        <w:t>,</w:t>
      </w:r>
      <w:r>
        <w:rPr>
          <w:color w:val="000000"/>
        </w:rPr>
        <w:t xml:space="preserve"> to address the stigma against teenage pregnancy and ensure that pregnant girls </w:t>
      </w:r>
      <w:r>
        <w:rPr>
          <w:color w:val="000000"/>
        </w:rPr>
        <w:lastRenderedPageBreak/>
        <w:t>and teen mothers have the support that they require to continue with their education</w:t>
      </w:r>
      <w:r w:rsidR="00F9658D">
        <w:rPr>
          <w:color w:val="000000"/>
        </w:rPr>
        <w:t>,</w:t>
      </w:r>
      <w:r>
        <w:rPr>
          <w:color w:val="000000"/>
        </w:rPr>
        <w:t xml:space="preserve"> during pregnancy and after childbirth</w:t>
      </w:r>
      <w:r w:rsidR="00F9658D">
        <w:rPr>
          <w:color w:val="000000"/>
        </w:rPr>
        <w:t>,</w:t>
      </w:r>
      <w:r>
        <w:rPr>
          <w:color w:val="000000"/>
        </w:rPr>
        <w:t xml:space="preserve"> with dignity.</w:t>
      </w:r>
    </w:p>
    <w:p w14:paraId="0F8BFA6D" w14:textId="77777777" w:rsidR="00FF243A" w:rsidRDefault="00FF243A"/>
    <w:sectPr w:rsidR="00FF243A">
      <w:pgSz w:w="12240" w:h="15840"/>
      <w:pgMar w:top="1440" w:right="1440" w:bottom="1440"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278BC" w14:textId="77777777" w:rsidR="008109FE" w:rsidRDefault="008109FE">
      <w:pPr>
        <w:spacing w:after="0" w:line="240" w:lineRule="auto"/>
      </w:pPr>
      <w:r>
        <w:separator/>
      </w:r>
    </w:p>
  </w:endnote>
  <w:endnote w:type="continuationSeparator" w:id="0">
    <w:p w14:paraId="6BD6F1AC" w14:textId="77777777" w:rsidR="008109FE" w:rsidRDefault="00810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0B999" w14:textId="77777777" w:rsidR="008109FE" w:rsidRDefault="008109FE">
      <w:pPr>
        <w:spacing w:after="0" w:line="240" w:lineRule="auto"/>
      </w:pPr>
      <w:r>
        <w:separator/>
      </w:r>
    </w:p>
  </w:footnote>
  <w:footnote w:type="continuationSeparator" w:id="0">
    <w:p w14:paraId="1084591F" w14:textId="77777777" w:rsidR="008109FE" w:rsidRDefault="008109FE">
      <w:pPr>
        <w:spacing w:after="0" w:line="240" w:lineRule="auto"/>
      </w:pPr>
      <w:r>
        <w:continuationSeparator/>
      </w:r>
    </w:p>
  </w:footnote>
  <w:footnote w:id="1">
    <w:p w14:paraId="0F8BFA6F"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w:t>
      </w:r>
      <w:r>
        <w:rPr>
          <w:i/>
          <w:color w:val="000000"/>
          <w:sz w:val="20"/>
          <w:szCs w:val="20"/>
        </w:rPr>
        <w:t>Second periodic report submitted by Uganda under article 40 of the Covenant, due in 2008</w:t>
      </w:r>
      <w:r>
        <w:rPr>
          <w:color w:val="000000"/>
          <w:sz w:val="20"/>
          <w:szCs w:val="20"/>
        </w:rPr>
        <w:t xml:space="preserve"> (2020). Paragraph 1 and 42, U.N. Document CCPR/C/UGA/2.</w:t>
      </w:r>
    </w:p>
  </w:footnote>
  <w:footnote w:id="2">
    <w:p w14:paraId="0F8BFA70"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17: Article 24 (Rights of the child) (1989). Paragraph 1-3</w:t>
      </w:r>
    </w:p>
  </w:footnote>
  <w:footnote w:id="3">
    <w:p w14:paraId="0F8BFA71"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1 (2001): Article 29 (1): The Aims of Education. Paragraph 6, U.N. Document CRC/GC/2001/1</w:t>
      </w:r>
    </w:p>
  </w:footnote>
  <w:footnote w:id="4">
    <w:p w14:paraId="0F8BFA72"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Paragraph 56-61 and 68, U.N. Document CRC/C/GC/20.</w:t>
      </w:r>
    </w:p>
  </w:footnote>
  <w:footnote w:id="5">
    <w:p w14:paraId="0F8BFA73"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17: Article 24 (Rights of the child) (1989). Paragraph 3.</w:t>
      </w:r>
    </w:p>
  </w:footnote>
  <w:footnote w:id="6">
    <w:p w14:paraId="0F8BFA74"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 Constitution of the Republic of Uganda, 1995 (with Amendments through 2017)</w:t>
      </w:r>
    </w:p>
  </w:footnote>
  <w:footnote w:id="7">
    <w:p w14:paraId="0F8BFA75"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41, Constitution of the Republic of Uganda, 1995 (with Amendments through 2017)</w:t>
      </w:r>
    </w:p>
  </w:footnote>
  <w:footnote w:id="8">
    <w:p w14:paraId="0F8BFA76"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34(2), Constitution of the Republic of Uganda, 1995 (with Amendments through 2017)</w:t>
      </w:r>
    </w:p>
  </w:footnote>
  <w:footnote w:id="9">
    <w:p w14:paraId="0F8BFA77"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i/>
          <w:color w:val="000000"/>
          <w:sz w:val="20"/>
          <w:szCs w:val="20"/>
          <w:u w:val="single"/>
        </w:rPr>
        <w:t>CEHURD vs. Attorney General &amp; Family Life</w:t>
      </w:r>
      <w:r>
        <w:rPr>
          <w:b/>
          <w:i/>
          <w:color w:val="000000"/>
          <w:sz w:val="20"/>
          <w:szCs w:val="20"/>
        </w:rPr>
        <w:t xml:space="preserve"> </w:t>
      </w:r>
      <w:r>
        <w:rPr>
          <w:b/>
          <w:i/>
          <w:color w:val="000000"/>
          <w:sz w:val="20"/>
          <w:szCs w:val="20"/>
          <w:u w:val="single"/>
        </w:rPr>
        <w:t>Network</w:t>
      </w:r>
      <w:r>
        <w:rPr>
          <w:color w:val="000000"/>
          <w:sz w:val="20"/>
          <w:szCs w:val="20"/>
        </w:rPr>
        <w:t xml:space="preserve"> [Miscellaneous Cause No. 309 of 2016],</w:t>
      </w:r>
    </w:p>
  </w:footnote>
  <w:footnote w:id="10">
    <w:p w14:paraId="0F8BFA78"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General Comment No. 22 (2016) on the Right to Sexual and Reproductive Health (Article 12 of the International Covenant on Economic, Social and Cultural Rights). Paragraph 49(f) U.N. Document E/C.12/GC/22</w:t>
      </w:r>
    </w:p>
  </w:footnote>
  <w:footnote w:id="11">
    <w:p w14:paraId="0F8BFA79"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21,30 and 36, National Sexuality Education Framework (2018), Ministry of Education and Sports, Republic of Uganda.</w:t>
      </w:r>
    </w:p>
  </w:footnote>
  <w:footnote w:id="12">
    <w:p w14:paraId="0F8BFA7A" w14:textId="77777777" w:rsidR="00FF243A"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Chidwick H, Baumann A et al. </w:t>
      </w:r>
      <w:r>
        <w:rPr>
          <w:i/>
          <w:color w:val="000000"/>
          <w:sz w:val="20"/>
          <w:szCs w:val="20"/>
        </w:rPr>
        <w:t>Exploring Adolescent Engagement in Sexual and Reproductive Health</w:t>
      </w:r>
    </w:p>
    <w:p w14:paraId="0F8BFA7B" w14:textId="77777777" w:rsidR="00FF243A" w:rsidRDefault="00000000">
      <w:pPr>
        <w:pBdr>
          <w:top w:val="nil"/>
          <w:left w:val="nil"/>
          <w:bottom w:val="nil"/>
          <w:right w:val="nil"/>
          <w:between w:val="nil"/>
        </w:pBdr>
        <w:spacing w:after="0" w:line="240" w:lineRule="auto"/>
        <w:rPr>
          <w:color w:val="000000"/>
          <w:sz w:val="20"/>
          <w:szCs w:val="20"/>
        </w:rPr>
      </w:pPr>
      <w:r>
        <w:rPr>
          <w:i/>
          <w:color w:val="000000"/>
          <w:sz w:val="20"/>
          <w:szCs w:val="20"/>
        </w:rPr>
        <w:t>Research in Kenya, Rwanda, Tanzania, and Uganda: A Scoping Review.</w:t>
      </w:r>
      <w:r>
        <w:rPr>
          <w:color w:val="000000"/>
          <w:sz w:val="20"/>
          <w:szCs w:val="20"/>
        </w:rPr>
        <w:t xml:space="preserve"> PLOS Global Public Health (2022).</w:t>
      </w:r>
    </w:p>
  </w:footnote>
  <w:footnote w:id="13">
    <w:p w14:paraId="0F8BFA7C"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McGranahan M., Bruno‑McClung E. et al.</w:t>
      </w:r>
      <w:r>
        <w:rPr>
          <w:i/>
          <w:color w:val="000000"/>
          <w:sz w:val="20"/>
          <w:szCs w:val="20"/>
        </w:rPr>
        <w:t xml:space="preserve"> Realising Sexual and Reproductive Health and Rights of Adolescent Girls and Young Women Living in Slums in Uganda: A Qualitative Study.</w:t>
      </w:r>
      <w:r>
        <w:rPr>
          <w:color w:val="000000"/>
          <w:sz w:val="20"/>
          <w:szCs w:val="20"/>
        </w:rPr>
        <w:t xml:space="preserve"> Reproductive Health (2021).</w:t>
      </w:r>
    </w:p>
  </w:footnote>
  <w:footnote w:id="14">
    <w:p w14:paraId="0F8BFA7D"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20, 32 and 38, National Sexuality Education Framework (2018), Ministry of Education and Sports, Republic of Uganda.</w:t>
      </w:r>
    </w:p>
  </w:footnote>
  <w:footnote w:id="15">
    <w:p w14:paraId="0F8BFA7E"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25, 33 and 39, National Sexuality Education Framework (2018), Ministry of Education and Sports, Republic of Uganda.</w:t>
      </w:r>
    </w:p>
  </w:footnote>
  <w:footnote w:id="16">
    <w:p w14:paraId="0F8BFA7F"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32-33, National Sexuality Education Framework (2018), Ministry of Education and Sports, Republic of Uganda.</w:t>
      </w:r>
    </w:p>
  </w:footnote>
  <w:footnote w:id="17">
    <w:p w14:paraId="0F8BFA80"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38-39, National Sexuality Education Framework (2018), Ministry of Education and Sports, Republic of Uganda.</w:t>
      </w:r>
    </w:p>
  </w:footnote>
  <w:footnote w:id="18">
    <w:p w14:paraId="0F8BFA81"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Table 4.5, Pg. 80, Uganda Demographic Health Survey, 2016</w:t>
      </w:r>
    </w:p>
  </w:footnote>
  <w:footnote w:id="19">
    <w:p w14:paraId="0F8BFA82"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Kemigisha E., Bruce K. et al. </w:t>
      </w:r>
      <w:r>
        <w:rPr>
          <w:i/>
          <w:color w:val="000000"/>
          <w:sz w:val="20"/>
          <w:szCs w:val="20"/>
        </w:rPr>
        <w:t xml:space="preserve">Sexual health of very young adolescents in South-western Uganda: a cross-sectional assessment of sexual knowledge and behavior. </w:t>
      </w:r>
      <w:r>
        <w:rPr>
          <w:color w:val="000000"/>
          <w:sz w:val="20"/>
          <w:szCs w:val="20"/>
        </w:rPr>
        <w:t>Reproductive Health Journal (2018)</w:t>
      </w:r>
    </w:p>
  </w:footnote>
  <w:footnote w:id="20">
    <w:p w14:paraId="0F8BFA83"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23, National Sexuality Education Framework (2018), Ministry of Education and Sports, Republic of Uganda.</w:t>
      </w:r>
    </w:p>
  </w:footnote>
  <w:footnote w:id="21">
    <w:p w14:paraId="0F8BFA84"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31, National Sexuality Education Framework (2018), Ministry of Education and Sports, Republic of Uganda.</w:t>
      </w:r>
    </w:p>
  </w:footnote>
  <w:footnote w:id="22">
    <w:p w14:paraId="0F8BFA85"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37, National Sexuality Education Framework (2018), Ministry of Education and Sports, Republic of Uganda.</w:t>
      </w:r>
    </w:p>
  </w:footnote>
  <w:footnote w:id="23">
    <w:p w14:paraId="0F8BFA86"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54-56, </w:t>
      </w:r>
      <w:r>
        <w:rPr>
          <w:i/>
          <w:color w:val="000000"/>
          <w:sz w:val="20"/>
          <w:szCs w:val="20"/>
        </w:rPr>
        <w:t>International Technical Guidance on Sexuality Education: An Evidence-Informed Approach</w:t>
      </w:r>
      <w:r>
        <w:rPr>
          <w:color w:val="000000"/>
          <w:sz w:val="20"/>
          <w:szCs w:val="20"/>
        </w:rPr>
        <w:t>, United Nations Educational, Scientific and Cultural Organization (UNESCO),UNAIDS, United Nations Population Fund (UNFPA), United Nations Children’s Fund (UNICEF) and World Health Organization (WHO) (2018)</w:t>
      </w:r>
    </w:p>
  </w:footnote>
  <w:footnote w:id="24">
    <w:p w14:paraId="0F8BFA87"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Table16.4.1 and 16.4.2, Pg. 334, Uganda Demographic Health Survey, 2016</w:t>
      </w:r>
    </w:p>
  </w:footnote>
  <w:footnote w:id="25">
    <w:p w14:paraId="0F8BFA88"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Goessmann K. Ssenyonga J et al. </w:t>
      </w:r>
      <w:r>
        <w:rPr>
          <w:i/>
          <w:color w:val="000000"/>
          <w:sz w:val="20"/>
          <w:szCs w:val="20"/>
        </w:rPr>
        <w:t>Characterizing the Prevalence and Contributing Factors of Sexual Violence: A Representative Cross-Sectional Study among School-Going Adolescents in two East African Countries.</w:t>
      </w:r>
      <w:r>
        <w:rPr>
          <w:color w:val="000000"/>
          <w:sz w:val="20"/>
          <w:szCs w:val="20"/>
        </w:rPr>
        <w:t xml:space="preserve"> The International Journal of Child Abuse &amp; Neglect (2020).</w:t>
      </w:r>
    </w:p>
  </w:footnote>
  <w:footnote w:id="26">
    <w:p w14:paraId="0F8BFA89"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Nyonyintono R. and Asiimwe A. </w:t>
      </w:r>
      <w:r>
        <w:rPr>
          <w:i/>
          <w:color w:val="000000"/>
          <w:sz w:val="20"/>
          <w:szCs w:val="20"/>
        </w:rPr>
        <w:t>Sexual Harassment of School Going Adolescents in Uganda: The Case of Luwero District</w:t>
      </w:r>
      <w:r>
        <w:rPr>
          <w:color w:val="000000"/>
          <w:sz w:val="20"/>
          <w:szCs w:val="20"/>
        </w:rPr>
        <w:t xml:space="preserve">. </w:t>
      </w:r>
    </w:p>
  </w:footnote>
  <w:footnote w:id="27">
    <w:p w14:paraId="0F8BFA8A"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23, National Sexuality Education Framework (2018), Ministry of Education and Sports, Republic of Uganda.</w:t>
      </w:r>
    </w:p>
  </w:footnote>
  <w:footnote w:id="28">
    <w:p w14:paraId="0F8BFA8B"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21, National Sexuality Education Framework (2018), Ministry of Education and Sports, Republic of Uganda.</w:t>
      </w:r>
    </w:p>
  </w:footnote>
  <w:footnote w:id="29">
    <w:p w14:paraId="0F8BFA8C"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51, </w:t>
      </w:r>
      <w:r>
        <w:rPr>
          <w:i/>
          <w:color w:val="000000"/>
          <w:sz w:val="20"/>
          <w:szCs w:val="20"/>
        </w:rPr>
        <w:t>International Technical Guidance on Sexuality Education: An Evidence-Informed Approach</w:t>
      </w:r>
      <w:r>
        <w:rPr>
          <w:color w:val="000000"/>
          <w:sz w:val="20"/>
          <w:szCs w:val="20"/>
        </w:rPr>
        <w:t>, United Nations Educational, Scientific and Cultural Organization (UNESCO),UNAIDS, United Nations Population Fund (UNFPA), United Nations Children’s Fund (UNICEF) and World Health Organization (WHO) (2018)</w:t>
      </w:r>
    </w:p>
  </w:footnote>
  <w:footnote w:id="30">
    <w:p w14:paraId="0F8BFA8D"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xii, National Sexuality Education Framework (2018), Ministry of Education and Sports, Republic of Uganda.</w:t>
      </w:r>
    </w:p>
  </w:footnote>
  <w:footnote w:id="31">
    <w:p w14:paraId="0F8BFA8E"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 Situation Analysis of Children In Uganda – 2019, United Nations Children’s Fund (UNICEF)  and  Ministry of Gender, Labour and Social Development, Republic of Uganda (2019)</w:t>
      </w:r>
    </w:p>
  </w:footnote>
  <w:footnote w:id="32">
    <w:p w14:paraId="0F8BFA8F"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With 23 countries yet to fully reopen schools, education risks becoming ‘greatest divider’ as COVID-19 pandemic enters third year</w:t>
      </w:r>
      <w:r>
        <w:rPr>
          <w:color w:val="000000"/>
          <w:sz w:val="20"/>
          <w:szCs w:val="20"/>
        </w:rPr>
        <w:t>, United Nations Children’s Fund (UNICEF) (2022). Accessed on 25</w:t>
      </w:r>
      <w:r>
        <w:rPr>
          <w:color w:val="000000"/>
          <w:sz w:val="20"/>
          <w:szCs w:val="20"/>
          <w:vertAlign w:val="superscript"/>
        </w:rPr>
        <w:t>th</w:t>
      </w:r>
      <w:r>
        <w:rPr>
          <w:color w:val="000000"/>
          <w:sz w:val="20"/>
          <w:szCs w:val="20"/>
        </w:rPr>
        <w:t xml:space="preserve"> May 2023. Available at: https://www.unicef.org/uganda/press-releases/23-countries-yet-fully-reopen-schools-education-risks-becoming-greatest-divider#:~:text=In%20Uganda%2C%20around%201%20in,cent%20between%202020%20and%202021.</w:t>
      </w:r>
    </w:p>
  </w:footnote>
  <w:footnote w:id="33">
    <w:p w14:paraId="0F8BFA90"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Agamile P. and Lawson D. </w:t>
      </w:r>
      <w:r>
        <w:rPr>
          <w:i/>
          <w:color w:val="000000"/>
          <w:sz w:val="20"/>
          <w:szCs w:val="20"/>
        </w:rPr>
        <w:t>Rainfall shocks and children’s school attendance: evidence from Uganda</w:t>
      </w:r>
      <w:r>
        <w:rPr>
          <w:color w:val="000000"/>
          <w:sz w:val="20"/>
          <w:szCs w:val="20"/>
        </w:rPr>
        <w:t xml:space="preserve">. Oxford Development Studies (2021) </w:t>
      </w:r>
    </w:p>
  </w:footnote>
  <w:footnote w:id="34">
    <w:p w14:paraId="0F8BFA91" w14:textId="77777777" w:rsidR="00FF243A"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Chidwick H, Baumann A et al. </w:t>
      </w:r>
      <w:r>
        <w:rPr>
          <w:i/>
          <w:color w:val="000000"/>
          <w:sz w:val="20"/>
          <w:szCs w:val="20"/>
        </w:rPr>
        <w:t>Exploring Adolescent Engagement in Sexual and Reproductive Health</w:t>
      </w:r>
    </w:p>
    <w:p w14:paraId="0F8BFA92" w14:textId="77777777" w:rsidR="00FF243A" w:rsidRDefault="00000000">
      <w:pPr>
        <w:pBdr>
          <w:top w:val="nil"/>
          <w:left w:val="nil"/>
          <w:bottom w:val="nil"/>
          <w:right w:val="nil"/>
          <w:between w:val="nil"/>
        </w:pBdr>
        <w:spacing w:after="0" w:line="240" w:lineRule="auto"/>
        <w:rPr>
          <w:color w:val="000000"/>
          <w:sz w:val="20"/>
          <w:szCs w:val="20"/>
        </w:rPr>
      </w:pPr>
      <w:r>
        <w:rPr>
          <w:i/>
          <w:color w:val="000000"/>
          <w:sz w:val="20"/>
          <w:szCs w:val="20"/>
        </w:rPr>
        <w:t>Research in Kenya, Rwanda, Tanzania, and Uganda: A Scoping Review.</w:t>
      </w:r>
      <w:r>
        <w:rPr>
          <w:color w:val="000000"/>
          <w:sz w:val="20"/>
          <w:szCs w:val="20"/>
        </w:rPr>
        <w:t xml:space="preserve"> PLOS Global Public Health (2022).</w:t>
      </w:r>
    </w:p>
  </w:footnote>
  <w:footnote w:id="35">
    <w:p w14:paraId="0F8BFA93"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Muhwezi W., Katahoire A. et al. </w:t>
      </w:r>
      <w:r>
        <w:rPr>
          <w:i/>
          <w:color w:val="000000"/>
          <w:sz w:val="20"/>
          <w:szCs w:val="20"/>
        </w:rPr>
        <w:t>Perceptions and experiences of adolescents, parents and school administrators regarding adolescent-parent communication on sexual and reproductive health issues in urban and rural Uganda.</w:t>
      </w:r>
      <w:r>
        <w:rPr>
          <w:color w:val="000000"/>
          <w:sz w:val="20"/>
          <w:szCs w:val="20"/>
        </w:rPr>
        <w:t xml:space="preserve"> Reproductive Health (2015).</w:t>
      </w:r>
    </w:p>
  </w:footnote>
  <w:footnote w:id="36">
    <w:p w14:paraId="0F8BFA94"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89, Uganda Demographic Health Survey, 2016</w:t>
      </w:r>
    </w:p>
  </w:footnote>
  <w:footnote w:id="37">
    <w:p w14:paraId="0F8BFA95"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Fact Sheet on Teenage Pregnancy, 2021, UNFPA Uganda (2021). Accessed on 25</w:t>
      </w:r>
      <w:r>
        <w:rPr>
          <w:color w:val="000000"/>
          <w:sz w:val="20"/>
          <w:szCs w:val="20"/>
          <w:vertAlign w:val="superscript"/>
        </w:rPr>
        <w:t>th</w:t>
      </w:r>
      <w:r>
        <w:rPr>
          <w:color w:val="000000"/>
          <w:sz w:val="20"/>
          <w:szCs w:val="20"/>
        </w:rPr>
        <w:t xml:space="preserve"> May 2023. Available at: https://uganda.unfpa.org/sites/default/files/pub-pdf/teenpregnancy_factsheet_3.pdf</w:t>
      </w:r>
    </w:p>
  </w:footnote>
  <w:footnote w:id="38">
    <w:p w14:paraId="0F8BFA96" w14:textId="77777777" w:rsidR="00FF243A"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Manzi F., Ogwang J. et al. </w:t>
      </w:r>
      <w:r>
        <w:rPr>
          <w:i/>
          <w:color w:val="000000"/>
          <w:sz w:val="20"/>
          <w:szCs w:val="20"/>
        </w:rPr>
        <w:t>Factors Associated with Teenage Pregnancy and its Effects in Kibuku</w:t>
      </w:r>
    </w:p>
    <w:p w14:paraId="0F8BFA97" w14:textId="77777777" w:rsidR="00FF243A" w:rsidRDefault="00000000">
      <w:pPr>
        <w:pBdr>
          <w:top w:val="nil"/>
          <w:left w:val="nil"/>
          <w:bottom w:val="nil"/>
          <w:right w:val="nil"/>
          <w:between w:val="nil"/>
        </w:pBdr>
        <w:spacing w:after="0" w:line="240" w:lineRule="auto"/>
        <w:rPr>
          <w:color w:val="000000"/>
          <w:sz w:val="20"/>
          <w:szCs w:val="20"/>
        </w:rPr>
      </w:pPr>
      <w:r>
        <w:rPr>
          <w:i/>
          <w:color w:val="000000"/>
          <w:sz w:val="20"/>
          <w:szCs w:val="20"/>
        </w:rPr>
        <w:t>Town Council, Kibuku District, Eastern Uganda: A Cross Sectional Study.</w:t>
      </w:r>
      <w:r>
        <w:rPr>
          <w:color w:val="000000"/>
          <w:sz w:val="20"/>
          <w:szCs w:val="20"/>
        </w:rPr>
        <w:t xml:space="preserve"> Primary Health Care (2018)</w:t>
      </w:r>
    </w:p>
  </w:footnote>
  <w:footnote w:id="39">
    <w:p w14:paraId="0F8BFA98"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Nabugoomu J., Seruwagi G. and Hanning R. </w:t>
      </w:r>
      <w:r>
        <w:rPr>
          <w:i/>
          <w:color w:val="000000"/>
          <w:sz w:val="20"/>
          <w:szCs w:val="20"/>
        </w:rPr>
        <w:t>What can be done to reduce the prevalence of teen pregnancy in rural Eastern Uganda? Multi stakeholder perceptions</w:t>
      </w:r>
      <w:r>
        <w:rPr>
          <w:color w:val="000000"/>
          <w:sz w:val="20"/>
          <w:szCs w:val="20"/>
        </w:rPr>
        <w:t>. Reproductive Health (2020).</w:t>
      </w:r>
    </w:p>
  </w:footnote>
  <w:footnote w:id="40">
    <w:p w14:paraId="0F8BFA99"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 </w:t>
      </w:r>
      <w:r>
        <w:rPr>
          <w:i/>
          <w:color w:val="000000"/>
          <w:sz w:val="20"/>
          <w:szCs w:val="20"/>
        </w:rPr>
        <w:t>Revised Guidelines for the Prevention and Management of Teenage Pregnancy in School Settings in Uganda</w:t>
      </w:r>
      <w:r>
        <w:rPr>
          <w:color w:val="000000"/>
          <w:sz w:val="20"/>
          <w:szCs w:val="20"/>
        </w:rPr>
        <w:t>, Ministry of Education and Sports, Republic of Uganda.</w:t>
      </w:r>
    </w:p>
  </w:footnote>
  <w:footnote w:id="41">
    <w:p w14:paraId="0F8BFA9A"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Fact Sheet on Teenage Pregnancy, 2021, UNFPA Uganda (2021). Accessed on 25</w:t>
      </w:r>
      <w:r>
        <w:rPr>
          <w:color w:val="000000"/>
          <w:sz w:val="20"/>
          <w:szCs w:val="20"/>
          <w:vertAlign w:val="superscript"/>
        </w:rPr>
        <w:t>th</w:t>
      </w:r>
      <w:r>
        <w:rPr>
          <w:color w:val="000000"/>
          <w:sz w:val="20"/>
          <w:szCs w:val="20"/>
        </w:rPr>
        <w:t xml:space="preserve"> May 2023. Available at: https://uganda.unfpa.org/sites/default/files/pub-pdf/teenpregnancy_factsheet_3.pdf</w:t>
      </w:r>
    </w:p>
  </w:footnote>
  <w:footnote w:id="42">
    <w:p w14:paraId="0F8BFA9B"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Fact Sheet on Teenage Pregnancy, 2021, UNFPA Uganda (2021). Accessed on 25</w:t>
      </w:r>
      <w:r>
        <w:rPr>
          <w:color w:val="000000"/>
          <w:sz w:val="20"/>
          <w:szCs w:val="20"/>
          <w:vertAlign w:val="superscript"/>
        </w:rPr>
        <w:t>th</w:t>
      </w:r>
      <w:r>
        <w:rPr>
          <w:color w:val="000000"/>
          <w:sz w:val="20"/>
          <w:szCs w:val="20"/>
        </w:rPr>
        <w:t xml:space="preserve"> May 2023. Available at: https://uganda.unfpa.org/sites/default/files/pub-pdf/teenpregnancy_factsheet_3.pdf </w:t>
      </w:r>
    </w:p>
  </w:footnote>
  <w:footnote w:id="43">
    <w:p w14:paraId="0F8BFA9C"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Alobo G, Reverzani C et al. </w:t>
      </w:r>
      <w:r>
        <w:rPr>
          <w:i/>
          <w:color w:val="000000"/>
          <w:sz w:val="20"/>
          <w:szCs w:val="20"/>
        </w:rPr>
        <w:t>Estimating the Risk of Maternal Death at Admission: A Predictive Model from a 5-Year Case Reference Study in Northern Uganda.</w:t>
      </w:r>
      <w:r>
        <w:rPr>
          <w:color w:val="000000"/>
          <w:sz w:val="20"/>
          <w:szCs w:val="20"/>
        </w:rPr>
        <w:t xml:space="preserve"> Obstetrics and Gynecology International (2022).</w:t>
      </w:r>
    </w:p>
  </w:footnote>
  <w:footnote w:id="44">
    <w:p w14:paraId="0F8BFA9D"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Sully E., Atuyambe L. et al. </w:t>
      </w:r>
      <w:r>
        <w:rPr>
          <w:i/>
          <w:color w:val="000000"/>
          <w:sz w:val="20"/>
          <w:szCs w:val="20"/>
        </w:rPr>
        <w:t xml:space="preserve">Estimating abortion incidence among adolescents and differences in postabortion care by age: a cross-sectional study of postabortion care patients in Uganda. </w:t>
      </w:r>
      <w:r>
        <w:rPr>
          <w:color w:val="000000"/>
          <w:sz w:val="20"/>
          <w:szCs w:val="20"/>
        </w:rPr>
        <w:t>Contraception Journal (2018)</w:t>
      </w:r>
    </w:p>
  </w:footnote>
  <w:footnote w:id="45">
    <w:p w14:paraId="0F8BFA9E"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36 (2018) on Article 6 of the International Covenant on Civil and Political Rights, on the right to life. Paragraph 3, U.N Document CCPR/C/GC/36</w:t>
      </w:r>
    </w:p>
  </w:footnote>
  <w:footnote w:id="46">
    <w:p w14:paraId="0F8BFA9F"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13, </w:t>
      </w:r>
      <w:r>
        <w:rPr>
          <w:i/>
          <w:color w:val="000000"/>
          <w:sz w:val="20"/>
          <w:szCs w:val="20"/>
        </w:rPr>
        <w:t>Facing Uganda’s Law on Abortion: Experiences from Women &amp; Service Providers</w:t>
      </w:r>
      <w:r>
        <w:rPr>
          <w:color w:val="000000"/>
          <w:sz w:val="20"/>
          <w:szCs w:val="20"/>
        </w:rPr>
        <w:t>, The Center for Health, Human Rights and Development (CEHURD) and the Center for Reproductive Rights (2016).</w:t>
      </w:r>
    </w:p>
  </w:footnote>
  <w:footnote w:id="47">
    <w:p w14:paraId="0F8BFAA0"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36 (2018) on Article 6 of the International Covenant on Civil and Political Rights, on the right to life. Paragraph 3, U.N Document CCPR/C/GC/36</w:t>
      </w:r>
    </w:p>
  </w:footnote>
  <w:footnote w:id="48">
    <w:p w14:paraId="0F8BFAA1"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36 (2018) on Article 6 of the International Covenant on Civil and Political Rights, on the right to life. Paragraph 8, U.N Document CCPR/C/GC/36</w:t>
      </w:r>
    </w:p>
  </w:footnote>
  <w:footnote w:id="49">
    <w:p w14:paraId="0F8BFAA2"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 </w:t>
      </w:r>
      <w:r>
        <w:rPr>
          <w:i/>
          <w:color w:val="000000"/>
          <w:sz w:val="20"/>
          <w:szCs w:val="20"/>
        </w:rPr>
        <w:t>Facing Uganda’s Law on Abortion: Experiences from Women &amp; Service Providers</w:t>
      </w:r>
      <w:r>
        <w:rPr>
          <w:color w:val="000000"/>
          <w:sz w:val="20"/>
          <w:szCs w:val="20"/>
        </w:rPr>
        <w:t xml:space="preserve">, The Center for Health, Human Rights and Development (CEHURD) and the Center for Reproductive Rights (2016). </w:t>
      </w:r>
    </w:p>
  </w:footnote>
  <w:footnote w:id="50">
    <w:p w14:paraId="0F8BFAA3"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141-143, Section 212 and Section 224, Penal Code Act (Chapter 120), Republic of Uganda.</w:t>
      </w:r>
    </w:p>
  </w:footnote>
  <w:footnote w:id="51">
    <w:p w14:paraId="0F8BFAA4"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45, The National Policy Guidelines and Service Standards for Sexual and Reproductive Health and Rights, Ministry of Health, Republic of Uganda</w:t>
      </w:r>
    </w:p>
  </w:footnote>
  <w:footnote w:id="52">
    <w:p w14:paraId="0F8BFAA5"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Kagaha A. and Manderson L. </w:t>
      </w:r>
      <w:r>
        <w:rPr>
          <w:i/>
          <w:color w:val="000000"/>
          <w:sz w:val="20"/>
          <w:szCs w:val="20"/>
        </w:rPr>
        <w:t xml:space="preserve">Power, policy and abortion care in Uganda. </w:t>
      </w:r>
      <w:r>
        <w:rPr>
          <w:color w:val="000000"/>
          <w:sz w:val="20"/>
          <w:szCs w:val="20"/>
        </w:rPr>
        <w:t>Health Policy and Planning, Volume</w:t>
      </w:r>
      <w:r>
        <w:rPr>
          <w:i/>
          <w:color w:val="000000"/>
          <w:sz w:val="20"/>
          <w:szCs w:val="20"/>
        </w:rPr>
        <w:t xml:space="preserve"> </w:t>
      </w:r>
      <w:r>
        <w:rPr>
          <w:color w:val="000000"/>
          <w:sz w:val="20"/>
          <w:szCs w:val="20"/>
        </w:rPr>
        <w:t>36 pg. 187–195 (2021).</w:t>
      </w:r>
    </w:p>
  </w:footnote>
  <w:footnote w:id="53">
    <w:p w14:paraId="0F8BFAA6"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Facing Uganda’s Law on Abortion: Experiences from Women &amp; Service Providers</w:t>
      </w:r>
      <w:r>
        <w:rPr>
          <w:color w:val="000000"/>
          <w:sz w:val="20"/>
          <w:szCs w:val="20"/>
        </w:rPr>
        <w:t xml:space="preserve">, The Center for Health, Human Rights and Development (CEHURD) and the Center for Reproductive Rights (2016). </w:t>
      </w:r>
    </w:p>
  </w:footnote>
  <w:footnote w:id="54">
    <w:p w14:paraId="0F8BFAA7"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Research Brief: The Enforcement of Criminal Abortion Laws in Uganda and its Impact on the Human Rights of Women and Health Workers</w:t>
      </w:r>
      <w:r>
        <w:rPr>
          <w:color w:val="000000"/>
          <w:sz w:val="20"/>
          <w:szCs w:val="20"/>
        </w:rPr>
        <w:t>, Human Rights Awareness and Promotion Forum (2017)</w:t>
      </w:r>
    </w:p>
  </w:footnote>
  <w:footnote w:id="55">
    <w:p w14:paraId="0F8BFAA8"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Criminal Case No. 56 of 2020</w:t>
      </w:r>
    </w:p>
  </w:footnote>
  <w:footnote w:id="56">
    <w:p w14:paraId="0F8BFAA9"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Case Brief: Uganda V Kato Frederick (Criminal Case 56 of 2020),</w:t>
      </w:r>
      <w:r>
        <w:rPr>
          <w:color w:val="000000"/>
          <w:sz w:val="20"/>
          <w:szCs w:val="20"/>
        </w:rPr>
        <w:t xml:space="preserve"> The Center for Health, Human Rights and Development (CEHURD) (2022).</w:t>
      </w:r>
    </w:p>
  </w:footnote>
  <w:footnote w:id="57">
    <w:p w14:paraId="0F8BFAAA"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25, National Sexuality Education Framework (2018), Ministry of Education and Sports, Republic of Uganda.</w:t>
      </w:r>
    </w:p>
  </w:footnote>
  <w:footnote w:id="58">
    <w:p w14:paraId="0F8BFAAB"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32, National Sexuality Education Framework (2018), Ministry of Education and Sports, Republic of Uganda.</w:t>
      </w:r>
    </w:p>
  </w:footnote>
  <w:footnote w:id="59">
    <w:p w14:paraId="0F8BFAAC"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38, National Sexuality Education Framework (2018), Ministry of Education and Sports, Republic of Uganda.</w:t>
      </w:r>
    </w:p>
  </w:footnote>
  <w:footnote w:id="60">
    <w:p w14:paraId="0F8BFAAD"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McGranahan M., Bruno‑McClung E. et al.</w:t>
      </w:r>
      <w:r>
        <w:rPr>
          <w:i/>
          <w:color w:val="000000"/>
          <w:sz w:val="20"/>
          <w:szCs w:val="20"/>
        </w:rPr>
        <w:t xml:space="preserve"> Realising Sexual and Reproductive Health and Rights of Adolescent Girls and Young Women Living in Slums in Uganda: A Qualitative Study.</w:t>
      </w:r>
      <w:r>
        <w:rPr>
          <w:color w:val="000000"/>
          <w:sz w:val="20"/>
          <w:szCs w:val="20"/>
        </w:rPr>
        <w:t xml:space="preserve"> Reproductive Health (2021).</w:t>
      </w:r>
    </w:p>
  </w:footnote>
  <w:footnote w:id="61">
    <w:p w14:paraId="0F8BFAAE" w14:textId="77777777" w:rsidR="00FF243A"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Chidwick H, Baumann A et al. </w:t>
      </w:r>
      <w:r>
        <w:rPr>
          <w:i/>
          <w:color w:val="000000"/>
          <w:sz w:val="20"/>
          <w:szCs w:val="20"/>
        </w:rPr>
        <w:t>Exploring Adolescent Engagement in Sexual and Reproductive Health</w:t>
      </w:r>
    </w:p>
    <w:p w14:paraId="0F8BFAAF" w14:textId="77777777" w:rsidR="00FF243A" w:rsidRDefault="00000000">
      <w:pPr>
        <w:pBdr>
          <w:top w:val="nil"/>
          <w:left w:val="nil"/>
          <w:bottom w:val="nil"/>
          <w:right w:val="nil"/>
          <w:between w:val="nil"/>
        </w:pBdr>
        <w:spacing w:after="0" w:line="240" w:lineRule="auto"/>
        <w:rPr>
          <w:color w:val="000000"/>
          <w:sz w:val="20"/>
          <w:szCs w:val="20"/>
        </w:rPr>
      </w:pPr>
      <w:r>
        <w:rPr>
          <w:i/>
          <w:color w:val="000000"/>
          <w:sz w:val="20"/>
          <w:szCs w:val="20"/>
        </w:rPr>
        <w:t>Research in Kenya, Rwanda, Tanzania, and Uganda: A Scoping Review.</w:t>
      </w:r>
      <w:r>
        <w:rPr>
          <w:color w:val="000000"/>
          <w:sz w:val="20"/>
          <w:szCs w:val="20"/>
        </w:rPr>
        <w:t xml:space="preserve"> PLOS Global Public Health (2022).</w:t>
      </w:r>
    </w:p>
  </w:footnote>
  <w:footnote w:id="62">
    <w:p w14:paraId="0F8BFAB0"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Atuyambe L., Kibira S. et al. </w:t>
      </w:r>
      <w:r>
        <w:rPr>
          <w:i/>
          <w:color w:val="000000"/>
          <w:sz w:val="20"/>
          <w:szCs w:val="20"/>
        </w:rPr>
        <w:t>Understanding sexual and reproductive health needs of adolescents: evidence from a formative evaluation in Wakiso district, Uganda.</w:t>
      </w:r>
      <w:r>
        <w:rPr>
          <w:color w:val="000000"/>
          <w:sz w:val="20"/>
          <w:szCs w:val="20"/>
        </w:rPr>
        <w:t xml:space="preserve"> Reproductive Health (2015).</w:t>
      </w:r>
    </w:p>
  </w:footnote>
  <w:footnote w:id="63">
    <w:p w14:paraId="0F8BFAB1"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Against Torture, Convention Against Torture and Other Cruel, Inhuman or Degrading Treatment or Punishment General Comment No. 2: Implementation of article 2 by States parties. Paragraph 20-22 U.N. Document CAT/C/GC/2. </w:t>
      </w:r>
    </w:p>
  </w:footnote>
  <w:footnote w:id="64">
    <w:p w14:paraId="0F8BFAB2"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t xml:space="preserve"> </w:t>
      </w:r>
      <w:r>
        <w:rPr>
          <w:color w:val="000000"/>
          <w:sz w:val="20"/>
          <w:szCs w:val="20"/>
        </w:rPr>
        <w:t xml:space="preserve">Pg. 10, </w:t>
      </w:r>
      <w:r>
        <w:rPr>
          <w:i/>
          <w:color w:val="000000"/>
          <w:sz w:val="20"/>
          <w:szCs w:val="20"/>
        </w:rPr>
        <w:t>Amicus Curiae Submissions of the Working Group on the issue of discrimination against women in law and in practice; the Special Rapporteur on Torture and other cruel, inhuman or degrading treatment or punishment, the Special Rapporteur on the right of everyone to the enjoyment of the highest attainable standard of physical and mental health; Special Rapporteur on the rights of persons with disabilities and the Special Rapporteur on violence against women, its causes and consequences on Denial of Abortion Services in Petition Number ADI/ADPF 5581</w:t>
      </w:r>
      <w:r>
        <w:rPr>
          <w:color w:val="000000"/>
          <w:sz w:val="20"/>
          <w:szCs w:val="20"/>
        </w:rPr>
        <w:t>, Office of the High Commissioner for Human Rights.</w:t>
      </w:r>
    </w:p>
  </w:footnote>
  <w:footnote w:id="65">
    <w:p w14:paraId="0F8BFAB3"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i/>
          <w:color w:val="000000"/>
          <w:sz w:val="20"/>
          <w:szCs w:val="20"/>
          <w:u w:val="single"/>
        </w:rPr>
        <w:t>Legal and Human Rights Centre and Centre for Reproductive Rights (on behalf of Tanzanian girls) v United Republic of Tanzania,</w:t>
      </w:r>
      <w:r>
        <w:rPr>
          <w:color w:val="000000"/>
          <w:sz w:val="20"/>
          <w:szCs w:val="20"/>
        </w:rPr>
        <w:t xml:space="preserve"> Communication No: 0012/Com/001/2019; Decision No 002/2022, The African Committee of Experts on the Rights and Welfare of the Child.</w:t>
      </w:r>
    </w:p>
  </w:footnote>
  <w:footnote w:id="66">
    <w:p w14:paraId="0F8BFAB4"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16-18, </w:t>
      </w:r>
      <w:r>
        <w:rPr>
          <w:i/>
          <w:color w:val="000000"/>
          <w:sz w:val="20"/>
          <w:szCs w:val="20"/>
        </w:rPr>
        <w:t>Revised Guidelines for the Prevention and Management of Teenage Pregnancy in School Settings in Uganda</w:t>
      </w:r>
      <w:r>
        <w:rPr>
          <w:color w:val="000000"/>
          <w:sz w:val="20"/>
          <w:szCs w:val="20"/>
        </w:rPr>
        <w:t>, Ministry of Education and Sports, Republic of Uganda.</w:t>
      </w:r>
    </w:p>
    <w:bookmarkStart w:id="0" w:name="_heading=h.gjdgxs" w:colFirst="0" w:colLast="0"/>
    <w:bookmarkEnd w:id="0"/>
  </w:footnote>
  <w:footnote w:id="67">
    <w:p w14:paraId="0F8BFAB5" w14:textId="77777777" w:rsidR="00FF243A" w:rsidRDefault="00000000">
      <w:pPr>
        <w:pBdr>
          <w:top w:val="nil"/>
          <w:left w:val="nil"/>
          <w:bottom w:val="nil"/>
          <w:right w:val="nil"/>
          <w:between w:val="nil"/>
        </w:pBdr>
        <w:spacing w:after="0" w:line="240" w:lineRule="auto"/>
        <w:rPr>
          <w:color w:val="000000"/>
          <w:sz w:val="20"/>
          <w:szCs w:val="20"/>
        </w:rPr>
      </w:pPr>
      <w:bookmarkStart w:id="1" w:name="_heading=h.gjdgxs" w:colFirst="0" w:colLast="0"/>
      <w:bookmarkEnd w:id="1"/>
      <w:r>
        <w:rPr>
          <w:rStyle w:val="FootnoteReference"/>
        </w:rPr>
        <w:footnoteRef/>
      </w:r>
      <w:r>
        <w:rPr>
          <w:color w:val="000000"/>
          <w:sz w:val="20"/>
          <w:szCs w:val="20"/>
        </w:rPr>
        <w:t xml:space="preserve"> Pg. 18, </w:t>
      </w:r>
      <w:r>
        <w:rPr>
          <w:i/>
          <w:color w:val="000000"/>
          <w:sz w:val="20"/>
          <w:szCs w:val="20"/>
        </w:rPr>
        <w:t>Revised Guidelines for the Prevention and Management of Teenage Pregnancy in School Settings in Uganda</w:t>
      </w:r>
      <w:r>
        <w:rPr>
          <w:color w:val="000000"/>
          <w:sz w:val="20"/>
          <w:szCs w:val="20"/>
        </w:rPr>
        <w:t>, Ministry of Education and Sports, Republic of Uganda.</w:t>
      </w:r>
    </w:p>
  </w:footnote>
  <w:footnote w:id="68">
    <w:p w14:paraId="0F8BFAB6"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Nabugoomu J.,Seruwagi G et al. </w:t>
      </w:r>
      <w:r>
        <w:rPr>
          <w:i/>
          <w:color w:val="000000"/>
          <w:sz w:val="20"/>
          <w:szCs w:val="20"/>
        </w:rPr>
        <w:t>Needs and Barriers of Teen Mothers in Rural Eastern Uganda: Stakeholders’ Perceptions Regarding Maternal/Child Nutrition and Health</w:t>
      </w:r>
      <w:r>
        <w:rPr>
          <w:color w:val="000000"/>
          <w:sz w:val="20"/>
          <w:szCs w:val="20"/>
        </w:rPr>
        <w:t>. International Journal of Environmental Research and Public Health (2018)</w:t>
      </w:r>
    </w:p>
  </w:footnote>
  <w:footnote w:id="69">
    <w:p w14:paraId="0F8BFAB7" w14:textId="77777777" w:rsidR="00FF243A"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Nabugoomu J.,Seruwagi G et al. </w:t>
      </w:r>
      <w:r>
        <w:rPr>
          <w:i/>
          <w:color w:val="000000"/>
          <w:sz w:val="20"/>
          <w:szCs w:val="20"/>
        </w:rPr>
        <w:t>Needs and Barriers of Teen Mothers in Rural Eastern Uganda: Stakeholders’ Perceptions Regarding Maternal/Child Nutrition and Health</w:t>
      </w:r>
      <w:r>
        <w:rPr>
          <w:color w:val="000000"/>
          <w:sz w:val="20"/>
          <w:szCs w:val="20"/>
        </w:rPr>
        <w:t>. International Journal of Environmental Research and Public Health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B43E1"/>
    <w:multiLevelType w:val="multilevel"/>
    <w:tmpl w:val="92FC5FA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8B07A74"/>
    <w:multiLevelType w:val="multilevel"/>
    <w:tmpl w:val="11CCFBEE"/>
    <w:lvl w:ilvl="0">
      <w:start w:val="1"/>
      <w:numFmt w:val="decimal"/>
      <w:lvlText w:val="%1)"/>
      <w:lvlJc w:val="left"/>
      <w:pPr>
        <w:ind w:left="1080" w:hanging="360"/>
      </w:pPr>
    </w:lvl>
    <w:lvl w:ilvl="1">
      <w:start w:val="1"/>
      <w:numFmt w:val="decimal"/>
      <w:lvlText w:val="%2)"/>
      <w:lvlJc w:val="left"/>
      <w:pPr>
        <w:ind w:left="1800" w:hanging="360"/>
      </w:pPr>
    </w:lvl>
    <w:lvl w:ilvl="2">
      <w:start w:val="1"/>
      <w:numFmt w:val="lowerLetter"/>
      <w:lvlText w:val="%3)"/>
      <w:lvlJc w:val="right"/>
      <w:pPr>
        <w:ind w:left="2520" w:hanging="180"/>
      </w:pPr>
    </w:lvl>
    <w:lvl w:ilvl="3">
      <w:start w:val="1"/>
      <w:numFmt w:val="decimal"/>
      <w:lvlText w:val="%4."/>
      <w:lvlJc w:val="left"/>
      <w:pPr>
        <w:ind w:left="3240" w:hanging="360"/>
      </w:pPr>
    </w:lvl>
    <w:lvl w:ilvl="4">
      <w:start w:val="1"/>
      <w:numFmt w:val="lowerRoman"/>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EE50894"/>
    <w:multiLevelType w:val="multilevel"/>
    <w:tmpl w:val="6AE0938A"/>
    <w:lvl w:ilvl="0">
      <w:start w:val="1"/>
      <w:numFmt w:val="upperRoman"/>
      <w:lvlText w:val="%1."/>
      <w:lvlJc w:val="left"/>
      <w:pPr>
        <w:ind w:left="720" w:hanging="360"/>
      </w:pPr>
    </w:lvl>
    <w:lvl w:ilvl="1">
      <w:start w:val="1"/>
      <w:numFmt w:val="decimal"/>
      <w:lvlText w:val="%2)"/>
      <w:lvlJc w:val="left"/>
      <w:pPr>
        <w:ind w:left="1440" w:hanging="360"/>
      </w:pPr>
    </w:lvl>
    <w:lvl w:ilvl="2">
      <w:start w:val="1"/>
      <w:numFmt w:val="lowerLetter"/>
      <w:lvlText w:val="%3)"/>
      <w:lvlJc w:val="right"/>
      <w:pPr>
        <w:ind w:left="2160" w:hanging="180"/>
      </w:pPr>
    </w:lvl>
    <w:lvl w:ilvl="3">
      <w:start w:val="1"/>
      <w:numFmt w:val="decimal"/>
      <w:lvlText w:val="%4."/>
      <w:lvlJc w:val="left"/>
      <w:pPr>
        <w:ind w:left="2880" w:hanging="360"/>
      </w:pPr>
    </w:lvl>
    <w:lvl w:ilvl="4">
      <w:start w:val="1"/>
      <w:numFmt w:val="lowerRoman"/>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2C4B37"/>
    <w:multiLevelType w:val="multilevel"/>
    <w:tmpl w:val="81A070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8482570"/>
    <w:multiLevelType w:val="multilevel"/>
    <w:tmpl w:val="C1C2C89E"/>
    <w:lvl w:ilvl="0">
      <w:start w:val="1"/>
      <w:numFmt w:val="decimal"/>
      <w:lvlText w:val="%1)"/>
      <w:lvlJc w:val="left"/>
      <w:pPr>
        <w:ind w:left="1080" w:hanging="360"/>
      </w:pPr>
    </w:lvl>
    <w:lvl w:ilvl="1">
      <w:start w:val="1"/>
      <w:numFmt w:val="decimal"/>
      <w:lvlText w:val="%2)"/>
      <w:lvlJc w:val="left"/>
      <w:pPr>
        <w:ind w:left="1800" w:hanging="360"/>
      </w:pPr>
    </w:lvl>
    <w:lvl w:ilvl="2">
      <w:start w:val="1"/>
      <w:numFmt w:val="lowerLetter"/>
      <w:lvlText w:val="%3)"/>
      <w:lvlJc w:val="right"/>
      <w:pPr>
        <w:ind w:left="2520" w:hanging="180"/>
      </w:pPr>
    </w:lvl>
    <w:lvl w:ilvl="3">
      <w:start w:val="1"/>
      <w:numFmt w:val="decimal"/>
      <w:lvlText w:val="%4."/>
      <w:lvlJc w:val="left"/>
      <w:pPr>
        <w:ind w:left="3240" w:hanging="360"/>
      </w:pPr>
    </w:lvl>
    <w:lvl w:ilvl="4">
      <w:start w:val="1"/>
      <w:numFmt w:val="lowerRoman"/>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615598371">
    <w:abstractNumId w:val="0"/>
  </w:num>
  <w:num w:numId="2" w16cid:durableId="722558178">
    <w:abstractNumId w:val="1"/>
  </w:num>
  <w:num w:numId="3" w16cid:durableId="694771447">
    <w:abstractNumId w:val="4"/>
  </w:num>
  <w:num w:numId="4" w16cid:durableId="1654528097">
    <w:abstractNumId w:val="3"/>
  </w:num>
  <w:num w:numId="5" w16cid:durableId="613488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43A"/>
    <w:rsid w:val="001541D9"/>
    <w:rsid w:val="003A65DC"/>
    <w:rsid w:val="008109FE"/>
    <w:rsid w:val="008C6C26"/>
    <w:rsid w:val="00947A07"/>
    <w:rsid w:val="00D30CA8"/>
    <w:rsid w:val="00DF5901"/>
    <w:rsid w:val="00F9658D"/>
    <w:rsid w:val="00FF2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BFA3D"/>
  <w15:docId w15:val="{E27E8050-7D5C-49CA-A3FC-987533F55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9D3"/>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kern w:val="2"/>
      <w:szCs w:val="32"/>
      <w:u w:val="single"/>
    </w:rPr>
  </w:style>
  <w:style w:type="paragraph" w:styleId="Heading2">
    <w:name w:val="heading 2"/>
    <w:basedOn w:val="Normal"/>
    <w:next w:val="Normal"/>
    <w:link w:val="Heading2Char"/>
    <w:uiPriority w:val="9"/>
    <w:unhideWhenUsed/>
    <w:qFormat/>
    <w:rsid w:val="00A77121"/>
    <w:pPr>
      <w:keepNext/>
      <w:keepLines/>
      <w:spacing w:before="120"/>
      <w:outlineLvl w:val="1"/>
    </w:pPr>
    <w:rPr>
      <w:rFonts w:eastAsiaTheme="majorEastAsia" w:cstheme="majorBidi"/>
      <w:b/>
      <w:color w:val="1F3864" w:themeColor="accent1" w:themeShade="80"/>
      <w:kern w:val="2"/>
      <w:szCs w:val="26"/>
      <w:u w:val="single"/>
    </w:rPr>
  </w:style>
  <w:style w:type="paragraph" w:styleId="Heading3">
    <w:name w:val="heading 3"/>
    <w:basedOn w:val="Normal"/>
    <w:next w:val="Normal"/>
    <w:link w:val="Heading3Char"/>
    <w:uiPriority w:val="9"/>
    <w:semiHidden/>
    <w:unhideWhenUsed/>
    <w:qFormat/>
    <w:rsid w:val="00A77121"/>
    <w:pPr>
      <w:keepNext/>
      <w:keepLines/>
      <w:spacing w:before="40"/>
      <w:outlineLvl w:val="2"/>
    </w:pPr>
    <w:rPr>
      <w:rFonts w:eastAsiaTheme="majorEastAsia" w:cstheme="majorBidi"/>
      <w:b/>
      <w:color w:val="1F3864" w:themeColor="accent1" w:themeShade="80"/>
      <w:kern w:val="2"/>
      <w:szCs w:val="24"/>
    </w:rPr>
  </w:style>
  <w:style w:type="paragraph" w:styleId="Heading4">
    <w:name w:val="heading 4"/>
    <w:basedOn w:val="Normal"/>
    <w:next w:val="Normal"/>
    <w:link w:val="Heading4Char"/>
    <w:uiPriority w:val="9"/>
    <w:semiHidden/>
    <w:unhideWhenUsed/>
    <w:qFormat/>
    <w:rsid w:val="009973EE"/>
    <w:pPr>
      <w:keepNext/>
      <w:keepLines/>
      <w:outlineLvl w:val="3"/>
    </w:pPr>
    <w:rPr>
      <w:rFonts w:eastAsiaTheme="majorEastAsia" w:cstheme="majorBidi"/>
      <w:b/>
      <w:i/>
      <w:iCs/>
      <w:color w:val="1F3864" w:themeColor="accent1" w:themeShade="80"/>
      <w:kern w:val="2"/>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kern w:val="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9973EE"/>
    <w:rPr>
      <w:rFonts w:ascii="Palatino Linotype" w:eastAsiaTheme="majorEastAsia" w:hAnsi="Palatino Linotype" w:cstheme="majorBidi"/>
      <w:b/>
      <w:i/>
      <w:iCs/>
      <w:color w:val="1F3864" w:themeColor="accent1" w:themeShade="80"/>
      <w:sz w:val="24"/>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paragraph" w:styleId="FootnoteText">
    <w:name w:val="footnote text"/>
    <w:basedOn w:val="Normal"/>
    <w:link w:val="FootnoteTextChar"/>
    <w:uiPriority w:val="99"/>
    <w:semiHidden/>
    <w:unhideWhenUsed/>
    <w:rsid w:val="00462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26A8"/>
    <w:rPr>
      <w:rFonts w:ascii="Palatino Linotype" w:eastAsia="Palatino Linotype" w:hAnsi="Palatino Linotype" w:cs="Palatino Linotype"/>
      <w:kern w:val="0"/>
      <w:sz w:val="20"/>
      <w:szCs w:val="20"/>
    </w:rPr>
  </w:style>
  <w:style w:type="character" w:styleId="FootnoteReference">
    <w:name w:val="footnote reference"/>
    <w:basedOn w:val="DefaultParagraphFont"/>
    <w:uiPriority w:val="99"/>
    <w:semiHidden/>
    <w:unhideWhenUsed/>
    <w:rsid w:val="004626A8"/>
    <w:rPr>
      <w:vertAlign w:val="superscript"/>
    </w:rPr>
  </w:style>
  <w:style w:type="paragraph" w:styleId="ListParagraph">
    <w:name w:val="List Paragraph"/>
    <w:basedOn w:val="Normal"/>
    <w:uiPriority w:val="34"/>
    <w:qFormat/>
    <w:rsid w:val="002C758E"/>
    <w:pPr>
      <w:ind w:left="720"/>
      <w:contextualSpacing/>
    </w:pPr>
  </w:style>
  <w:style w:type="paragraph" w:styleId="Header">
    <w:name w:val="header"/>
    <w:basedOn w:val="Normal"/>
    <w:link w:val="HeaderChar"/>
    <w:uiPriority w:val="99"/>
    <w:semiHidden/>
    <w:unhideWhenUsed/>
    <w:rsid w:val="00B814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1423"/>
    <w:rPr>
      <w:rFonts w:ascii="Palatino Linotype" w:eastAsia="Palatino Linotype" w:hAnsi="Palatino Linotype" w:cs="Palatino Linotype"/>
      <w:kern w:val="0"/>
    </w:rPr>
  </w:style>
  <w:style w:type="paragraph" w:styleId="Footer">
    <w:name w:val="footer"/>
    <w:basedOn w:val="Normal"/>
    <w:link w:val="FooterChar"/>
    <w:uiPriority w:val="99"/>
    <w:semiHidden/>
    <w:unhideWhenUsed/>
    <w:rsid w:val="00B814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1423"/>
    <w:rPr>
      <w:rFonts w:ascii="Palatino Linotype" w:eastAsia="Palatino Linotype" w:hAnsi="Palatino Linotype" w:cs="Palatino Linotype"/>
      <w:kern w:val="0"/>
    </w:rPr>
  </w:style>
  <w:style w:type="paragraph" w:styleId="Revision">
    <w:name w:val="Revision"/>
    <w:hidden/>
    <w:uiPriority w:val="99"/>
    <w:semiHidden/>
    <w:rsid w:val="003B772F"/>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xRV3Nx/E1cS9go4MpqXsqdIBFw==">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3814</Words>
  <Characters>21746</Characters>
  <Application>Microsoft Office Word</Application>
  <DocSecurity>0</DocSecurity>
  <Lines>181</Lines>
  <Paragraphs>51</Paragraphs>
  <ScaleCrop>false</ScaleCrop>
  <Company/>
  <LinksUpToDate>false</LinksUpToDate>
  <CharactersWithSpaces>25509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8</cp:revision>
  <dcterms:created xsi:type="dcterms:W3CDTF">2023-05-28T16:39:00Z</dcterms:created>
  <dcterms:modified xsi:type="dcterms:W3CDTF">2023-05-29T15:05:00Z</dcterms:modified>
</cp:coreProperties>
</file>