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CDF" w:rsidRPr="00972CDF" w:rsidRDefault="00972CDF" w:rsidP="00972CDF">
      <w:pPr>
        <w:rPr>
          <w:rFonts w:ascii="Verdana" w:hAnsi="Verdana"/>
        </w:rPr>
      </w:pPr>
      <w:bookmarkStart w:id="0" w:name="_GoBack"/>
      <w:bookmarkEnd w:id="0"/>
    </w:p>
    <w:p w:rsidR="00972CDF" w:rsidRPr="00972CDF" w:rsidRDefault="00972CDF" w:rsidP="00972CDF">
      <w:pPr>
        <w:spacing w:after="200"/>
        <w:rPr>
          <w:rFonts w:ascii="Verdana" w:hAnsi="Verdana"/>
          <w:b/>
          <w:color w:val="000000" w:themeColor="text1"/>
        </w:rPr>
      </w:pPr>
    </w:p>
    <w:p w:rsidR="00972CDF" w:rsidRPr="00972CDF" w:rsidRDefault="00972CDF" w:rsidP="00972CDF">
      <w:pPr>
        <w:spacing w:after="200"/>
        <w:rPr>
          <w:rFonts w:ascii="Verdana" w:hAnsi="Verdana"/>
          <w:b/>
          <w:color w:val="000000" w:themeColor="text1"/>
        </w:rPr>
      </w:pPr>
    </w:p>
    <w:p w:rsidR="00972CDF" w:rsidRPr="00972CDF" w:rsidRDefault="00972CDF" w:rsidP="00972CDF">
      <w:pPr>
        <w:spacing w:after="200"/>
        <w:rPr>
          <w:rFonts w:ascii="Verdana" w:hAnsi="Verdana"/>
          <w:b/>
          <w:color w:val="000000" w:themeColor="text1"/>
        </w:rPr>
      </w:pPr>
      <w:r w:rsidRPr="00972CDF">
        <w:rPr>
          <w:rFonts w:ascii="Verdana" w:hAnsi="Verdana"/>
          <w:b/>
          <w:color w:val="000000" w:themeColor="text1"/>
        </w:rPr>
        <w:t>TURKEY</w:t>
      </w:r>
    </w:p>
    <w:p w:rsidR="00972CDF" w:rsidRPr="00972CDF" w:rsidRDefault="00972CDF" w:rsidP="00972CDF">
      <w:pPr>
        <w:spacing w:after="200"/>
        <w:rPr>
          <w:rFonts w:ascii="Verdana" w:hAnsi="Verdana"/>
          <w:b/>
          <w:color w:val="000000" w:themeColor="text1"/>
        </w:rPr>
      </w:pPr>
    </w:p>
    <w:p w:rsidR="00972CDF" w:rsidRPr="00972CDF" w:rsidRDefault="00972CDF" w:rsidP="00972CDF">
      <w:pPr>
        <w:spacing w:after="200"/>
        <w:rPr>
          <w:rFonts w:ascii="Verdana" w:hAnsi="Verdana"/>
          <w:b/>
          <w:color w:val="000000" w:themeColor="text1"/>
        </w:rPr>
      </w:pPr>
      <w:r w:rsidRPr="00972CDF">
        <w:rPr>
          <w:rFonts w:ascii="Verdana" w:hAnsi="Verdana"/>
          <w:b/>
          <w:color w:val="000000" w:themeColor="text1"/>
        </w:rPr>
        <w:t>Submission to the United Nations Committee on the Rights of Persons with Disabilities</w:t>
      </w:r>
    </w:p>
    <w:p w:rsidR="00972CDF" w:rsidRPr="00972CDF" w:rsidRDefault="00972CDF" w:rsidP="00972CDF">
      <w:pPr>
        <w:spacing w:after="200"/>
        <w:rPr>
          <w:rFonts w:ascii="Verdana" w:hAnsi="Verdana"/>
          <w:b/>
          <w:color w:val="000000" w:themeColor="text1"/>
        </w:rPr>
      </w:pPr>
      <w:r w:rsidRPr="00972CDF">
        <w:rPr>
          <w:rFonts w:ascii="Verdana" w:hAnsi="Verdana"/>
          <w:b/>
          <w:color w:val="000000" w:themeColor="text1"/>
        </w:rPr>
        <w:t>(CRPD)</w:t>
      </w:r>
    </w:p>
    <w:p w:rsidR="00972CDF" w:rsidRPr="00972CDF" w:rsidRDefault="00972CDF" w:rsidP="00972CDF">
      <w:pPr>
        <w:spacing w:after="200"/>
        <w:rPr>
          <w:rFonts w:ascii="Verdana" w:hAnsi="Verdana"/>
          <w:b/>
          <w:color w:val="000000" w:themeColor="text1"/>
        </w:rPr>
      </w:pPr>
    </w:p>
    <w:p w:rsidR="00972CDF" w:rsidRPr="00972CDF" w:rsidRDefault="00972CDF" w:rsidP="00972CDF">
      <w:pPr>
        <w:spacing w:after="200"/>
        <w:rPr>
          <w:rFonts w:ascii="Verdana" w:hAnsi="Verdana"/>
          <w:b/>
          <w:color w:val="000000" w:themeColor="text1"/>
        </w:rPr>
      </w:pPr>
      <w:r w:rsidRPr="00972CDF">
        <w:rPr>
          <w:rFonts w:ascii="Verdana" w:hAnsi="Verdana"/>
          <w:b/>
          <w:color w:val="000000" w:themeColor="text1"/>
        </w:rPr>
        <w:t xml:space="preserve"> 21st Session (11 Mar 2019 - 05 Apr 2019)</w:t>
      </w:r>
      <w:r w:rsidRPr="00972CDF" w:rsidDel="004340B6">
        <w:rPr>
          <w:rFonts w:ascii="Verdana" w:hAnsi="Verdana"/>
          <w:b/>
          <w:color w:val="000000" w:themeColor="text1"/>
        </w:rPr>
        <w:t xml:space="preserve"> </w:t>
      </w:r>
    </w:p>
    <w:p w:rsidR="00972CDF" w:rsidRPr="00972CDF" w:rsidRDefault="00972CDF" w:rsidP="00972CDF">
      <w:pPr>
        <w:spacing w:after="200"/>
        <w:rPr>
          <w:rFonts w:ascii="Verdana" w:hAnsi="Verdana"/>
          <w:b/>
          <w:color w:val="000000" w:themeColor="text1"/>
        </w:rPr>
      </w:pPr>
    </w:p>
    <w:p w:rsidR="00972CDF" w:rsidRPr="00972CDF" w:rsidRDefault="00972CDF" w:rsidP="00972CDF">
      <w:pPr>
        <w:pStyle w:val="Default"/>
        <w:rPr>
          <w:rFonts w:ascii="Verdana" w:hAnsi="Verdana"/>
          <w:sz w:val="22"/>
          <w:szCs w:val="22"/>
        </w:rPr>
      </w:pPr>
    </w:p>
    <w:p w:rsidR="00972CDF" w:rsidRPr="00972CDF" w:rsidRDefault="00972CDF" w:rsidP="00972CDF">
      <w:pPr>
        <w:spacing w:after="200"/>
        <w:rPr>
          <w:rFonts w:ascii="Verdana" w:hAnsi="Verdana"/>
          <w:b/>
          <w:color w:val="000000" w:themeColor="text1"/>
        </w:rPr>
      </w:pPr>
      <w:r w:rsidRPr="00972CDF">
        <w:rPr>
          <w:rFonts w:ascii="Verdana" w:hAnsi="Verdana"/>
          <w:b/>
          <w:color w:val="000000" w:themeColor="text1"/>
        </w:rPr>
        <w:t xml:space="preserve">Submission by: Network for the Rights of Children with Disabilities (EÇHA - Engelli Çocuk Hakları Ağı) </w:t>
      </w:r>
    </w:p>
    <w:p w:rsidR="00972CDF" w:rsidRPr="00972CDF" w:rsidRDefault="00972CDF" w:rsidP="00972CDF">
      <w:pPr>
        <w:spacing w:after="200"/>
        <w:rPr>
          <w:rFonts w:ascii="Verdana" w:hAnsi="Verdana"/>
          <w:b/>
          <w:color w:val="000000" w:themeColor="text1"/>
        </w:rPr>
      </w:pPr>
      <w:r w:rsidRPr="00972CDF">
        <w:rPr>
          <w:rFonts w:ascii="Verdana" w:hAnsi="Verdana"/>
          <w:b/>
          <w:color w:val="000000" w:themeColor="text1"/>
        </w:rPr>
        <w:t xml:space="preserve">Details of EÇHA: </w:t>
      </w:r>
    </w:p>
    <w:p w:rsidR="00972CDF" w:rsidRPr="00972CDF" w:rsidRDefault="00972CDF" w:rsidP="00972CDF">
      <w:pPr>
        <w:spacing w:after="200"/>
        <w:rPr>
          <w:rFonts w:ascii="Verdana" w:hAnsi="Verdana"/>
          <w:b/>
          <w:color w:val="000000" w:themeColor="text1"/>
        </w:rPr>
      </w:pPr>
      <w:r w:rsidRPr="00972CDF">
        <w:rPr>
          <w:rFonts w:ascii="Verdana" w:hAnsi="Verdana"/>
          <w:b/>
          <w:color w:val="000000" w:themeColor="text1"/>
        </w:rPr>
        <w:t xml:space="preserve">Address : Tohum Otizm Vakfı Merkez Mahallesi, Sıracevizler Caddesi, Zülfikarlar İş Hanı, </w:t>
      </w:r>
    </w:p>
    <w:p w:rsidR="00972CDF" w:rsidRPr="00972CDF" w:rsidRDefault="00972CDF" w:rsidP="00972CDF">
      <w:pPr>
        <w:spacing w:after="200"/>
        <w:rPr>
          <w:rFonts w:ascii="Verdana" w:hAnsi="Verdana"/>
          <w:b/>
          <w:color w:val="000000" w:themeColor="text1"/>
        </w:rPr>
      </w:pPr>
      <w:r w:rsidRPr="00972CDF">
        <w:rPr>
          <w:rFonts w:ascii="Verdana" w:hAnsi="Verdana"/>
          <w:b/>
          <w:color w:val="000000" w:themeColor="text1"/>
        </w:rPr>
        <w:t xml:space="preserve">No: 27 Kat: 3 34381 Şişli / İstanbul / TURKEY </w:t>
      </w:r>
    </w:p>
    <w:p w:rsidR="00972CDF" w:rsidRPr="00972CDF" w:rsidRDefault="00972CDF" w:rsidP="00972CDF">
      <w:pPr>
        <w:spacing w:after="200"/>
        <w:rPr>
          <w:rFonts w:ascii="Verdana" w:hAnsi="Verdana"/>
          <w:b/>
          <w:color w:val="000000" w:themeColor="text1"/>
        </w:rPr>
      </w:pPr>
      <w:r w:rsidRPr="00972CDF">
        <w:rPr>
          <w:rFonts w:ascii="Verdana" w:hAnsi="Verdana"/>
          <w:b/>
          <w:color w:val="000000" w:themeColor="text1"/>
        </w:rPr>
        <w:t xml:space="preserve">Phone : +90 212 244 75 00 </w:t>
      </w:r>
    </w:p>
    <w:p w:rsidR="00972CDF" w:rsidRPr="00972CDF" w:rsidRDefault="00972CDF" w:rsidP="00972CDF">
      <w:pPr>
        <w:spacing w:after="200"/>
        <w:rPr>
          <w:rFonts w:ascii="Verdana" w:hAnsi="Verdana"/>
          <w:b/>
          <w:color w:val="000000" w:themeColor="text1"/>
        </w:rPr>
      </w:pPr>
      <w:r w:rsidRPr="00972CDF">
        <w:rPr>
          <w:rFonts w:ascii="Verdana" w:hAnsi="Verdana"/>
          <w:b/>
          <w:color w:val="000000" w:themeColor="text1"/>
        </w:rPr>
        <w:lastRenderedPageBreak/>
        <w:t xml:space="preserve">E-mail : sekretarya@echa.org.tr / engellicocukhaklariagi@gmail.com </w:t>
      </w:r>
    </w:p>
    <w:p w:rsidR="00972CDF" w:rsidRPr="00972CDF" w:rsidRDefault="00972CDF" w:rsidP="00972CDF">
      <w:pPr>
        <w:spacing w:after="200"/>
        <w:rPr>
          <w:rFonts w:ascii="Verdana" w:hAnsi="Verdana"/>
          <w:b/>
          <w:color w:val="000000" w:themeColor="text1"/>
        </w:rPr>
      </w:pPr>
      <w:r w:rsidRPr="00972CDF">
        <w:rPr>
          <w:rFonts w:ascii="Verdana" w:hAnsi="Verdana"/>
          <w:b/>
          <w:color w:val="000000" w:themeColor="text1"/>
        </w:rPr>
        <w:t xml:space="preserve">Web : http://www.echa.org.tr/ </w:t>
      </w:r>
    </w:p>
    <w:p w:rsidR="00972CDF" w:rsidRPr="00972CDF" w:rsidRDefault="00972CDF" w:rsidP="00972CDF">
      <w:pPr>
        <w:spacing w:after="200"/>
        <w:rPr>
          <w:rFonts w:ascii="Verdana" w:hAnsi="Verdana"/>
          <w:b/>
          <w:color w:val="000000" w:themeColor="text1"/>
        </w:rPr>
      </w:pPr>
      <w:r w:rsidRPr="00972CDF">
        <w:rPr>
          <w:rFonts w:ascii="Verdana" w:hAnsi="Verdana"/>
          <w:b/>
          <w:color w:val="000000" w:themeColor="text1"/>
        </w:rPr>
        <w:t xml:space="preserve">Contact : Mrs. Özgül Gürel / +90 530 516 23 52 / ozgul.gurel@tohumotizm.org.tr </w:t>
      </w: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r w:rsidRPr="00972CDF">
        <w:rPr>
          <w:rFonts w:ascii="Verdana" w:hAnsi="Verdana"/>
        </w:rPr>
        <w:tab/>
        <w:t>NGOs / DPO included in the Network fort he Rights of Disabled Children</w:t>
      </w:r>
    </w:p>
    <w:p w:rsidR="00972CDF" w:rsidRPr="00972CDF" w:rsidRDefault="00972CDF" w:rsidP="00972CDF">
      <w:pPr>
        <w:rPr>
          <w:rFonts w:ascii="Verdana" w:hAnsi="Verdana"/>
        </w:rPr>
      </w:pPr>
      <w:r w:rsidRPr="00972CDF">
        <w:rPr>
          <w:rFonts w:ascii="Verdana" w:hAnsi="Verdana"/>
        </w:rPr>
        <w:t>1</w:t>
      </w:r>
      <w:r w:rsidRPr="00972CDF">
        <w:rPr>
          <w:rFonts w:ascii="Verdana" w:hAnsi="Verdana"/>
        </w:rPr>
        <w:tab/>
        <w:t>Adıyaman Association for Persons with Down Syndrome</w:t>
      </w:r>
    </w:p>
    <w:p w:rsidR="00972CDF" w:rsidRPr="00972CDF" w:rsidRDefault="00972CDF" w:rsidP="00972CDF">
      <w:pPr>
        <w:rPr>
          <w:rFonts w:ascii="Verdana" w:hAnsi="Verdana"/>
        </w:rPr>
      </w:pPr>
      <w:r w:rsidRPr="00972CDF">
        <w:rPr>
          <w:rFonts w:ascii="Verdana" w:hAnsi="Verdana"/>
        </w:rPr>
        <w:t>2</w:t>
      </w:r>
      <w:r w:rsidRPr="00972CDF">
        <w:rPr>
          <w:rFonts w:ascii="Verdana" w:hAnsi="Verdana"/>
        </w:rPr>
        <w:tab/>
        <w:t xml:space="preserve">Association for Albinism </w:t>
      </w:r>
    </w:p>
    <w:p w:rsidR="00972CDF" w:rsidRPr="00972CDF" w:rsidRDefault="00972CDF" w:rsidP="00972CDF">
      <w:pPr>
        <w:rPr>
          <w:rFonts w:ascii="Verdana" w:hAnsi="Verdana"/>
        </w:rPr>
      </w:pPr>
      <w:r w:rsidRPr="00972CDF">
        <w:rPr>
          <w:rFonts w:ascii="Verdana" w:hAnsi="Verdana"/>
        </w:rPr>
        <w:t>3</w:t>
      </w:r>
      <w:r w:rsidRPr="00972CDF">
        <w:rPr>
          <w:rFonts w:ascii="Verdana" w:hAnsi="Verdana"/>
        </w:rPr>
        <w:tab/>
        <w:t>Association for Life with Allergies</w:t>
      </w:r>
    </w:p>
    <w:p w:rsidR="00972CDF" w:rsidRPr="00972CDF" w:rsidRDefault="00972CDF" w:rsidP="00972CDF">
      <w:pPr>
        <w:rPr>
          <w:rFonts w:ascii="Verdana" w:hAnsi="Verdana"/>
        </w:rPr>
      </w:pPr>
      <w:r w:rsidRPr="00972CDF">
        <w:rPr>
          <w:rFonts w:ascii="Verdana" w:hAnsi="Verdana"/>
        </w:rPr>
        <w:lastRenderedPageBreak/>
        <w:t>4</w:t>
      </w:r>
      <w:r w:rsidRPr="00972CDF">
        <w:rPr>
          <w:rFonts w:ascii="Verdana" w:hAnsi="Verdana"/>
        </w:rPr>
        <w:tab/>
        <w:t>Association for Alternative Life</w:t>
      </w:r>
    </w:p>
    <w:p w:rsidR="00972CDF" w:rsidRPr="00972CDF" w:rsidRDefault="00972CDF" w:rsidP="00972CDF">
      <w:pPr>
        <w:rPr>
          <w:rFonts w:ascii="Verdana" w:hAnsi="Verdana"/>
        </w:rPr>
      </w:pPr>
      <w:r w:rsidRPr="00972CDF">
        <w:rPr>
          <w:rFonts w:ascii="Verdana" w:hAnsi="Verdana"/>
        </w:rPr>
        <w:t>5</w:t>
      </w:r>
      <w:r w:rsidRPr="00972CDF">
        <w:rPr>
          <w:rFonts w:ascii="Verdana" w:hAnsi="Verdana"/>
        </w:rPr>
        <w:tab/>
        <w:t>Anatolian Autism Federation</w:t>
      </w:r>
    </w:p>
    <w:p w:rsidR="00972CDF" w:rsidRPr="00972CDF" w:rsidRDefault="00972CDF" w:rsidP="00972CDF">
      <w:pPr>
        <w:rPr>
          <w:rFonts w:ascii="Verdana" w:hAnsi="Verdana"/>
        </w:rPr>
      </w:pPr>
      <w:r w:rsidRPr="00972CDF">
        <w:rPr>
          <w:rFonts w:ascii="Verdana" w:hAnsi="Verdana"/>
        </w:rPr>
        <w:t>6</w:t>
      </w:r>
      <w:r w:rsidRPr="00972CDF">
        <w:rPr>
          <w:rFonts w:ascii="Verdana" w:hAnsi="Verdana"/>
        </w:rPr>
        <w:tab/>
        <w:t>Eurasia Association for Special Children Youth and Sports Club</w:t>
      </w:r>
    </w:p>
    <w:p w:rsidR="00972CDF" w:rsidRPr="00972CDF" w:rsidRDefault="00972CDF" w:rsidP="00972CDF">
      <w:pPr>
        <w:rPr>
          <w:rFonts w:ascii="Verdana" w:hAnsi="Verdana"/>
        </w:rPr>
      </w:pPr>
      <w:r w:rsidRPr="00972CDF">
        <w:rPr>
          <w:rFonts w:ascii="Verdana" w:hAnsi="Verdana"/>
        </w:rPr>
        <w:t>7</w:t>
      </w:r>
      <w:r w:rsidRPr="00972CDF">
        <w:rPr>
          <w:rFonts w:ascii="Verdana" w:hAnsi="Verdana"/>
        </w:rPr>
        <w:tab/>
        <w:t xml:space="preserve">Bartın Association for Support Education for Disabled and Persons with Autism </w:t>
      </w:r>
    </w:p>
    <w:p w:rsidR="00972CDF" w:rsidRPr="00972CDF" w:rsidRDefault="00972CDF" w:rsidP="00972CDF">
      <w:pPr>
        <w:rPr>
          <w:rFonts w:ascii="Verdana" w:hAnsi="Verdana"/>
        </w:rPr>
      </w:pPr>
      <w:r w:rsidRPr="00972CDF">
        <w:rPr>
          <w:rFonts w:ascii="Verdana" w:hAnsi="Verdana"/>
        </w:rPr>
        <w:t>8</w:t>
      </w:r>
      <w:r w:rsidRPr="00972CDF">
        <w:rPr>
          <w:rFonts w:ascii="Verdana" w:hAnsi="Verdana"/>
        </w:rPr>
        <w:tab/>
        <w:t xml:space="preserve">A-Drop-of-Blood Association for Thalassaemia </w:t>
      </w:r>
    </w:p>
    <w:p w:rsidR="00972CDF" w:rsidRPr="00972CDF" w:rsidRDefault="00972CDF" w:rsidP="00972CDF">
      <w:pPr>
        <w:rPr>
          <w:rFonts w:ascii="Verdana" w:hAnsi="Verdana"/>
        </w:rPr>
      </w:pPr>
      <w:r w:rsidRPr="00972CDF">
        <w:rPr>
          <w:rFonts w:ascii="Verdana" w:hAnsi="Verdana"/>
        </w:rPr>
        <w:t>9</w:t>
      </w:r>
      <w:r w:rsidRPr="00972CDF">
        <w:rPr>
          <w:rFonts w:ascii="Verdana" w:hAnsi="Verdana"/>
        </w:rPr>
        <w:tab/>
        <w:t xml:space="preserve">Association for Children with Bionic Ears and Social Solidarity </w:t>
      </w:r>
    </w:p>
    <w:p w:rsidR="00972CDF" w:rsidRPr="00972CDF" w:rsidRDefault="00972CDF" w:rsidP="00972CDF">
      <w:pPr>
        <w:rPr>
          <w:rFonts w:ascii="Verdana" w:hAnsi="Verdana"/>
        </w:rPr>
      </w:pPr>
      <w:r w:rsidRPr="00972CDF">
        <w:rPr>
          <w:rFonts w:ascii="Verdana" w:hAnsi="Verdana"/>
        </w:rPr>
        <w:t>10</w:t>
      </w:r>
      <w:r w:rsidRPr="00972CDF">
        <w:rPr>
          <w:rFonts w:ascii="Verdana" w:hAnsi="Verdana"/>
        </w:rPr>
        <w:tab/>
        <w:t xml:space="preserve">Bursa Association for Down Fraternity  </w:t>
      </w:r>
    </w:p>
    <w:p w:rsidR="00972CDF" w:rsidRPr="00972CDF" w:rsidRDefault="00972CDF" w:rsidP="00972CDF">
      <w:pPr>
        <w:rPr>
          <w:rFonts w:ascii="Verdana" w:hAnsi="Verdana"/>
        </w:rPr>
      </w:pPr>
      <w:r w:rsidRPr="00972CDF">
        <w:rPr>
          <w:rFonts w:ascii="Verdana" w:hAnsi="Verdana"/>
        </w:rPr>
        <w:t>11</w:t>
      </w:r>
      <w:r w:rsidRPr="00972CDF">
        <w:rPr>
          <w:rFonts w:ascii="Verdana" w:hAnsi="Verdana"/>
        </w:rPr>
        <w:tab/>
        <w:t xml:space="preserve">Bursa Association for Autism </w:t>
      </w:r>
    </w:p>
    <w:p w:rsidR="00972CDF" w:rsidRPr="00972CDF" w:rsidRDefault="00972CDF" w:rsidP="00972CDF">
      <w:pPr>
        <w:rPr>
          <w:rFonts w:ascii="Verdana" w:hAnsi="Verdana"/>
        </w:rPr>
      </w:pPr>
      <w:r w:rsidRPr="00972CDF">
        <w:rPr>
          <w:rFonts w:ascii="Verdana" w:hAnsi="Verdana"/>
        </w:rPr>
        <w:t>12</w:t>
      </w:r>
      <w:r w:rsidRPr="00972CDF">
        <w:rPr>
          <w:rFonts w:ascii="Verdana" w:hAnsi="Verdana"/>
        </w:rPr>
        <w:tab/>
        <w:t>Bursa Association for Individuals with Autism and Their Families and Social Solidarity</w:t>
      </w:r>
    </w:p>
    <w:p w:rsidR="00972CDF" w:rsidRPr="00972CDF" w:rsidRDefault="00972CDF" w:rsidP="00972CDF">
      <w:pPr>
        <w:rPr>
          <w:rFonts w:ascii="Verdana" w:hAnsi="Verdana"/>
        </w:rPr>
      </w:pPr>
      <w:r w:rsidRPr="00972CDF">
        <w:rPr>
          <w:rFonts w:ascii="Verdana" w:hAnsi="Verdana"/>
        </w:rPr>
        <w:t>13</w:t>
      </w:r>
      <w:r w:rsidRPr="00972CDF">
        <w:rPr>
          <w:rFonts w:ascii="Verdana" w:hAnsi="Verdana"/>
        </w:rPr>
        <w:tab/>
        <w:t>Bursa Rehabilitation Foundation for Spastic Individuals</w:t>
      </w:r>
    </w:p>
    <w:p w:rsidR="00972CDF" w:rsidRPr="00972CDF" w:rsidRDefault="00972CDF" w:rsidP="00972CDF">
      <w:pPr>
        <w:rPr>
          <w:rFonts w:ascii="Verdana" w:hAnsi="Verdana"/>
        </w:rPr>
      </w:pPr>
      <w:r w:rsidRPr="00972CDF">
        <w:rPr>
          <w:rFonts w:ascii="Verdana" w:hAnsi="Verdana"/>
        </w:rPr>
        <w:t>14</w:t>
      </w:r>
      <w:r w:rsidRPr="00972CDF">
        <w:rPr>
          <w:rFonts w:ascii="Verdana" w:hAnsi="Verdana"/>
        </w:rPr>
        <w:tab/>
        <w:t>Association for Civil Society in Penal System</w:t>
      </w:r>
    </w:p>
    <w:p w:rsidR="00972CDF" w:rsidRPr="00972CDF" w:rsidRDefault="00972CDF" w:rsidP="00972CDF">
      <w:pPr>
        <w:rPr>
          <w:rFonts w:ascii="Verdana" w:hAnsi="Verdana"/>
        </w:rPr>
      </w:pPr>
      <w:r w:rsidRPr="00972CDF">
        <w:rPr>
          <w:rFonts w:ascii="Verdana" w:hAnsi="Verdana"/>
        </w:rPr>
        <w:t>15</w:t>
      </w:r>
      <w:r w:rsidRPr="00972CDF">
        <w:rPr>
          <w:rFonts w:ascii="Verdana" w:hAnsi="Verdana"/>
        </w:rPr>
        <w:tab/>
        <w:t>Federation for Disabled Ones by Democracy</w:t>
      </w:r>
    </w:p>
    <w:p w:rsidR="00972CDF" w:rsidRPr="00972CDF" w:rsidRDefault="00972CDF" w:rsidP="00972CDF">
      <w:pPr>
        <w:rPr>
          <w:rFonts w:ascii="Verdana" w:hAnsi="Verdana"/>
        </w:rPr>
      </w:pPr>
      <w:r w:rsidRPr="00972CDF">
        <w:rPr>
          <w:rFonts w:ascii="Verdana" w:hAnsi="Verdana"/>
        </w:rPr>
        <w:t>16</w:t>
      </w:r>
      <w:r w:rsidRPr="00972CDF">
        <w:rPr>
          <w:rFonts w:ascii="Verdana" w:hAnsi="Verdana"/>
        </w:rPr>
        <w:tab/>
        <w:t>Denizli Association for Autism</w:t>
      </w:r>
    </w:p>
    <w:p w:rsidR="00972CDF" w:rsidRPr="00972CDF" w:rsidRDefault="00972CDF" w:rsidP="00972CDF">
      <w:pPr>
        <w:rPr>
          <w:rFonts w:ascii="Verdana" w:hAnsi="Verdana"/>
        </w:rPr>
      </w:pPr>
      <w:r w:rsidRPr="00972CDF">
        <w:rPr>
          <w:rFonts w:ascii="Verdana" w:hAnsi="Verdana"/>
        </w:rPr>
        <w:t>17</w:t>
      </w:r>
      <w:r w:rsidRPr="00972CDF">
        <w:rPr>
          <w:rFonts w:ascii="Verdana" w:hAnsi="Verdana"/>
        </w:rPr>
        <w:tab/>
        <w:t>Dicle Association for Visually Impaired Individuals</w:t>
      </w:r>
    </w:p>
    <w:p w:rsidR="00972CDF" w:rsidRPr="00972CDF" w:rsidRDefault="00972CDF" w:rsidP="00972CDF">
      <w:pPr>
        <w:rPr>
          <w:rFonts w:ascii="Verdana" w:hAnsi="Verdana"/>
        </w:rPr>
      </w:pPr>
      <w:r w:rsidRPr="00972CDF">
        <w:rPr>
          <w:rFonts w:ascii="Verdana" w:hAnsi="Verdana"/>
        </w:rPr>
        <w:t>18</w:t>
      </w:r>
      <w:r w:rsidRPr="00972CDF">
        <w:rPr>
          <w:rFonts w:ascii="Verdana" w:hAnsi="Verdana"/>
        </w:rPr>
        <w:tab/>
        <w:t>Association for Dyslexia and Learning Disabilities</w:t>
      </w:r>
    </w:p>
    <w:p w:rsidR="00972CDF" w:rsidRPr="00972CDF" w:rsidRDefault="00972CDF" w:rsidP="00972CDF">
      <w:pPr>
        <w:rPr>
          <w:rFonts w:ascii="Verdana" w:hAnsi="Verdana"/>
        </w:rPr>
      </w:pPr>
      <w:r w:rsidRPr="00972CDF">
        <w:rPr>
          <w:rFonts w:ascii="Verdana" w:hAnsi="Verdana"/>
        </w:rPr>
        <w:t>19</w:t>
      </w:r>
      <w:r w:rsidRPr="00972CDF">
        <w:rPr>
          <w:rFonts w:ascii="Verdana" w:hAnsi="Verdana"/>
        </w:rPr>
        <w:tab/>
        <w:t>Diyarbakır Association for Visually Impaired Individuals and Sports Club</w:t>
      </w:r>
    </w:p>
    <w:p w:rsidR="00972CDF" w:rsidRPr="00972CDF" w:rsidRDefault="00972CDF" w:rsidP="00972CDF">
      <w:pPr>
        <w:rPr>
          <w:rFonts w:ascii="Verdana" w:hAnsi="Verdana"/>
        </w:rPr>
      </w:pPr>
      <w:r w:rsidRPr="00972CDF">
        <w:rPr>
          <w:rFonts w:ascii="Verdana" w:hAnsi="Verdana"/>
        </w:rPr>
        <w:lastRenderedPageBreak/>
        <w:t>20</w:t>
      </w:r>
      <w:r w:rsidRPr="00972CDF">
        <w:rPr>
          <w:rFonts w:ascii="Verdana" w:hAnsi="Verdana"/>
        </w:rPr>
        <w:tab/>
        <w:t>East Mediterranean Federation for Associations of Disabled Persons</w:t>
      </w:r>
    </w:p>
    <w:p w:rsidR="00972CDF" w:rsidRPr="00972CDF" w:rsidRDefault="00972CDF" w:rsidP="00972CDF">
      <w:pPr>
        <w:rPr>
          <w:rFonts w:ascii="Verdana" w:hAnsi="Verdana"/>
        </w:rPr>
      </w:pPr>
      <w:r w:rsidRPr="00972CDF">
        <w:rPr>
          <w:rFonts w:ascii="Verdana" w:hAnsi="Verdana"/>
        </w:rPr>
        <w:t>21</w:t>
      </w:r>
      <w:r w:rsidRPr="00972CDF">
        <w:rPr>
          <w:rFonts w:ascii="Verdana" w:hAnsi="Verdana"/>
        </w:rPr>
        <w:tab/>
        <w:t>Associations for Angels of Down Syndrome</w:t>
      </w:r>
    </w:p>
    <w:p w:rsidR="00972CDF" w:rsidRPr="00972CDF" w:rsidRDefault="00972CDF" w:rsidP="00972CDF">
      <w:pPr>
        <w:rPr>
          <w:rFonts w:ascii="Verdana" w:hAnsi="Verdana"/>
        </w:rPr>
      </w:pPr>
      <w:r w:rsidRPr="00972CDF">
        <w:rPr>
          <w:rFonts w:ascii="Verdana" w:hAnsi="Verdana"/>
        </w:rPr>
        <w:t>22</w:t>
      </w:r>
      <w:r w:rsidRPr="00972CDF">
        <w:rPr>
          <w:rFonts w:ascii="Verdana" w:hAnsi="Verdana"/>
        </w:rPr>
        <w:tab/>
        <w:t xml:space="preserve">Association for Down Syndrome </w:t>
      </w:r>
    </w:p>
    <w:p w:rsidR="00972CDF" w:rsidRPr="00972CDF" w:rsidRDefault="00972CDF" w:rsidP="00972CDF">
      <w:pPr>
        <w:rPr>
          <w:rFonts w:ascii="Verdana" w:hAnsi="Verdana"/>
        </w:rPr>
      </w:pPr>
      <w:r w:rsidRPr="00972CDF">
        <w:rPr>
          <w:rFonts w:ascii="Verdana" w:hAnsi="Verdana"/>
        </w:rPr>
        <w:t>23</w:t>
      </w:r>
      <w:r w:rsidRPr="00972CDF">
        <w:rPr>
          <w:rFonts w:ascii="Verdana" w:hAnsi="Verdana"/>
        </w:rPr>
        <w:tab/>
        <w:t>Turkey Representative of World Cerebral Palsy Day Committee</w:t>
      </w:r>
    </w:p>
    <w:p w:rsidR="00972CDF" w:rsidRPr="00972CDF" w:rsidRDefault="00972CDF" w:rsidP="00972CDF">
      <w:pPr>
        <w:rPr>
          <w:rFonts w:ascii="Verdana" w:hAnsi="Verdana"/>
        </w:rPr>
      </w:pPr>
      <w:r w:rsidRPr="00972CDF">
        <w:rPr>
          <w:rFonts w:ascii="Verdana" w:hAnsi="Verdana"/>
        </w:rPr>
        <w:t>24</w:t>
      </w:r>
      <w:r w:rsidRPr="00972CDF">
        <w:rPr>
          <w:rFonts w:ascii="Verdana" w:hAnsi="Verdana"/>
        </w:rPr>
        <w:tab/>
        <w:t>Edirne Association for Autism</w:t>
      </w:r>
    </w:p>
    <w:p w:rsidR="00972CDF" w:rsidRPr="00972CDF" w:rsidRDefault="00972CDF" w:rsidP="00972CDF">
      <w:pPr>
        <w:rPr>
          <w:rFonts w:ascii="Verdana" w:hAnsi="Verdana"/>
        </w:rPr>
      </w:pPr>
      <w:r w:rsidRPr="00972CDF">
        <w:rPr>
          <w:rFonts w:ascii="Verdana" w:hAnsi="Verdana"/>
        </w:rPr>
        <w:t>25</w:t>
      </w:r>
      <w:r w:rsidRPr="00972CDF">
        <w:rPr>
          <w:rFonts w:ascii="Verdana" w:hAnsi="Verdana"/>
        </w:rPr>
        <w:tab/>
        <w:t>Elazığ Association for Education Application School and Sports Club</w:t>
      </w:r>
    </w:p>
    <w:p w:rsidR="00972CDF" w:rsidRPr="00972CDF" w:rsidRDefault="00972CDF" w:rsidP="00972CDF">
      <w:pPr>
        <w:rPr>
          <w:rFonts w:ascii="Verdana" w:hAnsi="Verdana"/>
        </w:rPr>
      </w:pPr>
      <w:r w:rsidRPr="00972CDF">
        <w:rPr>
          <w:rFonts w:ascii="Verdana" w:hAnsi="Verdana"/>
        </w:rPr>
        <w:t>26</w:t>
      </w:r>
      <w:r w:rsidRPr="00972CDF">
        <w:rPr>
          <w:rFonts w:ascii="Verdana" w:hAnsi="Verdana"/>
        </w:rPr>
        <w:tab/>
        <w:t>Association for Visually Impaired in Education</w:t>
      </w:r>
    </w:p>
    <w:p w:rsidR="00972CDF" w:rsidRPr="00972CDF" w:rsidRDefault="00972CDF" w:rsidP="00972CDF">
      <w:pPr>
        <w:rPr>
          <w:rFonts w:ascii="Verdana" w:hAnsi="Verdana"/>
        </w:rPr>
      </w:pPr>
      <w:r w:rsidRPr="00972CDF">
        <w:rPr>
          <w:rFonts w:ascii="Verdana" w:hAnsi="Verdana"/>
        </w:rPr>
        <w:t>27</w:t>
      </w:r>
      <w:r w:rsidRPr="00972CDF">
        <w:rPr>
          <w:rFonts w:ascii="Verdana" w:hAnsi="Verdana"/>
        </w:rPr>
        <w:tab/>
        <w:t>Stop-Being-My-Obstacle Association</w:t>
      </w:r>
    </w:p>
    <w:p w:rsidR="00972CDF" w:rsidRPr="00972CDF" w:rsidRDefault="00972CDF" w:rsidP="00972CDF">
      <w:pPr>
        <w:rPr>
          <w:rFonts w:ascii="Verdana" w:hAnsi="Verdana"/>
        </w:rPr>
      </w:pPr>
      <w:r w:rsidRPr="00972CDF">
        <w:rPr>
          <w:rFonts w:ascii="Verdana" w:hAnsi="Verdana"/>
        </w:rPr>
        <w:t>28</w:t>
      </w:r>
      <w:r w:rsidRPr="00972CDF">
        <w:rPr>
          <w:rFonts w:ascii="Verdana" w:hAnsi="Verdana"/>
        </w:rPr>
        <w:tab/>
        <w:t>Association for Rights of the Disabled and Future Without Obstacles</w:t>
      </w:r>
    </w:p>
    <w:p w:rsidR="00972CDF" w:rsidRPr="00972CDF" w:rsidRDefault="00972CDF" w:rsidP="00972CDF">
      <w:pPr>
        <w:rPr>
          <w:rFonts w:ascii="Verdana" w:hAnsi="Verdana"/>
        </w:rPr>
      </w:pPr>
      <w:r w:rsidRPr="00972CDF">
        <w:rPr>
          <w:rFonts w:ascii="Verdana" w:hAnsi="Verdana"/>
        </w:rPr>
        <w:t>29</w:t>
      </w:r>
      <w:r w:rsidRPr="00972CDF">
        <w:rPr>
          <w:rFonts w:ascii="Verdana" w:hAnsi="Verdana"/>
        </w:rPr>
        <w:tab/>
        <w:t>Association for Disabled Women</w:t>
      </w:r>
    </w:p>
    <w:p w:rsidR="00972CDF" w:rsidRPr="00972CDF" w:rsidRDefault="00972CDF" w:rsidP="00972CDF">
      <w:pPr>
        <w:rPr>
          <w:rFonts w:ascii="Verdana" w:hAnsi="Verdana"/>
        </w:rPr>
      </w:pPr>
      <w:r w:rsidRPr="00972CDF">
        <w:rPr>
          <w:rFonts w:ascii="Verdana" w:hAnsi="Verdana"/>
        </w:rPr>
        <w:t>30</w:t>
      </w:r>
      <w:r w:rsidRPr="00972CDF">
        <w:rPr>
          <w:rFonts w:ascii="Verdana" w:hAnsi="Verdana"/>
        </w:rPr>
        <w:tab/>
        <w:t>Confederation for Disabled Persons</w:t>
      </w:r>
    </w:p>
    <w:p w:rsidR="00972CDF" w:rsidRPr="00972CDF" w:rsidRDefault="00972CDF" w:rsidP="00972CDF">
      <w:pPr>
        <w:rPr>
          <w:rFonts w:ascii="Verdana" w:hAnsi="Verdana"/>
        </w:rPr>
      </w:pPr>
      <w:r w:rsidRPr="00972CDF">
        <w:rPr>
          <w:rFonts w:ascii="Verdana" w:hAnsi="Verdana"/>
        </w:rPr>
        <w:t>31</w:t>
      </w:r>
      <w:r w:rsidRPr="00972CDF">
        <w:rPr>
          <w:rFonts w:ascii="Verdana" w:hAnsi="Verdana"/>
        </w:rPr>
        <w:tab/>
        <w:t>Information Technology Platform Without Obstacles</w:t>
      </w:r>
    </w:p>
    <w:p w:rsidR="00972CDF" w:rsidRPr="00972CDF" w:rsidRDefault="00972CDF" w:rsidP="00972CDF">
      <w:pPr>
        <w:rPr>
          <w:rFonts w:ascii="Verdana" w:hAnsi="Verdana"/>
        </w:rPr>
      </w:pPr>
      <w:r w:rsidRPr="00972CDF">
        <w:rPr>
          <w:rFonts w:ascii="Verdana" w:hAnsi="Verdana"/>
        </w:rPr>
        <w:t>32</w:t>
      </w:r>
      <w:r w:rsidRPr="00972CDF">
        <w:rPr>
          <w:rFonts w:ascii="Verdana" w:hAnsi="Verdana"/>
        </w:rPr>
        <w:tab/>
        <w:t>Association for Dreams Without Obstacles</w:t>
      </w:r>
    </w:p>
    <w:p w:rsidR="00972CDF" w:rsidRPr="00972CDF" w:rsidRDefault="00972CDF" w:rsidP="00972CDF">
      <w:pPr>
        <w:rPr>
          <w:rFonts w:ascii="Verdana" w:hAnsi="Verdana"/>
        </w:rPr>
      </w:pPr>
      <w:r w:rsidRPr="00972CDF">
        <w:rPr>
          <w:rFonts w:ascii="Verdana" w:hAnsi="Verdana"/>
        </w:rPr>
        <w:t>33</w:t>
      </w:r>
      <w:r w:rsidRPr="00972CDF">
        <w:rPr>
          <w:rFonts w:ascii="Verdana" w:hAnsi="Verdana"/>
        </w:rPr>
        <w:tab/>
        <w:t>Association for Life Without Obstacles</w:t>
      </w:r>
    </w:p>
    <w:p w:rsidR="00972CDF" w:rsidRPr="00972CDF" w:rsidRDefault="00972CDF" w:rsidP="00972CDF">
      <w:pPr>
        <w:rPr>
          <w:rFonts w:ascii="Verdana" w:hAnsi="Verdana"/>
        </w:rPr>
      </w:pPr>
      <w:r w:rsidRPr="00972CDF">
        <w:rPr>
          <w:rFonts w:ascii="Verdana" w:hAnsi="Verdana"/>
        </w:rPr>
        <w:t>34</w:t>
      </w:r>
      <w:r w:rsidRPr="00972CDF">
        <w:rPr>
          <w:rFonts w:ascii="Verdana" w:hAnsi="Verdana"/>
        </w:rPr>
        <w:tab/>
        <w:t>Association for Happy Life Without Obstacles</w:t>
      </w:r>
    </w:p>
    <w:p w:rsidR="00972CDF" w:rsidRPr="00972CDF" w:rsidRDefault="00972CDF" w:rsidP="00972CDF">
      <w:pPr>
        <w:rPr>
          <w:rFonts w:ascii="Verdana" w:hAnsi="Verdana"/>
        </w:rPr>
      </w:pPr>
      <w:r w:rsidRPr="00972CDF">
        <w:rPr>
          <w:rFonts w:ascii="Verdana" w:hAnsi="Verdana"/>
        </w:rPr>
        <w:t>35</w:t>
      </w:r>
      <w:r w:rsidRPr="00972CDF">
        <w:rPr>
          <w:rFonts w:ascii="Verdana" w:hAnsi="Verdana"/>
        </w:rPr>
        <w:tab/>
        <w:t>Association for Seeing Hearts and Education</w:t>
      </w:r>
    </w:p>
    <w:p w:rsidR="00972CDF" w:rsidRPr="00972CDF" w:rsidRDefault="00972CDF" w:rsidP="00972CDF">
      <w:pPr>
        <w:rPr>
          <w:rFonts w:ascii="Verdana" w:hAnsi="Verdana"/>
        </w:rPr>
      </w:pPr>
      <w:r w:rsidRPr="00972CDF">
        <w:rPr>
          <w:rFonts w:ascii="Verdana" w:hAnsi="Verdana"/>
        </w:rPr>
        <w:lastRenderedPageBreak/>
        <w:t>36</w:t>
      </w:r>
      <w:r w:rsidRPr="00972CDF">
        <w:rPr>
          <w:rFonts w:ascii="Verdana" w:hAnsi="Verdana"/>
        </w:rPr>
        <w:tab/>
        <w:t>Hacettepe University Children’s Rights Application and Research Center</w:t>
      </w:r>
    </w:p>
    <w:p w:rsidR="00972CDF" w:rsidRPr="00972CDF" w:rsidRDefault="00972CDF" w:rsidP="00972CDF">
      <w:pPr>
        <w:rPr>
          <w:rFonts w:ascii="Verdana" w:hAnsi="Verdana"/>
        </w:rPr>
      </w:pPr>
      <w:r w:rsidRPr="00972CDF">
        <w:rPr>
          <w:rFonts w:ascii="Verdana" w:hAnsi="Verdana"/>
        </w:rPr>
        <w:t>37</w:t>
      </w:r>
      <w:r w:rsidRPr="00972CDF">
        <w:rPr>
          <w:rFonts w:ascii="Verdana" w:hAnsi="Verdana"/>
        </w:rPr>
        <w:tab/>
        <w:t>Association for Life-is-with-you Youth Academy</w:t>
      </w:r>
    </w:p>
    <w:p w:rsidR="00972CDF" w:rsidRPr="00972CDF" w:rsidRDefault="00972CDF" w:rsidP="00972CDF">
      <w:pPr>
        <w:rPr>
          <w:rFonts w:ascii="Verdana" w:hAnsi="Verdana"/>
        </w:rPr>
      </w:pPr>
      <w:r w:rsidRPr="00972CDF">
        <w:rPr>
          <w:rFonts w:ascii="Verdana" w:hAnsi="Verdana"/>
        </w:rPr>
        <w:t>38</w:t>
      </w:r>
      <w:r w:rsidRPr="00972CDF">
        <w:rPr>
          <w:rFonts w:ascii="Verdana" w:hAnsi="Verdana"/>
        </w:rPr>
        <w:tab/>
        <w:t>Association for Hearing Impaired Persons and their Families</w:t>
      </w:r>
    </w:p>
    <w:p w:rsidR="00972CDF" w:rsidRPr="00972CDF" w:rsidRDefault="00972CDF" w:rsidP="00972CDF">
      <w:pPr>
        <w:rPr>
          <w:rFonts w:ascii="Verdana" w:hAnsi="Verdana"/>
        </w:rPr>
      </w:pPr>
      <w:r w:rsidRPr="00972CDF">
        <w:rPr>
          <w:rFonts w:ascii="Verdana" w:hAnsi="Verdana"/>
        </w:rPr>
        <w:t>39</w:t>
      </w:r>
      <w:r w:rsidRPr="00972CDF">
        <w:rPr>
          <w:rFonts w:ascii="Verdana" w:hAnsi="Verdana"/>
        </w:rPr>
        <w:tab/>
        <w:t xml:space="preserve">Kahramanmaraş Association for Down Syndrome </w:t>
      </w:r>
    </w:p>
    <w:p w:rsidR="00972CDF" w:rsidRPr="00972CDF" w:rsidRDefault="00972CDF" w:rsidP="00972CDF">
      <w:pPr>
        <w:rPr>
          <w:rFonts w:ascii="Verdana" w:hAnsi="Verdana"/>
        </w:rPr>
      </w:pPr>
      <w:r w:rsidRPr="00972CDF">
        <w:rPr>
          <w:rFonts w:ascii="Verdana" w:hAnsi="Verdana"/>
        </w:rPr>
        <w:t>40</w:t>
      </w:r>
      <w:r w:rsidRPr="00972CDF">
        <w:rPr>
          <w:rFonts w:ascii="Verdana" w:hAnsi="Verdana"/>
        </w:rPr>
        <w:tab/>
        <w:t>Hope for Children with Cancer Foundation (KAÇUV)</w:t>
      </w:r>
    </w:p>
    <w:p w:rsidR="00972CDF" w:rsidRPr="00972CDF" w:rsidRDefault="00972CDF" w:rsidP="00972CDF">
      <w:pPr>
        <w:rPr>
          <w:rFonts w:ascii="Verdana" w:hAnsi="Verdana"/>
        </w:rPr>
      </w:pPr>
      <w:r w:rsidRPr="00972CDF">
        <w:rPr>
          <w:rFonts w:ascii="Verdana" w:hAnsi="Verdana"/>
        </w:rPr>
        <w:t>41</w:t>
      </w:r>
      <w:r w:rsidRPr="00972CDF">
        <w:rPr>
          <w:rFonts w:ascii="Verdana" w:hAnsi="Verdana"/>
        </w:rPr>
        <w:tab/>
        <w:t>Cystic Fibrosis Association for Social Solidarity (KİFDER)</w:t>
      </w:r>
    </w:p>
    <w:p w:rsidR="00972CDF" w:rsidRPr="00972CDF" w:rsidRDefault="00972CDF" w:rsidP="00972CDF">
      <w:pPr>
        <w:rPr>
          <w:rFonts w:ascii="Verdana" w:hAnsi="Verdana"/>
        </w:rPr>
      </w:pPr>
      <w:r w:rsidRPr="00972CDF">
        <w:rPr>
          <w:rFonts w:ascii="Verdana" w:hAnsi="Verdana"/>
        </w:rPr>
        <w:t>42</w:t>
      </w:r>
      <w:r w:rsidRPr="00972CDF">
        <w:rPr>
          <w:rFonts w:ascii="Verdana" w:hAnsi="Verdana"/>
        </w:rPr>
        <w:tab/>
        <w:t>Association for Global Disabled Entrepreneurs</w:t>
      </w:r>
    </w:p>
    <w:p w:rsidR="00972CDF" w:rsidRPr="00972CDF" w:rsidRDefault="00972CDF" w:rsidP="00972CDF">
      <w:pPr>
        <w:rPr>
          <w:rFonts w:ascii="Verdana" w:hAnsi="Verdana"/>
        </w:rPr>
      </w:pPr>
      <w:r w:rsidRPr="00972CDF">
        <w:rPr>
          <w:rFonts w:ascii="Verdana" w:hAnsi="Verdana"/>
        </w:rPr>
        <w:t>43</w:t>
      </w:r>
      <w:r w:rsidRPr="00972CDF">
        <w:rPr>
          <w:rFonts w:ascii="Verdana" w:hAnsi="Verdana"/>
        </w:rPr>
        <w:tab/>
        <w:t>Mina Association for Life with Autism</w:t>
      </w:r>
    </w:p>
    <w:p w:rsidR="00972CDF" w:rsidRPr="00972CDF" w:rsidRDefault="00972CDF" w:rsidP="00972CDF">
      <w:pPr>
        <w:rPr>
          <w:rFonts w:ascii="Verdana" w:hAnsi="Verdana"/>
        </w:rPr>
      </w:pPr>
      <w:r w:rsidRPr="00972CDF">
        <w:rPr>
          <w:rFonts w:ascii="Verdana" w:hAnsi="Verdana"/>
        </w:rPr>
        <w:t>44</w:t>
      </w:r>
      <w:r w:rsidRPr="00972CDF">
        <w:rPr>
          <w:rFonts w:ascii="Verdana" w:hAnsi="Verdana"/>
        </w:rPr>
        <w:tab/>
        <w:t xml:space="preserve">Association for Mps Lh </w:t>
      </w:r>
    </w:p>
    <w:p w:rsidR="00972CDF" w:rsidRPr="00972CDF" w:rsidRDefault="00972CDF" w:rsidP="00972CDF">
      <w:pPr>
        <w:rPr>
          <w:rFonts w:ascii="Verdana" w:hAnsi="Verdana"/>
        </w:rPr>
      </w:pPr>
      <w:r w:rsidRPr="00972CDF">
        <w:rPr>
          <w:rFonts w:ascii="Verdana" w:hAnsi="Verdana"/>
        </w:rPr>
        <w:t>45</w:t>
      </w:r>
      <w:r w:rsidRPr="00972CDF">
        <w:rPr>
          <w:rFonts w:ascii="Verdana" w:hAnsi="Verdana"/>
        </w:rPr>
        <w:tab/>
        <w:t>Association for Neuronal Ceroid-Lipofuscinoses and Social Solidarity</w:t>
      </w:r>
    </w:p>
    <w:p w:rsidR="00972CDF" w:rsidRPr="00972CDF" w:rsidRDefault="00972CDF" w:rsidP="00972CDF">
      <w:pPr>
        <w:rPr>
          <w:rFonts w:ascii="Verdana" w:hAnsi="Verdana"/>
        </w:rPr>
      </w:pPr>
      <w:r w:rsidRPr="00972CDF">
        <w:rPr>
          <w:rFonts w:ascii="Verdana" w:hAnsi="Verdana"/>
        </w:rPr>
        <w:t>46</w:t>
      </w:r>
      <w:r w:rsidRPr="00972CDF">
        <w:rPr>
          <w:rFonts w:ascii="Verdana" w:hAnsi="Verdana"/>
        </w:rPr>
        <w:tab/>
        <w:t>Federation of Autism Associations</w:t>
      </w:r>
    </w:p>
    <w:p w:rsidR="00972CDF" w:rsidRPr="00972CDF" w:rsidRDefault="00972CDF" w:rsidP="00972CDF">
      <w:pPr>
        <w:rPr>
          <w:rFonts w:ascii="Verdana" w:hAnsi="Verdana"/>
        </w:rPr>
      </w:pPr>
      <w:r w:rsidRPr="00972CDF">
        <w:rPr>
          <w:rFonts w:ascii="Verdana" w:hAnsi="Verdana"/>
        </w:rPr>
        <w:t>47</w:t>
      </w:r>
      <w:r w:rsidRPr="00972CDF">
        <w:rPr>
          <w:rFonts w:ascii="Verdana" w:hAnsi="Verdana"/>
        </w:rPr>
        <w:tab/>
        <w:t>Foundation to Support Individuals with Autism</w:t>
      </w:r>
    </w:p>
    <w:p w:rsidR="00972CDF" w:rsidRPr="00972CDF" w:rsidRDefault="00972CDF" w:rsidP="00972CDF">
      <w:pPr>
        <w:rPr>
          <w:rFonts w:ascii="Verdana" w:hAnsi="Verdana"/>
        </w:rPr>
      </w:pPr>
      <w:r w:rsidRPr="00972CDF">
        <w:rPr>
          <w:rFonts w:ascii="Verdana" w:hAnsi="Verdana"/>
        </w:rPr>
        <w:t>48</w:t>
      </w:r>
      <w:r w:rsidRPr="00972CDF">
        <w:rPr>
          <w:rFonts w:ascii="Verdana" w:hAnsi="Verdana"/>
        </w:rPr>
        <w:tab/>
        <w:t>Association for Special Children Education and Social Solidarity</w:t>
      </w:r>
    </w:p>
    <w:p w:rsidR="00972CDF" w:rsidRPr="00972CDF" w:rsidRDefault="00972CDF" w:rsidP="00972CDF">
      <w:pPr>
        <w:rPr>
          <w:rFonts w:ascii="Verdana" w:hAnsi="Verdana"/>
        </w:rPr>
      </w:pPr>
      <w:r w:rsidRPr="00972CDF">
        <w:rPr>
          <w:rFonts w:ascii="Verdana" w:hAnsi="Verdana"/>
        </w:rPr>
        <w:t>49</w:t>
      </w:r>
      <w:r w:rsidRPr="00972CDF">
        <w:rPr>
          <w:rFonts w:ascii="Verdana" w:hAnsi="Verdana"/>
        </w:rPr>
        <w:tab/>
        <w:t>Association for Special Education Teachers</w:t>
      </w:r>
    </w:p>
    <w:p w:rsidR="00972CDF" w:rsidRPr="00972CDF" w:rsidRDefault="00972CDF" w:rsidP="00972CDF">
      <w:pPr>
        <w:rPr>
          <w:rFonts w:ascii="Verdana" w:hAnsi="Verdana"/>
        </w:rPr>
      </w:pPr>
      <w:r w:rsidRPr="00972CDF">
        <w:rPr>
          <w:rFonts w:ascii="Verdana" w:hAnsi="Verdana"/>
        </w:rPr>
        <w:t>50</w:t>
      </w:r>
      <w:r w:rsidRPr="00972CDF">
        <w:rPr>
          <w:rFonts w:ascii="Verdana" w:hAnsi="Verdana"/>
        </w:rPr>
        <w:tab/>
        <w:t>Luminance Association for Visually Impaired Children</w:t>
      </w:r>
    </w:p>
    <w:p w:rsidR="00972CDF" w:rsidRPr="00972CDF" w:rsidRDefault="00972CDF" w:rsidP="00972CDF">
      <w:pPr>
        <w:rPr>
          <w:rFonts w:ascii="Verdana" w:hAnsi="Verdana"/>
        </w:rPr>
      </w:pPr>
      <w:r w:rsidRPr="00972CDF">
        <w:rPr>
          <w:rFonts w:ascii="Verdana" w:hAnsi="Verdana"/>
        </w:rPr>
        <w:t>51</w:t>
      </w:r>
      <w:r w:rsidRPr="00972CDF">
        <w:rPr>
          <w:rFonts w:ascii="Verdana" w:hAnsi="Verdana"/>
        </w:rPr>
        <w:tab/>
        <w:t>Association for PKU Families</w:t>
      </w:r>
    </w:p>
    <w:p w:rsidR="00972CDF" w:rsidRPr="00972CDF" w:rsidRDefault="00972CDF" w:rsidP="00972CDF">
      <w:pPr>
        <w:rPr>
          <w:rFonts w:ascii="Verdana" w:hAnsi="Verdana"/>
        </w:rPr>
      </w:pPr>
      <w:r w:rsidRPr="00972CDF">
        <w:rPr>
          <w:rFonts w:ascii="Verdana" w:hAnsi="Verdana"/>
        </w:rPr>
        <w:lastRenderedPageBreak/>
        <w:t>52</w:t>
      </w:r>
      <w:r w:rsidRPr="00972CDF">
        <w:rPr>
          <w:rFonts w:ascii="Verdana" w:hAnsi="Verdana"/>
        </w:rPr>
        <w:tab/>
        <w:t>Association for Pulmonary Hypertension and Scleroderma</w:t>
      </w:r>
    </w:p>
    <w:p w:rsidR="00972CDF" w:rsidRPr="00972CDF" w:rsidRDefault="00972CDF" w:rsidP="00972CDF">
      <w:pPr>
        <w:rPr>
          <w:rFonts w:ascii="Verdana" w:hAnsi="Verdana"/>
        </w:rPr>
      </w:pPr>
      <w:r w:rsidRPr="00972CDF">
        <w:rPr>
          <w:rFonts w:ascii="Verdana" w:hAnsi="Verdana"/>
        </w:rPr>
        <w:t>53</w:t>
      </w:r>
      <w:r w:rsidRPr="00972CDF">
        <w:rPr>
          <w:rFonts w:ascii="Verdana" w:hAnsi="Verdana"/>
        </w:rPr>
        <w:tab/>
        <w:t>Colour Association for Autism</w:t>
      </w:r>
    </w:p>
    <w:p w:rsidR="00972CDF" w:rsidRPr="00972CDF" w:rsidRDefault="00972CDF" w:rsidP="00972CDF">
      <w:pPr>
        <w:rPr>
          <w:rFonts w:ascii="Verdana" w:hAnsi="Verdana"/>
        </w:rPr>
      </w:pPr>
      <w:r w:rsidRPr="00972CDF">
        <w:rPr>
          <w:rFonts w:ascii="Verdana" w:hAnsi="Verdana"/>
        </w:rPr>
        <w:t>54</w:t>
      </w:r>
      <w:r w:rsidRPr="00972CDF">
        <w:rPr>
          <w:rFonts w:ascii="Verdana" w:hAnsi="Verdana"/>
        </w:rPr>
        <w:tab/>
        <w:t>Association for Human Rights to Mental Health Initiation</w:t>
      </w:r>
    </w:p>
    <w:p w:rsidR="00972CDF" w:rsidRPr="00972CDF" w:rsidRDefault="00972CDF" w:rsidP="00972CDF">
      <w:pPr>
        <w:rPr>
          <w:rFonts w:ascii="Verdana" w:hAnsi="Verdana"/>
        </w:rPr>
      </w:pPr>
      <w:r w:rsidRPr="00972CDF">
        <w:rPr>
          <w:rFonts w:ascii="Verdana" w:hAnsi="Verdana"/>
        </w:rPr>
        <w:t>55</w:t>
      </w:r>
      <w:r w:rsidRPr="00972CDF">
        <w:rPr>
          <w:rFonts w:ascii="Verdana" w:hAnsi="Verdana"/>
        </w:rPr>
        <w:tab/>
        <w:t>Union of Health Services (SAHİM-SEN)</w:t>
      </w:r>
    </w:p>
    <w:p w:rsidR="00972CDF" w:rsidRPr="00972CDF" w:rsidRDefault="00972CDF" w:rsidP="00972CDF">
      <w:pPr>
        <w:rPr>
          <w:rFonts w:ascii="Verdana" w:hAnsi="Verdana"/>
        </w:rPr>
      </w:pPr>
      <w:r w:rsidRPr="00972CDF">
        <w:rPr>
          <w:rFonts w:ascii="Verdana" w:hAnsi="Verdana"/>
        </w:rPr>
        <w:t>56</w:t>
      </w:r>
      <w:r w:rsidRPr="00972CDF">
        <w:rPr>
          <w:rFonts w:ascii="Verdana" w:hAnsi="Verdana"/>
        </w:rPr>
        <w:tab/>
        <w:t>Samsun Disabled Persons Federation</w:t>
      </w:r>
    </w:p>
    <w:p w:rsidR="00972CDF" w:rsidRPr="00972CDF" w:rsidRDefault="00972CDF" w:rsidP="00972CDF">
      <w:pPr>
        <w:rPr>
          <w:rFonts w:ascii="Verdana" w:hAnsi="Verdana"/>
        </w:rPr>
      </w:pPr>
      <w:r w:rsidRPr="00972CDF">
        <w:rPr>
          <w:rFonts w:ascii="Verdana" w:hAnsi="Verdana"/>
        </w:rPr>
        <w:t>57</w:t>
      </w:r>
      <w:r w:rsidRPr="00972CDF">
        <w:rPr>
          <w:rFonts w:ascii="Verdana" w:hAnsi="Verdana"/>
        </w:rPr>
        <w:tab/>
        <w:t>Samsun Association for Children with Autism</w:t>
      </w:r>
    </w:p>
    <w:p w:rsidR="00972CDF" w:rsidRPr="00972CDF" w:rsidRDefault="00972CDF" w:rsidP="00972CDF">
      <w:pPr>
        <w:rPr>
          <w:rFonts w:ascii="Verdana" w:hAnsi="Verdana"/>
        </w:rPr>
      </w:pPr>
      <w:r w:rsidRPr="00972CDF">
        <w:rPr>
          <w:rFonts w:ascii="Verdana" w:hAnsi="Verdana"/>
        </w:rPr>
        <w:t>58</w:t>
      </w:r>
      <w:r w:rsidRPr="00972CDF">
        <w:rPr>
          <w:rFonts w:ascii="Verdana" w:hAnsi="Verdana"/>
        </w:rPr>
        <w:tab/>
        <w:t>Sebider Association for Individuals with Cerebral Palsy and Their Families</w:t>
      </w:r>
    </w:p>
    <w:p w:rsidR="00972CDF" w:rsidRPr="00972CDF" w:rsidRDefault="00972CDF" w:rsidP="00972CDF">
      <w:pPr>
        <w:rPr>
          <w:rFonts w:ascii="Verdana" w:hAnsi="Verdana"/>
        </w:rPr>
      </w:pPr>
      <w:r w:rsidRPr="00972CDF">
        <w:rPr>
          <w:rFonts w:ascii="Verdana" w:hAnsi="Verdana"/>
        </w:rPr>
        <w:t>59</w:t>
      </w:r>
      <w:r w:rsidRPr="00972CDF">
        <w:rPr>
          <w:rFonts w:ascii="Verdana" w:hAnsi="Verdana"/>
        </w:rPr>
        <w:tab/>
        <w:t>Serçev Association for Children with Cerebral Palsy</w:t>
      </w:r>
    </w:p>
    <w:p w:rsidR="00972CDF" w:rsidRPr="00972CDF" w:rsidRDefault="00972CDF" w:rsidP="00972CDF">
      <w:pPr>
        <w:rPr>
          <w:rFonts w:ascii="Verdana" w:hAnsi="Verdana"/>
        </w:rPr>
      </w:pPr>
      <w:r w:rsidRPr="00972CDF">
        <w:rPr>
          <w:rFonts w:ascii="Verdana" w:hAnsi="Verdana"/>
        </w:rPr>
        <w:t>60</w:t>
      </w:r>
      <w:r w:rsidRPr="00972CDF">
        <w:rPr>
          <w:rFonts w:ascii="Verdana" w:hAnsi="Verdana"/>
        </w:rPr>
        <w:tab/>
        <w:t xml:space="preserve">Association for Individuals with Cystinosis  </w:t>
      </w:r>
    </w:p>
    <w:p w:rsidR="00972CDF" w:rsidRPr="00972CDF" w:rsidRDefault="00972CDF" w:rsidP="00972CDF">
      <w:pPr>
        <w:rPr>
          <w:rFonts w:ascii="Verdana" w:hAnsi="Verdana"/>
        </w:rPr>
      </w:pPr>
      <w:r w:rsidRPr="00972CDF">
        <w:rPr>
          <w:rFonts w:ascii="Verdana" w:hAnsi="Verdana"/>
        </w:rPr>
        <w:t>61</w:t>
      </w:r>
      <w:r w:rsidRPr="00972CDF">
        <w:rPr>
          <w:rFonts w:ascii="Verdana" w:hAnsi="Verdana"/>
        </w:rPr>
        <w:tab/>
        <w:t>Association for SMA Disease and Social Solidarity</w:t>
      </w:r>
    </w:p>
    <w:p w:rsidR="00972CDF" w:rsidRPr="00972CDF" w:rsidRDefault="00972CDF" w:rsidP="00972CDF">
      <w:pPr>
        <w:rPr>
          <w:rFonts w:ascii="Verdana" w:hAnsi="Verdana"/>
        </w:rPr>
      </w:pPr>
      <w:r w:rsidRPr="00972CDF">
        <w:rPr>
          <w:rFonts w:ascii="Verdana" w:hAnsi="Verdana"/>
        </w:rPr>
        <w:t>62</w:t>
      </w:r>
      <w:r w:rsidRPr="00972CDF">
        <w:rPr>
          <w:rFonts w:ascii="Verdana" w:hAnsi="Verdana"/>
        </w:rPr>
        <w:tab/>
        <w:t xml:space="preserve">Şanlı Urfa Association for the Employment of Individuals with Spinal Cord Paralysis </w:t>
      </w:r>
    </w:p>
    <w:p w:rsidR="00972CDF" w:rsidRPr="00972CDF" w:rsidRDefault="00972CDF" w:rsidP="00972CDF">
      <w:pPr>
        <w:rPr>
          <w:rFonts w:ascii="Verdana" w:hAnsi="Verdana"/>
        </w:rPr>
      </w:pPr>
      <w:r w:rsidRPr="00972CDF">
        <w:rPr>
          <w:rFonts w:ascii="Verdana" w:hAnsi="Verdana"/>
        </w:rPr>
        <w:t>63</w:t>
      </w:r>
      <w:r w:rsidRPr="00972CDF">
        <w:rPr>
          <w:rFonts w:ascii="Verdana" w:hAnsi="Verdana"/>
        </w:rPr>
        <w:tab/>
        <w:t xml:space="preserve">Tohum Autism Foundation </w:t>
      </w:r>
    </w:p>
    <w:p w:rsidR="00972CDF" w:rsidRPr="00972CDF" w:rsidRDefault="00972CDF" w:rsidP="00972CDF">
      <w:pPr>
        <w:rPr>
          <w:rFonts w:ascii="Verdana" w:hAnsi="Verdana"/>
        </w:rPr>
      </w:pPr>
      <w:r w:rsidRPr="00972CDF">
        <w:rPr>
          <w:rFonts w:ascii="Verdana" w:hAnsi="Verdana"/>
        </w:rPr>
        <w:t>64</w:t>
      </w:r>
      <w:r w:rsidRPr="00972CDF">
        <w:rPr>
          <w:rFonts w:ascii="Verdana" w:hAnsi="Verdana"/>
        </w:rPr>
        <w:tab/>
        <w:t>Association for Social Rights and Research</w:t>
      </w:r>
    </w:p>
    <w:p w:rsidR="00972CDF" w:rsidRPr="00972CDF" w:rsidRDefault="00972CDF" w:rsidP="00972CDF">
      <w:pPr>
        <w:rPr>
          <w:rFonts w:ascii="Verdana" w:hAnsi="Verdana"/>
        </w:rPr>
      </w:pPr>
      <w:r w:rsidRPr="00972CDF">
        <w:rPr>
          <w:rFonts w:ascii="Verdana" w:hAnsi="Verdana"/>
        </w:rPr>
        <w:t>65</w:t>
      </w:r>
      <w:r w:rsidRPr="00972CDF">
        <w:rPr>
          <w:rFonts w:ascii="Verdana" w:hAnsi="Verdana"/>
        </w:rPr>
        <w:tab/>
        <w:t>Association for Muscle Diseases in Turkey</w:t>
      </w:r>
    </w:p>
    <w:p w:rsidR="00972CDF" w:rsidRPr="00972CDF" w:rsidRDefault="00972CDF" w:rsidP="00972CDF">
      <w:pPr>
        <w:rPr>
          <w:rFonts w:ascii="Verdana" w:hAnsi="Verdana"/>
        </w:rPr>
      </w:pPr>
      <w:r w:rsidRPr="00972CDF">
        <w:rPr>
          <w:rFonts w:ascii="Verdana" w:hAnsi="Verdana"/>
        </w:rPr>
        <w:t>66</w:t>
      </w:r>
      <w:r w:rsidRPr="00972CDF">
        <w:rPr>
          <w:rFonts w:ascii="Verdana" w:hAnsi="Verdana"/>
        </w:rPr>
        <w:tab/>
        <w:t>Support and Education Foundation for Autistics in Turkey</w:t>
      </w:r>
    </w:p>
    <w:p w:rsidR="00972CDF" w:rsidRPr="00972CDF" w:rsidRDefault="00972CDF" w:rsidP="00972CDF">
      <w:pPr>
        <w:rPr>
          <w:rFonts w:ascii="Verdana" w:hAnsi="Verdana"/>
        </w:rPr>
      </w:pPr>
      <w:r w:rsidRPr="00972CDF">
        <w:rPr>
          <w:rFonts w:ascii="Verdana" w:hAnsi="Verdana"/>
        </w:rPr>
        <w:t>67</w:t>
      </w:r>
      <w:r w:rsidRPr="00972CDF">
        <w:rPr>
          <w:rFonts w:ascii="Verdana" w:hAnsi="Verdana"/>
        </w:rPr>
        <w:tab/>
        <w:t>Association for Handicapped Individuals in Turkey</w:t>
      </w:r>
    </w:p>
    <w:p w:rsidR="00972CDF" w:rsidRPr="00972CDF" w:rsidRDefault="00972CDF" w:rsidP="00972CDF">
      <w:pPr>
        <w:rPr>
          <w:rFonts w:ascii="Verdana" w:hAnsi="Verdana"/>
        </w:rPr>
      </w:pPr>
      <w:r w:rsidRPr="00972CDF">
        <w:rPr>
          <w:rFonts w:ascii="Verdana" w:hAnsi="Verdana"/>
        </w:rPr>
        <w:t>68</w:t>
      </w:r>
      <w:r w:rsidRPr="00972CDF">
        <w:rPr>
          <w:rFonts w:ascii="Verdana" w:hAnsi="Verdana"/>
        </w:rPr>
        <w:tab/>
        <w:t>Foundation for Spastic Children in Turkey</w:t>
      </w:r>
    </w:p>
    <w:p w:rsidR="00972CDF" w:rsidRPr="00972CDF" w:rsidRDefault="00972CDF" w:rsidP="00972CDF">
      <w:pPr>
        <w:rPr>
          <w:rFonts w:ascii="Verdana" w:hAnsi="Verdana"/>
        </w:rPr>
      </w:pPr>
      <w:r w:rsidRPr="00972CDF">
        <w:rPr>
          <w:rFonts w:ascii="Verdana" w:hAnsi="Verdana"/>
        </w:rPr>
        <w:t>69</w:t>
      </w:r>
      <w:r w:rsidRPr="00972CDF">
        <w:rPr>
          <w:rFonts w:ascii="Verdana" w:hAnsi="Verdana"/>
        </w:rPr>
        <w:tab/>
        <w:t xml:space="preserve">Association for Spina Bifida </w:t>
      </w:r>
    </w:p>
    <w:p w:rsidR="00972CDF" w:rsidRPr="00972CDF" w:rsidRDefault="00972CDF" w:rsidP="00972CDF">
      <w:pPr>
        <w:rPr>
          <w:rFonts w:ascii="Verdana" w:hAnsi="Verdana"/>
        </w:rPr>
      </w:pPr>
      <w:r w:rsidRPr="00972CDF">
        <w:rPr>
          <w:rFonts w:ascii="Verdana" w:hAnsi="Verdana"/>
        </w:rPr>
        <w:lastRenderedPageBreak/>
        <w:t>70</w:t>
      </w:r>
      <w:r w:rsidRPr="00972CDF">
        <w:rPr>
          <w:rFonts w:ascii="Verdana" w:hAnsi="Verdana"/>
        </w:rPr>
        <w:tab/>
        <w:t>Van Association for Hearing Impaired</w:t>
      </w:r>
    </w:p>
    <w:p w:rsidR="00972CDF" w:rsidRPr="00972CDF" w:rsidRDefault="00972CDF" w:rsidP="00972CDF">
      <w:pPr>
        <w:rPr>
          <w:rFonts w:ascii="Verdana" w:hAnsi="Verdana"/>
        </w:rPr>
      </w:pPr>
      <w:r w:rsidRPr="00972CDF">
        <w:rPr>
          <w:rFonts w:ascii="Verdana" w:hAnsi="Verdana"/>
        </w:rPr>
        <w:t>71</w:t>
      </w:r>
      <w:r w:rsidRPr="00972CDF">
        <w:rPr>
          <w:rFonts w:ascii="Verdana" w:hAnsi="Verdana"/>
        </w:rPr>
        <w:tab/>
        <w:t>Van Association for Coping with Autism</w:t>
      </w:r>
    </w:p>
    <w:p w:rsidR="00972CDF" w:rsidRPr="00972CDF" w:rsidRDefault="00972CDF" w:rsidP="00972CDF">
      <w:pPr>
        <w:rPr>
          <w:rFonts w:ascii="Verdana" w:hAnsi="Verdana"/>
        </w:rPr>
      </w:pPr>
      <w:r w:rsidRPr="00972CDF">
        <w:rPr>
          <w:rFonts w:ascii="Verdana" w:hAnsi="Verdana"/>
        </w:rPr>
        <w:t>72</w:t>
      </w:r>
      <w:r w:rsidRPr="00972CDF">
        <w:rPr>
          <w:rFonts w:ascii="Verdana" w:hAnsi="Verdana"/>
        </w:rPr>
        <w:tab/>
        <w:t>I-am-happy-with-my Face Association</w:t>
      </w:r>
    </w:p>
    <w:p w:rsidR="00972CDF" w:rsidRPr="00972CDF" w:rsidRDefault="00972CDF" w:rsidP="00972CDF">
      <w:pPr>
        <w:rPr>
          <w:rFonts w:ascii="Verdana" w:hAnsi="Verdana"/>
        </w:rPr>
      </w:pPr>
      <w:r w:rsidRPr="00972CDF">
        <w:rPr>
          <w:rFonts w:ascii="Verdana" w:hAnsi="Verdana"/>
        </w:rPr>
        <w:t>73</w:t>
      </w:r>
      <w:r w:rsidRPr="00972CDF">
        <w:rPr>
          <w:rFonts w:ascii="Verdana" w:hAnsi="Verdana"/>
        </w:rPr>
        <w:tab/>
        <w:t>Federation for the Mentally Disabled</w:t>
      </w: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pStyle w:val="Footer"/>
        <w:numPr>
          <w:ilvl w:val="0"/>
          <w:numId w:val="6"/>
        </w:numPr>
      </w:pPr>
      <w:r w:rsidRPr="00972CDF">
        <w:t>Introduction</w:t>
      </w:r>
      <w:r>
        <w:t>………………………………………………………………………………………………….6</w:t>
      </w:r>
    </w:p>
    <w:p w:rsidR="00972CDF" w:rsidRPr="00972CDF" w:rsidRDefault="00972CDF" w:rsidP="00972CDF">
      <w:pPr>
        <w:pStyle w:val="Footer"/>
        <w:numPr>
          <w:ilvl w:val="0"/>
          <w:numId w:val="6"/>
        </w:numPr>
      </w:pPr>
      <w:r w:rsidRPr="00972CDF">
        <w:t>General Evaluation ……………………………………………………………</w:t>
      </w:r>
      <w:r>
        <w:t>……………..</w:t>
      </w:r>
      <w:r w:rsidRPr="00972CDF">
        <w:t>……....</w:t>
      </w:r>
      <w:r>
        <w:t>.7</w:t>
      </w:r>
    </w:p>
    <w:p w:rsidR="00972CDF" w:rsidRPr="00972CDF" w:rsidRDefault="00972CDF" w:rsidP="00972CDF">
      <w:pPr>
        <w:pStyle w:val="ListParagraph"/>
        <w:numPr>
          <w:ilvl w:val="1"/>
          <w:numId w:val="6"/>
        </w:numPr>
        <w:spacing w:before="120" w:after="120"/>
      </w:pPr>
      <w:r w:rsidRPr="00972CDF">
        <w:t>The Problem in the Application of the Legislation…………………………….</w:t>
      </w:r>
      <w:r>
        <w:t>8</w:t>
      </w:r>
    </w:p>
    <w:p w:rsidR="00972CDF" w:rsidRPr="00972CDF" w:rsidRDefault="00972CDF" w:rsidP="00972CDF">
      <w:pPr>
        <w:pStyle w:val="ListParagraph"/>
        <w:numPr>
          <w:ilvl w:val="1"/>
          <w:numId w:val="6"/>
        </w:numPr>
        <w:spacing w:before="120" w:after="120"/>
      </w:pPr>
      <w:r w:rsidRPr="00972CDF">
        <w:t xml:space="preserve">Lack of Investment for the Logistics and Human Resources </w:t>
      </w:r>
    </w:p>
    <w:p w:rsidR="00972CDF" w:rsidRPr="00972CDF" w:rsidRDefault="00972CDF" w:rsidP="00972CDF">
      <w:pPr>
        <w:pStyle w:val="ListParagraph"/>
        <w:spacing w:before="120" w:after="120"/>
        <w:ind w:left="1222"/>
      </w:pPr>
      <w:r w:rsidRPr="00972CDF">
        <w:t>Needed to Help Realize the Policies ………………………………………………….</w:t>
      </w:r>
      <w:r>
        <w:t>9</w:t>
      </w:r>
    </w:p>
    <w:p w:rsidR="00972CDF" w:rsidRPr="00972CDF" w:rsidRDefault="00972CDF" w:rsidP="00972CDF">
      <w:pPr>
        <w:pStyle w:val="ListParagraph"/>
        <w:numPr>
          <w:ilvl w:val="1"/>
          <w:numId w:val="6"/>
        </w:numPr>
        <w:spacing w:before="120" w:after="120"/>
      </w:pPr>
      <w:r w:rsidRPr="00972CDF">
        <w:t>Lack of Extensive Action Plans and Strategic Planning and</w:t>
      </w:r>
    </w:p>
    <w:p w:rsidR="00972CDF" w:rsidRPr="00972CDF" w:rsidRDefault="00972CDF" w:rsidP="00972CDF">
      <w:pPr>
        <w:pStyle w:val="ListParagraph"/>
        <w:spacing w:before="120" w:after="120"/>
        <w:ind w:left="1222"/>
      </w:pPr>
      <w:r w:rsidRPr="00972CDF">
        <w:t xml:space="preserve">the Non-Application of What Is At </w:t>
      </w:r>
      <w:r>
        <w:t>Hand ………………………………….</w:t>
      </w:r>
      <w:r w:rsidRPr="00972CDF">
        <w:t>……..</w:t>
      </w:r>
      <w:r>
        <w:t>10</w:t>
      </w:r>
    </w:p>
    <w:p w:rsidR="00972CDF" w:rsidRPr="00972CDF" w:rsidRDefault="00972CDF" w:rsidP="00972CDF">
      <w:pPr>
        <w:numPr>
          <w:ilvl w:val="1"/>
          <w:numId w:val="6"/>
        </w:numPr>
        <w:spacing w:after="0" w:line="276" w:lineRule="auto"/>
        <w:contextualSpacing/>
        <w:rPr>
          <w:rFonts w:ascii="Verdana" w:hAnsi="Verdana"/>
        </w:rPr>
      </w:pPr>
      <w:r w:rsidRPr="00972CDF">
        <w:rPr>
          <w:rFonts w:ascii="Verdana" w:hAnsi="Verdana"/>
        </w:rPr>
        <w:t>Problems and the Violation of Rights at</w:t>
      </w:r>
    </w:p>
    <w:p w:rsidR="00972CDF" w:rsidRPr="00972CDF" w:rsidRDefault="00972CDF" w:rsidP="00972CDF">
      <w:pPr>
        <w:ind w:left="1222"/>
        <w:contextualSpacing/>
        <w:rPr>
          <w:rFonts w:ascii="Verdana" w:hAnsi="Verdana"/>
        </w:rPr>
      </w:pPr>
      <w:r w:rsidRPr="00972CDF">
        <w:rPr>
          <w:rFonts w:ascii="Verdana" w:hAnsi="Verdana"/>
        </w:rPr>
        <w:t>Educational Institutions in the Course of Benefiting</w:t>
      </w:r>
    </w:p>
    <w:p w:rsidR="00972CDF" w:rsidRPr="00972CDF" w:rsidRDefault="00972CDF" w:rsidP="00972CDF">
      <w:pPr>
        <w:ind w:left="1222"/>
        <w:contextualSpacing/>
        <w:rPr>
          <w:rFonts w:ascii="Verdana" w:hAnsi="Verdana"/>
        </w:rPr>
      </w:pPr>
      <w:r w:rsidRPr="00972CDF">
        <w:rPr>
          <w:rFonts w:ascii="Verdana" w:hAnsi="Verdana"/>
        </w:rPr>
        <w:lastRenderedPageBreak/>
        <w:t>from Services These Institutions Provide ………………………………………..1</w:t>
      </w:r>
      <w:r>
        <w:rPr>
          <w:rFonts w:ascii="Verdana" w:hAnsi="Verdana"/>
        </w:rPr>
        <w:t>1</w:t>
      </w: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ind w:left="567"/>
        <w:rPr>
          <w:rFonts w:ascii="Verdana" w:hAnsi="Verdana"/>
          <w:b/>
        </w:rPr>
      </w:pPr>
      <w:r w:rsidRPr="00972CDF">
        <w:rPr>
          <w:rFonts w:ascii="Verdana" w:hAnsi="Verdana"/>
          <w:b/>
        </w:rPr>
        <w:t>1.</w:t>
      </w:r>
      <w:r w:rsidRPr="00972CDF">
        <w:rPr>
          <w:rFonts w:ascii="Verdana" w:hAnsi="Verdana"/>
          <w:b/>
        </w:rPr>
        <w:tab/>
        <w:t>Introduction</w:t>
      </w:r>
    </w:p>
    <w:p w:rsidR="00972CDF" w:rsidRPr="00972CDF" w:rsidRDefault="00972CDF" w:rsidP="00972CDF">
      <w:pPr>
        <w:rPr>
          <w:rFonts w:ascii="Verdana" w:hAnsi="Verdana"/>
        </w:rPr>
      </w:pPr>
      <w:r w:rsidRPr="00972CDF">
        <w:rPr>
          <w:rFonts w:ascii="Verdana" w:hAnsi="Verdana"/>
        </w:rPr>
        <w:t xml:space="preserve">This report has been prepared by Network for the Rights of Children with Disabilities (ECHA) as a shadow report in response to the report submitted by Turkey to the UN Committee on the Rights of Persons with Disabilities. ECHA is a network comprising 73 different non-governmental organisations. The main purpose of the network is to have disabled children acquire their rights derived from Turkish National Legislation, UN Convention on the Right of Persons with Disabilities to which Turkey is a party, and from the universal principals of law, including to have all the rights gained put into practice and to prevent any violation of these very rights. </w:t>
      </w:r>
    </w:p>
    <w:p w:rsidR="00972CDF" w:rsidRPr="00972CDF" w:rsidRDefault="00972CDF" w:rsidP="00972CDF">
      <w:pPr>
        <w:rPr>
          <w:rFonts w:ascii="Verdana" w:hAnsi="Verdana"/>
        </w:rPr>
      </w:pPr>
      <w:r w:rsidRPr="00972CDF">
        <w:rPr>
          <w:rFonts w:ascii="Verdana" w:hAnsi="Verdana"/>
        </w:rPr>
        <w:t>ECHA works on indicator-based and evidence-based monitoring and advocacy in line with the objectives cited above. Enhancing this monitoring and advocacy power and extending it to the comprising NGOs, conducting lobbying and awareness activities by creating a collaborative culture, sharing good practices and developing solutions are some of the important methods this network had been using.</w:t>
      </w:r>
    </w:p>
    <w:p w:rsidR="00972CDF" w:rsidRPr="00972CDF" w:rsidRDefault="00972CDF" w:rsidP="00972CDF">
      <w:pPr>
        <w:rPr>
          <w:rFonts w:ascii="Verdana" w:hAnsi="Verdana"/>
        </w:rPr>
      </w:pPr>
      <w:r w:rsidRPr="00972CDF">
        <w:rPr>
          <w:rFonts w:ascii="Verdana" w:hAnsi="Verdana"/>
        </w:rPr>
        <w:t xml:space="preserve">In this report submitted, the focus has specifically been on disabled children’s right to education in Turkey and other </w:t>
      </w:r>
      <w:r w:rsidRPr="00972CDF">
        <w:rPr>
          <w:rFonts w:ascii="Verdana" w:hAnsi="Verdana"/>
        </w:rPr>
        <w:lastRenderedPageBreak/>
        <w:t>rights in line with this right albeit the network works on the rights of disabled children and preventing the violation of these rights in general. As the network considers that the right to education has a key role in disabled persons’ access to other rights and making use of them, it has decided to work primarily on this right and within its frame.</w:t>
      </w:r>
    </w:p>
    <w:p w:rsidR="00972CDF" w:rsidRPr="00972CDF" w:rsidRDefault="00972CDF" w:rsidP="00972CDF">
      <w:pPr>
        <w:rPr>
          <w:rFonts w:ascii="Verdana" w:hAnsi="Verdana"/>
        </w:rPr>
      </w:pPr>
      <w:r w:rsidRPr="00972CDF">
        <w:rPr>
          <w:rFonts w:ascii="Verdana" w:hAnsi="Verdana"/>
        </w:rPr>
        <w:t xml:space="preserve">Reporting to international institutions is also an important working area of ECHA. In this respect, ECHA has started a reporting study that focuses on the rights of disabled children to be submitted to your Committee. In the first stage of this study, a pre-report was submitted to your Committee in June 2018 containing a general evaluation of the state report that Turkey submitted and the questions that are suggested to be put forward to Turkey. In this very stage, ECHA has prepared its final shadow report and submitted below for your evaluation. </w:t>
      </w:r>
    </w:p>
    <w:p w:rsidR="00972CDF" w:rsidRPr="00972CDF" w:rsidRDefault="00972CDF" w:rsidP="00972CDF">
      <w:pPr>
        <w:rPr>
          <w:rFonts w:ascii="Verdana" w:hAnsi="Verdana"/>
        </w:rPr>
      </w:pPr>
      <w:r w:rsidRPr="00972CDF">
        <w:rPr>
          <w:rFonts w:ascii="Verdana" w:hAnsi="Verdana"/>
        </w:rPr>
        <w:t xml:space="preserve">By means of this report and the questions in the attachment, ECHA aims to help build a more constructive and collaborative ground between the Republic of Turkey and the Committee, which is appropriate to the spirit of the convention. ECHA also envisages that any recommendation given on the basis of this report will be to the benefit of disabled children in Turkey. </w:t>
      </w:r>
    </w:p>
    <w:p w:rsidR="00A27A2A" w:rsidRPr="00972CDF" w:rsidRDefault="00972CDF" w:rsidP="00972CDF">
      <w:pPr>
        <w:rPr>
          <w:rFonts w:ascii="Verdana" w:hAnsi="Verdana"/>
        </w:rPr>
      </w:pPr>
      <w:r w:rsidRPr="00972CDF">
        <w:rPr>
          <w:rFonts w:ascii="Verdana" w:hAnsi="Verdana"/>
        </w:rPr>
        <w:t xml:space="preserve">In preparation of the chapter titled “General Evaluation” in which gathered information was shared, the data received from Ministry of Education through ECHA correspondences and from Monitoring Group of Rights of the Disabled, which is coordinated by the Social Rights and Research Association, </w:t>
      </w:r>
      <w:r w:rsidRPr="00972CDF">
        <w:rPr>
          <w:rFonts w:ascii="Verdana" w:hAnsi="Verdana"/>
        </w:rPr>
        <w:lastRenderedPageBreak/>
        <w:t>were used. In addition, the statements of 73 NGOs (comprising the network and are based in all over Turkey) concerning the problems faced in the field were recorded in preparation for this report and made use of when developing the questions submitted in the attachment of this report. All of the information and data given or referred to in this report is provable and based on evidence. The sources of this data is present at the network and at the NGOs comprising the network.</w:t>
      </w:r>
    </w:p>
    <w:p w:rsidR="00972CDF" w:rsidRP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rPr>
          <w:rFonts w:ascii="Verdana" w:hAnsi="Verdana"/>
        </w:rPr>
      </w:pPr>
    </w:p>
    <w:p w:rsidR="00972CDF" w:rsidRPr="00972CDF" w:rsidRDefault="00972CDF" w:rsidP="00972CDF">
      <w:pPr>
        <w:pStyle w:val="ListParagraph"/>
        <w:numPr>
          <w:ilvl w:val="0"/>
          <w:numId w:val="7"/>
        </w:numPr>
        <w:rPr>
          <w:b/>
        </w:rPr>
      </w:pPr>
      <w:r w:rsidRPr="00972CDF">
        <w:rPr>
          <w:b/>
        </w:rPr>
        <w:t>General Evaluation</w:t>
      </w:r>
    </w:p>
    <w:p w:rsidR="00972CDF" w:rsidRPr="00972CDF" w:rsidRDefault="00972CDF" w:rsidP="00972CDF">
      <w:pPr>
        <w:spacing w:before="120" w:after="120"/>
        <w:rPr>
          <w:rFonts w:ascii="Verdana" w:hAnsi="Verdana"/>
        </w:rPr>
      </w:pPr>
      <w:r w:rsidRPr="00972CDF">
        <w:rPr>
          <w:rFonts w:ascii="Verdana" w:hAnsi="Verdana"/>
        </w:rPr>
        <w:t xml:space="preserve">Turkey conducted significant studies on having disabled persons benefit from the right to education especially after 1997. The Decree Law No. 573 brought in extensive arrangements by regulating the educational services for </w:t>
      </w:r>
      <w:r w:rsidRPr="00972CDF">
        <w:rPr>
          <w:rFonts w:ascii="Verdana" w:hAnsi="Verdana"/>
        </w:rPr>
        <w:lastRenderedPageBreak/>
        <w:t xml:space="preserve">disabled persons in the year 1997. Law on Disabled Persons (LDP) No. 5378 that came in force in the year 2005 especially emphasized equal opportunity in the area of education and resolved that a disabled person cannot be deprived of his/her right to education. As it was stated in Turkey’s report, right to education is mainly guaranteed under the Constitution in the Article No. 42. From this point of view, as it was mentioned in the Turkey’s State Report, Article No. 175-178, there had been extensive legislative regulations in the past and these regulations do comply with the UN Convention on the Right of Persons with Disabilities. However, it is not possible to say that disabled persons benefit equally from the right to education under the principle of equalopportunity in Turkey today. </w:t>
      </w:r>
    </w:p>
    <w:p w:rsidR="00972CDF" w:rsidRPr="00972CDF" w:rsidRDefault="00972CDF" w:rsidP="00972CDF">
      <w:pPr>
        <w:spacing w:before="120" w:after="120"/>
        <w:rPr>
          <w:rFonts w:ascii="Verdana" w:hAnsi="Verdana"/>
        </w:rPr>
      </w:pPr>
      <w:r w:rsidRPr="00972CDF">
        <w:rPr>
          <w:rFonts w:ascii="Verdana" w:hAnsi="Verdana"/>
        </w:rPr>
        <w:t>Further in our shadow report, this situation will be affirmed by addressing each and every article that Turkey’s State Report submitted under the title of education. But for this chapter, the main reasons for this argument could be listed as such:</w:t>
      </w:r>
    </w:p>
    <w:p w:rsidR="00972CDF" w:rsidRPr="00972CDF" w:rsidRDefault="00972CDF" w:rsidP="00972CDF">
      <w:pPr>
        <w:spacing w:before="120" w:after="120"/>
        <w:rPr>
          <w:rFonts w:ascii="Verdana" w:hAnsi="Verdana"/>
        </w:rPr>
      </w:pPr>
    </w:p>
    <w:p w:rsidR="00972CDF" w:rsidRPr="00972CDF" w:rsidRDefault="00972CDF" w:rsidP="00972CDF">
      <w:pPr>
        <w:pStyle w:val="ListParagraph"/>
        <w:numPr>
          <w:ilvl w:val="1"/>
          <w:numId w:val="5"/>
        </w:numPr>
        <w:spacing w:before="120" w:after="120"/>
        <w:rPr>
          <w:b/>
        </w:rPr>
      </w:pPr>
      <w:r w:rsidRPr="00972CDF">
        <w:rPr>
          <w:b/>
        </w:rPr>
        <w:t>The Problem in the Application of the Legislation</w:t>
      </w:r>
    </w:p>
    <w:p w:rsidR="00972CDF" w:rsidRPr="00972CDF" w:rsidRDefault="00972CDF" w:rsidP="00972CDF">
      <w:pPr>
        <w:spacing w:before="120" w:after="120"/>
        <w:ind w:left="720"/>
        <w:contextualSpacing/>
        <w:rPr>
          <w:rFonts w:ascii="Verdana" w:hAnsi="Verdana"/>
          <w:b/>
        </w:rPr>
      </w:pPr>
    </w:p>
    <w:p w:rsidR="00972CDF" w:rsidRPr="00972CDF" w:rsidRDefault="00972CDF" w:rsidP="00972CDF">
      <w:pPr>
        <w:spacing w:before="120" w:after="120"/>
        <w:rPr>
          <w:rFonts w:ascii="Verdana" w:hAnsi="Verdana"/>
        </w:rPr>
      </w:pPr>
      <w:r w:rsidRPr="00972CDF">
        <w:rPr>
          <w:rFonts w:ascii="Verdana" w:hAnsi="Verdana"/>
        </w:rPr>
        <w:t xml:space="preserve">From past to present, the main problem of Turkey in the area of the education of disabled persons has been the insufficient rate of application of the general and special legal regulations that came in force in real life. The primary parameter indicating this situation is the statistical data on disabled children who have never been a part of the education system. </w:t>
      </w:r>
      <w:r w:rsidRPr="00972CDF">
        <w:rPr>
          <w:rFonts w:ascii="Verdana" w:hAnsi="Verdana"/>
        </w:rPr>
        <w:lastRenderedPageBreak/>
        <w:t xml:space="preserve">Indeed, there are more than one statistical result verifying this claim. </w:t>
      </w:r>
    </w:p>
    <w:p w:rsidR="00972CDF" w:rsidRPr="00972CDF" w:rsidRDefault="00972CDF" w:rsidP="00972CDF">
      <w:pPr>
        <w:spacing w:before="120" w:after="120"/>
        <w:rPr>
          <w:rFonts w:ascii="Verdana" w:hAnsi="Verdana"/>
        </w:rPr>
      </w:pPr>
      <w:r w:rsidRPr="00972CDF">
        <w:rPr>
          <w:rFonts w:ascii="Verdana" w:hAnsi="Verdana"/>
        </w:rPr>
        <w:t>The majority of disabled persons are never included in the education system despite K-12 education being compulsory for every individual, under the education legislation in Turkey. According to the study titled “Research on Problems and Expectations of Disabled Persons – 2010” which was carried out by the Directorate General of Services for the Elderly and Disabled (DGSED)</w:t>
      </w:r>
      <w:r w:rsidRPr="00972CDF">
        <w:rPr>
          <w:rStyle w:val="FootnoteReference"/>
          <w:rFonts w:ascii="Verdana" w:hAnsi="Verdana"/>
        </w:rPr>
        <w:footnoteReference w:id="1"/>
      </w:r>
      <w:r w:rsidRPr="00972CDF">
        <w:rPr>
          <w:rFonts w:ascii="Verdana" w:hAnsi="Verdana"/>
        </w:rPr>
        <w:t xml:space="preserve"> operating under the Ministry of Family, Labour and Social Services (MoFLSS)</w:t>
      </w:r>
      <w:r w:rsidRPr="00972CDF">
        <w:rPr>
          <w:rStyle w:val="FootnoteReference"/>
          <w:rFonts w:ascii="Verdana" w:hAnsi="Verdana"/>
        </w:rPr>
        <w:footnoteReference w:id="2"/>
      </w:r>
      <w:r w:rsidRPr="00972CDF">
        <w:rPr>
          <w:rFonts w:ascii="Verdana" w:hAnsi="Verdana"/>
        </w:rPr>
        <w:t>, illiteracy rate among disabled persons is 41.60 percent.</w:t>
      </w:r>
      <w:r w:rsidRPr="00972CDF">
        <w:rPr>
          <w:rFonts w:ascii="Verdana" w:hAnsi="Verdana"/>
          <w:vertAlign w:val="superscript"/>
        </w:rPr>
        <w:t xml:space="preserve">2 </w:t>
      </w:r>
      <w:r w:rsidRPr="00972CDF">
        <w:rPr>
          <w:rFonts w:ascii="Verdana" w:hAnsi="Verdana"/>
        </w:rPr>
        <w:t xml:space="preserve">Moreover, the “Housing and Population Census” conducted in 2011 by Turkish Statistical Institute states that 23.3% of disabled persons are not even literate, and 19% of the literate are not even primary school graduates. </w:t>
      </w:r>
      <w:r w:rsidRPr="00972CDF">
        <w:rPr>
          <w:rFonts w:ascii="Verdana" w:hAnsi="Verdana"/>
          <w:b/>
          <w:i/>
        </w:rPr>
        <w:t>In other words, 42.3% of disabled persons do not obtain education even at a primary school level.</w:t>
      </w:r>
      <w:r w:rsidRPr="00972CDF">
        <w:rPr>
          <w:rFonts w:ascii="Verdana" w:hAnsi="Verdana"/>
        </w:rPr>
        <w:t xml:space="preserve"> </w:t>
      </w:r>
    </w:p>
    <w:p w:rsidR="00972CDF" w:rsidRPr="00972CDF" w:rsidRDefault="00972CDF" w:rsidP="00972CDF">
      <w:pPr>
        <w:spacing w:before="120" w:after="120"/>
        <w:rPr>
          <w:rFonts w:ascii="Verdana" w:hAnsi="Verdana"/>
        </w:rPr>
      </w:pPr>
    </w:p>
    <w:p w:rsidR="00972CDF" w:rsidRPr="00972CDF" w:rsidRDefault="00972CDF" w:rsidP="00972CDF">
      <w:pPr>
        <w:spacing w:before="120" w:after="120"/>
        <w:rPr>
          <w:rFonts w:ascii="Verdana" w:hAnsi="Verdana"/>
        </w:rPr>
      </w:pPr>
      <w:r w:rsidRPr="00972CDF">
        <w:rPr>
          <w:rFonts w:ascii="Verdana" w:hAnsi="Verdana"/>
        </w:rPr>
        <w:t xml:space="preserve">Figures shared above exhibit the graveness of the problem faced especially by disabled persons due to the non-application of the current legislation for education. This situation </w:t>
      </w:r>
      <w:r w:rsidRPr="00972CDF">
        <w:rPr>
          <w:rFonts w:ascii="Verdana" w:hAnsi="Verdana"/>
        </w:rPr>
        <w:lastRenderedPageBreak/>
        <w:t xml:space="preserve">doubtlessly imbalances the equality of opportunities and causes discrimination. </w:t>
      </w:r>
    </w:p>
    <w:p w:rsidR="00972CDF" w:rsidRPr="00972CDF" w:rsidRDefault="00972CDF" w:rsidP="00972CDF">
      <w:pPr>
        <w:spacing w:before="120" w:after="120"/>
        <w:rPr>
          <w:rFonts w:ascii="Verdana" w:hAnsi="Verdana"/>
        </w:rPr>
      </w:pPr>
      <w:r w:rsidRPr="00972CDF">
        <w:rPr>
          <w:rFonts w:ascii="Verdana" w:hAnsi="Verdana"/>
        </w:rPr>
        <w:t xml:space="preserve">Likewise, there are 17 million 885 thousand and 248 students that benefit from formal education (at primary, secondary and high school levels) in Turkey according to statistics; however only 255 thousand and 169 disabled students obtained education under the frame of inclusive education in the 2017/2018 school year. When the number of students in special education classes and schools is included in this figure above, the total number of disabled persons who are part of the education system becomes 353 thousand and 610. Even though the exact number of disabled children of schooling age is not known in Turkey, the estimated number is at least 480 thousand children between the ages of 3-19, according to data from 2011 Population and Housing Survey. </w:t>
      </w:r>
      <w:r w:rsidRPr="00972CDF">
        <w:rPr>
          <w:rFonts w:ascii="Verdana" w:hAnsi="Verdana"/>
          <w:b/>
          <w:i/>
        </w:rPr>
        <w:t>This data shows that the majority of disabled children are not even in school.</w:t>
      </w:r>
      <w:r w:rsidRPr="00972CDF">
        <w:rPr>
          <w:rFonts w:ascii="Verdana" w:hAnsi="Verdana"/>
        </w:rPr>
        <w:t xml:space="preserve"> </w:t>
      </w:r>
      <w:r w:rsidRPr="00972CDF">
        <w:rPr>
          <w:rFonts w:ascii="Verdana" w:hAnsi="Verdana"/>
          <w:b/>
          <w:i/>
        </w:rPr>
        <w:t>Much as the rate of schooling of disabled students in Turkey is not known, it seems that the rate of schooling of disabled children that are accounted for, is lower than what it should be.</w:t>
      </w:r>
      <w:r w:rsidRPr="00972CDF">
        <w:rPr>
          <w:rFonts w:ascii="Verdana" w:hAnsi="Verdana"/>
        </w:rPr>
        <w:t xml:space="preserve"> In order to explain this situation, one might claim that all these disabled children who are out of the education system are so severely disabled (confined to bed or mentally retarded) that they cannot be made part of the education system. However, according to research results, illiteracy rate among the orthopedically handicapped, hearing impaired and visually impared persons with no mental retardation is above 20 percent. </w:t>
      </w:r>
    </w:p>
    <w:p w:rsidR="00972CDF" w:rsidRPr="00972CDF" w:rsidRDefault="00972CDF" w:rsidP="00972CDF">
      <w:pPr>
        <w:spacing w:before="120" w:after="120"/>
        <w:rPr>
          <w:rFonts w:ascii="Verdana" w:hAnsi="Verdana"/>
        </w:rPr>
      </w:pPr>
      <w:r w:rsidRPr="00972CDF">
        <w:rPr>
          <w:rFonts w:ascii="Verdana" w:hAnsi="Verdana"/>
        </w:rPr>
        <w:lastRenderedPageBreak/>
        <w:t xml:space="preserve">Turkish legislation on education holds a rich content (in terms of anti-discrimination, equality of opportunity, reasonable accomodation, access to information and services etc.). However, the provisions in law are not put into practice in the way they were idealized in the first place. The literacy rate of disabled persons is the major indicator of this fact. This case itself points out that the Republic of Turkey cannot effectively transpose and apply the laws it puts into force in real life situations. </w:t>
      </w:r>
    </w:p>
    <w:p w:rsidR="00972CDF" w:rsidRPr="00972CDF" w:rsidRDefault="00972CDF" w:rsidP="00972CDF">
      <w:pPr>
        <w:spacing w:before="120" w:after="120"/>
        <w:rPr>
          <w:rFonts w:ascii="Verdana" w:hAnsi="Verdana"/>
          <w:b/>
        </w:rPr>
      </w:pPr>
      <w:r w:rsidRPr="00972CDF">
        <w:rPr>
          <w:rFonts w:ascii="Verdana" w:hAnsi="Verdana"/>
          <w:b/>
        </w:rPr>
        <w:t>2.2. Lack of Investment for the Logistics and Human Resources Needed to Help Realize the Policies</w:t>
      </w:r>
    </w:p>
    <w:p w:rsidR="00972CDF" w:rsidRPr="00972CDF" w:rsidRDefault="00972CDF" w:rsidP="00972CDF">
      <w:pPr>
        <w:spacing w:before="120" w:after="120"/>
        <w:rPr>
          <w:rFonts w:ascii="Verdana" w:hAnsi="Verdana"/>
        </w:rPr>
      </w:pPr>
      <w:r w:rsidRPr="00972CDF">
        <w:rPr>
          <w:rFonts w:ascii="Verdana" w:hAnsi="Verdana"/>
        </w:rPr>
        <w:t xml:space="preserve">Republic of Turkey is eager to include disabled children in the education system. Since 2000, the Turkish State has been making an intense effort on this issue. Despite of its willingness, Turkey does not invest in the logistics and human resources that would facilitate the goals it puts forward. </w:t>
      </w:r>
    </w:p>
    <w:p w:rsidR="00972CDF" w:rsidRPr="00972CDF" w:rsidRDefault="00972CDF" w:rsidP="00972CDF">
      <w:pPr>
        <w:spacing w:before="120" w:after="120"/>
        <w:rPr>
          <w:rFonts w:ascii="Verdana" w:hAnsi="Verdana"/>
        </w:rPr>
      </w:pPr>
      <w:r w:rsidRPr="00972CDF">
        <w:rPr>
          <w:rFonts w:ascii="Verdana" w:hAnsi="Verdana"/>
        </w:rPr>
        <w:t xml:space="preserve">In the further stages of our shadow report, detailed evaluations on access to education, the expertise levels and numbers of professional educators and such will be shared. As a matter of fact, beyond the statistical data, the statements themselves made in the screening meeting by the 73 NGOs comprising ECHA, who work on different groups of disability and come from all regions of Turkey have already verified this argument. In statements made by the NGOs, it was overtly displayed that the accessibility arrangements at the majority of schools are still very insufficient (contrary to what was claimed in Turkey’s Report), special education classes are not </w:t>
      </w:r>
      <w:r w:rsidRPr="00972CDF">
        <w:rPr>
          <w:rFonts w:ascii="Verdana" w:hAnsi="Verdana"/>
        </w:rPr>
        <w:lastRenderedPageBreak/>
        <w:t xml:space="preserve">established in many schools due to a lack of teachers available for appointment and educational materials are far from adequate. Likewise, local and national visual and print media organisations have reported on numerous cases regarding this issue. </w:t>
      </w:r>
    </w:p>
    <w:p w:rsidR="00972CDF" w:rsidRPr="00972CDF" w:rsidRDefault="00972CDF" w:rsidP="00972CDF">
      <w:pPr>
        <w:spacing w:before="120" w:after="120"/>
        <w:rPr>
          <w:rFonts w:ascii="Verdana" w:hAnsi="Verdana"/>
        </w:rPr>
      </w:pPr>
      <w:r w:rsidRPr="00972CDF">
        <w:rPr>
          <w:rFonts w:ascii="Verdana" w:hAnsi="Verdana"/>
        </w:rPr>
        <w:t>Another prevailing problem is the provision of educational materials that would help both the quality of education and the success of disabled children in their school lives. In the process of preparing the shadow report, ECHA formally requested from the Ministry of Education, the quantitative data on educational materials provided for supplementary classrooms in inclusive schools. MoE’s formal reply evinced that it had only provided 1 million 248 thousand Turkish Liras (approximately 200 thousand Euros) worth of materials for the 255 thousand and 169 disabled students who received inclusive education in the 2017/2018 school year.</w:t>
      </w:r>
      <w:r w:rsidRPr="00972CDF">
        <w:rPr>
          <w:rStyle w:val="FootnoteReference"/>
          <w:rFonts w:ascii="Verdana" w:hAnsi="Verdana"/>
        </w:rPr>
        <w:footnoteReference w:id="3"/>
      </w:r>
    </w:p>
    <w:p w:rsidR="00972CDF" w:rsidRPr="00972CDF" w:rsidRDefault="00972CDF" w:rsidP="00972CDF">
      <w:pPr>
        <w:contextualSpacing/>
        <w:rPr>
          <w:rFonts w:ascii="Verdana" w:hAnsi="Verdana"/>
          <w:b/>
        </w:rPr>
      </w:pPr>
      <w:r w:rsidRPr="00972CDF">
        <w:rPr>
          <w:rFonts w:ascii="Verdana" w:hAnsi="Verdana"/>
          <w:b/>
        </w:rPr>
        <w:t>2.3. Lack of Extensive Action Plans and Strategic Planning and the Non-Application of What Is At Hand</w:t>
      </w:r>
    </w:p>
    <w:p w:rsidR="00972CDF" w:rsidRPr="00972CDF" w:rsidRDefault="00972CDF" w:rsidP="00972CDF">
      <w:pPr>
        <w:spacing w:before="120" w:after="120"/>
        <w:rPr>
          <w:rFonts w:ascii="Verdana" w:hAnsi="Verdana"/>
        </w:rPr>
      </w:pPr>
      <w:r w:rsidRPr="00972CDF">
        <w:rPr>
          <w:rFonts w:ascii="Verdana" w:hAnsi="Verdana"/>
        </w:rPr>
        <w:t xml:space="preserve">Action plans and strategic planning that are enforced by the government are of great importance for the fulfillment of the obligations accepted and pledged in the convention. Any action plans prepared with the participation and cooperation of Non-Governmental Organisations have better chances of producing </w:t>
      </w:r>
      <w:r w:rsidRPr="00972CDF">
        <w:rPr>
          <w:rFonts w:ascii="Verdana" w:hAnsi="Verdana"/>
        </w:rPr>
        <w:lastRenderedPageBreak/>
        <w:t xml:space="preserve">effective results. A work approach such as this also better suits the spirit of the convention. Since becoming a party to the convention, the government did not develop any action plans other than the two examples, and these two examples were not put into practice in real life. </w:t>
      </w:r>
    </w:p>
    <w:p w:rsidR="00972CDF" w:rsidRPr="00972CDF" w:rsidRDefault="00972CDF" w:rsidP="00972CDF">
      <w:pPr>
        <w:spacing w:before="120" w:after="120"/>
        <w:rPr>
          <w:rFonts w:ascii="Verdana" w:hAnsi="Verdana"/>
        </w:rPr>
      </w:pPr>
      <w:r w:rsidRPr="00972CDF">
        <w:rPr>
          <w:rFonts w:ascii="Verdana" w:hAnsi="Verdana"/>
        </w:rPr>
        <w:t>The Autism Action Plan is based on issue-specific demands that were conveyed through the efforts and workshops of the Autism Platform, which is an organisation comprised of 24 NGOs. This plan was made public as a draft of the Autism Action Plan together with MoFLSS. However, the application of the plan announced in 2013 never occured. The Action Plan came back on the public agenda again in November 2016 as a result of the pressure placed by the Assembly of Autism, a grassroots civil movement grown originally from the Autism Platform and set up by 83 associations, 7 foundations and 6 federations. As a result of lobbying activities conducted by the Assembly of Autism, this plan was transformed into a national legislation and published in the Official Gazzette, No. 29907 under the name “National Action Plan for Individuals with Autism Spectrum Disorder” on December 3</w:t>
      </w:r>
      <w:r w:rsidRPr="00972CDF">
        <w:rPr>
          <w:rFonts w:ascii="Verdana" w:hAnsi="Verdana"/>
          <w:vertAlign w:val="superscript"/>
        </w:rPr>
        <w:t>rd</w:t>
      </w:r>
      <w:r w:rsidRPr="00972CDF">
        <w:rPr>
          <w:rFonts w:ascii="Verdana" w:hAnsi="Verdana"/>
        </w:rPr>
        <w:t xml:space="preserve">, 2016. The plan posits content that appoints various Ministries and Institutions with tasks that would improve all the phases that individuals with autism and their families go through in their lives. </w:t>
      </w:r>
    </w:p>
    <w:p w:rsidR="00972CDF" w:rsidRPr="00972CDF" w:rsidRDefault="00972CDF" w:rsidP="00972CDF">
      <w:pPr>
        <w:spacing w:before="120" w:after="120"/>
        <w:rPr>
          <w:rFonts w:ascii="Verdana" w:hAnsi="Verdana"/>
        </w:rPr>
      </w:pPr>
      <w:r w:rsidRPr="00972CDF">
        <w:rPr>
          <w:rFonts w:ascii="Verdana" w:hAnsi="Verdana"/>
        </w:rPr>
        <w:t xml:space="preserve">Nevertheless, there have not been any improvements in the lives of individuals with autism and their families despite the decision being published in the Official Gazette. This plan -a major point of interest for hundreds of thousands of individuals with autism and their families- has come to a second halt right </w:t>
      </w:r>
      <w:r w:rsidRPr="00972CDF">
        <w:rPr>
          <w:rFonts w:ascii="Verdana" w:hAnsi="Verdana"/>
        </w:rPr>
        <w:lastRenderedPageBreak/>
        <w:t xml:space="preserve">after its announcement and it has not been converted into legal obligations even today, which marks the end of the envisaged real-life application period of the plan, due to line ministries failing to regulate their internal legislation by issuing circulars and by-laws. </w:t>
      </w:r>
    </w:p>
    <w:p w:rsidR="00972CDF" w:rsidRPr="00972CDF" w:rsidRDefault="00972CDF" w:rsidP="00972CDF">
      <w:pPr>
        <w:spacing w:before="120" w:after="120"/>
        <w:rPr>
          <w:rFonts w:ascii="Verdana" w:hAnsi="Verdana"/>
        </w:rPr>
      </w:pPr>
      <w:r w:rsidRPr="00972CDF">
        <w:rPr>
          <w:rFonts w:ascii="Verdana" w:hAnsi="Verdana"/>
        </w:rPr>
        <w:t xml:space="preserve">Moreover, some of the regulations made for different reasons caused end-results directly contradicting the content of the plan. Respective regulations posed by the National Action Plan are mistakenly considered to solely benefit individuals with autism, however in reality  said regulations themselves would be inclusive of other individuals with special needs, which in turn increases the importance of the plan. However, as  stated above, no concrete progress has been made concerning the plan. </w:t>
      </w:r>
    </w:p>
    <w:p w:rsidR="00972CDF" w:rsidRPr="00972CDF" w:rsidRDefault="00972CDF" w:rsidP="00972CDF">
      <w:pPr>
        <w:spacing w:before="120" w:after="120"/>
        <w:rPr>
          <w:rFonts w:ascii="Verdana" w:hAnsi="Verdana"/>
          <w:color w:val="000000" w:themeColor="text1"/>
        </w:rPr>
      </w:pPr>
      <w:r w:rsidRPr="00972CDF">
        <w:rPr>
          <w:rFonts w:ascii="Verdana" w:hAnsi="Verdana"/>
        </w:rPr>
        <w:t xml:space="preserve">The course of the Autism Action Plan does reveal that the Government of the Republic of Turkey has been trying its best in working on the issue with good will, but is having problems in building strategic approaches and plannings that would aid realize defined goals. </w:t>
      </w:r>
    </w:p>
    <w:p w:rsidR="00972CDF" w:rsidRPr="00972CDF" w:rsidRDefault="00972CDF" w:rsidP="00972CDF">
      <w:pPr>
        <w:spacing w:before="120" w:after="120"/>
        <w:rPr>
          <w:rFonts w:ascii="Verdana" w:hAnsi="Verdana"/>
          <w:color w:val="000000" w:themeColor="text1"/>
        </w:rPr>
      </w:pPr>
      <w:r w:rsidRPr="00972CDF">
        <w:rPr>
          <w:rFonts w:ascii="Verdana" w:hAnsi="Verdana"/>
          <w:color w:val="000000" w:themeColor="text1"/>
        </w:rPr>
        <w:t>On the other hand, no progress was made towards “2016/2020 Inherited Congenital Metabolism Diseases Action Plan” that was drawn up by relevant authorities on November 1</w:t>
      </w:r>
      <w:r w:rsidRPr="00972CDF">
        <w:rPr>
          <w:rFonts w:ascii="Verdana" w:hAnsi="Verdana"/>
          <w:color w:val="000000" w:themeColor="text1"/>
          <w:vertAlign w:val="superscript"/>
        </w:rPr>
        <w:t>st</w:t>
      </w:r>
      <w:r w:rsidRPr="00972CDF">
        <w:rPr>
          <w:rFonts w:ascii="Verdana" w:hAnsi="Verdana"/>
          <w:color w:val="000000" w:themeColor="text1"/>
        </w:rPr>
        <w:t xml:space="preserve">, 2016. </w:t>
      </w:r>
    </w:p>
    <w:p w:rsidR="00972CDF" w:rsidRPr="00972CDF" w:rsidRDefault="00972CDF" w:rsidP="00972CDF">
      <w:pPr>
        <w:spacing w:before="120" w:after="120"/>
        <w:rPr>
          <w:rFonts w:ascii="Verdana" w:hAnsi="Verdana"/>
        </w:rPr>
      </w:pPr>
      <w:r w:rsidRPr="00972CDF">
        <w:rPr>
          <w:rFonts w:ascii="Verdana" w:hAnsi="Verdana"/>
        </w:rPr>
        <w:t xml:space="preserve">This situation causes serious disappointment and hinders the motivation of the NGOs from the disability field, disabled persons themselves and their families. At this stage, if the government were to involve NGOs more actively in the </w:t>
      </w:r>
      <w:r w:rsidRPr="00972CDF">
        <w:rPr>
          <w:rFonts w:ascii="Verdana" w:hAnsi="Verdana"/>
        </w:rPr>
        <w:lastRenderedPageBreak/>
        <w:t>planning processes, viable and efficient plans would commence.</w:t>
      </w:r>
    </w:p>
    <w:p w:rsidR="00972CDF" w:rsidRPr="00972CDF" w:rsidRDefault="00972CDF" w:rsidP="00972CDF">
      <w:pPr>
        <w:spacing w:before="120" w:after="120"/>
        <w:rPr>
          <w:rFonts w:ascii="Verdana" w:hAnsi="Verdana"/>
        </w:rPr>
      </w:pPr>
    </w:p>
    <w:p w:rsidR="00972CDF" w:rsidRPr="00972CDF" w:rsidRDefault="00972CDF" w:rsidP="00972CDF">
      <w:pPr>
        <w:numPr>
          <w:ilvl w:val="1"/>
          <w:numId w:val="3"/>
        </w:numPr>
        <w:spacing w:after="0" w:line="276" w:lineRule="auto"/>
        <w:contextualSpacing/>
        <w:rPr>
          <w:rFonts w:ascii="Verdana" w:hAnsi="Verdana"/>
          <w:b/>
        </w:rPr>
      </w:pPr>
      <w:r w:rsidRPr="00972CDF">
        <w:rPr>
          <w:rFonts w:ascii="Verdana" w:hAnsi="Verdana"/>
          <w:b/>
        </w:rPr>
        <w:t xml:space="preserve">Problems and the Violation of Rights at Educational Institutions in the Course of Benefiting from Services These Institutions Provide </w:t>
      </w:r>
    </w:p>
    <w:p w:rsidR="00972CDF" w:rsidRPr="00972CDF" w:rsidRDefault="00972CDF" w:rsidP="00972CDF">
      <w:pPr>
        <w:spacing w:before="120" w:after="120"/>
        <w:rPr>
          <w:rFonts w:ascii="Verdana" w:hAnsi="Verdana"/>
          <w:color w:val="000000" w:themeColor="text1"/>
        </w:rPr>
      </w:pPr>
      <w:r w:rsidRPr="00972CDF">
        <w:rPr>
          <w:rFonts w:ascii="Verdana" w:hAnsi="Verdana"/>
          <w:color w:val="000000" w:themeColor="text1"/>
        </w:rPr>
        <w:t xml:space="preserve">During the monitoring studies that took place in the course of preparing the shadow report, it was observed that disabled children had been exposed to various violations of rights in their attempts to exercise their right to education. Such violations may be committed by the professional educators towards the disabled child and his family, by the typically developed child towards the disabled child, and even by the parents of the typically developed child towards the disabled child himself. </w:t>
      </w:r>
    </w:p>
    <w:p w:rsidR="00972CDF" w:rsidRPr="00972CDF" w:rsidRDefault="00972CDF" w:rsidP="00972CDF">
      <w:pPr>
        <w:spacing w:before="120" w:after="120"/>
        <w:rPr>
          <w:rFonts w:ascii="Verdana" w:hAnsi="Verdana"/>
          <w:color w:val="000000" w:themeColor="text1"/>
        </w:rPr>
      </w:pPr>
      <w:r w:rsidRPr="00972CDF">
        <w:rPr>
          <w:rFonts w:ascii="Verdana" w:hAnsi="Verdana"/>
          <w:color w:val="000000" w:themeColor="text1"/>
        </w:rPr>
        <w:t>It is not possible to detect the prevalence and intensity of the cases that are mentioned above and here is the reason why:</w:t>
      </w:r>
    </w:p>
    <w:p w:rsidR="00972CDF" w:rsidRPr="00972CDF" w:rsidRDefault="00972CDF" w:rsidP="00972CDF">
      <w:pPr>
        <w:pStyle w:val="ListParagraph"/>
        <w:numPr>
          <w:ilvl w:val="0"/>
          <w:numId w:val="2"/>
        </w:numPr>
        <w:spacing w:before="120" w:after="120"/>
        <w:ind w:left="714" w:hanging="357"/>
        <w:contextualSpacing w:val="0"/>
      </w:pPr>
      <w:r w:rsidRPr="00972CDF">
        <w:t xml:space="preserve">First of all, many families do not register a complaint to higher administrative authorities about incidents, nor do they resort to a judicial authority. </w:t>
      </w:r>
    </w:p>
    <w:p w:rsidR="00972CDF" w:rsidRPr="00972CDF" w:rsidRDefault="00972CDF" w:rsidP="00972CDF">
      <w:pPr>
        <w:pStyle w:val="ListParagraph"/>
        <w:numPr>
          <w:ilvl w:val="0"/>
          <w:numId w:val="2"/>
        </w:numPr>
        <w:spacing w:before="120" w:after="120"/>
        <w:ind w:left="714" w:hanging="357"/>
        <w:contextualSpacing w:val="0"/>
      </w:pPr>
      <w:r w:rsidRPr="00972CDF">
        <w:t xml:space="preserve">There is no unbundled database with case records in the Judiciary System.     </w:t>
      </w:r>
    </w:p>
    <w:p w:rsidR="00972CDF" w:rsidRPr="00972CDF" w:rsidRDefault="00972CDF" w:rsidP="00972CDF">
      <w:pPr>
        <w:pStyle w:val="ListParagraph"/>
        <w:numPr>
          <w:ilvl w:val="0"/>
          <w:numId w:val="2"/>
        </w:numPr>
        <w:spacing w:before="120" w:after="120"/>
        <w:ind w:left="714" w:hanging="357"/>
        <w:contextualSpacing w:val="0"/>
      </w:pPr>
      <w:r w:rsidRPr="00972CDF">
        <w:rPr>
          <w:color w:val="000000" w:themeColor="text1"/>
        </w:rPr>
        <w:t xml:space="preserve">On the other hand, MoE either does not keep a database on this issue or does not want to share that data. In the </w:t>
      </w:r>
      <w:r w:rsidRPr="00972CDF">
        <w:rPr>
          <w:color w:val="000000" w:themeColor="text1"/>
        </w:rPr>
        <w:lastRenderedPageBreak/>
        <w:t>course of the monitoring study conducted by Association for Social Rights and Research [TOHAD], a member of ECHA between the years of 2013 and 2016, this NGO requested information from the MoE asking for the number of complaints that had been made so far to the MoE regarding breaches of disabled students’ right to education (not being allowed to enroll at school, violence, maltreatment, harassment, abuse etc.) and what kind of decisions had been taken as a result of these complaints.</w:t>
      </w:r>
      <w:r w:rsidRPr="00972CDF">
        <w:rPr>
          <w:rStyle w:val="FootnoteReference"/>
          <w:color w:val="000000" w:themeColor="text1"/>
        </w:rPr>
        <w:footnoteReference w:id="4"/>
      </w:r>
      <w:r w:rsidRPr="00972CDF">
        <w:rPr>
          <w:color w:val="000000" w:themeColor="text1"/>
        </w:rPr>
        <w:t xml:space="preserve"> MoE only gave partial answers to these information requests and indicated that there had been no open and/or settled investigations about such violations. However, both the news in the media and the statements over the violation of individual rights indicate the situation to be quite the contrary. </w:t>
      </w:r>
    </w:p>
    <w:p w:rsidR="00972CDF" w:rsidRPr="00972CDF" w:rsidRDefault="00972CDF" w:rsidP="00972CDF">
      <w:pPr>
        <w:spacing w:before="120" w:after="120"/>
        <w:rPr>
          <w:rFonts w:ascii="Verdana" w:hAnsi="Verdana"/>
          <w:color w:val="000000" w:themeColor="text1"/>
        </w:rPr>
      </w:pPr>
      <w:r w:rsidRPr="00972CDF">
        <w:rPr>
          <w:rFonts w:ascii="Verdana" w:hAnsi="Verdana"/>
          <w:color w:val="000000" w:themeColor="text1"/>
        </w:rPr>
        <w:t>In the media screening studies of ECHA between February 2018 and November 2018, the number of different cases of breaches under multiple titles is 18.</w:t>
      </w:r>
    </w:p>
    <w:p w:rsidR="00972CDF" w:rsidRPr="00972CDF" w:rsidRDefault="00972CDF" w:rsidP="00972CDF">
      <w:pPr>
        <w:spacing w:before="120" w:after="120"/>
        <w:rPr>
          <w:rFonts w:ascii="Verdana" w:hAnsi="Verdana"/>
          <w:color w:val="000000" w:themeColor="text1"/>
        </w:rPr>
      </w:pPr>
    </w:p>
    <w:tbl>
      <w:tblPr>
        <w:tblW w:w="8620" w:type="dxa"/>
        <w:jc w:val="center"/>
        <w:tblCellMar>
          <w:left w:w="70" w:type="dxa"/>
          <w:right w:w="70" w:type="dxa"/>
        </w:tblCellMar>
        <w:tblLook w:val="04A0" w:firstRow="1" w:lastRow="0" w:firstColumn="1" w:lastColumn="0" w:noHBand="0" w:noVBand="1"/>
      </w:tblPr>
      <w:tblGrid>
        <w:gridCol w:w="6680"/>
        <w:gridCol w:w="1940"/>
      </w:tblGrid>
      <w:tr w:rsidR="00972CDF" w:rsidRPr="00972CDF" w:rsidTr="00A51491">
        <w:trPr>
          <w:trHeight w:val="399"/>
          <w:jc w:val="center"/>
        </w:trPr>
        <w:tc>
          <w:tcPr>
            <w:tcW w:w="8620" w:type="dxa"/>
            <w:gridSpan w:val="2"/>
            <w:tcBorders>
              <w:top w:val="single" w:sz="4" w:space="0" w:color="auto"/>
              <w:left w:val="single" w:sz="4" w:space="0" w:color="auto"/>
              <w:bottom w:val="single" w:sz="4" w:space="0" w:color="auto"/>
              <w:right w:val="single" w:sz="4" w:space="0" w:color="000000"/>
            </w:tcBorders>
            <w:shd w:val="clear" w:color="000000" w:fill="E4DFEC"/>
            <w:noWrap/>
            <w:vAlign w:val="center"/>
            <w:hideMark/>
          </w:tcPr>
          <w:p w:rsidR="00972CDF" w:rsidRPr="00972CDF" w:rsidRDefault="00972CDF" w:rsidP="00A51491">
            <w:pPr>
              <w:rPr>
                <w:rFonts w:ascii="Verdana" w:hAnsi="Verdana"/>
                <w:b/>
                <w:color w:val="000000"/>
              </w:rPr>
            </w:pPr>
            <w:r w:rsidRPr="00972CDF">
              <w:rPr>
                <w:rFonts w:ascii="Verdana" w:hAnsi="Verdana"/>
                <w:b/>
                <w:color w:val="000000"/>
              </w:rPr>
              <w:t>Categories of Cases (February 2018 – November 2018)</w:t>
            </w:r>
          </w:p>
        </w:tc>
      </w:tr>
      <w:tr w:rsidR="00972CDF" w:rsidRPr="00972CDF" w:rsidTr="00A51491">
        <w:trPr>
          <w:trHeight w:val="300"/>
          <w:jc w:val="center"/>
        </w:trPr>
        <w:tc>
          <w:tcPr>
            <w:tcW w:w="6680" w:type="dxa"/>
            <w:tcBorders>
              <w:top w:val="nil"/>
              <w:left w:val="single" w:sz="4" w:space="0" w:color="auto"/>
              <w:bottom w:val="single" w:sz="4" w:space="0" w:color="auto"/>
              <w:right w:val="single" w:sz="4" w:space="0" w:color="auto"/>
            </w:tcBorders>
            <w:shd w:val="clear" w:color="auto" w:fill="auto"/>
            <w:noWrap/>
            <w:vAlign w:val="center"/>
            <w:hideMark/>
          </w:tcPr>
          <w:p w:rsidR="00972CDF" w:rsidRPr="00972CDF" w:rsidRDefault="00972CDF" w:rsidP="00A51491">
            <w:pPr>
              <w:rPr>
                <w:rFonts w:ascii="Verdana" w:eastAsia="Times New Roman" w:hAnsi="Verdana"/>
                <w:b/>
                <w:bCs/>
                <w:color w:val="000000"/>
                <w:lang w:eastAsia="tr-TR"/>
              </w:rPr>
            </w:pPr>
            <w:r w:rsidRPr="00972CDF">
              <w:rPr>
                <w:rFonts w:ascii="Verdana" w:hAnsi="Verdana"/>
                <w:b/>
                <w:color w:val="000000"/>
              </w:rPr>
              <w:t xml:space="preserve">Cases </w:t>
            </w:r>
          </w:p>
        </w:tc>
        <w:tc>
          <w:tcPr>
            <w:tcW w:w="1940" w:type="dxa"/>
            <w:tcBorders>
              <w:top w:val="nil"/>
              <w:left w:val="nil"/>
              <w:bottom w:val="nil"/>
              <w:right w:val="single" w:sz="4" w:space="0" w:color="auto"/>
            </w:tcBorders>
            <w:shd w:val="clear" w:color="auto" w:fill="auto"/>
            <w:noWrap/>
            <w:vAlign w:val="center"/>
            <w:hideMark/>
          </w:tcPr>
          <w:p w:rsidR="00972CDF" w:rsidRPr="00972CDF" w:rsidRDefault="00972CDF" w:rsidP="00A51491">
            <w:pPr>
              <w:rPr>
                <w:rFonts w:ascii="Verdana" w:eastAsia="Times New Roman" w:hAnsi="Verdana"/>
                <w:b/>
                <w:bCs/>
                <w:color w:val="000000"/>
                <w:lang w:eastAsia="tr-TR"/>
              </w:rPr>
            </w:pPr>
            <w:r w:rsidRPr="00972CDF">
              <w:rPr>
                <w:rFonts w:ascii="Verdana" w:eastAsia="Times New Roman" w:hAnsi="Verdana"/>
                <w:b/>
                <w:bCs/>
                <w:color w:val="000000"/>
                <w:lang w:eastAsia="tr-TR"/>
              </w:rPr>
              <w:t>Numbers</w:t>
            </w:r>
          </w:p>
        </w:tc>
      </w:tr>
      <w:tr w:rsidR="00972CDF" w:rsidRPr="00972CDF" w:rsidTr="00A51491">
        <w:trPr>
          <w:trHeight w:val="300"/>
          <w:jc w:val="center"/>
        </w:trPr>
        <w:tc>
          <w:tcPr>
            <w:tcW w:w="6680" w:type="dxa"/>
            <w:tcBorders>
              <w:top w:val="nil"/>
              <w:left w:val="single" w:sz="4" w:space="0" w:color="auto"/>
              <w:bottom w:val="single" w:sz="4" w:space="0" w:color="auto"/>
              <w:right w:val="single" w:sz="4" w:space="0" w:color="auto"/>
            </w:tcBorders>
            <w:shd w:val="clear" w:color="000000" w:fill="FFFFFF"/>
            <w:vAlign w:val="center"/>
            <w:hideMark/>
          </w:tcPr>
          <w:p w:rsidR="00972CDF" w:rsidRPr="00972CDF" w:rsidRDefault="00972CDF" w:rsidP="00A51491">
            <w:pPr>
              <w:rPr>
                <w:rFonts w:ascii="Verdana" w:hAnsi="Verdana"/>
                <w:color w:val="000000"/>
              </w:rPr>
            </w:pPr>
            <w:r w:rsidRPr="00972CDF">
              <w:rPr>
                <w:rFonts w:ascii="Verdana" w:hAnsi="Verdana"/>
                <w:color w:val="000000"/>
              </w:rPr>
              <w:t>Physical Violence</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972CDF" w:rsidRPr="00972CDF" w:rsidRDefault="00972CDF" w:rsidP="00A51491">
            <w:pPr>
              <w:rPr>
                <w:rFonts w:ascii="Verdana" w:hAnsi="Verdana"/>
                <w:b/>
                <w:color w:val="000000"/>
              </w:rPr>
            </w:pPr>
            <w:r w:rsidRPr="00972CDF">
              <w:rPr>
                <w:rFonts w:ascii="Verdana" w:hAnsi="Verdana"/>
                <w:b/>
                <w:color w:val="000000"/>
              </w:rPr>
              <w:t>6</w:t>
            </w:r>
          </w:p>
        </w:tc>
      </w:tr>
      <w:tr w:rsidR="00972CDF" w:rsidRPr="00972CDF" w:rsidTr="00A51491">
        <w:trPr>
          <w:trHeight w:val="300"/>
          <w:jc w:val="center"/>
        </w:trPr>
        <w:tc>
          <w:tcPr>
            <w:tcW w:w="6680" w:type="dxa"/>
            <w:tcBorders>
              <w:top w:val="nil"/>
              <w:left w:val="single" w:sz="4" w:space="0" w:color="auto"/>
              <w:bottom w:val="single" w:sz="4" w:space="0" w:color="auto"/>
              <w:right w:val="single" w:sz="4" w:space="0" w:color="auto"/>
            </w:tcBorders>
            <w:shd w:val="clear" w:color="000000" w:fill="D9D9D9"/>
            <w:vAlign w:val="center"/>
            <w:hideMark/>
          </w:tcPr>
          <w:p w:rsidR="00972CDF" w:rsidRPr="00972CDF" w:rsidRDefault="00972CDF" w:rsidP="00A51491">
            <w:pPr>
              <w:rPr>
                <w:rFonts w:ascii="Verdana" w:hAnsi="Verdana"/>
                <w:color w:val="000000"/>
              </w:rPr>
            </w:pPr>
            <w:r w:rsidRPr="00972CDF">
              <w:rPr>
                <w:rFonts w:ascii="Verdana" w:hAnsi="Verdana"/>
                <w:color w:val="000000"/>
              </w:rPr>
              <w:t>Emotional Violence</w:t>
            </w:r>
          </w:p>
        </w:tc>
        <w:tc>
          <w:tcPr>
            <w:tcW w:w="1940" w:type="dxa"/>
            <w:tcBorders>
              <w:top w:val="nil"/>
              <w:left w:val="nil"/>
              <w:bottom w:val="single" w:sz="4" w:space="0" w:color="auto"/>
              <w:right w:val="single" w:sz="4" w:space="0" w:color="auto"/>
            </w:tcBorders>
            <w:shd w:val="clear" w:color="000000" w:fill="D9D9D9"/>
            <w:noWrap/>
            <w:vAlign w:val="center"/>
            <w:hideMark/>
          </w:tcPr>
          <w:p w:rsidR="00972CDF" w:rsidRPr="00972CDF" w:rsidRDefault="00972CDF" w:rsidP="00A51491">
            <w:pPr>
              <w:rPr>
                <w:rFonts w:ascii="Verdana" w:hAnsi="Verdana"/>
                <w:b/>
                <w:color w:val="000000"/>
              </w:rPr>
            </w:pPr>
            <w:r w:rsidRPr="00972CDF">
              <w:rPr>
                <w:rFonts w:ascii="Verdana" w:hAnsi="Verdana"/>
                <w:b/>
                <w:color w:val="000000"/>
              </w:rPr>
              <w:t>1</w:t>
            </w:r>
          </w:p>
        </w:tc>
      </w:tr>
      <w:tr w:rsidR="00972CDF" w:rsidRPr="00972CDF" w:rsidTr="00A51491">
        <w:trPr>
          <w:trHeight w:val="300"/>
          <w:jc w:val="center"/>
        </w:trPr>
        <w:tc>
          <w:tcPr>
            <w:tcW w:w="6680" w:type="dxa"/>
            <w:tcBorders>
              <w:top w:val="nil"/>
              <w:left w:val="single" w:sz="4" w:space="0" w:color="auto"/>
              <w:bottom w:val="single" w:sz="4" w:space="0" w:color="auto"/>
              <w:right w:val="single" w:sz="4" w:space="0" w:color="auto"/>
            </w:tcBorders>
            <w:shd w:val="clear" w:color="000000" w:fill="FFFFFF"/>
            <w:vAlign w:val="center"/>
            <w:hideMark/>
          </w:tcPr>
          <w:p w:rsidR="00972CDF" w:rsidRPr="00972CDF" w:rsidRDefault="00972CDF" w:rsidP="00A51491">
            <w:pPr>
              <w:rPr>
                <w:rFonts w:ascii="Verdana" w:hAnsi="Verdana"/>
                <w:color w:val="000000"/>
              </w:rPr>
            </w:pPr>
            <w:r w:rsidRPr="00972CDF">
              <w:rPr>
                <w:rFonts w:ascii="Verdana" w:hAnsi="Verdana"/>
                <w:color w:val="000000"/>
              </w:rPr>
              <w:lastRenderedPageBreak/>
              <w:t xml:space="preserve">Negligence </w:t>
            </w:r>
          </w:p>
        </w:tc>
        <w:tc>
          <w:tcPr>
            <w:tcW w:w="1940" w:type="dxa"/>
            <w:tcBorders>
              <w:top w:val="nil"/>
              <w:left w:val="nil"/>
              <w:bottom w:val="single" w:sz="4" w:space="0" w:color="auto"/>
              <w:right w:val="single" w:sz="4" w:space="0" w:color="auto"/>
            </w:tcBorders>
            <w:shd w:val="clear" w:color="000000" w:fill="FFFFFF"/>
            <w:noWrap/>
            <w:vAlign w:val="center"/>
            <w:hideMark/>
          </w:tcPr>
          <w:p w:rsidR="00972CDF" w:rsidRPr="00972CDF" w:rsidRDefault="00972CDF" w:rsidP="00A51491">
            <w:pPr>
              <w:rPr>
                <w:rFonts w:ascii="Verdana" w:hAnsi="Verdana"/>
                <w:b/>
                <w:color w:val="000000"/>
              </w:rPr>
            </w:pPr>
            <w:r w:rsidRPr="00972CDF">
              <w:rPr>
                <w:rFonts w:ascii="Verdana" w:hAnsi="Verdana"/>
                <w:b/>
                <w:color w:val="000000"/>
              </w:rPr>
              <w:t>3</w:t>
            </w:r>
          </w:p>
        </w:tc>
      </w:tr>
      <w:tr w:rsidR="00972CDF" w:rsidRPr="00972CDF" w:rsidTr="00A51491">
        <w:trPr>
          <w:trHeight w:val="300"/>
          <w:jc w:val="center"/>
        </w:trPr>
        <w:tc>
          <w:tcPr>
            <w:tcW w:w="6680" w:type="dxa"/>
            <w:tcBorders>
              <w:top w:val="nil"/>
              <w:left w:val="single" w:sz="4" w:space="0" w:color="auto"/>
              <w:bottom w:val="single" w:sz="4" w:space="0" w:color="auto"/>
              <w:right w:val="single" w:sz="4" w:space="0" w:color="auto"/>
            </w:tcBorders>
            <w:shd w:val="clear" w:color="000000" w:fill="D9D9D9"/>
            <w:vAlign w:val="center"/>
            <w:hideMark/>
          </w:tcPr>
          <w:p w:rsidR="00972CDF" w:rsidRPr="00972CDF" w:rsidRDefault="00972CDF" w:rsidP="00A51491">
            <w:pPr>
              <w:rPr>
                <w:rFonts w:ascii="Verdana" w:hAnsi="Verdana"/>
                <w:color w:val="000000"/>
              </w:rPr>
            </w:pPr>
            <w:r w:rsidRPr="00972CDF">
              <w:rPr>
                <w:rFonts w:ascii="Verdana" w:hAnsi="Verdana"/>
                <w:color w:val="000000"/>
              </w:rPr>
              <w:t>Exploitation</w:t>
            </w:r>
          </w:p>
        </w:tc>
        <w:tc>
          <w:tcPr>
            <w:tcW w:w="1940" w:type="dxa"/>
            <w:tcBorders>
              <w:top w:val="nil"/>
              <w:left w:val="nil"/>
              <w:bottom w:val="single" w:sz="4" w:space="0" w:color="auto"/>
              <w:right w:val="single" w:sz="4" w:space="0" w:color="auto"/>
            </w:tcBorders>
            <w:shd w:val="clear" w:color="000000" w:fill="D9D9D9"/>
            <w:noWrap/>
            <w:vAlign w:val="center"/>
            <w:hideMark/>
          </w:tcPr>
          <w:p w:rsidR="00972CDF" w:rsidRPr="00972CDF" w:rsidRDefault="00972CDF" w:rsidP="00A51491">
            <w:pPr>
              <w:rPr>
                <w:rFonts w:ascii="Verdana" w:hAnsi="Verdana"/>
                <w:b/>
                <w:color w:val="000000"/>
              </w:rPr>
            </w:pPr>
            <w:r w:rsidRPr="00972CDF">
              <w:rPr>
                <w:rFonts w:ascii="Verdana" w:hAnsi="Verdana"/>
                <w:b/>
                <w:color w:val="000000"/>
              </w:rPr>
              <w:t>1</w:t>
            </w:r>
          </w:p>
        </w:tc>
      </w:tr>
      <w:tr w:rsidR="00972CDF" w:rsidRPr="00972CDF" w:rsidTr="00A51491">
        <w:trPr>
          <w:trHeight w:val="300"/>
          <w:jc w:val="center"/>
        </w:trPr>
        <w:tc>
          <w:tcPr>
            <w:tcW w:w="6680" w:type="dxa"/>
            <w:tcBorders>
              <w:top w:val="nil"/>
              <w:left w:val="single" w:sz="4" w:space="0" w:color="auto"/>
              <w:bottom w:val="single" w:sz="4" w:space="0" w:color="auto"/>
              <w:right w:val="single" w:sz="4" w:space="0" w:color="auto"/>
            </w:tcBorders>
            <w:shd w:val="clear" w:color="000000" w:fill="FFFFFF"/>
            <w:vAlign w:val="center"/>
            <w:hideMark/>
          </w:tcPr>
          <w:p w:rsidR="00972CDF" w:rsidRPr="00972CDF" w:rsidRDefault="00972CDF" w:rsidP="00A51491">
            <w:pPr>
              <w:rPr>
                <w:rFonts w:ascii="Verdana" w:hAnsi="Verdana"/>
                <w:color w:val="000000"/>
              </w:rPr>
            </w:pPr>
            <w:r w:rsidRPr="00972CDF">
              <w:rPr>
                <w:rFonts w:ascii="Verdana" w:hAnsi="Verdana"/>
                <w:color w:val="000000"/>
              </w:rPr>
              <w:t xml:space="preserve">Accessibility  </w:t>
            </w:r>
          </w:p>
        </w:tc>
        <w:tc>
          <w:tcPr>
            <w:tcW w:w="1940" w:type="dxa"/>
            <w:tcBorders>
              <w:top w:val="nil"/>
              <w:left w:val="nil"/>
              <w:bottom w:val="single" w:sz="4" w:space="0" w:color="auto"/>
              <w:right w:val="single" w:sz="4" w:space="0" w:color="auto"/>
            </w:tcBorders>
            <w:shd w:val="clear" w:color="000000" w:fill="FFFFFF"/>
            <w:noWrap/>
            <w:vAlign w:val="center"/>
            <w:hideMark/>
          </w:tcPr>
          <w:p w:rsidR="00972CDF" w:rsidRPr="00972CDF" w:rsidRDefault="00972CDF" w:rsidP="00A51491">
            <w:pPr>
              <w:rPr>
                <w:rFonts w:ascii="Verdana" w:hAnsi="Verdana"/>
                <w:b/>
                <w:color w:val="000000"/>
              </w:rPr>
            </w:pPr>
            <w:r w:rsidRPr="00972CDF">
              <w:rPr>
                <w:rFonts w:ascii="Verdana" w:hAnsi="Verdana"/>
                <w:b/>
                <w:color w:val="000000"/>
              </w:rPr>
              <w:t>3</w:t>
            </w:r>
          </w:p>
        </w:tc>
      </w:tr>
      <w:tr w:rsidR="00972CDF" w:rsidRPr="00972CDF" w:rsidTr="00A51491">
        <w:trPr>
          <w:trHeight w:val="300"/>
          <w:jc w:val="center"/>
        </w:trPr>
        <w:tc>
          <w:tcPr>
            <w:tcW w:w="6680" w:type="dxa"/>
            <w:tcBorders>
              <w:top w:val="nil"/>
              <w:left w:val="single" w:sz="4" w:space="0" w:color="auto"/>
              <w:bottom w:val="single" w:sz="4" w:space="0" w:color="auto"/>
              <w:right w:val="single" w:sz="4" w:space="0" w:color="auto"/>
            </w:tcBorders>
            <w:shd w:val="clear" w:color="000000" w:fill="D9D9D9"/>
            <w:vAlign w:val="center"/>
            <w:hideMark/>
          </w:tcPr>
          <w:p w:rsidR="00972CDF" w:rsidRPr="00972CDF" w:rsidRDefault="00972CDF" w:rsidP="00A51491">
            <w:pPr>
              <w:rPr>
                <w:rFonts w:ascii="Verdana" w:hAnsi="Verdana"/>
                <w:color w:val="000000"/>
              </w:rPr>
            </w:pPr>
            <w:r w:rsidRPr="00972CDF">
              <w:rPr>
                <w:rFonts w:ascii="Verdana" w:hAnsi="Verdana"/>
                <w:color w:val="000000"/>
              </w:rPr>
              <w:t>Admission for Enrollment at School</w:t>
            </w:r>
          </w:p>
        </w:tc>
        <w:tc>
          <w:tcPr>
            <w:tcW w:w="1940" w:type="dxa"/>
            <w:tcBorders>
              <w:top w:val="nil"/>
              <w:left w:val="nil"/>
              <w:bottom w:val="single" w:sz="4" w:space="0" w:color="auto"/>
              <w:right w:val="single" w:sz="4" w:space="0" w:color="auto"/>
            </w:tcBorders>
            <w:shd w:val="clear" w:color="000000" w:fill="D9D9D9"/>
            <w:noWrap/>
            <w:vAlign w:val="center"/>
            <w:hideMark/>
          </w:tcPr>
          <w:p w:rsidR="00972CDF" w:rsidRPr="00972CDF" w:rsidRDefault="00972CDF" w:rsidP="00A51491">
            <w:pPr>
              <w:rPr>
                <w:rFonts w:ascii="Verdana" w:hAnsi="Verdana"/>
                <w:b/>
                <w:color w:val="000000"/>
              </w:rPr>
            </w:pPr>
            <w:r w:rsidRPr="00972CDF">
              <w:rPr>
                <w:rFonts w:ascii="Verdana" w:hAnsi="Verdana"/>
                <w:b/>
                <w:color w:val="000000"/>
              </w:rPr>
              <w:t>1</w:t>
            </w:r>
          </w:p>
        </w:tc>
      </w:tr>
      <w:tr w:rsidR="00972CDF" w:rsidRPr="00972CDF" w:rsidTr="00A51491">
        <w:trPr>
          <w:trHeight w:val="300"/>
          <w:jc w:val="center"/>
        </w:trPr>
        <w:tc>
          <w:tcPr>
            <w:tcW w:w="6680" w:type="dxa"/>
            <w:tcBorders>
              <w:top w:val="nil"/>
              <w:left w:val="single" w:sz="4" w:space="0" w:color="auto"/>
              <w:bottom w:val="single" w:sz="4" w:space="0" w:color="auto"/>
              <w:right w:val="single" w:sz="4" w:space="0" w:color="auto"/>
            </w:tcBorders>
            <w:shd w:val="clear" w:color="000000" w:fill="FFFFFF"/>
            <w:vAlign w:val="center"/>
            <w:hideMark/>
          </w:tcPr>
          <w:p w:rsidR="00972CDF" w:rsidRPr="00972CDF" w:rsidRDefault="00972CDF" w:rsidP="00A51491">
            <w:pPr>
              <w:rPr>
                <w:rFonts w:ascii="Verdana" w:hAnsi="Verdana"/>
                <w:color w:val="000000"/>
              </w:rPr>
            </w:pPr>
            <w:r w:rsidRPr="00972CDF">
              <w:rPr>
                <w:rFonts w:ascii="Verdana" w:hAnsi="Verdana"/>
                <w:color w:val="000000"/>
              </w:rPr>
              <w:t>Crimes of Physical Violence and Sexual Inviolability</w:t>
            </w:r>
          </w:p>
        </w:tc>
        <w:tc>
          <w:tcPr>
            <w:tcW w:w="1940" w:type="dxa"/>
            <w:tcBorders>
              <w:top w:val="nil"/>
              <w:left w:val="nil"/>
              <w:bottom w:val="single" w:sz="4" w:space="0" w:color="auto"/>
              <w:right w:val="single" w:sz="4" w:space="0" w:color="auto"/>
            </w:tcBorders>
            <w:shd w:val="clear" w:color="000000" w:fill="FFFFFF"/>
            <w:noWrap/>
            <w:vAlign w:val="center"/>
            <w:hideMark/>
          </w:tcPr>
          <w:p w:rsidR="00972CDF" w:rsidRPr="00972CDF" w:rsidRDefault="00972CDF" w:rsidP="00A51491">
            <w:pPr>
              <w:rPr>
                <w:rFonts w:ascii="Verdana" w:hAnsi="Verdana"/>
                <w:b/>
                <w:color w:val="000000"/>
              </w:rPr>
            </w:pPr>
            <w:r w:rsidRPr="00972CDF">
              <w:rPr>
                <w:rFonts w:ascii="Verdana" w:hAnsi="Verdana"/>
                <w:b/>
                <w:color w:val="000000"/>
              </w:rPr>
              <w:t>1</w:t>
            </w:r>
          </w:p>
        </w:tc>
      </w:tr>
      <w:tr w:rsidR="00972CDF" w:rsidRPr="00972CDF" w:rsidTr="00A51491">
        <w:trPr>
          <w:trHeight w:val="300"/>
          <w:jc w:val="center"/>
        </w:trPr>
        <w:tc>
          <w:tcPr>
            <w:tcW w:w="6680" w:type="dxa"/>
            <w:tcBorders>
              <w:top w:val="nil"/>
              <w:left w:val="single" w:sz="4" w:space="0" w:color="auto"/>
              <w:bottom w:val="single" w:sz="4" w:space="0" w:color="auto"/>
              <w:right w:val="single" w:sz="4" w:space="0" w:color="auto"/>
            </w:tcBorders>
            <w:shd w:val="clear" w:color="000000" w:fill="D9D9D9"/>
            <w:vAlign w:val="center"/>
            <w:hideMark/>
          </w:tcPr>
          <w:p w:rsidR="00972CDF" w:rsidRPr="00972CDF" w:rsidRDefault="00972CDF" w:rsidP="00A51491">
            <w:pPr>
              <w:rPr>
                <w:rFonts w:ascii="Verdana" w:hAnsi="Verdana"/>
                <w:color w:val="000000"/>
              </w:rPr>
            </w:pPr>
            <w:r w:rsidRPr="00972CDF">
              <w:rPr>
                <w:rFonts w:ascii="Verdana" w:hAnsi="Verdana"/>
                <w:color w:val="000000"/>
              </w:rPr>
              <w:t>Other</w:t>
            </w:r>
          </w:p>
        </w:tc>
        <w:tc>
          <w:tcPr>
            <w:tcW w:w="1940" w:type="dxa"/>
            <w:tcBorders>
              <w:top w:val="nil"/>
              <w:left w:val="nil"/>
              <w:bottom w:val="single" w:sz="4" w:space="0" w:color="auto"/>
              <w:right w:val="single" w:sz="4" w:space="0" w:color="auto"/>
            </w:tcBorders>
            <w:shd w:val="clear" w:color="000000" w:fill="D9D9D9"/>
            <w:noWrap/>
            <w:vAlign w:val="center"/>
            <w:hideMark/>
          </w:tcPr>
          <w:p w:rsidR="00972CDF" w:rsidRPr="00972CDF" w:rsidRDefault="00972CDF" w:rsidP="00A51491">
            <w:pPr>
              <w:rPr>
                <w:rFonts w:ascii="Verdana" w:hAnsi="Verdana"/>
                <w:b/>
                <w:color w:val="000000"/>
              </w:rPr>
            </w:pPr>
            <w:r w:rsidRPr="00972CDF">
              <w:rPr>
                <w:rFonts w:ascii="Verdana" w:hAnsi="Verdana"/>
                <w:b/>
                <w:color w:val="000000"/>
              </w:rPr>
              <w:t>2</w:t>
            </w:r>
          </w:p>
        </w:tc>
      </w:tr>
      <w:tr w:rsidR="00972CDF" w:rsidRPr="00972CDF" w:rsidTr="00A51491">
        <w:trPr>
          <w:trHeight w:val="300"/>
          <w:jc w:val="center"/>
        </w:trPr>
        <w:tc>
          <w:tcPr>
            <w:tcW w:w="6680" w:type="dxa"/>
            <w:tcBorders>
              <w:top w:val="nil"/>
              <w:left w:val="single" w:sz="4" w:space="0" w:color="auto"/>
              <w:bottom w:val="single" w:sz="4" w:space="0" w:color="auto"/>
              <w:right w:val="single" w:sz="4" w:space="0" w:color="auto"/>
            </w:tcBorders>
            <w:shd w:val="clear" w:color="auto" w:fill="auto"/>
            <w:noWrap/>
            <w:vAlign w:val="center"/>
            <w:hideMark/>
          </w:tcPr>
          <w:p w:rsidR="00972CDF" w:rsidRPr="00972CDF" w:rsidRDefault="00972CDF" w:rsidP="00A51491">
            <w:pPr>
              <w:rPr>
                <w:rFonts w:ascii="Verdana" w:hAnsi="Verdana"/>
                <w:b/>
                <w:color w:val="000000"/>
              </w:rPr>
            </w:pPr>
            <w:r w:rsidRPr="00972CDF">
              <w:rPr>
                <w:rFonts w:ascii="Verdana" w:hAnsi="Verdana"/>
                <w:b/>
                <w:color w:val="000000"/>
              </w:rPr>
              <w:t>Total</w:t>
            </w:r>
          </w:p>
        </w:tc>
        <w:tc>
          <w:tcPr>
            <w:tcW w:w="1940" w:type="dxa"/>
            <w:tcBorders>
              <w:top w:val="nil"/>
              <w:left w:val="nil"/>
              <w:bottom w:val="single" w:sz="4" w:space="0" w:color="auto"/>
              <w:right w:val="single" w:sz="4" w:space="0" w:color="auto"/>
            </w:tcBorders>
            <w:shd w:val="clear" w:color="auto" w:fill="auto"/>
            <w:noWrap/>
            <w:vAlign w:val="center"/>
            <w:hideMark/>
          </w:tcPr>
          <w:p w:rsidR="00972CDF" w:rsidRPr="00972CDF" w:rsidRDefault="00972CDF" w:rsidP="00A51491">
            <w:pPr>
              <w:rPr>
                <w:rFonts w:ascii="Verdana" w:hAnsi="Verdana"/>
                <w:b/>
                <w:color w:val="000000"/>
              </w:rPr>
            </w:pPr>
            <w:r w:rsidRPr="00972CDF">
              <w:rPr>
                <w:rFonts w:ascii="Verdana" w:hAnsi="Verdana"/>
                <w:b/>
                <w:color w:val="000000"/>
              </w:rPr>
              <w:t>18</w:t>
            </w:r>
          </w:p>
        </w:tc>
      </w:tr>
    </w:tbl>
    <w:p w:rsidR="00972CDF" w:rsidRPr="00972CDF" w:rsidRDefault="00972CDF" w:rsidP="00972CDF">
      <w:pPr>
        <w:spacing w:before="120" w:after="120"/>
        <w:rPr>
          <w:rFonts w:ascii="Verdana" w:hAnsi="Verdana"/>
          <w:color w:val="000000" w:themeColor="text1"/>
        </w:rPr>
      </w:pPr>
      <w:r w:rsidRPr="00972CDF">
        <w:rPr>
          <w:rFonts w:ascii="Verdana" w:hAnsi="Verdana"/>
          <w:color w:val="000000" w:themeColor="text1"/>
        </w:rPr>
        <w:t xml:space="preserve">Table 1: Number of newspaper reports about incidents concerning disabled students </w:t>
      </w:r>
    </w:p>
    <w:p w:rsidR="00972CDF" w:rsidRPr="00972CDF" w:rsidRDefault="00972CDF" w:rsidP="00972CDF">
      <w:pPr>
        <w:spacing w:before="120" w:after="120"/>
        <w:rPr>
          <w:rFonts w:ascii="Verdana" w:hAnsi="Verdana"/>
          <w:color w:val="000000" w:themeColor="text1"/>
        </w:rPr>
      </w:pPr>
    </w:p>
    <w:p w:rsidR="00972CDF" w:rsidRPr="00972CDF" w:rsidRDefault="00972CDF" w:rsidP="00972CDF">
      <w:pPr>
        <w:spacing w:before="120" w:after="120"/>
        <w:rPr>
          <w:rFonts w:ascii="Verdana" w:hAnsi="Verdana"/>
        </w:rPr>
      </w:pPr>
      <w:r w:rsidRPr="00972CDF">
        <w:rPr>
          <w:rFonts w:ascii="Verdana" w:hAnsi="Verdana"/>
        </w:rPr>
        <w:t xml:space="preserve">Cases of right to education breaches reported in the media are not coincidental, as they are repetitive in every era and similar cases have always occurred according to the data available. Similar cases of violations were found out in the research conducted by TOHAD, a member of ECHA, covering the year 2013. According to the aforementioned research, 87 news reports came out covering cases of maltreatment, violence and abuse towards disabled persons at schools or rehabilitation centers they attended for the school year 2012/2013. It is no doubt that these are the cases that have found grounds for visibility in the media and they are just the tip of the iceberg. </w:t>
      </w:r>
    </w:p>
    <w:p w:rsidR="00972CDF" w:rsidRPr="00972CDF" w:rsidRDefault="00972CDF" w:rsidP="00972CDF">
      <w:pPr>
        <w:spacing w:before="120" w:after="120"/>
        <w:rPr>
          <w:rFonts w:ascii="Verdana" w:hAnsi="Verdana"/>
        </w:rPr>
      </w:pPr>
      <w:r w:rsidRPr="00972CDF">
        <w:rPr>
          <w:rFonts w:ascii="Verdana" w:hAnsi="Verdana"/>
        </w:rPr>
        <w:t xml:space="preserve">The most striking cases of violation observed in the monitoring studies are the physical-sexual-emotional incidents of violence towards disabled students. In recent years, the frequency of news reports in the media covering such attacks, violence and sexual abuse have specifically risen. Maltreatment, violence </w:t>
      </w:r>
      <w:r w:rsidRPr="00972CDF">
        <w:rPr>
          <w:rFonts w:ascii="Verdana" w:hAnsi="Verdana"/>
        </w:rPr>
        <w:lastRenderedPageBreak/>
        <w:t xml:space="preserve">and abuse disabled students face while utilizing educational services became prevalent topics in the news cycle. </w:t>
      </w:r>
    </w:p>
    <w:p w:rsidR="00972CDF" w:rsidRPr="00972CDF" w:rsidRDefault="00972CDF" w:rsidP="00972CDF">
      <w:pPr>
        <w:spacing w:before="120" w:after="120"/>
        <w:rPr>
          <w:rFonts w:ascii="Verdana" w:hAnsi="Verdana"/>
        </w:rPr>
      </w:pPr>
      <w:r w:rsidRPr="00972CDF">
        <w:rPr>
          <w:rFonts w:ascii="Verdana" w:hAnsi="Verdana"/>
        </w:rPr>
        <w:t>When disabled individuals are in educational environments (schools, rehabilitation centers etc.), they are out of the monitoring zone of their caregivers as these institutions are places where their children receive education and thought to be protected by means of security.</w:t>
      </w:r>
    </w:p>
    <w:p w:rsidR="00972CDF" w:rsidRPr="00972CDF" w:rsidRDefault="00972CDF" w:rsidP="00972CDF">
      <w:pPr>
        <w:spacing w:before="120" w:after="120"/>
        <w:rPr>
          <w:rFonts w:ascii="Verdana" w:hAnsi="Verdana"/>
        </w:rPr>
      </w:pPr>
      <w:r w:rsidRPr="00972CDF">
        <w:rPr>
          <w:rFonts w:ascii="Verdana" w:hAnsi="Verdana"/>
        </w:rPr>
        <w:t>After this finding, one needs to question why and how these types of incidents take place at institutions that operate under the MoE. In the same vein, probable problem loci could be listed as follows:</w:t>
      </w:r>
    </w:p>
    <w:p w:rsidR="00972CDF" w:rsidRPr="00972CDF" w:rsidRDefault="00972CDF" w:rsidP="00972CDF">
      <w:pPr>
        <w:numPr>
          <w:ilvl w:val="0"/>
          <w:numId w:val="1"/>
        </w:numPr>
        <w:spacing w:before="120" w:after="120" w:line="276" w:lineRule="auto"/>
        <w:rPr>
          <w:rFonts w:ascii="Verdana" w:hAnsi="Verdana"/>
        </w:rPr>
      </w:pPr>
      <w:r w:rsidRPr="00972CDF">
        <w:rPr>
          <w:rFonts w:ascii="Verdana" w:hAnsi="Verdana"/>
        </w:rPr>
        <w:t xml:space="preserve">The first possibility that comes to mind is that Ministry’s control over the institutions it licenses is not intensive enough. </w:t>
      </w:r>
    </w:p>
    <w:p w:rsidR="00972CDF" w:rsidRPr="00972CDF" w:rsidRDefault="00972CDF" w:rsidP="00972CDF">
      <w:pPr>
        <w:numPr>
          <w:ilvl w:val="0"/>
          <w:numId w:val="1"/>
        </w:numPr>
        <w:spacing w:before="120" w:after="120" w:line="276" w:lineRule="auto"/>
        <w:rPr>
          <w:rFonts w:ascii="Verdana" w:hAnsi="Verdana"/>
        </w:rPr>
      </w:pPr>
      <w:r w:rsidRPr="00972CDF">
        <w:rPr>
          <w:rFonts w:ascii="Verdana" w:hAnsi="Verdana"/>
        </w:rPr>
        <w:t xml:space="preserve">Psycho-social health conditions of people who work at various posts in educational institutions are either not reviewed or poorly reviewed. </w:t>
      </w:r>
    </w:p>
    <w:p w:rsidR="00972CDF" w:rsidRPr="00972CDF" w:rsidRDefault="00972CDF" w:rsidP="00972CDF">
      <w:pPr>
        <w:numPr>
          <w:ilvl w:val="0"/>
          <w:numId w:val="1"/>
        </w:numPr>
        <w:spacing w:before="120" w:after="120" w:line="276" w:lineRule="auto"/>
        <w:rPr>
          <w:rFonts w:ascii="Verdana" w:hAnsi="Verdana"/>
        </w:rPr>
      </w:pPr>
      <w:r w:rsidRPr="00972CDF">
        <w:rPr>
          <w:rFonts w:ascii="Verdana" w:hAnsi="Verdana"/>
        </w:rPr>
        <w:t xml:space="preserve">Families are not fully attentive to the maltreatment, violence and abuse happening; they also do not know how to prevent such events, nor do they have the ability to catch such occurrences as they happen. For it is understood from the news reports that many of the events were recurrent and some even occurred systematically while families remained unaware. </w:t>
      </w:r>
    </w:p>
    <w:p w:rsidR="00972CDF" w:rsidRPr="00972CDF" w:rsidRDefault="00972CDF" w:rsidP="00972CDF">
      <w:pPr>
        <w:spacing w:before="120" w:after="120"/>
        <w:rPr>
          <w:rFonts w:ascii="Verdana" w:hAnsi="Verdana"/>
        </w:rPr>
      </w:pPr>
      <w:r w:rsidRPr="00972CDF">
        <w:rPr>
          <w:rFonts w:ascii="Verdana" w:hAnsi="Verdana"/>
        </w:rPr>
        <w:lastRenderedPageBreak/>
        <w:t xml:space="preserve">According to information gathered from member NGOs of the network and the monitoring study data, the most significant problem encountered at the beginning of enrollment or progression to higher grades is the school administration denying admission to disabled children citing numerous reasons. The resistance starting from the school administration extends towards the teachers to a degree that teachers might not accept disabled students in their classroom.  </w:t>
      </w:r>
    </w:p>
    <w:p w:rsidR="00972CDF" w:rsidRPr="00972CDF" w:rsidRDefault="00972CDF" w:rsidP="00972CDF">
      <w:pPr>
        <w:spacing w:before="120" w:after="120"/>
        <w:rPr>
          <w:rFonts w:ascii="Verdana" w:hAnsi="Verdana"/>
        </w:rPr>
      </w:pPr>
      <w:r w:rsidRPr="00972CDF">
        <w:rPr>
          <w:rFonts w:ascii="Verdana" w:hAnsi="Verdana"/>
        </w:rPr>
        <w:t xml:space="preserve">The problem of the rejection and resistance to disabled students’ enrollment is usually the case in point with Autism Spectrum Disorder, hyperactivity or Asperger’s syndrome. On the other hand, the problems that orthopedically handicapped children face during their enrollments are about accessibility. News in the media display the fact that orthopedically handicapped children are placed either to relatively suitable schools located too far away from where they live or to schools nearer but with accessibility problems. </w:t>
      </w:r>
    </w:p>
    <w:p w:rsidR="00972CDF" w:rsidRPr="00972CDF" w:rsidRDefault="00972CDF" w:rsidP="00972CDF">
      <w:pPr>
        <w:spacing w:before="120" w:after="120"/>
        <w:rPr>
          <w:rFonts w:ascii="Verdana" w:hAnsi="Verdana"/>
        </w:rPr>
      </w:pPr>
      <w:r w:rsidRPr="00972CDF">
        <w:rPr>
          <w:rFonts w:ascii="Verdana" w:hAnsi="Verdana"/>
        </w:rPr>
        <w:t>It is not possible to detect the number of disabled children and families that go through these problems every year. Unfortunately, families do not notify related authorities in writing to report abuse or demand solutions. In turn, problems faced remain unrecorded. Therefore, it becomes impossible to come up with comprehensive numbers of abused achildren and follow up with these cases.</w:t>
      </w:r>
    </w:p>
    <w:p w:rsidR="00972CDF" w:rsidRPr="00972CDF" w:rsidRDefault="00972CDF" w:rsidP="00972CDF">
      <w:pPr>
        <w:rPr>
          <w:rFonts w:ascii="Verdana" w:hAnsi="Verdana"/>
        </w:rPr>
      </w:pPr>
    </w:p>
    <w:sectPr w:rsidR="00972CDF" w:rsidRPr="00972CDF">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5169" w:rsidRDefault="00375169" w:rsidP="00972CDF">
      <w:pPr>
        <w:spacing w:after="0" w:line="240" w:lineRule="auto"/>
      </w:pPr>
      <w:r>
        <w:separator/>
      </w:r>
    </w:p>
  </w:endnote>
  <w:endnote w:type="continuationSeparator" w:id="0">
    <w:p w:rsidR="00375169" w:rsidRDefault="00375169" w:rsidP="0097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2458013"/>
      <w:docPartObj>
        <w:docPartGallery w:val="Page Numbers (Bottom of Page)"/>
        <w:docPartUnique/>
      </w:docPartObj>
    </w:sdtPr>
    <w:sdtEndPr/>
    <w:sdtContent>
      <w:p w:rsidR="00972CDF" w:rsidRDefault="00972CDF">
        <w:pPr>
          <w:pStyle w:val="Footer"/>
          <w:jc w:val="right"/>
        </w:pPr>
        <w:r>
          <w:fldChar w:fldCharType="begin"/>
        </w:r>
        <w:r>
          <w:instrText>PAGE   \* MERGEFORMAT</w:instrText>
        </w:r>
        <w:r>
          <w:fldChar w:fldCharType="separate"/>
        </w:r>
        <w:r w:rsidR="00277DEA">
          <w:rPr>
            <w:noProof/>
          </w:rPr>
          <w:t>11</w:t>
        </w:r>
        <w:r>
          <w:fldChar w:fldCharType="end"/>
        </w:r>
      </w:p>
    </w:sdtContent>
  </w:sdt>
  <w:p w:rsidR="00972CDF" w:rsidRDefault="00972C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5169" w:rsidRDefault="00375169" w:rsidP="00972CDF">
      <w:pPr>
        <w:spacing w:after="0" w:line="240" w:lineRule="auto"/>
      </w:pPr>
      <w:r>
        <w:separator/>
      </w:r>
    </w:p>
  </w:footnote>
  <w:footnote w:type="continuationSeparator" w:id="0">
    <w:p w:rsidR="00375169" w:rsidRDefault="00375169" w:rsidP="00972CDF">
      <w:pPr>
        <w:spacing w:after="0" w:line="240" w:lineRule="auto"/>
      </w:pPr>
      <w:r>
        <w:continuationSeparator/>
      </w:r>
    </w:p>
  </w:footnote>
  <w:footnote w:id="1">
    <w:p w:rsidR="00972CDF" w:rsidRDefault="00972CDF" w:rsidP="00972CDF">
      <w:pPr>
        <w:pStyle w:val="FootnoteText"/>
      </w:pPr>
      <w:r>
        <w:rPr>
          <w:rStyle w:val="FootnoteReference"/>
        </w:rPr>
        <w:footnoteRef/>
      </w:r>
      <w:r>
        <w:rPr>
          <w:rFonts w:ascii="Verdana" w:hAnsi="Verdana"/>
          <w:sz w:val="16"/>
          <w:szCs w:val="16"/>
        </w:rPr>
        <w:t xml:space="preserve">Statistical Information on Disabled Persons, T.R. Ministry of Family and Social Policies, </w:t>
      </w:r>
      <w:bookmarkStart w:id="1" w:name="_Hlk519820"/>
      <w:r>
        <w:t>Directorate General of Services for the Elderly and Disabled</w:t>
      </w:r>
      <w:bookmarkEnd w:id="1"/>
      <w:r>
        <w:t>, Department of Research Development and Projects, March 2014 Bulletin, p.13</w:t>
      </w:r>
    </w:p>
    <w:p w:rsidR="00972CDF" w:rsidRDefault="00972CDF" w:rsidP="00972CDF">
      <w:pPr>
        <w:pStyle w:val="FootnoteText"/>
      </w:pPr>
    </w:p>
  </w:footnote>
  <w:footnote w:id="2">
    <w:p w:rsidR="00972CDF" w:rsidRDefault="00972CDF" w:rsidP="00972CDF">
      <w:pPr>
        <w:pStyle w:val="FootnoteText"/>
      </w:pPr>
      <w:r>
        <w:rPr>
          <w:rStyle w:val="FootnoteReference"/>
        </w:rPr>
        <w:footnoteRef/>
      </w:r>
      <w:r>
        <w:t xml:space="preserve"> </w:t>
      </w:r>
      <w:r>
        <w:rPr>
          <w:rFonts w:ascii="Verdana" w:hAnsi="Verdana"/>
          <w:sz w:val="16"/>
          <w:szCs w:val="16"/>
        </w:rPr>
        <w:t xml:space="preserve">The name of the Ministry of Family and Social Policies was changed into </w:t>
      </w:r>
      <w:bookmarkStart w:id="2" w:name="_Hlk519285"/>
      <w:r>
        <w:t>Ministry of Family, Labor and Social Work</w:t>
      </w:r>
      <w:bookmarkEnd w:id="2"/>
    </w:p>
    <w:p w:rsidR="00972CDF" w:rsidRDefault="00972CDF" w:rsidP="00972CDF">
      <w:pPr>
        <w:pStyle w:val="FootnoteText"/>
      </w:pPr>
    </w:p>
  </w:footnote>
  <w:footnote w:id="3">
    <w:p w:rsidR="00972CDF" w:rsidRPr="009F1545" w:rsidRDefault="00972CDF" w:rsidP="00972CDF">
      <w:pPr>
        <w:pStyle w:val="FootnoteText"/>
        <w:rPr>
          <w:rFonts w:ascii="Verdana" w:hAnsi="Verdana"/>
          <w:sz w:val="16"/>
          <w:szCs w:val="16"/>
        </w:rPr>
      </w:pPr>
      <w:r>
        <w:rPr>
          <w:rStyle w:val="FootnoteReference"/>
        </w:rPr>
        <w:footnoteRef/>
      </w:r>
      <w:r>
        <w:t xml:space="preserve"> </w:t>
      </w:r>
      <w:r>
        <w:rPr>
          <w:rFonts w:ascii="Verdana" w:hAnsi="Verdana"/>
          <w:sz w:val="16"/>
          <w:szCs w:val="16"/>
        </w:rPr>
        <w:t>The o</w:t>
      </w:r>
      <w:r w:rsidRPr="00F94DDC">
        <w:rPr>
          <w:rFonts w:ascii="Verdana" w:hAnsi="Verdana"/>
          <w:sz w:val="16"/>
          <w:szCs w:val="16"/>
        </w:rPr>
        <w:t>fficial</w:t>
      </w:r>
      <w:r>
        <w:rPr>
          <w:rFonts w:ascii="Verdana" w:hAnsi="Verdana"/>
          <w:sz w:val="16"/>
          <w:szCs w:val="16"/>
        </w:rPr>
        <w:t xml:space="preserve"> reply of MoE Directorate of Special Education and Guidance Services sent to the Association of the Ones with Down Syndrome, an ECHA member, upon the association’s request of information. The document is dated as 25</w:t>
      </w:r>
      <w:r>
        <w:rPr>
          <w:rFonts w:ascii="Verdana" w:hAnsi="Verdana"/>
          <w:sz w:val="16"/>
          <w:szCs w:val="16"/>
          <w:vertAlign w:val="superscript"/>
        </w:rPr>
        <w:t>th</w:t>
      </w:r>
      <w:r>
        <w:rPr>
          <w:rFonts w:ascii="Verdana" w:hAnsi="Verdana"/>
          <w:sz w:val="16"/>
          <w:szCs w:val="16"/>
        </w:rPr>
        <w:t xml:space="preserve"> May, 2018 and numbered </w:t>
      </w:r>
      <w:r w:rsidRPr="00FC6014">
        <w:rPr>
          <w:rFonts w:ascii="Verdana" w:hAnsi="Verdana"/>
          <w:sz w:val="16"/>
          <w:szCs w:val="16"/>
        </w:rPr>
        <w:t>80342757-622.01-E10266988</w:t>
      </w:r>
      <w:r>
        <w:rPr>
          <w:rFonts w:ascii="Verdana" w:hAnsi="Verdana"/>
          <w:sz w:val="16"/>
          <w:szCs w:val="16"/>
        </w:rPr>
        <w:t>.</w:t>
      </w:r>
    </w:p>
    <w:p w:rsidR="00972CDF" w:rsidRDefault="00972CDF" w:rsidP="00972CDF">
      <w:pPr>
        <w:pStyle w:val="FootnoteText"/>
      </w:pPr>
    </w:p>
  </w:footnote>
  <w:footnote w:id="4">
    <w:p w:rsidR="00972CDF" w:rsidRDefault="00972CDF" w:rsidP="00972CDF">
      <w:pPr>
        <w:pStyle w:val="Gvdemetni0"/>
        <w:shd w:val="clear" w:color="auto" w:fill="auto"/>
        <w:spacing w:line="240" w:lineRule="auto"/>
        <w:rPr>
          <w:rFonts w:ascii="Verdana" w:hAnsi="Verdana"/>
          <w:sz w:val="16"/>
          <w:szCs w:val="16"/>
        </w:rPr>
      </w:pPr>
      <w:r>
        <w:rPr>
          <w:rStyle w:val="FootnoteReference"/>
        </w:rPr>
        <w:footnoteRef/>
      </w:r>
      <w:r>
        <w:t xml:space="preserve"> </w:t>
      </w:r>
      <w:r>
        <w:rPr>
          <w:rFonts w:ascii="Verdana" w:hAnsi="Verdana"/>
          <w:sz w:val="16"/>
          <w:szCs w:val="16"/>
        </w:rPr>
        <w:t>The reply in writing from MoE Bureau of Press and Public Relations, dated 29</w:t>
      </w:r>
      <w:r>
        <w:rPr>
          <w:rFonts w:ascii="Verdana" w:hAnsi="Verdana"/>
          <w:sz w:val="16"/>
          <w:szCs w:val="16"/>
          <w:vertAlign w:val="superscript"/>
        </w:rPr>
        <w:t xml:space="preserve">th </w:t>
      </w:r>
      <w:r>
        <w:rPr>
          <w:rFonts w:ascii="Verdana" w:hAnsi="Verdana"/>
          <w:sz w:val="16"/>
          <w:szCs w:val="16"/>
        </w:rPr>
        <w:t xml:space="preserve"> November, 2013 and numbered </w:t>
      </w:r>
      <w:r w:rsidRPr="00FC6014">
        <w:rPr>
          <w:rFonts w:ascii="Verdana" w:hAnsi="Verdana"/>
          <w:sz w:val="16"/>
          <w:szCs w:val="16"/>
        </w:rPr>
        <w:t>86839228/622.03/3615480</w:t>
      </w:r>
      <w:r>
        <w:rPr>
          <w:rFonts w:ascii="Verdana" w:hAnsi="Verdana"/>
          <w:sz w:val="16"/>
          <w:szCs w:val="16"/>
        </w:rPr>
        <w:t>.</w:t>
      </w:r>
    </w:p>
    <w:p w:rsidR="00972CDF" w:rsidRDefault="00972CDF" w:rsidP="00972CDF">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E22DD"/>
    <w:multiLevelType w:val="hybridMultilevel"/>
    <w:tmpl w:val="B9767706"/>
    <w:lvl w:ilvl="0" w:tplc="041F000F">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283714C"/>
    <w:multiLevelType w:val="hybridMultilevel"/>
    <w:tmpl w:val="9FF040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32D51AC"/>
    <w:multiLevelType w:val="multilevel"/>
    <w:tmpl w:val="F5F2C8AA"/>
    <w:lvl w:ilvl="0">
      <w:start w:val="2"/>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2CCF2CE1"/>
    <w:multiLevelType w:val="hybridMultilevel"/>
    <w:tmpl w:val="D354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2F452B"/>
    <w:multiLevelType w:val="multilevel"/>
    <w:tmpl w:val="9F42328A"/>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763E032E"/>
    <w:multiLevelType w:val="multilevel"/>
    <w:tmpl w:val="D50CCB62"/>
    <w:lvl w:ilvl="0">
      <w:start w:val="1"/>
      <w:numFmt w:val="decimal"/>
      <w:lvlText w:val="%1."/>
      <w:lvlJc w:val="left"/>
      <w:pPr>
        <w:ind w:left="502" w:hanging="360"/>
      </w:pPr>
      <w:rPr>
        <w:rFonts w:hint="default"/>
        <w:b/>
      </w:rPr>
    </w:lvl>
    <w:lvl w:ilvl="1">
      <w:start w:val="1"/>
      <w:numFmt w:val="decimal"/>
      <w:isLgl/>
      <w:lvlText w:val="%1.%2."/>
      <w:lvlJc w:val="left"/>
      <w:pPr>
        <w:ind w:left="1222" w:hanging="720"/>
      </w:pPr>
      <w:rPr>
        <w:rFonts w:hint="default"/>
      </w:rPr>
    </w:lvl>
    <w:lvl w:ilvl="2">
      <w:start w:val="1"/>
      <w:numFmt w:val="decimal"/>
      <w:isLgl/>
      <w:lvlText w:val="%1.%2.%3."/>
      <w:lvlJc w:val="left"/>
      <w:pPr>
        <w:ind w:left="1942" w:hanging="1080"/>
      </w:pPr>
      <w:rPr>
        <w:rFonts w:hint="default"/>
      </w:rPr>
    </w:lvl>
    <w:lvl w:ilvl="3">
      <w:start w:val="1"/>
      <w:numFmt w:val="decimal"/>
      <w:isLgl/>
      <w:lvlText w:val="%1.%2.%3.%4."/>
      <w:lvlJc w:val="left"/>
      <w:pPr>
        <w:ind w:left="2302" w:hanging="1080"/>
      </w:pPr>
      <w:rPr>
        <w:rFonts w:hint="default"/>
      </w:rPr>
    </w:lvl>
    <w:lvl w:ilvl="4">
      <w:start w:val="1"/>
      <w:numFmt w:val="decimal"/>
      <w:isLgl/>
      <w:lvlText w:val="%1.%2.%3.%4.%5."/>
      <w:lvlJc w:val="left"/>
      <w:pPr>
        <w:ind w:left="3022" w:hanging="1440"/>
      </w:pPr>
      <w:rPr>
        <w:rFonts w:hint="default"/>
      </w:rPr>
    </w:lvl>
    <w:lvl w:ilvl="5">
      <w:start w:val="1"/>
      <w:numFmt w:val="decimal"/>
      <w:isLgl/>
      <w:lvlText w:val="%1.%2.%3.%4.%5.%6."/>
      <w:lvlJc w:val="left"/>
      <w:pPr>
        <w:ind w:left="3742" w:hanging="1800"/>
      </w:pPr>
      <w:rPr>
        <w:rFonts w:hint="default"/>
      </w:rPr>
    </w:lvl>
    <w:lvl w:ilvl="6">
      <w:start w:val="1"/>
      <w:numFmt w:val="decimal"/>
      <w:isLgl/>
      <w:lvlText w:val="%1.%2.%3.%4.%5.%6.%7."/>
      <w:lvlJc w:val="left"/>
      <w:pPr>
        <w:ind w:left="4462" w:hanging="2160"/>
      </w:pPr>
      <w:rPr>
        <w:rFonts w:hint="default"/>
      </w:rPr>
    </w:lvl>
    <w:lvl w:ilvl="7">
      <w:start w:val="1"/>
      <w:numFmt w:val="decimal"/>
      <w:isLgl/>
      <w:lvlText w:val="%1.%2.%3.%4.%5.%6.%7.%8."/>
      <w:lvlJc w:val="left"/>
      <w:pPr>
        <w:ind w:left="4822" w:hanging="2160"/>
      </w:pPr>
      <w:rPr>
        <w:rFonts w:hint="default"/>
      </w:rPr>
    </w:lvl>
    <w:lvl w:ilvl="8">
      <w:start w:val="1"/>
      <w:numFmt w:val="decimal"/>
      <w:isLgl/>
      <w:lvlText w:val="%1.%2.%3.%4.%5.%6.%7.%8.%9."/>
      <w:lvlJc w:val="left"/>
      <w:pPr>
        <w:ind w:left="5542" w:hanging="2520"/>
      </w:pPr>
      <w:rPr>
        <w:rFonts w:hint="default"/>
      </w:rPr>
    </w:lvl>
  </w:abstractNum>
  <w:abstractNum w:abstractNumId="6" w15:restartNumberingAfterBreak="0">
    <w:nsid w:val="7D7541BC"/>
    <w:multiLevelType w:val="hybridMultilevel"/>
    <w:tmpl w:val="F6B6373A"/>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1"/>
  </w:num>
  <w:num w:numId="2">
    <w:abstractNumId w:val="3"/>
  </w:num>
  <w:num w:numId="3">
    <w:abstractNumId w:val="2"/>
  </w:num>
  <w:num w:numId="4">
    <w:abstractNumId w:val="6"/>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CDF"/>
    <w:rsid w:val="00277DEA"/>
    <w:rsid w:val="00375169"/>
    <w:rsid w:val="00972CDF"/>
    <w:rsid w:val="00A27A2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7DF43D-F911-492B-B232-6A1499FC3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972CDF"/>
    <w:pPr>
      <w:spacing w:after="0" w:line="240" w:lineRule="auto"/>
    </w:pPr>
    <w:rPr>
      <w:rFonts w:ascii="Times New Roman" w:eastAsia="Times New Roman" w:hAnsi="Times New Roman" w:cs="Times New Roman"/>
      <w:sz w:val="20"/>
      <w:szCs w:val="20"/>
      <w:lang w:eastAsia="tr-TR"/>
    </w:rPr>
  </w:style>
  <w:style w:type="character" w:customStyle="1" w:styleId="FootnoteTextChar">
    <w:name w:val="Footnote Text Char"/>
    <w:basedOn w:val="DefaultParagraphFont"/>
    <w:link w:val="FootnoteText"/>
    <w:uiPriority w:val="99"/>
    <w:rsid w:val="00972CDF"/>
    <w:rPr>
      <w:rFonts w:ascii="Times New Roman" w:eastAsia="Times New Roman" w:hAnsi="Times New Roman" w:cs="Times New Roman"/>
      <w:sz w:val="20"/>
      <w:szCs w:val="20"/>
      <w:lang w:eastAsia="tr-TR"/>
    </w:rPr>
  </w:style>
  <w:style w:type="character" w:styleId="FootnoteReference">
    <w:name w:val="footnote reference"/>
    <w:aliases w:val="Footnote Reference Superscript"/>
    <w:basedOn w:val="DefaultParagraphFont"/>
    <w:uiPriority w:val="99"/>
    <w:rsid w:val="00972CDF"/>
    <w:rPr>
      <w:vertAlign w:val="superscript"/>
    </w:rPr>
  </w:style>
  <w:style w:type="paragraph" w:styleId="ListParagraph">
    <w:name w:val="List Paragraph"/>
    <w:basedOn w:val="Normal"/>
    <w:uiPriority w:val="34"/>
    <w:qFormat/>
    <w:rsid w:val="00972CDF"/>
    <w:pPr>
      <w:spacing w:after="0" w:line="276" w:lineRule="auto"/>
      <w:ind w:left="720"/>
      <w:contextualSpacing/>
    </w:pPr>
    <w:rPr>
      <w:rFonts w:ascii="Verdana" w:eastAsia="Calibri" w:hAnsi="Verdana" w:cs="Times New Roman"/>
    </w:rPr>
  </w:style>
  <w:style w:type="character" w:customStyle="1" w:styleId="Gvdemetni">
    <w:name w:val="Gövde metni_"/>
    <w:basedOn w:val="DefaultParagraphFont"/>
    <w:link w:val="Gvdemetni0"/>
    <w:rsid w:val="00972CDF"/>
    <w:rPr>
      <w:rFonts w:ascii="Times New Roman" w:eastAsia="Times New Roman" w:hAnsi="Times New Roman"/>
      <w:shd w:val="clear" w:color="auto" w:fill="FFFFFF"/>
    </w:rPr>
  </w:style>
  <w:style w:type="paragraph" w:customStyle="1" w:styleId="Gvdemetni0">
    <w:name w:val="Gövde metni"/>
    <w:basedOn w:val="Normal"/>
    <w:link w:val="Gvdemetni"/>
    <w:rsid w:val="00972CDF"/>
    <w:pPr>
      <w:shd w:val="clear" w:color="auto" w:fill="FFFFFF"/>
      <w:spacing w:after="0" w:line="288" w:lineRule="exact"/>
    </w:pPr>
    <w:rPr>
      <w:rFonts w:ascii="Times New Roman" w:eastAsia="Times New Roman" w:hAnsi="Times New Roman"/>
    </w:rPr>
  </w:style>
  <w:style w:type="paragraph" w:styleId="Footer">
    <w:name w:val="footer"/>
    <w:basedOn w:val="Normal"/>
    <w:link w:val="FooterChar"/>
    <w:uiPriority w:val="99"/>
    <w:unhideWhenUsed/>
    <w:rsid w:val="00972CDF"/>
    <w:pPr>
      <w:tabs>
        <w:tab w:val="center" w:pos="4320"/>
        <w:tab w:val="right" w:pos="8640"/>
      </w:tabs>
      <w:spacing w:after="0" w:line="240" w:lineRule="auto"/>
    </w:pPr>
    <w:rPr>
      <w:rFonts w:ascii="Verdana" w:eastAsia="Calibri" w:hAnsi="Verdana" w:cs="Times New Roman"/>
    </w:rPr>
  </w:style>
  <w:style w:type="character" w:customStyle="1" w:styleId="FooterChar">
    <w:name w:val="Footer Char"/>
    <w:basedOn w:val="DefaultParagraphFont"/>
    <w:link w:val="Footer"/>
    <w:uiPriority w:val="99"/>
    <w:rsid w:val="00972CDF"/>
    <w:rPr>
      <w:rFonts w:ascii="Verdana" w:eastAsia="Calibri" w:hAnsi="Verdana" w:cs="Times New Roman"/>
    </w:rPr>
  </w:style>
  <w:style w:type="paragraph" w:customStyle="1" w:styleId="Default">
    <w:name w:val="Default"/>
    <w:rsid w:val="00972CDF"/>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972CDF"/>
    <w:pPr>
      <w:tabs>
        <w:tab w:val="center" w:pos="4536"/>
        <w:tab w:val="right" w:pos="9072"/>
      </w:tabs>
      <w:spacing w:after="0" w:line="240" w:lineRule="auto"/>
    </w:pPr>
  </w:style>
  <w:style w:type="character" w:customStyle="1" w:styleId="HeaderChar">
    <w:name w:val="Header Char"/>
    <w:basedOn w:val="DefaultParagraphFont"/>
    <w:link w:val="Header"/>
    <w:uiPriority w:val="99"/>
    <w:rsid w:val="00972C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AF560C-BB35-4735-99FC-112994B71807}"/>
</file>

<file path=customXml/itemProps2.xml><?xml version="1.0" encoding="utf-8"?>
<ds:datastoreItem xmlns:ds="http://schemas.openxmlformats.org/officeDocument/2006/customXml" ds:itemID="{D5383A67-8AC4-4C34-8314-F99B566600BA}"/>
</file>

<file path=customXml/itemProps3.xml><?xml version="1.0" encoding="utf-8"?>
<ds:datastoreItem xmlns:ds="http://schemas.openxmlformats.org/officeDocument/2006/customXml" ds:itemID="{A5E8CA5B-944A-46F7-B56D-D8CA2B3B89FA}"/>
</file>

<file path=docProps/app.xml><?xml version="1.0" encoding="utf-8"?>
<Properties xmlns="http://schemas.openxmlformats.org/officeDocument/2006/extended-properties" xmlns:vt="http://schemas.openxmlformats.org/officeDocument/2006/docPropsVTypes">
  <Template>Normal.dotm</Template>
  <TotalTime>0</TotalTime>
  <Pages>13</Pages>
  <Words>3670</Words>
  <Characters>20924</Characters>
  <Application>Microsoft Office Word</Application>
  <DocSecurity>4</DocSecurity>
  <Lines>174</Lines>
  <Paragraphs>49</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24545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Ekin Gencer</dc:creator>
  <cp:keywords/>
  <dc:description/>
  <cp:lastModifiedBy>CAILLOT Lucille</cp:lastModifiedBy>
  <cp:revision>2</cp:revision>
  <dcterms:created xsi:type="dcterms:W3CDTF">2019-02-12T07:12:00Z</dcterms:created>
  <dcterms:modified xsi:type="dcterms:W3CDTF">2019-02-12T07:12:00Z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