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4A0769" w14:textId="77777777" w:rsidR="00F94F52" w:rsidRDefault="00F94F52" w:rsidP="00F94F52">
      <w:pPr>
        <w:widowControl w:val="0"/>
        <w:jc w:val="center"/>
        <w:rPr>
          <w:rFonts w:ascii="Times New Roman" w:eastAsia="Georgia" w:hAnsi="Times New Roman" w:cs="Times New Roman"/>
          <w:b/>
          <w:color w:val="000000"/>
          <w:sz w:val="44"/>
        </w:rPr>
      </w:pPr>
    </w:p>
    <w:p w14:paraId="5F0B04A9" w14:textId="77777777" w:rsidR="00F94F52" w:rsidRDefault="00F94F52" w:rsidP="00F94F52">
      <w:pPr>
        <w:widowControl w:val="0"/>
        <w:jc w:val="center"/>
        <w:rPr>
          <w:rFonts w:ascii="Times New Roman" w:eastAsia="Georgia" w:hAnsi="Times New Roman" w:cs="Times New Roman"/>
          <w:b/>
          <w:color w:val="000000"/>
          <w:sz w:val="44"/>
        </w:rPr>
      </w:pPr>
    </w:p>
    <w:p w14:paraId="19E25126" w14:textId="77777777" w:rsidR="00F94F52" w:rsidRDefault="00F94F52" w:rsidP="00F94F52">
      <w:pPr>
        <w:widowControl w:val="0"/>
        <w:jc w:val="center"/>
        <w:rPr>
          <w:rFonts w:ascii="Times New Roman" w:eastAsia="Georgia" w:hAnsi="Times New Roman" w:cs="Times New Roman"/>
          <w:b/>
          <w:color w:val="000000"/>
          <w:sz w:val="44"/>
        </w:rPr>
      </w:pPr>
    </w:p>
    <w:p w14:paraId="1A4FD355" w14:textId="1588F9D9" w:rsidR="00F94F52" w:rsidRDefault="00F94F52" w:rsidP="00F94F52">
      <w:pPr>
        <w:widowControl w:val="0"/>
        <w:jc w:val="center"/>
        <w:rPr>
          <w:rFonts w:ascii="Times New Roman" w:eastAsia="Georgia" w:hAnsi="Times New Roman" w:cs="Times New Roman"/>
          <w:b/>
          <w:color w:val="000000"/>
          <w:sz w:val="44"/>
        </w:rPr>
      </w:pPr>
      <w:r>
        <w:rPr>
          <w:noProof/>
          <w:lang w:val="es-ES"/>
        </w:rPr>
        <w:drawing>
          <wp:inline distT="0" distB="0" distL="0" distR="0" wp14:anchorId="42E5BAA5" wp14:editId="02362A5B">
            <wp:extent cx="1847088" cy="1847088"/>
            <wp:effectExtent l="0" t="0" r="1270" b="127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I_logo_eng.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47088" cy="1847088"/>
                    </a:xfrm>
                    <a:prstGeom prst="rect">
                      <a:avLst/>
                    </a:prstGeom>
                  </pic:spPr>
                </pic:pic>
              </a:graphicData>
            </a:graphic>
          </wp:inline>
        </w:drawing>
      </w:r>
    </w:p>
    <w:p w14:paraId="036B2406" w14:textId="77777777" w:rsidR="00F94F52" w:rsidRDefault="00F94F52" w:rsidP="00F94F52">
      <w:pPr>
        <w:widowControl w:val="0"/>
        <w:jc w:val="center"/>
        <w:rPr>
          <w:rFonts w:ascii="Times New Roman" w:eastAsia="Georgia" w:hAnsi="Times New Roman" w:cs="Times New Roman"/>
          <w:b/>
          <w:color w:val="000000"/>
          <w:sz w:val="44"/>
        </w:rPr>
      </w:pPr>
    </w:p>
    <w:p w14:paraId="405199E0" w14:textId="77777777" w:rsidR="00F94F52" w:rsidRDefault="00F94F52" w:rsidP="00F94F52">
      <w:pPr>
        <w:widowControl w:val="0"/>
        <w:jc w:val="center"/>
        <w:rPr>
          <w:rFonts w:ascii="Times New Roman" w:eastAsia="Georgia" w:hAnsi="Times New Roman" w:cs="Times New Roman"/>
          <w:b/>
          <w:color w:val="000000"/>
          <w:sz w:val="44"/>
        </w:rPr>
      </w:pPr>
    </w:p>
    <w:p w14:paraId="5A99B0D7" w14:textId="2038CF2F" w:rsidR="00CA5E6B" w:rsidRPr="00610903" w:rsidRDefault="00860F1F" w:rsidP="00860F1F">
      <w:pPr>
        <w:widowControl w:val="0"/>
        <w:jc w:val="center"/>
        <w:rPr>
          <w:rFonts w:ascii="Times New Roman" w:eastAsia="Georgia" w:hAnsi="Times New Roman" w:cs="Times New Roman"/>
          <w:b/>
          <w:color w:val="000000"/>
          <w:sz w:val="32"/>
        </w:rPr>
      </w:pPr>
      <w:r w:rsidRPr="00860F1F">
        <w:rPr>
          <w:rFonts w:ascii="Times New Roman" w:eastAsia="Georgia" w:hAnsi="Times New Roman" w:cs="Times New Roman"/>
          <w:b/>
          <w:color w:val="000000"/>
          <w:sz w:val="44"/>
        </w:rPr>
        <w:t xml:space="preserve">BARRERAS SOCIALES Y ECONOMICAS PARA LA INTEGRACIÓN DE LAS MUJERES </w:t>
      </w:r>
      <w:r w:rsidR="007B232F">
        <w:rPr>
          <w:rFonts w:ascii="Times New Roman" w:eastAsia="Georgia" w:hAnsi="Times New Roman" w:cs="Times New Roman"/>
          <w:b/>
          <w:color w:val="000000"/>
          <w:sz w:val="44"/>
        </w:rPr>
        <w:t>MIGRANTES RETORNADAS EN</w:t>
      </w:r>
      <w:r w:rsidRPr="00860F1F">
        <w:rPr>
          <w:rFonts w:ascii="Times New Roman" w:eastAsia="Georgia" w:hAnsi="Times New Roman" w:cs="Times New Roman"/>
          <w:b/>
          <w:color w:val="000000"/>
          <w:sz w:val="44"/>
        </w:rPr>
        <w:t xml:space="preserve"> COLOMBIA</w:t>
      </w:r>
      <w:bookmarkStart w:id="0" w:name="_GoBack"/>
      <w:bookmarkEnd w:id="0"/>
    </w:p>
    <w:p w14:paraId="55220637" w14:textId="77777777" w:rsidR="00CA5E6B" w:rsidRDefault="00CA5E6B" w:rsidP="00CA5E6B">
      <w:pPr>
        <w:widowControl w:val="0"/>
        <w:jc w:val="center"/>
        <w:rPr>
          <w:rFonts w:ascii="Times New Roman" w:eastAsia="Georgia" w:hAnsi="Times New Roman" w:cs="Times New Roman"/>
          <w:b/>
          <w:color w:val="000000"/>
          <w:sz w:val="32"/>
        </w:rPr>
      </w:pPr>
    </w:p>
    <w:p w14:paraId="15554B38" w14:textId="77777777" w:rsidR="00CA5E6B" w:rsidRDefault="00CA5E6B" w:rsidP="00CA5E6B">
      <w:pPr>
        <w:widowControl w:val="0"/>
        <w:jc w:val="center"/>
        <w:rPr>
          <w:rFonts w:ascii="Times New Roman" w:eastAsia="Georgia" w:hAnsi="Times New Roman" w:cs="Times New Roman"/>
          <w:b/>
          <w:color w:val="000000"/>
          <w:sz w:val="32"/>
        </w:rPr>
      </w:pPr>
    </w:p>
    <w:p w14:paraId="3FD030E2" w14:textId="77777777" w:rsidR="00CA5E6B" w:rsidRDefault="00CA5E6B" w:rsidP="00DF4EFF">
      <w:pPr>
        <w:widowControl w:val="0"/>
        <w:rPr>
          <w:rFonts w:ascii="Times New Roman" w:eastAsia="Georgia" w:hAnsi="Times New Roman" w:cs="Times New Roman"/>
          <w:b/>
          <w:color w:val="000000"/>
          <w:sz w:val="32"/>
        </w:rPr>
      </w:pPr>
    </w:p>
    <w:p w14:paraId="365B29BD" w14:textId="77777777" w:rsidR="00F94F52" w:rsidRDefault="00F94F52" w:rsidP="00DF4EFF">
      <w:pPr>
        <w:widowControl w:val="0"/>
        <w:rPr>
          <w:rFonts w:ascii="Times New Roman" w:eastAsia="Georgia" w:hAnsi="Times New Roman" w:cs="Times New Roman"/>
          <w:b/>
          <w:color w:val="000000"/>
          <w:sz w:val="32"/>
        </w:rPr>
      </w:pPr>
    </w:p>
    <w:p w14:paraId="625D09EE" w14:textId="77777777" w:rsidR="00F94F52" w:rsidRPr="00610903" w:rsidRDefault="00F94F52" w:rsidP="00DF4EFF">
      <w:pPr>
        <w:widowControl w:val="0"/>
        <w:rPr>
          <w:rFonts w:ascii="Times New Roman" w:eastAsia="Georgia" w:hAnsi="Times New Roman" w:cs="Times New Roman"/>
          <w:b/>
          <w:color w:val="000000"/>
          <w:sz w:val="32"/>
        </w:rPr>
      </w:pPr>
    </w:p>
    <w:p w14:paraId="30F0374D" w14:textId="77777777" w:rsidR="00CA5E6B" w:rsidRPr="00610903" w:rsidRDefault="00CA5E6B" w:rsidP="00CA5E6B">
      <w:pPr>
        <w:widowControl w:val="0"/>
        <w:jc w:val="center"/>
        <w:rPr>
          <w:rFonts w:ascii="Times New Roman" w:eastAsia="Georgia" w:hAnsi="Times New Roman" w:cs="Times New Roman"/>
          <w:b/>
          <w:color w:val="000000"/>
          <w:sz w:val="32"/>
        </w:rPr>
      </w:pPr>
      <w:r w:rsidRPr="00610903">
        <w:rPr>
          <w:rFonts w:ascii="Times New Roman" w:eastAsia="Georgia" w:hAnsi="Times New Roman" w:cs="Times New Roman"/>
          <w:b/>
          <w:color w:val="000000"/>
          <w:sz w:val="32"/>
        </w:rPr>
        <w:t xml:space="preserve">Asociación Miraismo Internacional </w:t>
      </w:r>
    </w:p>
    <w:p w14:paraId="0A865FB7" w14:textId="7016FCD2" w:rsidR="00CA5E6B" w:rsidRPr="00610903" w:rsidRDefault="00860F1F" w:rsidP="00CA5E6B">
      <w:pPr>
        <w:widowControl w:val="0"/>
        <w:jc w:val="center"/>
        <w:rPr>
          <w:rFonts w:ascii="Times New Roman" w:eastAsia="Georgia" w:hAnsi="Times New Roman" w:cs="Times New Roman"/>
          <w:b/>
          <w:color w:val="000000"/>
          <w:sz w:val="32"/>
        </w:rPr>
      </w:pPr>
      <w:r>
        <w:rPr>
          <w:rFonts w:ascii="Times New Roman" w:eastAsia="Georgia" w:hAnsi="Times New Roman" w:cs="Times New Roman"/>
          <w:b/>
          <w:color w:val="000000"/>
          <w:sz w:val="32"/>
        </w:rPr>
        <w:t>Julio</w:t>
      </w:r>
      <w:r w:rsidR="00CA5E6B" w:rsidRPr="00610903">
        <w:rPr>
          <w:rFonts w:ascii="Times New Roman" w:eastAsia="Georgia" w:hAnsi="Times New Roman" w:cs="Times New Roman"/>
          <w:b/>
          <w:color w:val="000000"/>
          <w:sz w:val="32"/>
        </w:rPr>
        <w:t xml:space="preserve">, 2017 </w:t>
      </w:r>
    </w:p>
    <w:p w14:paraId="6012A1AE" w14:textId="77777777" w:rsidR="00CA5E6B" w:rsidRDefault="00CA5E6B" w:rsidP="00CA5E6B">
      <w:pPr>
        <w:widowControl w:val="0"/>
        <w:jc w:val="center"/>
        <w:rPr>
          <w:rFonts w:ascii="Times New Roman" w:eastAsia="Georgia" w:hAnsi="Times New Roman" w:cs="Times New Roman"/>
          <w:b/>
          <w:color w:val="000000"/>
          <w:sz w:val="32"/>
        </w:rPr>
      </w:pPr>
    </w:p>
    <w:p w14:paraId="45D184E0" w14:textId="77777777" w:rsidR="00CA5E6B" w:rsidRDefault="00CA5E6B" w:rsidP="00CA5E6B">
      <w:pPr>
        <w:widowControl w:val="0"/>
        <w:jc w:val="center"/>
        <w:rPr>
          <w:rFonts w:ascii="Times New Roman" w:eastAsia="Georgia" w:hAnsi="Times New Roman" w:cs="Times New Roman"/>
          <w:b/>
          <w:color w:val="000000"/>
          <w:sz w:val="32"/>
        </w:rPr>
      </w:pPr>
    </w:p>
    <w:p w14:paraId="131C471B" w14:textId="77777777" w:rsidR="00DF4EFF" w:rsidRPr="00F94F52" w:rsidRDefault="00DF4EFF" w:rsidP="00F94F52">
      <w:pPr>
        <w:rPr>
          <w:rFonts w:ascii="Times New Roman" w:hAnsi="Times New Roman" w:cs="Times New Roman"/>
          <w:b/>
        </w:rPr>
      </w:pPr>
    </w:p>
    <w:p w14:paraId="3EE09BE5" w14:textId="77777777" w:rsidR="00DF4EFF" w:rsidRDefault="00DF4EFF" w:rsidP="00CA5E6B">
      <w:pPr>
        <w:pStyle w:val="Prrafodelista"/>
        <w:rPr>
          <w:rFonts w:ascii="Times New Roman" w:hAnsi="Times New Roman" w:cs="Times New Roman"/>
          <w:b/>
        </w:rPr>
      </w:pPr>
    </w:p>
    <w:p w14:paraId="538B036A" w14:textId="77777777" w:rsidR="00F94F52" w:rsidRDefault="00F94F52">
      <w:pPr>
        <w:rPr>
          <w:rFonts w:ascii="Times New Roman" w:eastAsia="MS Mincho" w:hAnsi="Times New Roman"/>
        </w:rPr>
      </w:pPr>
      <w:bookmarkStart w:id="1" w:name="_Hlk482627193"/>
      <w:r>
        <w:rPr>
          <w:rFonts w:ascii="Times New Roman" w:eastAsia="MS Mincho" w:hAnsi="Times New Roman"/>
        </w:rPr>
        <w:br w:type="page"/>
      </w:r>
    </w:p>
    <w:bookmarkEnd w:id="1"/>
    <w:p w14:paraId="7C890EBD" w14:textId="77777777" w:rsidR="00860F1F" w:rsidRPr="005139B3" w:rsidRDefault="00860F1F" w:rsidP="00860F1F">
      <w:pPr>
        <w:spacing w:line="276" w:lineRule="auto"/>
        <w:jc w:val="center"/>
        <w:rPr>
          <w:rFonts w:ascii="Times New Roman" w:hAnsi="Times New Roman"/>
          <w:b/>
        </w:rPr>
      </w:pPr>
      <w:r>
        <w:rPr>
          <w:rFonts w:ascii="Times New Roman" w:hAnsi="Times New Roman"/>
          <w:b/>
        </w:rPr>
        <w:lastRenderedPageBreak/>
        <w:t>BARRERAS SOCIALES Y ECONOMICAS PARA LA INTEGRACIÓN DE LAS MUJERES RETORNADAS EN COLOMBIA</w:t>
      </w:r>
    </w:p>
    <w:p w14:paraId="3107559B" w14:textId="77777777" w:rsidR="00860F1F" w:rsidRPr="005139B3" w:rsidRDefault="00860F1F" w:rsidP="00860F1F">
      <w:pPr>
        <w:spacing w:line="276" w:lineRule="auto"/>
        <w:jc w:val="both"/>
        <w:rPr>
          <w:rFonts w:ascii="Times New Roman" w:hAnsi="Times New Roman"/>
        </w:rPr>
      </w:pPr>
    </w:p>
    <w:p w14:paraId="016BF933" w14:textId="77777777" w:rsidR="00860F1F" w:rsidRDefault="00860F1F" w:rsidP="00860F1F">
      <w:pPr>
        <w:spacing w:line="276" w:lineRule="auto"/>
        <w:jc w:val="both"/>
        <w:rPr>
          <w:rFonts w:ascii="Times New Roman" w:hAnsi="Times New Roman"/>
        </w:rPr>
      </w:pPr>
      <w:r>
        <w:rPr>
          <w:rFonts w:ascii="Times New Roman" w:hAnsi="Times New Roman"/>
        </w:rPr>
        <w:t>En la revisión del avance y</w:t>
      </w:r>
      <w:r w:rsidRPr="005139B3">
        <w:rPr>
          <w:rFonts w:ascii="Times New Roman" w:hAnsi="Times New Roman"/>
        </w:rPr>
        <w:t xml:space="preserve"> mejora de las recomendaciones postuladas en informes anteriores publicados por el Comité de derechos ec</w:t>
      </w:r>
      <w:r>
        <w:rPr>
          <w:rFonts w:ascii="Times New Roman" w:hAnsi="Times New Roman"/>
        </w:rPr>
        <w:t xml:space="preserve">onómicos, sociales y culturales en el territorio colombiano, es necesario analizar las diferentes barreras que las mujeres retornadas encuentran al regresar al país. </w:t>
      </w:r>
    </w:p>
    <w:p w14:paraId="407C3423" w14:textId="77777777" w:rsidR="00860F1F" w:rsidRDefault="00860F1F" w:rsidP="00860F1F">
      <w:pPr>
        <w:spacing w:line="276" w:lineRule="auto"/>
        <w:jc w:val="both"/>
        <w:rPr>
          <w:rFonts w:ascii="Times New Roman" w:hAnsi="Times New Roman"/>
        </w:rPr>
      </w:pPr>
    </w:p>
    <w:p w14:paraId="2643BD7F" w14:textId="77777777" w:rsidR="00860F1F" w:rsidRPr="005139B3" w:rsidRDefault="00860F1F" w:rsidP="00860F1F">
      <w:pPr>
        <w:spacing w:line="276" w:lineRule="auto"/>
        <w:jc w:val="both"/>
        <w:rPr>
          <w:rFonts w:ascii="Times New Roman" w:hAnsi="Times New Roman"/>
        </w:rPr>
      </w:pPr>
      <w:r>
        <w:rPr>
          <w:rFonts w:ascii="Times New Roman" w:hAnsi="Times New Roman"/>
        </w:rPr>
        <w:t xml:space="preserve">La Asociación Miraismo Internacional ha realizado diferentes investigaciones sobre el rol de la mujer en la sociedad y la importancia de brindar las herramientas y mecanismos necesarios para que su aportación social sea cada vez más efectiva y visible. Desde enfoque, se detallan a continuación las problemáticas a atender en Colombia. </w:t>
      </w:r>
    </w:p>
    <w:p w14:paraId="0FC96BCF" w14:textId="77777777" w:rsidR="00860F1F" w:rsidRPr="005139B3" w:rsidRDefault="00860F1F" w:rsidP="00860F1F">
      <w:pPr>
        <w:spacing w:line="276" w:lineRule="auto"/>
        <w:jc w:val="both"/>
        <w:rPr>
          <w:rFonts w:ascii="Times New Roman" w:hAnsi="Times New Roman"/>
        </w:rPr>
      </w:pPr>
    </w:p>
    <w:p w14:paraId="3D39ABCB" w14:textId="77777777" w:rsidR="00860F1F" w:rsidRDefault="00860F1F" w:rsidP="00860F1F">
      <w:pPr>
        <w:spacing w:line="276" w:lineRule="auto"/>
        <w:jc w:val="both"/>
        <w:rPr>
          <w:rFonts w:ascii="Times New Roman" w:hAnsi="Times New Roman"/>
          <w:b/>
        </w:rPr>
      </w:pPr>
      <w:r w:rsidRPr="005139B3">
        <w:rPr>
          <w:rFonts w:ascii="Times New Roman" w:hAnsi="Times New Roman"/>
          <w:b/>
        </w:rPr>
        <w:t>MUJER MIGRANTE Y MUJER RETORNADA</w:t>
      </w:r>
    </w:p>
    <w:p w14:paraId="688066CB" w14:textId="77777777" w:rsidR="00860F1F" w:rsidRPr="005139B3" w:rsidRDefault="00860F1F" w:rsidP="00860F1F">
      <w:pPr>
        <w:spacing w:line="276" w:lineRule="auto"/>
        <w:jc w:val="both"/>
        <w:rPr>
          <w:rFonts w:ascii="Times New Roman" w:hAnsi="Times New Roman"/>
          <w:b/>
        </w:rPr>
      </w:pPr>
    </w:p>
    <w:p w14:paraId="20F46C63" w14:textId="77777777" w:rsidR="00860F1F" w:rsidRDefault="00860F1F" w:rsidP="00860F1F">
      <w:pPr>
        <w:spacing w:line="276" w:lineRule="auto"/>
        <w:jc w:val="both"/>
        <w:rPr>
          <w:rFonts w:ascii="Times New Roman" w:hAnsi="Times New Roman"/>
        </w:rPr>
      </w:pPr>
      <w:r w:rsidRPr="005139B3">
        <w:rPr>
          <w:rFonts w:ascii="Times New Roman" w:hAnsi="Times New Roman"/>
        </w:rPr>
        <w:t>En esta área poblacional se encuentran inmersas las etnias, raizales y afrodescendientes que comprenden la geografía colombiana, además de ser reconocidas en el PIDESC y en el Ordenamiento Jurídico colombiano, su papel en esta investigación no es otro, sino mostrar que el Estado colombiano cobija en una sola cifra (aún por determinar y unificar respecto de otras entidades oficiales colombianas) 4.7</w:t>
      </w:r>
      <w:r w:rsidRPr="005139B3">
        <w:rPr>
          <w:rStyle w:val="Refdenotaalpie"/>
          <w:rFonts w:ascii="Times New Roman" w:hAnsi="Times New Roman"/>
        </w:rPr>
        <w:footnoteReference w:id="1"/>
      </w:r>
      <w:r w:rsidRPr="005139B3">
        <w:rPr>
          <w:rFonts w:ascii="Times New Roman" w:hAnsi="Times New Roman"/>
        </w:rPr>
        <w:t xml:space="preserve"> millones de ciudadanos colombianos migrados al exterior.</w:t>
      </w:r>
      <w:r>
        <w:rPr>
          <w:rFonts w:ascii="Times New Roman" w:hAnsi="Times New Roman"/>
        </w:rPr>
        <w:t xml:space="preserve"> </w:t>
      </w:r>
      <w:r w:rsidRPr="005139B3">
        <w:rPr>
          <w:rFonts w:ascii="Times New Roman" w:hAnsi="Times New Roman"/>
        </w:rPr>
        <w:t>Asunto cuestionable</w:t>
      </w:r>
      <w:r>
        <w:rPr>
          <w:rFonts w:ascii="Times New Roman" w:hAnsi="Times New Roman"/>
        </w:rPr>
        <w:t>,</w:t>
      </w:r>
      <w:r w:rsidRPr="005139B3">
        <w:rPr>
          <w:rFonts w:ascii="Times New Roman" w:hAnsi="Times New Roman"/>
        </w:rPr>
        <w:t xml:space="preserve"> pues, en función de los indicadores como, raza, género, edad, nivel de educación, entre otros, se podría determinar con mayor eficiencia </w:t>
      </w:r>
      <w:r>
        <w:rPr>
          <w:rFonts w:ascii="Times New Roman" w:hAnsi="Times New Roman"/>
        </w:rPr>
        <w:t>las políticas de mejoramiento en</w:t>
      </w:r>
      <w:r w:rsidRPr="005139B3">
        <w:rPr>
          <w:rFonts w:ascii="Times New Roman" w:hAnsi="Times New Roman"/>
        </w:rPr>
        <w:t xml:space="preserve"> la prestació</w:t>
      </w:r>
      <w:r>
        <w:rPr>
          <w:rFonts w:ascii="Times New Roman" w:hAnsi="Times New Roman"/>
        </w:rPr>
        <w:t xml:space="preserve">n de los servicios a cada grupo </w:t>
      </w:r>
      <w:r w:rsidRPr="005139B3">
        <w:rPr>
          <w:rFonts w:ascii="Times New Roman" w:hAnsi="Times New Roman"/>
        </w:rPr>
        <w:t>y área poblacional,</w:t>
      </w:r>
      <w:r>
        <w:rPr>
          <w:rFonts w:ascii="Times New Roman" w:hAnsi="Times New Roman"/>
        </w:rPr>
        <w:t xml:space="preserve"> en especial, aquellas que hacen parte de nuestro estudio inicial. </w:t>
      </w:r>
    </w:p>
    <w:p w14:paraId="77E8EB78" w14:textId="77777777" w:rsidR="00860F1F" w:rsidRDefault="00860F1F" w:rsidP="00860F1F">
      <w:pPr>
        <w:spacing w:line="276" w:lineRule="auto"/>
        <w:jc w:val="both"/>
        <w:rPr>
          <w:rFonts w:ascii="Times New Roman" w:hAnsi="Times New Roman"/>
        </w:rPr>
      </w:pPr>
    </w:p>
    <w:p w14:paraId="5BEEE85B" w14:textId="77777777" w:rsidR="00860F1F" w:rsidRPr="005139B3" w:rsidRDefault="00860F1F" w:rsidP="00860F1F">
      <w:pPr>
        <w:spacing w:line="276" w:lineRule="auto"/>
        <w:jc w:val="both"/>
        <w:rPr>
          <w:rFonts w:ascii="Times New Roman" w:hAnsi="Times New Roman"/>
        </w:rPr>
      </w:pPr>
      <w:r w:rsidRPr="005139B3">
        <w:rPr>
          <w:rFonts w:ascii="Times New Roman" w:hAnsi="Times New Roman"/>
        </w:rPr>
        <w:t xml:space="preserve">En torno a ello, la protección de las mujeres en razón de etnia y raza se ha procurado sentar en diferentes normas, sobre todo aquellas que tienen que ver con la protección de la discriminación y racismo en contra de la mujer. La </w:t>
      </w:r>
      <w:r w:rsidRPr="00E84058">
        <w:rPr>
          <w:rFonts w:ascii="Times New Roman" w:hAnsi="Times New Roman"/>
          <w:i/>
        </w:rPr>
        <w:t>Ley 1482 de 2011 que convierte en delito este tipo de actos, la Resolución 1154 de 2012 que crea el Observatorio</w:t>
      </w:r>
      <w:r w:rsidRPr="005139B3">
        <w:rPr>
          <w:rFonts w:ascii="Times New Roman" w:hAnsi="Times New Roman"/>
        </w:rPr>
        <w:t xml:space="preserve"> </w:t>
      </w:r>
      <w:r w:rsidRPr="00E84058">
        <w:rPr>
          <w:rFonts w:ascii="Times New Roman" w:hAnsi="Times New Roman"/>
          <w:i/>
        </w:rPr>
        <w:t>contra Discriminación y Racismo</w:t>
      </w:r>
      <w:r w:rsidRPr="005139B3">
        <w:rPr>
          <w:rFonts w:ascii="Times New Roman" w:hAnsi="Times New Roman"/>
        </w:rPr>
        <w:t xml:space="preserve"> para monitorear estas prácticas en el país, logrando avances en materia de inclusión. Pese a esto, las condiciones de las mujeres siguen siendo desiguales y en algunos casos </w:t>
      </w:r>
      <w:proofErr w:type="gramStart"/>
      <w:r w:rsidRPr="005139B3">
        <w:rPr>
          <w:rFonts w:ascii="Times New Roman" w:hAnsi="Times New Roman"/>
        </w:rPr>
        <w:t>precarias</w:t>
      </w:r>
      <w:proofErr w:type="gramEnd"/>
      <w:r w:rsidRPr="005139B3">
        <w:rPr>
          <w:rFonts w:ascii="Times New Roman" w:hAnsi="Times New Roman"/>
        </w:rPr>
        <w:t xml:space="preserve"> en relación a sus pares masculinos, es el caso de las mujeres migrantes que representan poco más de la mitad de la población migrante nacional. Por tal razón</w:t>
      </w:r>
      <w:r>
        <w:rPr>
          <w:rFonts w:ascii="Times New Roman" w:hAnsi="Times New Roman"/>
        </w:rPr>
        <w:t>,</w:t>
      </w:r>
      <w:r w:rsidRPr="005139B3">
        <w:rPr>
          <w:rFonts w:ascii="Times New Roman" w:hAnsi="Times New Roman"/>
        </w:rPr>
        <w:t xml:space="preserve"> es necesario que el gobierno colombiano responda a una serie de demandas por parte de las mujeres indígenas, afrodescendientes, migrantes y retornadas.</w:t>
      </w:r>
    </w:p>
    <w:p w14:paraId="3D9E42BF" w14:textId="77777777" w:rsidR="00860F1F" w:rsidRDefault="00860F1F" w:rsidP="00860F1F">
      <w:pPr>
        <w:spacing w:line="276" w:lineRule="auto"/>
        <w:jc w:val="both"/>
        <w:rPr>
          <w:rFonts w:ascii="Times New Roman" w:hAnsi="Times New Roman"/>
        </w:rPr>
      </w:pPr>
    </w:p>
    <w:p w14:paraId="7754D574" w14:textId="77777777" w:rsidR="00860F1F" w:rsidRPr="005139B3" w:rsidRDefault="00860F1F" w:rsidP="00860F1F">
      <w:pPr>
        <w:spacing w:line="276" w:lineRule="auto"/>
        <w:jc w:val="both"/>
        <w:rPr>
          <w:rFonts w:ascii="Times New Roman" w:hAnsi="Times New Roman"/>
        </w:rPr>
      </w:pPr>
      <w:r w:rsidRPr="005139B3">
        <w:rPr>
          <w:rFonts w:ascii="Times New Roman" w:hAnsi="Times New Roman"/>
        </w:rPr>
        <w:t xml:space="preserve">Por su parte, el Estado colombiano, en el informe </w:t>
      </w:r>
      <w:r>
        <w:rPr>
          <w:rFonts w:ascii="Times New Roman" w:hAnsi="Times New Roman"/>
        </w:rPr>
        <w:t xml:space="preserve">de evaluación del Comité </w:t>
      </w:r>
      <w:r w:rsidRPr="005139B3">
        <w:rPr>
          <w:rFonts w:ascii="Times New Roman" w:hAnsi="Times New Roman"/>
        </w:rPr>
        <w:t>presentado en 2016 no arroja ningún dato respecto de</w:t>
      </w:r>
      <w:r>
        <w:rPr>
          <w:rFonts w:ascii="Times New Roman" w:hAnsi="Times New Roman"/>
        </w:rPr>
        <w:t>l número de</w:t>
      </w:r>
      <w:r w:rsidRPr="005139B3">
        <w:rPr>
          <w:rFonts w:ascii="Times New Roman" w:hAnsi="Times New Roman"/>
        </w:rPr>
        <w:t xml:space="preserve"> mujeres retorna</w:t>
      </w:r>
      <w:r>
        <w:rPr>
          <w:rFonts w:ascii="Times New Roman" w:hAnsi="Times New Roman"/>
        </w:rPr>
        <w:t xml:space="preserve">das a razón de etnia, </w:t>
      </w:r>
      <w:r>
        <w:rPr>
          <w:rFonts w:ascii="Times New Roman" w:hAnsi="Times New Roman"/>
        </w:rPr>
        <w:lastRenderedPageBreak/>
        <w:t>afrodescendientes y raizales;</w:t>
      </w:r>
      <w:r w:rsidRPr="005139B3">
        <w:rPr>
          <w:rFonts w:ascii="Times New Roman" w:hAnsi="Times New Roman"/>
        </w:rPr>
        <w:t xml:space="preserve"> la escasa información obtenida al respecto deja entrever la necesidad de fortalecer los instrumentos estadísticos en dicho aspecto, pues la migración de las mujeres de diversas etnia</w:t>
      </w:r>
      <w:r>
        <w:rPr>
          <w:rFonts w:ascii="Times New Roman" w:hAnsi="Times New Roman"/>
        </w:rPr>
        <w:t>s y raizales, así interna, como externa</w:t>
      </w:r>
      <w:r w:rsidRPr="005139B3">
        <w:rPr>
          <w:rFonts w:ascii="Times New Roman" w:hAnsi="Times New Roman"/>
        </w:rPr>
        <w:t xml:space="preserve"> y su contrario, el retorno, debe ser objeto de estudio para el gobierno. La escasa información al respecto, se insiste, deja un vacío de análisis que impide la oportuna acción de las organizaciones no gubernamentales, por lo tanto, la voz de </w:t>
      </w:r>
      <w:r>
        <w:rPr>
          <w:rFonts w:ascii="Times New Roman" w:hAnsi="Times New Roman"/>
        </w:rPr>
        <w:t>alarma se expone en este evento que nos reúne.</w:t>
      </w:r>
    </w:p>
    <w:p w14:paraId="7B735F4B" w14:textId="77777777" w:rsidR="00860F1F" w:rsidRDefault="00860F1F" w:rsidP="00860F1F">
      <w:pPr>
        <w:spacing w:line="276" w:lineRule="auto"/>
        <w:jc w:val="both"/>
        <w:rPr>
          <w:rFonts w:ascii="Times New Roman" w:hAnsi="Times New Roman"/>
        </w:rPr>
      </w:pPr>
    </w:p>
    <w:p w14:paraId="0C8DC0A6" w14:textId="77777777" w:rsidR="00860F1F" w:rsidRPr="005139B3" w:rsidRDefault="00860F1F" w:rsidP="00860F1F">
      <w:pPr>
        <w:spacing w:line="276" w:lineRule="auto"/>
        <w:jc w:val="both"/>
        <w:rPr>
          <w:rFonts w:ascii="Times New Roman" w:hAnsi="Times New Roman"/>
        </w:rPr>
      </w:pPr>
      <w:r w:rsidRPr="005139B3">
        <w:rPr>
          <w:rFonts w:ascii="Times New Roman" w:hAnsi="Times New Roman"/>
        </w:rPr>
        <w:t xml:space="preserve">El </w:t>
      </w:r>
      <w:r>
        <w:rPr>
          <w:rFonts w:ascii="Times New Roman" w:hAnsi="Times New Roman"/>
        </w:rPr>
        <w:t>asunto no cambia</w:t>
      </w:r>
      <w:r w:rsidRPr="005139B3">
        <w:rPr>
          <w:rFonts w:ascii="Times New Roman" w:hAnsi="Times New Roman"/>
        </w:rPr>
        <w:t xml:space="preserve"> si nos dirigimos hacia el área laboral. El desempleo en Colombia es de 8.9% uno de los más altos en la región, representando para las </w:t>
      </w:r>
      <w:r w:rsidRPr="006B631E">
        <w:rPr>
          <w:rFonts w:ascii="Times New Roman" w:hAnsi="Times New Roman"/>
          <w:u w:val="single"/>
        </w:rPr>
        <w:t>mujeres el 11.8%,</w:t>
      </w:r>
      <w:r w:rsidRPr="005139B3">
        <w:rPr>
          <w:rFonts w:ascii="Times New Roman" w:hAnsi="Times New Roman"/>
        </w:rPr>
        <w:t xml:space="preserve"> quiene</w:t>
      </w:r>
      <w:r>
        <w:rPr>
          <w:rFonts w:ascii="Times New Roman" w:hAnsi="Times New Roman"/>
        </w:rPr>
        <w:t xml:space="preserve">s </w:t>
      </w:r>
      <w:r w:rsidRPr="006B631E">
        <w:rPr>
          <w:rFonts w:ascii="Times New Roman" w:hAnsi="Times New Roman"/>
          <w:u w:val="single"/>
        </w:rPr>
        <w:t>trabajan alrededor de 10.8 horas más</w:t>
      </w:r>
      <w:r w:rsidRPr="005139B3">
        <w:rPr>
          <w:rFonts w:ascii="Times New Roman" w:hAnsi="Times New Roman"/>
        </w:rPr>
        <w:t xml:space="preserve"> y </w:t>
      </w:r>
      <w:r w:rsidRPr="006B631E">
        <w:rPr>
          <w:rFonts w:ascii="Times New Roman" w:hAnsi="Times New Roman"/>
          <w:u w:val="single"/>
        </w:rPr>
        <w:t>ganan en promedio 20%</w:t>
      </w:r>
      <w:r w:rsidRPr="005139B3">
        <w:rPr>
          <w:rFonts w:ascii="Times New Roman" w:hAnsi="Times New Roman"/>
        </w:rPr>
        <w:t xml:space="preserve"> </w:t>
      </w:r>
      <w:r w:rsidRPr="006B631E">
        <w:rPr>
          <w:rFonts w:ascii="Times New Roman" w:hAnsi="Times New Roman"/>
          <w:u w:val="single"/>
        </w:rPr>
        <w:t>menos</w:t>
      </w:r>
      <w:r w:rsidRPr="005139B3">
        <w:rPr>
          <w:rFonts w:ascii="Times New Roman" w:hAnsi="Times New Roman"/>
        </w:rPr>
        <w:t xml:space="preserve"> en relación a los hombres en los mismos cargos. Si bien</w:t>
      </w:r>
      <w:r>
        <w:rPr>
          <w:rFonts w:ascii="Times New Roman" w:hAnsi="Times New Roman"/>
        </w:rPr>
        <w:t>,</w:t>
      </w:r>
      <w:r w:rsidRPr="005139B3">
        <w:rPr>
          <w:rFonts w:ascii="Times New Roman" w:hAnsi="Times New Roman"/>
        </w:rPr>
        <w:t xml:space="preserve"> en los últimos años la participación de las mujeres en el mercado laboral ha aumentado y la brecha de participación ha disminuido gracias a proyectos liderados por el </w:t>
      </w:r>
      <w:r w:rsidRPr="006B631E">
        <w:rPr>
          <w:rFonts w:ascii="Times New Roman" w:hAnsi="Times New Roman"/>
          <w:i/>
        </w:rPr>
        <w:t>Programa para la Equidad de Género en Materia Laboral,</w:t>
      </w:r>
      <w:r w:rsidRPr="005139B3">
        <w:rPr>
          <w:rFonts w:ascii="Times New Roman" w:hAnsi="Times New Roman"/>
        </w:rPr>
        <w:t xml:space="preserve"> lo cierto es que aún se mantiene una brecha salarial y segregación ocupacional en los tres sectores económicos </w:t>
      </w:r>
      <w:r>
        <w:rPr>
          <w:rFonts w:ascii="Times New Roman" w:hAnsi="Times New Roman"/>
        </w:rPr>
        <w:t xml:space="preserve">representativos </w:t>
      </w:r>
      <w:r w:rsidRPr="005139B3">
        <w:rPr>
          <w:rFonts w:ascii="Times New Roman" w:hAnsi="Times New Roman"/>
        </w:rPr>
        <w:t xml:space="preserve">del país (industria (36%), comercio (44%) y servicios (43%). Situación que se ve agravada para el conjunto de las mujeres indígenas y afrodescendientes ya que no pueden hacer una transición a un trabajo formal porque, en muchos de los casos no tienen acceso a una educación básica. De la misma manera, las </w:t>
      </w:r>
      <w:r w:rsidRPr="006B631E">
        <w:rPr>
          <w:rFonts w:ascii="Times New Roman" w:hAnsi="Times New Roman"/>
          <w:u w:val="single"/>
        </w:rPr>
        <w:t>mujeres migrantes</w:t>
      </w:r>
      <w:r w:rsidRPr="005139B3">
        <w:rPr>
          <w:rFonts w:ascii="Times New Roman" w:hAnsi="Times New Roman"/>
        </w:rPr>
        <w:t xml:space="preserve"> representan otro sector vulnerado en lo referido al derecho al trabajo, siendo obligadas a trabajar en la informalidad o en trabajos menos calificados en los que deben soportar el abuso y la explotación laboral. Situación similar ocurre con las mujeres retornadas, pues encuentran obstáculos para un ascenso profesional por lo que, deben acudir al abrigo de la informalidad laboral, situación que perpetúa la desigualdad en el acceso a la igualdad de oportunidades laborales.</w:t>
      </w:r>
    </w:p>
    <w:p w14:paraId="141BAC25" w14:textId="77777777" w:rsidR="00860F1F" w:rsidRDefault="00860F1F" w:rsidP="00860F1F">
      <w:pPr>
        <w:spacing w:line="276" w:lineRule="auto"/>
        <w:jc w:val="both"/>
        <w:rPr>
          <w:rFonts w:ascii="Times New Roman" w:hAnsi="Times New Roman"/>
        </w:rPr>
      </w:pPr>
    </w:p>
    <w:p w14:paraId="35245D5F" w14:textId="77777777" w:rsidR="00860F1F" w:rsidRPr="005139B3" w:rsidRDefault="00860F1F" w:rsidP="00860F1F">
      <w:pPr>
        <w:spacing w:line="276" w:lineRule="auto"/>
        <w:jc w:val="both"/>
        <w:rPr>
          <w:rFonts w:ascii="Times New Roman" w:hAnsi="Times New Roman"/>
        </w:rPr>
      </w:pPr>
      <w:r w:rsidRPr="005139B3">
        <w:rPr>
          <w:rFonts w:ascii="Times New Roman" w:hAnsi="Times New Roman"/>
        </w:rPr>
        <w:t xml:space="preserve">En materia de igualdad de derechos entre hombres y mujeres, se pretende efectuar un especial llamado a la comunidad internacional en dos sentidos; el primero de ellos hace referencia al actual incremento en el número de mujeres víctimas de violencia de género y de </w:t>
      </w:r>
      <w:r>
        <w:rPr>
          <w:rFonts w:ascii="Times New Roman" w:hAnsi="Times New Roman"/>
        </w:rPr>
        <w:t>violencia intrafamiliar</w:t>
      </w:r>
      <w:r>
        <w:rPr>
          <w:rStyle w:val="Refdenotaalpie"/>
          <w:rFonts w:ascii="Times New Roman" w:hAnsi="Times New Roman"/>
        </w:rPr>
        <w:footnoteReference w:id="2"/>
      </w:r>
      <w:r w:rsidRPr="005139B3">
        <w:rPr>
          <w:rFonts w:ascii="Times New Roman" w:hAnsi="Times New Roman"/>
        </w:rPr>
        <w:t>,</w:t>
      </w:r>
      <w:r>
        <w:rPr>
          <w:rFonts w:ascii="Times New Roman" w:hAnsi="Times New Roman"/>
        </w:rPr>
        <w:t xml:space="preserve"> cifras en las que se observa claramente, un incremento del 22% respecto del año 2016. Estamos hablando de más de 50.000 asesinatos de mujeres y niñas de edad entre los 5 hasta los 24 años. Esto </w:t>
      </w:r>
      <w:r w:rsidRPr="005139B3">
        <w:rPr>
          <w:rFonts w:ascii="Times New Roman" w:hAnsi="Times New Roman"/>
        </w:rPr>
        <w:t xml:space="preserve">indica que, existe un alto grado de </w:t>
      </w:r>
      <w:r>
        <w:rPr>
          <w:rFonts w:ascii="Times New Roman" w:hAnsi="Times New Roman"/>
        </w:rPr>
        <w:t>violación al derecho a la vida</w:t>
      </w:r>
      <w:r w:rsidRPr="005139B3">
        <w:rPr>
          <w:rFonts w:ascii="Times New Roman" w:hAnsi="Times New Roman"/>
        </w:rPr>
        <w:t>, a</w:t>
      </w:r>
      <w:r>
        <w:rPr>
          <w:rFonts w:ascii="Times New Roman" w:hAnsi="Times New Roman"/>
        </w:rPr>
        <w:t>nte</w:t>
      </w:r>
      <w:r w:rsidRPr="005139B3">
        <w:rPr>
          <w:rFonts w:ascii="Times New Roman" w:hAnsi="Times New Roman"/>
        </w:rPr>
        <w:t xml:space="preserve"> lo cual se recomienda al Estado, su oportuna y eficaz acción a través de instituciones como la Consejería Presidencial para la Equidad de la Mujer, los Ministerios y Congreso de la República para trabajar en conjunto en la implementación de medios garantistas de los derechos de las mujeres. Así mismo, se recomienda un mayor esfuerzo en el establecimiento de medidas preventivas contundentes y de asistencia a </w:t>
      </w:r>
      <w:r w:rsidRPr="005139B3">
        <w:rPr>
          <w:rFonts w:ascii="Times New Roman" w:hAnsi="Times New Roman"/>
        </w:rPr>
        <w:lastRenderedPageBreak/>
        <w:t>aquellas mujeres en riesgo de sufrir cualquier tipo de violencia o que se encuentren en situación de vulnerabilidad ante situaciones como explotación sexual y trata de personas, crímenes que representan una amenaza flagrante para el colectivo en cuestión.</w:t>
      </w:r>
    </w:p>
    <w:p w14:paraId="04A7D080" w14:textId="77777777" w:rsidR="00860F1F" w:rsidRDefault="00860F1F" w:rsidP="00860F1F">
      <w:pPr>
        <w:spacing w:line="276" w:lineRule="auto"/>
        <w:jc w:val="both"/>
        <w:rPr>
          <w:rFonts w:ascii="Times New Roman" w:hAnsi="Times New Roman"/>
        </w:rPr>
      </w:pPr>
    </w:p>
    <w:p w14:paraId="4F1EE0C6" w14:textId="77777777" w:rsidR="00860F1F" w:rsidRDefault="00860F1F" w:rsidP="00860F1F">
      <w:pPr>
        <w:spacing w:line="276" w:lineRule="auto"/>
        <w:jc w:val="both"/>
        <w:rPr>
          <w:rFonts w:ascii="Times New Roman" w:hAnsi="Times New Roman"/>
        </w:rPr>
      </w:pPr>
      <w:r w:rsidRPr="005139B3">
        <w:rPr>
          <w:rFonts w:ascii="Times New Roman" w:hAnsi="Times New Roman"/>
        </w:rPr>
        <w:t xml:space="preserve">La legislación vigente que a continuación se informa, la </w:t>
      </w:r>
      <w:bookmarkStart w:id="2" w:name="_Hlk484356936"/>
      <w:r w:rsidRPr="00820515">
        <w:rPr>
          <w:rFonts w:ascii="Times New Roman" w:hAnsi="Times New Roman"/>
          <w:i/>
        </w:rPr>
        <w:t>Ley 1009 del 23 de enero de 2006 por la cual se crea con carácter permanente el Observatorio de Asuntos de Género</w:t>
      </w:r>
      <w:r w:rsidRPr="005139B3">
        <w:rPr>
          <w:rFonts w:ascii="Times New Roman" w:hAnsi="Times New Roman"/>
        </w:rPr>
        <w:t xml:space="preserve"> y</w:t>
      </w:r>
      <w:r>
        <w:rPr>
          <w:rFonts w:ascii="Times New Roman" w:hAnsi="Times New Roman"/>
        </w:rPr>
        <w:t xml:space="preserve"> la</w:t>
      </w:r>
      <w:r w:rsidRPr="005139B3">
        <w:rPr>
          <w:rFonts w:ascii="Times New Roman" w:hAnsi="Times New Roman"/>
        </w:rPr>
        <w:t xml:space="preserve"> </w:t>
      </w:r>
      <w:r>
        <w:rPr>
          <w:rFonts w:ascii="Times New Roman" w:hAnsi="Times New Roman"/>
          <w:i/>
        </w:rPr>
        <w:t>Ley 1542 del</w:t>
      </w:r>
      <w:r w:rsidRPr="00820515">
        <w:rPr>
          <w:rFonts w:ascii="Times New Roman" w:hAnsi="Times New Roman"/>
          <w:i/>
        </w:rPr>
        <w:t xml:space="preserve"> 5 de julio de 2012 por la cual se reforma el artículo 74 de la Ley 906 de 2004, código</w:t>
      </w:r>
      <w:r>
        <w:rPr>
          <w:rFonts w:ascii="Times New Roman" w:hAnsi="Times New Roman"/>
          <w:i/>
        </w:rPr>
        <w:t xml:space="preserve"> de</w:t>
      </w:r>
      <w:r w:rsidRPr="00820515">
        <w:rPr>
          <w:rFonts w:ascii="Times New Roman" w:hAnsi="Times New Roman"/>
          <w:i/>
        </w:rPr>
        <w:t xml:space="preserve"> procedimiento penal</w:t>
      </w:r>
      <w:bookmarkEnd w:id="2"/>
      <w:r w:rsidRPr="00820515">
        <w:rPr>
          <w:rFonts w:ascii="Times New Roman" w:hAnsi="Times New Roman"/>
          <w:i/>
        </w:rPr>
        <w:t>,</w:t>
      </w:r>
      <w:r w:rsidRPr="005139B3">
        <w:rPr>
          <w:rFonts w:ascii="Times New Roman" w:hAnsi="Times New Roman"/>
        </w:rPr>
        <w:t xml:space="preserve"> tienen por objeto identificar, analizar e implementar de forma más concreta las políticas, programas y normas para mejorar la situación de equidad de género en be</w:t>
      </w:r>
      <w:r>
        <w:rPr>
          <w:rFonts w:ascii="Times New Roman" w:hAnsi="Times New Roman"/>
        </w:rPr>
        <w:t>neficio de las mujeres.</w:t>
      </w:r>
    </w:p>
    <w:p w14:paraId="34F675CC" w14:textId="77777777" w:rsidR="00860F1F" w:rsidRDefault="00860F1F" w:rsidP="00860F1F">
      <w:pPr>
        <w:spacing w:line="276" w:lineRule="auto"/>
        <w:jc w:val="both"/>
        <w:rPr>
          <w:rFonts w:ascii="Times New Roman" w:hAnsi="Times New Roman"/>
        </w:rPr>
      </w:pPr>
    </w:p>
    <w:p w14:paraId="6EA1EEE8" w14:textId="77777777" w:rsidR="00860F1F" w:rsidRPr="005139B3" w:rsidRDefault="00860F1F" w:rsidP="00860F1F">
      <w:pPr>
        <w:spacing w:line="276" w:lineRule="auto"/>
        <w:jc w:val="both"/>
        <w:rPr>
          <w:rFonts w:ascii="Times New Roman" w:hAnsi="Times New Roman"/>
        </w:rPr>
      </w:pPr>
      <w:r w:rsidRPr="005139B3">
        <w:rPr>
          <w:rFonts w:ascii="Times New Roman" w:hAnsi="Times New Roman"/>
        </w:rPr>
        <w:t xml:space="preserve">El segundo, hace referencia a la implementación de la </w:t>
      </w:r>
      <w:r w:rsidRPr="00820515">
        <w:rPr>
          <w:rFonts w:ascii="Times New Roman" w:hAnsi="Times New Roman"/>
          <w:i/>
        </w:rPr>
        <w:t>Ley 823, 11 de julio de 2003 por la cual se dictan normas sobre igualdad de oportunidades para las mujeres</w:t>
      </w:r>
      <w:r w:rsidRPr="005139B3">
        <w:rPr>
          <w:rFonts w:ascii="Times New Roman" w:hAnsi="Times New Roman"/>
        </w:rPr>
        <w:t xml:space="preserve">.  El objeto de esta ley es establecer el marco institucional y orientar las políticas y acciones por parte del Gobierno para garantizar la equidad y la igualdad </w:t>
      </w:r>
      <w:r>
        <w:rPr>
          <w:rFonts w:ascii="Times New Roman" w:hAnsi="Times New Roman"/>
        </w:rPr>
        <w:t>de oportunidades de las mujeres</w:t>
      </w:r>
      <w:r w:rsidRPr="005139B3">
        <w:rPr>
          <w:rFonts w:ascii="Times New Roman" w:hAnsi="Times New Roman"/>
        </w:rPr>
        <w:t xml:space="preserve"> en ámbitos público y privado. En este sentido, </w:t>
      </w:r>
      <w:r>
        <w:rPr>
          <w:rFonts w:ascii="Times New Roman" w:hAnsi="Times New Roman"/>
        </w:rPr>
        <w:t>e</w:t>
      </w:r>
      <w:r w:rsidRPr="005139B3">
        <w:rPr>
          <w:rFonts w:ascii="Times New Roman" w:hAnsi="Times New Roman"/>
        </w:rPr>
        <w:t xml:space="preserve">l informe del Estado colombiano en su evaluación anterior hizo referencia </w:t>
      </w:r>
      <w:r>
        <w:rPr>
          <w:rFonts w:ascii="Times New Roman" w:hAnsi="Times New Roman"/>
        </w:rPr>
        <w:t xml:space="preserve">a los </w:t>
      </w:r>
      <w:r w:rsidRPr="005139B3">
        <w:rPr>
          <w:rFonts w:ascii="Times New Roman" w:hAnsi="Times New Roman"/>
        </w:rPr>
        <w:t>avances importantes en la inclusión de la perspectiva de género en sus políticas sociales,</w:t>
      </w:r>
      <w:r>
        <w:rPr>
          <w:rFonts w:ascii="Times New Roman" w:hAnsi="Times New Roman"/>
        </w:rPr>
        <w:t xml:space="preserve"> se trae a exposición</w:t>
      </w:r>
      <w:r w:rsidRPr="005139B3">
        <w:rPr>
          <w:rFonts w:ascii="Times New Roman" w:hAnsi="Times New Roman"/>
        </w:rPr>
        <w:t xml:space="preserve"> el CONPES 161</w:t>
      </w:r>
      <w:r>
        <w:rPr>
          <w:rFonts w:ascii="Times New Roman" w:hAnsi="Times New Roman"/>
        </w:rPr>
        <w:t xml:space="preserve"> en el cual se</w:t>
      </w:r>
      <w:r w:rsidRPr="005139B3">
        <w:rPr>
          <w:rFonts w:ascii="Times New Roman" w:hAnsi="Times New Roman"/>
        </w:rPr>
        <w:t xml:space="preserve"> expresa de forma contundente la loable acción de fortalecimiento de las políticas públicas en materia de la reducción de las desigualdades, sin embargo, a lo largo de</w:t>
      </w:r>
      <w:r>
        <w:rPr>
          <w:rFonts w:ascii="Times New Roman" w:hAnsi="Times New Roman"/>
        </w:rPr>
        <w:t xml:space="preserve"> la redacción del CONPES social (uno de los capítulos del CONPES 161),</w:t>
      </w:r>
      <w:r w:rsidRPr="005139B3">
        <w:rPr>
          <w:rFonts w:ascii="Times New Roman" w:hAnsi="Times New Roman"/>
        </w:rPr>
        <w:t xml:space="preserve"> el Ministerio de Relaciones Exteriores manifestó la ausencia de recursos asignados para dar cumplimiento al CONPES 161</w:t>
      </w:r>
      <w:r w:rsidRPr="005139B3">
        <w:rPr>
          <w:rStyle w:val="Refdenotaalpie"/>
          <w:rFonts w:ascii="Times New Roman" w:hAnsi="Times New Roman"/>
        </w:rPr>
        <w:footnoteReference w:id="3"/>
      </w:r>
      <w:r w:rsidRPr="005139B3">
        <w:rPr>
          <w:rFonts w:ascii="Times New Roman" w:hAnsi="Times New Roman"/>
        </w:rPr>
        <w:t xml:space="preserve"> en materia de enfoque de género. Entre tanto, la definición expresa de </w:t>
      </w:r>
      <w:r w:rsidRPr="007C2977">
        <w:rPr>
          <w:rFonts w:ascii="Times New Roman" w:hAnsi="Times New Roman"/>
          <w:u w:val="single"/>
        </w:rPr>
        <w:t>“mujer retornada”</w:t>
      </w:r>
      <w:r w:rsidRPr="005139B3">
        <w:rPr>
          <w:rFonts w:ascii="Times New Roman" w:hAnsi="Times New Roman"/>
        </w:rPr>
        <w:t xml:space="preserve"> no está dispuesta como tal en el marco sobre el cual se desarrolla el CONPES social. Llegados a este punto, vale la pena resaltar las iniciativas del país azteca. En el consulado de México, en Chicago, existe la ventanilla integral de acción para la mujer (VAIM</w:t>
      </w:r>
      <w:r w:rsidRPr="005139B3">
        <w:rPr>
          <w:rStyle w:val="Refdenotaalpie"/>
          <w:rFonts w:ascii="Times New Roman" w:hAnsi="Times New Roman"/>
        </w:rPr>
        <w:footnoteReference w:id="4"/>
      </w:r>
      <w:r w:rsidRPr="005139B3">
        <w:rPr>
          <w:rFonts w:ascii="Times New Roman" w:hAnsi="Times New Roman"/>
        </w:rPr>
        <w:t>).</w:t>
      </w:r>
      <w:r>
        <w:rPr>
          <w:rFonts w:ascii="Times New Roman" w:hAnsi="Times New Roman"/>
        </w:rPr>
        <w:t xml:space="preserve"> Política no incluida en los consulados colombianos.</w:t>
      </w:r>
    </w:p>
    <w:p w14:paraId="6E11EEE5" w14:textId="77777777" w:rsidR="00860F1F" w:rsidRDefault="00860F1F" w:rsidP="00860F1F">
      <w:pPr>
        <w:spacing w:line="276" w:lineRule="auto"/>
        <w:jc w:val="both"/>
        <w:rPr>
          <w:rFonts w:ascii="Times New Roman" w:hAnsi="Times New Roman"/>
        </w:rPr>
      </w:pPr>
    </w:p>
    <w:p w14:paraId="55573876" w14:textId="77777777" w:rsidR="00860F1F" w:rsidRPr="005139B3" w:rsidRDefault="00860F1F" w:rsidP="00860F1F">
      <w:pPr>
        <w:spacing w:line="276" w:lineRule="auto"/>
        <w:jc w:val="both"/>
        <w:rPr>
          <w:rFonts w:ascii="Times New Roman" w:hAnsi="Times New Roman"/>
        </w:rPr>
      </w:pPr>
      <w:r w:rsidRPr="005139B3">
        <w:rPr>
          <w:rFonts w:ascii="Times New Roman" w:hAnsi="Times New Roman"/>
        </w:rPr>
        <w:t>Si bien el Consulado de Colombia ha ofrecido charlas formativas en contra de la violencia de género, como la llevada a cabo en Madrid en febrero de 2016, el propósito principal es fortalecer la protección de los derechos de las mujeres, por lo tanto, es necesario adicionar otros aspectos que gara</w:t>
      </w:r>
      <w:r>
        <w:rPr>
          <w:rFonts w:ascii="Times New Roman" w:hAnsi="Times New Roman"/>
        </w:rPr>
        <w:t xml:space="preserve">nticen una protección integral, </w:t>
      </w:r>
      <w:r w:rsidRPr="005139B3">
        <w:rPr>
          <w:rFonts w:ascii="Times New Roman" w:hAnsi="Times New Roman"/>
        </w:rPr>
        <w:t>por ejemplo</w:t>
      </w:r>
      <w:r>
        <w:rPr>
          <w:rFonts w:ascii="Times New Roman" w:hAnsi="Times New Roman"/>
        </w:rPr>
        <w:t>,</w:t>
      </w:r>
      <w:r w:rsidRPr="005139B3">
        <w:rPr>
          <w:rFonts w:ascii="Times New Roman" w:hAnsi="Times New Roman"/>
        </w:rPr>
        <w:t xml:space="preserve"> ofrecer ayuda legal y humanitaria en los principales consulados, contar con atención telefónica permanente, publicar un directorio con las organizaciones e instituciones públicas y privadas del país de residencia que proporcionan servicios a las mujeres inmigrantes víctimas de cualquier tipo </w:t>
      </w:r>
      <w:proofErr w:type="gramStart"/>
      <w:r w:rsidRPr="005139B3">
        <w:rPr>
          <w:rFonts w:ascii="Times New Roman" w:hAnsi="Times New Roman"/>
        </w:rPr>
        <w:lastRenderedPageBreak/>
        <w:t>de</w:t>
      </w:r>
      <w:proofErr w:type="gramEnd"/>
      <w:r w:rsidRPr="005139B3">
        <w:rPr>
          <w:rFonts w:ascii="Times New Roman" w:hAnsi="Times New Roman"/>
        </w:rPr>
        <w:t xml:space="preserve"> violencia, o en el caso colombiano, una amplia cobertura de servicios a las mujeres víctimas del conflicto armado.</w:t>
      </w:r>
    </w:p>
    <w:p w14:paraId="4106B496" w14:textId="77777777" w:rsidR="00860F1F" w:rsidRDefault="00860F1F" w:rsidP="00860F1F">
      <w:pPr>
        <w:spacing w:line="276" w:lineRule="auto"/>
        <w:jc w:val="both"/>
        <w:rPr>
          <w:rFonts w:ascii="Times New Roman" w:hAnsi="Times New Roman"/>
        </w:rPr>
      </w:pPr>
    </w:p>
    <w:p w14:paraId="0E1DDC37" w14:textId="77777777" w:rsidR="00860F1F" w:rsidRPr="005139B3" w:rsidRDefault="00860F1F" w:rsidP="00860F1F">
      <w:pPr>
        <w:spacing w:line="276" w:lineRule="auto"/>
        <w:jc w:val="both"/>
        <w:rPr>
          <w:rFonts w:ascii="Times New Roman" w:hAnsi="Times New Roman"/>
        </w:rPr>
      </w:pPr>
      <w:r w:rsidRPr="005139B3">
        <w:rPr>
          <w:rFonts w:ascii="Times New Roman" w:hAnsi="Times New Roman"/>
        </w:rPr>
        <w:t>Hasta aquí hemos tocado asuntos referentes a la mujer en general, como tal, la publicación de normas en beneficio de la mujer retornada, sea cual sea su etnia, raza, estatus económico o educativo no ha sido puesto de relieve por el Estado colombiano en ninguna de sus dependencias administrativas; estamos ante una nueva carencia de resultados.</w:t>
      </w:r>
    </w:p>
    <w:p w14:paraId="394ABFD3" w14:textId="77777777" w:rsidR="00860F1F" w:rsidRDefault="00860F1F" w:rsidP="00860F1F">
      <w:pPr>
        <w:spacing w:line="276" w:lineRule="auto"/>
        <w:jc w:val="both"/>
        <w:rPr>
          <w:rFonts w:ascii="Times New Roman" w:hAnsi="Times New Roman"/>
        </w:rPr>
      </w:pPr>
    </w:p>
    <w:p w14:paraId="2A95D930" w14:textId="77777777" w:rsidR="00860F1F" w:rsidRPr="005139B3" w:rsidRDefault="00860F1F" w:rsidP="00860F1F">
      <w:pPr>
        <w:spacing w:line="276" w:lineRule="auto"/>
        <w:jc w:val="both"/>
        <w:rPr>
          <w:rFonts w:ascii="Times New Roman" w:hAnsi="Times New Roman"/>
        </w:rPr>
      </w:pPr>
      <w:r w:rsidRPr="005139B3">
        <w:rPr>
          <w:rFonts w:ascii="Times New Roman" w:hAnsi="Times New Roman"/>
        </w:rPr>
        <w:t xml:space="preserve">Avanzando pues, en el tema que nos ocupa, la garantía de la autonomía económica de las mujeres, es objeto de la acción jurídica colombiana. Según lo indicado por la </w:t>
      </w:r>
      <w:r w:rsidRPr="007C2977">
        <w:rPr>
          <w:rFonts w:ascii="Times New Roman" w:hAnsi="Times New Roman"/>
          <w:i/>
        </w:rPr>
        <w:t>Representante de los Colombianos en el exterior Ana Paola Agudelo</w:t>
      </w:r>
      <w:r w:rsidRPr="005139B3">
        <w:rPr>
          <w:rFonts w:ascii="Times New Roman" w:hAnsi="Times New Roman"/>
        </w:rPr>
        <w:t xml:space="preserve">, en el </w:t>
      </w:r>
      <w:r w:rsidRPr="007C2977">
        <w:rPr>
          <w:rFonts w:ascii="Times New Roman" w:hAnsi="Times New Roman"/>
          <w:u w:val="single"/>
        </w:rPr>
        <w:t>2015 el 51% de las remesas que ingresan al país (4.635 millones de dólares) corresponde a ingresos de mujeres que trabajan en el exterior</w:t>
      </w:r>
      <w:r w:rsidRPr="005139B3">
        <w:rPr>
          <w:rStyle w:val="Refdenotaalpie"/>
          <w:rFonts w:ascii="Times New Roman" w:hAnsi="Times New Roman"/>
        </w:rPr>
        <w:footnoteReference w:id="5"/>
      </w:r>
      <w:r w:rsidRPr="005139B3">
        <w:rPr>
          <w:rFonts w:ascii="Times New Roman" w:hAnsi="Times New Roman"/>
        </w:rPr>
        <w:t xml:space="preserve"> . De esta importante cifra y su aporte a la economía colombiana hay dos aspectos a resaltar:</w:t>
      </w:r>
    </w:p>
    <w:p w14:paraId="03ADD99F" w14:textId="77777777" w:rsidR="00860F1F" w:rsidRDefault="00860F1F" w:rsidP="00860F1F">
      <w:pPr>
        <w:spacing w:line="276" w:lineRule="auto"/>
        <w:jc w:val="both"/>
        <w:rPr>
          <w:rFonts w:ascii="Times New Roman" w:hAnsi="Times New Roman"/>
        </w:rPr>
      </w:pPr>
    </w:p>
    <w:p w14:paraId="51B9CA8C" w14:textId="77777777" w:rsidR="00860F1F" w:rsidRPr="005139B3" w:rsidRDefault="00860F1F" w:rsidP="00860F1F">
      <w:pPr>
        <w:spacing w:line="276" w:lineRule="auto"/>
        <w:jc w:val="both"/>
        <w:rPr>
          <w:rFonts w:ascii="Times New Roman" w:hAnsi="Times New Roman"/>
        </w:rPr>
      </w:pPr>
      <w:r w:rsidRPr="005139B3">
        <w:rPr>
          <w:rFonts w:ascii="Times New Roman" w:hAnsi="Times New Roman"/>
        </w:rPr>
        <w:t>1.</w:t>
      </w:r>
      <w:r w:rsidRPr="005139B3">
        <w:rPr>
          <w:rFonts w:ascii="Times New Roman" w:hAnsi="Times New Roman"/>
        </w:rPr>
        <w:tab/>
        <w:t>Educación Financiera y Administración Productiva de Remesas</w:t>
      </w:r>
    </w:p>
    <w:p w14:paraId="5F9C3AF8" w14:textId="77777777" w:rsidR="00860F1F" w:rsidRPr="005139B3" w:rsidRDefault="00860F1F" w:rsidP="00860F1F">
      <w:pPr>
        <w:spacing w:line="276" w:lineRule="auto"/>
        <w:jc w:val="both"/>
        <w:rPr>
          <w:rFonts w:ascii="Times New Roman" w:hAnsi="Times New Roman"/>
        </w:rPr>
      </w:pPr>
      <w:r w:rsidRPr="005139B3">
        <w:rPr>
          <w:rFonts w:ascii="Times New Roman" w:hAnsi="Times New Roman"/>
        </w:rPr>
        <w:t xml:space="preserve">El acceso a la educación financiera tanto para la mujer migrante como para las mujeres beneficiarias de remesas es un paso importante hacia el desarrollo y uso productivo de los recursos. Como es el caso de su acceso al sistema financiero convencional, incentivar el ahorro y la inversión, prevenir fraudes, y evitar el consumo improductivo de remesas que se utilizan en propósitos de consumo.  </w:t>
      </w:r>
    </w:p>
    <w:p w14:paraId="0883918A" w14:textId="77777777" w:rsidR="00860F1F" w:rsidRDefault="00860F1F" w:rsidP="00860F1F">
      <w:pPr>
        <w:spacing w:line="276" w:lineRule="auto"/>
        <w:jc w:val="both"/>
        <w:rPr>
          <w:rFonts w:ascii="Times New Roman" w:hAnsi="Times New Roman"/>
        </w:rPr>
      </w:pPr>
    </w:p>
    <w:p w14:paraId="078F1B55" w14:textId="77777777" w:rsidR="00860F1F" w:rsidRPr="005139B3" w:rsidRDefault="00860F1F" w:rsidP="00860F1F">
      <w:pPr>
        <w:spacing w:line="276" w:lineRule="auto"/>
        <w:jc w:val="both"/>
        <w:rPr>
          <w:rFonts w:ascii="Times New Roman" w:hAnsi="Times New Roman"/>
        </w:rPr>
      </w:pPr>
      <w:r w:rsidRPr="005139B3">
        <w:rPr>
          <w:rFonts w:ascii="Times New Roman" w:hAnsi="Times New Roman"/>
        </w:rPr>
        <w:t>2.</w:t>
      </w:r>
      <w:r w:rsidRPr="005139B3">
        <w:rPr>
          <w:rFonts w:ascii="Times New Roman" w:hAnsi="Times New Roman"/>
        </w:rPr>
        <w:tab/>
        <w:t>Acceso Financiero</w:t>
      </w:r>
    </w:p>
    <w:p w14:paraId="18183A30" w14:textId="77777777" w:rsidR="00860F1F" w:rsidRPr="005139B3" w:rsidRDefault="00860F1F" w:rsidP="00860F1F">
      <w:pPr>
        <w:spacing w:line="276" w:lineRule="auto"/>
        <w:jc w:val="both"/>
        <w:rPr>
          <w:rFonts w:ascii="Times New Roman" w:hAnsi="Times New Roman"/>
        </w:rPr>
      </w:pPr>
      <w:r w:rsidRPr="005139B3">
        <w:rPr>
          <w:rFonts w:ascii="Times New Roman" w:hAnsi="Times New Roman"/>
        </w:rPr>
        <w:t>Las mujeres migrantes colombianas que regresan al país después de varios años en el exterior encuentran dificultades para ingresar al sistema financiero debido la ausencia de un historial crediticio y garantías reales. En consecuencia, los migrantes retornados no son considerados sujetos de crédito en el sistema financiero convencional. Si bien en Colombia, como parte del Plan Retorno, existe información y asesoría para acceder a créditos financieros por parte de entidades estatales como privadas para los migrantes retornados que deseen emprender acciones empresariales en el país, en muchos de los casos, la asesoría prestada es improductiva dada la ausencia de historial crediticio. De forma que, la falta de garantías de acceso a la vida laboral, la falta de acceso a un empleo, genera más pobreza.</w:t>
      </w:r>
    </w:p>
    <w:p w14:paraId="0E2827FF" w14:textId="77777777" w:rsidR="00860F1F" w:rsidRDefault="00860F1F" w:rsidP="00860F1F">
      <w:pPr>
        <w:spacing w:line="276" w:lineRule="auto"/>
        <w:jc w:val="both"/>
        <w:rPr>
          <w:rFonts w:ascii="Times New Roman" w:hAnsi="Times New Roman"/>
        </w:rPr>
      </w:pPr>
    </w:p>
    <w:p w14:paraId="747D00A7" w14:textId="77777777" w:rsidR="00860F1F" w:rsidRPr="005139B3" w:rsidRDefault="00860F1F" w:rsidP="00860F1F">
      <w:pPr>
        <w:spacing w:line="276" w:lineRule="auto"/>
        <w:jc w:val="both"/>
        <w:rPr>
          <w:rFonts w:ascii="Times New Roman" w:hAnsi="Times New Roman"/>
        </w:rPr>
      </w:pPr>
      <w:r w:rsidRPr="005139B3">
        <w:rPr>
          <w:rFonts w:ascii="Times New Roman" w:hAnsi="Times New Roman"/>
        </w:rPr>
        <w:t>En relación al acceso de las condiciones equitativas y satisfactorias de trabajo,</w:t>
      </w:r>
      <w:r>
        <w:rPr>
          <w:rFonts w:ascii="Times New Roman" w:hAnsi="Times New Roman"/>
        </w:rPr>
        <w:t xml:space="preserve"> otro de los derechos objeto de estudio, </w:t>
      </w:r>
      <w:r w:rsidRPr="005139B3">
        <w:rPr>
          <w:rFonts w:ascii="Times New Roman" w:hAnsi="Times New Roman"/>
        </w:rPr>
        <w:t xml:space="preserve">se establece el salario mínimo y el goce del mismo por igualdad de trabajo; medidas de seguridad laboral; igualdad de oportunidades en el ascenso por </w:t>
      </w:r>
      <w:r w:rsidRPr="005139B3">
        <w:rPr>
          <w:rFonts w:ascii="Times New Roman" w:hAnsi="Times New Roman"/>
        </w:rPr>
        <w:lastRenderedPageBreak/>
        <w:t xml:space="preserve">capacidad y tiempo de servicio; límite de horas laboradas y el derecho a percibir remuneración de días festivos, entre otros aspectos. </w:t>
      </w:r>
    </w:p>
    <w:p w14:paraId="359313C4" w14:textId="77777777" w:rsidR="00860F1F" w:rsidRDefault="00860F1F" w:rsidP="00860F1F">
      <w:pPr>
        <w:spacing w:line="276" w:lineRule="auto"/>
        <w:jc w:val="both"/>
        <w:rPr>
          <w:rFonts w:ascii="Times New Roman" w:hAnsi="Times New Roman"/>
        </w:rPr>
      </w:pPr>
    </w:p>
    <w:p w14:paraId="7A8EEFDD" w14:textId="77777777" w:rsidR="00860F1F" w:rsidRPr="005139B3" w:rsidRDefault="00860F1F" w:rsidP="00860F1F">
      <w:pPr>
        <w:spacing w:line="276" w:lineRule="auto"/>
        <w:jc w:val="both"/>
        <w:rPr>
          <w:rFonts w:ascii="Times New Roman" w:hAnsi="Times New Roman"/>
        </w:rPr>
      </w:pPr>
      <w:r w:rsidRPr="005139B3">
        <w:rPr>
          <w:rFonts w:ascii="Times New Roman" w:hAnsi="Times New Roman"/>
        </w:rPr>
        <w:t xml:space="preserve">La evaluación sobre las condiciones laborales de la mujer retornada conlleva a establecer en primera medida cuál ha sido el desempeño de Colombia en la reducción de la brecha salarial entre hombres y mujeres. </w:t>
      </w:r>
      <w:r w:rsidRPr="007C2977">
        <w:rPr>
          <w:rFonts w:ascii="Times New Roman" w:hAnsi="Times New Roman"/>
          <w:i/>
        </w:rPr>
        <w:t>El Índice Global de Brecha de Género del Foro Económico Mundial</w:t>
      </w:r>
      <w:r w:rsidRPr="005139B3">
        <w:rPr>
          <w:rFonts w:ascii="Times New Roman" w:hAnsi="Times New Roman"/>
        </w:rPr>
        <w:t xml:space="preserve">, mide el tamaño de la brecha en varios aspectos: la economía, el mundo laboral cualificado, la política, el acceso a la educación y la esperanza de vida. Colombia ha tenido un avance en el componente de oportunidades para la mujer, explicado en el mayor acceso a la educación y mayor experiencia laboral, significando un incremento en su participación laboral, pasando de </w:t>
      </w:r>
      <w:r w:rsidRPr="007C2977">
        <w:rPr>
          <w:rFonts w:ascii="Times New Roman" w:hAnsi="Times New Roman"/>
          <w:u w:val="single"/>
        </w:rPr>
        <w:t>46,4% en 2008 a 54,5% en 2016</w:t>
      </w:r>
      <w:r w:rsidRPr="005139B3">
        <w:rPr>
          <w:rStyle w:val="Refdenotaalpie"/>
          <w:rFonts w:ascii="Times New Roman" w:hAnsi="Times New Roman"/>
        </w:rPr>
        <w:footnoteReference w:id="6"/>
      </w:r>
      <w:r>
        <w:rPr>
          <w:rFonts w:ascii="Times New Roman" w:hAnsi="Times New Roman"/>
          <w:u w:val="single"/>
        </w:rPr>
        <w:t>.</w:t>
      </w:r>
      <w:r>
        <w:rPr>
          <w:rFonts w:ascii="Times New Roman" w:hAnsi="Times New Roman"/>
        </w:rPr>
        <w:t xml:space="preserve"> </w:t>
      </w:r>
      <w:r w:rsidRPr="005139B3">
        <w:rPr>
          <w:rFonts w:ascii="Times New Roman" w:hAnsi="Times New Roman"/>
        </w:rPr>
        <w:t>Sin embargo, la brecha entre los ingresos laborales de hombres y muje</w:t>
      </w:r>
      <w:r>
        <w:rPr>
          <w:rFonts w:ascii="Times New Roman" w:hAnsi="Times New Roman"/>
        </w:rPr>
        <w:t xml:space="preserve">res aún es considerable, a razón de </w:t>
      </w:r>
      <w:r w:rsidRPr="005139B3">
        <w:rPr>
          <w:rFonts w:ascii="Times New Roman" w:hAnsi="Times New Roman"/>
        </w:rPr>
        <w:t>que Colombia se sitúa en el puesto 39 del ranking por debajo de países de la región</w:t>
      </w:r>
      <w:r>
        <w:rPr>
          <w:rFonts w:ascii="Times New Roman" w:hAnsi="Times New Roman"/>
        </w:rPr>
        <w:t>,</w:t>
      </w:r>
      <w:r w:rsidRPr="005139B3">
        <w:rPr>
          <w:rFonts w:ascii="Times New Roman" w:hAnsi="Times New Roman"/>
        </w:rPr>
        <w:t xml:space="preserve"> como Argentina, Bolivia, Nicaragua, Cuba o Costa Rica, los cuales tienen un mejor desempeño en este aspecto. Por ello, se echan de menos políticas públicas enfocadas en la reducción de las diferencias de las condiciones laborales entre hombres y mujeres, para lograr que el país se sitúe al menos en la media</w:t>
      </w:r>
      <w:r w:rsidRPr="005139B3">
        <w:rPr>
          <w:rStyle w:val="Refdenotaalpie"/>
          <w:rFonts w:ascii="Times New Roman" w:hAnsi="Times New Roman"/>
        </w:rPr>
        <w:footnoteReference w:id="7"/>
      </w:r>
      <w:r w:rsidRPr="005139B3">
        <w:rPr>
          <w:rFonts w:ascii="Times New Roman" w:hAnsi="Times New Roman"/>
        </w:rPr>
        <w:t xml:space="preserve"> . </w:t>
      </w:r>
    </w:p>
    <w:p w14:paraId="11921CC8" w14:textId="77777777" w:rsidR="00860F1F" w:rsidRDefault="00860F1F" w:rsidP="00860F1F">
      <w:pPr>
        <w:spacing w:line="276" w:lineRule="auto"/>
        <w:jc w:val="both"/>
        <w:rPr>
          <w:rFonts w:ascii="Times New Roman" w:hAnsi="Times New Roman"/>
        </w:rPr>
      </w:pPr>
    </w:p>
    <w:p w14:paraId="5894F263" w14:textId="64AB1003" w:rsidR="00860F1F" w:rsidRPr="005139B3" w:rsidRDefault="00860F1F" w:rsidP="00860F1F">
      <w:pPr>
        <w:spacing w:line="276" w:lineRule="auto"/>
        <w:jc w:val="both"/>
        <w:rPr>
          <w:rFonts w:ascii="Times New Roman" w:hAnsi="Times New Roman"/>
        </w:rPr>
      </w:pPr>
      <w:r w:rsidRPr="005139B3">
        <w:rPr>
          <w:rFonts w:ascii="Times New Roman" w:hAnsi="Times New Roman"/>
        </w:rPr>
        <w:t>Según el Ministerio de Trabajo de Colombia, los sectores económicos en los que el ingreso del trabajador es inferior al promedio nacional, y predominan las mujeres – el caso de los textiles, las confecciones, el calzado, el comercio al por menor, los hoteles, restaurantes y el servicio doméstico –, la remuneración para todas las trabajadoras puede llegar a ser incluso la mitad que la recibida en un sector donde predominan hombres</w:t>
      </w:r>
      <w:r w:rsidRPr="005139B3">
        <w:rPr>
          <w:rStyle w:val="Refdenotaalpie"/>
          <w:rFonts w:ascii="Times New Roman" w:hAnsi="Times New Roman"/>
        </w:rPr>
        <w:footnoteReference w:id="8"/>
      </w:r>
      <w:r>
        <w:rPr>
          <w:rFonts w:ascii="Times New Roman" w:hAnsi="Times New Roman"/>
        </w:rPr>
        <w:t xml:space="preserve">. En consecuencia, </w:t>
      </w:r>
      <w:r w:rsidRPr="005139B3">
        <w:rPr>
          <w:rFonts w:ascii="Times New Roman" w:hAnsi="Times New Roman"/>
        </w:rPr>
        <w:t xml:space="preserve">las probabilidades de que las mujeres migrantes que se acogen a alguno de los programas de retorno voluntario </w:t>
      </w:r>
      <w:r>
        <w:rPr>
          <w:rFonts w:ascii="Times New Roman" w:hAnsi="Times New Roman"/>
        </w:rPr>
        <w:t xml:space="preserve">y </w:t>
      </w:r>
      <w:r w:rsidRPr="005139B3">
        <w:rPr>
          <w:rFonts w:ascii="Times New Roman" w:hAnsi="Times New Roman"/>
        </w:rPr>
        <w:t>se incorporen a la fuerza laboral en estas tareas es alta, teniendo en cuenta que, en su mayoría, se trata de personas que no cuentan con un nivel de formación técnico ni profesional, hecho que motiva su reto</w:t>
      </w:r>
      <w:r>
        <w:rPr>
          <w:rFonts w:ascii="Times New Roman" w:hAnsi="Times New Roman"/>
        </w:rPr>
        <w:t>rno por falta de oportunidades laborales en los países de acogida.</w:t>
      </w:r>
    </w:p>
    <w:p w14:paraId="2D66E865" w14:textId="77777777" w:rsidR="00860F1F" w:rsidRDefault="00860F1F" w:rsidP="00860F1F">
      <w:pPr>
        <w:spacing w:line="276" w:lineRule="auto"/>
        <w:jc w:val="both"/>
        <w:rPr>
          <w:rFonts w:ascii="Times New Roman" w:hAnsi="Times New Roman"/>
        </w:rPr>
      </w:pPr>
    </w:p>
    <w:p w14:paraId="6523989A" w14:textId="77777777" w:rsidR="00860F1F" w:rsidRPr="005139B3" w:rsidRDefault="00860F1F" w:rsidP="00860F1F">
      <w:pPr>
        <w:spacing w:line="276" w:lineRule="auto"/>
        <w:jc w:val="both"/>
        <w:rPr>
          <w:rFonts w:ascii="Times New Roman" w:hAnsi="Times New Roman"/>
        </w:rPr>
      </w:pPr>
      <w:r w:rsidRPr="005139B3">
        <w:rPr>
          <w:rFonts w:ascii="Times New Roman" w:hAnsi="Times New Roman"/>
        </w:rPr>
        <w:t>En el plano normativo, en Colombia existe un desarrollo legislativo encaminado a fijar una Política Pública migratoria y de retorno, sin embargo, su diseño e implementación ha sido muy frágil</w:t>
      </w:r>
      <w:r w:rsidRPr="005139B3">
        <w:rPr>
          <w:rStyle w:val="Refdenotaalpie"/>
          <w:rFonts w:ascii="Times New Roman" w:hAnsi="Times New Roman"/>
        </w:rPr>
        <w:footnoteReference w:id="9"/>
      </w:r>
      <w:r w:rsidRPr="005139B3">
        <w:rPr>
          <w:rFonts w:ascii="Times New Roman" w:hAnsi="Times New Roman"/>
        </w:rPr>
        <w:t xml:space="preserve"> . El Plan Nacional de Desarrollo 2010–2014, el plan Visión Colombia II </w:t>
      </w:r>
      <w:r w:rsidRPr="005139B3">
        <w:rPr>
          <w:rFonts w:ascii="Times New Roman" w:hAnsi="Times New Roman"/>
        </w:rPr>
        <w:lastRenderedPageBreak/>
        <w:t xml:space="preserve">Centenario 2019, el documento CONPES 3603 de 2009, la Ley 1465 de 2011 y la Ley 1565 de 2012 son algunas de las normas relacionadas con la creación de una red institucional de política migratoria, compuesta por varios ministerios y por un sistema administrativo denominado “Sistema Nacional de Migraciones (SNM)” encargado del diseño, ejecución, seguimiento y evaluación de la política en procura de la </w:t>
      </w:r>
      <w:r>
        <w:rPr>
          <w:rFonts w:ascii="Times New Roman" w:hAnsi="Times New Roman"/>
        </w:rPr>
        <w:t>calidad de vida de la diáspora; al respecto, la legislación ha quedado “sobre papel” pues a falta de su desarrollo reglamentario, las garantías recogidas en la misma no se cumplen.</w:t>
      </w:r>
    </w:p>
    <w:p w14:paraId="5FEE25F5" w14:textId="77777777" w:rsidR="00860F1F" w:rsidRDefault="00860F1F" w:rsidP="00860F1F">
      <w:pPr>
        <w:spacing w:line="276" w:lineRule="auto"/>
        <w:jc w:val="both"/>
        <w:rPr>
          <w:rFonts w:ascii="Times New Roman" w:hAnsi="Times New Roman"/>
        </w:rPr>
      </w:pPr>
    </w:p>
    <w:p w14:paraId="21A24794" w14:textId="77777777" w:rsidR="00860F1F" w:rsidRPr="005139B3" w:rsidRDefault="00860F1F" w:rsidP="00860F1F">
      <w:pPr>
        <w:spacing w:line="276" w:lineRule="auto"/>
        <w:jc w:val="both"/>
        <w:rPr>
          <w:rFonts w:ascii="Times New Roman" w:hAnsi="Times New Roman"/>
        </w:rPr>
      </w:pPr>
      <w:r w:rsidRPr="005139B3">
        <w:rPr>
          <w:rFonts w:ascii="Times New Roman" w:hAnsi="Times New Roman"/>
        </w:rPr>
        <w:t>Con todo, el balance de esta normatividad a la fecha consiste en la poca receptividad que ha tenido en las prioridades presupuestales del Gobierno, dado que sólo se han destinado recursos para su implementación en lo que tiene que ver con la creación de un fondo especial para ayuda por razones humanitarias, a fin de dar asistencia y protección inmediata a colombianos en el exterior</w:t>
      </w:r>
      <w:r w:rsidRPr="005139B3">
        <w:rPr>
          <w:rStyle w:val="Refdenotaalpie"/>
          <w:rFonts w:ascii="Times New Roman" w:hAnsi="Times New Roman"/>
        </w:rPr>
        <w:footnoteReference w:id="10"/>
      </w:r>
      <w:r w:rsidRPr="005139B3">
        <w:rPr>
          <w:rFonts w:ascii="Times New Roman" w:hAnsi="Times New Roman"/>
        </w:rPr>
        <w:t xml:space="preserve"> . Esto significa que la política migratoria en gran parte se ha limitado a generar una política asistencial a los migrantes por situaciones derivadas de entornos hostiles generadores de vulnerabilidad, es decir, en situaciones graves o de urgencia. </w:t>
      </w:r>
    </w:p>
    <w:p w14:paraId="4E331BD8" w14:textId="77777777" w:rsidR="00860F1F" w:rsidRDefault="00860F1F" w:rsidP="00860F1F">
      <w:pPr>
        <w:spacing w:line="276" w:lineRule="auto"/>
        <w:jc w:val="both"/>
        <w:rPr>
          <w:rFonts w:ascii="Times New Roman" w:hAnsi="Times New Roman"/>
        </w:rPr>
      </w:pPr>
    </w:p>
    <w:p w14:paraId="69A0C75D" w14:textId="77777777" w:rsidR="00860F1F" w:rsidRPr="005139B3" w:rsidRDefault="00860F1F" w:rsidP="00860F1F">
      <w:pPr>
        <w:spacing w:line="276" w:lineRule="auto"/>
        <w:jc w:val="both"/>
        <w:rPr>
          <w:rFonts w:ascii="Times New Roman" w:hAnsi="Times New Roman"/>
        </w:rPr>
      </w:pPr>
      <w:r w:rsidRPr="005139B3">
        <w:rPr>
          <w:rFonts w:ascii="Times New Roman" w:hAnsi="Times New Roman"/>
        </w:rPr>
        <w:t>Esta realidad ha hecho que e</w:t>
      </w:r>
      <w:r>
        <w:rPr>
          <w:rFonts w:ascii="Times New Roman" w:hAnsi="Times New Roman"/>
        </w:rPr>
        <w:t>l sector privado, las ONG y la C</w:t>
      </w:r>
      <w:r w:rsidRPr="005139B3">
        <w:rPr>
          <w:rFonts w:ascii="Times New Roman" w:hAnsi="Times New Roman"/>
        </w:rPr>
        <w:t xml:space="preserve">ooperación </w:t>
      </w:r>
      <w:r>
        <w:rPr>
          <w:rFonts w:ascii="Times New Roman" w:hAnsi="Times New Roman"/>
        </w:rPr>
        <w:t>I</w:t>
      </w:r>
      <w:r w:rsidRPr="005139B3">
        <w:rPr>
          <w:rFonts w:ascii="Times New Roman" w:hAnsi="Times New Roman"/>
        </w:rPr>
        <w:t>nternacional se hayan encargado de generar espacios y oportunidades mediante el ofrecimiento de ayudas económicas para el retorno y la sostenibilidad del mismo mediante programas de formación, créditos para el emprendimiento, entre otros apoyos. No obstante, se trata de una tarea que corresponde asumir a los gobiernos locales q</w:t>
      </w:r>
      <w:r>
        <w:rPr>
          <w:rFonts w:ascii="Times New Roman" w:hAnsi="Times New Roman"/>
        </w:rPr>
        <w:t>ue reciben a la mujer retornada</w:t>
      </w:r>
      <w:r w:rsidRPr="005139B3">
        <w:rPr>
          <w:rFonts w:ascii="Times New Roman" w:hAnsi="Times New Roman"/>
        </w:rPr>
        <w:t xml:space="preserve"> para dar ejecución a las normas ya existentes en el sentido de reinsertarla a la vida local de manera exitosa. </w:t>
      </w:r>
    </w:p>
    <w:p w14:paraId="19C00044" w14:textId="77777777" w:rsidR="00860F1F" w:rsidRDefault="00860F1F" w:rsidP="00860F1F">
      <w:pPr>
        <w:spacing w:line="276" w:lineRule="auto"/>
        <w:jc w:val="both"/>
        <w:rPr>
          <w:rFonts w:ascii="Times New Roman" w:hAnsi="Times New Roman"/>
        </w:rPr>
      </w:pPr>
    </w:p>
    <w:p w14:paraId="580D2961" w14:textId="77777777" w:rsidR="00860F1F" w:rsidRPr="005139B3" w:rsidRDefault="00860F1F" w:rsidP="00860F1F">
      <w:pPr>
        <w:spacing w:line="276" w:lineRule="auto"/>
        <w:jc w:val="both"/>
        <w:rPr>
          <w:rFonts w:ascii="Times New Roman" w:hAnsi="Times New Roman"/>
        </w:rPr>
      </w:pPr>
      <w:r w:rsidRPr="005139B3">
        <w:rPr>
          <w:rFonts w:ascii="Times New Roman" w:hAnsi="Times New Roman"/>
        </w:rPr>
        <w:t>En términos generales, la política migratoria colombiana se encuentra en proceso de construcción y aún en búsqueda de su enfoque de derechos</w:t>
      </w:r>
      <w:r w:rsidRPr="005139B3">
        <w:rPr>
          <w:rStyle w:val="Refdenotaalpie"/>
          <w:rFonts w:ascii="Times New Roman" w:hAnsi="Times New Roman"/>
        </w:rPr>
        <w:footnoteReference w:id="11"/>
      </w:r>
      <w:r w:rsidRPr="005139B3">
        <w:rPr>
          <w:rFonts w:ascii="Times New Roman" w:hAnsi="Times New Roman"/>
        </w:rPr>
        <w:t xml:space="preserve">. </w:t>
      </w:r>
      <w:r w:rsidRPr="007C2977">
        <w:rPr>
          <w:rFonts w:ascii="Times New Roman" w:hAnsi="Times New Roman"/>
          <w:i/>
        </w:rPr>
        <w:t>La Ley 1565 de 2012</w:t>
      </w:r>
      <w:r w:rsidRPr="005139B3">
        <w:rPr>
          <w:rFonts w:ascii="Times New Roman" w:hAnsi="Times New Roman"/>
        </w:rPr>
        <w:t xml:space="preserve"> establece un esquema para el retorno que busca incentivar el regreso de los colombianos que han adquirido conocimientos, habilidades profesionales o recursos útiles para el crecimiento económico y social del país, así como de quienes abandonaron el territorio nacional a causa del conflicto armado y de quienes regresan deportados o en situación vulnerable. Sin embargo, la ley no está enfocada en desa</w:t>
      </w:r>
      <w:r>
        <w:rPr>
          <w:rFonts w:ascii="Times New Roman" w:hAnsi="Times New Roman"/>
        </w:rPr>
        <w:t>rrollar un programa especial</w:t>
      </w:r>
      <w:r w:rsidRPr="005139B3">
        <w:rPr>
          <w:rFonts w:ascii="Times New Roman" w:hAnsi="Times New Roman"/>
        </w:rPr>
        <w:t xml:space="preserve"> de empleabilidad para la mujer migrante retornada, a menos de que esta cuente con capital para la inversión en el país.</w:t>
      </w:r>
      <w:r>
        <w:rPr>
          <w:rFonts w:ascii="Times New Roman" w:hAnsi="Times New Roman"/>
        </w:rPr>
        <w:t xml:space="preserve"> </w:t>
      </w:r>
      <w:r w:rsidRPr="005139B3">
        <w:rPr>
          <w:rFonts w:ascii="Times New Roman" w:hAnsi="Times New Roman"/>
        </w:rPr>
        <w:t>A falta de Desarrollo reglamentario,</w:t>
      </w:r>
      <w:r>
        <w:rPr>
          <w:rFonts w:ascii="Times New Roman" w:hAnsi="Times New Roman"/>
        </w:rPr>
        <w:t xml:space="preserve"> también en este sentido, la</w:t>
      </w:r>
      <w:r w:rsidRPr="005139B3">
        <w:rPr>
          <w:rFonts w:ascii="Times New Roman" w:hAnsi="Times New Roman"/>
        </w:rPr>
        <w:t xml:space="preserve"> plena</w:t>
      </w:r>
      <w:r>
        <w:rPr>
          <w:rFonts w:ascii="Times New Roman" w:hAnsi="Times New Roman"/>
        </w:rPr>
        <w:t xml:space="preserve"> </w:t>
      </w:r>
      <w:r w:rsidRPr="005139B3">
        <w:rPr>
          <w:rFonts w:ascii="Times New Roman" w:hAnsi="Times New Roman"/>
        </w:rPr>
        <w:t>ineficac</w:t>
      </w:r>
      <w:r>
        <w:rPr>
          <w:rFonts w:ascii="Times New Roman" w:hAnsi="Times New Roman"/>
        </w:rPr>
        <w:t>ia de la misma ha sido objeto de debate e</w:t>
      </w:r>
      <w:r w:rsidRPr="005139B3">
        <w:rPr>
          <w:rFonts w:ascii="Times New Roman" w:hAnsi="Times New Roman"/>
        </w:rPr>
        <w:t>ntre el colectivo de colombianos en el exterior preocupados por mejorar su situación.</w:t>
      </w:r>
    </w:p>
    <w:p w14:paraId="0BF94BFA" w14:textId="77777777" w:rsidR="00860F1F" w:rsidRPr="005139B3" w:rsidRDefault="00860F1F" w:rsidP="00860F1F">
      <w:pPr>
        <w:spacing w:line="276" w:lineRule="auto"/>
        <w:jc w:val="both"/>
        <w:rPr>
          <w:rFonts w:ascii="Times New Roman" w:hAnsi="Times New Roman"/>
        </w:rPr>
      </w:pPr>
      <w:r w:rsidRPr="005139B3">
        <w:rPr>
          <w:rFonts w:ascii="Times New Roman" w:hAnsi="Times New Roman"/>
        </w:rPr>
        <w:lastRenderedPageBreak/>
        <w:t>Por último, las condiciones de equidad y satisfacción en el trabajo específicamente para la mujer migrante retornada no han tenido ningún tratamiento legal en Colombia y tampoco existen estudios estadísticos oficiales que arrojen luces sobre esta problemática.</w:t>
      </w:r>
    </w:p>
    <w:p w14:paraId="56578E9C" w14:textId="77777777" w:rsidR="00860F1F" w:rsidRDefault="00860F1F" w:rsidP="00860F1F">
      <w:pPr>
        <w:spacing w:line="276" w:lineRule="auto"/>
        <w:rPr>
          <w:rFonts w:ascii="Times New Roman" w:hAnsi="Times New Roman"/>
          <w:b/>
        </w:rPr>
      </w:pPr>
    </w:p>
    <w:p w14:paraId="7806D215" w14:textId="77777777" w:rsidR="00860F1F" w:rsidRDefault="00860F1F" w:rsidP="00860F1F">
      <w:pPr>
        <w:spacing w:line="276" w:lineRule="auto"/>
        <w:jc w:val="center"/>
        <w:rPr>
          <w:rFonts w:ascii="Times New Roman" w:hAnsi="Times New Roman"/>
          <w:b/>
        </w:rPr>
      </w:pPr>
    </w:p>
    <w:p w14:paraId="38B6608C" w14:textId="5415BB2E" w:rsidR="00860F1F" w:rsidRDefault="00860F1F" w:rsidP="00860F1F">
      <w:pPr>
        <w:spacing w:line="276" w:lineRule="auto"/>
        <w:jc w:val="center"/>
        <w:rPr>
          <w:rFonts w:ascii="Times New Roman" w:hAnsi="Times New Roman"/>
          <w:b/>
        </w:rPr>
      </w:pPr>
      <w:r w:rsidRPr="00114434">
        <w:rPr>
          <w:rFonts w:ascii="Times New Roman" w:hAnsi="Times New Roman"/>
          <w:b/>
        </w:rPr>
        <w:t>RECOMENDACIONES GENERALES AL ESTADO</w:t>
      </w:r>
      <w:r>
        <w:rPr>
          <w:rFonts w:ascii="Times New Roman" w:hAnsi="Times New Roman"/>
          <w:b/>
        </w:rPr>
        <w:t xml:space="preserve"> COLOMBIANO</w:t>
      </w:r>
    </w:p>
    <w:p w14:paraId="75D6FF86" w14:textId="77777777" w:rsidR="00860F1F" w:rsidRPr="00114434" w:rsidRDefault="00860F1F" w:rsidP="00860F1F">
      <w:pPr>
        <w:spacing w:line="276" w:lineRule="auto"/>
        <w:jc w:val="center"/>
        <w:rPr>
          <w:rFonts w:ascii="Times New Roman" w:hAnsi="Times New Roman"/>
          <w:b/>
        </w:rPr>
      </w:pPr>
    </w:p>
    <w:p w14:paraId="47A2AA82" w14:textId="77777777" w:rsidR="00860F1F" w:rsidRDefault="00860F1F" w:rsidP="00860F1F">
      <w:pPr>
        <w:numPr>
          <w:ilvl w:val="0"/>
          <w:numId w:val="15"/>
        </w:numPr>
        <w:spacing w:after="160" w:line="276" w:lineRule="auto"/>
        <w:jc w:val="both"/>
        <w:rPr>
          <w:rFonts w:ascii="Times New Roman" w:hAnsi="Times New Roman"/>
        </w:rPr>
      </w:pPr>
      <w:r w:rsidRPr="005139B3">
        <w:rPr>
          <w:rFonts w:ascii="Times New Roman" w:hAnsi="Times New Roman"/>
        </w:rPr>
        <w:t>Se recom</w:t>
      </w:r>
      <w:r>
        <w:rPr>
          <w:rFonts w:ascii="Times New Roman" w:hAnsi="Times New Roman"/>
        </w:rPr>
        <w:t>ienda al Estado incluir en su sistema de B</w:t>
      </w:r>
      <w:r w:rsidRPr="005139B3">
        <w:rPr>
          <w:rFonts w:ascii="Times New Roman" w:hAnsi="Times New Roman"/>
        </w:rPr>
        <w:t xml:space="preserve">ases de </w:t>
      </w:r>
      <w:r>
        <w:rPr>
          <w:rFonts w:ascii="Times New Roman" w:hAnsi="Times New Roman"/>
        </w:rPr>
        <w:t>D</w:t>
      </w:r>
      <w:r w:rsidRPr="005139B3">
        <w:rPr>
          <w:rFonts w:ascii="Times New Roman" w:hAnsi="Times New Roman"/>
        </w:rPr>
        <w:t>atos las cifras exactas</w:t>
      </w:r>
      <w:r>
        <w:rPr>
          <w:rFonts w:ascii="Times New Roman" w:hAnsi="Times New Roman"/>
        </w:rPr>
        <w:t xml:space="preserve"> y actualizadas</w:t>
      </w:r>
      <w:r w:rsidRPr="005139B3">
        <w:rPr>
          <w:rFonts w:ascii="Times New Roman" w:hAnsi="Times New Roman"/>
        </w:rPr>
        <w:t xml:space="preserve"> de mujeres retornadas, y h</w:t>
      </w:r>
      <w:r>
        <w:rPr>
          <w:rFonts w:ascii="Times New Roman" w:hAnsi="Times New Roman"/>
        </w:rPr>
        <w:t xml:space="preserve">acer una clasificación según la pertenencia al grupo étnico, </w:t>
      </w:r>
      <w:r w:rsidRPr="005139B3">
        <w:rPr>
          <w:rFonts w:ascii="Times New Roman" w:hAnsi="Times New Roman"/>
        </w:rPr>
        <w:t>raizal</w:t>
      </w:r>
      <w:r>
        <w:rPr>
          <w:rFonts w:ascii="Times New Roman" w:hAnsi="Times New Roman"/>
        </w:rPr>
        <w:t xml:space="preserve"> o colectivo afrodescendiente</w:t>
      </w:r>
      <w:r w:rsidRPr="005139B3">
        <w:rPr>
          <w:rFonts w:ascii="Times New Roman" w:hAnsi="Times New Roman"/>
        </w:rPr>
        <w:t>, sugiriend</w:t>
      </w:r>
      <w:r>
        <w:rPr>
          <w:rFonts w:ascii="Times New Roman" w:hAnsi="Times New Roman"/>
        </w:rPr>
        <w:t xml:space="preserve">o en todo caso, la realización de acciones </w:t>
      </w:r>
      <w:r w:rsidRPr="005139B3">
        <w:rPr>
          <w:rFonts w:ascii="Times New Roman" w:hAnsi="Times New Roman"/>
        </w:rPr>
        <w:t xml:space="preserve">estadísticas que orienten </w:t>
      </w:r>
      <w:r>
        <w:rPr>
          <w:rFonts w:ascii="Times New Roman" w:hAnsi="Times New Roman"/>
        </w:rPr>
        <w:t>el diseño e implementación de políticas públicas específicas, pues sus necesidades varían según las condiciones mencionadas.</w:t>
      </w:r>
    </w:p>
    <w:p w14:paraId="46741A4A" w14:textId="77777777" w:rsidR="00860F1F" w:rsidRPr="005139B3" w:rsidRDefault="00860F1F" w:rsidP="00860F1F">
      <w:pPr>
        <w:numPr>
          <w:ilvl w:val="0"/>
          <w:numId w:val="15"/>
        </w:numPr>
        <w:spacing w:after="160" w:line="276" w:lineRule="auto"/>
        <w:jc w:val="both"/>
        <w:rPr>
          <w:rFonts w:ascii="Times New Roman" w:hAnsi="Times New Roman"/>
        </w:rPr>
      </w:pPr>
      <w:r>
        <w:rPr>
          <w:rFonts w:ascii="Times New Roman" w:hAnsi="Times New Roman"/>
        </w:rPr>
        <w:t xml:space="preserve">Se recomienda, </w:t>
      </w:r>
      <w:r w:rsidRPr="005139B3">
        <w:rPr>
          <w:rFonts w:ascii="Times New Roman" w:hAnsi="Times New Roman"/>
        </w:rPr>
        <w:t>impulsar medidas legislativas eficaces</w:t>
      </w:r>
      <w:r>
        <w:rPr>
          <w:rFonts w:ascii="Times New Roman" w:hAnsi="Times New Roman"/>
        </w:rPr>
        <w:t>, y su posterior desarrollo reglamentario,</w:t>
      </w:r>
      <w:r w:rsidRPr="005139B3">
        <w:rPr>
          <w:rFonts w:ascii="Times New Roman" w:hAnsi="Times New Roman"/>
        </w:rPr>
        <w:t xml:space="preserve"> para la incorporación de las mujeres retornadas a un sistema activo y permanente de programas de atención sicológica, de emprendimiento y de incorporación al sistema laboral, como también, la creación de programas de atención a sus familias.</w:t>
      </w:r>
      <w:r>
        <w:rPr>
          <w:rFonts w:ascii="Times New Roman" w:hAnsi="Times New Roman"/>
        </w:rPr>
        <w:t xml:space="preserve"> En el ámbito internacional, se recomienda </w:t>
      </w:r>
      <w:r w:rsidRPr="00A4063B">
        <w:rPr>
          <w:rFonts w:ascii="Times New Roman" w:hAnsi="Times New Roman"/>
        </w:rPr>
        <w:t>generar un protocolo de atención en los Consulados Colombianos que brinde ayuda integral ante las denuncias de agresión contra la mujer, asesoría jurídica y psicosocial, y en general, una atención especializada para la mujer a fin de fortalecer la protección de sus derechos, contribuir a su empoderamiento y fomentar la igualdad de género.</w:t>
      </w:r>
    </w:p>
    <w:p w14:paraId="6F215349" w14:textId="77777777" w:rsidR="00860F1F" w:rsidRPr="005139B3" w:rsidRDefault="00860F1F" w:rsidP="00860F1F">
      <w:pPr>
        <w:numPr>
          <w:ilvl w:val="0"/>
          <w:numId w:val="15"/>
        </w:numPr>
        <w:spacing w:after="160" w:line="276" w:lineRule="auto"/>
        <w:jc w:val="both"/>
        <w:rPr>
          <w:rFonts w:ascii="Times New Roman" w:hAnsi="Times New Roman"/>
        </w:rPr>
      </w:pPr>
      <w:r>
        <w:rPr>
          <w:rFonts w:ascii="Times New Roman" w:hAnsi="Times New Roman"/>
        </w:rPr>
        <w:t>Se recomienda,</w:t>
      </w:r>
      <w:r w:rsidRPr="005139B3">
        <w:rPr>
          <w:rFonts w:ascii="Times New Roman" w:hAnsi="Times New Roman"/>
        </w:rPr>
        <w:t xml:space="preserve"> implementar de forma eficaz y eficiente la legislación en materia de erradicación de la desigualdad, racismo y discriminación contra la mujer, Ley 1482 de 20</w:t>
      </w:r>
      <w:r>
        <w:rPr>
          <w:rFonts w:ascii="Times New Roman" w:hAnsi="Times New Roman"/>
        </w:rPr>
        <w:t>11 y la Resolución 1154 de 2012;</w:t>
      </w:r>
      <w:r w:rsidRPr="00FB17BE">
        <w:t xml:space="preserve"> </w:t>
      </w:r>
      <w:r w:rsidRPr="00FB17BE">
        <w:rPr>
          <w:rFonts w:ascii="Times New Roman" w:hAnsi="Times New Roman"/>
        </w:rPr>
        <w:t>Ley 1009 del 23 de enero de 2006 por la cual se crea con carácter permanente el Observatorio de Asuntos de Género y la Ley 1542 del 5 de julio de 2012 por la cual se reforma el artículo 74 de la Ley 906 de 2004, código de procedimiento penal</w:t>
      </w:r>
      <w:r>
        <w:rPr>
          <w:rFonts w:ascii="Times New Roman" w:hAnsi="Times New Roman"/>
        </w:rPr>
        <w:t>;</w:t>
      </w:r>
      <w:r w:rsidRPr="005139B3">
        <w:rPr>
          <w:rFonts w:ascii="Times New Roman" w:hAnsi="Times New Roman"/>
        </w:rPr>
        <w:t xml:space="preserve"> </w:t>
      </w:r>
      <w:r>
        <w:rPr>
          <w:rFonts w:ascii="Times New Roman" w:hAnsi="Times New Roman"/>
        </w:rPr>
        <w:t>La ley 1465 de 2011 por medio de la cual se crea el Sistema Nacional de Migraciones, la Ley 1565 de 2012 por medio de la cual se establecen los medios de retorno voluntario. A</w:t>
      </w:r>
      <w:r w:rsidRPr="005139B3">
        <w:rPr>
          <w:rFonts w:ascii="Times New Roman" w:hAnsi="Times New Roman"/>
        </w:rPr>
        <w:t>l mismo tiempo, se sugiere incorporar a las políticas públicas los Objetivos de De</w:t>
      </w:r>
      <w:r>
        <w:rPr>
          <w:rFonts w:ascii="Times New Roman" w:hAnsi="Times New Roman"/>
        </w:rPr>
        <w:t>sarrollo Sostenible</w:t>
      </w:r>
      <w:r w:rsidRPr="00A4063B">
        <w:rPr>
          <w:rFonts w:ascii="Times New Roman" w:hAnsi="Times New Roman"/>
        </w:rPr>
        <w:t xml:space="preserve"> #1 (fin de la pobreza) #2 (hambre cero), </w:t>
      </w:r>
      <w:r w:rsidRPr="005139B3">
        <w:rPr>
          <w:rFonts w:ascii="Times New Roman" w:hAnsi="Times New Roman"/>
        </w:rPr>
        <w:t>el interés de erradicar la desigualdad ODS #3 (Salud y bienestar), ODS#8 (trabajo de</w:t>
      </w:r>
      <w:r>
        <w:rPr>
          <w:rFonts w:ascii="Times New Roman" w:hAnsi="Times New Roman"/>
        </w:rPr>
        <w:t>cente y crecimiento económico),</w:t>
      </w:r>
      <w:r w:rsidRPr="005139B3">
        <w:rPr>
          <w:rFonts w:ascii="Times New Roman" w:hAnsi="Times New Roman"/>
        </w:rPr>
        <w:t xml:space="preserve"> ODS #10 (</w:t>
      </w:r>
      <w:r>
        <w:rPr>
          <w:rFonts w:ascii="Times New Roman" w:hAnsi="Times New Roman"/>
        </w:rPr>
        <w:t xml:space="preserve">reducción de las desigualdades) y ODS </w:t>
      </w:r>
      <w:r w:rsidRPr="00A4063B">
        <w:rPr>
          <w:rFonts w:ascii="Times New Roman" w:hAnsi="Times New Roman"/>
        </w:rPr>
        <w:t>#17 (alia</w:t>
      </w:r>
      <w:r>
        <w:rPr>
          <w:rFonts w:ascii="Times New Roman" w:hAnsi="Times New Roman"/>
        </w:rPr>
        <w:t>nzas para lograr los objetivos) que ostentan el interés de mejorar la calidad de vida.</w:t>
      </w:r>
    </w:p>
    <w:p w14:paraId="6C84FF85" w14:textId="77777777" w:rsidR="00860F1F" w:rsidRPr="005139B3" w:rsidRDefault="00860F1F" w:rsidP="00860F1F">
      <w:pPr>
        <w:numPr>
          <w:ilvl w:val="0"/>
          <w:numId w:val="15"/>
        </w:numPr>
        <w:spacing w:after="160" w:line="276" w:lineRule="auto"/>
        <w:jc w:val="both"/>
        <w:rPr>
          <w:rFonts w:ascii="Times New Roman" w:hAnsi="Times New Roman"/>
        </w:rPr>
      </w:pPr>
      <w:r>
        <w:rPr>
          <w:rFonts w:ascii="Times New Roman" w:hAnsi="Times New Roman"/>
        </w:rPr>
        <w:t>En materia de R</w:t>
      </w:r>
      <w:r w:rsidRPr="005139B3">
        <w:rPr>
          <w:rFonts w:ascii="Times New Roman" w:hAnsi="Times New Roman"/>
        </w:rPr>
        <w:t>emesas, se recomienda al Estado colombiano,</w:t>
      </w:r>
      <w:r>
        <w:rPr>
          <w:rFonts w:ascii="Times New Roman" w:hAnsi="Times New Roman"/>
        </w:rPr>
        <w:t xml:space="preserve"> la redistribución equitativa de las mismas que permitan fomentar la creación y</w:t>
      </w:r>
      <w:r w:rsidRPr="005139B3">
        <w:rPr>
          <w:rFonts w:ascii="Times New Roman" w:hAnsi="Times New Roman"/>
        </w:rPr>
        <w:t xml:space="preserve"> fortalecimiento de microempresas con acceso a créditos productivos y de ayuda al emprendimiento, especialme</w:t>
      </w:r>
      <w:r>
        <w:rPr>
          <w:rFonts w:ascii="Times New Roman" w:hAnsi="Times New Roman"/>
        </w:rPr>
        <w:t>nte para las mujeres retornadas;</w:t>
      </w:r>
      <w:r w:rsidRPr="005139B3">
        <w:rPr>
          <w:rFonts w:ascii="Times New Roman" w:hAnsi="Times New Roman"/>
        </w:rPr>
        <w:t xml:space="preserve"> de igual forma, s</w:t>
      </w:r>
      <w:r>
        <w:rPr>
          <w:rFonts w:ascii="Times New Roman" w:hAnsi="Times New Roman"/>
        </w:rPr>
        <w:t xml:space="preserve">e recomienda la </w:t>
      </w:r>
      <w:r>
        <w:rPr>
          <w:rFonts w:ascii="Times New Roman" w:hAnsi="Times New Roman"/>
        </w:rPr>
        <w:lastRenderedPageBreak/>
        <w:t xml:space="preserve">creación de un </w:t>
      </w:r>
      <w:r w:rsidRPr="00602CCF">
        <w:rPr>
          <w:rFonts w:ascii="Times New Roman" w:hAnsi="Times New Roman"/>
          <w:i/>
        </w:rPr>
        <w:t>S</w:t>
      </w:r>
      <w:r>
        <w:rPr>
          <w:rFonts w:ascii="Times New Roman" w:hAnsi="Times New Roman"/>
          <w:i/>
        </w:rPr>
        <w:t>istema de R</w:t>
      </w:r>
      <w:r w:rsidRPr="00602CCF">
        <w:rPr>
          <w:rFonts w:ascii="Times New Roman" w:hAnsi="Times New Roman"/>
          <w:i/>
        </w:rPr>
        <w:t xml:space="preserve">einserción </w:t>
      </w:r>
      <w:r>
        <w:rPr>
          <w:rFonts w:ascii="Times New Roman" w:hAnsi="Times New Roman"/>
          <w:i/>
        </w:rPr>
        <w:t>L</w:t>
      </w:r>
      <w:r w:rsidRPr="00602CCF">
        <w:rPr>
          <w:rFonts w:ascii="Times New Roman" w:hAnsi="Times New Roman"/>
          <w:i/>
        </w:rPr>
        <w:t>aboral</w:t>
      </w:r>
      <w:r w:rsidRPr="005139B3">
        <w:rPr>
          <w:rFonts w:ascii="Times New Roman" w:hAnsi="Times New Roman"/>
        </w:rPr>
        <w:t xml:space="preserve"> en el que se incluya un Registro actualizado de habilidades y estudios obtenidos durant</w:t>
      </w:r>
      <w:r>
        <w:rPr>
          <w:rFonts w:ascii="Times New Roman" w:hAnsi="Times New Roman"/>
        </w:rPr>
        <w:t>e su residencia fuera del país a fin de encauzar los conocimientos adquiridos y lograr de forma eficiente la mejora de la productividad del país.</w:t>
      </w:r>
    </w:p>
    <w:p w14:paraId="454B6FA7" w14:textId="77777777" w:rsidR="00860F1F" w:rsidRPr="005139B3" w:rsidRDefault="00860F1F" w:rsidP="00860F1F">
      <w:pPr>
        <w:numPr>
          <w:ilvl w:val="0"/>
          <w:numId w:val="15"/>
        </w:numPr>
        <w:spacing w:after="160" w:line="276" w:lineRule="auto"/>
        <w:jc w:val="both"/>
        <w:rPr>
          <w:rFonts w:ascii="Times New Roman" w:hAnsi="Times New Roman"/>
        </w:rPr>
      </w:pPr>
      <w:r w:rsidRPr="005139B3">
        <w:rPr>
          <w:rFonts w:ascii="Times New Roman" w:hAnsi="Times New Roman"/>
        </w:rPr>
        <w:t>En materia de acceso al sistema financiero, se recomienda al Estado retirar todo tipo de obstáculo que impida el fácil acceso a los sistemas de retorno productivo implementado en el país, como también la creación de cooperativas de ahorro y crédito, con énfasis en la mujer migrante retornada, quien en numerosas ocasiones regresa al país en condición de cabeza de hogar. Baste añadir que dichas recomendaciones serán válidas para hombres y mujeres que retornan a su país de origen.</w:t>
      </w:r>
    </w:p>
    <w:p w14:paraId="7A072784" w14:textId="77777777" w:rsidR="00860F1F" w:rsidRPr="005139B3" w:rsidRDefault="00860F1F" w:rsidP="00860F1F">
      <w:pPr>
        <w:numPr>
          <w:ilvl w:val="0"/>
          <w:numId w:val="15"/>
        </w:numPr>
        <w:spacing w:after="160" w:line="276" w:lineRule="auto"/>
        <w:jc w:val="both"/>
        <w:rPr>
          <w:rFonts w:ascii="Times New Roman" w:hAnsi="Times New Roman"/>
        </w:rPr>
      </w:pPr>
      <w:r w:rsidRPr="005139B3">
        <w:rPr>
          <w:rFonts w:ascii="Times New Roman" w:hAnsi="Times New Roman"/>
        </w:rPr>
        <w:t xml:space="preserve">Se recomienda </w:t>
      </w:r>
      <w:r>
        <w:rPr>
          <w:rFonts w:ascii="Times New Roman" w:hAnsi="Times New Roman"/>
        </w:rPr>
        <w:t xml:space="preserve">al Estado crear un </w:t>
      </w:r>
      <w:r w:rsidRPr="00782256">
        <w:rPr>
          <w:rFonts w:ascii="Times New Roman" w:hAnsi="Times New Roman"/>
          <w:i/>
        </w:rPr>
        <w:t>Estatuto de Derechos de la Migración interna y externa, y de Retorno</w:t>
      </w:r>
      <w:r>
        <w:rPr>
          <w:rFonts w:ascii="Times New Roman" w:hAnsi="Times New Roman"/>
        </w:rPr>
        <w:t>,</w:t>
      </w:r>
      <w:r w:rsidRPr="005139B3">
        <w:rPr>
          <w:rFonts w:ascii="Times New Roman" w:hAnsi="Times New Roman"/>
        </w:rPr>
        <w:t xml:space="preserve"> en el que se asegure una garantía </w:t>
      </w:r>
      <w:r>
        <w:rPr>
          <w:rFonts w:ascii="Times New Roman" w:hAnsi="Times New Roman"/>
        </w:rPr>
        <w:t>y cobertura básica</w:t>
      </w:r>
      <w:r w:rsidRPr="005139B3">
        <w:rPr>
          <w:rFonts w:ascii="Times New Roman" w:hAnsi="Times New Roman"/>
        </w:rPr>
        <w:t xml:space="preserve"> de derechos fundamentales</w:t>
      </w:r>
      <w:r>
        <w:rPr>
          <w:rFonts w:ascii="Times New Roman" w:hAnsi="Times New Roman"/>
        </w:rPr>
        <w:t xml:space="preserve"> y sociales,</w:t>
      </w:r>
      <w:r w:rsidRPr="005139B3">
        <w:rPr>
          <w:rFonts w:ascii="Times New Roman" w:hAnsi="Times New Roman"/>
        </w:rPr>
        <w:t xml:space="preserve"> a la vez que se establezcan mecanismos de protección </w:t>
      </w:r>
      <w:r>
        <w:rPr>
          <w:rFonts w:ascii="Times New Roman" w:hAnsi="Times New Roman"/>
        </w:rPr>
        <w:t xml:space="preserve">jurídicos y </w:t>
      </w:r>
      <w:r w:rsidRPr="005139B3">
        <w:rPr>
          <w:rFonts w:ascii="Times New Roman" w:hAnsi="Times New Roman"/>
        </w:rPr>
        <w:t xml:space="preserve">administrativos especiales para esta población. </w:t>
      </w:r>
    </w:p>
    <w:p w14:paraId="63A1AD88" w14:textId="165EC309" w:rsidR="00B26D4E" w:rsidRPr="00860F1F" w:rsidRDefault="00860F1F" w:rsidP="00860F1F">
      <w:pPr>
        <w:numPr>
          <w:ilvl w:val="0"/>
          <w:numId w:val="15"/>
        </w:numPr>
        <w:spacing w:after="160" w:line="276" w:lineRule="auto"/>
        <w:jc w:val="both"/>
        <w:rPr>
          <w:rFonts w:ascii="Times New Roman" w:hAnsi="Times New Roman"/>
        </w:rPr>
      </w:pPr>
      <w:r w:rsidRPr="005139B3">
        <w:rPr>
          <w:rFonts w:ascii="Times New Roman" w:hAnsi="Times New Roman"/>
        </w:rPr>
        <w:t>Se recomienda al Estado fortalecer el marco normativo de la política migratoria, considerando los aspectos principales de la misma y, en torno a la cual, se consideren aspectos transversales como la conciliación del entorno familiar, la reincorporación a la vida l</w:t>
      </w:r>
      <w:r>
        <w:rPr>
          <w:rFonts w:ascii="Times New Roman" w:hAnsi="Times New Roman"/>
        </w:rPr>
        <w:t>aboral y el reconocimiento de un estatus especial en el acceso a la Seguridad Social y al Sistema de Salud.</w:t>
      </w:r>
    </w:p>
    <w:sectPr w:rsidR="00B26D4E" w:rsidRPr="00860F1F" w:rsidSect="003E07FA">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11C51B" w14:textId="77777777" w:rsidR="00FE0ABF" w:rsidRDefault="00FE0ABF" w:rsidP="002A09F6">
      <w:r>
        <w:separator/>
      </w:r>
    </w:p>
  </w:endnote>
  <w:endnote w:type="continuationSeparator" w:id="0">
    <w:p w14:paraId="1DDC4258" w14:textId="77777777" w:rsidR="00FE0ABF" w:rsidRDefault="00FE0ABF" w:rsidP="002A0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05F48D" w14:textId="77777777" w:rsidR="00FE0ABF" w:rsidRDefault="00FE0ABF" w:rsidP="002A09F6">
      <w:r>
        <w:separator/>
      </w:r>
    </w:p>
  </w:footnote>
  <w:footnote w:type="continuationSeparator" w:id="0">
    <w:p w14:paraId="6A43316E" w14:textId="77777777" w:rsidR="00FE0ABF" w:rsidRDefault="00FE0ABF" w:rsidP="002A09F6">
      <w:r>
        <w:continuationSeparator/>
      </w:r>
    </w:p>
  </w:footnote>
  <w:footnote w:id="1">
    <w:p w14:paraId="5502ACC5" w14:textId="77777777" w:rsidR="00860F1F" w:rsidRPr="00602CCF" w:rsidRDefault="00860F1F" w:rsidP="00860F1F">
      <w:pPr>
        <w:pStyle w:val="Textonotapie"/>
        <w:rPr>
          <w:rFonts w:ascii="Times New Roman" w:hAnsi="Times New Roman"/>
          <w:sz w:val="18"/>
          <w:szCs w:val="18"/>
        </w:rPr>
      </w:pPr>
      <w:r w:rsidRPr="00602CCF">
        <w:rPr>
          <w:rStyle w:val="Refdenotaalpie"/>
          <w:rFonts w:ascii="Times New Roman" w:hAnsi="Times New Roman"/>
          <w:sz w:val="18"/>
          <w:szCs w:val="18"/>
        </w:rPr>
        <w:footnoteRef/>
      </w:r>
      <w:r w:rsidRPr="00602CCF">
        <w:rPr>
          <w:rFonts w:ascii="Times New Roman" w:hAnsi="Times New Roman"/>
          <w:sz w:val="18"/>
          <w:szCs w:val="18"/>
        </w:rPr>
        <w:t xml:space="preserve"> </w:t>
      </w:r>
      <w:r w:rsidRPr="00602CCF">
        <w:rPr>
          <w:rFonts w:ascii="Times New Roman" w:hAnsi="Times New Roman"/>
          <w:b/>
          <w:sz w:val="18"/>
          <w:szCs w:val="18"/>
        </w:rPr>
        <w:t>CANCILLERÍA DE Colombia</w:t>
      </w:r>
      <w:r w:rsidRPr="00602CCF">
        <w:rPr>
          <w:rFonts w:ascii="Times New Roman" w:hAnsi="Times New Roman"/>
          <w:sz w:val="18"/>
          <w:szCs w:val="18"/>
        </w:rPr>
        <w:t>. Programa Colombia Nos Une. Información de interés. Migración colombiana. Consultado en: http://www.colombianosune.com/informaciondeinteres/caracterizacion</w:t>
      </w:r>
    </w:p>
    <w:p w14:paraId="62AAEEAA" w14:textId="77777777" w:rsidR="00860F1F" w:rsidRPr="00995DD2" w:rsidRDefault="00860F1F" w:rsidP="00860F1F">
      <w:pPr>
        <w:pStyle w:val="Textonotapie"/>
      </w:pPr>
      <w:r w:rsidRPr="00602CCF">
        <w:rPr>
          <w:rFonts w:ascii="Times New Roman" w:hAnsi="Times New Roman"/>
          <w:sz w:val="18"/>
          <w:szCs w:val="18"/>
        </w:rPr>
        <w:t>Recuperado el 15 de mayo de 2017.</w:t>
      </w:r>
    </w:p>
  </w:footnote>
  <w:footnote w:id="2">
    <w:p w14:paraId="5292CC38" w14:textId="77777777" w:rsidR="00860F1F" w:rsidRPr="00602CCF" w:rsidRDefault="00860F1F" w:rsidP="00860F1F">
      <w:pPr>
        <w:pStyle w:val="Textonotapie"/>
        <w:rPr>
          <w:rFonts w:ascii="Times New Roman" w:hAnsi="Times New Roman"/>
          <w:sz w:val="18"/>
          <w:szCs w:val="18"/>
        </w:rPr>
      </w:pPr>
      <w:r w:rsidRPr="00602CCF">
        <w:rPr>
          <w:rStyle w:val="Refdenotaalpie"/>
          <w:rFonts w:ascii="Times New Roman" w:hAnsi="Times New Roman"/>
          <w:sz w:val="18"/>
          <w:szCs w:val="18"/>
        </w:rPr>
        <w:footnoteRef/>
      </w:r>
      <w:r w:rsidRPr="00602CCF">
        <w:rPr>
          <w:rFonts w:ascii="Times New Roman" w:hAnsi="Times New Roman"/>
          <w:sz w:val="18"/>
          <w:szCs w:val="18"/>
        </w:rPr>
        <w:t xml:space="preserve"> </w:t>
      </w:r>
      <w:r w:rsidRPr="00782256">
        <w:rPr>
          <w:rFonts w:ascii="Times New Roman" w:hAnsi="Times New Roman"/>
          <w:b/>
          <w:sz w:val="18"/>
          <w:szCs w:val="18"/>
        </w:rPr>
        <w:t>PERIÓDICO DIGITAL EL TIEMPO, Colombia</w:t>
      </w:r>
      <w:r w:rsidRPr="00602CCF">
        <w:rPr>
          <w:rFonts w:ascii="Times New Roman" w:hAnsi="Times New Roman"/>
          <w:sz w:val="18"/>
          <w:szCs w:val="18"/>
        </w:rPr>
        <w:t xml:space="preserve">. </w:t>
      </w:r>
      <w:r>
        <w:rPr>
          <w:rFonts w:ascii="Times New Roman" w:hAnsi="Times New Roman"/>
          <w:sz w:val="18"/>
          <w:szCs w:val="18"/>
        </w:rPr>
        <w:t xml:space="preserve">Titular: </w:t>
      </w:r>
      <w:r w:rsidRPr="00602CCF">
        <w:rPr>
          <w:rFonts w:ascii="Times New Roman" w:hAnsi="Times New Roman"/>
          <w:sz w:val="18"/>
          <w:szCs w:val="18"/>
        </w:rPr>
        <w:t xml:space="preserve">Menores de 10 años, víctimas de 72% de casos de violencia sexual. Noticia del 8 de Marzo de 2017. Consultado en: </w:t>
      </w:r>
      <w:hyperlink r:id="rId1" w:history="1">
        <w:r w:rsidRPr="00602CCF">
          <w:rPr>
            <w:rStyle w:val="Hipervnculo"/>
            <w:rFonts w:ascii="Times New Roman" w:hAnsi="Times New Roman"/>
          </w:rPr>
          <w:t>http://www.eltiempo.com/justicia/delitos/cifras-de-violencia-contra-las-mujeres-en-colombia-65596</w:t>
        </w:r>
      </w:hyperlink>
    </w:p>
    <w:p w14:paraId="64B15FBA" w14:textId="77777777" w:rsidR="00860F1F" w:rsidRPr="006B631E" w:rsidRDefault="00860F1F" w:rsidP="00860F1F">
      <w:pPr>
        <w:pStyle w:val="Textonotapie"/>
      </w:pPr>
      <w:r w:rsidRPr="00602CCF">
        <w:rPr>
          <w:rFonts w:ascii="Times New Roman" w:hAnsi="Times New Roman"/>
          <w:sz w:val="18"/>
          <w:szCs w:val="18"/>
        </w:rPr>
        <w:t>Recuperado el: 04 de junio de 2017.</w:t>
      </w:r>
    </w:p>
  </w:footnote>
  <w:footnote w:id="3">
    <w:p w14:paraId="03B2452E" w14:textId="77777777" w:rsidR="00860F1F" w:rsidRPr="00782256" w:rsidRDefault="00860F1F" w:rsidP="00860F1F">
      <w:pPr>
        <w:pStyle w:val="Textonotapie"/>
        <w:rPr>
          <w:rFonts w:ascii="Times New Roman" w:hAnsi="Times New Roman"/>
          <w:sz w:val="18"/>
          <w:szCs w:val="18"/>
        </w:rPr>
      </w:pPr>
      <w:r w:rsidRPr="00782256">
        <w:rPr>
          <w:rStyle w:val="Refdenotaalpie"/>
          <w:rFonts w:ascii="Times New Roman" w:hAnsi="Times New Roman"/>
          <w:sz w:val="18"/>
          <w:szCs w:val="18"/>
        </w:rPr>
        <w:footnoteRef/>
      </w:r>
      <w:r w:rsidRPr="00782256">
        <w:rPr>
          <w:rFonts w:ascii="Times New Roman" w:hAnsi="Times New Roman"/>
          <w:sz w:val="18"/>
          <w:szCs w:val="18"/>
        </w:rPr>
        <w:t xml:space="preserve">   CONPES SOCIAL 161. Equidad de Género para las Mujeres. Segundo informe de seguimiento, septiembre 2013- febrero 2014. Documento en </w:t>
      </w:r>
      <w:proofErr w:type="spellStart"/>
      <w:r w:rsidRPr="00782256">
        <w:rPr>
          <w:rFonts w:ascii="Times New Roman" w:hAnsi="Times New Roman"/>
          <w:sz w:val="18"/>
          <w:szCs w:val="18"/>
        </w:rPr>
        <w:t>pdf</w:t>
      </w:r>
      <w:proofErr w:type="spellEnd"/>
      <w:r w:rsidRPr="00782256">
        <w:rPr>
          <w:rFonts w:ascii="Times New Roman" w:hAnsi="Times New Roman"/>
          <w:sz w:val="18"/>
          <w:szCs w:val="18"/>
        </w:rPr>
        <w:t xml:space="preserve">. </w:t>
      </w:r>
      <w:proofErr w:type="spellStart"/>
      <w:r w:rsidRPr="00782256">
        <w:rPr>
          <w:rFonts w:ascii="Times New Roman" w:hAnsi="Times New Roman"/>
          <w:sz w:val="18"/>
          <w:szCs w:val="18"/>
        </w:rPr>
        <w:t>Pag</w:t>
      </w:r>
      <w:proofErr w:type="spellEnd"/>
      <w:r w:rsidRPr="00782256">
        <w:rPr>
          <w:rFonts w:ascii="Times New Roman" w:hAnsi="Times New Roman"/>
          <w:sz w:val="18"/>
          <w:szCs w:val="18"/>
        </w:rPr>
        <w:t>. 9. Consultado en: http://www.equidadmujer.gov.co/ejes/CI2/2-Informe-Conpes-2014.pdf</w:t>
      </w:r>
    </w:p>
    <w:p w14:paraId="6914AAAF" w14:textId="77777777" w:rsidR="00860F1F" w:rsidRPr="00782256" w:rsidRDefault="00860F1F" w:rsidP="00860F1F">
      <w:pPr>
        <w:pStyle w:val="Textonotapie"/>
        <w:rPr>
          <w:rFonts w:ascii="Times New Roman" w:hAnsi="Times New Roman"/>
          <w:sz w:val="18"/>
          <w:szCs w:val="18"/>
        </w:rPr>
      </w:pPr>
      <w:r w:rsidRPr="00782256">
        <w:rPr>
          <w:rFonts w:ascii="Times New Roman" w:hAnsi="Times New Roman"/>
          <w:sz w:val="18"/>
          <w:szCs w:val="18"/>
        </w:rPr>
        <w:t>Recuperado el 15 de mayo de 2017</w:t>
      </w:r>
    </w:p>
    <w:p w14:paraId="58E4E586" w14:textId="77777777" w:rsidR="00860F1F" w:rsidRPr="00782256" w:rsidRDefault="00860F1F" w:rsidP="00860F1F">
      <w:pPr>
        <w:pStyle w:val="Textonotapie"/>
        <w:rPr>
          <w:rFonts w:ascii="Times New Roman" w:hAnsi="Times New Roman"/>
          <w:sz w:val="18"/>
          <w:szCs w:val="18"/>
        </w:rPr>
      </w:pPr>
    </w:p>
  </w:footnote>
  <w:footnote w:id="4">
    <w:p w14:paraId="6046195F" w14:textId="77777777" w:rsidR="00860F1F" w:rsidRPr="000D0892" w:rsidRDefault="00860F1F" w:rsidP="00860F1F">
      <w:pPr>
        <w:pStyle w:val="Textonotapie"/>
      </w:pPr>
      <w:r w:rsidRPr="00782256">
        <w:rPr>
          <w:rStyle w:val="Refdenotaalpie"/>
          <w:rFonts w:ascii="Times New Roman" w:hAnsi="Times New Roman"/>
          <w:sz w:val="18"/>
          <w:szCs w:val="18"/>
        </w:rPr>
        <w:footnoteRef/>
      </w:r>
      <w:r w:rsidRPr="00782256">
        <w:rPr>
          <w:rFonts w:ascii="Times New Roman" w:hAnsi="Times New Roman"/>
          <w:sz w:val="18"/>
          <w:szCs w:val="18"/>
        </w:rPr>
        <w:t xml:space="preserve">  Secretaría de Relaciones Exteriores. 4 de Agosto de 2016. Obtenido de: Consulado General de México: https://consulmex.sre.gob.mx/raleigh/index.php/vaim Recuperado el 30 de abril de 2017.</w:t>
      </w:r>
    </w:p>
  </w:footnote>
  <w:footnote w:id="5">
    <w:p w14:paraId="7C484D97" w14:textId="77777777" w:rsidR="00860F1F" w:rsidRPr="00782256" w:rsidRDefault="00860F1F" w:rsidP="00860F1F">
      <w:pPr>
        <w:pStyle w:val="Textonotapie"/>
        <w:rPr>
          <w:rFonts w:ascii="Times New Roman" w:hAnsi="Times New Roman"/>
          <w:sz w:val="18"/>
          <w:szCs w:val="18"/>
        </w:rPr>
      </w:pPr>
      <w:r w:rsidRPr="00782256">
        <w:rPr>
          <w:rStyle w:val="Refdenotaalpie"/>
          <w:rFonts w:ascii="Times New Roman" w:hAnsi="Times New Roman"/>
          <w:sz w:val="18"/>
          <w:szCs w:val="18"/>
        </w:rPr>
        <w:footnoteRef/>
      </w:r>
      <w:r w:rsidRPr="00782256">
        <w:rPr>
          <w:rFonts w:ascii="Times New Roman" w:hAnsi="Times New Roman"/>
          <w:sz w:val="18"/>
          <w:szCs w:val="18"/>
        </w:rPr>
        <w:t xml:space="preserve">  </w:t>
      </w:r>
      <w:r w:rsidRPr="00782256">
        <w:rPr>
          <w:rFonts w:ascii="Times New Roman" w:hAnsi="Times New Roman"/>
          <w:b/>
          <w:sz w:val="18"/>
          <w:szCs w:val="18"/>
        </w:rPr>
        <w:t>PERIÓDICO</w:t>
      </w:r>
      <w:r w:rsidRPr="00782256">
        <w:rPr>
          <w:rFonts w:ascii="Times New Roman" w:hAnsi="Times New Roman"/>
          <w:sz w:val="18"/>
          <w:szCs w:val="18"/>
        </w:rPr>
        <w:t xml:space="preserve"> </w:t>
      </w:r>
      <w:r w:rsidRPr="00782256">
        <w:rPr>
          <w:rFonts w:ascii="Times New Roman" w:hAnsi="Times New Roman"/>
          <w:b/>
          <w:sz w:val="18"/>
          <w:szCs w:val="18"/>
        </w:rPr>
        <w:t>El País.</w:t>
      </w:r>
      <w:r w:rsidRPr="00782256">
        <w:rPr>
          <w:rFonts w:ascii="Times New Roman" w:hAnsi="Times New Roman"/>
          <w:sz w:val="18"/>
          <w:szCs w:val="18"/>
        </w:rPr>
        <w:t xml:space="preserve"> Las migrantes colombianas son las que más remesas envían a su país. Noticia digital del 27 de febrero de 2016. Obtenido de</w:t>
      </w:r>
      <w:r>
        <w:rPr>
          <w:rFonts w:ascii="Times New Roman" w:hAnsi="Times New Roman"/>
          <w:sz w:val="18"/>
          <w:szCs w:val="18"/>
        </w:rPr>
        <w:t>:</w:t>
      </w:r>
      <w:r w:rsidRPr="00782256">
        <w:rPr>
          <w:rFonts w:ascii="Times New Roman" w:hAnsi="Times New Roman"/>
          <w:sz w:val="18"/>
          <w:szCs w:val="18"/>
        </w:rPr>
        <w:t xml:space="preserve"> http://internacional.elpais.com/internacional/2016/02/27/colombia/1456581150_256215.html Recuperado el 30 de abril de 2017</w:t>
      </w:r>
    </w:p>
  </w:footnote>
  <w:footnote w:id="6">
    <w:p w14:paraId="7CD59243" w14:textId="77777777" w:rsidR="00860F1F" w:rsidRPr="00782256" w:rsidRDefault="00860F1F" w:rsidP="00860F1F">
      <w:pPr>
        <w:pStyle w:val="Textonotapie"/>
        <w:rPr>
          <w:rFonts w:ascii="Times New Roman" w:hAnsi="Times New Roman"/>
          <w:sz w:val="18"/>
          <w:szCs w:val="18"/>
        </w:rPr>
      </w:pPr>
      <w:r w:rsidRPr="00782256">
        <w:rPr>
          <w:rStyle w:val="Refdenotaalpie"/>
          <w:rFonts w:ascii="Times New Roman" w:hAnsi="Times New Roman"/>
          <w:sz w:val="18"/>
          <w:szCs w:val="18"/>
        </w:rPr>
        <w:footnoteRef/>
      </w:r>
      <w:r w:rsidRPr="00782256">
        <w:rPr>
          <w:rFonts w:ascii="Times New Roman" w:hAnsi="Times New Roman"/>
          <w:sz w:val="18"/>
          <w:szCs w:val="18"/>
        </w:rPr>
        <w:t xml:space="preserve">   </w:t>
      </w:r>
      <w:r w:rsidRPr="00782256">
        <w:rPr>
          <w:rFonts w:ascii="Times New Roman" w:hAnsi="Times New Roman"/>
          <w:b/>
          <w:sz w:val="18"/>
          <w:szCs w:val="18"/>
        </w:rPr>
        <w:t>MINISTERIO DE TRABAJO</w:t>
      </w:r>
      <w:r w:rsidRPr="00782256">
        <w:rPr>
          <w:rFonts w:ascii="Times New Roman" w:hAnsi="Times New Roman"/>
          <w:sz w:val="18"/>
          <w:szCs w:val="18"/>
        </w:rPr>
        <w:t xml:space="preserve">. “Colombia tiene que cerrar la brecha salarial entre hombres y mujeres”: </w:t>
      </w:r>
      <w:proofErr w:type="spellStart"/>
      <w:r w:rsidRPr="00782256">
        <w:rPr>
          <w:rFonts w:ascii="Times New Roman" w:hAnsi="Times New Roman"/>
          <w:sz w:val="18"/>
          <w:szCs w:val="18"/>
        </w:rPr>
        <w:t>MinTrabajo</w:t>
      </w:r>
      <w:proofErr w:type="spellEnd"/>
      <w:r w:rsidRPr="00782256">
        <w:rPr>
          <w:rFonts w:ascii="Times New Roman" w:hAnsi="Times New Roman"/>
          <w:sz w:val="18"/>
          <w:szCs w:val="18"/>
        </w:rPr>
        <w:t xml:space="preserve"> [en línea]. Recuperado el 8 de mayo de 2017 de </w:t>
      </w:r>
      <w:hyperlink r:id="rId2" w:history="1">
        <w:r w:rsidRPr="00782256">
          <w:rPr>
            <w:rStyle w:val="Hipervnculo"/>
            <w:rFonts w:ascii="Times New Roman" w:hAnsi="Times New Roman"/>
          </w:rPr>
          <w:t>http://www.mintrabajo.gov.co/febrero-2017/7595-colombia-tiene-que-cerrar-la-brecha-salarial-entre-hombres-y-mujeres-mintrabajo.html</w:t>
        </w:r>
      </w:hyperlink>
      <w:r w:rsidRPr="00782256">
        <w:rPr>
          <w:rFonts w:ascii="Times New Roman" w:hAnsi="Times New Roman"/>
          <w:sz w:val="18"/>
          <w:szCs w:val="18"/>
        </w:rPr>
        <w:t>.</w:t>
      </w:r>
    </w:p>
    <w:p w14:paraId="285910A6" w14:textId="77777777" w:rsidR="00860F1F" w:rsidRPr="00782256" w:rsidRDefault="00860F1F" w:rsidP="00860F1F">
      <w:pPr>
        <w:pStyle w:val="Textonotapie"/>
        <w:rPr>
          <w:rFonts w:ascii="Times New Roman" w:hAnsi="Times New Roman"/>
          <w:sz w:val="18"/>
          <w:szCs w:val="18"/>
        </w:rPr>
      </w:pPr>
    </w:p>
  </w:footnote>
  <w:footnote w:id="7">
    <w:p w14:paraId="7BE070F7" w14:textId="77777777" w:rsidR="00860F1F" w:rsidRPr="00782256" w:rsidRDefault="00860F1F" w:rsidP="00860F1F">
      <w:pPr>
        <w:pStyle w:val="Textonotapie"/>
        <w:rPr>
          <w:rFonts w:ascii="Times New Roman" w:hAnsi="Times New Roman"/>
          <w:sz w:val="18"/>
          <w:szCs w:val="18"/>
        </w:rPr>
      </w:pPr>
      <w:r w:rsidRPr="00782256">
        <w:rPr>
          <w:rStyle w:val="Refdenotaalpie"/>
          <w:rFonts w:ascii="Times New Roman" w:hAnsi="Times New Roman"/>
          <w:sz w:val="18"/>
          <w:szCs w:val="18"/>
        </w:rPr>
        <w:footnoteRef/>
      </w:r>
      <w:r w:rsidRPr="00782256">
        <w:rPr>
          <w:rFonts w:ascii="Times New Roman" w:hAnsi="Times New Roman"/>
          <w:sz w:val="18"/>
          <w:szCs w:val="18"/>
        </w:rPr>
        <w:t xml:space="preserve">   </w:t>
      </w:r>
      <w:r w:rsidRPr="00782256">
        <w:rPr>
          <w:rFonts w:ascii="Times New Roman" w:hAnsi="Times New Roman"/>
          <w:b/>
          <w:sz w:val="18"/>
          <w:szCs w:val="18"/>
        </w:rPr>
        <w:t>Índice Global de la Brecha de Género. La Expansión</w:t>
      </w:r>
      <w:r w:rsidRPr="00782256">
        <w:rPr>
          <w:rFonts w:ascii="Times New Roman" w:hAnsi="Times New Roman"/>
          <w:sz w:val="18"/>
          <w:szCs w:val="18"/>
        </w:rPr>
        <w:t xml:space="preserve">. Recuperado el 1 de mayo de 2017 de </w:t>
      </w:r>
      <w:hyperlink r:id="rId3" w:history="1">
        <w:r w:rsidRPr="00782256">
          <w:rPr>
            <w:rStyle w:val="Hipervnculo"/>
            <w:rFonts w:ascii="Times New Roman" w:hAnsi="Times New Roman"/>
          </w:rPr>
          <w:t>http://www.datosmacro.com/demografia/indice-brecha-genero-global</w:t>
        </w:r>
      </w:hyperlink>
      <w:r w:rsidRPr="00782256">
        <w:rPr>
          <w:rFonts w:ascii="Times New Roman" w:hAnsi="Times New Roman"/>
          <w:sz w:val="18"/>
          <w:szCs w:val="18"/>
        </w:rPr>
        <w:t>.</w:t>
      </w:r>
    </w:p>
    <w:p w14:paraId="6C5AAA90" w14:textId="77777777" w:rsidR="00860F1F" w:rsidRPr="00782256" w:rsidRDefault="00860F1F" w:rsidP="00860F1F">
      <w:pPr>
        <w:pStyle w:val="Textonotapie"/>
        <w:rPr>
          <w:rFonts w:ascii="Times New Roman" w:hAnsi="Times New Roman"/>
          <w:sz w:val="18"/>
          <w:szCs w:val="18"/>
        </w:rPr>
      </w:pPr>
    </w:p>
  </w:footnote>
  <w:footnote w:id="8">
    <w:p w14:paraId="6D4E59A9" w14:textId="77777777" w:rsidR="00860F1F" w:rsidRPr="00782256" w:rsidRDefault="00860F1F" w:rsidP="00860F1F">
      <w:pPr>
        <w:pStyle w:val="Textonotapie"/>
        <w:rPr>
          <w:rFonts w:ascii="Times New Roman" w:hAnsi="Times New Roman"/>
          <w:sz w:val="18"/>
          <w:szCs w:val="18"/>
        </w:rPr>
      </w:pPr>
      <w:r w:rsidRPr="00782256">
        <w:rPr>
          <w:rStyle w:val="Refdenotaalpie"/>
          <w:rFonts w:ascii="Times New Roman" w:hAnsi="Times New Roman"/>
          <w:sz w:val="18"/>
          <w:szCs w:val="18"/>
        </w:rPr>
        <w:footnoteRef/>
      </w:r>
      <w:r w:rsidRPr="00782256">
        <w:rPr>
          <w:rFonts w:ascii="Times New Roman" w:hAnsi="Times New Roman"/>
          <w:sz w:val="18"/>
          <w:szCs w:val="18"/>
        </w:rPr>
        <w:t xml:space="preserve">   </w:t>
      </w:r>
      <w:r w:rsidRPr="00782256">
        <w:rPr>
          <w:rFonts w:ascii="Times New Roman" w:hAnsi="Times New Roman"/>
          <w:b/>
          <w:sz w:val="18"/>
          <w:szCs w:val="18"/>
        </w:rPr>
        <w:t>MINISTERIO DE TRABAJO</w:t>
      </w:r>
      <w:r w:rsidRPr="00782256">
        <w:rPr>
          <w:rFonts w:ascii="Times New Roman" w:hAnsi="Times New Roman"/>
          <w:sz w:val="18"/>
          <w:szCs w:val="18"/>
        </w:rPr>
        <w:t xml:space="preserve">, </w:t>
      </w:r>
      <w:proofErr w:type="spellStart"/>
      <w:r w:rsidRPr="00782256">
        <w:rPr>
          <w:rFonts w:ascii="Times New Roman" w:hAnsi="Times New Roman"/>
          <w:sz w:val="18"/>
          <w:szCs w:val="18"/>
        </w:rPr>
        <w:t>Op</w:t>
      </w:r>
      <w:proofErr w:type="spellEnd"/>
      <w:r w:rsidRPr="00782256">
        <w:rPr>
          <w:rFonts w:ascii="Times New Roman" w:hAnsi="Times New Roman"/>
          <w:sz w:val="18"/>
          <w:szCs w:val="18"/>
        </w:rPr>
        <w:t>. Cit.</w:t>
      </w:r>
    </w:p>
  </w:footnote>
  <w:footnote w:id="9">
    <w:p w14:paraId="71D29244" w14:textId="77777777" w:rsidR="00860F1F" w:rsidRPr="00782256" w:rsidRDefault="00860F1F" w:rsidP="00860F1F">
      <w:pPr>
        <w:pStyle w:val="Textonotapie"/>
        <w:rPr>
          <w:rFonts w:ascii="Times New Roman" w:hAnsi="Times New Roman"/>
          <w:sz w:val="18"/>
          <w:szCs w:val="18"/>
        </w:rPr>
      </w:pPr>
      <w:r w:rsidRPr="00782256">
        <w:rPr>
          <w:rStyle w:val="Refdenotaalpie"/>
          <w:rFonts w:ascii="Times New Roman" w:hAnsi="Times New Roman"/>
          <w:sz w:val="18"/>
          <w:szCs w:val="18"/>
        </w:rPr>
        <w:footnoteRef/>
      </w:r>
      <w:r w:rsidRPr="00782256">
        <w:rPr>
          <w:rFonts w:ascii="Times New Roman" w:hAnsi="Times New Roman"/>
          <w:sz w:val="18"/>
          <w:szCs w:val="18"/>
        </w:rPr>
        <w:t xml:space="preserve">   </w:t>
      </w:r>
      <w:r w:rsidRPr="00782256">
        <w:rPr>
          <w:rFonts w:ascii="Times New Roman" w:hAnsi="Times New Roman"/>
          <w:b/>
          <w:sz w:val="18"/>
          <w:szCs w:val="18"/>
        </w:rPr>
        <w:t xml:space="preserve">Bedoya </w:t>
      </w:r>
      <w:proofErr w:type="spellStart"/>
      <w:r w:rsidRPr="00782256">
        <w:rPr>
          <w:rFonts w:ascii="Times New Roman" w:hAnsi="Times New Roman"/>
          <w:b/>
          <w:sz w:val="18"/>
          <w:szCs w:val="18"/>
        </w:rPr>
        <w:t>Bedoya</w:t>
      </w:r>
      <w:proofErr w:type="spellEnd"/>
      <w:r w:rsidRPr="00782256">
        <w:rPr>
          <w:rFonts w:ascii="Times New Roman" w:hAnsi="Times New Roman"/>
          <w:b/>
          <w:sz w:val="18"/>
          <w:szCs w:val="18"/>
        </w:rPr>
        <w:t>, María Rocío</w:t>
      </w:r>
      <w:r w:rsidRPr="00782256">
        <w:rPr>
          <w:rFonts w:ascii="Times New Roman" w:hAnsi="Times New Roman"/>
          <w:sz w:val="18"/>
          <w:szCs w:val="18"/>
        </w:rPr>
        <w:t>. El papel de las políticas públicas de migración y retorno en Colombia en el marco de la crisis económica mundial: los casos del Eje Cafetero, Cali, Medellín y Bogotá. Revista de Estudios Políticos, Medellín, No. 46, 2015</w:t>
      </w:r>
    </w:p>
    <w:p w14:paraId="36422DDE" w14:textId="77777777" w:rsidR="00860F1F" w:rsidRPr="00224A23" w:rsidRDefault="00860F1F" w:rsidP="00860F1F">
      <w:pPr>
        <w:pStyle w:val="Textonotapie"/>
      </w:pPr>
    </w:p>
  </w:footnote>
  <w:footnote w:id="10">
    <w:p w14:paraId="23E67E88" w14:textId="77777777" w:rsidR="00860F1F" w:rsidRPr="00782256" w:rsidRDefault="00860F1F" w:rsidP="00860F1F">
      <w:pPr>
        <w:pStyle w:val="Textonotapie"/>
        <w:rPr>
          <w:rFonts w:ascii="Times New Roman" w:hAnsi="Times New Roman"/>
          <w:sz w:val="18"/>
          <w:szCs w:val="18"/>
        </w:rPr>
      </w:pPr>
      <w:r w:rsidRPr="00782256">
        <w:rPr>
          <w:rStyle w:val="Refdenotaalpie"/>
          <w:rFonts w:ascii="Times New Roman" w:hAnsi="Times New Roman"/>
          <w:sz w:val="18"/>
          <w:szCs w:val="18"/>
        </w:rPr>
        <w:footnoteRef/>
      </w:r>
      <w:r w:rsidRPr="00782256">
        <w:rPr>
          <w:rFonts w:ascii="Times New Roman" w:hAnsi="Times New Roman"/>
          <w:sz w:val="18"/>
          <w:szCs w:val="18"/>
        </w:rPr>
        <w:t xml:space="preserve">   Mejía Ochoa, William. Colombia y las migraciones internacionales. Evolución reciente y panorama actual a partir de las cifras. Revista Interdisciplinar da Movilidad Humana–REMHU, XX, No. 39, 2012, pp. 185– 210.</w:t>
      </w:r>
    </w:p>
  </w:footnote>
  <w:footnote w:id="11">
    <w:p w14:paraId="5C90FBED" w14:textId="77777777" w:rsidR="00860F1F" w:rsidRPr="00224A23" w:rsidRDefault="00860F1F" w:rsidP="00860F1F">
      <w:pPr>
        <w:pStyle w:val="Textonotapie"/>
      </w:pPr>
      <w:r w:rsidRPr="00782256">
        <w:rPr>
          <w:rStyle w:val="Refdenotaalpie"/>
          <w:rFonts w:ascii="Times New Roman" w:hAnsi="Times New Roman"/>
          <w:sz w:val="18"/>
          <w:szCs w:val="18"/>
        </w:rPr>
        <w:footnoteRef/>
      </w:r>
      <w:r w:rsidRPr="00782256">
        <w:rPr>
          <w:rFonts w:ascii="Times New Roman" w:hAnsi="Times New Roman"/>
          <w:sz w:val="18"/>
          <w:szCs w:val="18"/>
        </w:rPr>
        <w:t xml:space="preserve">   Sánchez Mojica, Beatriz Eugenia. El enfoque de derechos en las políticas migratorias. El caso colombiano. En: Laurence </w:t>
      </w:r>
      <w:proofErr w:type="spellStart"/>
      <w:r w:rsidRPr="00782256">
        <w:rPr>
          <w:rFonts w:ascii="Times New Roman" w:hAnsi="Times New Roman"/>
          <w:sz w:val="18"/>
          <w:szCs w:val="18"/>
        </w:rPr>
        <w:t>Burgorgue-Larsen</w:t>
      </w:r>
      <w:proofErr w:type="spellEnd"/>
      <w:r w:rsidRPr="00782256">
        <w:rPr>
          <w:rFonts w:ascii="Times New Roman" w:hAnsi="Times New Roman"/>
          <w:sz w:val="18"/>
          <w:szCs w:val="18"/>
        </w:rPr>
        <w:t xml:space="preserve">, Antonio </w:t>
      </w:r>
      <w:proofErr w:type="spellStart"/>
      <w:r w:rsidRPr="00782256">
        <w:rPr>
          <w:rFonts w:ascii="Times New Roman" w:hAnsi="Times New Roman"/>
          <w:sz w:val="18"/>
          <w:szCs w:val="18"/>
        </w:rPr>
        <w:t>Maués</w:t>
      </w:r>
      <w:proofErr w:type="spellEnd"/>
      <w:r w:rsidRPr="00782256">
        <w:rPr>
          <w:rFonts w:ascii="Times New Roman" w:hAnsi="Times New Roman"/>
          <w:sz w:val="18"/>
          <w:szCs w:val="18"/>
        </w:rPr>
        <w:t xml:space="preserve"> y Beatriz Eugenia Sánchez Mojica. Derechos Humanos y Políticas Públicas. Manual. Barcelona: Red de Derechos Humanos y Educación Superior, 2014, pp. 275-308.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3466B"/>
    <w:multiLevelType w:val="hybridMultilevel"/>
    <w:tmpl w:val="8C10BF80"/>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8B36AFE"/>
    <w:multiLevelType w:val="hybridMultilevel"/>
    <w:tmpl w:val="DF5EBA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88B38FA"/>
    <w:multiLevelType w:val="hybridMultilevel"/>
    <w:tmpl w:val="616033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C1E5F6D"/>
    <w:multiLevelType w:val="hybridMultilevel"/>
    <w:tmpl w:val="F4422940"/>
    <w:lvl w:ilvl="0" w:tplc="6A0A9BD6">
      <w:numFmt w:val="bullet"/>
      <w:pStyle w:val="cuerpo"/>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CA21E1A"/>
    <w:multiLevelType w:val="multilevel"/>
    <w:tmpl w:val="0840F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267B6B"/>
    <w:multiLevelType w:val="hybridMultilevel"/>
    <w:tmpl w:val="1F125698"/>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449263C0"/>
    <w:multiLevelType w:val="hybridMultilevel"/>
    <w:tmpl w:val="C6624CE4"/>
    <w:lvl w:ilvl="0" w:tplc="35C883E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8EB3197"/>
    <w:multiLevelType w:val="multilevel"/>
    <w:tmpl w:val="6CD823A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nsid w:val="52054892"/>
    <w:multiLevelType w:val="hybridMultilevel"/>
    <w:tmpl w:val="9028DC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559A2AA1"/>
    <w:multiLevelType w:val="hybridMultilevel"/>
    <w:tmpl w:val="1AA240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569304D8"/>
    <w:multiLevelType w:val="hybridMultilevel"/>
    <w:tmpl w:val="6F741BA6"/>
    <w:lvl w:ilvl="0" w:tplc="5B44B00C">
      <w:start w:val="1"/>
      <w:numFmt w:val="upperRoman"/>
      <w:lvlText w:val="%1)"/>
      <w:lvlJc w:val="left"/>
      <w:pPr>
        <w:ind w:left="2844" w:hanging="720"/>
      </w:pPr>
      <w:rPr>
        <w:rFonts w:hint="default"/>
      </w:rPr>
    </w:lvl>
    <w:lvl w:ilvl="1" w:tplc="040A0019" w:tentative="1">
      <w:start w:val="1"/>
      <w:numFmt w:val="lowerLetter"/>
      <w:lvlText w:val="%2."/>
      <w:lvlJc w:val="left"/>
      <w:pPr>
        <w:ind w:left="3204" w:hanging="360"/>
      </w:pPr>
    </w:lvl>
    <w:lvl w:ilvl="2" w:tplc="040A001B" w:tentative="1">
      <w:start w:val="1"/>
      <w:numFmt w:val="lowerRoman"/>
      <w:lvlText w:val="%3."/>
      <w:lvlJc w:val="right"/>
      <w:pPr>
        <w:ind w:left="3924" w:hanging="180"/>
      </w:pPr>
    </w:lvl>
    <w:lvl w:ilvl="3" w:tplc="040A000F" w:tentative="1">
      <w:start w:val="1"/>
      <w:numFmt w:val="decimal"/>
      <w:lvlText w:val="%4."/>
      <w:lvlJc w:val="left"/>
      <w:pPr>
        <w:ind w:left="4644" w:hanging="360"/>
      </w:pPr>
    </w:lvl>
    <w:lvl w:ilvl="4" w:tplc="040A0019" w:tentative="1">
      <w:start w:val="1"/>
      <w:numFmt w:val="lowerLetter"/>
      <w:lvlText w:val="%5."/>
      <w:lvlJc w:val="left"/>
      <w:pPr>
        <w:ind w:left="5364" w:hanging="360"/>
      </w:pPr>
    </w:lvl>
    <w:lvl w:ilvl="5" w:tplc="040A001B" w:tentative="1">
      <w:start w:val="1"/>
      <w:numFmt w:val="lowerRoman"/>
      <w:lvlText w:val="%6."/>
      <w:lvlJc w:val="right"/>
      <w:pPr>
        <w:ind w:left="6084" w:hanging="180"/>
      </w:pPr>
    </w:lvl>
    <w:lvl w:ilvl="6" w:tplc="040A000F" w:tentative="1">
      <w:start w:val="1"/>
      <w:numFmt w:val="decimal"/>
      <w:lvlText w:val="%7."/>
      <w:lvlJc w:val="left"/>
      <w:pPr>
        <w:ind w:left="6804" w:hanging="360"/>
      </w:pPr>
    </w:lvl>
    <w:lvl w:ilvl="7" w:tplc="040A0019" w:tentative="1">
      <w:start w:val="1"/>
      <w:numFmt w:val="lowerLetter"/>
      <w:lvlText w:val="%8."/>
      <w:lvlJc w:val="left"/>
      <w:pPr>
        <w:ind w:left="7524" w:hanging="360"/>
      </w:pPr>
    </w:lvl>
    <w:lvl w:ilvl="8" w:tplc="040A001B" w:tentative="1">
      <w:start w:val="1"/>
      <w:numFmt w:val="lowerRoman"/>
      <w:lvlText w:val="%9."/>
      <w:lvlJc w:val="right"/>
      <w:pPr>
        <w:ind w:left="8244" w:hanging="180"/>
      </w:pPr>
    </w:lvl>
  </w:abstractNum>
  <w:abstractNum w:abstractNumId="11">
    <w:nsid w:val="5CC25028"/>
    <w:multiLevelType w:val="hybridMultilevel"/>
    <w:tmpl w:val="BBC2780C"/>
    <w:lvl w:ilvl="0" w:tplc="35C883EE">
      <w:numFmt w:val="bullet"/>
      <w:lvlText w:val="-"/>
      <w:lvlJc w:val="left"/>
      <w:pPr>
        <w:ind w:left="2160" w:hanging="360"/>
      </w:pPr>
      <w:rPr>
        <w:rFonts w:ascii="Times New Roman" w:eastAsia="Times New Roman" w:hAnsi="Times New Roman" w:cs="Times New Roman" w:hint="default"/>
      </w:rPr>
    </w:lvl>
    <w:lvl w:ilvl="1" w:tplc="0C0A0003" w:tentative="1">
      <w:start w:val="1"/>
      <w:numFmt w:val="bullet"/>
      <w:lvlText w:val="o"/>
      <w:lvlJc w:val="left"/>
      <w:pPr>
        <w:ind w:left="2880" w:hanging="360"/>
      </w:pPr>
      <w:rPr>
        <w:rFonts w:ascii="Courier New" w:hAnsi="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12">
    <w:nsid w:val="75DC3A6D"/>
    <w:multiLevelType w:val="hybridMultilevel"/>
    <w:tmpl w:val="29168C48"/>
    <w:lvl w:ilvl="0" w:tplc="35C883E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798707EF"/>
    <w:multiLevelType w:val="hybridMultilevel"/>
    <w:tmpl w:val="3EE8D966"/>
    <w:lvl w:ilvl="0" w:tplc="35C883E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7D9334D1"/>
    <w:multiLevelType w:val="hybridMultilevel"/>
    <w:tmpl w:val="FA42472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2"/>
  </w:num>
  <w:num w:numId="2">
    <w:abstractNumId w:val="14"/>
  </w:num>
  <w:num w:numId="3">
    <w:abstractNumId w:val="11"/>
  </w:num>
  <w:num w:numId="4">
    <w:abstractNumId w:val="6"/>
  </w:num>
  <w:num w:numId="5">
    <w:abstractNumId w:val="12"/>
  </w:num>
  <w:num w:numId="6">
    <w:abstractNumId w:val="3"/>
  </w:num>
  <w:num w:numId="7">
    <w:abstractNumId w:val="8"/>
  </w:num>
  <w:num w:numId="8">
    <w:abstractNumId w:val="13"/>
  </w:num>
  <w:num w:numId="9">
    <w:abstractNumId w:val="9"/>
  </w:num>
  <w:num w:numId="10">
    <w:abstractNumId w:val="4"/>
  </w:num>
  <w:num w:numId="11">
    <w:abstractNumId w:val="7"/>
  </w:num>
  <w:num w:numId="12">
    <w:abstractNumId w:val="1"/>
  </w:num>
  <w:num w:numId="13">
    <w:abstractNumId w:val="10"/>
  </w:num>
  <w:num w:numId="14">
    <w:abstractNumId w:val="0"/>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5E6B"/>
    <w:rsid w:val="00005031"/>
    <w:rsid w:val="00066BDC"/>
    <w:rsid w:val="00094992"/>
    <w:rsid w:val="000971E9"/>
    <w:rsid w:val="000A0FC0"/>
    <w:rsid w:val="000A5F61"/>
    <w:rsid w:val="00121ABF"/>
    <w:rsid w:val="0014668A"/>
    <w:rsid w:val="001B3B3E"/>
    <w:rsid w:val="002005CB"/>
    <w:rsid w:val="0027460F"/>
    <w:rsid w:val="0029410E"/>
    <w:rsid w:val="002A09F6"/>
    <w:rsid w:val="002A4EB4"/>
    <w:rsid w:val="002A66B7"/>
    <w:rsid w:val="002B2A04"/>
    <w:rsid w:val="00307B4C"/>
    <w:rsid w:val="00337267"/>
    <w:rsid w:val="0035472D"/>
    <w:rsid w:val="003631DF"/>
    <w:rsid w:val="00377B16"/>
    <w:rsid w:val="00384143"/>
    <w:rsid w:val="00397B5F"/>
    <w:rsid w:val="003A5D8F"/>
    <w:rsid w:val="003C0041"/>
    <w:rsid w:val="003E07FA"/>
    <w:rsid w:val="003F31C6"/>
    <w:rsid w:val="00427DDE"/>
    <w:rsid w:val="00455D93"/>
    <w:rsid w:val="00487516"/>
    <w:rsid w:val="004963C2"/>
    <w:rsid w:val="004C5376"/>
    <w:rsid w:val="004F3699"/>
    <w:rsid w:val="00517A79"/>
    <w:rsid w:val="00523172"/>
    <w:rsid w:val="00551230"/>
    <w:rsid w:val="005B0321"/>
    <w:rsid w:val="00676F4C"/>
    <w:rsid w:val="00723F3B"/>
    <w:rsid w:val="00752751"/>
    <w:rsid w:val="00761732"/>
    <w:rsid w:val="007617BE"/>
    <w:rsid w:val="0076242F"/>
    <w:rsid w:val="00781C4A"/>
    <w:rsid w:val="007B232F"/>
    <w:rsid w:val="008338AE"/>
    <w:rsid w:val="00835FBF"/>
    <w:rsid w:val="00860F1F"/>
    <w:rsid w:val="008A0F66"/>
    <w:rsid w:val="008D1F2C"/>
    <w:rsid w:val="00955193"/>
    <w:rsid w:val="00955D3C"/>
    <w:rsid w:val="00981020"/>
    <w:rsid w:val="009B4F2F"/>
    <w:rsid w:val="009E20DA"/>
    <w:rsid w:val="00A17393"/>
    <w:rsid w:val="00A17426"/>
    <w:rsid w:val="00A20DCB"/>
    <w:rsid w:val="00A30D51"/>
    <w:rsid w:val="00A3531E"/>
    <w:rsid w:val="00AA1A18"/>
    <w:rsid w:val="00AB1B8C"/>
    <w:rsid w:val="00B21EDC"/>
    <w:rsid w:val="00B26D4E"/>
    <w:rsid w:val="00B52567"/>
    <w:rsid w:val="00BA404A"/>
    <w:rsid w:val="00BA4578"/>
    <w:rsid w:val="00BB2198"/>
    <w:rsid w:val="00BF236A"/>
    <w:rsid w:val="00C2556B"/>
    <w:rsid w:val="00C52E48"/>
    <w:rsid w:val="00CA5E6B"/>
    <w:rsid w:val="00CB7B63"/>
    <w:rsid w:val="00CC50F7"/>
    <w:rsid w:val="00D10EEF"/>
    <w:rsid w:val="00D165B8"/>
    <w:rsid w:val="00D25CCC"/>
    <w:rsid w:val="00D30033"/>
    <w:rsid w:val="00D305B0"/>
    <w:rsid w:val="00D3301E"/>
    <w:rsid w:val="00D640C7"/>
    <w:rsid w:val="00DD3780"/>
    <w:rsid w:val="00DF2EFE"/>
    <w:rsid w:val="00DF4EFF"/>
    <w:rsid w:val="00E20F3F"/>
    <w:rsid w:val="00E43DC9"/>
    <w:rsid w:val="00E6787C"/>
    <w:rsid w:val="00E836A9"/>
    <w:rsid w:val="00EA3523"/>
    <w:rsid w:val="00EB01BB"/>
    <w:rsid w:val="00ED1BA9"/>
    <w:rsid w:val="00F136D7"/>
    <w:rsid w:val="00F25FB8"/>
    <w:rsid w:val="00F47251"/>
    <w:rsid w:val="00F94F52"/>
    <w:rsid w:val="00FA227B"/>
    <w:rsid w:val="00FE0ABF"/>
    <w:rsid w:val="00FE7AC3"/>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25E0F9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B26D4E"/>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A5E6B"/>
    <w:pPr>
      <w:ind w:left="720"/>
      <w:contextualSpacing/>
    </w:pPr>
  </w:style>
  <w:style w:type="paragraph" w:customStyle="1" w:styleId="cuerpo">
    <w:name w:val="cuerpo"/>
    <w:basedOn w:val="Prrafodelista"/>
    <w:rsid w:val="003F31C6"/>
    <w:pPr>
      <w:numPr>
        <w:numId w:val="6"/>
      </w:numPr>
    </w:pPr>
    <w:rPr>
      <w:rFonts w:ascii="Times New Roman" w:hAnsi="Times New Roman" w:cs="Times New Roman"/>
    </w:rPr>
  </w:style>
  <w:style w:type="paragraph" w:styleId="Textodeglobo">
    <w:name w:val="Balloon Text"/>
    <w:basedOn w:val="Normal"/>
    <w:link w:val="TextodegloboCar"/>
    <w:uiPriority w:val="99"/>
    <w:semiHidden/>
    <w:unhideWhenUsed/>
    <w:rsid w:val="004F3699"/>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4F3699"/>
    <w:rPr>
      <w:rFonts w:ascii="Lucida Grande" w:hAnsi="Lucida Grande" w:cs="Lucida Grande"/>
      <w:sz w:val="18"/>
      <w:szCs w:val="18"/>
    </w:rPr>
  </w:style>
  <w:style w:type="character" w:customStyle="1" w:styleId="Ttulo1Car">
    <w:name w:val="Título 1 Car"/>
    <w:basedOn w:val="Fuentedeprrafopredeter"/>
    <w:link w:val="Ttulo1"/>
    <w:uiPriority w:val="9"/>
    <w:rsid w:val="00B26D4E"/>
    <w:rPr>
      <w:rFonts w:asciiTheme="majorHAnsi" w:eastAsiaTheme="majorEastAsia" w:hAnsiTheme="majorHAnsi" w:cstheme="majorBidi"/>
      <w:b/>
      <w:bCs/>
      <w:color w:val="365F91" w:themeColor="accent1" w:themeShade="BF"/>
      <w:sz w:val="28"/>
      <w:szCs w:val="28"/>
    </w:rPr>
  </w:style>
  <w:style w:type="paragraph" w:styleId="Bibliografa">
    <w:name w:val="Bibliography"/>
    <w:basedOn w:val="Normal"/>
    <w:next w:val="Normal"/>
    <w:uiPriority w:val="37"/>
    <w:unhideWhenUsed/>
    <w:rsid w:val="00B26D4E"/>
  </w:style>
  <w:style w:type="character" w:styleId="Hipervnculo">
    <w:name w:val="Hyperlink"/>
    <w:basedOn w:val="Fuentedeprrafopredeter"/>
    <w:uiPriority w:val="99"/>
    <w:unhideWhenUsed/>
    <w:rsid w:val="002A66B7"/>
    <w:rPr>
      <w:color w:val="0000FF" w:themeColor="hyperlink"/>
      <w:u w:val="single"/>
    </w:rPr>
  </w:style>
  <w:style w:type="paragraph" w:styleId="Textonotapie">
    <w:name w:val="footnote text"/>
    <w:basedOn w:val="Normal"/>
    <w:link w:val="TextonotapieCar"/>
    <w:uiPriority w:val="99"/>
    <w:semiHidden/>
    <w:unhideWhenUsed/>
    <w:rsid w:val="00F94F52"/>
    <w:rPr>
      <w:rFonts w:ascii="Calibri" w:eastAsia="Calibri" w:hAnsi="Calibri" w:cs="Times New Roman"/>
      <w:lang w:eastAsia="en-US"/>
    </w:rPr>
  </w:style>
  <w:style w:type="character" w:customStyle="1" w:styleId="TextonotapieCar">
    <w:name w:val="Texto nota pie Car"/>
    <w:basedOn w:val="Fuentedeprrafopredeter"/>
    <w:link w:val="Textonotapie"/>
    <w:uiPriority w:val="99"/>
    <w:semiHidden/>
    <w:rsid w:val="00F94F52"/>
    <w:rPr>
      <w:rFonts w:ascii="Calibri" w:eastAsia="Calibri" w:hAnsi="Calibri" w:cs="Times New Roman"/>
      <w:lang w:eastAsia="en-US"/>
    </w:rPr>
  </w:style>
  <w:style w:type="character" w:styleId="Refdenotaalpie">
    <w:name w:val="footnote reference"/>
    <w:uiPriority w:val="99"/>
    <w:semiHidden/>
    <w:unhideWhenUsed/>
    <w:rsid w:val="00F94F5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B26D4E"/>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A5E6B"/>
    <w:pPr>
      <w:ind w:left="720"/>
      <w:contextualSpacing/>
    </w:pPr>
  </w:style>
  <w:style w:type="paragraph" w:customStyle="1" w:styleId="cuerpo">
    <w:name w:val="cuerpo"/>
    <w:basedOn w:val="Prrafodelista"/>
    <w:rsid w:val="003F31C6"/>
    <w:pPr>
      <w:numPr>
        <w:numId w:val="6"/>
      </w:numPr>
    </w:pPr>
    <w:rPr>
      <w:rFonts w:ascii="Times New Roman" w:hAnsi="Times New Roman" w:cs="Times New Roman"/>
    </w:rPr>
  </w:style>
  <w:style w:type="paragraph" w:styleId="Textodeglobo">
    <w:name w:val="Balloon Text"/>
    <w:basedOn w:val="Normal"/>
    <w:link w:val="TextodegloboCar"/>
    <w:uiPriority w:val="99"/>
    <w:semiHidden/>
    <w:unhideWhenUsed/>
    <w:rsid w:val="004F3699"/>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4F3699"/>
    <w:rPr>
      <w:rFonts w:ascii="Lucida Grande" w:hAnsi="Lucida Grande" w:cs="Lucida Grande"/>
      <w:sz w:val="18"/>
      <w:szCs w:val="18"/>
    </w:rPr>
  </w:style>
  <w:style w:type="character" w:customStyle="1" w:styleId="Ttulo1Car">
    <w:name w:val="Título 1 Car"/>
    <w:basedOn w:val="Fuentedeprrafopredeter"/>
    <w:link w:val="Ttulo1"/>
    <w:uiPriority w:val="9"/>
    <w:rsid w:val="00B26D4E"/>
    <w:rPr>
      <w:rFonts w:asciiTheme="majorHAnsi" w:eastAsiaTheme="majorEastAsia" w:hAnsiTheme="majorHAnsi" w:cstheme="majorBidi"/>
      <w:b/>
      <w:bCs/>
      <w:color w:val="365F91" w:themeColor="accent1" w:themeShade="BF"/>
      <w:sz w:val="28"/>
      <w:szCs w:val="28"/>
    </w:rPr>
  </w:style>
  <w:style w:type="paragraph" w:styleId="Bibliografa">
    <w:name w:val="Bibliography"/>
    <w:basedOn w:val="Normal"/>
    <w:next w:val="Normal"/>
    <w:uiPriority w:val="37"/>
    <w:unhideWhenUsed/>
    <w:rsid w:val="00B26D4E"/>
  </w:style>
  <w:style w:type="character" w:styleId="Hipervnculo">
    <w:name w:val="Hyperlink"/>
    <w:basedOn w:val="Fuentedeprrafopredeter"/>
    <w:uiPriority w:val="99"/>
    <w:unhideWhenUsed/>
    <w:rsid w:val="002A66B7"/>
    <w:rPr>
      <w:color w:val="0000FF" w:themeColor="hyperlink"/>
      <w:u w:val="single"/>
    </w:rPr>
  </w:style>
  <w:style w:type="paragraph" w:styleId="Textonotapie">
    <w:name w:val="footnote text"/>
    <w:basedOn w:val="Normal"/>
    <w:link w:val="TextonotapieCar"/>
    <w:uiPriority w:val="99"/>
    <w:semiHidden/>
    <w:unhideWhenUsed/>
    <w:rsid w:val="00F94F52"/>
    <w:rPr>
      <w:rFonts w:ascii="Calibri" w:eastAsia="Calibri" w:hAnsi="Calibri" w:cs="Times New Roman"/>
      <w:lang w:eastAsia="en-US"/>
    </w:rPr>
  </w:style>
  <w:style w:type="character" w:customStyle="1" w:styleId="TextonotapieCar">
    <w:name w:val="Texto nota pie Car"/>
    <w:basedOn w:val="Fuentedeprrafopredeter"/>
    <w:link w:val="Textonotapie"/>
    <w:uiPriority w:val="99"/>
    <w:semiHidden/>
    <w:rsid w:val="00F94F52"/>
    <w:rPr>
      <w:rFonts w:ascii="Calibri" w:eastAsia="Calibri" w:hAnsi="Calibri" w:cs="Times New Roman"/>
      <w:lang w:eastAsia="en-US"/>
    </w:rPr>
  </w:style>
  <w:style w:type="character" w:styleId="Refdenotaalpie">
    <w:name w:val="footnote reference"/>
    <w:uiPriority w:val="99"/>
    <w:semiHidden/>
    <w:unhideWhenUsed/>
    <w:rsid w:val="00F94F5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23833">
      <w:bodyDiv w:val="1"/>
      <w:marLeft w:val="0"/>
      <w:marRight w:val="0"/>
      <w:marTop w:val="0"/>
      <w:marBottom w:val="0"/>
      <w:divBdr>
        <w:top w:val="none" w:sz="0" w:space="0" w:color="auto"/>
        <w:left w:val="none" w:sz="0" w:space="0" w:color="auto"/>
        <w:bottom w:val="none" w:sz="0" w:space="0" w:color="auto"/>
        <w:right w:val="none" w:sz="0" w:space="0" w:color="auto"/>
      </w:divBdr>
    </w:div>
    <w:div w:id="78447425">
      <w:bodyDiv w:val="1"/>
      <w:marLeft w:val="0"/>
      <w:marRight w:val="0"/>
      <w:marTop w:val="0"/>
      <w:marBottom w:val="0"/>
      <w:divBdr>
        <w:top w:val="none" w:sz="0" w:space="0" w:color="auto"/>
        <w:left w:val="none" w:sz="0" w:space="0" w:color="auto"/>
        <w:bottom w:val="none" w:sz="0" w:space="0" w:color="auto"/>
        <w:right w:val="none" w:sz="0" w:space="0" w:color="auto"/>
      </w:divBdr>
    </w:div>
    <w:div w:id="96293920">
      <w:bodyDiv w:val="1"/>
      <w:marLeft w:val="0"/>
      <w:marRight w:val="0"/>
      <w:marTop w:val="0"/>
      <w:marBottom w:val="0"/>
      <w:divBdr>
        <w:top w:val="none" w:sz="0" w:space="0" w:color="auto"/>
        <w:left w:val="none" w:sz="0" w:space="0" w:color="auto"/>
        <w:bottom w:val="none" w:sz="0" w:space="0" w:color="auto"/>
        <w:right w:val="none" w:sz="0" w:space="0" w:color="auto"/>
      </w:divBdr>
    </w:div>
    <w:div w:id="116343332">
      <w:bodyDiv w:val="1"/>
      <w:marLeft w:val="0"/>
      <w:marRight w:val="0"/>
      <w:marTop w:val="0"/>
      <w:marBottom w:val="0"/>
      <w:divBdr>
        <w:top w:val="none" w:sz="0" w:space="0" w:color="auto"/>
        <w:left w:val="none" w:sz="0" w:space="0" w:color="auto"/>
        <w:bottom w:val="none" w:sz="0" w:space="0" w:color="auto"/>
        <w:right w:val="none" w:sz="0" w:space="0" w:color="auto"/>
      </w:divBdr>
    </w:div>
    <w:div w:id="116532378">
      <w:bodyDiv w:val="1"/>
      <w:marLeft w:val="0"/>
      <w:marRight w:val="0"/>
      <w:marTop w:val="0"/>
      <w:marBottom w:val="0"/>
      <w:divBdr>
        <w:top w:val="none" w:sz="0" w:space="0" w:color="auto"/>
        <w:left w:val="none" w:sz="0" w:space="0" w:color="auto"/>
        <w:bottom w:val="none" w:sz="0" w:space="0" w:color="auto"/>
        <w:right w:val="none" w:sz="0" w:space="0" w:color="auto"/>
      </w:divBdr>
    </w:div>
    <w:div w:id="187183506">
      <w:bodyDiv w:val="1"/>
      <w:marLeft w:val="0"/>
      <w:marRight w:val="0"/>
      <w:marTop w:val="0"/>
      <w:marBottom w:val="0"/>
      <w:divBdr>
        <w:top w:val="none" w:sz="0" w:space="0" w:color="auto"/>
        <w:left w:val="none" w:sz="0" w:space="0" w:color="auto"/>
        <w:bottom w:val="none" w:sz="0" w:space="0" w:color="auto"/>
        <w:right w:val="none" w:sz="0" w:space="0" w:color="auto"/>
      </w:divBdr>
    </w:div>
    <w:div w:id="218366418">
      <w:bodyDiv w:val="1"/>
      <w:marLeft w:val="0"/>
      <w:marRight w:val="0"/>
      <w:marTop w:val="0"/>
      <w:marBottom w:val="0"/>
      <w:divBdr>
        <w:top w:val="none" w:sz="0" w:space="0" w:color="auto"/>
        <w:left w:val="none" w:sz="0" w:space="0" w:color="auto"/>
        <w:bottom w:val="none" w:sz="0" w:space="0" w:color="auto"/>
        <w:right w:val="none" w:sz="0" w:space="0" w:color="auto"/>
      </w:divBdr>
    </w:div>
    <w:div w:id="249705975">
      <w:bodyDiv w:val="1"/>
      <w:marLeft w:val="0"/>
      <w:marRight w:val="0"/>
      <w:marTop w:val="0"/>
      <w:marBottom w:val="0"/>
      <w:divBdr>
        <w:top w:val="none" w:sz="0" w:space="0" w:color="auto"/>
        <w:left w:val="none" w:sz="0" w:space="0" w:color="auto"/>
        <w:bottom w:val="none" w:sz="0" w:space="0" w:color="auto"/>
        <w:right w:val="none" w:sz="0" w:space="0" w:color="auto"/>
      </w:divBdr>
    </w:div>
    <w:div w:id="277108003">
      <w:bodyDiv w:val="1"/>
      <w:marLeft w:val="0"/>
      <w:marRight w:val="0"/>
      <w:marTop w:val="0"/>
      <w:marBottom w:val="0"/>
      <w:divBdr>
        <w:top w:val="none" w:sz="0" w:space="0" w:color="auto"/>
        <w:left w:val="none" w:sz="0" w:space="0" w:color="auto"/>
        <w:bottom w:val="none" w:sz="0" w:space="0" w:color="auto"/>
        <w:right w:val="none" w:sz="0" w:space="0" w:color="auto"/>
      </w:divBdr>
    </w:div>
    <w:div w:id="291791733">
      <w:bodyDiv w:val="1"/>
      <w:marLeft w:val="0"/>
      <w:marRight w:val="0"/>
      <w:marTop w:val="0"/>
      <w:marBottom w:val="0"/>
      <w:divBdr>
        <w:top w:val="none" w:sz="0" w:space="0" w:color="auto"/>
        <w:left w:val="none" w:sz="0" w:space="0" w:color="auto"/>
        <w:bottom w:val="none" w:sz="0" w:space="0" w:color="auto"/>
        <w:right w:val="none" w:sz="0" w:space="0" w:color="auto"/>
      </w:divBdr>
    </w:div>
    <w:div w:id="296953711">
      <w:bodyDiv w:val="1"/>
      <w:marLeft w:val="0"/>
      <w:marRight w:val="0"/>
      <w:marTop w:val="0"/>
      <w:marBottom w:val="0"/>
      <w:divBdr>
        <w:top w:val="none" w:sz="0" w:space="0" w:color="auto"/>
        <w:left w:val="none" w:sz="0" w:space="0" w:color="auto"/>
        <w:bottom w:val="none" w:sz="0" w:space="0" w:color="auto"/>
        <w:right w:val="none" w:sz="0" w:space="0" w:color="auto"/>
      </w:divBdr>
    </w:div>
    <w:div w:id="327363454">
      <w:bodyDiv w:val="1"/>
      <w:marLeft w:val="0"/>
      <w:marRight w:val="0"/>
      <w:marTop w:val="0"/>
      <w:marBottom w:val="0"/>
      <w:divBdr>
        <w:top w:val="none" w:sz="0" w:space="0" w:color="auto"/>
        <w:left w:val="none" w:sz="0" w:space="0" w:color="auto"/>
        <w:bottom w:val="none" w:sz="0" w:space="0" w:color="auto"/>
        <w:right w:val="none" w:sz="0" w:space="0" w:color="auto"/>
      </w:divBdr>
    </w:div>
    <w:div w:id="334500655">
      <w:bodyDiv w:val="1"/>
      <w:marLeft w:val="0"/>
      <w:marRight w:val="0"/>
      <w:marTop w:val="0"/>
      <w:marBottom w:val="0"/>
      <w:divBdr>
        <w:top w:val="none" w:sz="0" w:space="0" w:color="auto"/>
        <w:left w:val="none" w:sz="0" w:space="0" w:color="auto"/>
        <w:bottom w:val="none" w:sz="0" w:space="0" w:color="auto"/>
        <w:right w:val="none" w:sz="0" w:space="0" w:color="auto"/>
      </w:divBdr>
    </w:div>
    <w:div w:id="347634207">
      <w:bodyDiv w:val="1"/>
      <w:marLeft w:val="0"/>
      <w:marRight w:val="0"/>
      <w:marTop w:val="0"/>
      <w:marBottom w:val="0"/>
      <w:divBdr>
        <w:top w:val="none" w:sz="0" w:space="0" w:color="auto"/>
        <w:left w:val="none" w:sz="0" w:space="0" w:color="auto"/>
        <w:bottom w:val="none" w:sz="0" w:space="0" w:color="auto"/>
        <w:right w:val="none" w:sz="0" w:space="0" w:color="auto"/>
      </w:divBdr>
    </w:div>
    <w:div w:id="432357192">
      <w:bodyDiv w:val="1"/>
      <w:marLeft w:val="0"/>
      <w:marRight w:val="0"/>
      <w:marTop w:val="0"/>
      <w:marBottom w:val="0"/>
      <w:divBdr>
        <w:top w:val="none" w:sz="0" w:space="0" w:color="auto"/>
        <w:left w:val="none" w:sz="0" w:space="0" w:color="auto"/>
        <w:bottom w:val="none" w:sz="0" w:space="0" w:color="auto"/>
        <w:right w:val="none" w:sz="0" w:space="0" w:color="auto"/>
      </w:divBdr>
    </w:div>
    <w:div w:id="456996463">
      <w:bodyDiv w:val="1"/>
      <w:marLeft w:val="0"/>
      <w:marRight w:val="0"/>
      <w:marTop w:val="0"/>
      <w:marBottom w:val="0"/>
      <w:divBdr>
        <w:top w:val="none" w:sz="0" w:space="0" w:color="auto"/>
        <w:left w:val="none" w:sz="0" w:space="0" w:color="auto"/>
        <w:bottom w:val="none" w:sz="0" w:space="0" w:color="auto"/>
        <w:right w:val="none" w:sz="0" w:space="0" w:color="auto"/>
      </w:divBdr>
    </w:div>
    <w:div w:id="462430778">
      <w:bodyDiv w:val="1"/>
      <w:marLeft w:val="0"/>
      <w:marRight w:val="0"/>
      <w:marTop w:val="0"/>
      <w:marBottom w:val="0"/>
      <w:divBdr>
        <w:top w:val="none" w:sz="0" w:space="0" w:color="auto"/>
        <w:left w:val="none" w:sz="0" w:space="0" w:color="auto"/>
        <w:bottom w:val="none" w:sz="0" w:space="0" w:color="auto"/>
        <w:right w:val="none" w:sz="0" w:space="0" w:color="auto"/>
      </w:divBdr>
    </w:div>
    <w:div w:id="501438120">
      <w:bodyDiv w:val="1"/>
      <w:marLeft w:val="0"/>
      <w:marRight w:val="0"/>
      <w:marTop w:val="0"/>
      <w:marBottom w:val="0"/>
      <w:divBdr>
        <w:top w:val="none" w:sz="0" w:space="0" w:color="auto"/>
        <w:left w:val="none" w:sz="0" w:space="0" w:color="auto"/>
        <w:bottom w:val="none" w:sz="0" w:space="0" w:color="auto"/>
        <w:right w:val="none" w:sz="0" w:space="0" w:color="auto"/>
      </w:divBdr>
    </w:div>
    <w:div w:id="522089793">
      <w:bodyDiv w:val="1"/>
      <w:marLeft w:val="0"/>
      <w:marRight w:val="0"/>
      <w:marTop w:val="0"/>
      <w:marBottom w:val="0"/>
      <w:divBdr>
        <w:top w:val="none" w:sz="0" w:space="0" w:color="auto"/>
        <w:left w:val="none" w:sz="0" w:space="0" w:color="auto"/>
        <w:bottom w:val="none" w:sz="0" w:space="0" w:color="auto"/>
        <w:right w:val="none" w:sz="0" w:space="0" w:color="auto"/>
      </w:divBdr>
    </w:div>
    <w:div w:id="561209552">
      <w:bodyDiv w:val="1"/>
      <w:marLeft w:val="0"/>
      <w:marRight w:val="0"/>
      <w:marTop w:val="0"/>
      <w:marBottom w:val="0"/>
      <w:divBdr>
        <w:top w:val="none" w:sz="0" w:space="0" w:color="auto"/>
        <w:left w:val="none" w:sz="0" w:space="0" w:color="auto"/>
        <w:bottom w:val="none" w:sz="0" w:space="0" w:color="auto"/>
        <w:right w:val="none" w:sz="0" w:space="0" w:color="auto"/>
      </w:divBdr>
    </w:div>
    <w:div w:id="606740854">
      <w:bodyDiv w:val="1"/>
      <w:marLeft w:val="0"/>
      <w:marRight w:val="0"/>
      <w:marTop w:val="0"/>
      <w:marBottom w:val="0"/>
      <w:divBdr>
        <w:top w:val="none" w:sz="0" w:space="0" w:color="auto"/>
        <w:left w:val="none" w:sz="0" w:space="0" w:color="auto"/>
        <w:bottom w:val="none" w:sz="0" w:space="0" w:color="auto"/>
        <w:right w:val="none" w:sz="0" w:space="0" w:color="auto"/>
      </w:divBdr>
    </w:div>
    <w:div w:id="613487185">
      <w:bodyDiv w:val="1"/>
      <w:marLeft w:val="0"/>
      <w:marRight w:val="0"/>
      <w:marTop w:val="0"/>
      <w:marBottom w:val="0"/>
      <w:divBdr>
        <w:top w:val="none" w:sz="0" w:space="0" w:color="auto"/>
        <w:left w:val="none" w:sz="0" w:space="0" w:color="auto"/>
        <w:bottom w:val="none" w:sz="0" w:space="0" w:color="auto"/>
        <w:right w:val="none" w:sz="0" w:space="0" w:color="auto"/>
      </w:divBdr>
    </w:div>
    <w:div w:id="639723491">
      <w:bodyDiv w:val="1"/>
      <w:marLeft w:val="0"/>
      <w:marRight w:val="0"/>
      <w:marTop w:val="0"/>
      <w:marBottom w:val="0"/>
      <w:divBdr>
        <w:top w:val="none" w:sz="0" w:space="0" w:color="auto"/>
        <w:left w:val="none" w:sz="0" w:space="0" w:color="auto"/>
        <w:bottom w:val="none" w:sz="0" w:space="0" w:color="auto"/>
        <w:right w:val="none" w:sz="0" w:space="0" w:color="auto"/>
      </w:divBdr>
    </w:div>
    <w:div w:id="666591839">
      <w:bodyDiv w:val="1"/>
      <w:marLeft w:val="0"/>
      <w:marRight w:val="0"/>
      <w:marTop w:val="0"/>
      <w:marBottom w:val="0"/>
      <w:divBdr>
        <w:top w:val="none" w:sz="0" w:space="0" w:color="auto"/>
        <w:left w:val="none" w:sz="0" w:space="0" w:color="auto"/>
        <w:bottom w:val="none" w:sz="0" w:space="0" w:color="auto"/>
        <w:right w:val="none" w:sz="0" w:space="0" w:color="auto"/>
      </w:divBdr>
    </w:div>
    <w:div w:id="714239310">
      <w:bodyDiv w:val="1"/>
      <w:marLeft w:val="0"/>
      <w:marRight w:val="0"/>
      <w:marTop w:val="0"/>
      <w:marBottom w:val="0"/>
      <w:divBdr>
        <w:top w:val="none" w:sz="0" w:space="0" w:color="auto"/>
        <w:left w:val="none" w:sz="0" w:space="0" w:color="auto"/>
        <w:bottom w:val="none" w:sz="0" w:space="0" w:color="auto"/>
        <w:right w:val="none" w:sz="0" w:space="0" w:color="auto"/>
      </w:divBdr>
    </w:div>
    <w:div w:id="718283396">
      <w:bodyDiv w:val="1"/>
      <w:marLeft w:val="0"/>
      <w:marRight w:val="0"/>
      <w:marTop w:val="0"/>
      <w:marBottom w:val="0"/>
      <w:divBdr>
        <w:top w:val="none" w:sz="0" w:space="0" w:color="auto"/>
        <w:left w:val="none" w:sz="0" w:space="0" w:color="auto"/>
        <w:bottom w:val="none" w:sz="0" w:space="0" w:color="auto"/>
        <w:right w:val="none" w:sz="0" w:space="0" w:color="auto"/>
      </w:divBdr>
    </w:div>
    <w:div w:id="735661113">
      <w:bodyDiv w:val="1"/>
      <w:marLeft w:val="0"/>
      <w:marRight w:val="0"/>
      <w:marTop w:val="0"/>
      <w:marBottom w:val="0"/>
      <w:divBdr>
        <w:top w:val="none" w:sz="0" w:space="0" w:color="auto"/>
        <w:left w:val="none" w:sz="0" w:space="0" w:color="auto"/>
        <w:bottom w:val="none" w:sz="0" w:space="0" w:color="auto"/>
        <w:right w:val="none" w:sz="0" w:space="0" w:color="auto"/>
      </w:divBdr>
    </w:div>
    <w:div w:id="743063922">
      <w:bodyDiv w:val="1"/>
      <w:marLeft w:val="0"/>
      <w:marRight w:val="0"/>
      <w:marTop w:val="0"/>
      <w:marBottom w:val="0"/>
      <w:divBdr>
        <w:top w:val="none" w:sz="0" w:space="0" w:color="auto"/>
        <w:left w:val="none" w:sz="0" w:space="0" w:color="auto"/>
        <w:bottom w:val="none" w:sz="0" w:space="0" w:color="auto"/>
        <w:right w:val="none" w:sz="0" w:space="0" w:color="auto"/>
      </w:divBdr>
    </w:div>
    <w:div w:id="798646250">
      <w:bodyDiv w:val="1"/>
      <w:marLeft w:val="0"/>
      <w:marRight w:val="0"/>
      <w:marTop w:val="0"/>
      <w:marBottom w:val="0"/>
      <w:divBdr>
        <w:top w:val="none" w:sz="0" w:space="0" w:color="auto"/>
        <w:left w:val="none" w:sz="0" w:space="0" w:color="auto"/>
        <w:bottom w:val="none" w:sz="0" w:space="0" w:color="auto"/>
        <w:right w:val="none" w:sz="0" w:space="0" w:color="auto"/>
      </w:divBdr>
    </w:div>
    <w:div w:id="832456060">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900022530">
      <w:bodyDiv w:val="1"/>
      <w:marLeft w:val="0"/>
      <w:marRight w:val="0"/>
      <w:marTop w:val="0"/>
      <w:marBottom w:val="0"/>
      <w:divBdr>
        <w:top w:val="none" w:sz="0" w:space="0" w:color="auto"/>
        <w:left w:val="none" w:sz="0" w:space="0" w:color="auto"/>
        <w:bottom w:val="none" w:sz="0" w:space="0" w:color="auto"/>
        <w:right w:val="none" w:sz="0" w:space="0" w:color="auto"/>
      </w:divBdr>
    </w:div>
    <w:div w:id="902643583">
      <w:bodyDiv w:val="1"/>
      <w:marLeft w:val="0"/>
      <w:marRight w:val="0"/>
      <w:marTop w:val="0"/>
      <w:marBottom w:val="0"/>
      <w:divBdr>
        <w:top w:val="none" w:sz="0" w:space="0" w:color="auto"/>
        <w:left w:val="none" w:sz="0" w:space="0" w:color="auto"/>
        <w:bottom w:val="none" w:sz="0" w:space="0" w:color="auto"/>
        <w:right w:val="none" w:sz="0" w:space="0" w:color="auto"/>
      </w:divBdr>
    </w:div>
    <w:div w:id="906309443">
      <w:bodyDiv w:val="1"/>
      <w:marLeft w:val="0"/>
      <w:marRight w:val="0"/>
      <w:marTop w:val="0"/>
      <w:marBottom w:val="0"/>
      <w:divBdr>
        <w:top w:val="none" w:sz="0" w:space="0" w:color="auto"/>
        <w:left w:val="none" w:sz="0" w:space="0" w:color="auto"/>
        <w:bottom w:val="none" w:sz="0" w:space="0" w:color="auto"/>
        <w:right w:val="none" w:sz="0" w:space="0" w:color="auto"/>
      </w:divBdr>
    </w:div>
    <w:div w:id="921567813">
      <w:bodyDiv w:val="1"/>
      <w:marLeft w:val="0"/>
      <w:marRight w:val="0"/>
      <w:marTop w:val="0"/>
      <w:marBottom w:val="0"/>
      <w:divBdr>
        <w:top w:val="none" w:sz="0" w:space="0" w:color="auto"/>
        <w:left w:val="none" w:sz="0" w:space="0" w:color="auto"/>
        <w:bottom w:val="none" w:sz="0" w:space="0" w:color="auto"/>
        <w:right w:val="none" w:sz="0" w:space="0" w:color="auto"/>
      </w:divBdr>
    </w:div>
    <w:div w:id="1011295639">
      <w:bodyDiv w:val="1"/>
      <w:marLeft w:val="0"/>
      <w:marRight w:val="0"/>
      <w:marTop w:val="0"/>
      <w:marBottom w:val="0"/>
      <w:divBdr>
        <w:top w:val="none" w:sz="0" w:space="0" w:color="auto"/>
        <w:left w:val="none" w:sz="0" w:space="0" w:color="auto"/>
        <w:bottom w:val="none" w:sz="0" w:space="0" w:color="auto"/>
        <w:right w:val="none" w:sz="0" w:space="0" w:color="auto"/>
      </w:divBdr>
    </w:div>
    <w:div w:id="1039358175">
      <w:bodyDiv w:val="1"/>
      <w:marLeft w:val="0"/>
      <w:marRight w:val="0"/>
      <w:marTop w:val="0"/>
      <w:marBottom w:val="0"/>
      <w:divBdr>
        <w:top w:val="none" w:sz="0" w:space="0" w:color="auto"/>
        <w:left w:val="none" w:sz="0" w:space="0" w:color="auto"/>
        <w:bottom w:val="none" w:sz="0" w:space="0" w:color="auto"/>
        <w:right w:val="none" w:sz="0" w:space="0" w:color="auto"/>
      </w:divBdr>
    </w:div>
    <w:div w:id="1043410882">
      <w:bodyDiv w:val="1"/>
      <w:marLeft w:val="0"/>
      <w:marRight w:val="0"/>
      <w:marTop w:val="0"/>
      <w:marBottom w:val="0"/>
      <w:divBdr>
        <w:top w:val="none" w:sz="0" w:space="0" w:color="auto"/>
        <w:left w:val="none" w:sz="0" w:space="0" w:color="auto"/>
        <w:bottom w:val="none" w:sz="0" w:space="0" w:color="auto"/>
        <w:right w:val="none" w:sz="0" w:space="0" w:color="auto"/>
      </w:divBdr>
    </w:div>
    <w:div w:id="1127165026">
      <w:bodyDiv w:val="1"/>
      <w:marLeft w:val="0"/>
      <w:marRight w:val="0"/>
      <w:marTop w:val="0"/>
      <w:marBottom w:val="0"/>
      <w:divBdr>
        <w:top w:val="none" w:sz="0" w:space="0" w:color="auto"/>
        <w:left w:val="none" w:sz="0" w:space="0" w:color="auto"/>
        <w:bottom w:val="none" w:sz="0" w:space="0" w:color="auto"/>
        <w:right w:val="none" w:sz="0" w:space="0" w:color="auto"/>
      </w:divBdr>
    </w:div>
    <w:div w:id="1127578236">
      <w:bodyDiv w:val="1"/>
      <w:marLeft w:val="0"/>
      <w:marRight w:val="0"/>
      <w:marTop w:val="0"/>
      <w:marBottom w:val="0"/>
      <w:divBdr>
        <w:top w:val="none" w:sz="0" w:space="0" w:color="auto"/>
        <w:left w:val="none" w:sz="0" w:space="0" w:color="auto"/>
        <w:bottom w:val="none" w:sz="0" w:space="0" w:color="auto"/>
        <w:right w:val="none" w:sz="0" w:space="0" w:color="auto"/>
      </w:divBdr>
    </w:div>
    <w:div w:id="1182158325">
      <w:bodyDiv w:val="1"/>
      <w:marLeft w:val="0"/>
      <w:marRight w:val="0"/>
      <w:marTop w:val="0"/>
      <w:marBottom w:val="0"/>
      <w:divBdr>
        <w:top w:val="none" w:sz="0" w:space="0" w:color="auto"/>
        <w:left w:val="none" w:sz="0" w:space="0" w:color="auto"/>
        <w:bottom w:val="none" w:sz="0" w:space="0" w:color="auto"/>
        <w:right w:val="none" w:sz="0" w:space="0" w:color="auto"/>
      </w:divBdr>
    </w:div>
    <w:div w:id="1206060401">
      <w:bodyDiv w:val="1"/>
      <w:marLeft w:val="0"/>
      <w:marRight w:val="0"/>
      <w:marTop w:val="0"/>
      <w:marBottom w:val="0"/>
      <w:divBdr>
        <w:top w:val="none" w:sz="0" w:space="0" w:color="auto"/>
        <w:left w:val="none" w:sz="0" w:space="0" w:color="auto"/>
        <w:bottom w:val="none" w:sz="0" w:space="0" w:color="auto"/>
        <w:right w:val="none" w:sz="0" w:space="0" w:color="auto"/>
      </w:divBdr>
    </w:div>
    <w:div w:id="1207639537">
      <w:bodyDiv w:val="1"/>
      <w:marLeft w:val="0"/>
      <w:marRight w:val="0"/>
      <w:marTop w:val="0"/>
      <w:marBottom w:val="0"/>
      <w:divBdr>
        <w:top w:val="none" w:sz="0" w:space="0" w:color="auto"/>
        <w:left w:val="none" w:sz="0" w:space="0" w:color="auto"/>
        <w:bottom w:val="none" w:sz="0" w:space="0" w:color="auto"/>
        <w:right w:val="none" w:sz="0" w:space="0" w:color="auto"/>
      </w:divBdr>
    </w:div>
    <w:div w:id="1232039377">
      <w:bodyDiv w:val="1"/>
      <w:marLeft w:val="0"/>
      <w:marRight w:val="0"/>
      <w:marTop w:val="0"/>
      <w:marBottom w:val="0"/>
      <w:divBdr>
        <w:top w:val="none" w:sz="0" w:space="0" w:color="auto"/>
        <w:left w:val="none" w:sz="0" w:space="0" w:color="auto"/>
        <w:bottom w:val="none" w:sz="0" w:space="0" w:color="auto"/>
        <w:right w:val="none" w:sz="0" w:space="0" w:color="auto"/>
      </w:divBdr>
    </w:div>
    <w:div w:id="1265262068">
      <w:bodyDiv w:val="1"/>
      <w:marLeft w:val="0"/>
      <w:marRight w:val="0"/>
      <w:marTop w:val="0"/>
      <w:marBottom w:val="0"/>
      <w:divBdr>
        <w:top w:val="none" w:sz="0" w:space="0" w:color="auto"/>
        <w:left w:val="none" w:sz="0" w:space="0" w:color="auto"/>
        <w:bottom w:val="none" w:sz="0" w:space="0" w:color="auto"/>
        <w:right w:val="none" w:sz="0" w:space="0" w:color="auto"/>
      </w:divBdr>
    </w:div>
    <w:div w:id="1266157795">
      <w:bodyDiv w:val="1"/>
      <w:marLeft w:val="0"/>
      <w:marRight w:val="0"/>
      <w:marTop w:val="0"/>
      <w:marBottom w:val="0"/>
      <w:divBdr>
        <w:top w:val="none" w:sz="0" w:space="0" w:color="auto"/>
        <w:left w:val="none" w:sz="0" w:space="0" w:color="auto"/>
        <w:bottom w:val="none" w:sz="0" w:space="0" w:color="auto"/>
        <w:right w:val="none" w:sz="0" w:space="0" w:color="auto"/>
      </w:divBdr>
    </w:div>
    <w:div w:id="1279024495">
      <w:bodyDiv w:val="1"/>
      <w:marLeft w:val="0"/>
      <w:marRight w:val="0"/>
      <w:marTop w:val="0"/>
      <w:marBottom w:val="0"/>
      <w:divBdr>
        <w:top w:val="none" w:sz="0" w:space="0" w:color="auto"/>
        <w:left w:val="none" w:sz="0" w:space="0" w:color="auto"/>
        <w:bottom w:val="none" w:sz="0" w:space="0" w:color="auto"/>
        <w:right w:val="none" w:sz="0" w:space="0" w:color="auto"/>
      </w:divBdr>
    </w:div>
    <w:div w:id="1346516233">
      <w:bodyDiv w:val="1"/>
      <w:marLeft w:val="0"/>
      <w:marRight w:val="0"/>
      <w:marTop w:val="0"/>
      <w:marBottom w:val="0"/>
      <w:divBdr>
        <w:top w:val="none" w:sz="0" w:space="0" w:color="auto"/>
        <w:left w:val="none" w:sz="0" w:space="0" w:color="auto"/>
        <w:bottom w:val="none" w:sz="0" w:space="0" w:color="auto"/>
        <w:right w:val="none" w:sz="0" w:space="0" w:color="auto"/>
      </w:divBdr>
    </w:div>
    <w:div w:id="1360156783">
      <w:bodyDiv w:val="1"/>
      <w:marLeft w:val="0"/>
      <w:marRight w:val="0"/>
      <w:marTop w:val="0"/>
      <w:marBottom w:val="0"/>
      <w:divBdr>
        <w:top w:val="none" w:sz="0" w:space="0" w:color="auto"/>
        <w:left w:val="none" w:sz="0" w:space="0" w:color="auto"/>
        <w:bottom w:val="none" w:sz="0" w:space="0" w:color="auto"/>
        <w:right w:val="none" w:sz="0" w:space="0" w:color="auto"/>
      </w:divBdr>
    </w:div>
    <w:div w:id="1369456490">
      <w:bodyDiv w:val="1"/>
      <w:marLeft w:val="0"/>
      <w:marRight w:val="0"/>
      <w:marTop w:val="0"/>
      <w:marBottom w:val="0"/>
      <w:divBdr>
        <w:top w:val="none" w:sz="0" w:space="0" w:color="auto"/>
        <w:left w:val="none" w:sz="0" w:space="0" w:color="auto"/>
        <w:bottom w:val="none" w:sz="0" w:space="0" w:color="auto"/>
        <w:right w:val="none" w:sz="0" w:space="0" w:color="auto"/>
      </w:divBdr>
    </w:div>
    <w:div w:id="1373655399">
      <w:bodyDiv w:val="1"/>
      <w:marLeft w:val="0"/>
      <w:marRight w:val="0"/>
      <w:marTop w:val="0"/>
      <w:marBottom w:val="0"/>
      <w:divBdr>
        <w:top w:val="none" w:sz="0" w:space="0" w:color="auto"/>
        <w:left w:val="none" w:sz="0" w:space="0" w:color="auto"/>
        <w:bottom w:val="none" w:sz="0" w:space="0" w:color="auto"/>
        <w:right w:val="none" w:sz="0" w:space="0" w:color="auto"/>
      </w:divBdr>
    </w:div>
    <w:div w:id="1388184251">
      <w:bodyDiv w:val="1"/>
      <w:marLeft w:val="0"/>
      <w:marRight w:val="0"/>
      <w:marTop w:val="0"/>
      <w:marBottom w:val="0"/>
      <w:divBdr>
        <w:top w:val="none" w:sz="0" w:space="0" w:color="auto"/>
        <w:left w:val="none" w:sz="0" w:space="0" w:color="auto"/>
        <w:bottom w:val="none" w:sz="0" w:space="0" w:color="auto"/>
        <w:right w:val="none" w:sz="0" w:space="0" w:color="auto"/>
      </w:divBdr>
    </w:div>
    <w:div w:id="1391223027">
      <w:bodyDiv w:val="1"/>
      <w:marLeft w:val="0"/>
      <w:marRight w:val="0"/>
      <w:marTop w:val="0"/>
      <w:marBottom w:val="0"/>
      <w:divBdr>
        <w:top w:val="none" w:sz="0" w:space="0" w:color="auto"/>
        <w:left w:val="none" w:sz="0" w:space="0" w:color="auto"/>
        <w:bottom w:val="none" w:sz="0" w:space="0" w:color="auto"/>
        <w:right w:val="none" w:sz="0" w:space="0" w:color="auto"/>
      </w:divBdr>
    </w:div>
    <w:div w:id="1391726251">
      <w:bodyDiv w:val="1"/>
      <w:marLeft w:val="0"/>
      <w:marRight w:val="0"/>
      <w:marTop w:val="0"/>
      <w:marBottom w:val="0"/>
      <w:divBdr>
        <w:top w:val="none" w:sz="0" w:space="0" w:color="auto"/>
        <w:left w:val="none" w:sz="0" w:space="0" w:color="auto"/>
        <w:bottom w:val="none" w:sz="0" w:space="0" w:color="auto"/>
        <w:right w:val="none" w:sz="0" w:space="0" w:color="auto"/>
      </w:divBdr>
    </w:div>
    <w:div w:id="1427848831">
      <w:bodyDiv w:val="1"/>
      <w:marLeft w:val="0"/>
      <w:marRight w:val="0"/>
      <w:marTop w:val="0"/>
      <w:marBottom w:val="0"/>
      <w:divBdr>
        <w:top w:val="none" w:sz="0" w:space="0" w:color="auto"/>
        <w:left w:val="none" w:sz="0" w:space="0" w:color="auto"/>
        <w:bottom w:val="none" w:sz="0" w:space="0" w:color="auto"/>
        <w:right w:val="none" w:sz="0" w:space="0" w:color="auto"/>
      </w:divBdr>
    </w:div>
    <w:div w:id="1452285181">
      <w:bodyDiv w:val="1"/>
      <w:marLeft w:val="0"/>
      <w:marRight w:val="0"/>
      <w:marTop w:val="0"/>
      <w:marBottom w:val="0"/>
      <w:divBdr>
        <w:top w:val="none" w:sz="0" w:space="0" w:color="auto"/>
        <w:left w:val="none" w:sz="0" w:space="0" w:color="auto"/>
        <w:bottom w:val="none" w:sz="0" w:space="0" w:color="auto"/>
        <w:right w:val="none" w:sz="0" w:space="0" w:color="auto"/>
      </w:divBdr>
    </w:div>
    <w:div w:id="1470316117">
      <w:bodyDiv w:val="1"/>
      <w:marLeft w:val="0"/>
      <w:marRight w:val="0"/>
      <w:marTop w:val="0"/>
      <w:marBottom w:val="0"/>
      <w:divBdr>
        <w:top w:val="none" w:sz="0" w:space="0" w:color="auto"/>
        <w:left w:val="none" w:sz="0" w:space="0" w:color="auto"/>
        <w:bottom w:val="none" w:sz="0" w:space="0" w:color="auto"/>
        <w:right w:val="none" w:sz="0" w:space="0" w:color="auto"/>
      </w:divBdr>
    </w:div>
    <w:div w:id="1520120740">
      <w:bodyDiv w:val="1"/>
      <w:marLeft w:val="0"/>
      <w:marRight w:val="0"/>
      <w:marTop w:val="0"/>
      <w:marBottom w:val="0"/>
      <w:divBdr>
        <w:top w:val="none" w:sz="0" w:space="0" w:color="auto"/>
        <w:left w:val="none" w:sz="0" w:space="0" w:color="auto"/>
        <w:bottom w:val="none" w:sz="0" w:space="0" w:color="auto"/>
        <w:right w:val="none" w:sz="0" w:space="0" w:color="auto"/>
      </w:divBdr>
    </w:div>
    <w:div w:id="1569027199">
      <w:bodyDiv w:val="1"/>
      <w:marLeft w:val="0"/>
      <w:marRight w:val="0"/>
      <w:marTop w:val="0"/>
      <w:marBottom w:val="0"/>
      <w:divBdr>
        <w:top w:val="none" w:sz="0" w:space="0" w:color="auto"/>
        <w:left w:val="none" w:sz="0" w:space="0" w:color="auto"/>
        <w:bottom w:val="none" w:sz="0" w:space="0" w:color="auto"/>
        <w:right w:val="none" w:sz="0" w:space="0" w:color="auto"/>
      </w:divBdr>
    </w:div>
    <w:div w:id="1595672627">
      <w:bodyDiv w:val="1"/>
      <w:marLeft w:val="0"/>
      <w:marRight w:val="0"/>
      <w:marTop w:val="0"/>
      <w:marBottom w:val="0"/>
      <w:divBdr>
        <w:top w:val="none" w:sz="0" w:space="0" w:color="auto"/>
        <w:left w:val="none" w:sz="0" w:space="0" w:color="auto"/>
        <w:bottom w:val="none" w:sz="0" w:space="0" w:color="auto"/>
        <w:right w:val="none" w:sz="0" w:space="0" w:color="auto"/>
      </w:divBdr>
    </w:div>
    <w:div w:id="1617449693">
      <w:bodyDiv w:val="1"/>
      <w:marLeft w:val="0"/>
      <w:marRight w:val="0"/>
      <w:marTop w:val="0"/>
      <w:marBottom w:val="0"/>
      <w:divBdr>
        <w:top w:val="none" w:sz="0" w:space="0" w:color="auto"/>
        <w:left w:val="none" w:sz="0" w:space="0" w:color="auto"/>
        <w:bottom w:val="none" w:sz="0" w:space="0" w:color="auto"/>
        <w:right w:val="none" w:sz="0" w:space="0" w:color="auto"/>
      </w:divBdr>
    </w:div>
    <w:div w:id="1628438862">
      <w:bodyDiv w:val="1"/>
      <w:marLeft w:val="0"/>
      <w:marRight w:val="0"/>
      <w:marTop w:val="0"/>
      <w:marBottom w:val="0"/>
      <w:divBdr>
        <w:top w:val="none" w:sz="0" w:space="0" w:color="auto"/>
        <w:left w:val="none" w:sz="0" w:space="0" w:color="auto"/>
        <w:bottom w:val="none" w:sz="0" w:space="0" w:color="auto"/>
        <w:right w:val="none" w:sz="0" w:space="0" w:color="auto"/>
      </w:divBdr>
    </w:div>
    <w:div w:id="1639146903">
      <w:bodyDiv w:val="1"/>
      <w:marLeft w:val="0"/>
      <w:marRight w:val="0"/>
      <w:marTop w:val="0"/>
      <w:marBottom w:val="0"/>
      <w:divBdr>
        <w:top w:val="none" w:sz="0" w:space="0" w:color="auto"/>
        <w:left w:val="none" w:sz="0" w:space="0" w:color="auto"/>
        <w:bottom w:val="none" w:sz="0" w:space="0" w:color="auto"/>
        <w:right w:val="none" w:sz="0" w:space="0" w:color="auto"/>
      </w:divBdr>
    </w:div>
    <w:div w:id="1644890489">
      <w:bodyDiv w:val="1"/>
      <w:marLeft w:val="0"/>
      <w:marRight w:val="0"/>
      <w:marTop w:val="0"/>
      <w:marBottom w:val="0"/>
      <w:divBdr>
        <w:top w:val="none" w:sz="0" w:space="0" w:color="auto"/>
        <w:left w:val="none" w:sz="0" w:space="0" w:color="auto"/>
        <w:bottom w:val="none" w:sz="0" w:space="0" w:color="auto"/>
        <w:right w:val="none" w:sz="0" w:space="0" w:color="auto"/>
      </w:divBdr>
    </w:div>
    <w:div w:id="1653216993">
      <w:bodyDiv w:val="1"/>
      <w:marLeft w:val="0"/>
      <w:marRight w:val="0"/>
      <w:marTop w:val="0"/>
      <w:marBottom w:val="0"/>
      <w:divBdr>
        <w:top w:val="none" w:sz="0" w:space="0" w:color="auto"/>
        <w:left w:val="none" w:sz="0" w:space="0" w:color="auto"/>
        <w:bottom w:val="none" w:sz="0" w:space="0" w:color="auto"/>
        <w:right w:val="none" w:sz="0" w:space="0" w:color="auto"/>
      </w:divBdr>
    </w:div>
    <w:div w:id="1691102381">
      <w:bodyDiv w:val="1"/>
      <w:marLeft w:val="0"/>
      <w:marRight w:val="0"/>
      <w:marTop w:val="0"/>
      <w:marBottom w:val="0"/>
      <w:divBdr>
        <w:top w:val="none" w:sz="0" w:space="0" w:color="auto"/>
        <w:left w:val="none" w:sz="0" w:space="0" w:color="auto"/>
        <w:bottom w:val="none" w:sz="0" w:space="0" w:color="auto"/>
        <w:right w:val="none" w:sz="0" w:space="0" w:color="auto"/>
      </w:divBdr>
    </w:div>
    <w:div w:id="1727878054">
      <w:bodyDiv w:val="1"/>
      <w:marLeft w:val="0"/>
      <w:marRight w:val="0"/>
      <w:marTop w:val="0"/>
      <w:marBottom w:val="0"/>
      <w:divBdr>
        <w:top w:val="none" w:sz="0" w:space="0" w:color="auto"/>
        <w:left w:val="none" w:sz="0" w:space="0" w:color="auto"/>
        <w:bottom w:val="none" w:sz="0" w:space="0" w:color="auto"/>
        <w:right w:val="none" w:sz="0" w:space="0" w:color="auto"/>
      </w:divBdr>
    </w:div>
    <w:div w:id="1762490267">
      <w:bodyDiv w:val="1"/>
      <w:marLeft w:val="0"/>
      <w:marRight w:val="0"/>
      <w:marTop w:val="0"/>
      <w:marBottom w:val="0"/>
      <w:divBdr>
        <w:top w:val="none" w:sz="0" w:space="0" w:color="auto"/>
        <w:left w:val="none" w:sz="0" w:space="0" w:color="auto"/>
        <w:bottom w:val="none" w:sz="0" w:space="0" w:color="auto"/>
        <w:right w:val="none" w:sz="0" w:space="0" w:color="auto"/>
      </w:divBdr>
    </w:div>
    <w:div w:id="1772117342">
      <w:bodyDiv w:val="1"/>
      <w:marLeft w:val="0"/>
      <w:marRight w:val="0"/>
      <w:marTop w:val="0"/>
      <w:marBottom w:val="0"/>
      <w:divBdr>
        <w:top w:val="none" w:sz="0" w:space="0" w:color="auto"/>
        <w:left w:val="none" w:sz="0" w:space="0" w:color="auto"/>
        <w:bottom w:val="none" w:sz="0" w:space="0" w:color="auto"/>
        <w:right w:val="none" w:sz="0" w:space="0" w:color="auto"/>
      </w:divBdr>
    </w:div>
    <w:div w:id="1791313085">
      <w:bodyDiv w:val="1"/>
      <w:marLeft w:val="0"/>
      <w:marRight w:val="0"/>
      <w:marTop w:val="0"/>
      <w:marBottom w:val="0"/>
      <w:divBdr>
        <w:top w:val="none" w:sz="0" w:space="0" w:color="auto"/>
        <w:left w:val="none" w:sz="0" w:space="0" w:color="auto"/>
        <w:bottom w:val="none" w:sz="0" w:space="0" w:color="auto"/>
        <w:right w:val="none" w:sz="0" w:space="0" w:color="auto"/>
      </w:divBdr>
    </w:div>
    <w:div w:id="1833988291">
      <w:bodyDiv w:val="1"/>
      <w:marLeft w:val="0"/>
      <w:marRight w:val="0"/>
      <w:marTop w:val="0"/>
      <w:marBottom w:val="0"/>
      <w:divBdr>
        <w:top w:val="none" w:sz="0" w:space="0" w:color="auto"/>
        <w:left w:val="none" w:sz="0" w:space="0" w:color="auto"/>
        <w:bottom w:val="none" w:sz="0" w:space="0" w:color="auto"/>
        <w:right w:val="none" w:sz="0" w:space="0" w:color="auto"/>
      </w:divBdr>
    </w:div>
    <w:div w:id="1851141486">
      <w:bodyDiv w:val="1"/>
      <w:marLeft w:val="0"/>
      <w:marRight w:val="0"/>
      <w:marTop w:val="0"/>
      <w:marBottom w:val="0"/>
      <w:divBdr>
        <w:top w:val="none" w:sz="0" w:space="0" w:color="auto"/>
        <w:left w:val="none" w:sz="0" w:space="0" w:color="auto"/>
        <w:bottom w:val="none" w:sz="0" w:space="0" w:color="auto"/>
        <w:right w:val="none" w:sz="0" w:space="0" w:color="auto"/>
      </w:divBdr>
    </w:div>
    <w:div w:id="1878470279">
      <w:bodyDiv w:val="1"/>
      <w:marLeft w:val="0"/>
      <w:marRight w:val="0"/>
      <w:marTop w:val="0"/>
      <w:marBottom w:val="0"/>
      <w:divBdr>
        <w:top w:val="none" w:sz="0" w:space="0" w:color="auto"/>
        <w:left w:val="none" w:sz="0" w:space="0" w:color="auto"/>
        <w:bottom w:val="none" w:sz="0" w:space="0" w:color="auto"/>
        <w:right w:val="none" w:sz="0" w:space="0" w:color="auto"/>
      </w:divBdr>
    </w:div>
    <w:div w:id="1911571747">
      <w:bodyDiv w:val="1"/>
      <w:marLeft w:val="0"/>
      <w:marRight w:val="0"/>
      <w:marTop w:val="0"/>
      <w:marBottom w:val="0"/>
      <w:divBdr>
        <w:top w:val="none" w:sz="0" w:space="0" w:color="auto"/>
        <w:left w:val="none" w:sz="0" w:space="0" w:color="auto"/>
        <w:bottom w:val="none" w:sz="0" w:space="0" w:color="auto"/>
        <w:right w:val="none" w:sz="0" w:space="0" w:color="auto"/>
      </w:divBdr>
    </w:div>
    <w:div w:id="1948850786">
      <w:bodyDiv w:val="1"/>
      <w:marLeft w:val="0"/>
      <w:marRight w:val="0"/>
      <w:marTop w:val="0"/>
      <w:marBottom w:val="0"/>
      <w:divBdr>
        <w:top w:val="none" w:sz="0" w:space="0" w:color="auto"/>
        <w:left w:val="none" w:sz="0" w:space="0" w:color="auto"/>
        <w:bottom w:val="none" w:sz="0" w:space="0" w:color="auto"/>
        <w:right w:val="none" w:sz="0" w:space="0" w:color="auto"/>
      </w:divBdr>
    </w:div>
    <w:div w:id="1957102396">
      <w:bodyDiv w:val="1"/>
      <w:marLeft w:val="0"/>
      <w:marRight w:val="0"/>
      <w:marTop w:val="0"/>
      <w:marBottom w:val="0"/>
      <w:divBdr>
        <w:top w:val="none" w:sz="0" w:space="0" w:color="auto"/>
        <w:left w:val="none" w:sz="0" w:space="0" w:color="auto"/>
        <w:bottom w:val="none" w:sz="0" w:space="0" w:color="auto"/>
        <w:right w:val="none" w:sz="0" w:space="0" w:color="auto"/>
      </w:divBdr>
    </w:div>
    <w:div w:id="2015840446">
      <w:bodyDiv w:val="1"/>
      <w:marLeft w:val="0"/>
      <w:marRight w:val="0"/>
      <w:marTop w:val="0"/>
      <w:marBottom w:val="0"/>
      <w:divBdr>
        <w:top w:val="none" w:sz="0" w:space="0" w:color="auto"/>
        <w:left w:val="none" w:sz="0" w:space="0" w:color="auto"/>
        <w:bottom w:val="none" w:sz="0" w:space="0" w:color="auto"/>
        <w:right w:val="none" w:sz="0" w:space="0" w:color="auto"/>
      </w:divBdr>
    </w:div>
    <w:div w:id="2036147335">
      <w:bodyDiv w:val="1"/>
      <w:marLeft w:val="0"/>
      <w:marRight w:val="0"/>
      <w:marTop w:val="0"/>
      <w:marBottom w:val="0"/>
      <w:divBdr>
        <w:top w:val="none" w:sz="0" w:space="0" w:color="auto"/>
        <w:left w:val="none" w:sz="0" w:space="0" w:color="auto"/>
        <w:bottom w:val="none" w:sz="0" w:space="0" w:color="auto"/>
        <w:right w:val="none" w:sz="0" w:space="0" w:color="auto"/>
      </w:divBdr>
    </w:div>
    <w:div w:id="2064137190">
      <w:bodyDiv w:val="1"/>
      <w:marLeft w:val="0"/>
      <w:marRight w:val="0"/>
      <w:marTop w:val="0"/>
      <w:marBottom w:val="0"/>
      <w:divBdr>
        <w:top w:val="none" w:sz="0" w:space="0" w:color="auto"/>
        <w:left w:val="none" w:sz="0" w:space="0" w:color="auto"/>
        <w:bottom w:val="none" w:sz="0" w:space="0" w:color="auto"/>
        <w:right w:val="none" w:sz="0" w:space="0" w:color="auto"/>
      </w:divBdr>
    </w:div>
    <w:div w:id="21309320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www.datosmacro.com/demografia/indice-brecha-genero-global" TargetMode="External"/><Relationship Id="rId2" Type="http://schemas.openxmlformats.org/officeDocument/2006/relationships/hyperlink" Target="http://www.mintrabajo.gov.co/febrero-2017/7595-colombia-tiene-que-cerrar-la-brecha-salarial-entre-hombres-y-mujeres-mintrabajo.html" TargetMode="External"/><Relationship Id="rId1" Type="http://schemas.openxmlformats.org/officeDocument/2006/relationships/hyperlink" Target="http://www.eltiempo.com/justicia/delitos/cifras-de-violencia-contra-las-mujeres-en-colombia-6559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b:Source>
    <b:Tag>Jos97</b:Tag>
    <b:SourceType>DocumentFromInternetSite</b:SourceType>
    <b:Guid>{A0522E09-A646-CE49-B9A8-CB98D16D8EE1}</b:Guid>
    <b:Author>
      <b:Author>
        <b:NameList>
          <b:Person>
            <b:Last>Castillo</b:Last>
            <b:First>José</b:First>
          </b:Person>
        </b:NameList>
      </b:Author>
      <b:ProducerName>
        <b:NameList>
          <b:Person>
            <b:Last>migrante</b:Last>
            <b:First>Politicas</b:First>
            <b:Middle>de retorno del</b:Middle>
          </b:Person>
        </b:NameList>
      </b:ProducerName>
    </b:Author>
    <b:Title>academia.edu</b:Title>
    <b:InternetSiteTitle>Teorias de la migracion de retorno</b:InternetSiteTitle>
    <b:URL>http://s3.amazonaws.com/academia.edu.documents/35564376/CC_33_art_3.pdf?AWSAccessKeyId=AKIAIWOWYYGZ2Y53UL3A&amp;Expires=1495761111&amp;Signature=lGW%2BSv5wbf3STO0amY6doj%2FyOt0%3D&amp;response-content-disposition=inline%3B%20filename%3DTEORIAS_DE_LA_MIGRACION_DE_RETORNO.pdf</b:URL>
    <b:ProductionCompany>Universidad Complutence</b:ProductionCompany>
    <b:Year>1997</b:Year>
    <b:YearAccessed>2017</b:YearAccessed>
    <b:MonthAccessed>Mayo</b:MonthAccessed>
    <b:RefOrder>4</b:RefOrder>
  </b:Source>
  <b:Source>
    <b:Tag>Ped13</b:Tag>
    <b:SourceType>DocumentFromInternetSite</b:SourceType>
    <b:Guid>{93B73919-9A81-5748-BD65-0B734324663E}</b:Guid>
    <b:Title>Universidad Autonoma de Barcelona</b:Title>
    <b:URL>http://institutinfancia.cat/wp-content/uploads/2016/08/2013_politicas-publicas-migracion-familiar-retorno_publicacio_cast-copia.pdf</b:URL>
    <b:Author>
      <b:ProducerName>
        <b:NameList>
          <b:Person>
            <b:Last>Politicas publicas</b:Last>
            <b:First>migracion</b:First>
            <b:Middle>familiar y retorno de la poblacion migrante latinoamericana</b:Middle>
          </b:Person>
        </b:NameList>
      </b:ProducerName>
      <b:Author>
        <b:NameList>
          <b:Person>
            <b:Last>Pedone</b:Last>
            <b:First>Claudia</b:First>
          </b:Person>
          <b:Person>
            <b:Last>Gil</b:Last>
            <b:First>Sandra</b:First>
          </b:Person>
        </b:NameList>
      </b:Author>
    </b:Author>
    <b:Year>2013</b:Year>
    <b:YearAccessed>2017</b:YearAccessed>
    <b:MonthAccessed>Mayo</b:MonthAccessed>
    <b:InternetSiteTitle>Politicas publicas, migracion familiar y retorno de la poblacion migrante latinoamericana</b:InternetSiteTitle>
    <b:RefOrder>5</b:RefOrder>
  </b:Source>
  <b:Source>
    <b:Tag>ONU90</b:Tag>
    <b:SourceType>DocumentFromInternetSite</b:SourceType>
    <b:Guid>{D931394F-E8E4-8648-B784-9D2C496A305A}</b:Guid>
    <b:Author>
      <b:Author>
        <b:Corporate>ONU</b:Corporate>
      </b:Author>
      <b:ProducerName>
        <b:NameList>
          <b:Person>
            <b:Last>familiares</b:Last>
            <b:First>Convención</b:First>
            <b:Middle>internConvención internacional sobre la protección de los derechos de los trabajadores migratorios y de sus familiaresacional sobre la protección de los derechos de los trabajadores migratorios y de sus</b:Middle>
          </b:Person>
        </b:NameList>
      </b:ProducerName>
    </b:Author>
    <b:Title>Oficina del Alto Comisionado de Derechos Humanos</b:Title>
    <b:URL>http://www.ohchr.org/SP/ProfessionalInterest/Pages/CMW.aspx</b:URL>
    <b:Year>1990</b:Year>
    <b:Month>Diciembre</b:Month>
    <b:Day>18</b:Day>
    <b:YearAccessed>2017</b:YearAccessed>
    <b:MonthAccessed>Mayo</b:MonthAccessed>
    <b:InternetSiteTitle>familiares, Convención internConvención internacional sobre la protección de los derechos de los trabajadores migratorios y de sus familiaresacional sobre la protección de los derechos de los trabajadores migratorios y de sus</b:InternetSiteTitle>
    <b:RefOrder>1</b:RefOrder>
  </b:Source>
  <b:Source>
    <b:Tag>Ban17</b:Tag>
    <b:SourceType>DocumentFromInternetSite</b:SourceType>
    <b:Guid>{B809933B-DB28-614C-BC7C-09388F903A49}</b:Guid>
    <b:Author>
      <b:Author>
        <b:Corporate>Banco Mundial</b:Corporate>
      </b:Author>
      <b:ProducerName>
        <b:NameList>
          <b:Person>
            <b:Last>General</b:Last>
            <b:First>Migración</b:First>
            <b:Middle>y Remesas: Panorama</b:Middle>
          </b:Person>
        </b:NameList>
      </b:ProducerName>
    </b:Author>
    <b:Title>Banco Mundial</b:Title>
    <b:URL>http://www.bancomundial.org/es/topic/migrationremittancesdiasporaissues/overview</b:URL>
    <b:Year>2017</b:Year>
    <b:YearAccessed>2017</b:YearAccessed>
    <b:MonthAccessed>Mayo</b:MonthAccessed>
    <b:InternetSiteTitle>General, Migración y Remesas: Panorama</b:InternetSiteTitle>
    <b:RefOrder>3</b:RefOrder>
  </b:Source>
  <b:Source>
    <b:Tag>Mon11</b:Tag>
    <b:SourceType>JournalArticle</b:SourceType>
    <b:Guid>{0027EF33-26FD-8747-B07A-1EF734FF424E}</b:Guid>
    <b:Author>
      <b:Author>
        <b:NameList>
          <b:Person>
            <b:Last>Moncayo</b:Last>
            <b:First>M</b:First>
          </b:Person>
        </b:NameList>
      </b:Author>
    </b:Author>
    <b:Title>Políticas de retorno en América Latina: miradas cruzadas </b:Title>
    <b:Year>2011</b:Year>
    <b:JournalName>AndinaMigrante</b:JournalName>
    <b:Publisher>Dossier central</b:Publisher>
    <b:RefOrder>6</b:RefOrder>
  </b:Source>
  <b:Source>
    <b:Tag>OIM15</b:Tag>
    <b:SourceType>DocumentFromInternetSite</b:SourceType>
    <b:Guid>{AB9922F0-5783-4849-9234-C700E5554142}</b:Guid>
    <b:Title>Organizacion Internacional para las Migraciones</b:Title>
    <b:Year>2015</b:Year>
    <b:Author>
      <b:Author>
        <b:Corporate>OIM</b:Corporate>
      </b:Author>
    </b:Author>
    <b:InternetSiteTitle>Reintegración - Enfoques Fiscales - </b:InternetSiteTitle>
    <b:URL>https://www.iom.int/sites/default/files/our_work/DMM/AVRR/reintegrationpositionpaper_FINAL_SP.PDF</b:URL>
    <b:YearAccessed>2017</b:YearAccessed>
    <b:MonthAccessed>Mayo</b:MonthAccessed>
    <b:RefOrder>7</b:RefOrder>
  </b:Source>
  <b:Source>
    <b:Tag>ABe10</b:Tag>
    <b:SourceType>DocumentFromInternetSite</b:SourceType>
    <b:Guid>{93863217-F6F0-5741-9603-13ECBA505D2C}</b:Guid>
    <b:Author>
      <b:Author>
        <b:NameList>
          <b:Person>
            <b:Last>Betts</b:Last>
            <b:First>A</b:First>
          </b:Person>
        </b:NameList>
      </b:Author>
    </b:Author>
    <b:Title>Departament of Politics and International Relations Of University of Oxford.</b:Title>
    <b:InternetSiteTitle>Global Migration Governance. The Emergence of New Debate</b:InternetSiteTitle>
    <b:Year>2010</b:Year>
    <b:YearAccessed>2017</b:YearAccessed>
    <b:MonthAccessed>Mayo</b:MonthAccessed>
    <b:URL>http://www.geg.ox.ac.uk/sites/geg/files/Betts%20Global%20Migration%20Governance%20PB.pdf</b:URL>
    <b:RefOrder>2</b:RefOrder>
  </b:Source>
  <b:Source>
    <b:Tag>UKD16</b:Tag>
    <b:SourceType>InternetSite</b:SourceType>
    <b:Guid>{BBD94CDE-577D-4415-AF52-F5810213F254}</b:Guid>
    <b:Author>
      <b:Author>
        <b:NameList>
          <b:Person>
            <b:Last>UK</b:Last>
            <b:First>Democratic</b:First>
            <b:Middle>Audit</b:Middle>
          </b:Person>
        </b:NameList>
      </b:Author>
    </b:Author>
    <b:Title>A dignity scale is needed for sustainable governance</b:Title>
    <b:Year>2016</b:Year>
    <b:InternetSiteTitle>UK, Democratic Audit</b:InternetSiteTitle>
    <b:Month>Febero</b:Month>
    <b:Day>10</b:Day>
    <b:RefOrder>8</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6AEA38-90CF-4000-8044-2636C47FC771}"/>
</file>

<file path=customXml/itemProps2.xml><?xml version="1.0" encoding="utf-8"?>
<ds:datastoreItem xmlns:ds="http://schemas.openxmlformats.org/officeDocument/2006/customXml" ds:itemID="{23CF0560-AD6C-47C6-ABB8-0B9717F3D5EE}"/>
</file>

<file path=customXml/itemProps3.xml><?xml version="1.0" encoding="utf-8"?>
<ds:datastoreItem xmlns:ds="http://schemas.openxmlformats.org/officeDocument/2006/customXml" ds:itemID="{A2F141EC-8F4C-43CE-883D-B5872480ECD8}"/>
</file>

<file path=customXml/itemProps4.xml><?xml version="1.0" encoding="utf-8"?>
<ds:datastoreItem xmlns:ds="http://schemas.openxmlformats.org/officeDocument/2006/customXml" ds:itemID="{D2776521-2F0E-4941-9F5D-6676796E2335}"/>
</file>

<file path=docProps/app.xml><?xml version="1.0" encoding="utf-8"?>
<Properties xmlns="http://schemas.openxmlformats.org/officeDocument/2006/extended-properties" xmlns:vt="http://schemas.openxmlformats.org/officeDocument/2006/docPropsVTypes">
  <Template>Normal</Template>
  <TotalTime>3</TotalTime>
  <Pages>9</Pages>
  <Words>3127</Words>
  <Characters>17203</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20290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Erika Alejandra Torres Arias</dc:creator>
  <cp:lastModifiedBy>EM</cp:lastModifiedBy>
  <cp:revision>3</cp:revision>
  <dcterms:created xsi:type="dcterms:W3CDTF">2017-08-04T06:32:00Z</dcterms:created>
  <dcterms:modified xsi:type="dcterms:W3CDTF">2017-08-04T06:34:00Z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