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42009" w14:textId="77777777" w:rsidR="00E81A93" w:rsidRPr="00E81A93" w:rsidRDefault="00E81A93" w:rsidP="00E81A93">
      <w:pPr>
        <w:jc w:val="center"/>
        <w:rPr>
          <w:rFonts w:cstheme="minorHAnsi"/>
        </w:rPr>
      </w:pPr>
      <w:r w:rsidRPr="00E81A93">
        <w:rPr>
          <w:rFonts w:cstheme="minorHAnsi"/>
        </w:rPr>
        <w:t>Annexe</w:t>
      </w:r>
    </w:p>
    <w:p w14:paraId="442DE29E" w14:textId="77777777" w:rsidR="00E81A93" w:rsidRPr="00E81A93" w:rsidRDefault="00E81A93" w:rsidP="00E81A93">
      <w:pPr>
        <w:jc w:val="both"/>
        <w:rPr>
          <w:rFonts w:cstheme="minorHAnsi"/>
          <w:b/>
          <w:bCs/>
        </w:rPr>
      </w:pPr>
      <w:r w:rsidRPr="00E81A93">
        <w:rPr>
          <w:rFonts w:cstheme="minorHAnsi"/>
          <w:b/>
          <w:bCs/>
        </w:rPr>
        <w:t xml:space="preserve">Recommandation 38 f) </w:t>
      </w:r>
    </w:p>
    <w:p w14:paraId="2F5BB013" w14:textId="77777777" w:rsidR="00E81A93" w:rsidRPr="00E81A93" w:rsidRDefault="00E81A93" w:rsidP="00E81A93">
      <w:pPr>
        <w:jc w:val="both"/>
        <w:rPr>
          <w:rFonts w:cstheme="minorHAnsi"/>
        </w:rPr>
      </w:pPr>
      <w:r w:rsidRPr="00E81A93">
        <w:rPr>
          <w:rFonts w:cstheme="minorHAnsi"/>
        </w:rPr>
        <w:t>Statistiques relatives à l’indemnisation des victimes :</w:t>
      </w:r>
    </w:p>
    <w:p w14:paraId="6B7E9939" w14:textId="77777777" w:rsidR="00E81A93" w:rsidRPr="00E81A93" w:rsidRDefault="00E81A93" w:rsidP="00E81A93">
      <w:pPr>
        <w:pStyle w:val="ListParagraph"/>
        <w:numPr>
          <w:ilvl w:val="0"/>
          <w:numId w:val="16"/>
        </w:numPr>
        <w:jc w:val="both"/>
        <w:rPr>
          <w:rFonts w:cstheme="minorHAnsi"/>
        </w:rPr>
      </w:pPr>
      <w:r w:rsidRPr="00E81A93">
        <w:rPr>
          <w:rFonts w:cstheme="minorHAnsi"/>
        </w:rPr>
        <w:t>Entre janvier 2022 et décembre 2025, 1 240 dossiers de femmes ont fait ou font encore l’objet d’un accompagnement par la Mission de suivi des conséquences des essais nucléaires, contre 850 dossiers d’hommes.</w:t>
      </w:r>
    </w:p>
    <w:p w14:paraId="72C9151E" w14:textId="77777777" w:rsidR="00E81A93" w:rsidRPr="00E81A93" w:rsidRDefault="00E81A93" w:rsidP="00E81A93">
      <w:pPr>
        <w:pStyle w:val="ListParagraph"/>
        <w:ind w:left="360"/>
        <w:jc w:val="both"/>
        <w:rPr>
          <w:rFonts w:cstheme="minorHAnsi"/>
        </w:rPr>
      </w:pPr>
    </w:p>
    <w:p w14:paraId="273C1204" w14:textId="77777777" w:rsidR="00E81A93" w:rsidRPr="00E81A93" w:rsidRDefault="00E81A93" w:rsidP="00E81A93">
      <w:pPr>
        <w:pStyle w:val="ListParagraph"/>
        <w:numPr>
          <w:ilvl w:val="0"/>
          <w:numId w:val="16"/>
        </w:numPr>
        <w:jc w:val="both"/>
        <w:rPr>
          <w:rFonts w:cstheme="minorHAnsi"/>
        </w:rPr>
      </w:pPr>
      <w:r w:rsidRPr="00E81A93">
        <w:rPr>
          <w:rFonts w:cstheme="minorHAnsi"/>
        </w:rPr>
        <w:t>Au total, de 2010 à novembre 2025, le Comité d’indemnisation des victimes des essais nucléaires (CIVEN) a reçu 1 581 dossiers de femmes polynésiennes et 1 046 dossiers d’hommes polynésiens. Sur ces 1 581 dossiers, 449 ont fait l’objet d’une reconnaissance de la qualité de victime, et 483 dossiers sont toujours en cours d’instruction et n’ont pas encore fait l’objet d’une décision.</w:t>
      </w:r>
    </w:p>
    <w:p w14:paraId="468BEF81" w14:textId="77777777" w:rsidR="00E81A93" w:rsidRPr="00E81A93" w:rsidRDefault="00E81A93" w:rsidP="00E81A93">
      <w:pPr>
        <w:pStyle w:val="ListParagraph"/>
        <w:rPr>
          <w:rFonts w:cstheme="minorHAnsi"/>
        </w:rPr>
      </w:pPr>
    </w:p>
    <w:p w14:paraId="01700FB8" w14:textId="77777777" w:rsidR="00E81A93" w:rsidRPr="00E81A93" w:rsidRDefault="00E81A93" w:rsidP="00E81A93">
      <w:pPr>
        <w:pStyle w:val="ListParagraph"/>
        <w:numPr>
          <w:ilvl w:val="0"/>
          <w:numId w:val="16"/>
        </w:numPr>
        <w:jc w:val="both"/>
        <w:rPr>
          <w:rFonts w:cstheme="minorHAnsi"/>
        </w:rPr>
      </w:pPr>
      <w:r w:rsidRPr="00E81A93">
        <w:rPr>
          <w:rFonts w:cstheme="minorHAnsi"/>
        </w:rPr>
        <w:t xml:space="preserve">La part de dossiers d’hommes était plus importante avant 2022. En effet, la majorité des demandes concernait des demandeurs ayant travaillé au sein du Centre d’expérimentation du Pacifique (CEP) en tant que militaires (les femmes étant peu représentées au sein de l’armée) ou en tant que civils employés par des entreprises sous-traitantes. Depuis 2022, on observe un net renversement de la tendance avec une majorité de dossiers de femmes déposés, tendance qui s’inscrit dans un contexte de forte augmentation des nouvelles demandes d’indemnisation (+149% par rapport à 2022). Il s’agit principalement (97%) de femmes résidentes en Polynésie française et qui n’ont jamais travaillé pour le CEP. </w:t>
      </w:r>
    </w:p>
    <w:p w14:paraId="1F43F9DA" w14:textId="77777777" w:rsidR="00446FE5" w:rsidRPr="00E81A93" w:rsidRDefault="00446FE5" w:rsidP="00B55090">
      <w:pPr>
        <w:rPr>
          <w:rFonts w:cstheme="minorHAnsi"/>
          <w:lang w:val="fr-CH"/>
        </w:rPr>
      </w:pPr>
    </w:p>
    <w:sectPr w:rsidR="00446FE5" w:rsidRPr="00E81A93"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28EEF" w14:textId="77777777" w:rsidR="001E3E8F" w:rsidRDefault="001E3E8F" w:rsidP="00F95C08"/>
  </w:endnote>
  <w:endnote w:type="continuationSeparator" w:id="0">
    <w:p w14:paraId="15FF27E2" w14:textId="77777777" w:rsidR="001E3E8F" w:rsidRPr="00AC3823" w:rsidRDefault="001E3E8F" w:rsidP="00AC3823">
      <w:pPr>
        <w:pStyle w:val="Footer"/>
      </w:pPr>
    </w:p>
  </w:endnote>
  <w:endnote w:type="continuationNotice" w:id="1">
    <w:p w14:paraId="26466250" w14:textId="77777777" w:rsidR="001E3E8F" w:rsidRDefault="001E3E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2AADA" w14:textId="77777777" w:rsidR="001E3E8F" w:rsidRPr="00AC3823" w:rsidRDefault="001E3E8F" w:rsidP="00AC3823">
      <w:pPr>
        <w:pStyle w:val="Footer"/>
        <w:tabs>
          <w:tab w:val="right" w:pos="2155"/>
        </w:tabs>
        <w:spacing w:after="80" w:line="240" w:lineRule="atLeast"/>
        <w:ind w:left="680"/>
        <w:rPr>
          <w:u w:val="single"/>
        </w:rPr>
      </w:pPr>
      <w:r>
        <w:rPr>
          <w:u w:val="single"/>
        </w:rPr>
        <w:tab/>
      </w:r>
    </w:p>
  </w:footnote>
  <w:footnote w:type="continuationSeparator" w:id="0">
    <w:p w14:paraId="03DE8A1F" w14:textId="77777777" w:rsidR="001E3E8F" w:rsidRPr="00AC3823" w:rsidRDefault="001E3E8F" w:rsidP="00AC3823">
      <w:pPr>
        <w:pStyle w:val="Footer"/>
        <w:tabs>
          <w:tab w:val="right" w:pos="2155"/>
        </w:tabs>
        <w:spacing w:after="80" w:line="240" w:lineRule="atLeast"/>
        <w:ind w:left="680"/>
        <w:rPr>
          <w:u w:val="single"/>
        </w:rPr>
      </w:pPr>
      <w:r>
        <w:rPr>
          <w:u w:val="single"/>
        </w:rPr>
        <w:tab/>
      </w:r>
    </w:p>
  </w:footnote>
  <w:footnote w:type="continuationNotice" w:id="1">
    <w:p w14:paraId="4DACC725" w14:textId="77777777" w:rsidR="001E3E8F" w:rsidRPr="00AC3823" w:rsidRDefault="001E3E8F">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0372E1"/>
    <w:multiLevelType w:val="hybridMultilevel"/>
    <w:tmpl w:val="5E30E58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3891710">
    <w:abstractNumId w:val="14"/>
  </w:num>
  <w:num w:numId="2" w16cid:durableId="224603843">
    <w:abstractNumId w:val="12"/>
  </w:num>
  <w:num w:numId="3" w16cid:durableId="2102333371">
    <w:abstractNumId w:val="10"/>
  </w:num>
  <w:num w:numId="4" w16cid:durableId="1123427350">
    <w:abstractNumId w:val="8"/>
  </w:num>
  <w:num w:numId="5" w16cid:durableId="599605752">
    <w:abstractNumId w:val="3"/>
  </w:num>
  <w:num w:numId="6" w16cid:durableId="1583563823">
    <w:abstractNumId w:val="2"/>
  </w:num>
  <w:num w:numId="7" w16cid:durableId="380175266">
    <w:abstractNumId w:val="1"/>
  </w:num>
  <w:num w:numId="8" w16cid:durableId="549414148">
    <w:abstractNumId w:val="0"/>
  </w:num>
  <w:num w:numId="9" w16cid:durableId="1152872935">
    <w:abstractNumId w:val="9"/>
  </w:num>
  <w:num w:numId="10" w16cid:durableId="617218589">
    <w:abstractNumId w:val="7"/>
  </w:num>
  <w:num w:numId="11" w16cid:durableId="705133207">
    <w:abstractNumId w:val="6"/>
  </w:num>
  <w:num w:numId="12" w16cid:durableId="1281718188">
    <w:abstractNumId w:val="5"/>
  </w:num>
  <w:num w:numId="13" w16cid:durableId="746611939">
    <w:abstractNumId w:val="4"/>
  </w:num>
  <w:num w:numId="14" w16cid:durableId="47531097">
    <w:abstractNumId w:val="13"/>
  </w:num>
  <w:num w:numId="15" w16cid:durableId="1327631274">
    <w:abstractNumId w:val="10"/>
  </w:num>
  <w:num w:numId="16" w16cid:durableId="184978296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81A93"/>
    <w:rsid w:val="00017F94"/>
    <w:rsid w:val="00023842"/>
    <w:rsid w:val="000334F9"/>
    <w:rsid w:val="0007796D"/>
    <w:rsid w:val="000B7790"/>
    <w:rsid w:val="000C390E"/>
    <w:rsid w:val="00111F2F"/>
    <w:rsid w:val="0014365E"/>
    <w:rsid w:val="0014660A"/>
    <w:rsid w:val="00150DB2"/>
    <w:rsid w:val="00176178"/>
    <w:rsid w:val="001E3E8F"/>
    <w:rsid w:val="001F525A"/>
    <w:rsid w:val="00223272"/>
    <w:rsid w:val="0024779E"/>
    <w:rsid w:val="00291F1D"/>
    <w:rsid w:val="0029407C"/>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E09CD"/>
    <w:rsid w:val="00CF3AE1"/>
    <w:rsid w:val="00D3439C"/>
    <w:rsid w:val="00D40AEB"/>
    <w:rsid w:val="00DA22F4"/>
    <w:rsid w:val="00DB1831"/>
    <w:rsid w:val="00DD3BFD"/>
    <w:rsid w:val="00DF6678"/>
    <w:rsid w:val="00E22CF2"/>
    <w:rsid w:val="00E33F14"/>
    <w:rsid w:val="00E44A12"/>
    <w:rsid w:val="00E52D9F"/>
    <w:rsid w:val="00E81A93"/>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4B7FA"/>
  <w15:chartTrackingRefBased/>
  <w15:docId w15:val="{2EAF2436-4D0D-4021-A81D-C16C6B12B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fr-CH"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A93"/>
    <w:pPr>
      <w:spacing w:after="160" w:line="259" w:lineRule="auto"/>
    </w:pPr>
    <w:rPr>
      <w:rFonts w:asciiTheme="minorHAnsi" w:eastAsiaTheme="minorHAnsi" w:hAnsiTheme="minorHAnsi" w:cstheme="minorBidi"/>
      <w:sz w:val="22"/>
      <w:szCs w:val="22"/>
      <w:lang w:val="fr-FR" w:eastAsia="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paragraph" w:styleId="Title">
    <w:name w:val="Title"/>
    <w:basedOn w:val="Normal"/>
    <w:next w:val="Normal"/>
    <w:link w:val="TitleChar"/>
    <w:uiPriority w:val="10"/>
    <w:semiHidden/>
    <w:qFormat/>
    <w:rsid w:val="00E81A9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semiHidden/>
    <w:rsid w:val="00E81A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semiHidden/>
    <w:qFormat/>
    <w:rsid w:val="00E81A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semiHidden/>
    <w:rsid w:val="00E81A9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semiHidden/>
    <w:qFormat/>
    <w:rsid w:val="00E81A93"/>
    <w:pPr>
      <w:spacing w:before="160"/>
      <w:jc w:val="center"/>
    </w:pPr>
    <w:rPr>
      <w:i/>
      <w:iCs/>
      <w:color w:val="404040" w:themeColor="text1" w:themeTint="BF"/>
    </w:rPr>
  </w:style>
  <w:style w:type="character" w:customStyle="1" w:styleId="QuoteChar">
    <w:name w:val="Quote Char"/>
    <w:basedOn w:val="DefaultParagraphFont"/>
    <w:link w:val="Quote"/>
    <w:uiPriority w:val="29"/>
    <w:semiHidden/>
    <w:rsid w:val="00E81A93"/>
    <w:rPr>
      <w:i/>
      <w:iCs/>
      <w:color w:val="404040" w:themeColor="text1" w:themeTint="BF"/>
    </w:rPr>
  </w:style>
  <w:style w:type="paragraph" w:styleId="ListParagraph">
    <w:name w:val="List Paragraph"/>
    <w:basedOn w:val="Normal"/>
    <w:uiPriority w:val="34"/>
    <w:qFormat/>
    <w:rsid w:val="00E81A93"/>
    <w:pPr>
      <w:ind w:left="720"/>
      <w:contextualSpacing/>
    </w:pPr>
  </w:style>
  <w:style w:type="character" w:styleId="IntenseEmphasis">
    <w:name w:val="Intense Emphasis"/>
    <w:basedOn w:val="DefaultParagraphFont"/>
    <w:uiPriority w:val="21"/>
    <w:semiHidden/>
    <w:qFormat/>
    <w:rsid w:val="00E81A93"/>
    <w:rPr>
      <w:i/>
      <w:iCs/>
      <w:color w:val="365F91" w:themeColor="accent1" w:themeShade="BF"/>
    </w:rPr>
  </w:style>
  <w:style w:type="paragraph" w:styleId="IntenseQuote">
    <w:name w:val="Intense Quote"/>
    <w:basedOn w:val="Normal"/>
    <w:next w:val="Normal"/>
    <w:link w:val="IntenseQuoteChar"/>
    <w:uiPriority w:val="30"/>
    <w:semiHidden/>
    <w:qFormat/>
    <w:rsid w:val="00E81A9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semiHidden/>
    <w:rsid w:val="00E81A93"/>
    <w:rPr>
      <w:i/>
      <w:iCs/>
      <w:color w:val="365F91" w:themeColor="accent1" w:themeShade="BF"/>
    </w:rPr>
  </w:style>
  <w:style w:type="character" w:styleId="IntenseReference">
    <w:name w:val="Intense Reference"/>
    <w:basedOn w:val="DefaultParagraphFont"/>
    <w:uiPriority w:val="32"/>
    <w:semiHidden/>
    <w:qFormat/>
    <w:rsid w:val="00E81A93"/>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2026-05-04T13:38:08+00:00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1A5DAB-D74A-41DD-B0B5-36D0ED7CD186}"/>
</file>

<file path=customXml/itemProps2.xml><?xml version="1.0" encoding="utf-8"?>
<ds:datastoreItem xmlns:ds="http://schemas.openxmlformats.org/officeDocument/2006/customXml" ds:itemID="{A6104100-B463-4152-A804-C3507B3BF55E}"/>
</file>

<file path=customXml/itemProps3.xml><?xml version="1.0" encoding="utf-8"?>
<ds:datastoreItem xmlns:ds="http://schemas.openxmlformats.org/officeDocument/2006/customXml" ds:itemID="{2B8C7495-77D3-494D-9EAA-E6DF98A2FA76}"/>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Pages>
  <Words>205</Words>
  <Characters>1172</Characters>
  <Application>Microsoft Office Word</Application>
  <DocSecurity>0</DocSecurity>
  <Lines>9</Lines>
  <Paragraphs>2</Paragraphs>
  <ScaleCrop>false</ScaleCrop>
  <Company/>
  <LinksUpToDate>false</LinksUpToDate>
  <CharactersWithSpaces>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Jamila Devi Seerathun</dc:creator>
  <cp:keywords/>
  <dc:description/>
  <cp:lastModifiedBy>Jamila Devi Seerathun</cp:lastModifiedBy>
  <cp:revision>1</cp:revision>
  <cp:lastPrinted>2014-05-14T10:59:00Z</cp:lastPrinted>
  <dcterms:created xsi:type="dcterms:W3CDTF">2026-05-04T13:35:00Z</dcterms:created>
  <dcterms:modified xsi:type="dcterms:W3CDTF">2026-05-04T13:38:00Z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