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857F8" w14:textId="4D07460B" w:rsidR="00F27326" w:rsidRDefault="00C77C23">
      <w:pPr>
        <w:pStyle w:val="BodyA"/>
        <w:spacing w:before="100" w:after="100" w:line="240" w:lineRule="auto"/>
        <w:rPr>
          <w:rFonts w:ascii="Verdana" w:hAnsi="Verdana"/>
          <w:b/>
          <w:bCs/>
          <w:sz w:val="19"/>
          <w:szCs w:val="19"/>
        </w:rPr>
      </w:pPr>
      <w:r>
        <w:rPr>
          <w:rFonts w:ascii="Verdana" w:hAnsi="Verdana"/>
          <w:b/>
          <w:bCs/>
          <w:noProof/>
          <w:sz w:val="19"/>
          <w:szCs w:val="19"/>
        </w:rPr>
        <w:drawing>
          <wp:anchor distT="0" distB="0" distL="114300" distR="114300" simplePos="0" relativeHeight="251658240" behindDoc="0" locked="0" layoutInCell="1" allowOverlap="1" wp14:anchorId="2B92D153" wp14:editId="709AEFC5">
            <wp:simplePos x="0" y="0"/>
            <wp:positionH relativeFrom="column">
              <wp:posOffset>76200</wp:posOffset>
            </wp:positionH>
            <wp:positionV relativeFrom="paragraph">
              <wp:posOffset>85725</wp:posOffset>
            </wp:positionV>
            <wp:extent cx="1638300" cy="1638300"/>
            <wp:effectExtent l="0" t="0" r="0" b="0"/>
            <wp:wrapSquare wrapText="bothSides"/>
            <wp:docPr id="2" name="Picture 2"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3B542" w14:textId="2B16F5C8" w:rsidR="001F0538" w:rsidRDefault="00887B72">
      <w:pPr>
        <w:pStyle w:val="BodyA"/>
        <w:spacing w:before="100" w:after="100" w:line="240" w:lineRule="auto"/>
        <w:rPr>
          <w:rFonts w:ascii="Verdana" w:hAnsi="Verdana"/>
          <w:b/>
          <w:bCs/>
          <w:sz w:val="19"/>
          <w:szCs w:val="19"/>
        </w:rPr>
      </w:pPr>
      <w:r>
        <w:rPr>
          <w:rFonts w:ascii="Verdana" w:hAnsi="Verdana"/>
          <w:b/>
          <w:bCs/>
          <w:noProof/>
          <w:sz w:val="19"/>
          <w:szCs w:val="19"/>
        </w:rPr>
        <w:drawing>
          <wp:anchor distT="0" distB="0" distL="114300" distR="114300" simplePos="0" relativeHeight="251659264" behindDoc="0" locked="0" layoutInCell="1" allowOverlap="1" wp14:anchorId="7D37C0E2" wp14:editId="65B0989A">
            <wp:simplePos x="0" y="0"/>
            <wp:positionH relativeFrom="column">
              <wp:posOffset>295275</wp:posOffset>
            </wp:positionH>
            <wp:positionV relativeFrom="paragraph">
              <wp:posOffset>21590</wp:posOffset>
            </wp:positionV>
            <wp:extent cx="3457575" cy="1374140"/>
            <wp:effectExtent l="0" t="0" r="9525" b="0"/>
            <wp:wrapSquare wrapText="bothSides"/>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9DA1F4" w14:textId="77777777" w:rsidR="001F0538" w:rsidRDefault="001F0538">
      <w:pPr>
        <w:pStyle w:val="BodyA"/>
        <w:spacing w:before="100" w:after="100" w:line="240" w:lineRule="auto"/>
        <w:rPr>
          <w:rFonts w:ascii="Verdana" w:hAnsi="Verdana"/>
          <w:b/>
          <w:bCs/>
          <w:sz w:val="19"/>
          <w:szCs w:val="19"/>
        </w:rPr>
      </w:pPr>
    </w:p>
    <w:p w14:paraId="525B0CF1" w14:textId="77777777" w:rsidR="00C77C23" w:rsidRDefault="00C77C23">
      <w:pPr>
        <w:pStyle w:val="NormalWeb"/>
        <w:jc w:val="center"/>
        <w:rPr>
          <w:b/>
          <w:bCs/>
        </w:rPr>
      </w:pPr>
    </w:p>
    <w:p w14:paraId="0A0C6AC5" w14:textId="77777777" w:rsidR="00C77C23" w:rsidRDefault="00C77C23">
      <w:pPr>
        <w:pStyle w:val="NormalWeb"/>
        <w:jc w:val="center"/>
        <w:rPr>
          <w:b/>
          <w:bCs/>
        </w:rPr>
      </w:pPr>
    </w:p>
    <w:p w14:paraId="1968CCA7" w14:textId="77777777" w:rsidR="00C77C23" w:rsidRDefault="00C77C23">
      <w:pPr>
        <w:pStyle w:val="NormalWeb"/>
        <w:jc w:val="center"/>
        <w:rPr>
          <w:b/>
          <w:bCs/>
        </w:rPr>
      </w:pPr>
    </w:p>
    <w:p w14:paraId="647FE846" w14:textId="77777777" w:rsidR="00C77C23" w:rsidRDefault="00C77C23">
      <w:pPr>
        <w:pStyle w:val="NormalWeb"/>
        <w:jc w:val="center"/>
        <w:rPr>
          <w:b/>
          <w:bCs/>
        </w:rPr>
      </w:pPr>
    </w:p>
    <w:p w14:paraId="19FEBBD2" w14:textId="77777777" w:rsidR="00C63E7B" w:rsidRDefault="00C63E7B">
      <w:pPr>
        <w:pStyle w:val="NormalWeb"/>
        <w:jc w:val="center"/>
        <w:rPr>
          <w:b/>
          <w:bCs/>
        </w:rPr>
      </w:pPr>
    </w:p>
    <w:p w14:paraId="328A62DF" w14:textId="77777777" w:rsidR="00887B72" w:rsidRDefault="00887B72">
      <w:pPr>
        <w:pStyle w:val="NormalWeb"/>
        <w:jc w:val="center"/>
        <w:rPr>
          <w:b/>
          <w:bCs/>
        </w:rPr>
      </w:pPr>
    </w:p>
    <w:p w14:paraId="5C781A77" w14:textId="77777777" w:rsidR="00F27326" w:rsidRPr="008A52D7" w:rsidRDefault="0033367B">
      <w:pPr>
        <w:pStyle w:val="NormalWeb"/>
        <w:jc w:val="center"/>
      </w:pPr>
      <w:r w:rsidRPr="008A52D7">
        <w:rPr>
          <w:b/>
          <w:bCs/>
        </w:rPr>
        <w:t>Committee on Economic, Social and Cultural Rights</w:t>
      </w:r>
    </w:p>
    <w:p w14:paraId="5C0197FB" w14:textId="77777777" w:rsidR="0038520B" w:rsidRPr="008A52D7" w:rsidRDefault="0033367B">
      <w:pPr>
        <w:pStyle w:val="Body"/>
        <w:spacing w:line="276" w:lineRule="auto"/>
        <w:jc w:val="center"/>
        <w:rPr>
          <w:b/>
          <w:bCs/>
        </w:rPr>
      </w:pPr>
      <w:r w:rsidRPr="008A52D7">
        <w:rPr>
          <w:b/>
          <w:bCs/>
        </w:rPr>
        <w:t xml:space="preserve">Parallel Submission for 62 Pre-Sessional Working Group </w:t>
      </w:r>
    </w:p>
    <w:p w14:paraId="069C2365" w14:textId="443070BE" w:rsidR="00F27326" w:rsidRDefault="0033367B">
      <w:pPr>
        <w:pStyle w:val="Body"/>
        <w:spacing w:line="276" w:lineRule="auto"/>
        <w:jc w:val="center"/>
        <w:rPr>
          <w:b/>
          <w:bCs/>
        </w:rPr>
      </w:pPr>
      <w:proofErr w:type="gramStart"/>
      <w:r w:rsidRPr="008A52D7">
        <w:rPr>
          <w:b/>
          <w:bCs/>
        </w:rPr>
        <w:t>with</w:t>
      </w:r>
      <w:proofErr w:type="gramEnd"/>
      <w:r w:rsidRPr="008A52D7">
        <w:rPr>
          <w:b/>
          <w:bCs/>
        </w:rPr>
        <w:t xml:space="preserve"> respect to Kazakhstan</w:t>
      </w:r>
    </w:p>
    <w:p w14:paraId="455FEBFF" w14:textId="77777777" w:rsidR="008A52D7" w:rsidRPr="008A52D7" w:rsidRDefault="008A52D7">
      <w:pPr>
        <w:pStyle w:val="Body"/>
        <w:spacing w:line="276" w:lineRule="auto"/>
        <w:jc w:val="center"/>
        <w:rPr>
          <w:b/>
          <w:bCs/>
        </w:rPr>
      </w:pPr>
    </w:p>
    <w:p w14:paraId="2F069D34" w14:textId="165DF8DB" w:rsidR="00F27326" w:rsidRDefault="0038520B">
      <w:pPr>
        <w:pStyle w:val="Body"/>
        <w:spacing w:line="276" w:lineRule="auto"/>
        <w:jc w:val="center"/>
        <w:rPr>
          <w:rFonts w:ascii="Arial" w:eastAsia="Arial" w:hAnsi="Arial" w:cs="Arial"/>
          <w:sz w:val="22"/>
          <w:szCs w:val="22"/>
        </w:rPr>
      </w:pPr>
      <w:r w:rsidRPr="0038520B">
        <w:rPr>
          <w:b/>
          <w:bCs/>
          <w:i/>
          <w:sz w:val="28"/>
          <w:szCs w:val="28"/>
        </w:rPr>
        <w:t>T</w:t>
      </w:r>
      <w:r w:rsidR="0033367B" w:rsidRPr="0038520B">
        <w:rPr>
          <w:b/>
          <w:bCs/>
          <w:i/>
          <w:sz w:val="28"/>
          <w:szCs w:val="28"/>
        </w:rPr>
        <w:t>he access of people who inject drugs to drug dependence treatment</w:t>
      </w:r>
      <w:r w:rsidR="00C77C23">
        <w:rPr>
          <w:rStyle w:val="FootnoteReference"/>
          <w:b/>
          <w:bCs/>
        </w:rPr>
        <w:footnoteReference w:id="2"/>
      </w:r>
    </w:p>
    <w:p w14:paraId="3CAA0E88" w14:textId="77777777" w:rsidR="0038520B" w:rsidRDefault="0038520B">
      <w:pPr>
        <w:pStyle w:val="Body"/>
        <w:spacing w:line="276" w:lineRule="auto"/>
        <w:jc w:val="both"/>
        <w:rPr>
          <w:b/>
          <w:bCs/>
          <w:lang w:val="de-DE"/>
        </w:rPr>
      </w:pPr>
    </w:p>
    <w:p w14:paraId="7123A73C" w14:textId="77777777" w:rsidR="00F27326" w:rsidRDefault="0033367B">
      <w:pPr>
        <w:pStyle w:val="Body"/>
        <w:spacing w:line="276" w:lineRule="auto"/>
        <w:jc w:val="both"/>
        <w:rPr>
          <w:b/>
          <w:bCs/>
          <w:lang w:val="de-DE"/>
        </w:rPr>
      </w:pPr>
      <w:r>
        <w:rPr>
          <w:b/>
          <w:bCs/>
          <w:lang w:val="de-DE"/>
        </w:rPr>
        <w:t>INDEX</w:t>
      </w:r>
    </w:p>
    <w:p w14:paraId="12E029A3" w14:textId="77777777" w:rsidR="0038520B" w:rsidRDefault="0038520B">
      <w:pPr>
        <w:pStyle w:val="Body"/>
        <w:spacing w:line="276" w:lineRule="auto"/>
        <w:jc w:val="both"/>
        <w:rPr>
          <w:b/>
          <w:bCs/>
          <w:lang w:val="de-DE"/>
        </w:rPr>
      </w:pPr>
    </w:p>
    <w:tbl>
      <w:tblPr>
        <w:tblStyle w:val="LightShading-Accent5"/>
        <w:tblW w:w="9747" w:type="dxa"/>
        <w:tblLayout w:type="fixed"/>
        <w:tblLook w:val="04A0" w:firstRow="1" w:lastRow="0" w:firstColumn="1" w:lastColumn="0" w:noHBand="0" w:noVBand="1"/>
      </w:tblPr>
      <w:tblGrid>
        <w:gridCol w:w="8897"/>
        <w:gridCol w:w="850"/>
      </w:tblGrid>
      <w:tr w:rsidR="0038520B" w14:paraId="67867EA4" w14:textId="77777777" w:rsidTr="0038520B">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897" w:type="dxa"/>
          </w:tcPr>
          <w:p w14:paraId="19D3E79C" w14:textId="77777777" w:rsidR="0038520B" w:rsidRDefault="0038520B">
            <w:pPr>
              <w:pStyle w:val="Body"/>
              <w:spacing w:line="276" w:lineRule="auto"/>
              <w:jc w:val="both"/>
            </w:pPr>
            <w:r>
              <w:t>Title</w:t>
            </w:r>
          </w:p>
        </w:tc>
        <w:tc>
          <w:tcPr>
            <w:tcW w:w="850" w:type="dxa"/>
          </w:tcPr>
          <w:p w14:paraId="71691639" w14:textId="77777777" w:rsidR="0038520B" w:rsidRDefault="0038520B">
            <w:pPr>
              <w:pStyle w:val="Body"/>
              <w:spacing w:line="276" w:lineRule="auto"/>
              <w:jc w:val="both"/>
              <w:cnfStyle w:val="100000000000" w:firstRow="1" w:lastRow="0" w:firstColumn="0" w:lastColumn="0" w:oddVBand="0" w:evenVBand="0" w:oddHBand="0" w:evenHBand="0" w:firstRowFirstColumn="0" w:firstRowLastColumn="0" w:lastRowFirstColumn="0" w:lastRowLastColumn="0"/>
            </w:pPr>
            <w:r>
              <w:t>Pages</w:t>
            </w:r>
          </w:p>
        </w:tc>
      </w:tr>
      <w:tr w:rsidR="0038520B" w14:paraId="2A6532C6" w14:textId="77777777" w:rsidTr="0038520B">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897" w:type="dxa"/>
          </w:tcPr>
          <w:p w14:paraId="20B8258A" w14:textId="77777777" w:rsidR="0038520B" w:rsidRDefault="0038520B">
            <w:pPr>
              <w:pStyle w:val="Body"/>
              <w:spacing w:line="276" w:lineRule="auto"/>
              <w:jc w:val="both"/>
            </w:pPr>
            <w:r>
              <w:t xml:space="preserve">Summary </w:t>
            </w:r>
          </w:p>
        </w:tc>
        <w:tc>
          <w:tcPr>
            <w:tcW w:w="850" w:type="dxa"/>
          </w:tcPr>
          <w:p w14:paraId="5384D827" w14:textId="7146B484" w:rsidR="0038520B" w:rsidRPr="0038520B" w:rsidRDefault="0038520B">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2</w:t>
            </w:r>
          </w:p>
        </w:tc>
      </w:tr>
      <w:tr w:rsidR="0038520B" w14:paraId="6994D680" w14:textId="77777777" w:rsidTr="0038520B">
        <w:trPr>
          <w:trHeight w:val="977"/>
        </w:trPr>
        <w:tc>
          <w:tcPr>
            <w:cnfStyle w:val="001000000000" w:firstRow="0" w:lastRow="0" w:firstColumn="1" w:lastColumn="0" w:oddVBand="0" w:evenVBand="0" w:oddHBand="0" w:evenHBand="0" w:firstRowFirstColumn="0" w:firstRowLastColumn="0" w:lastRowFirstColumn="0" w:lastRowLastColumn="0"/>
            <w:tcW w:w="8897" w:type="dxa"/>
          </w:tcPr>
          <w:p w14:paraId="16F267A8" w14:textId="77777777" w:rsidR="0038520B" w:rsidRDefault="0038520B">
            <w:pPr>
              <w:pStyle w:val="Body"/>
              <w:spacing w:line="276" w:lineRule="auto"/>
              <w:jc w:val="both"/>
            </w:pPr>
            <w:r>
              <w:t>Issues to be taken up in connection with the consideration of the second periodic report of the Republic of Kazakhstan</w:t>
            </w:r>
          </w:p>
        </w:tc>
        <w:tc>
          <w:tcPr>
            <w:tcW w:w="850" w:type="dxa"/>
          </w:tcPr>
          <w:p w14:paraId="43334455" w14:textId="77777777"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p>
          <w:p w14:paraId="6C7F455C" w14:textId="3EFF5B26"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2</w:t>
            </w:r>
          </w:p>
        </w:tc>
      </w:tr>
      <w:tr w:rsidR="0038520B" w14:paraId="6E42E607" w14:textId="77777777" w:rsidTr="0038520B">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8897" w:type="dxa"/>
          </w:tcPr>
          <w:p w14:paraId="2D5B9484" w14:textId="77777777" w:rsidR="0038520B" w:rsidRDefault="0038520B">
            <w:pPr>
              <w:pStyle w:val="Body"/>
              <w:spacing w:line="276" w:lineRule="auto"/>
              <w:jc w:val="both"/>
            </w:pPr>
            <w:r>
              <w:t>Background information</w:t>
            </w:r>
          </w:p>
        </w:tc>
        <w:tc>
          <w:tcPr>
            <w:tcW w:w="850" w:type="dxa"/>
          </w:tcPr>
          <w:p w14:paraId="2D5D4593" w14:textId="13179EC8" w:rsidR="0038520B" w:rsidRPr="0038520B" w:rsidRDefault="0038520B">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2</w:t>
            </w:r>
          </w:p>
        </w:tc>
      </w:tr>
      <w:tr w:rsidR="0038520B" w14:paraId="01104E10" w14:textId="77777777" w:rsidTr="0038520B">
        <w:trPr>
          <w:trHeight w:val="977"/>
        </w:trPr>
        <w:tc>
          <w:tcPr>
            <w:cnfStyle w:val="001000000000" w:firstRow="0" w:lastRow="0" w:firstColumn="1" w:lastColumn="0" w:oddVBand="0" w:evenVBand="0" w:oddHBand="0" w:evenHBand="0" w:firstRowFirstColumn="0" w:firstRowLastColumn="0" w:lastRowFirstColumn="0" w:lastRowLastColumn="0"/>
            <w:tcW w:w="8897" w:type="dxa"/>
          </w:tcPr>
          <w:p w14:paraId="10A91974" w14:textId="77777777" w:rsidR="0038520B" w:rsidRDefault="0038520B">
            <w:pPr>
              <w:pStyle w:val="Body"/>
              <w:spacing w:line="276" w:lineRule="auto"/>
              <w:jc w:val="both"/>
            </w:pPr>
            <w:r>
              <w:t>Violations of Article 12 of the International Covenant on Economic, Social and Cultural Rights</w:t>
            </w:r>
          </w:p>
        </w:tc>
        <w:tc>
          <w:tcPr>
            <w:tcW w:w="850" w:type="dxa"/>
          </w:tcPr>
          <w:p w14:paraId="3C614AAC" w14:textId="77777777"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p>
          <w:p w14:paraId="424235A2" w14:textId="1E095700"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3</w:t>
            </w:r>
          </w:p>
        </w:tc>
      </w:tr>
      <w:tr w:rsidR="0038520B" w14:paraId="75BDA8BC" w14:textId="77777777" w:rsidTr="0038520B">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897" w:type="dxa"/>
          </w:tcPr>
          <w:p w14:paraId="3FCF8E7F" w14:textId="77777777" w:rsidR="0038520B" w:rsidRDefault="0038520B">
            <w:pPr>
              <w:pStyle w:val="Body"/>
              <w:spacing w:line="276" w:lineRule="auto"/>
              <w:jc w:val="both"/>
            </w:pPr>
            <w:r>
              <w:t>Massive violations of OMT patients’ rights in October 2017</w:t>
            </w:r>
          </w:p>
        </w:tc>
        <w:tc>
          <w:tcPr>
            <w:tcW w:w="850" w:type="dxa"/>
          </w:tcPr>
          <w:p w14:paraId="189A6266" w14:textId="675B6015" w:rsidR="0038520B" w:rsidRPr="0038520B" w:rsidRDefault="0038520B">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4</w:t>
            </w:r>
          </w:p>
        </w:tc>
      </w:tr>
      <w:tr w:rsidR="0038520B" w14:paraId="2D3A0361" w14:textId="77777777" w:rsidTr="0038520B">
        <w:trPr>
          <w:trHeight w:val="643"/>
        </w:trPr>
        <w:tc>
          <w:tcPr>
            <w:cnfStyle w:val="001000000000" w:firstRow="0" w:lastRow="0" w:firstColumn="1" w:lastColumn="0" w:oddVBand="0" w:evenVBand="0" w:oddHBand="0" w:evenHBand="0" w:firstRowFirstColumn="0" w:firstRowLastColumn="0" w:lastRowFirstColumn="0" w:lastRowLastColumn="0"/>
            <w:tcW w:w="8897" w:type="dxa"/>
          </w:tcPr>
          <w:p w14:paraId="6420A929" w14:textId="77777777" w:rsidR="0038520B" w:rsidRDefault="0038520B">
            <w:pPr>
              <w:pStyle w:val="Body"/>
              <w:spacing w:line="276" w:lineRule="auto"/>
              <w:jc w:val="both"/>
            </w:pPr>
            <w:r>
              <w:t xml:space="preserve"> </w:t>
            </w:r>
          </w:p>
          <w:p w14:paraId="54066D66" w14:textId="77777777" w:rsidR="0038520B" w:rsidRDefault="0038520B">
            <w:pPr>
              <w:pStyle w:val="Body"/>
              <w:spacing w:line="276" w:lineRule="auto"/>
              <w:jc w:val="both"/>
            </w:pPr>
            <w:r>
              <w:t>Conclusion</w:t>
            </w:r>
          </w:p>
        </w:tc>
        <w:tc>
          <w:tcPr>
            <w:tcW w:w="850" w:type="dxa"/>
          </w:tcPr>
          <w:p w14:paraId="3781F19A" w14:textId="77777777"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p>
          <w:p w14:paraId="159FC44A" w14:textId="0F1E70F9" w:rsidR="0038520B" w:rsidRPr="0038520B" w:rsidRDefault="0038520B">
            <w:pPr>
              <w:cnfStyle w:val="000000000000" w:firstRow="0" w:lastRow="0" w:firstColumn="0" w:lastColumn="0" w:oddVBand="0" w:evenVBand="0" w:oddHBand="0" w:evenHBand="0" w:firstRowFirstColumn="0" w:firstRowLastColumn="0" w:lastRowFirstColumn="0" w:lastRowLastColumn="0"/>
              <w:rPr>
                <w:color w:val="auto"/>
              </w:rPr>
            </w:pPr>
            <w:r w:rsidRPr="0038520B">
              <w:rPr>
                <w:color w:val="auto"/>
              </w:rPr>
              <w:t>6</w:t>
            </w:r>
          </w:p>
        </w:tc>
      </w:tr>
      <w:tr w:rsidR="0038520B" w14:paraId="2BD1A9D7" w14:textId="77777777" w:rsidTr="0038520B">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8897" w:type="dxa"/>
          </w:tcPr>
          <w:p w14:paraId="388FBED9" w14:textId="77777777" w:rsidR="0038520B" w:rsidRDefault="0038520B">
            <w:pPr>
              <w:pStyle w:val="Body"/>
              <w:spacing w:line="276" w:lineRule="auto"/>
              <w:jc w:val="both"/>
            </w:pPr>
          </w:p>
          <w:p w14:paraId="30090058" w14:textId="7D996139" w:rsidR="0038520B" w:rsidRDefault="0038520B">
            <w:pPr>
              <w:pStyle w:val="Body"/>
              <w:spacing w:line="276" w:lineRule="auto"/>
              <w:jc w:val="both"/>
            </w:pPr>
            <w:r>
              <w:t>Annex I</w:t>
            </w:r>
          </w:p>
        </w:tc>
        <w:tc>
          <w:tcPr>
            <w:tcW w:w="850" w:type="dxa"/>
          </w:tcPr>
          <w:p w14:paraId="0033B21C" w14:textId="77777777" w:rsidR="0038520B" w:rsidRPr="0038520B" w:rsidRDefault="0038520B">
            <w:pPr>
              <w:cnfStyle w:val="000000100000" w:firstRow="0" w:lastRow="0" w:firstColumn="0" w:lastColumn="0" w:oddVBand="0" w:evenVBand="0" w:oddHBand="1" w:evenHBand="0" w:firstRowFirstColumn="0" w:firstRowLastColumn="0" w:lastRowFirstColumn="0" w:lastRowLastColumn="0"/>
              <w:rPr>
                <w:color w:val="auto"/>
              </w:rPr>
            </w:pPr>
          </w:p>
          <w:p w14:paraId="645F01B7" w14:textId="5A448CF3" w:rsidR="0038520B" w:rsidRPr="0038520B" w:rsidRDefault="0038520B">
            <w:pPr>
              <w:cnfStyle w:val="000000100000" w:firstRow="0" w:lastRow="0" w:firstColumn="0" w:lastColumn="0" w:oddVBand="0" w:evenVBand="0" w:oddHBand="1" w:evenHBand="0" w:firstRowFirstColumn="0" w:firstRowLastColumn="0" w:lastRowFirstColumn="0" w:lastRowLastColumn="0"/>
              <w:rPr>
                <w:color w:val="auto"/>
              </w:rPr>
            </w:pPr>
            <w:r w:rsidRPr="0038520B">
              <w:rPr>
                <w:color w:val="auto"/>
              </w:rPr>
              <w:t>7</w:t>
            </w:r>
          </w:p>
        </w:tc>
      </w:tr>
    </w:tbl>
    <w:p w14:paraId="25A0786E" w14:textId="77777777" w:rsidR="00F27326" w:rsidRDefault="00F27326">
      <w:pPr>
        <w:pStyle w:val="Body"/>
        <w:widowControl w:val="0"/>
        <w:jc w:val="both"/>
        <w:rPr>
          <w:b/>
          <w:bCs/>
        </w:rPr>
      </w:pPr>
    </w:p>
    <w:p w14:paraId="1838E5C9" w14:textId="77777777" w:rsidR="00F27326" w:rsidRDefault="0033367B">
      <w:pPr>
        <w:pStyle w:val="NormalWeb"/>
      </w:pPr>
      <w:r>
        <w:rPr>
          <w:b/>
          <w:bCs/>
        </w:rPr>
        <w:lastRenderedPageBreak/>
        <w:t>Summary</w:t>
      </w:r>
      <w:r>
        <w:t xml:space="preserve"> </w:t>
      </w:r>
    </w:p>
    <w:p w14:paraId="59D410FB" w14:textId="5A3AC008" w:rsidR="00F27326" w:rsidRDefault="0033367B">
      <w:pPr>
        <w:pStyle w:val="NormalWeb"/>
      </w:pPr>
      <w:r>
        <w:t xml:space="preserve">Despite the 2010 recommendations </w:t>
      </w:r>
      <w:r w:rsidR="00684822">
        <w:t>of</w:t>
      </w:r>
      <w:r>
        <w:t xml:space="preserve"> the Committee on Economic, Social and Cultural Rights (CESCR), by the end of 2017, the Republic of Kazakhstan </w:t>
      </w:r>
    </w:p>
    <w:p w14:paraId="379C5988" w14:textId="63967C26" w:rsidR="00F27326" w:rsidRDefault="0033367B" w:rsidP="00E220EA">
      <w:pPr>
        <w:pStyle w:val="NormalWeb"/>
        <w:numPr>
          <w:ilvl w:val="0"/>
          <w:numId w:val="2"/>
        </w:numPr>
      </w:pPr>
      <w:r>
        <w:t xml:space="preserve">Did not make Opioid Maintenance Therapy (OMT) available for all in need. Only </w:t>
      </w:r>
      <w:r w:rsidR="00E220EA" w:rsidRPr="00E220EA">
        <w:t xml:space="preserve">322 </w:t>
      </w:r>
      <w:r w:rsidR="00E220EA">
        <w:t xml:space="preserve">patients </w:t>
      </w:r>
      <w:r>
        <w:t>(</w:t>
      </w:r>
      <w:r w:rsidR="00E220EA">
        <w:t>2.</w:t>
      </w:r>
      <w:r w:rsidR="00E220EA" w:rsidRPr="00E220EA">
        <w:t xml:space="preserve">69% </w:t>
      </w:r>
      <w:r>
        <w:t>of all injecting drug users on the outpatient register) are receiving OMT, contrary to WHO recommendations of at least 20% coverage;</w:t>
      </w:r>
    </w:p>
    <w:p w14:paraId="042382E9" w14:textId="21E583A1" w:rsidR="00F27326" w:rsidRDefault="0033367B">
      <w:pPr>
        <w:pStyle w:val="NormalWeb"/>
        <w:numPr>
          <w:ilvl w:val="0"/>
          <w:numId w:val="2"/>
        </w:numPr>
      </w:pPr>
      <w:r>
        <w:t>Put OMT program at the risk of</w:t>
      </w:r>
      <w:r w:rsidR="00684822">
        <w:t xml:space="preserve"> the</w:t>
      </w:r>
      <w:r>
        <w:t xml:space="preserve"> complete termination contrary to 2011, 2013, and 2016 positive assessment of OMT program by international experts</w:t>
      </w:r>
      <w:r w:rsidR="00DF531C">
        <w:t xml:space="preserve"> and 2017 Decision of </w:t>
      </w:r>
      <w:r w:rsidR="00684822">
        <w:t xml:space="preserve">the </w:t>
      </w:r>
      <w:r w:rsidR="00DF531C">
        <w:t>Inter-Sectoral Work</w:t>
      </w:r>
      <w:r w:rsidR="00600671">
        <w:t>ing</w:t>
      </w:r>
      <w:r w:rsidR="00DF531C">
        <w:t xml:space="preserve"> Group </w:t>
      </w:r>
      <w:r w:rsidR="00600671">
        <w:t>on</w:t>
      </w:r>
      <w:r w:rsidR="00DF531C">
        <w:t xml:space="preserve"> effectiveness of </w:t>
      </w:r>
      <w:r w:rsidR="00684822">
        <w:t>OMT</w:t>
      </w:r>
      <w:r w:rsidR="00DF531C">
        <w:t xml:space="preserve"> for people with opioid dependence in </w:t>
      </w:r>
      <w:r w:rsidR="00600671">
        <w:t xml:space="preserve">the Republic of </w:t>
      </w:r>
      <w:r w:rsidR="00DF531C">
        <w:t xml:space="preserve">Kazakhstan. </w:t>
      </w:r>
    </w:p>
    <w:p w14:paraId="7EC7DE03" w14:textId="77777777" w:rsidR="00887B72" w:rsidRDefault="00887B72">
      <w:pPr>
        <w:pStyle w:val="NormalWeb"/>
        <w:rPr>
          <w:b/>
          <w:bCs/>
        </w:rPr>
      </w:pPr>
    </w:p>
    <w:p w14:paraId="6161E994" w14:textId="77777777" w:rsidR="00F27326" w:rsidRDefault="0033367B">
      <w:pPr>
        <w:pStyle w:val="NormalWeb"/>
        <w:rPr>
          <w:b/>
          <w:bCs/>
        </w:rPr>
      </w:pPr>
      <w:r>
        <w:rPr>
          <w:b/>
          <w:bCs/>
        </w:rPr>
        <w:t>Issues to be taken up in connection with the consideration of the second periodic report of the Republic of Kazakhstan</w:t>
      </w:r>
    </w:p>
    <w:p w14:paraId="044AB0CE" w14:textId="05B76D18" w:rsidR="00F27326" w:rsidRDefault="0033367B" w:rsidP="00E220EA">
      <w:pPr>
        <w:pStyle w:val="NormalWeb"/>
        <w:numPr>
          <w:ilvl w:val="0"/>
          <w:numId w:val="7"/>
        </w:numPr>
      </w:pPr>
      <w:r>
        <w:t xml:space="preserve">Please, provide information concerning the reasons, mandate, and the results of the </w:t>
      </w:r>
      <w:r w:rsidR="00E220EA" w:rsidRPr="00E220EA">
        <w:t xml:space="preserve">Inter-Sectoral Working Group </w:t>
      </w:r>
      <w:r>
        <w:t>created according to the Ministry of Health Order No 709 of 20 September 2017 “On some issues regarding the implementation of the program of substitution maintenance therapy”</w:t>
      </w:r>
    </w:p>
    <w:p w14:paraId="406D80BD" w14:textId="77777777" w:rsidR="00F27326" w:rsidRDefault="0033367B" w:rsidP="0033367B">
      <w:pPr>
        <w:pStyle w:val="NormalWeb"/>
        <w:numPr>
          <w:ilvl w:val="0"/>
          <w:numId w:val="7"/>
        </w:numPr>
      </w:pPr>
      <w:r>
        <w:t>Please, provide information about the plans of the State party to ensure that OMT is available for at least 20-40% of people with opioid dependence.</w:t>
      </w:r>
    </w:p>
    <w:p w14:paraId="43F0AB73" w14:textId="77777777" w:rsidR="00F27326" w:rsidRDefault="0033367B" w:rsidP="0033367B">
      <w:pPr>
        <w:pStyle w:val="NormalWeb"/>
        <w:numPr>
          <w:ilvl w:val="0"/>
          <w:numId w:val="7"/>
        </w:numPr>
      </w:pPr>
      <w:r>
        <w:t>Please, provide information about how the State party insures the human rights based approach to people who use drugs and people living with drug dependence.</w:t>
      </w:r>
    </w:p>
    <w:p w14:paraId="0BED69A3" w14:textId="01F8CE45" w:rsidR="008A52D7" w:rsidRDefault="008A52D7" w:rsidP="008A52D7">
      <w:pPr>
        <w:pStyle w:val="NormalWeb"/>
        <w:numPr>
          <w:ilvl w:val="0"/>
          <w:numId w:val="7"/>
        </w:numPr>
      </w:pPr>
      <w:r w:rsidRPr="008A52D7">
        <w:t>Please, provide information about how the State party insures the protection of human rights of bio-medical research participants, including pe</w:t>
      </w:r>
      <w:r>
        <w:t>ople living with drug dependence</w:t>
      </w:r>
      <w:r w:rsidRPr="008A52D7">
        <w:t xml:space="preserve"> and/or living with HIV</w:t>
      </w:r>
    </w:p>
    <w:p w14:paraId="02EE3DFD" w14:textId="77777777" w:rsidR="0033367B" w:rsidRDefault="0033367B">
      <w:pPr>
        <w:pStyle w:val="NormalWeb"/>
        <w:rPr>
          <w:b/>
          <w:bCs/>
        </w:rPr>
      </w:pPr>
    </w:p>
    <w:p w14:paraId="08CCB2E9" w14:textId="77777777" w:rsidR="00F27326" w:rsidRDefault="0033367B">
      <w:pPr>
        <w:pStyle w:val="NormalWeb"/>
        <w:rPr>
          <w:b/>
          <w:bCs/>
        </w:rPr>
      </w:pPr>
      <w:r>
        <w:rPr>
          <w:b/>
          <w:bCs/>
        </w:rPr>
        <w:t>Background information</w:t>
      </w:r>
    </w:p>
    <w:p w14:paraId="2FF83744" w14:textId="6B02AB29" w:rsidR="00F27326" w:rsidRDefault="0033367B">
      <w:pPr>
        <w:pStyle w:val="NormalWeb"/>
        <w:numPr>
          <w:ilvl w:val="0"/>
          <w:numId w:val="6"/>
        </w:numPr>
      </w:pPr>
      <w:r>
        <w:t xml:space="preserve">In May 2010 CESCR expressed its concerns </w:t>
      </w:r>
      <w:r w:rsidR="00684822">
        <w:t>regarding</w:t>
      </w:r>
      <w:r>
        <w:t xml:space="preserve"> the fact that few drug users have access to methadone as a substitute drug dependence therapy, as this program of treatment </w:t>
      </w:r>
      <w:r w:rsidR="00E220EA">
        <w:t>was</w:t>
      </w:r>
      <w:r>
        <w:t xml:space="preserve"> still in a pilot phase. CESCR called on Kazakhstan to ensure that methadone as substitute drug dependence therapy </w:t>
      </w:r>
      <w:r w:rsidR="00E220EA">
        <w:t>wa</w:t>
      </w:r>
      <w:r>
        <w:t>s made accessible to all drug dependents</w:t>
      </w:r>
      <w:r>
        <w:rPr>
          <w:b/>
          <w:bCs/>
        </w:rPr>
        <w:t> </w:t>
      </w:r>
      <w:r>
        <w:t>(art. 12).</w:t>
      </w:r>
      <w:r>
        <w:rPr>
          <w:vertAlign w:val="superscript"/>
        </w:rPr>
        <w:footnoteReference w:id="3"/>
      </w:r>
    </w:p>
    <w:p w14:paraId="606CF306" w14:textId="77777777" w:rsidR="00F27326" w:rsidRDefault="0033367B">
      <w:pPr>
        <w:pStyle w:val="NormalWeb"/>
        <w:numPr>
          <w:ilvl w:val="0"/>
          <w:numId w:val="6"/>
        </w:numPr>
      </w:pPr>
      <w:r>
        <w:t xml:space="preserve">In its second periodic report Kazakhstan stated that from 2008 to 2016 OMT has been expanded to the cities of Aktobe, Taraz, Kostanay, Oral, Ekibastuz, Semey, Karaganda and Öskemen. As of 2016 it was available for the total of 307 patients (244 men and 63 </w:t>
      </w:r>
      <w:r>
        <w:lastRenderedPageBreak/>
        <w:t>women), which amounted to 1.6 per cent of all injecting drug users on the outpatient register.</w:t>
      </w:r>
      <w:r>
        <w:rPr>
          <w:vertAlign w:val="superscript"/>
        </w:rPr>
        <w:footnoteReference w:id="4"/>
      </w:r>
      <w:r>
        <w:t xml:space="preserve"> </w:t>
      </w:r>
    </w:p>
    <w:p w14:paraId="4EB41B23" w14:textId="20680B98"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In 2012 OMT was positively assessed by the International Center for AIDS Care and Treatment Program (ICAP) of Columbia University. ICAP researchers found that OMT pilot in Kazakhstan demonstrated its feasibility and effectiveness in the local context and </w:t>
      </w:r>
      <w:r w:rsidR="00DD007B">
        <w:rPr>
          <w:rFonts w:ascii="Times New Roman" w:hAnsi="Times New Roman"/>
          <w:sz w:val="24"/>
          <w:szCs w:val="24"/>
        </w:rPr>
        <w:t>should be</w:t>
      </w:r>
      <w:r>
        <w:rPr>
          <w:rFonts w:ascii="Times New Roman" w:hAnsi="Times New Roman"/>
          <w:sz w:val="24"/>
          <w:szCs w:val="24"/>
        </w:rPr>
        <w:t xml:space="preserve"> recommended for scale-up throughout the country.</w:t>
      </w:r>
      <w:r>
        <w:rPr>
          <w:rStyle w:val="FootnoteReference"/>
          <w:rFonts w:ascii="Times New Roman" w:eastAsia="Times New Roman" w:hAnsi="Times New Roman" w:cs="Times New Roman"/>
          <w:sz w:val="24"/>
          <w:szCs w:val="24"/>
        </w:rPr>
        <w:footnoteReference w:id="5"/>
      </w:r>
      <w:r>
        <w:rPr>
          <w:rFonts w:ascii="Times New Roman" w:hAnsi="Times New Roman"/>
          <w:sz w:val="24"/>
          <w:szCs w:val="24"/>
        </w:rPr>
        <w:t xml:space="preserve">  </w:t>
      </w:r>
    </w:p>
    <w:p w14:paraId="6E81E9B9" w14:textId="77777777"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In 2013 and 2016 UNODC researchers came to similar conclusions concerning OMT in the Republic of Kazakhstan.</w:t>
      </w:r>
      <w:r>
        <w:rPr>
          <w:rStyle w:val="FootnoteReference"/>
          <w:rFonts w:ascii="Times New Roman" w:eastAsia="Times New Roman" w:hAnsi="Times New Roman" w:cs="Times New Roman"/>
          <w:sz w:val="24"/>
          <w:szCs w:val="24"/>
        </w:rPr>
        <w:footnoteReference w:id="6"/>
      </w:r>
      <w:r>
        <w:rPr>
          <w:rStyle w:val="FootnoteReference"/>
          <w:rFonts w:ascii="Times New Roman" w:hAnsi="Times New Roman"/>
          <w:sz w:val="24"/>
          <w:szCs w:val="24"/>
        </w:rPr>
        <w:t>,</w:t>
      </w:r>
      <w:r>
        <w:rPr>
          <w:rStyle w:val="FootnoteReference"/>
          <w:rFonts w:ascii="Times New Roman" w:eastAsia="Times New Roman" w:hAnsi="Times New Roman" w:cs="Times New Roman"/>
          <w:sz w:val="24"/>
          <w:szCs w:val="24"/>
        </w:rPr>
        <w:footnoteReference w:id="7"/>
      </w:r>
      <w:r>
        <w:rPr>
          <w:rFonts w:ascii="Times New Roman" w:hAnsi="Times New Roman"/>
          <w:sz w:val="24"/>
          <w:szCs w:val="24"/>
        </w:rPr>
        <w:t xml:space="preserve"> </w:t>
      </w:r>
    </w:p>
    <w:p w14:paraId="08F06083" w14:textId="63174528"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Despite the positive results of these international assessments, from the very beginning (the year 2008) the OMT program was considered highly controversial by a significant group of drug dependence treatment doctors, police officers, Members of Parliament (MPs) and members of the general public. This controversy was to a significant degree attributed to the lack of science-based information about OMT available for the public in Russian and Kazakh languages, as well as the lack of educational programs about O</w:t>
      </w:r>
      <w:r w:rsidR="005300CA">
        <w:rPr>
          <w:rFonts w:ascii="Times New Roman" w:hAnsi="Times New Roman"/>
          <w:sz w:val="24"/>
          <w:szCs w:val="24"/>
        </w:rPr>
        <w:t>M</w:t>
      </w:r>
      <w:r>
        <w:rPr>
          <w:rFonts w:ascii="Times New Roman" w:hAnsi="Times New Roman"/>
          <w:sz w:val="24"/>
          <w:szCs w:val="24"/>
        </w:rPr>
        <w:t>T and human rights of people who use drugs for police and drug dependence treatment doctors.</w:t>
      </w:r>
    </w:p>
    <w:p w14:paraId="2B628CFF" w14:textId="77777777" w:rsidR="00887B72" w:rsidRDefault="00887B72">
      <w:pPr>
        <w:pStyle w:val="BodyA"/>
        <w:spacing w:before="100" w:after="100" w:line="240" w:lineRule="auto"/>
        <w:ind w:left="720"/>
        <w:rPr>
          <w:rFonts w:ascii="Times New Roman" w:hAnsi="Times New Roman"/>
          <w:b/>
          <w:bCs/>
          <w:sz w:val="24"/>
          <w:szCs w:val="24"/>
        </w:rPr>
      </w:pPr>
    </w:p>
    <w:p w14:paraId="5D4FA71F" w14:textId="77777777" w:rsidR="00F27326" w:rsidRDefault="0033367B">
      <w:pPr>
        <w:pStyle w:val="BodyA"/>
        <w:spacing w:before="100" w:after="100" w:line="240" w:lineRule="auto"/>
        <w:ind w:left="720"/>
        <w:rPr>
          <w:rFonts w:ascii="Times New Roman" w:eastAsia="Times New Roman" w:hAnsi="Times New Roman" w:cs="Times New Roman"/>
          <w:sz w:val="24"/>
          <w:szCs w:val="24"/>
        </w:rPr>
      </w:pPr>
      <w:proofErr w:type="gramStart"/>
      <w:r>
        <w:rPr>
          <w:rFonts w:ascii="Times New Roman" w:hAnsi="Times New Roman"/>
          <w:b/>
          <w:bCs/>
          <w:sz w:val="24"/>
          <w:szCs w:val="24"/>
        </w:rPr>
        <w:t>Violations of Article 12 of the International Covenant on Economic, Social and Cultural Rights</w:t>
      </w:r>
      <w:r>
        <w:rPr>
          <w:rFonts w:ascii="Times New Roman" w:hAnsi="Times New Roman"/>
          <w:sz w:val="24"/>
          <w:szCs w:val="24"/>
        </w:rPr>
        <w:t>.</w:t>
      </w:r>
      <w:proofErr w:type="gramEnd"/>
    </w:p>
    <w:p w14:paraId="53CB4B38" w14:textId="77777777" w:rsidR="00F27326" w:rsidRDefault="0033367B">
      <w:pPr>
        <w:pStyle w:val="NormalWeb"/>
        <w:numPr>
          <w:ilvl w:val="0"/>
          <w:numId w:val="6"/>
        </w:numPr>
      </w:pPr>
      <w:r>
        <w:t>The government of Kazakhstan did not make OMT available, accessible, acceptable, and of a good quality.</w:t>
      </w:r>
    </w:p>
    <w:p w14:paraId="39117FF5" w14:textId="33C81E63" w:rsidR="00F27326" w:rsidRDefault="0033367B">
      <w:pPr>
        <w:pStyle w:val="NormalWeb"/>
        <w:numPr>
          <w:ilvl w:val="0"/>
          <w:numId w:val="6"/>
        </w:numPr>
      </w:pPr>
      <w:r>
        <w:t>Official data demonstrate that as of 201</w:t>
      </w:r>
      <w:r w:rsidR="00DD007B">
        <w:t>7</w:t>
      </w:r>
      <w:r>
        <w:t xml:space="preserve"> the coverage of </w:t>
      </w:r>
      <w:r w:rsidR="00E220EA">
        <w:t>OMT program remained very low (2</w:t>
      </w:r>
      <w:r>
        <w:t>.6</w:t>
      </w:r>
      <w:r w:rsidR="00E220EA">
        <w:t>9</w:t>
      </w:r>
      <w:r>
        <w:t xml:space="preserve">%). Thus, OMT </w:t>
      </w:r>
      <w:r w:rsidR="00553CBA">
        <w:t>is not available for at least 17</w:t>
      </w:r>
      <w:r>
        <w:t>.</w:t>
      </w:r>
      <w:r w:rsidR="00553CBA">
        <w:t>3</w:t>
      </w:r>
      <w:r>
        <w:t>% of opioid dependent people, if the necessary coverage is estimated at the lowest threshold of the internationally recommended 20-40%.</w:t>
      </w:r>
    </w:p>
    <w:p w14:paraId="6F66A0F5" w14:textId="1B8D691B" w:rsidR="00F27326" w:rsidRDefault="0033367B">
      <w:pPr>
        <w:pStyle w:val="NormalWeb"/>
        <w:numPr>
          <w:ilvl w:val="0"/>
          <w:numId w:val="6"/>
        </w:numPr>
      </w:pPr>
      <w:r>
        <w:t>The research reports referenced above, as well as the 2014 Assessment Report by the Pompid</w:t>
      </w:r>
      <w:r w:rsidR="006456F2">
        <w:t>o</w:t>
      </w:r>
      <w:r>
        <w:t>u Group, conclude that legal and political barriers prevent the OMT to become available, accessible, acceptable, and of a good quality.</w:t>
      </w:r>
      <w:r>
        <w:rPr>
          <w:vertAlign w:val="superscript"/>
        </w:rPr>
        <w:footnoteReference w:id="8"/>
      </w:r>
      <w:r>
        <w:t xml:space="preserve"> The legal criteria for OMT often run contrary to WHO recommendations, which include making OMT only available to </w:t>
      </w:r>
      <w:r>
        <w:lastRenderedPageBreak/>
        <w:t>patients who failed abstinence based treatment at least twice. OMT is not available to take home even for stable patients. Many patients have to travel very far distances every morning to receive their daily dose of OMT medications.</w:t>
      </w:r>
    </w:p>
    <w:p w14:paraId="4F39D7BB" w14:textId="77777777" w:rsidR="00F27326" w:rsidRDefault="0033367B">
      <w:pPr>
        <w:pStyle w:val="NormalWeb"/>
        <w:numPr>
          <w:ilvl w:val="0"/>
          <w:numId w:val="6"/>
        </w:numPr>
      </w:pPr>
      <w:r>
        <w:t xml:space="preserve">Police also remains a significant obstacle for OMT. Patients complain that doctors often make available medical information about OMT clients to police, which harass clients demanding them to supply crime related information. This discourages drug dependent people from seeking access to OMT. </w:t>
      </w:r>
    </w:p>
    <w:p w14:paraId="7915FD2B" w14:textId="77777777" w:rsidR="00F27326" w:rsidRDefault="0033367B">
      <w:pPr>
        <w:pStyle w:val="NormalWeb"/>
        <w:numPr>
          <w:ilvl w:val="0"/>
          <w:numId w:val="6"/>
        </w:numPr>
      </w:pPr>
      <w:r>
        <w:t xml:space="preserve">The OMT Program continues as a pilot program largely supported by the Global Fund to fight HIV, TB, and Malaria. </w:t>
      </w:r>
    </w:p>
    <w:p w14:paraId="5B9E4B76" w14:textId="77777777" w:rsidR="0033367B" w:rsidRDefault="0033367B">
      <w:pPr>
        <w:pStyle w:val="BodyA"/>
        <w:spacing w:before="100" w:after="100" w:line="240" w:lineRule="auto"/>
        <w:ind w:left="720"/>
        <w:rPr>
          <w:rFonts w:ascii="Times New Roman" w:hAnsi="Times New Roman"/>
          <w:b/>
          <w:bCs/>
          <w:sz w:val="24"/>
          <w:szCs w:val="24"/>
        </w:rPr>
      </w:pPr>
    </w:p>
    <w:p w14:paraId="62C1DCFC" w14:textId="77777777" w:rsidR="00F27326" w:rsidRDefault="0033367B">
      <w:pPr>
        <w:pStyle w:val="BodyA"/>
        <w:spacing w:before="100" w:after="100" w:line="240" w:lineRule="auto"/>
        <w:ind w:left="720"/>
        <w:rPr>
          <w:rFonts w:ascii="Times New Roman" w:eastAsia="Times New Roman" w:hAnsi="Times New Roman" w:cs="Times New Roman"/>
          <w:b/>
          <w:bCs/>
          <w:sz w:val="24"/>
          <w:szCs w:val="24"/>
        </w:rPr>
      </w:pPr>
      <w:proofErr w:type="gramStart"/>
      <w:r>
        <w:rPr>
          <w:rFonts w:ascii="Times New Roman" w:hAnsi="Times New Roman"/>
          <w:b/>
          <w:bCs/>
          <w:sz w:val="24"/>
          <w:szCs w:val="24"/>
        </w:rPr>
        <w:t>Massive violations of OMT patients’ rights in October 2017</w:t>
      </w:r>
      <w:r w:rsidR="004D7AB7">
        <w:rPr>
          <w:rFonts w:ascii="Times New Roman" w:hAnsi="Times New Roman"/>
          <w:b/>
          <w:bCs/>
          <w:sz w:val="24"/>
          <w:szCs w:val="24"/>
        </w:rPr>
        <w:t xml:space="preserve"> and the risk for the complete termination of OMT in 2018</w:t>
      </w:r>
      <w:r>
        <w:rPr>
          <w:rFonts w:ascii="Times New Roman" w:hAnsi="Times New Roman"/>
          <w:b/>
          <w:bCs/>
          <w:sz w:val="24"/>
          <w:szCs w:val="24"/>
        </w:rPr>
        <w:t>.</w:t>
      </w:r>
      <w:proofErr w:type="gramEnd"/>
      <w:r>
        <w:rPr>
          <w:rFonts w:ascii="Times New Roman" w:eastAsia="Times New Roman" w:hAnsi="Times New Roman" w:cs="Times New Roman"/>
          <w:b/>
          <w:bCs/>
          <w:sz w:val="24"/>
          <w:szCs w:val="24"/>
          <w:vertAlign w:val="superscript"/>
        </w:rPr>
        <w:footnoteReference w:id="9"/>
      </w:r>
    </w:p>
    <w:p w14:paraId="424797B3" w14:textId="71DCD365" w:rsidR="00F27326" w:rsidRDefault="0033367B" w:rsidP="00DD00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In June 2017 the Ministry of Interior requested immediate termination of OMT. The request was supported by seven MPs. The Office of the Prime Minister sought consensus between the Ministry of Health and the Ministry of Interior on the necessity to continue OMT in Kazakhstan. In this regard, on 20 September 2017, the Minister of Health issued Order No. 709 “On some issues regarding </w:t>
      </w:r>
      <w:r w:rsidR="00DD007B">
        <w:rPr>
          <w:rFonts w:ascii="Times New Roman" w:hAnsi="Times New Roman"/>
          <w:sz w:val="24"/>
          <w:szCs w:val="24"/>
        </w:rPr>
        <w:t xml:space="preserve">the </w:t>
      </w:r>
      <w:r>
        <w:rPr>
          <w:rFonts w:ascii="Times New Roman" w:hAnsi="Times New Roman"/>
          <w:sz w:val="24"/>
          <w:szCs w:val="24"/>
        </w:rPr>
        <w:t>implementation of the program of substitution maintenance therapy”. The</w:t>
      </w:r>
      <w:r w:rsidR="00E220EA">
        <w:rPr>
          <w:rFonts w:ascii="Times New Roman" w:hAnsi="Times New Roman"/>
          <w:sz w:val="24"/>
          <w:szCs w:val="24"/>
        </w:rPr>
        <w:t xml:space="preserve"> </w:t>
      </w:r>
      <w:r w:rsidR="00E220EA" w:rsidRPr="00E220EA">
        <w:rPr>
          <w:rFonts w:ascii="Times New Roman" w:hAnsi="Times New Roman"/>
          <w:sz w:val="24"/>
          <w:szCs w:val="24"/>
        </w:rPr>
        <w:t>Inter-Sectoral Working Group</w:t>
      </w:r>
      <w:r w:rsidR="00E220EA">
        <w:rPr>
          <w:rFonts w:ascii="Times New Roman" w:hAnsi="Times New Roman"/>
          <w:sz w:val="24"/>
          <w:szCs w:val="24"/>
        </w:rPr>
        <w:t xml:space="preserve"> (Working Group)</w:t>
      </w:r>
      <w:r w:rsidR="00DD007B">
        <w:rPr>
          <w:rFonts w:ascii="Times New Roman" w:hAnsi="Times New Roman"/>
          <w:sz w:val="24"/>
          <w:szCs w:val="24"/>
        </w:rPr>
        <w:t xml:space="preserve"> of </w:t>
      </w:r>
      <w:r w:rsidR="00DD007B" w:rsidRPr="00DD007B">
        <w:rPr>
          <w:rFonts w:ascii="Times New Roman" w:hAnsi="Times New Roman"/>
          <w:sz w:val="24"/>
          <w:szCs w:val="24"/>
        </w:rPr>
        <w:t>17 members</w:t>
      </w:r>
      <w:r w:rsidR="00E220EA" w:rsidRPr="00E220EA">
        <w:rPr>
          <w:rFonts w:ascii="Times New Roman" w:hAnsi="Times New Roman"/>
          <w:sz w:val="24"/>
          <w:szCs w:val="24"/>
        </w:rPr>
        <w:t xml:space="preserve"> </w:t>
      </w:r>
      <w:r>
        <w:rPr>
          <w:rFonts w:ascii="Times New Roman" w:hAnsi="Times New Roman"/>
          <w:sz w:val="24"/>
          <w:szCs w:val="24"/>
        </w:rPr>
        <w:t xml:space="preserve">was created in order to assess the effectiveness of OMT in Kazakhstan. </w:t>
      </w:r>
    </w:p>
    <w:p w14:paraId="180DAC9F" w14:textId="708D53D1" w:rsidR="00553CBA" w:rsidRPr="00AD1335" w:rsidRDefault="0033367B" w:rsidP="00AD1335">
      <w:pPr>
        <w:pStyle w:val="BodyA"/>
        <w:numPr>
          <w:ilvl w:val="0"/>
          <w:numId w:val="6"/>
        </w:numPr>
        <w:spacing w:before="100" w:after="100" w:line="240" w:lineRule="auto"/>
        <w:rPr>
          <w:rFonts w:ascii="Times New Roman" w:eastAsia="Times New Roman" w:hAnsi="Times New Roman" w:cs="Times New Roman"/>
          <w:sz w:val="24"/>
          <w:szCs w:val="24"/>
        </w:rPr>
      </w:pPr>
      <w:r w:rsidRPr="00AD1335">
        <w:rPr>
          <w:rFonts w:ascii="Times New Roman" w:hAnsi="Times New Roman"/>
          <w:sz w:val="24"/>
          <w:szCs w:val="24"/>
        </w:rPr>
        <w:t xml:space="preserve">During the first meeting of the Working Group, a decision was made to analyze the available data and to </w:t>
      </w:r>
      <w:r w:rsidR="00553CBA" w:rsidRPr="00AD1335">
        <w:rPr>
          <w:rFonts w:ascii="Times New Roman" w:hAnsi="Times New Roman"/>
          <w:sz w:val="24"/>
          <w:szCs w:val="24"/>
        </w:rPr>
        <w:t>interview</w:t>
      </w:r>
      <w:r w:rsidRPr="00AD1335">
        <w:rPr>
          <w:rFonts w:ascii="Times New Roman" w:hAnsi="Times New Roman"/>
          <w:sz w:val="24"/>
          <w:szCs w:val="24"/>
        </w:rPr>
        <w:t xml:space="preserve"> OMT patients. Subsequently, a questionnaire with 15 questions and the protocol for interviewers was developed. </w:t>
      </w:r>
      <w:r w:rsidR="00553CBA" w:rsidRPr="00AD1335">
        <w:rPr>
          <w:rFonts w:ascii="Times New Roman" w:hAnsi="Times New Roman"/>
          <w:sz w:val="24"/>
          <w:szCs w:val="24"/>
        </w:rPr>
        <w:t>By</w:t>
      </w:r>
      <w:r w:rsidRPr="00AD1335">
        <w:rPr>
          <w:rFonts w:ascii="Times New Roman" w:hAnsi="Times New Roman"/>
          <w:sz w:val="24"/>
          <w:szCs w:val="24"/>
        </w:rPr>
        <w:t xml:space="preserve"> October</w:t>
      </w:r>
      <w:r w:rsidR="00553CBA" w:rsidRPr="00AD1335">
        <w:rPr>
          <w:rFonts w:ascii="Times New Roman" w:hAnsi="Times New Roman"/>
          <w:sz w:val="24"/>
          <w:szCs w:val="24"/>
        </w:rPr>
        <w:t xml:space="preserve"> 30,</w:t>
      </w:r>
      <w:r w:rsidRPr="00AD1335">
        <w:rPr>
          <w:rFonts w:ascii="Times New Roman" w:hAnsi="Times New Roman"/>
          <w:sz w:val="24"/>
          <w:szCs w:val="24"/>
        </w:rPr>
        <w:t xml:space="preserve"> 201</w:t>
      </w:r>
      <w:r w:rsidR="005300CA" w:rsidRPr="00AD1335">
        <w:rPr>
          <w:rFonts w:ascii="Times New Roman" w:hAnsi="Times New Roman"/>
          <w:sz w:val="24"/>
          <w:szCs w:val="24"/>
        </w:rPr>
        <w:t>7</w:t>
      </w:r>
      <w:r w:rsidRPr="00AD1335">
        <w:rPr>
          <w:rFonts w:ascii="Times New Roman" w:hAnsi="Times New Roman"/>
          <w:sz w:val="24"/>
          <w:szCs w:val="24"/>
        </w:rPr>
        <w:t xml:space="preserve">, </w:t>
      </w:r>
      <w:r w:rsidR="00553CBA" w:rsidRPr="00AD1335">
        <w:rPr>
          <w:rFonts w:ascii="Times New Roman" w:hAnsi="Times New Roman"/>
          <w:sz w:val="24"/>
          <w:szCs w:val="24"/>
        </w:rPr>
        <w:t xml:space="preserve">the Working Group completed the data analysis and interviewed 129 </w:t>
      </w:r>
      <w:r w:rsidRPr="00AD1335">
        <w:rPr>
          <w:rFonts w:ascii="Times New Roman" w:hAnsi="Times New Roman"/>
          <w:sz w:val="24"/>
          <w:szCs w:val="24"/>
        </w:rPr>
        <w:t>OMT</w:t>
      </w:r>
      <w:r w:rsidR="00553CBA" w:rsidRPr="00AD1335">
        <w:rPr>
          <w:rFonts w:ascii="Times New Roman" w:hAnsi="Times New Roman"/>
          <w:sz w:val="24"/>
          <w:szCs w:val="24"/>
        </w:rPr>
        <w:t xml:space="preserve"> patients in cities of Pavlodar and Karaganda</w:t>
      </w:r>
      <w:r w:rsidR="00AD1335" w:rsidRPr="00AD1335">
        <w:rPr>
          <w:rFonts w:ascii="Times New Roman" w:hAnsi="Times New Roman"/>
          <w:sz w:val="24"/>
          <w:szCs w:val="24"/>
        </w:rPr>
        <w:t xml:space="preserve">. </w:t>
      </w:r>
      <w:r w:rsidR="00553CBA" w:rsidRPr="00AD1335">
        <w:rPr>
          <w:rFonts w:ascii="Times New Roman" w:hAnsi="Times New Roman"/>
          <w:sz w:val="24"/>
          <w:szCs w:val="24"/>
        </w:rPr>
        <w:t xml:space="preserve"> </w:t>
      </w:r>
      <w:r w:rsidR="00AD1335" w:rsidRPr="00AD1335">
        <w:rPr>
          <w:rFonts w:ascii="Times New Roman" w:hAnsi="Times New Roman"/>
          <w:sz w:val="24"/>
          <w:szCs w:val="24"/>
        </w:rPr>
        <w:t>On October 30, 2017 the Inter-Sectoral Working Group produced a Resolution</w:t>
      </w:r>
      <w:r w:rsidR="00553CBA" w:rsidRPr="00AD1335">
        <w:rPr>
          <w:rFonts w:ascii="Times New Roman" w:hAnsi="Times New Roman"/>
          <w:sz w:val="24"/>
          <w:szCs w:val="24"/>
        </w:rPr>
        <w:t xml:space="preserve"> with the conclusions that OMT is effective in Kazakhstan and should be continued with some improvements regarding the accessibility and the quality of services.</w:t>
      </w:r>
    </w:p>
    <w:p w14:paraId="66D383B8" w14:textId="614FAD2A" w:rsidR="00F27326" w:rsidRDefault="001035E9" w:rsidP="005F3F14">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Four</w:t>
      </w:r>
      <w:r w:rsidR="0033367B">
        <w:rPr>
          <w:rFonts w:ascii="Times New Roman" w:hAnsi="Times New Roman"/>
          <w:sz w:val="24"/>
          <w:szCs w:val="24"/>
        </w:rPr>
        <w:t xml:space="preserve"> members of the Working Group</w:t>
      </w:r>
      <w:r w:rsidR="00553CBA">
        <w:rPr>
          <w:rFonts w:ascii="Times New Roman" w:hAnsi="Times New Roman"/>
          <w:sz w:val="24"/>
          <w:szCs w:val="24"/>
        </w:rPr>
        <w:t xml:space="preserve"> (Ms. Ahapoiva O.G.</w:t>
      </w:r>
      <w:r w:rsidR="00553CBA" w:rsidRPr="00553CBA">
        <w:rPr>
          <w:rFonts w:ascii="Times New Roman" w:hAnsi="Times New Roman"/>
          <w:sz w:val="24"/>
          <w:szCs w:val="24"/>
        </w:rPr>
        <w:t xml:space="preserve">, </w:t>
      </w:r>
      <w:r w:rsidR="005F3F14">
        <w:rPr>
          <w:rFonts w:ascii="Times New Roman" w:hAnsi="Times New Roman"/>
          <w:sz w:val="24"/>
          <w:szCs w:val="24"/>
        </w:rPr>
        <w:t>M</w:t>
      </w:r>
      <w:r w:rsidR="00553CBA">
        <w:rPr>
          <w:rFonts w:ascii="Times New Roman" w:hAnsi="Times New Roman"/>
          <w:sz w:val="24"/>
          <w:szCs w:val="24"/>
        </w:rPr>
        <w:t>s.</w:t>
      </w:r>
      <w:r w:rsidR="005F3F14">
        <w:rPr>
          <w:rFonts w:ascii="Times New Roman" w:hAnsi="Times New Roman"/>
          <w:sz w:val="24"/>
          <w:szCs w:val="24"/>
        </w:rPr>
        <w:t xml:space="preserve"> Vaganova E.N., Ms. Kazbekova M.A., </w:t>
      </w:r>
      <w:proofErr w:type="gramStart"/>
      <w:r w:rsidR="005F3F14">
        <w:rPr>
          <w:rFonts w:ascii="Times New Roman" w:hAnsi="Times New Roman"/>
          <w:sz w:val="24"/>
          <w:szCs w:val="24"/>
        </w:rPr>
        <w:t>Ms</w:t>
      </w:r>
      <w:proofErr w:type="gramEnd"/>
      <w:r w:rsidR="005F3F14">
        <w:rPr>
          <w:rFonts w:ascii="Times New Roman" w:hAnsi="Times New Roman"/>
          <w:sz w:val="24"/>
          <w:szCs w:val="24"/>
        </w:rPr>
        <w:t>. Sadikova A.B.</w:t>
      </w:r>
      <w:r w:rsidR="00553CBA">
        <w:rPr>
          <w:rFonts w:ascii="Times New Roman" w:hAnsi="Times New Roman"/>
          <w:sz w:val="24"/>
          <w:szCs w:val="24"/>
        </w:rPr>
        <w:t>)</w:t>
      </w:r>
      <w:r w:rsidR="0033367B">
        <w:rPr>
          <w:rFonts w:ascii="Times New Roman" w:hAnsi="Times New Roman"/>
          <w:sz w:val="24"/>
          <w:szCs w:val="24"/>
        </w:rPr>
        <w:t xml:space="preserve"> were not satisfied with the positive </w:t>
      </w:r>
      <w:r w:rsidR="005F3F14">
        <w:rPr>
          <w:rFonts w:ascii="Times New Roman" w:hAnsi="Times New Roman"/>
          <w:sz w:val="24"/>
          <w:szCs w:val="24"/>
        </w:rPr>
        <w:t xml:space="preserve">Resolution of the Working Group. They </w:t>
      </w:r>
      <w:r w:rsidR="0033367B">
        <w:rPr>
          <w:rFonts w:ascii="Times New Roman" w:hAnsi="Times New Roman"/>
          <w:sz w:val="24"/>
          <w:szCs w:val="24"/>
        </w:rPr>
        <w:t>decided to collect their own data with the help of police and conduct the “alternative research”</w:t>
      </w:r>
      <w:r w:rsidR="005F3F14">
        <w:rPr>
          <w:rFonts w:ascii="Times New Roman" w:hAnsi="Times New Roman"/>
          <w:sz w:val="24"/>
          <w:szCs w:val="24"/>
        </w:rPr>
        <w:t xml:space="preserve"> in the cities of </w:t>
      </w:r>
      <w:r w:rsidR="005F3F14" w:rsidRPr="005F3F14">
        <w:rPr>
          <w:rFonts w:ascii="Times New Roman" w:hAnsi="Times New Roman"/>
          <w:sz w:val="24"/>
          <w:szCs w:val="24"/>
        </w:rPr>
        <w:t>Temirtau, Karaganda, Pavlodar</w:t>
      </w:r>
      <w:r w:rsidR="005F3F14">
        <w:rPr>
          <w:rFonts w:ascii="Times New Roman" w:hAnsi="Times New Roman"/>
          <w:sz w:val="24"/>
          <w:szCs w:val="24"/>
        </w:rPr>
        <w:t>, Taraz, Kyzylorda,</w:t>
      </w:r>
      <w:r w:rsidR="005F3F14" w:rsidRPr="005F3F14">
        <w:rPr>
          <w:rFonts w:ascii="Times New Roman" w:hAnsi="Times New Roman"/>
          <w:sz w:val="24"/>
          <w:szCs w:val="24"/>
        </w:rPr>
        <w:t xml:space="preserve"> and Ekibastuz</w:t>
      </w:r>
      <w:r w:rsidR="0033367B">
        <w:rPr>
          <w:rFonts w:ascii="Times New Roman" w:hAnsi="Times New Roman"/>
          <w:sz w:val="24"/>
          <w:szCs w:val="24"/>
        </w:rPr>
        <w:t xml:space="preserve">. These members acted outside the mandate of the Working Group, did not follow the approved methodology and acted contrary to patients’ right to informed consent, </w:t>
      </w:r>
      <w:r w:rsidR="00DD007B">
        <w:rPr>
          <w:rFonts w:ascii="Times New Roman" w:hAnsi="Times New Roman"/>
          <w:sz w:val="24"/>
          <w:szCs w:val="24"/>
        </w:rPr>
        <w:t xml:space="preserve">the </w:t>
      </w:r>
      <w:r w:rsidR="0033367B">
        <w:rPr>
          <w:rFonts w:ascii="Times New Roman" w:hAnsi="Times New Roman"/>
          <w:sz w:val="24"/>
          <w:szCs w:val="24"/>
        </w:rPr>
        <w:t xml:space="preserve">right to confidentiality of medical information, and </w:t>
      </w:r>
      <w:r w:rsidR="00DD007B">
        <w:rPr>
          <w:rFonts w:ascii="Times New Roman" w:hAnsi="Times New Roman"/>
          <w:sz w:val="24"/>
          <w:szCs w:val="24"/>
        </w:rPr>
        <w:t xml:space="preserve">the </w:t>
      </w:r>
      <w:r w:rsidR="0033367B">
        <w:rPr>
          <w:rFonts w:ascii="Times New Roman" w:hAnsi="Times New Roman"/>
          <w:sz w:val="24"/>
          <w:szCs w:val="24"/>
        </w:rPr>
        <w:t xml:space="preserve">right to respect for human dignity. In the cities of Pavlodar and </w:t>
      </w:r>
      <w:proofErr w:type="spellStart"/>
      <w:r w:rsidR="0033367B">
        <w:rPr>
          <w:rFonts w:ascii="Times New Roman" w:hAnsi="Times New Roman"/>
          <w:sz w:val="24"/>
          <w:szCs w:val="24"/>
        </w:rPr>
        <w:t>Timirtay</w:t>
      </w:r>
      <w:proofErr w:type="spellEnd"/>
      <w:r w:rsidR="0033367B">
        <w:rPr>
          <w:rFonts w:ascii="Times New Roman" w:hAnsi="Times New Roman"/>
          <w:sz w:val="24"/>
          <w:szCs w:val="24"/>
        </w:rPr>
        <w:t xml:space="preserve">, </w:t>
      </w:r>
      <w:r w:rsidR="00DD007B">
        <w:rPr>
          <w:rFonts w:ascii="Times New Roman" w:hAnsi="Times New Roman"/>
          <w:sz w:val="24"/>
          <w:szCs w:val="24"/>
        </w:rPr>
        <w:t>the “alternative research” group</w:t>
      </w:r>
      <w:r w:rsidR="0033367B">
        <w:rPr>
          <w:rFonts w:ascii="Times New Roman" w:hAnsi="Times New Roman"/>
          <w:sz w:val="24"/>
          <w:szCs w:val="24"/>
        </w:rPr>
        <w:t xml:space="preserve"> members committed the most profound violations of patients’ rights. </w:t>
      </w:r>
    </w:p>
    <w:p w14:paraId="0FBDB0CB" w14:textId="04386F51" w:rsidR="001035E9" w:rsidRPr="001035E9" w:rsidRDefault="001035E9" w:rsidP="001035E9">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As a result of its work, t</w:t>
      </w:r>
      <w:r w:rsidR="0033367B">
        <w:rPr>
          <w:rFonts w:ascii="Times New Roman" w:hAnsi="Times New Roman"/>
          <w:sz w:val="24"/>
          <w:szCs w:val="24"/>
        </w:rPr>
        <w:t xml:space="preserve">he “alternative research” group </w:t>
      </w:r>
      <w:r>
        <w:rPr>
          <w:rFonts w:ascii="Times New Roman" w:hAnsi="Times New Roman"/>
          <w:sz w:val="24"/>
          <w:szCs w:val="24"/>
        </w:rPr>
        <w:t xml:space="preserve">produced a “Special Opinion” with a conclusion that OMT is not effective and should be terminated. The “Special </w:t>
      </w:r>
      <w:r>
        <w:rPr>
          <w:rFonts w:ascii="Times New Roman" w:hAnsi="Times New Roman"/>
          <w:sz w:val="24"/>
          <w:szCs w:val="24"/>
        </w:rPr>
        <w:lastRenderedPageBreak/>
        <w:t xml:space="preserve">Opinion” is based on the misleading information apparently from Russian language internet. For example, the “Special Opinion” asserts that </w:t>
      </w:r>
      <w:r w:rsidRPr="001035E9">
        <w:rPr>
          <w:rFonts w:ascii="Times New Roman" w:hAnsi="Times New Roman"/>
          <w:sz w:val="24"/>
          <w:szCs w:val="24"/>
        </w:rPr>
        <w:t>Australia, Holland, Netherlands, Sweden and Switzerland have stopped OMT in their countries</w:t>
      </w:r>
      <w:r>
        <w:rPr>
          <w:rFonts w:ascii="Times New Roman" w:hAnsi="Times New Roman"/>
          <w:sz w:val="24"/>
          <w:szCs w:val="24"/>
        </w:rPr>
        <w:t xml:space="preserve">. </w:t>
      </w:r>
    </w:p>
    <w:p w14:paraId="5B711943" w14:textId="035AB6C9" w:rsidR="00F27326" w:rsidRDefault="001035E9" w:rsidP="001035E9">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Despite the fact that the “alternative research” group </w:t>
      </w:r>
      <w:r w:rsidR="0033367B">
        <w:rPr>
          <w:rFonts w:ascii="Times New Roman" w:hAnsi="Times New Roman"/>
          <w:sz w:val="24"/>
          <w:szCs w:val="24"/>
        </w:rPr>
        <w:t xml:space="preserve">acted outside the mandate of the Working Group and health law procedures, and despite the magnitude and the severity of human rights violations committed by the “alternative research” group, </w:t>
      </w:r>
      <w:r w:rsidR="00960841">
        <w:rPr>
          <w:rFonts w:ascii="Times New Roman" w:hAnsi="Times New Roman"/>
          <w:sz w:val="24"/>
          <w:szCs w:val="24"/>
        </w:rPr>
        <w:t xml:space="preserve">as well as </w:t>
      </w:r>
      <w:r w:rsidR="00DD007B">
        <w:rPr>
          <w:rFonts w:ascii="Times New Roman" w:hAnsi="Times New Roman"/>
          <w:sz w:val="24"/>
          <w:szCs w:val="24"/>
        </w:rPr>
        <w:t xml:space="preserve">the </w:t>
      </w:r>
      <w:r w:rsidR="00960841">
        <w:rPr>
          <w:rFonts w:ascii="Times New Roman" w:hAnsi="Times New Roman"/>
          <w:sz w:val="24"/>
          <w:szCs w:val="24"/>
        </w:rPr>
        <w:t>misleading</w:t>
      </w:r>
      <w:r w:rsidR="00DD007B">
        <w:rPr>
          <w:rFonts w:ascii="Times New Roman" w:hAnsi="Times New Roman"/>
          <w:sz w:val="24"/>
          <w:szCs w:val="24"/>
        </w:rPr>
        <w:t xml:space="preserve"> facts, </w:t>
      </w:r>
      <w:r>
        <w:rPr>
          <w:rFonts w:ascii="Times New Roman" w:hAnsi="Times New Roman"/>
          <w:sz w:val="24"/>
          <w:szCs w:val="24"/>
        </w:rPr>
        <w:t xml:space="preserve">the “Special Opinion” </w:t>
      </w:r>
      <w:r w:rsidR="00DD007B">
        <w:rPr>
          <w:rFonts w:ascii="Times New Roman" w:hAnsi="Times New Roman"/>
          <w:sz w:val="24"/>
          <w:szCs w:val="24"/>
        </w:rPr>
        <w:t>apparently was</w:t>
      </w:r>
      <w:r w:rsidR="0033367B">
        <w:rPr>
          <w:rFonts w:ascii="Times New Roman" w:hAnsi="Times New Roman"/>
          <w:sz w:val="24"/>
          <w:szCs w:val="24"/>
        </w:rPr>
        <w:t xml:space="preserve"> presented during the meeting on 20 December 2017</w:t>
      </w:r>
      <w:r w:rsidR="00960841">
        <w:rPr>
          <w:rFonts w:ascii="Times New Roman" w:hAnsi="Times New Roman"/>
          <w:sz w:val="24"/>
          <w:szCs w:val="24"/>
        </w:rPr>
        <w:t xml:space="preserve"> with participation of r</w:t>
      </w:r>
      <w:r w:rsidR="0033367B">
        <w:rPr>
          <w:rFonts w:ascii="Times New Roman" w:hAnsi="Times New Roman"/>
          <w:sz w:val="24"/>
          <w:szCs w:val="24"/>
        </w:rPr>
        <w:t>epresentatives of the Ministr</w:t>
      </w:r>
      <w:r w:rsidR="00960841">
        <w:rPr>
          <w:rFonts w:ascii="Times New Roman" w:hAnsi="Times New Roman"/>
          <w:sz w:val="24"/>
          <w:szCs w:val="24"/>
        </w:rPr>
        <w:t>y</w:t>
      </w:r>
      <w:r w:rsidR="0033367B">
        <w:rPr>
          <w:rFonts w:ascii="Times New Roman" w:hAnsi="Times New Roman"/>
          <w:sz w:val="24"/>
          <w:szCs w:val="24"/>
        </w:rPr>
        <w:t xml:space="preserve"> of Health, the Ministr</w:t>
      </w:r>
      <w:r w:rsidR="00960841">
        <w:rPr>
          <w:rFonts w:ascii="Times New Roman" w:hAnsi="Times New Roman"/>
          <w:sz w:val="24"/>
          <w:szCs w:val="24"/>
        </w:rPr>
        <w:t>y</w:t>
      </w:r>
      <w:r w:rsidR="0033367B">
        <w:rPr>
          <w:rFonts w:ascii="Times New Roman" w:hAnsi="Times New Roman"/>
          <w:sz w:val="24"/>
          <w:szCs w:val="24"/>
        </w:rPr>
        <w:t xml:space="preserve"> of Interior, the Minist</w:t>
      </w:r>
      <w:r w:rsidR="00960841">
        <w:rPr>
          <w:rFonts w:ascii="Times New Roman" w:hAnsi="Times New Roman"/>
          <w:sz w:val="24"/>
          <w:szCs w:val="24"/>
        </w:rPr>
        <w:t xml:space="preserve">ry </w:t>
      </w:r>
      <w:r w:rsidR="0033367B">
        <w:rPr>
          <w:rFonts w:ascii="Times New Roman" w:hAnsi="Times New Roman"/>
          <w:sz w:val="24"/>
          <w:szCs w:val="24"/>
        </w:rPr>
        <w:t>of Justice, and the Prosecutor General</w:t>
      </w:r>
      <w:r w:rsidR="00960841">
        <w:rPr>
          <w:rFonts w:ascii="Times New Roman" w:hAnsi="Times New Roman"/>
          <w:sz w:val="24"/>
          <w:szCs w:val="24"/>
        </w:rPr>
        <w:t xml:space="preserve">’s Office. </w:t>
      </w:r>
      <w:r w:rsidR="00FE6730">
        <w:rPr>
          <w:rFonts w:ascii="Times New Roman" w:hAnsi="Times New Roman"/>
          <w:sz w:val="24"/>
          <w:szCs w:val="24"/>
        </w:rPr>
        <w:t xml:space="preserve"> Subsequently, th</w:t>
      </w:r>
      <w:r>
        <w:rPr>
          <w:rFonts w:ascii="Times New Roman" w:hAnsi="Times New Roman"/>
          <w:sz w:val="24"/>
          <w:szCs w:val="24"/>
        </w:rPr>
        <w:t xml:space="preserve">e Ministry of Interior issued information </w:t>
      </w:r>
      <w:r w:rsidR="00FE6730">
        <w:rPr>
          <w:rFonts w:ascii="Times New Roman" w:hAnsi="Times New Roman"/>
          <w:sz w:val="24"/>
          <w:szCs w:val="24"/>
        </w:rPr>
        <w:t xml:space="preserve">about establishing a new commission for </w:t>
      </w:r>
      <w:r w:rsidR="00600671">
        <w:rPr>
          <w:rFonts w:ascii="Times New Roman" w:hAnsi="Times New Roman"/>
          <w:sz w:val="24"/>
          <w:szCs w:val="24"/>
        </w:rPr>
        <w:t xml:space="preserve">additional </w:t>
      </w:r>
      <w:r w:rsidR="00FE6730">
        <w:rPr>
          <w:rFonts w:ascii="Times New Roman" w:hAnsi="Times New Roman"/>
          <w:sz w:val="24"/>
          <w:szCs w:val="24"/>
        </w:rPr>
        <w:t xml:space="preserve">assessment of </w:t>
      </w:r>
      <w:r w:rsidR="00600671">
        <w:rPr>
          <w:rFonts w:ascii="Times New Roman" w:hAnsi="Times New Roman"/>
          <w:sz w:val="24"/>
          <w:szCs w:val="24"/>
        </w:rPr>
        <w:t xml:space="preserve">effectiveness of </w:t>
      </w:r>
      <w:r w:rsidR="00FE6730">
        <w:rPr>
          <w:rFonts w:ascii="Times New Roman" w:hAnsi="Times New Roman"/>
          <w:sz w:val="24"/>
          <w:szCs w:val="24"/>
        </w:rPr>
        <w:t xml:space="preserve">OMT with participation of </w:t>
      </w:r>
      <w:r w:rsidR="00600671">
        <w:rPr>
          <w:rFonts w:ascii="Times New Roman" w:hAnsi="Times New Roman"/>
          <w:sz w:val="24"/>
          <w:szCs w:val="24"/>
        </w:rPr>
        <w:t xml:space="preserve">the </w:t>
      </w:r>
      <w:r w:rsidR="00FE6730">
        <w:rPr>
          <w:rFonts w:ascii="Times New Roman" w:hAnsi="Times New Roman"/>
          <w:sz w:val="24"/>
          <w:szCs w:val="24"/>
        </w:rPr>
        <w:t>National Security Committee and Foreign Intelligence Service</w:t>
      </w:r>
      <w:r>
        <w:rPr>
          <w:rFonts w:ascii="Times New Roman" w:hAnsi="Times New Roman"/>
          <w:sz w:val="24"/>
          <w:szCs w:val="24"/>
        </w:rPr>
        <w:t>. Following this information</w:t>
      </w:r>
      <w:r w:rsidR="00FE6730">
        <w:rPr>
          <w:rFonts w:ascii="Times New Roman" w:hAnsi="Times New Roman"/>
          <w:sz w:val="24"/>
          <w:szCs w:val="24"/>
        </w:rPr>
        <w:t xml:space="preserve"> </w:t>
      </w:r>
      <w:r>
        <w:rPr>
          <w:rFonts w:ascii="Times New Roman" w:hAnsi="Times New Roman"/>
          <w:sz w:val="24"/>
          <w:szCs w:val="24"/>
        </w:rPr>
        <w:t>the</w:t>
      </w:r>
      <w:r w:rsidR="00FE6730">
        <w:rPr>
          <w:rFonts w:ascii="Times New Roman" w:hAnsi="Times New Roman"/>
          <w:sz w:val="24"/>
          <w:szCs w:val="24"/>
        </w:rPr>
        <w:t xml:space="preserve"> admission of new patients in the methadone maintenance therapy was stopped as of January 2018.  </w:t>
      </w:r>
    </w:p>
    <w:p w14:paraId="1CE2FD01" w14:textId="77777777"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The situation of uncertainty continues, while the time is critical because the Global Fund will not provide funding for 2019 and the national funds should be allocated for OMT. </w:t>
      </w:r>
    </w:p>
    <w:p w14:paraId="4B10C4C9" w14:textId="77777777" w:rsidR="00F27326" w:rsidRDefault="00F27326">
      <w:pPr>
        <w:pStyle w:val="BodyA"/>
        <w:spacing w:before="100" w:after="100" w:line="240" w:lineRule="auto"/>
        <w:rPr>
          <w:rFonts w:ascii="Times New Roman" w:eastAsia="Times New Roman" w:hAnsi="Times New Roman" w:cs="Times New Roman"/>
          <w:sz w:val="24"/>
          <w:szCs w:val="24"/>
        </w:rPr>
      </w:pPr>
    </w:p>
    <w:p w14:paraId="6A6603D6" w14:textId="77777777" w:rsidR="00F27326" w:rsidRDefault="0033367B">
      <w:pPr>
        <w:pStyle w:val="BodyA"/>
        <w:spacing w:before="100" w:after="100" w:line="240" w:lineRule="auto"/>
        <w:ind w:left="720"/>
        <w:rPr>
          <w:rFonts w:ascii="Times New Roman" w:eastAsia="Times New Roman" w:hAnsi="Times New Roman" w:cs="Times New Roman"/>
          <w:sz w:val="24"/>
          <w:szCs w:val="24"/>
          <w:u w:val="single"/>
        </w:rPr>
      </w:pPr>
      <w:r>
        <w:rPr>
          <w:rFonts w:ascii="Times New Roman" w:hAnsi="Times New Roman"/>
          <w:sz w:val="24"/>
          <w:szCs w:val="24"/>
          <w:u w:val="single"/>
        </w:rPr>
        <w:t>Violations of the right to informed consent</w:t>
      </w:r>
    </w:p>
    <w:p w14:paraId="66AE2712" w14:textId="37FA7140"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According to OMT clients, the </w:t>
      </w:r>
      <w:r w:rsidR="00887B72">
        <w:rPr>
          <w:rFonts w:ascii="Times New Roman" w:hAnsi="Times New Roman"/>
          <w:sz w:val="24"/>
          <w:szCs w:val="24"/>
        </w:rPr>
        <w:t>“alternative research” group</w:t>
      </w:r>
      <w:r>
        <w:rPr>
          <w:rFonts w:ascii="Times New Roman" w:hAnsi="Times New Roman"/>
          <w:sz w:val="24"/>
          <w:szCs w:val="24"/>
        </w:rPr>
        <w:t xml:space="preserve"> members often did not introduce themselves or their official mandate or duties. Some patien</w:t>
      </w:r>
      <w:r w:rsidR="00DD007B">
        <w:rPr>
          <w:rFonts w:ascii="Times New Roman" w:hAnsi="Times New Roman"/>
          <w:sz w:val="24"/>
          <w:szCs w:val="24"/>
        </w:rPr>
        <w:t xml:space="preserve">ts were led to believe that </w:t>
      </w:r>
      <w:r w:rsidR="00887B72">
        <w:rPr>
          <w:rFonts w:ascii="Times New Roman" w:hAnsi="Times New Roman"/>
          <w:sz w:val="24"/>
          <w:szCs w:val="24"/>
        </w:rPr>
        <w:t>there</w:t>
      </w:r>
      <w:r>
        <w:rPr>
          <w:rFonts w:ascii="Times New Roman" w:hAnsi="Times New Roman"/>
          <w:sz w:val="24"/>
          <w:szCs w:val="24"/>
        </w:rPr>
        <w:t xml:space="preserve"> was a Parliament’s Commission which consisted of some MPs. </w:t>
      </w:r>
    </w:p>
    <w:p w14:paraId="421DC0D2" w14:textId="7197E0D6"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Members of the </w:t>
      </w:r>
      <w:r w:rsidR="00887B72">
        <w:rPr>
          <w:rFonts w:ascii="Times New Roman" w:hAnsi="Times New Roman"/>
          <w:sz w:val="24"/>
          <w:szCs w:val="24"/>
        </w:rPr>
        <w:t>“alternative research” group</w:t>
      </w:r>
      <w:r>
        <w:rPr>
          <w:rFonts w:ascii="Times New Roman" w:hAnsi="Times New Roman"/>
          <w:sz w:val="24"/>
          <w:szCs w:val="24"/>
        </w:rPr>
        <w:t xml:space="preserve"> coerced patients to submit to interviews about the OMT Program and some patients were forced to give urine for drug testing. No consent forms were signed for the taking of these urine sample and patients were threatened with the termination of the OMT program if they did not cooperate. </w:t>
      </w:r>
      <w:r w:rsidR="00DD007B">
        <w:rPr>
          <w:rFonts w:ascii="Times New Roman" w:hAnsi="Times New Roman"/>
          <w:sz w:val="24"/>
          <w:szCs w:val="24"/>
        </w:rPr>
        <w:t>P</w:t>
      </w:r>
      <w:r>
        <w:rPr>
          <w:rFonts w:ascii="Times New Roman" w:hAnsi="Times New Roman"/>
          <w:sz w:val="24"/>
          <w:szCs w:val="24"/>
        </w:rPr>
        <w:t>atients fel</w:t>
      </w:r>
      <w:r w:rsidR="00DD007B">
        <w:rPr>
          <w:rFonts w:ascii="Times New Roman" w:hAnsi="Times New Roman"/>
          <w:sz w:val="24"/>
          <w:szCs w:val="24"/>
        </w:rPr>
        <w:t>t</w:t>
      </w:r>
      <w:r>
        <w:rPr>
          <w:rFonts w:ascii="Times New Roman" w:hAnsi="Times New Roman"/>
          <w:sz w:val="24"/>
          <w:szCs w:val="24"/>
        </w:rPr>
        <w:t xml:space="preserve"> very disturbed and frightened that the government could </w:t>
      </w:r>
      <w:r w:rsidR="006C1F42">
        <w:rPr>
          <w:rFonts w:ascii="Times New Roman" w:hAnsi="Times New Roman"/>
          <w:sz w:val="24"/>
          <w:szCs w:val="24"/>
        </w:rPr>
        <w:t>terminate</w:t>
      </w:r>
      <w:r>
        <w:rPr>
          <w:rFonts w:ascii="Times New Roman" w:hAnsi="Times New Roman"/>
          <w:sz w:val="24"/>
          <w:szCs w:val="24"/>
        </w:rPr>
        <w:t xml:space="preserve"> the program. </w:t>
      </w:r>
    </w:p>
    <w:p w14:paraId="0A7B059E" w14:textId="24F3EE19"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Patients were not informed of how the urine test results</w:t>
      </w:r>
      <w:r w:rsidR="00887B72">
        <w:rPr>
          <w:rFonts w:ascii="Times New Roman" w:hAnsi="Times New Roman"/>
          <w:sz w:val="24"/>
          <w:szCs w:val="24"/>
        </w:rPr>
        <w:t xml:space="preserve"> would be used. Patients were not provided </w:t>
      </w:r>
      <w:r>
        <w:rPr>
          <w:rFonts w:ascii="Times New Roman" w:hAnsi="Times New Roman"/>
          <w:sz w:val="24"/>
          <w:szCs w:val="24"/>
        </w:rPr>
        <w:t>information about how they could contact any authority to</w:t>
      </w:r>
      <w:r w:rsidR="00887B72">
        <w:rPr>
          <w:rFonts w:ascii="Times New Roman" w:hAnsi="Times New Roman"/>
          <w:sz w:val="24"/>
          <w:szCs w:val="24"/>
        </w:rPr>
        <w:t xml:space="preserve"> learn more about </w:t>
      </w:r>
      <w:r>
        <w:rPr>
          <w:rFonts w:ascii="Times New Roman" w:hAnsi="Times New Roman"/>
          <w:sz w:val="24"/>
          <w:szCs w:val="24"/>
        </w:rPr>
        <w:t>the research</w:t>
      </w:r>
      <w:r w:rsidR="00887B72">
        <w:rPr>
          <w:rFonts w:ascii="Times New Roman" w:hAnsi="Times New Roman"/>
          <w:sz w:val="24"/>
          <w:szCs w:val="24"/>
        </w:rPr>
        <w:t xml:space="preserve"> and the research</w:t>
      </w:r>
      <w:r>
        <w:rPr>
          <w:rFonts w:ascii="Times New Roman" w:hAnsi="Times New Roman"/>
          <w:sz w:val="24"/>
          <w:szCs w:val="24"/>
        </w:rPr>
        <w:t xml:space="preserve"> results. </w:t>
      </w:r>
    </w:p>
    <w:p w14:paraId="2C934342" w14:textId="6A995B3D" w:rsidR="00F27326" w:rsidRDefault="0033367B"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In some cities, </w:t>
      </w:r>
      <w:r w:rsidR="00887B72">
        <w:rPr>
          <w:rFonts w:ascii="Times New Roman" w:hAnsi="Times New Roman"/>
          <w:sz w:val="24"/>
          <w:szCs w:val="24"/>
        </w:rPr>
        <w:t>the “alternative research” group</w:t>
      </w:r>
      <w:r>
        <w:rPr>
          <w:rFonts w:ascii="Times New Roman" w:hAnsi="Times New Roman"/>
          <w:sz w:val="24"/>
          <w:szCs w:val="24"/>
        </w:rPr>
        <w:t xml:space="preserve"> members accompanied by local police officers visited patients’ homes at around 11 pm and demanded access to their homes under threat of some vague, adverse legal consequences. In some cases, </w:t>
      </w:r>
      <w:r w:rsidR="00887B72" w:rsidRPr="00887B72">
        <w:rPr>
          <w:rFonts w:ascii="Times New Roman" w:hAnsi="Times New Roman"/>
          <w:sz w:val="24"/>
          <w:szCs w:val="24"/>
        </w:rPr>
        <w:t>“alternative research” group members</w:t>
      </w:r>
      <w:r>
        <w:rPr>
          <w:rFonts w:ascii="Times New Roman" w:hAnsi="Times New Roman"/>
          <w:sz w:val="24"/>
          <w:szCs w:val="24"/>
        </w:rPr>
        <w:t xml:space="preserve"> forced former OMT patients and their family members to provide information about OMT</w:t>
      </w:r>
      <w:r w:rsidR="006C1F42">
        <w:rPr>
          <w:rFonts w:ascii="Times New Roman" w:hAnsi="Times New Roman"/>
          <w:sz w:val="24"/>
          <w:szCs w:val="24"/>
        </w:rPr>
        <w:t xml:space="preserve"> Program</w:t>
      </w:r>
      <w:r>
        <w:rPr>
          <w:rFonts w:ascii="Times New Roman" w:hAnsi="Times New Roman"/>
          <w:sz w:val="24"/>
          <w:szCs w:val="24"/>
        </w:rPr>
        <w:t xml:space="preserve"> and other clients of the Program. </w:t>
      </w:r>
    </w:p>
    <w:p w14:paraId="2888120C" w14:textId="56256880" w:rsidR="00F27326" w:rsidRDefault="0033367B"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No single patient gave his/her informed consent to medical doctors to disclose information about their diagnosis to any </w:t>
      </w:r>
      <w:r w:rsidR="00887B72" w:rsidRPr="00887B72">
        <w:rPr>
          <w:rFonts w:ascii="Times New Roman" w:hAnsi="Times New Roman"/>
          <w:sz w:val="24"/>
          <w:szCs w:val="24"/>
        </w:rPr>
        <w:t xml:space="preserve">“alternative research” group members </w:t>
      </w:r>
      <w:r>
        <w:rPr>
          <w:rFonts w:ascii="Times New Roman" w:hAnsi="Times New Roman"/>
          <w:sz w:val="24"/>
          <w:szCs w:val="24"/>
        </w:rPr>
        <w:t xml:space="preserve">or other government bodies. The laws of the Republic of Kazakhstan do not permit doctors to share legally protected medical and personal information with any research </w:t>
      </w:r>
      <w:r w:rsidR="006C1F42">
        <w:rPr>
          <w:rFonts w:ascii="Times New Roman" w:hAnsi="Times New Roman"/>
          <w:sz w:val="24"/>
          <w:szCs w:val="24"/>
        </w:rPr>
        <w:t>groups</w:t>
      </w:r>
      <w:r>
        <w:rPr>
          <w:rFonts w:ascii="Times New Roman" w:hAnsi="Times New Roman"/>
          <w:sz w:val="24"/>
          <w:szCs w:val="24"/>
        </w:rPr>
        <w:t>. In fact, the laws of the Republic of Kazakhstan do not provide a Parliament or a Minister of Health to form commissions/working groups to conduct any research of medical services or programs. There is a legal procedure for the evaluation of the quality of medical services but neither Parliamen</w:t>
      </w:r>
      <w:r w:rsidR="00887B72">
        <w:rPr>
          <w:rFonts w:ascii="Times New Roman" w:hAnsi="Times New Roman"/>
          <w:sz w:val="24"/>
          <w:szCs w:val="24"/>
        </w:rPr>
        <w:t xml:space="preserve">t nor the Minister of Health </w:t>
      </w:r>
      <w:r w:rsidR="006C1F42">
        <w:rPr>
          <w:rFonts w:ascii="Times New Roman" w:hAnsi="Times New Roman"/>
          <w:sz w:val="24"/>
          <w:szCs w:val="24"/>
        </w:rPr>
        <w:t>has</w:t>
      </w:r>
      <w:r>
        <w:rPr>
          <w:rFonts w:ascii="Times New Roman" w:hAnsi="Times New Roman"/>
          <w:sz w:val="24"/>
          <w:szCs w:val="24"/>
        </w:rPr>
        <w:t xml:space="preserve"> any mandates as part of this procedure.</w:t>
      </w:r>
    </w:p>
    <w:p w14:paraId="5599A31A" w14:textId="77777777" w:rsidR="00887B72" w:rsidRDefault="00887B72">
      <w:pPr>
        <w:pStyle w:val="BodyA"/>
        <w:spacing w:before="100" w:after="100" w:line="240" w:lineRule="auto"/>
        <w:rPr>
          <w:rFonts w:ascii="Times New Roman" w:eastAsia="Times New Roman" w:hAnsi="Times New Roman" w:cs="Times New Roman"/>
          <w:sz w:val="24"/>
          <w:szCs w:val="24"/>
        </w:rPr>
      </w:pPr>
    </w:p>
    <w:p w14:paraId="4CCCE404" w14:textId="77777777" w:rsidR="00F27326" w:rsidRDefault="0033367B">
      <w:pPr>
        <w:pStyle w:val="BodyA"/>
        <w:spacing w:before="100" w:after="100" w:line="240" w:lineRule="auto"/>
        <w:ind w:left="720"/>
        <w:rPr>
          <w:rFonts w:ascii="Times New Roman" w:eastAsia="Times New Roman" w:hAnsi="Times New Roman" w:cs="Times New Roman"/>
          <w:sz w:val="24"/>
          <w:szCs w:val="24"/>
          <w:u w:val="single"/>
        </w:rPr>
      </w:pPr>
      <w:r>
        <w:rPr>
          <w:rFonts w:ascii="Times New Roman" w:hAnsi="Times New Roman"/>
          <w:sz w:val="24"/>
          <w:szCs w:val="24"/>
          <w:u w:val="single"/>
        </w:rPr>
        <w:t>Violations of the right to dignity and the right to non-discrimination</w:t>
      </w:r>
    </w:p>
    <w:p w14:paraId="6B54542D" w14:textId="71BB9870" w:rsidR="00F27326" w:rsidRDefault="0033367B"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patients report that </w:t>
      </w:r>
      <w:r w:rsidR="00887B72" w:rsidRPr="00887B72">
        <w:rPr>
          <w:rFonts w:ascii="Times New Roman" w:hAnsi="Times New Roman"/>
          <w:sz w:val="24"/>
          <w:szCs w:val="24"/>
        </w:rPr>
        <w:t xml:space="preserve">“alternative research” group members </w:t>
      </w:r>
      <w:r>
        <w:rPr>
          <w:rFonts w:ascii="Times New Roman" w:hAnsi="Times New Roman"/>
          <w:sz w:val="24"/>
          <w:szCs w:val="24"/>
        </w:rPr>
        <w:t xml:space="preserve">referred to them as people with weak will power (allegedly referring to their inability to stop using methadone), provoking emotional responses from patients. </w:t>
      </w:r>
    </w:p>
    <w:p w14:paraId="1D2E43AD" w14:textId="5045E3AA" w:rsidR="00F27326" w:rsidRDefault="0033367B"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w:t>
      </w:r>
      <w:r w:rsidR="00887B72" w:rsidRPr="00887B72">
        <w:rPr>
          <w:rFonts w:ascii="Times New Roman" w:hAnsi="Times New Roman"/>
          <w:sz w:val="24"/>
          <w:szCs w:val="24"/>
        </w:rPr>
        <w:t xml:space="preserve">“alternative research” group members </w:t>
      </w:r>
      <w:r>
        <w:rPr>
          <w:rFonts w:ascii="Times New Roman" w:hAnsi="Times New Roman"/>
          <w:sz w:val="24"/>
          <w:szCs w:val="24"/>
        </w:rPr>
        <w:t xml:space="preserve">promoted private (commercial) drug rehabilitation centers, advising patients to stop taking methadone and to start abstinence-oriented treatment in those centers. </w:t>
      </w:r>
    </w:p>
    <w:p w14:paraId="12E70B1C" w14:textId="6AE96DAA" w:rsidR="00F27326" w:rsidRDefault="0033367B"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Some </w:t>
      </w:r>
      <w:r w:rsidR="00887B72" w:rsidRPr="00887B72">
        <w:rPr>
          <w:rFonts w:ascii="Times New Roman" w:hAnsi="Times New Roman"/>
          <w:sz w:val="24"/>
          <w:szCs w:val="24"/>
        </w:rPr>
        <w:t xml:space="preserve">“alternative research” group members </w:t>
      </w:r>
      <w:r>
        <w:rPr>
          <w:rFonts w:ascii="Times New Roman" w:hAnsi="Times New Roman"/>
          <w:sz w:val="24"/>
          <w:szCs w:val="24"/>
        </w:rPr>
        <w:t xml:space="preserve">often spoke to patients in a disrespectful, loud tone, and were present when male and female patients collected urine samples. In at least one case, local police officers waited for patients near the OMT site in the morning to escort them for an interview with </w:t>
      </w:r>
      <w:r w:rsidR="00887B72">
        <w:rPr>
          <w:rFonts w:ascii="Times New Roman" w:hAnsi="Times New Roman"/>
          <w:sz w:val="24"/>
          <w:szCs w:val="24"/>
        </w:rPr>
        <w:t xml:space="preserve">the </w:t>
      </w:r>
      <w:r w:rsidR="00887B72" w:rsidRPr="00887B72">
        <w:rPr>
          <w:rFonts w:ascii="Times New Roman" w:hAnsi="Times New Roman"/>
          <w:sz w:val="24"/>
          <w:szCs w:val="24"/>
        </w:rPr>
        <w:t xml:space="preserve">“alternative research” group members </w:t>
      </w:r>
      <w:r>
        <w:rPr>
          <w:rFonts w:ascii="Times New Roman" w:hAnsi="Times New Roman"/>
          <w:sz w:val="24"/>
          <w:szCs w:val="24"/>
        </w:rPr>
        <w:t xml:space="preserve">acting on their own initiative. </w:t>
      </w:r>
    </w:p>
    <w:p w14:paraId="44A1DAAF" w14:textId="77777777" w:rsidR="00F27326" w:rsidRDefault="0033367B">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Patients confirm that they strongly suspect that medical doctors share medical information with police in order for police to harass OMT clients, inflicting much harm on patients’ willingness to join and remain in the program. </w:t>
      </w:r>
    </w:p>
    <w:p w14:paraId="104F372E" w14:textId="46548BC2" w:rsidR="00F27326" w:rsidRDefault="00887B72" w:rsidP="00887B72">
      <w:pPr>
        <w:pStyle w:val="BodyA"/>
        <w:numPr>
          <w:ilvl w:val="0"/>
          <w:numId w:val="6"/>
        </w:numPr>
        <w:spacing w:before="100" w:after="100" w:line="240" w:lineRule="auto"/>
        <w:rPr>
          <w:rFonts w:ascii="Times New Roman" w:eastAsia="Times New Roman" w:hAnsi="Times New Roman" w:cs="Times New Roman"/>
          <w:sz w:val="24"/>
          <w:szCs w:val="24"/>
        </w:rPr>
      </w:pPr>
      <w:r>
        <w:rPr>
          <w:rFonts w:ascii="Times New Roman" w:hAnsi="Times New Roman"/>
          <w:sz w:val="24"/>
          <w:szCs w:val="24"/>
        </w:rPr>
        <w:t xml:space="preserve">The </w:t>
      </w:r>
      <w:r w:rsidRPr="00887B72">
        <w:rPr>
          <w:rFonts w:ascii="Times New Roman" w:hAnsi="Times New Roman"/>
          <w:sz w:val="24"/>
          <w:szCs w:val="24"/>
        </w:rPr>
        <w:t xml:space="preserve">“alternative research” group members </w:t>
      </w:r>
      <w:r w:rsidR="0033367B">
        <w:rPr>
          <w:rFonts w:ascii="Times New Roman" w:hAnsi="Times New Roman"/>
          <w:sz w:val="24"/>
          <w:szCs w:val="24"/>
        </w:rPr>
        <w:t xml:space="preserve">rarely asked patients about their past criminal </w:t>
      </w:r>
      <w:r>
        <w:rPr>
          <w:rFonts w:ascii="Times New Roman" w:hAnsi="Times New Roman"/>
          <w:sz w:val="24"/>
          <w:szCs w:val="24"/>
        </w:rPr>
        <w:t>behavior</w:t>
      </w:r>
      <w:r w:rsidR="0033367B">
        <w:rPr>
          <w:rFonts w:ascii="Times New Roman" w:hAnsi="Times New Roman"/>
          <w:sz w:val="24"/>
          <w:szCs w:val="24"/>
        </w:rPr>
        <w:t xml:space="preserve">, HIV-related </w:t>
      </w:r>
      <w:r>
        <w:rPr>
          <w:rFonts w:ascii="Times New Roman" w:hAnsi="Times New Roman"/>
          <w:sz w:val="24"/>
          <w:szCs w:val="24"/>
        </w:rPr>
        <w:t>behavior</w:t>
      </w:r>
      <w:r w:rsidR="0033367B">
        <w:rPr>
          <w:rFonts w:ascii="Times New Roman" w:hAnsi="Times New Roman"/>
          <w:sz w:val="24"/>
          <w:szCs w:val="24"/>
        </w:rPr>
        <w:t xml:space="preserve">, or other changes in their life style after patients started participating in the OMT program. </w:t>
      </w:r>
      <w:r>
        <w:rPr>
          <w:rFonts w:ascii="Times New Roman" w:hAnsi="Times New Roman"/>
          <w:sz w:val="24"/>
          <w:szCs w:val="24"/>
        </w:rPr>
        <w:t xml:space="preserve">The </w:t>
      </w:r>
      <w:r w:rsidRPr="00887B72">
        <w:rPr>
          <w:rFonts w:ascii="Times New Roman" w:hAnsi="Times New Roman"/>
          <w:sz w:val="24"/>
          <w:szCs w:val="24"/>
        </w:rPr>
        <w:t xml:space="preserve">“alternative research” group members </w:t>
      </w:r>
      <w:r w:rsidR="0033367B">
        <w:rPr>
          <w:rFonts w:ascii="Times New Roman" w:hAnsi="Times New Roman"/>
          <w:sz w:val="24"/>
          <w:szCs w:val="24"/>
        </w:rPr>
        <w:t xml:space="preserve">only seemed to want to inform patients that Parliament was considering terminating the Program because it was ineffective. </w:t>
      </w:r>
    </w:p>
    <w:p w14:paraId="4A049DC0" w14:textId="77777777" w:rsidR="00F27326" w:rsidRDefault="00F27326">
      <w:pPr>
        <w:pStyle w:val="BodyA"/>
        <w:spacing w:before="100" w:after="100" w:line="240" w:lineRule="auto"/>
        <w:rPr>
          <w:rFonts w:ascii="Times New Roman" w:eastAsia="Times New Roman" w:hAnsi="Times New Roman" w:cs="Times New Roman"/>
          <w:sz w:val="24"/>
          <w:szCs w:val="24"/>
        </w:rPr>
      </w:pPr>
    </w:p>
    <w:p w14:paraId="2E24B7E0" w14:textId="77777777" w:rsidR="00F27326" w:rsidRDefault="0033367B">
      <w:pPr>
        <w:pStyle w:val="BodyA"/>
        <w:spacing w:before="100" w:after="100" w:line="240" w:lineRule="auto"/>
        <w:rPr>
          <w:rFonts w:ascii="Times New Roman" w:eastAsia="Times New Roman" w:hAnsi="Times New Roman" w:cs="Times New Roman"/>
          <w:b/>
          <w:bCs/>
          <w:sz w:val="24"/>
          <w:szCs w:val="24"/>
        </w:rPr>
      </w:pPr>
      <w:proofErr w:type="gramStart"/>
      <w:r>
        <w:rPr>
          <w:rFonts w:ascii="Times New Roman" w:hAnsi="Times New Roman"/>
          <w:b/>
          <w:bCs/>
          <w:sz w:val="24"/>
          <w:szCs w:val="24"/>
        </w:rPr>
        <w:t>Conclusions.</w:t>
      </w:r>
      <w:proofErr w:type="gramEnd"/>
    </w:p>
    <w:p w14:paraId="51AEE025" w14:textId="18353E2D" w:rsidR="00F27326" w:rsidRDefault="0033367B">
      <w:pPr>
        <w:pStyle w:val="BodyA"/>
        <w:spacing w:before="100" w:after="100" w:line="240" w:lineRule="auto"/>
        <w:rPr>
          <w:rFonts w:ascii="Times New Roman" w:hAnsi="Times New Roman"/>
          <w:sz w:val="24"/>
          <w:szCs w:val="24"/>
        </w:rPr>
      </w:pPr>
      <w:r>
        <w:rPr>
          <w:rFonts w:ascii="Times New Roman" w:hAnsi="Times New Roman"/>
          <w:sz w:val="24"/>
          <w:szCs w:val="24"/>
        </w:rPr>
        <w:t xml:space="preserve">The Republic of Kazakhstan did not fulfill CESCR recommendations to ensure that methadone as substitute drug dependence therapy is made accessible to all in need. Moreover, the current activities of </w:t>
      </w:r>
      <w:r w:rsidR="00887B72">
        <w:rPr>
          <w:rFonts w:ascii="Times New Roman" w:hAnsi="Times New Roman"/>
          <w:sz w:val="24"/>
          <w:szCs w:val="24"/>
        </w:rPr>
        <w:t xml:space="preserve">the </w:t>
      </w:r>
      <w:r w:rsidR="009B4EB8">
        <w:rPr>
          <w:rFonts w:ascii="Times New Roman" w:hAnsi="Times New Roman"/>
          <w:sz w:val="24"/>
          <w:szCs w:val="24"/>
        </w:rPr>
        <w:t xml:space="preserve">selected Members of the </w:t>
      </w:r>
      <w:r>
        <w:rPr>
          <w:rFonts w:ascii="Times New Roman" w:hAnsi="Times New Roman"/>
          <w:sz w:val="24"/>
          <w:szCs w:val="24"/>
        </w:rPr>
        <w:t xml:space="preserve">Working Group and the decision not to scale up OMT program, directly contravene the CESCR recommendations and article 12 of the International Covenant on Economic, Social and Cultural Rights. We request CESCR to include these issues into the List of issues in connection with the consideration of the second periodic report of the Republic of Kazakhstan. </w:t>
      </w:r>
    </w:p>
    <w:p w14:paraId="3CD9C821" w14:textId="77777777" w:rsidR="00F74D64" w:rsidRDefault="00F74D64">
      <w:pPr>
        <w:pStyle w:val="BodyA"/>
        <w:spacing w:before="100" w:after="100" w:line="240" w:lineRule="auto"/>
        <w:rPr>
          <w:rFonts w:ascii="Times New Roman" w:hAnsi="Times New Roman"/>
          <w:sz w:val="24"/>
          <w:szCs w:val="24"/>
        </w:rPr>
      </w:pPr>
    </w:p>
    <w:p w14:paraId="3C38B46C" w14:textId="77777777" w:rsidR="006456F2" w:rsidRDefault="006456F2">
      <w:pPr>
        <w:pStyle w:val="BodyA"/>
        <w:spacing w:before="100" w:after="100" w:line="240" w:lineRule="auto"/>
        <w:rPr>
          <w:rFonts w:ascii="Times New Roman" w:hAnsi="Times New Roman"/>
          <w:sz w:val="24"/>
          <w:szCs w:val="24"/>
        </w:rPr>
      </w:pPr>
    </w:p>
    <w:p w14:paraId="7426EAA3" w14:textId="77777777" w:rsidR="006C1F42" w:rsidRDefault="006C1F42">
      <w:pPr>
        <w:pStyle w:val="BodyA"/>
        <w:spacing w:before="100" w:after="100" w:line="240" w:lineRule="auto"/>
        <w:rPr>
          <w:rFonts w:ascii="Times New Roman" w:hAnsi="Times New Roman"/>
          <w:sz w:val="24"/>
          <w:szCs w:val="24"/>
        </w:rPr>
      </w:pPr>
    </w:p>
    <w:p w14:paraId="14045DE3" w14:textId="77777777" w:rsidR="006C1F42" w:rsidRDefault="006C1F42">
      <w:pPr>
        <w:pStyle w:val="BodyA"/>
        <w:spacing w:before="100" w:after="100" w:line="240" w:lineRule="auto"/>
        <w:rPr>
          <w:rFonts w:ascii="Times New Roman" w:hAnsi="Times New Roman"/>
          <w:sz w:val="24"/>
          <w:szCs w:val="24"/>
        </w:rPr>
      </w:pPr>
    </w:p>
    <w:p w14:paraId="06928BE2" w14:textId="77777777" w:rsidR="006C1F42" w:rsidRDefault="006C1F42">
      <w:pPr>
        <w:pStyle w:val="BodyA"/>
        <w:spacing w:before="100" w:after="100" w:line="240" w:lineRule="auto"/>
        <w:rPr>
          <w:rFonts w:ascii="Times New Roman" w:hAnsi="Times New Roman"/>
          <w:sz w:val="24"/>
          <w:szCs w:val="24"/>
        </w:rPr>
      </w:pPr>
    </w:p>
    <w:p w14:paraId="3F0D1C57" w14:textId="77777777" w:rsidR="006C1F42" w:rsidRDefault="006C1F42">
      <w:pPr>
        <w:pStyle w:val="BodyA"/>
        <w:spacing w:before="100" w:after="100" w:line="240" w:lineRule="auto"/>
        <w:rPr>
          <w:rFonts w:ascii="Times New Roman" w:hAnsi="Times New Roman"/>
          <w:sz w:val="24"/>
          <w:szCs w:val="24"/>
        </w:rPr>
      </w:pPr>
    </w:p>
    <w:p w14:paraId="75051B21" w14:textId="77777777" w:rsidR="006C1F42" w:rsidRDefault="006C1F42">
      <w:pPr>
        <w:pStyle w:val="BodyA"/>
        <w:spacing w:before="100" w:after="100" w:line="240" w:lineRule="auto"/>
        <w:rPr>
          <w:rFonts w:ascii="Times New Roman" w:hAnsi="Times New Roman"/>
          <w:sz w:val="24"/>
          <w:szCs w:val="24"/>
        </w:rPr>
      </w:pPr>
    </w:p>
    <w:p w14:paraId="18450304" w14:textId="77777777" w:rsidR="00B9636D" w:rsidRDefault="00B9636D">
      <w:pPr>
        <w:pStyle w:val="BodyA"/>
        <w:spacing w:before="100" w:after="100" w:line="240" w:lineRule="auto"/>
        <w:rPr>
          <w:rFonts w:ascii="Times New Roman" w:hAnsi="Times New Roman"/>
          <w:sz w:val="24"/>
          <w:szCs w:val="24"/>
        </w:rPr>
      </w:pPr>
    </w:p>
    <w:p w14:paraId="2A916102" w14:textId="77777777" w:rsidR="00B9636D" w:rsidRDefault="00B9636D">
      <w:pPr>
        <w:pStyle w:val="BodyA"/>
        <w:spacing w:before="100" w:after="100" w:line="240" w:lineRule="auto"/>
        <w:rPr>
          <w:rFonts w:ascii="Times New Roman" w:hAnsi="Times New Roman"/>
          <w:sz w:val="24"/>
          <w:szCs w:val="24"/>
        </w:rPr>
      </w:pPr>
    </w:p>
    <w:p w14:paraId="2643582E" w14:textId="77777777" w:rsidR="00B9636D" w:rsidRDefault="00B9636D">
      <w:pPr>
        <w:pStyle w:val="BodyA"/>
        <w:spacing w:before="100" w:after="100" w:line="240" w:lineRule="auto"/>
        <w:rPr>
          <w:rFonts w:ascii="Times New Roman" w:hAnsi="Times New Roman"/>
          <w:sz w:val="24"/>
          <w:szCs w:val="24"/>
        </w:rPr>
      </w:pPr>
    </w:p>
    <w:p w14:paraId="09DF67EB" w14:textId="77777777" w:rsidR="00F74D64" w:rsidRPr="00B9636D" w:rsidRDefault="00F74D64">
      <w:pPr>
        <w:pStyle w:val="BodyA"/>
        <w:spacing w:before="100" w:after="100" w:line="240" w:lineRule="auto"/>
        <w:rPr>
          <w:rFonts w:ascii="Times New Roman" w:hAnsi="Times New Roman"/>
          <w:b/>
          <w:sz w:val="24"/>
          <w:szCs w:val="24"/>
        </w:rPr>
      </w:pPr>
      <w:r w:rsidRPr="00B9636D">
        <w:rPr>
          <w:rFonts w:ascii="Times New Roman" w:hAnsi="Times New Roman"/>
          <w:b/>
          <w:sz w:val="24"/>
          <w:szCs w:val="24"/>
        </w:rPr>
        <w:lastRenderedPageBreak/>
        <w:t>Annex I</w:t>
      </w:r>
      <w:bookmarkStart w:id="0" w:name="_GoBack"/>
      <w:bookmarkEnd w:id="0"/>
    </w:p>
    <w:p w14:paraId="459FE757" w14:textId="77777777" w:rsidR="00B9636D" w:rsidRDefault="00B9636D">
      <w:pPr>
        <w:pStyle w:val="BodyA"/>
        <w:spacing w:before="100" w:after="100" w:line="240" w:lineRule="auto"/>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058"/>
      </w:tblGrid>
      <w:tr w:rsidR="00B9636D" w14:paraId="5AC1D0DF" w14:textId="77777777" w:rsidTr="00B9636D">
        <w:tc>
          <w:tcPr>
            <w:tcW w:w="2518" w:type="dxa"/>
          </w:tcPr>
          <w:p w14:paraId="2D554638" w14:textId="60552C84"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0288" behindDoc="0" locked="0" layoutInCell="1" allowOverlap="1" wp14:anchorId="6B0689A1" wp14:editId="4C69A7FF">
                  <wp:simplePos x="0" y="0"/>
                  <wp:positionH relativeFrom="column">
                    <wp:posOffset>0</wp:posOffset>
                  </wp:positionH>
                  <wp:positionV relativeFrom="paragraph">
                    <wp:posOffset>306705</wp:posOffset>
                  </wp:positionV>
                  <wp:extent cx="1362075" cy="135318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2075" cy="1353185"/>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1D73B3E1" w14:textId="79DFC7A8" w:rsidR="00B9636D" w:rsidRDefault="00B9636D" w:rsidP="00B9636D">
            <w:pPr>
              <w:autoSpaceDE w:val="0"/>
              <w:autoSpaceDN w:val="0"/>
              <w:adjustRightInd w:val="0"/>
              <w:ind w:right="-7"/>
              <w:jc w:val="both"/>
              <w:rPr>
                <w:rFonts w:eastAsia="SimSun"/>
                <w:sz w:val="22"/>
                <w:szCs w:val="22"/>
                <w:lang w:eastAsia="zh-CN"/>
              </w:rPr>
            </w:pPr>
            <w:r w:rsidRPr="00634C6B">
              <w:rPr>
                <w:rFonts w:eastAsia="SimSun"/>
                <w:sz w:val="22"/>
                <w:szCs w:val="22"/>
                <w:lang w:eastAsia="zh-CN"/>
              </w:rPr>
              <w:t xml:space="preserve">The Canadian HIV/AIDS Legal Network (www.aidslaw.ca) promotes the human rights of people living with and vulnerable to HIV/AIDS, in Canada and internationally, through research and analysis, advocacy and litigation, public education and community mobilization. The Legal Network is </w:t>
            </w:r>
            <w:smartTag w:uri="urn:schemas-microsoft-com:office:smarttags" w:element="place">
              <w:smartTag w:uri="urn:schemas-microsoft-com:office:smarttags" w:element="country-region">
                <w:r w:rsidRPr="00634C6B">
                  <w:rPr>
                    <w:rFonts w:eastAsia="SimSun"/>
                    <w:sz w:val="22"/>
                    <w:szCs w:val="22"/>
                    <w:lang w:eastAsia="zh-CN"/>
                  </w:rPr>
                  <w:t>Canada</w:t>
                </w:r>
              </w:smartTag>
            </w:smartTag>
            <w:r w:rsidRPr="00634C6B">
              <w:rPr>
                <w:rFonts w:eastAsia="SimSun"/>
                <w:sz w:val="22"/>
                <w:szCs w:val="22"/>
                <w:lang w:eastAsia="zh-CN"/>
              </w:rPr>
              <w:t>’s leading advocacy organization working on the legal and human rights issues raised by HIV/AIDS. (An NGO with Special Consultative Status with the Economic and Social Council of the United Nations)</w:t>
            </w:r>
          </w:p>
          <w:p w14:paraId="18FB75B0" w14:textId="77777777" w:rsidR="00B9636D" w:rsidRDefault="00B9636D" w:rsidP="00B9636D">
            <w:pPr>
              <w:autoSpaceDE w:val="0"/>
              <w:autoSpaceDN w:val="0"/>
              <w:adjustRightInd w:val="0"/>
              <w:ind w:right="-7"/>
              <w:jc w:val="both"/>
              <w:rPr>
                <w:rFonts w:eastAsia="SimSun"/>
                <w:sz w:val="22"/>
                <w:szCs w:val="22"/>
                <w:lang w:eastAsia="zh-CN"/>
              </w:rPr>
            </w:pPr>
          </w:p>
          <w:p w14:paraId="7A19D3E3" w14:textId="3315333B" w:rsidR="00B9636D" w:rsidRPr="00634C6B" w:rsidRDefault="00B9636D" w:rsidP="00B9636D">
            <w:pPr>
              <w:autoSpaceDE w:val="0"/>
              <w:autoSpaceDN w:val="0"/>
              <w:adjustRightInd w:val="0"/>
              <w:ind w:right="-357"/>
              <w:jc w:val="both"/>
              <w:rPr>
                <w:rFonts w:eastAsia="SimSun"/>
                <w:i/>
                <w:sz w:val="22"/>
                <w:szCs w:val="22"/>
                <w:lang w:eastAsia="zh-CN"/>
              </w:rPr>
            </w:pPr>
            <w:r w:rsidRPr="00634C6B">
              <w:rPr>
                <w:rFonts w:eastAsia="SimSun"/>
                <w:i/>
                <w:sz w:val="22"/>
                <w:szCs w:val="22"/>
                <w:lang w:eastAsia="zh-CN"/>
              </w:rPr>
              <w:t>Address: 1240 Bay street, Suite 600,</w:t>
            </w:r>
            <w:r w:rsidRPr="00634C6B">
              <w:rPr>
                <w:rFonts w:ascii="Segoe UI" w:eastAsia="SimSun" w:hAnsi="Segoe UI"/>
                <w:i/>
                <w:sz w:val="22"/>
                <w:szCs w:val="22"/>
                <w:lang w:eastAsia="zh-CN"/>
              </w:rPr>
              <w:t xml:space="preserve"> </w:t>
            </w:r>
            <w:r w:rsidRPr="00634C6B">
              <w:rPr>
                <w:rFonts w:eastAsia="SimSun"/>
                <w:i/>
                <w:sz w:val="22"/>
                <w:szCs w:val="22"/>
                <w:lang w:eastAsia="zh-CN"/>
              </w:rPr>
              <w:t>Toronto, Ontario, Canada, M5R 2A7</w:t>
            </w:r>
          </w:p>
          <w:p w14:paraId="4BE29D48" w14:textId="48810D8A" w:rsidR="00B9636D" w:rsidRDefault="00B9636D" w:rsidP="00B9636D">
            <w:pPr>
              <w:rPr>
                <w:rFonts w:eastAsia="Times New Roman"/>
                <w:i/>
                <w:sz w:val="22"/>
                <w:szCs w:val="22"/>
                <w:lang w:eastAsia="zh-CN"/>
              </w:rPr>
            </w:pPr>
            <w:r>
              <w:rPr>
                <w:rFonts w:eastAsia="Times New Roman"/>
                <w:i/>
                <w:sz w:val="22"/>
                <w:szCs w:val="22"/>
                <w:lang w:eastAsia="zh-CN"/>
              </w:rPr>
              <w:t xml:space="preserve">                </w:t>
            </w:r>
            <w:r w:rsidRPr="00634C6B">
              <w:rPr>
                <w:rFonts w:eastAsia="Times New Roman"/>
                <w:i/>
                <w:sz w:val="22"/>
                <w:szCs w:val="22"/>
                <w:lang w:eastAsia="zh-CN"/>
              </w:rPr>
              <w:t>Tel: 1(416)595 1666; Fax: 1 (416) 595 0094</w:t>
            </w:r>
          </w:p>
          <w:p w14:paraId="3B738BAA" w14:textId="77777777"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p>
        </w:tc>
      </w:tr>
      <w:tr w:rsidR="00B9636D" w14:paraId="7CBDABEC" w14:textId="77777777" w:rsidTr="00B9636D">
        <w:tc>
          <w:tcPr>
            <w:tcW w:w="2518" w:type="dxa"/>
          </w:tcPr>
          <w:p w14:paraId="5876EC3A" w14:textId="777A82BE"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rPr>
              <w:drawing>
                <wp:anchor distT="0" distB="0" distL="114300" distR="114300" simplePos="0" relativeHeight="251661312" behindDoc="0" locked="0" layoutInCell="1" allowOverlap="1" wp14:anchorId="72E8A7E5" wp14:editId="1514EE34">
                  <wp:simplePos x="0" y="0"/>
                  <wp:positionH relativeFrom="column">
                    <wp:posOffset>0</wp:posOffset>
                  </wp:positionH>
                  <wp:positionV relativeFrom="paragraph">
                    <wp:posOffset>60960</wp:posOffset>
                  </wp:positionV>
                  <wp:extent cx="1365885" cy="54229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5885" cy="542290"/>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19AAE5E7" w14:textId="77777777" w:rsidR="00B9636D" w:rsidRDefault="00B9636D" w:rsidP="00B9636D">
            <w:pPr>
              <w:pStyle w:val="BodyA"/>
              <w:spacing w:before="100" w:after="0" w:line="240" w:lineRule="auto"/>
              <w:rPr>
                <w:rFonts w:ascii="Times New Roman" w:hAnsi="Times New Roman" w:cs="Times New Roman"/>
              </w:rPr>
            </w:pPr>
            <w:r w:rsidRPr="00F74D64">
              <w:rPr>
                <w:rFonts w:ascii="Times New Roman" w:hAnsi="Times New Roman" w:cs="Times New Roman"/>
              </w:rPr>
              <w:t>Eurasian Harm Reduction Association (</w:t>
            </w:r>
            <w:r>
              <w:rPr>
                <w:rFonts w:ascii="Times New Roman" w:hAnsi="Times New Roman" w:cs="Times New Roman"/>
              </w:rPr>
              <w:t>http://harmreductioneurasia.org</w:t>
            </w:r>
            <w:r w:rsidRPr="00F74D64">
              <w:rPr>
                <w:rFonts w:ascii="Times New Roman" w:hAnsi="Times New Roman" w:cs="Times New Roman"/>
              </w:rPr>
              <w:t>) is a non-for-profit public membership-based organization</w:t>
            </w:r>
            <w:r>
              <w:rPr>
                <w:rFonts w:ascii="Times New Roman" w:hAnsi="Times New Roman" w:cs="Times New Roman"/>
              </w:rPr>
              <w:t>, which</w:t>
            </w:r>
            <w:r w:rsidRPr="00F74D64">
              <w:rPr>
                <w:rFonts w:ascii="Times New Roman" w:hAnsi="Times New Roman" w:cs="Times New Roman"/>
              </w:rPr>
              <w:t xml:space="preserve"> strive</w:t>
            </w:r>
            <w:r>
              <w:rPr>
                <w:rFonts w:ascii="Times New Roman" w:hAnsi="Times New Roman" w:cs="Times New Roman"/>
              </w:rPr>
              <w:t>s</w:t>
            </w:r>
            <w:r w:rsidRPr="00F74D64">
              <w:rPr>
                <w:rFonts w:ascii="Times New Roman" w:hAnsi="Times New Roman" w:cs="Times New Roman"/>
              </w:rPr>
              <w:t xml:space="preserve"> for a progressive human rights-based drug policy, sustainable funding advocacy and quality of harm reduction services oriented on needs of people who use</w:t>
            </w:r>
            <w:r>
              <w:rPr>
                <w:rFonts w:ascii="Times New Roman" w:hAnsi="Times New Roman" w:cs="Times New Roman"/>
              </w:rPr>
              <w:t xml:space="preserve"> drugs in Cen</w:t>
            </w:r>
            <w:r w:rsidRPr="00F74D64">
              <w:rPr>
                <w:rFonts w:ascii="Times New Roman" w:hAnsi="Times New Roman" w:cs="Times New Roman"/>
              </w:rPr>
              <w:t>tral and Eastern Europe and Central Asia (CEECA) in 2017.</w:t>
            </w:r>
            <w:r>
              <w:rPr>
                <w:rFonts w:ascii="Times New Roman" w:hAnsi="Times New Roman" w:cs="Times New Roman"/>
              </w:rPr>
              <w:t xml:space="preserve"> </w:t>
            </w:r>
          </w:p>
          <w:p w14:paraId="4C429BDE" w14:textId="77777777" w:rsidR="00B9636D" w:rsidRDefault="00B9636D" w:rsidP="00B9636D">
            <w:pPr>
              <w:pStyle w:val="BodyA"/>
              <w:spacing w:before="100" w:after="0" w:line="240" w:lineRule="auto"/>
              <w:ind w:left="2268"/>
              <w:rPr>
                <w:rFonts w:ascii="Times New Roman" w:hAnsi="Times New Roman" w:cs="Times New Roman"/>
              </w:rPr>
            </w:pPr>
          </w:p>
          <w:p w14:paraId="32628265" w14:textId="77777777" w:rsidR="00B9636D" w:rsidRPr="00B9636D" w:rsidRDefault="00B9636D" w:rsidP="00B9636D">
            <w:pPr>
              <w:pStyle w:val="BodyA"/>
              <w:spacing w:before="100" w:after="0" w:line="240" w:lineRule="auto"/>
              <w:rPr>
                <w:rFonts w:ascii="Times New Roman" w:hAnsi="Times New Roman" w:cs="Times New Roman"/>
                <w:i/>
              </w:rPr>
            </w:pPr>
            <w:r w:rsidRPr="00B9636D">
              <w:rPr>
                <w:rFonts w:ascii="Times New Roman" w:hAnsi="Times New Roman" w:cs="Times New Roman"/>
                <w:i/>
              </w:rPr>
              <w:t xml:space="preserve">Address: </w:t>
            </w:r>
            <w:proofErr w:type="spellStart"/>
            <w:r w:rsidRPr="00B9636D">
              <w:rPr>
                <w:rFonts w:ascii="Times New Roman" w:hAnsi="Times New Roman" w:cs="Times New Roman"/>
                <w:i/>
              </w:rPr>
              <w:t>Verkių</w:t>
            </w:r>
            <w:proofErr w:type="spellEnd"/>
            <w:r w:rsidRPr="00B9636D">
              <w:rPr>
                <w:rFonts w:ascii="Times New Roman" w:hAnsi="Times New Roman" w:cs="Times New Roman"/>
                <w:i/>
              </w:rPr>
              <w:t xml:space="preserve"> g. 34B, office 701 LT – 04111, Vilnius, Lithuania</w:t>
            </w:r>
          </w:p>
          <w:p w14:paraId="65515884" w14:textId="77777777" w:rsidR="00B9636D" w:rsidRDefault="00B9636D">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p>
        </w:tc>
      </w:tr>
    </w:tbl>
    <w:p w14:paraId="227AD69D" w14:textId="77777777" w:rsidR="00B9636D" w:rsidRDefault="00B9636D">
      <w:pPr>
        <w:pStyle w:val="BodyA"/>
        <w:spacing w:before="100" w:after="100" w:line="240" w:lineRule="auto"/>
        <w:rPr>
          <w:rFonts w:ascii="Times New Roman" w:hAnsi="Times New Roman"/>
          <w:sz w:val="24"/>
          <w:szCs w:val="24"/>
        </w:rPr>
      </w:pPr>
    </w:p>
    <w:p w14:paraId="0CA49C53" w14:textId="77777777" w:rsidR="006456F2" w:rsidRDefault="006456F2">
      <w:pPr>
        <w:pStyle w:val="BodyA"/>
        <w:spacing w:before="100" w:after="100" w:line="240" w:lineRule="auto"/>
        <w:rPr>
          <w:rFonts w:ascii="Times New Roman" w:hAnsi="Times New Roman"/>
          <w:sz w:val="24"/>
          <w:szCs w:val="24"/>
        </w:rPr>
      </w:pPr>
    </w:p>
    <w:p w14:paraId="5C023F63" w14:textId="77777777" w:rsidR="00F74D64" w:rsidRDefault="00F74D64" w:rsidP="00F74D64">
      <w:pPr>
        <w:pStyle w:val="BodyA"/>
        <w:spacing w:before="100" w:after="100" w:line="240" w:lineRule="auto"/>
      </w:pPr>
    </w:p>
    <w:p w14:paraId="31F6AA3C" w14:textId="77777777" w:rsidR="00B9636D" w:rsidRPr="00F74D64" w:rsidRDefault="00B9636D">
      <w:pPr>
        <w:pStyle w:val="BodyA"/>
        <w:spacing w:before="100" w:after="0" w:line="240" w:lineRule="auto"/>
        <w:ind w:left="2268"/>
        <w:rPr>
          <w:rFonts w:ascii="Times New Roman" w:hAnsi="Times New Roman" w:cs="Times New Roman"/>
        </w:rPr>
      </w:pPr>
    </w:p>
    <w:sectPr w:rsidR="00B9636D" w:rsidRPr="00F74D64" w:rsidSect="00887B72">
      <w:footerReference w:type="default" r:id="rId13"/>
      <w:pgSz w:w="12240" w:h="15840"/>
      <w:pgMar w:top="1440" w:right="1440" w:bottom="1440" w:left="1440" w:header="709" w:footer="70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608CA3" w15:done="0"/>
  <w15:commentEx w15:paraId="51001DE2" w15:done="0"/>
  <w15:commentEx w15:paraId="0C874AAF" w15:done="0"/>
  <w15:commentEx w15:paraId="3D48DE69" w15:done="0"/>
  <w15:commentEx w15:paraId="2B2A3707" w15:done="0"/>
  <w15:commentEx w15:paraId="7E03004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70F827" w14:textId="77777777" w:rsidR="00D8796F" w:rsidRDefault="0033367B">
      <w:r>
        <w:separator/>
      </w:r>
    </w:p>
  </w:endnote>
  <w:endnote w:type="continuationSeparator" w:id="0">
    <w:p w14:paraId="3ADFD481" w14:textId="77777777" w:rsidR="00D8796F" w:rsidRDefault="00333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74761"/>
      <w:docPartObj>
        <w:docPartGallery w:val="Page Numbers (Bottom of Page)"/>
        <w:docPartUnique/>
      </w:docPartObj>
    </w:sdtPr>
    <w:sdtEndPr>
      <w:rPr>
        <w:noProof/>
      </w:rPr>
    </w:sdtEndPr>
    <w:sdtContent>
      <w:p w14:paraId="470C6452" w14:textId="3B2F1455" w:rsidR="00887B72" w:rsidRDefault="00887B72">
        <w:pPr>
          <w:pStyle w:val="Footer"/>
          <w:jc w:val="right"/>
        </w:pPr>
        <w:r>
          <w:fldChar w:fldCharType="begin"/>
        </w:r>
        <w:r>
          <w:instrText xml:space="preserve"> PAGE   \* MERGEFORMAT </w:instrText>
        </w:r>
        <w:r>
          <w:fldChar w:fldCharType="separate"/>
        </w:r>
        <w:r w:rsidR="00B9636D">
          <w:rPr>
            <w:noProof/>
          </w:rPr>
          <w:t>3</w:t>
        </w:r>
        <w:r>
          <w:rPr>
            <w:noProof/>
          </w:rPr>
          <w:fldChar w:fldCharType="end"/>
        </w:r>
      </w:p>
    </w:sdtContent>
  </w:sdt>
  <w:p w14:paraId="3ABA246A" w14:textId="2586FFB4" w:rsidR="00F27326" w:rsidRDefault="00F27326">
    <w:pPr>
      <w:pStyle w:val="Footer"/>
      <w:tabs>
        <w:tab w:val="clear" w:pos="9360"/>
        <w:tab w:val="right" w:pos="934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F182AB" w14:textId="77777777" w:rsidR="00F27326" w:rsidRDefault="0033367B">
      <w:r>
        <w:separator/>
      </w:r>
    </w:p>
  </w:footnote>
  <w:footnote w:type="continuationSeparator" w:id="0">
    <w:p w14:paraId="630009F4" w14:textId="77777777" w:rsidR="00F27326" w:rsidRDefault="0033367B">
      <w:r>
        <w:continuationSeparator/>
      </w:r>
    </w:p>
  </w:footnote>
  <w:footnote w:type="continuationNotice" w:id="1">
    <w:p w14:paraId="4D88B02E" w14:textId="77777777" w:rsidR="00F27326" w:rsidRDefault="00F27326"/>
  </w:footnote>
  <w:footnote w:id="2">
    <w:p w14:paraId="0C8A5FDF" w14:textId="75B15EB5" w:rsidR="00C77C23" w:rsidRPr="00F74D64" w:rsidRDefault="00C77C23">
      <w:pPr>
        <w:pStyle w:val="FootnoteText"/>
      </w:pPr>
      <w:r>
        <w:rPr>
          <w:rStyle w:val="FootnoteReference"/>
        </w:rPr>
        <w:footnoteRef/>
      </w:r>
      <w:r>
        <w:t xml:space="preserve"> This report is drafted and submitted by </w:t>
      </w:r>
      <w:r w:rsidR="00F74D64">
        <w:t xml:space="preserve">the Canadian HIV/AIDS Legal Network and the Eurasian Harm Reduction Association. Information about these organizations is in Annex I. Person to contact: Mikhail Golichenko – </w:t>
      </w:r>
      <w:hyperlink r:id="rId1" w:history="1">
        <w:r w:rsidR="00F74D64" w:rsidRPr="006B794E">
          <w:rPr>
            <w:rStyle w:val="Hyperlink"/>
          </w:rPr>
          <w:t>mgolichenko@gmail.com</w:t>
        </w:r>
      </w:hyperlink>
      <w:r w:rsidR="00F74D64">
        <w:t xml:space="preserve"> </w:t>
      </w:r>
      <w:r w:rsidR="00DB4F2D">
        <w:t xml:space="preserve">(Canadian HIV/AIDS Legal Network) or Dasha Matyshina - </w:t>
      </w:r>
      <w:hyperlink r:id="rId2" w:history="1">
        <w:r w:rsidR="00DB4F2D" w:rsidRPr="00012660">
          <w:rPr>
            <w:rStyle w:val="Hyperlink"/>
          </w:rPr>
          <w:t>dasha@harmreductioneurasia.org</w:t>
        </w:r>
      </w:hyperlink>
      <w:r w:rsidR="00DB4F2D">
        <w:t xml:space="preserve"> (</w:t>
      </w:r>
      <w:r w:rsidR="00DB4F2D" w:rsidRPr="00DB4F2D">
        <w:t>Eurasian Harm Reduction Association</w:t>
      </w:r>
      <w:r w:rsidR="00DB4F2D">
        <w:t>)</w:t>
      </w:r>
    </w:p>
  </w:footnote>
  <w:footnote w:id="3">
    <w:p w14:paraId="338C9F17" w14:textId="77777777" w:rsidR="00F27326" w:rsidRDefault="0033367B">
      <w:pPr>
        <w:pStyle w:val="FootnoteText"/>
      </w:pPr>
      <w:r>
        <w:rPr>
          <w:vertAlign w:val="superscript"/>
        </w:rPr>
        <w:footnoteRef/>
      </w:r>
      <w:r>
        <w:rPr>
          <w:rFonts w:eastAsia="Arial Unicode MS" w:cs="Arial Unicode MS"/>
        </w:rPr>
        <w:t xml:space="preserve"> Concluding observations of the Committee on Economic, Social and Cultural Rights concerning </w:t>
      </w:r>
    </w:p>
    <w:p w14:paraId="34C00E39" w14:textId="77777777" w:rsidR="00F27326" w:rsidRDefault="0033367B">
      <w:pPr>
        <w:pStyle w:val="FootnoteText"/>
      </w:pPr>
      <w:r>
        <w:rPr>
          <w:rFonts w:eastAsia="Arial Unicode MS" w:cs="Arial Unicode MS"/>
        </w:rPr>
        <w:t>Kazakhstan. E/C.12/KAZ/CO/1. May 2010</w:t>
      </w:r>
    </w:p>
  </w:footnote>
  <w:footnote w:id="4">
    <w:p w14:paraId="46EE6484" w14:textId="77777777" w:rsidR="00F27326" w:rsidRDefault="0033367B">
      <w:pPr>
        <w:pStyle w:val="FootnoteText"/>
      </w:pPr>
      <w:r>
        <w:rPr>
          <w:vertAlign w:val="superscript"/>
        </w:rPr>
        <w:footnoteRef/>
      </w:r>
      <w:r>
        <w:rPr>
          <w:rFonts w:eastAsia="Arial Unicode MS" w:cs="Arial Unicode MS"/>
        </w:rPr>
        <w:t xml:space="preserve"> Second periodic report by Kazakhstan on implementation of the International Covenant on Economic, Social and Cultural Rights is submitted in accordance with articles 16 and 17 of the Covenant. E/C.12/KAZ/2. September 2017, paras 416-418</w:t>
      </w:r>
    </w:p>
  </w:footnote>
  <w:footnote w:id="5">
    <w:p w14:paraId="4293048E" w14:textId="77777777" w:rsidR="00F27326" w:rsidRDefault="0033367B">
      <w:pPr>
        <w:pStyle w:val="FootnoteText"/>
      </w:pPr>
      <w:r>
        <w:rPr>
          <w:sz w:val="24"/>
          <w:szCs w:val="24"/>
          <w:vertAlign w:val="superscript"/>
        </w:rPr>
        <w:footnoteRef/>
      </w:r>
      <w:r>
        <w:rPr>
          <w:rFonts w:eastAsia="Arial Unicode MS" w:cs="Arial Unicode MS"/>
        </w:rPr>
        <w:t xml:space="preserve"> Boltaev A. A. at al., </w:t>
      </w:r>
      <w:r>
        <w:rPr>
          <w:rFonts w:eastAsia="Arial Unicode MS" w:cs="Arial Unicode MS"/>
          <w:i/>
          <w:iCs/>
        </w:rPr>
        <w:t>Evaluation of a Pilot Medication-Assisted Therapy Program in Kazakhstan: Successes, Challenges, and Opportunities for Scale-up</w:t>
      </w:r>
      <w:r>
        <w:rPr>
          <w:rFonts w:eastAsia="Arial Unicode MS" w:cs="Arial Unicode MS"/>
        </w:rPr>
        <w:t xml:space="preserve">. </w:t>
      </w:r>
      <w:proofErr w:type="gramStart"/>
      <w:r>
        <w:rPr>
          <w:rFonts w:eastAsia="Arial Unicode MS" w:cs="Arial Unicode MS"/>
        </w:rPr>
        <w:t>Advances in Preventive Medicine Journal.</w:t>
      </w:r>
      <w:proofErr w:type="gramEnd"/>
      <w:r>
        <w:rPr>
          <w:rFonts w:eastAsia="Arial Unicode MS" w:cs="Arial Unicode MS"/>
        </w:rPr>
        <w:t xml:space="preserve"> </w:t>
      </w:r>
      <w:proofErr w:type="gramStart"/>
      <w:r>
        <w:rPr>
          <w:rFonts w:eastAsia="Arial Unicode MS" w:cs="Arial Unicode MS"/>
        </w:rPr>
        <w:t>Volume 2012 (2012), Article ID 308793.</w:t>
      </w:r>
      <w:proofErr w:type="gramEnd"/>
    </w:p>
  </w:footnote>
  <w:footnote w:id="6">
    <w:p w14:paraId="1D2284F1" w14:textId="249FA519" w:rsidR="00F27326" w:rsidRPr="00CA4139" w:rsidRDefault="0033367B">
      <w:pPr>
        <w:pStyle w:val="FootnoteText"/>
        <w:rPr>
          <w:lang w:val="ru-RU"/>
        </w:rPr>
      </w:pPr>
      <w:r>
        <w:rPr>
          <w:sz w:val="24"/>
          <w:szCs w:val="24"/>
          <w:vertAlign w:val="superscript"/>
        </w:rPr>
        <w:footnoteRef/>
      </w:r>
      <w:r>
        <w:rPr>
          <w:rFonts w:eastAsia="Arial Unicode MS" w:cs="Arial Unicode MS"/>
        </w:rPr>
        <w:t xml:space="preserve"> </w:t>
      </w:r>
      <w:proofErr w:type="gramStart"/>
      <w:r>
        <w:rPr>
          <w:rFonts w:eastAsia="Arial Unicode MS" w:cs="Arial Unicode MS"/>
        </w:rPr>
        <w:t xml:space="preserve">Subata E. at al., </w:t>
      </w:r>
      <w:r>
        <w:rPr>
          <w:rFonts w:eastAsia="Arial Unicode MS" w:cs="Arial Unicode MS"/>
          <w:i/>
          <w:iCs/>
        </w:rPr>
        <w:t xml:space="preserve">Evaluation of opportunities for scaling-up of opioid maintenance </w:t>
      </w:r>
      <w:r w:rsidR="006456F2">
        <w:rPr>
          <w:rFonts w:eastAsia="Arial Unicode MS" w:cs="Arial Unicode MS"/>
          <w:i/>
          <w:iCs/>
        </w:rPr>
        <w:t>therapy</w:t>
      </w:r>
      <w:r>
        <w:rPr>
          <w:rFonts w:eastAsia="Arial Unicode MS" w:cs="Arial Unicode MS"/>
        </w:rPr>
        <w:t>.</w:t>
      </w:r>
      <w:proofErr w:type="gramEnd"/>
      <w:r>
        <w:rPr>
          <w:rFonts w:eastAsia="Arial Unicode MS" w:cs="Arial Unicode MS"/>
        </w:rPr>
        <w:t xml:space="preserve"> </w:t>
      </w:r>
      <w:r w:rsidRPr="00CA4139">
        <w:rPr>
          <w:rFonts w:eastAsia="Arial Unicode MS" w:cs="Arial Unicode MS"/>
          <w:lang w:val="ru-RU"/>
        </w:rPr>
        <w:t xml:space="preserve">(Анализ осуществимости расширения доступности поддерживающей заместительной терапии опиоидной зависимости), </w:t>
      </w:r>
      <w:r>
        <w:rPr>
          <w:rFonts w:eastAsia="Arial Unicode MS" w:cs="Arial Unicode MS"/>
        </w:rPr>
        <w:t>UNODC</w:t>
      </w:r>
      <w:r w:rsidRPr="00CA4139">
        <w:rPr>
          <w:rFonts w:eastAsia="Arial Unicode MS" w:cs="Arial Unicode MS"/>
          <w:lang w:val="ru-RU"/>
        </w:rPr>
        <w:t>, 2016</w:t>
      </w:r>
    </w:p>
  </w:footnote>
  <w:footnote w:id="7">
    <w:p w14:paraId="5052E4B8" w14:textId="77777777" w:rsidR="00F27326" w:rsidRPr="00CA4139" w:rsidRDefault="0033367B">
      <w:pPr>
        <w:pStyle w:val="FootnoteText"/>
        <w:rPr>
          <w:lang w:val="ru-RU"/>
        </w:rPr>
      </w:pPr>
      <w:r>
        <w:rPr>
          <w:sz w:val="24"/>
          <w:szCs w:val="24"/>
          <w:vertAlign w:val="superscript"/>
        </w:rPr>
        <w:footnoteRef/>
      </w:r>
      <w:r w:rsidRPr="00CA4139">
        <w:rPr>
          <w:rFonts w:eastAsia="Arial Unicode MS" w:cs="Arial Unicode MS"/>
          <w:lang w:val="ru-RU"/>
        </w:rPr>
        <w:t xml:space="preserve"> Дворяк С., Каражанова А. Отчет по реализации проекта опиоидной заместительной терапии в Республике Казахстан за 2013 г.</w:t>
      </w:r>
    </w:p>
  </w:footnote>
  <w:footnote w:id="8">
    <w:p w14:paraId="171D5883" w14:textId="77777777" w:rsidR="00F27326" w:rsidRPr="00CA4139" w:rsidRDefault="0033367B">
      <w:pPr>
        <w:pStyle w:val="FootnoteText"/>
        <w:rPr>
          <w:lang w:val="ru-RU"/>
        </w:rPr>
      </w:pPr>
      <w:r>
        <w:rPr>
          <w:vertAlign w:val="superscript"/>
        </w:rPr>
        <w:footnoteRef/>
      </w:r>
      <w:r>
        <w:t xml:space="preserve"> Fedorova O., Chingin A., Kazakhstan: Drug treatment and anti-drug policy. </w:t>
      </w:r>
      <w:r w:rsidRPr="00CA4139">
        <w:rPr>
          <w:lang w:val="ru-RU"/>
        </w:rPr>
        <w:t>(</w:t>
      </w:r>
      <w:r>
        <w:rPr>
          <w:lang w:val="ru-RU"/>
        </w:rPr>
        <w:t xml:space="preserve">Казахстан. </w:t>
      </w:r>
      <w:r w:rsidRPr="00CA4139">
        <w:rPr>
          <w:lang w:val="ru-RU"/>
        </w:rPr>
        <w:t xml:space="preserve">Наркологическая ситуация и антинаркотическая политика. </w:t>
      </w:r>
      <w:r>
        <w:rPr>
          <w:lang w:val="ru-RU"/>
        </w:rPr>
        <w:t>Казахстан</w:t>
      </w:r>
      <w:r w:rsidRPr="00CA4139">
        <w:rPr>
          <w:lang w:val="ru-RU"/>
        </w:rPr>
        <w:t xml:space="preserve">). </w:t>
      </w:r>
      <w:r>
        <w:t>Pompidou</w:t>
      </w:r>
      <w:r w:rsidRPr="00CA4139">
        <w:rPr>
          <w:lang w:val="ru-RU"/>
        </w:rPr>
        <w:t xml:space="preserve"> </w:t>
      </w:r>
      <w:r>
        <w:t>Group</w:t>
      </w:r>
      <w:r w:rsidRPr="00CA4139">
        <w:rPr>
          <w:lang w:val="ru-RU"/>
        </w:rPr>
        <w:t xml:space="preserve"> </w:t>
      </w:r>
      <w:r>
        <w:t>of</w:t>
      </w:r>
      <w:r w:rsidRPr="00CA4139">
        <w:rPr>
          <w:lang w:val="ru-RU"/>
        </w:rPr>
        <w:t xml:space="preserve"> </w:t>
      </w:r>
      <w:r>
        <w:t>the</w:t>
      </w:r>
      <w:r w:rsidRPr="00CA4139">
        <w:rPr>
          <w:lang w:val="ru-RU"/>
        </w:rPr>
        <w:t xml:space="preserve"> </w:t>
      </w:r>
      <w:r>
        <w:t>Council</w:t>
      </w:r>
      <w:r w:rsidRPr="00CA4139">
        <w:rPr>
          <w:lang w:val="ru-RU"/>
        </w:rPr>
        <w:t xml:space="preserve"> </w:t>
      </w:r>
      <w:r>
        <w:t>of</w:t>
      </w:r>
      <w:r w:rsidRPr="00CA4139">
        <w:rPr>
          <w:lang w:val="ru-RU"/>
        </w:rPr>
        <w:t xml:space="preserve"> </w:t>
      </w:r>
      <w:r>
        <w:t>Europe</w:t>
      </w:r>
      <w:r w:rsidRPr="00CA4139">
        <w:rPr>
          <w:lang w:val="ru-RU"/>
        </w:rPr>
        <w:t xml:space="preserve">, </w:t>
      </w:r>
      <w:r>
        <w:t>December</w:t>
      </w:r>
      <w:r w:rsidRPr="00CA4139">
        <w:rPr>
          <w:lang w:val="ru-RU"/>
        </w:rPr>
        <w:t xml:space="preserve"> 2014.</w:t>
      </w:r>
    </w:p>
  </w:footnote>
  <w:footnote w:id="9">
    <w:p w14:paraId="5BD9621E" w14:textId="77777777" w:rsidR="00F27326" w:rsidRDefault="0033367B">
      <w:pPr>
        <w:pStyle w:val="FootnoteText"/>
      </w:pPr>
      <w:r>
        <w:rPr>
          <w:b/>
          <w:bCs/>
          <w:sz w:val="24"/>
          <w:szCs w:val="24"/>
          <w:vertAlign w:val="superscript"/>
        </w:rPr>
        <w:footnoteRef/>
      </w:r>
      <w:r>
        <w:rPr>
          <w:rFonts w:eastAsia="Arial Unicode MS" w:cs="Arial Unicode MS"/>
        </w:rPr>
        <w:t xml:space="preserve"> Information is based on the results of interviews with OMT patients conducted from November 27, 2017 to December 1, 2017 by Dasha Matyshina, a staff member of the Eurasian Harm Reduction Association (EHRA). The additional information was collected during the visit to Kazakhstan from December 7 to December 9, 2017 by Mikhail Golichenko, a staff member of the Canadian HIV/AIDS Legal Network.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7714"/>
    <w:multiLevelType w:val="hybridMultilevel"/>
    <w:tmpl w:val="BEC87376"/>
    <w:numStyleLink w:val="ImportedStyle2"/>
  </w:abstractNum>
  <w:abstractNum w:abstractNumId="1">
    <w:nsid w:val="35094EA6"/>
    <w:multiLevelType w:val="hybridMultilevel"/>
    <w:tmpl w:val="2996D504"/>
    <w:numStyleLink w:val="ImportedStyle1"/>
  </w:abstractNum>
  <w:abstractNum w:abstractNumId="2">
    <w:nsid w:val="53547494"/>
    <w:multiLevelType w:val="hybridMultilevel"/>
    <w:tmpl w:val="2996D504"/>
    <w:styleLink w:val="ImportedStyle1"/>
    <w:lvl w:ilvl="0" w:tplc="AB52E96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CC4D0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B604AF2">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77EAA8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EC9C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14B5A4">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CCDCB12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CC659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62F344">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56B64ADE"/>
    <w:multiLevelType w:val="hybridMultilevel"/>
    <w:tmpl w:val="BEC87376"/>
    <w:styleLink w:val="ImportedStyle2"/>
    <w:lvl w:ilvl="0" w:tplc="E85481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C849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7268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2248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AC47F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0695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E40D6A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F4C03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41C9DF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1595F75"/>
    <w:multiLevelType w:val="hybridMultilevel"/>
    <w:tmpl w:val="1D86FB54"/>
    <w:numStyleLink w:val="ImportedStyle3"/>
  </w:abstractNum>
  <w:abstractNum w:abstractNumId="5">
    <w:nsid w:val="77A5531B"/>
    <w:multiLevelType w:val="hybridMultilevel"/>
    <w:tmpl w:val="EEC8F4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7A1C01"/>
    <w:multiLevelType w:val="hybridMultilevel"/>
    <w:tmpl w:val="1D86FB54"/>
    <w:styleLink w:val="ImportedStyle3"/>
    <w:lvl w:ilvl="0" w:tplc="671AEC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28DD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E4931C">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292E434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2A3E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E29412">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E79A835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C8CE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9834BC">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
  </w:num>
  <w:num w:numId="3">
    <w:abstractNumId w:val="3"/>
  </w:num>
  <w:num w:numId="4">
    <w:abstractNumId w:val="0"/>
  </w:num>
  <w:num w:numId="5">
    <w:abstractNumId w:val="6"/>
  </w:num>
  <w:num w:numId="6">
    <w:abstractNumId w:val="4"/>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gne Rotberga">
    <w15:presenceInfo w15:providerId="None" w15:userId="Signe Rotberg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F27326"/>
    <w:rsid w:val="00071487"/>
    <w:rsid w:val="001035E9"/>
    <w:rsid w:val="001F0538"/>
    <w:rsid w:val="002B0BBE"/>
    <w:rsid w:val="0033367B"/>
    <w:rsid w:val="0038520B"/>
    <w:rsid w:val="004C34C7"/>
    <w:rsid w:val="004D7AB7"/>
    <w:rsid w:val="005300CA"/>
    <w:rsid w:val="00553CBA"/>
    <w:rsid w:val="005F3F14"/>
    <w:rsid w:val="00600671"/>
    <w:rsid w:val="006456F2"/>
    <w:rsid w:val="00684822"/>
    <w:rsid w:val="006A0B61"/>
    <w:rsid w:val="006C1F42"/>
    <w:rsid w:val="007B00C8"/>
    <w:rsid w:val="008339F3"/>
    <w:rsid w:val="00887B72"/>
    <w:rsid w:val="008A52D7"/>
    <w:rsid w:val="00960841"/>
    <w:rsid w:val="009B4EB8"/>
    <w:rsid w:val="00AD1335"/>
    <w:rsid w:val="00B9636D"/>
    <w:rsid w:val="00C513BA"/>
    <w:rsid w:val="00C63E7B"/>
    <w:rsid w:val="00C77C23"/>
    <w:rsid w:val="00CA4139"/>
    <w:rsid w:val="00D8796F"/>
    <w:rsid w:val="00DB4F2D"/>
    <w:rsid w:val="00DD007B"/>
    <w:rsid w:val="00DF531C"/>
    <w:rsid w:val="00E220EA"/>
    <w:rsid w:val="00E25EAF"/>
    <w:rsid w:val="00F27326"/>
    <w:rsid w:val="00F74D64"/>
    <w:rsid w:val="00FE6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14:docId w14:val="24EE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link w:val="FooterChar"/>
    <w:uiPriority w:val="99"/>
    <w:pPr>
      <w:tabs>
        <w:tab w:val="center" w:pos="4680"/>
        <w:tab w:val="right" w:pos="9360"/>
      </w:tabs>
    </w:pPr>
    <w:rPr>
      <w:rFonts w:cs="Arial Unicode MS"/>
      <w:color w:val="000000"/>
      <w:sz w:val="24"/>
      <w:szCs w:val="24"/>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cs="Arial Unicode MS"/>
      <w:color w:val="000000"/>
      <w:sz w:val="24"/>
      <w:szCs w:val="24"/>
      <w:u w:color="000000"/>
    </w:rPr>
  </w:style>
  <w:style w:type="paragraph" w:customStyle="1" w:styleId="Body">
    <w:name w:val="Body"/>
    <w:rPr>
      <w:rFonts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w:eastAsia="Helvetica" w:hAnsi="Helvetica" w:cs="Helvetica"/>
      <w:color w:val="000000"/>
      <w:sz w:val="22"/>
      <w:szCs w:val="22"/>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FootnoteText">
    <w:name w:val="footnote text"/>
    <w:rPr>
      <w:rFonts w:eastAsia="Times New Roman"/>
      <w:color w:val="000000"/>
      <w:u w:color="000000"/>
    </w:rPr>
  </w:style>
  <w:style w:type="character" w:styleId="FootnoteReference">
    <w:name w:val="footnote reference"/>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538"/>
    <w:rPr>
      <w:rFonts w:ascii="Tahoma" w:hAnsi="Tahoma" w:cs="Tahoma"/>
      <w:sz w:val="16"/>
      <w:szCs w:val="16"/>
    </w:rPr>
  </w:style>
  <w:style w:type="character" w:customStyle="1" w:styleId="BalloonTextChar">
    <w:name w:val="Balloon Text Char"/>
    <w:basedOn w:val="DefaultParagraphFont"/>
    <w:link w:val="BalloonText"/>
    <w:uiPriority w:val="99"/>
    <w:semiHidden/>
    <w:rsid w:val="001F053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A4139"/>
    <w:rPr>
      <w:b/>
      <w:bCs/>
    </w:rPr>
  </w:style>
  <w:style w:type="character" w:customStyle="1" w:styleId="CommentSubjectChar">
    <w:name w:val="Comment Subject Char"/>
    <w:basedOn w:val="CommentTextChar"/>
    <w:link w:val="CommentSubject"/>
    <w:uiPriority w:val="99"/>
    <w:semiHidden/>
    <w:rsid w:val="00CA4139"/>
    <w:rPr>
      <w:b/>
      <w:bCs/>
    </w:rPr>
  </w:style>
  <w:style w:type="paragraph" w:styleId="Header">
    <w:name w:val="header"/>
    <w:basedOn w:val="Normal"/>
    <w:link w:val="HeaderChar"/>
    <w:uiPriority w:val="99"/>
    <w:unhideWhenUsed/>
    <w:rsid w:val="00887B72"/>
    <w:pPr>
      <w:tabs>
        <w:tab w:val="center" w:pos="4680"/>
        <w:tab w:val="right" w:pos="9360"/>
      </w:tabs>
    </w:pPr>
  </w:style>
  <w:style w:type="character" w:customStyle="1" w:styleId="HeaderChar">
    <w:name w:val="Header Char"/>
    <w:basedOn w:val="DefaultParagraphFont"/>
    <w:link w:val="Header"/>
    <w:uiPriority w:val="99"/>
    <w:rsid w:val="00887B72"/>
    <w:rPr>
      <w:sz w:val="24"/>
      <w:szCs w:val="24"/>
    </w:rPr>
  </w:style>
  <w:style w:type="character" w:customStyle="1" w:styleId="FooterChar">
    <w:name w:val="Footer Char"/>
    <w:basedOn w:val="DefaultParagraphFont"/>
    <w:link w:val="Footer"/>
    <w:uiPriority w:val="99"/>
    <w:rsid w:val="00887B72"/>
    <w:rPr>
      <w:rFonts w:cs="Arial Unicode MS"/>
      <w:color w:val="000000"/>
      <w:sz w:val="24"/>
      <w:szCs w:val="24"/>
      <w:u w:color="000000"/>
    </w:rPr>
  </w:style>
  <w:style w:type="table" w:styleId="LightShading-Accent5">
    <w:name w:val="Light Shading Accent 5"/>
    <w:basedOn w:val="TableNormal"/>
    <w:uiPriority w:val="60"/>
    <w:rsid w:val="0038520B"/>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B9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link w:val="FooterChar"/>
    <w:uiPriority w:val="99"/>
    <w:pPr>
      <w:tabs>
        <w:tab w:val="center" w:pos="4680"/>
        <w:tab w:val="right" w:pos="9360"/>
      </w:tabs>
    </w:pPr>
    <w:rPr>
      <w:rFonts w:cs="Arial Unicode MS"/>
      <w:color w:val="000000"/>
      <w:sz w:val="24"/>
      <w:szCs w:val="24"/>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cs="Arial Unicode MS"/>
      <w:color w:val="000000"/>
      <w:sz w:val="24"/>
      <w:szCs w:val="24"/>
      <w:u w:color="000000"/>
    </w:rPr>
  </w:style>
  <w:style w:type="paragraph" w:customStyle="1" w:styleId="Body">
    <w:name w:val="Body"/>
    <w:rPr>
      <w:rFonts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w:eastAsia="Helvetica" w:hAnsi="Helvetica" w:cs="Helvetica"/>
      <w:color w:val="000000"/>
      <w:sz w:val="22"/>
      <w:szCs w:val="22"/>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FootnoteText">
    <w:name w:val="footnote text"/>
    <w:rPr>
      <w:rFonts w:eastAsia="Times New Roman"/>
      <w:color w:val="000000"/>
      <w:u w:color="000000"/>
    </w:rPr>
  </w:style>
  <w:style w:type="character" w:styleId="FootnoteReference">
    <w:name w:val="footnote reference"/>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538"/>
    <w:rPr>
      <w:rFonts w:ascii="Tahoma" w:hAnsi="Tahoma" w:cs="Tahoma"/>
      <w:sz w:val="16"/>
      <w:szCs w:val="16"/>
    </w:rPr>
  </w:style>
  <w:style w:type="character" w:customStyle="1" w:styleId="BalloonTextChar">
    <w:name w:val="Balloon Text Char"/>
    <w:basedOn w:val="DefaultParagraphFont"/>
    <w:link w:val="BalloonText"/>
    <w:uiPriority w:val="99"/>
    <w:semiHidden/>
    <w:rsid w:val="001F053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CA4139"/>
    <w:rPr>
      <w:b/>
      <w:bCs/>
    </w:rPr>
  </w:style>
  <w:style w:type="character" w:customStyle="1" w:styleId="CommentSubjectChar">
    <w:name w:val="Comment Subject Char"/>
    <w:basedOn w:val="CommentTextChar"/>
    <w:link w:val="CommentSubject"/>
    <w:uiPriority w:val="99"/>
    <w:semiHidden/>
    <w:rsid w:val="00CA4139"/>
    <w:rPr>
      <w:b/>
      <w:bCs/>
    </w:rPr>
  </w:style>
  <w:style w:type="paragraph" w:styleId="Header">
    <w:name w:val="header"/>
    <w:basedOn w:val="Normal"/>
    <w:link w:val="HeaderChar"/>
    <w:uiPriority w:val="99"/>
    <w:unhideWhenUsed/>
    <w:rsid w:val="00887B72"/>
    <w:pPr>
      <w:tabs>
        <w:tab w:val="center" w:pos="4680"/>
        <w:tab w:val="right" w:pos="9360"/>
      </w:tabs>
    </w:pPr>
  </w:style>
  <w:style w:type="character" w:customStyle="1" w:styleId="HeaderChar">
    <w:name w:val="Header Char"/>
    <w:basedOn w:val="DefaultParagraphFont"/>
    <w:link w:val="Header"/>
    <w:uiPriority w:val="99"/>
    <w:rsid w:val="00887B72"/>
    <w:rPr>
      <w:sz w:val="24"/>
      <w:szCs w:val="24"/>
    </w:rPr>
  </w:style>
  <w:style w:type="character" w:customStyle="1" w:styleId="FooterChar">
    <w:name w:val="Footer Char"/>
    <w:basedOn w:val="DefaultParagraphFont"/>
    <w:link w:val="Footer"/>
    <w:uiPriority w:val="99"/>
    <w:rsid w:val="00887B72"/>
    <w:rPr>
      <w:rFonts w:cs="Arial Unicode MS"/>
      <w:color w:val="000000"/>
      <w:sz w:val="24"/>
      <w:szCs w:val="24"/>
      <w:u w:color="000000"/>
    </w:rPr>
  </w:style>
  <w:style w:type="table" w:styleId="LightShading-Accent5">
    <w:name w:val="Light Shading Accent 5"/>
    <w:basedOn w:val="TableNormal"/>
    <w:uiPriority w:val="60"/>
    <w:rsid w:val="0038520B"/>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B9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mailto:dasha@harmreductioneurasia.org" TargetMode="External"/><Relationship Id="rId1" Type="http://schemas.openxmlformats.org/officeDocument/2006/relationships/hyperlink" Target="mailto:mgolichenko@gmail.com"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FA5D8F-5338-429E-B41E-0EC67990C567}"/>
</file>

<file path=customXml/itemProps2.xml><?xml version="1.0" encoding="utf-8"?>
<ds:datastoreItem xmlns:ds="http://schemas.openxmlformats.org/officeDocument/2006/customXml" ds:itemID="{52D058A4-D83C-4F18-8316-7411455839A9}"/>
</file>

<file path=customXml/itemProps3.xml><?xml version="1.0" encoding="utf-8"?>
<ds:datastoreItem xmlns:ds="http://schemas.openxmlformats.org/officeDocument/2006/customXml" ds:itemID="{97F7DF91-3AD4-4BE9-BF20-5082893C6CB8}"/>
</file>

<file path=customXml/itemProps4.xml><?xml version="1.0" encoding="utf-8"?>
<ds:datastoreItem xmlns:ds="http://schemas.openxmlformats.org/officeDocument/2006/customXml" ds:itemID="{C4DAA125-D718-42C2-AE90-3DE1E9187C32}"/>
</file>

<file path=docProps/app.xml><?xml version="1.0" encoding="utf-8"?>
<Properties xmlns="http://schemas.openxmlformats.org/officeDocument/2006/extended-properties" xmlns:vt="http://schemas.openxmlformats.org/officeDocument/2006/docPropsVTypes">
  <Template>Normal</Template>
  <TotalTime>7</TotalTime>
  <Pages>7</Pages>
  <Words>2109</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Golichenko</dc:creator>
  <cp:lastModifiedBy>Mikhail Golichenko</cp:lastModifiedBy>
  <cp:revision>4</cp:revision>
  <dcterms:created xsi:type="dcterms:W3CDTF">2018-01-22T16:04:00Z</dcterms:created>
  <dcterms:modified xsi:type="dcterms:W3CDTF">2018-01-22T17:23:00Z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