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45562" w:rsidRDefault="00345562">
      <w:pPr>
        <w:jc w:val="both"/>
        <w:rPr>
          <w:rFonts w:ascii="Times New Roman" w:eastAsia="Times New Roman" w:hAnsi="Times New Roman" w:cs="Times New Roman"/>
        </w:rPr>
      </w:pPr>
    </w:p>
    <w:p w:rsidR="00345562" w:rsidRDefault="004162EF">
      <w:pPr>
        <w:jc w:val="both"/>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extent cx="1160969" cy="15743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160969" cy="1574388"/>
                    </a:xfrm>
                    <a:prstGeom prst="rect">
                      <a:avLst/>
                    </a:prstGeom>
                    <a:ln/>
                  </pic:spPr>
                </pic:pic>
              </a:graphicData>
            </a:graphic>
          </wp:inline>
        </w:drawing>
      </w:r>
    </w:p>
    <w:p w:rsidR="00345562" w:rsidRDefault="00345562">
      <w:pPr>
        <w:spacing w:before="240"/>
        <w:jc w:val="center"/>
        <w:rPr>
          <w:rFonts w:ascii="Times New Roman" w:eastAsia="Times New Roman" w:hAnsi="Times New Roman" w:cs="Times New Roman"/>
          <w:b/>
          <w:sz w:val="28"/>
          <w:szCs w:val="28"/>
        </w:rPr>
      </w:pPr>
    </w:p>
    <w:p w:rsidR="00345562" w:rsidRDefault="004162EF">
      <w:pPr>
        <w:spacing w:before="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WOMEN’S RESOURCE CENTER ARMENIA NGO</w:t>
      </w:r>
    </w:p>
    <w:p w:rsidR="00345562" w:rsidRDefault="004162EF">
      <w:pPr>
        <w:spacing w:before="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WRITTEN SUBMISSION TO THE</w:t>
      </w:r>
    </w:p>
    <w:p w:rsidR="00345562" w:rsidRDefault="004162EF">
      <w:pPr>
        <w:spacing w:before="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ESCR COMMITTEE</w:t>
      </w:r>
    </w:p>
    <w:p w:rsidR="00345562" w:rsidRDefault="004162EF">
      <w:pPr>
        <w:spacing w:before="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345562" w:rsidRDefault="004162EF">
      <w:pPr>
        <w:spacing w:before="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On the 4</w:t>
      </w:r>
      <w:r>
        <w:rPr>
          <w:rFonts w:ascii="Times New Roman" w:eastAsia="Times New Roman" w:hAnsi="Times New Roman" w:cs="Times New Roman"/>
          <w:b/>
          <w:sz w:val="28"/>
          <w:szCs w:val="28"/>
          <w:vertAlign w:val="superscript"/>
        </w:rPr>
        <w:t>th</w:t>
      </w:r>
      <w:r>
        <w:rPr>
          <w:rFonts w:ascii="Times New Roman" w:eastAsia="Times New Roman" w:hAnsi="Times New Roman" w:cs="Times New Roman"/>
          <w:b/>
          <w:sz w:val="28"/>
          <w:szCs w:val="28"/>
        </w:rPr>
        <w:t xml:space="preserve"> periodic report submitted by Armenia on the implementation of the </w:t>
      </w:r>
      <w:r>
        <w:rPr>
          <w:rFonts w:ascii="Times New Roman" w:eastAsia="Times New Roman" w:hAnsi="Times New Roman" w:cs="Times New Roman"/>
          <w:b/>
          <w:sz w:val="28"/>
          <w:szCs w:val="28"/>
        </w:rPr>
        <w:br/>
        <w:t>Covenant on Economic, Social, Cultural Rights</w:t>
      </w:r>
    </w:p>
    <w:p w:rsidR="00345562" w:rsidRDefault="004162EF">
      <w:pPr>
        <w:spacing w:before="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345562" w:rsidRDefault="004162EF">
      <w:pPr>
        <w:spacing w:before="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For the 74</w:t>
      </w:r>
      <w:r>
        <w:rPr>
          <w:rFonts w:ascii="Times New Roman" w:eastAsia="Times New Roman" w:hAnsi="Times New Roman" w:cs="Times New Roman"/>
          <w:b/>
          <w:sz w:val="28"/>
          <w:szCs w:val="28"/>
          <w:vertAlign w:val="superscript"/>
        </w:rPr>
        <w:t>th</w:t>
      </w:r>
      <w:r>
        <w:rPr>
          <w:rFonts w:ascii="Times New Roman" w:eastAsia="Times New Roman" w:hAnsi="Times New Roman" w:cs="Times New Roman"/>
          <w:b/>
          <w:sz w:val="28"/>
          <w:szCs w:val="28"/>
        </w:rPr>
        <w:t xml:space="preserve"> Session of the Committee on Economic, Social, Cultural Rights,</w:t>
      </w:r>
      <w:r>
        <w:rPr>
          <w:rFonts w:ascii="Times New Roman" w:eastAsia="Times New Roman" w:hAnsi="Times New Roman" w:cs="Times New Roman"/>
          <w:b/>
          <w:sz w:val="28"/>
          <w:szCs w:val="28"/>
        </w:rPr>
        <w:br/>
        <w:t xml:space="preserve"> 25 September-13 October 2023</w:t>
      </w:r>
    </w:p>
    <w:p w:rsidR="00345562" w:rsidRDefault="004162EF">
      <w:pPr>
        <w:spacing w:before="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345562" w:rsidRDefault="004162EF">
      <w:pPr>
        <w:spacing w:before="240" w:after="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Submitted by the Women’s Resource Center, Armenia</w:t>
      </w:r>
    </w:p>
    <w:p w:rsidR="00345562" w:rsidRDefault="004162EF">
      <w:pPr>
        <w:spacing w:before="240" w:after="240"/>
        <w:jc w:val="both"/>
        <w:rPr>
          <w:rFonts w:ascii="Times New Roman" w:eastAsia="Times New Roman" w:hAnsi="Times New Roman" w:cs="Times New Roman"/>
          <w:b/>
        </w:rPr>
      </w:pPr>
      <w:r>
        <w:rPr>
          <w:rFonts w:ascii="Times New Roman" w:eastAsia="Times New Roman" w:hAnsi="Times New Roman" w:cs="Times New Roman"/>
          <w:b/>
        </w:rPr>
        <w:t xml:space="preserve"> </w:t>
      </w:r>
    </w:p>
    <w:p w:rsidR="00345562" w:rsidRDefault="004162EF">
      <w:pPr>
        <w:spacing w:before="240" w:after="240"/>
        <w:jc w:val="both"/>
        <w:rPr>
          <w:rFonts w:ascii="Times New Roman" w:eastAsia="Times New Roman" w:hAnsi="Times New Roman" w:cs="Times New Roman"/>
          <w:b/>
        </w:rPr>
      </w:pPr>
      <w:r>
        <w:rPr>
          <w:rFonts w:ascii="Times New Roman" w:eastAsia="Times New Roman" w:hAnsi="Times New Roman" w:cs="Times New Roman"/>
          <w:b/>
        </w:rPr>
        <w:t xml:space="preserve"> </w:t>
      </w:r>
    </w:p>
    <w:p w:rsidR="00345562" w:rsidRDefault="004162EF">
      <w:pPr>
        <w:spacing w:before="240" w:after="240"/>
        <w:ind w:firstLine="20"/>
        <w:jc w:val="both"/>
        <w:rPr>
          <w:rFonts w:ascii="Times New Roman" w:eastAsia="Times New Roman" w:hAnsi="Times New Roman" w:cs="Times New Roman"/>
          <w:b/>
        </w:rPr>
      </w:pPr>
      <w:r>
        <w:rPr>
          <w:rFonts w:ascii="Times New Roman" w:eastAsia="Times New Roman" w:hAnsi="Times New Roman" w:cs="Times New Roman"/>
          <w:b/>
        </w:rPr>
        <w:t xml:space="preserve"> </w:t>
      </w:r>
    </w:p>
    <w:p w:rsidR="00345562" w:rsidRDefault="00345562">
      <w:pPr>
        <w:spacing w:before="240" w:after="240"/>
        <w:ind w:firstLine="20"/>
        <w:jc w:val="both"/>
        <w:rPr>
          <w:rFonts w:ascii="Times New Roman" w:eastAsia="Times New Roman" w:hAnsi="Times New Roman" w:cs="Times New Roman"/>
          <w:b/>
        </w:rPr>
      </w:pPr>
    </w:p>
    <w:p w:rsidR="00345562" w:rsidRDefault="004162EF">
      <w:pPr>
        <w:spacing w:before="240" w:after="240"/>
        <w:ind w:firstLine="20"/>
        <w:jc w:val="both"/>
        <w:rPr>
          <w:rFonts w:ascii="Times New Roman" w:eastAsia="Times New Roman" w:hAnsi="Times New Roman" w:cs="Times New Roman"/>
          <w:b/>
        </w:rPr>
      </w:pPr>
      <w:r>
        <w:rPr>
          <w:rFonts w:ascii="Times New Roman" w:eastAsia="Times New Roman" w:hAnsi="Times New Roman" w:cs="Times New Roman"/>
          <w:b/>
        </w:rPr>
        <w:t xml:space="preserve"> </w:t>
      </w:r>
    </w:p>
    <w:p w:rsidR="00345562" w:rsidRDefault="004162EF">
      <w:pPr>
        <w:spacing w:before="240" w:after="240"/>
        <w:ind w:firstLine="20"/>
        <w:jc w:val="center"/>
        <w:rPr>
          <w:rFonts w:ascii="Times New Roman" w:eastAsia="Times New Roman" w:hAnsi="Times New Roman" w:cs="Times New Roman"/>
          <w:b/>
        </w:rPr>
      </w:pPr>
      <w:r>
        <w:rPr>
          <w:rFonts w:ascii="Times New Roman" w:eastAsia="Times New Roman" w:hAnsi="Times New Roman" w:cs="Times New Roman"/>
          <w:b/>
        </w:rPr>
        <w:t xml:space="preserve"> Yerevan, 2023</w:t>
      </w:r>
    </w:p>
    <w:p w:rsidR="00345562" w:rsidRDefault="00345562">
      <w:pPr>
        <w:spacing w:before="240" w:after="240"/>
        <w:jc w:val="both"/>
        <w:rPr>
          <w:rFonts w:ascii="Times New Roman" w:eastAsia="Times New Roman" w:hAnsi="Times New Roman" w:cs="Times New Roman"/>
          <w:b/>
        </w:rPr>
      </w:pPr>
    </w:p>
    <w:p w:rsidR="00345562" w:rsidRDefault="004162EF">
      <w:pPr>
        <w:spacing w:before="240" w:after="240"/>
        <w:jc w:val="both"/>
        <w:rPr>
          <w:rFonts w:ascii="Times New Roman" w:eastAsia="Times New Roman" w:hAnsi="Times New Roman" w:cs="Times New Roman"/>
          <w:b/>
        </w:rPr>
      </w:pPr>
      <w:r>
        <w:rPr>
          <w:rFonts w:ascii="Times New Roman" w:eastAsia="Times New Roman" w:hAnsi="Times New Roman" w:cs="Times New Roman"/>
          <w:b/>
        </w:rPr>
        <w:t>Information about the author of the submission</w:t>
      </w:r>
    </w:p>
    <w:p w:rsidR="00345562" w:rsidRDefault="004162EF">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The Women’s Resource Center Armenia (WRCA) was founded in 2003 and works in the area of women’s human rights, women’s empowerment, reproductive and sexual rights. WRCA is a member of several local and international networks and coalitions. Since 2006 the organization has submitted shadow reports and </w:t>
      </w:r>
      <w:r w:rsidR="00D07510">
        <w:rPr>
          <w:rFonts w:ascii="Times New Roman" w:eastAsia="Times New Roman" w:hAnsi="Times New Roman" w:cs="Times New Roman"/>
        </w:rPr>
        <w:t>stakeholders’</w:t>
      </w:r>
      <w:r>
        <w:rPr>
          <w:rFonts w:ascii="Times New Roman" w:eastAsia="Times New Roman" w:hAnsi="Times New Roman" w:cs="Times New Roman"/>
        </w:rPr>
        <w:t xml:space="preserve"> reports to different UN treaty bodies.</w:t>
      </w:r>
    </w:p>
    <w:p w:rsidR="00345562" w:rsidRDefault="004162EF">
      <w:pPr>
        <w:spacing w:before="240" w:after="240"/>
        <w:jc w:val="both"/>
        <w:rPr>
          <w:rFonts w:ascii="Times New Roman" w:eastAsia="Times New Roman" w:hAnsi="Times New Roman" w:cs="Times New Roman"/>
          <w:b/>
        </w:rPr>
      </w:pPr>
      <w:r>
        <w:rPr>
          <w:rFonts w:ascii="Times New Roman" w:eastAsia="Times New Roman" w:hAnsi="Times New Roman" w:cs="Times New Roman"/>
          <w:b/>
        </w:rPr>
        <w:t>Email address:</w:t>
      </w:r>
      <w:r>
        <w:rPr>
          <w:rFonts w:ascii="Times New Roman" w:eastAsia="Times New Roman" w:hAnsi="Times New Roman" w:cs="Times New Roman"/>
        </w:rPr>
        <w:t xml:space="preserve"> info@womenofarmenia.org</w:t>
      </w: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032CB9" w:rsidRDefault="00032CB9">
      <w:pPr>
        <w:jc w:val="both"/>
        <w:rPr>
          <w:rFonts w:ascii="Times New Roman" w:eastAsia="Times New Roman" w:hAnsi="Times New Roman" w:cs="Times New Roman"/>
          <w:b/>
        </w:rPr>
      </w:pPr>
    </w:p>
    <w:p w:rsidR="00032CB9" w:rsidRDefault="00032CB9">
      <w:pPr>
        <w:jc w:val="both"/>
        <w:rPr>
          <w:rFonts w:ascii="Times New Roman" w:eastAsia="Times New Roman" w:hAnsi="Times New Roman" w:cs="Times New Roman"/>
          <w:b/>
        </w:rPr>
      </w:pPr>
    </w:p>
    <w:p w:rsidR="00032CB9" w:rsidRDefault="00032CB9">
      <w:pPr>
        <w:jc w:val="both"/>
        <w:rPr>
          <w:rFonts w:ascii="Times New Roman" w:eastAsia="Times New Roman" w:hAnsi="Times New Roman" w:cs="Times New Roman"/>
          <w:b/>
        </w:rPr>
      </w:pPr>
    </w:p>
    <w:p w:rsidR="00032CB9" w:rsidRDefault="00032CB9">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032CB9" w:rsidRDefault="00032CB9">
      <w:pPr>
        <w:jc w:val="both"/>
        <w:rPr>
          <w:rFonts w:ascii="Times New Roman" w:eastAsia="Times New Roman" w:hAnsi="Times New Roman" w:cs="Times New Roman"/>
          <w:b/>
        </w:rPr>
      </w:pPr>
    </w:p>
    <w:p w:rsidR="00345562" w:rsidRDefault="00345562">
      <w:pPr>
        <w:jc w:val="both"/>
        <w:rPr>
          <w:rFonts w:ascii="Times New Roman" w:eastAsia="Times New Roman" w:hAnsi="Times New Roman" w:cs="Times New Roman"/>
          <w:b/>
        </w:rPr>
      </w:pPr>
    </w:p>
    <w:p w:rsidR="00345562" w:rsidRDefault="00345562">
      <w:pPr>
        <w:spacing w:after="160" w:line="259" w:lineRule="auto"/>
        <w:jc w:val="both"/>
        <w:rPr>
          <w:rFonts w:ascii="Times New Roman" w:eastAsia="Times New Roman" w:hAnsi="Times New Roman" w:cs="Times New Roman"/>
        </w:rPr>
      </w:pPr>
    </w:p>
    <w:p w:rsidR="00345562" w:rsidRDefault="00032CB9">
      <w:pPr>
        <w:numPr>
          <w:ilvl w:val="0"/>
          <w:numId w:val="3"/>
        </w:numPr>
        <w:spacing w:after="160" w:line="259" w:lineRule="auto"/>
        <w:jc w:val="both"/>
        <w:rPr>
          <w:rFonts w:ascii="Calibri" w:eastAsia="Calibri" w:hAnsi="Calibri" w:cs="Calibri"/>
          <w:b/>
        </w:rPr>
      </w:pPr>
      <w:bookmarkStart w:id="0" w:name="_30j0zll" w:colFirst="0" w:colLast="0"/>
      <w:bookmarkEnd w:id="0"/>
      <w:r>
        <w:rPr>
          <w:rFonts w:ascii="Times New Roman" w:eastAsia="Times New Roman" w:hAnsi="Times New Roman" w:cs="Times New Roman"/>
          <w:b/>
        </w:rPr>
        <w:lastRenderedPageBreak/>
        <w:t xml:space="preserve">     Article 7 Section a) </w:t>
      </w:r>
      <w:r w:rsidR="00ED23AA">
        <w:rPr>
          <w:rFonts w:ascii="Times New Roman" w:eastAsia="Times New Roman" w:hAnsi="Times New Roman" w:cs="Times New Roman"/>
          <w:b/>
        </w:rPr>
        <w:t xml:space="preserve">Equal Pay for Work </w:t>
      </w:r>
      <w:r w:rsidR="00ED23AA">
        <w:rPr>
          <w:rFonts w:ascii="Times New Roman" w:eastAsia="Times New Roman" w:hAnsi="Times New Roman" w:cs="Times New Roman"/>
          <w:b/>
          <w:lang w:val="en-US"/>
        </w:rPr>
        <w:t xml:space="preserve">of </w:t>
      </w:r>
      <w:r w:rsidR="004162EF">
        <w:rPr>
          <w:rFonts w:ascii="Times New Roman" w:eastAsia="Times New Roman" w:hAnsi="Times New Roman" w:cs="Times New Roman"/>
          <w:b/>
        </w:rPr>
        <w:t xml:space="preserve">Equal Value </w:t>
      </w:r>
    </w:p>
    <w:p w:rsidR="00345562" w:rsidRDefault="004162EF">
      <w:pPr>
        <w:numPr>
          <w:ilvl w:val="0"/>
          <w:numId w:val="6"/>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According to the most recent study, conducted by UN Women and Armenian Statistical Committee</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the adjusted gender pay gap in Armenia is estimated at 28.4 per cent. It is larger than the unadjusted gender pay gap, suggesting that working women have better labour-market characteristics than men. Therefore, qualifications cannot explain the gender pay gap in Armenia; quite the contrary, they amplify it. The addition of sectors and occupations does not affect the resultant gap, suggesting that potential sectoral and/or occupational segregations likewise cannot explain the gap.</w:t>
      </w:r>
    </w:p>
    <w:p w:rsidR="00345562" w:rsidRDefault="004162EF">
      <w:pPr>
        <w:numPr>
          <w:ilvl w:val="0"/>
          <w:numId w:val="6"/>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Undoubtedly, the very remaining part of the unexplained gender pay gap could only be “explained” on the grounds of discrimination. Namely, employers – and the labour market in general – observe women with the same characteristics differently than men, for work of equal value, due to different perceptions, expectations, stereotypes and prejudices.</w:t>
      </w:r>
    </w:p>
    <w:p w:rsidR="00345562" w:rsidRDefault="004162EF">
      <w:pPr>
        <w:numPr>
          <w:ilvl w:val="0"/>
          <w:numId w:val="6"/>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According to ICESR General Comment No. 23 (2016) on the Right to just and favorable conditions of work</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and ILO Equal Remuneration Convention No. 100</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workers should not only receive equal remuneration when they perform the same or similar jobs, but their remuneration should be equal even when their work is completely different but nonetheless of equal value when assessed by objective criteria. The extent to which equality is being achieved requires an on-going objective evaluation of whether the work is of equal value and whether the remuneration received is equal. It should cover a broad selection of functions. Since the focus should be on the ‘value’ of the work, evaluation factors should include </w:t>
      </w:r>
      <w:r>
        <w:rPr>
          <w:rFonts w:ascii="Times New Roman" w:eastAsia="Times New Roman" w:hAnsi="Times New Roman" w:cs="Times New Roman"/>
          <w:b/>
        </w:rPr>
        <w:t>skills, responsibilities and effort required by the worker as well as working conditions.</w:t>
      </w:r>
      <w:r>
        <w:rPr>
          <w:rFonts w:ascii="Times New Roman" w:eastAsia="Times New Roman" w:hAnsi="Times New Roman" w:cs="Times New Roman"/>
        </w:rPr>
        <w:t xml:space="preserve"> It could be based on a comparison of rates of remuneration across organizations, enterprises and professions.</w:t>
      </w:r>
    </w:p>
    <w:p w:rsidR="00345562" w:rsidRDefault="004162EF">
      <w:pPr>
        <w:numPr>
          <w:ilvl w:val="0"/>
          <w:numId w:val="6"/>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However the Armenian Labour Code article 178 p. 2 falls short of fully incorporating this right into its Labor Law.  Article 178 provides that men and women should receive equal pay for the same work or the work of equal value. P. 4 of the same article stipulates that the salary of the employee shall depend on the employee’s qualifications, as well as conditions of work, quality, amount and difficulty of work. </w:t>
      </w:r>
    </w:p>
    <w:p w:rsidR="0021588C" w:rsidRDefault="004162EF" w:rsidP="0021588C">
      <w:pPr>
        <w:numPr>
          <w:ilvl w:val="0"/>
          <w:numId w:val="6"/>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Indeed</w:t>
      </w:r>
      <w:r w:rsidR="00D07510">
        <w:rPr>
          <w:rFonts w:ascii="Times New Roman" w:eastAsia="Times New Roman" w:hAnsi="Times New Roman" w:cs="Times New Roman"/>
        </w:rPr>
        <w:t>, while</w:t>
      </w:r>
      <w:r>
        <w:rPr>
          <w:rFonts w:ascii="Times New Roman" w:eastAsia="Times New Roman" w:hAnsi="Times New Roman" w:cs="Times New Roman"/>
        </w:rPr>
        <w:t xml:space="preserve"> job evaluation is mentioned in the Labour code in several provisions, including job evaluations for pregnant and breastfeeding women, job evaluation methodology or mechanisms are not established in Armenia. As a consequence, there is no method of job evaluation in place that addresses gender biases, methods of evaluation and comparison, remuner</w:t>
      </w:r>
      <w:r w:rsidR="00ED23AA">
        <w:rPr>
          <w:rFonts w:ascii="Times New Roman" w:eastAsia="Times New Roman" w:hAnsi="Times New Roman" w:cs="Times New Roman"/>
        </w:rPr>
        <w:t xml:space="preserve">ation evaluation and comparison </w:t>
      </w:r>
      <w:r>
        <w:rPr>
          <w:rFonts w:ascii="Times New Roman" w:eastAsia="Times New Roman" w:hAnsi="Times New Roman" w:cs="Times New Roman"/>
        </w:rPr>
        <w:t xml:space="preserve">for employers, state bodies or social partners. </w:t>
      </w:r>
    </w:p>
    <w:p w:rsidR="00345562" w:rsidRDefault="004162EF">
      <w:pPr>
        <w:numPr>
          <w:ilvl w:val="0"/>
          <w:numId w:val="6"/>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Equal pay issues are also not included in the </w:t>
      </w:r>
      <w:r w:rsidR="00D07510">
        <w:rPr>
          <w:rFonts w:ascii="Times New Roman" w:eastAsia="Times New Roman" w:hAnsi="Times New Roman" w:cs="Times New Roman"/>
        </w:rPr>
        <w:t>issues regulated</w:t>
      </w:r>
      <w:r>
        <w:rPr>
          <w:rFonts w:ascii="Times New Roman" w:eastAsia="Times New Roman" w:hAnsi="Times New Roman" w:cs="Times New Roman"/>
        </w:rPr>
        <w:t xml:space="preserve"> by collective agreements within the collective bargaining procedures. </w:t>
      </w:r>
    </w:p>
    <w:p w:rsidR="00345562" w:rsidRDefault="004162EF">
      <w:pPr>
        <w:numPr>
          <w:ilvl w:val="0"/>
          <w:numId w:val="6"/>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In these circumstances it is not possible to determine works of equal value, make comparisons and guarantee equal pay for work of equal value. Furthermo</w:t>
      </w:r>
      <w:r w:rsidR="00D07510">
        <w:rPr>
          <w:rFonts w:ascii="Times New Roman" w:eastAsia="Times New Roman" w:hAnsi="Times New Roman" w:cs="Times New Roman"/>
        </w:rPr>
        <w:t xml:space="preserve">re, there is no institution or </w:t>
      </w:r>
      <w:r>
        <w:rPr>
          <w:rFonts w:ascii="Times New Roman" w:eastAsia="Times New Roman" w:hAnsi="Times New Roman" w:cs="Times New Roman"/>
        </w:rPr>
        <w:t>state body responsible for supervising the enactment of the above mentioned article.</w:t>
      </w:r>
    </w:p>
    <w:p w:rsidR="00345562" w:rsidRDefault="004162EF">
      <w:pPr>
        <w:numPr>
          <w:ilvl w:val="0"/>
          <w:numId w:val="6"/>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This lacunae in the Labour Code, is exacerbated by the absence of comprehensive equality legislation, which is essential to implementing the equal pay principle. However, without proper definitions of direct and indirect discrimination, or an effectively working equality body and procedural safeguards, </w:t>
      </w:r>
      <w:r>
        <w:rPr>
          <w:rFonts w:ascii="Times New Roman" w:eastAsia="Times New Roman" w:hAnsi="Times New Roman" w:cs="Times New Roman"/>
        </w:rPr>
        <w:lastRenderedPageBreak/>
        <w:t>such as shift of the burden of proof, it is impossible to effectively implement and enforce an equal pay principle.</w:t>
      </w:r>
    </w:p>
    <w:p w:rsidR="008B6E8B" w:rsidRPr="008B6E8B" w:rsidRDefault="008B6E8B" w:rsidP="008B6E8B">
      <w:pPr>
        <w:numPr>
          <w:ilvl w:val="0"/>
          <w:numId w:val="6"/>
        </w:numPr>
        <w:spacing w:after="160" w:line="259" w:lineRule="auto"/>
        <w:jc w:val="both"/>
        <w:rPr>
          <w:rFonts w:ascii="Times New Roman" w:eastAsia="Times New Roman" w:hAnsi="Times New Roman" w:cs="Times New Roman"/>
        </w:rPr>
      </w:pPr>
      <w:r w:rsidRPr="008B6E8B">
        <w:rPr>
          <w:rFonts w:ascii="Times New Roman" w:eastAsia="Times New Roman" w:hAnsi="Times New Roman" w:cs="Times New Roman"/>
        </w:rPr>
        <w:t xml:space="preserve">Additionally, it is noteworthy that although the Committee requested the Government, in paragraph 10 of the List of Issues, to outline the measures taken towards eliminating the </w:t>
      </w:r>
      <w:r>
        <w:rPr>
          <w:rFonts w:ascii="Times New Roman" w:eastAsia="Times New Roman" w:hAnsi="Times New Roman" w:cs="Times New Roman"/>
        </w:rPr>
        <w:t xml:space="preserve">list of professions declared </w:t>
      </w:r>
      <w:r w:rsidRPr="008B6E8B">
        <w:rPr>
          <w:rFonts w:ascii="Times New Roman" w:eastAsia="Times New Roman" w:hAnsi="Times New Roman" w:cs="Times New Roman"/>
        </w:rPr>
        <w:t>hazardous for women, no such list currently exists. The sole limitation pertains to the labor undertaken by pregnant and breastfeeding women, alignin</w:t>
      </w:r>
      <w:r>
        <w:rPr>
          <w:rFonts w:ascii="Times New Roman" w:eastAsia="Times New Roman" w:hAnsi="Times New Roman" w:cs="Times New Roman"/>
        </w:rPr>
        <w:t xml:space="preserve">g with international legal standards. </w:t>
      </w:r>
    </w:p>
    <w:p w:rsidR="00345562" w:rsidRDefault="004162EF">
      <w:pPr>
        <w:numPr>
          <w:ilvl w:val="0"/>
          <w:numId w:val="6"/>
        </w:numPr>
        <w:spacing w:after="160" w:line="259" w:lineRule="auto"/>
        <w:jc w:val="both"/>
        <w:rPr>
          <w:rFonts w:ascii="Times New Roman" w:eastAsia="Times New Roman" w:hAnsi="Times New Roman" w:cs="Times New Roman"/>
        </w:rPr>
      </w:pPr>
      <w:r>
        <w:rPr>
          <w:rFonts w:ascii="Times New Roman" w:eastAsia="Times New Roman" w:hAnsi="Times New Roman" w:cs="Times New Roman"/>
          <w:b/>
          <w:u w:val="single"/>
        </w:rPr>
        <w:t>Recommendations:</w:t>
      </w:r>
    </w:p>
    <w:p w:rsidR="00345562" w:rsidRPr="00032CB9" w:rsidRDefault="004162EF" w:rsidP="00032CB9">
      <w:pPr>
        <w:numPr>
          <w:ilvl w:val="0"/>
          <w:numId w:val="5"/>
        </w:numPr>
        <w:spacing w:line="259" w:lineRule="auto"/>
        <w:ind w:left="1224"/>
        <w:jc w:val="both"/>
        <w:rPr>
          <w:rFonts w:ascii="Times New Roman" w:eastAsia="Times New Roman" w:hAnsi="Times New Roman" w:cs="Times New Roman"/>
          <w:i/>
        </w:rPr>
      </w:pPr>
      <w:r w:rsidRPr="00032CB9">
        <w:rPr>
          <w:rFonts w:ascii="Times New Roman" w:eastAsia="Times New Roman" w:hAnsi="Times New Roman" w:cs="Times New Roman"/>
          <w:i/>
        </w:rPr>
        <w:t>Adopt comprehensive anti-discrimination law with the specific regulations on pay equity and mechanisms to guarantee the enactment of the principle. The law should contain also regulations on shifting of burden of proof to the employer in cases of pay discrimination</w:t>
      </w:r>
    </w:p>
    <w:p w:rsidR="00345562" w:rsidRPr="00032CB9" w:rsidRDefault="004162EF" w:rsidP="00032CB9">
      <w:pPr>
        <w:numPr>
          <w:ilvl w:val="0"/>
          <w:numId w:val="5"/>
        </w:numPr>
        <w:spacing w:line="259" w:lineRule="auto"/>
        <w:ind w:left="1224"/>
        <w:jc w:val="both"/>
        <w:rPr>
          <w:rFonts w:ascii="Times New Roman" w:eastAsia="Times New Roman" w:hAnsi="Times New Roman" w:cs="Times New Roman"/>
          <w:i/>
        </w:rPr>
      </w:pPr>
      <w:r w:rsidRPr="00032CB9">
        <w:rPr>
          <w:rFonts w:ascii="Times New Roman" w:eastAsia="Times New Roman" w:hAnsi="Times New Roman" w:cs="Times New Roman"/>
          <w:i/>
        </w:rPr>
        <w:t>Develop efficient methodology to measure the work of equal value and based on the methodology to enforce the principle of equal pay.</w:t>
      </w:r>
    </w:p>
    <w:p w:rsidR="00345562" w:rsidRPr="00032CB9" w:rsidRDefault="004162EF" w:rsidP="00032CB9">
      <w:pPr>
        <w:numPr>
          <w:ilvl w:val="0"/>
          <w:numId w:val="5"/>
        </w:numPr>
        <w:spacing w:line="259" w:lineRule="auto"/>
        <w:ind w:left="1224"/>
        <w:jc w:val="both"/>
        <w:rPr>
          <w:rFonts w:ascii="Times New Roman" w:eastAsia="Times New Roman" w:hAnsi="Times New Roman" w:cs="Times New Roman"/>
          <w:i/>
        </w:rPr>
      </w:pPr>
      <w:r w:rsidRPr="00032CB9">
        <w:rPr>
          <w:rFonts w:ascii="Times New Roman" w:eastAsia="Times New Roman" w:hAnsi="Times New Roman" w:cs="Times New Roman"/>
          <w:i/>
        </w:rPr>
        <w:t>On a legislative level, adopt regulations on gender sensitive job evaluations and provide mechanisms of its realization.</w:t>
      </w:r>
    </w:p>
    <w:p w:rsidR="00345562" w:rsidRPr="00032CB9" w:rsidRDefault="004162EF" w:rsidP="00032CB9">
      <w:pPr>
        <w:numPr>
          <w:ilvl w:val="0"/>
          <w:numId w:val="5"/>
        </w:numPr>
        <w:spacing w:line="259" w:lineRule="auto"/>
        <w:ind w:left="1224"/>
        <w:jc w:val="both"/>
        <w:rPr>
          <w:rFonts w:ascii="Times New Roman" w:eastAsia="Times New Roman" w:hAnsi="Times New Roman" w:cs="Times New Roman"/>
          <w:i/>
        </w:rPr>
      </w:pPr>
      <w:r w:rsidRPr="00032CB9">
        <w:rPr>
          <w:rFonts w:ascii="Times New Roman" w:eastAsia="Times New Roman" w:hAnsi="Times New Roman" w:cs="Times New Roman"/>
          <w:i/>
        </w:rPr>
        <w:t>Introduce mandatory trainings for the staff of HLIB, Ministry of Labour and Social Affairs and other state bodies, as well as social partners and employers specifically on the gender sensitive methods of job evaluation and comparison.</w:t>
      </w:r>
    </w:p>
    <w:p w:rsidR="00345562" w:rsidRDefault="004162EF" w:rsidP="00032CB9">
      <w:pPr>
        <w:numPr>
          <w:ilvl w:val="0"/>
          <w:numId w:val="5"/>
        </w:numPr>
        <w:spacing w:line="259" w:lineRule="auto"/>
        <w:ind w:left="1224"/>
        <w:jc w:val="both"/>
        <w:rPr>
          <w:rFonts w:ascii="Times New Roman" w:eastAsia="Times New Roman" w:hAnsi="Times New Roman" w:cs="Times New Roman"/>
          <w:i/>
        </w:rPr>
      </w:pPr>
      <w:r w:rsidRPr="00032CB9">
        <w:rPr>
          <w:rFonts w:ascii="Times New Roman" w:eastAsia="Times New Roman" w:hAnsi="Times New Roman" w:cs="Times New Roman"/>
          <w:i/>
        </w:rPr>
        <w:t>Explicitly include equal pay for the work of equal value as a policy aim in the Gender Equality strategy and initiate its implementation on intergovernmental group level.</w:t>
      </w:r>
    </w:p>
    <w:p w:rsidR="00032CB9" w:rsidRDefault="00032CB9" w:rsidP="00032CB9">
      <w:pPr>
        <w:spacing w:line="259" w:lineRule="auto"/>
        <w:ind w:left="1224"/>
        <w:jc w:val="both"/>
        <w:rPr>
          <w:rFonts w:ascii="Times New Roman" w:eastAsia="Times New Roman" w:hAnsi="Times New Roman" w:cs="Times New Roman"/>
          <w:i/>
        </w:rPr>
      </w:pPr>
    </w:p>
    <w:p w:rsidR="00032CB9" w:rsidRPr="00032CB9" w:rsidRDefault="00032CB9" w:rsidP="00032CB9">
      <w:pPr>
        <w:spacing w:line="259" w:lineRule="auto"/>
        <w:ind w:left="1224"/>
        <w:jc w:val="both"/>
        <w:rPr>
          <w:rFonts w:ascii="Times New Roman" w:eastAsia="Times New Roman" w:hAnsi="Times New Roman" w:cs="Times New Roman"/>
          <w:i/>
        </w:rPr>
      </w:pPr>
    </w:p>
    <w:p w:rsidR="00345562" w:rsidRDefault="004162EF">
      <w:pPr>
        <w:numPr>
          <w:ilvl w:val="0"/>
          <w:numId w:val="3"/>
        </w:numPr>
        <w:pBdr>
          <w:top w:val="nil"/>
          <w:left w:val="nil"/>
          <w:bottom w:val="nil"/>
          <w:right w:val="nil"/>
          <w:between w:val="nil"/>
        </w:pBdr>
        <w:spacing w:after="160" w:line="259" w:lineRule="auto"/>
        <w:jc w:val="both"/>
        <w:rPr>
          <w:rFonts w:ascii="Times New Roman" w:eastAsia="Times New Roman" w:hAnsi="Times New Roman" w:cs="Times New Roman"/>
          <w:b/>
        </w:rPr>
      </w:pPr>
      <w:bookmarkStart w:id="1" w:name="_raw02s6btbke" w:colFirst="0" w:colLast="0"/>
      <w:bookmarkEnd w:id="1"/>
      <w:r>
        <w:rPr>
          <w:rFonts w:ascii="Times New Roman" w:eastAsia="Times New Roman" w:hAnsi="Times New Roman" w:cs="Times New Roman"/>
          <w:b/>
        </w:rPr>
        <w:t>Article 7 section b) Safe and healthy working conditions:</w:t>
      </w:r>
    </w:p>
    <w:p w:rsidR="00345562" w:rsidRDefault="004162EF">
      <w:pPr>
        <w:spacing w:after="160" w:line="259" w:lineRule="auto"/>
        <w:ind w:firstLine="720"/>
        <w:jc w:val="both"/>
        <w:rPr>
          <w:rFonts w:ascii="Times New Roman" w:eastAsia="Times New Roman" w:hAnsi="Times New Roman" w:cs="Times New Roman"/>
          <w:b/>
        </w:rPr>
      </w:pPr>
      <w:r>
        <w:rPr>
          <w:rFonts w:ascii="Times New Roman" w:eastAsia="Times New Roman" w:hAnsi="Times New Roman" w:cs="Times New Roman"/>
          <w:b/>
        </w:rPr>
        <w:t>Sexual harassment at workplace</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rPr>
        <w:t>CESCR General Comment No. 23 (2016) on the Right to just and favorable conditions of work (Article 7 of the Convention)</w:t>
      </w:r>
      <w:r>
        <w:rPr>
          <w:rFonts w:ascii="Times New Roman" w:eastAsia="Times New Roman" w:hAnsi="Times New Roman" w:cs="Times New Roman"/>
          <w:vertAlign w:val="superscript"/>
        </w:rPr>
        <w:t xml:space="preserve"> </w:t>
      </w:r>
      <w:r>
        <w:rPr>
          <w:rFonts w:ascii="Times New Roman" w:eastAsia="Times New Roman" w:hAnsi="Times New Roman" w:cs="Times New Roman"/>
        </w:rPr>
        <w:t xml:space="preserve">identifies a non-exhaustive list of fundamental elements to guarantee just and favorable conditions of work. In this context, the Committee has systematically underlined factors such as [….] freedom from violence and harassment, including sexual harassment….The General comment sets out that all workers should be free from physical and mental harassment, including but not limited to sexual harassment…. It adds that a specific definition of sexual harassment in the workplace is appropriate, as is criminalization and punishment.  </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The General Comment stipulates that the national policy to be applied in the workplace, in both </w:t>
      </w:r>
      <w:r>
        <w:rPr>
          <w:rFonts w:ascii="Times New Roman" w:eastAsia="Times New Roman" w:hAnsi="Times New Roman" w:cs="Times New Roman"/>
          <w:i/>
        </w:rPr>
        <w:t>public and private spheres</w:t>
      </w:r>
      <w:r>
        <w:rPr>
          <w:rFonts w:ascii="Times New Roman" w:eastAsia="Times New Roman" w:hAnsi="Times New Roman" w:cs="Times New Roman"/>
        </w:rPr>
        <w:t>, should include at least the following elements: (a) explicit coverage of harassment by and against any worker; (b) prohibition of certain acts that constitute harassment, including sexual harassment; (c) identifying of special duties on employers, managers, supervisors and workers to prevent and where relevant resolve and remedy harassment cases; (d) access to justice for victims, including free legal aid; (e) compulsory training for all staff including for managers and supervisors; (f) protection of victims, including focal points to assist them, as well as avenues of complaint and redress; (g) explicit prohibition of reprisals; (h) procedures for notification and reporting to a central public authority of claims of sexual harassment and their resolution; (i) provision of a clearly visible workplace specific policy, developed in consultation with workers, employers and their representative organizations, and other relevant stakeholders such as civil society organizations.</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rPr>
        <w:lastRenderedPageBreak/>
        <w:t>In 2022 WRCA conducted the first investigatory study on sexual harassment at workplace</w:t>
      </w:r>
      <w:r>
        <w:rPr>
          <w:rFonts w:ascii="Times New Roman" w:eastAsia="Times New Roman" w:hAnsi="Times New Roman" w:cs="Times New Roman"/>
          <w:vertAlign w:val="superscript"/>
        </w:rPr>
        <w:footnoteReference w:id="4"/>
      </w:r>
      <w:r>
        <w:rPr>
          <w:rFonts w:ascii="Times New Roman" w:eastAsia="Times New Roman" w:hAnsi="Times New Roman" w:cs="Times New Roman"/>
          <w:vertAlign w:val="superscript"/>
        </w:rPr>
        <w:t xml:space="preserve"> </w:t>
      </w:r>
      <w:r>
        <w:rPr>
          <w:rFonts w:ascii="Times New Roman" w:eastAsia="Times New Roman" w:hAnsi="Times New Roman" w:cs="Times New Roman"/>
        </w:rPr>
        <w:t>with 590 participants with 90% of the participants being young women. According to the study, 42.7% of those surveyed had experienced some form of sexual harassment. 42.2% of respondents reported that their colleagues were also sexually harassed. It is worth noting, that 32.2% of these cases of sexual harassment occurred in the service sector, part of the victims working in non-formal economy without having employment contract. 56% of the respondents voluntarily resigned or were dismissed after their experience(s). Notably, 98.6% of the employees didn’t report or apply to the employer or any state or public body.  According to the study, 23.1% of responden</w:t>
      </w:r>
      <w:r w:rsidR="00D07510">
        <w:rPr>
          <w:rFonts w:ascii="Times New Roman" w:eastAsia="Times New Roman" w:hAnsi="Times New Roman" w:cs="Times New Roman"/>
        </w:rPr>
        <w:t xml:space="preserve">ts reported unwanted touching </w:t>
      </w:r>
      <w:r>
        <w:rPr>
          <w:rFonts w:ascii="Times New Roman" w:eastAsia="Times New Roman" w:hAnsi="Times New Roman" w:cs="Times New Roman"/>
        </w:rPr>
        <w:t>and verbal abuse in the form of sexual jokes, unwanted comments about appearances and body, as well as obscene suggestions.</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rPr>
        <w:t>Despite the high rates of sexual harassment experiences by female workers, Armenia lacks effective regulations on sexual harassment in its criminal</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anti-discrimination and labour legislation. Indeed, Armenia lacks comprehensive anti-discrimination legislation and has not established an acting equality body. </w:t>
      </w:r>
      <w:r w:rsidR="00D07510">
        <w:rPr>
          <w:rFonts w:ascii="Times New Roman" w:eastAsia="Times New Roman" w:hAnsi="Times New Roman" w:cs="Times New Roman"/>
        </w:rPr>
        <w:t>Further, there</w:t>
      </w:r>
      <w:r>
        <w:rPr>
          <w:rFonts w:ascii="Times New Roman" w:eastAsia="Times New Roman" w:hAnsi="Times New Roman" w:cs="Times New Roman"/>
        </w:rPr>
        <w:t xml:space="preserve"> are no protection or reparation mechanism in place for those subjected to discrimination, including victims of sexual harassment. </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rPr>
        <w:t>Sexual harassment at workplace was defined and banned in the Labour code. According to the new regulations, which have been in force since July 31, 2023 sexual harassment at workplace is defined as unwelcome actions of a sexual nature, which can take the form of physical, verbal</w:t>
      </w:r>
      <w:r w:rsidR="00D07510">
        <w:rPr>
          <w:rFonts w:ascii="Times New Roman" w:eastAsia="Times New Roman" w:hAnsi="Times New Roman" w:cs="Times New Roman"/>
        </w:rPr>
        <w:t xml:space="preserve"> </w:t>
      </w:r>
      <w:r>
        <w:rPr>
          <w:rFonts w:ascii="Times New Roman" w:eastAsia="Times New Roman" w:hAnsi="Times New Roman" w:cs="Times New Roman"/>
        </w:rPr>
        <w:t>or non-verbal behavior, encompassing gestures and sexual advances and/or have direct or indirect impact on an individual, influencing their employment decisions or fostering an environment that is degrading or socially isolating</w:t>
      </w:r>
      <w:r>
        <w:rPr>
          <w:rFonts w:ascii="Times New Roman" w:eastAsia="Times New Roman" w:hAnsi="Times New Roman" w:cs="Times New Roman"/>
          <w:vertAlign w:val="superscript"/>
        </w:rPr>
        <w:footnoteReference w:id="6"/>
      </w:r>
      <w:r>
        <w:rPr>
          <w:rFonts w:ascii="Times New Roman" w:eastAsia="Times New Roman" w:hAnsi="Times New Roman" w:cs="Times New Roman"/>
          <w:vertAlign w:val="superscript"/>
        </w:rPr>
        <w:t>.</w:t>
      </w:r>
      <w:r>
        <w:rPr>
          <w:rFonts w:ascii="Times New Roman" w:eastAsia="Times New Roman" w:hAnsi="Times New Roman" w:cs="Times New Roman"/>
        </w:rPr>
        <w:t xml:space="preserve"> </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rPr>
        <w:t>Despite these positive and welcome developments there remain critical gaps at the legislative and policy levels which leave victims of sexual harassment in Armenia without effective protection mechanisms:</w:t>
      </w:r>
    </w:p>
    <w:p w:rsidR="00345562" w:rsidRDefault="00032CB9">
      <w:pPr>
        <w:spacing w:after="160" w:line="259" w:lineRule="auto"/>
        <w:ind w:left="360"/>
        <w:jc w:val="both"/>
        <w:rPr>
          <w:rFonts w:ascii="Times New Roman" w:eastAsia="Times New Roman" w:hAnsi="Times New Roman" w:cs="Times New Roman"/>
        </w:rPr>
      </w:pPr>
      <w:r>
        <w:rPr>
          <w:rFonts w:ascii="Times New Roman" w:eastAsia="Times New Roman" w:hAnsi="Times New Roman" w:cs="Times New Roman"/>
        </w:rPr>
        <w:t>16</w:t>
      </w:r>
      <w:r w:rsidR="004162EF">
        <w:rPr>
          <w:rFonts w:ascii="Times New Roman" w:eastAsia="Times New Roman" w:hAnsi="Times New Roman" w:cs="Times New Roman"/>
        </w:rPr>
        <w:t xml:space="preserve">.1. </w:t>
      </w:r>
      <w:r w:rsidR="004162EF">
        <w:rPr>
          <w:rFonts w:ascii="Times New Roman" w:eastAsia="Times New Roman" w:hAnsi="Times New Roman" w:cs="Times New Roman"/>
        </w:rPr>
        <w:tab/>
        <w:t xml:space="preserve">Firstly, the existing legislation does not impose any </w:t>
      </w:r>
      <w:r w:rsidR="004162EF">
        <w:rPr>
          <w:rFonts w:ascii="Times New Roman" w:eastAsia="Times New Roman" w:hAnsi="Times New Roman" w:cs="Times New Roman"/>
          <w:b/>
        </w:rPr>
        <w:t>obligations</w:t>
      </w:r>
      <w:r w:rsidR="004162EF">
        <w:rPr>
          <w:rFonts w:ascii="Times New Roman" w:eastAsia="Times New Roman" w:hAnsi="Times New Roman" w:cs="Times New Roman"/>
        </w:rPr>
        <w:t xml:space="preserve"> on employers to proactively prevent, address, or rectify instances of harassment. The sole requirement for employers is to include a prohibition of sexual harassment within their Internal Disciplinary Rules. These rules primarily outline working hours, shifts, annual leave specifics, and other administrative matters. However, the law does not mandate the formulation of dedicated policies aimed at preventing sexual harassment, designating sexual harassment officers, or establishing complaint procedures. Further, employers have the right (but not the obligation) to enforce disciplinary actions against harassers, following the general regulation of disciplinary proceedings. These procedural norms, by their very nature, do not align seamlessly with the complexities of sexual harassment cases. The nuances of sexual harassment proceedings, which require provisions to address issues of confidentiality, shifting the burden of proof, possibilities for informal resolution, and specialized remedies, which diverge significantly from the standard disciplinary framework.</w:t>
      </w:r>
    </w:p>
    <w:p w:rsidR="00345562" w:rsidRDefault="00032CB9">
      <w:pPr>
        <w:spacing w:after="160" w:line="259" w:lineRule="auto"/>
        <w:ind w:left="360"/>
        <w:jc w:val="both"/>
        <w:rPr>
          <w:rFonts w:ascii="Times New Roman" w:eastAsia="Times New Roman" w:hAnsi="Times New Roman" w:cs="Times New Roman"/>
        </w:rPr>
      </w:pPr>
      <w:r>
        <w:rPr>
          <w:rFonts w:ascii="Times New Roman" w:eastAsia="Times New Roman" w:hAnsi="Times New Roman" w:cs="Times New Roman"/>
        </w:rPr>
        <w:t>16</w:t>
      </w:r>
      <w:r w:rsidR="004162EF">
        <w:rPr>
          <w:rFonts w:ascii="Times New Roman" w:eastAsia="Times New Roman" w:hAnsi="Times New Roman" w:cs="Times New Roman"/>
        </w:rPr>
        <w:t>.2.</w:t>
      </w:r>
      <w:r w:rsidR="004162EF">
        <w:rPr>
          <w:rFonts w:ascii="Times New Roman" w:eastAsia="Times New Roman" w:hAnsi="Times New Roman" w:cs="Times New Roman"/>
        </w:rPr>
        <w:tab/>
        <w:t xml:space="preserve">Secondly, the legislation does not provide </w:t>
      </w:r>
      <w:r w:rsidR="004162EF">
        <w:rPr>
          <w:rFonts w:ascii="Times New Roman" w:eastAsia="Times New Roman" w:hAnsi="Times New Roman" w:cs="Times New Roman"/>
          <w:b/>
        </w:rPr>
        <w:t>confidential complaint mechanisms</w:t>
      </w:r>
      <w:r w:rsidR="004162EF">
        <w:rPr>
          <w:rFonts w:ascii="Times New Roman" w:eastAsia="Times New Roman" w:hAnsi="Times New Roman" w:cs="Times New Roman"/>
        </w:rPr>
        <w:t xml:space="preserve"> for the victims of sexual harassment and there is no state body, which is responsible for addressing sexual harassment cases. The Health and Labor State Inspectorate (HLIB) is an inspection body which has limited powers and no skills to deal with harassment cases. Sexual harassment issues are not specifically </w:t>
      </w:r>
      <w:r w:rsidR="004162EF">
        <w:rPr>
          <w:rFonts w:ascii="Times New Roman" w:eastAsia="Times New Roman" w:hAnsi="Times New Roman" w:cs="Times New Roman"/>
        </w:rPr>
        <w:lastRenderedPageBreak/>
        <w:t xml:space="preserve">mentioned in HLIB charter. HLIB inspectors don’t have access to workplaces, except from the cases mentioned in annual inspection programs and with prior notice. Their inspection methodology is documentary and they have no power (and skills) to interview and question employees or to order employers cease any harassing conduct or provide reparations, which are essential for resolving harassment cases. </w:t>
      </w:r>
    </w:p>
    <w:p w:rsidR="00345562" w:rsidRDefault="00032CB9">
      <w:pPr>
        <w:spacing w:after="160" w:line="259" w:lineRule="auto"/>
        <w:ind w:left="360"/>
        <w:jc w:val="both"/>
        <w:rPr>
          <w:rFonts w:ascii="Times New Roman" w:eastAsia="Times New Roman" w:hAnsi="Times New Roman" w:cs="Times New Roman"/>
        </w:rPr>
      </w:pPr>
      <w:r>
        <w:rPr>
          <w:rFonts w:ascii="Times New Roman" w:eastAsia="Times New Roman" w:hAnsi="Times New Roman" w:cs="Times New Roman"/>
        </w:rPr>
        <w:t>16</w:t>
      </w:r>
      <w:r w:rsidR="004162EF">
        <w:rPr>
          <w:rFonts w:ascii="Times New Roman" w:eastAsia="Times New Roman" w:hAnsi="Times New Roman" w:cs="Times New Roman"/>
        </w:rPr>
        <w:t>.3.</w:t>
      </w:r>
      <w:r w:rsidR="004162EF">
        <w:rPr>
          <w:rFonts w:ascii="Times New Roman" w:eastAsia="Times New Roman" w:hAnsi="Times New Roman" w:cs="Times New Roman"/>
        </w:rPr>
        <w:tab/>
        <w:t xml:space="preserve">Thirdly, victims of sexual harassment at workplace have no legislative redress mechanisms and their </w:t>
      </w:r>
      <w:r w:rsidR="004162EF">
        <w:rPr>
          <w:rFonts w:ascii="Times New Roman" w:eastAsia="Times New Roman" w:hAnsi="Times New Roman" w:cs="Times New Roman"/>
          <w:b/>
        </w:rPr>
        <w:t>access to justice</w:t>
      </w:r>
      <w:r w:rsidR="004162EF">
        <w:rPr>
          <w:rFonts w:ascii="Times New Roman" w:eastAsia="Times New Roman" w:hAnsi="Times New Roman" w:cs="Times New Roman"/>
        </w:rPr>
        <w:t xml:space="preserve"> is limited. The state doesn’t provide them with free legal aid and they are not entitled to compensations or reparations. In case of initiating court proceedings, they bear the onus in proving their allegations, since the provisions on the shifting of the burden of proof are not in place. </w:t>
      </w:r>
    </w:p>
    <w:p w:rsidR="00345562" w:rsidRDefault="00032CB9">
      <w:pPr>
        <w:spacing w:after="160" w:line="259" w:lineRule="auto"/>
        <w:ind w:left="360"/>
        <w:jc w:val="both"/>
        <w:rPr>
          <w:rFonts w:ascii="Times New Roman" w:eastAsia="Times New Roman" w:hAnsi="Times New Roman" w:cs="Times New Roman"/>
        </w:rPr>
      </w:pPr>
      <w:r>
        <w:rPr>
          <w:rFonts w:ascii="Times New Roman" w:eastAsia="Times New Roman" w:hAnsi="Times New Roman" w:cs="Times New Roman"/>
        </w:rPr>
        <w:t>16</w:t>
      </w:r>
      <w:r w:rsidR="004162EF">
        <w:rPr>
          <w:rFonts w:ascii="Times New Roman" w:eastAsia="Times New Roman" w:hAnsi="Times New Roman" w:cs="Times New Roman"/>
        </w:rPr>
        <w:t>.4.</w:t>
      </w:r>
      <w:r w:rsidR="004162EF">
        <w:rPr>
          <w:rFonts w:ascii="Times New Roman" w:eastAsia="Times New Roman" w:hAnsi="Times New Roman" w:cs="Times New Roman"/>
        </w:rPr>
        <w:tab/>
        <w:t xml:space="preserve">And finally, managers and supervisors of the employees as well as HLIB inspectors need comprehensive </w:t>
      </w:r>
      <w:r w:rsidR="004162EF">
        <w:rPr>
          <w:rFonts w:ascii="Times New Roman" w:eastAsia="Times New Roman" w:hAnsi="Times New Roman" w:cs="Times New Roman"/>
          <w:b/>
        </w:rPr>
        <w:t>training and education</w:t>
      </w:r>
      <w:r w:rsidR="004162EF">
        <w:rPr>
          <w:rFonts w:ascii="Times New Roman" w:eastAsia="Times New Roman" w:hAnsi="Times New Roman" w:cs="Times New Roman"/>
        </w:rPr>
        <w:t xml:space="preserve"> on gender equality and sexual harassment issues. The results of the Study above show, that victims of sexual harassment at workplace do not trust their managers or human resources officers, as well as state institutions. To gain the trust and effectively deal with these cases, the respective officers need education and practice. </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rPr>
        <w:t>Further, informal workers, predominantly engaged in domestic work and the service sector, are not even afforded those limited safeguards stipulated by the regulations enshrined in the Labour Code. They are entirely precluded from accessing even the recently introduced minimum protection measures within the Labour Code. Moreover, Armenia has yet to ratify the ILO Convention 189 on Domestic Workers and ILO Convention 190 on Violence and Harassment in the world of work. These conventions incorporate contemporary standards pertaining to harassment, encompassing situations within the informal economy.</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b/>
          <w:u w:val="single"/>
        </w:rPr>
        <w:t>Recommendations:</w:t>
      </w:r>
    </w:p>
    <w:p w:rsidR="00345562" w:rsidRPr="00032CB9" w:rsidRDefault="004162EF" w:rsidP="00032CB9">
      <w:pPr>
        <w:numPr>
          <w:ilvl w:val="0"/>
          <w:numId w:val="4"/>
        </w:numPr>
        <w:pBdr>
          <w:top w:val="nil"/>
          <w:left w:val="nil"/>
          <w:bottom w:val="nil"/>
          <w:right w:val="nil"/>
          <w:between w:val="nil"/>
        </w:pBdr>
        <w:spacing w:line="259" w:lineRule="auto"/>
        <w:jc w:val="both"/>
        <w:rPr>
          <w:rFonts w:ascii="Times New Roman" w:eastAsia="Times New Roman" w:hAnsi="Times New Roman" w:cs="Times New Roman"/>
          <w:i/>
        </w:rPr>
      </w:pPr>
      <w:r w:rsidRPr="00032CB9">
        <w:rPr>
          <w:rFonts w:ascii="Times New Roman" w:eastAsia="Times New Roman" w:hAnsi="Times New Roman" w:cs="Times New Roman"/>
          <w:i/>
        </w:rPr>
        <w:t>Ratify ILO convention 189 and ILO convention 190 and domesticate their provisions.</w:t>
      </w:r>
    </w:p>
    <w:p w:rsidR="00345562" w:rsidRPr="00032CB9" w:rsidRDefault="004162EF" w:rsidP="00032CB9">
      <w:pPr>
        <w:numPr>
          <w:ilvl w:val="0"/>
          <w:numId w:val="4"/>
        </w:numPr>
        <w:pBdr>
          <w:top w:val="nil"/>
          <w:left w:val="nil"/>
          <w:bottom w:val="nil"/>
          <w:right w:val="nil"/>
          <w:between w:val="nil"/>
        </w:pBdr>
        <w:spacing w:line="259" w:lineRule="auto"/>
        <w:jc w:val="both"/>
        <w:rPr>
          <w:rFonts w:ascii="Times New Roman" w:eastAsia="Times New Roman" w:hAnsi="Times New Roman" w:cs="Times New Roman"/>
          <w:i/>
        </w:rPr>
      </w:pPr>
      <w:r w:rsidRPr="00032CB9">
        <w:rPr>
          <w:rFonts w:ascii="Times New Roman" w:eastAsia="Times New Roman" w:hAnsi="Times New Roman" w:cs="Times New Roman"/>
          <w:i/>
        </w:rPr>
        <w:t xml:space="preserve">Adopt a legislative requirement for employers to adopt policies aimed at prevention and safeguarding against sexual harassment at the workplace. These policies should encompass dedicated protocols for handling cases of sexual harassment, the appointment of designated sexual harassment officers as well as indicate the possibility to apply to court or other state institution. </w:t>
      </w:r>
    </w:p>
    <w:p w:rsidR="00345562" w:rsidRPr="00032CB9" w:rsidRDefault="004162EF" w:rsidP="00032CB9">
      <w:pPr>
        <w:numPr>
          <w:ilvl w:val="0"/>
          <w:numId w:val="4"/>
        </w:numPr>
        <w:pBdr>
          <w:top w:val="nil"/>
          <w:left w:val="nil"/>
          <w:bottom w:val="nil"/>
          <w:right w:val="nil"/>
          <w:between w:val="nil"/>
        </w:pBdr>
        <w:spacing w:line="259" w:lineRule="auto"/>
        <w:jc w:val="both"/>
        <w:rPr>
          <w:rFonts w:ascii="Times New Roman" w:eastAsia="Times New Roman" w:hAnsi="Times New Roman" w:cs="Times New Roman"/>
          <w:i/>
        </w:rPr>
      </w:pPr>
      <w:r w:rsidRPr="00032CB9">
        <w:rPr>
          <w:rFonts w:ascii="Times New Roman" w:eastAsia="Times New Roman" w:hAnsi="Times New Roman" w:cs="Times New Roman"/>
          <w:i/>
        </w:rPr>
        <w:t>Introduce mandatory trainings for HLIB inspectors, trade unions and businesses,</w:t>
      </w:r>
    </w:p>
    <w:p w:rsidR="00345562" w:rsidRPr="00032CB9" w:rsidRDefault="004162EF" w:rsidP="00032CB9">
      <w:pPr>
        <w:numPr>
          <w:ilvl w:val="0"/>
          <w:numId w:val="4"/>
        </w:numPr>
        <w:spacing w:line="259" w:lineRule="auto"/>
        <w:jc w:val="both"/>
        <w:rPr>
          <w:rFonts w:ascii="Times New Roman" w:eastAsia="Times New Roman" w:hAnsi="Times New Roman" w:cs="Times New Roman"/>
          <w:i/>
        </w:rPr>
      </w:pPr>
      <w:r w:rsidRPr="00032CB9">
        <w:rPr>
          <w:rFonts w:ascii="Times New Roman" w:eastAsia="Times New Roman" w:hAnsi="Times New Roman" w:cs="Times New Roman"/>
          <w:i/>
        </w:rPr>
        <w:t>Gather disaggregated data on sexual harassment at the workplace, analyse and develop the strategy for prevention and prohibition of discrimination.</w:t>
      </w:r>
    </w:p>
    <w:p w:rsidR="00345562" w:rsidRPr="00032CB9" w:rsidRDefault="004162EF" w:rsidP="00032CB9">
      <w:pPr>
        <w:numPr>
          <w:ilvl w:val="0"/>
          <w:numId w:val="4"/>
        </w:numPr>
        <w:spacing w:line="259" w:lineRule="auto"/>
        <w:jc w:val="both"/>
        <w:rPr>
          <w:rFonts w:ascii="Times New Roman" w:eastAsia="Times New Roman" w:hAnsi="Times New Roman" w:cs="Times New Roman"/>
          <w:i/>
        </w:rPr>
      </w:pPr>
      <w:r w:rsidRPr="00032CB9">
        <w:rPr>
          <w:rFonts w:ascii="Times New Roman" w:eastAsia="Times New Roman" w:hAnsi="Times New Roman" w:cs="Times New Roman"/>
          <w:i/>
        </w:rPr>
        <w:t>Develop a confidential and safe state system for filing complaints on sexual harassment at the workplace, and ensure that victims have effective access to such means of redress. Expand the mandate of the labour inspectorate to allow them to fully monitor harassment at the workplace.</w:t>
      </w:r>
    </w:p>
    <w:p w:rsidR="00345562" w:rsidRPr="00032CB9" w:rsidRDefault="004162EF" w:rsidP="00032CB9">
      <w:pPr>
        <w:numPr>
          <w:ilvl w:val="0"/>
          <w:numId w:val="4"/>
        </w:numPr>
        <w:spacing w:line="259" w:lineRule="auto"/>
        <w:jc w:val="both"/>
        <w:rPr>
          <w:rFonts w:ascii="Times New Roman" w:eastAsia="Times New Roman" w:hAnsi="Times New Roman" w:cs="Times New Roman"/>
          <w:i/>
        </w:rPr>
      </w:pPr>
      <w:r w:rsidRPr="00032CB9">
        <w:rPr>
          <w:rFonts w:ascii="Times New Roman" w:eastAsia="Times New Roman" w:hAnsi="Times New Roman" w:cs="Times New Roman"/>
          <w:i/>
        </w:rPr>
        <w:t xml:space="preserve">Amend the Labour </w:t>
      </w:r>
      <w:r w:rsidR="00D07510" w:rsidRPr="00032CB9">
        <w:rPr>
          <w:rFonts w:ascii="Times New Roman" w:eastAsia="Times New Roman" w:hAnsi="Times New Roman" w:cs="Times New Roman"/>
          <w:i/>
        </w:rPr>
        <w:t>law to</w:t>
      </w:r>
      <w:r w:rsidRPr="00032CB9">
        <w:rPr>
          <w:rFonts w:ascii="Times New Roman" w:eastAsia="Times New Roman" w:hAnsi="Times New Roman" w:cs="Times New Roman"/>
          <w:i/>
        </w:rPr>
        <w:t xml:space="preserve"> shift of the burden of proof in sexual harassment cases to the employer.</w:t>
      </w:r>
    </w:p>
    <w:p w:rsidR="00345562" w:rsidRPr="00032CB9" w:rsidRDefault="004162EF" w:rsidP="00032CB9">
      <w:pPr>
        <w:numPr>
          <w:ilvl w:val="0"/>
          <w:numId w:val="4"/>
        </w:numPr>
        <w:spacing w:line="259" w:lineRule="auto"/>
        <w:jc w:val="both"/>
        <w:rPr>
          <w:rFonts w:ascii="Times New Roman" w:eastAsia="Times New Roman" w:hAnsi="Times New Roman" w:cs="Times New Roman"/>
          <w:i/>
        </w:rPr>
      </w:pPr>
      <w:r w:rsidRPr="00032CB9">
        <w:rPr>
          <w:rFonts w:ascii="Times New Roman" w:eastAsia="Times New Roman" w:hAnsi="Times New Roman" w:cs="Times New Roman"/>
          <w:i/>
        </w:rPr>
        <w:t>Extend protection as well as prevention mechanisms against sexual harassment to employees working in informal economy, including those working in the domestic work sector.</w:t>
      </w:r>
    </w:p>
    <w:p w:rsidR="00D07510" w:rsidRPr="00032CB9" w:rsidRDefault="004162EF" w:rsidP="00032CB9">
      <w:pPr>
        <w:numPr>
          <w:ilvl w:val="0"/>
          <w:numId w:val="4"/>
        </w:numPr>
        <w:spacing w:line="259" w:lineRule="auto"/>
        <w:jc w:val="both"/>
        <w:rPr>
          <w:rFonts w:ascii="Times New Roman" w:eastAsia="Times New Roman" w:hAnsi="Times New Roman" w:cs="Times New Roman"/>
          <w:i/>
        </w:rPr>
      </w:pPr>
      <w:r w:rsidRPr="00032CB9">
        <w:rPr>
          <w:rFonts w:ascii="Times New Roman" w:eastAsia="Times New Roman" w:hAnsi="Times New Roman" w:cs="Times New Roman"/>
          <w:i/>
        </w:rPr>
        <w:t>Criminalize the harsh forms of sexual harassment, particularly unwanted sexual touching.</w:t>
      </w:r>
    </w:p>
    <w:p w:rsidR="00D07510" w:rsidRPr="00D07510" w:rsidRDefault="00D07510" w:rsidP="00D07510">
      <w:pPr>
        <w:spacing w:after="160" w:line="259" w:lineRule="auto"/>
        <w:ind w:left="720"/>
        <w:jc w:val="both"/>
        <w:rPr>
          <w:rFonts w:ascii="Times New Roman" w:eastAsia="Times New Roman" w:hAnsi="Times New Roman" w:cs="Times New Roman"/>
        </w:rPr>
      </w:pPr>
    </w:p>
    <w:p w:rsidR="00345562" w:rsidRDefault="004162EF">
      <w:pPr>
        <w:numPr>
          <w:ilvl w:val="0"/>
          <w:numId w:val="3"/>
        </w:numPr>
        <w:pBdr>
          <w:top w:val="nil"/>
          <w:left w:val="nil"/>
          <w:bottom w:val="nil"/>
          <w:right w:val="nil"/>
          <w:between w:val="nil"/>
        </w:pBdr>
        <w:spacing w:after="160" w:line="259" w:lineRule="auto"/>
        <w:jc w:val="both"/>
        <w:rPr>
          <w:rFonts w:ascii="Times New Roman" w:eastAsia="Times New Roman" w:hAnsi="Times New Roman" w:cs="Times New Roman"/>
          <w:b/>
        </w:rPr>
      </w:pPr>
      <w:bookmarkStart w:id="2" w:name="_f7ood9hnng93" w:colFirst="0" w:colLast="0"/>
      <w:bookmarkEnd w:id="2"/>
      <w:r>
        <w:rPr>
          <w:rFonts w:ascii="Times New Roman" w:eastAsia="Times New Roman" w:hAnsi="Times New Roman" w:cs="Times New Roman"/>
          <w:b/>
        </w:rPr>
        <w:t>Article 12 (Right to physical and mental health)</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According to Armenia's responses to the list of issues (LoIs) and questions regarding its fourth periodic report, the introduction of Comprehensive Health Insurance (CHI) is scheduled for 2024. However, it is evident that the state does not guarantee meaningful participation of NGOs working with various marginalized groups to ensure the implementation of this system in line with human rights and </w:t>
      </w:r>
      <w:r>
        <w:rPr>
          <w:rFonts w:ascii="Times New Roman" w:eastAsia="Times New Roman" w:hAnsi="Times New Roman" w:cs="Times New Roman"/>
        </w:rPr>
        <w:lastRenderedPageBreak/>
        <w:t>comprehensiveness. A group of NGOs raised their concerns regarding the effectiveness of CHI and necessity to include special provisions respecting different groups of population. Of particular concern is the absence of measures related to contraceptive access and provisions for abortion within the CHI framework.</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Another pressing concern that the state appears to disregard is women's sexual and reproductive rights. Women's organizations consistently raise alarms about several issues in this context, particularly: </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i/>
          <w:u w:val="single"/>
        </w:rPr>
        <w:t>Family planning services:</w:t>
      </w:r>
      <w:r>
        <w:rPr>
          <w:rFonts w:ascii="Times New Roman" w:eastAsia="Times New Roman" w:hAnsi="Times New Roman" w:cs="Times New Roman"/>
        </w:rPr>
        <w:t xml:space="preserve"> high cost and lack of access to family planning services in rural areas de facto deprives women of the right to access family planning services. The state does not ensure the availability of contraceptives and free access to family planning services and methods. Due also to the general absence of comprehensive sexuality education in Armenia, the awareness of women living in rural areas concerning issues of contraception, family planning, and prevention of STIs remains a problem.</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i/>
          <w:u w:val="single"/>
        </w:rPr>
        <w:t>Lack of Essential Gynaecological Care for marginalized groups of women and periodic and mandatory trainings for healthcare providers:</w:t>
      </w:r>
      <w:r>
        <w:rPr>
          <w:rFonts w:ascii="Times New Roman" w:eastAsia="Times New Roman" w:hAnsi="Times New Roman" w:cs="Times New Roman"/>
        </w:rPr>
        <w:t xml:space="preserve"> in Armenia there is a lack of access to appropriate health-care services that will enable women from marginalized groups to go safely through sexual and reproductive health related issues. The state does not ensure the accessibility of health services for remote rural areas, including emergency gynecological care and does not guarantee that the health workers receive adequate and constant trainings on SRHR issues with special attention to the marginalized groups of women including LBT women, women with HIV, Yezidi women.</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rPr>
        <w:t>According to Armenia's responses to the list of issues and questions regarding to address the obstacles faced by migrants, lesbian, gay, bisexual, transgender and intersex persons, persons living with HIV/AIDS and drug users in gaining access to health-care services, including stigmatization, discrimination and compromised confidentiality of medical information, it is important to report that many NGOs document human rights violations on a daily basis. The fact that NGOs are consistently reporting human rights violations emphasizes the urgency of implementing comprehensive measures to ensure equitable access to healthcare services while safeguarding the fundamental rights and dignity of all individuals, irrespective of their background or circumstances.</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i/>
          <w:u w:val="single"/>
        </w:rPr>
        <w:t>Access to abortion services:</w:t>
      </w:r>
      <w:r>
        <w:rPr>
          <w:rFonts w:ascii="Times New Roman" w:eastAsia="Times New Roman" w:hAnsi="Times New Roman" w:cs="Times New Roman"/>
        </w:rPr>
        <w:t xml:space="preserve"> though abortions are legal on women’s request up to 12 weeks of pregnancy, the state inhibited women’s right to seek abortions by requiring a three-day waiting period from the moment the woman first approaches the doctor requesting an abortion and also defines several preconditions for termination of pregnancy, most particularly, receiving free of charge counseling by the doctor concerning possible negative effects of the termination of the pregnancy. Regardless of international and national principles that regulate the realization of secure and accessible abortion rights for women, in Armenia, there are still various impediments to women’s access to safe and legal abortion services, particularly for women living in rural areas who have difficulty accessing medical services due to a lack of medical institutions and transport facilities in those areas. The cost of obtaining an abortion</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from a doctor can prove burdensome for many rural women. Conscientious objection to abortion among health workers in rural areas is another reality that many women face while seeking abortion services and the State does not regulate this harmful practice.</w:t>
      </w:r>
    </w:p>
    <w:p w:rsidR="00032CB9" w:rsidRDefault="00032CB9" w:rsidP="00032CB9">
      <w:pPr>
        <w:pBdr>
          <w:top w:val="nil"/>
          <w:left w:val="nil"/>
          <w:bottom w:val="nil"/>
          <w:right w:val="nil"/>
          <w:between w:val="nil"/>
        </w:pBdr>
        <w:spacing w:after="160" w:line="259" w:lineRule="auto"/>
        <w:ind w:left="360"/>
        <w:jc w:val="both"/>
        <w:rPr>
          <w:rFonts w:ascii="Times New Roman" w:eastAsia="Times New Roman" w:hAnsi="Times New Roman" w:cs="Times New Roman"/>
        </w:rPr>
      </w:pP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b/>
          <w:u w:val="single"/>
        </w:rPr>
        <w:lastRenderedPageBreak/>
        <w:t>Recommendations:</w:t>
      </w:r>
    </w:p>
    <w:p w:rsidR="00345562" w:rsidRPr="00032CB9" w:rsidRDefault="004162EF">
      <w:pPr>
        <w:numPr>
          <w:ilvl w:val="0"/>
          <w:numId w:val="1"/>
        </w:numPr>
        <w:pBdr>
          <w:top w:val="nil"/>
          <w:left w:val="nil"/>
          <w:bottom w:val="nil"/>
          <w:right w:val="nil"/>
          <w:between w:val="nil"/>
        </w:pBdr>
        <w:spacing w:line="259" w:lineRule="auto"/>
        <w:jc w:val="both"/>
        <w:rPr>
          <w:rFonts w:ascii="Times New Roman" w:eastAsia="Times New Roman" w:hAnsi="Times New Roman" w:cs="Times New Roman"/>
          <w:i/>
        </w:rPr>
      </w:pPr>
      <w:r w:rsidRPr="00032CB9">
        <w:rPr>
          <w:rFonts w:ascii="Times New Roman" w:eastAsia="Times New Roman" w:hAnsi="Times New Roman" w:cs="Times New Roman"/>
          <w:i/>
        </w:rPr>
        <w:t>Ensure meaningful participation of civil society organizations during the introduction of Comprehensive Health Insurance,</w:t>
      </w:r>
    </w:p>
    <w:p w:rsidR="00345562" w:rsidRPr="00032CB9" w:rsidRDefault="004162EF">
      <w:pPr>
        <w:numPr>
          <w:ilvl w:val="0"/>
          <w:numId w:val="1"/>
        </w:numPr>
        <w:pBdr>
          <w:top w:val="nil"/>
          <w:left w:val="nil"/>
          <w:bottom w:val="nil"/>
          <w:right w:val="nil"/>
          <w:between w:val="nil"/>
        </w:pBdr>
        <w:spacing w:line="259" w:lineRule="auto"/>
        <w:jc w:val="both"/>
        <w:rPr>
          <w:rFonts w:ascii="Times New Roman" w:eastAsia="Times New Roman" w:hAnsi="Times New Roman" w:cs="Times New Roman"/>
          <w:i/>
        </w:rPr>
      </w:pPr>
      <w:r w:rsidRPr="00032CB9">
        <w:rPr>
          <w:rFonts w:ascii="Times New Roman" w:eastAsia="Times New Roman" w:hAnsi="Times New Roman" w:cs="Times New Roman"/>
          <w:i/>
        </w:rPr>
        <w:t>Introduce a separate budget line for the free distribution of modern contraceptives as well as allocate an adequate percentage of the State party’s budget to sexual and reproductive health services including in CHI,</w:t>
      </w:r>
    </w:p>
    <w:p w:rsidR="00345562" w:rsidRPr="00032CB9" w:rsidRDefault="004162EF">
      <w:pPr>
        <w:numPr>
          <w:ilvl w:val="0"/>
          <w:numId w:val="1"/>
        </w:numPr>
        <w:pBdr>
          <w:top w:val="nil"/>
          <w:left w:val="nil"/>
          <w:bottom w:val="nil"/>
          <w:right w:val="nil"/>
          <w:between w:val="nil"/>
        </w:pBdr>
        <w:spacing w:line="259" w:lineRule="auto"/>
        <w:jc w:val="both"/>
        <w:rPr>
          <w:rFonts w:ascii="Times New Roman" w:eastAsia="Times New Roman" w:hAnsi="Times New Roman" w:cs="Times New Roman"/>
          <w:i/>
        </w:rPr>
      </w:pPr>
      <w:r w:rsidRPr="00032CB9">
        <w:rPr>
          <w:rFonts w:ascii="Times New Roman" w:eastAsia="Times New Roman" w:hAnsi="Times New Roman" w:cs="Times New Roman"/>
          <w:i/>
        </w:rPr>
        <w:t>Ensure the collection of more specific and accurate statistics related to the reproductive health of women who face multiple and intersecting forms of oppression including women with disabilities, LBT women, Yezidi girls married as children, and HIV-positive women,</w:t>
      </w:r>
    </w:p>
    <w:p w:rsidR="00345562" w:rsidRPr="00032CB9" w:rsidRDefault="004162EF">
      <w:pPr>
        <w:numPr>
          <w:ilvl w:val="0"/>
          <w:numId w:val="1"/>
        </w:numPr>
        <w:pBdr>
          <w:top w:val="nil"/>
          <w:left w:val="nil"/>
          <w:bottom w:val="nil"/>
          <w:right w:val="nil"/>
          <w:between w:val="nil"/>
        </w:pBdr>
        <w:spacing w:line="259" w:lineRule="auto"/>
        <w:jc w:val="both"/>
        <w:rPr>
          <w:rFonts w:ascii="Times New Roman" w:eastAsia="Times New Roman" w:hAnsi="Times New Roman" w:cs="Times New Roman"/>
          <w:i/>
        </w:rPr>
      </w:pPr>
      <w:r w:rsidRPr="00032CB9">
        <w:rPr>
          <w:rFonts w:ascii="Times New Roman" w:eastAsia="Times New Roman" w:hAnsi="Times New Roman" w:cs="Times New Roman"/>
          <w:i/>
        </w:rPr>
        <w:t>Ensure accessible, safe, and affordable abortion services for women living in rural areas,</w:t>
      </w:r>
    </w:p>
    <w:p w:rsidR="00345562" w:rsidRPr="00032CB9" w:rsidRDefault="004162EF">
      <w:pPr>
        <w:numPr>
          <w:ilvl w:val="0"/>
          <w:numId w:val="1"/>
        </w:numPr>
        <w:pBdr>
          <w:top w:val="nil"/>
          <w:left w:val="nil"/>
          <w:bottom w:val="nil"/>
          <w:right w:val="nil"/>
          <w:between w:val="nil"/>
        </w:pBdr>
        <w:spacing w:line="259" w:lineRule="auto"/>
        <w:jc w:val="both"/>
        <w:rPr>
          <w:rFonts w:ascii="Times New Roman" w:eastAsia="Times New Roman" w:hAnsi="Times New Roman" w:cs="Times New Roman"/>
          <w:i/>
        </w:rPr>
      </w:pPr>
      <w:r w:rsidRPr="00032CB9">
        <w:rPr>
          <w:rFonts w:ascii="Times New Roman" w:eastAsia="Times New Roman" w:hAnsi="Times New Roman" w:cs="Times New Roman"/>
          <w:i/>
        </w:rPr>
        <w:t>Enhance women’s access to basic health care and sexual and reproductive health services, in particular for rural women, women with disabilities, and women with HIV, including by increasing allocations from the State budget to health care,</w:t>
      </w:r>
    </w:p>
    <w:p w:rsidR="00345562" w:rsidRPr="00032CB9" w:rsidRDefault="004162EF">
      <w:pPr>
        <w:numPr>
          <w:ilvl w:val="0"/>
          <w:numId w:val="1"/>
        </w:numPr>
        <w:pBdr>
          <w:top w:val="nil"/>
          <w:left w:val="nil"/>
          <w:bottom w:val="nil"/>
          <w:right w:val="nil"/>
          <w:between w:val="nil"/>
        </w:pBdr>
        <w:spacing w:after="160" w:line="259" w:lineRule="auto"/>
        <w:jc w:val="both"/>
        <w:rPr>
          <w:rFonts w:ascii="Times New Roman" w:eastAsia="Times New Roman" w:hAnsi="Times New Roman" w:cs="Times New Roman"/>
          <w:i/>
        </w:rPr>
      </w:pPr>
      <w:r w:rsidRPr="00032CB9">
        <w:rPr>
          <w:rFonts w:ascii="Times New Roman" w:eastAsia="Times New Roman" w:hAnsi="Times New Roman" w:cs="Times New Roman"/>
          <w:i/>
        </w:rPr>
        <w:t xml:space="preserve">Using international best practices, reform the law on abortion by removing the recently introduced provision on a waiting period of 3 calendar days for an abortion and compulsory counseling on the negative effects of abortions in the Law on Reproductive Health and Reproductive Rights. </w:t>
      </w:r>
    </w:p>
    <w:p w:rsidR="00345562" w:rsidRDefault="00345562">
      <w:pPr>
        <w:spacing w:before="240"/>
        <w:jc w:val="both"/>
        <w:rPr>
          <w:rFonts w:ascii="Times New Roman" w:eastAsia="Times New Roman" w:hAnsi="Times New Roman" w:cs="Times New Roman"/>
          <w:b/>
        </w:rPr>
      </w:pPr>
    </w:p>
    <w:p w:rsidR="00345562" w:rsidRDefault="004162EF">
      <w:pPr>
        <w:jc w:val="both"/>
        <w:rPr>
          <w:rFonts w:ascii="Times New Roman" w:eastAsia="Times New Roman" w:hAnsi="Times New Roman" w:cs="Times New Roman"/>
          <w:b/>
        </w:rPr>
      </w:pPr>
      <w:r>
        <w:rPr>
          <w:rFonts w:ascii="Times New Roman" w:eastAsia="Times New Roman" w:hAnsi="Times New Roman" w:cs="Times New Roman"/>
          <w:b/>
        </w:rPr>
        <w:t xml:space="preserve">IV.  </w:t>
      </w:r>
      <w:r w:rsidR="00D07510">
        <w:rPr>
          <w:rFonts w:ascii="Times New Roman" w:eastAsia="Times New Roman" w:hAnsi="Times New Roman" w:cs="Times New Roman"/>
          <w:b/>
        </w:rPr>
        <w:t xml:space="preserve"> </w:t>
      </w:r>
      <w:r>
        <w:rPr>
          <w:rFonts w:ascii="Times New Roman" w:eastAsia="Times New Roman" w:hAnsi="Times New Roman" w:cs="Times New Roman"/>
          <w:b/>
        </w:rPr>
        <w:t>Article 13-14 (Right to education)</w:t>
      </w:r>
    </w:p>
    <w:p w:rsidR="00345562" w:rsidRDefault="00345562">
      <w:pPr>
        <w:jc w:val="both"/>
        <w:rPr>
          <w:rFonts w:ascii="Times New Roman" w:eastAsia="Times New Roman" w:hAnsi="Times New Roman" w:cs="Times New Roman"/>
          <w:b/>
        </w:rPr>
      </w:pP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rPr>
        <w:t>The State party’s response to the LOIs does not address how it plans to address the persistent gender stereotyping and discrimination in the school curriculums, particularly in primary and secondary education. School curriculums still reproduce sexist gender roles</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and fail to incorporate concepts such as gender equality and equity in the learning process. It seems that the state has a limited understanding of inclusive education as in its repose to the LOIs posed by the Committee it has only reflected on the inclusion of students with disabilities in schools, however, students, including those with disabilities, face different forms of oppression and exclusion which the school curriculum should sufficiently cover to ensure that no students are left behind because of their socioeconomic background - gender being a vital factor of it. Gender-insensitive textbooks, especially in primary schools, risk alienating a large portion of students.       </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rPr>
        <w:t>This continued neglect of concepts related to gender equality is well reflected in the state’s policy on sex education. Comprehensive sex education remains a major policy gap in the country</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There is no comprehensive sex education course in Armenia, instead selective sections of the sex education program are incorporated into the curriculum as part of the Healthy Lifestyle course, which was introduced by the Ministry of Education in 2008 and is taught from the 5th to 11th grades. In 2022 the Ministry piloted a new curriculum for the Healthy Lifestyle course for middle school students, which still did not comprehensively cover reproductive justice issues. Especially when it comes to abortion the course guide for teachers does not prompt the teachers to effectively describe the legal rights of students vis a vis abortion. Instead, it encourages the teachers to fearmonger about abortion procedures presenting it as a life-altering procedure that can have multiple negative side effects, including </w:t>
      </w:r>
      <w:r>
        <w:rPr>
          <w:rFonts w:ascii="Times New Roman" w:eastAsia="Times New Roman" w:hAnsi="Times New Roman" w:cs="Times New Roman"/>
        </w:rPr>
        <w:lastRenderedPageBreak/>
        <w:t xml:space="preserve">infertility. This is a result of both the lack of professional capacity of consulted experts as well as public backlash on the issue of sex education. In 2019, representatives from the Sexual Assault Crisis Center were attacked at the launch of a children’s coloring book aimed at teaching kids their physical boundaries. Same year Women’s Resource Center’s website, a resource for adolescents and parents seeking professional guidance on sexuality issues, was investigated by the Prosecutor General’s Office for the distribution of pornographic materials, needless to say, the WRC was cleared of all charges. Comprehensive, age-appropriate sex education remains an important issue for human rights advocates and a highly contested one for the public. As the Sustainable Development Goals namely, numbers 3, 4, and 5 state, which the State claims to be committed to, reproductive justice education is vital for reproductive healthcare outcomes.  </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rPr>
        <w:t>Another alarming issue regarding state-funded facilities for children came to light recently. Disability rights advocates published an alarming report</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on March 2023 regarding multiple conduct violations in ‘’Zatik’’ Yerevan Child Assistance Center which operates under the Ministry of Labor and Social Affairs</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The advocates discovered that children under the care of this center did not get age-appropriate sex education which as an at-risk group put them at a high risk of teenage pregnancy, getting STIs, sexual assault, etc. The monitoring group did find an instance when a teenage pregnancy case was handled poorly by the center’s staff. This incident raised questions about the quality of social and educational services provided by state authorities.        </w:t>
      </w: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rPr>
        <w:t>When it comes to effective crisis management, both during the COVID-19 pandemic and the 2020 Nagorno Karabakh War, it is evident that the state is reactive and not proactive in its policies. During both crisis situations, one exacerbating the other, the state failed to effectively implement remote learning technologies which affected learning outcomes for students. In many public schools, unlike well-funded private schools, teachers struggled with technology because they were not trained to implement it in their teaching processes. This was also exacerbated by the fact that many households throughout the country had poor access to the Internet</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As poverty and deprivation uniquely affect women and children the state’s failure to modernize the education system has had adverse effects on them particularly, especially because women make up 79% of the education sector</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w:t>
      </w:r>
    </w:p>
    <w:p w:rsidR="00345562" w:rsidRDefault="00345562">
      <w:pPr>
        <w:ind w:left="720"/>
        <w:jc w:val="both"/>
        <w:rPr>
          <w:rFonts w:ascii="Times New Roman" w:eastAsia="Times New Roman" w:hAnsi="Times New Roman" w:cs="Times New Roman"/>
        </w:rPr>
      </w:pPr>
    </w:p>
    <w:p w:rsidR="00345562" w:rsidRDefault="004162EF">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b/>
          <w:u w:val="single"/>
        </w:rPr>
        <w:t>Recommendations:</w:t>
      </w:r>
    </w:p>
    <w:p w:rsidR="00345562" w:rsidRDefault="004162EF">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Review the entirety of the school curriculum in Armenia to omit gender-discriminatory language and content, preferably by also consulting a variety of experts in the field.</w:t>
      </w:r>
    </w:p>
    <w:p w:rsidR="00345562" w:rsidRPr="00032CB9" w:rsidRDefault="004162EF" w:rsidP="00032CB9">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Include comprehensive sex education in the school curriculum ensuring students are prepared for adult life and have the best reproductive health and rights outcomes based on trustwor</w:t>
      </w:r>
      <w:r w:rsidR="00032CB9">
        <w:rPr>
          <w:rFonts w:ascii="Times New Roman" w:eastAsia="Times New Roman" w:hAnsi="Times New Roman" w:cs="Times New Roman"/>
        </w:rPr>
        <w:t>thy information and education.</w:t>
      </w:r>
    </w:p>
    <w:p w:rsidR="00345562" w:rsidRDefault="00345562">
      <w:pPr>
        <w:jc w:val="both"/>
        <w:rPr>
          <w:rFonts w:ascii="Times New Roman" w:eastAsia="Times New Roman" w:hAnsi="Times New Roman" w:cs="Times New Roman"/>
        </w:rPr>
      </w:pPr>
    </w:p>
    <w:sectPr w:rsidR="0034556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162EF" w:rsidRDefault="004162EF">
      <w:pPr>
        <w:spacing w:line="240" w:lineRule="auto"/>
      </w:pPr>
      <w:r>
        <w:separator/>
      </w:r>
    </w:p>
  </w:endnote>
  <w:endnote w:type="continuationSeparator" w:id="0">
    <w:p w:rsidR="004162EF" w:rsidRDefault="004162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162EF" w:rsidRDefault="004162EF">
      <w:pPr>
        <w:spacing w:line="240" w:lineRule="auto"/>
      </w:pPr>
      <w:r>
        <w:separator/>
      </w:r>
    </w:p>
  </w:footnote>
  <w:footnote w:type="continuationSeparator" w:id="0">
    <w:p w:rsidR="004162EF" w:rsidRDefault="004162EF">
      <w:pPr>
        <w:spacing w:line="240" w:lineRule="auto"/>
      </w:pPr>
      <w:r>
        <w:continuationSeparator/>
      </w:r>
    </w:p>
  </w:footnote>
  <w:footnote w:id="1">
    <w:p w:rsidR="00345562" w:rsidRPr="00292358" w:rsidRDefault="004162EF">
      <w:pPr>
        <w:spacing w:line="240" w:lineRule="auto"/>
        <w:rPr>
          <w:rFonts w:ascii="Times New Roman" w:eastAsia="Calibri" w:hAnsi="Times New Roman" w:cs="Times New Roman"/>
          <w:sz w:val="20"/>
          <w:szCs w:val="20"/>
        </w:rPr>
      </w:pPr>
      <w:r w:rsidRPr="00292358">
        <w:rPr>
          <w:rFonts w:ascii="Times New Roman" w:hAnsi="Times New Roman" w:cs="Times New Roman"/>
          <w:vertAlign w:val="superscript"/>
        </w:rPr>
        <w:footnoteRef/>
      </w:r>
      <w:r w:rsidRPr="00292358">
        <w:rPr>
          <w:rFonts w:ascii="Times New Roman" w:eastAsia="Calibri" w:hAnsi="Times New Roman" w:cs="Times New Roman"/>
          <w:sz w:val="20"/>
          <w:szCs w:val="20"/>
        </w:rPr>
        <w:t xml:space="preserve"> Analysis of the gender pay gap and gender inequality in the labour market in Armenia, 2020, UN Women Armstat, </w:t>
      </w:r>
      <w:hyperlink r:id="rId1">
        <w:r w:rsidRPr="00292358">
          <w:rPr>
            <w:rFonts w:ascii="Times New Roman" w:eastAsia="Calibri" w:hAnsi="Times New Roman" w:cs="Times New Roman"/>
            <w:color w:val="0000FF"/>
            <w:sz w:val="20"/>
            <w:szCs w:val="20"/>
            <w:u w:val="single"/>
          </w:rPr>
          <w:t>https://armstat.am/file/article/analysis_of_the_gender_pay_gap_armenia_en.pdf</w:t>
        </w:r>
      </w:hyperlink>
      <w:r w:rsidRPr="00292358">
        <w:rPr>
          <w:rFonts w:ascii="Times New Roman" w:eastAsia="Calibri" w:hAnsi="Times New Roman" w:cs="Times New Roman"/>
          <w:sz w:val="20"/>
          <w:szCs w:val="20"/>
        </w:rPr>
        <w:t xml:space="preserve"> </w:t>
      </w:r>
    </w:p>
  </w:footnote>
  <w:footnote w:id="2">
    <w:p w:rsidR="00345562" w:rsidRPr="00292358" w:rsidRDefault="004162EF">
      <w:pPr>
        <w:spacing w:line="240" w:lineRule="auto"/>
        <w:rPr>
          <w:rFonts w:ascii="Times New Roman" w:hAnsi="Times New Roman" w:cs="Times New Roman"/>
          <w:sz w:val="20"/>
          <w:szCs w:val="20"/>
        </w:rPr>
      </w:pPr>
      <w:r w:rsidRPr="00292358">
        <w:rPr>
          <w:rFonts w:ascii="Times New Roman" w:hAnsi="Times New Roman" w:cs="Times New Roman"/>
          <w:vertAlign w:val="superscript"/>
        </w:rPr>
        <w:footnoteRef/>
      </w:r>
      <w:r w:rsidRPr="00292358">
        <w:rPr>
          <w:rFonts w:ascii="Times New Roman" w:hAnsi="Times New Roman" w:cs="Times New Roman"/>
          <w:sz w:val="24"/>
          <w:szCs w:val="24"/>
        </w:rPr>
        <w:t xml:space="preserve"> </w:t>
      </w:r>
      <w:r w:rsidRPr="00292358">
        <w:rPr>
          <w:rFonts w:ascii="Times New Roman" w:eastAsia="Calibri" w:hAnsi="Times New Roman" w:cs="Times New Roman"/>
          <w:sz w:val="24"/>
          <w:szCs w:val="24"/>
        </w:rPr>
        <w:t xml:space="preserve"> </w:t>
      </w:r>
      <w:hyperlink r:id="rId2">
        <w:r w:rsidRPr="00292358">
          <w:rPr>
            <w:rFonts w:ascii="Times New Roman" w:eastAsia="Calibri" w:hAnsi="Times New Roman" w:cs="Times New Roman"/>
            <w:color w:val="0000FF"/>
            <w:sz w:val="20"/>
            <w:szCs w:val="20"/>
            <w:u w:val="single"/>
          </w:rPr>
          <w:t>https://www.escr-net.org/resources/general-comment-no-23-2016-right-just-and-favorable-conditions-work</w:t>
        </w:r>
      </w:hyperlink>
      <w:r w:rsidRPr="00292358">
        <w:rPr>
          <w:rFonts w:ascii="Times New Roman" w:eastAsia="Calibri" w:hAnsi="Times New Roman" w:cs="Times New Roman"/>
          <w:sz w:val="20"/>
          <w:szCs w:val="20"/>
        </w:rPr>
        <w:t xml:space="preserve"> </w:t>
      </w:r>
      <w:r w:rsidRPr="00292358">
        <w:rPr>
          <w:rFonts w:ascii="Times New Roman" w:eastAsia="Calibri" w:hAnsi="Times New Roman" w:cs="Times New Roman"/>
          <w:sz w:val="16"/>
          <w:szCs w:val="16"/>
        </w:rPr>
        <w:t xml:space="preserve"> </w:t>
      </w:r>
    </w:p>
  </w:footnote>
  <w:footnote w:id="3">
    <w:p w:rsidR="00345562" w:rsidRDefault="004162EF">
      <w:pPr>
        <w:spacing w:line="240" w:lineRule="auto"/>
        <w:rPr>
          <w:rFonts w:ascii="Calibri" w:eastAsia="Calibri" w:hAnsi="Calibri" w:cs="Calibri"/>
          <w:sz w:val="20"/>
          <w:szCs w:val="20"/>
        </w:rPr>
      </w:pPr>
      <w:r w:rsidRPr="00292358">
        <w:rPr>
          <w:rFonts w:ascii="Times New Roman" w:hAnsi="Times New Roman" w:cs="Times New Roman"/>
          <w:vertAlign w:val="superscript"/>
        </w:rPr>
        <w:footnoteRef/>
      </w:r>
      <w:r w:rsidRPr="00292358">
        <w:rPr>
          <w:rFonts w:ascii="Times New Roman" w:eastAsia="Calibri" w:hAnsi="Times New Roman" w:cs="Times New Roman"/>
          <w:sz w:val="20"/>
          <w:szCs w:val="20"/>
        </w:rPr>
        <w:t xml:space="preserve"> Armenia ratified the Convention in 1994</w:t>
      </w:r>
    </w:p>
  </w:footnote>
  <w:footnote w:id="4">
    <w:p w:rsidR="00345562" w:rsidRDefault="004162EF">
      <w:pPr>
        <w:spacing w:line="240" w:lineRule="auto"/>
        <w:rPr>
          <w:rFonts w:ascii="Times New Roman" w:eastAsia="Times New Roman" w:hAnsi="Times New Roman" w:cs="Times New Roman"/>
          <w:sz w:val="18"/>
          <w:szCs w:val="18"/>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18"/>
          <w:szCs w:val="18"/>
        </w:rPr>
        <w:t xml:space="preserve">Women's Resource Center (2023), The Problem of Sexual Harassment in the Workplace in Armenia. Policy Paper </w:t>
      </w:r>
      <w:hyperlink r:id="rId3">
        <w:r>
          <w:rPr>
            <w:rFonts w:ascii="Times New Roman" w:eastAsia="Times New Roman" w:hAnsi="Times New Roman" w:cs="Times New Roman"/>
            <w:sz w:val="18"/>
            <w:szCs w:val="18"/>
          </w:rPr>
          <w:t>https://bit.ly/3J096cQ</w:t>
        </w:r>
      </w:hyperlink>
      <w:r>
        <w:rPr>
          <w:rFonts w:ascii="Times New Roman" w:eastAsia="Times New Roman" w:hAnsi="Times New Roman" w:cs="Times New Roman"/>
          <w:sz w:val="18"/>
          <w:szCs w:val="18"/>
        </w:rPr>
        <w:t xml:space="preserve">  </w:t>
      </w:r>
    </w:p>
  </w:footnote>
  <w:footnote w:id="5">
    <w:p w:rsidR="00345562" w:rsidRDefault="004162EF">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18"/>
          <w:szCs w:val="18"/>
        </w:rPr>
        <w:t>Harassment is not regulated in Penal code. Criminal responsibility is envisaged only for immoral actions (sexual touching, teasing…) to underage persons.</w:t>
      </w:r>
    </w:p>
  </w:footnote>
  <w:footnote w:id="6">
    <w:p w:rsidR="00345562" w:rsidRDefault="004162EF">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18"/>
          <w:szCs w:val="18"/>
        </w:rPr>
        <w:t xml:space="preserve">Amendments to Armenian Labour Code from 29 May, 2023 </w:t>
      </w:r>
      <w:hyperlink r:id="rId4">
        <w:r>
          <w:rPr>
            <w:rFonts w:ascii="Times New Roman" w:eastAsia="Times New Roman" w:hAnsi="Times New Roman" w:cs="Times New Roman"/>
            <w:color w:val="0000FF"/>
            <w:sz w:val="18"/>
            <w:szCs w:val="18"/>
            <w:u w:val="single"/>
          </w:rPr>
          <w:t>https://www.arlis.am/DocumentView.aspx?docid=178448</w:t>
        </w:r>
      </w:hyperlink>
    </w:p>
  </w:footnote>
  <w:footnote w:id="7">
    <w:p w:rsidR="00345562" w:rsidRDefault="004162EF">
      <w:pPr>
        <w:spacing w:line="240" w:lineRule="auto"/>
        <w:rPr>
          <w:sz w:val="18"/>
          <w:szCs w:val="18"/>
        </w:rPr>
      </w:pPr>
      <w:r>
        <w:rPr>
          <w:vertAlign w:val="superscript"/>
        </w:rPr>
        <w:footnoteRef/>
      </w:r>
      <w:r>
        <w:rPr>
          <w:sz w:val="18"/>
          <w:szCs w:val="18"/>
        </w:rPr>
        <w:t xml:space="preserve"> </w:t>
      </w:r>
      <w:r w:rsidRPr="00032CB9">
        <w:rPr>
          <w:rFonts w:ascii="Times New Roman" w:eastAsia="Cambria" w:hAnsi="Times New Roman" w:cs="Times New Roman"/>
          <w:sz w:val="20"/>
          <w:szCs w:val="20"/>
        </w:rPr>
        <w:t>The average price for medical abortion is 30-40 USD, and 100-150 USD for surgical abortion. The average salary in Armenia is 200-300 USD.</w:t>
      </w:r>
    </w:p>
  </w:footnote>
  <w:footnote w:id="8">
    <w:p w:rsidR="00345562" w:rsidRPr="00032CB9" w:rsidRDefault="004162EF">
      <w:pPr>
        <w:spacing w:line="240" w:lineRule="auto"/>
        <w:rPr>
          <w:rFonts w:ascii="Times New Roman" w:hAnsi="Times New Roman" w:cs="Times New Roman"/>
          <w:sz w:val="20"/>
          <w:szCs w:val="20"/>
        </w:rPr>
      </w:pPr>
      <w:r w:rsidRPr="00032CB9">
        <w:rPr>
          <w:rFonts w:ascii="Times New Roman" w:hAnsi="Times New Roman" w:cs="Times New Roman"/>
          <w:vertAlign w:val="superscript"/>
        </w:rPr>
        <w:footnoteRef/>
      </w:r>
      <w:r w:rsidRPr="00032CB9">
        <w:rPr>
          <w:rFonts w:ascii="Times New Roman" w:eastAsia="Times New Roman" w:hAnsi="Times New Roman" w:cs="Times New Roman"/>
          <w:sz w:val="20"/>
          <w:szCs w:val="20"/>
        </w:rPr>
        <w:t xml:space="preserve"> Ghazaryan, Gayane. “A Man’s World? Gender Stereotypes and Underrepresentation of Women in Textbooks.” </w:t>
      </w:r>
      <w:r w:rsidRPr="00032CB9">
        <w:rPr>
          <w:rFonts w:ascii="Times New Roman" w:eastAsia="Times New Roman" w:hAnsi="Times New Roman" w:cs="Times New Roman"/>
          <w:i/>
          <w:sz w:val="20"/>
          <w:szCs w:val="20"/>
        </w:rPr>
        <w:t>EVN Report</w:t>
      </w:r>
      <w:r w:rsidRPr="00032CB9">
        <w:rPr>
          <w:rFonts w:ascii="Times New Roman" w:eastAsia="Times New Roman" w:hAnsi="Times New Roman" w:cs="Times New Roman"/>
          <w:sz w:val="20"/>
          <w:szCs w:val="20"/>
        </w:rPr>
        <w:t xml:space="preserve"> (blog), December 23, 2019.</w:t>
      </w:r>
      <w:hyperlink r:id="rId5">
        <w:r w:rsidRPr="00032CB9">
          <w:rPr>
            <w:rFonts w:ascii="Times New Roman" w:eastAsia="Times New Roman" w:hAnsi="Times New Roman" w:cs="Times New Roman"/>
            <w:sz w:val="20"/>
            <w:szCs w:val="20"/>
          </w:rPr>
          <w:t xml:space="preserve"> </w:t>
        </w:r>
      </w:hyperlink>
      <w:hyperlink r:id="rId6">
        <w:r w:rsidRPr="00032CB9">
          <w:rPr>
            <w:rFonts w:ascii="Times New Roman" w:eastAsia="Times New Roman" w:hAnsi="Times New Roman" w:cs="Times New Roman"/>
            <w:color w:val="1155CC"/>
            <w:sz w:val="20"/>
            <w:szCs w:val="20"/>
            <w:u w:val="single"/>
          </w:rPr>
          <w:t>https://evnreport.com/raw-unfiltered/a-man-s-world-gender-stereotypes-and-underrepresentation-of-women-in-textbooks/</w:t>
        </w:r>
      </w:hyperlink>
      <w:r w:rsidRPr="00032CB9">
        <w:rPr>
          <w:rFonts w:ascii="Times New Roman" w:eastAsia="Times New Roman" w:hAnsi="Times New Roman" w:cs="Times New Roman"/>
          <w:sz w:val="20"/>
          <w:szCs w:val="20"/>
        </w:rPr>
        <w:t>.</w:t>
      </w:r>
    </w:p>
  </w:footnote>
  <w:footnote w:id="9">
    <w:p w:rsidR="00345562" w:rsidRPr="00032CB9" w:rsidRDefault="004162EF">
      <w:pPr>
        <w:spacing w:line="240" w:lineRule="auto"/>
        <w:rPr>
          <w:rFonts w:ascii="Times New Roman" w:eastAsia="Times New Roman" w:hAnsi="Times New Roman" w:cs="Times New Roman"/>
          <w:sz w:val="20"/>
          <w:szCs w:val="20"/>
        </w:rPr>
      </w:pPr>
      <w:r w:rsidRPr="00032CB9">
        <w:rPr>
          <w:rFonts w:ascii="Times New Roman" w:hAnsi="Times New Roman" w:cs="Times New Roman"/>
          <w:vertAlign w:val="superscript"/>
        </w:rPr>
        <w:footnoteRef/>
      </w:r>
      <w:r w:rsidRPr="00032CB9">
        <w:rPr>
          <w:rFonts w:ascii="Times New Roman" w:eastAsia="Times New Roman" w:hAnsi="Times New Roman" w:cs="Times New Roman"/>
          <w:sz w:val="20"/>
          <w:szCs w:val="20"/>
        </w:rPr>
        <w:t xml:space="preserve"> Ghazaryan, Gayane. “Disregarded Health: Sex Education.” </w:t>
      </w:r>
      <w:r w:rsidRPr="00032CB9">
        <w:rPr>
          <w:rFonts w:ascii="Times New Roman" w:eastAsia="Times New Roman" w:hAnsi="Times New Roman" w:cs="Times New Roman"/>
          <w:i/>
          <w:sz w:val="20"/>
          <w:szCs w:val="20"/>
        </w:rPr>
        <w:t>EVN Report</w:t>
      </w:r>
      <w:r w:rsidRPr="00032CB9">
        <w:rPr>
          <w:rFonts w:ascii="Times New Roman" w:eastAsia="Times New Roman" w:hAnsi="Times New Roman" w:cs="Times New Roman"/>
          <w:sz w:val="20"/>
          <w:szCs w:val="20"/>
        </w:rPr>
        <w:t xml:space="preserve"> (blog), January 12, 2019.</w:t>
      </w:r>
      <w:hyperlink r:id="rId7">
        <w:r w:rsidRPr="00032CB9">
          <w:rPr>
            <w:rFonts w:ascii="Times New Roman" w:eastAsia="Times New Roman" w:hAnsi="Times New Roman" w:cs="Times New Roman"/>
            <w:sz w:val="20"/>
            <w:szCs w:val="20"/>
          </w:rPr>
          <w:t xml:space="preserve"> </w:t>
        </w:r>
      </w:hyperlink>
      <w:hyperlink r:id="rId8">
        <w:r w:rsidRPr="00032CB9">
          <w:rPr>
            <w:rFonts w:ascii="Times New Roman" w:eastAsia="Times New Roman" w:hAnsi="Times New Roman" w:cs="Times New Roman"/>
            <w:color w:val="1155CC"/>
            <w:sz w:val="20"/>
            <w:szCs w:val="20"/>
            <w:u w:val="single"/>
          </w:rPr>
          <w:t>https://evnreport.com/evn-youth-report/disregarded-health-sex-education/</w:t>
        </w:r>
      </w:hyperlink>
      <w:r w:rsidRPr="00032CB9">
        <w:rPr>
          <w:rFonts w:ascii="Times New Roman" w:eastAsia="Times New Roman" w:hAnsi="Times New Roman" w:cs="Times New Roman"/>
          <w:sz w:val="20"/>
          <w:szCs w:val="20"/>
        </w:rPr>
        <w:t>.</w:t>
      </w:r>
    </w:p>
    <w:p w:rsidR="00345562" w:rsidRDefault="00345562">
      <w:pPr>
        <w:spacing w:line="240" w:lineRule="auto"/>
        <w:rPr>
          <w:sz w:val="20"/>
          <w:szCs w:val="20"/>
        </w:rPr>
      </w:pPr>
    </w:p>
  </w:footnote>
  <w:footnote w:id="10">
    <w:p w:rsidR="00345562" w:rsidRPr="00032CB9" w:rsidRDefault="004162EF">
      <w:pPr>
        <w:spacing w:line="240" w:lineRule="auto"/>
        <w:rPr>
          <w:rFonts w:ascii="Times New Roman" w:eastAsia="Times New Roman" w:hAnsi="Times New Roman" w:cs="Times New Roman"/>
          <w:sz w:val="20"/>
          <w:szCs w:val="20"/>
        </w:rPr>
      </w:pPr>
      <w:r w:rsidRPr="00032CB9">
        <w:rPr>
          <w:sz w:val="20"/>
          <w:szCs w:val="20"/>
          <w:vertAlign w:val="superscript"/>
        </w:rPr>
        <w:footnoteRef/>
      </w:r>
      <w:r w:rsidRPr="00032CB9">
        <w:rPr>
          <w:rFonts w:ascii="Times New Roman" w:eastAsia="Times New Roman" w:hAnsi="Times New Roman" w:cs="Times New Roman"/>
          <w:sz w:val="20"/>
          <w:szCs w:val="20"/>
        </w:rPr>
        <w:t xml:space="preserve"> Monitoring Group of Care Houses ‘’Urgent Report on ‘’Zatik’’ Yerevan Child Assist</w:t>
      </w:r>
      <w:r w:rsidR="00032CB9" w:rsidRPr="00032CB9">
        <w:rPr>
          <w:rFonts w:ascii="Times New Roman" w:eastAsia="Times New Roman" w:hAnsi="Times New Roman" w:cs="Times New Roman"/>
          <w:sz w:val="20"/>
          <w:szCs w:val="20"/>
        </w:rPr>
        <w:t xml:space="preserve">ance Center‘’, March 29, 2023 </w:t>
      </w:r>
      <w:hyperlink r:id="rId9">
        <w:r w:rsidRPr="00032CB9">
          <w:rPr>
            <w:rFonts w:ascii="Times New Roman" w:eastAsia="Times New Roman" w:hAnsi="Times New Roman" w:cs="Times New Roman"/>
            <w:color w:val="1155CC"/>
            <w:sz w:val="20"/>
            <w:szCs w:val="20"/>
            <w:u w:val="single"/>
          </w:rPr>
          <w:t>https://drive.google.com/file/d/1PCifWhWVnwMXozt35WsB7vK6lvhvwXV6/view?fbclid=IwAR2LBzAEblBDa0sCt6icrvs-sUt_Vvr1nRCGsO1PQY-jxUc14DgwecZELt8</w:t>
        </w:r>
      </w:hyperlink>
      <w:r w:rsidRPr="00032CB9">
        <w:rPr>
          <w:rFonts w:ascii="Times New Roman" w:eastAsia="Times New Roman" w:hAnsi="Times New Roman" w:cs="Times New Roman"/>
          <w:sz w:val="20"/>
          <w:szCs w:val="20"/>
        </w:rPr>
        <w:t xml:space="preserve"> </w:t>
      </w:r>
    </w:p>
  </w:footnote>
  <w:footnote w:id="11">
    <w:p w:rsidR="00345562" w:rsidRPr="00032CB9" w:rsidRDefault="004162EF">
      <w:pPr>
        <w:spacing w:line="240" w:lineRule="auto"/>
        <w:rPr>
          <w:sz w:val="20"/>
          <w:szCs w:val="20"/>
        </w:rPr>
      </w:pPr>
      <w:r w:rsidRPr="00032CB9">
        <w:rPr>
          <w:sz w:val="20"/>
          <w:szCs w:val="20"/>
          <w:vertAlign w:val="superscript"/>
        </w:rPr>
        <w:footnoteRef/>
      </w:r>
      <w:r w:rsidRPr="00032CB9">
        <w:rPr>
          <w:rFonts w:ascii="Times New Roman" w:eastAsia="Times New Roman" w:hAnsi="Times New Roman" w:cs="Times New Roman"/>
          <w:sz w:val="20"/>
          <w:szCs w:val="20"/>
        </w:rPr>
        <w:t xml:space="preserve"> Martirosyan, Sona. “Human Rights Protection in Residential Institutions.” </w:t>
      </w:r>
      <w:r w:rsidRPr="00032CB9">
        <w:rPr>
          <w:rFonts w:ascii="Times New Roman" w:eastAsia="Times New Roman" w:hAnsi="Times New Roman" w:cs="Times New Roman"/>
          <w:i/>
          <w:sz w:val="20"/>
          <w:szCs w:val="20"/>
        </w:rPr>
        <w:t>EVN Report</w:t>
      </w:r>
      <w:r w:rsidRPr="00032CB9">
        <w:rPr>
          <w:rFonts w:ascii="Times New Roman" w:eastAsia="Times New Roman" w:hAnsi="Times New Roman" w:cs="Times New Roman"/>
          <w:sz w:val="20"/>
          <w:szCs w:val="20"/>
        </w:rPr>
        <w:t xml:space="preserve"> (blog), July 12, 2023.</w:t>
      </w:r>
      <w:hyperlink r:id="rId10">
        <w:r w:rsidRPr="00032CB9">
          <w:rPr>
            <w:rFonts w:ascii="Times New Roman" w:eastAsia="Times New Roman" w:hAnsi="Times New Roman" w:cs="Times New Roman"/>
            <w:sz w:val="20"/>
            <w:szCs w:val="20"/>
          </w:rPr>
          <w:t xml:space="preserve"> </w:t>
        </w:r>
      </w:hyperlink>
      <w:hyperlink r:id="rId11">
        <w:r w:rsidRPr="00032CB9">
          <w:rPr>
            <w:rFonts w:ascii="Times New Roman" w:eastAsia="Times New Roman" w:hAnsi="Times New Roman" w:cs="Times New Roman"/>
            <w:color w:val="1155CC"/>
            <w:sz w:val="20"/>
            <w:szCs w:val="20"/>
            <w:u w:val="single"/>
          </w:rPr>
          <w:t>https://evnreport.com/law-society/human-rights-protection-in-residential-institutions/</w:t>
        </w:r>
      </w:hyperlink>
      <w:r w:rsidRPr="00032CB9">
        <w:rPr>
          <w:rFonts w:ascii="Times New Roman" w:eastAsia="Times New Roman" w:hAnsi="Times New Roman" w:cs="Times New Roman"/>
          <w:sz w:val="20"/>
          <w:szCs w:val="20"/>
        </w:rPr>
        <w:t>.</w:t>
      </w:r>
    </w:p>
  </w:footnote>
  <w:footnote w:id="12">
    <w:p w:rsidR="00345562" w:rsidRPr="00032CB9" w:rsidRDefault="004162EF">
      <w:pPr>
        <w:spacing w:line="240" w:lineRule="auto"/>
        <w:rPr>
          <w:sz w:val="20"/>
          <w:szCs w:val="20"/>
        </w:rPr>
      </w:pPr>
      <w:r w:rsidRPr="00032CB9">
        <w:rPr>
          <w:sz w:val="20"/>
          <w:szCs w:val="20"/>
          <w:vertAlign w:val="superscript"/>
        </w:rPr>
        <w:footnoteRef/>
      </w:r>
      <w:r w:rsidRPr="00032CB9">
        <w:rPr>
          <w:rFonts w:ascii="Times New Roman" w:eastAsia="Times New Roman" w:hAnsi="Times New Roman" w:cs="Times New Roman"/>
          <w:sz w:val="20"/>
          <w:szCs w:val="20"/>
        </w:rPr>
        <w:t xml:space="preserve"> Manukyan, Narek. “Distance Education in Times of Coronavirus.” </w:t>
      </w:r>
      <w:r w:rsidRPr="00032CB9">
        <w:rPr>
          <w:rFonts w:ascii="Times New Roman" w:eastAsia="Times New Roman" w:hAnsi="Times New Roman" w:cs="Times New Roman"/>
          <w:i/>
          <w:sz w:val="20"/>
          <w:szCs w:val="20"/>
        </w:rPr>
        <w:t>EVN Report</w:t>
      </w:r>
      <w:r w:rsidRPr="00032CB9">
        <w:rPr>
          <w:rFonts w:ascii="Times New Roman" w:eastAsia="Times New Roman" w:hAnsi="Times New Roman" w:cs="Times New Roman"/>
          <w:sz w:val="20"/>
          <w:szCs w:val="20"/>
        </w:rPr>
        <w:t xml:space="preserve"> (blog), March 17, 2020.</w:t>
      </w:r>
      <w:hyperlink r:id="rId12">
        <w:r w:rsidRPr="00032CB9">
          <w:rPr>
            <w:rFonts w:ascii="Times New Roman" w:eastAsia="Times New Roman" w:hAnsi="Times New Roman" w:cs="Times New Roman"/>
            <w:sz w:val="20"/>
            <w:szCs w:val="20"/>
          </w:rPr>
          <w:t xml:space="preserve"> </w:t>
        </w:r>
      </w:hyperlink>
      <w:hyperlink r:id="rId13">
        <w:r w:rsidRPr="00032CB9">
          <w:rPr>
            <w:rFonts w:ascii="Times New Roman" w:eastAsia="Times New Roman" w:hAnsi="Times New Roman" w:cs="Times New Roman"/>
            <w:color w:val="1155CC"/>
            <w:sz w:val="20"/>
            <w:szCs w:val="20"/>
            <w:u w:val="single"/>
          </w:rPr>
          <w:t>https://evnreport.com/raw-unfiltered/distance-education-in-times-of-coronavirus/</w:t>
        </w:r>
      </w:hyperlink>
      <w:r w:rsidRPr="00032CB9">
        <w:rPr>
          <w:rFonts w:ascii="Times New Roman" w:eastAsia="Times New Roman" w:hAnsi="Times New Roman" w:cs="Times New Roman"/>
          <w:sz w:val="20"/>
          <w:szCs w:val="20"/>
        </w:rPr>
        <w:t>.</w:t>
      </w:r>
    </w:p>
  </w:footnote>
  <w:footnote w:id="13">
    <w:p w:rsidR="00345562" w:rsidRPr="00032CB9" w:rsidRDefault="004162EF">
      <w:pPr>
        <w:spacing w:line="240" w:lineRule="auto"/>
        <w:rPr>
          <w:rFonts w:ascii="Times New Roman" w:eastAsia="Times New Roman" w:hAnsi="Times New Roman" w:cs="Times New Roman"/>
          <w:sz w:val="20"/>
          <w:szCs w:val="20"/>
        </w:rPr>
      </w:pPr>
      <w:r w:rsidRPr="00032CB9">
        <w:rPr>
          <w:sz w:val="20"/>
          <w:szCs w:val="20"/>
          <w:vertAlign w:val="superscript"/>
        </w:rPr>
        <w:footnoteRef/>
      </w:r>
      <w:r w:rsidRPr="00032CB9">
        <w:rPr>
          <w:rFonts w:ascii="Times New Roman" w:eastAsia="Times New Roman" w:hAnsi="Times New Roman" w:cs="Times New Roman"/>
          <w:sz w:val="20"/>
          <w:szCs w:val="20"/>
        </w:rPr>
        <w:t xml:space="preserve"> OxYGen Foundation. “Gender-Sensitive Approaches in the Fight against COVID-19: The Role of the Parliament,” 2021.</w:t>
      </w:r>
      <w:hyperlink r:id="rId14">
        <w:r w:rsidRPr="00032CB9">
          <w:rPr>
            <w:rFonts w:ascii="Times New Roman" w:eastAsia="Times New Roman" w:hAnsi="Times New Roman" w:cs="Times New Roman"/>
            <w:sz w:val="20"/>
            <w:szCs w:val="20"/>
          </w:rPr>
          <w:t xml:space="preserve"> </w:t>
        </w:r>
      </w:hyperlink>
      <w:hyperlink r:id="rId15">
        <w:r w:rsidRPr="00032CB9">
          <w:rPr>
            <w:rFonts w:ascii="Times New Roman" w:eastAsia="Times New Roman" w:hAnsi="Times New Roman" w:cs="Times New Roman"/>
            <w:color w:val="1155CC"/>
            <w:sz w:val="20"/>
            <w:szCs w:val="20"/>
            <w:u w:val="single"/>
          </w:rPr>
          <w:t>https://oxygen.org.am/wp-content/uploads/2021/03/Policy-brief_C%D5%95VID-19_ENG-1.pdf</w:t>
        </w:r>
      </w:hyperlink>
      <w:r>
        <w:rPr>
          <w:rFonts w:ascii="Times New Roman" w:eastAsia="Times New Roman" w:hAnsi="Times New Roman" w:cs="Times New Roman"/>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066A9"/>
    <w:multiLevelType w:val="multilevel"/>
    <w:tmpl w:val="37FE686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E014BB"/>
    <w:multiLevelType w:val="multilevel"/>
    <w:tmpl w:val="4412B994"/>
    <w:lvl w:ilvl="0">
      <w:start w:val="1"/>
      <w:numFmt w:val="lowerRoman"/>
      <w:lvlText w:val="%1."/>
      <w:lvlJc w:val="right"/>
      <w:pPr>
        <w:ind w:left="360" w:hanging="360"/>
      </w:pPr>
      <w:rPr>
        <w:rFonts w:ascii="Times New Roman" w:eastAsia="Arial" w:hAnsi="Times New Roman" w:cs="Times New Roman" w:hint="default"/>
        <w:b w:val="0"/>
        <w:smallCaps w:val="0"/>
        <w:strike w:val="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9F7F8C"/>
    <w:multiLevelType w:val="multilevel"/>
    <w:tmpl w:val="F6640C76"/>
    <w:lvl w:ilvl="0">
      <w:start w:val="1"/>
      <w:numFmt w:val="lowerRoman"/>
      <w:lvlText w:val="%1."/>
      <w:lvlJc w:val="right"/>
      <w:pPr>
        <w:ind w:left="720" w:hanging="360"/>
      </w:pPr>
      <w:rPr>
        <w:b/>
        <w:smallCaps w:val="0"/>
        <w:strike w:val="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3543470"/>
    <w:multiLevelType w:val="multilevel"/>
    <w:tmpl w:val="F03029FA"/>
    <w:lvl w:ilvl="0">
      <w:start w:val="1"/>
      <w:numFmt w:val="lowerRoman"/>
      <w:lvlText w:val="%1."/>
      <w:lvlJc w:val="right"/>
      <w:pPr>
        <w:ind w:left="1222" w:hanging="360"/>
      </w:pPr>
    </w:lvl>
    <w:lvl w:ilvl="1">
      <w:start w:val="1"/>
      <w:numFmt w:val="lowerLetter"/>
      <w:lvlText w:val="%2."/>
      <w:lvlJc w:val="left"/>
      <w:pPr>
        <w:ind w:left="1942" w:hanging="360"/>
      </w:pPr>
    </w:lvl>
    <w:lvl w:ilvl="2">
      <w:start w:val="1"/>
      <w:numFmt w:val="lowerRoman"/>
      <w:lvlText w:val="%3."/>
      <w:lvlJc w:val="right"/>
      <w:pPr>
        <w:ind w:left="2662" w:hanging="180"/>
      </w:pPr>
    </w:lvl>
    <w:lvl w:ilvl="3">
      <w:start w:val="1"/>
      <w:numFmt w:val="decimal"/>
      <w:lvlText w:val="%4."/>
      <w:lvlJc w:val="left"/>
      <w:pPr>
        <w:ind w:left="3382" w:hanging="360"/>
      </w:pPr>
    </w:lvl>
    <w:lvl w:ilvl="4">
      <w:start w:val="1"/>
      <w:numFmt w:val="lowerLetter"/>
      <w:lvlText w:val="%5."/>
      <w:lvlJc w:val="left"/>
      <w:pPr>
        <w:ind w:left="4102" w:hanging="360"/>
      </w:pPr>
    </w:lvl>
    <w:lvl w:ilvl="5">
      <w:start w:val="1"/>
      <w:numFmt w:val="lowerRoman"/>
      <w:lvlText w:val="%6."/>
      <w:lvlJc w:val="right"/>
      <w:pPr>
        <w:ind w:left="4822" w:hanging="180"/>
      </w:pPr>
    </w:lvl>
    <w:lvl w:ilvl="6">
      <w:start w:val="1"/>
      <w:numFmt w:val="decimal"/>
      <w:lvlText w:val="%7."/>
      <w:lvlJc w:val="left"/>
      <w:pPr>
        <w:ind w:left="5542" w:hanging="360"/>
      </w:pPr>
    </w:lvl>
    <w:lvl w:ilvl="7">
      <w:start w:val="1"/>
      <w:numFmt w:val="lowerLetter"/>
      <w:lvlText w:val="%8."/>
      <w:lvlJc w:val="left"/>
      <w:pPr>
        <w:ind w:left="6262" w:hanging="360"/>
      </w:pPr>
    </w:lvl>
    <w:lvl w:ilvl="8">
      <w:start w:val="1"/>
      <w:numFmt w:val="lowerRoman"/>
      <w:lvlText w:val="%9."/>
      <w:lvlJc w:val="right"/>
      <w:pPr>
        <w:ind w:left="6982" w:hanging="180"/>
      </w:pPr>
    </w:lvl>
  </w:abstractNum>
  <w:abstractNum w:abstractNumId="4" w15:restartNumberingAfterBreak="0">
    <w:nsid w:val="5B163408"/>
    <w:multiLevelType w:val="multilevel"/>
    <w:tmpl w:val="C066A5C6"/>
    <w:lvl w:ilvl="0">
      <w:start w:val="1"/>
      <w:numFmt w:val="decimal"/>
      <w:lvlText w:val="%1."/>
      <w:lvlJc w:val="left"/>
      <w:pPr>
        <w:ind w:left="360" w:hanging="360"/>
      </w:pPr>
      <w:rPr>
        <w:b/>
        <w:smallCaps w:val="0"/>
        <w:strike w:val="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EEB6EB1"/>
    <w:multiLevelType w:val="multilevel"/>
    <w:tmpl w:val="8D882906"/>
    <w:lvl w:ilvl="0">
      <w:start w:val="1"/>
      <w:numFmt w:val="lowerRoman"/>
      <w:lvlText w:val="%1."/>
      <w:lvlJc w:val="right"/>
      <w:pPr>
        <w:ind w:left="360" w:hanging="360"/>
      </w:pPr>
      <w:rPr>
        <w:rFonts w:ascii="Arial" w:eastAsia="Arial" w:hAnsi="Arial" w:cs="Arial"/>
        <w:b w:val="0"/>
        <w:smallCaps w:val="0"/>
        <w:strike w:val="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69100294">
    <w:abstractNumId w:val="5"/>
  </w:num>
  <w:num w:numId="2" w16cid:durableId="616522008">
    <w:abstractNumId w:val="1"/>
  </w:num>
  <w:num w:numId="3" w16cid:durableId="22564376">
    <w:abstractNumId w:val="0"/>
  </w:num>
  <w:num w:numId="4" w16cid:durableId="1027292396">
    <w:abstractNumId w:val="2"/>
  </w:num>
  <w:num w:numId="5" w16cid:durableId="492721848">
    <w:abstractNumId w:val="3"/>
  </w:num>
  <w:num w:numId="6" w16cid:durableId="14940301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562"/>
    <w:rsid w:val="00032CB9"/>
    <w:rsid w:val="0021588C"/>
    <w:rsid w:val="00292358"/>
    <w:rsid w:val="00345562"/>
    <w:rsid w:val="004162EF"/>
    <w:rsid w:val="005A70A5"/>
    <w:rsid w:val="008B6E8B"/>
    <w:rsid w:val="00AE309F"/>
    <w:rsid w:val="00D07510"/>
    <w:rsid w:val="00ED2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1C6B2A-5E37-4567-9F52-D14CCA3B9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customStyle="1" w:styleId="SingleTxtG">
    <w:name w:val="_ Single Txt_G"/>
    <w:basedOn w:val="Normal"/>
    <w:link w:val="SingleTxtGChar"/>
    <w:rsid w:val="0021588C"/>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21588C"/>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vnreport.com/evn-youth-report/disregarded-health-sex-education/" TargetMode="External"/><Relationship Id="rId13" Type="http://schemas.openxmlformats.org/officeDocument/2006/relationships/hyperlink" Target="https://evnreport.com/raw-unfiltered/distance-education-in-times-of-coronavirus/" TargetMode="External"/><Relationship Id="rId3" Type="http://schemas.openxmlformats.org/officeDocument/2006/relationships/hyperlink" Target="https://bit.ly/3J096cQ" TargetMode="External"/><Relationship Id="rId7" Type="http://schemas.openxmlformats.org/officeDocument/2006/relationships/hyperlink" Target="https://evnreport.com/evn-youth-report/disregarded-health-sex-education/" TargetMode="External"/><Relationship Id="rId12" Type="http://schemas.openxmlformats.org/officeDocument/2006/relationships/hyperlink" Target="https://evnreport.com/raw-unfiltered/distance-education-in-times-of-coronavirus/" TargetMode="External"/><Relationship Id="rId2" Type="http://schemas.openxmlformats.org/officeDocument/2006/relationships/hyperlink" Target="https://www.escr-net.org/resources/general-comment-no-23-2016-right-just-and-favorable-conditions-work" TargetMode="External"/><Relationship Id="rId1" Type="http://schemas.openxmlformats.org/officeDocument/2006/relationships/hyperlink" Target="https://armstat.am/file/article/analysis_of_the_gender_pay_gap_armenia_en.pdf" TargetMode="External"/><Relationship Id="rId6" Type="http://schemas.openxmlformats.org/officeDocument/2006/relationships/hyperlink" Target="https://evnreport.com/raw-unfiltered/a-man-s-world-gender-stereotypes-and-underrepresentation-of-women-in-textbooks/" TargetMode="External"/><Relationship Id="rId11" Type="http://schemas.openxmlformats.org/officeDocument/2006/relationships/hyperlink" Target="https://evnreport.com/law-society/human-rights-protection-in-residential-institutions/" TargetMode="External"/><Relationship Id="rId5" Type="http://schemas.openxmlformats.org/officeDocument/2006/relationships/hyperlink" Target="https://evnreport.com/raw-unfiltered/a-man-s-world-gender-stereotypes-and-underrepresentation-of-women-in-textbooks/" TargetMode="External"/><Relationship Id="rId15" Type="http://schemas.openxmlformats.org/officeDocument/2006/relationships/hyperlink" Target="https://oxygen.org.am/wp-content/uploads/2021/03/Policy-brief_C%D5%95VID-19_ENG-1.pdf" TargetMode="External"/><Relationship Id="rId10" Type="http://schemas.openxmlformats.org/officeDocument/2006/relationships/hyperlink" Target="https://evnreport.com/law-society/human-rights-protection-in-residential-institutions/" TargetMode="External"/><Relationship Id="rId4" Type="http://schemas.openxmlformats.org/officeDocument/2006/relationships/hyperlink" Target="https://www.arlis.am/DocumentView.aspx?docid=178448" TargetMode="External"/><Relationship Id="rId9" Type="http://schemas.openxmlformats.org/officeDocument/2006/relationships/hyperlink" Target="https://drive.google.com/file/d/1PCifWhWVnwMXozt35WsB7vK6lvhvwXV6/view?fbclid=IwAR2LBzAEblBDa0sCt6icrvs-sUt_Vvr1nRCGsO1PQY-jxUc14DgwecZELt8" TargetMode="External"/><Relationship Id="rId14" Type="http://schemas.openxmlformats.org/officeDocument/2006/relationships/hyperlink" Target="https://oxygen.org.am/wp-content/uploads/2021/03/Policy-brief_C%D5%95VID-19_ENG-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3700</Words>
  <Characters>21128</Characters>
  <Application>Microsoft Office Word</Application>
  <DocSecurity>0</DocSecurity>
  <Lines>335</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Nvard</dc:creator>
  <cp:lastModifiedBy>Celine Reynaud</cp:lastModifiedBy>
  <cp:revision>2</cp:revision>
  <dcterms:created xsi:type="dcterms:W3CDTF">2023-08-28T13:14:00Z</dcterms:created>
  <dcterms:modified xsi:type="dcterms:W3CDTF">2023-08-28T13:14:00Z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d9894f4679da3efbf1ae8162e48959e09547205e51ad4806a8ac9b1a17645312</vt:lpwstr>
  </property>
</Properties>
</file>