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8828"/>
      </w:tblGrid>
      <w:tr w:rsidR="00336713" w14:paraId="12DF607C" w14:textId="77777777" w:rsidTr="00336713">
        <w:tc>
          <w:tcPr>
            <w:tcW w:w="8828" w:type="dxa"/>
            <w:shd w:val="clear" w:color="auto" w:fill="82ABFE"/>
          </w:tcPr>
          <w:p w14:paraId="3F5B2D50" w14:textId="77777777" w:rsidR="00336713" w:rsidRPr="00336713" w:rsidRDefault="00336713" w:rsidP="00336713">
            <w:pPr>
              <w:tabs>
                <w:tab w:val="left" w:pos="3480"/>
                <w:tab w:val="center" w:pos="4419"/>
              </w:tabs>
              <w:jc w:val="center"/>
              <w:rPr>
                <w:rFonts w:ascii="Times New Roman" w:eastAsia="Times New Roman" w:hAnsi="Times New Roman" w:cs="Times New Roman"/>
                <w:kern w:val="0"/>
                <w:sz w:val="24"/>
                <w:szCs w:val="24"/>
                <w:lang w:val="es-MX"/>
                <w14:ligatures w14:val="none"/>
              </w:rPr>
            </w:pPr>
            <w:r w:rsidRPr="00336713">
              <w:rPr>
                <w:rFonts w:ascii="Calibri" w:eastAsia="Times New Roman" w:hAnsi="Calibri" w:cs="Calibri"/>
                <w:color w:val="000000"/>
                <w:kern w:val="0"/>
                <w:sz w:val="24"/>
                <w:szCs w:val="24"/>
                <w:lang w:val="es-MX"/>
                <w14:ligatures w14:val="none"/>
              </w:rPr>
              <w:t>Informe sombra</w:t>
            </w:r>
          </w:p>
          <w:p w14:paraId="27E62C88" w14:textId="675A7D52" w:rsidR="00336713" w:rsidRPr="00336713" w:rsidRDefault="00336713" w:rsidP="00336713">
            <w:pPr>
              <w:jc w:val="center"/>
              <w:rPr>
                <w:rFonts w:ascii="Times New Roman" w:eastAsia="Times New Roman" w:hAnsi="Times New Roman" w:cs="Times New Roman"/>
                <w:kern w:val="0"/>
                <w:sz w:val="24"/>
                <w:szCs w:val="24"/>
                <w:lang w:val="es-MX"/>
                <w14:ligatures w14:val="none"/>
              </w:rPr>
            </w:pPr>
            <w:r w:rsidRPr="00336713">
              <w:rPr>
                <w:rFonts w:ascii="Calibri" w:eastAsia="Times New Roman" w:hAnsi="Calibri" w:cs="Calibri"/>
                <w:b/>
                <w:bCs/>
                <w:color w:val="000000"/>
                <w:kern w:val="0"/>
                <w:sz w:val="24"/>
                <w:szCs w:val="24"/>
                <w:lang w:val="es-MX"/>
                <w14:ligatures w14:val="none"/>
              </w:rPr>
              <w:t xml:space="preserve">EDUCACIÓN Y </w:t>
            </w:r>
            <w:r>
              <w:rPr>
                <w:rFonts w:ascii="Calibri" w:eastAsia="Times New Roman" w:hAnsi="Calibri" w:cs="Calibri"/>
                <w:b/>
                <w:bCs/>
                <w:color w:val="000000"/>
                <w:kern w:val="0"/>
                <w:sz w:val="24"/>
                <w:szCs w:val="24"/>
                <w:lang w:val="es-MX"/>
                <w14:ligatures w14:val="none"/>
              </w:rPr>
              <w:t>VIOLENCIA EN LOS ESPACIOS EDUCATIVOS</w:t>
            </w:r>
          </w:p>
          <w:p w14:paraId="44472869" w14:textId="77777777" w:rsidR="00336713" w:rsidRPr="00336713" w:rsidRDefault="00336713" w:rsidP="00336713">
            <w:pPr>
              <w:jc w:val="center"/>
              <w:rPr>
                <w:rFonts w:ascii="Times New Roman" w:eastAsia="Times New Roman" w:hAnsi="Times New Roman" w:cs="Times New Roman"/>
                <w:kern w:val="0"/>
                <w:sz w:val="24"/>
                <w:szCs w:val="24"/>
                <w:lang w:val="es-MX"/>
                <w14:ligatures w14:val="none"/>
              </w:rPr>
            </w:pPr>
          </w:p>
          <w:p w14:paraId="78E61729" w14:textId="5046FA97" w:rsidR="00336713" w:rsidRPr="000B21A5" w:rsidRDefault="000B21A5" w:rsidP="00336713">
            <w:pPr>
              <w:jc w:val="center"/>
              <w:rPr>
                <w:rFonts w:ascii="Times New Roman" w:eastAsia="Times New Roman" w:hAnsi="Times New Roman" w:cs="Times New Roman"/>
                <w:b/>
                <w:kern w:val="0"/>
                <w:sz w:val="24"/>
                <w:szCs w:val="24"/>
                <w:lang w:val="es-MX"/>
                <w14:ligatures w14:val="none"/>
              </w:rPr>
            </w:pPr>
            <w:bookmarkStart w:id="0" w:name="_GoBack"/>
            <w:r w:rsidRPr="000B21A5">
              <w:rPr>
                <w:rFonts w:ascii="Calibri" w:eastAsia="Times New Roman" w:hAnsi="Calibri" w:cs="Calibri"/>
                <w:b/>
                <w:color w:val="000000"/>
                <w:kern w:val="0"/>
                <w:sz w:val="24"/>
                <w:szCs w:val="24"/>
                <w:lang w:val="es-MX"/>
                <w14:ligatures w14:val="none"/>
              </w:rPr>
              <w:t>E</w:t>
            </w:r>
            <w:r w:rsidR="00336713" w:rsidRPr="000B21A5">
              <w:rPr>
                <w:rFonts w:ascii="Calibri" w:eastAsia="Times New Roman" w:hAnsi="Calibri" w:cs="Calibri"/>
                <w:b/>
                <w:color w:val="000000"/>
                <w:kern w:val="0"/>
                <w:sz w:val="24"/>
                <w:szCs w:val="24"/>
                <w:lang w:val="es-MX"/>
                <w14:ligatures w14:val="none"/>
              </w:rPr>
              <w:t xml:space="preserve">n </w:t>
            </w:r>
            <w:r w:rsidRPr="000B21A5">
              <w:rPr>
                <w:rFonts w:ascii="Calibri" w:eastAsia="Times New Roman" w:hAnsi="Calibri" w:cs="Calibri"/>
                <w:b/>
                <w:color w:val="000000"/>
                <w:kern w:val="0"/>
                <w:sz w:val="24"/>
                <w:szCs w:val="24"/>
                <w:lang w:val="es-MX"/>
                <w14:ligatures w14:val="none"/>
              </w:rPr>
              <w:t>ocasión del X informe de México ante la CEDAW</w:t>
            </w:r>
          </w:p>
          <w:bookmarkEnd w:id="0"/>
          <w:p w14:paraId="16B402E2" w14:textId="77777777" w:rsidR="00336713" w:rsidRDefault="00336713" w:rsidP="00336713">
            <w:pPr>
              <w:tabs>
                <w:tab w:val="left" w:pos="3480"/>
                <w:tab w:val="center" w:pos="4419"/>
              </w:tabs>
              <w:rPr>
                <w:rFonts w:ascii="Calibri" w:eastAsia="Times New Roman" w:hAnsi="Calibri" w:cs="Calibri"/>
                <w:color w:val="000000"/>
                <w:kern w:val="0"/>
                <w:sz w:val="24"/>
                <w:szCs w:val="24"/>
                <w:lang w:val="es-MX"/>
                <w14:ligatures w14:val="none"/>
              </w:rPr>
            </w:pPr>
          </w:p>
        </w:tc>
      </w:tr>
    </w:tbl>
    <w:p w14:paraId="7674B6C3" w14:textId="6EBC8A0D" w:rsidR="00B85B2F" w:rsidRDefault="00336713" w:rsidP="00336713">
      <w:pPr>
        <w:tabs>
          <w:tab w:val="left" w:pos="3480"/>
          <w:tab w:val="center" w:pos="4419"/>
        </w:tabs>
        <w:spacing w:after="0" w:line="240" w:lineRule="auto"/>
        <w:rPr>
          <w:rFonts w:ascii="Calibri" w:eastAsia="Times New Roman" w:hAnsi="Calibri" w:cs="Calibri"/>
          <w:color w:val="000000"/>
          <w:kern w:val="0"/>
          <w:sz w:val="24"/>
          <w:szCs w:val="24"/>
          <w:lang w:val="es-MX"/>
          <w14:ligatures w14:val="none"/>
        </w:rPr>
      </w:pPr>
      <w:r>
        <w:rPr>
          <w:rFonts w:ascii="Calibri" w:eastAsia="Times New Roman" w:hAnsi="Calibri" w:cs="Calibri"/>
          <w:color w:val="000000"/>
          <w:kern w:val="0"/>
          <w:sz w:val="24"/>
          <w:szCs w:val="24"/>
          <w:lang w:val="es-MX"/>
          <w14:ligatures w14:val="none"/>
        </w:rPr>
        <w:tab/>
      </w:r>
    </w:p>
    <w:p w14:paraId="3D332AC9" w14:textId="77777777" w:rsidR="00D70F57" w:rsidRPr="00D70F57" w:rsidRDefault="00D70F57" w:rsidP="00D70F57">
      <w:pPr>
        <w:spacing w:after="0"/>
        <w:jc w:val="center"/>
        <w:rPr>
          <w:rFonts w:ascii="Arial" w:hAnsi="Arial" w:cs="Arial"/>
          <w:b/>
          <w:sz w:val="24"/>
          <w:szCs w:val="24"/>
        </w:rPr>
      </w:pPr>
      <w:r w:rsidRPr="00D70F57">
        <w:rPr>
          <w:rFonts w:ascii="Arial" w:hAnsi="Arial" w:cs="Arial"/>
          <w:b/>
          <w:sz w:val="24"/>
          <w:szCs w:val="24"/>
        </w:rPr>
        <w:t>Este documento puede ser publicado en la página web del ACNUDH</w:t>
      </w:r>
    </w:p>
    <w:p w14:paraId="6EFD2F64" w14:textId="77777777" w:rsidR="00D70F57" w:rsidRPr="00D70F57" w:rsidRDefault="00D70F57" w:rsidP="00D70F57">
      <w:pPr>
        <w:spacing w:after="0"/>
        <w:jc w:val="center"/>
        <w:rPr>
          <w:rFonts w:ascii="Arial" w:hAnsi="Arial" w:cs="Arial"/>
          <w:b/>
          <w:sz w:val="24"/>
          <w:szCs w:val="24"/>
        </w:rPr>
      </w:pPr>
      <w:r w:rsidRPr="00D70F57">
        <w:rPr>
          <w:rFonts w:ascii="Arial" w:hAnsi="Arial" w:cs="Arial"/>
          <w:b/>
          <w:sz w:val="24"/>
          <w:szCs w:val="24"/>
        </w:rPr>
        <w:t>relativa a la CEDAW con fines de divulgación pública</w:t>
      </w:r>
    </w:p>
    <w:p w14:paraId="5208F887" w14:textId="77777777" w:rsidR="00D70F57" w:rsidRPr="00D70F57" w:rsidRDefault="00D70F57" w:rsidP="00336713">
      <w:pPr>
        <w:tabs>
          <w:tab w:val="left" w:pos="3480"/>
          <w:tab w:val="center" w:pos="4419"/>
        </w:tabs>
        <w:spacing w:after="0" w:line="240" w:lineRule="auto"/>
        <w:rPr>
          <w:rFonts w:ascii="Calibri" w:eastAsia="Times New Roman" w:hAnsi="Calibri" w:cs="Calibri"/>
          <w:color w:val="000000"/>
          <w:kern w:val="0"/>
          <w:sz w:val="24"/>
          <w:szCs w:val="24"/>
          <w:lang w:val="es-MX"/>
          <w14:ligatures w14:val="none"/>
        </w:rPr>
      </w:pPr>
    </w:p>
    <w:p w14:paraId="2FF85009" w14:textId="02100F62" w:rsidR="00B85B2F" w:rsidRPr="00D70F57" w:rsidRDefault="00B85B2F" w:rsidP="00B85B2F">
      <w:pPr>
        <w:spacing w:after="0" w:line="240" w:lineRule="auto"/>
        <w:rPr>
          <w:rFonts w:ascii="Times New Roman" w:eastAsia="Times New Roman" w:hAnsi="Times New Roman" w:cs="Times New Roman"/>
          <w:kern w:val="0"/>
          <w:sz w:val="24"/>
          <w:szCs w:val="24"/>
          <w:lang w:val="es-MX"/>
          <w14:ligatures w14:val="none"/>
        </w:rPr>
      </w:pPr>
    </w:p>
    <w:p w14:paraId="642335EB" w14:textId="55C0E226" w:rsidR="00B85B2F" w:rsidRPr="00D70F57" w:rsidRDefault="00B85B2F" w:rsidP="00B85B2F">
      <w:pPr>
        <w:spacing w:line="240" w:lineRule="auto"/>
        <w:ind w:firstLine="720"/>
        <w:jc w:val="both"/>
        <w:rPr>
          <w:rFonts w:ascii="Arial" w:eastAsia="Times New Roman" w:hAnsi="Arial" w:cs="Arial"/>
          <w:color w:val="000000"/>
          <w:kern w:val="0"/>
          <w:sz w:val="24"/>
          <w:szCs w:val="24"/>
          <w:lang w:val="es-MX"/>
          <w14:ligatures w14:val="none"/>
        </w:rPr>
      </w:pPr>
      <w:r w:rsidRPr="00D70F57">
        <w:rPr>
          <w:rFonts w:ascii="Arial" w:eastAsia="Times New Roman" w:hAnsi="Arial" w:cs="Arial"/>
          <w:color w:val="000000"/>
          <w:kern w:val="0"/>
          <w:sz w:val="24"/>
          <w:szCs w:val="24"/>
          <w:lang w:val="es-MX"/>
          <w14:ligatures w14:val="none"/>
        </w:rPr>
        <w:t>El presente informe lo envía la Mtra. Erika Rascón, Coordinadora de la Red de Profesoras Universitarias de Chihuahua, en coalición co</w:t>
      </w:r>
      <w:r w:rsidR="00D70F57">
        <w:rPr>
          <w:rFonts w:ascii="Arial" w:eastAsia="Times New Roman" w:hAnsi="Arial" w:cs="Arial"/>
          <w:color w:val="000000"/>
          <w:kern w:val="0"/>
          <w:sz w:val="24"/>
          <w:szCs w:val="24"/>
          <w:lang w:val="es-MX"/>
          <w14:ligatures w14:val="none"/>
        </w:rPr>
        <w:t xml:space="preserve">n la Red Médicas Verde Violeta, </w:t>
      </w:r>
      <w:r w:rsidRPr="00D70F57">
        <w:rPr>
          <w:rFonts w:ascii="Arial" w:eastAsia="Times New Roman" w:hAnsi="Arial" w:cs="Arial"/>
          <w:color w:val="000000"/>
          <w:kern w:val="0"/>
          <w:sz w:val="24"/>
          <w:szCs w:val="24"/>
          <w:lang w:val="es-MX"/>
          <w14:ligatures w14:val="none"/>
        </w:rPr>
        <w:t>la Federación Mexicana de Universitarias</w:t>
      </w:r>
      <w:r w:rsidR="007734AA" w:rsidRPr="00D70F57">
        <w:rPr>
          <w:rFonts w:ascii="Arial" w:eastAsia="Times New Roman" w:hAnsi="Arial" w:cs="Arial"/>
          <w:color w:val="000000"/>
          <w:kern w:val="0"/>
          <w:sz w:val="24"/>
          <w:szCs w:val="24"/>
          <w:lang w:val="es-MX"/>
          <w14:ligatures w14:val="none"/>
        </w:rPr>
        <w:t>, Red de profes</w:t>
      </w:r>
      <w:r w:rsidR="00D70F57" w:rsidRPr="00D70F57">
        <w:rPr>
          <w:rFonts w:ascii="Arial" w:eastAsia="Times New Roman" w:hAnsi="Arial" w:cs="Arial"/>
          <w:color w:val="000000"/>
          <w:kern w:val="0"/>
          <w:sz w:val="24"/>
          <w:szCs w:val="24"/>
          <w:lang w:val="es-MX"/>
          <w14:ligatures w14:val="none"/>
        </w:rPr>
        <w:t>oras e investigadoras de Derecho</w:t>
      </w:r>
      <w:r w:rsidR="007734AA" w:rsidRPr="00D70F57">
        <w:rPr>
          <w:rFonts w:ascii="Arial" w:eastAsia="Times New Roman" w:hAnsi="Arial" w:cs="Arial"/>
          <w:color w:val="000000"/>
          <w:kern w:val="0"/>
          <w:sz w:val="24"/>
          <w:szCs w:val="24"/>
          <w:lang w:val="es-MX"/>
          <w14:ligatures w14:val="none"/>
        </w:rPr>
        <w:t xml:space="preserve">s Humanos de México </w:t>
      </w:r>
      <w:r w:rsidRPr="00D70F57">
        <w:rPr>
          <w:rFonts w:ascii="Arial" w:eastAsia="Times New Roman" w:hAnsi="Arial" w:cs="Arial"/>
          <w:color w:val="000000"/>
          <w:kern w:val="0"/>
          <w:sz w:val="24"/>
          <w:szCs w:val="24"/>
          <w:lang w:val="es-MX"/>
          <w14:ligatures w14:val="none"/>
        </w:rPr>
        <w:t>y la Cátedra UNESCO de Derechos Humanos de la UNAM</w:t>
      </w:r>
      <w:r w:rsidR="007734AA" w:rsidRPr="00D70F57">
        <w:rPr>
          <w:rFonts w:ascii="Arial" w:eastAsia="Times New Roman" w:hAnsi="Arial" w:cs="Arial"/>
          <w:color w:val="000000"/>
          <w:kern w:val="0"/>
          <w:sz w:val="24"/>
          <w:szCs w:val="24"/>
          <w:lang w:val="es-MX"/>
          <w14:ligatures w14:val="none"/>
        </w:rPr>
        <w:t xml:space="preserve"> con sede en la Facultad de Ciencias Políticas y Sociales.</w:t>
      </w:r>
    </w:p>
    <w:p w14:paraId="41E91720" w14:textId="77777777" w:rsidR="007734AA" w:rsidRPr="00D70F57" w:rsidRDefault="007734AA" w:rsidP="00B85B2F">
      <w:pPr>
        <w:spacing w:line="240" w:lineRule="auto"/>
        <w:ind w:firstLine="720"/>
        <w:jc w:val="both"/>
        <w:rPr>
          <w:rFonts w:ascii="Arial" w:eastAsia="Times New Roman" w:hAnsi="Arial" w:cs="Arial"/>
          <w:kern w:val="0"/>
          <w:sz w:val="24"/>
          <w:szCs w:val="24"/>
          <w:lang w:val="es-MX"/>
          <w14:ligatures w14:val="none"/>
        </w:rPr>
      </w:pPr>
    </w:p>
    <w:p w14:paraId="35D8719B" w14:textId="7B754C1B" w:rsidR="00B85B2F" w:rsidRPr="00D70F57" w:rsidRDefault="00B85B2F" w:rsidP="00D70F57">
      <w:pPr>
        <w:spacing w:after="0" w:line="240" w:lineRule="auto"/>
        <w:jc w:val="both"/>
        <w:rPr>
          <w:rFonts w:ascii="Arial" w:hAnsi="Arial" w:cs="Arial"/>
          <w:b/>
        </w:rPr>
      </w:pPr>
      <w:r w:rsidRPr="00D70F57">
        <w:rPr>
          <w:rFonts w:ascii="Arial" w:eastAsia="Times New Roman" w:hAnsi="Arial" w:cs="Arial"/>
          <w:color w:val="000000"/>
          <w:kern w:val="0"/>
          <w:sz w:val="24"/>
          <w:szCs w:val="24"/>
          <w:lang w:val="es-MX"/>
          <w14:ligatures w14:val="none"/>
        </w:rPr>
        <w:t xml:space="preserve">Con la </w:t>
      </w:r>
      <w:r w:rsidR="00D70F57" w:rsidRPr="00D70F57">
        <w:rPr>
          <w:rFonts w:ascii="Arial" w:eastAsia="Times New Roman" w:hAnsi="Arial" w:cs="Arial"/>
          <w:color w:val="000000"/>
          <w:kern w:val="0"/>
          <w:sz w:val="24"/>
          <w:szCs w:val="24"/>
          <w:lang w:val="es-MX"/>
          <w14:ligatures w14:val="none"/>
        </w:rPr>
        <w:t>colaboración</w:t>
      </w:r>
      <w:r w:rsidR="007734AA" w:rsidRPr="00D70F57">
        <w:rPr>
          <w:rFonts w:ascii="Arial" w:eastAsia="Times New Roman" w:hAnsi="Arial" w:cs="Arial"/>
          <w:color w:val="000000"/>
          <w:kern w:val="0"/>
          <w:sz w:val="24"/>
          <w:szCs w:val="24"/>
          <w:lang w:val="es-MX"/>
          <w14:ligatures w14:val="none"/>
        </w:rPr>
        <w:t xml:space="preserve"> de: </w:t>
      </w:r>
      <w:r w:rsidRPr="00D70F57">
        <w:rPr>
          <w:rFonts w:ascii="Arial" w:eastAsia="Times New Roman" w:hAnsi="Arial" w:cs="Arial"/>
          <w:color w:val="000000"/>
          <w:kern w:val="0"/>
          <w:sz w:val="24"/>
          <w:szCs w:val="24"/>
          <w:lang w:val="es-MX"/>
          <w14:ligatures w14:val="none"/>
        </w:rPr>
        <w:t>Gloria Ramírez, Coordinadora de la Cátedra Unesco de Derechos Humanos de la UNAM (CUDH-UNAM), Azucena Enríquez, Secretaria académica de la Cátedra UNESCO de Derechos Humanos de la UNAM,</w:t>
      </w:r>
      <w:r w:rsidR="00D70F57" w:rsidRPr="00D70F57">
        <w:rPr>
          <w:rFonts w:ascii="Arial" w:eastAsia="Times New Roman" w:hAnsi="Arial" w:cs="Arial"/>
          <w:color w:val="000000"/>
          <w:kern w:val="0"/>
          <w:sz w:val="24"/>
          <w:szCs w:val="24"/>
          <w:lang w:val="es-MX"/>
          <w14:ligatures w14:val="none"/>
        </w:rPr>
        <w:t xml:space="preserve"> </w:t>
      </w:r>
      <w:r w:rsidR="00D70F57" w:rsidRPr="00D70F57">
        <w:rPr>
          <w:rFonts w:ascii="Arial" w:hAnsi="Arial" w:cs="Arial"/>
          <w:sz w:val="24"/>
          <w:szCs w:val="24"/>
        </w:rPr>
        <w:t xml:space="preserve">Valeria Fernanda Dorantes Romero, </w:t>
      </w:r>
      <w:r w:rsidR="00D70F57">
        <w:rPr>
          <w:rFonts w:ascii="Arial" w:hAnsi="Arial" w:cs="Arial"/>
          <w:sz w:val="24"/>
          <w:szCs w:val="24"/>
        </w:rPr>
        <w:t xml:space="preserve">becaria </w:t>
      </w:r>
      <w:r w:rsidR="00D70F57" w:rsidRPr="00D70F57">
        <w:rPr>
          <w:rFonts w:ascii="Arial" w:hAnsi="Arial" w:cs="Arial"/>
          <w:sz w:val="24"/>
          <w:szCs w:val="24"/>
        </w:rPr>
        <w:t>de la CUDH-UNAM</w:t>
      </w:r>
      <w:r w:rsidR="00D70F57">
        <w:rPr>
          <w:rFonts w:ascii="Arial" w:hAnsi="Arial" w:cs="Arial"/>
          <w:b/>
          <w:sz w:val="24"/>
          <w:szCs w:val="24"/>
        </w:rPr>
        <w:t xml:space="preserve">, </w:t>
      </w:r>
      <w:r w:rsidRPr="00D70F57">
        <w:rPr>
          <w:rFonts w:ascii="Arial" w:eastAsia="Times New Roman" w:hAnsi="Arial" w:cs="Arial"/>
          <w:color w:val="000000"/>
          <w:kern w:val="0"/>
          <w:sz w:val="24"/>
          <w:szCs w:val="24"/>
          <w:lang w:val="es-MX"/>
          <w14:ligatures w14:val="none"/>
        </w:rPr>
        <w:t xml:space="preserve">Nora Ileana Villa integrante de la Red Médicas Verde Violeta y </w:t>
      </w:r>
      <w:r w:rsidR="00D458C1" w:rsidRPr="00D70F57">
        <w:rPr>
          <w:rFonts w:ascii="Arial" w:eastAsia="Times New Roman" w:hAnsi="Arial" w:cs="Arial"/>
          <w:color w:val="000000"/>
          <w:kern w:val="0"/>
          <w:sz w:val="24"/>
          <w:szCs w:val="24"/>
          <w:lang w:val="es-MX"/>
          <w14:ligatures w14:val="none"/>
        </w:rPr>
        <w:t xml:space="preserve">Monsserrat Sánchez Moreno, </w:t>
      </w:r>
      <w:r w:rsidR="003F276F" w:rsidRPr="00D70F57">
        <w:rPr>
          <w:rFonts w:ascii="Arial" w:eastAsia="Times New Roman" w:hAnsi="Arial" w:cs="Arial"/>
          <w:color w:val="000000"/>
          <w:kern w:val="0"/>
          <w:sz w:val="24"/>
          <w:szCs w:val="24"/>
          <w:lang w:val="es-MX"/>
          <w14:ligatures w14:val="none"/>
        </w:rPr>
        <w:t>Consejera y Primer Contacto para la Prevención, Atención y Sanción de la Violencia de Género de la Universidad del Istmo.</w:t>
      </w:r>
    </w:p>
    <w:p w14:paraId="5F2599DB" w14:textId="77777777" w:rsidR="00D70F57" w:rsidRPr="00D70F57" w:rsidRDefault="00D70F57" w:rsidP="00D70F57">
      <w:pPr>
        <w:spacing w:line="240" w:lineRule="auto"/>
        <w:jc w:val="both"/>
        <w:rPr>
          <w:rFonts w:ascii="Arial" w:eastAsia="Times New Roman" w:hAnsi="Arial" w:cs="Arial"/>
          <w:color w:val="000000"/>
          <w:kern w:val="0"/>
          <w:sz w:val="24"/>
          <w:szCs w:val="24"/>
          <w:lang w:val="es-MX"/>
          <w14:ligatures w14:val="none"/>
        </w:rPr>
      </w:pPr>
    </w:p>
    <w:p w14:paraId="13F8F0A5" w14:textId="1142389C" w:rsidR="00D70F57" w:rsidRPr="00D70F57" w:rsidRDefault="007734AA" w:rsidP="00D70F57">
      <w:pPr>
        <w:spacing w:line="240" w:lineRule="auto"/>
        <w:jc w:val="both"/>
        <w:rPr>
          <w:rFonts w:ascii="Arial" w:eastAsia="Times New Roman" w:hAnsi="Arial" w:cs="Arial"/>
          <w:color w:val="000000"/>
          <w:kern w:val="0"/>
          <w:sz w:val="24"/>
          <w:szCs w:val="24"/>
          <w:lang w:val="es-MX"/>
          <w14:ligatures w14:val="none"/>
        </w:rPr>
      </w:pPr>
      <w:r w:rsidRPr="00D70F57">
        <w:rPr>
          <w:rFonts w:ascii="Arial" w:eastAsia="Times New Roman" w:hAnsi="Arial" w:cs="Arial"/>
          <w:color w:val="000000"/>
          <w:kern w:val="0"/>
          <w:sz w:val="24"/>
          <w:szCs w:val="24"/>
          <w:lang w:val="es-MX"/>
          <w14:ligatures w14:val="none"/>
        </w:rPr>
        <w:t>Coordinación: Gloria Ramírez, Azucena Enríquez (CUDH-UNAM)</w:t>
      </w:r>
    </w:p>
    <w:p w14:paraId="3F4E182E" w14:textId="77777777" w:rsidR="007734AA" w:rsidRPr="00D70F57" w:rsidRDefault="007734AA" w:rsidP="00B85B2F">
      <w:pPr>
        <w:spacing w:line="240" w:lineRule="auto"/>
        <w:ind w:firstLine="720"/>
        <w:jc w:val="both"/>
        <w:rPr>
          <w:rFonts w:ascii="Arial" w:eastAsia="Times New Roman" w:hAnsi="Arial" w:cs="Arial"/>
          <w:color w:val="000000"/>
          <w:kern w:val="0"/>
          <w:sz w:val="24"/>
          <w:szCs w:val="24"/>
          <w:lang w:val="es-MX"/>
          <w14:ligatures w14:val="none"/>
        </w:rPr>
      </w:pPr>
    </w:p>
    <w:p w14:paraId="7F33E539" w14:textId="366993C8" w:rsidR="00C02E01" w:rsidRPr="00D70F57" w:rsidRDefault="00C02E01" w:rsidP="00D70F57">
      <w:pPr>
        <w:spacing w:after="0" w:line="360" w:lineRule="auto"/>
        <w:jc w:val="both"/>
        <w:rPr>
          <w:rFonts w:ascii="Arial" w:hAnsi="Arial" w:cs="Arial"/>
          <w:sz w:val="24"/>
          <w:szCs w:val="24"/>
        </w:rPr>
      </w:pPr>
      <w:r w:rsidRPr="00D70F57">
        <w:rPr>
          <w:rFonts w:ascii="Arial" w:hAnsi="Arial" w:cs="Arial"/>
          <w:sz w:val="24"/>
          <w:szCs w:val="24"/>
        </w:rPr>
        <w:t xml:space="preserve">Comunicación: </w:t>
      </w:r>
      <w:hyperlink r:id="rId8" w:history="1">
        <w:r w:rsidR="007734AA" w:rsidRPr="00D70F57">
          <w:rPr>
            <w:rStyle w:val="Hipervnculo"/>
            <w:rFonts w:ascii="Arial" w:hAnsi="Arial" w:cs="Arial"/>
            <w:sz w:val="24"/>
            <w:szCs w:val="24"/>
          </w:rPr>
          <w:t>cedawciudadanas@gmail.com</w:t>
        </w:r>
      </w:hyperlink>
    </w:p>
    <w:p w14:paraId="20BC313A" w14:textId="5EC692AD" w:rsidR="007734AA" w:rsidRPr="00D70F57" w:rsidRDefault="00D70F57" w:rsidP="00D70F57">
      <w:pPr>
        <w:spacing w:after="0" w:line="360" w:lineRule="auto"/>
        <w:jc w:val="both"/>
        <w:rPr>
          <w:rFonts w:ascii="Arial" w:hAnsi="Arial" w:cs="Arial"/>
          <w:sz w:val="24"/>
          <w:szCs w:val="24"/>
        </w:rPr>
      </w:pPr>
      <w:r>
        <w:rPr>
          <w:rFonts w:ascii="Arial" w:hAnsi="Arial" w:cs="Arial"/>
          <w:sz w:val="24"/>
          <w:szCs w:val="24"/>
        </w:rPr>
        <w:t>S</w:t>
      </w:r>
      <w:r w:rsidR="007734AA" w:rsidRPr="00D70F57">
        <w:rPr>
          <w:rFonts w:ascii="Arial" w:hAnsi="Arial" w:cs="Arial"/>
          <w:sz w:val="24"/>
          <w:szCs w:val="24"/>
        </w:rPr>
        <w:t>itio:</w:t>
      </w:r>
      <w:r w:rsidRPr="00D70F57">
        <w:rPr>
          <w:rFonts w:ascii="Arial" w:hAnsi="Arial" w:cs="Arial"/>
          <w:sz w:val="24"/>
          <w:szCs w:val="24"/>
        </w:rPr>
        <w:t xml:space="preserve"> </w:t>
      </w:r>
      <w:r w:rsidRPr="00D70F57">
        <w:rPr>
          <w:rFonts w:ascii="Arial" w:hAnsi="Arial" w:cs="Arial"/>
          <w:sz w:val="24"/>
          <w:szCs w:val="24"/>
        </w:rPr>
        <w:t>https://catedraunescodh.unam.mx/catedra/catedra/</w:t>
      </w:r>
    </w:p>
    <w:p w14:paraId="5B7571B8" w14:textId="4A32B46F" w:rsidR="00D70F57" w:rsidRDefault="00D70F57" w:rsidP="00C02E01">
      <w:pPr>
        <w:spacing w:before="200" w:line="360" w:lineRule="auto"/>
        <w:jc w:val="both"/>
        <w:rPr>
          <w:rFonts w:ascii="Arial" w:hAnsi="Arial" w:cs="Arial"/>
          <w:sz w:val="24"/>
          <w:szCs w:val="24"/>
        </w:rPr>
      </w:pPr>
    </w:p>
    <w:p w14:paraId="1640F05A" w14:textId="77777777" w:rsidR="00D70F57" w:rsidRPr="00D70F57" w:rsidRDefault="00D70F57" w:rsidP="00C02E01">
      <w:pPr>
        <w:spacing w:before="200" w:line="360" w:lineRule="auto"/>
        <w:jc w:val="both"/>
        <w:rPr>
          <w:rFonts w:ascii="Arial" w:hAnsi="Arial" w:cs="Arial"/>
          <w:sz w:val="24"/>
          <w:szCs w:val="24"/>
        </w:rPr>
      </w:pPr>
    </w:p>
    <w:p w14:paraId="101D997B" w14:textId="31D632BF" w:rsidR="00C02E01" w:rsidRPr="00D70F57" w:rsidRDefault="00C02E01" w:rsidP="00C02E01">
      <w:pPr>
        <w:spacing w:before="200" w:line="360" w:lineRule="auto"/>
        <w:jc w:val="center"/>
        <w:rPr>
          <w:rFonts w:ascii="Arial" w:hAnsi="Arial" w:cs="Arial"/>
        </w:rPr>
      </w:pPr>
      <w:r w:rsidRPr="00D70F57">
        <w:rPr>
          <w:rFonts w:ascii="Arial" w:hAnsi="Arial" w:cs="Arial"/>
        </w:rPr>
        <w:t>Con apoyo del Proyecto PAPIIT IN302023 “25 años de informes ante la CEDAW en México. Balance, evaluación, resultados y avances”</w:t>
      </w:r>
    </w:p>
    <w:p w14:paraId="0165A9C0" w14:textId="107B81F1" w:rsidR="00D70F57" w:rsidRPr="00D70F57" w:rsidRDefault="00D70F57" w:rsidP="00C02E01">
      <w:pPr>
        <w:spacing w:before="200" w:line="360" w:lineRule="auto"/>
        <w:jc w:val="center"/>
        <w:rPr>
          <w:rFonts w:ascii="Arial" w:hAnsi="Arial" w:cs="Arial"/>
        </w:rPr>
      </w:pPr>
      <w:r w:rsidRPr="00D70F57">
        <w:rPr>
          <w:rFonts w:ascii="Arial" w:hAnsi="Arial" w:cs="Arial"/>
        </w:rPr>
        <w:t>México 17 mayo 2025</w:t>
      </w:r>
    </w:p>
    <w:p w14:paraId="236F348C" w14:textId="52C488F0" w:rsidR="00B85B2F" w:rsidRDefault="00B85B2F" w:rsidP="00336713">
      <w:pPr>
        <w:tabs>
          <w:tab w:val="left" w:pos="3480"/>
          <w:tab w:val="center" w:pos="4419"/>
        </w:tabs>
        <w:spacing w:after="0" w:line="240" w:lineRule="auto"/>
        <w:rPr>
          <w:rFonts w:ascii="Times New Roman" w:eastAsia="Times New Roman" w:hAnsi="Times New Roman" w:cs="Times New Roman"/>
          <w:kern w:val="0"/>
          <w:sz w:val="24"/>
          <w:szCs w:val="24"/>
          <w:lang w:val="es-MX"/>
          <w14:ligatures w14:val="none"/>
        </w:rPr>
      </w:pPr>
    </w:p>
    <w:p w14:paraId="58C64ADC" w14:textId="77777777" w:rsidR="00D70F57" w:rsidRPr="00336713" w:rsidRDefault="00D70F57" w:rsidP="00336713">
      <w:pPr>
        <w:tabs>
          <w:tab w:val="left" w:pos="3480"/>
          <w:tab w:val="center" w:pos="4419"/>
        </w:tabs>
        <w:spacing w:after="0" w:line="240" w:lineRule="auto"/>
        <w:rPr>
          <w:rFonts w:ascii="Times New Roman" w:eastAsia="Times New Roman" w:hAnsi="Times New Roman" w:cs="Times New Roman"/>
          <w:kern w:val="0"/>
          <w:sz w:val="24"/>
          <w:szCs w:val="24"/>
          <w:lang w:val="es-MX"/>
          <w14:ligatures w14:val="none"/>
        </w:rPr>
      </w:pPr>
    </w:p>
    <w:p w14:paraId="390D6305" w14:textId="5D346B13" w:rsidR="00F734D4" w:rsidRPr="00302E63" w:rsidRDefault="00F734D4" w:rsidP="00604935">
      <w:pPr>
        <w:pBdr>
          <w:top w:val="nil"/>
          <w:left w:val="nil"/>
          <w:bottom w:val="nil"/>
          <w:right w:val="nil"/>
          <w:between w:val="nil"/>
        </w:pBdr>
        <w:spacing w:before="201" w:line="276" w:lineRule="auto"/>
        <w:ind w:right="49"/>
        <w:jc w:val="both"/>
        <w:rPr>
          <w:rFonts w:ascii="Arial" w:eastAsia="Calibri" w:hAnsi="Arial" w:cs="Arial"/>
          <w:b/>
          <w:i/>
        </w:rPr>
      </w:pPr>
      <w:r w:rsidRPr="00302E63">
        <w:rPr>
          <w:rFonts w:ascii="Arial" w:eastAsia="Calibri" w:hAnsi="Arial" w:cs="Arial"/>
          <w:b/>
        </w:rPr>
        <w:lastRenderedPageBreak/>
        <w:t xml:space="preserve">En seguimiento a la recomendación 38e) de las observaciones del IX informe de México a la CEDAW, sobre </w:t>
      </w:r>
      <w:r w:rsidRPr="00302E63">
        <w:rPr>
          <w:rFonts w:ascii="Arial" w:eastAsia="Calibri" w:hAnsi="Arial" w:cs="Arial"/>
          <w:b/>
          <w:i/>
        </w:rPr>
        <w:t xml:space="preserve">instituir medidas para prevenir, sancionar y erradicar todas las formas de violencia contra las mujeres y las niñas en las instituciones de educación pública. </w:t>
      </w:r>
    </w:p>
    <w:p w14:paraId="519C93A7" w14:textId="75463FEC" w:rsidR="00F734D4" w:rsidRPr="00302E63" w:rsidRDefault="00F734D4" w:rsidP="00604935">
      <w:pPr>
        <w:ind w:firstLine="720"/>
        <w:jc w:val="both"/>
        <w:rPr>
          <w:rFonts w:ascii="Arial" w:eastAsia="Calibri" w:hAnsi="Arial" w:cs="Arial"/>
        </w:rPr>
      </w:pPr>
      <w:r w:rsidRPr="00302E63">
        <w:rPr>
          <w:rFonts w:ascii="Arial" w:eastAsia="Calibri" w:hAnsi="Arial" w:cs="Arial"/>
        </w:rPr>
        <w:t xml:space="preserve">La violencia </w:t>
      </w:r>
      <w:r w:rsidR="007734AA">
        <w:rPr>
          <w:rFonts w:ascii="Arial" w:eastAsia="Calibri" w:hAnsi="Arial" w:cs="Arial"/>
        </w:rPr>
        <w:t xml:space="preserve">en razón </w:t>
      </w:r>
      <w:r w:rsidRPr="00302E63">
        <w:rPr>
          <w:rFonts w:ascii="Arial" w:eastAsia="Calibri" w:hAnsi="Arial" w:cs="Arial"/>
        </w:rPr>
        <w:t xml:space="preserve">de género existe en todas las instituciones educativas, públicas y privadas, por lo cual es necesario que pueda ampliarse </w:t>
      </w:r>
      <w:r w:rsidR="00BE3350">
        <w:rPr>
          <w:rFonts w:ascii="Arial" w:eastAsia="Calibri" w:hAnsi="Arial" w:cs="Arial"/>
        </w:rPr>
        <w:t>la</w:t>
      </w:r>
      <w:r w:rsidRPr="00302E63">
        <w:rPr>
          <w:rFonts w:ascii="Arial" w:eastAsia="Calibri" w:hAnsi="Arial" w:cs="Arial"/>
        </w:rPr>
        <w:t xml:space="preserve"> recomendación,</w:t>
      </w:r>
      <w:r w:rsidR="00BE3350">
        <w:rPr>
          <w:rFonts w:ascii="Arial" w:eastAsia="Calibri" w:hAnsi="Arial" w:cs="Arial"/>
        </w:rPr>
        <w:t xml:space="preserve"> mencionada</w:t>
      </w:r>
      <w:r w:rsidRPr="00302E63">
        <w:rPr>
          <w:rFonts w:ascii="Arial" w:eastAsia="Calibri" w:hAnsi="Arial" w:cs="Arial"/>
        </w:rPr>
        <w:t xml:space="preserve"> a todos los niveles, tipos de educación públic</w:t>
      </w:r>
      <w:r w:rsidR="00BE3350">
        <w:rPr>
          <w:rFonts w:ascii="Arial" w:eastAsia="Calibri" w:hAnsi="Arial" w:cs="Arial"/>
        </w:rPr>
        <w:t>a</w:t>
      </w:r>
      <w:r w:rsidRPr="00302E63">
        <w:rPr>
          <w:rFonts w:ascii="Arial" w:eastAsia="Calibri" w:hAnsi="Arial" w:cs="Arial"/>
        </w:rPr>
        <w:t xml:space="preserve"> y privad</w:t>
      </w:r>
      <w:r w:rsidR="00BE3350">
        <w:rPr>
          <w:rFonts w:ascii="Arial" w:eastAsia="Calibri" w:hAnsi="Arial" w:cs="Arial"/>
        </w:rPr>
        <w:t>a</w:t>
      </w:r>
      <w:r w:rsidRPr="00302E63">
        <w:rPr>
          <w:rFonts w:ascii="Arial" w:eastAsia="Calibri" w:hAnsi="Arial" w:cs="Arial"/>
        </w:rPr>
        <w:t>.</w:t>
      </w:r>
    </w:p>
    <w:p w14:paraId="70E6B467" w14:textId="51500FEC" w:rsidR="00F734D4" w:rsidRPr="00302E63" w:rsidRDefault="00F734D4" w:rsidP="00604935">
      <w:pPr>
        <w:ind w:firstLine="720"/>
        <w:jc w:val="both"/>
        <w:rPr>
          <w:rFonts w:ascii="Arial" w:eastAsia="Calibri" w:hAnsi="Arial" w:cs="Arial"/>
        </w:rPr>
      </w:pPr>
      <w:r w:rsidRPr="00302E63">
        <w:rPr>
          <w:rFonts w:ascii="Arial" w:eastAsia="Calibri" w:hAnsi="Arial" w:cs="Arial"/>
        </w:rPr>
        <w:t xml:space="preserve">Este informe da cuenta de los diversos tipos de violencia que se han incrementado y que en los últimos </w:t>
      </w:r>
      <w:r w:rsidR="00BE3350">
        <w:rPr>
          <w:rFonts w:ascii="Arial" w:eastAsia="Calibri" w:hAnsi="Arial" w:cs="Arial"/>
        </w:rPr>
        <w:t xml:space="preserve"> seis</w:t>
      </w:r>
      <w:r w:rsidRPr="00302E63">
        <w:rPr>
          <w:rFonts w:ascii="Arial" w:eastAsia="Calibri" w:hAnsi="Arial" w:cs="Arial"/>
        </w:rPr>
        <w:t xml:space="preserve"> años emergen como protestas de la llamada “cuarta Ola” feminista que utiliza las redes sociales la cual suma las denuncias como #MiPrimerAcoso, #MeTooAcadémicos, #SiMeMatan, etc. Además, se multiplican las quejas de violencia de género, los paros y huelgas de estudiantes en diversas Instituciones de Educación Superior por el derecho de las mujeres a una vida libre de violencia.</w:t>
      </w:r>
    </w:p>
    <w:p w14:paraId="5DA3D711" w14:textId="06657EE7" w:rsidR="00F734D4" w:rsidRPr="00302E63" w:rsidRDefault="00F734D4" w:rsidP="00604935">
      <w:pPr>
        <w:ind w:firstLine="708"/>
        <w:jc w:val="both"/>
        <w:rPr>
          <w:rFonts w:ascii="Arial" w:hAnsi="Arial" w:cs="Arial"/>
        </w:rPr>
      </w:pPr>
      <w:r w:rsidRPr="00302E63">
        <w:rPr>
          <w:rFonts w:ascii="Arial" w:hAnsi="Arial" w:cs="Arial"/>
        </w:rPr>
        <w:t>La violencia de género en todos los niveles educativos, emerge como una pandemia, se acompaña en las Instituciones de Educación Superior (IES) de demandas de estudiantes y docentes que rompen el silencio y levantan la voz, para dejar de naturalizar la violencia contra las niñas, adolescentes y mujeres.</w:t>
      </w:r>
    </w:p>
    <w:p w14:paraId="7BA37310" w14:textId="789E48D7" w:rsidR="00F734D4" w:rsidRPr="00302E63" w:rsidRDefault="00F734D4" w:rsidP="00604935">
      <w:pPr>
        <w:jc w:val="both"/>
        <w:rPr>
          <w:rFonts w:ascii="Arial" w:eastAsia="Calibri" w:hAnsi="Arial" w:cs="Arial"/>
        </w:rPr>
      </w:pPr>
      <w:r w:rsidRPr="00302E63">
        <w:rPr>
          <w:rFonts w:ascii="Arial" w:hAnsi="Arial" w:cs="Arial"/>
        </w:rPr>
        <w:t>En la Universidad Nacional Autónoma de México (UNAM), desde la segunda década de este siglo XXI, surgen múltiples voces que a través de colectivas de jóvenes estudiantes en 2016 implementó el primer Protocolo para la Atención de Casos de Violencia de Género en la UNAM, durante el primer año</w:t>
      </w:r>
      <w:r w:rsidRPr="00302E63">
        <w:rPr>
          <w:rFonts w:ascii="Arial" w:eastAsia="Calibri" w:hAnsi="Arial" w:cs="Arial"/>
        </w:rPr>
        <w:t>, 234 personas presentaron quejas por hechos de violencia de género ante el Subsistema jurídico de la UNAM.</w:t>
      </w:r>
    </w:p>
    <w:p w14:paraId="284FE595" w14:textId="448531BF" w:rsidR="00604935" w:rsidRPr="00302E63" w:rsidRDefault="00B53C6E" w:rsidP="00604935">
      <w:pPr>
        <w:jc w:val="both"/>
        <w:rPr>
          <w:rFonts w:ascii="Arial" w:hAnsi="Arial" w:cs="Arial"/>
          <w:lang w:val="es-MX"/>
        </w:rPr>
      </w:pPr>
      <w:r w:rsidRPr="00302E63">
        <w:rPr>
          <w:rFonts w:ascii="Arial" w:hAnsi="Arial" w:cs="Arial"/>
        </w:rPr>
        <w:t xml:space="preserve">Sin embargo, </w:t>
      </w:r>
      <w:r w:rsidRPr="00302E63">
        <w:rPr>
          <w:rFonts w:ascii="Arial" w:hAnsi="Arial" w:cs="Arial"/>
          <w:shd w:val="clear" w:color="auto" w:fill="FFFFFF"/>
        </w:rPr>
        <w:t xml:space="preserve">en febrero de 2020, el Consejo Universitario aprobó, modificar los artículos 95 y 99 </w:t>
      </w:r>
      <w:r w:rsidR="00604935" w:rsidRPr="00302E63">
        <w:rPr>
          <w:rFonts w:ascii="Arial" w:hAnsi="Arial" w:cs="Arial"/>
          <w:shd w:val="clear" w:color="auto" w:fill="FFFFFF"/>
        </w:rPr>
        <w:t xml:space="preserve">el </w:t>
      </w:r>
      <w:r w:rsidRPr="00302E63">
        <w:rPr>
          <w:rFonts w:ascii="Arial" w:hAnsi="Arial" w:cs="Arial"/>
          <w:shd w:val="clear" w:color="auto" w:fill="FFFFFF"/>
        </w:rPr>
        <w:t>Estatuto General de la UNAM para incluir la violencia de género como causa grave de responsabilidad, aplicable a todos los miembros de la Universidad.</w:t>
      </w:r>
      <w:r w:rsidR="00604935" w:rsidRPr="00302E63">
        <w:rPr>
          <w:rFonts w:ascii="Arial" w:hAnsi="Arial" w:cs="Arial"/>
          <w:shd w:val="clear" w:color="auto" w:fill="FFFFFF"/>
        </w:rPr>
        <w:t xml:space="preserve"> Con este cambio </w:t>
      </w:r>
      <w:r w:rsidR="00604935" w:rsidRPr="00302E63">
        <w:rPr>
          <w:rFonts w:ascii="Arial" w:hAnsi="Arial" w:cs="Arial"/>
        </w:rPr>
        <w:t xml:space="preserve">la Defensoría de los Derechos Universitarios, Igualdad y Atención de la Violencia de Género (DDUIAVG), es la instancia responsable de atender las quejas de violencia de la comunidad universitaria. </w:t>
      </w:r>
    </w:p>
    <w:p w14:paraId="6B5D6447" w14:textId="4104490D" w:rsidR="00B53C6E" w:rsidRPr="00302E63" w:rsidRDefault="002F717D" w:rsidP="00F734D4">
      <w:pPr>
        <w:jc w:val="both"/>
        <w:rPr>
          <w:rFonts w:ascii="Arial" w:hAnsi="Arial" w:cs="Arial"/>
          <w:sz w:val="24"/>
          <w:szCs w:val="24"/>
        </w:rPr>
      </w:pPr>
      <w:r w:rsidRPr="00302E63">
        <w:rPr>
          <w:rFonts w:ascii="Arial" w:hAnsi="Arial" w:cs="Arial"/>
        </w:rPr>
        <w:t>Durante el periodo comprendido entre el 14 de agosto de 2020 y el 13 de agosto de 2021, el área de Violencia de Género de la Defensoría orientó a un total de 1,211 personas</w:t>
      </w:r>
      <w:r w:rsidR="00602E07" w:rsidRPr="00302E63">
        <w:rPr>
          <w:rFonts w:ascii="Arial" w:hAnsi="Arial" w:cs="Arial"/>
        </w:rPr>
        <w:t xml:space="preserve"> y atendió 576 quejas, tanto nuevas como aquellas que ya se encontraban en trámite.</w:t>
      </w:r>
      <w:r w:rsidR="00602E07" w:rsidRPr="00302E63">
        <w:rPr>
          <w:rStyle w:val="Refdenotaalpie"/>
          <w:rFonts w:ascii="Arial" w:hAnsi="Arial" w:cs="Arial"/>
        </w:rPr>
        <w:t xml:space="preserve"> </w:t>
      </w:r>
      <w:r w:rsidR="00602E07" w:rsidRPr="00302E63">
        <w:rPr>
          <w:rStyle w:val="Refdenotaalpie"/>
          <w:rFonts w:ascii="Arial" w:hAnsi="Arial" w:cs="Arial"/>
        </w:rPr>
        <w:footnoteReference w:id="1"/>
      </w:r>
      <w:r w:rsidR="00602E07" w:rsidRPr="00302E63">
        <w:rPr>
          <w:rFonts w:ascii="Arial" w:hAnsi="Arial" w:cs="Arial"/>
        </w:rPr>
        <w:t xml:space="preserve">  </w:t>
      </w:r>
    </w:p>
    <w:p w14:paraId="0FE075D7" w14:textId="77777777" w:rsidR="00602E07" w:rsidRPr="00302E63" w:rsidRDefault="00602E07" w:rsidP="00602E07">
      <w:pPr>
        <w:jc w:val="both"/>
        <w:rPr>
          <w:rFonts w:ascii="Arial" w:hAnsi="Arial" w:cs="Arial"/>
        </w:rPr>
      </w:pPr>
      <w:r w:rsidRPr="00302E63">
        <w:rPr>
          <w:rFonts w:ascii="Arial" w:hAnsi="Arial" w:cs="Arial"/>
        </w:rPr>
        <w:t>De las quejas presentadas, el 95% (548 casos) de las promoventes eran mujeres. Y de acuerdo con la calidad universitaria, el 85% (488 casos) eran estudiantes, seguido de el personal académico con 6,6% (38 casos).</w:t>
      </w:r>
    </w:p>
    <w:p w14:paraId="1A8F5CE0" w14:textId="77777777" w:rsidR="006C3358" w:rsidRPr="00302E63" w:rsidRDefault="006C3358" w:rsidP="006C3358">
      <w:pPr>
        <w:jc w:val="both"/>
        <w:rPr>
          <w:rFonts w:ascii="Arial" w:hAnsi="Arial" w:cs="Arial"/>
        </w:rPr>
      </w:pPr>
      <w:r w:rsidRPr="00302E63">
        <w:rPr>
          <w:rFonts w:ascii="Arial" w:hAnsi="Arial" w:cs="Arial"/>
        </w:rPr>
        <w:t xml:space="preserve">En cuanto al perfil de los denunciados, el análisis por género revela que el 92.7% (534 casos) corresponde a hombres, frente a un 5.6% (32 casos) de mujeres. En cuanto a la distribución por roles, los estudiantes representan la mayoría de los casos 63% (363 casos), seguidos por el personal académico con un 15% (145 casos). </w:t>
      </w:r>
    </w:p>
    <w:p w14:paraId="49559A3B" w14:textId="77777777" w:rsidR="00302E63" w:rsidRDefault="00302E63" w:rsidP="00302E63">
      <w:pPr>
        <w:jc w:val="both"/>
        <w:rPr>
          <w:rFonts w:ascii="Arial" w:hAnsi="Arial" w:cs="Arial"/>
        </w:rPr>
      </w:pPr>
      <w:r>
        <w:rPr>
          <w:rFonts w:ascii="Arial" w:hAnsi="Arial" w:cs="Arial"/>
        </w:rPr>
        <w:lastRenderedPageBreak/>
        <w:t>En e</w:t>
      </w:r>
      <w:r w:rsidR="003324F6" w:rsidRPr="00302E63">
        <w:rPr>
          <w:rFonts w:ascii="Arial" w:hAnsi="Arial" w:cs="Arial"/>
        </w:rPr>
        <w:t>l 76.6% (492 casos)</w:t>
      </w:r>
      <w:r>
        <w:rPr>
          <w:rFonts w:ascii="Arial" w:hAnsi="Arial" w:cs="Arial"/>
        </w:rPr>
        <w:t xml:space="preserve"> las victimas reportaron</w:t>
      </w:r>
      <w:r w:rsidR="003324F6" w:rsidRPr="00302E63">
        <w:rPr>
          <w:rFonts w:ascii="Arial" w:hAnsi="Arial" w:cs="Arial"/>
        </w:rPr>
        <w:t xml:space="preserve"> haber sufrido de 1 a 3 violencias, mientras que </w:t>
      </w:r>
      <w:r w:rsidR="00E15A9C" w:rsidRPr="00302E63">
        <w:rPr>
          <w:rFonts w:ascii="Arial" w:hAnsi="Arial" w:cs="Arial"/>
        </w:rPr>
        <w:t xml:space="preserve">el 85.56% (492 casos) </w:t>
      </w:r>
      <w:r w:rsidR="003324F6" w:rsidRPr="00302E63">
        <w:rPr>
          <w:rFonts w:ascii="Arial" w:hAnsi="Arial" w:cs="Arial"/>
        </w:rPr>
        <w:t xml:space="preserve">declaró haber sufrido entre </w:t>
      </w:r>
      <w:r w:rsidR="00E15A9C" w:rsidRPr="00302E63">
        <w:rPr>
          <w:rFonts w:ascii="Arial" w:hAnsi="Arial" w:cs="Arial"/>
        </w:rPr>
        <w:t>1</w:t>
      </w:r>
      <w:r w:rsidR="003324F6" w:rsidRPr="00302E63">
        <w:rPr>
          <w:rFonts w:ascii="Arial" w:hAnsi="Arial" w:cs="Arial"/>
        </w:rPr>
        <w:t xml:space="preserve"> </w:t>
      </w:r>
      <w:r w:rsidR="00E15A9C" w:rsidRPr="00302E63">
        <w:rPr>
          <w:rFonts w:ascii="Arial" w:hAnsi="Arial" w:cs="Arial"/>
        </w:rPr>
        <w:t>a</w:t>
      </w:r>
      <w:r w:rsidR="003324F6" w:rsidRPr="00302E63">
        <w:rPr>
          <w:rFonts w:ascii="Arial" w:hAnsi="Arial" w:cs="Arial"/>
        </w:rPr>
        <w:t xml:space="preserve"> </w:t>
      </w:r>
      <w:r w:rsidR="00E15A9C" w:rsidRPr="00302E63">
        <w:rPr>
          <w:rFonts w:ascii="Arial" w:hAnsi="Arial" w:cs="Arial"/>
        </w:rPr>
        <w:t>4</w:t>
      </w:r>
      <w:r w:rsidR="003324F6" w:rsidRPr="00302E63">
        <w:rPr>
          <w:rFonts w:ascii="Arial" w:hAnsi="Arial" w:cs="Arial"/>
        </w:rPr>
        <w:t xml:space="preserve"> </w:t>
      </w:r>
      <w:r w:rsidR="005204F7" w:rsidRPr="00302E63">
        <w:rPr>
          <w:rFonts w:ascii="Arial" w:hAnsi="Arial" w:cs="Arial"/>
        </w:rPr>
        <w:t>violencias</w:t>
      </w:r>
      <w:r w:rsidR="003324F6" w:rsidRPr="00302E63">
        <w:rPr>
          <w:rFonts w:ascii="Arial" w:hAnsi="Arial" w:cs="Arial"/>
        </w:rPr>
        <w:t xml:space="preserve">, situación que refleja </w:t>
      </w:r>
      <w:r w:rsidR="005E0DA4" w:rsidRPr="00302E63">
        <w:rPr>
          <w:rFonts w:ascii="Arial" w:hAnsi="Arial" w:cs="Arial"/>
        </w:rPr>
        <w:t xml:space="preserve">un alarmante patrón de reincidencia y escalada de violencia. </w:t>
      </w:r>
    </w:p>
    <w:p w14:paraId="16C255EE" w14:textId="3DC07DC3" w:rsidR="00302E63" w:rsidRPr="00302E63" w:rsidRDefault="005E0DA4" w:rsidP="00302E63">
      <w:pPr>
        <w:jc w:val="both"/>
        <w:rPr>
          <w:rFonts w:ascii="Arial" w:hAnsi="Arial" w:cs="Arial"/>
        </w:rPr>
      </w:pPr>
      <w:r w:rsidRPr="00302E63">
        <w:rPr>
          <w:rFonts w:ascii="Arial" w:hAnsi="Arial" w:cs="Arial"/>
        </w:rPr>
        <w:t>Respecto a l</w:t>
      </w:r>
      <w:r w:rsidR="00302E63">
        <w:rPr>
          <w:rFonts w:ascii="Arial" w:hAnsi="Arial" w:cs="Arial"/>
          <w:lang w:val="es-MX"/>
        </w:rPr>
        <w:t>as</w:t>
      </w:r>
      <w:r w:rsidRPr="00302E63">
        <w:rPr>
          <w:rFonts w:ascii="Arial" w:hAnsi="Arial" w:cs="Arial"/>
          <w:lang w:val="es-MX"/>
        </w:rPr>
        <w:t xml:space="preserve"> relaciones entre las partes involucradas, </w:t>
      </w:r>
      <w:r w:rsidR="00E15A9C" w:rsidRPr="00302E63">
        <w:rPr>
          <w:rFonts w:ascii="Arial" w:hAnsi="Arial" w:cs="Arial"/>
        </w:rPr>
        <w:t>314 casos declararon una relación de tipo académica y 82 casos corresponden a una relación de tipo personal y académica.</w:t>
      </w:r>
      <w:r w:rsidRPr="00302E63">
        <w:rPr>
          <w:rFonts w:ascii="Arial" w:hAnsi="Arial" w:cs="Arial"/>
          <w:lang w:val="es-MX"/>
        </w:rPr>
        <w:t xml:space="preserve"> En estos ámbitos académicos, las formas de violencia más frecuentes son el acoso (74 casos) y el hostigamiento sexual (65 casos), aunque también se registraron casos de discriminación (63), violencia física (16) y sexting no consensuado (14).</w:t>
      </w:r>
      <w:r w:rsidR="00884E23" w:rsidRPr="00302E63">
        <w:rPr>
          <w:rFonts w:ascii="Arial" w:hAnsi="Arial" w:cs="Arial"/>
          <w:lang w:val="es-MX"/>
        </w:rPr>
        <w:t xml:space="preserve"> </w:t>
      </w:r>
      <w:r w:rsidR="00884E23" w:rsidRPr="00302E63">
        <w:rPr>
          <w:rStyle w:val="Refdenotaalpie"/>
          <w:rFonts w:ascii="Arial" w:hAnsi="Arial" w:cs="Arial"/>
          <w:lang w:val="es-MX"/>
        </w:rPr>
        <w:footnoteReference w:id="2"/>
      </w:r>
      <w:r w:rsidR="00302E63" w:rsidRPr="00302E63">
        <w:rPr>
          <w:rFonts w:ascii="Arial" w:hAnsi="Arial" w:cs="Arial"/>
        </w:rPr>
        <w:t xml:space="preserve"> </w:t>
      </w:r>
    </w:p>
    <w:p w14:paraId="0624AEB8" w14:textId="55F01411" w:rsidR="005E0DA4" w:rsidRPr="00302E63" w:rsidRDefault="00302E63" w:rsidP="000C2980">
      <w:pPr>
        <w:jc w:val="both"/>
        <w:rPr>
          <w:rFonts w:ascii="Arial" w:hAnsi="Arial" w:cs="Arial"/>
        </w:rPr>
      </w:pPr>
      <w:r w:rsidRPr="00302E63">
        <w:rPr>
          <w:rFonts w:ascii="Arial" w:hAnsi="Arial" w:cs="Arial"/>
        </w:rPr>
        <w:t>Finalmente, el 61.3% de los casos (353) sí se implementaron medidas precautorias para proteger a las víctimas, mientras que en el 38.7% restante (223 casos) no se aplicaron medidas precautorias.</w:t>
      </w:r>
    </w:p>
    <w:p w14:paraId="22161EF9" w14:textId="77777777" w:rsidR="00302E63" w:rsidRDefault="002120A4" w:rsidP="00302E63">
      <w:pPr>
        <w:jc w:val="both"/>
        <w:rPr>
          <w:rFonts w:ascii="Arial" w:hAnsi="Arial" w:cs="Arial"/>
        </w:rPr>
      </w:pPr>
      <w:r w:rsidRPr="00302E63">
        <w:rPr>
          <w:rFonts w:ascii="Arial" w:hAnsi="Arial" w:cs="Arial"/>
        </w:rPr>
        <w:t xml:space="preserve">Entre agosto de 2021 y diciembre de 2022, la Defensoría registró una importante demanda de atención en materia de violencia de género. </w:t>
      </w:r>
      <w:r w:rsidR="00302E63">
        <w:rPr>
          <w:rFonts w:ascii="Arial" w:hAnsi="Arial" w:cs="Arial"/>
        </w:rPr>
        <w:t xml:space="preserve">Se </w:t>
      </w:r>
      <w:r w:rsidRPr="00302E63">
        <w:rPr>
          <w:rFonts w:ascii="Arial" w:hAnsi="Arial" w:cs="Arial"/>
        </w:rPr>
        <w:t>brin</w:t>
      </w:r>
      <w:r w:rsidR="00302E63">
        <w:rPr>
          <w:rFonts w:ascii="Arial" w:hAnsi="Arial" w:cs="Arial"/>
        </w:rPr>
        <w:t>dó orientación a 2,143 personas de las cuales se procesaron</w:t>
      </w:r>
      <w:r w:rsidRPr="00302E63">
        <w:rPr>
          <w:rFonts w:ascii="Arial" w:hAnsi="Arial" w:cs="Arial"/>
        </w:rPr>
        <w:t xml:space="preserve"> 727 </w:t>
      </w:r>
      <w:r w:rsidR="00302E63">
        <w:rPr>
          <w:rFonts w:ascii="Arial" w:hAnsi="Arial" w:cs="Arial"/>
        </w:rPr>
        <w:t xml:space="preserve">quejas, en comparación con el año anterior hubo un aumento de 151 casos más. </w:t>
      </w:r>
    </w:p>
    <w:p w14:paraId="4D350A7A" w14:textId="684FB68C" w:rsidR="00884E23" w:rsidRPr="00302E63" w:rsidRDefault="00302E63" w:rsidP="00302E63">
      <w:pPr>
        <w:jc w:val="both"/>
        <w:rPr>
          <w:rFonts w:ascii="Arial" w:hAnsi="Arial" w:cs="Arial"/>
        </w:rPr>
      </w:pPr>
      <w:r>
        <w:rPr>
          <w:rFonts w:ascii="Arial" w:hAnsi="Arial" w:cs="Arial"/>
        </w:rPr>
        <w:t xml:space="preserve">Nuevamente de las quejas presentadas, en </w:t>
      </w:r>
      <w:r w:rsidR="002120A4" w:rsidRPr="00302E63">
        <w:rPr>
          <w:rFonts w:ascii="Arial" w:hAnsi="Arial" w:cs="Arial"/>
        </w:rPr>
        <w:t xml:space="preserve">el 92% de los casos (669) las personas </w:t>
      </w:r>
      <w:r w:rsidR="002120A4" w:rsidRPr="00E97F5D">
        <w:rPr>
          <w:rFonts w:ascii="Arial" w:hAnsi="Arial" w:cs="Arial"/>
          <w:lang w:val="es-MX"/>
        </w:rPr>
        <w:t>promoventes</w:t>
      </w:r>
      <w:r w:rsidR="00E97F5D">
        <w:rPr>
          <w:rFonts w:ascii="Arial" w:hAnsi="Arial" w:cs="Arial"/>
        </w:rPr>
        <w:t xml:space="preserve"> eran mujeres y en un </w:t>
      </w:r>
      <w:r w:rsidR="002120A4" w:rsidRPr="00302E63">
        <w:rPr>
          <w:rFonts w:ascii="Arial" w:hAnsi="Arial" w:cs="Arial"/>
        </w:rPr>
        <w:t>69% (501 casos</w:t>
      </w:r>
      <w:r w:rsidR="00E97F5D">
        <w:rPr>
          <w:rFonts w:ascii="Arial" w:hAnsi="Arial" w:cs="Arial"/>
        </w:rPr>
        <w:t xml:space="preserve"> eran estudiantes, </w:t>
      </w:r>
      <w:r w:rsidR="002120A4" w:rsidRPr="00302E63">
        <w:rPr>
          <w:rFonts w:ascii="Arial" w:hAnsi="Arial" w:cs="Arial"/>
        </w:rPr>
        <w:t xml:space="preserve">seguido de un 15% (110 casos) </w:t>
      </w:r>
      <w:r w:rsidR="00E97F5D">
        <w:rPr>
          <w:rFonts w:ascii="Arial" w:hAnsi="Arial" w:cs="Arial"/>
        </w:rPr>
        <w:t xml:space="preserve">quienes se identifican como </w:t>
      </w:r>
      <w:r w:rsidR="002120A4" w:rsidRPr="00302E63">
        <w:rPr>
          <w:rFonts w:ascii="Arial" w:hAnsi="Arial" w:cs="Arial"/>
        </w:rPr>
        <w:t xml:space="preserve">personal administrativo de base y </w:t>
      </w:r>
      <w:r w:rsidR="00E97F5D">
        <w:rPr>
          <w:rFonts w:ascii="Arial" w:hAnsi="Arial" w:cs="Arial"/>
        </w:rPr>
        <w:t>en un 9% (62 casos) eran académicas.</w:t>
      </w:r>
    </w:p>
    <w:p w14:paraId="49A76CC1" w14:textId="536D5B52" w:rsidR="003E2370" w:rsidRPr="00E77ABC" w:rsidRDefault="0087154B" w:rsidP="00302E63">
      <w:pPr>
        <w:jc w:val="both"/>
        <w:rPr>
          <w:rFonts w:ascii="Arial" w:hAnsi="Arial" w:cs="Arial"/>
        </w:rPr>
      </w:pPr>
      <w:r w:rsidRPr="00E77ABC">
        <w:rPr>
          <w:rFonts w:ascii="Arial" w:hAnsi="Arial" w:cs="Arial"/>
        </w:rPr>
        <w:t>De las 727 quejas, en un 89.8% (653 casos) el perfil de los agresores corresponde a hombres en su mayoría estudiantes (</w:t>
      </w:r>
      <w:r w:rsidRPr="00E77ABC">
        <w:rPr>
          <w:rFonts w:ascii="Arial" w:hAnsi="Arial" w:cs="Arial"/>
          <w:lang w:val="es-MX"/>
        </w:rPr>
        <w:t>47.8%) seguido de personal académico con un 23.8% correspondiente a 166 casos</w:t>
      </w:r>
      <w:r w:rsidR="00E77ABC" w:rsidRPr="00E77ABC">
        <w:rPr>
          <w:rFonts w:ascii="Arial" w:hAnsi="Arial" w:cs="Arial"/>
          <w:lang w:val="es-MX"/>
        </w:rPr>
        <w:t xml:space="preserve">. Y finalmente </w:t>
      </w:r>
      <w:r w:rsidR="003E2370" w:rsidRPr="00E77ABC">
        <w:rPr>
          <w:rFonts w:ascii="Arial" w:hAnsi="Arial" w:cs="Arial"/>
          <w:lang w:val="es-MX"/>
        </w:rPr>
        <w:t xml:space="preserve">los trabajadores de base </w:t>
      </w:r>
      <w:r w:rsidR="00E77ABC" w:rsidRPr="00E77ABC">
        <w:rPr>
          <w:rFonts w:ascii="Arial" w:hAnsi="Arial" w:cs="Arial"/>
          <w:lang w:val="es-MX"/>
        </w:rPr>
        <w:t xml:space="preserve">son señalados como agresores en un 16.3%, es decir </w:t>
      </w:r>
      <w:r w:rsidR="003E2370" w:rsidRPr="00E77ABC">
        <w:rPr>
          <w:rFonts w:ascii="Arial" w:hAnsi="Arial" w:cs="Arial"/>
          <w:lang w:val="es-MX"/>
        </w:rPr>
        <w:t>113 casos.</w:t>
      </w:r>
      <w:r w:rsidR="00DA656A" w:rsidRPr="00E77ABC">
        <w:rPr>
          <w:rStyle w:val="Refdenotaalpie"/>
          <w:rFonts w:ascii="Arial" w:hAnsi="Arial" w:cs="Arial"/>
          <w:lang w:val="es-MX"/>
        </w:rPr>
        <w:footnoteReference w:id="3"/>
      </w:r>
    </w:p>
    <w:p w14:paraId="0E4EC4D6" w14:textId="77777777" w:rsidR="00336713" w:rsidRPr="00336713" w:rsidRDefault="00336713" w:rsidP="00336713">
      <w:pPr>
        <w:jc w:val="both"/>
        <w:rPr>
          <w:rFonts w:ascii="Arial" w:hAnsi="Arial" w:cs="Arial"/>
          <w:lang w:val="es-MX"/>
        </w:rPr>
      </w:pPr>
      <w:r w:rsidRPr="00336713">
        <w:rPr>
          <w:rFonts w:ascii="Arial" w:hAnsi="Arial" w:cs="Arial"/>
        </w:rPr>
        <w:t xml:space="preserve">Respecto a la violencia que sufrieron, la gran mayoría de las personas afectadas 88.89%, equivalente a 647 casos reportó haber experimentado entre 1 y 3 situaciones de violencia. Este porcentaje aumenta al 93.25% (680 casos) cuando consideramos los reportes de hasta 4 agresiones. Desagregándolo respecto </w:t>
      </w:r>
      <w:r w:rsidRPr="00336713">
        <w:rPr>
          <w:rFonts w:ascii="Arial" w:hAnsi="Arial" w:cs="Arial"/>
          <w:lang w:val="es-MX"/>
        </w:rPr>
        <w:t>cómo se manifiestan las diferentes formas de violencia según el tipo de relación entre las personas involucradas, se observan que:</w:t>
      </w:r>
    </w:p>
    <w:p w14:paraId="7EE20581" w14:textId="77777777" w:rsidR="00336713" w:rsidRPr="00336713" w:rsidRDefault="00336713" w:rsidP="00336713">
      <w:pPr>
        <w:jc w:val="both"/>
        <w:rPr>
          <w:rFonts w:ascii="Arial" w:hAnsi="Arial" w:cs="Arial"/>
          <w:lang w:val="es-MX"/>
        </w:rPr>
      </w:pPr>
      <w:r w:rsidRPr="00336713">
        <w:rPr>
          <w:rFonts w:ascii="Arial" w:hAnsi="Arial" w:cs="Arial"/>
          <w:lang w:val="es-MX"/>
        </w:rPr>
        <w:t>En el contexto académico, donde se analizaron casos entre compañeros y en relaciones alumno-profesor, se documentaron 42 situaciones de discriminación, 121 de acoso en sus diversas formas, 48 de hostigamiento sexual, 17 de sexting no consentido y 21 violencia física.</w:t>
      </w:r>
    </w:p>
    <w:p w14:paraId="3FFA15CE" w14:textId="77777777" w:rsidR="00336713" w:rsidRPr="00336713" w:rsidRDefault="00336713" w:rsidP="00336713">
      <w:pPr>
        <w:jc w:val="both"/>
        <w:rPr>
          <w:rFonts w:ascii="Arial" w:hAnsi="Arial" w:cs="Arial"/>
          <w:lang w:val="es-MX"/>
        </w:rPr>
      </w:pPr>
      <w:r w:rsidRPr="00336713">
        <w:rPr>
          <w:rFonts w:ascii="Arial" w:hAnsi="Arial" w:cs="Arial"/>
          <w:lang w:val="es-MX"/>
        </w:rPr>
        <w:t>En el ámbito laboral, los reportes muestran 39 casos de discriminación, 48 de acoso, 27 de hostigamiento sexual, apenas 1 de sexting no consensuado y 11 episodios de violencia física.</w:t>
      </w:r>
    </w:p>
    <w:p w14:paraId="33896AA7" w14:textId="77777777" w:rsidR="005F18A4" w:rsidRPr="005F18A4" w:rsidRDefault="005F18A4" w:rsidP="005F18A4">
      <w:pPr>
        <w:jc w:val="both"/>
        <w:rPr>
          <w:rFonts w:ascii="Arial" w:hAnsi="Arial" w:cs="Arial"/>
          <w:lang w:val="es-MX"/>
        </w:rPr>
      </w:pPr>
      <w:r w:rsidRPr="005F18A4">
        <w:rPr>
          <w:rFonts w:ascii="Arial" w:hAnsi="Arial" w:cs="Arial"/>
          <w:lang w:val="es-MX"/>
        </w:rPr>
        <w:t xml:space="preserve">Del total de casos analizados, en el 76% (552 quejas) se implementaron medidas precautorias para proteger a las personas afectadas. Esto indica que la mayoría de los reportes activaron los mecanismos de protección disponibles, lo que refleja una respuesta </w:t>
      </w:r>
      <w:r w:rsidRPr="005F18A4">
        <w:rPr>
          <w:rFonts w:ascii="Arial" w:hAnsi="Arial" w:cs="Arial"/>
          <w:lang w:val="es-MX"/>
        </w:rPr>
        <w:lastRenderedPageBreak/>
        <w:t xml:space="preserve">institucional efectiva en la mayoría de las situaciones. Por otro lado, en el 24% de los casos (175) no se aplicaron este tipo de medidas. </w:t>
      </w:r>
    </w:p>
    <w:p w14:paraId="559E2E42" w14:textId="77777777" w:rsidR="00D7358A" w:rsidRDefault="005F18A4" w:rsidP="005F18A4">
      <w:pPr>
        <w:jc w:val="both"/>
        <w:rPr>
          <w:rFonts w:ascii="Arial" w:hAnsi="Arial" w:cs="Arial"/>
        </w:rPr>
      </w:pPr>
      <w:r w:rsidRPr="005F18A4">
        <w:rPr>
          <w:rFonts w:ascii="Arial" w:hAnsi="Arial" w:cs="Arial"/>
        </w:rPr>
        <w:t>Para el séptimo año de implementación del Protocolo para la Atención de Casos de</w:t>
      </w:r>
      <w:r>
        <w:rPr>
          <w:rFonts w:ascii="Arial" w:hAnsi="Arial" w:cs="Arial"/>
        </w:rPr>
        <w:t xml:space="preserve"> Violencia de Género en la UNAM (2023), la </w:t>
      </w:r>
      <w:r w:rsidR="00884E23" w:rsidRPr="005F18A4">
        <w:rPr>
          <w:rFonts w:ascii="Arial" w:hAnsi="Arial" w:cs="Arial"/>
        </w:rPr>
        <w:t>Defensoría orient</w:t>
      </w:r>
      <w:r>
        <w:rPr>
          <w:rFonts w:ascii="Arial" w:hAnsi="Arial" w:cs="Arial"/>
        </w:rPr>
        <w:t xml:space="preserve">ó a un total de 1,897 personas de los cuales </w:t>
      </w:r>
      <w:r w:rsidR="00884E23" w:rsidRPr="005F18A4">
        <w:rPr>
          <w:rFonts w:ascii="Arial" w:hAnsi="Arial" w:cs="Arial"/>
        </w:rPr>
        <w:t>943 casos se procesar</w:t>
      </w:r>
      <w:r>
        <w:rPr>
          <w:rFonts w:ascii="Arial" w:hAnsi="Arial" w:cs="Arial"/>
        </w:rPr>
        <w:t>on en quejas</w:t>
      </w:r>
      <w:r w:rsidR="00BB4A6C" w:rsidRPr="005F18A4">
        <w:rPr>
          <w:rStyle w:val="Refdenotaalpie"/>
          <w:rFonts w:ascii="Arial" w:hAnsi="Arial" w:cs="Arial"/>
        </w:rPr>
        <w:footnoteReference w:id="4"/>
      </w:r>
      <w:r>
        <w:rPr>
          <w:rFonts w:ascii="Arial" w:hAnsi="Arial" w:cs="Arial"/>
        </w:rPr>
        <w:t>. A comparación del año anterior aumentaron más de 200 casos y 500</w:t>
      </w:r>
      <w:r w:rsidR="00D7358A">
        <w:rPr>
          <w:rFonts w:ascii="Arial" w:hAnsi="Arial" w:cs="Arial"/>
        </w:rPr>
        <w:t xml:space="preserve"> casos en relación al primer año. </w:t>
      </w:r>
    </w:p>
    <w:p w14:paraId="4799269F" w14:textId="604B44E3" w:rsidR="00BB4A6C" w:rsidRPr="0028146B" w:rsidRDefault="00D7358A" w:rsidP="0028146B">
      <w:pPr>
        <w:jc w:val="both"/>
        <w:rPr>
          <w:rFonts w:ascii="Arial" w:hAnsi="Arial" w:cs="Arial"/>
          <w:b/>
          <w:bCs/>
        </w:rPr>
      </w:pPr>
      <w:r w:rsidRPr="0028146B">
        <w:rPr>
          <w:rFonts w:ascii="Arial" w:hAnsi="Arial" w:cs="Arial"/>
        </w:rPr>
        <w:t>Las victimas en un 92% son mujeres (872 casos) y la mayoría de ellas estudiantes (598 casos).</w:t>
      </w:r>
      <w:r w:rsidR="0028146B" w:rsidRPr="0028146B">
        <w:rPr>
          <w:rFonts w:ascii="Arial" w:hAnsi="Arial" w:cs="Arial"/>
          <w:b/>
          <w:bCs/>
        </w:rPr>
        <w:t xml:space="preserve"> </w:t>
      </w:r>
      <w:r w:rsidR="00BB4A6C" w:rsidRPr="0028146B">
        <w:rPr>
          <w:rFonts w:ascii="Arial" w:hAnsi="Arial" w:cs="Arial"/>
        </w:rPr>
        <w:t>Seguido de un 20% proveniente del personal admi</w:t>
      </w:r>
      <w:r w:rsidR="0028146B" w:rsidRPr="0028146B">
        <w:rPr>
          <w:rFonts w:ascii="Arial" w:hAnsi="Arial" w:cs="Arial"/>
        </w:rPr>
        <w:t xml:space="preserve">nistrativo de base (187 casos) y en </w:t>
      </w:r>
      <w:r w:rsidR="0028146B">
        <w:rPr>
          <w:rFonts w:ascii="Arial" w:hAnsi="Arial" w:cs="Arial"/>
        </w:rPr>
        <w:t>un 10%</w:t>
      </w:r>
      <w:r w:rsidR="0028146B" w:rsidRPr="0028146B">
        <w:rPr>
          <w:rFonts w:ascii="Arial" w:hAnsi="Arial" w:cs="Arial"/>
        </w:rPr>
        <w:t xml:space="preserve"> personal académico</w:t>
      </w:r>
      <w:r w:rsidR="00BB4A6C" w:rsidRPr="0028146B">
        <w:rPr>
          <w:rFonts w:ascii="Arial" w:hAnsi="Arial" w:cs="Arial"/>
        </w:rPr>
        <w:t xml:space="preserve"> (96 casos).</w:t>
      </w:r>
    </w:p>
    <w:p w14:paraId="5A2290E3" w14:textId="34B48D15" w:rsidR="00C72EFB" w:rsidRPr="00EB1BA9" w:rsidRDefault="00C72EFB" w:rsidP="00EB1BA9">
      <w:pPr>
        <w:jc w:val="both"/>
        <w:rPr>
          <w:rFonts w:ascii="Arial" w:hAnsi="Arial" w:cs="Arial"/>
        </w:rPr>
      </w:pPr>
      <w:r w:rsidRPr="00EB1BA9">
        <w:rPr>
          <w:rFonts w:ascii="Arial" w:hAnsi="Arial" w:cs="Arial"/>
        </w:rPr>
        <w:t>El análisis de las 943 quejas procesadas por la Defensoría</w:t>
      </w:r>
      <w:r w:rsidR="00EB1BA9">
        <w:rPr>
          <w:rFonts w:ascii="Arial" w:hAnsi="Arial" w:cs="Arial"/>
        </w:rPr>
        <w:t>,</w:t>
      </w:r>
      <w:r w:rsidRPr="00EB1BA9">
        <w:rPr>
          <w:rFonts w:ascii="Arial" w:hAnsi="Arial" w:cs="Arial"/>
        </w:rPr>
        <w:t xml:space="preserve"> permite identificar el perfil de las personas señaladas como agresoras, los varones tienen el porcentaje mayor con un 80.5% (759 casos), las mujeres corresponden al 15.16% (143 casos); 0.21%, a una persona transexual (2 casos); y, por último, no se tiene información de un 4.13% (39 casos).</w:t>
      </w:r>
      <w:r w:rsidRPr="00EB1BA9">
        <w:rPr>
          <w:rStyle w:val="Refdenotaalpie"/>
          <w:rFonts w:ascii="Arial" w:hAnsi="Arial" w:cs="Arial"/>
        </w:rPr>
        <w:footnoteReference w:id="5"/>
      </w:r>
      <w:r w:rsidRPr="00EB1BA9">
        <w:rPr>
          <w:rFonts w:ascii="Arial" w:hAnsi="Arial" w:cs="Arial"/>
        </w:rPr>
        <w:t xml:space="preserve"> En cuanto a la calidad universitaria, se tiene que más del 43% corresponde a alumnos (404</w:t>
      </w:r>
      <w:r w:rsidR="007319D8" w:rsidRPr="00EB1BA9">
        <w:rPr>
          <w:rFonts w:ascii="Arial" w:hAnsi="Arial" w:cs="Arial"/>
        </w:rPr>
        <w:t xml:space="preserve"> </w:t>
      </w:r>
      <w:r w:rsidRPr="00EB1BA9">
        <w:rPr>
          <w:rFonts w:ascii="Arial" w:hAnsi="Arial" w:cs="Arial"/>
        </w:rPr>
        <w:t>casos) y el 23% corresponde a académicos (220</w:t>
      </w:r>
      <w:r w:rsidR="002F73C6" w:rsidRPr="00EB1BA9">
        <w:rPr>
          <w:rFonts w:ascii="Arial" w:hAnsi="Arial" w:cs="Arial"/>
        </w:rPr>
        <w:t xml:space="preserve"> </w:t>
      </w:r>
      <w:r w:rsidRPr="00EB1BA9">
        <w:rPr>
          <w:rFonts w:ascii="Arial" w:hAnsi="Arial" w:cs="Arial"/>
        </w:rPr>
        <w:t>casos).</w:t>
      </w:r>
    </w:p>
    <w:p w14:paraId="6D66AE7C" w14:textId="1E555059" w:rsidR="002F73C6" w:rsidRPr="00EB1BA9" w:rsidRDefault="002F73C6" w:rsidP="00EB1BA9">
      <w:pPr>
        <w:jc w:val="both"/>
        <w:rPr>
          <w:rFonts w:ascii="Arial" w:hAnsi="Arial" w:cs="Arial"/>
        </w:rPr>
      </w:pPr>
      <w:r w:rsidRPr="00EB1BA9">
        <w:rPr>
          <w:rFonts w:ascii="Arial" w:hAnsi="Arial" w:cs="Arial"/>
        </w:rPr>
        <w:t xml:space="preserve">Como en los informes anteriores, </w:t>
      </w:r>
      <w:r w:rsidR="00962A49" w:rsidRPr="00EB1BA9">
        <w:rPr>
          <w:rFonts w:ascii="Arial" w:hAnsi="Arial" w:cs="Arial"/>
        </w:rPr>
        <w:t>las relaciones académicas constituyen el principal escenario de conflictos, rep</w:t>
      </w:r>
      <w:r w:rsidR="00EB1BA9" w:rsidRPr="00EB1BA9">
        <w:rPr>
          <w:rFonts w:ascii="Arial" w:hAnsi="Arial" w:cs="Arial"/>
        </w:rPr>
        <w:t xml:space="preserve">resentando 380 de los 943 casos. </w:t>
      </w:r>
      <w:r w:rsidR="00962A49" w:rsidRPr="00EB1BA9">
        <w:rPr>
          <w:rFonts w:ascii="Arial" w:hAnsi="Arial" w:cs="Arial"/>
        </w:rPr>
        <w:t xml:space="preserve">Dentro de este ámbito, las situaciones entre compañeros son las más frecuentes, 66.05% (251 casos), seguidas por las relaciones alumna-profesor, 27.89% (106 casos) y, en menor medida, profesora-alumno 4.21% (16 casos). </w:t>
      </w:r>
    </w:p>
    <w:p w14:paraId="1586A197" w14:textId="3CB6B15E" w:rsidR="00962A49" w:rsidRPr="00D21A02" w:rsidRDefault="00C64F07" w:rsidP="00EB1BA9">
      <w:pPr>
        <w:jc w:val="both"/>
        <w:rPr>
          <w:rFonts w:ascii="Arial" w:hAnsi="Arial" w:cs="Arial"/>
        </w:rPr>
      </w:pPr>
      <w:r w:rsidRPr="00EB1BA9">
        <w:rPr>
          <w:rFonts w:ascii="Arial" w:hAnsi="Arial" w:cs="Arial"/>
        </w:rPr>
        <w:t xml:space="preserve">En cuanto a situaciones de violencia, </w:t>
      </w:r>
      <w:r w:rsidR="00962A49" w:rsidRPr="00EB1BA9">
        <w:rPr>
          <w:rFonts w:ascii="Arial" w:hAnsi="Arial" w:cs="Arial"/>
        </w:rPr>
        <w:t xml:space="preserve">la mayoría de las personas afectadas reportaron haber experimentado entre 1 y 4 situaciones de violencia, representando el 82% del total de casos (775 personas). Un porcentaje menor, corresponde a quienes sufrieron entre 5 y 8 agresiones (5.19%, equivalente a 51 casos). En una proporción mínima pero </w:t>
      </w:r>
      <w:r w:rsidR="00962A49" w:rsidRPr="00D21A02">
        <w:rPr>
          <w:rFonts w:ascii="Arial" w:hAnsi="Arial" w:cs="Arial"/>
        </w:rPr>
        <w:t xml:space="preserve">particularmente grave, se registró un caso (0.10%) donde la persona declaró haber enfrentado hasta 9 situaciones </w:t>
      </w:r>
      <w:r w:rsidRPr="00D21A02">
        <w:rPr>
          <w:rFonts w:ascii="Arial" w:hAnsi="Arial" w:cs="Arial"/>
        </w:rPr>
        <w:t>de violencia</w:t>
      </w:r>
      <w:r w:rsidR="00962A49" w:rsidRPr="00D21A02">
        <w:rPr>
          <w:rFonts w:ascii="Arial" w:hAnsi="Arial" w:cs="Arial"/>
        </w:rPr>
        <w:t>. </w:t>
      </w:r>
    </w:p>
    <w:p w14:paraId="593D4DE5" w14:textId="3F5780D3" w:rsidR="00C64F07" w:rsidRPr="00D21A02" w:rsidRDefault="00D21A02" w:rsidP="00C64F07">
      <w:pPr>
        <w:rPr>
          <w:rFonts w:ascii="Arial" w:hAnsi="Arial" w:cs="Arial"/>
          <w:lang w:val="es-MX"/>
        </w:rPr>
      </w:pPr>
      <w:r w:rsidRPr="00D21A02">
        <w:rPr>
          <w:rFonts w:ascii="Arial" w:hAnsi="Arial" w:cs="Arial"/>
          <w:lang w:val="es-MX"/>
        </w:rPr>
        <w:t xml:space="preserve">Entre los tipos de violencia reportados destacan: </w:t>
      </w:r>
      <w:r w:rsidR="00C64F07" w:rsidRPr="00D21A02">
        <w:rPr>
          <w:rFonts w:ascii="Arial" w:hAnsi="Arial" w:cs="Arial"/>
          <w:lang w:val="es-MX"/>
        </w:rPr>
        <w:t>1</w:t>
      </w:r>
      <w:r w:rsidRPr="00D21A02">
        <w:rPr>
          <w:rFonts w:ascii="Arial" w:hAnsi="Arial" w:cs="Arial"/>
          <w:lang w:val="es-MX"/>
        </w:rPr>
        <w:t xml:space="preserve">50 quejas </w:t>
      </w:r>
      <w:r w:rsidR="00C64F07" w:rsidRPr="00D21A02">
        <w:rPr>
          <w:rFonts w:ascii="Arial" w:hAnsi="Arial" w:cs="Arial"/>
          <w:lang w:val="es-MX"/>
        </w:rPr>
        <w:t xml:space="preserve">por acoso, </w:t>
      </w:r>
      <w:r w:rsidRPr="00D21A02">
        <w:rPr>
          <w:rFonts w:ascii="Arial" w:hAnsi="Arial" w:cs="Arial"/>
          <w:lang w:val="es-MX"/>
        </w:rPr>
        <w:t xml:space="preserve">53 por discriminación, 30 de violencia física, 31 quejas por </w:t>
      </w:r>
      <w:r w:rsidR="00C64F07" w:rsidRPr="00D21A02">
        <w:rPr>
          <w:rFonts w:ascii="Arial" w:hAnsi="Arial" w:cs="Arial"/>
          <w:lang w:val="es-MX"/>
        </w:rPr>
        <w:t>hostigamiento sexual</w:t>
      </w:r>
      <w:r w:rsidRPr="00D21A02">
        <w:rPr>
          <w:rFonts w:ascii="Arial" w:hAnsi="Arial" w:cs="Arial"/>
          <w:lang w:val="es-MX"/>
        </w:rPr>
        <w:t xml:space="preserve"> y 6 por sexting no consensuado.</w:t>
      </w:r>
    </w:p>
    <w:p w14:paraId="40736541" w14:textId="10E50F74" w:rsidR="00C64F07" w:rsidRPr="00D21A02" w:rsidRDefault="00C64F07" w:rsidP="00D21A02">
      <w:pPr>
        <w:jc w:val="both"/>
        <w:rPr>
          <w:rFonts w:ascii="Arial" w:hAnsi="Arial" w:cs="Arial"/>
          <w:lang w:val="es-MX"/>
        </w:rPr>
      </w:pPr>
      <w:r w:rsidRPr="00D21A02">
        <w:rPr>
          <w:rFonts w:ascii="Arial" w:hAnsi="Arial" w:cs="Arial"/>
          <w:lang w:val="es-MX"/>
        </w:rPr>
        <w:t xml:space="preserve">En el entorno laboral, el acoso vuelve a ser la principal manifestación de violencia (41 casos), seguido de cerca por la discriminación (32 casos). El hostigamiento sexual se registró en 18 casos, la violencia física en 7, y el sexting no consensuado en 1 caso. </w:t>
      </w:r>
    </w:p>
    <w:p w14:paraId="07456D42" w14:textId="454E536F" w:rsidR="00C64F07" w:rsidRDefault="00C64F07" w:rsidP="00D21A02">
      <w:pPr>
        <w:jc w:val="both"/>
        <w:rPr>
          <w:rFonts w:ascii="Arial" w:hAnsi="Arial" w:cs="Arial"/>
          <w:lang w:val="es-MX"/>
        </w:rPr>
      </w:pPr>
      <w:r w:rsidRPr="00D21A02">
        <w:rPr>
          <w:rFonts w:ascii="Arial" w:hAnsi="Arial" w:cs="Arial"/>
          <w:lang w:val="es-MX"/>
        </w:rPr>
        <w:t xml:space="preserve">Ante los casos recibidos, el 51.33% de los casos (484) se implementaron medidas precautorias para proteger a las personas afectadas. Esto indica que, en poco más de la mitad de las situaciones, se activaron los protocolos de protección correspondientes. Por otro lado, en el 48.67% restante (459 casos), no se aplicaron este tipo de medidas. Esta cifra, cercana a la mitad de los reportes, sugiere que existe un margen importante para mejorar los mecanismos de atención, ya sea por falta de elementos suficientes para </w:t>
      </w:r>
      <w:r w:rsidRPr="00D21A02">
        <w:rPr>
          <w:rFonts w:ascii="Arial" w:hAnsi="Arial" w:cs="Arial"/>
          <w:lang w:val="es-MX"/>
        </w:rPr>
        <w:lastRenderedPageBreak/>
        <w:t>justificar la medida, por la naturaleza de las denuncias o por posibles limitaciones en los procesos de evaluación.</w:t>
      </w:r>
    </w:p>
    <w:p w14:paraId="785B5A43" w14:textId="77777777" w:rsidR="002764D3" w:rsidRDefault="002764D3" w:rsidP="00D21A02">
      <w:pPr>
        <w:jc w:val="both"/>
        <w:rPr>
          <w:rFonts w:ascii="Arial" w:hAnsi="Arial" w:cs="Arial"/>
          <w:lang w:val="es-MX"/>
        </w:rPr>
      </w:pPr>
    </w:p>
    <w:p w14:paraId="49B6A471" w14:textId="7909FADB" w:rsidR="00BE3350" w:rsidRPr="002764D3" w:rsidRDefault="002764D3" w:rsidP="002764D3">
      <w:pPr>
        <w:ind w:firstLine="708"/>
        <w:jc w:val="both"/>
        <w:rPr>
          <w:rFonts w:ascii="Arial" w:hAnsi="Arial" w:cs="Arial"/>
          <w:b/>
          <w:bCs/>
          <w:lang w:val="es-MX"/>
        </w:rPr>
      </w:pPr>
      <w:r w:rsidRPr="002764D3">
        <w:rPr>
          <w:rFonts w:ascii="Arial" w:hAnsi="Arial" w:cs="Arial"/>
          <w:b/>
          <w:bCs/>
          <w:lang w:val="es-MX"/>
        </w:rPr>
        <w:t>CASOS Y MODALIDADES DE VIOLENCIA DE GÉNERO EN LA UNAM</w:t>
      </w:r>
    </w:p>
    <w:tbl>
      <w:tblPr>
        <w:tblStyle w:val="Tablaconcuadrcula"/>
        <w:tblW w:w="10348" w:type="dxa"/>
        <w:tblInd w:w="-714" w:type="dxa"/>
        <w:tblLook w:val="04A0" w:firstRow="1" w:lastRow="0" w:firstColumn="1" w:lastColumn="0" w:noHBand="0" w:noVBand="1"/>
      </w:tblPr>
      <w:tblGrid>
        <w:gridCol w:w="3340"/>
        <w:gridCol w:w="2069"/>
        <w:gridCol w:w="2069"/>
        <w:gridCol w:w="2870"/>
      </w:tblGrid>
      <w:tr w:rsidR="00A35DE3" w14:paraId="43E9AE3E" w14:textId="77777777" w:rsidTr="00336713">
        <w:trPr>
          <w:trHeight w:val="432"/>
        </w:trPr>
        <w:tc>
          <w:tcPr>
            <w:tcW w:w="3340" w:type="dxa"/>
            <w:shd w:val="clear" w:color="auto" w:fill="C1E4F5" w:themeFill="accent1" w:themeFillTint="33"/>
          </w:tcPr>
          <w:p w14:paraId="7C3AE550" w14:textId="13944FB1" w:rsidR="00A35DE3" w:rsidRDefault="00A35DE3" w:rsidP="00A35DE3">
            <w:pPr>
              <w:jc w:val="center"/>
              <w:rPr>
                <w:b/>
                <w:bCs/>
                <w:lang w:val="es-MX"/>
              </w:rPr>
            </w:pPr>
            <w:r>
              <w:rPr>
                <w:b/>
                <w:bCs/>
                <w:lang w:val="es-MX"/>
              </w:rPr>
              <w:t>CONCEPTO</w:t>
            </w:r>
          </w:p>
        </w:tc>
        <w:tc>
          <w:tcPr>
            <w:tcW w:w="2069" w:type="dxa"/>
            <w:shd w:val="clear" w:color="auto" w:fill="C1E4F5" w:themeFill="accent1" w:themeFillTint="33"/>
          </w:tcPr>
          <w:p w14:paraId="7A7C2DF6" w14:textId="7D8F5D96" w:rsidR="00A35DE3" w:rsidRDefault="00A35DE3" w:rsidP="00A35DE3">
            <w:pPr>
              <w:jc w:val="center"/>
              <w:rPr>
                <w:b/>
                <w:bCs/>
                <w:lang w:val="es-MX"/>
              </w:rPr>
            </w:pPr>
            <w:r>
              <w:rPr>
                <w:b/>
                <w:bCs/>
                <w:lang w:val="es-MX"/>
              </w:rPr>
              <w:t>2020-2021</w:t>
            </w:r>
          </w:p>
        </w:tc>
        <w:tc>
          <w:tcPr>
            <w:tcW w:w="2069" w:type="dxa"/>
            <w:shd w:val="clear" w:color="auto" w:fill="C1E4F5" w:themeFill="accent1" w:themeFillTint="33"/>
          </w:tcPr>
          <w:p w14:paraId="08FC38F9" w14:textId="608DA9E5" w:rsidR="00A35DE3" w:rsidRDefault="00A35DE3" w:rsidP="00A35DE3">
            <w:pPr>
              <w:jc w:val="center"/>
              <w:rPr>
                <w:b/>
                <w:bCs/>
                <w:lang w:val="es-MX"/>
              </w:rPr>
            </w:pPr>
            <w:r>
              <w:rPr>
                <w:b/>
                <w:bCs/>
                <w:lang w:val="es-MX"/>
              </w:rPr>
              <w:t>2021-2022</w:t>
            </w:r>
          </w:p>
        </w:tc>
        <w:tc>
          <w:tcPr>
            <w:tcW w:w="2870" w:type="dxa"/>
            <w:shd w:val="clear" w:color="auto" w:fill="C1E4F5" w:themeFill="accent1" w:themeFillTint="33"/>
          </w:tcPr>
          <w:p w14:paraId="4F224CA6" w14:textId="73F89A5F" w:rsidR="00A35DE3" w:rsidRDefault="00A35DE3" w:rsidP="00A35DE3">
            <w:pPr>
              <w:jc w:val="center"/>
              <w:rPr>
                <w:b/>
                <w:bCs/>
                <w:lang w:val="es-MX"/>
              </w:rPr>
            </w:pPr>
            <w:r>
              <w:rPr>
                <w:b/>
                <w:bCs/>
                <w:lang w:val="es-MX"/>
              </w:rPr>
              <w:t>2023</w:t>
            </w:r>
          </w:p>
        </w:tc>
      </w:tr>
      <w:tr w:rsidR="00A35DE3" w14:paraId="3DA8A302" w14:textId="77777777" w:rsidTr="00336713">
        <w:trPr>
          <w:trHeight w:val="267"/>
        </w:trPr>
        <w:tc>
          <w:tcPr>
            <w:tcW w:w="3340" w:type="dxa"/>
            <w:vAlign w:val="center"/>
          </w:tcPr>
          <w:p w14:paraId="76CE6347" w14:textId="4E8A1D31" w:rsidR="00A35DE3" w:rsidRPr="00D7358A" w:rsidRDefault="00A35DE3" w:rsidP="00A35DE3">
            <w:pPr>
              <w:rPr>
                <w:b/>
                <w:bCs/>
                <w:sz w:val="20"/>
                <w:szCs w:val="20"/>
                <w:lang w:val="es-MX"/>
              </w:rPr>
            </w:pPr>
            <w:r w:rsidRPr="00D7358A">
              <w:rPr>
                <w:rFonts w:ascii="Segoe UI" w:eastAsia="Times New Roman" w:hAnsi="Segoe UI" w:cs="Segoe UI"/>
                <w:b/>
                <w:bCs/>
                <w:kern w:val="0"/>
                <w:sz w:val="20"/>
                <w:szCs w:val="20"/>
                <w:lang w:val="es-MX"/>
                <w14:ligatures w14:val="none"/>
              </w:rPr>
              <w:t>Total de quejas</w:t>
            </w:r>
          </w:p>
        </w:tc>
        <w:tc>
          <w:tcPr>
            <w:tcW w:w="2069" w:type="dxa"/>
          </w:tcPr>
          <w:p w14:paraId="66C38411" w14:textId="243F90E0" w:rsidR="00A35DE3" w:rsidRDefault="006F1035" w:rsidP="00A35DE3">
            <w:pPr>
              <w:rPr>
                <w:b/>
                <w:bCs/>
                <w:lang w:val="es-MX"/>
              </w:rPr>
            </w:pPr>
            <w:r>
              <w:rPr>
                <w:b/>
                <w:bCs/>
                <w:lang w:val="es-MX"/>
              </w:rPr>
              <w:t>576</w:t>
            </w:r>
          </w:p>
        </w:tc>
        <w:tc>
          <w:tcPr>
            <w:tcW w:w="2069" w:type="dxa"/>
          </w:tcPr>
          <w:p w14:paraId="75AE61F4" w14:textId="4867E98E" w:rsidR="00A35DE3" w:rsidRDefault="006F1035" w:rsidP="00A35DE3">
            <w:pPr>
              <w:rPr>
                <w:b/>
                <w:bCs/>
                <w:lang w:val="es-MX"/>
              </w:rPr>
            </w:pPr>
            <w:r>
              <w:rPr>
                <w:b/>
                <w:bCs/>
                <w:lang w:val="es-MX"/>
              </w:rPr>
              <w:t>727</w:t>
            </w:r>
          </w:p>
        </w:tc>
        <w:tc>
          <w:tcPr>
            <w:tcW w:w="2870" w:type="dxa"/>
          </w:tcPr>
          <w:p w14:paraId="3DF0CF6B" w14:textId="66E04DEA" w:rsidR="00A35DE3" w:rsidRDefault="006F1035" w:rsidP="00A35DE3">
            <w:pPr>
              <w:rPr>
                <w:b/>
                <w:bCs/>
                <w:lang w:val="es-MX"/>
              </w:rPr>
            </w:pPr>
            <w:r>
              <w:rPr>
                <w:b/>
                <w:bCs/>
                <w:lang w:val="es-MX"/>
              </w:rPr>
              <w:t>943</w:t>
            </w:r>
          </w:p>
        </w:tc>
      </w:tr>
      <w:tr w:rsidR="00A35DE3" w14:paraId="2D3700FC" w14:textId="77777777" w:rsidTr="00336713">
        <w:trPr>
          <w:trHeight w:val="257"/>
        </w:trPr>
        <w:tc>
          <w:tcPr>
            <w:tcW w:w="3340" w:type="dxa"/>
            <w:vAlign w:val="center"/>
          </w:tcPr>
          <w:p w14:paraId="09826596" w14:textId="4E081AA7" w:rsidR="00A35DE3" w:rsidRPr="00D7358A" w:rsidRDefault="006F1035" w:rsidP="00A35DE3">
            <w:pPr>
              <w:rPr>
                <w:b/>
                <w:bCs/>
                <w:sz w:val="20"/>
                <w:szCs w:val="20"/>
                <w:lang w:val="es-MX"/>
              </w:rPr>
            </w:pPr>
            <w:r w:rsidRPr="00D7358A">
              <w:rPr>
                <w:rFonts w:ascii="Segoe UI" w:eastAsia="Times New Roman" w:hAnsi="Segoe UI" w:cs="Segoe UI"/>
                <w:b/>
                <w:bCs/>
                <w:kern w:val="0"/>
                <w:sz w:val="20"/>
                <w:szCs w:val="20"/>
                <w:lang w:val="es-MX"/>
                <w14:ligatures w14:val="none"/>
              </w:rPr>
              <w:t>% A</w:t>
            </w:r>
            <w:r w:rsidR="00A35DE3" w:rsidRPr="00D7358A">
              <w:rPr>
                <w:rFonts w:ascii="Segoe UI" w:eastAsia="Times New Roman" w:hAnsi="Segoe UI" w:cs="Segoe UI"/>
                <w:b/>
                <w:bCs/>
                <w:kern w:val="0"/>
                <w:sz w:val="20"/>
                <w:szCs w:val="20"/>
                <w:lang w:val="es-MX"/>
                <w14:ligatures w14:val="none"/>
              </w:rPr>
              <w:t>gresores</w:t>
            </w:r>
          </w:p>
        </w:tc>
        <w:tc>
          <w:tcPr>
            <w:tcW w:w="2069" w:type="dxa"/>
          </w:tcPr>
          <w:p w14:paraId="6A7FE782" w14:textId="27F3477F" w:rsidR="00A35DE3" w:rsidRDefault="006F1035" w:rsidP="00A35DE3">
            <w:pPr>
              <w:rPr>
                <w:b/>
                <w:bCs/>
                <w:lang w:val="es-MX"/>
              </w:rPr>
            </w:pPr>
            <w:r w:rsidRPr="005204F7">
              <w:t>92.7% (534 casos) hombres</w:t>
            </w:r>
          </w:p>
        </w:tc>
        <w:tc>
          <w:tcPr>
            <w:tcW w:w="2069" w:type="dxa"/>
          </w:tcPr>
          <w:p w14:paraId="47E15306" w14:textId="1DCAD6A7" w:rsidR="00A35DE3" w:rsidRDefault="00677A59" w:rsidP="00A35DE3">
            <w:pPr>
              <w:rPr>
                <w:b/>
                <w:bCs/>
                <w:lang w:val="es-MX"/>
              </w:rPr>
            </w:pPr>
            <w:r w:rsidRPr="003E2370">
              <w:t>89.8% (653 casos)</w:t>
            </w:r>
            <w:r>
              <w:t xml:space="preserve"> </w:t>
            </w:r>
            <w:r w:rsidRPr="003E2370">
              <w:t>hombres</w:t>
            </w:r>
            <w:r w:rsidRPr="003E2370">
              <w:rPr>
                <w:lang w:val="es-MX"/>
              </w:rPr>
              <w:t xml:space="preserve"> </w:t>
            </w:r>
          </w:p>
        </w:tc>
        <w:tc>
          <w:tcPr>
            <w:tcW w:w="2870" w:type="dxa"/>
          </w:tcPr>
          <w:p w14:paraId="2A3ADD21" w14:textId="2E5F92B6" w:rsidR="00A35DE3" w:rsidRDefault="007319D8" w:rsidP="00A35DE3">
            <w:pPr>
              <w:rPr>
                <w:b/>
                <w:bCs/>
                <w:lang w:val="es-MX"/>
              </w:rPr>
            </w:pPr>
            <w:r w:rsidRPr="00A35DE3">
              <w:t>80.5% (759 casos)</w:t>
            </w:r>
            <w:r>
              <w:t xml:space="preserve"> hombres</w:t>
            </w:r>
          </w:p>
        </w:tc>
      </w:tr>
      <w:tr w:rsidR="00A35DE3" w14:paraId="6D50FEC6" w14:textId="77777777" w:rsidTr="00336713">
        <w:trPr>
          <w:trHeight w:val="267"/>
        </w:trPr>
        <w:tc>
          <w:tcPr>
            <w:tcW w:w="3340" w:type="dxa"/>
            <w:vAlign w:val="center"/>
          </w:tcPr>
          <w:p w14:paraId="322D9359" w14:textId="1FCDA0D8" w:rsidR="00A35DE3" w:rsidRPr="00D7358A" w:rsidRDefault="00A35DE3" w:rsidP="00A35DE3">
            <w:pPr>
              <w:rPr>
                <w:b/>
                <w:bCs/>
                <w:sz w:val="20"/>
                <w:szCs w:val="20"/>
                <w:lang w:val="es-MX"/>
              </w:rPr>
            </w:pPr>
            <w:r w:rsidRPr="00D7358A">
              <w:rPr>
                <w:rFonts w:ascii="Segoe UI" w:eastAsia="Times New Roman" w:hAnsi="Segoe UI" w:cs="Segoe UI"/>
                <w:b/>
                <w:bCs/>
                <w:kern w:val="0"/>
                <w:sz w:val="20"/>
                <w:szCs w:val="20"/>
                <w:lang w:val="es-MX"/>
                <w14:ligatures w14:val="none"/>
              </w:rPr>
              <w:t>Adscripción UNAM víctimas</w:t>
            </w:r>
          </w:p>
        </w:tc>
        <w:tc>
          <w:tcPr>
            <w:tcW w:w="2069" w:type="dxa"/>
          </w:tcPr>
          <w:p w14:paraId="197A81F8" w14:textId="60D31B4A" w:rsidR="00A35DE3" w:rsidRPr="006F1035" w:rsidRDefault="006F1035" w:rsidP="00A35DE3">
            <w:r>
              <w:t>85% (488 casos) estudiante</w:t>
            </w:r>
          </w:p>
        </w:tc>
        <w:tc>
          <w:tcPr>
            <w:tcW w:w="2069" w:type="dxa"/>
          </w:tcPr>
          <w:p w14:paraId="0BD8C942" w14:textId="3D4D7D77" w:rsidR="00A35DE3" w:rsidRDefault="00677A59" w:rsidP="00A35DE3">
            <w:pPr>
              <w:rPr>
                <w:b/>
                <w:bCs/>
                <w:lang w:val="es-MX"/>
              </w:rPr>
            </w:pPr>
            <w:r>
              <w:t xml:space="preserve">69% (501 casos) estudiante </w:t>
            </w:r>
          </w:p>
        </w:tc>
        <w:tc>
          <w:tcPr>
            <w:tcW w:w="2870" w:type="dxa"/>
          </w:tcPr>
          <w:p w14:paraId="16ADAB5E" w14:textId="36CBEEA5" w:rsidR="00A35DE3" w:rsidRDefault="00677A59" w:rsidP="00A35DE3">
            <w:pPr>
              <w:rPr>
                <w:b/>
                <w:bCs/>
                <w:lang w:val="es-MX"/>
              </w:rPr>
            </w:pPr>
            <w:r w:rsidRPr="00A35DE3">
              <w:t>63% (598 casos)</w:t>
            </w:r>
            <w:r>
              <w:t xml:space="preserve"> </w:t>
            </w:r>
            <w:r w:rsidRPr="00A35DE3">
              <w:t>estudiante</w:t>
            </w:r>
          </w:p>
        </w:tc>
      </w:tr>
      <w:tr w:rsidR="00A35DE3" w14:paraId="12967A02" w14:textId="77777777" w:rsidTr="00336713">
        <w:trPr>
          <w:trHeight w:val="267"/>
        </w:trPr>
        <w:tc>
          <w:tcPr>
            <w:tcW w:w="3340" w:type="dxa"/>
            <w:vAlign w:val="center"/>
          </w:tcPr>
          <w:p w14:paraId="574AEE4F" w14:textId="17B4EAB5" w:rsidR="00A35DE3" w:rsidRPr="00D7358A" w:rsidRDefault="00A35DE3" w:rsidP="00A35DE3">
            <w:pPr>
              <w:rPr>
                <w:b/>
                <w:bCs/>
                <w:sz w:val="20"/>
                <w:szCs w:val="20"/>
                <w:lang w:val="es-MX"/>
              </w:rPr>
            </w:pPr>
            <w:r w:rsidRPr="00D7358A">
              <w:rPr>
                <w:rFonts w:ascii="Segoe UI" w:eastAsia="Times New Roman" w:hAnsi="Segoe UI" w:cs="Segoe UI"/>
                <w:b/>
                <w:bCs/>
                <w:kern w:val="0"/>
                <w:sz w:val="20"/>
                <w:szCs w:val="20"/>
                <w:lang w:val="es-MX"/>
                <w14:ligatures w14:val="none"/>
              </w:rPr>
              <w:t>Adscripción UNAM agresores</w:t>
            </w:r>
          </w:p>
        </w:tc>
        <w:tc>
          <w:tcPr>
            <w:tcW w:w="2069" w:type="dxa"/>
          </w:tcPr>
          <w:p w14:paraId="70A53A9E" w14:textId="6C1E3271" w:rsidR="00A35DE3" w:rsidRDefault="00677A59" w:rsidP="00A35DE3">
            <w:pPr>
              <w:rPr>
                <w:b/>
                <w:bCs/>
                <w:lang w:val="es-MX"/>
              </w:rPr>
            </w:pPr>
            <w:r>
              <w:t>Alumnos</w:t>
            </w:r>
            <w:r w:rsidR="006F1035" w:rsidRPr="005E0DA4">
              <w:t xml:space="preserve"> 63% </w:t>
            </w:r>
            <w:r w:rsidR="006F1035">
              <w:t>(</w:t>
            </w:r>
            <w:r w:rsidR="006F1035" w:rsidRPr="005E0DA4">
              <w:t>363 casos)</w:t>
            </w:r>
          </w:p>
        </w:tc>
        <w:tc>
          <w:tcPr>
            <w:tcW w:w="2069" w:type="dxa"/>
          </w:tcPr>
          <w:p w14:paraId="0DC6AB26" w14:textId="0697C3CC" w:rsidR="00A35DE3" w:rsidRDefault="00677A59" w:rsidP="00A35DE3">
            <w:pPr>
              <w:rPr>
                <w:b/>
                <w:bCs/>
                <w:lang w:val="es-MX"/>
              </w:rPr>
            </w:pPr>
            <w:r>
              <w:rPr>
                <w:lang w:val="es-MX"/>
              </w:rPr>
              <w:t>A</w:t>
            </w:r>
            <w:r w:rsidRPr="003E2370">
              <w:rPr>
                <w:lang w:val="es-MX"/>
              </w:rPr>
              <w:t xml:space="preserve">lumnos 47.8% </w:t>
            </w:r>
            <w:r>
              <w:rPr>
                <w:lang w:val="es-MX"/>
              </w:rPr>
              <w:t>(</w:t>
            </w:r>
            <w:r w:rsidRPr="003E2370">
              <w:rPr>
                <w:lang w:val="es-MX"/>
              </w:rPr>
              <w:t>348 casos</w:t>
            </w:r>
            <w:r>
              <w:rPr>
                <w:lang w:val="es-MX"/>
              </w:rPr>
              <w:t>)</w:t>
            </w:r>
          </w:p>
        </w:tc>
        <w:tc>
          <w:tcPr>
            <w:tcW w:w="2870" w:type="dxa"/>
          </w:tcPr>
          <w:p w14:paraId="19A08C13" w14:textId="7A255E18" w:rsidR="00A35DE3" w:rsidRDefault="007319D8" w:rsidP="00A35DE3">
            <w:pPr>
              <w:rPr>
                <w:b/>
                <w:bCs/>
                <w:lang w:val="es-MX"/>
              </w:rPr>
            </w:pPr>
            <w:r>
              <w:t xml:space="preserve">Alumnos </w:t>
            </w:r>
            <w:r w:rsidRPr="00A35DE3">
              <w:t>43% (404</w:t>
            </w:r>
            <w:r>
              <w:t xml:space="preserve"> </w:t>
            </w:r>
            <w:r w:rsidRPr="00A35DE3">
              <w:t>casos)</w:t>
            </w:r>
          </w:p>
        </w:tc>
      </w:tr>
      <w:tr w:rsidR="00A35DE3" w14:paraId="72D3DC71" w14:textId="77777777" w:rsidTr="00336713">
        <w:trPr>
          <w:trHeight w:val="267"/>
        </w:trPr>
        <w:tc>
          <w:tcPr>
            <w:tcW w:w="3340" w:type="dxa"/>
            <w:vAlign w:val="center"/>
          </w:tcPr>
          <w:p w14:paraId="35B5D7C1" w14:textId="34557AB6" w:rsidR="00A35DE3" w:rsidRPr="00D7358A" w:rsidRDefault="00A35DE3" w:rsidP="00A35DE3">
            <w:pPr>
              <w:rPr>
                <w:b/>
                <w:bCs/>
                <w:sz w:val="20"/>
                <w:szCs w:val="20"/>
                <w:lang w:val="es-MX"/>
              </w:rPr>
            </w:pPr>
            <w:r w:rsidRPr="00D7358A">
              <w:rPr>
                <w:rFonts w:ascii="Segoe UI" w:eastAsia="Times New Roman" w:hAnsi="Segoe UI" w:cs="Segoe UI"/>
                <w:b/>
                <w:bCs/>
                <w:kern w:val="0"/>
                <w:sz w:val="20"/>
                <w:szCs w:val="20"/>
                <w:lang w:val="es-MX"/>
                <w14:ligatures w14:val="none"/>
              </w:rPr>
              <w:t>Violencia preponderante</w:t>
            </w:r>
          </w:p>
        </w:tc>
        <w:tc>
          <w:tcPr>
            <w:tcW w:w="2069" w:type="dxa"/>
          </w:tcPr>
          <w:p w14:paraId="1C22E0F4" w14:textId="61ADB95C" w:rsidR="00A35DE3" w:rsidRDefault="00677A59" w:rsidP="00A35DE3">
            <w:pPr>
              <w:rPr>
                <w:b/>
                <w:bCs/>
                <w:lang w:val="es-MX"/>
              </w:rPr>
            </w:pPr>
            <w:r>
              <w:rPr>
                <w:b/>
                <w:bCs/>
                <w:lang w:val="es-MX"/>
              </w:rPr>
              <w:t>Acoso y violencia física</w:t>
            </w:r>
          </w:p>
        </w:tc>
        <w:tc>
          <w:tcPr>
            <w:tcW w:w="2069" w:type="dxa"/>
          </w:tcPr>
          <w:p w14:paraId="011CC251" w14:textId="2FAA8389" w:rsidR="00A35DE3" w:rsidRDefault="00677A59" w:rsidP="00A35DE3">
            <w:pPr>
              <w:rPr>
                <w:b/>
                <w:bCs/>
                <w:lang w:val="es-MX"/>
              </w:rPr>
            </w:pPr>
            <w:r>
              <w:rPr>
                <w:b/>
                <w:bCs/>
                <w:lang w:val="es-MX"/>
              </w:rPr>
              <w:t>Acoso</w:t>
            </w:r>
          </w:p>
        </w:tc>
        <w:tc>
          <w:tcPr>
            <w:tcW w:w="2870" w:type="dxa"/>
          </w:tcPr>
          <w:p w14:paraId="47575074" w14:textId="00E58C19" w:rsidR="00A35DE3" w:rsidRDefault="007319D8" w:rsidP="00A35DE3">
            <w:pPr>
              <w:rPr>
                <w:b/>
                <w:bCs/>
                <w:lang w:val="es-MX"/>
              </w:rPr>
            </w:pPr>
            <w:r>
              <w:rPr>
                <w:b/>
                <w:bCs/>
                <w:lang w:val="es-MX"/>
              </w:rPr>
              <w:t>Acoso</w:t>
            </w:r>
          </w:p>
        </w:tc>
      </w:tr>
      <w:tr w:rsidR="006F1035" w14:paraId="4837CF4F" w14:textId="77777777" w:rsidTr="00336713">
        <w:trPr>
          <w:trHeight w:val="267"/>
        </w:trPr>
        <w:tc>
          <w:tcPr>
            <w:tcW w:w="3340" w:type="dxa"/>
            <w:vAlign w:val="center"/>
          </w:tcPr>
          <w:p w14:paraId="7ACA431C" w14:textId="3D58F69B" w:rsidR="006F1035" w:rsidRPr="00D7358A" w:rsidRDefault="00677A59" w:rsidP="00A35DE3">
            <w:pPr>
              <w:rPr>
                <w:rFonts w:ascii="Segoe UI" w:eastAsia="Times New Roman" w:hAnsi="Segoe UI" w:cs="Segoe UI"/>
                <w:b/>
                <w:bCs/>
                <w:kern w:val="0"/>
                <w:sz w:val="20"/>
                <w:szCs w:val="20"/>
                <w:lang w:val="es-MX"/>
                <w14:ligatures w14:val="none"/>
              </w:rPr>
            </w:pPr>
            <w:r w:rsidRPr="00D7358A">
              <w:rPr>
                <w:rFonts w:ascii="Segoe UI" w:eastAsia="Times New Roman" w:hAnsi="Segoe UI" w:cs="Segoe UI"/>
                <w:b/>
                <w:bCs/>
                <w:kern w:val="0"/>
                <w:sz w:val="20"/>
                <w:szCs w:val="20"/>
                <w:lang w:val="es-MX"/>
                <w14:ligatures w14:val="none"/>
              </w:rPr>
              <w:t>Tipo de relación</w:t>
            </w:r>
            <w:r w:rsidR="00D7358A" w:rsidRPr="00D7358A">
              <w:rPr>
                <w:rFonts w:ascii="Segoe UI" w:eastAsia="Times New Roman" w:hAnsi="Segoe UI" w:cs="Segoe UI"/>
                <w:b/>
                <w:bCs/>
                <w:kern w:val="0"/>
                <w:sz w:val="20"/>
                <w:szCs w:val="20"/>
                <w:lang w:val="es-MX"/>
                <w14:ligatures w14:val="none"/>
              </w:rPr>
              <w:t xml:space="preserve"> </w:t>
            </w:r>
            <w:r w:rsidR="006F1035" w:rsidRPr="00D7358A">
              <w:rPr>
                <w:rFonts w:ascii="Segoe UI" w:eastAsia="Times New Roman" w:hAnsi="Segoe UI" w:cs="Segoe UI"/>
                <w:b/>
                <w:bCs/>
                <w:kern w:val="0"/>
                <w:sz w:val="20"/>
                <w:szCs w:val="20"/>
                <w:lang w:val="es-MX"/>
                <w14:ligatures w14:val="none"/>
              </w:rPr>
              <w:tab/>
            </w:r>
          </w:p>
        </w:tc>
        <w:tc>
          <w:tcPr>
            <w:tcW w:w="2069" w:type="dxa"/>
          </w:tcPr>
          <w:p w14:paraId="3C7D9597" w14:textId="42188062" w:rsidR="006F1035" w:rsidRPr="00BE3350" w:rsidRDefault="00677A59" w:rsidP="00A35DE3">
            <w:pPr>
              <w:rPr>
                <w:lang w:val="es-MX"/>
              </w:rPr>
            </w:pPr>
            <w:r w:rsidRPr="00BE3350">
              <w:rPr>
                <w:lang w:val="es-MX"/>
              </w:rPr>
              <w:t xml:space="preserve">Académica </w:t>
            </w:r>
            <w:r w:rsidRPr="00BE3350">
              <w:t xml:space="preserve">314 casos </w:t>
            </w:r>
          </w:p>
        </w:tc>
        <w:tc>
          <w:tcPr>
            <w:tcW w:w="2069" w:type="dxa"/>
          </w:tcPr>
          <w:p w14:paraId="38E0849E" w14:textId="4732321F" w:rsidR="006F1035" w:rsidRDefault="00677A59" w:rsidP="00A35DE3">
            <w:pPr>
              <w:rPr>
                <w:b/>
                <w:bCs/>
                <w:lang w:val="es-MX"/>
              </w:rPr>
            </w:pPr>
            <w:r>
              <w:rPr>
                <w:lang w:val="es-MX"/>
              </w:rPr>
              <w:t>A</w:t>
            </w:r>
            <w:r w:rsidRPr="00FB2BE1">
              <w:rPr>
                <w:lang w:val="es-MX"/>
              </w:rPr>
              <w:t>cadémica (331</w:t>
            </w:r>
            <w:r>
              <w:rPr>
                <w:lang w:val="es-MX"/>
              </w:rPr>
              <w:t xml:space="preserve"> casos)</w:t>
            </w:r>
          </w:p>
        </w:tc>
        <w:tc>
          <w:tcPr>
            <w:tcW w:w="2870" w:type="dxa"/>
          </w:tcPr>
          <w:p w14:paraId="184C752C" w14:textId="682D98B0" w:rsidR="006F1035" w:rsidRDefault="007319D8" w:rsidP="00A35DE3">
            <w:pPr>
              <w:rPr>
                <w:b/>
                <w:bCs/>
                <w:lang w:val="es-MX"/>
              </w:rPr>
            </w:pPr>
            <w:r>
              <w:t>Académica (</w:t>
            </w:r>
            <w:r w:rsidRPr="00A35DE3">
              <w:t>380</w:t>
            </w:r>
            <w:r>
              <w:t xml:space="preserve"> casos)</w:t>
            </w:r>
          </w:p>
        </w:tc>
      </w:tr>
      <w:tr w:rsidR="00677A59" w14:paraId="3804EABA" w14:textId="77777777" w:rsidTr="00336713">
        <w:trPr>
          <w:trHeight w:val="267"/>
        </w:trPr>
        <w:tc>
          <w:tcPr>
            <w:tcW w:w="3340" w:type="dxa"/>
            <w:vAlign w:val="center"/>
          </w:tcPr>
          <w:p w14:paraId="29D548B9" w14:textId="043AE991" w:rsidR="00677A59" w:rsidRPr="00D7358A" w:rsidRDefault="00677A59" w:rsidP="00A35DE3">
            <w:pPr>
              <w:rPr>
                <w:rFonts w:ascii="Segoe UI" w:eastAsia="Times New Roman" w:hAnsi="Segoe UI" w:cs="Segoe UI"/>
                <w:b/>
                <w:bCs/>
                <w:kern w:val="0"/>
                <w:sz w:val="20"/>
                <w:szCs w:val="20"/>
                <w:lang w:val="es-MX"/>
                <w14:ligatures w14:val="none"/>
              </w:rPr>
            </w:pPr>
            <w:r w:rsidRPr="00D7358A">
              <w:rPr>
                <w:rFonts w:ascii="Segoe UI" w:eastAsia="Times New Roman" w:hAnsi="Segoe UI" w:cs="Segoe UI"/>
                <w:b/>
                <w:bCs/>
                <w:kern w:val="0"/>
                <w:sz w:val="20"/>
                <w:szCs w:val="20"/>
                <w:lang w:val="es-MX"/>
                <w14:ligatures w14:val="none"/>
              </w:rPr>
              <w:t>Medidas Precautorias</w:t>
            </w:r>
          </w:p>
        </w:tc>
        <w:tc>
          <w:tcPr>
            <w:tcW w:w="2069" w:type="dxa"/>
          </w:tcPr>
          <w:p w14:paraId="7653A072" w14:textId="513554DE" w:rsidR="00677A59" w:rsidRDefault="00677A59" w:rsidP="00A35DE3">
            <w:pPr>
              <w:rPr>
                <w:b/>
                <w:bCs/>
                <w:lang w:val="es-MX"/>
              </w:rPr>
            </w:pPr>
            <w:r w:rsidRPr="00CE16CF">
              <w:t>61.3%</w:t>
            </w:r>
            <w:r>
              <w:t xml:space="preserve"> (</w:t>
            </w:r>
            <w:r w:rsidRPr="00CE16CF">
              <w:t>353</w:t>
            </w:r>
            <w:r>
              <w:t xml:space="preserve"> casos</w:t>
            </w:r>
            <w:r w:rsidRPr="00CE16CF">
              <w:t>) sí se</w:t>
            </w:r>
            <w:r>
              <w:t xml:space="preserve"> </w:t>
            </w:r>
            <w:r w:rsidRPr="00CE16CF">
              <w:t xml:space="preserve">implementaron </w:t>
            </w:r>
          </w:p>
        </w:tc>
        <w:tc>
          <w:tcPr>
            <w:tcW w:w="2069" w:type="dxa"/>
          </w:tcPr>
          <w:p w14:paraId="013F1AF2" w14:textId="765AB73D" w:rsidR="00677A59" w:rsidRDefault="00677A59" w:rsidP="00A35DE3">
            <w:pPr>
              <w:rPr>
                <w:lang w:val="es-MX"/>
              </w:rPr>
            </w:pPr>
            <w:r w:rsidRPr="00DA656A">
              <w:rPr>
                <w:lang w:val="es-MX"/>
              </w:rPr>
              <w:t xml:space="preserve">76% (552 </w:t>
            </w:r>
            <w:r>
              <w:rPr>
                <w:lang w:val="es-MX"/>
              </w:rPr>
              <w:t>casos</w:t>
            </w:r>
            <w:r w:rsidRPr="00DA656A">
              <w:rPr>
                <w:lang w:val="es-MX"/>
              </w:rPr>
              <w:t>) s</w:t>
            </w:r>
            <w:r>
              <w:rPr>
                <w:lang w:val="es-MX"/>
              </w:rPr>
              <w:t>í s</w:t>
            </w:r>
            <w:r w:rsidRPr="00DA656A">
              <w:rPr>
                <w:lang w:val="es-MX"/>
              </w:rPr>
              <w:t xml:space="preserve">e implementaron </w:t>
            </w:r>
          </w:p>
        </w:tc>
        <w:tc>
          <w:tcPr>
            <w:tcW w:w="2870" w:type="dxa"/>
          </w:tcPr>
          <w:p w14:paraId="6CF96E2F" w14:textId="77F3D4C9" w:rsidR="00677A59" w:rsidRDefault="007319D8" w:rsidP="00A35DE3">
            <w:pPr>
              <w:rPr>
                <w:b/>
                <w:bCs/>
                <w:lang w:val="es-MX"/>
              </w:rPr>
            </w:pPr>
            <w:r w:rsidRPr="00C64F07">
              <w:rPr>
                <w:lang w:val="es-MX"/>
              </w:rPr>
              <w:t>51.33% (484</w:t>
            </w:r>
            <w:r>
              <w:rPr>
                <w:lang w:val="es-MX"/>
              </w:rPr>
              <w:t xml:space="preserve"> </w:t>
            </w:r>
            <w:r w:rsidRPr="00C64F07">
              <w:rPr>
                <w:lang w:val="es-MX"/>
              </w:rPr>
              <w:t>casos) </w:t>
            </w:r>
            <w:r>
              <w:rPr>
                <w:lang w:val="es-MX"/>
              </w:rPr>
              <w:t xml:space="preserve">sí </w:t>
            </w:r>
            <w:r w:rsidRPr="00C64F07">
              <w:rPr>
                <w:lang w:val="es-MX"/>
              </w:rPr>
              <w:t>se implementaron</w:t>
            </w:r>
          </w:p>
        </w:tc>
      </w:tr>
    </w:tbl>
    <w:p w14:paraId="127013A4" w14:textId="4FD93D15" w:rsidR="00BB4A6C" w:rsidRPr="00D21A02" w:rsidRDefault="00D21A02" w:rsidP="00D21A02">
      <w:pPr>
        <w:rPr>
          <w:rFonts w:ascii="Calibri" w:hAnsi="Calibri" w:cs="Calibri"/>
          <w:b/>
          <w:bCs/>
          <w:i/>
        </w:rPr>
      </w:pPr>
      <w:r w:rsidRPr="00D21A02">
        <w:rPr>
          <w:rFonts w:ascii="Calibri" w:hAnsi="Calibri" w:cs="Calibri"/>
          <w:i/>
          <w:iCs/>
          <w:color w:val="000000"/>
        </w:rPr>
        <w:t xml:space="preserve">Tabla realizada por la CUDH-UNAM con base en los informes de la </w:t>
      </w:r>
      <w:r w:rsidRPr="00D21A02">
        <w:rPr>
          <w:rFonts w:ascii="Calibri" w:hAnsi="Calibri" w:cs="Calibri"/>
          <w:i/>
        </w:rPr>
        <w:t>Defensoría de los Derechos Universitarios, Igualdad y Atención de la Violencia de Género</w:t>
      </w:r>
      <w:r w:rsidR="002764D3">
        <w:rPr>
          <w:rFonts w:ascii="Calibri" w:hAnsi="Calibri" w:cs="Calibri"/>
          <w:i/>
        </w:rPr>
        <w:t xml:space="preserve"> 2020 -2023</w:t>
      </w:r>
    </w:p>
    <w:p w14:paraId="1FC07C3E" w14:textId="2BFAA7B1" w:rsidR="006F1035" w:rsidRPr="00D21A02" w:rsidRDefault="006F1035" w:rsidP="006C3358">
      <w:pPr>
        <w:jc w:val="both"/>
        <w:rPr>
          <w:rFonts w:ascii="Arial" w:hAnsi="Arial" w:cs="Arial"/>
          <w:lang w:val="es-MX"/>
        </w:rPr>
      </w:pPr>
      <w:r w:rsidRPr="00D21A02">
        <w:rPr>
          <w:rFonts w:ascii="Arial" w:hAnsi="Arial" w:cs="Arial"/>
          <w:lang w:val="es-MX"/>
        </w:rPr>
        <w:t>Los datos analizados evidencian que, pese a los esfuerzos institucionales por atender la violencia de género en la UNAM, los casos reportados muestran un problema estructural que persiste y se diversifica. Entre 2020 y 2023, las quejas presentadas reflejan no solo un aumento en su volumen</w:t>
      </w:r>
      <w:r w:rsidR="007319D8" w:rsidRPr="00D21A02">
        <w:rPr>
          <w:rFonts w:ascii="Arial" w:hAnsi="Arial" w:cs="Arial"/>
          <w:lang w:val="es-MX"/>
        </w:rPr>
        <w:t xml:space="preserve">, </w:t>
      </w:r>
      <w:r w:rsidRPr="00D21A02">
        <w:rPr>
          <w:rFonts w:ascii="Arial" w:hAnsi="Arial" w:cs="Arial"/>
          <w:lang w:val="es-MX"/>
        </w:rPr>
        <w:t>pasando de 576 a 943 casos, sino también patrones recurrentes que señalan la insuficiencia de las medidas implementadas.</w:t>
      </w:r>
    </w:p>
    <w:p w14:paraId="366B0907" w14:textId="7C5E96E5" w:rsidR="006F1035" w:rsidRPr="00D21A02" w:rsidRDefault="006F1035" w:rsidP="006C3358">
      <w:pPr>
        <w:jc w:val="both"/>
        <w:rPr>
          <w:rFonts w:ascii="Arial" w:hAnsi="Arial" w:cs="Arial"/>
          <w:lang w:val="es-MX"/>
        </w:rPr>
      </w:pPr>
      <w:r w:rsidRPr="00D21A02">
        <w:rPr>
          <w:rFonts w:ascii="Arial" w:hAnsi="Arial" w:cs="Arial"/>
          <w:lang w:val="es-MX"/>
        </w:rPr>
        <w:t>El análisis revela que las violencias se concentran en los espacios académicos, donde las relaciones entre compañeros y las dinámicas alumno-profesor representan casi el 40% de los casos, con predominio de acoso (48.6%). Esto confirma que, lejos de disminuir, estas conductas se han normalizado</w:t>
      </w:r>
      <w:r w:rsidR="00EE0ED4">
        <w:rPr>
          <w:rFonts w:ascii="Arial" w:hAnsi="Arial" w:cs="Arial"/>
          <w:lang w:val="es-MX"/>
        </w:rPr>
        <w:t xml:space="preserve"> y aumentan </w:t>
      </w:r>
      <w:r w:rsidRPr="00D21A02">
        <w:rPr>
          <w:rFonts w:ascii="Arial" w:hAnsi="Arial" w:cs="Arial"/>
          <w:lang w:val="es-MX"/>
        </w:rPr>
        <w:t>en entornos universitarios, afectando principalmente a estudiantes (63-69% de las denunciantes), seguidas por trabajadoras administrativas (15-20%).</w:t>
      </w:r>
    </w:p>
    <w:p w14:paraId="4346155A" w14:textId="77777777" w:rsidR="006F1035" w:rsidRPr="00D21A02" w:rsidRDefault="006F1035" w:rsidP="00D21A02">
      <w:pPr>
        <w:jc w:val="both"/>
        <w:rPr>
          <w:rFonts w:ascii="Arial" w:hAnsi="Arial" w:cs="Arial"/>
          <w:lang w:val="es-MX"/>
        </w:rPr>
      </w:pPr>
      <w:r w:rsidRPr="00D21A02">
        <w:rPr>
          <w:rFonts w:ascii="Arial" w:hAnsi="Arial" w:cs="Arial"/>
          <w:lang w:val="es-MX"/>
        </w:rPr>
        <w:t>Si bien el Protocolo para la Atención de Violencia de Género en la UNAM ha permitido canalizar las denuncias, los resultados son limitados: solo en 51.33-76% de los casos se aplicaron medidas precautorias, dejando a casi la mitad de las víctimas sin protección inmediata. Además, el hecho de que 5.29% de las personas afectadas reportaran entre 5 y 9 agresiones demuestra la reincidencia de las violencias y la falta de mecanismos efectivos para frenarlas.</w:t>
      </w:r>
    </w:p>
    <w:p w14:paraId="50A7E19A" w14:textId="3E39C680" w:rsidR="00D21A02" w:rsidRDefault="006F1035" w:rsidP="00D21A02">
      <w:pPr>
        <w:jc w:val="both"/>
        <w:rPr>
          <w:rFonts w:ascii="Arial" w:hAnsi="Arial" w:cs="Arial"/>
          <w:lang w:val="es-MX"/>
        </w:rPr>
      </w:pPr>
      <w:r w:rsidRPr="00D21A02">
        <w:rPr>
          <w:rFonts w:ascii="Arial" w:hAnsi="Arial" w:cs="Arial"/>
          <w:lang w:val="es-MX"/>
        </w:rPr>
        <w:t>Estas cifras no solo reflejan la urgencia de fortalecer la respuesta institucional</w:t>
      </w:r>
      <w:r w:rsidR="007319D8" w:rsidRPr="00D21A02">
        <w:rPr>
          <w:rFonts w:ascii="Arial" w:hAnsi="Arial" w:cs="Arial"/>
          <w:lang w:val="es-MX"/>
        </w:rPr>
        <w:t xml:space="preserve">, </w:t>
      </w:r>
      <w:r w:rsidRPr="00D21A02">
        <w:rPr>
          <w:rFonts w:ascii="Arial" w:hAnsi="Arial" w:cs="Arial"/>
          <w:lang w:val="es-MX"/>
        </w:rPr>
        <w:t>sino también el valor de las denunciantes, quienes, al romper el silencio, exponen una realidad históricamente invisibilizada</w:t>
      </w:r>
      <w:r w:rsidR="00EE0ED4">
        <w:rPr>
          <w:rFonts w:ascii="Arial" w:hAnsi="Arial" w:cs="Arial"/>
          <w:lang w:val="es-MX"/>
        </w:rPr>
        <w:t xml:space="preserve"> y en la mayoría de los casos</w:t>
      </w:r>
      <w:r w:rsidR="005654F6">
        <w:rPr>
          <w:rFonts w:ascii="Arial" w:hAnsi="Arial" w:cs="Arial"/>
          <w:lang w:val="es-MX"/>
        </w:rPr>
        <w:t>,</w:t>
      </w:r>
      <w:r w:rsidR="00EE0ED4">
        <w:rPr>
          <w:rFonts w:ascii="Arial" w:hAnsi="Arial" w:cs="Arial"/>
          <w:lang w:val="es-MX"/>
        </w:rPr>
        <w:t xml:space="preserve"> son victimizadas y sufren incluso </w:t>
      </w:r>
      <w:r w:rsidR="005654F6">
        <w:rPr>
          <w:rFonts w:ascii="Arial" w:hAnsi="Arial" w:cs="Arial"/>
          <w:lang w:val="es-MX"/>
        </w:rPr>
        <w:t xml:space="preserve">hostigamiento </w:t>
      </w:r>
      <w:r w:rsidR="00EE0ED4">
        <w:rPr>
          <w:rFonts w:ascii="Arial" w:hAnsi="Arial" w:cs="Arial"/>
          <w:lang w:val="es-MX"/>
        </w:rPr>
        <w:t>de sus pares</w:t>
      </w:r>
      <w:r w:rsidR="005654F6">
        <w:rPr>
          <w:rFonts w:ascii="Arial" w:hAnsi="Arial" w:cs="Arial"/>
          <w:lang w:val="es-MX"/>
        </w:rPr>
        <w:t xml:space="preserve"> al denunciar</w:t>
      </w:r>
      <w:r w:rsidRPr="00D21A02">
        <w:rPr>
          <w:rFonts w:ascii="Arial" w:hAnsi="Arial" w:cs="Arial"/>
          <w:lang w:val="es-MX"/>
        </w:rPr>
        <w:t>. La UNAM enfrenta el desafío de transformar sus protocolos en acciones concretas que prevengan, sancionen y erradiquen estas violencias, garantizando espacios seguros para toda su comunidad.</w:t>
      </w:r>
    </w:p>
    <w:p w14:paraId="6CD17A12" w14:textId="77777777" w:rsidR="005654F6" w:rsidRDefault="00BE6076" w:rsidP="00BE6076">
      <w:pPr>
        <w:jc w:val="both"/>
        <w:rPr>
          <w:rFonts w:ascii="Arial" w:hAnsi="Arial" w:cs="Arial"/>
        </w:rPr>
      </w:pPr>
      <w:r w:rsidRPr="00BE6076">
        <w:rPr>
          <w:rFonts w:ascii="Arial" w:hAnsi="Arial" w:cs="Arial"/>
        </w:rPr>
        <w:lastRenderedPageBreak/>
        <w:t xml:space="preserve">En 2021, </w:t>
      </w:r>
      <w:r w:rsidR="005654F6">
        <w:rPr>
          <w:rFonts w:ascii="Arial" w:hAnsi="Arial" w:cs="Arial"/>
        </w:rPr>
        <w:t xml:space="preserve">en </w:t>
      </w:r>
      <w:r w:rsidRPr="00BE6076">
        <w:rPr>
          <w:rFonts w:ascii="Arial" w:hAnsi="Arial" w:cs="Arial"/>
        </w:rPr>
        <w:t xml:space="preserve">la Universidad Autónoma de Chihuahua, </w:t>
      </w:r>
      <w:r w:rsidR="005654F6">
        <w:rPr>
          <w:rFonts w:ascii="Arial" w:hAnsi="Arial" w:cs="Arial"/>
        </w:rPr>
        <w:t xml:space="preserve">ha sido </w:t>
      </w:r>
      <w:r w:rsidRPr="00BE6076">
        <w:rPr>
          <w:rFonts w:ascii="Arial" w:hAnsi="Arial" w:cs="Arial"/>
        </w:rPr>
        <w:t>evidente la violencia contra mujeres y niñas en el ámbito escolar señalando que “</w:t>
      </w:r>
      <w:r w:rsidRPr="00BE6076">
        <w:rPr>
          <w:rFonts w:ascii="Arial" w:hAnsi="Arial" w:cs="Arial"/>
          <w:i/>
        </w:rPr>
        <w:t>el estado de Chihuahua carece de una política educativa de prevención, investigación, sanción, reparación del daño y erradicación de la violencia de género</w:t>
      </w:r>
      <w:r w:rsidRPr="00BE6076">
        <w:rPr>
          <w:rFonts w:ascii="Arial" w:hAnsi="Arial" w:cs="Arial"/>
        </w:rPr>
        <w:t xml:space="preserve">”. </w:t>
      </w:r>
    </w:p>
    <w:p w14:paraId="6E9851B6" w14:textId="45443D6C" w:rsidR="00BE6076" w:rsidRPr="00BE6076" w:rsidRDefault="005654F6" w:rsidP="00BE6076">
      <w:pPr>
        <w:jc w:val="both"/>
        <w:rPr>
          <w:rFonts w:ascii="Arial" w:hAnsi="Arial" w:cs="Arial"/>
        </w:rPr>
      </w:pPr>
      <w:r>
        <w:rPr>
          <w:rFonts w:ascii="Arial" w:hAnsi="Arial" w:cs="Arial"/>
        </w:rPr>
        <w:t xml:space="preserve">Cabe señalar que </w:t>
      </w:r>
      <w:r w:rsidR="00BE6076" w:rsidRPr="00BE6076">
        <w:rPr>
          <w:rFonts w:ascii="Arial" w:hAnsi="Arial" w:cs="Arial"/>
        </w:rPr>
        <w:t>esta condición está presente en todos los niveles educativos desde el preescolar hasta el universitario</w:t>
      </w:r>
      <w:r>
        <w:rPr>
          <w:rFonts w:ascii="Arial" w:hAnsi="Arial" w:cs="Arial"/>
        </w:rPr>
        <w:t>, tanto en el ámbito público como privado.</w:t>
      </w:r>
    </w:p>
    <w:p w14:paraId="6483B7D0" w14:textId="65F5208A" w:rsidR="00BE6076" w:rsidRPr="00BE6076" w:rsidRDefault="00BE6076" w:rsidP="00BE6076">
      <w:pPr>
        <w:jc w:val="both"/>
        <w:rPr>
          <w:rFonts w:ascii="Arial" w:hAnsi="Arial" w:cs="Arial"/>
        </w:rPr>
      </w:pPr>
      <w:r w:rsidRPr="00BE6076">
        <w:rPr>
          <w:rFonts w:ascii="Arial" w:hAnsi="Arial" w:cs="Arial"/>
        </w:rPr>
        <w:t>La Red de Profesora</w:t>
      </w:r>
      <w:r w:rsidR="005654F6">
        <w:rPr>
          <w:rFonts w:ascii="Arial" w:hAnsi="Arial" w:cs="Arial"/>
        </w:rPr>
        <w:t>s</w:t>
      </w:r>
      <w:r w:rsidRPr="00BE6076">
        <w:rPr>
          <w:rFonts w:ascii="Arial" w:hAnsi="Arial" w:cs="Arial"/>
        </w:rPr>
        <w:t xml:space="preserve"> Universitarias de Chihuahua acompañó y dio seguimiento desde la primera queja presentada ante la Defensoría de Derechos Universitarios de la Universidad Autónoma de Chihuahua (UACH),</w:t>
      </w:r>
      <w:r w:rsidRPr="00BE6076">
        <w:rPr>
          <w:rFonts w:ascii="Arial" w:hAnsi="Arial" w:cs="Arial"/>
          <w:vertAlign w:val="superscript"/>
        </w:rPr>
        <w:footnoteReference w:id="6"/>
      </w:r>
      <w:r w:rsidRPr="00BE6076">
        <w:rPr>
          <w:rFonts w:ascii="Arial" w:hAnsi="Arial" w:cs="Arial"/>
        </w:rPr>
        <w:t xml:space="preserve"> dicha Defensoría fue creada desde el 25 de febrero del año 2019, con docentes y/o personal administrativo comisionadas como “enlaces” de la Unidad de Género, en cada facultad para la atención a las víctimas por motivos de violencia en razón de género. Sin embargo, no se contó con la formación necesaria para atender las quejas y las víctimas fueron revictimizadas.</w:t>
      </w:r>
      <w:r w:rsidRPr="00BE6076">
        <w:rPr>
          <w:rFonts w:ascii="Arial" w:hAnsi="Arial" w:cs="Arial"/>
          <w:vertAlign w:val="superscript"/>
        </w:rPr>
        <w:footnoteReference w:id="7"/>
      </w:r>
      <w:r w:rsidRPr="00BE6076">
        <w:rPr>
          <w:rFonts w:ascii="Arial" w:hAnsi="Arial" w:cs="Arial"/>
        </w:rPr>
        <w:t xml:space="preserve">  Lo anterior llevó a las estudiantes a abandonar sus denuncias, desertar de sus estudios o ver afectado su desempeño académico, así como su proyecto de vida y su salud física y mental. Muchos casos no llegan a la denuncia por carecer de condiciones para llevarla a cabo.</w:t>
      </w:r>
    </w:p>
    <w:p w14:paraId="2C2F9AC7" w14:textId="77777777" w:rsidR="00BE6076" w:rsidRPr="00BE6076" w:rsidRDefault="00BE6076" w:rsidP="00BE6076">
      <w:pPr>
        <w:jc w:val="both"/>
        <w:rPr>
          <w:rFonts w:ascii="Arial" w:hAnsi="Arial" w:cs="Arial"/>
        </w:rPr>
      </w:pPr>
      <w:r w:rsidRPr="00BE6076">
        <w:rPr>
          <w:rFonts w:ascii="Arial" w:hAnsi="Arial" w:cs="Arial"/>
        </w:rPr>
        <w:t>Dos facultades en particular fueron señaladas: la primera de ellas, la Facultad de Artes</w:t>
      </w:r>
      <w:r w:rsidRPr="00BE6076">
        <w:rPr>
          <w:rFonts w:ascii="Arial" w:hAnsi="Arial" w:cs="Arial"/>
          <w:vertAlign w:val="superscript"/>
        </w:rPr>
        <w:footnoteReference w:id="8"/>
      </w:r>
      <w:r w:rsidRPr="00BE6076">
        <w:rPr>
          <w:rFonts w:ascii="Arial" w:hAnsi="Arial" w:cs="Arial"/>
        </w:rPr>
        <w:t>, un caso emblemático, en el cual, en el año 2019, 23 alumnas firmaron una queja dirigida a la Dirección de dicha facultad contra un profesor por acoso sexual, 5 de ellas interpusieron queja ante la Defensoría de la UACH,</w:t>
      </w:r>
      <w:r w:rsidRPr="00BE6076">
        <w:rPr>
          <w:rFonts w:ascii="Arial" w:hAnsi="Arial" w:cs="Arial"/>
          <w:vertAlign w:val="superscript"/>
        </w:rPr>
        <w:footnoteReference w:id="9"/>
      </w:r>
      <w:r w:rsidRPr="00BE6076">
        <w:rPr>
          <w:rFonts w:ascii="Arial" w:hAnsi="Arial" w:cs="Arial"/>
        </w:rPr>
        <w:t xml:space="preserve"> emitiendo una recomendación en el año 2021 que dejó sin atender a la víctima. Incluso hubo un caso de violación sexual por el profesor señalado, del cual se tuvo conocimiento gracias a un testimonio; este caso sigue sin seguimiento institucional a la fecha.</w:t>
      </w:r>
      <w:r w:rsidRPr="00BE6076">
        <w:rPr>
          <w:rFonts w:ascii="Arial" w:hAnsi="Arial" w:cs="Arial"/>
          <w:vertAlign w:val="superscript"/>
        </w:rPr>
        <w:footnoteReference w:id="10"/>
      </w:r>
      <w:r w:rsidRPr="00BE6076">
        <w:rPr>
          <w:rFonts w:ascii="Arial" w:hAnsi="Arial" w:cs="Arial"/>
        </w:rPr>
        <w:t xml:space="preserve"> </w:t>
      </w:r>
    </w:p>
    <w:p w14:paraId="39519391" w14:textId="4272CC86" w:rsidR="00BE6076" w:rsidRPr="00BE6076" w:rsidRDefault="00213E45" w:rsidP="00BE6076">
      <w:pPr>
        <w:jc w:val="both"/>
        <w:rPr>
          <w:rFonts w:ascii="Arial" w:hAnsi="Arial" w:cs="Arial"/>
        </w:rPr>
      </w:pPr>
      <w:r>
        <w:rPr>
          <w:rFonts w:ascii="Arial" w:hAnsi="Arial" w:cs="Arial"/>
        </w:rPr>
        <w:t>Por un lado, e</w:t>
      </w:r>
      <w:r w:rsidR="00BE6076" w:rsidRPr="00BE6076">
        <w:rPr>
          <w:rFonts w:ascii="Arial" w:hAnsi="Arial" w:cs="Arial"/>
        </w:rPr>
        <w:t>l 29 de mayo del 2023, la Comisión Estatal de Derechos Humanos de Chihuahua emitió la recomendación 5s.1.2.247/2021</w:t>
      </w:r>
      <w:r w:rsidR="00BE6076" w:rsidRPr="00BE6076">
        <w:rPr>
          <w:rFonts w:ascii="Arial" w:hAnsi="Arial" w:cs="Arial"/>
          <w:vertAlign w:val="superscript"/>
        </w:rPr>
        <w:footnoteReference w:id="11"/>
      </w:r>
      <w:r w:rsidR="00BE6076" w:rsidRPr="00BE6076">
        <w:rPr>
          <w:rFonts w:ascii="Arial" w:hAnsi="Arial" w:cs="Arial"/>
        </w:rPr>
        <w:t xml:space="preserve">, en la que se sugiere la inmediata reparación del daño a las víctimas, sanción del funcionariado responsables y medidas para la no revictimización de las estudiantes de la Facultad de Artes. A la fecha la UACH no ha intentado localizar a las víctimas, ni a su representante desde que se presentaron las </w:t>
      </w:r>
      <w:r w:rsidR="00BE6076" w:rsidRPr="00BE6076">
        <w:rPr>
          <w:rFonts w:ascii="Arial" w:hAnsi="Arial" w:cs="Arial"/>
        </w:rPr>
        <w:lastRenderedPageBreak/>
        <w:t>denuncias en la Defensoría de los Derechos Universitarios de la UACH, como se puede constatar en estas notas de prensa referidas.</w:t>
      </w:r>
      <w:r w:rsidR="00BE6076" w:rsidRPr="00BE6076">
        <w:rPr>
          <w:rFonts w:ascii="Arial" w:hAnsi="Arial" w:cs="Arial"/>
          <w:vertAlign w:val="superscript"/>
        </w:rPr>
        <w:footnoteReference w:id="12"/>
      </w:r>
      <w:r w:rsidR="00BE6076" w:rsidRPr="00BE6076">
        <w:rPr>
          <w:rFonts w:ascii="Arial" w:hAnsi="Arial" w:cs="Arial"/>
        </w:rPr>
        <w:t xml:space="preserve"> </w:t>
      </w:r>
      <w:r w:rsidR="00BE6076" w:rsidRPr="00BE6076">
        <w:rPr>
          <w:rFonts w:ascii="Arial" w:hAnsi="Arial" w:cs="Arial"/>
          <w:vertAlign w:val="superscript"/>
        </w:rPr>
        <w:footnoteReference w:id="13"/>
      </w:r>
      <w:r w:rsidR="00BE6076" w:rsidRPr="00BE6076">
        <w:rPr>
          <w:rFonts w:ascii="Arial" w:hAnsi="Arial" w:cs="Arial"/>
          <w:vertAlign w:val="superscript"/>
        </w:rPr>
        <w:footnoteReference w:id="14"/>
      </w:r>
    </w:p>
    <w:p w14:paraId="09970243" w14:textId="03FF79F5" w:rsidR="00BE6076" w:rsidRPr="00BE6076" w:rsidRDefault="00BE6076" w:rsidP="00BE6076">
      <w:pPr>
        <w:jc w:val="both"/>
        <w:rPr>
          <w:rFonts w:ascii="Arial" w:hAnsi="Arial" w:cs="Arial"/>
        </w:rPr>
      </w:pPr>
      <w:r w:rsidRPr="00BE6076">
        <w:rPr>
          <w:rFonts w:ascii="Arial" w:hAnsi="Arial" w:cs="Arial"/>
        </w:rPr>
        <w:t xml:space="preserve">Por otro lado, se señalaron las carreras afines a áreas de la salud (284 – 285), específicamente medicina, en la cual las estudiantes realizan su Internado de pregrado, Servicio Social o Residencias médicas en instituciones públicas de servicios de salud tanto de índole federal como estatal, por lo que dependen de sus centros de adscripción que son instancias externas a la universidad, al mismo tiempo que dependen de un secretario académico, director académico o encargado. En los tres niveles hay acoso y hostigamiento sexual y/o acoso y hostigamiento laboral, y al no ser empleada(os) de la institución de salud, no cuentan con derechos laborales, lo que pone a las estudiantes en una situación precaria y de indefensión ya que autoridades de ambas instancias </w:t>
      </w:r>
      <w:r w:rsidR="00213E45">
        <w:rPr>
          <w:rFonts w:ascii="Arial" w:hAnsi="Arial" w:cs="Arial"/>
        </w:rPr>
        <w:t xml:space="preserve">no asumen </w:t>
      </w:r>
      <w:r w:rsidRPr="00BE6076">
        <w:rPr>
          <w:rFonts w:ascii="Arial" w:hAnsi="Arial" w:cs="Arial"/>
        </w:rPr>
        <w:t>la</w:t>
      </w:r>
      <w:r w:rsidR="00213E45">
        <w:rPr>
          <w:rFonts w:ascii="Arial" w:hAnsi="Arial" w:cs="Arial"/>
        </w:rPr>
        <w:t xml:space="preserve"> </w:t>
      </w:r>
      <w:r w:rsidRPr="00BE6076">
        <w:rPr>
          <w:rFonts w:ascii="Arial" w:hAnsi="Arial" w:cs="Arial"/>
        </w:rPr>
        <w:t xml:space="preserve"> responsabilidad</w:t>
      </w:r>
      <w:r w:rsidR="00213E45">
        <w:rPr>
          <w:rFonts w:ascii="Arial" w:hAnsi="Arial" w:cs="Arial"/>
        </w:rPr>
        <w:t xml:space="preserve"> correspondiente para atender los casos</w:t>
      </w:r>
      <w:r w:rsidRPr="00BE6076">
        <w:rPr>
          <w:rFonts w:ascii="Arial" w:hAnsi="Arial" w:cs="Arial"/>
        </w:rPr>
        <w:t>.</w:t>
      </w:r>
    </w:p>
    <w:p w14:paraId="013E7CFD" w14:textId="77777777" w:rsidR="00BE6076" w:rsidRPr="00BE6076" w:rsidRDefault="00BE6076" w:rsidP="00BE6076">
      <w:pPr>
        <w:jc w:val="both"/>
        <w:rPr>
          <w:rFonts w:ascii="Arial" w:hAnsi="Arial" w:cs="Arial"/>
        </w:rPr>
      </w:pPr>
      <w:r w:rsidRPr="00BE6076">
        <w:rPr>
          <w:rFonts w:ascii="Arial" w:hAnsi="Arial" w:cs="Arial"/>
        </w:rPr>
        <w:t>Durante el servicio social, que en general, se realiza en diversas comunidades del estado, en muchas ocasiones, se presentan actos de agresión y violencia de género contra las mujeres; sin embargo, ante una situación de violencia no existe una autoridad comunitaria, de la secretaría de salud o de la universidad que garantice que las víctimas accedan a medidas de protección y atención integral</w:t>
      </w:r>
      <w:r w:rsidRPr="00BE6076">
        <w:rPr>
          <w:rFonts w:ascii="Arial" w:hAnsi="Arial" w:cs="Arial"/>
          <w:vertAlign w:val="superscript"/>
        </w:rPr>
        <w:footnoteReference w:id="15"/>
      </w:r>
      <w:r w:rsidRPr="00BE6076">
        <w:rPr>
          <w:rFonts w:ascii="Arial" w:hAnsi="Arial" w:cs="Arial"/>
        </w:rPr>
        <w:t xml:space="preserve">. </w:t>
      </w:r>
    </w:p>
    <w:p w14:paraId="554DB5AC" w14:textId="77777777" w:rsidR="00BE6076" w:rsidRPr="00BE6076" w:rsidRDefault="00BE6076" w:rsidP="00BE6076">
      <w:pPr>
        <w:jc w:val="both"/>
        <w:rPr>
          <w:rFonts w:ascii="Arial" w:hAnsi="Arial" w:cs="Arial"/>
        </w:rPr>
      </w:pPr>
      <w:r w:rsidRPr="00BE6076">
        <w:rPr>
          <w:rFonts w:ascii="Arial" w:hAnsi="Arial" w:cs="Arial"/>
        </w:rPr>
        <w:t xml:space="preserve">Cabe señalar que la situación que viven las estudiantes de medicina, también se vive por estudiantes de enfermería y odontología. </w:t>
      </w:r>
    </w:p>
    <w:p w14:paraId="213F776E" w14:textId="77777777" w:rsidR="00BE6076" w:rsidRPr="00BE6076" w:rsidRDefault="00BE6076" w:rsidP="00BE6076">
      <w:pPr>
        <w:jc w:val="both"/>
        <w:rPr>
          <w:rFonts w:ascii="Arial" w:hAnsi="Arial" w:cs="Arial"/>
        </w:rPr>
      </w:pPr>
      <w:r w:rsidRPr="00BE6076">
        <w:rPr>
          <w:rFonts w:ascii="Arial" w:hAnsi="Arial" w:cs="Arial"/>
        </w:rPr>
        <w:t>Desde la declaratoria de la Alerta de Violencia de Género para el Estado de Chihuahua, la Red de Profesoras Universitarias ha documentado situaciones de violencia que se repiten y replican en las diversas escuelas y universidades particulares del Estado como lo son Universidad de Durango, Tecnológico de Monterrey y Universidad Autónoma de Ciudad Juárez.</w:t>
      </w:r>
      <w:r w:rsidRPr="00BE6076">
        <w:rPr>
          <w:rFonts w:ascii="Arial" w:hAnsi="Arial" w:cs="Arial"/>
          <w:vertAlign w:val="superscript"/>
        </w:rPr>
        <w:footnoteReference w:id="16"/>
      </w:r>
      <w:r w:rsidRPr="00BE6076">
        <w:rPr>
          <w:rFonts w:ascii="Arial" w:hAnsi="Arial" w:cs="Arial"/>
        </w:rPr>
        <w:t xml:space="preserve"> </w:t>
      </w:r>
      <w:r w:rsidRPr="00BE6076">
        <w:rPr>
          <w:rFonts w:ascii="Arial" w:hAnsi="Arial" w:cs="Arial"/>
          <w:vertAlign w:val="superscript"/>
        </w:rPr>
        <w:footnoteReference w:id="17"/>
      </w:r>
      <w:r w:rsidRPr="00BE6076">
        <w:rPr>
          <w:rFonts w:ascii="Arial" w:hAnsi="Arial" w:cs="Arial"/>
        </w:rPr>
        <w:t xml:space="preserve"> </w:t>
      </w:r>
      <w:r w:rsidRPr="00BE6076">
        <w:rPr>
          <w:rFonts w:ascii="Arial" w:hAnsi="Arial" w:cs="Arial"/>
          <w:vertAlign w:val="superscript"/>
        </w:rPr>
        <w:footnoteReference w:id="18"/>
      </w:r>
      <w:r w:rsidRPr="00BE6076">
        <w:rPr>
          <w:rFonts w:ascii="Arial" w:hAnsi="Arial" w:cs="Arial"/>
        </w:rPr>
        <w:t xml:space="preserve"> </w:t>
      </w:r>
    </w:p>
    <w:p w14:paraId="1AD58424" w14:textId="6163B3CE" w:rsidR="00BE6076" w:rsidRPr="00BE6076" w:rsidRDefault="00BE6076" w:rsidP="00BE6076">
      <w:pPr>
        <w:tabs>
          <w:tab w:val="left" w:pos="8647"/>
        </w:tabs>
        <w:jc w:val="both"/>
        <w:rPr>
          <w:rFonts w:ascii="Arial" w:hAnsi="Arial" w:cs="Arial"/>
        </w:rPr>
      </w:pPr>
      <w:r w:rsidRPr="00BE6076">
        <w:rPr>
          <w:rFonts w:ascii="Arial" w:hAnsi="Arial" w:cs="Arial"/>
        </w:rPr>
        <w:lastRenderedPageBreak/>
        <w:t>La Red de Profesoras Universitarias de Chihuahua a este respecto, ha dado seguimiento a 18 casos de las áreas de la salud desde marzo del año 2020 hasta mayo del 2023.</w:t>
      </w:r>
      <w:r w:rsidRPr="00BE6076">
        <w:rPr>
          <w:rFonts w:ascii="Arial" w:hAnsi="Arial" w:cs="Arial"/>
          <w:vertAlign w:val="superscript"/>
        </w:rPr>
        <w:footnoteReference w:id="19"/>
      </w:r>
      <w:r w:rsidRPr="00BE6076">
        <w:rPr>
          <w:rFonts w:ascii="Arial" w:hAnsi="Arial" w:cs="Arial"/>
        </w:rPr>
        <w:t xml:space="preserve"> Entre los asunto atendidos, se acompañaron casos de docentes hombres que fomentan la misoginia hacia las mujeres que estaban estudiando medicina, así como docentes hombres que invaden el espacio personal de las alumnas, aduciendo la cercanía para poder supervisar sus trabajos (como en la maestría de odontología); existen denuncias de violencia sexual por parte de alumnos de grados similares o superiores a las víctimas</w:t>
      </w:r>
      <w:r w:rsidRPr="00BE6076">
        <w:rPr>
          <w:rFonts w:ascii="Arial" w:hAnsi="Arial" w:cs="Arial"/>
          <w:vertAlign w:val="superscript"/>
        </w:rPr>
        <w:footnoteReference w:id="20"/>
      </w:r>
      <w:r w:rsidRPr="00BE6076">
        <w:rPr>
          <w:rFonts w:ascii="Arial" w:hAnsi="Arial" w:cs="Arial"/>
        </w:rPr>
        <w:t xml:space="preserve">. Así mismo, se documentó que al levantar quejas al interior de las instituciones educativas o sanitarias en las cuales se encontraban, las víctimas empezaron a sufrir acoso y hostigamiento laboral, llegando a ser necesaria la intervención de la Comisión Estatal de Derechos Humanos para lograr que las afectadas pudieran acceder a medidas de protección como cambiarlas de sede, justificar sus faltas por haberse presentado a realizar trámites tanto ante la </w:t>
      </w:r>
      <w:r w:rsidR="00213E45">
        <w:rPr>
          <w:rFonts w:ascii="Arial" w:hAnsi="Arial" w:cs="Arial"/>
        </w:rPr>
        <w:t>U</w:t>
      </w:r>
      <w:r w:rsidRPr="00BE6076">
        <w:rPr>
          <w:rFonts w:ascii="Arial" w:hAnsi="Arial" w:cs="Arial"/>
        </w:rPr>
        <w:t xml:space="preserve">niversidad, la </w:t>
      </w:r>
      <w:r w:rsidR="00213E45">
        <w:rPr>
          <w:rFonts w:ascii="Arial" w:hAnsi="Arial" w:cs="Arial"/>
        </w:rPr>
        <w:t>S</w:t>
      </w:r>
      <w:r w:rsidRPr="00BE6076">
        <w:rPr>
          <w:rFonts w:ascii="Arial" w:hAnsi="Arial" w:cs="Arial"/>
        </w:rPr>
        <w:t xml:space="preserve">ecretaría de salud y la </w:t>
      </w:r>
      <w:r w:rsidR="00213E45">
        <w:rPr>
          <w:rFonts w:ascii="Arial" w:hAnsi="Arial" w:cs="Arial"/>
        </w:rPr>
        <w:t>F</w:t>
      </w:r>
      <w:r w:rsidRPr="00BE6076">
        <w:rPr>
          <w:rFonts w:ascii="Arial" w:hAnsi="Arial" w:cs="Arial"/>
        </w:rPr>
        <w:t xml:space="preserve">iscalía. </w:t>
      </w:r>
    </w:p>
    <w:p w14:paraId="0C3B1001" w14:textId="4CD169F1" w:rsidR="00BE6076" w:rsidRPr="00BE6076" w:rsidRDefault="00BE6076" w:rsidP="00BE6076">
      <w:pPr>
        <w:jc w:val="both"/>
        <w:rPr>
          <w:rFonts w:ascii="Arial" w:hAnsi="Arial" w:cs="Arial"/>
        </w:rPr>
      </w:pPr>
      <w:r w:rsidRPr="00BE6076">
        <w:rPr>
          <w:rFonts w:ascii="Arial" w:hAnsi="Arial" w:cs="Arial"/>
        </w:rPr>
        <w:t>En conclusión, se documentó que pese a contar con una Defensoría de Derechos Universitarios  tanto en la Universidad Autónoma de Ciudad Juárez como en la Universidad Autónoma de Chihuahua, las políticas públicas y protocolos de atención a las violencias de género contra las estudiantes de educación superior, no son resolutivas ya que en todos y cada uno de los casos fue necesario involucrar a otras instancias como la Comisión Estatal de Derechos Humanos (CEDH) y el Centro de Atención a la Violencia contra las Mujeres (CAVIM), Fiscalía Especializada en Atención a Mujeres Víc</w:t>
      </w:r>
      <w:r>
        <w:rPr>
          <w:rFonts w:ascii="Arial" w:hAnsi="Arial" w:cs="Arial"/>
        </w:rPr>
        <w:t>timas del Delito por Razón de Gé</w:t>
      </w:r>
      <w:r w:rsidRPr="00BE6076">
        <w:rPr>
          <w:rFonts w:ascii="Arial" w:hAnsi="Arial" w:cs="Arial"/>
        </w:rPr>
        <w:t>nero (FEM), así como realizar los procedimientos con el acompañamiento de las integrantes de la Red de Profesoras Universitarias, para que las alumnas pudieran acceder a interponer un recurso jurídico, ya que las autoridades no ofrecieron ni medidas de protección, ni atención a sus demandas, sino lo contrario, más acoso por atreverse a denunciar.</w:t>
      </w:r>
    </w:p>
    <w:p w14:paraId="50E1AF4F" w14:textId="472EE8D5" w:rsidR="00BE6076" w:rsidRPr="00BE6076" w:rsidRDefault="00BE6076" w:rsidP="00BE6076">
      <w:pPr>
        <w:jc w:val="both"/>
        <w:rPr>
          <w:rFonts w:ascii="Arial" w:hAnsi="Arial" w:cs="Arial"/>
        </w:rPr>
      </w:pPr>
      <w:bookmarkStart w:id="1" w:name="_heading=h.6uijx64pjuv4" w:colFirst="0" w:colLast="0"/>
      <w:bookmarkEnd w:id="1"/>
      <w:r w:rsidRPr="00BE6076">
        <w:rPr>
          <w:rFonts w:ascii="Arial" w:hAnsi="Arial" w:cs="Arial"/>
        </w:rPr>
        <w:t xml:space="preserve">Es necesario un cambio para el establecimiento de medidas de protección y no revictimización para las víctimas. En pocos casos se suspende a los generadores de violencia, la mayoría de los casos continúan impunes, mientas que las alumnas desertan o abandonan   su carrera, cortando así su proyecto de vida, aunado a la afectación psicológica y familiar adicionales. </w:t>
      </w:r>
    </w:p>
    <w:p w14:paraId="7D0F4555" w14:textId="15845489" w:rsidR="00BE6076" w:rsidRPr="00BE6076" w:rsidRDefault="00BE6076" w:rsidP="00BE6076">
      <w:pPr>
        <w:jc w:val="both"/>
        <w:rPr>
          <w:rFonts w:ascii="Arial" w:hAnsi="Arial" w:cs="Arial"/>
        </w:rPr>
      </w:pPr>
      <w:r w:rsidRPr="00BE6076">
        <w:rPr>
          <w:rFonts w:ascii="Arial" w:hAnsi="Arial" w:cs="Arial"/>
        </w:rPr>
        <w:t>Cabe señalar que las profesoras que acompañan a las alumnas en sus quejas y seguimiento son severamente castigadas con presiones laborales, reducción de sus clases y horarios, que redundan en menores recursos y buscan criminalizarlas por su tarea de defensoras, como ha sucedido en la UACH.</w:t>
      </w:r>
    </w:p>
    <w:p w14:paraId="4DE3D3B3" w14:textId="7DBC4C27" w:rsidR="00BE6076" w:rsidRPr="00BE6076" w:rsidRDefault="00BE6076" w:rsidP="00BE6076">
      <w:pPr>
        <w:jc w:val="both"/>
        <w:rPr>
          <w:rFonts w:ascii="Arial" w:hAnsi="Arial" w:cs="Arial"/>
        </w:rPr>
      </w:pPr>
      <w:bookmarkStart w:id="2" w:name="_heading=h.o0lo3x61bsun" w:colFirst="0" w:colLast="0"/>
      <w:bookmarkEnd w:id="2"/>
      <w:r w:rsidRPr="00BE6076">
        <w:rPr>
          <w:rFonts w:ascii="Arial" w:hAnsi="Arial" w:cs="Arial"/>
        </w:rPr>
        <w:t xml:space="preserve">Las mujeres universitarias, docentes, administrativas y estudiantes, no solamente del Estado de Chihuahua, sino en todo el país viven diariamente diversas formas de acoso y </w:t>
      </w:r>
      <w:r w:rsidRPr="00BE6076">
        <w:rPr>
          <w:rFonts w:ascii="Arial" w:hAnsi="Arial" w:cs="Arial"/>
        </w:rPr>
        <w:lastRenderedPageBreak/>
        <w:t>hostigamiento sexual, laboral, psicológica y política, por lo que se sigue perpetuando la discriminación y la falta de acceso a la justicia para las mujeres</w:t>
      </w:r>
      <w:r w:rsidRPr="00BE6076">
        <w:rPr>
          <w:rFonts w:ascii="Arial" w:hAnsi="Arial" w:cs="Arial"/>
          <w:vertAlign w:val="superscript"/>
        </w:rPr>
        <w:footnoteReference w:id="21"/>
      </w:r>
      <w:r w:rsidRPr="00BE6076">
        <w:rPr>
          <w:rFonts w:ascii="Arial" w:hAnsi="Arial" w:cs="Arial"/>
        </w:rPr>
        <w:t xml:space="preserve"> </w:t>
      </w:r>
      <w:r w:rsidRPr="00BE6076">
        <w:rPr>
          <w:rFonts w:ascii="Arial" w:hAnsi="Arial" w:cs="Arial"/>
          <w:vertAlign w:val="superscript"/>
        </w:rPr>
        <w:footnoteReference w:id="22"/>
      </w:r>
      <w:r w:rsidRPr="00BE6076">
        <w:rPr>
          <w:rFonts w:ascii="Arial" w:hAnsi="Arial" w:cs="Arial"/>
        </w:rPr>
        <w:t xml:space="preserve">. </w:t>
      </w:r>
    </w:p>
    <w:p w14:paraId="5AA499EB" w14:textId="77777777" w:rsidR="00BE6076" w:rsidRDefault="00BE6076" w:rsidP="00BE6076">
      <w:pPr>
        <w:pStyle w:val="NormalWeb"/>
        <w:spacing w:before="0" w:beforeAutospacing="0" w:after="160" w:afterAutospacing="0"/>
      </w:pPr>
      <w:r>
        <w:rPr>
          <w:rFonts w:ascii="Calibri" w:hAnsi="Calibri" w:cs="Calibri"/>
          <w:b/>
          <w:bCs/>
          <w:color w:val="000000"/>
        </w:rPr>
        <w:t>Caso Oaxaca </w:t>
      </w:r>
    </w:p>
    <w:p w14:paraId="377B548E" w14:textId="77777777"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El caso que dio comienzo en 2020, donde alumnas y profesoras de la Universidad del Istmo (</w:t>
      </w:r>
      <w:r w:rsidRPr="00BE6076">
        <w:rPr>
          <w:rFonts w:ascii="Arial" w:hAnsi="Arial" w:cs="Arial"/>
          <w:b/>
          <w:bCs/>
          <w:color w:val="000000"/>
          <w:sz w:val="22"/>
          <w:szCs w:val="22"/>
        </w:rPr>
        <w:t>UNISTMO</w:t>
      </w:r>
      <w:r w:rsidRPr="00BE6076">
        <w:rPr>
          <w:rFonts w:ascii="Arial" w:hAnsi="Arial" w:cs="Arial"/>
          <w:color w:val="000000"/>
          <w:sz w:val="22"/>
          <w:szCs w:val="22"/>
        </w:rPr>
        <w:t>), Institución de Educación Superior (IES) pública del estado de Oaxaca, fueron violentadas, amedrentadas e intimidadas por denunciar de forma pública y legal diversos actos de violencia sexual (abuso sexual y hostigamiento sexual), cometidos por profesores de dicha casa de estudios en su agravio, aún no concluye. Una de las docentes que dio acompañamiento fue despedida, sin que hasta ahora, 5 años después se le hayan restituido sus derechos. </w:t>
      </w:r>
    </w:p>
    <w:p w14:paraId="1167A428" w14:textId="77777777"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 xml:space="preserve">Derivado de las violaciones a sus derechos humanos, la alumna B.N.A.C. y a la profesora M.S.M interpusieron una queja ante la Defensoría de los Derechos Humanos del Pueblo de Oaxaca (DDHPO) y  el 25 de noviembre de 2021,  dicha institución emitió la </w:t>
      </w:r>
      <w:r w:rsidRPr="00BE6076">
        <w:rPr>
          <w:rFonts w:ascii="Arial" w:hAnsi="Arial" w:cs="Arial"/>
          <w:b/>
          <w:bCs/>
          <w:color w:val="000000"/>
          <w:sz w:val="22"/>
          <w:szCs w:val="22"/>
        </w:rPr>
        <w:t>Recomendación 4/2021</w:t>
      </w:r>
      <w:r w:rsidRPr="00BE6076">
        <w:rPr>
          <w:rFonts w:ascii="Arial" w:hAnsi="Arial" w:cs="Arial"/>
          <w:color w:val="000000"/>
          <w:sz w:val="22"/>
          <w:szCs w:val="22"/>
        </w:rPr>
        <w:t xml:space="preserve"> a la UNISTMO, tras haberse acreditando diversas violaciones a los derechos humanos de las mujeres (alumnas y profesoras) a vivir libre de violencia, a la educación libre de violencia y de estereotipos de género, a la garantía del debido proceso, entre otros; y determinó que la UNISTMO debía de cumplir de forma integral con la  reparación del daño en términos de la Ley General de Víctimas a través de  medidas de: restitución, rehabilitación, compensación, satisfacción y de no repetición, para alumnas y docentes víctimas.</w:t>
      </w:r>
    </w:p>
    <w:p w14:paraId="50113A78" w14:textId="77777777"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 xml:space="preserve">La recomendación 04/2021 se convierte en sentencia judicial a partir del 20 de abril de 2023 como resultado del juicio de protección a derechos humanos (Exp. 02/2022) iniciado por las víctimas ante la Sala Constitucional y Cuarta Sala Penal del Tribunal Superior de Justicia del Estado de Oaxaca, con la finalidad de dar cumplimiento a la ya mencionada recomendación, toda vez que las autoridades responsables de la </w:t>
      </w:r>
      <w:r w:rsidRPr="00BE6076">
        <w:rPr>
          <w:rFonts w:ascii="Arial" w:hAnsi="Arial" w:cs="Arial"/>
          <w:b/>
          <w:bCs/>
          <w:color w:val="000000"/>
          <w:sz w:val="22"/>
          <w:szCs w:val="22"/>
        </w:rPr>
        <w:t xml:space="preserve">UNISTMO </w:t>
      </w:r>
      <w:r w:rsidRPr="00BE6076">
        <w:rPr>
          <w:rFonts w:ascii="Arial" w:hAnsi="Arial" w:cs="Arial"/>
          <w:color w:val="000000"/>
          <w:sz w:val="22"/>
          <w:szCs w:val="22"/>
        </w:rPr>
        <w:t>se negaron a cumplirla. </w:t>
      </w:r>
    </w:p>
    <w:p w14:paraId="3FFCE051" w14:textId="77777777"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La falta de voluntad política de las autoridades universitarias a contribuir con la erradicación de la violencia contra las mujeres en espacios universitarios, aunado a un sistema de impartición justicia poco transparente y eficiente que ignoró la perspectiva de género como herramienta principal para el análisis del caso y la emisión de sus resoluciones, son factores de continua vulneración a las denunciantes que no ha cesado. </w:t>
      </w:r>
    </w:p>
    <w:p w14:paraId="63364B48" w14:textId="77777777"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El órgano de control constitucional del Estado de Oaxaca, ha otorgado a la autoridad responsable prórrogas injustificadas para dar cumplimiento a las obligaciones derivadas de la sentencia, además de considerar que no existía obligación de compensación, a pensar que las víctimas acreditaron violación a sus derechos humanos. </w:t>
      </w:r>
    </w:p>
    <w:p w14:paraId="34F2EA6A" w14:textId="77777777"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 xml:space="preserve">Uno de los actos más graves es el relativo a la </w:t>
      </w:r>
      <w:r w:rsidRPr="00BE6076">
        <w:rPr>
          <w:rFonts w:ascii="Arial" w:hAnsi="Arial" w:cs="Arial"/>
          <w:b/>
          <w:bCs/>
          <w:color w:val="000000"/>
          <w:sz w:val="22"/>
          <w:szCs w:val="22"/>
        </w:rPr>
        <w:t>disculpa pública</w:t>
      </w:r>
      <w:r w:rsidRPr="00BE6076">
        <w:rPr>
          <w:rFonts w:ascii="Arial" w:hAnsi="Arial" w:cs="Arial"/>
          <w:color w:val="000000"/>
          <w:sz w:val="22"/>
          <w:szCs w:val="22"/>
        </w:rPr>
        <w:t xml:space="preserve"> que se llevó a cabo en 2023 por la máxima autoridad universitaria, pero que, a criterio de la Sala Constitucional resultó revictimizante para la alumna B.N.A.C, motivo por el cual se ordenó que dicho acto </w:t>
      </w:r>
      <w:r w:rsidRPr="00BE6076">
        <w:rPr>
          <w:rFonts w:ascii="Arial" w:hAnsi="Arial" w:cs="Arial"/>
          <w:color w:val="000000"/>
          <w:sz w:val="22"/>
          <w:szCs w:val="22"/>
          <w:u w:val="single"/>
        </w:rPr>
        <w:t>se repitiera por la misma autoridad</w:t>
      </w:r>
      <w:r w:rsidRPr="00BE6076">
        <w:rPr>
          <w:rFonts w:ascii="Arial" w:hAnsi="Arial" w:cs="Arial"/>
          <w:color w:val="000000"/>
          <w:sz w:val="22"/>
          <w:szCs w:val="22"/>
        </w:rPr>
        <w:t xml:space="preserve">, en violación a la Ley Reglamentaria del Apartado B del </w:t>
      </w:r>
      <w:r w:rsidRPr="00BE6076">
        <w:rPr>
          <w:rFonts w:ascii="Arial" w:hAnsi="Arial" w:cs="Arial"/>
          <w:color w:val="000000"/>
          <w:sz w:val="22"/>
          <w:szCs w:val="22"/>
        </w:rPr>
        <w:lastRenderedPageBreak/>
        <w:t>Artículo 106 de La Constitución Política del Estado Libre y Soberano De Oaxaca, que ordena que, en caso de incumplimiento, debe intervenir el superior jerárquico. </w:t>
      </w:r>
    </w:p>
    <w:p w14:paraId="6617B581" w14:textId="247F38E9" w:rsidR="00BE6076" w:rsidRPr="00BE6076" w:rsidRDefault="00BE6076" w:rsidP="00BE6076">
      <w:pPr>
        <w:pStyle w:val="NormalWeb"/>
        <w:spacing w:before="0" w:beforeAutospacing="0" w:after="160" w:afterAutospacing="0"/>
        <w:jc w:val="both"/>
        <w:rPr>
          <w:rFonts w:ascii="Arial" w:hAnsi="Arial" w:cs="Arial"/>
        </w:rPr>
      </w:pPr>
      <w:r w:rsidRPr="00BE6076">
        <w:rPr>
          <w:rFonts w:ascii="Arial" w:hAnsi="Arial" w:cs="Arial"/>
          <w:color w:val="000000"/>
          <w:sz w:val="22"/>
          <w:szCs w:val="22"/>
        </w:rPr>
        <w:t xml:space="preserve">Han transcurrido dos años en el que el Poder Judicial del Estado de Oaxaca ha otorgado oportunidades </w:t>
      </w:r>
      <w:r w:rsidRPr="00BE6076">
        <w:rPr>
          <w:rFonts w:ascii="Arial" w:hAnsi="Arial" w:cs="Arial"/>
          <w:i/>
          <w:iCs/>
          <w:color w:val="000000"/>
          <w:sz w:val="22"/>
          <w:szCs w:val="22"/>
        </w:rPr>
        <w:t>ad infnitum</w:t>
      </w:r>
      <w:r w:rsidRPr="00BE6076">
        <w:rPr>
          <w:rFonts w:ascii="Arial" w:hAnsi="Arial" w:cs="Arial"/>
          <w:color w:val="000000"/>
          <w:sz w:val="22"/>
          <w:szCs w:val="22"/>
        </w:rPr>
        <w:t xml:space="preserve"> a las autoridades universitarias para que cumpla sus obligaciones, y ha dejado a las víctimas en estado de incertidumbre y de indefensión ante un sistema de justicia de impartición de justicia que se ha mostrado parcial y opaco</w:t>
      </w:r>
      <w:r w:rsidR="003F4AD5">
        <w:rPr>
          <w:rFonts w:ascii="Arial" w:hAnsi="Arial" w:cs="Arial"/>
          <w:color w:val="000000"/>
          <w:sz w:val="22"/>
          <w:szCs w:val="22"/>
        </w:rPr>
        <w:t>, alejado de las victimas y por lo tanto se fortalece la impunidad y la violencia de genero en las Instituciones de Educación Superior.</w:t>
      </w:r>
    </w:p>
    <w:p w14:paraId="47F52D49" w14:textId="77777777" w:rsidR="00BE6076" w:rsidRPr="00BE6076" w:rsidRDefault="00BE6076" w:rsidP="00BE6076">
      <w:pPr>
        <w:spacing w:after="0" w:line="240" w:lineRule="auto"/>
        <w:rPr>
          <w:rFonts w:ascii="Times New Roman" w:eastAsia="Times New Roman" w:hAnsi="Times New Roman" w:cs="Times New Roman"/>
          <w:kern w:val="0"/>
          <w:sz w:val="24"/>
          <w:szCs w:val="24"/>
          <w:lang w:val="es-MX"/>
          <w14:ligatures w14:val="none"/>
        </w:rPr>
      </w:pPr>
    </w:p>
    <w:p w14:paraId="23D72024" w14:textId="77777777" w:rsidR="00BE6076" w:rsidRPr="00BE6076" w:rsidRDefault="00BE6076" w:rsidP="00BE6076">
      <w:pPr>
        <w:spacing w:line="240" w:lineRule="auto"/>
        <w:jc w:val="both"/>
        <w:rPr>
          <w:rFonts w:ascii="Arial" w:eastAsia="Times New Roman" w:hAnsi="Arial" w:cs="Arial"/>
          <w:kern w:val="0"/>
          <w:lang w:val="es-MX"/>
          <w14:ligatures w14:val="none"/>
        </w:rPr>
      </w:pPr>
      <w:r w:rsidRPr="00BE6076">
        <w:rPr>
          <w:rFonts w:ascii="Arial" w:eastAsia="Times New Roman" w:hAnsi="Arial" w:cs="Arial"/>
          <w:b/>
          <w:bCs/>
          <w:color w:val="000000"/>
          <w:kern w:val="0"/>
          <w:lang w:val="es-MX"/>
          <w14:ligatures w14:val="none"/>
        </w:rPr>
        <w:t>Estos casos siguen impunes, por lo cual nos parece muy relevante que se consideren las siguientes demandas al Estado mexicano:</w:t>
      </w:r>
    </w:p>
    <w:p w14:paraId="0EF8B7A8" w14:textId="193E7DF4" w:rsidR="00BE6076" w:rsidRPr="00213E45" w:rsidRDefault="00BE6076" w:rsidP="00213E45">
      <w:pPr>
        <w:numPr>
          <w:ilvl w:val="0"/>
          <w:numId w:val="2"/>
        </w:numPr>
        <w:spacing w:after="0" w:line="240" w:lineRule="auto"/>
        <w:jc w:val="both"/>
        <w:textAlignment w:val="baseline"/>
        <w:rPr>
          <w:rFonts w:ascii="Arial" w:eastAsia="Times New Roman" w:hAnsi="Arial" w:cs="Arial"/>
          <w:color w:val="000000"/>
          <w:kern w:val="0"/>
          <w:lang w:val="es-MX"/>
          <w14:ligatures w14:val="none"/>
        </w:rPr>
      </w:pPr>
      <w:r w:rsidRPr="00BE6076">
        <w:rPr>
          <w:rFonts w:ascii="Arial" w:eastAsia="Times New Roman" w:hAnsi="Arial" w:cs="Arial"/>
          <w:color w:val="000000"/>
          <w:kern w:val="0"/>
          <w:lang w:val="es-MX"/>
          <w14:ligatures w14:val="none"/>
        </w:rPr>
        <w:t xml:space="preserve">A pesar de existir un avance significativo en la normatividad desde la Constitución Política de los Estados Unidos Mexicanos y normas secundarias reconociendo la igualdad y la perspectiva de género, los casos de violencia de género en las instituciones de educación del país </w:t>
      </w:r>
      <w:r w:rsidR="00213E45">
        <w:rPr>
          <w:rFonts w:ascii="Arial" w:eastAsia="Times New Roman" w:hAnsi="Arial" w:cs="Arial"/>
          <w:color w:val="000000"/>
          <w:kern w:val="0"/>
          <w:lang w:val="es-MX"/>
          <w14:ligatures w14:val="none"/>
        </w:rPr>
        <w:t xml:space="preserve">y la implementación de protocolos de atención, </w:t>
      </w:r>
      <w:r w:rsidRPr="00BE6076">
        <w:rPr>
          <w:rFonts w:ascii="Arial" w:eastAsia="Times New Roman" w:hAnsi="Arial" w:cs="Arial"/>
          <w:color w:val="000000"/>
          <w:kern w:val="0"/>
          <w:lang w:val="es-MX"/>
          <w14:ligatures w14:val="none"/>
        </w:rPr>
        <w:t>se siguen presentando</w:t>
      </w:r>
      <w:r w:rsidR="00213E45">
        <w:rPr>
          <w:rFonts w:ascii="Arial" w:eastAsia="Times New Roman" w:hAnsi="Arial" w:cs="Arial"/>
          <w:color w:val="000000"/>
          <w:kern w:val="0"/>
          <w:lang w:val="es-MX"/>
          <w14:ligatures w14:val="none"/>
        </w:rPr>
        <w:t xml:space="preserve"> múltiples casos de violencia en las instituciones educativas, como en los casos presentados</w:t>
      </w:r>
      <w:r w:rsidRPr="00BE6076">
        <w:rPr>
          <w:rFonts w:ascii="Arial" w:eastAsia="Times New Roman" w:hAnsi="Arial" w:cs="Arial"/>
          <w:color w:val="000000"/>
          <w:kern w:val="0"/>
          <w:lang w:val="es-MX"/>
          <w14:ligatures w14:val="none"/>
        </w:rPr>
        <w:t xml:space="preserve">; </w:t>
      </w:r>
      <w:r w:rsidRPr="00213E45">
        <w:rPr>
          <w:rFonts w:ascii="Arial" w:eastAsia="Times New Roman" w:hAnsi="Arial" w:cs="Arial"/>
          <w:color w:val="000000"/>
          <w:kern w:val="0"/>
          <w:lang w:val="es-MX"/>
          <w14:ligatures w14:val="none"/>
        </w:rPr>
        <w:t>por lo que se recomienda establecer una política pública clara y efectiva de prevención, atención, sanción y erradicación de la violencia con la reparación integral del daño que incluya a las instituciones de educación públicas y privadas, en todos los niveles educativos.</w:t>
      </w:r>
    </w:p>
    <w:p w14:paraId="579631A6" w14:textId="77777777" w:rsidR="00BE6076" w:rsidRDefault="00BE6076" w:rsidP="00BE6076">
      <w:pPr>
        <w:numPr>
          <w:ilvl w:val="0"/>
          <w:numId w:val="2"/>
        </w:numPr>
        <w:spacing w:before="240" w:after="240" w:line="240" w:lineRule="auto"/>
        <w:jc w:val="both"/>
        <w:textAlignment w:val="baseline"/>
        <w:rPr>
          <w:rFonts w:ascii="Arial" w:eastAsia="Times New Roman" w:hAnsi="Arial" w:cs="Arial"/>
          <w:color w:val="000000"/>
          <w:kern w:val="0"/>
          <w:lang w:val="es-MX"/>
          <w14:ligatures w14:val="none"/>
        </w:rPr>
      </w:pPr>
      <w:r w:rsidRPr="00BE6076">
        <w:rPr>
          <w:rFonts w:ascii="Arial" w:eastAsia="Times New Roman" w:hAnsi="Arial" w:cs="Arial"/>
          <w:color w:val="000000"/>
          <w:kern w:val="0"/>
          <w:lang w:val="es-MX"/>
          <w14:ligatures w14:val="none"/>
        </w:rPr>
        <w:t>Se recomienda que el Estado Mexicano a través de la Secretaría de Educación coordine y garantice la estandarización y ejecución de las sanciones por violencia de género en todas las Instituciones de Educación.</w:t>
      </w:r>
    </w:p>
    <w:p w14:paraId="290ABA24" w14:textId="77777777" w:rsidR="00213E45" w:rsidRDefault="00213E45" w:rsidP="00213E45">
      <w:pPr>
        <w:spacing w:before="240" w:after="240" w:line="240" w:lineRule="auto"/>
        <w:jc w:val="both"/>
        <w:textAlignment w:val="baseline"/>
        <w:rPr>
          <w:rFonts w:ascii="Arial" w:eastAsia="Times New Roman" w:hAnsi="Arial" w:cs="Arial"/>
          <w:color w:val="000000"/>
          <w:kern w:val="0"/>
          <w:lang w:val="es-MX"/>
          <w14:ligatures w14:val="none"/>
        </w:rPr>
      </w:pPr>
    </w:p>
    <w:p w14:paraId="10441EBD" w14:textId="77777777" w:rsidR="00213E45" w:rsidRDefault="00213E45" w:rsidP="00213E45">
      <w:pPr>
        <w:spacing w:before="240" w:after="240" w:line="240" w:lineRule="auto"/>
        <w:jc w:val="both"/>
        <w:textAlignment w:val="baseline"/>
        <w:rPr>
          <w:rFonts w:ascii="Arial" w:eastAsia="Times New Roman" w:hAnsi="Arial" w:cs="Arial"/>
          <w:color w:val="000000"/>
          <w:kern w:val="0"/>
          <w:lang w:val="es-MX"/>
          <w14:ligatures w14:val="none"/>
        </w:rPr>
      </w:pPr>
    </w:p>
    <w:p w14:paraId="7FDB1F44" w14:textId="77777777" w:rsidR="00213E45" w:rsidRPr="00BE6076" w:rsidRDefault="00213E45" w:rsidP="00213E45">
      <w:pPr>
        <w:spacing w:before="240" w:after="240" w:line="240" w:lineRule="auto"/>
        <w:jc w:val="both"/>
        <w:textAlignment w:val="baseline"/>
        <w:rPr>
          <w:rFonts w:ascii="Arial" w:eastAsia="Times New Roman" w:hAnsi="Arial" w:cs="Arial"/>
          <w:color w:val="000000"/>
          <w:kern w:val="0"/>
          <w:lang w:val="es-MX"/>
          <w14:ligatures w14:val="none"/>
        </w:rPr>
      </w:pPr>
    </w:p>
    <w:p w14:paraId="2BC772C2" w14:textId="014ACE94" w:rsidR="00213E45" w:rsidRDefault="00213E45" w:rsidP="00BE6076">
      <w:pPr>
        <w:numPr>
          <w:ilvl w:val="0"/>
          <w:numId w:val="2"/>
        </w:numPr>
        <w:spacing w:before="240" w:after="240" w:line="240" w:lineRule="auto"/>
        <w:jc w:val="both"/>
        <w:textAlignment w:val="baseline"/>
        <w:rPr>
          <w:rFonts w:ascii="Arial" w:eastAsia="Times New Roman" w:hAnsi="Arial" w:cs="Arial"/>
          <w:color w:val="000000"/>
          <w:kern w:val="0"/>
          <w:lang w:val="es-MX"/>
          <w14:ligatures w14:val="none"/>
        </w:rPr>
      </w:pPr>
      <w:r>
        <w:rPr>
          <w:rFonts w:ascii="Arial" w:eastAsia="Times New Roman" w:hAnsi="Arial" w:cs="Arial"/>
          <w:color w:val="000000"/>
          <w:kern w:val="0"/>
          <w:lang w:val="es-MX"/>
          <w14:ligatures w14:val="none"/>
        </w:rPr>
        <w:t xml:space="preserve">Es importante que exista un </w:t>
      </w:r>
      <w:r w:rsidR="00CF5C90">
        <w:rPr>
          <w:rFonts w:ascii="Arial" w:eastAsia="Times New Roman" w:hAnsi="Arial" w:cs="Arial"/>
          <w:color w:val="000000"/>
          <w:kern w:val="0"/>
          <w:lang w:val="es-MX"/>
          <w14:ligatures w14:val="none"/>
        </w:rPr>
        <w:t>R</w:t>
      </w:r>
      <w:r>
        <w:rPr>
          <w:rFonts w:ascii="Arial" w:eastAsia="Times New Roman" w:hAnsi="Arial" w:cs="Arial"/>
          <w:color w:val="000000"/>
          <w:kern w:val="0"/>
          <w:lang w:val="es-MX"/>
          <w14:ligatures w14:val="none"/>
        </w:rPr>
        <w:t xml:space="preserve">egistro de personas sancionadas por violencia de género en las instituciones de educación </w:t>
      </w:r>
      <w:r w:rsidR="00CF5C90">
        <w:rPr>
          <w:rFonts w:ascii="Arial" w:eastAsia="Times New Roman" w:hAnsi="Arial" w:cs="Arial"/>
          <w:color w:val="000000"/>
          <w:kern w:val="0"/>
          <w:lang w:val="es-MX"/>
          <w14:ligatures w14:val="none"/>
        </w:rPr>
        <w:t>básica, media y superior, con objeto de que no puedan reincidir en otro establecimiento educativo</w:t>
      </w:r>
    </w:p>
    <w:p w14:paraId="7190AAC7" w14:textId="567D3BEA" w:rsidR="00BE6076" w:rsidRPr="00BE6076" w:rsidRDefault="00BE6076" w:rsidP="00BE6076">
      <w:pPr>
        <w:numPr>
          <w:ilvl w:val="0"/>
          <w:numId w:val="2"/>
        </w:numPr>
        <w:spacing w:before="240" w:after="240" w:line="240" w:lineRule="auto"/>
        <w:jc w:val="both"/>
        <w:textAlignment w:val="baseline"/>
        <w:rPr>
          <w:rFonts w:ascii="Arial" w:eastAsia="Times New Roman" w:hAnsi="Arial" w:cs="Arial"/>
          <w:color w:val="000000"/>
          <w:kern w:val="0"/>
          <w:lang w:val="es-MX"/>
          <w14:ligatures w14:val="none"/>
        </w:rPr>
      </w:pPr>
      <w:r w:rsidRPr="00BE6076">
        <w:rPr>
          <w:rFonts w:ascii="Arial" w:eastAsia="Times New Roman" w:hAnsi="Arial" w:cs="Arial"/>
          <w:color w:val="000000"/>
          <w:kern w:val="0"/>
          <w:lang w:val="es-MX"/>
          <w14:ligatures w14:val="none"/>
        </w:rPr>
        <w:t xml:space="preserve">Se recomienda la implementación de la Ley 3 de 3 contra la violencia </w:t>
      </w:r>
      <w:r w:rsidR="00CF5C90">
        <w:rPr>
          <w:rFonts w:ascii="Arial" w:eastAsia="Times New Roman" w:hAnsi="Arial" w:cs="Arial"/>
          <w:color w:val="000000"/>
          <w:kern w:val="0"/>
          <w:lang w:val="es-MX"/>
          <w14:ligatures w14:val="none"/>
        </w:rPr>
        <w:t xml:space="preserve"> de género (no acceso a la docencia a personas generadoras de violencia, no ni a deudores alimnweeticios, ni a hostigadores) </w:t>
      </w:r>
      <w:r w:rsidRPr="00BE6076">
        <w:rPr>
          <w:rFonts w:ascii="Arial" w:eastAsia="Times New Roman" w:hAnsi="Arial" w:cs="Arial"/>
          <w:color w:val="000000"/>
          <w:kern w:val="0"/>
          <w:lang w:val="es-MX"/>
          <w14:ligatures w14:val="none"/>
        </w:rPr>
        <w:t>de manera inmediata en las instituciones de educación superior y en todos los niveles educativos de escuelas públicas y privadas</w:t>
      </w:r>
    </w:p>
    <w:p w14:paraId="69265F7A" w14:textId="0A537E03" w:rsidR="00BE6076" w:rsidRPr="00BE6076" w:rsidRDefault="00BE6076" w:rsidP="00BE6076">
      <w:pPr>
        <w:numPr>
          <w:ilvl w:val="0"/>
          <w:numId w:val="2"/>
        </w:numPr>
        <w:spacing w:before="240" w:after="240" w:line="240" w:lineRule="auto"/>
        <w:jc w:val="both"/>
        <w:textAlignment w:val="baseline"/>
        <w:rPr>
          <w:rFonts w:ascii="Arial" w:eastAsia="Times New Roman" w:hAnsi="Arial" w:cs="Arial"/>
          <w:color w:val="000000"/>
          <w:kern w:val="0"/>
          <w:lang w:val="es-MX"/>
          <w14:ligatures w14:val="none"/>
        </w:rPr>
      </w:pPr>
      <w:r w:rsidRPr="00BE6076">
        <w:rPr>
          <w:rFonts w:ascii="Arial" w:eastAsia="Times New Roman" w:hAnsi="Arial" w:cs="Arial"/>
          <w:color w:val="000000"/>
          <w:kern w:val="0"/>
          <w:lang w:val="es-MX"/>
          <w14:ligatures w14:val="none"/>
        </w:rPr>
        <w:t xml:space="preserve">Se recomienda establecer medidas específicas que garanticen la educación con perspectiva de género en Instituciones de Educación públicas y privadas, y la metodología aplicada para la elaboración de planes y programas de estudio, así como la capacitación </w:t>
      </w:r>
      <w:r>
        <w:rPr>
          <w:rFonts w:ascii="Arial" w:eastAsia="Times New Roman" w:hAnsi="Arial" w:cs="Arial"/>
          <w:color w:val="000000"/>
          <w:kern w:val="0"/>
          <w:lang w:val="es-MX"/>
          <w14:ligatures w14:val="none"/>
        </w:rPr>
        <w:t>impartida por especialistas al </w:t>
      </w:r>
      <w:r w:rsidRPr="00BE6076">
        <w:rPr>
          <w:rFonts w:ascii="Arial" w:eastAsia="Times New Roman" w:hAnsi="Arial" w:cs="Arial"/>
          <w:color w:val="000000"/>
          <w:kern w:val="0"/>
          <w:lang w:val="es-MX"/>
          <w14:ligatures w14:val="none"/>
        </w:rPr>
        <w:t>personal docente, directivo y administrativo.</w:t>
      </w:r>
    </w:p>
    <w:p w14:paraId="11B1FB14" w14:textId="77777777" w:rsidR="00BE6076" w:rsidRPr="00BE6076" w:rsidRDefault="00BE6076" w:rsidP="00D21A02">
      <w:pPr>
        <w:jc w:val="both"/>
        <w:rPr>
          <w:rFonts w:ascii="Arial" w:hAnsi="Arial" w:cs="Arial"/>
          <w:lang w:val="es-MX"/>
        </w:rPr>
      </w:pPr>
    </w:p>
    <w:sectPr w:rsidR="00BE6076" w:rsidRPr="00BE6076">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15BFA" w14:textId="77777777" w:rsidR="00083F22" w:rsidRDefault="00083F22" w:rsidP="002242A7">
      <w:pPr>
        <w:spacing w:after="0" w:line="240" w:lineRule="auto"/>
      </w:pPr>
      <w:r>
        <w:separator/>
      </w:r>
    </w:p>
  </w:endnote>
  <w:endnote w:type="continuationSeparator" w:id="0">
    <w:p w14:paraId="4F3E170D" w14:textId="77777777" w:rsidR="00083F22" w:rsidRDefault="00083F22" w:rsidP="0022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5A907" w14:textId="77777777" w:rsidR="00083F22" w:rsidRDefault="00083F22" w:rsidP="002242A7">
      <w:pPr>
        <w:spacing w:after="0" w:line="240" w:lineRule="auto"/>
      </w:pPr>
      <w:r>
        <w:separator/>
      </w:r>
    </w:p>
  </w:footnote>
  <w:footnote w:type="continuationSeparator" w:id="0">
    <w:p w14:paraId="51D6EFEC" w14:textId="77777777" w:rsidR="00083F22" w:rsidRDefault="00083F22" w:rsidP="002242A7">
      <w:pPr>
        <w:spacing w:after="0" w:line="240" w:lineRule="auto"/>
      </w:pPr>
      <w:r>
        <w:continuationSeparator/>
      </w:r>
    </w:p>
  </w:footnote>
  <w:footnote w:id="1">
    <w:p w14:paraId="37BEEA13" w14:textId="77777777" w:rsidR="00602E07" w:rsidRPr="00936FCD" w:rsidRDefault="00602E07" w:rsidP="00602E07">
      <w:pPr>
        <w:pStyle w:val="Textonotapie"/>
        <w:rPr>
          <w:i/>
          <w:iCs/>
          <w:lang w:val="es-ES"/>
        </w:rPr>
      </w:pPr>
      <w:r>
        <w:rPr>
          <w:rStyle w:val="Refdenotaalpie"/>
        </w:rPr>
        <w:footnoteRef/>
      </w:r>
      <w:r>
        <w:t xml:space="preserve"> Defensoría de los Derechos Universitarios, Igualdad y Atención de la Violencia de Género, </w:t>
      </w:r>
      <w:r w:rsidRPr="00936FCD">
        <w:t xml:space="preserve">Informe </w:t>
      </w:r>
      <w:r>
        <w:t xml:space="preserve">de labores </w:t>
      </w:r>
      <w:r w:rsidRPr="00936FCD">
        <w:t xml:space="preserve">2020 </w:t>
      </w:r>
      <w:r>
        <w:t>–</w:t>
      </w:r>
      <w:r w:rsidRPr="00936FCD">
        <w:t xml:space="preserve"> 2021</w:t>
      </w:r>
      <w:r>
        <w:t xml:space="preserve"> (Ciudad de México: </w:t>
      </w:r>
      <w:r w:rsidRPr="00936FCD">
        <w:t>Defensoría de los Derechos Universitarios, Igualdad y Atención de la Violencia de Género</w:t>
      </w:r>
      <w:r>
        <w:t xml:space="preserve">, 2021), </w:t>
      </w:r>
      <w:hyperlink r:id="rId1" w:history="1">
        <w:r w:rsidRPr="00C77C51">
          <w:rPr>
            <w:rStyle w:val="Hipervnculo"/>
          </w:rPr>
          <w:t>https://www.defensoria.unam.mx/web/informes/INFORME_2020-2021.pdf</w:t>
        </w:r>
      </w:hyperlink>
      <w:r>
        <w:t xml:space="preserve"> </w:t>
      </w:r>
    </w:p>
  </w:footnote>
  <w:footnote w:id="2">
    <w:p w14:paraId="7755B819" w14:textId="0FB077C7" w:rsidR="00884E23" w:rsidRPr="00884E23" w:rsidRDefault="00884E23">
      <w:pPr>
        <w:pStyle w:val="Textonotapie"/>
        <w:rPr>
          <w:lang w:val="es-ES"/>
        </w:rPr>
      </w:pPr>
      <w:r>
        <w:rPr>
          <w:rStyle w:val="Refdenotaalpie"/>
        </w:rPr>
        <w:footnoteRef/>
      </w:r>
      <w:r>
        <w:t xml:space="preserve"> </w:t>
      </w:r>
      <w:r>
        <w:rPr>
          <w:lang w:val="es-ES"/>
        </w:rPr>
        <w:t>Ib</w:t>
      </w:r>
      <w:r w:rsidR="00B15467">
        <w:rPr>
          <w:lang w:val="es-ES"/>
        </w:rPr>
        <w:t>í</w:t>
      </w:r>
      <w:r>
        <w:rPr>
          <w:lang w:val="es-ES"/>
        </w:rPr>
        <w:t>d.</w:t>
      </w:r>
    </w:p>
  </w:footnote>
  <w:footnote w:id="3">
    <w:p w14:paraId="01BC6C7C" w14:textId="304686E5" w:rsidR="00DA656A" w:rsidRPr="00DA656A" w:rsidRDefault="00DA656A">
      <w:pPr>
        <w:pStyle w:val="Textonotapie"/>
        <w:rPr>
          <w:lang w:val="es-ES"/>
        </w:rPr>
      </w:pPr>
      <w:r>
        <w:rPr>
          <w:rStyle w:val="Refdenotaalpie"/>
        </w:rPr>
        <w:footnoteRef/>
      </w:r>
      <w:r>
        <w:t xml:space="preserve"> Defensoría de los Derechos Universitarios, Igualdad y Atención de la Violencia de Género, </w:t>
      </w:r>
      <w:r w:rsidRPr="00936FCD">
        <w:t>Informe 202</w:t>
      </w:r>
      <w:r>
        <w:t>1</w:t>
      </w:r>
      <w:r w:rsidRPr="00936FCD">
        <w:t xml:space="preserve"> </w:t>
      </w:r>
      <w:r>
        <w:t>–</w:t>
      </w:r>
      <w:r w:rsidRPr="00936FCD">
        <w:t xml:space="preserve"> 202</w:t>
      </w:r>
      <w:r>
        <w:t xml:space="preserve">2 (Ciudad de México: </w:t>
      </w:r>
      <w:r w:rsidRPr="00936FCD">
        <w:t>Defensoría de los Derechos Universitarios, Igualdad y Atención de la Violencia de Género</w:t>
      </w:r>
      <w:r>
        <w:t xml:space="preserve">, 2023), </w:t>
      </w:r>
      <w:hyperlink r:id="rId2" w:history="1">
        <w:r w:rsidRPr="00977019">
          <w:rPr>
            <w:rStyle w:val="Hipervnculo"/>
          </w:rPr>
          <w:t>https://www.defensoria.unam.mx/web/informes/Informe-2021-2022.pdf</w:t>
        </w:r>
      </w:hyperlink>
      <w:r>
        <w:t xml:space="preserve"> </w:t>
      </w:r>
    </w:p>
  </w:footnote>
  <w:footnote w:id="4">
    <w:p w14:paraId="06C9B205" w14:textId="043BD54B" w:rsidR="00BB4A6C" w:rsidRPr="00BB4A6C" w:rsidRDefault="00BB4A6C">
      <w:pPr>
        <w:pStyle w:val="Textonotapie"/>
        <w:rPr>
          <w:lang w:val="es-ES"/>
        </w:rPr>
      </w:pPr>
      <w:r>
        <w:rPr>
          <w:rStyle w:val="Refdenotaalpie"/>
        </w:rPr>
        <w:footnoteRef/>
      </w:r>
      <w:r>
        <w:t xml:space="preserve"> Defensoría de los Derechos Universitarios, Igualdad y Atención de la Violencia de Género, </w:t>
      </w:r>
      <w:r w:rsidRPr="00936FCD">
        <w:t xml:space="preserve">Informe </w:t>
      </w:r>
      <w:r>
        <w:t xml:space="preserve">2023 (Ciudad de México: </w:t>
      </w:r>
      <w:r w:rsidRPr="00936FCD">
        <w:t>Defensoría de los Derechos Universitarios, Igualdad y Atención de la Violencia de Género</w:t>
      </w:r>
      <w:r>
        <w:t xml:space="preserve">, 2023), </w:t>
      </w:r>
      <w:hyperlink r:id="rId3" w:history="1">
        <w:r w:rsidRPr="00977019">
          <w:rPr>
            <w:rStyle w:val="Hipervnculo"/>
          </w:rPr>
          <w:t>https://www.defensoria.unam.mx/web/informes/Informe-2023.pdf</w:t>
        </w:r>
      </w:hyperlink>
      <w:r>
        <w:t xml:space="preserve"> </w:t>
      </w:r>
    </w:p>
  </w:footnote>
  <w:footnote w:id="5">
    <w:p w14:paraId="16450B2E" w14:textId="734E52FB" w:rsidR="00C72EFB" w:rsidRPr="00C72EFB" w:rsidRDefault="00C72EFB">
      <w:pPr>
        <w:pStyle w:val="Textonotapie"/>
        <w:rPr>
          <w:lang w:val="es-ES"/>
        </w:rPr>
      </w:pPr>
      <w:r>
        <w:rPr>
          <w:rStyle w:val="Refdenotaalpie"/>
        </w:rPr>
        <w:footnoteRef/>
      </w:r>
      <w:r>
        <w:t xml:space="preserve"> </w:t>
      </w:r>
      <w:proofErr w:type="spellStart"/>
      <w:r w:rsidR="00B15467">
        <w:rPr>
          <w:lang w:val="es-ES"/>
        </w:rPr>
        <w:t>Ibíd</w:t>
      </w:r>
      <w:proofErr w:type="spellEnd"/>
    </w:p>
  </w:footnote>
  <w:footnote w:id="6">
    <w:p w14:paraId="383D63C1" w14:textId="77777777" w:rsidR="00BE6076" w:rsidRDefault="00BE6076" w:rsidP="00BE6076">
      <w:pPr>
        <w:spacing w:after="0" w:line="240" w:lineRule="auto"/>
        <w:rPr>
          <w:sz w:val="20"/>
          <w:szCs w:val="20"/>
        </w:rPr>
      </w:pPr>
      <w:r>
        <w:rPr>
          <w:vertAlign w:val="superscript"/>
        </w:rPr>
        <w:footnoteRef/>
      </w:r>
      <w:r>
        <w:rPr>
          <w:sz w:val="20"/>
          <w:szCs w:val="20"/>
        </w:rPr>
        <w:t xml:space="preserve">“El acoso sexual sí se da en la UACH, pese a su reputación. Aprueban protocolo de acción” Recuperado de: </w:t>
      </w:r>
      <w:hyperlink r:id="rId4">
        <w:r>
          <w:rPr>
            <w:color w:val="1155CC"/>
            <w:sz w:val="20"/>
            <w:szCs w:val="20"/>
            <w:u w:val="single"/>
          </w:rPr>
          <w:t>https://difusionnorte.com/acoso-sexual-uach/</w:t>
        </w:r>
      </w:hyperlink>
      <w:r>
        <w:rPr>
          <w:sz w:val="20"/>
          <w:szCs w:val="20"/>
        </w:rPr>
        <w:t xml:space="preserve"> el 09 de septiembre de 2023.</w:t>
      </w:r>
    </w:p>
  </w:footnote>
  <w:footnote w:id="7">
    <w:p w14:paraId="2628A1E8" w14:textId="77777777" w:rsidR="00BE6076" w:rsidRDefault="00BE6076" w:rsidP="00BE6076">
      <w:pPr>
        <w:spacing w:after="0" w:line="240" w:lineRule="auto"/>
        <w:rPr>
          <w:sz w:val="20"/>
          <w:szCs w:val="20"/>
        </w:rPr>
      </w:pPr>
      <w:r>
        <w:rPr>
          <w:vertAlign w:val="superscript"/>
        </w:rPr>
        <w:footnoteRef/>
      </w:r>
      <w:r>
        <w:rPr>
          <w:sz w:val="20"/>
          <w:szCs w:val="20"/>
        </w:rPr>
        <w:t xml:space="preserve"> “Realizarán marcha contra el acoso y hostigamiento sexual. La Red de Profesoras Universitarias de Chihuahua se sumó al pronunciamiento y reconocieron el compromiso de las estudiantes” Recuperado de. </w:t>
      </w:r>
      <w:hyperlink r:id="rId5">
        <w:r>
          <w:rPr>
            <w:color w:val="1155CC"/>
            <w:sz w:val="20"/>
            <w:szCs w:val="20"/>
            <w:u w:val="single"/>
          </w:rPr>
          <w:t>https://www.elheraldodechihuahua.com.mx/local/chihuahua/realizaran-marcha-feministas-contra-el-acoso-y-hostigamiento-sexual-chihuahua-7153270.html</w:t>
        </w:r>
      </w:hyperlink>
      <w:r>
        <w:rPr>
          <w:sz w:val="20"/>
          <w:szCs w:val="20"/>
        </w:rPr>
        <w:t>, el 09 de septiembre de 2023.</w:t>
      </w:r>
    </w:p>
  </w:footnote>
  <w:footnote w:id="8">
    <w:p w14:paraId="7FD7FCFF" w14:textId="77777777" w:rsidR="00BE6076" w:rsidRDefault="00BE6076" w:rsidP="00BE6076">
      <w:pPr>
        <w:spacing w:after="0" w:line="240" w:lineRule="auto"/>
        <w:rPr>
          <w:sz w:val="20"/>
          <w:szCs w:val="20"/>
        </w:rPr>
      </w:pPr>
      <w:r>
        <w:rPr>
          <w:vertAlign w:val="superscript"/>
        </w:rPr>
        <w:footnoteRef/>
      </w:r>
      <w:r>
        <w:rPr>
          <w:sz w:val="20"/>
          <w:szCs w:val="20"/>
        </w:rPr>
        <w:t xml:space="preserve">“Existen 29 quejas de estudiantes por acoso en la UACH. La Facultad de Artes y Facultad de Medicina son las que encabezan la lista de alumnos afectados”. Recuperado de: </w:t>
      </w:r>
      <w:hyperlink r:id="rId6">
        <w:r>
          <w:rPr>
            <w:color w:val="1155CC"/>
            <w:sz w:val="20"/>
            <w:szCs w:val="20"/>
            <w:u w:val="single"/>
          </w:rPr>
          <w:t>https://www.elheraldodechihuahua.com.mx/local/existen-29-quejas-de-estudiantes-por-acoso-en-la-uach-4825070.html</w:t>
        </w:r>
      </w:hyperlink>
      <w:r>
        <w:rPr>
          <w:sz w:val="20"/>
          <w:szCs w:val="20"/>
        </w:rPr>
        <w:t>, el 09 de septiembre de 2023.</w:t>
      </w:r>
    </w:p>
  </w:footnote>
  <w:footnote w:id="9">
    <w:p w14:paraId="1C11B9ED" w14:textId="77777777" w:rsidR="00BE6076" w:rsidRDefault="00BE6076" w:rsidP="00BE6076">
      <w:pPr>
        <w:spacing w:after="0" w:line="240" w:lineRule="auto"/>
        <w:rPr>
          <w:sz w:val="20"/>
          <w:szCs w:val="20"/>
        </w:rPr>
      </w:pPr>
      <w:r>
        <w:rPr>
          <w:vertAlign w:val="superscript"/>
        </w:rPr>
        <w:footnoteRef/>
      </w:r>
      <w:r>
        <w:rPr>
          <w:sz w:val="20"/>
          <w:szCs w:val="20"/>
        </w:rPr>
        <w:t xml:space="preserve"> Denuncian la reintegración de docente con múltiples denuncias de acoso y hostigamiento sexual en la UACH” Recuperado de: “</w:t>
      </w:r>
      <w:hyperlink r:id="rId7">
        <w:r>
          <w:rPr>
            <w:color w:val="1155CC"/>
            <w:sz w:val="20"/>
            <w:szCs w:val="20"/>
            <w:u w:val="single"/>
          </w:rPr>
          <w:t>https://semmexico.mx/denuncian-la-reintegracion-de-docente-con-multiples-denuncias-de-acoso-y-hostigamiento-sexual-en-la-uacPROTESTAN CONTRA VIOLACIONES Y ACOSO EN LA UACH; EXIGEN JUSTICIA Y FIN AL ENCUBRIMIENTOh/</w:t>
        </w:r>
      </w:hyperlink>
      <w:r>
        <w:rPr>
          <w:sz w:val="20"/>
          <w:szCs w:val="20"/>
        </w:rPr>
        <w:t xml:space="preserve"> el 09 de septiembre de 2023.</w:t>
      </w:r>
    </w:p>
  </w:footnote>
  <w:footnote w:id="10">
    <w:p w14:paraId="6F16732A" w14:textId="77777777" w:rsidR="00BE6076" w:rsidRDefault="00BE6076" w:rsidP="00BE6076">
      <w:pPr>
        <w:spacing w:after="0" w:line="240" w:lineRule="auto"/>
        <w:rPr>
          <w:sz w:val="20"/>
          <w:szCs w:val="20"/>
        </w:rPr>
      </w:pPr>
      <w:r>
        <w:rPr>
          <w:vertAlign w:val="superscript"/>
        </w:rPr>
        <w:footnoteRef/>
      </w:r>
      <w:r>
        <w:rPr>
          <w:sz w:val="20"/>
          <w:szCs w:val="20"/>
        </w:rPr>
        <w:t xml:space="preserve">“PROTESTAN CONTRA VIOLACIONES Y ACOSO EN LA UACH; EXIGEN JUSTICIA Y FIN AL ENCUBRIMIENTO”. Recuperado de: </w:t>
      </w:r>
      <w:hyperlink r:id="rId8">
        <w:r>
          <w:rPr>
            <w:color w:val="1155CC"/>
            <w:sz w:val="20"/>
            <w:szCs w:val="20"/>
            <w:u w:val="single"/>
          </w:rPr>
          <w:t>https://entrelineas.com.mx/local/protestan-contra-violaciones-y-acoso-en-la-uach-exigen-justicia-y-fin-al-encubrimiento/</w:t>
        </w:r>
      </w:hyperlink>
      <w:r>
        <w:rPr>
          <w:sz w:val="20"/>
          <w:szCs w:val="20"/>
        </w:rPr>
        <w:t>, el 09 de septiembre de 2023.</w:t>
      </w:r>
    </w:p>
  </w:footnote>
  <w:footnote w:id="11">
    <w:p w14:paraId="4B4D09B1" w14:textId="77777777" w:rsidR="00BE6076" w:rsidRDefault="00BE6076" w:rsidP="00BE6076">
      <w:pPr>
        <w:spacing w:after="0" w:line="240" w:lineRule="auto"/>
        <w:rPr>
          <w:sz w:val="20"/>
          <w:szCs w:val="20"/>
        </w:rPr>
      </w:pPr>
      <w:r>
        <w:rPr>
          <w:vertAlign w:val="superscript"/>
        </w:rPr>
        <w:footnoteRef/>
      </w:r>
      <w:r>
        <w:rPr>
          <w:sz w:val="20"/>
          <w:szCs w:val="20"/>
        </w:rPr>
        <w:t xml:space="preserve"> Recomendación completa en: </w:t>
      </w:r>
      <w:hyperlink r:id="rId9">
        <w:r>
          <w:rPr>
            <w:color w:val="1155CC"/>
            <w:sz w:val="20"/>
            <w:szCs w:val="20"/>
            <w:u w:val="single"/>
          </w:rPr>
          <w:t>https://cedhchihuahua.org.mx/portal/Recomendaciones/2023/rec-09.pdf</w:t>
        </w:r>
      </w:hyperlink>
    </w:p>
  </w:footnote>
  <w:footnote w:id="12">
    <w:p w14:paraId="6579B9D1" w14:textId="77777777" w:rsidR="00BE6076" w:rsidRDefault="00BE6076" w:rsidP="00BE6076">
      <w:pPr>
        <w:spacing w:after="0" w:line="240" w:lineRule="auto"/>
        <w:rPr>
          <w:sz w:val="20"/>
          <w:szCs w:val="20"/>
        </w:rPr>
      </w:pPr>
      <w:r>
        <w:rPr>
          <w:vertAlign w:val="superscript"/>
        </w:rPr>
        <w:footnoteRef/>
      </w:r>
      <w:r>
        <w:rPr>
          <w:sz w:val="20"/>
          <w:szCs w:val="20"/>
        </w:rPr>
        <w:t xml:space="preserve"> “Omisa UACH en casos de hostigamiento sexual por maestro, emite CEDH recomendación”. De Norte Digital, recuperado el 09 de septiembre de 2023. </w:t>
      </w:r>
      <w:hyperlink r:id="rId10">
        <w:r>
          <w:rPr>
            <w:color w:val="1155CC"/>
            <w:sz w:val="20"/>
            <w:szCs w:val="20"/>
            <w:u w:val="single"/>
          </w:rPr>
          <w:t>https://nortedigital.mx/omisa-uach-en-casos-de-hostigamiento-sexual-por-maestro-emite-cedh-recomendacion/</w:t>
        </w:r>
      </w:hyperlink>
    </w:p>
  </w:footnote>
  <w:footnote w:id="13">
    <w:p w14:paraId="09DA840F" w14:textId="77777777" w:rsidR="00BE6076" w:rsidRDefault="00BE6076" w:rsidP="00BE6076">
      <w:pPr>
        <w:spacing w:after="0" w:line="240" w:lineRule="auto"/>
        <w:rPr>
          <w:sz w:val="20"/>
          <w:szCs w:val="20"/>
        </w:rPr>
      </w:pPr>
      <w:r>
        <w:rPr>
          <w:vertAlign w:val="superscript"/>
        </w:rPr>
        <w:footnoteRef/>
      </w:r>
      <w:r>
        <w:rPr>
          <w:sz w:val="20"/>
          <w:szCs w:val="20"/>
        </w:rPr>
        <w:t xml:space="preserve"> “Denunciar el hostigamiento sexual en la UACH me cerró las puertas”. De Norte Digital, recuperado el 09 de septiembre de 2023. </w:t>
      </w:r>
      <w:hyperlink r:id="rId11">
        <w:r>
          <w:rPr>
            <w:color w:val="1155CC"/>
            <w:sz w:val="20"/>
            <w:szCs w:val="20"/>
            <w:u w:val="single"/>
          </w:rPr>
          <w:t>https://nortedechihuahua.mx/video-denunciar-el-hostigamiento-sexual-en-la-uach-me-cerro-las-puertas/</w:t>
        </w:r>
      </w:hyperlink>
    </w:p>
  </w:footnote>
  <w:footnote w:id="14">
    <w:p w14:paraId="1F08F3F7" w14:textId="77777777" w:rsidR="00BE6076" w:rsidRDefault="00BE6076" w:rsidP="00BE6076">
      <w:pPr>
        <w:spacing w:after="0" w:line="240" w:lineRule="auto"/>
        <w:rPr>
          <w:sz w:val="20"/>
          <w:szCs w:val="20"/>
        </w:rPr>
      </w:pPr>
      <w:r>
        <w:rPr>
          <w:vertAlign w:val="superscript"/>
        </w:rPr>
        <w:footnoteRef/>
      </w:r>
      <w:r>
        <w:rPr>
          <w:sz w:val="20"/>
          <w:szCs w:val="20"/>
        </w:rPr>
        <w:t xml:space="preserve"> “Critican falta de contacto de UACH a víctimas de acoso y hostigamiento sexual”. De Norte Digital, recuperado el 09 de septiembre de 2023. </w:t>
      </w:r>
      <w:hyperlink r:id="rId12">
        <w:r>
          <w:rPr>
            <w:color w:val="1155CC"/>
            <w:sz w:val="20"/>
            <w:szCs w:val="20"/>
            <w:u w:val="single"/>
          </w:rPr>
          <w:t>https://nortedechihuahua.mx/critican-falta-de-contacto-de-uach-a-victimas-de-acoso-y-hostigamiento-sexual/</w:t>
        </w:r>
      </w:hyperlink>
    </w:p>
    <w:p w14:paraId="35840D45" w14:textId="77777777" w:rsidR="00BE6076" w:rsidRDefault="00BE6076" w:rsidP="00BE6076">
      <w:pPr>
        <w:spacing w:after="0" w:line="240" w:lineRule="auto"/>
        <w:rPr>
          <w:sz w:val="20"/>
          <w:szCs w:val="20"/>
        </w:rPr>
      </w:pPr>
    </w:p>
  </w:footnote>
  <w:footnote w:id="15">
    <w:p w14:paraId="25FDCEEF" w14:textId="77777777" w:rsidR="00BE6076" w:rsidRDefault="00BE6076" w:rsidP="00BE6076">
      <w:pPr>
        <w:spacing w:after="0" w:line="240" w:lineRule="auto"/>
        <w:rPr>
          <w:sz w:val="20"/>
          <w:szCs w:val="20"/>
        </w:rPr>
      </w:pPr>
      <w:r>
        <w:rPr>
          <w:vertAlign w:val="superscript"/>
        </w:rPr>
        <w:footnoteRef/>
      </w:r>
      <w:r>
        <w:rPr>
          <w:sz w:val="20"/>
          <w:szCs w:val="20"/>
        </w:rPr>
        <w:t xml:space="preserve"> “Realizarán marcha estudiantes de medicina para exigir soluciones” De Periodiquero. Recuperado el 09 de septiembre de 2023: </w:t>
      </w:r>
      <w:hyperlink r:id="rId13">
        <w:r>
          <w:rPr>
            <w:color w:val="1155CC"/>
            <w:sz w:val="20"/>
            <w:szCs w:val="20"/>
            <w:u w:val="single"/>
          </w:rPr>
          <w:t>https://periodiquero.com/ciudad/chihuahua/realizaran-marcha-estudiantes-de-la-facultad-de-me/</w:t>
        </w:r>
      </w:hyperlink>
    </w:p>
  </w:footnote>
  <w:footnote w:id="16">
    <w:p w14:paraId="14F86983" w14:textId="77777777" w:rsidR="00BE6076" w:rsidRDefault="00BE6076" w:rsidP="00BE6076">
      <w:pPr>
        <w:spacing w:after="0" w:line="240" w:lineRule="auto"/>
        <w:rPr>
          <w:sz w:val="20"/>
          <w:szCs w:val="20"/>
        </w:rPr>
      </w:pPr>
      <w:r>
        <w:rPr>
          <w:vertAlign w:val="superscript"/>
        </w:rPr>
        <w:footnoteRef/>
      </w:r>
      <w:r>
        <w:rPr>
          <w:sz w:val="20"/>
          <w:szCs w:val="20"/>
        </w:rPr>
        <w:t xml:space="preserve"> “Exhiben a docentes y alumnos de la UACH en tendedero de agresores sexuales”. La Verdad Juárez, recuperado el 09 de septiembre de 2023: </w:t>
      </w:r>
      <w:hyperlink r:id="rId14">
        <w:r>
          <w:rPr>
            <w:color w:val="1155CC"/>
            <w:sz w:val="20"/>
            <w:szCs w:val="20"/>
            <w:u w:val="single"/>
          </w:rPr>
          <w:t>https://laverdadjuarez.com/2022/05/24/exhiben-a-docentes-y-alumnos-de-la-uach-en-tendedero-de-agresores-sexuales/</w:t>
        </w:r>
      </w:hyperlink>
    </w:p>
  </w:footnote>
  <w:footnote w:id="17">
    <w:p w14:paraId="18F49365" w14:textId="77777777" w:rsidR="00BE6076" w:rsidRDefault="00BE6076" w:rsidP="00BE6076">
      <w:pPr>
        <w:spacing w:after="0" w:line="240" w:lineRule="auto"/>
        <w:rPr>
          <w:sz w:val="20"/>
          <w:szCs w:val="20"/>
        </w:rPr>
      </w:pPr>
      <w:r>
        <w:rPr>
          <w:vertAlign w:val="superscript"/>
        </w:rPr>
        <w:footnoteRef/>
      </w:r>
      <w:r>
        <w:rPr>
          <w:sz w:val="20"/>
          <w:szCs w:val="20"/>
        </w:rPr>
        <w:t xml:space="preserve"> “Al menos siete facultades de la UACh denunciadas en tendedero de agresores sexuales” Raichali. com. Recuperado el 09 de septiembre de 2023. </w:t>
      </w:r>
      <w:hyperlink r:id="rId15">
        <w:r>
          <w:rPr>
            <w:color w:val="1155CC"/>
            <w:sz w:val="20"/>
            <w:szCs w:val="20"/>
            <w:u w:val="single"/>
          </w:rPr>
          <w:t>https://raichali.com/2022/05/23/tendedero-acoso-universitario-uach/</w:t>
        </w:r>
      </w:hyperlink>
    </w:p>
  </w:footnote>
  <w:footnote w:id="18">
    <w:p w14:paraId="79C74422" w14:textId="77777777" w:rsidR="00BE6076" w:rsidRDefault="00BE6076" w:rsidP="00BE6076">
      <w:pPr>
        <w:spacing w:after="0" w:line="240" w:lineRule="auto"/>
        <w:rPr>
          <w:sz w:val="20"/>
          <w:szCs w:val="20"/>
        </w:rPr>
      </w:pPr>
      <w:r>
        <w:rPr>
          <w:vertAlign w:val="superscript"/>
        </w:rPr>
        <w:footnoteRef/>
      </w:r>
      <w:r>
        <w:rPr>
          <w:sz w:val="20"/>
          <w:szCs w:val="20"/>
        </w:rPr>
        <w:t xml:space="preserve"> “</w:t>
      </w:r>
      <w:r>
        <w:rPr>
          <w:color w:val="212121"/>
          <w:sz w:val="20"/>
          <w:szCs w:val="20"/>
        </w:rPr>
        <w:t xml:space="preserve">Denuncian a maestros acosadores” El Diario Mx. Recuperado el 09 de septiembre de 2023. </w:t>
      </w:r>
      <w:hyperlink r:id="rId16">
        <w:r>
          <w:rPr>
            <w:color w:val="1155CC"/>
            <w:sz w:val="20"/>
            <w:szCs w:val="20"/>
            <w:u w:val="single"/>
          </w:rPr>
          <w:t>https://diario.mx/estado/denuncian-a-maestros-acosadores-20220523-1933533.html</w:t>
        </w:r>
      </w:hyperlink>
    </w:p>
  </w:footnote>
  <w:footnote w:id="19">
    <w:p w14:paraId="6C8DC043" w14:textId="77777777" w:rsidR="00BE6076" w:rsidRDefault="00BE6076" w:rsidP="00BE6076">
      <w:pPr>
        <w:spacing w:after="0" w:line="240" w:lineRule="auto"/>
        <w:rPr>
          <w:sz w:val="20"/>
          <w:szCs w:val="20"/>
        </w:rPr>
      </w:pPr>
      <w:r>
        <w:rPr>
          <w:vertAlign w:val="superscript"/>
        </w:rPr>
        <w:footnoteRef/>
      </w:r>
      <w:r>
        <w:rPr>
          <w:sz w:val="20"/>
          <w:szCs w:val="20"/>
        </w:rPr>
        <w:t xml:space="preserve"> “Exigen destituir a nuevo secretario académico de medicina por acosador” Recuperado de: </w:t>
      </w:r>
      <w:hyperlink r:id="rId17">
        <w:r>
          <w:rPr>
            <w:color w:val="1155CC"/>
            <w:sz w:val="20"/>
            <w:szCs w:val="20"/>
            <w:u w:val="single"/>
          </w:rPr>
          <w:t>https://laopcion.com.mx/local/exigen-destituir-a-nuevo-secretario-academico-de-medicina-por-acosador-20211027-357057.html</w:t>
        </w:r>
      </w:hyperlink>
      <w:r>
        <w:rPr>
          <w:sz w:val="20"/>
          <w:szCs w:val="20"/>
        </w:rPr>
        <w:t>, Recuperado el 09 de septiembre de 2023.</w:t>
      </w:r>
    </w:p>
  </w:footnote>
  <w:footnote w:id="20">
    <w:p w14:paraId="1515CA8C" w14:textId="77777777" w:rsidR="00BE6076" w:rsidRDefault="00BE6076" w:rsidP="00BE6076">
      <w:pPr>
        <w:spacing w:after="0" w:line="240" w:lineRule="auto"/>
        <w:rPr>
          <w:sz w:val="20"/>
          <w:szCs w:val="20"/>
        </w:rPr>
      </w:pPr>
      <w:r>
        <w:rPr>
          <w:vertAlign w:val="superscript"/>
        </w:rPr>
        <w:footnoteRef/>
      </w:r>
      <w:r>
        <w:rPr>
          <w:sz w:val="20"/>
          <w:szCs w:val="20"/>
        </w:rPr>
        <w:t xml:space="preserve">“ Acoso, agresiones y desapariciones, lo que enfrentan pasantes y egresadas de medicina”. Raichali Noticias. Recuperado el 09 de septiembre de 2023. </w:t>
      </w:r>
      <w:hyperlink r:id="rId18">
        <w:r>
          <w:rPr>
            <w:color w:val="1155CC"/>
            <w:sz w:val="20"/>
            <w:szCs w:val="20"/>
            <w:u w:val="single"/>
          </w:rPr>
          <w:t>https://raichali.com/2021/02/07/protesta-por-mariana-en-chihuahua/</w:t>
        </w:r>
      </w:hyperlink>
    </w:p>
    <w:p w14:paraId="0008083F" w14:textId="77777777" w:rsidR="00BE6076" w:rsidRDefault="00BE6076" w:rsidP="00BE6076">
      <w:pPr>
        <w:spacing w:after="0" w:line="240" w:lineRule="auto"/>
        <w:rPr>
          <w:sz w:val="20"/>
          <w:szCs w:val="20"/>
        </w:rPr>
      </w:pPr>
    </w:p>
  </w:footnote>
  <w:footnote w:id="21">
    <w:p w14:paraId="4F3112E1" w14:textId="77777777" w:rsidR="00BE6076" w:rsidRDefault="00BE6076" w:rsidP="00BE6076">
      <w:pPr>
        <w:spacing w:after="0" w:line="240" w:lineRule="auto"/>
        <w:rPr>
          <w:sz w:val="20"/>
          <w:szCs w:val="20"/>
        </w:rPr>
      </w:pPr>
      <w:r>
        <w:rPr>
          <w:vertAlign w:val="superscript"/>
        </w:rPr>
        <w:footnoteRef/>
      </w:r>
      <w:r>
        <w:rPr>
          <w:sz w:val="20"/>
          <w:szCs w:val="20"/>
        </w:rPr>
        <w:t xml:space="preserve"> “Denuncian a médico de San Luis Potosí de acoso y violencia contra doctoras y pacientes. IMSS sabía”. Debate. Recuperado el 09 de septiembre de 2023. </w:t>
      </w:r>
      <w:hyperlink r:id="rId19">
        <w:r>
          <w:rPr>
            <w:color w:val="1155CC"/>
            <w:sz w:val="20"/>
            <w:szCs w:val="20"/>
            <w:u w:val="single"/>
          </w:rPr>
          <w:t>https://www.debate.com.mx/estados/Denuncian-a-medico-de-San-Luis-Potosi-de-acoso-y-violencia-a-doctoras-y-pacientes-IMSS-sabia-20221023-0172.html</w:t>
        </w:r>
      </w:hyperlink>
    </w:p>
  </w:footnote>
  <w:footnote w:id="22">
    <w:p w14:paraId="28AE3235" w14:textId="77777777" w:rsidR="00BE6076" w:rsidRDefault="00BE6076" w:rsidP="00BE6076">
      <w:pPr>
        <w:spacing w:after="0" w:line="240" w:lineRule="auto"/>
        <w:rPr>
          <w:sz w:val="20"/>
          <w:szCs w:val="20"/>
        </w:rPr>
      </w:pPr>
      <w:r>
        <w:rPr>
          <w:vertAlign w:val="superscript"/>
        </w:rPr>
        <w:footnoteRef/>
      </w:r>
      <w:r>
        <w:rPr>
          <w:sz w:val="20"/>
          <w:szCs w:val="20"/>
        </w:rPr>
        <w:t xml:space="preserve"> Dictaron 3 años de prisión a presunto feminicida de la doctora Mariana Sánchez en Chiapas. Infobae. Recuperado el 09 de septiembre de 2023. </w:t>
      </w:r>
      <w:hyperlink r:id="rId20">
        <w:r>
          <w:rPr>
            <w:color w:val="1155CC"/>
            <w:sz w:val="20"/>
            <w:szCs w:val="20"/>
            <w:u w:val="single"/>
          </w:rPr>
          <w:t>https://www.infobae.com/america/mexico/2022/11/26/dictaron-3-anos-de-prision-al-presunto-feminicida-de-la-doctora-mariana-sanchez-en-chiapas/</w:t>
        </w:r>
      </w:hyperlink>
    </w:p>
    <w:p w14:paraId="3DC8F505" w14:textId="77777777" w:rsidR="00BE6076" w:rsidRDefault="00BE6076" w:rsidP="00BE6076">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C88AC" w14:textId="482A5839" w:rsidR="0028146B" w:rsidRDefault="00591BD2">
    <w:pPr>
      <w:pStyle w:val="Encabezado"/>
    </w:pPr>
    <w:r>
      <w:rPr>
        <w:noProof/>
        <w:lang w:val="es-MX"/>
      </w:rPr>
      <w:drawing>
        <wp:anchor distT="0" distB="0" distL="114300" distR="114300" simplePos="0" relativeHeight="251660288" behindDoc="0" locked="0" layoutInCell="1" allowOverlap="1" wp14:anchorId="59BC1A95" wp14:editId="28015E2C">
          <wp:simplePos x="0" y="0"/>
          <wp:positionH relativeFrom="margin">
            <wp:posOffset>4866005</wp:posOffset>
          </wp:positionH>
          <wp:positionV relativeFrom="paragraph">
            <wp:posOffset>-274320</wp:posOffset>
          </wp:positionV>
          <wp:extent cx="1349887" cy="565757"/>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unesco_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9887" cy="565757"/>
                  </a:xfrm>
                  <a:prstGeom prst="rect">
                    <a:avLst/>
                  </a:prstGeom>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58240" behindDoc="0" locked="0" layoutInCell="1" allowOverlap="1" wp14:anchorId="7AFC2550" wp14:editId="48CEE921">
          <wp:simplePos x="0" y="0"/>
          <wp:positionH relativeFrom="margin">
            <wp:posOffset>2140585</wp:posOffset>
          </wp:positionH>
          <wp:positionV relativeFrom="paragraph">
            <wp:posOffset>-336550</wp:posOffset>
          </wp:positionV>
          <wp:extent cx="749300" cy="7493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emu.png"/>
                  <pic:cNvPicPr/>
                </pic:nvPicPr>
                <pic:blipFill>
                  <a:blip r:embed="rId2">
                    <a:extLst>
                      <a:ext uri="{28A0092B-C50C-407E-A947-70E740481C1C}">
                        <a14:useLocalDpi xmlns:a14="http://schemas.microsoft.com/office/drawing/2010/main" val="0"/>
                      </a:ext>
                    </a:extLst>
                  </a:blip>
                  <a:stretch>
                    <a:fillRect/>
                  </a:stretch>
                </pic:blipFill>
                <pic:spPr>
                  <a:xfrm>
                    <a:off x="0" y="0"/>
                    <a:ext cx="749300" cy="749300"/>
                  </a:xfrm>
                  <a:prstGeom prst="rect">
                    <a:avLst/>
                  </a:prstGeom>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64384" behindDoc="0" locked="0" layoutInCell="1" hidden="0" allowOverlap="1" wp14:anchorId="096CB2AF" wp14:editId="1BDF1B8F">
          <wp:simplePos x="0" y="0"/>
          <wp:positionH relativeFrom="column">
            <wp:posOffset>813435</wp:posOffset>
          </wp:positionH>
          <wp:positionV relativeFrom="paragraph">
            <wp:posOffset>-322580</wp:posOffset>
          </wp:positionV>
          <wp:extent cx="679450" cy="711200"/>
          <wp:effectExtent l="0" t="0" r="6350" b="0"/>
          <wp:wrapNone/>
          <wp:docPr id="162927515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679450" cy="711200"/>
                  </a:xfrm>
                  <a:prstGeom prst="rect">
                    <a:avLst/>
                  </a:prstGeom>
                  <a:ln/>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62336" behindDoc="0" locked="0" layoutInCell="1" hidden="0" allowOverlap="1" wp14:anchorId="72C5A43E" wp14:editId="293F93FB">
          <wp:simplePos x="0" y="0"/>
          <wp:positionH relativeFrom="column">
            <wp:posOffset>-466725</wp:posOffset>
          </wp:positionH>
          <wp:positionV relativeFrom="paragraph">
            <wp:posOffset>-368300</wp:posOffset>
          </wp:positionV>
          <wp:extent cx="736600" cy="730250"/>
          <wp:effectExtent l="0" t="0" r="6350" b="0"/>
          <wp:wrapNone/>
          <wp:docPr id="162927515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
                  <a:srcRect/>
                  <a:stretch>
                    <a:fillRect/>
                  </a:stretch>
                </pic:blipFill>
                <pic:spPr>
                  <a:xfrm>
                    <a:off x="0" y="0"/>
                    <a:ext cx="736600" cy="730250"/>
                  </a:xfrm>
                  <a:prstGeom prst="rect">
                    <a:avLst/>
                  </a:prstGeom>
                  <a:ln/>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65408" behindDoc="0" locked="0" layoutInCell="1" allowOverlap="1" wp14:anchorId="6AF917A5" wp14:editId="59F8ADCF">
          <wp:simplePos x="0" y="0"/>
          <wp:positionH relativeFrom="margin">
            <wp:posOffset>3735705</wp:posOffset>
          </wp:positionH>
          <wp:positionV relativeFrom="paragraph">
            <wp:posOffset>-365760</wp:posOffset>
          </wp:positionV>
          <wp:extent cx="731520" cy="73152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RDI-0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D3B5A"/>
    <w:multiLevelType w:val="multilevel"/>
    <w:tmpl w:val="458A0E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58514B"/>
    <w:multiLevelType w:val="multilevel"/>
    <w:tmpl w:val="004CD1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C47546"/>
    <w:multiLevelType w:val="multilevel"/>
    <w:tmpl w:val="9DEE3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884561"/>
    <w:multiLevelType w:val="multilevel"/>
    <w:tmpl w:val="A154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lvlOverride w:ilvl="0">
      <w:lvl w:ilvl="0">
        <w:numFmt w:val="decimal"/>
        <w:lvlText w:val="%1."/>
        <w:lvlJc w:val="left"/>
      </w:lvl>
    </w:lvlOverride>
  </w:num>
  <w:num w:numId="4">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431"/>
    <w:rsid w:val="000161D8"/>
    <w:rsid w:val="00016B8F"/>
    <w:rsid w:val="00050483"/>
    <w:rsid w:val="00083227"/>
    <w:rsid w:val="00083F22"/>
    <w:rsid w:val="000B21A5"/>
    <w:rsid w:val="000C2980"/>
    <w:rsid w:val="000E5C3A"/>
    <w:rsid w:val="000F44DD"/>
    <w:rsid w:val="001057C3"/>
    <w:rsid w:val="00145DDF"/>
    <w:rsid w:val="001C7405"/>
    <w:rsid w:val="002120A4"/>
    <w:rsid w:val="00213E45"/>
    <w:rsid w:val="002242A7"/>
    <w:rsid w:val="00230AFB"/>
    <w:rsid w:val="00246646"/>
    <w:rsid w:val="00251AAA"/>
    <w:rsid w:val="00263456"/>
    <w:rsid w:val="00265BF3"/>
    <w:rsid w:val="002764D3"/>
    <w:rsid w:val="0028146B"/>
    <w:rsid w:val="002847AF"/>
    <w:rsid w:val="002F717D"/>
    <w:rsid w:val="002F73C6"/>
    <w:rsid w:val="00302E63"/>
    <w:rsid w:val="003074EE"/>
    <w:rsid w:val="003324F6"/>
    <w:rsid w:val="00336713"/>
    <w:rsid w:val="00356F4B"/>
    <w:rsid w:val="003E2370"/>
    <w:rsid w:val="003F276F"/>
    <w:rsid w:val="003F4AD5"/>
    <w:rsid w:val="003F5DC2"/>
    <w:rsid w:val="003F6CC0"/>
    <w:rsid w:val="00515A61"/>
    <w:rsid w:val="005204F7"/>
    <w:rsid w:val="005349A5"/>
    <w:rsid w:val="005654F6"/>
    <w:rsid w:val="00591BD2"/>
    <w:rsid w:val="005E0DA4"/>
    <w:rsid w:val="005E1B3F"/>
    <w:rsid w:val="005F18A4"/>
    <w:rsid w:val="006015AB"/>
    <w:rsid w:val="00602E07"/>
    <w:rsid w:val="00604935"/>
    <w:rsid w:val="00622894"/>
    <w:rsid w:val="00634431"/>
    <w:rsid w:val="006349B3"/>
    <w:rsid w:val="00636F05"/>
    <w:rsid w:val="0064744B"/>
    <w:rsid w:val="00677A59"/>
    <w:rsid w:val="00693698"/>
    <w:rsid w:val="006C3358"/>
    <w:rsid w:val="006F1035"/>
    <w:rsid w:val="007270FF"/>
    <w:rsid w:val="007319D8"/>
    <w:rsid w:val="0074149B"/>
    <w:rsid w:val="007734AA"/>
    <w:rsid w:val="0081090F"/>
    <w:rsid w:val="00826A64"/>
    <w:rsid w:val="00864FAE"/>
    <w:rsid w:val="0087154B"/>
    <w:rsid w:val="00884E23"/>
    <w:rsid w:val="008D6F55"/>
    <w:rsid w:val="00936FCD"/>
    <w:rsid w:val="00962A49"/>
    <w:rsid w:val="00962B7A"/>
    <w:rsid w:val="00A05945"/>
    <w:rsid w:val="00A144A6"/>
    <w:rsid w:val="00A35DE3"/>
    <w:rsid w:val="00AC605B"/>
    <w:rsid w:val="00AF1D63"/>
    <w:rsid w:val="00B15467"/>
    <w:rsid w:val="00B53C6E"/>
    <w:rsid w:val="00B85B2F"/>
    <w:rsid w:val="00BB4A6C"/>
    <w:rsid w:val="00BE3350"/>
    <w:rsid w:val="00BE6076"/>
    <w:rsid w:val="00C02E01"/>
    <w:rsid w:val="00C10DA0"/>
    <w:rsid w:val="00C47B29"/>
    <w:rsid w:val="00C64F07"/>
    <w:rsid w:val="00C72EFB"/>
    <w:rsid w:val="00C87EEE"/>
    <w:rsid w:val="00C96D44"/>
    <w:rsid w:val="00CB7E71"/>
    <w:rsid w:val="00CE16CF"/>
    <w:rsid w:val="00CF5C90"/>
    <w:rsid w:val="00D21A02"/>
    <w:rsid w:val="00D336D4"/>
    <w:rsid w:val="00D35A03"/>
    <w:rsid w:val="00D458C1"/>
    <w:rsid w:val="00D6458D"/>
    <w:rsid w:val="00D70F57"/>
    <w:rsid w:val="00D7358A"/>
    <w:rsid w:val="00DA2F60"/>
    <w:rsid w:val="00DA656A"/>
    <w:rsid w:val="00E107A7"/>
    <w:rsid w:val="00E15A9C"/>
    <w:rsid w:val="00E4187E"/>
    <w:rsid w:val="00E50EC1"/>
    <w:rsid w:val="00E77ABC"/>
    <w:rsid w:val="00E97F5D"/>
    <w:rsid w:val="00EB1BA9"/>
    <w:rsid w:val="00EE0ED4"/>
    <w:rsid w:val="00EE4228"/>
    <w:rsid w:val="00F734D4"/>
    <w:rsid w:val="00F7621B"/>
    <w:rsid w:val="00FA7130"/>
    <w:rsid w:val="00FB2BE1"/>
    <w:rsid w:val="00FE04F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FEF84"/>
  <w15:chartTrackingRefBased/>
  <w15:docId w15:val="{96039AAC-1ED7-493D-AB41-AE8D4686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419" w:eastAsia="es-MX"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634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34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3443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3443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3443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3443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3443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443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443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443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3443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3443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3443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3443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3443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443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443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4431"/>
    <w:rPr>
      <w:rFonts w:eastAsiaTheme="majorEastAsia" w:cstheme="majorBidi"/>
      <w:color w:val="272727" w:themeColor="text1" w:themeTint="D8"/>
    </w:rPr>
  </w:style>
  <w:style w:type="paragraph" w:styleId="Ttulo">
    <w:name w:val="Title"/>
    <w:basedOn w:val="Normal"/>
    <w:next w:val="Normal"/>
    <w:link w:val="TtuloCar"/>
    <w:uiPriority w:val="10"/>
    <w:qFormat/>
    <w:rsid w:val="00634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44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443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44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4431"/>
    <w:pPr>
      <w:spacing w:before="160"/>
      <w:jc w:val="center"/>
    </w:pPr>
    <w:rPr>
      <w:i/>
      <w:iCs/>
      <w:color w:val="404040" w:themeColor="text1" w:themeTint="BF"/>
    </w:rPr>
  </w:style>
  <w:style w:type="character" w:customStyle="1" w:styleId="CitaCar">
    <w:name w:val="Cita Car"/>
    <w:basedOn w:val="Fuentedeprrafopredeter"/>
    <w:link w:val="Cita"/>
    <w:uiPriority w:val="29"/>
    <w:rsid w:val="00634431"/>
    <w:rPr>
      <w:i/>
      <w:iCs/>
      <w:color w:val="404040" w:themeColor="text1" w:themeTint="BF"/>
    </w:rPr>
  </w:style>
  <w:style w:type="paragraph" w:styleId="Prrafodelista">
    <w:name w:val="List Paragraph"/>
    <w:basedOn w:val="Normal"/>
    <w:uiPriority w:val="34"/>
    <w:qFormat/>
    <w:rsid w:val="00634431"/>
    <w:pPr>
      <w:ind w:left="720"/>
      <w:contextualSpacing/>
    </w:pPr>
  </w:style>
  <w:style w:type="character" w:styleId="nfasisintenso">
    <w:name w:val="Intense Emphasis"/>
    <w:basedOn w:val="Fuentedeprrafopredeter"/>
    <w:uiPriority w:val="21"/>
    <w:qFormat/>
    <w:rsid w:val="00634431"/>
    <w:rPr>
      <w:i/>
      <w:iCs/>
      <w:color w:val="0F4761" w:themeColor="accent1" w:themeShade="BF"/>
    </w:rPr>
  </w:style>
  <w:style w:type="paragraph" w:styleId="Citadestacada">
    <w:name w:val="Intense Quote"/>
    <w:basedOn w:val="Normal"/>
    <w:next w:val="Normal"/>
    <w:link w:val="CitadestacadaCar"/>
    <w:uiPriority w:val="30"/>
    <w:qFormat/>
    <w:rsid w:val="00634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34431"/>
    <w:rPr>
      <w:i/>
      <w:iCs/>
      <w:color w:val="0F4761" w:themeColor="accent1" w:themeShade="BF"/>
    </w:rPr>
  </w:style>
  <w:style w:type="character" w:styleId="Referenciaintensa">
    <w:name w:val="Intense Reference"/>
    <w:basedOn w:val="Fuentedeprrafopredeter"/>
    <w:uiPriority w:val="32"/>
    <w:qFormat/>
    <w:rsid w:val="00634431"/>
    <w:rPr>
      <w:b/>
      <w:bCs/>
      <w:smallCaps/>
      <w:color w:val="0F4761" w:themeColor="accent1" w:themeShade="BF"/>
      <w:spacing w:val="5"/>
    </w:rPr>
  </w:style>
  <w:style w:type="character" w:styleId="Hipervnculo">
    <w:name w:val="Hyperlink"/>
    <w:basedOn w:val="Fuentedeprrafopredeter"/>
    <w:uiPriority w:val="99"/>
    <w:unhideWhenUsed/>
    <w:rsid w:val="00145DDF"/>
    <w:rPr>
      <w:color w:val="467886" w:themeColor="hyperlink"/>
      <w:u w:val="single"/>
    </w:rPr>
  </w:style>
  <w:style w:type="character" w:customStyle="1" w:styleId="Mencinsinresolver1">
    <w:name w:val="Mención sin resolver1"/>
    <w:basedOn w:val="Fuentedeprrafopredeter"/>
    <w:uiPriority w:val="99"/>
    <w:semiHidden/>
    <w:unhideWhenUsed/>
    <w:rsid w:val="00145DDF"/>
    <w:rPr>
      <w:color w:val="605E5C"/>
      <w:shd w:val="clear" w:color="auto" w:fill="E1DFDD"/>
    </w:rPr>
  </w:style>
  <w:style w:type="paragraph" w:styleId="Encabezado">
    <w:name w:val="header"/>
    <w:basedOn w:val="Normal"/>
    <w:link w:val="EncabezadoCar"/>
    <w:uiPriority w:val="99"/>
    <w:unhideWhenUsed/>
    <w:rsid w:val="002242A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42A7"/>
  </w:style>
  <w:style w:type="paragraph" w:styleId="Piedepgina">
    <w:name w:val="footer"/>
    <w:basedOn w:val="Normal"/>
    <w:link w:val="PiedepginaCar"/>
    <w:uiPriority w:val="99"/>
    <w:unhideWhenUsed/>
    <w:rsid w:val="002242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42A7"/>
  </w:style>
  <w:style w:type="paragraph" w:styleId="Textonotapie">
    <w:name w:val="footnote text"/>
    <w:basedOn w:val="Normal"/>
    <w:link w:val="TextonotapieCar"/>
    <w:uiPriority w:val="99"/>
    <w:semiHidden/>
    <w:unhideWhenUsed/>
    <w:rsid w:val="002242A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42A7"/>
    <w:rPr>
      <w:sz w:val="20"/>
      <w:szCs w:val="20"/>
    </w:rPr>
  </w:style>
  <w:style w:type="character" w:styleId="Refdenotaalpie">
    <w:name w:val="footnote reference"/>
    <w:basedOn w:val="Fuentedeprrafopredeter"/>
    <w:uiPriority w:val="99"/>
    <w:semiHidden/>
    <w:unhideWhenUsed/>
    <w:rsid w:val="002242A7"/>
    <w:rPr>
      <w:vertAlign w:val="superscript"/>
    </w:rPr>
  </w:style>
  <w:style w:type="paragraph" w:styleId="Textonotaalfinal">
    <w:name w:val="endnote text"/>
    <w:basedOn w:val="Normal"/>
    <w:link w:val="TextonotaalfinalCar"/>
    <w:uiPriority w:val="99"/>
    <w:semiHidden/>
    <w:unhideWhenUsed/>
    <w:rsid w:val="00884E2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84E23"/>
    <w:rPr>
      <w:sz w:val="20"/>
      <w:szCs w:val="20"/>
    </w:rPr>
  </w:style>
  <w:style w:type="character" w:styleId="Refdenotaalfinal">
    <w:name w:val="endnote reference"/>
    <w:basedOn w:val="Fuentedeprrafopredeter"/>
    <w:uiPriority w:val="99"/>
    <w:semiHidden/>
    <w:unhideWhenUsed/>
    <w:rsid w:val="00884E23"/>
    <w:rPr>
      <w:vertAlign w:val="superscript"/>
    </w:rPr>
  </w:style>
  <w:style w:type="table" w:styleId="Tablaconcuadrcula">
    <w:name w:val="Table Grid"/>
    <w:basedOn w:val="Tablanormal"/>
    <w:uiPriority w:val="39"/>
    <w:rsid w:val="00A35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35DE3"/>
    <w:rPr>
      <w:b/>
      <w:bCs/>
    </w:rPr>
  </w:style>
  <w:style w:type="character" w:styleId="Hipervnculovisitado">
    <w:name w:val="FollowedHyperlink"/>
    <w:basedOn w:val="Fuentedeprrafopredeter"/>
    <w:uiPriority w:val="99"/>
    <w:semiHidden/>
    <w:unhideWhenUsed/>
    <w:rsid w:val="007319D8"/>
    <w:rPr>
      <w:color w:val="96607D" w:themeColor="followedHyperlink"/>
      <w:u w:val="single"/>
    </w:rPr>
  </w:style>
  <w:style w:type="paragraph" w:styleId="NormalWeb">
    <w:name w:val="Normal (Web)"/>
    <w:basedOn w:val="Normal"/>
    <w:uiPriority w:val="99"/>
    <w:semiHidden/>
    <w:unhideWhenUsed/>
    <w:rsid w:val="00336713"/>
    <w:pPr>
      <w:spacing w:before="100" w:beforeAutospacing="1" w:after="100" w:afterAutospacing="1" w:line="240" w:lineRule="auto"/>
    </w:pPr>
    <w:rPr>
      <w:rFonts w:ascii="Times New Roman" w:eastAsia="Times New Roman" w:hAnsi="Times New Roman" w:cs="Times New Roman"/>
      <w:kern w:val="0"/>
      <w:sz w:val="24"/>
      <w:szCs w:val="24"/>
      <w:lang w:val="es-MX"/>
      <w14:ligatures w14:val="none"/>
    </w:rPr>
  </w:style>
  <w:style w:type="character" w:customStyle="1" w:styleId="UnresolvedMention">
    <w:name w:val="Unresolved Mention"/>
    <w:basedOn w:val="Fuentedeprrafopredeter"/>
    <w:uiPriority w:val="99"/>
    <w:semiHidden/>
    <w:unhideWhenUsed/>
    <w:rsid w:val="00773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5463">
      <w:bodyDiv w:val="1"/>
      <w:marLeft w:val="0"/>
      <w:marRight w:val="0"/>
      <w:marTop w:val="0"/>
      <w:marBottom w:val="0"/>
      <w:divBdr>
        <w:top w:val="none" w:sz="0" w:space="0" w:color="auto"/>
        <w:left w:val="none" w:sz="0" w:space="0" w:color="auto"/>
        <w:bottom w:val="none" w:sz="0" w:space="0" w:color="auto"/>
        <w:right w:val="none" w:sz="0" w:space="0" w:color="auto"/>
      </w:divBdr>
    </w:div>
    <w:div w:id="175534977">
      <w:bodyDiv w:val="1"/>
      <w:marLeft w:val="0"/>
      <w:marRight w:val="0"/>
      <w:marTop w:val="0"/>
      <w:marBottom w:val="0"/>
      <w:divBdr>
        <w:top w:val="none" w:sz="0" w:space="0" w:color="auto"/>
        <w:left w:val="none" w:sz="0" w:space="0" w:color="auto"/>
        <w:bottom w:val="none" w:sz="0" w:space="0" w:color="auto"/>
        <w:right w:val="none" w:sz="0" w:space="0" w:color="auto"/>
      </w:divBdr>
    </w:div>
    <w:div w:id="269361334">
      <w:bodyDiv w:val="1"/>
      <w:marLeft w:val="0"/>
      <w:marRight w:val="0"/>
      <w:marTop w:val="0"/>
      <w:marBottom w:val="0"/>
      <w:divBdr>
        <w:top w:val="none" w:sz="0" w:space="0" w:color="auto"/>
        <w:left w:val="none" w:sz="0" w:space="0" w:color="auto"/>
        <w:bottom w:val="none" w:sz="0" w:space="0" w:color="auto"/>
        <w:right w:val="none" w:sz="0" w:space="0" w:color="auto"/>
      </w:divBdr>
    </w:div>
    <w:div w:id="333339457">
      <w:bodyDiv w:val="1"/>
      <w:marLeft w:val="0"/>
      <w:marRight w:val="0"/>
      <w:marTop w:val="0"/>
      <w:marBottom w:val="0"/>
      <w:divBdr>
        <w:top w:val="none" w:sz="0" w:space="0" w:color="auto"/>
        <w:left w:val="none" w:sz="0" w:space="0" w:color="auto"/>
        <w:bottom w:val="none" w:sz="0" w:space="0" w:color="auto"/>
        <w:right w:val="none" w:sz="0" w:space="0" w:color="auto"/>
      </w:divBdr>
    </w:div>
    <w:div w:id="378016755">
      <w:bodyDiv w:val="1"/>
      <w:marLeft w:val="0"/>
      <w:marRight w:val="0"/>
      <w:marTop w:val="0"/>
      <w:marBottom w:val="0"/>
      <w:divBdr>
        <w:top w:val="none" w:sz="0" w:space="0" w:color="auto"/>
        <w:left w:val="none" w:sz="0" w:space="0" w:color="auto"/>
        <w:bottom w:val="none" w:sz="0" w:space="0" w:color="auto"/>
        <w:right w:val="none" w:sz="0" w:space="0" w:color="auto"/>
      </w:divBdr>
    </w:div>
    <w:div w:id="409158299">
      <w:bodyDiv w:val="1"/>
      <w:marLeft w:val="0"/>
      <w:marRight w:val="0"/>
      <w:marTop w:val="0"/>
      <w:marBottom w:val="0"/>
      <w:divBdr>
        <w:top w:val="none" w:sz="0" w:space="0" w:color="auto"/>
        <w:left w:val="none" w:sz="0" w:space="0" w:color="auto"/>
        <w:bottom w:val="none" w:sz="0" w:space="0" w:color="auto"/>
        <w:right w:val="none" w:sz="0" w:space="0" w:color="auto"/>
      </w:divBdr>
    </w:div>
    <w:div w:id="425856395">
      <w:bodyDiv w:val="1"/>
      <w:marLeft w:val="0"/>
      <w:marRight w:val="0"/>
      <w:marTop w:val="0"/>
      <w:marBottom w:val="0"/>
      <w:divBdr>
        <w:top w:val="none" w:sz="0" w:space="0" w:color="auto"/>
        <w:left w:val="none" w:sz="0" w:space="0" w:color="auto"/>
        <w:bottom w:val="none" w:sz="0" w:space="0" w:color="auto"/>
        <w:right w:val="none" w:sz="0" w:space="0" w:color="auto"/>
      </w:divBdr>
    </w:div>
    <w:div w:id="433398832">
      <w:bodyDiv w:val="1"/>
      <w:marLeft w:val="0"/>
      <w:marRight w:val="0"/>
      <w:marTop w:val="0"/>
      <w:marBottom w:val="0"/>
      <w:divBdr>
        <w:top w:val="none" w:sz="0" w:space="0" w:color="auto"/>
        <w:left w:val="none" w:sz="0" w:space="0" w:color="auto"/>
        <w:bottom w:val="none" w:sz="0" w:space="0" w:color="auto"/>
        <w:right w:val="none" w:sz="0" w:space="0" w:color="auto"/>
      </w:divBdr>
    </w:div>
    <w:div w:id="509684409">
      <w:bodyDiv w:val="1"/>
      <w:marLeft w:val="0"/>
      <w:marRight w:val="0"/>
      <w:marTop w:val="0"/>
      <w:marBottom w:val="0"/>
      <w:divBdr>
        <w:top w:val="none" w:sz="0" w:space="0" w:color="auto"/>
        <w:left w:val="none" w:sz="0" w:space="0" w:color="auto"/>
        <w:bottom w:val="none" w:sz="0" w:space="0" w:color="auto"/>
        <w:right w:val="none" w:sz="0" w:space="0" w:color="auto"/>
      </w:divBdr>
    </w:div>
    <w:div w:id="582833420">
      <w:bodyDiv w:val="1"/>
      <w:marLeft w:val="0"/>
      <w:marRight w:val="0"/>
      <w:marTop w:val="0"/>
      <w:marBottom w:val="0"/>
      <w:divBdr>
        <w:top w:val="none" w:sz="0" w:space="0" w:color="auto"/>
        <w:left w:val="none" w:sz="0" w:space="0" w:color="auto"/>
        <w:bottom w:val="none" w:sz="0" w:space="0" w:color="auto"/>
        <w:right w:val="none" w:sz="0" w:space="0" w:color="auto"/>
      </w:divBdr>
    </w:div>
    <w:div w:id="654187720">
      <w:bodyDiv w:val="1"/>
      <w:marLeft w:val="0"/>
      <w:marRight w:val="0"/>
      <w:marTop w:val="0"/>
      <w:marBottom w:val="0"/>
      <w:divBdr>
        <w:top w:val="none" w:sz="0" w:space="0" w:color="auto"/>
        <w:left w:val="none" w:sz="0" w:space="0" w:color="auto"/>
        <w:bottom w:val="none" w:sz="0" w:space="0" w:color="auto"/>
        <w:right w:val="none" w:sz="0" w:space="0" w:color="auto"/>
      </w:divBdr>
    </w:div>
    <w:div w:id="668294997">
      <w:bodyDiv w:val="1"/>
      <w:marLeft w:val="0"/>
      <w:marRight w:val="0"/>
      <w:marTop w:val="0"/>
      <w:marBottom w:val="0"/>
      <w:divBdr>
        <w:top w:val="none" w:sz="0" w:space="0" w:color="auto"/>
        <w:left w:val="none" w:sz="0" w:space="0" w:color="auto"/>
        <w:bottom w:val="none" w:sz="0" w:space="0" w:color="auto"/>
        <w:right w:val="none" w:sz="0" w:space="0" w:color="auto"/>
      </w:divBdr>
    </w:div>
    <w:div w:id="673460253">
      <w:bodyDiv w:val="1"/>
      <w:marLeft w:val="0"/>
      <w:marRight w:val="0"/>
      <w:marTop w:val="0"/>
      <w:marBottom w:val="0"/>
      <w:divBdr>
        <w:top w:val="none" w:sz="0" w:space="0" w:color="auto"/>
        <w:left w:val="none" w:sz="0" w:space="0" w:color="auto"/>
        <w:bottom w:val="none" w:sz="0" w:space="0" w:color="auto"/>
        <w:right w:val="none" w:sz="0" w:space="0" w:color="auto"/>
      </w:divBdr>
    </w:div>
    <w:div w:id="765998611">
      <w:bodyDiv w:val="1"/>
      <w:marLeft w:val="0"/>
      <w:marRight w:val="0"/>
      <w:marTop w:val="0"/>
      <w:marBottom w:val="0"/>
      <w:divBdr>
        <w:top w:val="none" w:sz="0" w:space="0" w:color="auto"/>
        <w:left w:val="none" w:sz="0" w:space="0" w:color="auto"/>
        <w:bottom w:val="none" w:sz="0" w:space="0" w:color="auto"/>
        <w:right w:val="none" w:sz="0" w:space="0" w:color="auto"/>
      </w:divBdr>
    </w:div>
    <w:div w:id="771244162">
      <w:bodyDiv w:val="1"/>
      <w:marLeft w:val="0"/>
      <w:marRight w:val="0"/>
      <w:marTop w:val="0"/>
      <w:marBottom w:val="0"/>
      <w:divBdr>
        <w:top w:val="none" w:sz="0" w:space="0" w:color="auto"/>
        <w:left w:val="none" w:sz="0" w:space="0" w:color="auto"/>
        <w:bottom w:val="none" w:sz="0" w:space="0" w:color="auto"/>
        <w:right w:val="none" w:sz="0" w:space="0" w:color="auto"/>
      </w:divBdr>
    </w:div>
    <w:div w:id="781418045">
      <w:bodyDiv w:val="1"/>
      <w:marLeft w:val="0"/>
      <w:marRight w:val="0"/>
      <w:marTop w:val="0"/>
      <w:marBottom w:val="0"/>
      <w:divBdr>
        <w:top w:val="none" w:sz="0" w:space="0" w:color="auto"/>
        <w:left w:val="none" w:sz="0" w:space="0" w:color="auto"/>
        <w:bottom w:val="none" w:sz="0" w:space="0" w:color="auto"/>
        <w:right w:val="none" w:sz="0" w:space="0" w:color="auto"/>
      </w:divBdr>
    </w:div>
    <w:div w:id="1099594754">
      <w:bodyDiv w:val="1"/>
      <w:marLeft w:val="0"/>
      <w:marRight w:val="0"/>
      <w:marTop w:val="0"/>
      <w:marBottom w:val="0"/>
      <w:divBdr>
        <w:top w:val="none" w:sz="0" w:space="0" w:color="auto"/>
        <w:left w:val="none" w:sz="0" w:space="0" w:color="auto"/>
        <w:bottom w:val="none" w:sz="0" w:space="0" w:color="auto"/>
        <w:right w:val="none" w:sz="0" w:space="0" w:color="auto"/>
      </w:divBdr>
    </w:div>
    <w:div w:id="1112748755">
      <w:bodyDiv w:val="1"/>
      <w:marLeft w:val="0"/>
      <w:marRight w:val="0"/>
      <w:marTop w:val="0"/>
      <w:marBottom w:val="0"/>
      <w:divBdr>
        <w:top w:val="none" w:sz="0" w:space="0" w:color="auto"/>
        <w:left w:val="none" w:sz="0" w:space="0" w:color="auto"/>
        <w:bottom w:val="none" w:sz="0" w:space="0" w:color="auto"/>
        <w:right w:val="none" w:sz="0" w:space="0" w:color="auto"/>
      </w:divBdr>
    </w:div>
    <w:div w:id="1120225208">
      <w:bodyDiv w:val="1"/>
      <w:marLeft w:val="0"/>
      <w:marRight w:val="0"/>
      <w:marTop w:val="0"/>
      <w:marBottom w:val="0"/>
      <w:divBdr>
        <w:top w:val="none" w:sz="0" w:space="0" w:color="auto"/>
        <w:left w:val="none" w:sz="0" w:space="0" w:color="auto"/>
        <w:bottom w:val="none" w:sz="0" w:space="0" w:color="auto"/>
        <w:right w:val="none" w:sz="0" w:space="0" w:color="auto"/>
      </w:divBdr>
    </w:div>
    <w:div w:id="1176454550">
      <w:bodyDiv w:val="1"/>
      <w:marLeft w:val="0"/>
      <w:marRight w:val="0"/>
      <w:marTop w:val="0"/>
      <w:marBottom w:val="0"/>
      <w:divBdr>
        <w:top w:val="none" w:sz="0" w:space="0" w:color="auto"/>
        <w:left w:val="none" w:sz="0" w:space="0" w:color="auto"/>
        <w:bottom w:val="none" w:sz="0" w:space="0" w:color="auto"/>
        <w:right w:val="none" w:sz="0" w:space="0" w:color="auto"/>
      </w:divBdr>
    </w:div>
    <w:div w:id="1189223422">
      <w:bodyDiv w:val="1"/>
      <w:marLeft w:val="0"/>
      <w:marRight w:val="0"/>
      <w:marTop w:val="0"/>
      <w:marBottom w:val="0"/>
      <w:divBdr>
        <w:top w:val="none" w:sz="0" w:space="0" w:color="auto"/>
        <w:left w:val="none" w:sz="0" w:space="0" w:color="auto"/>
        <w:bottom w:val="none" w:sz="0" w:space="0" w:color="auto"/>
        <w:right w:val="none" w:sz="0" w:space="0" w:color="auto"/>
      </w:divBdr>
    </w:div>
    <w:div w:id="1269313507">
      <w:bodyDiv w:val="1"/>
      <w:marLeft w:val="0"/>
      <w:marRight w:val="0"/>
      <w:marTop w:val="0"/>
      <w:marBottom w:val="0"/>
      <w:divBdr>
        <w:top w:val="none" w:sz="0" w:space="0" w:color="auto"/>
        <w:left w:val="none" w:sz="0" w:space="0" w:color="auto"/>
        <w:bottom w:val="none" w:sz="0" w:space="0" w:color="auto"/>
        <w:right w:val="none" w:sz="0" w:space="0" w:color="auto"/>
      </w:divBdr>
    </w:div>
    <w:div w:id="1350134571">
      <w:bodyDiv w:val="1"/>
      <w:marLeft w:val="0"/>
      <w:marRight w:val="0"/>
      <w:marTop w:val="0"/>
      <w:marBottom w:val="0"/>
      <w:divBdr>
        <w:top w:val="none" w:sz="0" w:space="0" w:color="auto"/>
        <w:left w:val="none" w:sz="0" w:space="0" w:color="auto"/>
        <w:bottom w:val="none" w:sz="0" w:space="0" w:color="auto"/>
        <w:right w:val="none" w:sz="0" w:space="0" w:color="auto"/>
      </w:divBdr>
    </w:div>
    <w:div w:id="1458180515">
      <w:bodyDiv w:val="1"/>
      <w:marLeft w:val="0"/>
      <w:marRight w:val="0"/>
      <w:marTop w:val="0"/>
      <w:marBottom w:val="0"/>
      <w:divBdr>
        <w:top w:val="none" w:sz="0" w:space="0" w:color="auto"/>
        <w:left w:val="none" w:sz="0" w:space="0" w:color="auto"/>
        <w:bottom w:val="none" w:sz="0" w:space="0" w:color="auto"/>
        <w:right w:val="none" w:sz="0" w:space="0" w:color="auto"/>
      </w:divBdr>
    </w:div>
    <w:div w:id="1477644362">
      <w:bodyDiv w:val="1"/>
      <w:marLeft w:val="0"/>
      <w:marRight w:val="0"/>
      <w:marTop w:val="0"/>
      <w:marBottom w:val="0"/>
      <w:divBdr>
        <w:top w:val="none" w:sz="0" w:space="0" w:color="auto"/>
        <w:left w:val="none" w:sz="0" w:space="0" w:color="auto"/>
        <w:bottom w:val="none" w:sz="0" w:space="0" w:color="auto"/>
        <w:right w:val="none" w:sz="0" w:space="0" w:color="auto"/>
      </w:divBdr>
    </w:div>
    <w:div w:id="1532572767">
      <w:bodyDiv w:val="1"/>
      <w:marLeft w:val="0"/>
      <w:marRight w:val="0"/>
      <w:marTop w:val="0"/>
      <w:marBottom w:val="0"/>
      <w:divBdr>
        <w:top w:val="none" w:sz="0" w:space="0" w:color="auto"/>
        <w:left w:val="none" w:sz="0" w:space="0" w:color="auto"/>
        <w:bottom w:val="none" w:sz="0" w:space="0" w:color="auto"/>
        <w:right w:val="none" w:sz="0" w:space="0" w:color="auto"/>
      </w:divBdr>
    </w:div>
    <w:div w:id="1584950884">
      <w:bodyDiv w:val="1"/>
      <w:marLeft w:val="0"/>
      <w:marRight w:val="0"/>
      <w:marTop w:val="0"/>
      <w:marBottom w:val="0"/>
      <w:divBdr>
        <w:top w:val="none" w:sz="0" w:space="0" w:color="auto"/>
        <w:left w:val="none" w:sz="0" w:space="0" w:color="auto"/>
        <w:bottom w:val="none" w:sz="0" w:space="0" w:color="auto"/>
        <w:right w:val="none" w:sz="0" w:space="0" w:color="auto"/>
      </w:divBdr>
    </w:div>
    <w:div w:id="1589928082">
      <w:bodyDiv w:val="1"/>
      <w:marLeft w:val="0"/>
      <w:marRight w:val="0"/>
      <w:marTop w:val="0"/>
      <w:marBottom w:val="0"/>
      <w:divBdr>
        <w:top w:val="none" w:sz="0" w:space="0" w:color="auto"/>
        <w:left w:val="none" w:sz="0" w:space="0" w:color="auto"/>
        <w:bottom w:val="none" w:sz="0" w:space="0" w:color="auto"/>
        <w:right w:val="none" w:sz="0" w:space="0" w:color="auto"/>
      </w:divBdr>
    </w:div>
    <w:div w:id="1712226152">
      <w:bodyDiv w:val="1"/>
      <w:marLeft w:val="0"/>
      <w:marRight w:val="0"/>
      <w:marTop w:val="0"/>
      <w:marBottom w:val="0"/>
      <w:divBdr>
        <w:top w:val="none" w:sz="0" w:space="0" w:color="auto"/>
        <w:left w:val="none" w:sz="0" w:space="0" w:color="auto"/>
        <w:bottom w:val="none" w:sz="0" w:space="0" w:color="auto"/>
        <w:right w:val="none" w:sz="0" w:space="0" w:color="auto"/>
      </w:divBdr>
    </w:div>
    <w:div w:id="1715689223">
      <w:bodyDiv w:val="1"/>
      <w:marLeft w:val="0"/>
      <w:marRight w:val="0"/>
      <w:marTop w:val="0"/>
      <w:marBottom w:val="0"/>
      <w:divBdr>
        <w:top w:val="none" w:sz="0" w:space="0" w:color="auto"/>
        <w:left w:val="none" w:sz="0" w:space="0" w:color="auto"/>
        <w:bottom w:val="none" w:sz="0" w:space="0" w:color="auto"/>
        <w:right w:val="none" w:sz="0" w:space="0" w:color="auto"/>
      </w:divBdr>
    </w:div>
    <w:div w:id="1738169188">
      <w:bodyDiv w:val="1"/>
      <w:marLeft w:val="0"/>
      <w:marRight w:val="0"/>
      <w:marTop w:val="0"/>
      <w:marBottom w:val="0"/>
      <w:divBdr>
        <w:top w:val="none" w:sz="0" w:space="0" w:color="auto"/>
        <w:left w:val="none" w:sz="0" w:space="0" w:color="auto"/>
        <w:bottom w:val="none" w:sz="0" w:space="0" w:color="auto"/>
        <w:right w:val="none" w:sz="0" w:space="0" w:color="auto"/>
      </w:divBdr>
    </w:div>
    <w:div w:id="1757358553">
      <w:bodyDiv w:val="1"/>
      <w:marLeft w:val="0"/>
      <w:marRight w:val="0"/>
      <w:marTop w:val="0"/>
      <w:marBottom w:val="0"/>
      <w:divBdr>
        <w:top w:val="none" w:sz="0" w:space="0" w:color="auto"/>
        <w:left w:val="none" w:sz="0" w:space="0" w:color="auto"/>
        <w:bottom w:val="none" w:sz="0" w:space="0" w:color="auto"/>
        <w:right w:val="none" w:sz="0" w:space="0" w:color="auto"/>
      </w:divBdr>
    </w:div>
    <w:div w:id="1762024855">
      <w:bodyDiv w:val="1"/>
      <w:marLeft w:val="0"/>
      <w:marRight w:val="0"/>
      <w:marTop w:val="0"/>
      <w:marBottom w:val="0"/>
      <w:divBdr>
        <w:top w:val="none" w:sz="0" w:space="0" w:color="auto"/>
        <w:left w:val="none" w:sz="0" w:space="0" w:color="auto"/>
        <w:bottom w:val="none" w:sz="0" w:space="0" w:color="auto"/>
        <w:right w:val="none" w:sz="0" w:space="0" w:color="auto"/>
      </w:divBdr>
    </w:div>
    <w:div w:id="1770546215">
      <w:bodyDiv w:val="1"/>
      <w:marLeft w:val="0"/>
      <w:marRight w:val="0"/>
      <w:marTop w:val="0"/>
      <w:marBottom w:val="0"/>
      <w:divBdr>
        <w:top w:val="none" w:sz="0" w:space="0" w:color="auto"/>
        <w:left w:val="none" w:sz="0" w:space="0" w:color="auto"/>
        <w:bottom w:val="none" w:sz="0" w:space="0" w:color="auto"/>
        <w:right w:val="none" w:sz="0" w:space="0" w:color="auto"/>
      </w:divBdr>
    </w:div>
    <w:div w:id="1818256471">
      <w:bodyDiv w:val="1"/>
      <w:marLeft w:val="0"/>
      <w:marRight w:val="0"/>
      <w:marTop w:val="0"/>
      <w:marBottom w:val="0"/>
      <w:divBdr>
        <w:top w:val="none" w:sz="0" w:space="0" w:color="auto"/>
        <w:left w:val="none" w:sz="0" w:space="0" w:color="auto"/>
        <w:bottom w:val="none" w:sz="0" w:space="0" w:color="auto"/>
        <w:right w:val="none" w:sz="0" w:space="0" w:color="auto"/>
      </w:divBdr>
    </w:div>
    <w:div w:id="1819103995">
      <w:bodyDiv w:val="1"/>
      <w:marLeft w:val="0"/>
      <w:marRight w:val="0"/>
      <w:marTop w:val="0"/>
      <w:marBottom w:val="0"/>
      <w:divBdr>
        <w:top w:val="none" w:sz="0" w:space="0" w:color="auto"/>
        <w:left w:val="none" w:sz="0" w:space="0" w:color="auto"/>
        <w:bottom w:val="none" w:sz="0" w:space="0" w:color="auto"/>
        <w:right w:val="none" w:sz="0" w:space="0" w:color="auto"/>
      </w:divBdr>
    </w:div>
    <w:div w:id="1863276107">
      <w:bodyDiv w:val="1"/>
      <w:marLeft w:val="0"/>
      <w:marRight w:val="0"/>
      <w:marTop w:val="0"/>
      <w:marBottom w:val="0"/>
      <w:divBdr>
        <w:top w:val="none" w:sz="0" w:space="0" w:color="auto"/>
        <w:left w:val="none" w:sz="0" w:space="0" w:color="auto"/>
        <w:bottom w:val="none" w:sz="0" w:space="0" w:color="auto"/>
        <w:right w:val="none" w:sz="0" w:space="0" w:color="auto"/>
      </w:divBdr>
    </w:div>
    <w:div w:id="1946615841">
      <w:bodyDiv w:val="1"/>
      <w:marLeft w:val="0"/>
      <w:marRight w:val="0"/>
      <w:marTop w:val="0"/>
      <w:marBottom w:val="0"/>
      <w:divBdr>
        <w:top w:val="none" w:sz="0" w:space="0" w:color="auto"/>
        <w:left w:val="none" w:sz="0" w:space="0" w:color="auto"/>
        <w:bottom w:val="none" w:sz="0" w:space="0" w:color="auto"/>
        <w:right w:val="none" w:sz="0" w:space="0" w:color="auto"/>
      </w:divBdr>
    </w:div>
    <w:div w:id="1974797632">
      <w:bodyDiv w:val="1"/>
      <w:marLeft w:val="0"/>
      <w:marRight w:val="0"/>
      <w:marTop w:val="0"/>
      <w:marBottom w:val="0"/>
      <w:divBdr>
        <w:top w:val="none" w:sz="0" w:space="0" w:color="auto"/>
        <w:left w:val="none" w:sz="0" w:space="0" w:color="auto"/>
        <w:bottom w:val="none" w:sz="0" w:space="0" w:color="auto"/>
        <w:right w:val="none" w:sz="0" w:space="0" w:color="auto"/>
      </w:divBdr>
    </w:div>
    <w:div w:id="1983191378">
      <w:bodyDiv w:val="1"/>
      <w:marLeft w:val="0"/>
      <w:marRight w:val="0"/>
      <w:marTop w:val="0"/>
      <w:marBottom w:val="0"/>
      <w:divBdr>
        <w:top w:val="none" w:sz="0" w:space="0" w:color="auto"/>
        <w:left w:val="none" w:sz="0" w:space="0" w:color="auto"/>
        <w:bottom w:val="none" w:sz="0" w:space="0" w:color="auto"/>
        <w:right w:val="none" w:sz="0" w:space="0" w:color="auto"/>
      </w:divBdr>
    </w:div>
    <w:div w:id="2008559362">
      <w:bodyDiv w:val="1"/>
      <w:marLeft w:val="0"/>
      <w:marRight w:val="0"/>
      <w:marTop w:val="0"/>
      <w:marBottom w:val="0"/>
      <w:divBdr>
        <w:top w:val="none" w:sz="0" w:space="0" w:color="auto"/>
        <w:left w:val="none" w:sz="0" w:space="0" w:color="auto"/>
        <w:bottom w:val="none" w:sz="0" w:space="0" w:color="auto"/>
        <w:right w:val="none" w:sz="0" w:space="0" w:color="auto"/>
      </w:divBdr>
    </w:div>
    <w:div w:id="2015186604">
      <w:bodyDiv w:val="1"/>
      <w:marLeft w:val="0"/>
      <w:marRight w:val="0"/>
      <w:marTop w:val="0"/>
      <w:marBottom w:val="0"/>
      <w:divBdr>
        <w:top w:val="none" w:sz="0" w:space="0" w:color="auto"/>
        <w:left w:val="none" w:sz="0" w:space="0" w:color="auto"/>
        <w:bottom w:val="none" w:sz="0" w:space="0" w:color="auto"/>
        <w:right w:val="none" w:sz="0" w:space="0" w:color="auto"/>
      </w:divBdr>
    </w:div>
    <w:div w:id="202790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entrelineas.com.mx/local/protestan-contra-violaciones-y-acoso-en-la-uach-exigen-justicia-y-fin-al-encubrimiento/" TargetMode="External"/><Relationship Id="rId13" Type="http://schemas.openxmlformats.org/officeDocument/2006/relationships/hyperlink" Target="https://periodiquero.com/ciudad/chihuahua/realizaran-marcha-estudiantes-de-la-facultad-de-me/" TargetMode="External"/><Relationship Id="rId18" Type="http://schemas.openxmlformats.org/officeDocument/2006/relationships/hyperlink" Target="https://raichali.com/2021/02/07/protesta-por-mariana-en-chihuahua/" TargetMode="External"/><Relationship Id="rId3" Type="http://schemas.openxmlformats.org/officeDocument/2006/relationships/hyperlink" Target="https://www.defensoria.unam.mx/web/informes/Informe-2023.pdf" TargetMode="External"/><Relationship Id="rId7" Type="http://schemas.openxmlformats.org/officeDocument/2006/relationships/hyperlink" Target="https://semmexico.mx/denuncian-la-reintegracion-de-docente-con-multiples-denuncias-de-acoso-y-hostigamiento-sexual-en-la-uach/" TargetMode="External"/><Relationship Id="rId12" Type="http://schemas.openxmlformats.org/officeDocument/2006/relationships/hyperlink" Target="https://nortedechihuahua.mx/critican-falta-de-contacto-de-uach-a-victimas-de-acoso-y-hostigamiento-sexual/" TargetMode="External"/><Relationship Id="rId17" Type="http://schemas.openxmlformats.org/officeDocument/2006/relationships/hyperlink" Target="https://laopcion.com.mx/local/exigen-destituir-a-nuevo-secretario-academico-de-medicina-por-acosador-20211027-357057.html" TargetMode="External"/><Relationship Id="rId2" Type="http://schemas.openxmlformats.org/officeDocument/2006/relationships/hyperlink" Target="https://www.defensoria.unam.mx/web/informes/Informe-2021-2022.pdf" TargetMode="External"/><Relationship Id="rId16" Type="http://schemas.openxmlformats.org/officeDocument/2006/relationships/hyperlink" Target="https://diario.mx/estado/denuncian-a-maestros-acosadores-20220523-1933533.html" TargetMode="External"/><Relationship Id="rId20" Type="http://schemas.openxmlformats.org/officeDocument/2006/relationships/hyperlink" Target="https://www.infobae.com/america/mexico/2022/11/26/dictaron-3-anos-de-prision-al-presunto-feminicida-de-la-doctora-mariana-sanchez-en-chiapas/" TargetMode="External"/><Relationship Id="rId1" Type="http://schemas.openxmlformats.org/officeDocument/2006/relationships/hyperlink" Target="https://www.defensoria.unam.mx/web/informes/INFORME_2020-2021.pdf" TargetMode="External"/><Relationship Id="rId6" Type="http://schemas.openxmlformats.org/officeDocument/2006/relationships/hyperlink" Target="https://www.elheraldodechihuahua.com.mx/local/existen-29-quejas-de-estudiantes-por-acoso-en-la-uach-4825070.html" TargetMode="External"/><Relationship Id="rId11" Type="http://schemas.openxmlformats.org/officeDocument/2006/relationships/hyperlink" Target="https://nortedechihuahua.mx/video-denunciar-el-hostigamiento-sexual-en-la-uach-me-cerro-las-puertas/" TargetMode="External"/><Relationship Id="rId5" Type="http://schemas.openxmlformats.org/officeDocument/2006/relationships/hyperlink" Target="https://www.elheraldodechihuahua.com.mx/local/chihuahua/realizaran-marcha-feministas-contra-el-acoso-y-hostigamiento-sexual-chihuahua-7153270.html" TargetMode="External"/><Relationship Id="rId15" Type="http://schemas.openxmlformats.org/officeDocument/2006/relationships/hyperlink" Target="https://raichali.com/2022/05/23/tendedero-acoso-universitario-uach/" TargetMode="External"/><Relationship Id="rId10" Type="http://schemas.openxmlformats.org/officeDocument/2006/relationships/hyperlink" Target="https://nortedigital.mx/omisa-uach-en-casos-de-hostigamiento-sexual-por-maestro-emite-cedh-recomendacion/" TargetMode="External"/><Relationship Id="rId19" Type="http://schemas.openxmlformats.org/officeDocument/2006/relationships/hyperlink" Target="https://www.debate.com.mx/estados/Denuncian-a-medico-de-San-Luis-Potosi-de-acoso-y-violencia-a-doctoras-y-pacientes-IMSS-sabia-20221023-0172.html" TargetMode="External"/><Relationship Id="rId4" Type="http://schemas.openxmlformats.org/officeDocument/2006/relationships/hyperlink" Target="https://difusionnorte.com/acoso-sexual-uach/" TargetMode="External"/><Relationship Id="rId9" Type="http://schemas.openxmlformats.org/officeDocument/2006/relationships/hyperlink" Target="https://cedhchihuahua.org.mx/portal/Recomendaciones/2023/rec-09.pdf" TargetMode="External"/><Relationship Id="rId14" Type="http://schemas.openxmlformats.org/officeDocument/2006/relationships/hyperlink" Target="https://laverdadjuarez.com/2022/05/24/exhiben-a-docentes-y-alumnos-de-la-uach-en-tendedero-de-agresores-sexual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2BA70-8DE6-454F-88E5-5A6F5A7A5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3966</Words>
  <Characters>21814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FERNANDA DORANTES ROMERO</dc:creator>
  <cp:keywords/>
  <dc:description/>
  <cp:lastModifiedBy>CUDH</cp:lastModifiedBy>
  <cp:revision>6</cp:revision>
  <cp:lastPrinted>2025-05-18T00:51:00Z</cp:lastPrinted>
  <dcterms:created xsi:type="dcterms:W3CDTF">2025-05-17T16:56:00Z</dcterms:created>
  <dcterms:modified xsi:type="dcterms:W3CDTF">2025-05-18T00:57:00Z</dcterms:modified>
</cp:coreProperties>
</file>