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10B6" w:rsidRPr="00886DCB" w:rsidRDefault="00EA10B6" w:rsidP="00EC7785">
      <w:pPr>
        <w:spacing w:after="0" w:line="360" w:lineRule="auto"/>
        <w:jc w:val="center"/>
        <w:rPr>
          <w:rFonts w:ascii="Arial" w:hAnsi="Arial" w:cs="Arial"/>
          <w:b/>
          <w:sz w:val="24"/>
          <w:szCs w:val="24"/>
          <w:lang w:val="es-ES_tradnl"/>
        </w:rPr>
      </w:pPr>
      <w:r w:rsidRPr="00886DCB">
        <w:rPr>
          <w:rFonts w:ascii="Arial" w:hAnsi="Arial" w:cs="Arial"/>
          <w:b/>
          <w:sz w:val="24"/>
          <w:szCs w:val="24"/>
          <w:lang w:val="es-ES_tradnl"/>
        </w:rPr>
        <w:t>Intervención del el Sr. J</w:t>
      </w:r>
      <w:r w:rsidR="004D3798" w:rsidRPr="00886DCB">
        <w:rPr>
          <w:rFonts w:ascii="Arial" w:hAnsi="Arial" w:cs="Arial"/>
          <w:b/>
          <w:sz w:val="24"/>
          <w:szCs w:val="24"/>
          <w:lang w:val="es-ES_tradnl"/>
        </w:rPr>
        <w:t>o</w:t>
      </w:r>
      <w:r w:rsidRPr="00886DCB">
        <w:rPr>
          <w:rFonts w:ascii="Arial" w:hAnsi="Arial" w:cs="Arial"/>
          <w:b/>
          <w:sz w:val="24"/>
          <w:szCs w:val="24"/>
          <w:lang w:val="es-ES_tradnl"/>
        </w:rPr>
        <w:t>an Carles Villaverde Canabal, director d</w:t>
      </w:r>
      <w:r w:rsidR="004D3798" w:rsidRPr="00886DCB">
        <w:rPr>
          <w:rFonts w:ascii="Arial" w:hAnsi="Arial" w:cs="Arial"/>
          <w:b/>
          <w:sz w:val="24"/>
          <w:szCs w:val="24"/>
          <w:lang w:val="es-ES_tradnl"/>
        </w:rPr>
        <w:t>e Asuntos Sociales, Vivienda y Juventud</w:t>
      </w:r>
      <w:r w:rsidRPr="00886DCB">
        <w:rPr>
          <w:rFonts w:ascii="Arial" w:hAnsi="Arial" w:cs="Arial"/>
          <w:b/>
          <w:sz w:val="24"/>
          <w:szCs w:val="24"/>
          <w:lang w:val="es-ES_tradnl"/>
        </w:rPr>
        <w:t xml:space="preserve"> del Ministeri</w:t>
      </w:r>
      <w:r w:rsidR="004D3798" w:rsidRPr="00886DCB">
        <w:rPr>
          <w:rFonts w:ascii="Arial" w:hAnsi="Arial" w:cs="Arial"/>
          <w:b/>
          <w:sz w:val="24"/>
          <w:szCs w:val="24"/>
          <w:lang w:val="es-ES_tradnl"/>
        </w:rPr>
        <w:t>o de Asuntos Sociales, Vivienda y Juventud</w:t>
      </w:r>
    </w:p>
    <w:p w:rsidR="00EA10B6" w:rsidRPr="00886DCB" w:rsidRDefault="00EA10B6" w:rsidP="00EC7785">
      <w:pPr>
        <w:spacing w:after="0" w:line="360" w:lineRule="auto"/>
        <w:jc w:val="center"/>
        <w:rPr>
          <w:rFonts w:ascii="Arial" w:hAnsi="Arial" w:cs="Arial"/>
          <w:b/>
          <w:sz w:val="24"/>
          <w:szCs w:val="24"/>
          <w:lang w:val="es-ES_tradnl"/>
        </w:rPr>
      </w:pPr>
    </w:p>
    <w:p w:rsidR="00EA10B6" w:rsidRPr="00886DCB" w:rsidRDefault="00EA10B6" w:rsidP="00EC7785">
      <w:pPr>
        <w:spacing w:after="200" w:line="360" w:lineRule="auto"/>
        <w:jc w:val="both"/>
        <w:rPr>
          <w:rFonts w:ascii="Arial" w:eastAsia="Times New Roman" w:hAnsi="Arial" w:cs="Arial"/>
          <w:b/>
          <w:sz w:val="24"/>
          <w:szCs w:val="24"/>
          <w:lang w:val="es-ES" w:eastAsia="zh-CN"/>
        </w:rPr>
      </w:pPr>
      <w:r w:rsidRPr="00886DCB">
        <w:rPr>
          <w:rFonts w:ascii="Arial" w:eastAsia="Times New Roman" w:hAnsi="Arial" w:cs="Arial"/>
          <w:b/>
          <w:sz w:val="24"/>
          <w:szCs w:val="24"/>
          <w:lang w:val="es-ES" w:eastAsia="zh-CN"/>
        </w:rPr>
        <w:t xml:space="preserve">Presentación del </w:t>
      </w:r>
      <w:r w:rsidR="004D3798" w:rsidRPr="00886DCB">
        <w:rPr>
          <w:rFonts w:ascii="Arial" w:eastAsia="Times New Roman" w:hAnsi="Arial" w:cs="Arial"/>
          <w:b/>
          <w:sz w:val="24"/>
          <w:szCs w:val="24"/>
          <w:lang w:val="es-ES" w:eastAsia="zh-CN"/>
        </w:rPr>
        <w:t xml:space="preserve">Cuarto </w:t>
      </w:r>
      <w:r w:rsidR="00E90955" w:rsidRPr="00886DCB">
        <w:rPr>
          <w:rFonts w:ascii="Arial" w:eastAsia="Times New Roman" w:hAnsi="Arial" w:cs="Arial"/>
          <w:b/>
          <w:sz w:val="24"/>
          <w:szCs w:val="24"/>
          <w:lang w:val="es-ES" w:eastAsia="zh-CN"/>
        </w:rPr>
        <w:t xml:space="preserve">Informe </w:t>
      </w:r>
      <w:r w:rsidR="004D3798" w:rsidRPr="00886DCB">
        <w:rPr>
          <w:rFonts w:ascii="Arial" w:eastAsia="Times New Roman" w:hAnsi="Arial" w:cs="Arial"/>
          <w:b/>
          <w:sz w:val="24"/>
          <w:szCs w:val="24"/>
          <w:lang w:val="es-ES" w:eastAsia="zh-CN"/>
        </w:rPr>
        <w:t>Periódico de la Convención sobre la Eliminación de Todas las Formas de Discriminación contra la Mujer</w:t>
      </w:r>
      <w:r w:rsidRPr="00886DCB">
        <w:rPr>
          <w:rFonts w:ascii="Arial" w:eastAsia="Times New Roman" w:hAnsi="Arial" w:cs="Arial"/>
          <w:b/>
          <w:sz w:val="24"/>
          <w:szCs w:val="24"/>
          <w:lang w:val="es-ES" w:eastAsia="zh-CN"/>
        </w:rPr>
        <w:t xml:space="preserve"> (CEDAW). (Ginebra, 23 de Octubre del 2019)</w:t>
      </w:r>
    </w:p>
    <w:p w:rsidR="00E90955" w:rsidRPr="00886DCB" w:rsidRDefault="00E90955" w:rsidP="00E90955">
      <w:pPr>
        <w:spacing w:after="200" w:line="360" w:lineRule="auto"/>
        <w:jc w:val="both"/>
        <w:rPr>
          <w:rFonts w:ascii="Arial" w:eastAsia="Times New Roman" w:hAnsi="Arial" w:cs="Arial"/>
          <w:b/>
          <w:sz w:val="24"/>
          <w:szCs w:val="24"/>
          <w:lang w:val="es-ES" w:eastAsia="zh-CN"/>
        </w:rPr>
      </w:pPr>
      <w:r w:rsidRPr="00886DCB">
        <w:rPr>
          <w:rFonts w:ascii="Arial" w:eastAsia="Times New Roman" w:hAnsi="Arial" w:cs="Arial"/>
          <w:b/>
          <w:sz w:val="24"/>
          <w:szCs w:val="24"/>
          <w:lang w:val="es-ES" w:eastAsia="zh-CN"/>
        </w:rPr>
        <w:t>Señor/a Presidente/a del Comité, distinguidos/as miembros del Comité,</w:t>
      </w:r>
    </w:p>
    <w:p w:rsidR="00E90955" w:rsidRPr="00225806" w:rsidRDefault="00E90955" w:rsidP="00E90955">
      <w:pPr>
        <w:spacing w:after="200" w:line="360" w:lineRule="auto"/>
        <w:jc w:val="both"/>
        <w:rPr>
          <w:rFonts w:ascii="Arial" w:eastAsia="Times New Roman" w:hAnsi="Arial" w:cs="Arial"/>
          <w:b/>
          <w:sz w:val="24"/>
          <w:szCs w:val="24"/>
          <w:lang w:eastAsia="zh-CN"/>
        </w:rPr>
      </w:pPr>
      <w:r w:rsidRPr="00886DCB">
        <w:rPr>
          <w:rFonts w:ascii="Arial" w:eastAsia="Times New Roman" w:hAnsi="Arial" w:cs="Arial"/>
          <w:b/>
          <w:sz w:val="24"/>
          <w:szCs w:val="24"/>
          <w:lang w:val="es-ES" w:eastAsia="zh-CN"/>
        </w:rPr>
        <w:t xml:space="preserve">Hoy tengo el honor de presentarles la delegación que me acompaña: </w:t>
      </w:r>
      <w:r w:rsidR="00225806" w:rsidRPr="00225806">
        <w:rPr>
          <w:rFonts w:ascii="Arial" w:eastAsia="Times New Roman" w:hAnsi="Arial" w:cs="Arial"/>
          <w:b/>
          <w:sz w:val="24"/>
          <w:szCs w:val="24"/>
          <w:lang w:eastAsia="zh-CN"/>
        </w:rPr>
        <w:t>Presenta el cap de la delegació.</w:t>
      </w:r>
    </w:p>
    <w:p w:rsidR="00EA10B6" w:rsidRPr="00886DCB" w:rsidRDefault="00E90955" w:rsidP="00E90955">
      <w:pPr>
        <w:spacing w:after="200" w:line="360" w:lineRule="auto"/>
        <w:jc w:val="both"/>
        <w:rPr>
          <w:rFonts w:ascii="Arial" w:eastAsia="Times New Roman" w:hAnsi="Arial" w:cs="Arial"/>
          <w:b/>
          <w:sz w:val="24"/>
          <w:szCs w:val="24"/>
          <w:lang w:val="es-ES" w:eastAsia="zh-CN"/>
        </w:rPr>
      </w:pPr>
      <w:r w:rsidRPr="00886DCB">
        <w:rPr>
          <w:rFonts w:ascii="Arial" w:eastAsia="Times New Roman" w:hAnsi="Arial" w:cs="Arial"/>
          <w:b/>
          <w:sz w:val="24"/>
          <w:szCs w:val="24"/>
          <w:lang w:val="es-ES" w:eastAsia="zh-CN"/>
        </w:rPr>
        <w:t xml:space="preserve">Nos complace presentar nuestro cuarto informe Periódico de la Convención sobre la Eliminación de Todas las Formas de Discriminación contra la Mujer. </w:t>
      </w:r>
    </w:p>
    <w:p w:rsidR="00EA10B6" w:rsidRPr="00886DCB" w:rsidRDefault="00EA10B6" w:rsidP="00EC7785">
      <w:pPr>
        <w:spacing w:line="360" w:lineRule="auto"/>
        <w:ind w:right="-1"/>
        <w:jc w:val="both"/>
        <w:rPr>
          <w:rFonts w:ascii="Arial" w:hAnsi="Arial" w:cs="Arial"/>
          <w:sz w:val="24"/>
          <w:szCs w:val="24"/>
          <w:lang w:val="es-ES"/>
        </w:rPr>
      </w:pPr>
      <w:r w:rsidRPr="00886DCB">
        <w:rPr>
          <w:rFonts w:ascii="Arial" w:hAnsi="Arial" w:cs="Arial"/>
          <w:sz w:val="24"/>
          <w:szCs w:val="24"/>
          <w:lang w:val="es-ES"/>
        </w:rPr>
        <w:t>En los últimos años ha habido en Andorra un importante esfuerzo por desar</w:t>
      </w:r>
      <w:r w:rsidR="00D44E7F" w:rsidRPr="00886DCB">
        <w:rPr>
          <w:rFonts w:ascii="Arial" w:hAnsi="Arial" w:cs="Arial"/>
          <w:sz w:val="24"/>
          <w:szCs w:val="24"/>
          <w:lang w:val="es-ES"/>
        </w:rPr>
        <w:t>rollar políticas para prevenir y</w:t>
      </w:r>
      <w:r w:rsidRPr="00886DCB">
        <w:rPr>
          <w:rFonts w:ascii="Arial" w:hAnsi="Arial" w:cs="Arial"/>
          <w:sz w:val="24"/>
          <w:szCs w:val="24"/>
          <w:lang w:val="es-ES"/>
        </w:rPr>
        <w:t xml:space="preserve"> atender problemáticas que afectan a las mujeres. La creación en 2016 del Departamento de Políticas de Igualdad i del Servicio de Igualdad incide en este sentido y tratan de abordar discriminaciones y desigualdades que afectan a las mujeres. </w:t>
      </w:r>
      <w:r w:rsidR="00C03E1F" w:rsidRPr="00886DCB">
        <w:rPr>
          <w:rFonts w:ascii="Arial" w:hAnsi="Arial" w:cs="Arial"/>
          <w:sz w:val="24"/>
          <w:szCs w:val="24"/>
          <w:lang w:val="es-ES"/>
        </w:rPr>
        <w:t>Dos de sus funciones principales son:</w:t>
      </w:r>
    </w:p>
    <w:p w:rsidR="00C03E1F" w:rsidRPr="00886DCB" w:rsidRDefault="00C03E1F" w:rsidP="00EC7785">
      <w:pPr>
        <w:spacing w:line="360" w:lineRule="auto"/>
        <w:ind w:right="-1"/>
        <w:jc w:val="both"/>
        <w:rPr>
          <w:rFonts w:ascii="Arial" w:hAnsi="Arial" w:cs="Arial"/>
          <w:sz w:val="24"/>
          <w:szCs w:val="24"/>
          <w:lang w:val="es-ES"/>
        </w:rPr>
      </w:pPr>
      <w:r w:rsidRPr="00886DCB">
        <w:rPr>
          <w:rFonts w:ascii="Arial" w:hAnsi="Arial" w:cs="Arial"/>
          <w:sz w:val="24"/>
          <w:szCs w:val="24"/>
          <w:lang w:val="es-ES"/>
        </w:rPr>
        <w:t>-Promover y desarrollar programas y acciones transversales dirigidas a prevenir y luchar contra la violencia de género y la violencia doméstica.</w:t>
      </w:r>
    </w:p>
    <w:p w:rsidR="00EA10B6" w:rsidRPr="00886DCB" w:rsidRDefault="00C03E1F" w:rsidP="00EC7785">
      <w:pPr>
        <w:spacing w:line="360" w:lineRule="auto"/>
        <w:ind w:right="-1"/>
        <w:jc w:val="both"/>
        <w:rPr>
          <w:rFonts w:ascii="Arial" w:hAnsi="Arial" w:cs="Arial"/>
          <w:sz w:val="24"/>
          <w:szCs w:val="24"/>
          <w:lang w:val="es-ES"/>
        </w:rPr>
      </w:pPr>
      <w:r w:rsidRPr="00886DCB">
        <w:rPr>
          <w:rFonts w:ascii="Arial" w:hAnsi="Arial" w:cs="Arial"/>
          <w:sz w:val="24"/>
          <w:szCs w:val="24"/>
          <w:lang w:val="es-ES"/>
        </w:rPr>
        <w:t xml:space="preserve">-Promover y desarrollar programas y acciones transversales dirigidas a prevenir y luchar para garantizar la igualdad efectiva de mujeres y hombres. </w:t>
      </w:r>
    </w:p>
    <w:p w:rsidR="00EA10B6" w:rsidRPr="00886DCB" w:rsidRDefault="004D3798" w:rsidP="00EC7785">
      <w:pPr>
        <w:spacing w:after="0" w:line="360" w:lineRule="auto"/>
        <w:jc w:val="both"/>
        <w:rPr>
          <w:rFonts w:ascii="Arial" w:hAnsi="Arial" w:cs="Arial"/>
          <w:sz w:val="24"/>
          <w:szCs w:val="24"/>
          <w:lang w:val="es-ES_tradnl"/>
        </w:rPr>
      </w:pPr>
      <w:r w:rsidRPr="00886DCB">
        <w:rPr>
          <w:rFonts w:ascii="Arial" w:eastAsia="Times New Roman" w:hAnsi="Arial" w:cs="Arial"/>
          <w:sz w:val="24"/>
          <w:szCs w:val="24"/>
          <w:lang w:val="es-ES_tradnl" w:eastAsia="es-ES"/>
        </w:rPr>
        <w:t>En 2015, e</w:t>
      </w:r>
      <w:r w:rsidR="00EA10B6" w:rsidRPr="00886DCB">
        <w:rPr>
          <w:rFonts w:ascii="Arial" w:eastAsia="Times New Roman" w:hAnsi="Arial" w:cs="Arial"/>
          <w:sz w:val="24"/>
          <w:szCs w:val="24"/>
          <w:lang w:val="es-ES_tradnl" w:eastAsia="es-ES"/>
        </w:rPr>
        <w:t xml:space="preserve">ste Departamento junto con el Parlamento de Andorra lanzó el proyecto del Libro Blanco de la Igualdad. Su objetivo </w:t>
      </w:r>
      <w:r w:rsidRPr="00886DCB">
        <w:rPr>
          <w:rFonts w:ascii="Arial" w:eastAsia="Times New Roman" w:hAnsi="Arial" w:cs="Arial"/>
          <w:sz w:val="24"/>
          <w:szCs w:val="24"/>
          <w:lang w:val="es-ES_tradnl" w:eastAsia="es-ES"/>
        </w:rPr>
        <w:t>fue</w:t>
      </w:r>
      <w:r w:rsidR="00EA10B6" w:rsidRPr="00886DCB">
        <w:rPr>
          <w:rFonts w:ascii="Arial" w:eastAsia="Times New Roman" w:hAnsi="Arial" w:cs="Arial"/>
          <w:sz w:val="24"/>
          <w:szCs w:val="24"/>
          <w:lang w:val="es-ES_tradnl" w:eastAsia="es-ES"/>
        </w:rPr>
        <w:t xml:space="preserve"> identificar los tipos de personas, los puntos débiles, el tratamiento discriminatorios que no siempre están a la vista. Se </w:t>
      </w:r>
      <w:r w:rsidRPr="00886DCB">
        <w:rPr>
          <w:rFonts w:ascii="Arial" w:eastAsia="Times New Roman" w:hAnsi="Arial" w:cs="Arial"/>
          <w:sz w:val="24"/>
          <w:szCs w:val="24"/>
          <w:lang w:val="es-ES_tradnl" w:eastAsia="es-ES"/>
        </w:rPr>
        <w:t>utilizó</w:t>
      </w:r>
      <w:r w:rsidR="00EA10B6" w:rsidRPr="00886DCB">
        <w:rPr>
          <w:rFonts w:ascii="Arial" w:eastAsia="Times New Roman" w:hAnsi="Arial" w:cs="Arial"/>
          <w:sz w:val="24"/>
          <w:szCs w:val="24"/>
          <w:lang w:val="es-ES_tradnl" w:eastAsia="es-ES"/>
        </w:rPr>
        <w:t xml:space="preserve"> un método </w:t>
      </w:r>
      <w:r w:rsidRPr="00886DCB">
        <w:rPr>
          <w:rFonts w:ascii="Arial" w:eastAsia="Times New Roman" w:hAnsi="Arial" w:cs="Arial"/>
          <w:sz w:val="24"/>
          <w:szCs w:val="24"/>
          <w:lang w:val="es-ES_tradnl" w:eastAsia="es-ES"/>
        </w:rPr>
        <w:t xml:space="preserve">participativo y de trabajo conjunto con las entidades sociales del país y la ciudadanía. </w:t>
      </w:r>
      <w:r w:rsidR="00EA10B6" w:rsidRPr="00886DCB">
        <w:rPr>
          <w:rFonts w:ascii="Arial" w:hAnsi="Arial" w:cs="Arial"/>
          <w:sz w:val="24"/>
          <w:szCs w:val="24"/>
          <w:lang w:val="es-ES_tradnl"/>
        </w:rPr>
        <w:t xml:space="preserve">Desde Andorra se entiende que las políticas de participación son otro de los instrumentos que posibilitan el diseño de las acciones adecuadas, que pueden facilitar el entendimiento. </w:t>
      </w:r>
    </w:p>
    <w:p w:rsidR="00F238CF" w:rsidRDefault="00F238CF" w:rsidP="00EC7785">
      <w:pPr>
        <w:spacing w:after="0" w:line="360" w:lineRule="auto"/>
        <w:jc w:val="both"/>
        <w:rPr>
          <w:rFonts w:ascii="Arial" w:hAnsi="Arial" w:cs="Arial"/>
          <w:sz w:val="24"/>
          <w:szCs w:val="24"/>
          <w:lang w:val="es-ES_tradnl"/>
        </w:rPr>
      </w:pPr>
      <w:r w:rsidRPr="00886DCB">
        <w:rPr>
          <w:rFonts w:ascii="Arial" w:hAnsi="Arial" w:cs="Arial"/>
          <w:sz w:val="24"/>
          <w:szCs w:val="24"/>
          <w:lang w:val="es-ES_tradnl"/>
        </w:rPr>
        <w:lastRenderedPageBreak/>
        <w:t>Este trabajo permitió extraer unas conclusiones y prioridades que se han recogido en la Ley 13/2019 para la igualdad del trato y la no discriminación</w:t>
      </w:r>
      <w:r w:rsidR="00A97F63">
        <w:rPr>
          <w:rFonts w:ascii="Arial" w:hAnsi="Arial" w:cs="Arial"/>
          <w:sz w:val="24"/>
          <w:szCs w:val="24"/>
          <w:lang w:val="es-ES_tradnl"/>
        </w:rPr>
        <w:t>, aprobada en 2019.</w:t>
      </w:r>
      <w:r w:rsidRPr="00886DCB">
        <w:rPr>
          <w:rFonts w:ascii="Arial" w:hAnsi="Arial" w:cs="Arial"/>
          <w:sz w:val="24"/>
          <w:szCs w:val="24"/>
          <w:lang w:val="es-ES_tradnl"/>
        </w:rPr>
        <w:t xml:space="preserve"> </w:t>
      </w:r>
    </w:p>
    <w:p w:rsidR="003D3F14" w:rsidRPr="00886DCB" w:rsidRDefault="003D3F14" w:rsidP="00EC7785">
      <w:pPr>
        <w:spacing w:after="0" w:line="360" w:lineRule="auto"/>
        <w:jc w:val="both"/>
        <w:rPr>
          <w:rFonts w:ascii="Arial" w:hAnsi="Arial" w:cs="Arial"/>
          <w:sz w:val="24"/>
          <w:szCs w:val="24"/>
          <w:lang w:val="es-ES_tradnl"/>
        </w:rPr>
      </w:pPr>
    </w:p>
    <w:p w:rsidR="00D44E7F" w:rsidRPr="00886DCB" w:rsidRDefault="00D44E7F" w:rsidP="00EC7785">
      <w:pPr>
        <w:spacing w:after="200" w:line="360" w:lineRule="auto"/>
        <w:jc w:val="both"/>
        <w:rPr>
          <w:rFonts w:ascii="Arial" w:hAnsi="Arial" w:cs="Arial"/>
          <w:sz w:val="24"/>
          <w:szCs w:val="24"/>
          <w:lang w:val="es-ES"/>
        </w:rPr>
      </w:pPr>
      <w:r w:rsidRPr="00886DCB">
        <w:rPr>
          <w:rFonts w:ascii="Arial" w:hAnsi="Arial" w:cs="Arial"/>
          <w:sz w:val="24"/>
          <w:szCs w:val="24"/>
          <w:lang w:val="es-ES"/>
        </w:rPr>
        <w:t xml:space="preserve">El objeto principal de la Ley es erigirse como norma marco desarrollando el principio de igualdad de trato y no discriminación, como derecho subjetivo, de manera integral y transversal, a partir de las definiciones básicas sobre esta materia que han de imperar en todos los sectores de la vida social como el significado y alcance de este derecho. Por primera vez, se regula el principio de inversión de la carga de la prueba dentro de nuestro ordenamiento jurídico y se recoge, como medida pionera, el principio de igualdad retributiva con la posibilidad de abono de las diferencias salariales desde el momento en que se detecta la discriminación. El texto legal culmina con la regulación de un régimen sancionador específico que garantice el cumplimiento de la Ley. </w:t>
      </w:r>
    </w:p>
    <w:p w:rsidR="00D44E7F" w:rsidRPr="00886DCB" w:rsidRDefault="00D44E7F" w:rsidP="00EC7785">
      <w:pPr>
        <w:spacing w:after="200" w:line="360" w:lineRule="auto"/>
        <w:jc w:val="both"/>
        <w:rPr>
          <w:rFonts w:ascii="Arial" w:hAnsi="Arial" w:cs="Arial"/>
          <w:sz w:val="24"/>
          <w:szCs w:val="24"/>
          <w:lang w:val="es-ES"/>
        </w:rPr>
      </w:pPr>
      <w:r w:rsidRPr="00886DCB">
        <w:rPr>
          <w:rFonts w:ascii="Arial" w:hAnsi="Arial" w:cs="Arial"/>
          <w:sz w:val="24"/>
          <w:szCs w:val="24"/>
          <w:lang w:val="es-ES"/>
        </w:rPr>
        <w:t xml:space="preserve">El desarrollo de </w:t>
      </w:r>
      <w:r w:rsidR="00C03E1F" w:rsidRPr="00886DCB">
        <w:rPr>
          <w:rFonts w:ascii="Arial" w:hAnsi="Arial" w:cs="Arial"/>
          <w:sz w:val="24"/>
          <w:szCs w:val="24"/>
          <w:lang w:val="es-ES"/>
        </w:rPr>
        <w:t>esta l</w:t>
      </w:r>
      <w:r w:rsidRPr="00886DCB">
        <w:rPr>
          <w:rFonts w:ascii="Arial" w:hAnsi="Arial" w:cs="Arial"/>
          <w:sz w:val="24"/>
          <w:szCs w:val="24"/>
          <w:lang w:val="es-ES"/>
        </w:rPr>
        <w:t>ey</w:t>
      </w:r>
      <w:r w:rsidRPr="00886DCB">
        <w:rPr>
          <w:rFonts w:ascii="Arial" w:hAnsi="Arial" w:cs="Arial"/>
          <w:b/>
          <w:sz w:val="24"/>
          <w:szCs w:val="24"/>
          <w:lang w:val="es-ES"/>
        </w:rPr>
        <w:t xml:space="preserve"> </w:t>
      </w:r>
      <w:r w:rsidRPr="00886DCB">
        <w:rPr>
          <w:rFonts w:ascii="Arial" w:hAnsi="Arial" w:cs="Arial"/>
          <w:sz w:val="24"/>
          <w:szCs w:val="24"/>
          <w:lang w:val="es-ES"/>
        </w:rPr>
        <w:t xml:space="preserve">implica la constitución de un </w:t>
      </w:r>
      <w:r w:rsidRPr="00886DCB">
        <w:rPr>
          <w:rFonts w:ascii="Arial" w:hAnsi="Arial" w:cs="Arial"/>
          <w:b/>
          <w:sz w:val="24"/>
          <w:szCs w:val="24"/>
          <w:u w:val="single"/>
          <w:lang w:val="es-ES"/>
        </w:rPr>
        <w:t>Observatorio de la Igualdad</w:t>
      </w:r>
      <w:r w:rsidRPr="00886DCB">
        <w:rPr>
          <w:rFonts w:ascii="Arial" w:hAnsi="Arial" w:cs="Arial"/>
          <w:sz w:val="24"/>
          <w:szCs w:val="24"/>
          <w:lang w:val="es-ES"/>
        </w:rPr>
        <w:t>, con la correspondiente dotación de medios y recursos y la aprobación de la planificación cuatrienal (plan integral para la igualdad de trato y no-discriminación, de fomento de la ocupación en consonancia con el desarrollo de la nueva legislación de relaciones laborales, programa de inclusión social de las personas inmigrantes y el programa para la igualdad efectiva de las mujeres y hombres).</w:t>
      </w:r>
    </w:p>
    <w:p w:rsidR="00D44E7F" w:rsidRPr="00886DCB" w:rsidRDefault="00D44E7F" w:rsidP="00EC7785">
      <w:pPr>
        <w:spacing w:after="200" w:line="360" w:lineRule="auto"/>
        <w:jc w:val="both"/>
        <w:rPr>
          <w:rFonts w:ascii="Arial" w:hAnsi="Arial" w:cs="Arial"/>
          <w:sz w:val="24"/>
          <w:szCs w:val="24"/>
          <w:lang w:val="es-ES"/>
        </w:rPr>
      </w:pPr>
      <w:r w:rsidRPr="00886DCB">
        <w:rPr>
          <w:rFonts w:ascii="Arial" w:hAnsi="Arial" w:cs="Arial"/>
          <w:sz w:val="24"/>
          <w:szCs w:val="24"/>
          <w:lang w:val="es-ES"/>
        </w:rPr>
        <w:t xml:space="preserve">La </w:t>
      </w:r>
      <w:r w:rsidRPr="00886DCB">
        <w:rPr>
          <w:rFonts w:ascii="Arial" w:hAnsi="Arial" w:cs="Arial"/>
          <w:b/>
          <w:sz w:val="24"/>
          <w:szCs w:val="24"/>
          <w:u w:val="single"/>
          <w:lang w:val="es-ES"/>
        </w:rPr>
        <w:t>introducción normalizada de la perspectiva de género</w:t>
      </w:r>
      <w:r w:rsidRPr="00886DCB">
        <w:rPr>
          <w:rFonts w:ascii="Arial" w:hAnsi="Arial" w:cs="Arial"/>
          <w:sz w:val="24"/>
          <w:szCs w:val="24"/>
          <w:lang w:val="es-ES"/>
        </w:rPr>
        <w:t xml:space="preserve"> en la producción de los programas, políticas y disposiciones normativas exige un proceso formativo del personal técnico a cargo de los diferentes departamentos para que esta dinámica pueda ser integrada de manera rutinaria. </w:t>
      </w:r>
      <w:r w:rsidR="00C03E1F" w:rsidRPr="00886DCB">
        <w:rPr>
          <w:rFonts w:ascii="Arial" w:hAnsi="Arial" w:cs="Arial"/>
          <w:sz w:val="24"/>
          <w:szCs w:val="24"/>
          <w:lang w:val="es-ES"/>
        </w:rPr>
        <w:t>También</w:t>
      </w:r>
      <w:r w:rsidRPr="00886DCB">
        <w:rPr>
          <w:rFonts w:ascii="Arial" w:hAnsi="Arial" w:cs="Arial"/>
          <w:sz w:val="24"/>
          <w:szCs w:val="24"/>
          <w:lang w:val="es-ES"/>
        </w:rPr>
        <w:t xml:space="preserve">, la reciente reforma del Reglamento del </w:t>
      </w:r>
      <w:proofErr w:type="spellStart"/>
      <w:r w:rsidRPr="00886DCB">
        <w:rPr>
          <w:rFonts w:ascii="Arial" w:hAnsi="Arial" w:cs="Arial"/>
          <w:i/>
          <w:sz w:val="24"/>
          <w:szCs w:val="24"/>
          <w:lang w:val="es-ES"/>
        </w:rPr>
        <w:t>Consell</w:t>
      </w:r>
      <w:proofErr w:type="spellEnd"/>
      <w:r w:rsidRPr="00886DCB">
        <w:rPr>
          <w:rFonts w:ascii="Arial" w:hAnsi="Arial" w:cs="Arial"/>
          <w:i/>
          <w:sz w:val="24"/>
          <w:szCs w:val="24"/>
          <w:lang w:val="es-ES"/>
        </w:rPr>
        <w:t xml:space="preserve"> General </w:t>
      </w:r>
      <w:r w:rsidRPr="00886DCB">
        <w:rPr>
          <w:rFonts w:ascii="Arial" w:hAnsi="Arial" w:cs="Arial"/>
          <w:sz w:val="24"/>
          <w:szCs w:val="24"/>
          <w:lang w:val="es-ES"/>
        </w:rPr>
        <w:t>(Parlamento) de 7 de febrero de 2019 facilita la aplicación de esta obligación al señalar que los proyectos de Ley aprobados por el Gobierno deberán estar acompañados de una memoria justificativa de que la iniciativa legislativa contempla de manera adecuada la perspectiva de género.</w:t>
      </w:r>
    </w:p>
    <w:p w:rsidR="00D44E7F" w:rsidRPr="00886DCB" w:rsidRDefault="00D44E7F" w:rsidP="00EC7785">
      <w:pPr>
        <w:spacing w:after="200" w:line="360" w:lineRule="auto"/>
        <w:jc w:val="both"/>
        <w:rPr>
          <w:rFonts w:ascii="Arial" w:hAnsi="Arial" w:cs="Arial"/>
          <w:sz w:val="24"/>
          <w:szCs w:val="24"/>
          <w:lang w:val="es-ES"/>
        </w:rPr>
      </w:pPr>
      <w:r w:rsidRPr="00886DCB">
        <w:rPr>
          <w:rFonts w:ascii="Arial" w:hAnsi="Arial" w:cs="Arial"/>
          <w:sz w:val="24"/>
          <w:szCs w:val="24"/>
          <w:lang w:val="es-ES"/>
        </w:rPr>
        <w:t xml:space="preserve">La adopción de </w:t>
      </w:r>
      <w:r w:rsidRPr="00886DCB">
        <w:rPr>
          <w:rFonts w:ascii="Arial" w:hAnsi="Arial" w:cs="Arial"/>
          <w:b/>
          <w:sz w:val="24"/>
          <w:szCs w:val="24"/>
          <w:u w:val="single"/>
          <w:lang w:val="es-ES"/>
        </w:rPr>
        <w:t>medidas de acción positiva de carácter temporal</w:t>
      </w:r>
      <w:r w:rsidRPr="00886DCB">
        <w:rPr>
          <w:rFonts w:ascii="Arial" w:hAnsi="Arial" w:cs="Arial"/>
          <w:sz w:val="24"/>
          <w:szCs w:val="24"/>
          <w:lang w:val="es-ES"/>
        </w:rPr>
        <w:t xml:space="preserve"> que puedan revertir las desigualdades por razón de género detectadas en el análisis del Libro </w:t>
      </w:r>
      <w:r w:rsidRPr="00886DCB">
        <w:rPr>
          <w:rFonts w:ascii="Arial" w:hAnsi="Arial" w:cs="Arial"/>
          <w:sz w:val="24"/>
          <w:szCs w:val="24"/>
          <w:lang w:val="es-ES"/>
        </w:rPr>
        <w:lastRenderedPageBreak/>
        <w:t>Blanco de la Igualdad: la brecha salarial y la segregación horizontal y vertical que afecta de manera negativa fundamentalmente a las mujeres.</w:t>
      </w:r>
    </w:p>
    <w:p w:rsidR="00D44E7F" w:rsidRPr="00886DCB" w:rsidRDefault="00D44E7F" w:rsidP="00EC7785">
      <w:pPr>
        <w:spacing w:after="200" w:line="360" w:lineRule="auto"/>
        <w:jc w:val="both"/>
        <w:rPr>
          <w:rFonts w:ascii="Arial" w:hAnsi="Arial" w:cs="Arial"/>
          <w:sz w:val="24"/>
          <w:szCs w:val="24"/>
          <w:lang w:val="es-ES"/>
        </w:rPr>
      </w:pPr>
      <w:r w:rsidRPr="00886DCB">
        <w:rPr>
          <w:rFonts w:ascii="Arial" w:hAnsi="Arial" w:cs="Arial"/>
          <w:sz w:val="24"/>
          <w:szCs w:val="24"/>
          <w:lang w:val="es-ES"/>
        </w:rPr>
        <w:t xml:space="preserve">La plena implementación de un </w:t>
      </w:r>
      <w:r w:rsidRPr="00886DCB">
        <w:rPr>
          <w:rFonts w:ascii="Arial" w:hAnsi="Arial" w:cs="Arial"/>
          <w:b/>
          <w:sz w:val="24"/>
          <w:szCs w:val="24"/>
          <w:u w:val="single"/>
          <w:lang w:val="es-ES"/>
        </w:rPr>
        <w:t>proceso sancionador en materia de igualdad y no-discriminación</w:t>
      </w:r>
      <w:r w:rsidRPr="00886DCB">
        <w:rPr>
          <w:rFonts w:ascii="Arial" w:hAnsi="Arial" w:cs="Arial"/>
          <w:sz w:val="24"/>
          <w:szCs w:val="24"/>
          <w:lang w:val="es-ES"/>
        </w:rPr>
        <w:t xml:space="preserve"> requiere igualmente procesos de formación de las diferentes inspecciones (educación, laboral, salud, asuntos sociales…) así como campañas de sensibilización que garanticen la eficacia de las medidas sancionadoras como método para erradicar las discriminaciones.</w:t>
      </w:r>
    </w:p>
    <w:p w:rsidR="00D44E7F" w:rsidRPr="00886DCB" w:rsidRDefault="00D44E7F" w:rsidP="00EC7785">
      <w:pPr>
        <w:spacing w:after="200" w:line="360" w:lineRule="auto"/>
        <w:jc w:val="both"/>
        <w:rPr>
          <w:rFonts w:ascii="Arial" w:hAnsi="Arial" w:cs="Arial"/>
          <w:sz w:val="24"/>
          <w:szCs w:val="24"/>
          <w:lang w:val="es-ES"/>
        </w:rPr>
      </w:pPr>
      <w:r w:rsidRPr="00886DCB">
        <w:rPr>
          <w:rFonts w:ascii="Arial" w:hAnsi="Arial" w:cs="Arial"/>
          <w:sz w:val="24"/>
          <w:szCs w:val="24"/>
          <w:lang w:val="es-ES"/>
        </w:rPr>
        <w:t xml:space="preserve">La aprobación de </w:t>
      </w:r>
      <w:r w:rsidRPr="00886DCB">
        <w:rPr>
          <w:rFonts w:ascii="Arial" w:hAnsi="Arial" w:cs="Arial"/>
          <w:b/>
          <w:sz w:val="24"/>
          <w:szCs w:val="24"/>
          <w:u w:val="single"/>
          <w:lang w:val="es-ES"/>
        </w:rPr>
        <w:t xml:space="preserve">campañas de sensibilización en materia de igualdad y no-discriminación </w:t>
      </w:r>
      <w:r w:rsidRPr="00886DCB">
        <w:rPr>
          <w:rFonts w:ascii="Arial" w:hAnsi="Arial" w:cs="Arial"/>
          <w:sz w:val="24"/>
          <w:szCs w:val="24"/>
          <w:lang w:val="es-ES"/>
        </w:rPr>
        <w:t>que promuevan la cultura de la igualdad, el respeto a la diversidad y la plena participación en la vida pública y privada de mujeres y hombres.</w:t>
      </w:r>
    </w:p>
    <w:p w:rsidR="00886DCB" w:rsidRPr="00886DCB" w:rsidRDefault="00886DCB" w:rsidP="00886DCB">
      <w:pPr>
        <w:spacing w:after="200" w:line="360" w:lineRule="auto"/>
        <w:contextualSpacing/>
        <w:jc w:val="both"/>
        <w:rPr>
          <w:rFonts w:ascii="Arial" w:hAnsi="Arial" w:cs="Arial"/>
          <w:sz w:val="24"/>
          <w:szCs w:val="24"/>
          <w:lang w:val="es-ES"/>
        </w:rPr>
      </w:pPr>
      <w:r w:rsidRPr="00886DCB">
        <w:rPr>
          <w:rFonts w:ascii="Arial" w:hAnsi="Arial" w:cs="Arial"/>
          <w:sz w:val="24"/>
          <w:szCs w:val="24"/>
          <w:lang w:val="es-ES"/>
        </w:rPr>
        <w:t>Si bien, la Ley define un marco general así como un sistema de garantías a través de diversas tutelas: administrativa, institucional y jurídica, cabe destacar medidas ya concretas que afectan especialmente a las mujeres:</w:t>
      </w:r>
    </w:p>
    <w:p w:rsidR="00886DCB" w:rsidRPr="00886DCB" w:rsidRDefault="00886DCB" w:rsidP="00886DCB">
      <w:pPr>
        <w:spacing w:after="200" w:line="360" w:lineRule="auto"/>
        <w:ind w:left="720"/>
        <w:contextualSpacing/>
        <w:jc w:val="both"/>
        <w:rPr>
          <w:rFonts w:ascii="Arial" w:hAnsi="Arial" w:cs="Arial"/>
          <w:sz w:val="24"/>
          <w:szCs w:val="24"/>
          <w:lang w:val="es-ES"/>
        </w:rPr>
      </w:pPr>
    </w:p>
    <w:p w:rsidR="00886DCB" w:rsidRPr="00886DCB" w:rsidRDefault="00886DCB" w:rsidP="00886DCB">
      <w:pPr>
        <w:numPr>
          <w:ilvl w:val="0"/>
          <w:numId w:val="1"/>
        </w:numPr>
        <w:spacing w:after="200" w:line="360" w:lineRule="auto"/>
        <w:contextualSpacing/>
        <w:jc w:val="both"/>
        <w:rPr>
          <w:rFonts w:ascii="Arial" w:hAnsi="Arial" w:cs="Arial"/>
          <w:sz w:val="24"/>
          <w:szCs w:val="24"/>
          <w:lang w:val="es-ES"/>
        </w:rPr>
      </w:pPr>
      <w:r w:rsidRPr="00886DCB">
        <w:rPr>
          <w:rFonts w:ascii="Arial" w:hAnsi="Arial" w:cs="Arial"/>
          <w:sz w:val="24"/>
          <w:szCs w:val="24"/>
          <w:lang w:val="es-ES"/>
        </w:rPr>
        <w:t xml:space="preserve">En el ámbito de las definiciones, se concreta que sin perjuicio de lo dispuesto en el Código Penal, se entiende por </w:t>
      </w:r>
      <w:r w:rsidRPr="00886DCB">
        <w:rPr>
          <w:rFonts w:ascii="Arial" w:hAnsi="Arial" w:cs="Arial"/>
          <w:i/>
          <w:sz w:val="24"/>
          <w:szCs w:val="24"/>
          <w:lang w:val="es-ES"/>
        </w:rPr>
        <w:t>acoso sexual</w:t>
      </w:r>
      <w:r w:rsidRPr="00886DCB">
        <w:rPr>
          <w:rFonts w:ascii="Arial" w:hAnsi="Arial" w:cs="Arial"/>
          <w:sz w:val="24"/>
          <w:szCs w:val="24"/>
          <w:lang w:val="es-ES"/>
        </w:rPr>
        <w:t xml:space="preserve"> cualquier comportamiento, verbal o no verbal o físico, de naturaleza sexual, dirigido contra una mujer, que tenga la finalidad o produzca el efecto de atentar contra su dignidad o de crearle un entorno intimidatorio, hostil, degradante, humillante u ofensivo y por </w:t>
      </w:r>
      <w:r w:rsidRPr="00886DCB">
        <w:rPr>
          <w:rFonts w:ascii="Arial" w:hAnsi="Arial" w:cs="Arial"/>
          <w:i/>
          <w:sz w:val="24"/>
          <w:szCs w:val="24"/>
          <w:lang w:val="es-ES"/>
        </w:rPr>
        <w:t xml:space="preserve">acoso por razón de sexo, </w:t>
      </w:r>
      <w:r w:rsidRPr="00886DCB">
        <w:rPr>
          <w:rFonts w:ascii="Arial" w:hAnsi="Arial" w:cs="Arial"/>
          <w:sz w:val="24"/>
          <w:szCs w:val="24"/>
          <w:lang w:val="es-ES"/>
        </w:rPr>
        <w:t>se entiende cualquier comportamiento realizado en función del sexo o género femenino con idéntica finalidad; reconociéndose que estas conductas son discriminatorias por razón de sexo así como el condicionamiento de un derecho o de una expectativa de derecho a la aceptación de una situación constitutiva de acoso sexual o de acoso por razón de sexo.</w:t>
      </w:r>
    </w:p>
    <w:p w:rsidR="00886DCB" w:rsidRPr="00886DCB" w:rsidRDefault="00886DCB" w:rsidP="00886DCB">
      <w:pPr>
        <w:spacing w:after="200" w:line="360" w:lineRule="auto"/>
        <w:ind w:left="1080"/>
        <w:contextualSpacing/>
        <w:jc w:val="both"/>
        <w:rPr>
          <w:rFonts w:ascii="Arial" w:hAnsi="Arial" w:cs="Arial"/>
          <w:sz w:val="24"/>
          <w:szCs w:val="24"/>
          <w:lang w:val="es-ES"/>
        </w:rPr>
      </w:pPr>
    </w:p>
    <w:p w:rsidR="00886DCB" w:rsidRPr="00886DCB" w:rsidRDefault="00886DCB" w:rsidP="00886DCB">
      <w:pPr>
        <w:numPr>
          <w:ilvl w:val="0"/>
          <w:numId w:val="1"/>
        </w:numPr>
        <w:spacing w:after="200" w:line="360" w:lineRule="auto"/>
        <w:contextualSpacing/>
        <w:jc w:val="both"/>
        <w:rPr>
          <w:rFonts w:ascii="Arial" w:hAnsi="Arial" w:cs="Arial"/>
          <w:sz w:val="24"/>
          <w:szCs w:val="24"/>
          <w:lang w:val="es-ES"/>
        </w:rPr>
      </w:pPr>
      <w:r w:rsidRPr="00886DCB">
        <w:rPr>
          <w:rFonts w:ascii="Arial" w:hAnsi="Arial" w:cs="Arial"/>
          <w:sz w:val="24"/>
          <w:szCs w:val="24"/>
          <w:lang w:val="es-ES"/>
        </w:rPr>
        <w:t>La protección de la mujer y la maternidad calificando cualquier trato desfavorable con motivo de embarazo o maternidad como una conducta discriminatoria por razón de sexo.</w:t>
      </w:r>
    </w:p>
    <w:p w:rsidR="00886DCB" w:rsidRPr="00886DCB" w:rsidRDefault="00886DCB" w:rsidP="00886DCB">
      <w:pPr>
        <w:spacing w:after="200" w:line="360" w:lineRule="auto"/>
        <w:ind w:left="720"/>
        <w:contextualSpacing/>
        <w:rPr>
          <w:rFonts w:ascii="Arial" w:hAnsi="Arial" w:cs="Arial"/>
          <w:sz w:val="24"/>
          <w:szCs w:val="24"/>
          <w:lang w:val="es-ES"/>
        </w:rPr>
      </w:pPr>
    </w:p>
    <w:p w:rsidR="00886DCB" w:rsidRPr="00886DCB" w:rsidRDefault="003D3F14" w:rsidP="00886DCB">
      <w:pPr>
        <w:numPr>
          <w:ilvl w:val="0"/>
          <w:numId w:val="1"/>
        </w:numPr>
        <w:spacing w:after="200" w:line="360" w:lineRule="auto"/>
        <w:contextualSpacing/>
        <w:jc w:val="both"/>
        <w:rPr>
          <w:rFonts w:ascii="Arial" w:hAnsi="Arial" w:cs="Arial"/>
          <w:sz w:val="24"/>
          <w:szCs w:val="24"/>
          <w:lang w:val="es-ES"/>
        </w:rPr>
      </w:pPr>
      <w:r>
        <w:rPr>
          <w:rFonts w:ascii="Arial" w:hAnsi="Arial" w:cs="Arial"/>
          <w:sz w:val="24"/>
          <w:szCs w:val="24"/>
          <w:lang w:val="es-ES"/>
        </w:rPr>
        <w:lastRenderedPageBreak/>
        <w:t>La modificación de la Ley 1/2</w:t>
      </w:r>
      <w:r w:rsidR="00886DCB" w:rsidRPr="00886DCB">
        <w:rPr>
          <w:rFonts w:ascii="Arial" w:hAnsi="Arial" w:cs="Arial"/>
          <w:sz w:val="24"/>
          <w:szCs w:val="24"/>
          <w:lang w:val="es-ES"/>
        </w:rPr>
        <w:t xml:space="preserve">015, de 15 de enero, para la erradicación de la violencia de género y la violencia doméstica de manera que se recoge específicamente la definición de violencia hacia las mujeres contenida en el Convenio de Estambul. </w:t>
      </w:r>
    </w:p>
    <w:p w:rsidR="00886DCB" w:rsidRPr="00886DCB" w:rsidRDefault="00886DCB" w:rsidP="00886DCB">
      <w:pPr>
        <w:spacing w:after="200" w:line="360" w:lineRule="auto"/>
        <w:ind w:left="720"/>
        <w:contextualSpacing/>
        <w:rPr>
          <w:rFonts w:ascii="Arial" w:hAnsi="Arial" w:cs="Arial"/>
          <w:sz w:val="24"/>
          <w:szCs w:val="24"/>
          <w:lang w:val="es-ES"/>
        </w:rPr>
      </w:pPr>
    </w:p>
    <w:p w:rsidR="00886DCB" w:rsidRPr="00886DCB" w:rsidRDefault="00886DCB" w:rsidP="00886DCB">
      <w:pPr>
        <w:numPr>
          <w:ilvl w:val="0"/>
          <w:numId w:val="1"/>
        </w:numPr>
        <w:spacing w:after="200" w:line="360" w:lineRule="auto"/>
        <w:contextualSpacing/>
        <w:jc w:val="both"/>
        <w:rPr>
          <w:rFonts w:ascii="Arial" w:hAnsi="Arial" w:cs="Arial"/>
          <w:sz w:val="24"/>
          <w:szCs w:val="24"/>
          <w:lang w:val="es-ES"/>
        </w:rPr>
      </w:pPr>
      <w:r w:rsidRPr="00886DCB">
        <w:rPr>
          <w:rFonts w:ascii="Arial" w:hAnsi="Arial" w:cs="Arial"/>
          <w:sz w:val="24"/>
          <w:szCs w:val="24"/>
          <w:lang w:val="es-ES"/>
        </w:rPr>
        <w:t xml:space="preserve">El principio de igualdad retributiva por razón de sexo que comporta la obligación de pagar por la prestación de un trabajo de igual valor la misma retribución, cualquiera que sea la naturaleza de esta retribución sin que se pueda producir ningún tipo de discriminación por razón de sexo femenino en los elementos y condiciones de la prestación. Si se produce una discriminación en la política retributiva de una empresa, se reconoce el derecho a reclamar las diferencias salariales desde el momento en que éstas tuvieron lugar. </w:t>
      </w:r>
    </w:p>
    <w:p w:rsidR="00886DCB" w:rsidRPr="00886DCB" w:rsidRDefault="00886DCB" w:rsidP="00886DCB">
      <w:pPr>
        <w:spacing w:after="200" w:line="360" w:lineRule="auto"/>
        <w:ind w:left="720"/>
        <w:contextualSpacing/>
        <w:rPr>
          <w:rFonts w:ascii="Arial" w:hAnsi="Arial" w:cs="Arial"/>
          <w:sz w:val="24"/>
          <w:szCs w:val="24"/>
          <w:lang w:val="es-ES"/>
        </w:rPr>
      </w:pPr>
    </w:p>
    <w:p w:rsidR="00886DCB" w:rsidRPr="00886DCB" w:rsidRDefault="00886DCB" w:rsidP="00886DCB">
      <w:pPr>
        <w:numPr>
          <w:ilvl w:val="0"/>
          <w:numId w:val="1"/>
        </w:numPr>
        <w:spacing w:after="200" w:line="360" w:lineRule="auto"/>
        <w:contextualSpacing/>
        <w:jc w:val="both"/>
        <w:rPr>
          <w:rFonts w:ascii="Arial" w:hAnsi="Arial" w:cs="Arial"/>
          <w:sz w:val="24"/>
          <w:szCs w:val="24"/>
          <w:lang w:val="es-ES"/>
        </w:rPr>
      </w:pPr>
      <w:r w:rsidRPr="00886DCB">
        <w:rPr>
          <w:rFonts w:ascii="Arial" w:hAnsi="Arial" w:cs="Arial"/>
          <w:sz w:val="24"/>
          <w:szCs w:val="24"/>
          <w:lang w:val="es-ES"/>
        </w:rPr>
        <w:t>La obligación del sector público y del sector privado de aplicar métodos e instrumentos suficientes para detectar la discriminación y adoptar medidas preventivas y reactivas adecuadas dirigidas a abordar y cesar en las situaciones de discriminación. El incumplimiento de esta obligación da lugar a responsabilidad administrativa o civil por los daños y perjuicios que se hayan podido derivar, y en su caso, penal.</w:t>
      </w:r>
    </w:p>
    <w:p w:rsidR="00886DCB" w:rsidRPr="00886DCB" w:rsidRDefault="00886DCB" w:rsidP="00886DCB">
      <w:pPr>
        <w:spacing w:after="200" w:line="360" w:lineRule="auto"/>
        <w:ind w:left="720"/>
        <w:contextualSpacing/>
        <w:rPr>
          <w:rFonts w:ascii="Arial" w:hAnsi="Arial" w:cs="Arial"/>
          <w:sz w:val="24"/>
          <w:szCs w:val="24"/>
          <w:lang w:val="es-ES"/>
        </w:rPr>
      </w:pPr>
    </w:p>
    <w:p w:rsidR="00886DCB" w:rsidRPr="00886DCB" w:rsidRDefault="00886DCB" w:rsidP="00886DCB">
      <w:pPr>
        <w:numPr>
          <w:ilvl w:val="0"/>
          <w:numId w:val="1"/>
        </w:numPr>
        <w:spacing w:after="200" w:line="360" w:lineRule="auto"/>
        <w:contextualSpacing/>
        <w:jc w:val="both"/>
        <w:rPr>
          <w:rFonts w:ascii="Arial" w:hAnsi="Arial" w:cs="Arial"/>
          <w:sz w:val="24"/>
          <w:szCs w:val="24"/>
          <w:lang w:val="es-ES"/>
        </w:rPr>
      </w:pPr>
      <w:r w:rsidRPr="00886DCB">
        <w:rPr>
          <w:rFonts w:ascii="Arial" w:hAnsi="Arial" w:cs="Arial"/>
          <w:sz w:val="24"/>
          <w:szCs w:val="24"/>
          <w:lang w:val="es-ES"/>
        </w:rPr>
        <w:t>Aprobación de un programa para la igualdad efectiva entre mujeres y hombres con una periodicidad de cuatro años que deberá incluir medidas específicas para favorecer la conciliación de la vida personal, familiar y laboral.</w:t>
      </w:r>
    </w:p>
    <w:p w:rsidR="00886DCB" w:rsidRPr="00886DCB" w:rsidRDefault="00886DCB" w:rsidP="00886DCB">
      <w:pPr>
        <w:spacing w:after="200" w:line="360" w:lineRule="auto"/>
        <w:ind w:left="720"/>
        <w:contextualSpacing/>
        <w:rPr>
          <w:rFonts w:ascii="Arial" w:hAnsi="Arial" w:cs="Arial"/>
          <w:sz w:val="24"/>
          <w:szCs w:val="24"/>
          <w:lang w:val="es-ES"/>
        </w:rPr>
      </w:pPr>
    </w:p>
    <w:p w:rsidR="00886DCB" w:rsidRDefault="00886DCB" w:rsidP="00886DCB">
      <w:pPr>
        <w:numPr>
          <w:ilvl w:val="0"/>
          <w:numId w:val="1"/>
        </w:numPr>
        <w:spacing w:after="200" w:line="360" w:lineRule="auto"/>
        <w:contextualSpacing/>
        <w:jc w:val="both"/>
        <w:rPr>
          <w:rFonts w:ascii="Arial" w:hAnsi="Arial" w:cs="Arial"/>
          <w:sz w:val="24"/>
          <w:szCs w:val="24"/>
          <w:lang w:val="es-ES"/>
        </w:rPr>
      </w:pPr>
      <w:r w:rsidRPr="00886DCB">
        <w:rPr>
          <w:rFonts w:ascii="Arial" w:hAnsi="Arial" w:cs="Arial"/>
          <w:sz w:val="24"/>
          <w:szCs w:val="24"/>
          <w:lang w:val="es-ES"/>
        </w:rPr>
        <w:t>Establecimiento de criterios sociales en la contratación pública (fomento de la integración social, la contratación laboral de mujeres y la aprobación de medidas como planes de igualdad de género).</w:t>
      </w:r>
    </w:p>
    <w:p w:rsidR="00225806" w:rsidRDefault="00225806" w:rsidP="00225806">
      <w:pPr>
        <w:pStyle w:val="Prrafodelista"/>
        <w:rPr>
          <w:rFonts w:ascii="Arial" w:hAnsi="Arial" w:cs="Arial"/>
          <w:sz w:val="24"/>
          <w:szCs w:val="24"/>
          <w:lang w:val="es-ES"/>
        </w:rPr>
      </w:pPr>
    </w:p>
    <w:p w:rsidR="00225806" w:rsidRDefault="00225806" w:rsidP="00225806">
      <w:pPr>
        <w:numPr>
          <w:ilvl w:val="0"/>
          <w:numId w:val="1"/>
        </w:numPr>
        <w:spacing w:after="200" w:line="360" w:lineRule="auto"/>
        <w:contextualSpacing/>
        <w:jc w:val="both"/>
        <w:rPr>
          <w:rFonts w:ascii="Arial" w:hAnsi="Arial" w:cs="Arial"/>
          <w:sz w:val="24"/>
          <w:szCs w:val="24"/>
          <w:lang w:val="es-ES"/>
        </w:rPr>
      </w:pPr>
      <w:r>
        <w:rPr>
          <w:rFonts w:ascii="Arial" w:hAnsi="Arial" w:cs="Arial"/>
          <w:sz w:val="24"/>
          <w:szCs w:val="24"/>
          <w:lang w:val="es-ES"/>
        </w:rPr>
        <w:t xml:space="preserve">La introducción del uso de acciones positivas definidas como medidas que suponen la diferencia de trato dirigido a corregir y compensar situaciones de desigualdad de hecho i de discriminación. </w:t>
      </w:r>
    </w:p>
    <w:p w:rsidR="00225806" w:rsidRDefault="00225806" w:rsidP="00225806">
      <w:pPr>
        <w:pStyle w:val="Prrafodelista"/>
        <w:rPr>
          <w:rFonts w:ascii="Arial" w:hAnsi="Arial" w:cs="Arial"/>
          <w:sz w:val="24"/>
          <w:szCs w:val="24"/>
          <w:lang w:val="es-ES"/>
        </w:rPr>
      </w:pPr>
    </w:p>
    <w:p w:rsidR="00225806" w:rsidRPr="00225806" w:rsidRDefault="00225806" w:rsidP="00225806">
      <w:pPr>
        <w:numPr>
          <w:ilvl w:val="0"/>
          <w:numId w:val="1"/>
        </w:numPr>
        <w:spacing w:after="200" w:line="360" w:lineRule="auto"/>
        <w:contextualSpacing/>
        <w:jc w:val="both"/>
        <w:rPr>
          <w:rFonts w:ascii="Arial" w:hAnsi="Arial" w:cs="Arial"/>
          <w:sz w:val="24"/>
          <w:szCs w:val="24"/>
          <w:lang w:val="es-ES"/>
        </w:rPr>
      </w:pPr>
      <w:r>
        <w:rPr>
          <w:rFonts w:ascii="Arial" w:hAnsi="Arial" w:cs="Arial"/>
          <w:sz w:val="24"/>
          <w:szCs w:val="24"/>
          <w:lang w:val="es-ES"/>
        </w:rPr>
        <w:t xml:space="preserve">Establecimiento de la carga de la prueba. En los procesos en que se justifique la concurrencia de indicios de que se ha producido una conducta lesiva de los derechos fundamentales o de las libertades </w:t>
      </w:r>
      <w:r w:rsidR="004A28A0">
        <w:rPr>
          <w:rFonts w:ascii="Arial" w:hAnsi="Arial" w:cs="Arial"/>
          <w:sz w:val="24"/>
          <w:szCs w:val="24"/>
          <w:lang w:val="es-ES"/>
        </w:rPr>
        <w:t>públicas</w:t>
      </w:r>
      <w:r>
        <w:rPr>
          <w:rFonts w:ascii="Arial" w:hAnsi="Arial" w:cs="Arial"/>
          <w:sz w:val="24"/>
          <w:szCs w:val="24"/>
          <w:lang w:val="es-ES"/>
        </w:rPr>
        <w:t xml:space="preserve">, </w:t>
      </w:r>
      <w:r w:rsidR="004A28A0">
        <w:rPr>
          <w:rFonts w:ascii="Arial" w:hAnsi="Arial" w:cs="Arial"/>
          <w:sz w:val="24"/>
          <w:szCs w:val="24"/>
          <w:lang w:val="es-ES"/>
        </w:rPr>
        <w:t xml:space="preserve">o una conducta discriminatoria por alguno de los motivos prohibidos por la Constitución y las leyes, corresponde a la parte demandada aportar una justificación objetiva y razonable, suficientemente probada, de las medidas adoptadas y de su proporcionalidad. </w:t>
      </w:r>
    </w:p>
    <w:p w:rsidR="00886DCB" w:rsidRPr="00886DCB" w:rsidRDefault="00886DCB" w:rsidP="00886DCB">
      <w:pPr>
        <w:spacing w:after="200" w:line="360" w:lineRule="auto"/>
        <w:contextualSpacing/>
        <w:jc w:val="both"/>
        <w:rPr>
          <w:rFonts w:ascii="Arial" w:hAnsi="Arial" w:cs="Arial"/>
          <w:sz w:val="24"/>
          <w:szCs w:val="24"/>
          <w:lang w:val="es-ES"/>
        </w:rPr>
      </w:pPr>
    </w:p>
    <w:p w:rsidR="00E90955" w:rsidRPr="00886DCB" w:rsidRDefault="00886DCB" w:rsidP="00886DCB">
      <w:pPr>
        <w:spacing w:after="200" w:line="360" w:lineRule="auto"/>
        <w:jc w:val="both"/>
        <w:rPr>
          <w:rFonts w:ascii="Arial" w:hAnsi="Arial" w:cs="Arial"/>
          <w:sz w:val="24"/>
          <w:szCs w:val="24"/>
          <w:lang w:val="es-ES"/>
        </w:rPr>
      </w:pPr>
      <w:r w:rsidRPr="00886DCB">
        <w:rPr>
          <w:rFonts w:ascii="Arial" w:hAnsi="Arial" w:cs="Arial"/>
          <w:sz w:val="24"/>
          <w:szCs w:val="24"/>
          <w:lang w:val="es-ES"/>
        </w:rPr>
        <w:t xml:space="preserve">En esta línea y con anterioridad a la aprobación de la Ley 13/2019, el Área de Políticas de Igualdad, dentro de sus funciones de lucha contra las desigualdades y la discriminación, presentó en el año 2017 un proyecto para la promoción de la igualdad de género en el ámbito laboral: la concesión de un distintivo empresarial a aquellas empresas que se comprometiesen con la igualdad entre mujeres y hombres a través de la aprobación de planes de igualdad. De esta manera, el Área de Políticas de Igualdad en colaboración con el Departamento de Ocupación presentó el “Premio </w:t>
      </w:r>
      <w:proofErr w:type="spellStart"/>
      <w:r w:rsidRPr="00886DCB">
        <w:rPr>
          <w:rFonts w:ascii="Arial" w:hAnsi="Arial" w:cs="Arial"/>
          <w:sz w:val="24"/>
          <w:szCs w:val="24"/>
          <w:lang w:val="es-ES"/>
        </w:rPr>
        <w:t>Olympe</w:t>
      </w:r>
      <w:proofErr w:type="spellEnd"/>
      <w:r w:rsidRPr="00886DCB">
        <w:rPr>
          <w:rFonts w:ascii="Arial" w:hAnsi="Arial" w:cs="Arial"/>
          <w:sz w:val="24"/>
          <w:szCs w:val="24"/>
          <w:lang w:val="es-ES"/>
        </w:rPr>
        <w:t xml:space="preserve"> de </w:t>
      </w:r>
      <w:proofErr w:type="spellStart"/>
      <w:r w:rsidRPr="00886DCB">
        <w:rPr>
          <w:rFonts w:ascii="Arial" w:hAnsi="Arial" w:cs="Arial"/>
          <w:sz w:val="24"/>
          <w:szCs w:val="24"/>
          <w:lang w:val="es-ES"/>
        </w:rPr>
        <w:t>Gouges</w:t>
      </w:r>
      <w:proofErr w:type="spellEnd"/>
      <w:r w:rsidRPr="00886DCB">
        <w:rPr>
          <w:rFonts w:ascii="Arial" w:hAnsi="Arial" w:cs="Arial"/>
          <w:sz w:val="24"/>
          <w:szCs w:val="24"/>
          <w:lang w:val="es-ES"/>
        </w:rPr>
        <w:t>”. Desde su presentación, se han realizado dos convocatorias. De acuerdo con las bases de la convocatoria, puede presentarse a la concesión de este distintivo las empresas en sus diferentes categorías (micro, pequeña, mediana y gran empresa), empresas parapúblicas, organismos autónomos así como asociaciones profesionales y la administración pública (habida cuenta que representa un amplio sector de la ocupación del país).</w:t>
      </w:r>
    </w:p>
    <w:p w:rsidR="00130FDF" w:rsidRPr="00886DCB" w:rsidRDefault="005F6A64" w:rsidP="00EC7785">
      <w:pPr>
        <w:spacing w:after="200" w:line="360" w:lineRule="auto"/>
        <w:jc w:val="both"/>
        <w:rPr>
          <w:rFonts w:ascii="Arial" w:hAnsi="Arial" w:cs="Arial"/>
          <w:color w:val="606060"/>
          <w:sz w:val="24"/>
          <w:szCs w:val="24"/>
          <w:shd w:val="clear" w:color="auto" w:fill="FCFCFC"/>
        </w:rPr>
      </w:pPr>
      <w:r w:rsidRPr="00886DCB">
        <w:rPr>
          <w:rFonts w:ascii="Arial" w:hAnsi="Arial" w:cs="Arial"/>
          <w:sz w:val="24"/>
          <w:szCs w:val="24"/>
          <w:lang w:val="es-ES"/>
        </w:rPr>
        <w:t>Otro punto importante que cabe mencionar es la creación a principios de esta legislatura de la Secretaria de Estado de Igualdad y Participación Ciudadana, la cual tiene la misión de implementar la ley de iguald</w:t>
      </w:r>
      <w:r w:rsidR="00130FDF" w:rsidRPr="00886DCB">
        <w:rPr>
          <w:rFonts w:ascii="Arial" w:hAnsi="Arial" w:cs="Arial"/>
          <w:sz w:val="24"/>
          <w:szCs w:val="24"/>
          <w:lang w:val="es-ES"/>
        </w:rPr>
        <w:t>ad al trato y no discriminación e impulsar la creación de una</w:t>
      </w:r>
      <w:r w:rsidRPr="00886DCB">
        <w:rPr>
          <w:rFonts w:ascii="Arial" w:hAnsi="Arial" w:cs="Arial"/>
          <w:sz w:val="24"/>
          <w:szCs w:val="24"/>
          <w:lang w:val="es-ES"/>
        </w:rPr>
        <w:t xml:space="preserve"> ley específica de igualdad efectiva entre mujeres y hombres, dicha ley ya se ha empezado a</w:t>
      </w:r>
      <w:r w:rsidR="00130FDF" w:rsidRPr="00886DCB">
        <w:rPr>
          <w:rFonts w:ascii="Arial" w:hAnsi="Arial" w:cs="Arial"/>
          <w:sz w:val="24"/>
          <w:szCs w:val="24"/>
          <w:lang w:val="es-ES"/>
        </w:rPr>
        <w:t xml:space="preserve"> realizar de manera conjunta con </w:t>
      </w:r>
      <w:r w:rsidRPr="00886DCB">
        <w:rPr>
          <w:rFonts w:ascii="Arial" w:hAnsi="Arial" w:cs="Arial"/>
          <w:sz w:val="24"/>
          <w:szCs w:val="24"/>
          <w:lang w:val="es-ES"/>
        </w:rPr>
        <w:t xml:space="preserve">las asociaciones de mujeres del país. </w:t>
      </w:r>
    </w:p>
    <w:p w:rsidR="00C03E1F" w:rsidRDefault="00C03E1F" w:rsidP="00EC7785">
      <w:pPr>
        <w:spacing w:after="200" w:line="360" w:lineRule="auto"/>
        <w:jc w:val="both"/>
        <w:rPr>
          <w:rFonts w:ascii="Arial" w:hAnsi="Arial" w:cs="Arial"/>
          <w:sz w:val="24"/>
          <w:szCs w:val="24"/>
          <w:lang w:val="es-ES"/>
        </w:rPr>
      </w:pPr>
      <w:r w:rsidRPr="00886DCB">
        <w:rPr>
          <w:rFonts w:ascii="Arial" w:hAnsi="Arial" w:cs="Arial"/>
          <w:sz w:val="24"/>
          <w:szCs w:val="24"/>
          <w:lang w:val="es-ES"/>
        </w:rPr>
        <w:t xml:space="preserve">También es importante mencionar los avances que ha hecho Andorra en relación al tráfico de seres humanos, Andorra ratificó el Convenio del Consejo de Europa, contra el tráfico de seres humanos, de 16 de mayo de 2005. De acuerdo con las </w:t>
      </w:r>
      <w:r w:rsidRPr="00886DCB">
        <w:rPr>
          <w:rFonts w:ascii="Arial" w:hAnsi="Arial" w:cs="Arial"/>
          <w:sz w:val="24"/>
          <w:szCs w:val="24"/>
          <w:lang w:val="es-ES"/>
        </w:rPr>
        <w:lastRenderedPageBreak/>
        <w:t xml:space="preserve">recomendaciones efectuadas por el Grupo de Expertos del Tráfico de Seres Humanos (en adelante, GRETA), Andorra ha introducido en su Código Penal, determinadas conductas constitutivas de delito de tráfico de seres humanos con fines de explotación sexual, esclavitud o servidumbre, laboral o con la finalidad de extracción de órganos y ha aprobado la </w:t>
      </w:r>
      <w:r w:rsidRPr="00886DCB">
        <w:rPr>
          <w:rFonts w:ascii="Arial" w:hAnsi="Arial" w:cs="Arial"/>
          <w:b/>
          <w:sz w:val="24"/>
          <w:szCs w:val="24"/>
          <w:u w:val="single"/>
          <w:lang w:val="es-ES"/>
        </w:rPr>
        <w:t xml:space="preserve">Ley 9/2017, de 25 de mayo, de medidas para luchar contra el tráfico de seres humanos y protección a las víctimas. </w:t>
      </w:r>
      <w:r w:rsidRPr="00886DCB">
        <w:rPr>
          <w:rFonts w:ascii="Arial" w:hAnsi="Arial" w:cs="Arial"/>
          <w:sz w:val="24"/>
          <w:szCs w:val="24"/>
          <w:lang w:val="es-ES"/>
        </w:rPr>
        <w:t>Esta Ley ha propiciado la aprobación del Protocolo de actuación para la protección de las víctimas de tráfico de seres humanos así como la creación del Servicio de Atención a Víctimas del Tráfico de Seres Humanos que posibilita un trabajo especializado y coordinado, introduciendo además un período de reflexión y recuperación para las víctimas sin residencia legal de manera que no podrán ser objeto de ninguna medida de expulsión administrativa y sin que la colaboración con las autoridades policiales o judiciales determine su reconocimiento.</w:t>
      </w:r>
    </w:p>
    <w:p w:rsidR="00C924BE" w:rsidRDefault="004A28A0" w:rsidP="00C924BE">
      <w:pPr>
        <w:kinsoku w:val="0"/>
        <w:overflowPunct w:val="0"/>
        <w:spacing w:after="0" w:line="360" w:lineRule="auto"/>
        <w:jc w:val="both"/>
        <w:textAlignment w:val="baseline"/>
        <w:rPr>
          <w:rFonts w:ascii="Arial" w:hAnsi="Arial" w:cs="Arial"/>
          <w:sz w:val="24"/>
          <w:szCs w:val="24"/>
          <w:lang w:val="es-ES"/>
        </w:rPr>
      </w:pPr>
      <w:r>
        <w:rPr>
          <w:rFonts w:ascii="Arial" w:hAnsi="Arial" w:cs="Arial"/>
          <w:sz w:val="24"/>
          <w:szCs w:val="24"/>
          <w:lang w:val="es-ES"/>
        </w:rPr>
        <w:t xml:space="preserve">Mediante esta ley se creó en 2017 el Servicio de Atención a las Víctimas del tráfico de seres humanos que ofrece atención interdisciplinar a las víctimas de la trata y a sus hijos e hijas relacionada con la protección, la información, la orientación, el asesoramiento y la recuperación. </w:t>
      </w:r>
      <w:r w:rsidR="00DC2362">
        <w:rPr>
          <w:rFonts w:ascii="Arial" w:hAnsi="Arial" w:cs="Arial"/>
          <w:sz w:val="24"/>
          <w:szCs w:val="24"/>
          <w:lang w:val="es-ES"/>
        </w:rPr>
        <w:t>Lo</w:t>
      </w:r>
      <w:r w:rsidR="00E60966">
        <w:rPr>
          <w:rFonts w:ascii="Arial" w:hAnsi="Arial" w:cs="Arial"/>
          <w:sz w:val="24"/>
          <w:szCs w:val="24"/>
          <w:lang w:val="es-ES"/>
        </w:rPr>
        <w:t xml:space="preserve">s profesionales que forman parte son: una jurista, una educadora social y un psicólogo. Los tres </w:t>
      </w:r>
      <w:r w:rsidR="00C924BE">
        <w:rPr>
          <w:rFonts w:ascii="Arial" w:hAnsi="Arial" w:cs="Arial"/>
          <w:sz w:val="24"/>
          <w:szCs w:val="24"/>
          <w:lang w:val="es-ES"/>
        </w:rPr>
        <w:t xml:space="preserve">están formados en la materia. </w:t>
      </w:r>
    </w:p>
    <w:p w:rsidR="00C924BE" w:rsidRDefault="00C924BE" w:rsidP="00C924BE">
      <w:pPr>
        <w:kinsoku w:val="0"/>
        <w:overflowPunct w:val="0"/>
        <w:spacing w:after="0" w:line="360" w:lineRule="auto"/>
        <w:jc w:val="both"/>
        <w:textAlignment w:val="baseline"/>
        <w:rPr>
          <w:rFonts w:ascii="Arial" w:hAnsi="Arial" w:cs="Arial"/>
          <w:sz w:val="24"/>
          <w:szCs w:val="24"/>
          <w:lang w:val="es-ES"/>
        </w:rPr>
      </w:pPr>
      <w:r>
        <w:rPr>
          <w:rFonts w:ascii="Arial" w:hAnsi="Arial" w:cs="Arial"/>
          <w:sz w:val="24"/>
          <w:szCs w:val="24"/>
          <w:lang w:val="es-ES"/>
        </w:rPr>
        <w:t xml:space="preserve">Este servicio cuenta con un teléfono disponible las 24 horas del día los 365 </w:t>
      </w:r>
      <w:r w:rsidR="00DC2362">
        <w:rPr>
          <w:rFonts w:ascii="Arial" w:hAnsi="Arial" w:cs="Arial"/>
          <w:sz w:val="24"/>
          <w:szCs w:val="24"/>
          <w:lang w:val="es-ES"/>
        </w:rPr>
        <w:t>días</w:t>
      </w:r>
      <w:r>
        <w:rPr>
          <w:rFonts w:ascii="Arial" w:hAnsi="Arial" w:cs="Arial"/>
          <w:sz w:val="24"/>
          <w:szCs w:val="24"/>
          <w:lang w:val="es-ES"/>
        </w:rPr>
        <w:t xml:space="preserve"> del año atendido por profesionales expertos y es gratuito. </w:t>
      </w:r>
    </w:p>
    <w:p w:rsidR="00DC2362" w:rsidRDefault="00DC2362" w:rsidP="00C924BE">
      <w:pPr>
        <w:kinsoku w:val="0"/>
        <w:overflowPunct w:val="0"/>
        <w:spacing w:after="0" w:line="360" w:lineRule="auto"/>
        <w:jc w:val="both"/>
        <w:textAlignment w:val="baseline"/>
        <w:rPr>
          <w:rFonts w:ascii="Arial" w:hAnsi="Arial" w:cs="Arial"/>
          <w:sz w:val="24"/>
          <w:szCs w:val="24"/>
          <w:lang w:val="es-ES"/>
        </w:rPr>
      </w:pPr>
      <w:bookmarkStart w:id="0" w:name="_GoBack"/>
      <w:bookmarkEnd w:id="0"/>
    </w:p>
    <w:p w:rsidR="00C924BE" w:rsidRDefault="004A28A0" w:rsidP="00C924BE">
      <w:pPr>
        <w:spacing w:after="200" w:line="360" w:lineRule="auto"/>
        <w:jc w:val="both"/>
        <w:rPr>
          <w:rFonts w:ascii="Arial" w:hAnsi="Arial" w:cs="Arial"/>
          <w:sz w:val="24"/>
          <w:szCs w:val="24"/>
          <w:lang w:val="es-ES"/>
        </w:rPr>
      </w:pPr>
      <w:r>
        <w:rPr>
          <w:rFonts w:ascii="Arial" w:hAnsi="Arial" w:cs="Arial"/>
          <w:sz w:val="24"/>
          <w:szCs w:val="24"/>
          <w:lang w:val="es-ES"/>
        </w:rPr>
        <w:t xml:space="preserve">Además este servicio se encarga de adoptar acciones de prevención y formación. Concretamente estos dos años de funcionamiento del servicio se han realizado dos actos dirigidos a la población para dar a conocer </w:t>
      </w:r>
      <w:r w:rsidR="00C924BE">
        <w:rPr>
          <w:rFonts w:ascii="Arial" w:hAnsi="Arial" w:cs="Arial"/>
          <w:sz w:val="24"/>
          <w:szCs w:val="24"/>
          <w:lang w:val="es-ES"/>
        </w:rPr>
        <w:t xml:space="preserve">que el tráfico de seres humanos y el servicio. También se ha publicado un tríptico donde se da a conocer la problemática, consejos de prevención y el servicio. </w:t>
      </w:r>
    </w:p>
    <w:p w:rsidR="00E60966" w:rsidRPr="00886DCB" w:rsidRDefault="00C76098" w:rsidP="00EC7785">
      <w:pPr>
        <w:spacing w:after="200" w:line="360" w:lineRule="auto"/>
        <w:jc w:val="both"/>
        <w:rPr>
          <w:rFonts w:ascii="Arial" w:hAnsi="Arial" w:cs="Arial"/>
          <w:sz w:val="24"/>
          <w:szCs w:val="24"/>
          <w:lang w:val="es-ES"/>
        </w:rPr>
      </w:pPr>
      <w:r>
        <w:rPr>
          <w:rFonts w:ascii="Arial" w:hAnsi="Arial" w:cs="Arial"/>
          <w:sz w:val="24"/>
          <w:szCs w:val="24"/>
          <w:lang w:val="es-ES"/>
        </w:rPr>
        <w:t xml:space="preserve">Este año se llevó a cabo una formación profesional técnica dirigida a todos los posibles agentes implicados en la detección así como en el tratamiento de las víctimas de trata con el objetivo de aportar herramientas de detección a los posibles actores que intervienen en estos casos y compartir buenas prácticas. </w:t>
      </w:r>
      <w:r>
        <w:rPr>
          <w:rFonts w:ascii="Arial" w:hAnsi="Arial" w:cs="Arial"/>
          <w:sz w:val="24"/>
          <w:szCs w:val="24"/>
          <w:lang w:val="es-ES"/>
        </w:rPr>
        <w:lastRenderedPageBreak/>
        <w:t xml:space="preserve">Esta formación la realizaron una trabajadora social y la directora de la Unidad del Tráfico de Seres Humanos del Ayuntamiento de Barcelona. </w:t>
      </w:r>
    </w:p>
    <w:p w:rsidR="008D0060" w:rsidRPr="00886DCB" w:rsidRDefault="00D06A22" w:rsidP="00EC7785">
      <w:pPr>
        <w:spacing w:line="360" w:lineRule="auto"/>
        <w:jc w:val="both"/>
        <w:rPr>
          <w:rFonts w:ascii="Arial" w:hAnsi="Arial" w:cs="Arial"/>
          <w:sz w:val="24"/>
          <w:szCs w:val="24"/>
          <w:lang w:val="es-ES"/>
        </w:rPr>
      </w:pPr>
      <w:r w:rsidRPr="00886DCB">
        <w:rPr>
          <w:rFonts w:ascii="Arial" w:hAnsi="Arial" w:cs="Arial"/>
          <w:sz w:val="24"/>
          <w:szCs w:val="24"/>
          <w:lang w:val="es-ES"/>
        </w:rPr>
        <w:t xml:space="preserve">En materia de violencia de género y domestica </w:t>
      </w:r>
      <w:r w:rsidR="008D0060" w:rsidRPr="00886DCB">
        <w:rPr>
          <w:rFonts w:ascii="Arial" w:hAnsi="Arial" w:cs="Arial"/>
          <w:sz w:val="24"/>
          <w:szCs w:val="24"/>
          <w:lang w:val="es-ES"/>
        </w:rPr>
        <w:t xml:space="preserve">la ratificación del Convenio del Consejo de Europa de 11 de mayo de 2011, de prevención y lucha contra la violencia hacia las mujeres y la violencia doméstica por parte de Andorra – que permitió la entrada en vigor del citado Convenio- en agosto de 2014 y la posterior </w:t>
      </w:r>
      <w:r w:rsidR="008D0060" w:rsidRPr="00886DCB">
        <w:rPr>
          <w:rFonts w:ascii="Arial" w:hAnsi="Arial" w:cs="Arial"/>
          <w:b/>
          <w:sz w:val="24"/>
          <w:szCs w:val="24"/>
          <w:u w:val="single"/>
          <w:lang w:val="es-ES"/>
        </w:rPr>
        <w:t>Ley 1/2015, de 15 de enero, para la erradicación de la violencia de género y la violencia doméstica</w:t>
      </w:r>
      <w:r w:rsidR="008D0060" w:rsidRPr="00886DCB">
        <w:rPr>
          <w:rFonts w:ascii="Arial" w:hAnsi="Arial" w:cs="Arial"/>
          <w:b/>
          <w:sz w:val="24"/>
          <w:szCs w:val="24"/>
          <w:u w:val="single"/>
          <w:vertAlign w:val="superscript"/>
          <w:lang w:val="es-ES"/>
        </w:rPr>
        <w:t xml:space="preserve"> </w:t>
      </w:r>
      <w:r w:rsidR="008D0060" w:rsidRPr="00886DCB">
        <w:rPr>
          <w:rFonts w:ascii="Arial" w:hAnsi="Arial" w:cs="Arial"/>
          <w:sz w:val="24"/>
          <w:szCs w:val="24"/>
          <w:lang w:val="es-ES"/>
        </w:rPr>
        <w:t xml:space="preserve">dota al país de un marco jurídico explícito en materia de prevención, detección e intervención con víctimas de violencia de género y doméstica. </w:t>
      </w:r>
    </w:p>
    <w:p w:rsidR="008D0060" w:rsidRPr="00886DCB" w:rsidRDefault="008D0060" w:rsidP="00EC7785">
      <w:pPr>
        <w:spacing w:after="200" w:line="360" w:lineRule="auto"/>
        <w:jc w:val="both"/>
        <w:rPr>
          <w:rFonts w:ascii="Arial" w:hAnsi="Arial" w:cs="Arial"/>
          <w:sz w:val="24"/>
          <w:szCs w:val="24"/>
          <w:lang w:val="es-ES"/>
        </w:rPr>
      </w:pPr>
      <w:r w:rsidRPr="00886DCB">
        <w:rPr>
          <w:rFonts w:ascii="Arial" w:hAnsi="Arial" w:cs="Arial"/>
          <w:sz w:val="24"/>
          <w:szCs w:val="24"/>
          <w:lang w:val="es-ES"/>
        </w:rPr>
        <w:t xml:space="preserve">La creación de la </w:t>
      </w:r>
      <w:r w:rsidRPr="00886DCB">
        <w:rPr>
          <w:rFonts w:ascii="Arial" w:hAnsi="Arial" w:cs="Arial"/>
          <w:i/>
          <w:sz w:val="24"/>
          <w:szCs w:val="24"/>
          <w:lang w:val="es-ES"/>
        </w:rPr>
        <w:t xml:space="preserve">Comisión Nacional de Prevención de la Violencia de Género y Doméstica </w:t>
      </w:r>
      <w:r w:rsidRPr="00886DCB">
        <w:rPr>
          <w:rFonts w:ascii="Arial" w:hAnsi="Arial" w:cs="Arial"/>
          <w:sz w:val="24"/>
          <w:szCs w:val="24"/>
          <w:lang w:val="es-ES"/>
        </w:rPr>
        <w:t xml:space="preserve">en 2016, como órgano político y técnico, tiene asignada la competencia de coordinar y cooperar dentro de la Administración, los ministerios y departamentos implicados. </w:t>
      </w:r>
    </w:p>
    <w:p w:rsidR="008D0060" w:rsidRPr="00886DCB" w:rsidRDefault="008D0060" w:rsidP="00EC7785">
      <w:pPr>
        <w:spacing w:after="200" w:line="360" w:lineRule="auto"/>
        <w:jc w:val="both"/>
        <w:rPr>
          <w:rFonts w:ascii="Arial" w:hAnsi="Arial" w:cs="Arial"/>
          <w:sz w:val="24"/>
          <w:szCs w:val="24"/>
          <w:lang w:val="es-ES"/>
        </w:rPr>
      </w:pPr>
      <w:r w:rsidRPr="00886DCB">
        <w:rPr>
          <w:rFonts w:ascii="Arial" w:hAnsi="Arial" w:cs="Arial"/>
          <w:sz w:val="24"/>
          <w:szCs w:val="24"/>
          <w:lang w:val="es-ES"/>
        </w:rPr>
        <w:t xml:space="preserve">De acuerdo con la Ley 1/2015 así como la Ley 6/2014, se ha aprobado la Guía de Colaboración en casos de violencia de género y doméstica que recoge los protocolos de actuación de los departamentos implicados en la prevención, detección e intervención con víctimas de violencia de género y doméstica. </w:t>
      </w:r>
    </w:p>
    <w:p w:rsidR="008D0060" w:rsidRPr="00886DCB" w:rsidRDefault="008D0060" w:rsidP="00EC7785">
      <w:pPr>
        <w:spacing w:after="200" w:line="360" w:lineRule="auto"/>
        <w:jc w:val="both"/>
        <w:rPr>
          <w:rFonts w:ascii="Arial" w:hAnsi="Arial" w:cs="Arial"/>
          <w:sz w:val="24"/>
          <w:szCs w:val="24"/>
          <w:lang w:val="es-ES"/>
        </w:rPr>
      </w:pPr>
      <w:r w:rsidRPr="00886DCB">
        <w:rPr>
          <w:rFonts w:ascii="Arial" w:hAnsi="Arial" w:cs="Arial"/>
          <w:sz w:val="24"/>
          <w:szCs w:val="24"/>
          <w:lang w:val="es-ES"/>
        </w:rPr>
        <w:t xml:space="preserve">Este documento constituye una herramienta técnica de primer nivel que permite la ordenación de los recursos existentes, la asistencia y la persecución de la violencia de género y la violencia doméstica. </w:t>
      </w:r>
    </w:p>
    <w:p w:rsidR="00886DCB" w:rsidRPr="00886DCB" w:rsidRDefault="00886DCB" w:rsidP="00EC7785">
      <w:pPr>
        <w:spacing w:after="200" w:line="360" w:lineRule="auto"/>
        <w:jc w:val="both"/>
        <w:rPr>
          <w:rFonts w:ascii="Arial" w:hAnsi="Arial" w:cs="Arial"/>
          <w:sz w:val="24"/>
          <w:szCs w:val="24"/>
          <w:lang w:val="es-ES"/>
        </w:rPr>
      </w:pPr>
      <w:r w:rsidRPr="00886DCB">
        <w:rPr>
          <w:rFonts w:ascii="Arial" w:hAnsi="Arial" w:cs="Arial"/>
          <w:sz w:val="24"/>
          <w:szCs w:val="24"/>
          <w:lang w:val="es-ES"/>
        </w:rPr>
        <w:t xml:space="preserve">La </w:t>
      </w:r>
      <w:r w:rsidRPr="00886DCB">
        <w:rPr>
          <w:rFonts w:ascii="Arial" w:hAnsi="Arial" w:cs="Arial"/>
          <w:b/>
          <w:sz w:val="24"/>
          <w:szCs w:val="24"/>
          <w:u w:val="single"/>
          <w:lang w:val="es-ES"/>
        </w:rPr>
        <w:t>aplicación de la Guía de Colaboración en casos de violencia de género y doméstica junto con los protocolos de actuación sectoriales</w:t>
      </w:r>
      <w:r w:rsidRPr="00886DCB">
        <w:rPr>
          <w:rFonts w:ascii="Arial" w:hAnsi="Arial" w:cs="Arial"/>
          <w:sz w:val="24"/>
          <w:szCs w:val="24"/>
          <w:u w:val="single"/>
          <w:lang w:val="es-ES"/>
        </w:rPr>
        <w:t xml:space="preserve"> </w:t>
      </w:r>
      <w:r w:rsidRPr="00886DCB">
        <w:rPr>
          <w:rFonts w:ascii="Arial" w:hAnsi="Arial" w:cs="Arial"/>
          <w:sz w:val="24"/>
          <w:szCs w:val="24"/>
          <w:lang w:val="es-ES"/>
        </w:rPr>
        <w:t>resulta determinante para la eficacia de las medidas adoptadas en defensa de las mujeres víctimas de violencia de género. En este sentido, garantizar una formación continua y especializada que facilite el tratamiento adecuado de las causas y consecuencias de la violencia hacia las mujeres así como el conocimiento de los recursos existentes en el país por parte de la ciudadanía y también por parte de los y las profesionales, mejorará el ejercicio pleno de los derechos reconocidos a favor de las víctimas (derecho a la información, a la asistencia integral, a la intimidad y confidencialidad, etc.).</w:t>
      </w:r>
    </w:p>
    <w:p w:rsidR="006E514A" w:rsidRDefault="006E514A" w:rsidP="00EC7785">
      <w:pPr>
        <w:spacing w:line="360" w:lineRule="auto"/>
        <w:jc w:val="both"/>
        <w:rPr>
          <w:rFonts w:ascii="Arial" w:hAnsi="Arial" w:cs="Arial"/>
          <w:sz w:val="24"/>
          <w:szCs w:val="24"/>
          <w:lang w:val="es-ES"/>
        </w:rPr>
      </w:pPr>
      <w:r w:rsidRPr="00886DCB">
        <w:rPr>
          <w:rFonts w:ascii="Arial" w:hAnsi="Arial" w:cs="Arial"/>
          <w:sz w:val="24"/>
          <w:szCs w:val="24"/>
          <w:lang w:val="es-ES"/>
        </w:rPr>
        <w:lastRenderedPageBreak/>
        <w:t>Ademá</w:t>
      </w:r>
      <w:r w:rsidR="00B11870">
        <w:rPr>
          <w:rFonts w:ascii="Arial" w:hAnsi="Arial" w:cs="Arial"/>
          <w:sz w:val="24"/>
          <w:szCs w:val="24"/>
          <w:lang w:val="es-ES"/>
        </w:rPr>
        <w:t>s, la</w:t>
      </w:r>
      <w:r w:rsidRPr="00886DCB">
        <w:rPr>
          <w:rFonts w:ascii="Arial" w:hAnsi="Arial" w:cs="Arial"/>
          <w:sz w:val="24"/>
          <w:szCs w:val="24"/>
          <w:lang w:val="es-ES"/>
        </w:rPr>
        <w:t xml:space="preserve"> ley </w:t>
      </w:r>
      <w:r w:rsidR="00B11870">
        <w:rPr>
          <w:rFonts w:ascii="Arial" w:hAnsi="Arial" w:cs="Arial"/>
          <w:sz w:val="24"/>
          <w:szCs w:val="24"/>
          <w:lang w:val="es-ES"/>
        </w:rPr>
        <w:t xml:space="preserve">1/2015 </w:t>
      </w:r>
      <w:r w:rsidRPr="00886DCB">
        <w:rPr>
          <w:rFonts w:ascii="Arial" w:hAnsi="Arial" w:cs="Arial"/>
          <w:sz w:val="24"/>
          <w:szCs w:val="24"/>
          <w:lang w:val="es-ES"/>
        </w:rPr>
        <w:t>recoge toda una serie de medidas de carácter preventivo y de sensibilización en el ámbito educativo, destacando la necesidad de trabajar los contenidos con perspectiva de género de manera que las niñas y los niños tengan igual acceso a los contenidos y puedan sentirse libres de escoger sus trayectorias académicas sin sesgo de género. Con independencia de la acción tutorial y el tratamiento transversal de la violencia de género y la violencia doméstica en los centros educativos, el Área de Políticas de Igualdad efectúa talleres de prevención a las escuelas del país. Cabe destacar que Andorra goza de tres sistemas educativos: andorrano, español (laico y confesional) y francés. Los talleres de prevención de la violencia de género y doméstica se imparten en 2 curso de secundaria (edades comprendidas entre los 13 y 14 años) donde se realizan diferentes dinámicas en las que se trabajan los estereotipos de género, los mitos del amor romántico, que se entiende por violencia de género y por qué se habla de violencia hacia las mujeres, tipología de maltratos y recursos existentes en el país en materia de violencia de género y violencia doméstica.</w:t>
      </w:r>
    </w:p>
    <w:p w:rsidR="001E4F97" w:rsidRPr="00886DCB" w:rsidRDefault="001E4F97" w:rsidP="00EC7785">
      <w:pPr>
        <w:spacing w:line="360" w:lineRule="auto"/>
        <w:jc w:val="both"/>
        <w:rPr>
          <w:rFonts w:ascii="Arial" w:hAnsi="Arial" w:cs="Arial"/>
          <w:sz w:val="24"/>
          <w:szCs w:val="24"/>
          <w:lang w:val="es-ES"/>
        </w:rPr>
      </w:pPr>
      <w:r>
        <w:rPr>
          <w:rFonts w:ascii="Arial" w:hAnsi="Arial" w:cs="Arial"/>
          <w:sz w:val="24"/>
          <w:szCs w:val="24"/>
          <w:lang w:val="es-ES"/>
        </w:rPr>
        <w:t xml:space="preserve">La ley 1 /2015 en su artículo 11 prevé programas de formación continuada para los y las profesionales involucrados en la detección, la intervención y la prevención de la violencia de género y de la violencia doméstica. ES por ello que des del 2016 se han realizado formaciones dirigidas al Cuerpo de Policía, departamentos de Gobierno, el hospital, el órgano judicial, la universidad de Andorra, etc. Actualmente estamos desarrollando dos formaciones, una básica y otra más específica a los medios de comunicación con la idea de realizar un documento de buenas prácticas. </w:t>
      </w:r>
    </w:p>
    <w:p w:rsidR="009879B9" w:rsidRPr="00886DCB" w:rsidRDefault="006E514A" w:rsidP="00EC7785">
      <w:pPr>
        <w:spacing w:after="200" w:line="360" w:lineRule="auto"/>
        <w:jc w:val="both"/>
        <w:rPr>
          <w:rFonts w:ascii="Arial" w:hAnsi="Arial" w:cs="Arial"/>
          <w:sz w:val="24"/>
          <w:szCs w:val="24"/>
          <w:lang w:val="es-ES"/>
        </w:rPr>
      </w:pPr>
      <w:r w:rsidRPr="00886DCB">
        <w:rPr>
          <w:rFonts w:ascii="Arial" w:hAnsi="Arial" w:cs="Arial"/>
          <w:sz w:val="24"/>
          <w:szCs w:val="24"/>
          <w:lang w:val="es-ES"/>
        </w:rPr>
        <w:t xml:space="preserve">La Ley también </w:t>
      </w:r>
      <w:r w:rsidR="00B11870">
        <w:rPr>
          <w:rFonts w:ascii="Arial" w:hAnsi="Arial" w:cs="Arial"/>
          <w:sz w:val="24"/>
          <w:szCs w:val="24"/>
          <w:lang w:val="es-ES"/>
        </w:rPr>
        <w:t>ha posibilitado</w:t>
      </w:r>
      <w:r w:rsidRPr="00886DCB">
        <w:rPr>
          <w:rFonts w:ascii="Arial" w:hAnsi="Arial" w:cs="Arial"/>
          <w:sz w:val="24"/>
          <w:szCs w:val="24"/>
          <w:lang w:val="es-ES"/>
        </w:rPr>
        <w:t xml:space="preserve"> la creación de un PROGRAMA DE ATENCIÓN A PERSONAS AGRESORAS así como el servicio de PUNTO DE ENCUENTRO FAMILIAR. Des del </w:t>
      </w:r>
      <w:r w:rsidR="00B11870">
        <w:rPr>
          <w:rFonts w:ascii="Arial" w:hAnsi="Arial" w:cs="Arial"/>
          <w:sz w:val="24"/>
          <w:szCs w:val="24"/>
          <w:lang w:val="es-ES"/>
        </w:rPr>
        <w:t>área</w:t>
      </w:r>
      <w:r w:rsidRPr="00886DCB">
        <w:rPr>
          <w:rFonts w:ascii="Arial" w:hAnsi="Arial" w:cs="Arial"/>
          <w:sz w:val="24"/>
          <w:szCs w:val="24"/>
          <w:lang w:val="es-ES"/>
        </w:rPr>
        <w:t xml:space="preserve"> de políticas de igualdad </w:t>
      </w:r>
      <w:r w:rsidR="009879B9" w:rsidRPr="00886DCB">
        <w:rPr>
          <w:rFonts w:ascii="Arial" w:hAnsi="Arial" w:cs="Arial"/>
          <w:sz w:val="24"/>
          <w:szCs w:val="24"/>
          <w:lang w:val="es-ES"/>
        </w:rPr>
        <w:t xml:space="preserve">se lleva a cabo el </w:t>
      </w:r>
      <w:r w:rsidR="00B11870" w:rsidRPr="00886DCB">
        <w:rPr>
          <w:rFonts w:ascii="Arial" w:hAnsi="Arial" w:cs="Arial"/>
          <w:sz w:val="24"/>
          <w:szCs w:val="24"/>
          <w:lang w:val="es-ES"/>
        </w:rPr>
        <w:t>programa</w:t>
      </w:r>
      <w:r w:rsidRPr="00886DCB">
        <w:rPr>
          <w:rFonts w:ascii="Arial" w:hAnsi="Arial" w:cs="Arial"/>
          <w:sz w:val="24"/>
          <w:szCs w:val="24"/>
          <w:lang w:val="es-ES"/>
        </w:rPr>
        <w:t xml:space="preserve"> de promoción de relaciones no violentas cuyo objetivo es trabajar sobre la responsabilidad por el daño causado así como la promoción de relaciones sanas basadas en el respeto y la igualdad de las personas. </w:t>
      </w:r>
    </w:p>
    <w:p w:rsidR="006E514A" w:rsidRDefault="006E514A" w:rsidP="00EC7785">
      <w:pPr>
        <w:spacing w:after="200" w:line="360" w:lineRule="auto"/>
        <w:jc w:val="both"/>
        <w:rPr>
          <w:rFonts w:ascii="Arial" w:hAnsi="Arial" w:cs="Arial"/>
          <w:sz w:val="24"/>
          <w:szCs w:val="24"/>
          <w:lang w:val="es-ES"/>
        </w:rPr>
      </w:pPr>
      <w:r w:rsidRPr="00886DCB">
        <w:rPr>
          <w:rFonts w:ascii="Arial" w:hAnsi="Arial" w:cs="Arial"/>
          <w:sz w:val="24"/>
          <w:szCs w:val="24"/>
          <w:lang w:val="es-ES"/>
        </w:rPr>
        <w:t xml:space="preserve">El Servicio de Punto de Encuentro Familiar entró en funcionamiento en 2018 y tiene por objeto la realización de visitas supervisadas o tuteladas por orden judicial. Este Servicio depende directamente del Departamento de Asuntos </w:t>
      </w:r>
      <w:r w:rsidRPr="00886DCB">
        <w:rPr>
          <w:rFonts w:ascii="Arial" w:hAnsi="Arial" w:cs="Arial"/>
          <w:sz w:val="24"/>
          <w:szCs w:val="24"/>
          <w:lang w:val="es-ES"/>
        </w:rPr>
        <w:lastRenderedPageBreak/>
        <w:t>Sociales y está formado por profesionales formados especialmente en violencia de género, violencia doméstica y protección a la infancia.</w:t>
      </w:r>
    </w:p>
    <w:p w:rsidR="003D3F14" w:rsidRPr="00886DCB" w:rsidRDefault="003D3F14" w:rsidP="00EC7785">
      <w:pPr>
        <w:spacing w:after="200" w:line="360" w:lineRule="auto"/>
        <w:jc w:val="both"/>
        <w:rPr>
          <w:rFonts w:ascii="Arial" w:hAnsi="Arial" w:cs="Arial"/>
          <w:sz w:val="24"/>
          <w:szCs w:val="24"/>
          <w:lang w:val="es-ES"/>
        </w:rPr>
      </w:pPr>
      <w:r>
        <w:rPr>
          <w:rFonts w:ascii="Arial" w:hAnsi="Arial" w:cs="Arial"/>
          <w:sz w:val="24"/>
          <w:szCs w:val="24"/>
          <w:lang w:val="es-ES"/>
        </w:rPr>
        <w:t>Como hemos tenido ocasión de explicar en foros internacionales, el seguimiento de los convenios internacionales junto a la contestación de los cuestionarios o evaluaciones generales comporta un gran esfuerzo para una administración pequeña como es la de nuestro país. No obstante, dentro de nuestra responsabilidad internacional y nuestro compromiso con la consecución de los derechos humanos, especialmente, de las mujeres que constituyen el 50% de la población, Andorra ha participado en la emisión de informes de carácter voluntario, como puede ser el Informe Voluntario para la Implementación de los Objetivos de Desarrollo Sostenible o la emisión del informe regional con motivo del 25º aniversario de la Declaración y Plataforma de Acción de Beijing. Todo ello, ha coincidido además, durante el inicio de la evaluación por parte del Grupo de Expertos del GREVIO sobre implementación del Convenio de Estambul, que ha conllevado igualmente, la presentaci</w:t>
      </w:r>
      <w:r w:rsidR="006B2BDC">
        <w:rPr>
          <w:rFonts w:ascii="Arial" w:hAnsi="Arial" w:cs="Arial"/>
          <w:sz w:val="24"/>
          <w:szCs w:val="24"/>
          <w:lang w:val="es-ES"/>
        </w:rPr>
        <w:t>ón del informe correspondiente.</w:t>
      </w:r>
    </w:p>
    <w:sectPr w:rsidR="003D3F14" w:rsidRPr="00886DCB">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3798" w:rsidRDefault="004D3798" w:rsidP="004D3798">
      <w:pPr>
        <w:spacing w:after="0" w:line="240" w:lineRule="auto"/>
      </w:pPr>
      <w:r>
        <w:separator/>
      </w:r>
    </w:p>
  </w:endnote>
  <w:endnote w:type="continuationSeparator" w:id="0">
    <w:p w:rsidR="004D3798" w:rsidRDefault="004D3798" w:rsidP="004D3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0525397"/>
      <w:docPartObj>
        <w:docPartGallery w:val="Page Numbers (Bottom of Page)"/>
        <w:docPartUnique/>
      </w:docPartObj>
    </w:sdtPr>
    <w:sdtEndPr/>
    <w:sdtContent>
      <w:p w:rsidR="004D3798" w:rsidRDefault="004D3798">
        <w:pPr>
          <w:pStyle w:val="Piedepgina"/>
          <w:jc w:val="right"/>
        </w:pPr>
        <w:r>
          <w:fldChar w:fldCharType="begin"/>
        </w:r>
        <w:r>
          <w:instrText>PAGE   \* MERGEFORMAT</w:instrText>
        </w:r>
        <w:r>
          <w:fldChar w:fldCharType="separate"/>
        </w:r>
        <w:r w:rsidR="00DC2362" w:rsidRPr="00DC2362">
          <w:rPr>
            <w:noProof/>
            <w:lang w:val="es-ES"/>
          </w:rPr>
          <w:t>9</w:t>
        </w:r>
        <w:r>
          <w:fldChar w:fldCharType="end"/>
        </w:r>
      </w:p>
    </w:sdtContent>
  </w:sdt>
  <w:p w:rsidR="001C7ABE" w:rsidRDefault="00DC236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3798" w:rsidRDefault="004D3798" w:rsidP="004D3798">
      <w:pPr>
        <w:spacing w:after="0" w:line="240" w:lineRule="auto"/>
      </w:pPr>
      <w:r>
        <w:separator/>
      </w:r>
    </w:p>
  </w:footnote>
  <w:footnote w:type="continuationSeparator" w:id="0">
    <w:p w:rsidR="004D3798" w:rsidRDefault="004D3798" w:rsidP="004D37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134867"/>
    <w:multiLevelType w:val="hybridMultilevel"/>
    <w:tmpl w:val="D25A744A"/>
    <w:lvl w:ilvl="0" w:tplc="5142DC02">
      <w:start w:val="1"/>
      <w:numFmt w:val="lowerLetter"/>
      <w:lvlText w:val="%1)"/>
      <w:lvlJc w:val="left"/>
      <w:pPr>
        <w:ind w:left="1080" w:hanging="360"/>
      </w:pPr>
      <w:rPr>
        <w:rFonts w:hint="default"/>
      </w:rPr>
    </w:lvl>
    <w:lvl w:ilvl="1" w:tplc="BB4ABFC4">
      <w:start w:val="12"/>
      <w:numFmt w:val="upperLetter"/>
      <w:lvlText w:val="%2."/>
      <w:lvlJc w:val="left"/>
      <w:pPr>
        <w:ind w:left="1800" w:hanging="360"/>
      </w:pPr>
      <w:rPr>
        <w:rFonts w:hint="default"/>
      </w:r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0B6"/>
    <w:rsid w:val="00027A4A"/>
    <w:rsid w:val="00130FDF"/>
    <w:rsid w:val="001E4F97"/>
    <w:rsid w:val="00225806"/>
    <w:rsid w:val="003D3F14"/>
    <w:rsid w:val="004A28A0"/>
    <w:rsid w:val="004D3798"/>
    <w:rsid w:val="005F6A64"/>
    <w:rsid w:val="006B2BDC"/>
    <w:rsid w:val="006E514A"/>
    <w:rsid w:val="0072056C"/>
    <w:rsid w:val="00731FDC"/>
    <w:rsid w:val="00886DCB"/>
    <w:rsid w:val="008D0060"/>
    <w:rsid w:val="00973B4C"/>
    <w:rsid w:val="009879B9"/>
    <w:rsid w:val="00A97F63"/>
    <w:rsid w:val="00B11870"/>
    <w:rsid w:val="00BD6165"/>
    <w:rsid w:val="00C03E1F"/>
    <w:rsid w:val="00C76098"/>
    <w:rsid w:val="00C924BE"/>
    <w:rsid w:val="00D06A22"/>
    <w:rsid w:val="00D44E7F"/>
    <w:rsid w:val="00DC2362"/>
    <w:rsid w:val="00DE59E5"/>
    <w:rsid w:val="00E60966"/>
    <w:rsid w:val="00E82206"/>
    <w:rsid w:val="00E90955"/>
    <w:rsid w:val="00EA10B6"/>
    <w:rsid w:val="00EC7785"/>
    <w:rsid w:val="00F238CF"/>
    <w:rsid w:val="00FB471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79504F-C486-470F-963B-366D1E2CB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4"/>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10B6"/>
    <w:rPr>
      <w:rFonts w:asciiTheme="minorHAnsi" w:hAnsiTheme="minorHAnsi"/>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EA10B6"/>
    <w:rPr>
      <w:b/>
      <w:bCs/>
    </w:rPr>
  </w:style>
  <w:style w:type="paragraph" w:styleId="Piedepgina">
    <w:name w:val="footer"/>
    <w:basedOn w:val="Normal"/>
    <w:link w:val="PiedepginaCar"/>
    <w:uiPriority w:val="99"/>
    <w:unhideWhenUsed/>
    <w:rsid w:val="00EA10B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A10B6"/>
    <w:rPr>
      <w:rFonts w:asciiTheme="minorHAnsi" w:hAnsiTheme="minorHAnsi"/>
      <w:sz w:val="22"/>
    </w:rPr>
  </w:style>
  <w:style w:type="paragraph" w:styleId="NormalWeb">
    <w:name w:val="Normal (Web)"/>
    <w:basedOn w:val="Normal"/>
    <w:uiPriority w:val="99"/>
    <w:unhideWhenUsed/>
    <w:rsid w:val="00EA10B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4D379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D3798"/>
    <w:rPr>
      <w:rFonts w:asciiTheme="minorHAnsi" w:hAnsiTheme="minorHAnsi"/>
      <w:sz w:val="22"/>
    </w:rPr>
  </w:style>
  <w:style w:type="character" w:styleId="Hipervnculo">
    <w:name w:val="Hyperlink"/>
    <w:basedOn w:val="Fuentedeprrafopredeter"/>
    <w:uiPriority w:val="99"/>
    <w:unhideWhenUsed/>
    <w:rsid w:val="00D44E7F"/>
    <w:rPr>
      <w:color w:val="0563C1" w:themeColor="hyperlink"/>
      <w:u w:val="single"/>
    </w:rPr>
  </w:style>
  <w:style w:type="paragraph" w:styleId="Textonotapie">
    <w:name w:val="footnote text"/>
    <w:basedOn w:val="Normal"/>
    <w:link w:val="TextonotapieCar"/>
    <w:uiPriority w:val="99"/>
    <w:semiHidden/>
    <w:unhideWhenUsed/>
    <w:rsid w:val="00D44E7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44E7F"/>
    <w:rPr>
      <w:rFonts w:asciiTheme="minorHAnsi" w:hAnsiTheme="minorHAnsi"/>
      <w:sz w:val="20"/>
      <w:szCs w:val="20"/>
    </w:rPr>
  </w:style>
  <w:style w:type="character" w:styleId="Refdenotaalpie">
    <w:name w:val="footnote reference"/>
    <w:basedOn w:val="Fuentedeprrafopredeter"/>
    <w:uiPriority w:val="99"/>
    <w:semiHidden/>
    <w:unhideWhenUsed/>
    <w:rsid w:val="00D44E7F"/>
    <w:rPr>
      <w:vertAlign w:val="superscript"/>
    </w:rPr>
  </w:style>
  <w:style w:type="table" w:styleId="Tablaconcuadrcula">
    <w:name w:val="Table Grid"/>
    <w:basedOn w:val="Tablanormal"/>
    <w:uiPriority w:val="39"/>
    <w:rsid w:val="00D44E7F"/>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886D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1E4B5E-5ABE-4ADD-A328-E848BA89AC31}"/>
</file>

<file path=customXml/itemProps2.xml><?xml version="1.0" encoding="utf-8"?>
<ds:datastoreItem xmlns:ds="http://schemas.openxmlformats.org/officeDocument/2006/customXml" ds:itemID="{24D29376-4FF5-4869-BDCB-81FD1FA7E6E8}"/>
</file>

<file path=customXml/itemProps3.xml><?xml version="1.0" encoding="utf-8"?>
<ds:datastoreItem xmlns:ds="http://schemas.openxmlformats.org/officeDocument/2006/customXml" ds:itemID="{E5C8765E-1107-405E-9DC1-857C8DDBE42F}"/>
</file>

<file path=docProps/app.xml><?xml version="1.0" encoding="utf-8"?>
<Properties xmlns="http://schemas.openxmlformats.org/officeDocument/2006/extended-properties" xmlns:vt="http://schemas.openxmlformats.org/officeDocument/2006/docPropsVTypes">
  <Template>Normal</Template>
  <TotalTime>151</TotalTime>
  <Pages>9</Pages>
  <Words>2674</Words>
  <Characters>15245</Characters>
  <Application>Microsoft Office Word</Application>
  <DocSecurity>0</DocSecurity>
  <Lines>127</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Fernandez Gonzalez</dc:creator>
  <cp:keywords/>
  <dc:description/>
  <cp:lastModifiedBy>Cristina Fernandez Gonzalez</cp:lastModifiedBy>
  <cp:revision>15</cp:revision>
  <dcterms:created xsi:type="dcterms:W3CDTF">2019-10-03T15:53:00Z</dcterms:created>
  <dcterms:modified xsi:type="dcterms:W3CDTF">2019-10-09T13:13:00Z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