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91A9C" w14:paraId="003EB062" w14:textId="77777777" w:rsidTr="00E56EE3">
        <w:trPr>
          <w:trHeight w:hRule="exact" w:val="851"/>
        </w:trPr>
        <w:tc>
          <w:tcPr>
            <w:tcW w:w="1280" w:type="dxa"/>
            <w:tcBorders>
              <w:bottom w:val="single" w:sz="4" w:space="0" w:color="auto"/>
            </w:tcBorders>
          </w:tcPr>
          <w:p w14:paraId="08BC84F9" w14:textId="77777777" w:rsidR="002D5AAC" w:rsidRDefault="002D5AAC" w:rsidP="00E56EE3"/>
        </w:tc>
        <w:tc>
          <w:tcPr>
            <w:tcW w:w="2273" w:type="dxa"/>
            <w:tcBorders>
              <w:bottom w:val="single" w:sz="4" w:space="0" w:color="auto"/>
            </w:tcBorders>
            <w:vAlign w:val="bottom"/>
          </w:tcPr>
          <w:p w14:paraId="4345ED11" w14:textId="5026B256" w:rsidR="002D5AAC" w:rsidRPr="00D4778E" w:rsidRDefault="002D5AAC" w:rsidP="00E56EE3">
            <w:pPr>
              <w:spacing w:after="80" w:line="300" w:lineRule="exact"/>
              <w:rPr>
                <w:sz w:val="28"/>
              </w:rPr>
            </w:pPr>
          </w:p>
        </w:tc>
        <w:tc>
          <w:tcPr>
            <w:tcW w:w="6086" w:type="dxa"/>
            <w:gridSpan w:val="2"/>
            <w:tcBorders>
              <w:bottom w:val="single" w:sz="4" w:space="0" w:color="auto"/>
            </w:tcBorders>
            <w:vAlign w:val="bottom"/>
          </w:tcPr>
          <w:p w14:paraId="6CA4903F" w14:textId="77777777" w:rsidR="002D5AAC" w:rsidRDefault="00C6112A" w:rsidP="00E56EE3">
            <w:pPr>
              <w:jc w:val="right"/>
            </w:pPr>
            <w:r w:rsidRPr="00660281">
              <w:rPr>
                <w:sz w:val="40"/>
              </w:rPr>
              <w:t>CRPD</w:t>
            </w:r>
            <w:r w:rsidR="00935A0B" w:rsidRPr="00F43810">
              <w:t>/C/ARG/FCO/2-3</w:t>
            </w:r>
          </w:p>
        </w:tc>
      </w:tr>
      <w:tr w:rsidR="00791A9C" w14:paraId="21A169FA" w14:textId="77777777" w:rsidTr="00E56EE3">
        <w:trPr>
          <w:trHeight w:hRule="exact" w:val="2835"/>
        </w:trPr>
        <w:tc>
          <w:tcPr>
            <w:tcW w:w="1280" w:type="dxa"/>
            <w:tcBorders>
              <w:top w:val="single" w:sz="4" w:space="0" w:color="auto"/>
              <w:bottom w:val="single" w:sz="12" w:space="0" w:color="auto"/>
            </w:tcBorders>
          </w:tcPr>
          <w:p w14:paraId="00015DDF" w14:textId="605FA415" w:rsidR="002D5AAC" w:rsidRDefault="002D5AAC" w:rsidP="00E56EE3">
            <w:pPr>
              <w:spacing w:before="120"/>
              <w:jc w:val="center"/>
            </w:pPr>
          </w:p>
        </w:tc>
        <w:tc>
          <w:tcPr>
            <w:tcW w:w="5540" w:type="dxa"/>
            <w:gridSpan w:val="2"/>
            <w:tcBorders>
              <w:top w:val="single" w:sz="4" w:space="0" w:color="auto"/>
              <w:bottom w:val="single" w:sz="12" w:space="0" w:color="auto"/>
            </w:tcBorders>
          </w:tcPr>
          <w:p w14:paraId="4F7AE551" w14:textId="39C3379C" w:rsidR="002D5AAC" w:rsidRPr="00D4778E" w:rsidRDefault="00D92AAC" w:rsidP="00CC3501">
            <w:pPr>
              <w:spacing w:before="120" w:line="360" w:lineRule="exact"/>
              <w:rPr>
                <w:b/>
                <w:sz w:val="34"/>
                <w:szCs w:val="34"/>
              </w:rPr>
            </w:pPr>
            <w:r>
              <w:rPr>
                <w:b/>
                <w:sz w:val="34"/>
                <w:szCs w:val="34"/>
              </w:rPr>
              <w:t>Versi</w:t>
            </w:r>
            <w:r w:rsidR="00A1237D">
              <w:rPr>
                <w:b/>
                <w:sz w:val="34"/>
                <w:szCs w:val="34"/>
              </w:rPr>
              <w:t>ó</w:t>
            </w:r>
            <w:r>
              <w:rPr>
                <w:b/>
                <w:sz w:val="34"/>
                <w:szCs w:val="34"/>
              </w:rPr>
              <w:t>n Avanzada No Editada</w:t>
            </w:r>
          </w:p>
        </w:tc>
        <w:tc>
          <w:tcPr>
            <w:tcW w:w="2819" w:type="dxa"/>
            <w:tcBorders>
              <w:top w:val="single" w:sz="4" w:space="0" w:color="auto"/>
              <w:bottom w:val="single" w:sz="12" w:space="0" w:color="auto"/>
            </w:tcBorders>
          </w:tcPr>
          <w:p w14:paraId="38BC2A35" w14:textId="77777777" w:rsidR="00935A0B" w:rsidRPr="00F43810" w:rsidRDefault="00C6112A" w:rsidP="00935A0B">
            <w:pPr>
              <w:spacing w:before="240" w:line="240" w:lineRule="exact"/>
            </w:pPr>
            <w:r w:rsidRPr="00F43810">
              <w:t xml:space="preserve">Distr. </w:t>
            </w:r>
            <w:r w:rsidR="006551F6" w:rsidRPr="00F43810">
              <w:t>general</w:t>
            </w:r>
          </w:p>
          <w:p w14:paraId="25AC0620" w14:textId="3B993DDA" w:rsidR="00935A0B" w:rsidRPr="00F43810" w:rsidRDefault="00C6112A" w:rsidP="00935A0B">
            <w:r w:rsidRPr="00F43810">
              <w:t>1</w:t>
            </w:r>
            <w:r w:rsidR="00D92AAC">
              <w:t>1</w:t>
            </w:r>
            <w:r w:rsidRPr="00F43810">
              <w:t xml:space="preserve"> de agosto de 2025</w:t>
            </w:r>
          </w:p>
          <w:p w14:paraId="5373CF6B" w14:textId="77777777" w:rsidR="00935A0B" w:rsidRPr="00F43810" w:rsidRDefault="00935A0B" w:rsidP="00935A0B"/>
          <w:p w14:paraId="1CE914E3" w14:textId="77777777" w:rsidR="00935A0B" w:rsidRPr="00F43810" w:rsidRDefault="00C6112A" w:rsidP="00935A0B">
            <w:r w:rsidRPr="00F43810">
              <w:t>Original: español</w:t>
            </w:r>
          </w:p>
          <w:p w14:paraId="34D31A36" w14:textId="77777777" w:rsidR="002D5AAC" w:rsidRDefault="00935A0B" w:rsidP="00935A0B">
            <w:pPr>
              <w:spacing w:line="240" w:lineRule="exact"/>
            </w:pPr>
            <w:r w:rsidRPr="00F43810">
              <w:t>Árabe, español, francés y inglés únicamente</w:t>
            </w:r>
          </w:p>
        </w:tc>
      </w:tr>
    </w:tbl>
    <w:p w14:paraId="486B65ED" w14:textId="77777777" w:rsidR="001A4396" w:rsidRDefault="00C6112A" w:rsidP="001A4396">
      <w:pPr>
        <w:spacing w:before="120"/>
        <w:rPr>
          <w:b/>
          <w:sz w:val="24"/>
          <w:szCs w:val="24"/>
        </w:rPr>
      </w:pPr>
      <w:r w:rsidRPr="00D65EF3">
        <w:rPr>
          <w:b/>
          <w:sz w:val="24"/>
          <w:szCs w:val="24"/>
        </w:rPr>
        <w:t>Comité sobre los Derechos de las Personas con Discapacidad</w:t>
      </w:r>
    </w:p>
    <w:p w14:paraId="5B320139" w14:textId="78EE4F7A" w:rsidR="00223323" w:rsidRPr="00FA7E8E" w:rsidRDefault="00C6112A" w:rsidP="000548B4">
      <w:pPr>
        <w:pStyle w:val="HMG"/>
      </w:pPr>
      <w:r w:rsidRPr="00FA7E8E">
        <w:rPr>
          <w:color w:val="000000"/>
        </w:rPr>
        <w:tab/>
      </w:r>
      <w:r w:rsidRPr="00FA7E8E">
        <w:rPr>
          <w:color w:val="000000"/>
        </w:rPr>
        <w:tab/>
      </w:r>
      <w:r w:rsidR="000548B4" w:rsidRPr="00752BFA">
        <w:rPr>
          <w:lang w:val="es-ES_tradnl"/>
        </w:rPr>
        <w:t xml:space="preserve">Información recibida </w:t>
      </w:r>
      <w:r w:rsidR="000548B4">
        <w:rPr>
          <w:lang w:val="es-ES_tradnl"/>
        </w:rPr>
        <w:t>de la Argentina</w:t>
      </w:r>
      <w:r w:rsidR="000548B4" w:rsidRPr="00911AC5">
        <w:rPr>
          <w:lang w:val="es-ES_tradnl"/>
        </w:rPr>
        <w:t xml:space="preserve"> </w:t>
      </w:r>
      <w:r w:rsidR="000548B4">
        <w:rPr>
          <w:lang w:val="es-ES_tradnl"/>
        </w:rPr>
        <w:t xml:space="preserve">sobre el seguimiento de las </w:t>
      </w:r>
      <w:r w:rsidR="000548B4" w:rsidRPr="00752BFA">
        <w:rPr>
          <w:lang w:val="es-ES_tradnl"/>
        </w:rPr>
        <w:t>observaciones finales</w:t>
      </w:r>
      <w:r w:rsidR="000548B4">
        <w:rPr>
          <w:lang w:val="es-ES_tradnl"/>
        </w:rPr>
        <w:t xml:space="preserve"> relativas a </w:t>
      </w:r>
      <w:r w:rsidR="005948F4" w:rsidRPr="00A76A3D">
        <w:rPr>
          <w:lang w:val="es-ES_tradnl"/>
        </w:rPr>
        <w:t>su</w:t>
      </w:r>
      <w:r w:rsidR="005948F4" w:rsidRPr="00A76A3D">
        <w:t>s informes</w:t>
      </w:r>
      <w:r w:rsidR="000548B4" w:rsidRPr="00A76A3D">
        <w:t xml:space="preserve"> periódicos </w:t>
      </w:r>
      <w:r w:rsidR="000548B4">
        <w:t>segundo y tercero combinados</w:t>
      </w:r>
      <w:r>
        <w:rPr>
          <w:rStyle w:val="FootnoteReference"/>
          <w:b w:val="0"/>
          <w:bCs/>
          <w:sz w:val="20"/>
          <w:vertAlign w:val="baseline"/>
        </w:rPr>
        <w:footnoteReference w:customMarkFollows="1" w:id="1"/>
        <w:t>*</w:t>
      </w:r>
    </w:p>
    <w:p w14:paraId="2865D687" w14:textId="445AAE0A" w:rsidR="00223323" w:rsidRPr="009E62C4" w:rsidRDefault="00C6112A" w:rsidP="00223323">
      <w:pPr>
        <w:pStyle w:val="SingleTxtG"/>
        <w:jc w:val="right"/>
      </w:pPr>
      <w:r w:rsidRPr="009E62C4">
        <w:t xml:space="preserve"> [</w:t>
      </w:r>
      <w:r w:rsidRPr="00911AC5">
        <w:rPr>
          <w:lang w:val="es-ES_tradnl"/>
        </w:rPr>
        <w:t xml:space="preserve">Fecha de </w:t>
      </w:r>
      <w:r w:rsidRPr="00C6112A">
        <w:rPr>
          <w:lang w:val="es-ES_tradnl"/>
        </w:rPr>
        <w:t>recepción:</w:t>
      </w:r>
      <w:r w:rsidRPr="00C6112A">
        <w:t xml:space="preserve"> </w:t>
      </w:r>
      <w:r w:rsidR="005948F4" w:rsidRPr="00C6112A">
        <w:t>11</w:t>
      </w:r>
      <w:r w:rsidRPr="00C6112A">
        <w:rPr>
          <w:lang w:val="es-ES_tradnl"/>
        </w:rPr>
        <w:t xml:space="preserve"> de </w:t>
      </w:r>
      <w:r w:rsidR="005948F4" w:rsidRPr="00C6112A">
        <w:rPr>
          <w:lang w:val="es-ES_tradnl"/>
        </w:rPr>
        <w:t xml:space="preserve">agosto </w:t>
      </w:r>
      <w:r w:rsidRPr="00C6112A">
        <w:rPr>
          <w:lang w:val="es-ES_tradnl"/>
        </w:rPr>
        <w:t xml:space="preserve">de </w:t>
      </w:r>
      <w:r w:rsidR="005948F4" w:rsidRPr="00C6112A">
        <w:rPr>
          <w:lang w:val="es-ES_tradnl"/>
        </w:rPr>
        <w:t>2025</w:t>
      </w:r>
      <w:r w:rsidRPr="00C6112A">
        <w:t>]</w:t>
      </w:r>
    </w:p>
    <w:p w14:paraId="6E15B12E" w14:textId="65D394F1" w:rsidR="005948F4" w:rsidRDefault="005948F4">
      <w:pPr>
        <w:spacing w:line="240" w:lineRule="auto"/>
      </w:pPr>
      <w:r>
        <w:br w:type="page"/>
      </w:r>
    </w:p>
    <w:p w14:paraId="1FAB2564" w14:textId="28700EE2" w:rsidR="005948F4" w:rsidRPr="005948F4" w:rsidRDefault="005948F4" w:rsidP="005948F4">
      <w:pPr>
        <w:pStyle w:val="H1G"/>
        <w:rPr>
          <w:lang w:eastAsia="en-US"/>
        </w:rPr>
      </w:pPr>
      <w:r>
        <w:rPr>
          <w:lang w:eastAsia="en-US"/>
        </w:rPr>
        <w:lastRenderedPageBreak/>
        <w:tab/>
      </w:r>
      <w:r>
        <w:rPr>
          <w:lang w:eastAsia="en-US"/>
        </w:rPr>
        <w:tab/>
      </w:r>
      <w:r w:rsidRPr="005948F4">
        <w:rPr>
          <w:lang w:eastAsia="en-US"/>
        </w:rPr>
        <w:t>Referencia:</w:t>
      </w:r>
      <w:r w:rsidRPr="005948F4">
        <w:rPr>
          <w:spacing w:val="18"/>
          <w:lang w:eastAsia="en-US"/>
        </w:rPr>
        <w:t xml:space="preserve"> </w:t>
      </w:r>
      <w:r w:rsidRPr="005948F4">
        <w:rPr>
          <w:lang w:eastAsia="en-US"/>
        </w:rPr>
        <w:t>Respuesta</w:t>
      </w:r>
      <w:r w:rsidRPr="005948F4">
        <w:rPr>
          <w:spacing w:val="19"/>
          <w:lang w:eastAsia="en-US"/>
        </w:rPr>
        <w:t xml:space="preserve"> </w:t>
      </w:r>
      <w:r w:rsidRPr="005948F4">
        <w:rPr>
          <w:lang w:eastAsia="en-US"/>
        </w:rPr>
        <w:t>- Solicitud del Comité sobre los Derechos de las Personas con Discapacidad.</w:t>
      </w:r>
    </w:p>
    <w:p w14:paraId="67FE55CB" w14:textId="77777777" w:rsidR="005948F4" w:rsidRPr="005948F4" w:rsidRDefault="005948F4" w:rsidP="005948F4">
      <w:pPr>
        <w:pStyle w:val="SingleTxtG"/>
        <w:numPr>
          <w:ilvl w:val="0"/>
          <w:numId w:val="49"/>
        </w:numPr>
        <w:tabs>
          <w:tab w:val="clear" w:pos="1701"/>
          <w:tab w:val="left" w:pos="1843"/>
        </w:tabs>
        <w:ind w:left="1134" w:firstLine="0"/>
        <w:rPr>
          <w:lang w:eastAsia="en-US"/>
        </w:rPr>
      </w:pPr>
      <w:r w:rsidRPr="005948F4">
        <w:rPr>
          <w:lang w:eastAsia="en-US"/>
        </w:rPr>
        <w:t>Por la presente se remite respuesta a la solicitud del Comité sobre los Derechos de las Personas con Discapacidad, de conformidad con el párrafo 1 del artículo 36 de la Convención sobre los Derechos de las Personas con Discapacidad, que permite al Comité solicitar información adicional a los Estados Partes en relación con la aplicación de la Convención, enviada por el Secretario General (Oficina del Alto Comisionado para los Derechos Humanos).</w:t>
      </w:r>
    </w:p>
    <w:p w14:paraId="232E2EFB" w14:textId="77777777" w:rsidR="005948F4" w:rsidRPr="005948F4" w:rsidRDefault="005948F4" w:rsidP="005948F4">
      <w:pPr>
        <w:pStyle w:val="SingleTxtG"/>
        <w:numPr>
          <w:ilvl w:val="0"/>
          <w:numId w:val="49"/>
        </w:numPr>
        <w:tabs>
          <w:tab w:val="clear" w:pos="1701"/>
          <w:tab w:val="left" w:pos="1843"/>
        </w:tabs>
        <w:ind w:left="1134" w:firstLine="0"/>
        <w:rPr>
          <w:lang w:eastAsia="en-US"/>
        </w:rPr>
      </w:pPr>
      <w:r w:rsidRPr="005948F4">
        <w:rPr>
          <w:lang w:eastAsia="en-US"/>
        </w:rPr>
        <w:t>Con el objetivo de cumplimentar adecuadamente la solicitud del Comité se procedió a solicitar información a</w:t>
      </w:r>
      <w:r w:rsidRPr="005948F4">
        <w:rPr>
          <w:spacing w:val="45"/>
          <w:lang w:eastAsia="en-US"/>
        </w:rPr>
        <w:t xml:space="preserve"> </w:t>
      </w:r>
      <w:r w:rsidRPr="005948F4">
        <w:rPr>
          <w:lang w:eastAsia="en-US"/>
        </w:rPr>
        <w:t>los</w:t>
      </w:r>
      <w:r w:rsidRPr="005948F4">
        <w:rPr>
          <w:spacing w:val="45"/>
          <w:lang w:eastAsia="en-US"/>
        </w:rPr>
        <w:t xml:space="preserve"> </w:t>
      </w:r>
      <w:r w:rsidRPr="005948F4">
        <w:rPr>
          <w:lang w:eastAsia="en-US"/>
        </w:rPr>
        <w:t>Ministerios</w:t>
      </w:r>
      <w:r w:rsidRPr="005948F4">
        <w:rPr>
          <w:spacing w:val="45"/>
          <w:lang w:eastAsia="en-US"/>
        </w:rPr>
        <w:t xml:space="preserve"> </w:t>
      </w:r>
      <w:r w:rsidRPr="005948F4">
        <w:rPr>
          <w:lang w:eastAsia="en-US"/>
        </w:rPr>
        <w:t>y</w:t>
      </w:r>
      <w:r w:rsidRPr="005948F4">
        <w:rPr>
          <w:spacing w:val="45"/>
          <w:lang w:eastAsia="en-US"/>
        </w:rPr>
        <w:t xml:space="preserve"> </w:t>
      </w:r>
      <w:r w:rsidRPr="005948F4">
        <w:rPr>
          <w:lang w:eastAsia="en-US"/>
        </w:rPr>
        <w:t>organismos</w:t>
      </w:r>
      <w:r w:rsidRPr="005948F4">
        <w:rPr>
          <w:spacing w:val="45"/>
          <w:lang w:eastAsia="en-US"/>
        </w:rPr>
        <w:t xml:space="preserve"> </w:t>
      </w:r>
      <w:r w:rsidRPr="005948F4">
        <w:rPr>
          <w:lang w:eastAsia="en-US"/>
        </w:rPr>
        <w:t>competentes</w:t>
      </w:r>
      <w:r w:rsidRPr="005948F4">
        <w:rPr>
          <w:spacing w:val="45"/>
          <w:lang w:eastAsia="en-US"/>
        </w:rPr>
        <w:t xml:space="preserve"> </w:t>
      </w:r>
      <w:r w:rsidRPr="005948F4">
        <w:rPr>
          <w:lang w:eastAsia="en-US"/>
        </w:rPr>
        <w:t>de</w:t>
      </w:r>
      <w:r w:rsidRPr="005948F4">
        <w:rPr>
          <w:spacing w:val="45"/>
          <w:lang w:eastAsia="en-US"/>
        </w:rPr>
        <w:t xml:space="preserve"> </w:t>
      </w:r>
      <w:r w:rsidRPr="005948F4">
        <w:rPr>
          <w:lang w:eastAsia="en-US"/>
        </w:rPr>
        <w:t>la República Argentina. En función de ello, a continuación se envía una respuesta elaborada por la Agencia Nacional de Discapacidad (ANDIS), la Superintendencia de Servicios de Salud y la Subsecretaría de Derechos Humanos de la Nación.</w:t>
      </w:r>
    </w:p>
    <w:p w14:paraId="3DCD0BAE" w14:textId="77777777" w:rsidR="005948F4" w:rsidRPr="005948F4" w:rsidRDefault="005948F4" w:rsidP="005948F4">
      <w:pPr>
        <w:pStyle w:val="SingleTxtG"/>
        <w:numPr>
          <w:ilvl w:val="0"/>
          <w:numId w:val="49"/>
        </w:numPr>
        <w:tabs>
          <w:tab w:val="clear" w:pos="1701"/>
          <w:tab w:val="left" w:pos="1843"/>
        </w:tabs>
        <w:ind w:left="1134" w:firstLine="0"/>
        <w:rPr>
          <w:lang w:eastAsia="en-US"/>
        </w:rPr>
      </w:pPr>
      <w:r w:rsidRPr="005948F4">
        <w:rPr>
          <w:lang w:eastAsia="en-US"/>
        </w:rPr>
        <w:t>A partir de diciembre de 2023, y con el objeto de revertir una situación económica y administrativa de excepcional gravedad heredada, la República Argentina inició un proceso de profunda reestructuración institucional. Este proceso fue concebido con el fin de racionalizar y tornar más eficiente el funcionamiento del Estado Nacional, mejorar la calidad del servicio público, reducir el sobredimensionamiento de la estructura estatal, equilibrar las cuentas fiscales y transparentar el gasto público, sin perjuicio del pleno respeto a los derechos y principios consagrados en el orden constitucional.</w:t>
      </w:r>
    </w:p>
    <w:p w14:paraId="7E45EA66" w14:textId="77777777" w:rsidR="005948F4" w:rsidRPr="005948F4" w:rsidRDefault="005948F4" w:rsidP="005948F4">
      <w:pPr>
        <w:pStyle w:val="SingleTxtG"/>
        <w:numPr>
          <w:ilvl w:val="0"/>
          <w:numId w:val="49"/>
        </w:numPr>
        <w:tabs>
          <w:tab w:val="clear" w:pos="1701"/>
          <w:tab w:val="left" w:pos="1843"/>
        </w:tabs>
        <w:ind w:left="1134" w:firstLine="0"/>
        <w:rPr>
          <w:lang w:eastAsia="en-US"/>
        </w:rPr>
      </w:pPr>
      <w:r w:rsidRPr="005948F4">
        <w:rPr>
          <w:lang w:eastAsia="en-US"/>
        </w:rPr>
        <w:t>En ese contexto y, mediante el Decreto No. 585/2024, la Agencia Nacional para Personas con Discapacidad (ANDIS) pasó a la órbita del Ministerio de Salud de la Nación. Como parte del mentado proceso de reestructuración, se implementó un sistema de auditorías orientado a optimizar el funcionamiento del régimen y garantizar el acceso efectivo de las personas con discapacidad a la pensión por invalidez. Cabe consignar que dicha reestructuración no ha afectado la atención a las personas con discapacidad ni la de sus familias, ya que se implementaron mecanismos de reingeniería interna para fortalecer áreas técnicas y digitalizar procesos.</w:t>
      </w:r>
    </w:p>
    <w:p w14:paraId="5B3E433D" w14:textId="77777777" w:rsidR="005948F4" w:rsidRPr="005948F4" w:rsidRDefault="005948F4" w:rsidP="005948F4">
      <w:pPr>
        <w:pStyle w:val="SingleTxtG"/>
        <w:numPr>
          <w:ilvl w:val="0"/>
          <w:numId w:val="49"/>
        </w:numPr>
        <w:tabs>
          <w:tab w:val="clear" w:pos="1701"/>
          <w:tab w:val="left" w:pos="1843"/>
        </w:tabs>
        <w:ind w:left="1134" w:firstLine="0"/>
        <w:rPr>
          <w:lang w:eastAsia="en-US"/>
        </w:rPr>
      </w:pPr>
      <w:r w:rsidRPr="005948F4">
        <w:rPr>
          <w:lang w:eastAsia="en-US"/>
        </w:rPr>
        <w:t>Continuando con el proceso de reestructuración, se dictó el Decreto de Necesidad y Urgencia (DNU) No. 843/2024, a fin de establecer los criterios aplicables para el acceso de las personas con discapacidad a las Pensiones No Contributivas por Invalidez (PNC), incluyendo las medidas adoptadas para su implementación por parte de ANDIS. Mediante esta reforma se busca evitar el desvío de recursos del Estado hacia beneficiarios que no cumplan con las condiciones establecidas en la legislación vigente, optimizando la asignación presupuestaria y asegurando la sostenibilidad del sistema en beneficio de quienes más lo necesitan.</w:t>
      </w:r>
    </w:p>
    <w:p w14:paraId="7EA6627C" w14:textId="77777777" w:rsidR="005948F4" w:rsidRPr="005948F4" w:rsidRDefault="005948F4" w:rsidP="005948F4">
      <w:pPr>
        <w:pStyle w:val="SingleTxtG"/>
        <w:numPr>
          <w:ilvl w:val="0"/>
          <w:numId w:val="49"/>
        </w:numPr>
        <w:tabs>
          <w:tab w:val="clear" w:pos="1701"/>
          <w:tab w:val="left" w:pos="1843"/>
        </w:tabs>
        <w:ind w:left="1134" w:firstLine="0"/>
        <w:rPr>
          <w:lang w:eastAsia="en-US"/>
        </w:rPr>
      </w:pPr>
      <w:r w:rsidRPr="005948F4">
        <w:rPr>
          <w:lang w:eastAsia="en-US"/>
        </w:rPr>
        <w:t xml:space="preserve">En este sentido, la reforma implementada no implica un desconocimiento de los derechos de las personas con discapacidad, sino una redefinición del universo elegible para una política social específica: la Pensión No Contributiva por Invalidez Laboral, dirigida a personas que se encuentran imposibilitadas de trabajar y acrediten una situación de vulnerabilidad debida a la escasez de recursos. </w:t>
      </w:r>
    </w:p>
    <w:p w14:paraId="501D1B64" w14:textId="77777777" w:rsidR="005948F4" w:rsidRPr="005948F4" w:rsidRDefault="005948F4" w:rsidP="005948F4">
      <w:pPr>
        <w:pStyle w:val="SingleTxtG"/>
        <w:numPr>
          <w:ilvl w:val="0"/>
          <w:numId w:val="49"/>
        </w:numPr>
        <w:tabs>
          <w:tab w:val="clear" w:pos="1701"/>
          <w:tab w:val="left" w:pos="1843"/>
        </w:tabs>
        <w:ind w:left="1134" w:firstLine="0"/>
        <w:rPr>
          <w:lang w:eastAsia="en-US"/>
        </w:rPr>
      </w:pPr>
      <w:r w:rsidRPr="005948F4">
        <w:rPr>
          <w:lang w:eastAsia="en-US"/>
        </w:rPr>
        <w:t>Con ese objetivo, ANDIS implementó el proceso de auditoría integral a lo largo de todo el territorio nacional en articulación con otros organismos y con amplia difusión a través de múltiples canales de notificación, instrumentos accesibles y una guía informativa sobre cada instancia del proceso.</w:t>
      </w:r>
    </w:p>
    <w:p w14:paraId="07B0BE59" w14:textId="77777777" w:rsidR="005948F4" w:rsidRPr="005948F4" w:rsidRDefault="005948F4" w:rsidP="005948F4">
      <w:pPr>
        <w:pStyle w:val="SingleTxtG"/>
        <w:numPr>
          <w:ilvl w:val="0"/>
          <w:numId w:val="49"/>
        </w:numPr>
        <w:tabs>
          <w:tab w:val="clear" w:pos="1701"/>
          <w:tab w:val="left" w:pos="1843"/>
        </w:tabs>
        <w:ind w:left="1134" w:firstLine="0"/>
        <w:rPr>
          <w:lang w:eastAsia="en-US"/>
        </w:rPr>
      </w:pPr>
      <w:r w:rsidRPr="005948F4">
        <w:rPr>
          <w:lang w:eastAsia="en-US"/>
        </w:rPr>
        <w:t>El procedimiento se basa en el análisis del Certificado Médico Oficial (CMO), obligatorio y emitido por un establecimiento sanitario público, en el que se constata una merma del 66% o más en la capacidad laboral, en consonancia con lo dispuesto por el Decreto No. 432/1997. Cabe destacar que no se exige la presentación del Certificado Único de Discapacidad (CUD), ya que este no constituye requisito para el otorgamiento de la pensión.</w:t>
      </w:r>
    </w:p>
    <w:p w14:paraId="228308D7" w14:textId="77777777" w:rsidR="005948F4" w:rsidRPr="005948F4" w:rsidRDefault="005948F4" w:rsidP="005948F4">
      <w:pPr>
        <w:pStyle w:val="SingleTxtG"/>
        <w:numPr>
          <w:ilvl w:val="0"/>
          <w:numId w:val="49"/>
        </w:numPr>
        <w:tabs>
          <w:tab w:val="clear" w:pos="1701"/>
          <w:tab w:val="left" w:pos="1843"/>
        </w:tabs>
        <w:ind w:left="1134" w:firstLine="0"/>
        <w:rPr>
          <w:lang w:eastAsia="en-US"/>
        </w:rPr>
      </w:pPr>
      <w:r w:rsidRPr="005948F4">
        <w:rPr>
          <w:lang w:eastAsia="en-US"/>
        </w:rPr>
        <w:t>Además, se consideran otros factores como la ausencia de ingresos formales, la falta de cobertura previsional, la inexistencia de patrimonio significativo, y la carencia de vínculos familiares legalmente obligados a prestar alimentos. Esta evaluación se efectúa a través de encuestas y cruces de datos con otros organismos del Estado.</w:t>
      </w:r>
    </w:p>
    <w:p w14:paraId="17F6F5E7" w14:textId="77777777" w:rsidR="005948F4" w:rsidRPr="005948F4" w:rsidRDefault="005948F4" w:rsidP="005948F4">
      <w:pPr>
        <w:pStyle w:val="SingleTxtG"/>
        <w:numPr>
          <w:ilvl w:val="0"/>
          <w:numId w:val="49"/>
        </w:numPr>
        <w:tabs>
          <w:tab w:val="clear" w:pos="1701"/>
          <w:tab w:val="left" w:pos="1843"/>
        </w:tabs>
        <w:ind w:left="1134" w:firstLine="0"/>
        <w:rPr>
          <w:lang w:eastAsia="en-US"/>
        </w:rPr>
      </w:pPr>
      <w:r w:rsidRPr="005948F4">
        <w:rPr>
          <w:lang w:eastAsia="en-US"/>
        </w:rPr>
        <w:lastRenderedPageBreak/>
        <w:t>Asimismo, se habilitó un procedimiento de justificación de inasistencia para personas con problemas de movilidad o residentes en zonas de difícil acceso. Cada evaluación se realiza de manera individualizada y contempla salvaguardas para proteger los derechos de las personas con discapacidad, incluyendo el derecho a defensa administrativa y la posibilidad de presentar descargos.</w:t>
      </w:r>
    </w:p>
    <w:p w14:paraId="78445191" w14:textId="77777777" w:rsidR="005948F4" w:rsidRPr="005948F4" w:rsidRDefault="005948F4" w:rsidP="005948F4">
      <w:pPr>
        <w:pStyle w:val="SingleTxtG"/>
        <w:numPr>
          <w:ilvl w:val="0"/>
          <w:numId w:val="49"/>
        </w:numPr>
        <w:tabs>
          <w:tab w:val="clear" w:pos="1701"/>
          <w:tab w:val="left" w:pos="1843"/>
        </w:tabs>
        <w:ind w:left="1134" w:firstLine="0"/>
        <w:rPr>
          <w:lang w:eastAsia="en-US"/>
        </w:rPr>
      </w:pPr>
      <w:r w:rsidRPr="005948F4">
        <w:rPr>
          <w:lang w:eastAsia="en-US"/>
        </w:rPr>
        <w:t>Con respecto al Decreto de Necesidad y Urgencia No. 600/2024 que introdujo modificaciones al mecanismo de financiamiento del Fondo Solidario de Redistribución (FSR) creado por la Ley No. 23.661, cabe mencionar que, en lo que respecta al Sistema de Prestaciones Básicas para la Habilitación y Rehabilitación Integral de Personas con Discapacidad, regulado por la Ley No. 24.901, no se observa un impacto negativo directo en su sostenibilidad, ya que el FSR constituye solo uno de los aportes al esquema de financiamiento multisectorial del sistema de prestaciones para personas con discapacidad.</w:t>
      </w:r>
    </w:p>
    <w:p w14:paraId="6FFA1FC9" w14:textId="77777777" w:rsidR="005948F4" w:rsidRPr="005948F4" w:rsidRDefault="005948F4" w:rsidP="005948F4">
      <w:pPr>
        <w:pStyle w:val="SingleTxtG"/>
        <w:numPr>
          <w:ilvl w:val="0"/>
          <w:numId w:val="49"/>
        </w:numPr>
        <w:tabs>
          <w:tab w:val="clear" w:pos="1701"/>
          <w:tab w:val="left" w:pos="1843"/>
        </w:tabs>
        <w:ind w:left="1134" w:firstLine="0"/>
        <w:rPr>
          <w:lang w:eastAsia="en-US"/>
        </w:rPr>
      </w:pPr>
      <w:r w:rsidRPr="005948F4">
        <w:rPr>
          <w:lang w:eastAsia="en-US"/>
        </w:rPr>
        <w:t>Sin perjuicio de lo anterior y a efectos de clarificar el carácter de las modificaciones introducidas en el DNU No. 600/2024, cabe mencionar que se trata de la unificación del coeficiente de aportes y contribuciones que deben ingresar al FSR por parte de las obras sociales nacionales de mayor volumen, fijándolo en 15%, ya que anteriormente la contribución de las Obras Sociales de Dirección al régimen general era del 20% y las de Obras Sociales Sindicales era del 15%, resultando en una asimetría injustificada para los aportes de dichos sistemas, violando flagrantemente el principio de equidad contributiva y progresividad del sistema.</w:t>
      </w:r>
    </w:p>
    <w:p w14:paraId="69A24273" w14:textId="77777777" w:rsidR="005948F4" w:rsidRPr="005948F4" w:rsidRDefault="005948F4" w:rsidP="005948F4">
      <w:pPr>
        <w:pStyle w:val="SingleTxtG"/>
        <w:numPr>
          <w:ilvl w:val="0"/>
          <w:numId w:val="49"/>
        </w:numPr>
        <w:tabs>
          <w:tab w:val="clear" w:pos="1701"/>
          <w:tab w:val="left" w:pos="1843"/>
        </w:tabs>
        <w:ind w:left="1134" w:firstLine="0"/>
        <w:rPr>
          <w:lang w:eastAsia="en-US"/>
        </w:rPr>
      </w:pPr>
      <w:r w:rsidRPr="005948F4">
        <w:rPr>
          <w:lang w:eastAsia="en-US"/>
        </w:rPr>
        <w:t>Asimismo, las Obras Sociales de Dirección constituyen un segmento menor dentro del universo total de agentes del seguro de salud, por lo que su impacto proporcional en la recaudación general del FSR es limitado. El espíritu de esta modificación es que las contribuciones al FSR sean uniformes independientemente de la elección del agente de salud, reforzando tanto el principio de equidad contributiva como el de libre elección en el sistema.</w:t>
      </w:r>
    </w:p>
    <w:p w14:paraId="10DC2D4B" w14:textId="77777777" w:rsidR="005948F4" w:rsidRPr="005948F4" w:rsidRDefault="005948F4" w:rsidP="005948F4">
      <w:pPr>
        <w:pStyle w:val="SingleTxtG"/>
        <w:numPr>
          <w:ilvl w:val="0"/>
          <w:numId w:val="49"/>
        </w:numPr>
        <w:tabs>
          <w:tab w:val="clear" w:pos="1701"/>
          <w:tab w:val="left" w:pos="1843"/>
        </w:tabs>
        <w:ind w:left="1134" w:firstLine="0"/>
        <w:rPr>
          <w:lang w:eastAsia="en-US"/>
        </w:rPr>
      </w:pPr>
      <w:r w:rsidRPr="005948F4">
        <w:rPr>
          <w:lang w:eastAsia="en-US"/>
        </w:rPr>
        <w:t>Finalmente, en relación con el proyecto de ley de Emergencia en Discapacidad, aprobado por el Honorable Senado de la Nación el pasado 10 de julio de 2025, se informa que dicha norma fue vetada en su totalidad mediante el Decreto No. 534/2025. Conforme al procedimiento previsto en el artículo 83 de la Constitución Nacional, el proyecto regresó a la Cámara de origen (Diputados), la cual podrá aceptar el veto o insistir en su sanción. Si ambas cámaras cuentan con dos tercios de los votos para imponer su criterio inicial, la ley quedará promulgada. De lo contrario, se mantendrá el veto presidencial y el proyecto no podrá ser reconsiderado durante el presente período de sesiones.</w:t>
      </w:r>
    </w:p>
    <w:p w14:paraId="69C23EDB" w14:textId="77777777" w:rsidR="005948F4" w:rsidRPr="005948F4" w:rsidRDefault="005948F4" w:rsidP="005948F4">
      <w:pPr>
        <w:pStyle w:val="SingleTxtG"/>
        <w:numPr>
          <w:ilvl w:val="0"/>
          <w:numId w:val="49"/>
        </w:numPr>
        <w:tabs>
          <w:tab w:val="clear" w:pos="1701"/>
          <w:tab w:val="left" w:pos="1843"/>
        </w:tabs>
        <w:ind w:left="1134" w:firstLine="0"/>
        <w:rPr>
          <w:lang w:eastAsia="en-US"/>
        </w:rPr>
      </w:pPr>
      <w:r w:rsidRPr="005948F4">
        <w:rPr>
          <w:lang w:eastAsia="en-US"/>
        </w:rPr>
        <w:t>El proyecto en cuestión declaraba la emergencia nacional en materia de discapacidad hasta el año 2026, creaba una nueva pensión no contributiva compatible con el trabajo formal y establecía actualizaciones automáticas de aranceles y compensaciones para prestadores. El Poder Ejecutivo estimó que su implementación implicaría un gasto fiscal superior a los 2 billones de pesos en 2025 y 4,7 billones en 2026, sin contemplar, el impacto adicional sobre el programa de atención médica “Incluir Salud”. En este sentido, el Poder Ejecutivo entendió que la ley tampoco preveía las fuentes de financiamiento para afrontar tal incremento de erogaciones, comprometiendo así la sustentabilidad del sistema.</w:t>
      </w:r>
    </w:p>
    <w:p w14:paraId="5BF242A1" w14:textId="77777777" w:rsidR="005948F4" w:rsidRPr="005948F4" w:rsidRDefault="005948F4" w:rsidP="005948F4">
      <w:pPr>
        <w:pStyle w:val="SingleTxtG"/>
        <w:numPr>
          <w:ilvl w:val="0"/>
          <w:numId w:val="49"/>
        </w:numPr>
        <w:tabs>
          <w:tab w:val="clear" w:pos="1701"/>
          <w:tab w:val="left" w:pos="1843"/>
        </w:tabs>
        <w:ind w:left="1134" w:firstLine="0"/>
        <w:rPr>
          <w:lang w:eastAsia="en-US"/>
        </w:rPr>
      </w:pPr>
      <w:r w:rsidRPr="005948F4">
        <w:rPr>
          <w:lang w:eastAsia="en-US"/>
        </w:rPr>
        <w:t xml:space="preserve">En este contexto, desde el inicio de la actual gestión se han orientado los esfuerzos hacia una transformación estructural del sistema de atención a las personas con discapacidad, basada en políticas públicas inclusivas, sostenibles y centradas en los derechos humanos, conforme a los principios consagrados en la Convención sobre los Derechos de las Personas con Discapacidad. </w:t>
      </w:r>
    </w:p>
    <w:p w14:paraId="77F309FA" w14:textId="77777777" w:rsidR="005948F4" w:rsidRPr="005948F4" w:rsidRDefault="005948F4" w:rsidP="005948F4">
      <w:pPr>
        <w:pStyle w:val="SingleTxtG"/>
        <w:numPr>
          <w:ilvl w:val="0"/>
          <w:numId w:val="49"/>
        </w:numPr>
        <w:tabs>
          <w:tab w:val="clear" w:pos="1701"/>
          <w:tab w:val="left" w:pos="1843"/>
        </w:tabs>
        <w:ind w:left="1134" w:firstLine="0"/>
        <w:rPr>
          <w:lang w:eastAsia="en-US"/>
        </w:rPr>
      </w:pPr>
      <w:r w:rsidRPr="005948F4">
        <w:rPr>
          <w:lang w:eastAsia="en-US"/>
        </w:rPr>
        <w:t>Entre las principales líneas de acción implementadas, cabe destacar:</w:t>
      </w:r>
    </w:p>
    <w:p w14:paraId="41D2C6D0" w14:textId="77777777" w:rsidR="005948F4" w:rsidRPr="005948F4" w:rsidRDefault="005948F4" w:rsidP="005948F4">
      <w:pPr>
        <w:pStyle w:val="Bullet1G"/>
      </w:pPr>
      <w:r w:rsidRPr="005948F4">
        <w:t>La implementación de programas del Fondo Nacional para la Inclusión Social de las Personas con Discapacidad (FONADIS), que financian iniciativas productivas, promueven la autonomía económica y estimulan la contratación en el sector privado.</w:t>
      </w:r>
    </w:p>
    <w:p w14:paraId="4E21F14E" w14:textId="77777777" w:rsidR="005948F4" w:rsidRPr="005948F4" w:rsidRDefault="005948F4" w:rsidP="005948F4">
      <w:pPr>
        <w:pStyle w:val="Bullet1G"/>
      </w:pPr>
      <w:r w:rsidRPr="005948F4">
        <w:t>El fortalecimiento de los procesos de formación en inclusión laboral y educativa, tanto en el sector público como privado. El acompañamiento técnico a las provincias y municipios para mejorar la accesibilidad y la detección temprana de necesidades en el sistema educativo.</w:t>
      </w:r>
    </w:p>
    <w:p w14:paraId="07330BB7" w14:textId="77777777" w:rsidR="005948F4" w:rsidRPr="005948F4" w:rsidRDefault="005948F4" w:rsidP="005948F4">
      <w:pPr>
        <w:pStyle w:val="Bullet1G"/>
      </w:pPr>
      <w:r w:rsidRPr="005948F4">
        <w:lastRenderedPageBreak/>
        <w:t>La mejora continua del valor de las prestaciones: durante el año 2024, los aranceles del nomenclador crecieron un 99%, superando los incrementos otorgados en años anteriores y contribuyendo a restablecer el equilibrio prestacional.</w:t>
      </w:r>
    </w:p>
    <w:p w14:paraId="4C551ECE" w14:textId="77777777" w:rsidR="005948F4" w:rsidRPr="005948F4" w:rsidRDefault="005948F4" w:rsidP="005948F4">
      <w:pPr>
        <w:pStyle w:val="SingleTxtG"/>
        <w:numPr>
          <w:ilvl w:val="0"/>
          <w:numId w:val="49"/>
        </w:numPr>
        <w:tabs>
          <w:tab w:val="clear" w:pos="1701"/>
          <w:tab w:val="left" w:pos="1843"/>
        </w:tabs>
        <w:ind w:left="1134" w:firstLine="0"/>
        <w:rPr>
          <w:lang w:eastAsia="en-US"/>
        </w:rPr>
      </w:pPr>
      <w:r w:rsidRPr="005948F4">
        <w:rPr>
          <w:lang w:eastAsia="en-US"/>
        </w:rPr>
        <w:t>En este sentido, se reafirma el compromiso de continuar con el compromiso de avanzar en una agenda que responda a los desafíos estructurales en materia de discapacidad, desde una perspectiva de derechos, sostenibilidad y participación efectiva, con el firme objetivo de asegurar igualdad de oportunidades, autonomía y calidad de vida para todas las personas con discapacidad en la República Argentina.</w:t>
      </w:r>
    </w:p>
    <w:p w14:paraId="0105BD31" w14:textId="5AAD30DF" w:rsidR="00381C24" w:rsidRPr="005948F4" w:rsidRDefault="005948F4" w:rsidP="005948F4">
      <w:pPr>
        <w:pStyle w:val="SingleTxtG"/>
        <w:suppressAutoHyphens/>
        <w:spacing w:before="240" w:after="0"/>
        <w:jc w:val="center"/>
        <w:rPr>
          <w:u w:val="single"/>
        </w:rPr>
      </w:pPr>
      <w:r>
        <w:rPr>
          <w:u w:val="single"/>
        </w:rPr>
        <w:tab/>
      </w:r>
      <w:r>
        <w:rPr>
          <w:u w:val="single"/>
        </w:rPr>
        <w:tab/>
      </w:r>
      <w:r>
        <w:rPr>
          <w:u w:val="single"/>
        </w:rPr>
        <w:tab/>
      </w:r>
    </w:p>
    <w:sectPr w:rsidR="00381C24" w:rsidRPr="005948F4" w:rsidSect="00E56EE3">
      <w:headerReference w:type="even" r:id="rId11"/>
      <w:headerReference w:type="default" r:id="rId12"/>
      <w:footerReference w:type="even" r:id="rId13"/>
      <w:footerReference w:type="default" r:id="rId14"/>
      <w:headerReference w:type="first" r:id="rId15"/>
      <w:footerReference w:type="first" r:id="rId16"/>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60EAFA" w14:textId="77777777" w:rsidR="006C5A90" w:rsidRDefault="00C6112A">
      <w:r>
        <w:separator/>
      </w:r>
    </w:p>
  </w:endnote>
  <w:endnote w:type="continuationSeparator" w:id="0">
    <w:p w14:paraId="695D3596" w14:textId="77777777" w:rsidR="006C5A90" w:rsidRDefault="00C61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E8808" w14:textId="77777777" w:rsidR="001A4396" w:rsidRPr="001A4396" w:rsidRDefault="00C6112A"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E21556">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A0C36" w14:textId="77777777" w:rsidR="001A4396" w:rsidRPr="001A4396" w:rsidRDefault="00C6112A" w:rsidP="00935A0B">
    <w:pPr>
      <w:pStyle w:val="Footer"/>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9874BF">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68593" w14:textId="7DF42845" w:rsidR="002D4172" w:rsidRPr="00053EA6" w:rsidRDefault="00C6112A" w:rsidP="00521DC1">
    <w:pPr>
      <w:pStyle w:val="Footer"/>
      <w:rPr>
        <w:noProof/>
        <w:sz w:val="20"/>
        <w:lang w:val="fr-FR" w:eastAsia="fr-FR"/>
      </w:rPr>
    </w:pPr>
    <w:r w:rsidRPr="00053EA6">
      <w:rPr>
        <w:sz w:val="20"/>
      </w:rPr>
      <w:t>GE</w:t>
    </w:r>
    <w:r w:rsidR="00F519C3">
      <w:rPr>
        <w:sz w:val="20"/>
      </w:rPr>
      <w:t>-25</w:t>
    </w:r>
  </w:p>
  <w:tbl>
    <w:tblPr>
      <w:tblStyle w:val="Tablaconcuadrcula1"/>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791A9C" w14:paraId="0B2CAABD" w14:textId="77777777" w:rsidTr="00303190">
      <w:tc>
        <w:tcPr>
          <w:tcW w:w="1848" w:type="dxa"/>
          <w:vAlign w:val="bottom"/>
          <w:hideMark/>
        </w:tcPr>
        <w:p w14:paraId="11AF4341" w14:textId="77777777" w:rsidR="002D4172" w:rsidRPr="00754B77" w:rsidRDefault="00C6112A" w:rsidP="002D4172">
          <w:pPr>
            <w:kinsoku w:val="0"/>
            <w:overflowPunct w:val="0"/>
            <w:autoSpaceDE w:val="0"/>
            <w:autoSpaceDN w:val="0"/>
            <w:adjustRightInd w:val="0"/>
            <w:snapToGrid w:val="0"/>
            <w:spacing w:before="120" w:after="120" w:line="240" w:lineRule="auto"/>
            <w:jc w:val="right"/>
            <w:rPr>
              <w:sz w:val="16"/>
              <w:lang w:val="fr-CH"/>
            </w:rPr>
          </w:pPr>
          <w:r w:rsidRPr="002D4172">
            <w:rPr>
              <w:noProof/>
              <w:sz w:val="16"/>
              <w:lang w:eastAsia="zh-CN"/>
            </w:rPr>
            <w:drawing>
              <wp:inline distT="0" distB="0" distL="0" distR="0" wp14:anchorId="645DB35C" wp14:editId="79B6C408">
                <wp:extent cx="1076400" cy="230400"/>
                <wp:effectExtent l="0" t="0" r="0" b="0"/>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descr="recycle_Span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76400" cy="230400"/>
                        </a:xfrm>
                        <a:prstGeom prst="rect">
                          <a:avLst/>
                        </a:prstGeom>
                        <a:noFill/>
                        <a:ln>
                          <a:noFill/>
                        </a:ln>
                      </pic:spPr>
                    </pic:pic>
                  </a:graphicData>
                </a:graphic>
              </wp:inline>
            </w:drawing>
          </w:r>
        </w:p>
      </w:tc>
      <w:tc>
        <w:tcPr>
          <w:tcW w:w="1274" w:type="dxa"/>
        </w:tcPr>
        <w:p w14:paraId="0BB3C8D8" w14:textId="77777777" w:rsidR="002D4172" w:rsidRPr="00754B77" w:rsidRDefault="002D4172" w:rsidP="002D4172">
          <w:pPr>
            <w:kinsoku w:val="0"/>
            <w:overflowPunct w:val="0"/>
            <w:autoSpaceDE w:val="0"/>
            <w:autoSpaceDN w:val="0"/>
            <w:adjustRightInd w:val="0"/>
            <w:snapToGrid w:val="0"/>
            <w:spacing w:line="240" w:lineRule="auto"/>
            <w:jc w:val="right"/>
            <w:rPr>
              <w:sz w:val="16"/>
              <w:lang w:val="fr-CH"/>
            </w:rPr>
          </w:pPr>
        </w:p>
      </w:tc>
    </w:tr>
  </w:tbl>
  <w:p w14:paraId="4B9EC4D7" w14:textId="77777777" w:rsidR="00A86F80" w:rsidRPr="002A02C6" w:rsidRDefault="00A86F80" w:rsidP="00521D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72DA2B" w14:textId="77777777" w:rsidR="006C5A90" w:rsidRPr="001075E9" w:rsidRDefault="00C6112A" w:rsidP="001075E9">
      <w:pPr>
        <w:tabs>
          <w:tab w:val="right" w:pos="2155"/>
        </w:tabs>
        <w:spacing w:after="80" w:line="240" w:lineRule="auto"/>
        <w:ind w:left="680"/>
        <w:rPr>
          <w:u w:val="single"/>
        </w:rPr>
      </w:pPr>
      <w:r>
        <w:rPr>
          <w:u w:val="single"/>
        </w:rPr>
        <w:tab/>
      </w:r>
    </w:p>
  </w:footnote>
  <w:footnote w:type="continuationSeparator" w:id="0">
    <w:p w14:paraId="149EF4DE" w14:textId="77777777" w:rsidR="006C5A90" w:rsidRDefault="00C6112A" w:rsidP="00407B78">
      <w:pPr>
        <w:tabs>
          <w:tab w:val="right" w:pos="2155"/>
        </w:tabs>
        <w:spacing w:after="80"/>
        <w:ind w:left="680"/>
        <w:rPr>
          <w:u w:val="single"/>
        </w:rPr>
      </w:pPr>
      <w:r>
        <w:rPr>
          <w:u w:val="single"/>
        </w:rPr>
        <w:tab/>
      </w:r>
    </w:p>
  </w:footnote>
  <w:footnote w:id="1">
    <w:p w14:paraId="738B7185" w14:textId="77777777" w:rsidR="000548B4" w:rsidRPr="007B1600" w:rsidRDefault="00C6112A" w:rsidP="000548B4">
      <w:pPr>
        <w:pStyle w:val="FootnoteText"/>
        <w:rPr>
          <w:sz w:val="20"/>
        </w:rPr>
      </w:pPr>
      <w:r>
        <w:tab/>
      </w:r>
      <w:r w:rsidRPr="007B1600">
        <w:rPr>
          <w:rStyle w:val="FootnoteReference"/>
          <w:sz w:val="20"/>
          <w:vertAlign w:val="baseline"/>
        </w:rPr>
        <w:t>*</w:t>
      </w:r>
      <w:r w:rsidRPr="007B1600">
        <w:rPr>
          <w:rStyle w:val="FootnoteReference"/>
          <w:vertAlign w:val="baseline"/>
        </w:rPr>
        <w:tab/>
      </w:r>
      <w:r w:rsidR="00CB68A2" w:rsidRPr="00EF04B1">
        <w:t>El presente documento se publica sin haber sido objeto de revisión editorial oficial</w:t>
      </w:r>
      <w:r w:rsidRPr="007B160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978B7" w14:textId="77777777" w:rsidR="001A4396" w:rsidRPr="001A4396" w:rsidRDefault="00053EA6">
    <w:pPr>
      <w:pStyle w:val="Header"/>
    </w:pPr>
    <w:r>
      <w:t>CRPD/C/ARG/FCO/2-3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F643D" w14:textId="77777777" w:rsidR="001A4396" w:rsidRPr="00935A0B" w:rsidRDefault="00053EA6" w:rsidP="00935A0B">
    <w:pPr>
      <w:pStyle w:val="Header"/>
      <w:jc w:val="right"/>
      <w:rPr>
        <w:u w:val="double"/>
      </w:rPr>
    </w:pPr>
    <w:r>
      <w:t>CRPD/C/ARG/FCO/2-3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EA709" w14:textId="77777777" w:rsidR="00A711FB" w:rsidRDefault="00A711FB" w:rsidP="00A711FB">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7A2843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8683BC0" w:tentative="1">
      <w:start w:val="1"/>
      <w:numFmt w:val="lowerLetter"/>
      <w:lvlText w:val="%2."/>
      <w:lvlJc w:val="left"/>
      <w:pPr>
        <w:tabs>
          <w:tab w:val="num" w:pos="1440"/>
        </w:tabs>
        <w:ind w:left="1440" w:hanging="360"/>
      </w:pPr>
    </w:lvl>
    <w:lvl w:ilvl="2" w:tplc="C17C2F96" w:tentative="1">
      <w:start w:val="1"/>
      <w:numFmt w:val="lowerRoman"/>
      <w:lvlText w:val="%3."/>
      <w:lvlJc w:val="right"/>
      <w:pPr>
        <w:tabs>
          <w:tab w:val="num" w:pos="2160"/>
        </w:tabs>
        <w:ind w:left="2160" w:hanging="180"/>
      </w:pPr>
    </w:lvl>
    <w:lvl w:ilvl="3" w:tplc="0BFE7404" w:tentative="1">
      <w:start w:val="1"/>
      <w:numFmt w:val="decimal"/>
      <w:lvlText w:val="%4."/>
      <w:lvlJc w:val="left"/>
      <w:pPr>
        <w:tabs>
          <w:tab w:val="num" w:pos="2880"/>
        </w:tabs>
        <w:ind w:left="2880" w:hanging="360"/>
      </w:pPr>
    </w:lvl>
    <w:lvl w:ilvl="4" w:tplc="416C2C14" w:tentative="1">
      <w:start w:val="1"/>
      <w:numFmt w:val="lowerLetter"/>
      <w:lvlText w:val="%5."/>
      <w:lvlJc w:val="left"/>
      <w:pPr>
        <w:tabs>
          <w:tab w:val="num" w:pos="3600"/>
        </w:tabs>
        <w:ind w:left="3600" w:hanging="360"/>
      </w:pPr>
    </w:lvl>
    <w:lvl w:ilvl="5" w:tplc="656A1C00" w:tentative="1">
      <w:start w:val="1"/>
      <w:numFmt w:val="lowerRoman"/>
      <w:lvlText w:val="%6."/>
      <w:lvlJc w:val="right"/>
      <w:pPr>
        <w:tabs>
          <w:tab w:val="num" w:pos="4320"/>
        </w:tabs>
        <w:ind w:left="4320" w:hanging="180"/>
      </w:pPr>
    </w:lvl>
    <w:lvl w:ilvl="6" w:tplc="A956CE06" w:tentative="1">
      <w:start w:val="1"/>
      <w:numFmt w:val="decimal"/>
      <w:lvlText w:val="%7."/>
      <w:lvlJc w:val="left"/>
      <w:pPr>
        <w:tabs>
          <w:tab w:val="num" w:pos="5040"/>
        </w:tabs>
        <w:ind w:left="5040" w:hanging="360"/>
      </w:pPr>
    </w:lvl>
    <w:lvl w:ilvl="7" w:tplc="7450C186" w:tentative="1">
      <w:start w:val="1"/>
      <w:numFmt w:val="lowerLetter"/>
      <w:lvlText w:val="%8."/>
      <w:lvlJc w:val="left"/>
      <w:pPr>
        <w:tabs>
          <w:tab w:val="num" w:pos="5760"/>
        </w:tabs>
        <w:ind w:left="5760" w:hanging="360"/>
      </w:pPr>
    </w:lvl>
    <w:lvl w:ilvl="8" w:tplc="B4D01694" w:tentative="1">
      <w:start w:val="1"/>
      <w:numFmt w:val="lowerRoman"/>
      <w:lvlText w:val="%9."/>
      <w:lvlJc w:val="right"/>
      <w:pPr>
        <w:tabs>
          <w:tab w:val="num" w:pos="6480"/>
        </w:tabs>
        <w:ind w:left="6480" w:hanging="180"/>
      </w:pPr>
    </w:lvl>
  </w:abstractNum>
  <w:abstractNum w:abstractNumId="11" w15:restartNumberingAfterBreak="0">
    <w:nsid w:val="22E67D62"/>
    <w:multiLevelType w:val="hybridMultilevel"/>
    <w:tmpl w:val="BE183F1C"/>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2" w15:restartNumberingAfterBreak="0">
    <w:nsid w:val="36A7743B"/>
    <w:multiLevelType w:val="hybridMultilevel"/>
    <w:tmpl w:val="165289D8"/>
    <w:lvl w:ilvl="0" w:tplc="B7B053B6">
      <w:start w:val="1"/>
      <w:numFmt w:val="bullet"/>
      <w:pStyle w:val="Bullet2G"/>
      <w:lvlText w:val="•"/>
      <w:lvlJc w:val="left"/>
      <w:pPr>
        <w:tabs>
          <w:tab w:val="num" w:pos="2268"/>
        </w:tabs>
        <w:ind w:left="2268" w:hanging="170"/>
      </w:pPr>
      <w:rPr>
        <w:rFonts w:ascii="Times New Roman" w:hAnsi="Times New Roman" w:cs="Times New Roman" w:hint="default"/>
      </w:rPr>
    </w:lvl>
    <w:lvl w:ilvl="1" w:tplc="C5887ABC" w:tentative="1">
      <w:start w:val="1"/>
      <w:numFmt w:val="bullet"/>
      <w:lvlText w:val="o"/>
      <w:lvlJc w:val="left"/>
      <w:pPr>
        <w:tabs>
          <w:tab w:val="num" w:pos="1440"/>
        </w:tabs>
        <w:ind w:left="1440" w:hanging="360"/>
      </w:pPr>
      <w:rPr>
        <w:rFonts w:ascii="Courier New" w:hAnsi="Courier New" w:hint="default"/>
      </w:rPr>
    </w:lvl>
    <w:lvl w:ilvl="2" w:tplc="0FD22792" w:tentative="1">
      <w:start w:val="1"/>
      <w:numFmt w:val="bullet"/>
      <w:lvlText w:val=""/>
      <w:lvlJc w:val="left"/>
      <w:pPr>
        <w:tabs>
          <w:tab w:val="num" w:pos="2160"/>
        </w:tabs>
        <w:ind w:left="2160" w:hanging="360"/>
      </w:pPr>
      <w:rPr>
        <w:rFonts w:ascii="Wingdings" w:hAnsi="Wingdings" w:hint="default"/>
      </w:rPr>
    </w:lvl>
    <w:lvl w:ilvl="3" w:tplc="7236E922" w:tentative="1">
      <w:start w:val="1"/>
      <w:numFmt w:val="bullet"/>
      <w:lvlText w:val=""/>
      <w:lvlJc w:val="left"/>
      <w:pPr>
        <w:tabs>
          <w:tab w:val="num" w:pos="2880"/>
        </w:tabs>
        <w:ind w:left="2880" w:hanging="360"/>
      </w:pPr>
      <w:rPr>
        <w:rFonts w:ascii="Symbol" w:hAnsi="Symbol" w:hint="default"/>
      </w:rPr>
    </w:lvl>
    <w:lvl w:ilvl="4" w:tplc="3C7CF140" w:tentative="1">
      <w:start w:val="1"/>
      <w:numFmt w:val="bullet"/>
      <w:lvlText w:val="o"/>
      <w:lvlJc w:val="left"/>
      <w:pPr>
        <w:tabs>
          <w:tab w:val="num" w:pos="3600"/>
        </w:tabs>
        <w:ind w:left="3600" w:hanging="360"/>
      </w:pPr>
      <w:rPr>
        <w:rFonts w:ascii="Courier New" w:hAnsi="Courier New" w:hint="default"/>
      </w:rPr>
    </w:lvl>
    <w:lvl w:ilvl="5" w:tplc="B8DC6C44" w:tentative="1">
      <w:start w:val="1"/>
      <w:numFmt w:val="bullet"/>
      <w:lvlText w:val=""/>
      <w:lvlJc w:val="left"/>
      <w:pPr>
        <w:tabs>
          <w:tab w:val="num" w:pos="4320"/>
        </w:tabs>
        <w:ind w:left="4320" w:hanging="360"/>
      </w:pPr>
      <w:rPr>
        <w:rFonts w:ascii="Wingdings" w:hAnsi="Wingdings" w:hint="default"/>
      </w:rPr>
    </w:lvl>
    <w:lvl w:ilvl="6" w:tplc="08423A12" w:tentative="1">
      <w:start w:val="1"/>
      <w:numFmt w:val="bullet"/>
      <w:lvlText w:val=""/>
      <w:lvlJc w:val="left"/>
      <w:pPr>
        <w:tabs>
          <w:tab w:val="num" w:pos="5040"/>
        </w:tabs>
        <w:ind w:left="5040" w:hanging="360"/>
      </w:pPr>
      <w:rPr>
        <w:rFonts w:ascii="Symbol" w:hAnsi="Symbol" w:hint="default"/>
      </w:rPr>
    </w:lvl>
    <w:lvl w:ilvl="7" w:tplc="3094F5B2" w:tentative="1">
      <w:start w:val="1"/>
      <w:numFmt w:val="bullet"/>
      <w:lvlText w:val="o"/>
      <w:lvlJc w:val="left"/>
      <w:pPr>
        <w:tabs>
          <w:tab w:val="num" w:pos="5760"/>
        </w:tabs>
        <w:ind w:left="5760" w:hanging="360"/>
      </w:pPr>
      <w:rPr>
        <w:rFonts w:ascii="Courier New" w:hAnsi="Courier New" w:hint="default"/>
      </w:rPr>
    </w:lvl>
    <w:lvl w:ilvl="8" w:tplc="5366CFB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74665F"/>
    <w:multiLevelType w:val="hybridMultilevel"/>
    <w:tmpl w:val="744CF626"/>
    <w:lvl w:ilvl="0" w:tplc="52085490">
      <w:numFmt w:val="bullet"/>
      <w:lvlText w:val="-"/>
      <w:lvlJc w:val="left"/>
      <w:pPr>
        <w:ind w:left="720" w:hanging="360"/>
      </w:pPr>
      <w:rPr>
        <w:rFonts w:ascii="Times New Roman" w:eastAsia="Arial MT" w:hAnsi="Times New Roman" w:cs="Times New Roman"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14"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03A04B8E">
      <w:start w:val="1"/>
      <w:numFmt w:val="bullet"/>
      <w:pStyle w:val="Bullet1G"/>
      <w:lvlText w:val="•"/>
      <w:lvlJc w:val="left"/>
      <w:pPr>
        <w:tabs>
          <w:tab w:val="num" w:pos="1701"/>
        </w:tabs>
        <w:ind w:left="1701" w:hanging="170"/>
      </w:pPr>
      <w:rPr>
        <w:rFonts w:ascii="Times New Roman" w:hAnsi="Times New Roman" w:cs="Times New Roman" w:hint="default"/>
      </w:rPr>
    </w:lvl>
    <w:lvl w:ilvl="1" w:tplc="FAF4EFDC" w:tentative="1">
      <w:start w:val="1"/>
      <w:numFmt w:val="bullet"/>
      <w:lvlText w:val="o"/>
      <w:lvlJc w:val="left"/>
      <w:pPr>
        <w:tabs>
          <w:tab w:val="num" w:pos="1440"/>
        </w:tabs>
        <w:ind w:left="1440" w:hanging="360"/>
      </w:pPr>
      <w:rPr>
        <w:rFonts w:ascii="Courier New" w:hAnsi="Courier New" w:hint="default"/>
      </w:rPr>
    </w:lvl>
    <w:lvl w:ilvl="2" w:tplc="8BE44C84" w:tentative="1">
      <w:start w:val="1"/>
      <w:numFmt w:val="bullet"/>
      <w:lvlText w:val=""/>
      <w:lvlJc w:val="left"/>
      <w:pPr>
        <w:tabs>
          <w:tab w:val="num" w:pos="2160"/>
        </w:tabs>
        <w:ind w:left="2160" w:hanging="360"/>
      </w:pPr>
      <w:rPr>
        <w:rFonts w:ascii="Wingdings" w:hAnsi="Wingdings" w:hint="default"/>
      </w:rPr>
    </w:lvl>
    <w:lvl w:ilvl="3" w:tplc="C85C17B4" w:tentative="1">
      <w:start w:val="1"/>
      <w:numFmt w:val="bullet"/>
      <w:lvlText w:val=""/>
      <w:lvlJc w:val="left"/>
      <w:pPr>
        <w:tabs>
          <w:tab w:val="num" w:pos="2880"/>
        </w:tabs>
        <w:ind w:left="2880" w:hanging="360"/>
      </w:pPr>
      <w:rPr>
        <w:rFonts w:ascii="Symbol" w:hAnsi="Symbol" w:hint="default"/>
      </w:rPr>
    </w:lvl>
    <w:lvl w:ilvl="4" w:tplc="9CE8EA06" w:tentative="1">
      <w:start w:val="1"/>
      <w:numFmt w:val="bullet"/>
      <w:lvlText w:val="o"/>
      <w:lvlJc w:val="left"/>
      <w:pPr>
        <w:tabs>
          <w:tab w:val="num" w:pos="3600"/>
        </w:tabs>
        <w:ind w:left="3600" w:hanging="360"/>
      </w:pPr>
      <w:rPr>
        <w:rFonts w:ascii="Courier New" w:hAnsi="Courier New" w:hint="default"/>
      </w:rPr>
    </w:lvl>
    <w:lvl w:ilvl="5" w:tplc="A8007F1A" w:tentative="1">
      <w:start w:val="1"/>
      <w:numFmt w:val="bullet"/>
      <w:lvlText w:val=""/>
      <w:lvlJc w:val="left"/>
      <w:pPr>
        <w:tabs>
          <w:tab w:val="num" w:pos="4320"/>
        </w:tabs>
        <w:ind w:left="4320" w:hanging="360"/>
      </w:pPr>
      <w:rPr>
        <w:rFonts w:ascii="Wingdings" w:hAnsi="Wingdings" w:hint="default"/>
      </w:rPr>
    </w:lvl>
    <w:lvl w:ilvl="6" w:tplc="85F2290A" w:tentative="1">
      <w:start w:val="1"/>
      <w:numFmt w:val="bullet"/>
      <w:lvlText w:val=""/>
      <w:lvlJc w:val="left"/>
      <w:pPr>
        <w:tabs>
          <w:tab w:val="num" w:pos="5040"/>
        </w:tabs>
        <w:ind w:left="5040" w:hanging="360"/>
      </w:pPr>
      <w:rPr>
        <w:rFonts w:ascii="Symbol" w:hAnsi="Symbol" w:hint="default"/>
      </w:rPr>
    </w:lvl>
    <w:lvl w:ilvl="7" w:tplc="D46246B4" w:tentative="1">
      <w:start w:val="1"/>
      <w:numFmt w:val="bullet"/>
      <w:lvlText w:val="o"/>
      <w:lvlJc w:val="left"/>
      <w:pPr>
        <w:tabs>
          <w:tab w:val="num" w:pos="5760"/>
        </w:tabs>
        <w:ind w:left="5760" w:hanging="360"/>
      </w:pPr>
      <w:rPr>
        <w:rFonts w:ascii="Courier New" w:hAnsi="Courier New" w:hint="default"/>
      </w:rPr>
    </w:lvl>
    <w:lvl w:ilvl="8" w:tplc="FF667B4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18483489">
    <w:abstractNumId w:val="15"/>
  </w:num>
  <w:num w:numId="2" w16cid:durableId="1114984892">
    <w:abstractNumId w:val="12"/>
  </w:num>
  <w:num w:numId="3" w16cid:durableId="957181877">
    <w:abstractNumId w:val="17"/>
  </w:num>
  <w:num w:numId="4" w16cid:durableId="1446535084">
    <w:abstractNumId w:val="16"/>
  </w:num>
  <w:num w:numId="5" w16cid:durableId="355615333">
    <w:abstractNumId w:val="14"/>
  </w:num>
  <w:num w:numId="6" w16cid:durableId="1337731385">
    <w:abstractNumId w:val="8"/>
  </w:num>
  <w:num w:numId="7" w16cid:durableId="516848871">
    <w:abstractNumId w:val="3"/>
  </w:num>
  <w:num w:numId="8" w16cid:durableId="1975787732">
    <w:abstractNumId w:val="2"/>
  </w:num>
  <w:num w:numId="9" w16cid:durableId="1112212861">
    <w:abstractNumId w:val="1"/>
  </w:num>
  <w:num w:numId="10" w16cid:durableId="900405850">
    <w:abstractNumId w:val="0"/>
  </w:num>
  <w:num w:numId="11" w16cid:durableId="1719819489">
    <w:abstractNumId w:val="9"/>
  </w:num>
  <w:num w:numId="12" w16cid:durableId="954603731">
    <w:abstractNumId w:val="7"/>
  </w:num>
  <w:num w:numId="13" w16cid:durableId="514148591">
    <w:abstractNumId w:val="6"/>
  </w:num>
  <w:num w:numId="14" w16cid:durableId="1616717465">
    <w:abstractNumId w:val="5"/>
  </w:num>
  <w:num w:numId="15" w16cid:durableId="2121145430">
    <w:abstractNumId w:val="4"/>
  </w:num>
  <w:num w:numId="16" w16cid:durableId="722562637">
    <w:abstractNumId w:val="15"/>
  </w:num>
  <w:num w:numId="17" w16cid:durableId="640811096">
    <w:abstractNumId w:val="12"/>
  </w:num>
  <w:num w:numId="18" w16cid:durableId="1648894569">
    <w:abstractNumId w:val="17"/>
  </w:num>
  <w:num w:numId="19" w16cid:durableId="855538433">
    <w:abstractNumId w:val="16"/>
  </w:num>
  <w:num w:numId="20" w16cid:durableId="1037781589">
    <w:abstractNumId w:val="14"/>
  </w:num>
  <w:num w:numId="21" w16cid:durableId="1542745985">
    <w:abstractNumId w:val="8"/>
  </w:num>
  <w:num w:numId="22" w16cid:durableId="1563909140">
    <w:abstractNumId w:val="3"/>
  </w:num>
  <w:num w:numId="23" w16cid:durableId="1932204546">
    <w:abstractNumId w:val="2"/>
  </w:num>
  <w:num w:numId="24" w16cid:durableId="1503549242">
    <w:abstractNumId w:val="1"/>
  </w:num>
  <w:num w:numId="25" w16cid:durableId="1742100148">
    <w:abstractNumId w:val="0"/>
  </w:num>
  <w:num w:numId="26" w16cid:durableId="1371609477">
    <w:abstractNumId w:val="9"/>
  </w:num>
  <w:num w:numId="27" w16cid:durableId="507714694">
    <w:abstractNumId w:val="7"/>
  </w:num>
  <w:num w:numId="28" w16cid:durableId="37896638">
    <w:abstractNumId w:val="6"/>
  </w:num>
  <w:num w:numId="29" w16cid:durableId="1850632431">
    <w:abstractNumId w:val="5"/>
  </w:num>
  <w:num w:numId="30" w16cid:durableId="1037002209">
    <w:abstractNumId w:val="4"/>
  </w:num>
  <w:num w:numId="31" w16cid:durableId="2116367491">
    <w:abstractNumId w:val="10"/>
  </w:num>
  <w:num w:numId="32" w16cid:durableId="1306089084">
    <w:abstractNumId w:val="15"/>
  </w:num>
  <w:num w:numId="33" w16cid:durableId="1883321881">
    <w:abstractNumId w:val="12"/>
  </w:num>
  <w:num w:numId="34" w16cid:durableId="1591965462">
    <w:abstractNumId w:val="17"/>
  </w:num>
  <w:num w:numId="35" w16cid:durableId="418018625">
    <w:abstractNumId w:val="16"/>
  </w:num>
  <w:num w:numId="36" w16cid:durableId="1306399927">
    <w:abstractNumId w:val="14"/>
  </w:num>
  <w:num w:numId="37" w16cid:durableId="41445263">
    <w:abstractNumId w:val="9"/>
  </w:num>
  <w:num w:numId="38" w16cid:durableId="1169559197">
    <w:abstractNumId w:val="7"/>
  </w:num>
  <w:num w:numId="39" w16cid:durableId="622270863">
    <w:abstractNumId w:val="6"/>
  </w:num>
  <w:num w:numId="40" w16cid:durableId="178466362">
    <w:abstractNumId w:val="5"/>
  </w:num>
  <w:num w:numId="41" w16cid:durableId="745998382">
    <w:abstractNumId w:val="4"/>
  </w:num>
  <w:num w:numId="42" w16cid:durableId="2018649543">
    <w:abstractNumId w:val="8"/>
  </w:num>
  <w:num w:numId="43" w16cid:durableId="233400572">
    <w:abstractNumId w:val="3"/>
  </w:num>
  <w:num w:numId="44" w16cid:durableId="191846893">
    <w:abstractNumId w:val="2"/>
  </w:num>
  <w:num w:numId="45" w16cid:durableId="1826822919">
    <w:abstractNumId w:val="1"/>
  </w:num>
  <w:num w:numId="46" w16cid:durableId="1154880402">
    <w:abstractNumId w:val="0"/>
  </w:num>
  <w:num w:numId="47" w16cid:durableId="293566648">
    <w:abstractNumId w:val="10"/>
  </w:num>
  <w:num w:numId="48" w16cid:durableId="38945640">
    <w:abstractNumId w:val="13"/>
  </w:num>
  <w:num w:numId="49" w16cid:durableId="2017658590">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23BAB"/>
    <w:rsid w:val="00033EE1"/>
    <w:rsid w:val="00042B72"/>
    <w:rsid w:val="0004546B"/>
    <w:rsid w:val="00053EA6"/>
    <w:rsid w:val="000548B4"/>
    <w:rsid w:val="000558BD"/>
    <w:rsid w:val="000B57E7"/>
    <w:rsid w:val="000B6373"/>
    <w:rsid w:val="000D3664"/>
    <w:rsid w:val="000F09DF"/>
    <w:rsid w:val="000F61B2"/>
    <w:rsid w:val="001075E9"/>
    <w:rsid w:val="00180183"/>
    <w:rsid w:val="0018024D"/>
    <w:rsid w:val="0018649F"/>
    <w:rsid w:val="0019429F"/>
    <w:rsid w:val="00196389"/>
    <w:rsid w:val="001A4396"/>
    <w:rsid w:val="001B3EF6"/>
    <w:rsid w:val="001C7A89"/>
    <w:rsid w:val="00217D6C"/>
    <w:rsid w:val="00223323"/>
    <w:rsid w:val="00261033"/>
    <w:rsid w:val="002A02C6"/>
    <w:rsid w:val="002A2EFC"/>
    <w:rsid w:val="002C0E18"/>
    <w:rsid w:val="002D4172"/>
    <w:rsid w:val="002D5AAC"/>
    <w:rsid w:val="002F405F"/>
    <w:rsid w:val="00301299"/>
    <w:rsid w:val="00307FB6"/>
    <w:rsid w:val="00317339"/>
    <w:rsid w:val="00317DE1"/>
    <w:rsid w:val="00322004"/>
    <w:rsid w:val="00326214"/>
    <w:rsid w:val="003402C2"/>
    <w:rsid w:val="00376E4E"/>
    <w:rsid w:val="00381C24"/>
    <w:rsid w:val="003958D0"/>
    <w:rsid w:val="003A3CE4"/>
    <w:rsid w:val="003B00E5"/>
    <w:rsid w:val="003B4D5D"/>
    <w:rsid w:val="003D3526"/>
    <w:rsid w:val="003E0332"/>
    <w:rsid w:val="003F43D1"/>
    <w:rsid w:val="003F6FF0"/>
    <w:rsid w:val="00407B78"/>
    <w:rsid w:val="00424203"/>
    <w:rsid w:val="004452DE"/>
    <w:rsid w:val="00453C2F"/>
    <w:rsid w:val="00454E07"/>
    <w:rsid w:val="004B6CC2"/>
    <w:rsid w:val="004D1828"/>
    <w:rsid w:val="0050108D"/>
    <w:rsid w:val="00513081"/>
    <w:rsid w:val="005172CB"/>
    <w:rsid w:val="00517901"/>
    <w:rsid w:val="00521DC1"/>
    <w:rsid w:val="00526683"/>
    <w:rsid w:val="005709E0"/>
    <w:rsid w:val="00572E19"/>
    <w:rsid w:val="005948F4"/>
    <w:rsid w:val="005961C8"/>
    <w:rsid w:val="005D7914"/>
    <w:rsid w:val="005F0B42"/>
    <w:rsid w:val="00615628"/>
    <w:rsid w:val="00621949"/>
    <w:rsid w:val="006551F6"/>
    <w:rsid w:val="00660281"/>
    <w:rsid w:val="0067428E"/>
    <w:rsid w:val="00681A10"/>
    <w:rsid w:val="006C2031"/>
    <w:rsid w:val="006C5A90"/>
    <w:rsid w:val="006D317E"/>
    <w:rsid w:val="006D461A"/>
    <w:rsid w:val="006F35EE"/>
    <w:rsid w:val="007021FF"/>
    <w:rsid w:val="00712895"/>
    <w:rsid w:val="00714A43"/>
    <w:rsid w:val="00752BFA"/>
    <w:rsid w:val="00754B77"/>
    <w:rsid w:val="00757357"/>
    <w:rsid w:val="007879EF"/>
    <w:rsid w:val="00791A9C"/>
    <w:rsid w:val="007B1600"/>
    <w:rsid w:val="007C333F"/>
    <w:rsid w:val="007E072F"/>
    <w:rsid w:val="00805D1C"/>
    <w:rsid w:val="00807853"/>
    <w:rsid w:val="00825F8D"/>
    <w:rsid w:val="00834B71"/>
    <w:rsid w:val="00841CBA"/>
    <w:rsid w:val="0086445C"/>
    <w:rsid w:val="0087166F"/>
    <w:rsid w:val="00894693"/>
    <w:rsid w:val="008A08D7"/>
    <w:rsid w:val="008B6909"/>
    <w:rsid w:val="009063C3"/>
    <w:rsid w:val="00906890"/>
    <w:rsid w:val="00911AC5"/>
    <w:rsid w:val="00911BE4"/>
    <w:rsid w:val="00935A0B"/>
    <w:rsid w:val="00951972"/>
    <w:rsid w:val="00953B31"/>
    <w:rsid w:val="009608F3"/>
    <w:rsid w:val="009874BF"/>
    <w:rsid w:val="0099696A"/>
    <w:rsid w:val="009A3179"/>
    <w:rsid w:val="009E62C4"/>
    <w:rsid w:val="00A1237D"/>
    <w:rsid w:val="00A15ECC"/>
    <w:rsid w:val="00A32382"/>
    <w:rsid w:val="00A34BFC"/>
    <w:rsid w:val="00A44B2D"/>
    <w:rsid w:val="00A711FB"/>
    <w:rsid w:val="00A76A3D"/>
    <w:rsid w:val="00A84021"/>
    <w:rsid w:val="00A8637B"/>
    <w:rsid w:val="00A86F80"/>
    <w:rsid w:val="00A90C2B"/>
    <w:rsid w:val="00A91137"/>
    <w:rsid w:val="00A917B3"/>
    <w:rsid w:val="00AB4B51"/>
    <w:rsid w:val="00AE5F3B"/>
    <w:rsid w:val="00B10CC7"/>
    <w:rsid w:val="00B539E7"/>
    <w:rsid w:val="00B563EB"/>
    <w:rsid w:val="00B62458"/>
    <w:rsid w:val="00B80A93"/>
    <w:rsid w:val="00BA323B"/>
    <w:rsid w:val="00BD1A9F"/>
    <w:rsid w:val="00BD33EE"/>
    <w:rsid w:val="00BF2E5C"/>
    <w:rsid w:val="00C106D6"/>
    <w:rsid w:val="00C60F0C"/>
    <w:rsid w:val="00C6112A"/>
    <w:rsid w:val="00C805C9"/>
    <w:rsid w:val="00C856EC"/>
    <w:rsid w:val="00C92939"/>
    <w:rsid w:val="00CA1679"/>
    <w:rsid w:val="00CB151C"/>
    <w:rsid w:val="00CB242B"/>
    <w:rsid w:val="00CB68A2"/>
    <w:rsid w:val="00CC3501"/>
    <w:rsid w:val="00CE5A1A"/>
    <w:rsid w:val="00CF55F6"/>
    <w:rsid w:val="00D04407"/>
    <w:rsid w:val="00D33D63"/>
    <w:rsid w:val="00D46FF5"/>
    <w:rsid w:val="00D4778E"/>
    <w:rsid w:val="00D5651E"/>
    <w:rsid w:val="00D65EF3"/>
    <w:rsid w:val="00D7481B"/>
    <w:rsid w:val="00D82740"/>
    <w:rsid w:val="00D90138"/>
    <w:rsid w:val="00D92AAC"/>
    <w:rsid w:val="00DF6097"/>
    <w:rsid w:val="00E21556"/>
    <w:rsid w:val="00E31CF9"/>
    <w:rsid w:val="00E56EE3"/>
    <w:rsid w:val="00E73F76"/>
    <w:rsid w:val="00E86371"/>
    <w:rsid w:val="00EA2C9F"/>
    <w:rsid w:val="00EA3BDC"/>
    <w:rsid w:val="00ED0BDA"/>
    <w:rsid w:val="00ED3749"/>
    <w:rsid w:val="00EE7654"/>
    <w:rsid w:val="00EF04B1"/>
    <w:rsid w:val="00EF1360"/>
    <w:rsid w:val="00EF3220"/>
    <w:rsid w:val="00F37BF0"/>
    <w:rsid w:val="00F43810"/>
    <w:rsid w:val="00F519C3"/>
    <w:rsid w:val="00F63772"/>
    <w:rsid w:val="00F76A49"/>
    <w:rsid w:val="00F85F3F"/>
    <w:rsid w:val="00F9377E"/>
    <w:rsid w:val="00F94155"/>
    <w:rsid w:val="00FA7E8E"/>
    <w:rsid w:val="00FC7DEC"/>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875EFB"/>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Heading1">
    <w:name w:val="heading 1"/>
    <w:aliases w:val="Cuadro_G"/>
    <w:basedOn w:val="SingleTxtG"/>
    <w:next w:val="SingleTxtG"/>
    <w:link w:val="Heading1Ch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D7481B"/>
    <w:pPr>
      <w:keepNext/>
      <w:outlineLvl w:val="1"/>
    </w:pPr>
    <w:rPr>
      <w:rFonts w:cs="Arial"/>
      <w:bCs/>
      <w:iCs/>
      <w:szCs w:val="28"/>
    </w:rPr>
  </w:style>
  <w:style w:type="paragraph" w:styleId="Heading3">
    <w:name w:val="heading 3"/>
    <w:basedOn w:val="Normal"/>
    <w:next w:val="Normal"/>
    <w:semiHidden/>
    <w:rsid w:val="00D7481B"/>
    <w:pPr>
      <w:keepNext/>
      <w:spacing w:before="240" w:after="60"/>
      <w:outlineLvl w:val="2"/>
    </w:pPr>
    <w:rPr>
      <w:rFonts w:ascii="Arial" w:hAnsi="Arial" w:cs="Arial"/>
      <w:b/>
      <w:bCs/>
      <w:sz w:val="26"/>
      <w:szCs w:val="26"/>
    </w:rPr>
  </w:style>
  <w:style w:type="paragraph" w:styleId="Heading4">
    <w:name w:val="heading 4"/>
    <w:basedOn w:val="Normal"/>
    <w:next w:val="Normal"/>
    <w:semiHidden/>
    <w:rsid w:val="00D7481B"/>
    <w:pPr>
      <w:keepNext/>
      <w:spacing w:before="240" w:after="60"/>
      <w:outlineLvl w:val="3"/>
    </w:pPr>
    <w:rPr>
      <w:b/>
      <w:bCs/>
      <w:sz w:val="28"/>
      <w:szCs w:val="28"/>
    </w:rPr>
  </w:style>
  <w:style w:type="paragraph" w:styleId="Heading5">
    <w:name w:val="heading 5"/>
    <w:basedOn w:val="Normal"/>
    <w:next w:val="Normal"/>
    <w:semiHidden/>
    <w:rsid w:val="00D7481B"/>
    <w:pPr>
      <w:spacing w:before="240" w:after="60"/>
      <w:outlineLvl w:val="4"/>
    </w:pPr>
    <w:rPr>
      <w:b/>
      <w:bCs/>
      <w:i/>
      <w:iCs/>
      <w:sz w:val="26"/>
      <w:szCs w:val="26"/>
    </w:rPr>
  </w:style>
  <w:style w:type="paragraph" w:styleId="Heading6">
    <w:name w:val="heading 6"/>
    <w:basedOn w:val="Normal"/>
    <w:next w:val="Normal"/>
    <w:semiHidden/>
    <w:rsid w:val="00D7481B"/>
    <w:pPr>
      <w:spacing w:before="240" w:after="60"/>
      <w:outlineLvl w:val="5"/>
    </w:pPr>
    <w:rPr>
      <w:b/>
      <w:bCs/>
      <w:sz w:val="22"/>
      <w:szCs w:val="22"/>
    </w:rPr>
  </w:style>
  <w:style w:type="paragraph" w:styleId="Heading7">
    <w:name w:val="heading 7"/>
    <w:basedOn w:val="Normal"/>
    <w:next w:val="Normal"/>
    <w:semiHidden/>
    <w:rsid w:val="00D7481B"/>
    <w:pPr>
      <w:spacing w:before="240" w:after="60"/>
      <w:outlineLvl w:val="6"/>
    </w:pPr>
    <w:rPr>
      <w:sz w:val="24"/>
      <w:szCs w:val="24"/>
    </w:rPr>
  </w:style>
  <w:style w:type="paragraph" w:styleId="Heading8">
    <w:name w:val="heading 8"/>
    <w:basedOn w:val="Normal"/>
    <w:next w:val="Normal"/>
    <w:semiHidden/>
    <w:rsid w:val="00D7481B"/>
    <w:pPr>
      <w:spacing w:before="240" w:after="60"/>
      <w:outlineLvl w:val="7"/>
    </w:pPr>
    <w:rPr>
      <w:i/>
      <w:iCs/>
      <w:sz w:val="24"/>
      <w:szCs w:val="24"/>
    </w:rPr>
  </w:style>
  <w:style w:type="paragraph" w:styleId="Heading9">
    <w:name w:val="heading 9"/>
    <w:basedOn w:val="Normal"/>
    <w:next w:val="Normal"/>
    <w:semiHidden/>
    <w:rsid w:val="00D7481B"/>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16 Point,4_G,BVI fnr,Footnote,Footnote Refernece,Footnote symbol,Fußnotenzeichen_Raxen,Superscript 6 Point,Texto de nota al pie,ftref"/>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Footer">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FootnoteText">
    <w:name w:val="footnote text"/>
    <w:aliases w:val="5_G,Footnote Text Char Char1,Footnote Text Char Char1 Char Char,Footnote Text Char1,Footnote Text Char1 Char Char1,Footnote Text Char1 Char Char1 Char Char,Geneva 9 Char Char Char Char Char,ft,ft Char Char Char Char Char,single space"/>
    <w:basedOn w:val="Normal"/>
    <w:link w:val="FootnoteTextChar"/>
    <w:qFormat/>
    <w:rsid w:val="00D7481B"/>
    <w:pPr>
      <w:tabs>
        <w:tab w:val="right" w:pos="1021"/>
      </w:tabs>
      <w:spacing w:line="220" w:lineRule="exact"/>
      <w:ind w:left="1134" w:right="1134" w:hanging="1134"/>
    </w:pPr>
    <w:rPr>
      <w:sz w:val="18"/>
    </w:rPr>
  </w:style>
  <w:style w:type="table" w:styleId="TableGrid">
    <w:name w:val="Table Grid"/>
    <w:basedOn w:val="Table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D7481B"/>
    <w:pPr>
      <w:numPr>
        <w:numId w:val="3"/>
      </w:numPr>
    </w:pPr>
  </w:style>
  <w:style w:type="numbering" w:styleId="1ai">
    <w:name w:val="Outline List 1"/>
    <w:basedOn w:val="NoList"/>
    <w:semiHidden/>
    <w:rsid w:val="00D7481B"/>
    <w:pPr>
      <w:numPr>
        <w:numId w:val="4"/>
      </w:numPr>
    </w:pPr>
  </w:style>
  <w:style w:type="character" w:styleId="HTMLAcronym">
    <w:name w:val="HTML Acronym"/>
    <w:basedOn w:val="DefaultParagraphFont"/>
    <w:semiHidden/>
    <w:rsid w:val="00D7481B"/>
  </w:style>
  <w:style w:type="numbering" w:styleId="ArticleSection">
    <w:name w:val="Outline List 3"/>
    <w:basedOn w:val="NoList"/>
    <w:semiHidden/>
    <w:rsid w:val="00D7481B"/>
    <w:pPr>
      <w:numPr>
        <w:numId w:val="5"/>
      </w:numPr>
    </w:pPr>
  </w:style>
  <w:style w:type="paragraph" w:styleId="Closing">
    <w:name w:val="Closing"/>
    <w:basedOn w:val="Normal"/>
    <w:semiHidden/>
    <w:rsid w:val="00D7481B"/>
    <w:pPr>
      <w:ind w:left="4252"/>
    </w:pPr>
  </w:style>
  <w:style w:type="character" w:styleId="HTMLCite">
    <w:name w:val="HTML Cite"/>
    <w:semiHidden/>
    <w:rsid w:val="00D7481B"/>
    <w:rPr>
      <w:i/>
      <w:iCs/>
    </w:rPr>
  </w:style>
  <w:style w:type="character" w:styleId="HTMLCode">
    <w:name w:val="HTML Code"/>
    <w:semiHidden/>
    <w:rsid w:val="00D7481B"/>
    <w:rPr>
      <w:rFonts w:ascii="Courier New" w:hAnsi="Courier New" w:cs="Courier New"/>
      <w:sz w:val="20"/>
      <w:szCs w:val="20"/>
    </w:rPr>
  </w:style>
  <w:style w:type="paragraph" w:styleId="ListContinue">
    <w:name w:val="List Continue"/>
    <w:basedOn w:val="Normal"/>
    <w:semiHidden/>
    <w:rsid w:val="00D7481B"/>
    <w:pPr>
      <w:spacing w:after="120"/>
      <w:ind w:left="283"/>
    </w:pPr>
  </w:style>
  <w:style w:type="paragraph" w:styleId="ListContinue2">
    <w:name w:val="List Continue 2"/>
    <w:basedOn w:val="Normal"/>
    <w:semiHidden/>
    <w:rsid w:val="00D7481B"/>
    <w:pPr>
      <w:spacing w:after="120"/>
      <w:ind w:left="566"/>
    </w:pPr>
  </w:style>
  <w:style w:type="paragraph" w:styleId="ListContinue3">
    <w:name w:val="List Continue 3"/>
    <w:basedOn w:val="Normal"/>
    <w:semiHidden/>
    <w:rsid w:val="00D7481B"/>
    <w:pPr>
      <w:spacing w:after="120"/>
      <w:ind w:left="849"/>
    </w:pPr>
  </w:style>
  <w:style w:type="paragraph" w:styleId="ListContinue4">
    <w:name w:val="List Continue 4"/>
    <w:basedOn w:val="Normal"/>
    <w:semiHidden/>
    <w:rsid w:val="00D7481B"/>
    <w:pPr>
      <w:spacing w:after="120"/>
      <w:ind w:left="1132"/>
    </w:pPr>
  </w:style>
  <w:style w:type="paragraph" w:styleId="ListContinue5">
    <w:name w:val="List Continue 5"/>
    <w:basedOn w:val="Normal"/>
    <w:semiHidden/>
    <w:rsid w:val="00D7481B"/>
    <w:pPr>
      <w:spacing w:after="120"/>
      <w:ind w:left="1415"/>
    </w:pPr>
  </w:style>
  <w:style w:type="character" w:styleId="HTMLDefinition">
    <w:name w:val="HTML Definition"/>
    <w:semiHidden/>
    <w:rsid w:val="00D7481B"/>
    <w:rPr>
      <w:i/>
      <w:iCs/>
    </w:rPr>
  </w:style>
  <w:style w:type="paragraph" w:styleId="HTMLAddress">
    <w:name w:val="HTML Address"/>
    <w:basedOn w:val="Normal"/>
    <w:semiHidden/>
    <w:rsid w:val="00D7481B"/>
    <w:rPr>
      <w:i/>
      <w:iCs/>
    </w:rPr>
  </w:style>
  <w:style w:type="paragraph" w:styleId="EnvelopeAddress">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D7481B"/>
    <w:rPr>
      <w:rFonts w:ascii="Courier New" w:hAnsi="Courier New" w:cs="Courier New"/>
    </w:rPr>
  </w:style>
  <w:style w:type="paragraph" w:styleId="MessageHeader">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D7481B"/>
  </w:style>
  <w:style w:type="character" w:styleId="Emphasis">
    <w:name w:val="Emphasis"/>
    <w:semiHidden/>
    <w:rsid w:val="00D7481B"/>
    <w:rPr>
      <w:i/>
      <w:iCs/>
    </w:rPr>
  </w:style>
  <w:style w:type="paragraph" w:styleId="Date">
    <w:name w:val="Date"/>
    <w:basedOn w:val="Normal"/>
    <w:next w:val="Normal"/>
    <w:semiHidden/>
    <w:rsid w:val="00D7481B"/>
  </w:style>
  <w:style w:type="paragraph" w:styleId="Signature">
    <w:name w:val="Signature"/>
    <w:basedOn w:val="Normal"/>
    <w:semiHidden/>
    <w:rsid w:val="00D7481B"/>
    <w:pPr>
      <w:ind w:left="4252"/>
    </w:pPr>
  </w:style>
  <w:style w:type="paragraph" w:styleId="E-mailSignature">
    <w:name w:val="E-mail Signature"/>
    <w:basedOn w:val="Normal"/>
    <w:semiHidden/>
    <w:rsid w:val="00D7481B"/>
  </w:style>
  <w:style w:type="character" w:styleId="Hyperlink">
    <w:name w:val="Hyperlink"/>
    <w:rsid w:val="00D7481B"/>
    <w:rPr>
      <w:color w:val="0000FF"/>
      <w:u w:val="none"/>
    </w:rPr>
  </w:style>
  <w:style w:type="character" w:styleId="FollowedHyperlink">
    <w:name w:val="FollowedHyperlink"/>
    <w:rsid w:val="00D7481B"/>
    <w:rPr>
      <w:color w:val="0000FF"/>
      <w:u w:val="none"/>
    </w:rPr>
  </w:style>
  <w:style w:type="paragraph" w:styleId="HTMLPreformatted">
    <w:name w:val="HTML Preformatted"/>
    <w:basedOn w:val="Normal"/>
    <w:semiHidden/>
    <w:rsid w:val="00D7481B"/>
    <w:rPr>
      <w:rFonts w:ascii="Courier New" w:hAnsi="Courier New" w:cs="Courier New"/>
    </w:rPr>
  </w:style>
  <w:style w:type="paragraph" w:styleId="List">
    <w:name w:val="List"/>
    <w:basedOn w:val="Normal"/>
    <w:semiHidden/>
    <w:rsid w:val="00D7481B"/>
    <w:pPr>
      <w:ind w:left="283" w:hanging="283"/>
    </w:pPr>
  </w:style>
  <w:style w:type="paragraph" w:styleId="List2">
    <w:name w:val="List 2"/>
    <w:basedOn w:val="Normal"/>
    <w:semiHidden/>
    <w:rsid w:val="00D7481B"/>
    <w:pPr>
      <w:ind w:left="566" w:hanging="283"/>
    </w:pPr>
  </w:style>
  <w:style w:type="paragraph" w:styleId="List3">
    <w:name w:val="List 3"/>
    <w:basedOn w:val="Normal"/>
    <w:semiHidden/>
    <w:rsid w:val="00D7481B"/>
    <w:pPr>
      <w:ind w:left="849" w:hanging="283"/>
    </w:pPr>
  </w:style>
  <w:style w:type="paragraph" w:styleId="List4">
    <w:name w:val="List 4"/>
    <w:basedOn w:val="Normal"/>
    <w:semiHidden/>
    <w:rsid w:val="00D7481B"/>
    <w:pPr>
      <w:ind w:left="1132" w:hanging="283"/>
    </w:pPr>
  </w:style>
  <w:style w:type="paragraph" w:styleId="List5">
    <w:name w:val="List 5"/>
    <w:basedOn w:val="Normal"/>
    <w:semiHidden/>
    <w:rsid w:val="00D7481B"/>
    <w:pPr>
      <w:ind w:left="1415" w:hanging="283"/>
    </w:pPr>
  </w:style>
  <w:style w:type="paragraph" w:styleId="ListNumber">
    <w:name w:val="List Number"/>
    <w:basedOn w:val="Normal"/>
    <w:semiHidden/>
    <w:rsid w:val="00D7481B"/>
    <w:pPr>
      <w:numPr>
        <w:numId w:val="42"/>
      </w:numPr>
    </w:pPr>
  </w:style>
  <w:style w:type="paragraph" w:styleId="ListNumber2">
    <w:name w:val="List Number 2"/>
    <w:basedOn w:val="Normal"/>
    <w:semiHidden/>
    <w:rsid w:val="00D7481B"/>
    <w:pPr>
      <w:numPr>
        <w:numId w:val="43"/>
      </w:numPr>
    </w:pPr>
  </w:style>
  <w:style w:type="paragraph" w:styleId="ListNumber3">
    <w:name w:val="List Number 3"/>
    <w:basedOn w:val="Normal"/>
    <w:semiHidden/>
    <w:rsid w:val="00D7481B"/>
    <w:pPr>
      <w:numPr>
        <w:numId w:val="44"/>
      </w:numPr>
    </w:pPr>
  </w:style>
  <w:style w:type="paragraph" w:styleId="ListNumber4">
    <w:name w:val="List Number 4"/>
    <w:basedOn w:val="Normal"/>
    <w:semiHidden/>
    <w:rsid w:val="00D7481B"/>
    <w:pPr>
      <w:numPr>
        <w:numId w:val="45"/>
      </w:numPr>
    </w:pPr>
  </w:style>
  <w:style w:type="paragraph" w:styleId="ListNumber5">
    <w:name w:val="List Number 5"/>
    <w:basedOn w:val="Normal"/>
    <w:semiHidden/>
    <w:rsid w:val="00D7481B"/>
    <w:pPr>
      <w:numPr>
        <w:numId w:val="46"/>
      </w:numPr>
    </w:pPr>
  </w:style>
  <w:style w:type="paragraph" w:styleId="ListBullet">
    <w:name w:val="List Bullet"/>
    <w:basedOn w:val="Normal"/>
    <w:semiHidden/>
    <w:rsid w:val="00D7481B"/>
    <w:pPr>
      <w:numPr>
        <w:numId w:val="37"/>
      </w:numPr>
    </w:pPr>
  </w:style>
  <w:style w:type="paragraph" w:styleId="ListBullet2">
    <w:name w:val="List Bullet 2"/>
    <w:basedOn w:val="Normal"/>
    <w:semiHidden/>
    <w:rsid w:val="00D7481B"/>
    <w:pPr>
      <w:numPr>
        <w:numId w:val="38"/>
      </w:numPr>
    </w:pPr>
  </w:style>
  <w:style w:type="paragraph" w:styleId="ListBullet3">
    <w:name w:val="List Bullet 3"/>
    <w:basedOn w:val="Normal"/>
    <w:semiHidden/>
    <w:rsid w:val="00D7481B"/>
    <w:pPr>
      <w:numPr>
        <w:numId w:val="39"/>
      </w:numPr>
    </w:pPr>
  </w:style>
  <w:style w:type="paragraph" w:styleId="ListBullet4">
    <w:name w:val="List Bullet 4"/>
    <w:basedOn w:val="Normal"/>
    <w:semiHidden/>
    <w:rsid w:val="00D7481B"/>
    <w:pPr>
      <w:numPr>
        <w:numId w:val="40"/>
      </w:numPr>
    </w:pPr>
  </w:style>
  <w:style w:type="paragraph" w:styleId="ListBullet5">
    <w:name w:val="List Bullet 5"/>
    <w:basedOn w:val="Normal"/>
    <w:semiHidden/>
    <w:rsid w:val="00D7481B"/>
    <w:pPr>
      <w:numPr>
        <w:numId w:val="41"/>
      </w:numPr>
    </w:pPr>
  </w:style>
  <w:style w:type="character" w:styleId="HTMLTypewriter">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LineNumber">
    <w:name w:val="line number"/>
    <w:basedOn w:val="DefaultParagraphFont"/>
    <w:semiHidden/>
    <w:rsid w:val="00D7481B"/>
  </w:style>
  <w:style w:type="character" w:styleId="PageNumber">
    <w:name w:val="page number"/>
    <w:aliases w:val="7_G"/>
    <w:qFormat/>
    <w:rsid w:val="00D7481B"/>
    <w:rPr>
      <w:b/>
      <w:sz w:val="18"/>
    </w:rPr>
  </w:style>
  <w:style w:type="character" w:styleId="EndnoteReference">
    <w:name w:val="endnote reference"/>
    <w:aliases w:val="1_G"/>
    <w:qFormat/>
    <w:rsid w:val="00D7481B"/>
    <w:rPr>
      <w:rFonts w:ascii="Times New Roman" w:hAnsi="Times New Roman"/>
      <w:sz w:val="18"/>
      <w:vertAlign w:val="superscript"/>
    </w:rPr>
  </w:style>
  <w:style w:type="paragraph" w:styleId="EnvelopeReturn">
    <w:name w:val="envelope return"/>
    <w:basedOn w:val="Normal"/>
    <w:semiHidden/>
    <w:rsid w:val="00D7481B"/>
    <w:rPr>
      <w:rFonts w:ascii="Arial" w:hAnsi="Arial" w:cs="Arial"/>
    </w:rPr>
  </w:style>
  <w:style w:type="paragraph" w:styleId="Salutation">
    <w:name w:val="Salutation"/>
    <w:basedOn w:val="Normal"/>
    <w:next w:val="Normal"/>
    <w:semiHidden/>
    <w:rsid w:val="00D7481B"/>
  </w:style>
  <w:style w:type="paragraph" w:styleId="BodyTextIndent2">
    <w:name w:val="Body Text Indent 2"/>
    <w:basedOn w:val="Normal"/>
    <w:semiHidden/>
    <w:rsid w:val="00D7481B"/>
    <w:pPr>
      <w:spacing w:after="120" w:line="480" w:lineRule="auto"/>
      <w:ind w:left="283"/>
    </w:pPr>
  </w:style>
  <w:style w:type="paragraph" w:styleId="BodyTextIndent3">
    <w:name w:val="Body Text Indent 3"/>
    <w:basedOn w:val="Normal"/>
    <w:semiHidden/>
    <w:rsid w:val="00D7481B"/>
    <w:pPr>
      <w:spacing w:after="120"/>
      <w:ind w:left="283"/>
    </w:pPr>
    <w:rPr>
      <w:sz w:val="16"/>
      <w:szCs w:val="16"/>
    </w:rPr>
  </w:style>
  <w:style w:type="paragraph" w:styleId="BodyTextIndent">
    <w:name w:val="Body Text Indent"/>
    <w:basedOn w:val="Normal"/>
    <w:semiHidden/>
    <w:rsid w:val="00D7481B"/>
    <w:pPr>
      <w:spacing w:after="120"/>
      <w:ind w:left="283"/>
    </w:pPr>
  </w:style>
  <w:style w:type="paragraph" w:styleId="NormalIndent">
    <w:name w:val="Normal Indent"/>
    <w:basedOn w:val="Normal"/>
    <w:semiHidden/>
    <w:rsid w:val="00D7481B"/>
    <w:pPr>
      <w:ind w:left="567"/>
    </w:pPr>
  </w:style>
  <w:style w:type="paragraph" w:styleId="Subtitle">
    <w:name w:val="Subtitle"/>
    <w:basedOn w:val="Normal"/>
    <w:semiHidden/>
    <w:rsid w:val="00D7481B"/>
    <w:pPr>
      <w:spacing w:after="60"/>
      <w:jc w:val="center"/>
      <w:outlineLvl w:val="1"/>
    </w:pPr>
    <w:rPr>
      <w:rFonts w:ascii="Arial" w:hAnsi="Arial" w:cs="Arial"/>
      <w:sz w:val="24"/>
      <w:szCs w:val="24"/>
    </w:rPr>
  </w:style>
  <w:style w:type="table" w:styleId="TableSimple1">
    <w:name w:val="Table Simple 1"/>
    <w:basedOn w:val="Table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D7481B"/>
    <w:rPr>
      <w:rFonts w:ascii="Courier New" w:hAnsi="Courier New" w:cs="Courier New"/>
      <w:sz w:val="20"/>
      <w:szCs w:val="20"/>
    </w:rPr>
  </w:style>
  <w:style w:type="paragraph" w:styleId="BlockText">
    <w:name w:val="Block Text"/>
    <w:basedOn w:val="Normal"/>
    <w:semiHidden/>
    <w:rsid w:val="00D7481B"/>
    <w:pPr>
      <w:spacing w:after="120"/>
      <w:ind w:left="1440" w:right="1440"/>
    </w:pPr>
  </w:style>
  <w:style w:type="character" w:styleId="Strong">
    <w:name w:val="Strong"/>
    <w:semiHidden/>
    <w:rsid w:val="00D7481B"/>
    <w:rPr>
      <w:b/>
      <w:bCs/>
    </w:rPr>
  </w:style>
  <w:style w:type="paragraph" w:styleId="BodyText">
    <w:name w:val="Body Text"/>
    <w:basedOn w:val="Normal"/>
    <w:semiHidden/>
    <w:rsid w:val="00D7481B"/>
    <w:pPr>
      <w:spacing w:after="120"/>
    </w:pPr>
  </w:style>
  <w:style w:type="paragraph" w:styleId="BodyText2">
    <w:name w:val="Body Text 2"/>
    <w:basedOn w:val="Normal"/>
    <w:semiHidden/>
    <w:rsid w:val="00D7481B"/>
    <w:pPr>
      <w:spacing w:after="120" w:line="480" w:lineRule="auto"/>
    </w:pPr>
  </w:style>
  <w:style w:type="paragraph" w:styleId="BodyText3">
    <w:name w:val="Body Text 3"/>
    <w:basedOn w:val="Normal"/>
    <w:semiHidden/>
    <w:rsid w:val="00D7481B"/>
    <w:pPr>
      <w:spacing w:after="120"/>
    </w:pPr>
    <w:rPr>
      <w:sz w:val="16"/>
      <w:szCs w:val="16"/>
    </w:rPr>
  </w:style>
  <w:style w:type="paragraph" w:styleId="BodyTextFirstIndent">
    <w:name w:val="Body Text First Indent"/>
    <w:basedOn w:val="BodyText"/>
    <w:semiHidden/>
    <w:rsid w:val="00D7481B"/>
    <w:pPr>
      <w:ind w:firstLine="210"/>
    </w:pPr>
  </w:style>
  <w:style w:type="paragraph" w:styleId="BodyTextFirstIndent2">
    <w:name w:val="Body Text First Indent 2"/>
    <w:basedOn w:val="BodyTextIndent"/>
    <w:semiHidden/>
    <w:rsid w:val="00D7481B"/>
    <w:pPr>
      <w:ind w:firstLine="210"/>
    </w:pPr>
  </w:style>
  <w:style w:type="paragraph" w:styleId="EndnoteText">
    <w:name w:val="endnote text"/>
    <w:aliases w:val="2_G"/>
    <w:basedOn w:val="FootnoteText"/>
    <w:qFormat/>
    <w:rsid w:val="00D7481B"/>
  </w:style>
  <w:style w:type="paragraph" w:styleId="PlainText">
    <w:name w:val="Plain Text"/>
    <w:basedOn w:val="Normal"/>
    <w:semiHidden/>
    <w:rsid w:val="00D7481B"/>
    <w:rPr>
      <w:rFonts w:ascii="Courier New" w:hAnsi="Courier New" w:cs="Courier New"/>
    </w:rPr>
  </w:style>
  <w:style w:type="paragraph" w:styleId="Title">
    <w:name w:val="Title"/>
    <w:basedOn w:val="Normal"/>
    <w:semiHidden/>
    <w:rsid w:val="00D7481B"/>
    <w:pPr>
      <w:spacing w:before="240" w:after="60"/>
      <w:jc w:val="center"/>
      <w:outlineLvl w:val="0"/>
    </w:pPr>
    <w:rPr>
      <w:rFonts w:ascii="Arial" w:hAnsi="Arial" w:cs="Arial"/>
      <w:b/>
      <w:bCs/>
      <w:kern w:val="28"/>
      <w:sz w:val="32"/>
      <w:szCs w:val="32"/>
    </w:rPr>
  </w:style>
  <w:style w:type="character" w:styleId="HTMLVariable">
    <w:name w:val="HTML Variable"/>
    <w:semiHidden/>
    <w:rsid w:val="00D7481B"/>
    <w:rPr>
      <w:i/>
      <w:iCs/>
    </w:rPr>
  </w:style>
  <w:style w:type="paragraph" w:customStyle="1" w:styleId="Bullet1G">
    <w:name w:val="_Bullet 1_G"/>
    <w:basedOn w:val="Normal"/>
    <w:qFormat/>
    <w:rsid w:val="00D7481B"/>
    <w:pPr>
      <w:numPr>
        <w:numId w:val="32"/>
      </w:numPr>
      <w:spacing w:after="120"/>
      <w:ind w:right="1134"/>
      <w:jc w:val="both"/>
    </w:pPr>
    <w:rPr>
      <w:lang w:eastAsia="en-US"/>
    </w:rPr>
  </w:style>
  <w:style w:type="paragraph" w:customStyle="1" w:styleId="Bullet2G">
    <w:name w:val="_Bullet 2_G"/>
    <w:basedOn w:val="Normal"/>
    <w:qFormat/>
    <w:rsid w:val="00D7481B"/>
    <w:pPr>
      <w:numPr>
        <w:numId w:val="33"/>
      </w:numPr>
      <w:spacing w:after="120"/>
      <w:ind w:right="1134"/>
      <w:jc w:val="both"/>
    </w:pPr>
  </w:style>
  <w:style w:type="paragraph" w:styleId="BalloonText">
    <w:name w:val="Balloon Text"/>
    <w:basedOn w:val="Normal"/>
    <w:link w:val="BalloonTextChar"/>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D7481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D7481B"/>
    <w:rPr>
      <w:rFonts w:eastAsiaTheme="minorEastAsia"/>
      <w:b/>
      <w:bCs/>
      <w:i/>
      <w:iCs/>
      <w:color w:val="4F81BD"/>
      <w:lang w:val="es-ES" w:eastAsia="es-ES"/>
    </w:rPr>
  </w:style>
  <w:style w:type="character" w:styleId="IntenseEmphasis">
    <w:name w:val="Intense Emphasis"/>
    <w:uiPriority w:val="21"/>
    <w:semiHidden/>
    <w:rsid w:val="00D7481B"/>
    <w:rPr>
      <w:b/>
      <w:bCs/>
      <w:i/>
      <w:iCs/>
      <w:color w:val="4F81BD"/>
    </w:rPr>
  </w:style>
  <w:style w:type="character" w:customStyle="1" w:styleId="Heading1Char">
    <w:name w:val="Heading 1 Char"/>
    <w:aliases w:val="Cuadro_G Char"/>
    <w:basedOn w:val="DefaultParagraphFont"/>
    <w:link w:val="Heading1"/>
    <w:rsid w:val="00D7481B"/>
    <w:rPr>
      <w:rFonts w:eastAsiaTheme="minorEastAsia"/>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7879EF"/>
    <w:pPr>
      <w:numPr>
        <w:numId w:val="4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9696A"/>
    <w:rPr>
      <w:rFonts w:eastAsiaTheme="minorEastAsia"/>
      <w:lang w:val="es-ES" w:eastAsia="es-ES"/>
    </w:rPr>
  </w:style>
  <w:style w:type="character" w:customStyle="1" w:styleId="FootnoteTextChar">
    <w:name w:val="Footnote Text Char"/>
    <w:aliases w:val="5_G Char,Footnote Text Char Char1 Char,Footnote Text Char Char1 Char Char Char,Footnote Text Char1 Char,Footnote Text Char1 Char Char1 Char,Footnote Text Char1 Char Char1 Char Char Char,Geneva 9 Char Char Char Char Char Char,ft Char"/>
    <w:link w:val="FootnoteText"/>
    <w:locked/>
    <w:rsid w:val="0019429F"/>
    <w:rPr>
      <w:rFonts w:eastAsiaTheme="minorEastAsia"/>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43d6523-f909-4250-bbe1-6bcdc0c7194c">
      <Terms xmlns="http://schemas.microsoft.com/office/infopath/2007/PartnerControls"/>
    </lcf76f155ced4ddcb4097134ff3c332f>
    <Document_x0020_Date xmlns="985ec44e-1bab-4c0b-9df0-6ba128686fc9">2025-08-15T17:30:28Z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CC2E806-74A0-4AD5-9081-1F245CD4617C}">
  <ds:schemaRefs>
    <ds:schemaRef ds:uri="http://schemas.microsoft.com/office/2006/metadata/properties"/>
    <ds:schemaRef ds:uri="http://schemas.microsoft.com/office/infopath/2007/PartnerControls"/>
    <ds:schemaRef ds:uri="c11320bd-0376-468b-ae19-b827459cb638"/>
    <ds:schemaRef ds:uri="985ec44e-1bab-4c0b-9df0-6ba128686fc9"/>
    <ds:schemaRef ds:uri="c43d6523-f909-4250-bbe1-6bcdc0c7194c"/>
    <ds:schemaRef ds:uri="11a6fe0c-d8de-4390-afb3-d9c7c54181f0"/>
  </ds:schemaRefs>
</ds:datastoreItem>
</file>

<file path=customXml/itemProps2.xml><?xml version="1.0" encoding="utf-8"?>
<ds:datastoreItem xmlns:ds="http://schemas.openxmlformats.org/officeDocument/2006/customXml" ds:itemID="{8257B387-091F-45D2-A421-CC605595EF9B}">
  <ds:schemaRefs>
    <ds:schemaRef ds:uri="http://schemas.openxmlformats.org/officeDocument/2006/bibliography"/>
  </ds:schemaRefs>
</ds:datastoreItem>
</file>

<file path=customXml/itemProps3.xml><?xml version="1.0" encoding="utf-8"?>
<ds:datastoreItem xmlns:ds="http://schemas.openxmlformats.org/officeDocument/2006/customXml" ds:itemID="{0BBE5017-37A0-4AB6-AEF1-97B48907B6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CAB6122-FE06-41D1-8A70-CDB821347DD2}">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4</Pages>
  <Words>1451</Words>
  <Characters>8271</Characters>
  <Application>Microsoft Office Word</Application>
  <DocSecurity>0</DocSecurity>
  <Lines>68</Lines>
  <Paragraphs>19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CAT/C/XXX/Y</vt:lpstr>
    </vt:vector>
  </TitlesOfParts>
  <Company>DCM</Company>
  <LinksUpToDate>false</LinksUpToDate>
  <CharactersWithSpaces>9703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CRPD/C/ARG/FCO/2-3</dc:title>
  <dc:creator>Gloria</dc:creator>
  <cp:lastModifiedBy>Robert OUKO</cp:lastModifiedBy>
  <cp:revision>5</cp:revision>
  <cp:lastPrinted>2013-10-24T10:25:00Z</cp:lastPrinted>
  <dcterms:created xsi:type="dcterms:W3CDTF">2025-08-18T13:57:00Z</dcterms:created>
  <dcterms:modified xsi:type="dcterms:W3CDTF">2025-08-18T13:58:00Z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ntentTypeId">
    <vt:lpwstr>0x0101001A3F5FACD05E93499D4EAF05403D4F75</vt:lpwstr>
  </property>
  <property fmtid="{D5CDD505-2E9C-101B-9397-08002B2CF9AE}" pid="8" name="count">
    <vt:lpwstr>de la Argentina</vt:lpwstr>
  </property>
  <property fmtid="{D5CDD505-2E9C-101B-9397-08002B2CF9AE}" pid="9" name="countw">
    <vt:lpwstr>Argentina</vt:lpwstr>
  </property>
  <property fmtid="{D5CDD505-2E9C-101B-9397-08002B2CF9AE}" pid="10" name="countwd">
    <vt:lpwstr>la Argentina</vt:lpwstr>
  </property>
  <property fmtid="{D5CDD505-2E9C-101B-9397-08002B2CF9AE}" pid="11" name="date">
    <vt:lpwstr>15 de agosto de 2025</vt:lpwstr>
  </property>
  <property fmtid="{D5CDD505-2E9C-101B-9397-08002B2CF9AE}" pid="12" name="Date-Generated">
    <vt:filetime>2025-08-15T15:19:42Z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Concluding Observations - Followup</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español</vt:lpwstr>
  </property>
  <property fmtid="{D5CDD505-2E9C-101B-9397-08002B2CF9AE}" pid="22" name="Order">
    <vt:r8>273200</vt:r8>
  </property>
  <property fmtid="{D5CDD505-2E9C-101B-9397-08002B2CF9AE}" pid="23" name="Org">
    <vt:lpwstr>OHCHR</vt:lpwstr>
  </property>
  <property fmtid="{D5CDD505-2E9C-101B-9397-08002B2CF9AE}" pid="24" name="prep">
    <vt:lpwstr>a los informes periódicos segundo y tercero combinados de la Argentina</vt:lpwstr>
  </property>
  <property fmtid="{D5CDD505-2E9C-101B-9397-08002B2CF9AE}" pid="25" name="preps">
    <vt:lpwstr>informes periódicos segundo y tercero combinados de la Argentina</vt:lpwstr>
  </property>
  <property fmtid="{D5CDD505-2E9C-101B-9397-08002B2CF9AE}" pid="26" name="prepw">
    <vt:lpwstr>a los informes periódicos segundo y tercero combinados</vt:lpwstr>
  </property>
  <property fmtid="{D5CDD505-2E9C-101B-9397-08002B2CF9AE}" pid="27" name="prepwc">
    <vt:lpwstr>Informes periódicos segundo y tercero combinados </vt:lpwstr>
  </property>
  <property fmtid="{D5CDD505-2E9C-101B-9397-08002B2CF9AE}" pid="28" name="prepws">
    <vt:lpwstr>informes periódicos segundo y tercero combinados</vt:lpwstr>
  </property>
  <property fmtid="{D5CDD505-2E9C-101B-9397-08002B2CF9AE}" pid="29" name="sdate">
    <vt:lpwstr>[Start-End Dates]</vt:lpwstr>
  </property>
  <property fmtid="{D5CDD505-2E9C-101B-9397-08002B2CF9AE}" pid="30" name="sloca">
    <vt:lpwstr>[Location]</vt:lpwstr>
  </property>
  <property fmtid="{D5CDD505-2E9C-101B-9397-08002B2CF9AE}" pid="31" name="snum">
    <vt:lpwstr>[NUMBER]</vt:lpwstr>
  </property>
  <property fmtid="{D5CDD505-2E9C-101B-9397-08002B2CF9AE}" pid="32" name="stitle">
    <vt:lpwstr>[Title]</vt:lpwstr>
  </property>
  <property fmtid="{D5CDD505-2E9C-101B-9397-08002B2CF9AE}" pid="33" name="sym1">
    <vt:lpwstr>C/ARG/FCO/2-3</vt:lpwstr>
  </property>
  <property fmtid="{D5CDD505-2E9C-101B-9397-08002B2CF9AE}" pid="34" name="symh">
    <vt:lpwstr>CRPD/C/ARG/FCO/2-3</vt:lpwstr>
  </property>
  <property fmtid="{D5CDD505-2E9C-101B-9397-08002B2CF9AE}" pid="35" name="Title">
    <vt:lpwstr>CRPD/C/ARG/FCO/2-3</vt:lpwstr>
  </property>
  <property fmtid="{D5CDD505-2E9C-101B-9397-08002B2CF9AE}" pid="36" name="tlang">
    <vt:lpwstr/>
  </property>
  <property fmtid="{D5CDD505-2E9C-101B-9397-08002B2CF9AE}" pid="37" name="virs">
    <vt:lpwstr>Árabe, español, francés y inglés únicamente</vt:lpwstr>
  </property>
</Properties>
</file>