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C9847" w14:textId="58E21F5A" w:rsidR="00E1438C" w:rsidRDefault="00E1438C" w:rsidP="00E1438C">
      <w:pPr>
        <w:rPr>
          <w:rFonts w:ascii="Times New Roman" w:eastAsia="Times New Roman" w:hAnsi="Times New Roman" w:cs="Times New Roman"/>
          <w:b/>
          <w:u w:val="single"/>
        </w:rPr>
      </w:pPr>
    </w:p>
    <w:p w14:paraId="4ECACC42" w14:textId="77AC489D" w:rsidR="00E1438C" w:rsidRDefault="00E1438C" w:rsidP="00E1438C">
      <w:pPr>
        <w:rPr>
          <w:rFonts w:ascii="Times New Roman" w:eastAsia="Times New Roman" w:hAnsi="Times New Roman" w:cs="Times New Roman"/>
          <w:b/>
          <w:u w:val="single"/>
        </w:rPr>
      </w:pPr>
    </w:p>
    <w:p w14:paraId="550AF277" w14:textId="45E65EEF" w:rsidR="00E1438C" w:rsidRDefault="00E1438C" w:rsidP="00E1438C">
      <w:pPr>
        <w:rPr>
          <w:rFonts w:ascii="Times New Roman" w:eastAsia="Times New Roman" w:hAnsi="Times New Roman" w:cs="Times New Roman"/>
          <w:b/>
          <w:u w:val="single"/>
        </w:rPr>
      </w:pPr>
      <w:r>
        <w:rPr>
          <w:rFonts w:ascii="Times New Roman" w:eastAsia="Times New Roman" w:hAnsi="Times New Roman" w:cs="Times New Roman"/>
          <w:noProof/>
          <w:color w:val="212121"/>
          <w:sz w:val="20"/>
          <w:szCs w:val="20"/>
          <w:lang w:val="es-PE"/>
        </w:rPr>
        <w:drawing>
          <wp:anchor distT="0" distB="0" distL="114300" distR="114300" simplePos="0" relativeHeight="251658240" behindDoc="1" locked="0" layoutInCell="1" allowOverlap="1" wp14:anchorId="34D94B9C" wp14:editId="249F4623">
            <wp:simplePos x="0" y="0"/>
            <wp:positionH relativeFrom="column">
              <wp:posOffset>1761490</wp:posOffset>
            </wp:positionH>
            <wp:positionV relativeFrom="paragraph">
              <wp:posOffset>122555</wp:posOffset>
            </wp:positionV>
            <wp:extent cx="2447925" cy="2144395"/>
            <wp:effectExtent l="0" t="0" r="0" b="0"/>
            <wp:wrapTight wrapText="bothSides">
              <wp:wrapPolygon edited="0">
                <wp:start x="10086" y="2686"/>
                <wp:lineTo x="8068" y="6140"/>
                <wp:lineTo x="4202" y="10938"/>
                <wp:lineTo x="3530" y="11897"/>
                <wp:lineTo x="2353" y="15351"/>
                <wp:lineTo x="2353" y="16886"/>
                <wp:lineTo x="2858" y="18421"/>
                <wp:lineTo x="3194" y="18805"/>
                <wp:lineTo x="4539" y="18805"/>
                <wp:lineTo x="9077" y="18421"/>
                <wp:lineTo x="19331" y="16310"/>
                <wp:lineTo x="19499" y="13624"/>
                <wp:lineTo x="17146" y="13048"/>
                <wp:lineTo x="8741" y="12281"/>
                <wp:lineTo x="15128" y="9402"/>
                <wp:lineTo x="15296" y="9211"/>
                <wp:lineTo x="14624" y="5757"/>
                <wp:lineTo x="11430" y="2686"/>
                <wp:lineTo x="10086" y="2686"/>
              </wp:wrapPolygon>
            </wp:wrapTight>
            <wp:docPr id="13885142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514211" name="Imagen 138851421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47925" cy="2144395"/>
                    </a:xfrm>
                    <a:prstGeom prst="rect">
                      <a:avLst/>
                    </a:prstGeom>
                  </pic:spPr>
                </pic:pic>
              </a:graphicData>
            </a:graphic>
            <wp14:sizeRelH relativeFrom="margin">
              <wp14:pctWidth>0</wp14:pctWidth>
            </wp14:sizeRelH>
            <wp14:sizeRelV relativeFrom="margin">
              <wp14:pctHeight>0</wp14:pctHeight>
            </wp14:sizeRelV>
          </wp:anchor>
        </w:drawing>
      </w:r>
    </w:p>
    <w:p w14:paraId="2004AE0D" w14:textId="690B460B" w:rsidR="00E1438C" w:rsidRDefault="00E1438C" w:rsidP="00E1438C">
      <w:pPr>
        <w:rPr>
          <w:rFonts w:ascii="Times New Roman" w:eastAsia="Times New Roman" w:hAnsi="Times New Roman" w:cs="Times New Roman"/>
          <w:b/>
          <w:u w:val="single"/>
        </w:rPr>
      </w:pPr>
    </w:p>
    <w:p w14:paraId="6E95F4FF" w14:textId="6C8B8805" w:rsidR="00E1438C" w:rsidRDefault="00E1438C" w:rsidP="00E1438C">
      <w:pPr>
        <w:rPr>
          <w:rFonts w:ascii="Times New Roman" w:eastAsia="Times New Roman" w:hAnsi="Times New Roman" w:cs="Times New Roman"/>
          <w:b/>
          <w:u w:val="single"/>
        </w:rPr>
      </w:pPr>
    </w:p>
    <w:p w14:paraId="09E4D765" w14:textId="5AE608A4" w:rsidR="00E1438C" w:rsidRDefault="00E1438C" w:rsidP="00E1438C">
      <w:pPr>
        <w:rPr>
          <w:rFonts w:ascii="Times New Roman" w:eastAsia="Times New Roman" w:hAnsi="Times New Roman" w:cs="Times New Roman"/>
          <w:b/>
          <w:u w:val="single"/>
        </w:rPr>
      </w:pPr>
    </w:p>
    <w:p w14:paraId="2B2801CE" w14:textId="77777777" w:rsidR="00E1438C" w:rsidRDefault="00E1438C" w:rsidP="00E1438C">
      <w:pPr>
        <w:rPr>
          <w:rFonts w:ascii="Times New Roman" w:eastAsia="Times New Roman" w:hAnsi="Times New Roman" w:cs="Times New Roman"/>
          <w:b/>
          <w:u w:val="single"/>
        </w:rPr>
      </w:pPr>
    </w:p>
    <w:p w14:paraId="38D9F395" w14:textId="77777777" w:rsidR="00E1438C" w:rsidRDefault="00E1438C" w:rsidP="00E1438C">
      <w:pPr>
        <w:rPr>
          <w:rFonts w:ascii="Times New Roman" w:eastAsia="Times New Roman" w:hAnsi="Times New Roman" w:cs="Times New Roman"/>
          <w:b/>
          <w:u w:val="single"/>
        </w:rPr>
      </w:pPr>
    </w:p>
    <w:p w14:paraId="1C627A5E" w14:textId="77777777" w:rsidR="00E1438C" w:rsidRDefault="00E1438C" w:rsidP="00E1438C">
      <w:pPr>
        <w:rPr>
          <w:rFonts w:ascii="Times New Roman" w:eastAsia="Times New Roman" w:hAnsi="Times New Roman" w:cs="Times New Roman"/>
          <w:b/>
          <w:u w:val="single"/>
        </w:rPr>
      </w:pPr>
    </w:p>
    <w:p w14:paraId="08FD1675" w14:textId="77777777" w:rsidR="00E1438C" w:rsidRDefault="00E1438C" w:rsidP="00E1438C">
      <w:pPr>
        <w:rPr>
          <w:rFonts w:ascii="Times New Roman" w:eastAsia="Times New Roman" w:hAnsi="Times New Roman" w:cs="Times New Roman"/>
          <w:b/>
          <w:u w:val="single"/>
        </w:rPr>
      </w:pPr>
    </w:p>
    <w:p w14:paraId="705343B8" w14:textId="77777777" w:rsidR="00E1438C" w:rsidRDefault="00E1438C" w:rsidP="00E1438C">
      <w:pPr>
        <w:rPr>
          <w:rFonts w:ascii="Times New Roman" w:eastAsia="Times New Roman" w:hAnsi="Times New Roman" w:cs="Times New Roman"/>
          <w:b/>
          <w:u w:val="single"/>
        </w:rPr>
      </w:pPr>
    </w:p>
    <w:p w14:paraId="4559D30B" w14:textId="77777777" w:rsidR="00E1438C" w:rsidRDefault="00E1438C" w:rsidP="00E1438C">
      <w:pPr>
        <w:rPr>
          <w:rFonts w:ascii="Times New Roman" w:eastAsia="Times New Roman" w:hAnsi="Times New Roman" w:cs="Times New Roman"/>
          <w:b/>
          <w:u w:val="single"/>
        </w:rPr>
      </w:pPr>
    </w:p>
    <w:p w14:paraId="220227BD" w14:textId="77777777" w:rsidR="00E1438C" w:rsidRDefault="00E1438C" w:rsidP="00E1438C">
      <w:pPr>
        <w:rPr>
          <w:rFonts w:ascii="Times New Roman" w:eastAsia="Times New Roman" w:hAnsi="Times New Roman" w:cs="Times New Roman"/>
          <w:b/>
          <w:u w:val="single"/>
        </w:rPr>
      </w:pPr>
    </w:p>
    <w:p w14:paraId="47BB2FDD" w14:textId="77777777" w:rsidR="00E1438C" w:rsidRDefault="00E1438C" w:rsidP="00E1438C">
      <w:pPr>
        <w:jc w:val="center"/>
        <w:rPr>
          <w:rFonts w:ascii="Times New Roman" w:eastAsia="Times New Roman" w:hAnsi="Times New Roman" w:cs="Times New Roman"/>
          <w:b/>
          <w:u w:val="single"/>
        </w:rPr>
      </w:pPr>
    </w:p>
    <w:p w14:paraId="7327FF95" w14:textId="77777777" w:rsidR="00E1438C" w:rsidRDefault="00E1438C" w:rsidP="00E1438C">
      <w:pPr>
        <w:jc w:val="center"/>
        <w:rPr>
          <w:rFonts w:ascii="Times New Roman" w:eastAsia="Times New Roman" w:hAnsi="Times New Roman" w:cs="Times New Roman"/>
          <w:b/>
          <w:u w:val="single"/>
        </w:rPr>
      </w:pPr>
    </w:p>
    <w:p w14:paraId="6084F036" w14:textId="77777777" w:rsidR="00E1438C" w:rsidRDefault="00E1438C" w:rsidP="00E1438C">
      <w:pPr>
        <w:jc w:val="center"/>
        <w:rPr>
          <w:rFonts w:ascii="Times New Roman" w:eastAsia="Times New Roman" w:hAnsi="Times New Roman" w:cs="Times New Roman"/>
          <w:b/>
          <w:u w:val="single"/>
        </w:rPr>
      </w:pPr>
    </w:p>
    <w:p w14:paraId="670035D6" w14:textId="77777777" w:rsidR="00E1438C" w:rsidRPr="00E1438C" w:rsidRDefault="00E1438C" w:rsidP="00E1438C">
      <w:pPr>
        <w:jc w:val="center"/>
        <w:rPr>
          <w:rFonts w:ascii="Times New Roman" w:eastAsia="Times New Roman" w:hAnsi="Times New Roman" w:cs="Times New Roman"/>
          <w:b/>
          <w:u w:val="single"/>
          <w:lang w:val="es-PE"/>
        </w:rPr>
      </w:pPr>
      <w:r w:rsidRPr="00E1438C">
        <w:rPr>
          <w:rFonts w:ascii="Times New Roman" w:eastAsia="Times New Roman" w:hAnsi="Times New Roman" w:cs="Times New Roman"/>
          <w:b/>
          <w:u w:val="single"/>
          <w:lang w:val="es-PE"/>
        </w:rPr>
        <w:t>REPORTE</w:t>
      </w:r>
    </w:p>
    <w:p w14:paraId="0E1E3401" w14:textId="77777777" w:rsidR="00E1438C" w:rsidRPr="00E1438C" w:rsidRDefault="00E1438C" w:rsidP="00E1438C">
      <w:pPr>
        <w:jc w:val="center"/>
        <w:rPr>
          <w:rFonts w:ascii="Times New Roman" w:eastAsia="Times New Roman" w:hAnsi="Times New Roman" w:cs="Times New Roman"/>
          <w:b/>
          <w:u w:val="single"/>
          <w:lang w:val="es-PE"/>
        </w:rPr>
      </w:pPr>
    </w:p>
    <w:p w14:paraId="37BDB500" w14:textId="77777777" w:rsidR="00E1438C" w:rsidRPr="00E1438C" w:rsidRDefault="00E1438C" w:rsidP="00E1438C">
      <w:pPr>
        <w:jc w:val="center"/>
        <w:rPr>
          <w:rFonts w:ascii="Times New Roman" w:eastAsia="Times New Roman" w:hAnsi="Times New Roman" w:cs="Times New Roman"/>
          <w:b/>
          <w:u w:val="single"/>
          <w:lang w:val="es-PE"/>
        </w:rPr>
      </w:pPr>
      <w:r w:rsidRPr="00E1438C">
        <w:rPr>
          <w:rFonts w:ascii="Times New Roman" w:eastAsia="Times New Roman" w:hAnsi="Times New Roman" w:cs="Times New Roman"/>
          <w:b/>
          <w:u w:val="single"/>
          <w:lang w:val="es-PE"/>
        </w:rPr>
        <w:t>PERU</w:t>
      </w:r>
    </w:p>
    <w:p w14:paraId="03D5820B" w14:textId="77777777" w:rsidR="00E1438C" w:rsidRPr="00E1438C" w:rsidRDefault="00E1438C" w:rsidP="00E1438C">
      <w:pPr>
        <w:jc w:val="center"/>
        <w:rPr>
          <w:rFonts w:ascii="Times New Roman" w:eastAsia="Times New Roman" w:hAnsi="Times New Roman" w:cs="Times New Roman"/>
          <w:b/>
          <w:u w:val="single"/>
          <w:lang w:val="es-PE"/>
        </w:rPr>
      </w:pPr>
    </w:p>
    <w:p w14:paraId="30EA8696" w14:textId="77777777" w:rsidR="00E1438C" w:rsidRPr="00E1438C" w:rsidRDefault="00E1438C" w:rsidP="00E1438C">
      <w:pPr>
        <w:jc w:val="center"/>
        <w:rPr>
          <w:rFonts w:ascii="Times New Roman" w:eastAsia="Times New Roman" w:hAnsi="Times New Roman" w:cs="Times New Roman"/>
          <w:b/>
          <w:u w:val="single"/>
          <w:lang w:val="es-PE"/>
        </w:rPr>
      </w:pPr>
      <w:r w:rsidRPr="00E1438C">
        <w:rPr>
          <w:rFonts w:ascii="Times New Roman" w:eastAsia="Times New Roman" w:hAnsi="Times New Roman" w:cs="Times New Roman"/>
          <w:b/>
          <w:u w:val="single"/>
          <w:lang w:val="es-PE"/>
        </w:rPr>
        <w:t>99° PRE-SESIÓN</w:t>
      </w:r>
    </w:p>
    <w:p w14:paraId="3039F0E0" w14:textId="77777777" w:rsidR="00E1438C" w:rsidRPr="00E1438C" w:rsidRDefault="00E1438C" w:rsidP="00E1438C">
      <w:pPr>
        <w:jc w:val="center"/>
        <w:rPr>
          <w:rFonts w:ascii="Times New Roman" w:eastAsia="Times New Roman" w:hAnsi="Times New Roman" w:cs="Times New Roman"/>
          <w:b/>
          <w:u w:val="single"/>
          <w:lang w:val="es-PE"/>
        </w:rPr>
      </w:pPr>
    </w:p>
    <w:p w14:paraId="39DA86AF" w14:textId="77777777" w:rsidR="00E1438C" w:rsidRPr="00E1438C" w:rsidRDefault="00E1438C" w:rsidP="00E1438C">
      <w:pPr>
        <w:jc w:val="center"/>
        <w:rPr>
          <w:rFonts w:ascii="Times New Roman" w:eastAsia="Times New Roman" w:hAnsi="Times New Roman" w:cs="Times New Roman"/>
          <w:b/>
          <w:u w:val="single"/>
          <w:lang w:val="es-PE"/>
        </w:rPr>
      </w:pPr>
    </w:p>
    <w:p w14:paraId="0F6DC217" w14:textId="77777777" w:rsidR="00E1438C" w:rsidRPr="00E1438C" w:rsidRDefault="00E1438C" w:rsidP="00E1438C">
      <w:pPr>
        <w:ind w:left="720" w:hanging="720"/>
        <w:jc w:val="center"/>
        <w:rPr>
          <w:rFonts w:ascii="Times New Roman" w:eastAsia="Times New Roman" w:hAnsi="Times New Roman" w:cs="Times New Roman"/>
          <w:b/>
          <w:u w:val="single"/>
          <w:lang w:val="es-PE"/>
        </w:rPr>
      </w:pPr>
      <w:r w:rsidRPr="00E1438C">
        <w:rPr>
          <w:rFonts w:ascii="Times New Roman" w:eastAsia="Times New Roman" w:hAnsi="Times New Roman" w:cs="Times New Roman"/>
          <w:b/>
          <w:u w:val="single"/>
          <w:lang w:val="es-PE"/>
        </w:rPr>
        <w:t>COMITÉ DE LOS DERECHOS DEL NIÑO</w:t>
      </w:r>
    </w:p>
    <w:p w14:paraId="00BBB005" w14:textId="77777777" w:rsidR="00E1438C" w:rsidRPr="00E1438C" w:rsidRDefault="00E1438C" w:rsidP="00E1438C">
      <w:pPr>
        <w:rPr>
          <w:rFonts w:ascii="Times New Roman" w:eastAsia="Times New Roman" w:hAnsi="Times New Roman" w:cs="Times New Roman"/>
          <w:b/>
          <w:u w:val="single"/>
          <w:lang w:val="es-PE"/>
        </w:rPr>
      </w:pPr>
    </w:p>
    <w:p w14:paraId="3B5C641E" w14:textId="77777777" w:rsidR="00E1438C" w:rsidRPr="00E1438C" w:rsidRDefault="00E1438C" w:rsidP="00E1438C">
      <w:pPr>
        <w:rPr>
          <w:rFonts w:ascii="Times New Roman" w:eastAsia="Times New Roman" w:hAnsi="Times New Roman" w:cs="Times New Roman"/>
          <w:b/>
          <w:u w:val="single"/>
          <w:lang w:val="es-PE"/>
        </w:rPr>
      </w:pPr>
    </w:p>
    <w:p w14:paraId="6279A47F" w14:textId="77777777" w:rsidR="00E1438C" w:rsidRPr="00E1438C" w:rsidRDefault="00E1438C" w:rsidP="00E1438C">
      <w:pPr>
        <w:rPr>
          <w:rFonts w:ascii="Times New Roman" w:eastAsia="Times New Roman" w:hAnsi="Times New Roman" w:cs="Times New Roman"/>
          <w:b/>
          <w:u w:val="single"/>
          <w:lang w:val="es-PE"/>
        </w:rPr>
      </w:pPr>
    </w:p>
    <w:p w14:paraId="6FA87A05" w14:textId="77777777" w:rsidR="00E1438C" w:rsidRPr="00E1438C" w:rsidRDefault="00E1438C" w:rsidP="00E1438C">
      <w:pPr>
        <w:rPr>
          <w:rFonts w:ascii="Times New Roman" w:eastAsia="Times New Roman" w:hAnsi="Times New Roman" w:cs="Times New Roman"/>
          <w:b/>
          <w:u w:val="single"/>
          <w:lang w:val="es-PE"/>
        </w:rPr>
      </w:pPr>
    </w:p>
    <w:p w14:paraId="2D5E0283" w14:textId="77777777" w:rsidR="00E1438C" w:rsidRPr="00E1438C" w:rsidRDefault="00E1438C" w:rsidP="00E1438C">
      <w:pPr>
        <w:rPr>
          <w:rFonts w:ascii="Times New Roman" w:eastAsia="Times New Roman" w:hAnsi="Times New Roman" w:cs="Times New Roman"/>
          <w:b/>
          <w:u w:val="single"/>
          <w:lang w:val="es-PE"/>
        </w:rPr>
      </w:pPr>
    </w:p>
    <w:p w14:paraId="0A931643" w14:textId="77777777" w:rsidR="00E1438C" w:rsidRPr="00E1438C" w:rsidRDefault="00E1438C" w:rsidP="00E1438C">
      <w:pPr>
        <w:rPr>
          <w:rFonts w:ascii="Times New Roman" w:eastAsia="Times New Roman" w:hAnsi="Times New Roman" w:cs="Times New Roman"/>
          <w:color w:val="212121"/>
          <w:sz w:val="20"/>
          <w:szCs w:val="20"/>
          <w:lang w:val="es-PE"/>
        </w:rPr>
      </w:pPr>
    </w:p>
    <w:p w14:paraId="47C9C46F" w14:textId="77777777" w:rsidR="00E1438C" w:rsidRPr="00E1438C" w:rsidRDefault="00E1438C" w:rsidP="00E1438C">
      <w:pPr>
        <w:jc w:val="both"/>
        <w:rPr>
          <w:rFonts w:ascii="Times New Roman" w:eastAsia="Times New Roman" w:hAnsi="Times New Roman" w:cs="Times New Roman"/>
          <w:color w:val="212121"/>
          <w:sz w:val="20"/>
          <w:szCs w:val="20"/>
          <w:lang w:val="es-PE"/>
        </w:rPr>
      </w:pPr>
    </w:p>
    <w:p w14:paraId="2281A3BA" w14:textId="77777777" w:rsidR="00E1438C" w:rsidRPr="00E1438C" w:rsidRDefault="00E1438C" w:rsidP="00E1438C">
      <w:pPr>
        <w:jc w:val="both"/>
        <w:rPr>
          <w:rFonts w:ascii="Times New Roman" w:eastAsia="Times New Roman" w:hAnsi="Times New Roman" w:cs="Times New Roman"/>
          <w:color w:val="212121"/>
          <w:sz w:val="20"/>
          <w:szCs w:val="20"/>
          <w:lang w:val="es-PE"/>
        </w:rPr>
      </w:pPr>
    </w:p>
    <w:p w14:paraId="46F1B729" w14:textId="77777777" w:rsidR="00E1438C" w:rsidRDefault="00E1438C" w:rsidP="00E1438C">
      <w:pPr>
        <w:spacing w:before="160" w:line="240" w:lineRule="auto"/>
        <w:ind w:left="106" w:right="106"/>
        <w:jc w:val="both"/>
        <w:rPr>
          <w:rFonts w:ascii="Times New Roman" w:eastAsia="Times New Roman" w:hAnsi="Times New Roman" w:cs="Times New Roman"/>
          <w:color w:val="212121"/>
          <w:sz w:val="20"/>
          <w:szCs w:val="20"/>
          <w:lang w:val="es-PE"/>
        </w:rPr>
      </w:pPr>
      <w:r w:rsidRPr="00E1438C">
        <w:rPr>
          <w:rFonts w:ascii="Times New Roman" w:eastAsia="Times New Roman" w:hAnsi="Times New Roman" w:cs="Times New Roman"/>
          <w:color w:val="212121"/>
          <w:sz w:val="20"/>
          <w:szCs w:val="20"/>
          <w:lang w:val="es-PE"/>
        </w:rPr>
        <w:t>Proyecta Igualdad es una organización feminista multidisciplinaria dedicada a la promoción de los derechos sexuales y reproductivos, así como a la defensa de las personas que han sido criminalizadas por abortos en Perú. Nuestro trabajo se enfoca en abordar las desigualdades de género y fomentar el cambio social para apoyar la plena realización de los proyectos de vida individuales. Identificamos la criminalización del aborto como un fenómeno que afecta desproporcionadamente a las niñas, adolescentes, mujeres y personas gestantes, especialmente aquellas en condiciones socioeconómicas vulnerables, al restringir su autonomía reproductiva y poner en riesgo su salud y bienestar.</w:t>
      </w:r>
    </w:p>
    <w:p w14:paraId="6C6435FF" w14:textId="4B812500" w:rsidR="00E1438C" w:rsidRPr="00E1438C" w:rsidRDefault="00E1438C" w:rsidP="00E1438C">
      <w:pPr>
        <w:spacing w:before="160" w:line="240" w:lineRule="auto"/>
        <w:ind w:left="106" w:right="106"/>
        <w:jc w:val="both"/>
        <w:rPr>
          <w:rFonts w:ascii="Times New Roman" w:eastAsia="Times New Roman" w:hAnsi="Times New Roman" w:cs="Times New Roman"/>
          <w:color w:val="212121"/>
          <w:sz w:val="20"/>
          <w:szCs w:val="20"/>
          <w:lang w:val="it-IT"/>
        </w:rPr>
      </w:pPr>
      <w:r>
        <w:rPr>
          <w:rFonts w:ascii="Times New Roman" w:eastAsia="Times New Roman" w:hAnsi="Times New Roman" w:cs="Times New Roman"/>
          <w:color w:val="212121"/>
          <w:sz w:val="20"/>
          <w:szCs w:val="20"/>
          <w:lang w:val="es-PE"/>
        </w:rPr>
        <w:t>Proyecta Igualdad</w:t>
      </w:r>
      <w:r w:rsidRPr="00E1438C">
        <w:rPr>
          <w:rFonts w:ascii="Times New Roman" w:eastAsia="Times New Roman" w:hAnsi="Times New Roman" w:cs="Times New Roman"/>
          <w:color w:val="212121"/>
          <w:sz w:val="20"/>
          <w:szCs w:val="20"/>
          <w:lang w:val="es-PE"/>
        </w:rPr>
        <w:t xml:space="preserve"> tiene sede en Lima, Av. </w:t>
      </w:r>
      <w:r w:rsidRPr="00E1438C">
        <w:rPr>
          <w:rFonts w:ascii="Times New Roman" w:eastAsia="Times New Roman" w:hAnsi="Times New Roman" w:cs="Times New Roman"/>
          <w:color w:val="212121"/>
          <w:sz w:val="20"/>
          <w:szCs w:val="20"/>
          <w:lang w:val="it-IT"/>
        </w:rPr>
        <w:t>Alberto Del Campo 411 piso 10, Magdalena.</w:t>
      </w:r>
    </w:p>
    <w:p w14:paraId="5B787AC3" w14:textId="77777777" w:rsidR="00E1438C" w:rsidRPr="00E1438C" w:rsidRDefault="00E1438C" w:rsidP="00E1438C">
      <w:pPr>
        <w:spacing w:before="160" w:line="240" w:lineRule="auto"/>
        <w:ind w:left="106" w:right="106"/>
        <w:jc w:val="center"/>
        <w:rPr>
          <w:rFonts w:ascii="Times New Roman" w:eastAsia="Times New Roman" w:hAnsi="Times New Roman" w:cs="Times New Roman"/>
          <w:color w:val="212121"/>
          <w:sz w:val="20"/>
          <w:szCs w:val="20"/>
          <w:lang w:val="it-IT"/>
        </w:rPr>
      </w:pPr>
    </w:p>
    <w:p w14:paraId="380A5FE2" w14:textId="77777777" w:rsidR="00E1438C" w:rsidRPr="00E1438C" w:rsidRDefault="00E1438C" w:rsidP="00E1438C">
      <w:pPr>
        <w:spacing w:before="160" w:line="240" w:lineRule="auto"/>
        <w:ind w:left="106" w:right="106"/>
        <w:jc w:val="center"/>
        <w:rPr>
          <w:rFonts w:ascii="Times New Roman" w:eastAsia="Times New Roman" w:hAnsi="Times New Roman" w:cs="Times New Roman"/>
          <w:color w:val="212121"/>
          <w:sz w:val="20"/>
          <w:szCs w:val="20"/>
          <w:lang w:val="it-IT"/>
        </w:rPr>
      </w:pPr>
    </w:p>
    <w:p w14:paraId="010D412A" w14:textId="77777777" w:rsidR="00E1438C" w:rsidRPr="00E1438C" w:rsidRDefault="00E1438C" w:rsidP="00E1438C">
      <w:pPr>
        <w:spacing w:before="160" w:line="240" w:lineRule="auto"/>
        <w:ind w:left="106" w:right="106"/>
        <w:jc w:val="center"/>
        <w:rPr>
          <w:rFonts w:ascii="Times New Roman" w:eastAsia="Times New Roman" w:hAnsi="Times New Roman" w:cs="Times New Roman"/>
          <w:color w:val="212121"/>
          <w:sz w:val="20"/>
          <w:szCs w:val="20"/>
          <w:lang w:val="es-PE"/>
        </w:rPr>
      </w:pPr>
      <w:r w:rsidRPr="00E1438C">
        <w:rPr>
          <w:rFonts w:ascii="Times New Roman" w:eastAsia="Times New Roman" w:hAnsi="Times New Roman" w:cs="Times New Roman"/>
          <w:color w:val="212121"/>
          <w:sz w:val="20"/>
          <w:szCs w:val="20"/>
          <w:lang w:val="es-PE"/>
        </w:rPr>
        <w:t>Julio, 2024</w:t>
      </w:r>
    </w:p>
    <w:p w14:paraId="543B06C1" w14:textId="7489967C" w:rsidR="00E1438C" w:rsidRDefault="00E1438C">
      <w:pPr>
        <w:rPr>
          <w:b/>
          <w:sz w:val="24"/>
          <w:szCs w:val="24"/>
          <w:lang w:val="es-PE"/>
        </w:rPr>
      </w:pPr>
    </w:p>
    <w:p w14:paraId="5992BD19" w14:textId="34754871" w:rsidR="00E1438C" w:rsidRDefault="00E1438C">
      <w:pPr>
        <w:rPr>
          <w:b/>
          <w:sz w:val="24"/>
          <w:szCs w:val="24"/>
          <w:lang w:val="es-PE"/>
        </w:rPr>
      </w:pPr>
    </w:p>
    <w:p w14:paraId="00000002" w14:textId="77777777" w:rsidR="00A25DA4" w:rsidRPr="00E1438C" w:rsidRDefault="00000000">
      <w:pPr>
        <w:spacing w:line="240" w:lineRule="auto"/>
        <w:jc w:val="center"/>
        <w:rPr>
          <w:b/>
          <w:sz w:val="24"/>
          <w:szCs w:val="24"/>
          <w:lang w:val="es-PE"/>
        </w:rPr>
      </w:pPr>
      <w:r w:rsidRPr="00E1438C">
        <w:rPr>
          <w:b/>
          <w:sz w:val="24"/>
          <w:szCs w:val="24"/>
          <w:lang w:val="es-PE"/>
        </w:rPr>
        <w:t xml:space="preserve">Informe de Proyecta Igualdad sobre el Estado de la Salud Sexual </w:t>
      </w:r>
    </w:p>
    <w:p w14:paraId="00000003" w14:textId="77777777" w:rsidR="00A25DA4" w:rsidRPr="00E1438C" w:rsidRDefault="00000000">
      <w:pPr>
        <w:spacing w:line="240" w:lineRule="auto"/>
        <w:jc w:val="center"/>
        <w:rPr>
          <w:b/>
          <w:sz w:val="24"/>
          <w:szCs w:val="24"/>
          <w:lang w:val="es-PE"/>
        </w:rPr>
      </w:pPr>
      <w:r w:rsidRPr="00E1438C">
        <w:rPr>
          <w:b/>
          <w:sz w:val="24"/>
          <w:szCs w:val="24"/>
          <w:lang w:val="es-PE"/>
        </w:rPr>
        <w:t xml:space="preserve">y Reproductiva de las niñas, niños y adolescentes </w:t>
      </w:r>
    </w:p>
    <w:p w14:paraId="00000005" w14:textId="77777777" w:rsidR="00A25DA4" w:rsidRDefault="00A25DA4" w:rsidP="00E1438C">
      <w:pPr>
        <w:spacing w:before="240" w:after="240" w:line="240" w:lineRule="auto"/>
        <w:rPr>
          <w:b/>
          <w:lang w:val="es-PE"/>
        </w:rPr>
      </w:pPr>
    </w:p>
    <w:sdt>
      <w:sdtPr>
        <w:rPr>
          <w:rFonts w:ascii="Arial" w:eastAsia="Arial" w:hAnsi="Arial" w:cs="Arial"/>
          <w:color w:val="auto"/>
          <w:sz w:val="22"/>
          <w:szCs w:val="22"/>
          <w:lang w:val="en"/>
        </w:rPr>
        <w:id w:val="1880969787"/>
        <w:docPartObj>
          <w:docPartGallery w:val="Table of Contents"/>
          <w:docPartUnique/>
        </w:docPartObj>
      </w:sdtPr>
      <w:sdtEndPr>
        <w:rPr>
          <w:b/>
          <w:bCs/>
          <w:noProof/>
        </w:rPr>
      </w:sdtEndPr>
      <w:sdtContent>
        <w:p w14:paraId="46125583" w14:textId="1500D199" w:rsidR="00E1438C" w:rsidRPr="00E1438C" w:rsidRDefault="00E1438C">
          <w:pPr>
            <w:pStyle w:val="TOCHeading"/>
            <w:rPr>
              <w:color w:val="000000" w:themeColor="text1"/>
            </w:rPr>
          </w:pPr>
          <w:r w:rsidRPr="00E1438C">
            <w:rPr>
              <w:color w:val="000000" w:themeColor="text1"/>
            </w:rPr>
            <w:t>CONTENIDOS</w:t>
          </w:r>
        </w:p>
        <w:p w14:paraId="65CF1AF0" w14:textId="322501AA" w:rsidR="00E1438C" w:rsidRDefault="00E1438C">
          <w:pPr>
            <w:pStyle w:val="TOC1"/>
            <w:tabs>
              <w:tab w:val="left" w:pos="440"/>
              <w:tab w:val="right" w:leader="dot" w:pos="9350"/>
            </w:tabs>
            <w:rPr>
              <w:noProof/>
            </w:rPr>
          </w:pPr>
          <w:r>
            <w:fldChar w:fldCharType="begin"/>
          </w:r>
          <w:r>
            <w:instrText xml:space="preserve"> TOC \o "1-3" \h \z \u </w:instrText>
          </w:r>
          <w:r>
            <w:fldChar w:fldCharType="separate"/>
          </w:r>
          <w:hyperlink w:anchor="_Toc173415829" w:history="1">
            <w:r w:rsidRPr="005F61D9">
              <w:rPr>
                <w:rStyle w:val="Hyperlink"/>
                <w:b/>
                <w:noProof/>
              </w:rPr>
              <w:t>1.</w:t>
            </w:r>
            <w:r>
              <w:rPr>
                <w:noProof/>
              </w:rPr>
              <w:tab/>
            </w:r>
            <w:r w:rsidRPr="005F61D9">
              <w:rPr>
                <w:rStyle w:val="Hyperlink"/>
                <w:b/>
                <w:noProof/>
              </w:rPr>
              <w:t>Salud menstrual</w:t>
            </w:r>
            <w:r>
              <w:rPr>
                <w:noProof/>
                <w:webHidden/>
              </w:rPr>
              <w:tab/>
            </w:r>
            <w:r>
              <w:rPr>
                <w:noProof/>
                <w:webHidden/>
              </w:rPr>
              <w:fldChar w:fldCharType="begin"/>
            </w:r>
            <w:r>
              <w:rPr>
                <w:noProof/>
                <w:webHidden/>
              </w:rPr>
              <w:instrText xml:space="preserve"> PAGEREF _Toc173415829 \h </w:instrText>
            </w:r>
            <w:r>
              <w:rPr>
                <w:noProof/>
                <w:webHidden/>
              </w:rPr>
            </w:r>
            <w:r>
              <w:rPr>
                <w:noProof/>
                <w:webHidden/>
              </w:rPr>
              <w:fldChar w:fldCharType="separate"/>
            </w:r>
            <w:r>
              <w:rPr>
                <w:noProof/>
                <w:webHidden/>
              </w:rPr>
              <w:t>2</w:t>
            </w:r>
            <w:r>
              <w:rPr>
                <w:noProof/>
                <w:webHidden/>
              </w:rPr>
              <w:fldChar w:fldCharType="end"/>
            </w:r>
          </w:hyperlink>
        </w:p>
        <w:p w14:paraId="554966EB" w14:textId="77DCD072" w:rsidR="00E1438C" w:rsidRDefault="00000000">
          <w:pPr>
            <w:pStyle w:val="TOC1"/>
            <w:tabs>
              <w:tab w:val="left" w:pos="440"/>
              <w:tab w:val="right" w:leader="dot" w:pos="9350"/>
            </w:tabs>
            <w:rPr>
              <w:noProof/>
            </w:rPr>
          </w:pPr>
          <w:hyperlink w:anchor="_Toc173415830" w:history="1">
            <w:r w:rsidR="00E1438C" w:rsidRPr="005F61D9">
              <w:rPr>
                <w:rStyle w:val="Hyperlink"/>
                <w:b/>
                <w:noProof/>
              </w:rPr>
              <w:t>2.</w:t>
            </w:r>
            <w:r w:rsidR="00E1438C">
              <w:rPr>
                <w:noProof/>
              </w:rPr>
              <w:tab/>
            </w:r>
            <w:r w:rsidR="00E1438C" w:rsidRPr="005F61D9">
              <w:rPr>
                <w:rStyle w:val="Hyperlink"/>
                <w:b/>
                <w:noProof/>
              </w:rPr>
              <w:t>Acceso al aborto terapéutico</w:t>
            </w:r>
            <w:r w:rsidR="00E1438C">
              <w:rPr>
                <w:noProof/>
                <w:webHidden/>
              </w:rPr>
              <w:tab/>
            </w:r>
            <w:r w:rsidR="00E1438C">
              <w:rPr>
                <w:noProof/>
                <w:webHidden/>
              </w:rPr>
              <w:fldChar w:fldCharType="begin"/>
            </w:r>
            <w:r w:rsidR="00E1438C">
              <w:rPr>
                <w:noProof/>
                <w:webHidden/>
              </w:rPr>
              <w:instrText xml:space="preserve"> PAGEREF _Toc173415830 \h </w:instrText>
            </w:r>
            <w:r w:rsidR="00E1438C">
              <w:rPr>
                <w:noProof/>
                <w:webHidden/>
              </w:rPr>
            </w:r>
            <w:r w:rsidR="00E1438C">
              <w:rPr>
                <w:noProof/>
                <w:webHidden/>
              </w:rPr>
              <w:fldChar w:fldCharType="separate"/>
            </w:r>
            <w:r w:rsidR="00E1438C">
              <w:rPr>
                <w:noProof/>
                <w:webHidden/>
              </w:rPr>
              <w:t>3</w:t>
            </w:r>
            <w:r w:rsidR="00E1438C">
              <w:rPr>
                <w:noProof/>
                <w:webHidden/>
              </w:rPr>
              <w:fldChar w:fldCharType="end"/>
            </w:r>
          </w:hyperlink>
        </w:p>
        <w:p w14:paraId="7BFE1744" w14:textId="68F6CF17" w:rsidR="00E1438C" w:rsidRDefault="00000000">
          <w:pPr>
            <w:pStyle w:val="TOC1"/>
            <w:tabs>
              <w:tab w:val="left" w:pos="440"/>
              <w:tab w:val="right" w:leader="dot" w:pos="9350"/>
            </w:tabs>
            <w:rPr>
              <w:noProof/>
            </w:rPr>
          </w:pPr>
          <w:hyperlink w:anchor="_Toc173415831" w:history="1">
            <w:r w:rsidR="00E1438C" w:rsidRPr="005F61D9">
              <w:rPr>
                <w:rStyle w:val="Hyperlink"/>
                <w:b/>
                <w:noProof/>
              </w:rPr>
              <w:t>3.</w:t>
            </w:r>
            <w:r w:rsidR="00E1438C">
              <w:rPr>
                <w:noProof/>
              </w:rPr>
              <w:tab/>
            </w:r>
            <w:r w:rsidR="00E1438C" w:rsidRPr="005F61D9">
              <w:rPr>
                <w:rStyle w:val="Hyperlink"/>
                <w:b/>
                <w:noProof/>
              </w:rPr>
              <w:t>Embarazo infantil y adolescente</w:t>
            </w:r>
            <w:r w:rsidR="00E1438C">
              <w:rPr>
                <w:noProof/>
                <w:webHidden/>
              </w:rPr>
              <w:tab/>
            </w:r>
            <w:r w:rsidR="00E1438C">
              <w:rPr>
                <w:noProof/>
                <w:webHidden/>
              </w:rPr>
              <w:fldChar w:fldCharType="begin"/>
            </w:r>
            <w:r w:rsidR="00E1438C">
              <w:rPr>
                <w:noProof/>
                <w:webHidden/>
              </w:rPr>
              <w:instrText xml:space="preserve"> PAGEREF _Toc173415831 \h </w:instrText>
            </w:r>
            <w:r w:rsidR="00E1438C">
              <w:rPr>
                <w:noProof/>
                <w:webHidden/>
              </w:rPr>
            </w:r>
            <w:r w:rsidR="00E1438C">
              <w:rPr>
                <w:noProof/>
                <w:webHidden/>
              </w:rPr>
              <w:fldChar w:fldCharType="separate"/>
            </w:r>
            <w:r w:rsidR="00E1438C">
              <w:rPr>
                <w:noProof/>
                <w:webHidden/>
              </w:rPr>
              <w:t>4</w:t>
            </w:r>
            <w:r w:rsidR="00E1438C">
              <w:rPr>
                <w:noProof/>
                <w:webHidden/>
              </w:rPr>
              <w:fldChar w:fldCharType="end"/>
            </w:r>
          </w:hyperlink>
        </w:p>
        <w:p w14:paraId="5DCF79FF" w14:textId="6C9A3806" w:rsidR="00E1438C" w:rsidRDefault="00000000">
          <w:pPr>
            <w:pStyle w:val="TOC1"/>
            <w:tabs>
              <w:tab w:val="left" w:pos="440"/>
              <w:tab w:val="right" w:leader="dot" w:pos="9350"/>
            </w:tabs>
            <w:rPr>
              <w:noProof/>
            </w:rPr>
          </w:pPr>
          <w:hyperlink w:anchor="_Toc173415832" w:history="1">
            <w:r w:rsidR="00E1438C" w:rsidRPr="005F61D9">
              <w:rPr>
                <w:rStyle w:val="Hyperlink"/>
                <w:b/>
                <w:noProof/>
              </w:rPr>
              <w:t>4.</w:t>
            </w:r>
            <w:r w:rsidR="00E1438C">
              <w:rPr>
                <w:noProof/>
              </w:rPr>
              <w:tab/>
            </w:r>
            <w:r w:rsidR="00E1438C" w:rsidRPr="005F61D9">
              <w:rPr>
                <w:rStyle w:val="Hyperlink"/>
                <w:b/>
                <w:noProof/>
              </w:rPr>
              <w:t>Aborto</w:t>
            </w:r>
            <w:r w:rsidR="00E1438C">
              <w:rPr>
                <w:noProof/>
                <w:webHidden/>
              </w:rPr>
              <w:tab/>
            </w:r>
            <w:r w:rsidR="00E1438C">
              <w:rPr>
                <w:noProof/>
                <w:webHidden/>
              </w:rPr>
              <w:fldChar w:fldCharType="begin"/>
            </w:r>
            <w:r w:rsidR="00E1438C">
              <w:rPr>
                <w:noProof/>
                <w:webHidden/>
              </w:rPr>
              <w:instrText xml:space="preserve"> PAGEREF _Toc173415832 \h </w:instrText>
            </w:r>
            <w:r w:rsidR="00E1438C">
              <w:rPr>
                <w:noProof/>
                <w:webHidden/>
              </w:rPr>
            </w:r>
            <w:r w:rsidR="00E1438C">
              <w:rPr>
                <w:noProof/>
                <w:webHidden/>
              </w:rPr>
              <w:fldChar w:fldCharType="separate"/>
            </w:r>
            <w:r w:rsidR="00E1438C">
              <w:rPr>
                <w:noProof/>
                <w:webHidden/>
              </w:rPr>
              <w:t>5</w:t>
            </w:r>
            <w:r w:rsidR="00E1438C">
              <w:rPr>
                <w:noProof/>
                <w:webHidden/>
              </w:rPr>
              <w:fldChar w:fldCharType="end"/>
            </w:r>
          </w:hyperlink>
        </w:p>
        <w:p w14:paraId="7B8813DC" w14:textId="71341EF0" w:rsidR="00E1438C" w:rsidRDefault="00000000">
          <w:pPr>
            <w:pStyle w:val="TOC1"/>
            <w:tabs>
              <w:tab w:val="left" w:pos="440"/>
              <w:tab w:val="right" w:leader="dot" w:pos="9350"/>
            </w:tabs>
            <w:rPr>
              <w:noProof/>
            </w:rPr>
          </w:pPr>
          <w:hyperlink w:anchor="_Toc173415833" w:history="1">
            <w:r w:rsidR="00E1438C" w:rsidRPr="005F61D9">
              <w:rPr>
                <w:rStyle w:val="Hyperlink"/>
                <w:b/>
                <w:noProof/>
              </w:rPr>
              <w:t>5.</w:t>
            </w:r>
            <w:r w:rsidR="00E1438C">
              <w:rPr>
                <w:noProof/>
              </w:rPr>
              <w:tab/>
            </w:r>
            <w:r w:rsidR="00E1438C" w:rsidRPr="005F61D9">
              <w:rPr>
                <w:rStyle w:val="Hyperlink"/>
                <w:b/>
                <w:noProof/>
              </w:rPr>
              <w:t>Criminalización del aborto</w:t>
            </w:r>
            <w:r w:rsidR="00E1438C">
              <w:rPr>
                <w:noProof/>
                <w:webHidden/>
              </w:rPr>
              <w:tab/>
            </w:r>
            <w:r w:rsidR="00E1438C">
              <w:rPr>
                <w:noProof/>
                <w:webHidden/>
              </w:rPr>
              <w:fldChar w:fldCharType="begin"/>
            </w:r>
            <w:r w:rsidR="00E1438C">
              <w:rPr>
                <w:noProof/>
                <w:webHidden/>
              </w:rPr>
              <w:instrText xml:space="preserve"> PAGEREF _Toc173415833 \h </w:instrText>
            </w:r>
            <w:r w:rsidR="00E1438C">
              <w:rPr>
                <w:noProof/>
                <w:webHidden/>
              </w:rPr>
            </w:r>
            <w:r w:rsidR="00E1438C">
              <w:rPr>
                <w:noProof/>
                <w:webHidden/>
              </w:rPr>
              <w:fldChar w:fldCharType="separate"/>
            </w:r>
            <w:r w:rsidR="00E1438C">
              <w:rPr>
                <w:noProof/>
                <w:webHidden/>
              </w:rPr>
              <w:t>5</w:t>
            </w:r>
            <w:r w:rsidR="00E1438C">
              <w:rPr>
                <w:noProof/>
                <w:webHidden/>
              </w:rPr>
              <w:fldChar w:fldCharType="end"/>
            </w:r>
          </w:hyperlink>
        </w:p>
        <w:p w14:paraId="2E6ED22A" w14:textId="79B7B8ED" w:rsidR="00E1438C" w:rsidRDefault="00000000">
          <w:pPr>
            <w:pStyle w:val="TOC1"/>
            <w:tabs>
              <w:tab w:val="left" w:pos="440"/>
              <w:tab w:val="right" w:leader="dot" w:pos="9350"/>
            </w:tabs>
            <w:rPr>
              <w:noProof/>
            </w:rPr>
          </w:pPr>
          <w:hyperlink w:anchor="_Toc173415834" w:history="1">
            <w:r w:rsidR="00E1438C" w:rsidRPr="005F61D9">
              <w:rPr>
                <w:rStyle w:val="Hyperlink"/>
                <w:b/>
                <w:noProof/>
              </w:rPr>
              <w:t>a.</w:t>
            </w:r>
            <w:r w:rsidR="00E1438C">
              <w:rPr>
                <w:noProof/>
              </w:rPr>
              <w:tab/>
            </w:r>
            <w:r w:rsidR="00E1438C" w:rsidRPr="005F61D9">
              <w:rPr>
                <w:rStyle w:val="Hyperlink"/>
                <w:b/>
                <w:noProof/>
              </w:rPr>
              <w:t>Criminalización de niñas y adolescentes</w:t>
            </w:r>
            <w:r w:rsidR="00E1438C">
              <w:rPr>
                <w:noProof/>
                <w:webHidden/>
              </w:rPr>
              <w:tab/>
            </w:r>
            <w:r w:rsidR="00E1438C">
              <w:rPr>
                <w:noProof/>
                <w:webHidden/>
              </w:rPr>
              <w:fldChar w:fldCharType="begin"/>
            </w:r>
            <w:r w:rsidR="00E1438C">
              <w:rPr>
                <w:noProof/>
                <w:webHidden/>
              </w:rPr>
              <w:instrText xml:space="preserve"> PAGEREF _Toc173415834 \h </w:instrText>
            </w:r>
            <w:r w:rsidR="00E1438C">
              <w:rPr>
                <w:noProof/>
                <w:webHidden/>
              </w:rPr>
            </w:r>
            <w:r w:rsidR="00E1438C">
              <w:rPr>
                <w:noProof/>
                <w:webHidden/>
              </w:rPr>
              <w:fldChar w:fldCharType="separate"/>
            </w:r>
            <w:r w:rsidR="00E1438C">
              <w:rPr>
                <w:noProof/>
                <w:webHidden/>
              </w:rPr>
              <w:t>6</w:t>
            </w:r>
            <w:r w:rsidR="00E1438C">
              <w:rPr>
                <w:noProof/>
                <w:webHidden/>
              </w:rPr>
              <w:fldChar w:fldCharType="end"/>
            </w:r>
          </w:hyperlink>
        </w:p>
        <w:p w14:paraId="6C8156D1" w14:textId="0C653294" w:rsidR="00E1438C" w:rsidRDefault="00000000">
          <w:pPr>
            <w:pStyle w:val="TOC1"/>
            <w:tabs>
              <w:tab w:val="left" w:pos="440"/>
              <w:tab w:val="right" w:leader="dot" w:pos="9350"/>
            </w:tabs>
            <w:rPr>
              <w:noProof/>
            </w:rPr>
          </w:pPr>
          <w:hyperlink w:anchor="_Toc173415835" w:history="1">
            <w:r w:rsidR="00E1438C" w:rsidRPr="005F61D9">
              <w:rPr>
                <w:rStyle w:val="Hyperlink"/>
                <w:b/>
                <w:noProof/>
              </w:rPr>
              <w:t>6.</w:t>
            </w:r>
            <w:r w:rsidR="00E1438C">
              <w:rPr>
                <w:noProof/>
              </w:rPr>
              <w:tab/>
            </w:r>
            <w:r w:rsidR="00E1438C" w:rsidRPr="005F61D9">
              <w:rPr>
                <w:rStyle w:val="Hyperlink"/>
                <w:b/>
                <w:noProof/>
              </w:rPr>
              <w:t>Recomendaciones</w:t>
            </w:r>
            <w:r w:rsidR="00E1438C">
              <w:rPr>
                <w:noProof/>
                <w:webHidden/>
              </w:rPr>
              <w:tab/>
            </w:r>
            <w:r w:rsidR="00E1438C">
              <w:rPr>
                <w:noProof/>
                <w:webHidden/>
              </w:rPr>
              <w:fldChar w:fldCharType="begin"/>
            </w:r>
            <w:r w:rsidR="00E1438C">
              <w:rPr>
                <w:noProof/>
                <w:webHidden/>
              </w:rPr>
              <w:instrText xml:space="preserve"> PAGEREF _Toc173415835 \h </w:instrText>
            </w:r>
            <w:r w:rsidR="00E1438C">
              <w:rPr>
                <w:noProof/>
                <w:webHidden/>
              </w:rPr>
            </w:r>
            <w:r w:rsidR="00E1438C">
              <w:rPr>
                <w:noProof/>
                <w:webHidden/>
              </w:rPr>
              <w:fldChar w:fldCharType="separate"/>
            </w:r>
            <w:r w:rsidR="00E1438C">
              <w:rPr>
                <w:noProof/>
                <w:webHidden/>
              </w:rPr>
              <w:t>7</w:t>
            </w:r>
            <w:r w:rsidR="00E1438C">
              <w:rPr>
                <w:noProof/>
                <w:webHidden/>
              </w:rPr>
              <w:fldChar w:fldCharType="end"/>
            </w:r>
          </w:hyperlink>
        </w:p>
        <w:p w14:paraId="48674C52" w14:textId="215212E3" w:rsidR="00E1438C" w:rsidRDefault="00E1438C">
          <w:r>
            <w:rPr>
              <w:b/>
              <w:bCs/>
              <w:noProof/>
            </w:rPr>
            <w:fldChar w:fldCharType="end"/>
          </w:r>
        </w:p>
      </w:sdtContent>
    </w:sdt>
    <w:p w14:paraId="1899B3A2" w14:textId="77777777" w:rsidR="00E1438C" w:rsidRDefault="00E1438C" w:rsidP="00E1438C">
      <w:pPr>
        <w:spacing w:before="240" w:after="240" w:line="240" w:lineRule="auto"/>
        <w:rPr>
          <w:b/>
          <w:lang w:val="es-PE"/>
        </w:rPr>
      </w:pPr>
    </w:p>
    <w:p w14:paraId="00000007" w14:textId="41C97652" w:rsidR="00A25DA4" w:rsidRDefault="00000000">
      <w:pPr>
        <w:spacing w:before="240" w:after="240"/>
        <w:jc w:val="both"/>
        <w:rPr>
          <w:lang w:val="es-PE"/>
        </w:rPr>
      </w:pPr>
      <w:r w:rsidRPr="00E1438C">
        <w:rPr>
          <w:lang w:val="es-PE"/>
        </w:rPr>
        <w:t>De acuerdo con el Artículo 45(a) de la Convención sobre los Derechos del Niño, el Comité de los Derechos del Niño tiene la facultad de solicitar asesoramiento experto sobre la implementación de la Convención a organismos competentes. En conformidad con esta disposición, Proyecta Igualdad ha preparado un informe sobre el estado de los derechos de salud sexual y reproductiva de los niños en Perú. El informe busca resaltar los desafíos en la protección de estos derechos, enfatizando la necesidad de mejoras en el acceso a los servicios de salud sexual y reproductiva para la niñez a nivel nacional</w:t>
      </w:r>
      <w:r w:rsidR="00E1438C">
        <w:rPr>
          <w:lang w:val="es-PE"/>
        </w:rPr>
        <w:t>, puntos que o bien no han sido abordados o han sido abordados de manera superficial en el informe del Estado peruano.</w:t>
      </w:r>
    </w:p>
    <w:p w14:paraId="7B9B5EED" w14:textId="7FA95CE6" w:rsidR="00E1438C" w:rsidRDefault="00E1438C">
      <w:pPr>
        <w:spacing w:before="240" w:after="240"/>
        <w:jc w:val="both"/>
        <w:rPr>
          <w:lang w:val="es-PE"/>
        </w:rPr>
      </w:pPr>
      <w:r>
        <w:rPr>
          <w:lang w:val="es-PE"/>
        </w:rPr>
        <w:t xml:space="preserve">Este informe ha sido elaborado por Brenda </w:t>
      </w:r>
      <w:proofErr w:type="spellStart"/>
      <w:r>
        <w:rPr>
          <w:lang w:val="es-PE"/>
        </w:rPr>
        <w:t>Alvarez</w:t>
      </w:r>
      <w:proofErr w:type="spellEnd"/>
      <w:r>
        <w:rPr>
          <w:lang w:val="es-PE"/>
        </w:rPr>
        <w:t xml:space="preserve"> </w:t>
      </w:r>
      <w:proofErr w:type="spellStart"/>
      <w:r>
        <w:rPr>
          <w:lang w:val="es-PE"/>
        </w:rPr>
        <w:t>Alvarez</w:t>
      </w:r>
      <w:proofErr w:type="spellEnd"/>
      <w:r>
        <w:rPr>
          <w:lang w:val="es-PE"/>
        </w:rPr>
        <w:t xml:space="preserve"> y Lucía Santos Peralta, abogadas y miembros de Proyecta Igualdad.</w:t>
      </w:r>
    </w:p>
    <w:p w14:paraId="00000009" w14:textId="77777777" w:rsidR="00A25DA4" w:rsidRPr="00E1438C" w:rsidRDefault="00000000" w:rsidP="00E1438C">
      <w:pPr>
        <w:pStyle w:val="Heading1"/>
        <w:numPr>
          <w:ilvl w:val="0"/>
          <w:numId w:val="3"/>
        </w:numPr>
        <w:rPr>
          <w:b/>
          <w:sz w:val="22"/>
          <w:szCs w:val="22"/>
        </w:rPr>
      </w:pPr>
      <w:bookmarkStart w:id="0" w:name="_Toc173415829"/>
      <w:r w:rsidRPr="00E1438C">
        <w:rPr>
          <w:b/>
          <w:sz w:val="22"/>
          <w:szCs w:val="22"/>
        </w:rPr>
        <w:t>Salud menstrual</w:t>
      </w:r>
      <w:bookmarkEnd w:id="0"/>
    </w:p>
    <w:p w14:paraId="0000000A" w14:textId="77777777" w:rsidR="00A25DA4" w:rsidRDefault="00A25DA4">
      <w:pPr>
        <w:ind w:left="720"/>
        <w:jc w:val="both"/>
      </w:pPr>
    </w:p>
    <w:p w14:paraId="0000000B" w14:textId="77777777" w:rsidR="00A25DA4" w:rsidRPr="00E1438C" w:rsidRDefault="00000000">
      <w:pPr>
        <w:spacing w:after="240"/>
        <w:jc w:val="both"/>
        <w:rPr>
          <w:lang w:val="es-PE"/>
        </w:rPr>
      </w:pPr>
      <w:r w:rsidRPr="00E1438C">
        <w:rPr>
          <w:lang w:val="es-PE"/>
        </w:rPr>
        <w:t>En el Perú, la salud menstrual de niñas y adolescentes sigue siendo un desafío, ya que no existen programas educativos informados que aborden este tema de manera libre de prejuicios. Además, hay una brecha significativa en el acceso a insumos para la gestión de la menstruación, especialmente entre las niñas y adolescentes más vulnerables económicamente. Según un estudio</w:t>
      </w:r>
      <w:r>
        <w:rPr>
          <w:vertAlign w:val="superscript"/>
        </w:rPr>
        <w:footnoteReference w:id="1"/>
      </w:r>
      <w:r w:rsidRPr="00E1438C">
        <w:rPr>
          <w:lang w:val="es-PE"/>
        </w:rPr>
        <w:t>, el 73% de las adolescentes desearía contar con insumos gratuitos como toallas higiénicas, papel higiénico, jabón y pastillas para cólicos menstruales.</w:t>
      </w:r>
    </w:p>
    <w:p w14:paraId="0000000C" w14:textId="77777777" w:rsidR="00A25DA4" w:rsidRPr="00E1438C" w:rsidRDefault="00000000">
      <w:pPr>
        <w:spacing w:before="240" w:after="240"/>
        <w:jc w:val="both"/>
        <w:rPr>
          <w:lang w:val="es-PE"/>
        </w:rPr>
      </w:pPr>
      <w:r w:rsidRPr="00E1438C">
        <w:rPr>
          <w:lang w:val="es-PE"/>
        </w:rPr>
        <w:lastRenderedPageBreak/>
        <w:t>Asimismo, el 71% de ellas considera crucial que los baños garanticen privacidad, comodidad y limpieza, ya que en muchas escuelas públicas estos no ofrecen seguridad, comodidad, acceso al agua ni limpieza adecuadas. Además, el 31% de las adolescentes pide que los profesores enseñen con mayor profundidad sobre la menstruación y los cuidados necesarios. Del mismo modo, el 30% considera necesario que los maestros y maestras ofrezcan facilidades para no hacer ejercicios físicos, cambiarse de ropa o limpiarse (yendo a casa o al baño) durante el periodo menstrual.</w:t>
      </w:r>
    </w:p>
    <w:p w14:paraId="0000000D" w14:textId="77777777" w:rsidR="00A25DA4" w:rsidRPr="00E1438C" w:rsidRDefault="00000000">
      <w:pPr>
        <w:spacing w:before="240" w:after="240"/>
        <w:jc w:val="both"/>
        <w:rPr>
          <w:lang w:val="es-PE"/>
        </w:rPr>
      </w:pPr>
      <w:r w:rsidRPr="00E1438C">
        <w:rPr>
          <w:lang w:val="es-PE"/>
        </w:rPr>
        <w:t>En el año 2021 se aprobó la Ley N.  31148 que promueve y garantiza el manejo de la higiene menstrual en niñas, adolescentes y mujeres; no obstante, esta ley hasta el momento no ha sido implementada. Asimismo, el contenido de la misma no garantiza el acceso de forma gratuita a los insumos de la gestión menstrual para las niñas y adolescentes de menores recursos.</w:t>
      </w:r>
    </w:p>
    <w:p w14:paraId="0000000F" w14:textId="77777777" w:rsidR="00A25DA4" w:rsidRPr="00E1438C" w:rsidRDefault="00000000" w:rsidP="00E1438C">
      <w:pPr>
        <w:pStyle w:val="Heading1"/>
        <w:numPr>
          <w:ilvl w:val="0"/>
          <w:numId w:val="3"/>
        </w:numPr>
        <w:rPr>
          <w:b/>
          <w:sz w:val="22"/>
          <w:szCs w:val="22"/>
        </w:rPr>
      </w:pPr>
      <w:bookmarkStart w:id="1" w:name="_Toc173415830"/>
      <w:proofErr w:type="spellStart"/>
      <w:r w:rsidRPr="00E1438C">
        <w:rPr>
          <w:b/>
          <w:sz w:val="22"/>
          <w:szCs w:val="22"/>
        </w:rPr>
        <w:t>Acceso</w:t>
      </w:r>
      <w:proofErr w:type="spellEnd"/>
      <w:r w:rsidRPr="00E1438C">
        <w:rPr>
          <w:b/>
          <w:sz w:val="22"/>
          <w:szCs w:val="22"/>
        </w:rPr>
        <w:t xml:space="preserve"> al </w:t>
      </w:r>
      <w:proofErr w:type="spellStart"/>
      <w:r w:rsidRPr="00E1438C">
        <w:rPr>
          <w:b/>
          <w:sz w:val="22"/>
          <w:szCs w:val="22"/>
        </w:rPr>
        <w:t>aborto</w:t>
      </w:r>
      <w:proofErr w:type="spellEnd"/>
      <w:r w:rsidRPr="00E1438C">
        <w:rPr>
          <w:b/>
          <w:sz w:val="22"/>
          <w:szCs w:val="22"/>
        </w:rPr>
        <w:t xml:space="preserve"> </w:t>
      </w:r>
      <w:proofErr w:type="spellStart"/>
      <w:r w:rsidRPr="00E1438C">
        <w:rPr>
          <w:b/>
          <w:sz w:val="22"/>
          <w:szCs w:val="22"/>
        </w:rPr>
        <w:t>terapéutico</w:t>
      </w:r>
      <w:bookmarkEnd w:id="1"/>
      <w:proofErr w:type="spellEnd"/>
    </w:p>
    <w:p w14:paraId="00000010" w14:textId="77777777" w:rsidR="00A25DA4" w:rsidRDefault="00A25DA4">
      <w:pPr>
        <w:jc w:val="both"/>
        <w:rPr>
          <w:b/>
        </w:rPr>
      </w:pPr>
    </w:p>
    <w:p w14:paraId="00000011" w14:textId="77777777" w:rsidR="00A25DA4" w:rsidRPr="00E1438C" w:rsidRDefault="00000000">
      <w:pPr>
        <w:pBdr>
          <w:top w:val="none" w:sz="0" w:space="0" w:color="E3E3E3"/>
          <w:left w:val="none" w:sz="0" w:space="0" w:color="E3E3E3"/>
          <w:bottom w:val="none" w:sz="0" w:space="0" w:color="E3E3E3"/>
          <w:right w:val="none" w:sz="0" w:space="0" w:color="E3E3E3"/>
          <w:between w:val="none" w:sz="0" w:space="0" w:color="E3E3E3"/>
        </w:pBdr>
        <w:spacing w:line="240" w:lineRule="auto"/>
        <w:jc w:val="both"/>
        <w:rPr>
          <w:lang w:val="es-PE"/>
        </w:rPr>
      </w:pPr>
      <w:r w:rsidRPr="00E1438C">
        <w:rPr>
          <w:lang w:val="es-PE"/>
        </w:rPr>
        <w:t>El aborto terapéutico es legal en el Perú desde 1924. Actualmente, esta práctica se ampara en el artículo 119 del Código Penal, el cual establece que puede ser implementada siempre y cuando el embarazo tenga menos de 22 semanas de gestación. Según la Guía Técnica Nacional para la estandarización de dicho procedimiento, se consideran las siguientes condiciones clínicas que justifican evaluar la interrupción terapéutica del embarazo:</w:t>
      </w:r>
    </w:p>
    <w:p w14:paraId="00000012" w14:textId="77777777" w:rsidR="00A25DA4" w:rsidRPr="00E1438C" w:rsidRDefault="00A25DA4">
      <w:pPr>
        <w:pBdr>
          <w:top w:val="none" w:sz="0" w:space="0" w:color="E3E3E3"/>
          <w:left w:val="none" w:sz="0" w:space="0" w:color="E3E3E3"/>
          <w:bottom w:val="none" w:sz="0" w:space="0" w:color="E3E3E3"/>
          <w:right w:val="none" w:sz="0" w:space="0" w:color="E3E3E3"/>
          <w:between w:val="none" w:sz="0" w:space="0" w:color="E3E3E3"/>
        </w:pBdr>
        <w:spacing w:line="240" w:lineRule="auto"/>
        <w:jc w:val="both"/>
        <w:rPr>
          <w:lang w:val="es-PE"/>
        </w:rPr>
      </w:pPr>
    </w:p>
    <w:p w14:paraId="00000013" w14:textId="77777777" w:rsidR="00A25DA4" w:rsidRPr="00E1438C" w:rsidRDefault="00000000">
      <w:pPr>
        <w:numPr>
          <w:ilvl w:val="0"/>
          <w:numId w:val="2"/>
        </w:numPr>
        <w:pBdr>
          <w:top w:val="none" w:sz="0" w:space="0" w:color="E3E3E3"/>
          <w:left w:val="none" w:sz="0" w:space="0" w:color="E3E3E3"/>
          <w:bottom w:val="none" w:sz="0" w:space="0" w:color="E3E3E3"/>
          <w:right w:val="none" w:sz="0" w:space="0" w:color="E3E3E3"/>
          <w:between w:val="none" w:sz="0" w:space="0" w:color="E3E3E3"/>
        </w:pBdr>
        <w:spacing w:line="240" w:lineRule="auto"/>
        <w:jc w:val="both"/>
        <w:rPr>
          <w:lang w:val="es-PE"/>
        </w:rPr>
      </w:pPr>
      <w:r w:rsidRPr="00E1438C">
        <w:rPr>
          <w:lang w:val="es-PE"/>
        </w:rPr>
        <w:t>Embarazo ectópico tubárico, ovárico, cervical.</w:t>
      </w:r>
    </w:p>
    <w:p w14:paraId="00000014" w14:textId="77777777" w:rsidR="00A25DA4" w:rsidRDefault="00000000">
      <w:pPr>
        <w:numPr>
          <w:ilvl w:val="0"/>
          <w:numId w:val="2"/>
        </w:numPr>
        <w:pBdr>
          <w:top w:val="none" w:sz="0" w:space="0" w:color="E3E3E3"/>
          <w:left w:val="none" w:sz="0" w:space="0" w:color="E3E3E3"/>
          <w:bottom w:val="none" w:sz="0" w:space="0" w:color="E3E3E3"/>
          <w:right w:val="none" w:sz="0" w:space="0" w:color="E3E3E3"/>
          <w:between w:val="none" w:sz="0" w:space="0" w:color="E3E3E3"/>
        </w:pBdr>
        <w:spacing w:line="240" w:lineRule="auto"/>
        <w:jc w:val="both"/>
      </w:pPr>
      <w:r>
        <w:t xml:space="preserve">Mola </w:t>
      </w:r>
      <w:proofErr w:type="spellStart"/>
      <w:r>
        <w:t>hidatiforme</w:t>
      </w:r>
      <w:proofErr w:type="spellEnd"/>
      <w:r>
        <w:t xml:space="preserve"> </w:t>
      </w:r>
      <w:proofErr w:type="spellStart"/>
      <w:r>
        <w:t>parcial</w:t>
      </w:r>
      <w:proofErr w:type="spellEnd"/>
      <w:r>
        <w:t xml:space="preserve"> con </w:t>
      </w:r>
      <w:proofErr w:type="spellStart"/>
      <w:r>
        <w:t>hemorragia</w:t>
      </w:r>
      <w:proofErr w:type="spellEnd"/>
      <w:r>
        <w:t xml:space="preserve"> de </w:t>
      </w:r>
      <w:proofErr w:type="spellStart"/>
      <w:r>
        <w:t>riesgo</w:t>
      </w:r>
      <w:proofErr w:type="spellEnd"/>
      <w:r>
        <w:t xml:space="preserve"> </w:t>
      </w:r>
      <w:proofErr w:type="spellStart"/>
      <w:r>
        <w:t>materno</w:t>
      </w:r>
      <w:proofErr w:type="spellEnd"/>
      <w:r>
        <w:t>.</w:t>
      </w:r>
    </w:p>
    <w:p w14:paraId="00000015" w14:textId="77777777" w:rsidR="00A25DA4" w:rsidRPr="00E1438C" w:rsidRDefault="00000000">
      <w:pPr>
        <w:numPr>
          <w:ilvl w:val="0"/>
          <w:numId w:val="2"/>
        </w:numPr>
        <w:pBdr>
          <w:top w:val="none" w:sz="0" w:space="0" w:color="E3E3E3"/>
          <w:left w:val="none" w:sz="0" w:space="0" w:color="E3E3E3"/>
          <w:bottom w:val="none" w:sz="0" w:space="0" w:color="E3E3E3"/>
          <w:right w:val="none" w:sz="0" w:space="0" w:color="E3E3E3"/>
          <w:between w:val="none" w:sz="0" w:space="0" w:color="E3E3E3"/>
        </w:pBdr>
        <w:spacing w:line="240" w:lineRule="auto"/>
        <w:jc w:val="both"/>
        <w:rPr>
          <w:lang w:val="es-PE"/>
        </w:rPr>
      </w:pPr>
      <w:proofErr w:type="spellStart"/>
      <w:r w:rsidRPr="00E1438C">
        <w:rPr>
          <w:lang w:val="es-PE"/>
        </w:rPr>
        <w:t>Hiperemesis</w:t>
      </w:r>
      <w:proofErr w:type="spellEnd"/>
      <w:r w:rsidRPr="00E1438C">
        <w:rPr>
          <w:lang w:val="es-PE"/>
        </w:rPr>
        <w:t xml:space="preserve"> gravídica refractaria al tratamiento con deterioro grave hepático y/o renal.</w:t>
      </w:r>
    </w:p>
    <w:p w14:paraId="00000016" w14:textId="77777777" w:rsidR="00A25DA4" w:rsidRPr="00E1438C" w:rsidRDefault="00000000">
      <w:pPr>
        <w:numPr>
          <w:ilvl w:val="0"/>
          <w:numId w:val="2"/>
        </w:numPr>
        <w:pBdr>
          <w:top w:val="none" w:sz="0" w:space="0" w:color="E3E3E3"/>
          <w:left w:val="none" w:sz="0" w:space="0" w:color="E3E3E3"/>
          <w:bottom w:val="none" w:sz="0" w:space="0" w:color="E3E3E3"/>
          <w:right w:val="none" w:sz="0" w:space="0" w:color="E3E3E3"/>
          <w:between w:val="none" w:sz="0" w:space="0" w:color="E3E3E3"/>
        </w:pBdr>
        <w:spacing w:line="240" w:lineRule="auto"/>
        <w:jc w:val="both"/>
        <w:rPr>
          <w:lang w:val="es-PE"/>
        </w:rPr>
      </w:pPr>
      <w:r w:rsidRPr="00E1438C">
        <w:rPr>
          <w:lang w:val="es-PE"/>
        </w:rPr>
        <w:t>Neoplasia maligna que requiera tratamiento quirúrgico, radioterapia y/o quimioterapia.</w:t>
      </w:r>
    </w:p>
    <w:p w14:paraId="00000017" w14:textId="77777777" w:rsidR="00A25DA4" w:rsidRPr="00E1438C" w:rsidRDefault="00000000">
      <w:pPr>
        <w:numPr>
          <w:ilvl w:val="0"/>
          <w:numId w:val="2"/>
        </w:numPr>
        <w:pBdr>
          <w:top w:val="none" w:sz="0" w:space="0" w:color="E3E3E3"/>
          <w:left w:val="none" w:sz="0" w:space="0" w:color="E3E3E3"/>
          <w:bottom w:val="none" w:sz="0" w:space="0" w:color="E3E3E3"/>
          <w:right w:val="none" w:sz="0" w:space="0" w:color="E3E3E3"/>
          <w:between w:val="none" w:sz="0" w:space="0" w:color="E3E3E3"/>
        </w:pBdr>
        <w:spacing w:line="240" w:lineRule="auto"/>
        <w:jc w:val="both"/>
        <w:rPr>
          <w:lang w:val="es-PE"/>
        </w:rPr>
      </w:pPr>
      <w:r w:rsidRPr="00E1438C">
        <w:rPr>
          <w:lang w:val="es-PE"/>
        </w:rPr>
        <w:t>Insuficiencia cardiaca congestiva clase funcional III-IV por cardiopatía congénita o adquirida con hipertensión arterial y cardiopatía isquémica refractaria a tratamiento.</w:t>
      </w:r>
    </w:p>
    <w:p w14:paraId="00000018" w14:textId="77777777" w:rsidR="00A25DA4" w:rsidRPr="00E1438C" w:rsidRDefault="00000000">
      <w:pPr>
        <w:numPr>
          <w:ilvl w:val="0"/>
          <w:numId w:val="2"/>
        </w:numPr>
        <w:pBdr>
          <w:top w:val="none" w:sz="0" w:space="0" w:color="E3E3E3"/>
          <w:left w:val="none" w:sz="0" w:space="0" w:color="E3E3E3"/>
          <w:bottom w:val="none" w:sz="0" w:space="0" w:color="E3E3E3"/>
          <w:right w:val="none" w:sz="0" w:space="0" w:color="E3E3E3"/>
          <w:between w:val="none" w:sz="0" w:space="0" w:color="E3E3E3"/>
        </w:pBdr>
        <w:spacing w:line="240" w:lineRule="auto"/>
        <w:jc w:val="both"/>
        <w:rPr>
          <w:lang w:val="es-PE"/>
        </w:rPr>
      </w:pPr>
      <w:r w:rsidRPr="00E1438C">
        <w:rPr>
          <w:lang w:val="es-PE"/>
        </w:rPr>
        <w:t>Hipertensión arterial crónica severa y evidencia de daño de órgano blanco.</w:t>
      </w:r>
    </w:p>
    <w:p w14:paraId="00000019" w14:textId="77777777" w:rsidR="00A25DA4" w:rsidRPr="00E1438C" w:rsidRDefault="00000000">
      <w:pPr>
        <w:numPr>
          <w:ilvl w:val="0"/>
          <w:numId w:val="2"/>
        </w:numPr>
        <w:pBdr>
          <w:top w:val="none" w:sz="0" w:space="0" w:color="E3E3E3"/>
          <w:left w:val="none" w:sz="0" w:space="0" w:color="E3E3E3"/>
          <w:bottom w:val="none" w:sz="0" w:space="0" w:color="E3E3E3"/>
          <w:right w:val="none" w:sz="0" w:space="0" w:color="E3E3E3"/>
          <w:between w:val="none" w:sz="0" w:space="0" w:color="E3E3E3"/>
        </w:pBdr>
        <w:spacing w:line="240" w:lineRule="auto"/>
        <w:jc w:val="both"/>
        <w:rPr>
          <w:lang w:val="es-PE"/>
        </w:rPr>
      </w:pPr>
      <w:r w:rsidRPr="00E1438C">
        <w:rPr>
          <w:lang w:val="es-PE"/>
        </w:rPr>
        <w:t>Lesión neurológica severa que empeora con el embarazo.</w:t>
      </w:r>
    </w:p>
    <w:p w14:paraId="0000001A" w14:textId="77777777" w:rsidR="00A25DA4" w:rsidRPr="00E1438C" w:rsidRDefault="00000000">
      <w:pPr>
        <w:numPr>
          <w:ilvl w:val="0"/>
          <w:numId w:val="2"/>
        </w:numPr>
        <w:pBdr>
          <w:top w:val="none" w:sz="0" w:space="0" w:color="E3E3E3"/>
          <w:left w:val="none" w:sz="0" w:space="0" w:color="E3E3E3"/>
          <w:bottom w:val="none" w:sz="0" w:space="0" w:color="E3E3E3"/>
          <w:right w:val="none" w:sz="0" w:space="0" w:color="E3E3E3"/>
          <w:between w:val="none" w:sz="0" w:space="0" w:color="E3E3E3"/>
        </w:pBdr>
        <w:spacing w:line="240" w:lineRule="auto"/>
        <w:jc w:val="both"/>
        <w:rPr>
          <w:lang w:val="es-PE"/>
        </w:rPr>
      </w:pPr>
      <w:r w:rsidRPr="00E1438C">
        <w:rPr>
          <w:lang w:val="es-PE"/>
        </w:rPr>
        <w:t>Lupus Eritematoso Sistémico con daño renal severo refractario a tratamiento.</w:t>
      </w:r>
    </w:p>
    <w:p w14:paraId="0000001B" w14:textId="77777777" w:rsidR="00A25DA4" w:rsidRPr="00E1438C" w:rsidRDefault="00000000">
      <w:pPr>
        <w:numPr>
          <w:ilvl w:val="0"/>
          <w:numId w:val="2"/>
        </w:numPr>
        <w:pBdr>
          <w:top w:val="none" w:sz="0" w:space="0" w:color="E3E3E3"/>
          <w:left w:val="none" w:sz="0" w:space="0" w:color="E3E3E3"/>
          <w:bottom w:val="none" w:sz="0" w:space="0" w:color="E3E3E3"/>
          <w:right w:val="none" w:sz="0" w:space="0" w:color="E3E3E3"/>
          <w:between w:val="none" w:sz="0" w:space="0" w:color="E3E3E3"/>
        </w:pBdr>
        <w:spacing w:line="240" w:lineRule="auto"/>
        <w:jc w:val="both"/>
        <w:rPr>
          <w:lang w:val="es-PE"/>
        </w:rPr>
      </w:pPr>
      <w:r w:rsidRPr="00E1438C">
        <w:rPr>
          <w:lang w:val="es-PE"/>
        </w:rPr>
        <w:t>Diabetes Mellitus avanzada con daño de órgano blanco.</w:t>
      </w:r>
    </w:p>
    <w:p w14:paraId="0000001C" w14:textId="77777777" w:rsidR="00A25DA4" w:rsidRPr="00E1438C" w:rsidRDefault="00000000">
      <w:pPr>
        <w:numPr>
          <w:ilvl w:val="0"/>
          <w:numId w:val="2"/>
        </w:numPr>
        <w:pBdr>
          <w:top w:val="none" w:sz="0" w:space="0" w:color="E3E3E3"/>
          <w:left w:val="none" w:sz="0" w:space="0" w:color="E3E3E3"/>
          <w:bottom w:val="none" w:sz="0" w:space="0" w:color="E3E3E3"/>
          <w:right w:val="none" w:sz="0" w:space="0" w:color="E3E3E3"/>
          <w:between w:val="none" w:sz="0" w:space="0" w:color="E3E3E3"/>
        </w:pBdr>
        <w:spacing w:line="240" w:lineRule="auto"/>
        <w:jc w:val="both"/>
        <w:rPr>
          <w:lang w:val="es-PE"/>
        </w:rPr>
      </w:pPr>
      <w:r w:rsidRPr="00E1438C">
        <w:rPr>
          <w:lang w:val="es-PE"/>
        </w:rPr>
        <w:t>Insuficiencia respiratoria severa demostrada por la existencia de una presión parcial de oxígeno &lt; 50 mm de Hg y saturación de oxígeno en sangre &lt; 85% y con patología grave.</w:t>
      </w:r>
    </w:p>
    <w:p w14:paraId="0000001D" w14:textId="77777777" w:rsidR="00A25DA4" w:rsidRPr="00E1438C" w:rsidRDefault="00000000">
      <w:pPr>
        <w:numPr>
          <w:ilvl w:val="0"/>
          <w:numId w:val="2"/>
        </w:numPr>
        <w:pBdr>
          <w:top w:val="none" w:sz="0" w:space="0" w:color="E3E3E3"/>
          <w:left w:val="none" w:sz="0" w:space="0" w:color="E3E3E3"/>
          <w:bottom w:val="none" w:sz="0" w:space="0" w:color="E3E3E3"/>
          <w:right w:val="none" w:sz="0" w:space="0" w:color="E3E3E3"/>
          <w:between w:val="none" w:sz="0" w:space="0" w:color="E3E3E3"/>
        </w:pBdr>
        <w:spacing w:line="240" w:lineRule="auto"/>
        <w:jc w:val="both"/>
        <w:rPr>
          <w:lang w:val="es-PE"/>
        </w:rPr>
      </w:pPr>
      <w:r w:rsidRPr="00E1438C">
        <w:rPr>
          <w:lang w:val="es-PE"/>
        </w:rPr>
        <w:t>Cualquier otra patología materna que ponga en riesgo la vida de la gestante o genere un mal grave y permanente, fundamentada por la Junta Médica.</w:t>
      </w:r>
    </w:p>
    <w:p w14:paraId="0000001E" w14:textId="77777777" w:rsidR="00A25DA4" w:rsidRPr="00E1438C" w:rsidRDefault="00A25DA4">
      <w:pPr>
        <w:jc w:val="both"/>
        <w:rPr>
          <w:b/>
          <w:lang w:val="es-PE"/>
        </w:rPr>
      </w:pPr>
    </w:p>
    <w:p w14:paraId="0000001F" w14:textId="77777777" w:rsidR="00A25DA4" w:rsidRPr="00E1438C" w:rsidRDefault="00000000">
      <w:pPr>
        <w:jc w:val="both"/>
        <w:rPr>
          <w:lang w:val="es-PE"/>
        </w:rPr>
      </w:pPr>
      <w:r w:rsidRPr="00E1438C">
        <w:rPr>
          <w:lang w:val="es-PE"/>
        </w:rPr>
        <w:t xml:space="preserve">Esta última causal ha sido desarrollada de mejor manera por la </w:t>
      </w:r>
      <w:hyperlink r:id="rId9">
        <w:r w:rsidRPr="00E1438C">
          <w:rPr>
            <w:lang w:val="es-PE"/>
          </w:rPr>
          <w:t>Guía de Práctica Clínica y de procedimientos para la atención del aborto terapéutico</w:t>
        </w:r>
      </w:hyperlink>
      <w:r w:rsidRPr="00E1438C">
        <w:rPr>
          <w:lang w:val="es-PE"/>
        </w:rPr>
        <w:t xml:space="preserve"> del Instituto Nacional Materno Perinatal del Ministerio de Salud que considera el daño a la salud mental ocasionado por ser víctima de violación sexual o porque el feto es incompatible con la vida como patologías que ponen en riesgo la vida o la salud de la persona gestante. </w:t>
      </w:r>
    </w:p>
    <w:p w14:paraId="00000020" w14:textId="77777777" w:rsidR="00A25DA4" w:rsidRPr="00E1438C" w:rsidRDefault="00000000">
      <w:pPr>
        <w:spacing w:before="240" w:after="240"/>
        <w:jc w:val="both"/>
        <w:rPr>
          <w:lang w:val="es-PE"/>
        </w:rPr>
      </w:pPr>
      <w:r w:rsidRPr="00E1438C">
        <w:rPr>
          <w:lang w:val="es-PE"/>
        </w:rPr>
        <w:lastRenderedPageBreak/>
        <w:t>Aunque el marco regulatorio permite a las gestantes, particularmente a niñas y adolescentes, solicitar un aborto terapéutico bajo diversas causales, el personal de las Juntas Médicas encargadas de aprobar estos procedimientos frecuentemente muestra reticencia para autorizarlos. Esta resistencia, que a menudo se basa en consideraciones de carácter religioso o moral, afecta directamente el acceso a este derecho y puede poner en riesgo la salud y el bienestar de las niñas y adolescentes gestantes.</w:t>
      </w:r>
    </w:p>
    <w:p w14:paraId="00000021" w14:textId="77777777" w:rsidR="00A25DA4" w:rsidRPr="00E1438C" w:rsidRDefault="00000000">
      <w:pPr>
        <w:spacing w:before="240" w:after="240"/>
        <w:jc w:val="both"/>
        <w:rPr>
          <w:lang w:val="es-PE"/>
        </w:rPr>
      </w:pPr>
      <w:r w:rsidRPr="00E1438C">
        <w:rPr>
          <w:lang w:val="es-PE"/>
        </w:rPr>
        <w:t>Dos casos mediáticos recientes permiten ilustrar el problema. El primero es el caso de “Mila”, embarazada producto del abuso que sufría desde los 7 años en manos de su padrastro. Pese a su condición de niña y los riesgos que el embarazo implica para alguien de su edad, el 4 de agosto de 2023, la Junta Médica del Hospital Regional de Loreto le negó a Mila el acceso al aborto terapéutico, argumentando que no consideraban necesario proceder con el aborto. Solo gracias a la visibilidad nacional e internacional que tomó el caso, la niña logró ser trasladada a Lima, donde la Junta Médica del Instituto Materno Perinatal aprobó finalmente el procedimiento</w:t>
      </w:r>
      <w:r>
        <w:rPr>
          <w:vertAlign w:val="superscript"/>
        </w:rPr>
        <w:footnoteReference w:id="2"/>
      </w:r>
      <w:r w:rsidRPr="00E1438C">
        <w:rPr>
          <w:lang w:val="es-PE"/>
        </w:rPr>
        <w:t xml:space="preserve">. </w:t>
      </w:r>
    </w:p>
    <w:p w14:paraId="00000022" w14:textId="77777777" w:rsidR="00A25DA4" w:rsidRPr="00E1438C" w:rsidRDefault="00000000">
      <w:pPr>
        <w:spacing w:before="240" w:after="240"/>
        <w:jc w:val="both"/>
        <w:rPr>
          <w:lang w:val="es-PE"/>
        </w:rPr>
      </w:pPr>
      <w:r w:rsidRPr="00E1438C">
        <w:rPr>
          <w:lang w:val="es-PE"/>
        </w:rPr>
        <w:t>El segundo caso es el de una menor cusqueña de 12 años, también embarazada producto de violación sexual. Mila tuvo que ser trasladada desde la localidad de Echarate hasta la ciudad de Cusco para poder solicitar el aborto terapéutico. En el Hospital Antonio Lorena de Cusco, la Junta Médica dilató innecesariamente la etapa decisoria del procedimiento, alegando la falta de elementos suficientes para determinar la viabilidad del aborto</w:t>
      </w:r>
      <w:r>
        <w:rPr>
          <w:vertAlign w:val="superscript"/>
        </w:rPr>
        <w:footnoteReference w:id="3"/>
      </w:r>
      <w:r w:rsidRPr="00E1438C">
        <w:rPr>
          <w:lang w:val="es-PE"/>
        </w:rPr>
        <w:t xml:space="preserve">. Durante este tiempo, el </w:t>
      </w:r>
      <w:proofErr w:type="gramStart"/>
      <w:r w:rsidRPr="00E1438C">
        <w:rPr>
          <w:lang w:val="es-PE"/>
        </w:rPr>
        <w:t>Director</w:t>
      </w:r>
      <w:proofErr w:type="gramEnd"/>
      <w:r w:rsidRPr="00E1438C">
        <w:rPr>
          <w:lang w:val="es-PE"/>
        </w:rPr>
        <w:t xml:space="preserve"> del Hospital autorizó la entrada de representantes de Lumen Dei, una organización religiosa vinculada al Opus Dei, que tenía como objetivo presionar a Mila y a su madre para que continuaran con el embarazo. La indignación de la sociedad civil logró que finalmente se autorice el procedimiento. </w:t>
      </w:r>
    </w:p>
    <w:p w14:paraId="00000024" w14:textId="46ED9028" w:rsidR="00A25DA4" w:rsidRPr="00E1438C" w:rsidRDefault="00000000" w:rsidP="00E1438C">
      <w:pPr>
        <w:spacing w:before="240" w:after="240"/>
        <w:jc w:val="both"/>
        <w:rPr>
          <w:lang w:val="es-PE"/>
        </w:rPr>
      </w:pPr>
      <w:r w:rsidRPr="00E1438C">
        <w:rPr>
          <w:lang w:val="es-PE"/>
        </w:rPr>
        <w:t xml:space="preserve">Lamentablemente, no todos los casos alcanzan la misma visibilidad ni los </w:t>
      </w:r>
      <w:proofErr w:type="gramStart"/>
      <w:r w:rsidRPr="00E1438C">
        <w:rPr>
          <w:lang w:val="es-PE"/>
        </w:rPr>
        <w:t>mismo resultados</w:t>
      </w:r>
      <w:proofErr w:type="gramEnd"/>
      <w:r w:rsidRPr="00E1438C">
        <w:rPr>
          <w:lang w:val="es-PE"/>
        </w:rPr>
        <w:t>. Según el reporte de Ojo Público (2023), solo dos niñas menores de 11 años pudieron acceder al aborto terapéutico entre los años 2003 y 2022</w:t>
      </w:r>
      <w:r>
        <w:rPr>
          <w:vertAlign w:val="superscript"/>
        </w:rPr>
        <w:footnoteReference w:id="4"/>
      </w:r>
      <w:r w:rsidRPr="00E1438C">
        <w:rPr>
          <w:lang w:val="es-PE"/>
        </w:rPr>
        <w:t xml:space="preserve">. </w:t>
      </w:r>
    </w:p>
    <w:p w14:paraId="00000025" w14:textId="77777777" w:rsidR="00A25DA4" w:rsidRPr="00E1438C" w:rsidRDefault="00000000" w:rsidP="00E1438C">
      <w:pPr>
        <w:pStyle w:val="Heading1"/>
        <w:numPr>
          <w:ilvl w:val="0"/>
          <w:numId w:val="3"/>
        </w:numPr>
        <w:rPr>
          <w:b/>
          <w:sz w:val="22"/>
          <w:szCs w:val="22"/>
        </w:rPr>
      </w:pPr>
      <w:bookmarkStart w:id="2" w:name="_Toc173415831"/>
      <w:proofErr w:type="spellStart"/>
      <w:r w:rsidRPr="00E1438C">
        <w:rPr>
          <w:b/>
          <w:sz w:val="22"/>
          <w:szCs w:val="22"/>
        </w:rPr>
        <w:t>Embarazo</w:t>
      </w:r>
      <w:proofErr w:type="spellEnd"/>
      <w:r w:rsidRPr="00E1438C">
        <w:rPr>
          <w:b/>
          <w:sz w:val="22"/>
          <w:szCs w:val="22"/>
        </w:rPr>
        <w:t xml:space="preserve"> </w:t>
      </w:r>
      <w:proofErr w:type="spellStart"/>
      <w:r w:rsidRPr="00E1438C">
        <w:rPr>
          <w:b/>
          <w:sz w:val="22"/>
          <w:szCs w:val="22"/>
        </w:rPr>
        <w:t>infantil</w:t>
      </w:r>
      <w:proofErr w:type="spellEnd"/>
      <w:r w:rsidRPr="00E1438C">
        <w:rPr>
          <w:b/>
          <w:sz w:val="22"/>
          <w:szCs w:val="22"/>
        </w:rPr>
        <w:t xml:space="preserve"> y </w:t>
      </w:r>
      <w:proofErr w:type="spellStart"/>
      <w:r w:rsidRPr="00E1438C">
        <w:rPr>
          <w:b/>
          <w:sz w:val="22"/>
          <w:szCs w:val="22"/>
        </w:rPr>
        <w:t>adolescente</w:t>
      </w:r>
      <w:bookmarkEnd w:id="2"/>
      <w:proofErr w:type="spellEnd"/>
    </w:p>
    <w:p w14:paraId="00000026" w14:textId="77777777" w:rsidR="00A25DA4" w:rsidRPr="00E1438C" w:rsidRDefault="00000000">
      <w:pPr>
        <w:pBdr>
          <w:top w:val="nil"/>
          <w:left w:val="nil"/>
          <w:bottom w:val="nil"/>
          <w:right w:val="nil"/>
          <w:between w:val="nil"/>
        </w:pBdr>
        <w:spacing w:before="240" w:after="240"/>
        <w:jc w:val="both"/>
        <w:rPr>
          <w:lang w:val="es-PE"/>
        </w:rPr>
      </w:pPr>
      <w:r w:rsidRPr="00E1438C">
        <w:rPr>
          <w:lang w:val="es-PE"/>
        </w:rPr>
        <w:t>El Sistema de Registro del Certificado de Nacido Vivo del Ministerio de Salud</w:t>
      </w:r>
      <w:r>
        <w:rPr>
          <w:vertAlign w:val="superscript"/>
        </w:rPr>
        <w:footnoteReference w:id="5"/>
      </w:r>
      <w:r w:rsidRPr="00E1438C">
        <w:rPr>
          <w:lang w:val="es-PE"/>
        </w:rPr>
        <w:t xml:space="preserve"> reporta que, entre 2017 y 2023, se registraron un total de 53 nacimientos de bebés provenientes de niñas menores de 10 años. El año 2020, marcado por el confinamiento debido a la pandemia de COVID-19, destaca con 22 nacimientos, la cifra más alta en ese </w:t>
      </w:r>
      <w:proofErr w:type="spellStart"/>
      <w:proofErr w:type="gramStart"/>
      <w:r w:rsidRPr="00E1438C">
        <w:rPr>
          <w:lang w:val="es-PE"/>
        </w:rPr>
        <w:t>período.En</w:t>
      </w:r>
      <w:proofErr w:type="spellEnd"/>
      <w:proofErr w:type="gramEnd"/>
      <w:r w:rsidRPr="00E1438C">
        <w:rPr>
          <w:lang w:val="es-PE"/>
        </w:rPr>
        <w:t xml:space="preserve"> cuanto a las niñas de entre 11 </w:t>
      </w:r>
      <w:r w:rsidRPr="00E1438C">
        <w:rPr>
          <w:lang w:val="es-PE"/>
        </w:rPr>
        <w:lastRenderedPageBreak/>
        <w:t>y 14 años, se registraron 10,009 nacimientos durante el mismo intervalo de tiempo. Por otro lado, se han registrado 370,261 nacimientos de bebés de adolescentes de entre 15 y 19 años.</w:t>
      </w:r>
    </w:p>
    <w:p w14:paraId="01950C6B" w14:textId="77777777" w:rsidR="00E1438C" w:rsidRDefault="00000000" w:rsidP="00E1438C">
      <w:pPr>
        <w:pBdr>
          <w:top w:val="nil"/>
          <w:left w:val="nil"/>
          <w:bottom w:val="nil"/>
          <w:right w:val="nil"/>
          <w:between w:val="nil"/>
        </w:pBdr>
        <w:spacing w:before="240" w:after="240"/>
        <w:jc w:val="both"/>
        <w:rPr>
          <w:lang w:val="es-PE"/>
        </w:rPr>
      </w:pPr>
      <w:r w:rsidRPr="00E1438C">
        <w:rPr>
          <w:lang w:val="es-PE"/>
        </w:rPr>
        <w:t>Dada la normativa vigente en materia de indemnidad sexual y consentimiento, se determina que los 10,062 nacimientos de bebés provenientes de niñas menores de 14 años fueron en su mayoría el resultado de violaciones sexuales. La falta de una normativa que garantice el acceso al aborto en casos de violación sexual obligó a más de 10,000 niñas peruanas a llevar a término embarazos que representaban un grave riesgo para su vida y salud.</w:t>
      </w:r>
    </w:p>
    <w:p w14:paraId="00000028" w14:textId="611BC658" w:rsidR="00A25DA4" w:rsidRDefault="00000000" w:rsidP="00E1438C">
      <w:pPr>
        <w:pBdr>
          <w:top w:val="nil"/>
          <w:left w:val="nil"/>
          <w:bottom w:val="nil"/>
          <w:right w:val="nil"/>
          <w:between w:val="nil"/>
        </w:pBdr>
        <w:spacing w:before="240" w:after="240"/>
        <w:jc w:val="both"/>
        <w:rPr>
          <w:lang w:val="es-PE"/>
        </w:rPr>
      </w:pPr>
      <w:r w:rsidRPr="00E1438C">
        <w:rPr>
          <w:lang w:val="es-PE"/>
        </w:rPr>
        <w:t xml:space="preserve">Además, es crucial señalar </w:t>
      </w:r>
      <w:proofErr w:type="gramStart"/>
      <w:r w:rsidRPr="00E1438C">
        <w:rPr>
          <w:lang w:val="es-PE"/>
        </w:rPr>
        <w:t>que</w:t>
      </w:r>
      <w:proofErr w:type="gramEnd"/>
      <w:r w:rsidRPr="00E1438C">
        <w:rPr>
          <w:lang w:val="es-PE"/>
        </w:rPr>
        <w:t xml:space="preserve"> en el mismo período, 143 niñas y adolescentes menores de 17 años fallecieron debido a complicaciones asociadas a estos embarazos</w:t>
      </w:r>
      <w:r>
        <w:rPr>
          <w:vertAlign w:val="superscript"/>
        </w:rPr>
        <w:footnoteReference w:id="6"/>
      </w:r>
      <w:r w:rsidRPr="00E1438C">
        <w:rPr>
          <w:lang w:val="es-PE"/>
        </w:rPr>
        <w:t>. Estos datos reflejan una situación alarmante que resalta la necesidad urgente de reformas en la normativa para proteger adecuadamente a las menores víctimas de violencia sexual.</w:t>
      </w:r>
    </w:p>
    <w:p w14:paraId="6F8F682E" w14:textId="77777777" w:rsidR="00E1438C" w:rsidRPr="00E1438C" w:rsidRDefault="00E1438C">
      <w:pPr>
        <w:pBdr>
          <w:top w:val="nil"/>
          <w:left w:val="nil"/>
          <w:bottom w:val="nil"/>
          <w:right w:val="nil"/>
          <w:between w:val="nil"/>
        </w:pBdr>
        <w:jc w:val="both"/>
        <w:rPr>
          <w:lang w:val="es-PE"/>
        </w:rPr>
      </w:pPr>
    </w:p>
    <w:p w14:paraId="0000002B" w14:textId="77777777" w:rsidR="00A25DA4" w:rsidRDefault="00000000" w:rsidP="00E1438C">
      <w:pPr>
        <w:pStyle w:val="Heading1"/>
        <w:numPr>
          <w:ilvl w:val="0"/>
          <w:numId w:val="3"/>
        </w:numPr>
        <w:spacing w:before="0" w:after="0"/>
        <w:rPr>
          <w:b/>
          <w:sz w:val="22"/>
          <w:szCs w:val="22"/>
        </w:rPr>
      </w:pPr>
      <w:bookmarkStart w:id="3" w:name="_Toc173415832"/>
      <w:proofErr w:type="spellStart"/>
      <w:r w:rsidRPr="00E1438C">
        <w:rPr>
          <w:b/>
          <w:sz w:val="22"/>
          <w:szCs w:val="22"/>
        </w:rPr>
        <w:t>Aborto</w:t>
      </w:r>
      <w:bookmarkEnd w:id="3"/>
      <w:proofErr w:type="spellEnd"/>
    </w:p>
    <w:p w14:paraId="6FE27562" w14:textId="77777777" w:rsidR="00E1438C" w:rsidRPr="00E1438C" w:rsidRDefault="00E1438C" w:rsidP="00E1438C"/>
    <w:p w14:paraId="0000002C" w14:textId="77777777" w:rsidR="00A25DA4" w:rsidRPr="00E1438C" w:rsidRDefault="00000000">
      <w:pPr>
        <w:pBdr>
          <w:top w:val="nil"/>
          <w:left w:val="nil"/>
          <w:bottom w:val="nil"/>
          <w:right w:val="nil"/>
          <w:between w:val="nil"/>
        </w:pBdr>
        <w:spacing w:before="240" w:after="240"/>
        <w:jc w:val="both"/>
        <w:rPr>
          <w:lang w:val="es-PE"/>
        </w:rPr>
      </w:pPr>
      <w:r w:rsidRPr="00E1438C">
        <w:rPr>
          <w:lang w:val="es-PE"/>
        </w:rPr>
        <w:t>De acuerdo al Estudio “Nacer con útero: Efectos de la criminalización del aborto en el Perú”</w:t>
      </w:r>
      <w:r>
        <w:rPr>
          <w:vertAlign w:val="superscript"/>
        </w:rPr>
        <w:footnoteReference w:id="7"/>
      </w:r>
      <w:r w:rsidRPr="00E1438C">
        <w:rPr>
          <w:lang w:val="es-PE"/>
        </w:rPr>
        <w:t>, entre 2016 y 2021, se registraron 13,825 casos de niñas y adolescentes (mujeres de hasta 17 años) que abortaron y fueron atendidas en establecimientos del sistema de salud del Ministerio de Salud o de EsSalud. En términos de distribución regional, Lima sigue siendo la región con el mayor número de casos (3,054), seguida de Junín (918), San Martín (889) y Loreto (889). A diferencia de Lima y Junín, que son regiones densamente pobladas, San Martín y Loreto tienen menos densidad poblacional, pero presentan altos registros de abortos en niñas y adolescentes. Por otro lado, regiones como Moquegua (57), Pasco (88), Tacna (99), Madre de Dios (158), Apurímac (185), Tumbes (193), Huancavelica (236) y Puno (276) reportan los menores números de abortos. Notablemente, Puno, aunque es una de las regiones más pobladas, tiene una tasa baja de abortos en comparación con San Martín y Loreto.</w:t>
      </w:r>
    </w:p>
    <w:p w14:paraId="0000002D" w14:textId="77777777" w:rsidR="00A25DA4" w:rsidRPr="00E1438C" w:rsidRDefault="00000000">
      <w:pPr>
        <w:pBdr>
          <w:top w:val="nil"/>
          <w:left w:val="nil"/>
          <w:bottom w:val="nil"/>
          <w:right w:val="nil"/>
          <w:between w:val="nil"/>
        </w:pBdr>
        <w:spacing w:before="240" w:after="240"/>
        <w:jc w:val="both"/>
        <w:rPr>
          <w:lang w:val="es-PE"/>
        </w:rPr>
      </w:pPr>
      <w:r w:rsidRPr="00E1438C">
        <w:rPr>
          <w:lang w:val="es-PE"/>
        </w:rPr>
        <w:t>De acuerdo a la data del Ministerio de Salud, de los 52 casos en niñas y niños de 0 a 11 años, el 65.4% correspondió a abortos espontáneos, el 30.8% a abortos no especificados, y el 1.9% a abortos médicos. Entre las adolescentes de 12 a 17 años, de los 11,910 casos, el 53.5% fueron abortos espontáneos, el 42.1% abortos no especificados, el 2.3% otros tipos de aborto, y tanto los abortos médicos como las complicaciones posteriores al aborto representaron el 1% cada uno.</w:t>
      </w:r>
    </w:p>
    <w:p w14:paraId="0000002F" w14:textId="3CADCBF6" w:rsidR="00A25DA4" w:rsidRDefault="00000000" w:rsidP="00E1438C">
      <w:pPr>
        <w:pBdr>
          <w:top w:val="nil"/>
          <w:left w:val="nil"/>
          <w:bottom w:val="nil"/>
          <w:right w:val="nil"/>
          <w:between w:val="nil"/>
        </w:pBdr>
        <w:jc w:val="both"/>
        <w:rPr>
          <w:lang w:val="es-PE"/>
        </w:rPr>
      </w:pPr>
      <w:r w:rsidRPr="00E1438C">
        <w:rPr>
          <w:lang w:val="es-PE"/>
        </w:rPr>
        <w:t xml:space="preserve">Es necesario señalar que, dado que el aborto es considerado un delito en el Perú, todos los casos en los que no se pueden identificar las causas del aborto son reportados por el personal médico a las autoridades, y están sujetos a investigación y sanción, incluso cuando involucran a </w:t>
      </w:r>
      <w:r w:rsidRPr="00E1438C">
        <w:rPr>
          <w:lang w:val="es-PE"/>
        </w:rPr>
        <w:lastRenderedPageBreak/>
        <w:t>niñas y adolescentes. Esta práctica vulnera el derecho a la vida privada, a la salud y a la protección especial de niñas y adolescentes que buscan atención médica en situaciones de emergencia obstétrica, poniendo en riesgo su vida e integridad.</w:t>
      </w:r>
    </w:p>
    <w:p w14:paraId="74FA03B6" w14:textId="77777777" w:rsidR="00E1438C" w:rsidRDefault="00E1438C" w:rsidP="00E1438C">
      <w:pPr>
        <w:pBdr>
          <w:top w:val="nil"/>
          <w:left w:val="nil"/>
          <w:bottom w:val="nil"/>
          <w:right w:val="nil"/>
          <w:between w:val="nil"/>
        </w:pBdr>
        <w:jc w:val="both"/>
        <w:rPr>
          <w:lang w:val="es-PE"/>
        </w:rPr>
      </w:pPr>
    </w:p>
    <w:p w14:paraId="44EEF569" w14:textId="77777777" w:rsidR="00E1438C" w:rsidRPr="00E1438C" w:rsidRDefault="00E1438C" w:rsidP="00E1438C">
      <w:pPr>
        <w:pBdr>
          <w:top w:val="nil"/>
          <w:left w:val="nil"/>
          <w:bottom w:val="nil"/>
          <w:right w:val="nil"/>
          <w:between w:val="nil"/>
        </w:pBdr>
        <w:jc w:val="both"/>
        <w:rPr>
          <w:lang w:val="es-PE"/>
        </w:rPr>
      </w:pPr>
    </w:p>
    <w:p w14:paraId="00000030" w14:textId="77777777" w:rsidR="00A25DA4" w:rsidRPr="00E1438C" w:rsidRDefault="00000000" w:rsidP="00E1438C">
      <w:pPr>
        <w:pStyle w:val="Heading1"/>
        <w:numPr>
          <w:ilvl w:val="0"/>
          <w:numId w:val="3"/>
        </w:numPr>
        <w:spacing w:before="0" w:after="0"/>
        <w:rPr>
          <w:b/>
          <w:sz w:val="22"/>
          <w:szCs w:val="22"/>
        </w:rPr>
      </w:pPr>
      <w:bookmarkStart w:id="4" w:name="_Toc173415833"/>
      <w:proofErr w:type="spellStart"/>
      <w:r w:rsidRPr="00E1438C">
        <w:rPr>
          <w:b/>
          <w:sz w:val="22"/>
          <w:szCs w:val="22"/>
        </w:rPr>
        <w:t>Criminalización</w:t>
      </w:r>
      <w:proofErr w:type="spellEnd"/>
      <w:r w:rsidRPr="00E1438C">
        <w:rPr>
          <w:b/>
          <w:sz w:val="22"/>
          <w:szCs w:val="22"/>
        </w:rPr>
        <w:t xml:space="preserve"> del </w:t>
      </w:r>
      <w:proofErr w:type="spellStart"/>
      <w:r w:rsidRPr="00E1438C">
        <w:rPr>
          <w:b/>
          <w:sz w:val="22"/>
          <w:szCs w:val="22"/>
        </w:rPr>
        <w:t>aborto</w:t>
      </w:r>
      <w:bookmarkEnd w:id="4"/>
      <w:proofErr w:type="spellEnd"/>
    </w:p>
    <w:p w14:paraId="00000031" w14:textId="77777777" w:rsidR="00A25DA4" w:rsidRPr="00E1438C" w:rsidRDefault="00000000">
      <w:pPr>
        <w:pBdr>
          <w:top w:val="nil"/>
          <w:left w:val="nil"/>
          <w:bottom w:val="nil"/>
          <w:right w:val="nil"/>
          <w:between w:val="nil"/>
        </w:pBdr>
        <w:spacing w:before="240" w:after="240"/>
        <w:jc w:val="both"/>
        <w:rPr>
          <w:lang w:val="es-PE"/>
        </w:rPr>
      </w:pPr>
      <w:r w:rsidRPr="00E1438C">
        <w:rPr>
          <w:lang w:val="es-PE"/>
        </w:rPr>
        <w:t>La criminalización es un proceso complejo mediante el cual se atribuye un estatus criminal a ciertos grupos de personas, no solo a través de leyes formales, sino también mediante normas sociales y prácticas institucionales. Este fenómeno trasciende el ámbito judicial, permeando profundamente la estructura social y cultural de una sociedad. En el contexto del aborto, la criminalización implica considerar como delincuentes a quienes se someten a un aborto, incluyendo a niñas y adolescentes, independientemente de las circunstancias en las que se encuentren.</w:t>
      </w:r>
    </w:p>
    <w:p w14:paraId="00000032" w14:textId="77777777" w:rsidR="00A25DA4" w:rsidRPr="00E1438C" w:rsidRDefault="00000000">
      <w:pPr>
        <w:spacing w:before="240" w:after="240"/>
        <w:jc w:val="both"/>
        <w:rPr>
          <w:lang w:val="es-PE"/>
        </w:rPr>
      </w:pPr>
      <w:r w:rsidRPr="00E1438C">
        <w:rPr>
          <w:lang w:val="es-PE"/>
        </w:rPr>
        <w:t xml:space="preserve">Según el estudio realizado por Proyecta Igualdad y </w:t>
      </w:r>
      <w:proofErr w:type="spellStart"/>
      <w:r w:rsidRPr="00E1438C">
        <w:rPr>
          <w:lang w:val="es-PE"/>
        </w:rPr>
        <w:t>Chakakuna</w:t>
      </w:r>
      <w:proofErr w:type="spellEnd"/>
      <w:r w:rsidRPr="00E1438C">
        <w:rPr>
          <w:lang w:val="es-PE"/>
        </w:rPr>
        <w:t xml:space="preserve"> MD en 2022, en Perú se registran anualmente más de 52,000 casos de aborto atendidos en establecimientos públicos de salud, de los cuales cerca de 3,000 corresponden a niñas y adolescentes. Durante estas atenciones médicas, se han documentado diversas formas de violencia obstétrica, estigmatización e incluso, criminalización de las pacientes.</w:t>
      </w:r>
    </w:p>
    <w:p w14:paraId="00000033" w14:textId="77777777" w:rsidR="00A25DA4" w:rsidRPr="00E1438C" w:rsidRDefault="00000000">
      <w:pPr>
        <w:spacing w:before="240" w:after="240"/>
        <w:jc w:val="both"/>
        <w:rPr>
          <w:lang w:val="es-PE"/>
        </w:rPr>
      </w:pPr>
      <w:r w:rsidRPr="00E1438C">
        <w:rPr>
          <w:lang w:val="es-PE"/>
        </w:rPr>
        <w:t>Los testimonios recabados indican que la criminalización del aborto se manifiesta en gran medida a través del personal de salud, incluyendo médicos, enfermeras y otros profesionales. Este personal no solo cuestiona y juzga a las mujeres y personas gestantes, sino que también las amenaza con denunciarlas ante las autoridades o, en algunos casos, realiza las denuncias efectivamente. Estas acciones se justifican bajo el pretexto del artículo 30 de la Ley General de Salud, en detrimento de los derechos fundamentales a la salud, la confidencialidad de la atención y el secreto profesional. Los hallazgos del estudio confirman que la persecución penal del aborto comienza principalmente en los establecimientos de salud.</w:t>
      </w:r>
    </w:p>
    <w:p w14:paraId="00000034" w14:textId="77777777" w:rsidR="00A25DA4" w:rsidRPr="00E1438C" w:rsidRDefault="00000000">
      <w:pPr>
        <w:spacing w:before="240" w:after="240"/>
        <w:jc w:val="both"/>
        <w:rPr>
          <w:lang w:val="es-PE"/>
        </w:rPr>
      </w:pPr>
      <w:r w:rsidRPr="00E1438C">
        <w:rPr>
          <w:lang w:val="es-PE"/>
        </w:rPr>
        <w:t>En términos de persecución penal, cada año se reportan más de 184 casos de denuncias policiales por aborto y más de 633 casos de investigaciones fiscales, lo que demuestra que la persecución penal del aborto es una realidad cotidiana. Lo más preocupante es que las investigaciones se siguen iniciando incluso en casos de aborto terapéutico, el cual debería ser considerado no punible. Entre las formas más graves de criminalización se incluyen los interrogatorios llevados a cabo por personal de la Policía Nacional del Perú (PNP) o del Ministerio Público (MPFN) en los establecimientos de salud públicos. Se ha informado que, en algunos casos extremos, se obliga a las pacientes a mirar al feto durante el interrogatorio, con la intención de obtener una supuesta “confesión”.</w:t>
      </w:r>
    </w:p>
    <w:p w14:paraId="00000035" w14:textId="77777777" w:rsidR="00A25DA4" w:rsidRPr="00E1438C" w:rsidRDefault="00000000" w:rsidP="00E1438C">
      <w:pPr>
        <w:pStyle w:val="Heading1"/>
        <w:numPr>
          <w:ilvl w:val="1"/>
          <w:numId w:val="3"/>
        </w:numPr>
        <w:spacing w:before="0" w:after="0"/>
        <w:ind w:left="284" w:hanging="284"/>
        <w:rPr>
          <w:b/>
          <w:sz w:val="22"/>
          <w:szCs w:val="22"/>
        </w:rPr>
      </w:pPr>
      <w:bookmarkStart w:id="5" w:name="_Toc173415834"/>
      <w:proofErr w:type="spellStart"/>
      <w:r w:rsidRPr="00E1438C">
        <w:rPr>
          <w:b/>
          <w:sz w:val="22"/>
          <w:szCs w:val="22"/>
        </w:rPr>
        <w:t>Criminalización</w:t>
      </w:r>
      <w:proofErr w:type="spellEnd"/>
      <w:r w:rsidRPr="00E1438C">
        <w:rPr>
          <w:b/>
          <w:sz w:val="22"/>
          <w:szCs w:val="22"/>
        </w:rPr>
        <w:t xml:space="preserve"> de </w:t>
      </w:r>
      <w:proofErr w:type="spellStart"/>
      <w:r w:rsidRPr="00E1438C">
        <w:rPr>
          <w:b/>
          <w:sz w:val="22"/>
          <w:szCs w:val="22"/>
        </w:rPr>
        <w:t>niñas</w:t>
      </w:r>
      <w:proofErr w:type="spellEnd"/>
      <w:r w:rsidRPr="00E1438C">
        <w:rPr>
          <w:b/>
          <w:sz w:val="22"/>
          <w:szCs w:val="22"/>
        </w:rPr>
        <w:t xml:space="preserve"> y </w:t>
      </w:r>
      <w:proofErr w:type="spellStart"/>
      <w:r w:rsidRPr="00E1438C">
        <w:rPr>
          <w:b/>
          <w:sz w:val="22"/>
          <w:szCs w:val="22"/>
        </w:rPr>
        <w:t>adolescentes</w:t>
      </w:r>
      <w:bookmarkEnd w:id="5"/>
      <w:proofErr w:type="spellEnd"/>
    </w:p>
    <w:p w14:paraId="00000036" w14:textId="77777777" w:rsidR="00A25DA4" w:rsidRPr="00E1438C" w:rsidRDefault="00000000" w:rsidP="00E1438C">
      <w:pPr>
        <w:spacing w:before="240" w:after="240"/>
        <w:jc w:val="both"/>
        <w:rPr>
          <w:lang w:val="es-PE"/>
        </w:rPr>
      </w:pPr>
      <w:r w:rsidRPr="00E1438C">
        <w:rPr>
          <w:lang w:val="es-PE"/>
        </w:rPr>
        <w:t xml:space="preserve">La normativa peruana sanciona cualquier forma de aborto que no se realice en establecimientos de salud conforme a las directrices de la Guía Técnica Nacional para la Estandarización del Procedimiento de Interrupción Voluntaria del Embarazo por Indicación Terapéutica. Como </w:t>
      </w:r>
      <w:r w:rsidRPr="00E1438C">
        <w:rPr>
          <w:lang w:val="es-PE"/>
        </w:rPr>
        <w:lastRenderedPageBreak/>
        <w:t xml:space="preserve">resultado, además de enfrentar actitudes hostiles por parte del personal médico o educativo a su cargo, las niñas y adolescentes que presenten signos de haber abortado pueden ser investigadas e incluso sancionadas por el sistema de justicia, al ser consideradas infractoras de la ley penal. </w:t>
      </w:r>
    </w:p>
    <w:p w14:paraId="00000037" w14:textId="77777777" w:rsidR="00A25DA4" w:rsidRPr="00E1438C" w:rsidRDefault="00000000" w:rsidP="00E1438C">
      <w:pPr>
        <w:pBdr>
          <w:top w:val="nil"/>
          <w:left w:val="nil"/>
          <w:bottom w:val="nil"/>
          <w:right w:val="nil"/>
          <w:between w:val="nil"/>
        </w:pBdr>
        <w:spacing w:before="240" w:after="240"/>
        <w:jc w:val="both"/>
        <w:rPr>
          <w:lang w:val="es-PE"/>
        </w:rPr>
      </w:pPr>
      <w:r w:rsidRPr="00E1438C">
        <w:rPr>
          <w:lang w:val="es-PE"/>
        </w:rPr>
        <w:t>En este tipo de casos, la justicia peruana aplica los regímenes establecidos por el artículo 242 del Código de los Niños y Adolescentes (Ley 27337) para niñas menores de 14 años, y el Código de Responsabilidad Penal Adolescente para aquellos de entre 14 y 18 años. Es importante destacar que, a pesar de la existencia de regímenes diferenciados para menores de edad, el proceso de investigación llevado a cabo por la Fiscalía de Familia resulta ser tan adversarial y revictimizante como el de cualquier Fiscalía Penal.</w:t>
      </w:r>
    </w:p>
    <w:p w14:paraId="00000038" w14:textId="77777777" w:rsidR="00A25DA4" w:rsidRPr="00E1438C" w:rsidRDefault="00000000" w:rsidP="00E1438C">
      <w:pPr>
        <w:pBdr>
          <w:top w:val="nil"/>
          <w:left w:val="nil"/>
          <w:bottom w:val="nil"/>
          <w:right w:val="nil"/>
          <w:between w:val="nil"/>
        </w:pBdr>
        <w:spacing w:before="240" w:after="240"/>
        <w:jc w:val="both"/>
        <w:rPr>
          <w:lang w:val="es-PE"/>
        </w:rPr>
      </w:pPr>
      <w:r w:rsidRPr="00E1438C">
        <w:rPr>
          <w:lang w:val="es-PE"/>
        </w:rPr>
        <w:t xml:space="preserve">Un ejemplo claro de esta situación es el caso de N.E.A.D., que recientemente reportamos ante el mecanismo de procedimientos especiales. N.E.A.D. es una niña de 11 años que quedó embarazada como resultado de una violación sexual. En febrero de este año, la niña y su madre acudieron a un establecimiento de salud privado y luego a un hospital público en busca de atención médica para tratar el sangrado vaginal que sufría. En lugar de tratar a la menor como una víctima de violación sexual, el personal médico informó los hechos a la policía como un caso de aborto. Esto llevó a que la menor sufriera maltrato tanto por parte del personal médico como del policial, siendo interrogada hasta en ocho ocasiones pese a que su salud mental se encontraba visiblemente resquebrajada. N.E.A.D. no sólo tuvo que enfrentar ser investigada por la Primera </w:t>
      </w:r>
      <w:proofErr w:type="gramStart"/>
      <w:r w:rsidRPr="00E1438C">
        <w:rPr>
          <w:lang w:val="es-PE"/>
        </w:rPr>
        <w:t>Fiscalía Provincial</w:t>
      </w:r>
      <w:proofErr w:type="gramEnd"/>
      <w:r w:rsidRPr="00E1438C">
        <w:rPr>
          <w:lang w:val="es-PE"/>
        </w:rPr>
        <w:t xml:space="preserve"> de Familia de Abancay, sino también que su identidad fuera revelada en el curso de las investigaciones, lo que generó serios problemas a nivel familiar y comunitario. Después de un mes de diligencias, la Fiscalía determinó que la investigación del delito de </w:t>
      </w:r>
      <w:proofErr w:type="spellStart"/>
      <w:r w:rsidRPr="00E1438C">
        <w:rPr>
          <w:lang w:val="es-PE"/>
        </w:rPr>
        <w:t>autoaborto</w:t>
      </w:r>
      <w:proofErr w:type="spellEnd"/>
      <w:r w:rsidRPr="00E1438C">
        <w:rPr>
          <w:lang w:val="es-PE"/>
        </w:rPr>
        <w:t xml:space="preserve"> carecía de sustento y decidió archivar el caso. Es importante destacar que, mientras las investigaciones por el supuesto delito de </w:t>
      </w:r>
      <w:proofErr w:type="spellStart"/>
      <w:r w:rsidRPr="00E1438C">
        <w:rPr>
          <w:lang w:val="es-PE"/>
        </w:rPr>
        <w:t>autoaborto</w:t>
      </w:r>
      <w:proofErr w:type="spellEnd"/>
      <w:r w:rsidRPr="00E1438C">
        <w:rPr>
          <w:lang w:val="es-PE"/>
        </w:rPr>
        <w:t xml:space="preserve"> comenzaron el mismo día en que N.E.A.D. llegó al establecimiento de salud, las investigaciones por la violación sexual no se iniciaron hasta el 6 de marzo, cuando la madre de N.E.A.D. se acercó a la comisaría para denunciar los hechos. Esto se debió a que, por un lado, se priorizó la investigación por aborto y, por otro, ni el personal de salud ni el personal policial consideraron relevante o necesario sentar la denuncia por violación sexual previamente.</w:t>
      </w:r>
    </w:p>
    <w:p w14:paraId="00000039" w14:textId="77777777" w:rsidR="00A25DA4" w:rsidRDefault="00000000" w:rsidP="00E1438C">
      <w:pPr>
        <w:pBdr>
          <w:top w:val="nil"/>
          <w:left w:val="nil"/>
          <w:bottom w:val="nil"/>
          <w:right w:val="nil"/>
          <w:between w:val="nil"/>
        </w:pBdr>
        <w:spacing w:before="240" w:after="240"/>
        <w:jc w:val="both"/>
        <w:rPr>
          <w:lang w:val="es-PE"/>
        </w:rPr>
      </w:pPr>
      <w:r w:rsidRPr="00E1438C">
        <w:rPr>
          <w:lang w:val="es-PE"/>
        </w:rPr>
        <w:t>Cabe destacar que el caso de N.E.A.D. ocurrió en la misma provincia y región que el caso de “Camila”, la niña criminalizada tras sufrir un aborto, cuyo caso fue revisado por este Comité en 2023 (Comunicación núm. 136/2021). Esto indica que, en los siete años transcurridos entre el caso de Camila y el de N.E.A.D., no ha habido cambios significativos, y las niñas peruanas víctimas de violación sexual siguen enfrentando hostigamiento y persecución criminal por experimentar abortos.</w:t>
      </w:r>
    </w:p>
    <w:p w14:paraId="0152CD7C" w14:textId="77777777" w:rsidR="00E1438C" w:rsidRDefault="00E1438C" w:rsidP="00E1438C">
      <w:pPr>
        <w:pBdr>
          <w:top w:val="nil"/>
          <w:left w:val="nil"/>
          <w:bottom w:val="nil"/>
          <w:right w:val="nil"/>
          <w:between w:val="nil"/>
        </w:pBdr>
        <w:jc w:val="both"/>
        <w:rPr>
          <w:lang w:val="es-PE"/>
        </w:rPr>
      </w:pPr>
    </w:p>
    <w:p w14:paraId="65D9C6EC" w14:textId="344C1ED8" w:rsidR="00E1438C" w:rsidRDefault="00E1438C" w:rsidP="00E1438C">
      <w:pPr>
        <w:pStyle w:val="Heading1"/>
        <w:numPr>
          <w:ilvl w:val="0"/>
          <w:numId w:val="3"/>
        </w:numPr>
        <w:spacing w:before="0" w:after="0"/>
        <w:rPr>
          <w:b/>
          <w:sz w:val="22"/>
          <w:szCs w:val="22"/>
        </w:rPr>
      </w:pPr>
      <w:bookmarkStart w:id="6" w:name="_Toc173415835"/>
      <w:r>
        <w:rPr>
          <w:b/>
          <w:sz w:val="22"/>
          <w:szCs w:val="22"/>
        </w:rPr>
        <w:t>Recomendaciones</w:t>
      </w:r>
      <w:bookmarkEnd w:id="6"/>
    </w:p>
    <w:p w14:paraId="2BB76E14" w14:textId="77777777" w:rsidR="00E80FD3" w:rsidRPr="00E80FD3" w:rsidRDefault="00E80FD3" w:rsidP="00E80FD3"/>
    <w:p w14:paraId="08DA970A" w14:textId="77777777" w:rsidR="00E80FD3" w:rsidRPr="00E80FD3" w:rsidRDefault="00E80FD3" w:rsidP="00E80FD3">
      <w:pPr>
        <w:pStyle w:val="ListParagraph"/>
        <w:numPr>
          <w:ilvl w:val="0"/>
          <w:numId w:val="5"/>
        </w:numPr>
        <w:pBdr>
          <w:top w:val="nil"/>
          <w:left w:val="nil"/>
          <w:bottom w:val="nil"/>
          <w:right w:val="nil"/>
          <w:between w:val="nil"/>
        </w:pBdr>
        <w:ind w:left="360"/>
        <w:jc w:val="both"/>
        <w:rPr>
          <w:lang w:val="es-PE"/>
        </w:rPr>
      </w:pPr>
      <w:r w:rsidRPr="00E80FD3">
        <w:rPr>
          <w:lang w:val="es-PE"/>
        </w:rPr>
        <w:t>Programas Educativos Inclusivos: Implementar programas sobre salud menstrual en el currículo escolar para fomentar la comprensión desde una edad temprana.</w:t>
      </w:r>
    </w:p>
    <w:p w14:paraId="44E11826" w14:textId="77777777" w:rsidR="00E80FD3" w:rsidRPr="00E80FD3" w:rsidRDefault="00E80FD3" w:rsidP="00E80FD3">
      <w:pPr>
        <w:pBdr>
          <w:top w:val="nil"/>
          <w:left w:val="nil"/>
          <w:bottom w:val="nil"/>
          <w:right w:val="nil"/>
          <w:between w:val="nil"/>
        </w:pBdr>
        <w:jc w:val="both"/>
        <w:rPr>
          <w:lang w:val="es-PE"/>
        </w:rPr>
      </w:pPr>
    </w:p>
    <w:p w14:paraId="0A684885" w14:textId="77777777" w:rsidR="00E80FD3" w:rsidRPr="00E80FD3" w:rsidRDefault="00E80FD3" w:rsidP="00E80FD3">
      <w:pPr>
        <w:pStyle w:val="ListParagraph"/>
        <w:numPr>
          <w:ilvl w:val="0"/>
          <w:numId w:val="5"/>
        </w:numPr>
        <w:pBdr>
          <w:top w:val="nil"/>
          <w:left w:val="nil"/>
          <w:bottom w:val="nil"/>
          <w:right w:val="nil"/>
          <w:between w:val="nil"/>
        </w:pBdr>
        <w:ind w:left="360"/>
        <w:jc w:val="both"/>
        <w:rPr>
          <w:lang w:val="es-PE"/>
        </w:rPr>
      </w:pPr>
      <w:r w:rsidRPr="00E80FD3">
        <w:rPr>
          <w:lang w:val="es-PE"/>
        </w:rPr>
        <w:lastRenderedPageBreak/>
        <w:t>Acceso a Insumos Menstruales: Asegurar el acceso gratuito a productos menstruales y mejorar la infraestructura de baños escolares para garantizar privacidad y limpieza.</w:t>
      </w:r>
    </w:p>
    <w:p w14:paraId="5DB2BA35" w14:textId="77777777" w:rsidR="00E80FD3" w:rsidRPr="00E80FD3" w:rsidRDefault="00E80FD3" w:rsidP="00E80FD3">
      <w:pPr>
        <w:pBdr>
          <w:top w:val="nil"/>
          <w:left w:val="nil"/>
          <w:bottom w:val="nil"/>
          <w:right w:val="nil"/>
          <w:between w:val="nil"/>
        </w:pBdr>
        <w:jc w:val="both"/>
        <w:rPr>
          <w:lang w:val="es-PE"/>
        </w:rPr>
      </w:pPr>
    </w:p>
    <w:p w14:paraId="2C9E5D52" w14:textId="77777777" w:rsidR="00E80FD3" w:rsidRPr="00E80FD3" w:rsidRDefault="00E80FD3" w:rsidP="00E80FD3">
      <w:pPr>
        <w:pStyle w:val="ListParagraph"/>
        <w:numPr>
          <w:ilvl w:val="0"/>
          <w:numId w:val="5"/>
        </w:numPr>
        <w:pBdr>
          <w:top w:val="nil"/>
          <w:left w:val="nil"/>
          <w:bottom w:val="nil"/>
          <w:right w:val="nil"/>
          <w:between w:val="nil"/>
        </w:pBdr>
        <w:ind w:left="360"/>
        <w:jc w:val="both"/>
        <w:rPr>
          <w:lang w:val="es-PE"/>
        </w:rPr>
      </w:pPr>
      <w:r w:rsidRPr="00E80FD3">
        <w:rPr>
          <w:lang w:val="es-PE"/>
        </w:rPr>
        <w:t>Implementación de la Ley N. 31148: Aplicar la ley de aborto terapéutico eficazmente, eliminando prejuicios en las Juntas Médicas y capacitando al personal de salud.</w:t>
      </w:r>
    </w:p>
    <w:p w14:paraId="526ED300" w14:textId="77777777" w:rsidR="00E80FD3" w:rsidRPr="00E80FD3" w:rsidRDefault="00E80FD3" w:rsidP="00E80FD3">
      <w:pPr>
        <w:pBdr>
          <w:top w:val="nil"/>
          <w:left w:val="nil"/>
          <w:bottom w:val="nil"/>
          <w:right w:val="nil"/>
          <w:between w:val="nil"/>
        </w:pBdr>
        <w:jc w:val="both"/>
        <w:rPr>
          <w:lang w:val="es-PE"/>
        </w:rPr>
      </w:pPr>
    </w:p>
    <w:p w14:paraId="00A19A65" w14:textId="77777777" w:rsidR="00E80FD3" w:rsidRPr="00E80FD3" w:rsidRDefault="00E80FD3" w:rsidP="00E80FD3">
      <w:pPr>
        <w:pStyle w:val="ListParagraph"/>
        <w:numPr>
          <w:ilvl w:val="0"/>
          <w:numId w:val="5"/>
        </w:numPr>
        <w:pBdr>
          <w:top w:val="nil"/>
          <w:left w:val="nil"/>
          <w:bottom w:val="nil"/>
          <w:right w:val="nil"/>
          <w:between w:val="nil"/>
        </w:pBdr>
        <w:ind w:left="360"/>
        <w:jc w:val="both"/>
        <w:rPr>
          <w:lang w:val="es-PE"/>
        </w:rPr>
      </w:pPr>
      <w:r w:rsidRPr="00E80FD3">
        <w:rPr>
          <w:lang w:val="es-PE"/>
        </w:rPr>
        <w:t>Protección de Derechos Reproductivos: Defender los derechos de niñas y adolescentes gestantes, asegurando que no enfrenten criminalización al acceder a servicios de aborto.</w:t>
      </w:r>
    </w:p>
    <w:p w14:paraId="52ACBDAD" w14:textId="77777777" w:rsidR="00E80FD3" w:rsidRPr="00E80FD3" w:rsidRDefault="00E80FD3" w:rsidP="00E80FD3">
      <w:pPr>
        <w:pBdr>
          <w:top w:val="nil"/>
          <w:left w:val="nil"/>
          <w:bottom w:val="nil"/>
          <w:right w:val="nil"/>
          <w:between w:val="nil"/>
        </w:pBdr>
        <w:jc w:val="both"/>
        <w:rPr>
          <w:lang w:val="es-PE"/>
        </w:rPr>
      </w:pPr>
    </w:p>
    <w:p w14:paraId="47F57D66" w14:textId="77777777" w:rsidR="00E80FD3" w:rsidRPr="00E80FD3" w:rsidRDefault="00E80FD3" w:rsidP="00E80FD3">
      <w:pPr>
        <w:pStyle w:val="ListParagraph"/>
        <w:numPr>
          <w:ilvl w:val="0"/>
          <w:numId w:val="5"/>
        </w:numPr>
        <w:pBdr>
          <w:top w:val="nil"/>
          <w:left w:val="nil"/>
          <w:bottom w:val="nil"/>
          <w:right w:val="nil"/>
          <w:between w:val="nil"/>
        </w:pBdr>
        <w:ind w:left="360"/>
        <w:jc w:val="both"/>
        <w:rPr>
          <w:lang w:val="es-PE"/>
        </w:rPr>
      </w:pPr>
      <w:r w:rsidRPr="00E80FD3">
        <w:rPr>
          <w:lang w:val="es-PE"/>
        </w:rPr>
        <w:t>Prevención del Embarazo Infantil y Adolescente: Crear programas de prevención y ofrecer apoyo psicológico y legal a víctimas de violencia sexual.</w:t>
      </w:r>
    </w:p>
    <w:p w14:paraId="2FD89868" w14:textId="77777777" w:rsidR="00E80FD3" w:rsidRPr="00E80FD3" w:rsidRDefault="00E80FD3" w:rsidP="00E80FD3">
      <w:pPr>
        <w:pBdr>
          <w:top w:val="nil"/>
          <w:left w:val="nil"/>
          <w:bottom w:val="nil"/>
          <w:right w:val="nil"/>
          <w:between w:val="nil"/>
        </w:pBdr>
        <w:jc w:val="both"/>
        <w:rPr>
          <w:lang w:val="es-PE"/>
        </w:rPr>
      </w:pPr>
    </w:p>
    <w:p w14:paraId="235BAC45" w14:textId="77777777" w:rsidR="00E80FD3" w:rsidRPr="00E80FD3" w:rsidRDefault="00E80FD3" w:rsidP="00E80FD3">
      <w:pPr>
        <w:pStyle w:val="ListParagraph"/>
        <w:numPr>
          <w:ilvl w:val="0"/>
          <w:numId w:val="5"/>
        </w:numPr>
        <w:pBdr>
          <w:top w:val="nil"/>
          <w:left w:val="nil"/>
          <w:bottom w:val="nil"/>
          <w:right w:val="nil"/>
          <w:between w:val="nil"/>
        </w:pBdr>
        <w:ind w:left="360"/>
        <w:jc w:val="both"/>
        <w:rPr>
          <w:lang w:val="es-PE"/>
        </w:rPr>
      </w:pPr>
      <w:r w:rsidRPr="00E80FD3">
        <w:rPr>
          <w:lang w:val="es-PE"/>
        </w:rPr>
        <w:t>Educación Sexual Integral: Incorporar en las escuelas temas sobre consentimiento, salud sexual, y prevención de la violencia.</w:t>
      </w:r>
    </w:p>
    <w:p w14:paraId="0EEC886B" w14:textId="77777777" w:rsidR="00E80FD3" w:rsidRPr="00E80FD3" w:rsidRDefault="00E80FD3" w:rsidP="00E80FD3">
      <w:pPr>
        <w:pBdr>
          <w:top w:val="nil"/>
          <w:left w:val="nil"/>
          <w:bottom w:val="nil"/>
          <w:right w:val="nil"/>
          <w:between w:val="nil"/>
        </w:pBdr>
        <w:jc w:val="both"/>
        <w:rPr>
          <w:lang w:val="es-PE"/>
        </w:rPr>
      </w:pPr>
    </w:p>
    <w:p w14:paraId="233A30F0" w14:textId="77777777" w:rsidR="00E80FD3" w:rsidRPr="00E80FD3" w:rsidRDefault="00E80FD3" w:rsidP="00E80FD3">
      <w:pPr>
        <w:pStyle w:val="ListParagraph"/>
        <w:numPr>
          <w:ilvl w:val="0"/>
          <w:numId w:val="5"/>
        </w:numPr>
        <w:pBdr>
          <w:top w:val="nil"/>
          <w:left w:val="nil"/>
          <w:bottom w:val="nil"/>
          <w:right w:val="nil"/>
          <w:between w:val="nil"/>
        </w:pBdr>
        <w:ind w:left="360"/>
        <w:jc w:val="both"/>
        <w:rPr>
          <w:lang w:val="es-PE"/>
        </w:rPr>
      </w:pPr>
      <w:r w:rsidRPr="00E80FD3">
        <w:rPr>
          <w:lang w:val="es-PE"/>
        </w:rPr>
        <w:t>Despenalización del Aborto: Revisar las leyes para despenalizar el aborto en casos de violación y asegurar la confidencialidad de las pacientes.</w:t>
      </w:r>
    </w:p>
    <w:p w14:paraId="0A742648" w14:textId="77777777" w:rsidR="00E80FD3" w:rsidRPr="00E80FD3" w:rsidRDefault="00E80FD3" w:rsidP="00E80FD3">
      <w:pPr>
        <w:pBdr>
          <w:top w:val="nil"/>
          <w:left w:val="nil"/>
          <w:bottom w:val="nil"/>
          <w:right w:val="nil"/>
          <w:between w:val="nil"/>
        </w:pBdr>
        <w:jc w:val="both"/>
        <w:rPr>
          <w:lang w:val="es-PE"/>
        </w:rPr>
      </w:pPr>
    </w:p>
    <w:p w14:paraId="35AA2476" w14:textId="24ED4963" w:rsidR="00E1438C" w:rsidRPr="00E80FD3" w:rsidRDefault="00E80FD3" w:rsidP="00E80FD3">
      <w:pPr>
        <w:pStyle w:val="ListParagraph"/>
        <w:numPr>
          <w:ilvl w:val="0"/>
          <w:numId w:val="5"/>
        </w:numPr>
        <w:pBdr>
          <w:top w:val="nil"/>
          <w:left w:val="nil"/>
          <w:bottom w:val="nil"/>
          <w:right w:val="nil"/>
          <w:between w:val="nil"/>
        </w:pBdr>
        <w:ind w:left="360"/>
        <w:jc w:val="both"/>
        <w:rPr>
          <w:lang w:val="es-PE"/>
        </w:rPr>
      </w:pPr>
      <w:r w:rsidRPr="00E80FD3">
        <w:rPr>
          <w:lang w:val="es-PE"/>
        </w:rPr>
        <w:t>Sensibilización y Participación Comunitaria: Lanzar campañas para combatir la discriminación y promover la participación de organizaciones civiles en políticas públicas.</w:t>
      </w:r>
    </w:p>
    <w:sectPr w:rsidR="00E1438C" w:rsidRPr="00E80FD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47E3B" w14:textId="77777777" w:rsidR="0027019E" w:rsidRDefault="0027019E">
      <w:pPr>
        <w:spacing w:line="240" w:lineRule="auto"/>
      </w:pPr>
      <w:r>
        <w:separator/>
      </w:r>
    </w:p>
  </w:endnote>
  <w:endnote w:type="continuationSeparator" w:id="0">
    <w:p w14:paraId="7A9BAB35" w14:textId="77777777" w:rsidR="0027019E" w:rsidRDefault="002701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E0E34" w14:textId="77777777" w:rsidR="0027019E" w:rsidRDefault="0027019E">
      <w:pPr>
        <w:spacing w:line="240" w:lineRule="auto"/>
      </w:pPr>
      <w:r>
        <w:separator/>
      </w:r>
    </w:p>
  </w:footnote>
  <w:footnote w:type="continuationSeparator" w:id="0">
    <w:p w14:paraId="21090D71" w14:textId="77777777" w:rsidR="0027019E" w:rsidRDefault="0027019E">
      <w:pPr>
        <w:spacing w:line="240" w:lineRule="auto"/>
      </w:pPr>
      <w:r>
        <w:continuationSeparator/>
      </w:r>
    </w:p>
  </w:footnote>
  <w:footnote w:id="1">
    <w:p w14:paraId="00000040" w14:textId="77777777" w:rsidR="00A25DA4" w:rsidRPr="00E1438C" w:rsidRDefault="00000000">
      <w:pPr>
        <w:spacing w:line="240" w:lineRule="auto"/>
        <w:rPr>
          <w:sz w:val="20"/>
          <w:szCs w:val="20"/>
          <w:lang w:val="es-PE"/>
        </w:rPr>
      </w:pPr>
      <w:r>
        <w:rPr>
          <w:vertAlign w:val="superscript"/>
        </w:rPr>
        <w:footnoteRef/>
      </w:r>
      <w:r w:rsidRPr="00E1438C">
        <w:rPr>
          <w:sz w:val="20"/>
          <w:szCs w:val="20"/>
          <w:lang w:val="es-PE"/>
        </w:rPr>
        <w:t xml:space="preserve"> Instituto de Estudios Peruanos (2020). Retos e Impactos del Manejo de Higiene Menstrual</w:t>
      </w:r>
    </w:p>
    <w:p w14:paraId="00000041" w14:textId="77777777" w:rsidR="00A25DA4" w:rsidRPr="00E1438C" w:rsidRDefault="00000000">
      <w:pPr>
        <w:spacing w:line="240" w:lineRule="auto"/>
        <w:rPr>
          <w:sz w:val="20"/>
          <w:szCs w:val="20"/>
          <w:lang w:val="es-PE"/>
        </w:rPr>
      </w:pPr>
      <w:r w:rsidRPr="00E1438C">
        <w:rPr>
          <w:sz w:val="20"/>
          <w:szCs w:val="20"/>
          <w:lang w:val="es-PE"/>
        </w:rPr>
        <w:t xml:space="preserve">para las Niñas y Adolescentes en el Contexto Escolar. Disponible en: </w:t>
      </w:r>
      <w:hyperlink r:id="rId1">
        <w:r w:rsidRPr="00E1438C">
          <w:rPr>
            <w:color w:val="1155CC"/>
            <w:sz w:val="20"/>
            <w:szCs w:val="20"/>
            <w:u w:val="single"/>
            <w:lang w:val="es-PE"/>
          </w:rPr>
          <w:t>https://www.unicef.org/peru/media/7406/file/Retos%20e%20impactos%20del%20manejo%20de%20higiene%20menstrual%20para%20ni%C3%B1as%20y%20adolescentes%20en%20el%20contexto%20escolar.pdf</w:t>
        </w:r>
      </w:hyperlink>
      <w:r w:rsidRPr="00E1438C">
        <w:rPr>
          <w:sz w:val="20"/>
          <w:szCs w:val="20"/>
          <w:lang w:val="es-PE"/>
        </w:rPr>
        <w:t xml:space="preserve"> </w:t>
      </w:r>
    </w:p>
  </w:footnote>
  <w:footnote w:id="2">
    <w:p w14:paraId="0000003D" w14:textId="77777777" w:rsidR="00A25DA4" w:rsidRDefault="00000000">
      <w:pPr>
        <w:spacing w:line="240" w:lineRule="auto"/>
        <w:jc w:val="both"/>
        <w:rPr>
          <w:sz w:val="20"/>
          <w:szCs w:val="20"/>
        </w:rPr>
      </w:pPr>
      <w:r>
        <w:rPr>
          <w:vertAlign w:val="superscript"/>
        </w:rPr>
        <w:footnoteRef/>
      </w:r>
      <w:r w:rsidRPr="00E1438C">
        <w:rPr>
          <w:sz w:val="20"/>
          <w:szCs w:val="20"/>
          <w:lang w:val="es-PE"/>
        </w:rPr>
        <w:t xml:space="preserve"> Para mayor información, revisar: El Comercio (2023).</w:t>
      </w:r>
      <w:r w:rsidRPr="00E1438C">
        <w:rPr>
          <w:i/>
          <w:sz w:val="20"/>
          <w:szCs w:val="20"/>
          <w:lang w:val="es-PE"/>
        </w:rPr>
        <w:t xml:space="preserve"> La crueldad del caso Mila: niegan aborto terapéutico a niña de 11 años embarazada por violación en Iquitos</w:t>
      </w:r>
      <w:r w:rsidRPr="00E1438C">
        <w:rPr>
          <w:sz w:val="20"/>
          <w:szCs w:val="20"/>
          <w:lang w:val="es-PE"/>
        </w:rPr>
        <w:t xml:space="preserve">. </w:t>
      </w:r>
      <w:hyperlink r:id="rId2">
        <w:r>
          <w:rPr>
            <w:color w:val="1155CC"/>
            <w:sz w:val="20"/>
            <w:szCs w:val="20"/>
            <w:u w:val="single"/>
          </w:rPr>
          <w:t>https://peru.unfpa.org/sites/default/files/pub-pdf/untitled_design.pdf</w:t>
        </w:r>
      </w:hyperlink>
    </w:p>
  </w:footnote>
  <w:footnote w:id="3">
    <w:p w14:paraId="0000003E" w14:textId="77777777" w:rsidR="00A25DA4" w:rsidRDefault="00000000">
      <w:pPr>
        <w:spacing w:line="240" w:lineRule="auto"/>
        <w:jc w:val="both"/>
        <w:rPr>
          <w:sz w:val="20"/>
          <w:szCs w:val="20"/>
        </w:rPr>
      </w:pPr>
      <w:r>
        <w:rPr>
          <w:vertAlign w:val="superscript"/>
        </w:rPr>
        <w:footnoteRef/>
      </w:r>
      <w:r w:rsidRPr="00E1438C">
        <w:rPr>
          <w:sz w:val="20"/>
          <w:szCs w:val="20"/>
          <w:lang w:val="es-PE"/>
        </w:rPr>
        <w:t xml:space="preserve"> Infobae (2023). </w:t>
      </w:r>
      <w:r w:rsidRPr="00E1438C">
        <w:rPr>
          <w:i/>
          <w:sz w:val="20"/>
          <w:szCs w:val="20"/>
          <w:lang w:val="es-PE"/>
        </w:rPr>
        <w:t>Cusco: denuncian que hospital estaría dilatando autorización de aborto terapéutico a niña de 12 año</w:t>
      </w:r>
      <w:r w:rsidRPr="00E1438C">
        <w:rPr>
          <w:sz w:val="20"/>
          <w:szCs w:val="20"/>
          <w:lang w:val="es-PE"/>
        </w:rPr>
        <w:t xml:space="preserve">s. </w:t>
      </w:r>
      <w:hyperlink r:id="rId3">
        <w:r>
          <w:rPr>
            <w:color w:val="1155CC"/>
            <w:sz w:val="20"/>
            <w:szCs w:val="20"/>
            <w:u w:val="single"/>
          </w:rPr>
          <w:t>https://www.infobae.com/peru/2023/10/11/aborto-terapeutico-en-cusco-denuncian-demora-de-hospital-para-autorizar-procedimiento-a-nina-de-12-anos/</w:t>
        </w:r>
      </w:hyperlink>
    </w:p>
  </w:footnote>
  <w:footnote w:id="4">
    <w:p w14:paraId="0000003F" w14:textId="77777777" w:rsidR="00A25DA4" w:rsidRDefault="00000000">
      <w:pPr>
        <w:spacing w:line="240" w:lineRule="auto"/>
        <w:rPr>
          <w:i/>
          <w:sz w:val="20"/>
          <w:szCs w:val="20"/>
        </w:rPr>
      </w:pPr>
      <w:r>
        <w:rPr>
          <w:vertAlign w:val="superscript"/>
        </w:rPr>
        <w:footnoteRef/>
      </w:r>
      <w:r w:rsidRPr="00E1438C">
        <w:rPr>
          <w:sz w:val="20"/>
          <w:szCs w:val="20"/>
          <w:lang w:val="es-PE"/>
        </w:rPr>
        <w:t xml:space="preserve"> Ojo Público (2023).</w:t>
      </w:r>
      <w:r w:rsidRPr="00E1438C">
        <w:rPr>
          <w:i/>
          <w:sz w:val="20"/>
          <w:szCs w:val="20"/>
          <w:lang w:val="es-PE"/>
        </w:rPr>
        <w:t xml:space="preserve"> Mila y el aborto terapéutico: solo una niña accedió al procedimiento entre 2012 y 2022. </w:t>
      </w:r>
      <w:hyperlink r:id="rId4">
        <w:r>
          <w:rPr>
            <w:i/>
            <w:color w:val="1155CC"/>
            <w:sz w:val="20"/>
            <w:szCs w:val="20"/>
            <w:u w:val="single"/>
          </w:rPr>
          <w:t>https://ojo-publico.com/4547/mila-y-el-aborto-terapeutico-el-limitado-acceso-la-ultima-decada</w:t>
        </w:r>
      </w:hyperlink>
    </w:p>
  </w:footnote>
  <w:footnote w:id="5">
    <w:p w14:paraId="0000003B" w14:textId="77777777" w:rsidR="00A25DA4" w:rsidRPr="00E1438C" w:rsidRDefault="00000000">
      <w:pPr>
        <w:pBdr>
          <w:top w:val="nil"/>
          <w:left w:val="nil"/>
          <w:bottom w:val="nil"/>
          <w:right w:val="nil"/>
          <w:between w:val="nil"/>
        </w:pBdr>
        <w:spacing w:line="240" w:lineRule="auto"/>
        <w:jc w:val="both"/>
        <w:rPr>
          <w:sz w:val="20"/>
          <w:szCs w:val="20"/>
          <w:lang w:val="es-PE"/>
        </w:rPr>
      </w:pPr>
      <w:r>
        <w:rPr>
          <w:vertAlign w:val="superscript"/>
        </w:rPr>
        <w:footnoteRef/>
      </w:r>
      <w:r w:rsidRPr="00E1438C">
        <w:rPr>
          <w:sz w:val="20"/>
          <w:szCs w:val="20"/>
          <w:lang w:val="es-PE"/>
        </w:rPr>
        <w:t xml:space="preserve"> Para más información, revisar: Sistema de Registro del Certificado de Nacido Vivo en Línea. </w:t>
      </w:r>
      <w:hyperlink r:id="rId5">
        <w:r w:rsidRPr="00E1438C">
          <w:rPr>
            <w:color w:val="1155CC"/>
            <w:sz w:val="20"/>
            <w:szCs w:val="20"/>
            <w:u w:val="single"/>
            <w:lang w:val="es-PE"/>
          </w:rPr>
          <w:t>https://webapp.minsa.gob.pe/dwcnv/dwmadrenew.asp</w:t>
        </w:r>
      </w:hyperlink>
    </w:p>
  </w:footnote>
  <w:footnote w:id="6">
    <w:p w14:paraId="0000003C" w14:textId="77777777" w:rsidR="00A25DA4" w:rsidRDefault="00000000">
      <w:pPr>
        <w:spacing w:line="240" w:lineRule="auto"/>
        <w:rPr>
          <w:sz w:val="20"/>
          <w:szCs w:val="20"/>
        </w:rPr>
      </w:pPr>
      <w:r>
        <w:rPr>
          <w:vertAlign w:val="superscript"/>
        </w:rPr>
        <w:footnoteRef/>
      </w:r>
      <w:r w:rsidRPr="00E1438C">
        <w:rPr>
          <w:sz w:val="20"/>
          <w:szCs w:val="20"/>
          <w:lang w:val="es-PE"/>
        </w:rPr>
        <w:t xml:space="preserve"> Ministerio de Salud (2023). </w:t>
      </w:r>
      <w:r w:rsidRPr="00E1438C">
        <w:rPr>
          <w:i/>
          <w:sz w:val="20"/>
          <w:szCs w:val="20"/>
          <w:lang w:val="es-PE"/>
        </w:rPr>
        <w:t>Situación de la mortalidad materna</w:t>
      </w:r>
      <w:r w:rsidRPr="00E1438C">
        <w:rPr>
          <w:sz w:val="20"/>
          <w:szCs w:val="20"/>
          <w:lang w:val="es-PE"/>
        </w:rPr>
        <w:t xml:space="preserve">. </w:t>
      </w:r>
      <w:hyperlink r:id="rId6">
        <w:r>
          <w:rPr>
            <w:color w:val="1155CC"/>
            <w:sz w:val="20"/>
            <w:szCs w:val="20"/>
            <w:u w:val="single"/>
          </w:rPr>
          <w:t>https://www.mesadeconcertacion.org.pe/storage/documentos/2023-05-18/cdc-mortalidad-materna-2022-2023.pdf</w:t>
        </w:r>
      </w:hyperlink>
    </w:p>
  </w:footnote>
  <w:footnote w:id="7">
    <w:p w14:paraId="0000003A" w14:textId="77777777" w:rsidR="00A25DA4" w:rsidRDefault="00000000">
      <w:pPr>
        <w:spacing w:line="240" w:lineRule="auto"/>
        <w:jc w:val="both"/>
        <w:rPr>
          <w:sz w:val="20"/>
          <w:szCs w:val="20"/>
        </w:rPr>
      </w:pPr>
      <w:r>
        <w:rPr>
          <w:vertAlign w:val="superscript"/>
        </w:rPr>
        <w:footnoteRef/>
      </w:r>
      <w:r w:rsidRPr="00E1438C">
        <w:rPr>
          <w:sz w:val="20"/>
          <w:szCs w:val="20"/>
          <w:lang w:val="es-PE"/>
        </w:rPr>
        <w:t xml:space="preserve"> Proyecta Igualdad, Justicia Verde y Chakakuna MD (2022). </w:t>
      </w:r>
      <w:r w:rsidRPr="00E1438C">
        <w:rPr>
          <w:i/>
          <w:sz w:val="20"/>
          <w:szCs w:val="20"/>
          <w:lang w:val="es-PE"/>
        </w:rPr>
        <w:t xml:space="preserve">Nacer con útero: Efectos de la criminalización del aborto en el Perú”. </w:t>
      </w:r>
      <w:hyperlink r:id="rId7">
        <w:r>
          <w:rPr>
            <w:color w:val="1155CC"/>
            <w:sz w:val="20"/>
            <w:szCs w:val="20"/>
            <w:u w:val="single"/>
          </w:rPr>
          <w:t>https://shorturl.at/OfNc8</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D0F44"/>
    <w:multiLevelType w:val="multilevel"/>
    <w:tmpl w:val="A0F0BC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48946E9"/>
    <w:multiLevelType w:val="multilevel"/>
    <w:tmpl w:val="4EB4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7384C76"/>
    <w:multiLevelType w:val="hybridMultilevel"/>
    <w:tmpl w:val="3290167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4B649D4"/>
    <w:multiLevelType w:val="hybridMultilevel"/>
    <w:tmpl w:val="D1C88A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E624F8C"/>
    <w:multiLevelType w:val="hybridMultilevel"/>
    <w:tmpl w:val="026E7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10545517">
    <w:abstractNumId w:val="0"/>
  </w:num>
  <w:num w:numId="2" w16cid:durableId="725489454">
    <w:abstractNumId w:val="1"/>
  </w:num>
  <w:num w:numId="3" w16cid:durableId="1570727708">
    <w:abstractNumId w:val="3"/>
  </w:num>
  <w:num w:numId="4" w16cid:durableId="5132027">
    <w:abstractNumId w:val="2"/>
  </w:num>
  <w:num w:numId="5" w16cid:durableId="7956773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DA4"/>
    <w:rsid w:val="0027019E"/>
    <w:rsid w:val="00A25DA4"/>
    <w:rsid w:val="00AF16FC"/>
    <w:rsid w:val="00C43722"/>
    <w:rsid w:val="00E1438C"/>
    <w:rsid w:val="00E80FD3"/>
    <w:rsid w:val="00F72F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FA2E4"/>
  <w15:docId w15:val="{309814E9-F631-4A22-BC9C-405115C5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Heading1Char">
    <w:name w:val="Heading 1 Char"/>
    <w:basedOn w:val="DefaultParagraphFont"/>
    <w:link w:val="Heading1"/>
    <w:uiPriority w:val="9"/>
    <w:rsid w:val="00E1438C"/>
    <w:rPr>
      <w:sz w:val="40"/>
      <w:szCs w:val="40"/>
    </w:rPr>
  </w:style>
  <w:style w:type="paragraph" w:styleId="TOCHeading">
    <w:name w:val="TOC Heading"/>
    <w:basedOn w:val="Heading1"/>
    <w:next w:val="Normal"/>
    <w:uiPriority w:val="39"/>
    <w:unhideWhenUsed/>
    <w:qFormat/>
    <w:rsid w:val="00E1438C"/>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E1438C"/>
    <w:pPr>
      <w:spacing w:after="100"/>
    </w:pPr>
  </w:style>
  <w:style w:type="character" w:styleId="Hyperlink">
    <w:name w:val="Hyperlink"/>
    <w:basedOn w:val="DefaultParagraphFont"/>
    <w:uiPriority w:val="99"/>
    <w:unhideWhenUsed/>
    <w:rsid w:val="00E1438C"/>
    <w:rPr>
      <w:color w:val="0000FF" w:themeColor="hyperlink"/>
      <w:u w:val="single"/>
    </w:rPr>
  </w:style>
  <w:style w:type="paragraph" w:styleId="ListParagraph">
    <w:name w:val="List Paragraph"/>
    <w:basedOn w:val="Normal"/>
    <w:uiPriority w:val="34"/>
    <w:qFormat/>
    <w:rsid w:val="00E80F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54693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dn.www.gob.pe/uploads/document/file/1554860/Gu%C3%ADa%20de%20Pr%C3%A1ctica%20Cl%C3%ADnica%20y%20de%20Procedimientos%20para%20la%20atenci%C3%B3n%20del%20aborto%20terap%C3%A9utico.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nfobae.com/peru/2023/10/11/aborto-terapeutico-en-cusco-denuncian-demora-de-hospital-para-autorizar-procedimiento-a-nina-de-12-anos/" TargetMode="External"/><Relationship Id="rId7" Type="http://schemas.openxmlformats.org/officeDocument/2006/relationships/hyperlink" Target="https://shorturl.at/OfNc8" TargetMode="External"/><Relationship Id="rId2" Type="http://schemas.openxmlformats.org/officeDocument/2006/relationships/hyperlink" Target="https://peru.unfpa.org/sites/default/files/pub-pdf/untitled_design.pdf" TargetMode="External"/><Relationship Id="rId1" Type="http://schemas.openxmlformats.org/officeDocument/2006/relationships/hyperlink" Target="https://www.unicef.org/peru/media/7406/file/Retos%20e%20impactos%20del%20manejo%20de%20higiene%20menstrual%20para%20ni%C3%B1as%20y%20adolescentes%20en%20el%20contexto%20escolar.pdf" TargetMode="External"/><Relationship Id="rId6" Type="http://schemas.openxmlformats.org/officeDocument/2006/relationships/hyperlink" Target="https://www.mesadeconcertacion.org.pe/storage/documentos/2023-05-18/cdc-mortalidad-materna-2022-2023.pdf" TargetMode="External"/><Relationship Id="rId5" Type="http://schemas.openxmlformats.org/officeDocument/2006/relationships/hyperlink" Target="https://webapp.minsa.gob.pe/dwcnv/dwmadrenew.aspx" TargetMode="External"/><Relationship Id="rId4" Type="http://schemas.openxmlformats.org/officeDocument/2006/relationships/hyperlink" Target="https://ojo-publico.com/4547/mila-y-el-aborto-terapeutico-el-limitado-acceso-la-ultima-deca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487CA9-DD42-4ADE-AD4C-64B78FFA0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2797</Words>
  <Characters>15949</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James Boit</cp:lastModifiedBy>
  <cp:revision>2</cp:revision>
  <dcterms:created xsi:type="dcterms:W3CDTF">2024-08-14T09:51:00Z</dcterms:created>
  <dcterms:modified xsi:type="dcterms:W3CDTF">2024-08-14T09:51:00Z</dcterms:modified>
</cp:coreProperties>
</file>