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3487AA53" w:rsidR="00C718AE" w:rsidRDefault="00581831" w:rsidP="00DF4E28">
      <w:pPr>
        <w:spacing w:after="100"/>
        <w:rPr>
          <w:b/>
        </w:rPr>
      </w:pPr>
      <w:r>
        <w:rPr>
          <w:b/>
        </w:rPr>
        <w:t xml:space="preserve">U.S. CERD Review List of </w:t>
      </w:r>
      <w:r w:rsidR="00DF4E28">
        <w:rPr>
          <w:b/>
        </w:rPr>
        <w:t>Themes</w:t>
      </w:r>
      <w:r>
        <w:rPr>
          <w:b/>
        </w:rPr>
        <w:t xml:space="preserve">: Why </w:t>
      </w:r>
      <w:r w:rsidR="00A6603F">
        <w:rPr>
          <w:b/>
        </w:rPr>
        <w:t>Enacting Permanent</w:t>
      </w:r>
      <w:r>
        <w:rPr>
          <w:b/>
        </w:rPr>
        <w:t xml:space="preserve"> Paid Sick Leave is Critical to Reducing Racial Health Disparities Amidst COVID-19 and Beyond</w:t>
      </w:r>
    </w:p>
    <w:p w14:paraId="14A5DF53" w14:textId="4F914B08" w:rsidR="005E1DE4" w:rsidRPr="00DF4E28" w:rsidRDefault="00FA27B0" w:rsidP="00DF4E28">
      <w:pPr>
        <w:spacing w:after="100"/>
        <w:rPr>
          <w:bCs/>
          <w:i/>
          <w:iCs/>
          <w:lang w:val="en-US"/>
        </w:rPr>
      </w:pPr>
      <w:r>
        <w:rPr>
          <w:bCs/>
          <w:i/>
          <w:iCs/>
        </w:rPr>
        <w:t>CSO</w:t>
      </w:r>
      <w:r w:rsidR="00DF4E28">
        <w:rPr>
          <w:bCs/>
          <w:i/>
          <w:iCs/>
        </w:rPr>
        <w:t xml:space="preserve"> Report on List of Themes</w:t>
      </w:r>
      <w:r w:rsidR="005E1DE4" w:rsidRPr="00DF4E28">
        <w:rPr>
          <w:bCs/>
          <w:i/>
          <w:iCs/>
        </w:rPr>
        <w:t xml:space="preserve"> from </w:t>
      </w:r>
      <w:r w:rsidR="00DF4E28">
        <w:rPr>
          <w:bCs/>
          <w:i/>
          <w:iCs/>
        </w:rPr>
        <w:t xml:space="preserve">Aleta Sprague and Jody </w:t>
      </w:r>
      <w:proofErr w:type="spellStart"/>
      <w:r w:rsidR="00DF4E28">
        <w:rPr>
          <w:bCs/>
          <w:i/>
          <w:iCs/>
        </w:rPr>
        <w:t>Heymann</w:t>
      </w:r>
      <w:proofErr w:type="spellEnd"/>
      <w:r w:rsidR="00DF4E28">
        <w:rPr>
          <w:bCs/>
          <w:i/>
          <w:iCs/>
        </w:rPr>
        <w:t>,</w:t>
      </w:r>
      <w:r w:rsidR="005E1DE4" w:rsidRPr="00DF4E28">
        <w:rPr>
          <w:bCs/>
          <w:i/>
          <w:iCs/>
          <w:lang w:val="en-US"/>
        </w:rPr>
        <w:t xml:space="preserve"> </w:t>
      </w:r>
      <w:r w:rsidR="005E1DE4" w:rsidRPr="00DF4E28">
        <w:rPr>
          <w:bCs/>
          <w:i/>
          <w:iCs/>
        </w:rPr>
        <w:t>WORLD Policy Analysis Center, UCLA Fielding School of Public Health</w:t>
      </w:r>
      <w:r w:rsidR="00DF4E28">
        <w:rPr>
          <w:bCs/>
          <w:i/>
          <w:iCs/>
        </w:rPr>
        <w:t xml:space="preserve">, and Vickie Mays, </w:t>
      </w:r>
      <w:r w:rsidR="00DF4E28" w:rsidRPr="00DF4E28">
        <w:rPr>
          <w:bCs/>
          <w:i/>
          <w:iCs/>
          <w:lang w:val="en-US"/>
        </w:rPr>
        <w:t>UCLA Center on Research, Education, Training and Strategic Communication on Minority Health Disparities </w:t>
      </w:r>
    </w:p>
    <w:p w14:paraId="00000004" w14:textId="6C1AB294" w:rsidR="00C718AE" w:rsidRDefault="00581831" w:rsidP="00DF4E28">
      <w:pPr>
        <w:spacing w:after="100"/>
      </w:pPr>
      <w:r>
        <w:t>The Convention on the Elimination of Racial Discrimination obliges the United States to:</w:t>
      </w:r>
    </w:p>
    <w:p w14:paraId="6A767C18" w14:textId="154D68E0" w:rsidR="003679DE" w:rsidRPr="003679DE" w:rsidRDefault="003679DE" w:rsidP="00DF4E28">
      <w:pPr>
        <w:numPr>
          <w:ilvl w:val="0"/>
          <w:numId w:val="1"/>
        </w:numPr>
        <w:spacing w:after="100"/>
        <w:rPr>
          <w:highlight w:val="white"/>
        </w:rPr>
      </w:pPr>
      <w:r>
        <w:rPr>
          <w:highlight w:val="white"/>
        </w:rPr>
        <w:t xml:space="preserve">“eliminate racial discrimination in all its forms and to guarantee the right of everyone, without distinction as to race, </w:t>
      </w:r>
      <w:proofErr w:type="spellStart"/>
      <w:r>
        <w:rPr>
          <w:highlight w:val="white"/>
        </w:rPr>
        <w:t>colour</w:t>
      </w:r>
      <w:proofErr w:type="spellEnd"/>
      <w:r>
        <w:rPr>
          <w:highlight w:val="white"/>
        </w:rPr>
        <w:t xml:space="preserve">, or national or ethnic origin, to equality before the law, notably in the enjoyment of… [the rights to] </w:t>
      </w:r>
      <w:r w:rsidRPr="00403F29">
        <w:rPr>
          <w:b/>
          <w:bCs/>
          <w:highlight w:val="white"/>
        </w:rPr>
        <w:t xml:space="preserve">just and </w:t>
      </w:r>
      <w:proofErr w:type="spellStart"/>
      <w:r w:rsidRPr="00403F29">
        <w:rPr>
          <w:b/>
          <w:bCs/>
          <w:highlight w:val="white"/>
        </w:rPr>
        <w:t>favourable</w:t>
      </w:r>
      <w:proofErr w:type="spellEnd"/>
      <w:r w:rsidRPr="00403F29">
        <w:rPr>
          <w:b/>
          <w:bCs/>
          <w:highlight w:val="white"/>
        </w:rPr>
        <w:t xml:space="preserve"> conditions of work…[and] public health, medical care, social security and social services</w:t>
      </w:r>
      <w:r>
        <w:rPr>
          <w:highlight w:val="white"/>
        </w:rPr>
        <w:t>” (Art 5(e)).</w:t>
      </w:r>
    </w:p>
    <w:p w14:paraId="0000000A" w14:textId="2E8C1308" w:rsidR="00C718AE" w:rsidRDefault="00581831" w:rsidP="00DF4E28">
      <w:pPr>
        <w:spacing w:after="100"/>
        <w:rPr>
          <w:highlight w:val="white"/>
        </w:rPr>
      </w:pPr>
      <w:r>
        <w:rPr>
          <w:highlight w:val="white"/>
        </w:rPr>
        <w:t xml:space="preserve">The U.S.’s failure to enact paid sick leave at the national level–as </w:t>
      </w:r>
      <w:hyperlink r:id="rId5">
        <w:r>
          <w:rPr>
            <w:color w:val="1155CC"/>
            <w:highlight w:val="white"/>
            <w:u w:val="single"/>
          </w:rPr>
          <w:t xml:space="preserve">181 other U.N. member states </w:t>
        </w:r>
      </w:hyperlink>
      <w:r>
        <w:rPr>
          <w:highlight w:val="white"/>
        </w:rPr>
        <w:t xml:space="preserve">have already done–directly impedes realization of these commitments. </w:t>
      </w:r>
      <w:r w:rsidR="003679DE">
        <w:rPr>
          <w:highlight w:val="white"/>
        </w:rPr>
        <w:t xml:space="preserve">First, without a </w:t>
      </w:r>
      <w:r>
        <w:rPr>
          <w:highlight w:val="white"/>
        </w:rPr>
        <w:t xml:space="preserve">national </w:t>
      </w:r>
      <w:r w:rsidR="003679DE">
        <w:rPr>
          <w:highlight w:val="white"/>
        </w:rPr>
        <w:t xml:space="preserve">paid leave </w:t>
      </w:r>
      <w:r>
        <w:rPr>
          <w:highlight w:val="white"/>
        </w:rPr>
        <w:t xml:space="preserve">policy, most U.S. workers </w:t>
      </w:r>
      <w:r w:rsidR="003679DE">
        <w:rPr>
          <w:highlight w:val="white"/>
        </w:rPr>
        <w:t>must</w:t>
      </w:r>
      <w:r>
        <w:rPr>
          <w:highlight w:val="white"/>
        </w:rPr>
        <w:t xml:space="preserve"> rely on the voluntary provision of leave by employers. As a result, in the private sector,</w:t>
      </w:r>
      <w:r w:rsidR="00403F29">
        <w:t xml:space="preserve"> there are marked racial/ethnic disparities in who has paid sick leave.  For example,</w:t>
      </w:r>
      <w:hyperlink r:id="rId6">
        <w:r>
          <w:rPr>
            <w:highlight w:val="white"/>
          </w:rPr>
          <w:t xml:space="preserve"> </w:t>
        </w:r>
      </w:hyperlink>
      <w:hyperlink r:id="rId7">
        <w:r>
          <w:rPr>
            <w:color w:val="1155CC"/>
            <w:highlight w:val="white"/>
            <w:u w:val="single"/>
          </w:rPr>
          <w:t>just 36.5%</w:t>
        </w:r>
      </w:hyperlink>
      <w:r>
        <w:rPr>
          <w:highlight w:val="white"/>
        </w:rPr>
        <w:t xml:space="preserve"> of Latinx workers</w:t>
      </w:r>
      <w:r w:rsidR="00261C26">
        <w:rPr>
          <w:highlight w:val="white"/>
        </w:rPr>
        <w:t>,</w:t>
      </w:r>
      <w:r>
        <w:rPr>
          <w:highlight w:val="white"/>
        </w:rPr>
        <w:t xml:space="preserve"> compared to 59% of white workers, have any access to paid sick leave. </w:t>
      </w:r>
      <w:r w:rsidR="003679DE">
        <w:rPr>
          <w:highlight w:val="white"/>
        </w:rPr>
        <w:t>Second</w:t>
      </w:r>
      <w:r>
        <w:rPr>
          <w:highlight w:val="white"/>
        </w:rPr>
        <w:t xml:space="preserve">, even the unpaid leave guaranteed </w:t>
      </w:r>
      <w:r w:rsidR="00403F29">
        <w:rPr>
          <w:highlight w:val="white"/>
        </w:rPr>
        <w:t>in the U</w:t>
      </w:r>
      <w:r w:rsidR="00336852">
        <w:rPr>
          <w:highlight w:val="white"/>
        </w:rPr>
        <w:t>.</w:t>
      </w:r>
      <w:r w:rsidR="00403F29">
        <w:rPr>
          <w:highlight w:val="white"/>
        </w:rPr>
        <w:t>S</w:t>
      </w:r>
      <w:r w:rsidR="00336852">
        <w:rPr>
          <w:highlight w:val="white"/>
        </w:rPr>
        <w:t>.</w:t>
      </w:r>
      <w:r w:rsidR="00403F29">
        <w:rPr>
          <w:highlight w:val="white"/>
        </w:rPr>
        <w:t xml:space="preserve"> </w:t>
      </w:r>
      <w:r>
        <w:rPr>
          <w:highlight w:val="white"/>
        </w:rPr>
        <w:t xml:space="preserve">by the Family and Medical Leave Act (FMLA) excludes tens of millions of workers through its eligibility criteria, and </w:t>
      </w:r>
      <w:hyperlink r:id="rId8">
        <w:r>
          <w:rPr>
            <w:color w:val="1155CC"/>
            <w:highlight w:val="white"/>
            <w:u w:val="single"/>
          </w:rPr>
          <w:t>disproportionately</w:t>
        </w:r>
      </w:hyperlink>
      <w:r>
        <w:rPr>
          <w:highlight w:val="white"/>
        </w:rPr>
        <w:t xml:space="preserve"> </w:t>
      </w:r>
      <w:hyperlink r:id="rId9">
        <w:r>
          <w:rPr>
            <w:color w:val="1155CC"/>
            <w:highlight w:val="white"/>
            <w:u w:val="single"/>
          </w:rPr>
          <w:t>limits</w:t>
        </w:r>
      </w:hyperlink>
      <w:r>
        <w:rPr>
          <w:highlight w:val="white"/>
        </w:rPr>
        <w:t xml:space="preserve"> leave access by </w:t>
      </w:r>
      <w:r w:rsidR="005E1DE4">
        <w:rPr>
          <w:highlight w:val="white"/>
        </w:rPr>
        <w:t xml:space="preserve">Black, Latinx, and Indigenous </w:t>
      </w:r>
      <w:r>
        <w:rPr>
          <w:highlight w:val="white"/>
        </w:rPr>
        <w:t xml:space="preserve">workers. For example, 18.7% of Latina women, compared to just 8.4% of white men, are </w:t>
      </w:r>
      <w:hyperlink r:id="rId10">
        <w:r>
          <w:rPr>
            <w:color w:val="1155CC"/>
            <w:highlight w:val="white"/>
            <w:u w:val="single"/>
          </w:rPr>
          <w:t>ineligible for the FMLA</w:t>
        </w:r>
      </w:hyperlink>
      <w:r>
        <w:rPr>
          <w:highlight w:val="white"/>
        </w:rPr>
        <w:t xml:space="preserve"> because they work part-time.</w:t>
      </w:r>
    </w:p>
    <w:p w14:paraId="3D2792C1" w14:textId="64B37555" w:rsidR="00EC5D81" w:rsidRPr="00261C26" w:rsidRDefault="00EC5D81" w:rsidP="00DF4E28">
      <w:pPr>
        <w:spacing w:after="100"/>
        <w:rPr>
          <w:b/>
          <w:bCs/>
          <w:highlight w:val="white"/>
        </w:rPr>
      </w:pPr>
      <w:r w:rsidRPr="00261C26">
        <w:rPr>
          <w:b/>
          <w:bCs/>
          <w:highlight w:val="white"/>
        </w:rPr>
        <w:t>Deadly Racial Disparities Amidst COVID</w:t>
      </w:r>
    </w:p>
    <w:p w14:paraId="0000000B" w14:textId="5B099FE0" w:rsidR="00C718AE" w:rsidRDefault="00DF4E28" w:rsidP="00DF4E28">
      <w:pPr>
        <w:spacing w:after="100"/>
        <w:rPr>
          <w:highlight w:val="white"/>
        </w:rPr>
      </w:pPr>
      <w:r>
        <w:rPr>
          <w:highlight w:val="white"/>
        </w:rPr>
        <w:t>By creating barriers to both isolation and treatment, these gaps have contributed to devastating racial and socioeconomic disparities</w:t>
      </w:r>
      <w:r w:rsidDel="00DF4E28">
        <w:rPr>
          <w:highlight w:val="white"/>
        </w:rPr>
        <w:t xml:space="preserve"> </w:t>
      </w:r>
      <w:r w:rsidR="00581831">
        <w:rPr>
          <w:highlight w:val="white"/>
        </w:rPr>
        <w:t xml:space="preserve">in mortality amidst the COVID-19 pandemic, particularly since Black and Latinx workers are </w:t>
      </w:r>
      <w:hyperlink r:id="rId11">
        <w:r w:rsidR="00581831">
          <w:rPr>
            <w:color w:val="1155CC"/>
            <w:highlight w:val="white"/>
            <w:u w:val="single"/>
          </w:rPr>
          <w:t>overrepresented</w:t>
        </w:r>
      </w:hyperlink>
      <w:r w:rsidR="00581831">
        <w:rPr>
          <w:highlight w:val="white"/>
        </w:rPr>
        <w:t xml:space="preserve"> in frontline positions with higher exposure risks:</w:t>
      </w:r>
    </w:p>
    <w:p w14:paraId="0000000C" w14:textId="77777777" w:rsidR="00C718AE" w:rsidRDefault="00581831" w:rsidP="00DF4E28">
      <w:pPr>
        <w:numPr>
          <w:ilvl w:val="0"/>
          <w:numId w:val="2"/>
        </w:numPr>
        <w:spacing w:after="100"/>
        <w:rPr>
          <w:highlight w:val="white"/>
        </w:rPr>
      </w:pPr>
      <w:r>
        <w:rPr>
          <w:highlight w:val="white"/>
        </w:rPr>
        <w:t>Latinx Americans account for</w:t>
      </w:r>
      <w:hyperlink r:id="rId12" w:anchor="RaceHispanicOrigin">
        <w:r>
          <w:rPr>
            <w:color w:val="1155CC"/>
            <w:highlight w:val="white"/>
            <w:u w:val="single"/>
          </w:rPr>
          <w:t xml:space="preserve"> 30.1%</w:t>
        </w:r>
      </w:hyperlink>
      <w:r>
        <w:rPr>
          <w:highlight w:val="white"/>
        </w:rPr>
        <w:t xml:space="preserve"> of COVID-19 deaths but only 19.6% of the population; similarly, Black Americans account for 21.6% of deaths but 12.8% of the population (age-adjusted)</w:t>
      </w:r>
    </w:p>
    <w:p w14:paraId="0000000D" w14:textId="77777777" w:rsidR="00C718AE" w:rsidRDefault="00581831" w:rsidP="00DF4E28">
      <w:pPr>
        <w:numPr>
          <w:ilvl w:val="0"/>
          <w:numId w:val="2"/>
        </w:numPr>
        <w:spacing w:after="100"/>
        <w:rPr>
          <w:highlight w:val="white"/>
        </w:rPr>
      </w:pPr>
      <w:r>
        <w:rPr>
          <w:highlight w:val="white"/>
        </w:rPr>
        <w:t xml:space="preserve">From 2018 to 2020, the </w:t>
      </w:r>
      <w:hyperlink r:id="rId13">
        <w:r>
          <w:rPr>
            <w:color w:val="1155CC"/>
            <w:highlight w:val="white"/>
            <w:u w:val="single"/>
          </w:rPr>
          <w:t>average life expectancy</w:t>
        </w:r>
      </w:hyperlink>
      <w:r>
        <w:rPr>
          <w:highlight w:val="white"/>
        </w:rPr>
        <w:t xml:space="preserve"> of Black and Latinx Americans fell by 3.25 and 3.88 years, respectively, compared to a 1.87 drop for Americans overall</w:t>
      </w:r>
    </w:p>
    <w:p w14:paraId="4BE677A9" w14:textId="1227ED23" w:rsidR="00EC5D81" w:rsidRPr="00261C26" w:rsidRDefault="00765A7D" w:rsidP="00DF4E28">
      <w:pPr>
        <w:spacing w:after="100"/>
        <w:rPr>
          <w:b/>
          <w:bCs/>
          <w:highlight w:val="white"/>
        </w:rPr>
      </w:pPr>
      <w:r w:rsidRPr="00261C26">
        <w:rPr>
          <w:b/>
          <w:bCs/>
          <w:highlight w:val="white"/>
        </w:rPr>
        <w:t>Health Inequalities Beyond the Pandemic</w:t>
      </w:r>
    </w:p>
    <w:p w14:paraId="00000011" w14:textId="4D00B8EE" w:rsidR="00C718AE" w:rsidRDefault="00581831" w:rsidP="00DF4E28">
      <w:pPr>
        <w:spacing w:after="100"/>
        <w:rPr>
          <w:highlight w:val="white"/>
        </w:rPr>
      </w:pPr>
      <w:r>
        <w:rPr>
          <w:highlight w:val="white"/>
        </w:rPr>
        <w:t xml:space="preserve">Moreover, even </w:t>
      </w:r>
      <w:r w:rsidR="006C79BC">
        <w:rPr>
          <w:highlight w:val="white"/>
        </w:rPr>
        <w:t>in the absence of a pandemic</w:t>
      </w:r>
      <w:r>
        <w:rPr>
          <w:highlight w:val="white"/>
        </w:rPr>
        <w:t xml:space="preserve">, workers without paid sick leave are </w:t>
      </w:r>
      <w:hyperlink r:id="rId14">
        <w:r>
          <w:rPr>
            <w:color w:val="1155CC"/>
            <w:highlight w:val="white"/>
            <w:u w:val="single"/>
          </w:rPr>
          <w:t xml:space="preserve">three times more likely </w:t>
        </w:r>
      </w:hyperlink>
      <w:r>
        <w:rPr>
          <w:highlight w:val="white"/>
        </w:rPr>
        <w:t xml:space="preserve">to forgo needed medical treatment, thus worsening chronic conditions; likewise, inadequate sick leave significantly reduces access to preventive care, including </w:t>
      </w:r>
      <w:hyperlink r:id="rId15">
        <w:r>
          <w:rPr>
            <w:color w:val="1155CC"/>
            <w:highlight w:val="white"/>
            <w:u w:val="single"/>
          </w:rPr>
          <w:t>flu shots</w:t>
        </w:r>
      </w:hyperlink>
      <w:r>
        <w:rPr>
          <w:highlight w:val="white"/>
        </w:rPr>
        <w:t xml:space="preserve"> and </w:t>
      </w:r>
      <w:hyperlink r:id="rId16">
        <w:r>
          <w:rPr>
            <w:color w:val="1155CC"/>
            <w:highlight w:val="white"/>
            <w:u w:val="single"/>
          </w:rPr>
          <w:t>screenings</w:t>
        </w:r>
      </w:hyperlink>
      <w:r>
        <w:rPr>
          <w:highlight w:val="white"/>
        </w:rPr>
        <w:t xml:space="preserve"> for diabetes, heart disease, and stroke. Because of racial inequalities in access to paid leave—as well as the economic </w:t>
      </w:r>
      <w:hyperlink r:id="rId17" w:history="1">
        <w:r w:rsidRPr="00581831">
          <w:rPr>
            <w:rStyle w:val="Hyperlink"/>
            <w:highlight w:val="white"/>
          </w:rPr>
          <w:t>resources</w:t>
        </w:r>
      </w:hyperlink>
      <w:r>
        <w:rPr>
          <w:highlight w:val="white"/>
        </w:rPr>
        <w:t xml:space="preserve"> required to take unpaid leave—these </w:t>
      </w:r>
      <w:r w:rsidR="008E0F74">
        <w:rPr>
          <w:highlight w:val="white"/>
        </w:rPr>
        <w:t>consequences</w:t>
      </w:r>
      <w:r>
        <w:rPr>
          <w:highlight w:val="white"/>
        </w:rPr>
        <w:t xml:space="preserve"> only worsen racial health disparities</w:t>
      </w:r>
      <w:r w:rsidR="008F7687">
        <w:rPr>
          <w:highlight w:val="white"/>
        </w:rPr>
        <w:t xml:space="preserve"> </w:t>
      </w:r>
      <w:r w:rsidR="006C79BC">
        <w:rPr>
          <w:highlight w:val="white"/>
        </w:rPr>
        <w:t xml:space="preserve">both amidst </w:t>
      </w:r>
      <w:r w:rsidR="008F2D92">
        <w:rPr>
          <w:highlight w:val="white"/>
        </w:rPr>
        <w:t xml:space="preserve">public health emergencies </w:t>
      </w:r>
      <w:r w:rsidR="006C79BC">
        <w:rPr>
          <w:highlight w:val="white"/>
        </w:rPr>
        <w:t>and during a typical year</w:t>
      </w:r>
      <w:r>
        <w:rPr>
          <w:highlight w:val="white"/>
        </w:rPr>
        <w:t xml:space="preserve">. </w:t>
      </w:r>
    </w:p>
    <w:p w14:paraId="0D874DB4" w14:textId="0598B26C" w:rsidR="00EC5D81" w:rsidRDefault="00EC5D81" w:rsidP="00DF4E28">
      <w:pPr>
        <w:spacing w:after="100"/>
        <w:rPr>
          <w:b/>
          <w:bCs/>
          <w:highlight w:val="white"/>
        </w:rPr>
      </w:pPr>
      <w:r>
        <w:rPr>
          <w:b/>
          <w:bCs/>
          <w:highlight w:val="white"/>
        </w:rPr>
        <w:t>Summary</w:t>
      </w:r>
    </w:p>
    <w:p w14:paraId="00000016" w14:textId="1805DE14" w:rsidR="00C718AE" w:rsidRDefault="00581831" w:rsidP="00DF4E28">
      <w:pPr>
        <w:spacing w:after="100"/>
        <w:rPr>
          <w:highlight w:val="white"/>
        </w:rPr>
      </w:pPr>
      <w:r w:rsidRPr="00765A7D">
        <w:rPr>
          <w:highlight w:val="white"/>
        </w:rPr>
        <w:t>In short, the U.S.’s failure to adopt a permanent paid sick leave policy covering all workers fundamentally conflicts with its CERD responsibilities to ensure equal enjoyment of the rights to health and decent work regardless of race. We would encourage the Committee to raise this urgent issue during the U.S.’s upcoming review and we look forward to providing additional resources and information on this topic.</w:t>
      </w:r>
    </w:p>
    <w:sectPr w:rsidR="00C718AE" w:rsidSect="00DF4E28">
      <w:pgSz w:w="12240" w:h="15840"/>
      <w:pgMar w:top="1080" w:right="1080" w:bottom="1080" w:left="108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6404"/>
    <w:multiLevelType w:val="multilevel"/>
    <w:tmpl w:val="5F406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B33B4F"/>
    <w:multiLevelType w:val="multilevel"/>
    <w:tmpl w:val="FF62D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8AE"/>
    <w:rsid w:val="00136EF5"/>
    <w:rsid w:val="00162838"/>
    <w:rsid w:val="00261C26"/>
    <w:rsid w:val="00336852"/>
    <w:rsid w:val="003679DE"/>
    <w:rsid w:val="00403F29"/>
    <w:rsid w:val="00443D26"/>
    <w:rsid w:val="00504343"/>
    <w:rsid w:val="00581831"/>
    <w:rsid w:val="005E1DE4"/>
    <w:rsid w:val="006C79BC"/>
    <w:rsid w:val="00765A7D"/>
    <w:rsid w:val="007B20D6"/>
    <w:rsid w:val="008E0F74"/>
    <w:rsid w:val="008F2D92"/>
    <w:rsid w:val="008F7687"/>
    <w:rsid w:val="00927890"/>
    <w:rsid w:val="00A6603F"/>
    <w:rsid w:val="00B421E2"/>
    <w:rsid w:val="00BE61AF"/>
    <w:rsid w:val="00C718AE"/>
    <w:rsid w:val="00CC0C1B"/>
    <w:rsid w:val="00D21FD9"/>
    <w:rsid w:val="00DF4E28"/>
    <w:rsid w:val="00E1643B"/>
    <w:rsid w:val="00E713F9"/>
    <w:rsid w:val="00EC5D81"/>
    <w:rsid w:val="00FA10E6"/>
    <w:rsid w:val="00FA27B0"/>
    <w:rsid w:val="00FB14B3"/>
    <w:rsid w:val="00FF3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5413"/>
  <w15:docId w15:val="{0C191053-4B1A-9747-902E-92281495E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3679DE"/>
    <w:rPr>
      <w:sz w:val="16"/>
      <w:szCs w:val="16"/>
    </w:rPr>
  </w:style>
  <w:style w:type="paragraph" w:styleId="CommentText">
    <w:name w:val="annotation text"/>
    <w:basedOn w:val="Normal"/>
    <w:link w:val="CommentTextChar"/>
    <w:uiPriority w:val="99"/>
    <w:semiHidden/>
    <w:unhideWhenUsed/>
    <w:rsid w:val="003679DE"/>
    <w:pPr>
      <w:spacing w:line="240" w:lineRule="auto"/>
    </w:pPr>
    <w:rPr>
      <w:sz w:val="20"/>
      <w:szCs w:val="20"/>
    </w:rPr>
  </w:style>
  <w:style w:type="character" w:customStyle="1" w:styleId="CommentTextChar">
    <w:name w:val="Comment Text Char"/>
    <w:basedOn w:val="DefaultParagraphFont"/>
    <w:link w:val="CommentText"/>
    <w:uiPriority w:val="99"/>
    <w:semiHidden/>
    <w:rsid w:val="003679DE"/>
    <w:rPr>
      <w:sz w:val="20"/>
      <w:szCs w:val="20"/>
    </w:rPr>
  </w:style>
  <w:style w:type="paragraph" w:styleId="CommentSubject">
    <w:name w:val="annotation subject"/>
    <w:basedOn w:val="CommentText"/>
    <w:next w:val="CommentText"/>
    <w:link w:val="CommentSubjectChar"/>
    <w:uiPriority w:val="99"/>
    <w:semiHidden/>
    <w:unhideWhenUsed/>
    <w:rsid w:val="003679DE"/>
    <w:rPr>
      <w:b/>
      <w:bCs/>
    </w:rPr>
  </w:style>
  <w:style w:type="character" w:customStyle="1" w:styleId="CommentSubjectChar">
    <w:name w:val="Comment Subject Char"/>
    <w:basedOn w:val="CommentTextChar"/>
    <w:link w:val="CommentSubject"/>
    <w:uiPriority w:val="99"/>
    <w:semiHidden/>
    <w:rsid w:val="003679DE"/>
    <w:rPr>
      <w:b/>
      <w:bCs/>
      <w:sz w:val="20"/>
      <w:szCs w:val="20"/>
    </w:rPr>
  </w:style>
  <w:style w:type="character" w:styleId="Hyperlink">
    <w:name w:val="Hyperlink"/>
    <w:basedOn w:val="DefaultParagraphFont"/>
    <w:uiPriority w:val="99"/>
    <w:unhideWhenUsed/>
    <w:rsid w:val="00581831"/>
    <w:rPr>
      <w:color w:val="0000FF" w:themeColor="hyperlink"/>
      <w:u w:val="single"/>
    </w:rPr>
  </w:style>
  <w:style w:type="character" w:styleId="UnresolvedMention">
    <w:name w:val="Unresolved Mention"/>
    <w:basedOn w:val="DefaultParagraphFont"/>
    <w:uiPriority w:val="99"/>
    <w:semiHidden/>
    <w:unhideWhenUsed/>
    <w:rsid w:val="00581831"/>
    <w:rPr>
      <w:color w:val="605E5C"/>
      <w:shd w:val="clear" w:color="auto" w:fill="E1DFDD"/>
    </w:rPr>
  </w:style>
  <w:style w:type="paragraph" w:styleId="Revision">
    <w:name w:val="Revision"/>
    <w:hidden/>
    <w:uiPriority w:val="99"/>
    <w:semiHidden/>
    <w:rsid w:val="00403F29"/>
    <w:pPr>
      <w:spacing w:line="240" w:lineRule="auto"/>
    </w:pPr>
  </w:style>
  <w:style w:type="paragraph" w:styleId="BalloonText">
    <w:name w:val="Balloon Text"/>
    <w:basedOn w:val="Normal"/>
    <w:link w:val="BalloonTextChar"/>
    <w:uiPriority w:val="99"/>
    <w:semiHidden/>
    <w:unhideWhenUsed/>
    <w:rsid w:val="00E1643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4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566957">
      <w:bodyDiv w:val="1"/>
      <w:marLeft w:val="0"/>
      <w:marRight w:val="0"/>
      <w:marTop w:val="0"/>
      <w:marBottom w:val="0"/>
      <w:divBdr>
        <w:top w:val="none" w:sz="0" w:space="0" w:color="auto"/>
        <w:left w:val="none" w:sz="0" w:space="0" w:color="auto"/>
        <w:bottom w:val="none" w:sz="0" w:space="0" w:color="auto"/>
        <w:right w:val="none" w:sz="0" w:space="0" w:color="auto"/>
      </w:divBdr>
    </w:div>
    <w:div w:id="640037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ealthaffairs.org/doi/abs/10.1377/hlthaff.2021.00731" TargetMode="External"/><Relationship Id="rId13" Type="http://schemas.openxmlformats.org/officeDocument/2006/relationships/hyperlink" Target="https://www.bmj.com/content/373/bmj.n1343"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https://www.bls.gov/opub/mlr/2019/article/racial-and-ethnic-disparities-in-access-to-and-use-of-paid-family-and-medical-leave.htm" TargetMode="External"/><Relationship Id="rId12" Type="http://schemas.openxmlformats.org/officeDocument/2006/relationships/hyperlink" Target="https://www.cdc.gov/nchs/nvss/vsrr/covid19/health_disparities.htm" TargetMode="External"/><Relationship Id="rId17" Type="http://schemas.openxmlformats.org/officeDocument/2006/relationships/hyperlink" Target="https://www.federalreserve.gov/econres/notes/feds-notes/wealth-inequality-and-the-racial-wealth-gap-accessible-20211022.htm" TargetMode="External"/><Relationship Id="rId2" Type="http://schemas.openxmlformats.org/officeDocument/2006/relationships/styles" Target="styles.xml"/><Relationship Id="rId16" Type="http://schemas.openxmlformats.org/officeDocument/2006/relationships/hyperlink" Target="https://jamanetwork.com/journals/jama-health-forum/fullarticle/2779693"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s://www.bls.gov/opub/mlr/2019/article/racial-and-ethnic-disparities-in-access-to-and-use-of-paid-family-and-medical-leave.htm" TargetMode="External"/><Relationship Id="rId11" Type="http://schemas.openxmlformats.org/officeDocument/2006/relationships/hyperlink" Target="https://www.eeoc.gov/sites/default/files/2021-04/4-28-21%20Meeting%20-%2005%20Ramirez%20-%20Supporting%20Materials.pdf" TargetMode="External"/><Relationship Id="rId5" Type="http://schemas.openxmlformats.org/officeDocument/2006/relationships/hyperlink" Target="https://www.worldpolicycenter.org/policies/are-workers-guaranteed-paid-sick-leave" TargetMode="External"/><Relationship Id="rId15" Type="http://schemas.openxmlformats.org/officeDocument/2006/relationships/hyperlink" Target="https://pubmed.ncbi.nlm.nih.gov/28189802/" TargetMode="External"/><Relationship Id="rId10" Type="http://schemas.openxmlformats.org/officeDocument/2006/relationships/hyperlink" Target="https://www.worldpolicycenter.org/sites/default/files/Sick%20leave%20policy%20brief%202021.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iversitydatakids.org/research-library/data-visualization/unequal-access-fmla-leave-persists" TargetMode="External"/><Relationship Id="rId14" Type="http://schemas.openxmlformats.org/officeDocument/2006/relationships/hyperlink" Target="https://www.healthaffairs.org/doi/full/10.1377/hlthaff.2015.0965"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2FBF87-A203-4FBA-B84C-2D2CAC950D2E}"/>
</file>

<file path=customXml/itemProps2.xml><?xml version="1.0" encoding="utf-8"?>
<ds:datastoreItem xmlns:ds="http://schemas.openxmlformats.org/officeDocument/2006/customXml" ds:itemID="{F8296068-3015-4EB7-A07C-1586CC9865B9}"/>
</file>

<file path=customXml/itemProps3.xml><?xml version="1.0" encoding="utf-8"?>
<ds:datastoreItem xmlns:ds="http://schemas.openxmlformats.org/officeDocument/2006/customXml" ds:itemID="{C0E7E47F-6116-4BB6-A60A-12CFFFCAB957}"/>
</file>

<file path=docProps/app.xml><?xml version="1.0" encoding="utf-8"?>
<Properties xmlns="http://schemas.openxmlformats.org/officeDocument/2006/extended-properties" xmlns:vt="http://schemas.openxmlformats.org/officeDocument/2006/docPropsVTypes">
  <Template>Normal.dotm</Template>
  <TotalTime>2</TotalTime>
  <Pages>1</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Vickie Mays</dc:creator>
  <cp:lastModifiedBy>Aleta Sprague</cp:lastModifiedBy>
  <cp:revision>6</cp:revision>
  <dcterms:created xsi:type="dcterms:W3CDTF">2022-01-14T15:30:00Z</dcterms:created>
  <dcterms:modified xsi:type="dcterms:W3CDTF">2022-01-14T15:42:00Z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