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9C25E4" w14:textId="62C9DEDD" w:rsidR="00CA75E8" w:rsidRPr="00B95935" w:rsidRDefault="009055E9" w:rsidP="00B95935">
      <w:pPr>
        <w:pStyle w:val="Footer"/>
        <w:spacing w:line="276" w:lineRule="auto"/>
        <w:ind w:hanging="300"/>
        <w:jc w:val="center"/>
        <w:rPr>
          <w:rFonts w:ascii="Simplified Arabic" w:hAnsi="Simplified Arabic" w:cs="Simplified Arabic"/>
          <w:b/>
          <w:bCs/>
          <w:color w:val="FF0000"/>
          <w:sz w:val="28"/>
          <w:szCs w:val="28"/>
          <w:rtl/>
          <w:lang w:bidi="ar-EG"/>
        </w:rPr>
      </w:pPr>
      <w:bookmarkStart w:id="0" w:name="_Hlk91513691"/>
      <w:r>
        <w:rPr>
          <w:rFonts w:ascii="Simplified Arabic" w:hAnsi="Simplified Arabic" w:cs="Simplified Arabic" w:hint="cs"/>
          <w:b/>
          <w:bCs/>
          <w:color w:val="FF0000"/>
          <w:sz w:val="28"/>
          <w:szCs w:val="28"/>
          <w:rtl/>
          <w:lang w:bidi="ar-EG"/>
        </w:rPr>
        <w:t>تنظيم عمل منظمات المجتمع المدني في مصر</w:t>
      </w:r>
    </w:p>
    <w:p w14:paraId="4FD5D3D6" w14:textId="3C43267D" w:rsidR="00B95935" w:rsidRPr="00B95935" w:rsidRDefault="00B95935" w:rsidP="00B95935">
      <w:pPr>
        <w:pStyle w:val="Footer"/>
        <w:spacing w:line="276" w:lineRule="auto"/>
        <w:ind w:hanging="300"/>
        <w:rPr>
          <w:rFonts w:ascii="Simplified Arabic" w:hAnsi="Simplified Arabic" w:cs="Simplified Arabic"/>
          <w:b/>
          <w:bCs/>
          <w:color w:val="FF0000"/>
          <w:sz w:val="28"/>
          <w:szCs w:val="28"/>
          <w:rtl/>
          <w:lang w:bidi="ar-EG"/>
        </w:rPr>
      </w:pPr>
      <w:r w:rsidRPr="00B95935">
        <w:rPr>
          <w:rFonts w:ascii="Simplified Arabic" w:hAnsi="Simplified Arabic" w:cs="Simplified Arabic"/>
          <w:b/>
          <w:bCs/>
          <w:color w:val="FF0000"/>
          <w:sz w:val="28"/>
          <w:szCs w:val="28"/>
          <w:rtl/>
          <w:lang w:bidi="ar-EG"/>
        </w:rPr>
        <w:t>مقدم إلى: لجنة حقوق الإنسان.</w:t>
      </w:r>
    </w:p>
    <w:p w14:paraId="118136A3" w14:textId="112150C0" w:rsidR="00F172E4" w:rsidRPr="00B95935" w:rsidRDefault="00F172E4" w:rsidP="00B95935">
      <w:pPr>
        <w:pStyle w:val="Footer"/>
        <w:shd w:val="clear" w:color="auto" w:fill="0070C0"/>
        <w:spacing w:line="276" w:lineRule="auto"/>
        <w:rPr>
          <w:rFonts w:ascii="Simplified Arabic" w:hAnsi="Simplified Arabic" w:cs="Simplified Arabic"/>
          <w:b/>
          <w:bCs/>
          <w:sz w:val="28"/>
          <w:szCs w:val="28"/>
          <w:rtl/>
          <w:lang w:bidi="ar-EG"/>
        </w:rPr>
      </w:pPr>
      <w:r w:rsidRPr="00B95935">
        <w:rPr>
          <w:rFonts w:ascii="Simplified Arabic" w:hAnsi="Simplified Arabic" w:cs="Simplified Arabic"/>
          <w:b/>
          <w:bCs/>
          <w:sz w:val="28"/>
          <w:szCs w:val="28"/>
          <w:rtl/>
          <w:lang w:bidi="ar-EG"/>
        </w:rPr>
        <w:t>تمهيد</w:t>
      </w:r>
    </w:p>
    <w:p w14:paraId="7F8E2BD8" w14:textId="523205AE" w:rsidR="00620E65" w:rsidRPr="00B95935" w:rsidRDefault="00620E65" w:rsidP="00B95935">
      <w:pPr>
        <w:jc w:val="both"/>
        <w:rPr>
          <w:rFonts w:ascii="Simplified Arabic" w:hAnsi="Simplified Arabic" w:cs="Simplified Arabic"/>
          <w:sz w:val="28"/>
          <w:szCs w:val="28"/>
          <w:rtl/>
        </w:rPr>
      </w:pPr>
      <w:r w:rsidRPr="00B95935">
        <w:rPr>
          <w:rFonts w:ascii="Simplified Arabic" w:hAnsi="Simplified Arabic" w:cs="Simplified Arabic"/>
          <w:sz w:val="28"/>
          <w:szCs w:val="28"/>
          <w:rtl/>
        </w:rPr>
        <w:t xml:space="preserve">تحرص الدولة المصرية على بذل جهود موسعة وإحداث نقلة نوعية متكاملة في مجال المجتمع المدني ونشاط المؤسسات الأهلية وإشراكها في مشروعات التنمية، ويصل عدد الجمعيات الأهلية </w:t>
      </w:r>
      <w:r w:rsidR="00B95935" w:rsidRPr="00B95935">
        <w:rPr>
          <w:rFonts w:ascii="Simplified Arabic" w:hAnsi="Simplified Arabic" w:cs="Simplified Arabic"/>
          <w:sz w:val="28"/>
          <w:szCs w:val="28"/>
          <w:rtl/>
        </w:rPr>
        <w:t>التي</w:t>
      </w:r>
      <w:r w:rsidRPr="00B95935">
        <w:rPr>
          <w:rFonts w:ascii="Simplified Arabic" w:hAnsi="Simplified Arabic" w:cs="Simplified Arabic"/>
          <w:sz w:val="28"/>
          <w:szCs w:val="28"/>
          <w:rtl/>
        </w:rPr>
        <w:t xml:space="preserve"> قامت بتوفيق أوضاعها حتى الآن </w:t>
      </w:r>
      <w:r w:rsidR="003E124D" w:rsidRPr="007C052C">
        <w:rPr>
          <w:rFonts w:ascii="Simplified Arabic" w:hAnsi="Simplified Arabic" w:cs="Simplified Arabic" w:hint="cs"/>
          <w:sz w:val="28"/>
          <w:szCs w:val="28"/>
          <w:rtl/>
        </w:rPr>
        <w:t>26</w:t>
      </w:r>
      <w:r w:rsidRPr="00B95935">
        <w:rPr>
          <w:rFonts w:ascii="Simplified Arabic" w:hAnsi="Simplified Arabic" w:cs="Simplified Arabic"/>
          <w:sz w:val="28"/>
          <w:szCs w:val="28"/>
          <w:rtl/>
        </w:rPr>
        <w:t xml:space="preserve"> ألف جمعية من أصل </w:t>
      </w:r>
      <w:r w:rsidR="00F12C02">
        <w:rPr>
          <w:rFonts w:ascii="Simplified Arabic" w:hAnsi="Simplified Arabic" w:cs="Simplified Arabic" w:hint="cs"/>
          <w:sz w:val="28"/>
          <w:szCs w:val="28"/>
          <w:rtl/>
        </w:rPr>
        <w:t>55</w:t>
      </w:r>
      <w:r w:rsidRPr="00B95935">
        <w:rPr>
          <w:rFonts w:ascii="Simplified Arabic" w:hAnsi="Simplified Arabic" w:cs="Simplified Arabic"/>
          <w:sz w:val="28"/>
          <w:szCs w:val="28"/>
          <w:rtl/>
        </w:rPr>
        <w:t xml:space="preserve"> ألف جمعية مسجلة بالوزارة قبل صدور لائحة القانون.</w:t>
      </w:r>
      <w:r w:rsidR="00E27ECB" w:rsidRPr="00B95935">
        <w:rPr>
          <w:rFonts w:ascii="Simplified Arabic" w:hAnsi="Simplified Arabic" w:cs="Simplified Arabic"/>
          <w:sz w:val="28"/>
          <w:szCs w:val="28"/>
          <w:rtl/>
        </w:rPr>
        <w:t xml:space="preserve"> </w:t>
      </w:r>
      <w:r w:rsidRPr="00B95935">
        <w:rPr>
          <w:rFonts w:ascii="Simplified Arabic" w:hAnsi="Simplified Arabic" w:cs="Simplified Arabic"/>
          <w:sz w:val="28"/>
          <w:szCs w:val="28"/>
          <w:rtl/>
        </w:rPr>
        <w:t>ويؤسس قانون تنظيم العمل الأهلي ولائحته التنفيذية لشراكة قوية بين الدولة والقطاع الأهلي، حيث يعكسان التزام الدولة بدعم القطاع الأهلي عبر توفير ضمانات التمتع بالحق في تكوين الجمعيات والمؤسسات الأهلية وتعزيز قدراتها التنظيمية والمالية التي تمكنها من الوفاء بأدوارها على النحو المرجو، وينظمان العمل التطوعي، فضلا عن حظر القانون لتوقيع أية عقوبات سالبة للحرية في حالة مخالفة أي حكم من أحكامه، وهو ما رصدته الاستراتيجية الوطنية لحقوق الإنسان.</w:t>
      </w:r>
    </w:p>
    <w:p w14:paraId="67FDAE7A" w14:textId="06246FDC" w:rsidR="00F172E4" w:rsidRPr="00B95935" w:rsidRDefault="00E27ECB" w:rsidP="00B95935">
      <w:pPr>
        <w:jc w:val="both"/>
        <w:rPr>
          <w:rFonts w:ascii="Simplified Arabic" w:hAnsi="Simplified Arabic" w:cs="Simplified Arabic"/>
          <w:sz w:val="28"/>
          <w:szCs w:val="28"/>
          <w:rtl/>
          <w:lang w:bidi="ar-EG"/>
        </w:rPr>
      </w:pPr>
      <w:r w:rsidRPr="00B95935">
        <w:rPr>
          <w:rFonts w:ascii="Simplified Arabic" w:hAnsi="Simplified Arabic" w:cs="Simplified Arabic"/>
          <w:sz w:val="28"/>
          <w:szCs w:val="28"/>
          <w:rtl/>
        </w:rPr>
        <w:t>وهذا</w:t>
      </w:r>
      <w:r w:rsidR="00620E65" w:rsidRPr="00B95935">
        <w:rPr>
          <w:rFonts w:ascii="Simplified Arabic" w:hAnsi="Simplified Arabic" w:cs="Simplified Arabic"/>
          <w:sz w:val="28"/>
          <w:szCs w:val="28"/>
          <w:rtl/>
        </w:rPr>
        <w:t xml:space="preserve"> ما يمهد الطريق لما أعلنه </w:t>
      </w:r>
      <w:r w:rsidR="002E5035">
        <w:rPr>
          <w:rFonts w:ascii="Simplified Arabic" w:hAnsi="Simplified Arabic" w:cs="Simplified Arabic" w:hint="cs"/>
          <w:sz w:val="28"/>
          <w:szCs w:val="28"/>
          <w:rtl/>
        </w:rPr>
        <w:t>رئيس الجمهورية</w:t>
      </w:r>
      <w:r w:rsidR="00620E65" w:rsidRPr="00B95935">
        <w:rPr>
          <w:rFonts w:ascii="Simplified Arabic" w:hAnsi="Simplified Arabic" w:cs="Simplified Arabic"/>
          <w:sz w:val="28"/>
          <w:szCs w:val="28"/>
          <w:rtl/>
        </w:rPr>
        <w:t xml:space="preserve">، </w:t>
      </w:r>
      <w:r w:rsidR="0087120E" w:rsidRPr="00B95935">
        <w:rPr>
          <w:rFonts w:ascii="Simplified Arabic" w:hAnsi="Simplified Arabic" w:cs="Simplified Arabic"/>
          <w:b/>
          <w:bCs/>
          <w:sz w:val="28"/>
          <w:szCs w:val="28"/>
          <w:rtl/>
        </w:rPr>
        <w:t>"</w:t>
      </w:r>
      <w:r w:rsidR="00620E65" w:rsidRPr="00B95935">
        <w:rPr>
          <w:rFonts w:ascii="Simplified Arabic" w:hAnsi="Simplified Arabic" w:cs="Simplified Arabic"/>
          <w:b/>
          <w:bCs/>
          <w:sz w:val="28"/>
          <w:szCs w:val="28"/>
          <w:rtl/>
        </w:rPr>
        <w:t>عام 2022 عاما للمجتمع المدني"،</w:t>
      </w:r>
      <w:r w:rsidR="00620E65" w:rsidRPr="00B95935">
        <w:rPr>
          <w:rFonts w:ascii="Simplified Arabic" w:hAnsi="Simplified Arabic" w:cs="Simplified Arabic"/>
          <w:sz w:val="28"/>
          <w:szCs w:val="28"/>
          <w:rtl/>
        </w:rPr>
        <w:t xml:space="preserve"> داعيا المجتمع </w:t>
      </w:r>
      <w:r w:rsidR="00B95935" w:rsidRPr="00B95935">
        <w:rPr>
          <w:rFonts w:ascii="Simplified Arabic" w:hAnsi="Simplified Arabic" w:cs="Simplified Arabic"/>
          <w:sz w:val="28"/>
          <w:szCs w:val="28"/>
          <w:rtl/>
        </w:rPr>
        <w:t>المدني</w:t>
      </w:r>
      <w:r w:rsidR="00620E65" w:rsidRPr="00B95935">
        <w:rPr>
          <w:rFonts w:ascii="Simplified Arabic" w:hAnsi="Simplified Arabic" w:cs="Simplified Arabic"/>
          <w:sz w:val="28"/>
          <w:szCs w:val="28"/>
          <w:rtl/>
        </w:rPr>
        <w:t xml:space="preserve"> إلى مواصلة العمل بجد واجتهاد جنبًا إلى جنب مع مؤسسات الدولة المصرية، لتحقيق التنمية المستدامة </w:t>
      </w:r>
      <w:r w:rsidR="00B95935" w:rsidRPr="00B95935">
        <w:rPr>
          <w:rFonts w:ascii="Simplified Arabic" w:hAnsi="Simplified Arabic" w:cs="Simplified Arabic"/>
          <w:sz w:val="28"/>
          <w:szCs w:val="28"/>
          <w:rtl/>
        </w:rPr>
        <w:t>في</w:t>
      </w:r>
      <w:r w:rsidR="00620E65" w:rsidRPr="00B95935">
        <w:rPr>
          <w:rFonts w:ascii="Simplified Arabic" w:hAnsi="Simplified Arabic" w:cs="Simplified Arabic"/>
          <w:sz w:val="28"/>
          <w:szCs w:val="28"/>
          <w:rtl/>
        </w:rPr>
        <w:t xml:space="preserve"> كافة المجالات، ونشر الوعى بثقافة حقوق الإنسان، مساهمة </w:t>
      </w:r>
      <w:r w:rsidR="00B95935" w:rsidRPr="00B95935">
        <w:rPr>
          <w:rFonts w:ascii="Simplified Arabic" w:hAnsi="Simplified Arabic" w:cs="Simplified Arabic"/>
          <w:sz w:val="28"/>
          <w:szCs w:val="28"/>
          <w:rtl/>
        </w:rPr>
        <w:t>في</w:t>
      </w:r>
      <w:r w:rsidR="00620E65" w:rsidRPr="00B95935">
        <w:rPr>
          <w:rFonts w:ascii="Simplified Arabic" w:hAnsi="Simplified Arabic" w:cs="Simplified Arabic"/>
          <w:sz w:val="28"/>
          <w:szCs w:val="28"/>
          <w:rtl/>
        </w:rPr>
        <w:t xml:space="preserve"> تحقيق آمال وطموحات الشعب المصري العظيم، </w:t>
      </w:r>
      <w:r w:rsidR="00F172E4" w:rsidRPr="00B95935">
        <w:rPr>
          <w:rFonts w:ascii="Simplified Arabic" w:hAnsi="Simplified Arabic" w:cs="Simplified Arabic"/>
          <w:sz w:val="28"/>
          <w:szCs w:val="28"/>
          <w:rtl/>
        </w:rPr>
        <w:t>تعزيز مشاركة مؤسسات المجتمع المدني، وزيــادة فاعليــة القنــوات المؤسســية للتشــاور مــع منظمــات المجتمــع المدنــي بوصفها شــريكًا فـي عمليـة تعزيـز وحمايـة حقـوق الإنسـان بكافـة أبعادهـا، يعد أحد التحديات التي ذكرتها الاستراتيجية الوطنية لحقوق الإنسان، والخاصة بالحاجة إلى تعزيز المشاركة في الشأن العام</w:t>
      </w:r>
      <w:r w:rsidR="0080072C" w:rsidRPr="00B95935">
        <w:rPr>
          <w:rFonts w:ascii="Simplified Arabic" w:hAnsi="Simplified Arabic" w:cs="Simplified Arabic"/>
          <w:sz w:val="28"/>
          <w:szCs w:val="28"/>
          <w:rtl/>
          <w:lang w:bidi="ar-EG"/>
        </w:rPr>
        <w:t xml:space="preserve">، وبناء علي ذلك يتناول التقرير أوضاع منظمات المجتمع المدني القانونية في مصر ومراحل تطور تكوينها وعددها في الدولة، والجهود المصرية لتطوير مكانة الجمعيات </w:t>
      </w:r>
      <w:r w:rsidR="0087120E" w:rsidRPr="00B95935">
        <w:rPr>
          <w:rFonts w:ascii="Simplified Arabic" w:hAnsi="Simplified Arabic" w:cs="Simplified Arabic"/>
          <w:sz w:val="28"/>
          <w:szCs w:val="28"/>
          <w:rtl/>
          <w:lang w:bidi="ar-EG"/>
        </w:rPr>
        <w:t>الأهلية</w:t>
      </w:r>
      <w:r w:rsidR="0080072C" w:rsidRPr="00B95935">
        <w:rPr>
          <w:rFonts w:ascii="Simplified Arabic" w:hAnsi="Simplified Arabic" w:cs="Simplified Arabic"/>
          <w:sz w:val="28"/>
          <w:szCs w:val="28"/>
          <w:rtl/>
          <w:lang w:bidi="ar-EG"/>
        </w:rPr>
        <w:t>.</w:t>
      </w:r>
    </w:p>
    <w:p w14:paraId="25288EB4" w14:textId="1FF74694" w:rsidR="00620E65" w:rsidRPr="00B95935" w:rsidRDefault="00620E65" w:rsidP="00B95935">
      <w:pPr>
        <w:jc w:val="both"/>
        <w:rPr>
          <w:rFonts w:ascii="Simplified Arabic" w:hAnsi="Simplified Arabic" w:cs="Simplified Arabic"/>
          <w:sz w:val="28"/>
          <w:szCs w:val="28"/>
          <w:rtl/>
          <w:lang w:bidi="ar-EG"/>
        </w:rPr>
      </w:pPr>
    </w:p>
    <w:p w14:paraId="6C5B59EB" w14:textId="77777777" w:rsidR="00620E65" w:rsidRPr="00B95935" w:rsidRDefault="00620E65" w:rsidP="00B95935">
      <w:pPr>
        <w:jc w:val="both"/>
        <w:rPr>
          <w:rFonts w:ascii="Simplified Arabic" w:hAnsi="Simplified Arabic" w:cs="Simplified Arabic"/>
          <w:sz w:val="28"/>
          <w:szCs w:val="28"/>
          <w:rtl/>
          <w:lang w:bidi="ar-EG"/>
        </w:rPr>
      </w:pPr>
    </w:p>
    <w:p w14:paraId="226ED655" w14:textId="77777777" w:rsidR="00F172E4" w:rsidRPr="00B95935" w:rsidRDefault="00F172E4" w:rsidP="00B95935">
      <w:pPr>
        <w:pStyle w:val="Footer"/>
        <w:spacing w:line="276" w:lineRule="auto"/>
        <w:rPr>
          <w:rFonts w:ascii="Simplified Arabic" w:hAnsi="Simplified Arabic" w:cs="Simplified Arabic"/>
          <w:b/>
          <w:bCs/>
          <w:color w:val="FF0000"/>
          <w:sz w:val="28"/>
          <w:szCs w:val="28"/>
          <w:rtl/>
          <w:lang w:bidi="ar-EG"/>
        </w:rPr>
      </w:pPr>
    </w:p>
    <w:p w14:paraId="41666269" w14:textId="77777777" w:rsidR="00CA75E8" w:rsidRPr="00B95935" w:rsidRDefault="00CA75E8" w:rsidP="00B95935">
      <w:pPr>
        <w:shd w:val="clear" w:color="auto" w:fill="0070C0"/>
        <w:rPr>
          <w:rFonts w:ascii="Simplified Arabic" w:hAnsi="Simplified Arabic" w:cs="Simplified Arabic"/>
          <w:b/>
          <w:bCs/>
          <w:sz w:val="28"/>
          <w:szCs w:val="28"/>
          <w:rtl/>
          <w:lang w:bidi="ar-EG"/>
        </w:rPr>
      </w:pPr>
      <w:r w:rsidRPr="00B95935">
        <w:rPr>
          <w:rFonts w:ascii="Simplified Arabic" w:hAnsi="Simplified Arabic" w:cs="Simplified Arabic"/>
          <w:b/>
          <w:bCs/>
          <w:sz w:val="28"/>
          <w:szCs w:val="28"/>
          <w:rtl/>
          <w:lang w:bidi="ar-EG"/>
        </w:rPr>
        <w:t xml:space="preserve">أولا: الإطار القانوني للحقوق المدنية والسياسية في مصر. </w:t>
      </w:r>
    </w:p>
    <w:p w14:paraId="0FDA3408" w14:textId="77777777" w:rsidR="00CA75E8" w:rsidRPr="00B95935" w:rsidRDefault="00CA75E8" w:rsidP="00B95935">
      <w:pPr>
        <w:tabs>
          <w:tab w:val="left" w:pos="2651"/>
        </w:tabs>
        <w:jc w:val="both"/>
        <w:rPr>
          <w:rFonts w:ascii="Simplified Arabic" w:hAnsi="Simplified Arabic" w:cs="Simplified Arabic"/>
          <w:sz w:val="28"/>
          <w:szCs w:val="28"/>
          <w:rtl/>
        </w:rPr>
      </w:pPr>
      <w:r w:rsidRPr="00B95935">
        <w:rPr>
          <w:rFonts w:ascii="Simplified Arabic" w:hAnsi="Simplified Arabic" w:cs="Simplified Arabic"/>
          <w:sz w:val="28"/>
          <w:szCs w:val="28"/>
          <w:rtl/>
        </w:rPr>
        <w:t>أقرت العديد من القوانين الخاصة بتنظيم العمل الأهلي والتي كانت تفرض الكثير من القيود على عمل منظمات المجتمع المدني، إلى أن وصلنا إلى القانون رقم 149 لسنة 2019 والذي يعد أفضلهم على الإطلاق، وأن أبرز ما يميز هذا القانون هو إلغاء العقوبات السالبة للحريات وإنشاء المنظمات بالإخطار واعتبار فوات المواعيد دون رد الحكومة هي موافقة على التمويل.</w:t>
      </w:r>
    </w:p>
    <w:p w14:paraId="410AE13C" w14:textId="77777777" w:rsidR="00CA75E8" w:rsidRPr="00B95935" w:rsidRDefault="00CA75E8" w:rsidP="00B95935">
      <w:pPr>
        <w:tabs>
          <w:tab w:val="left" w:pos="2651"/>
        </w:tabs>
        <w:jc w:val="both"/>
        <w:rPr>
          <w:rFonts w:ascii="Simplified Arabic" w:hAnsi="Simplified Arabic" w:cs="Simplified Arabic"/>
          <w:sz w:val="28"/>
          <w:szCs w:val="28"/>
          <w:rtl/>
        </w:rPr>
      </w:pPr>
      <w:r w:rsidRPr="00B95935">
        <w:rPr>
          <w:rFonts w:ascii="Simplified Arabic" w:hAnsi="Simplified Arabic" w:cs="Simplified Arabic"/>
          <w:sz w:val="28"/>
          <w:szCs w:val="28"/>
          <w:rtl/>
        </w:rPr>
        <w:t>وفيما يتعلق بالحق في التظاهر، فتم إدخال تعديل على قانون التظاهر بعد قرار المحكمة الدستورية بعدم دستورية المادة 10 من قانون التظاهر، والتي كانت تجيز لوزير الداخلية بمنع التظاهرات، أو إرجائها أو نقلها إلى مكان آخر، وأن التعديل الجديد ألغى حق الأمن في منع التظاهر مانحًا هذا الحق لقاضي الأمور الوقتية وبعد تقديم مذكرة رسمية من وزير الداخلية أو مدير الأمن، وهو ما يحدث في كل الدول الديمقراطية</w:t>
      </w:r>
      <w:r w:rsidRPr="00B95935">
        <w:rPr>
          <w:rFonts w:ascii="Simplified Arabic" w:hAnsi="Simplified Arabic" w:cs="Simplified Arabic"/>
          <w:sz w:val="28"/>
          <w:szCs w:val="28"/>
        </w:rPr>
        <w:t>.</w:t>
      </w:r>
    </w:p>
    <w:p w14:paraId="5E314D5B" w14:textId="77777777" w:rsidR="00CA75E8" w:rsidRPr="00B95935" w:rsidRDefault="00CA75E8" w:rsidP="00B95935">
      <w:pPr>
        <w:shd w:val="clear" w:color="auto" w:fill="0070C0"/>
        <w:tabs>
          <w:tab w:val="left" w:pos="2651"/>
        </w:tabs>
        <w:jc w:val="both"/>
        <w:rPr>
          <w:rFonts w:ascii="Simplified Arabic" w:hAnsi="Simplified Arabic" w:cs="Simplified Arabic"/>
          <w:b/>
          <w:bCs/>
          <w:sz w:val="28"/>
          <w:szCs w:val="28"/>
          <w:rtl/>
        </w:rPr>
      </w:pPr>
      <w:r w:rsidRPr="00B95935">
        <w:rPr>
          <w:rFonts w:ascii="Simplified Arabic" w:hAnsi="Simplified Arabic" w:cs="Simplified Arabic"/>
          <w:b/>
          <w:bCs/>
          <w:sz w:val="28"/>
          <w:szCs w:val="28"/>
          <w:rtl/>
        </w:rPr>
        <w:t>ثانيا: المساواة في الحقوق السياسية والمدنية في مصر</w:t>
      </w:r>
    </w:p>
    <w:p w14:paraId="5DB94BB8" w14:textId="6F15F501" w:rsidR="00A9542F" w:rsidRPr="00B95935" w:rsidRDefault="00CA75E8" w:rsidP="00B95935">
      <w:pPr>
        <w:tabs>
          <w:tab w:val="left" w:pos="2651"/>
        </w:tabs>
        <w:jc w:val="both"/>
        <w:rPr>
          <w:rFonts w:ascii="Simplified Arabic" w:hAnsi="Simplified Arabic" w:cs="Simplified Arabic"/>
          <w:sz w:val="28"/>
          <w:szCs w:val="28"/>
          <w:rtl/>
        </w:rPr>
      </w:pPr>
      <w:r w:rsidRPr="00B95935">
        <w:rPr>
          <w:rFonts w:ascii="Simplified Arabic" w:hAnsi="Simplified Arabic" w:cs="Simplified Arabic"/>
          <w:sz w:val="28"/>
          <w:szCs w:val="28"/>
          <w:rtl/>
        </w:rPr>
        <w:t>شهدت تغير وتذبذب في حجم وطبيعة المشاركة السياسية في مصر، لا سيما في الانتخابات البرلمانية والتي تراجعت للنصف تقريبًا، مشيدًا بدور الهيئة الوطنية المستقلة للانتخابات في تولي وإدارة كل الانتخابات والاستفتاءات بشكل مستقل مما يساهم في تعزيز نزاهة وحيادية الانتخابات</w:t>
      </w:r>
      <w:r w:rsidR="00163808" w:rsidRPr="00B95935">
        <w:rPr>
          <w:rFonts w:ascii="Simplified Arabic" w:hAnsi="Simplified Arabic" w:cs="Simplified Arabic"/>
          <w:sz w:val="28"/>
          <w:szCs w:val="28"/>
          <w:rtl/>
        </w:rPr>
        <w:t>، ومن هنا يتم التطرق إلى أوضاع الجمعيات الأهلية بالأخص من ضمن باقي الحقوق السياسية والمدنية في مصر:</w:t>
      </w:r>
    </w:p>
    <w:p w14:paraId="20EAB7A4" w14:textId="13F9584B" w:rsidR="00163808" w:rsidRPr="00B95935" w:rsidRDefault="00A9542F" w:rsidP="00B95935">
      <w:pPr>
        <w:pStyle w:val="ListParagraph"/>
        <w:numPr>
          <w:ilvl w:val="0"/>
          <w:numId w:val="2"/>
        </w:numPr>
        <w:tabs>
          <w:tab w:val="left" w:pos="2651"/>
        </w:tabs>
        <w:jc w:val="both"/>
        <w:rPr>
          <w:rFonts w:ascii="Simplified Arabic" w:hAnsi="Simplified Arabic" w:cs="Simplified Arabic"/>
          <w:b/>
          <w:bCs/>
          <w:sz w:val="28"/>
          <w:szCs w:val="28"/>
        </w:rPr>
      </w:pPr>
      <w:r w:rsidRPr="00B95935">
        <w:rPr>
          <w:rFonts w:ascii="Simplified Arabic" w:hAnsi="Simplified Arabic" w:cs="Simplified Arabic"/>
          <w:b/>
          <w:bCs/>
          <w:sz w:val="28"/>
          <w:szCs w:val="28"/>
          <w:rtl/>
        </w:rPr>
        <w:t>المراحل القانونية للجمعيات الأهلية</w:t>
      </w:r>
      <w:r w:rsidR="00163808" w:rsidRPr="00B95935">
        <w:rPr>
          <w:rFonts w:ascii="Simplified Arabic" w:hAnsi="Simplified Arabic" w:cs="Simplified Arabic"/>
          <w:b/>
          <w:bCs/>
          <w:sz w:val="28"/>
          <w:szCs w:val="28"/>
          <w:rtl/>
        </w:rPr>
        <w:t xml:space="preserve"> في مصر</w:t>
      </w:r>
    </w:p>
    <w:p w14:paraId="000B5F85" w14:textId="633242E5" w:rsidR="0087120E" w:rsidRPr="00B95935" w:rsidRDefault="00CA75E8" w:rsidP="00B95935">
      <w:pPr>
        <w:tabs>
          <w:tab w:val="left" w:pos="2651"/>
        </w:tabs>
        <w:ind w:left="360"/>
        <w:jc w:val="both"/>
        <w:rPr>
          <w:rFonts w:ascii="Simplified Arabic" w:hAnsi="Simplified Arabic" w:cs="Simplified Arabic"/>
          <w:sz w:val="28"/>
          <w:szCs w:val="28"/>
          <w:rtl/>
        </w:rPr>
      </w:pPr>
      <w:r w:rsidRPr="00B95935">
        <w:rPr>
          <w:rFonts w:ascii="Simplified Arabic" w:hAnsi="Simplified Arabic" w:cs="Simplified Arabic"/>
          <w:sz w:val="28"/>
          <w:szCs w:val="28"/>
          <w:rtl/>
        </w:rPr>
        <w:t xml:space="preserve">صدر من قبل الدولة المصرية لتنظيم العمل الأهلي عددا من التشريعات: أولها رقم 49 لسنة 1945 بشأن تنظيم الجمعيات الخيرية والمؤسسات الاجتماعية والتبرع للوجوه الخيرية، والنصوص الواردة بالقانون المدني الصادر برقم </w:t>
      </w:r>
      <w:r w:rsidRPr="00B95935">
        <w:rPr>
          <w:rFonts w:ascii="Simplified Arabic" w:hAnsi="Simplified Arabic" w:cs="Simplified Arabic"/>
          <w:sz w:val="28"/>
          <w:szCs w:val="28"/>
          <w:rtl/>
        </w:rPr>
        <w:lastRenderedPageBreak/>
        <w:t xml:space="preserve">131 لسنة 1948 والقوانين أرقام 384 لسنة 1956 و32 لسنة 1964 والقانون 84 لسنة 2002 والقانون 70 لسنة 2017 انتهاء بالقانون الحالي وكان قانون رقم 70 من أسوأ قوانين عمل الجمعيات الأهلية حيث كان يطلق عليه قانون سيء السمعة حيث أنه لم يحقق هذه الفكرة وإن كان يعبر عن توازن قوي وهمي إلا أنه فشل كصياغة للمعادلة، فعكس وجه نظر أحادية – وهي وجه نظر الحكومة إلا أن هذه النظرة </w:t>
      </w:r>
      <w:r w:rsidR="006F0912" w:rsidRPr="00B95935">
        <w:rPr>
          <w:rFonts w:ascii="Simplified Arabic" w:hAnsi="Simplified Arabic" w:cs="Simplified Arabic"/>
          <w:sz w:val="28"/>
          <w:szCs w:val="28"/>
          <w:rtl/>
        </w:rPr>
        <w:t>"</w:t>
      </w:r>
      <w:r w:rsidRPr="00B95935">
        <w:rPr>
          <w:rFonts w:ascii="Simplified Arabic" w:hAnsi="Simplified Arabic" w:cs="Simplified Arabic"/>
          <w:sz w:val="28"/>
          <w:szCs w:val="28"/>
          <w:rtl/>
        </w:rPr>
        <w:t>الصياغة</w:t>
      </w:r>
      <w:r w:rsidR="006F0912" w:rsidRPr="00B95935">
        <w:rPr>
          <w:rFonts w:ascii="Simplified Arabic" w:hAnsi="Simplified Arabic" w:cs="Simplified Arabic"/>
          <w:sz w:val="28"/>
          <w:szCs w:val="28"/>
          <w:rtl/>
        </w:rPr>
        <w:t>"</w:t>
      </w:r>
      <w:r w:rsidRPr="00B95935">
        <w:rPr>
          <w:rFonts w:ascii="Simplified Arabic" w:hAnsi="Simplified Arabic" w:cs="Simplified Arabic"/>
          <w:sz w:val="28"/>
          <w:szCs w:val="28"/>
          <w:rtl/>
        </w:rPr>
        <w:t xml:space="preserve"> تعارضت وتضاربت مع مصالح الجمعيات الأهلية ولم تعكس توازن القوى لتلك الفئات وهو ما أدى إلى أن هذا القانون الملغي أصبح قانوناً غير قابل للتطبيق، وأبرز مثال على فشل القانون الملغي رقم 70 لسنة 2017 كصياغة متوافق عليها للعمل الأهلي في مصر هو أنه لم تصدر له لائحة تنفيذية منذ صدوره في أوائل عام 2017 وحتى إلغائه في أغسطس 2019</w:t>
      </w:r>
      <w:r w:rsidRPr="00B95935">
        <w:rPr>
          <w:rFonts w:ascii="Simplified Arabic" w:hAnsi="Simplified Arabic" w:cs="Simplified Arabic"/>
          <w:sz w:val="28"/>
          <w:szCs w:val="28"/>
          <w:rtl/>
          <w:lang w:bidi="ar-EG"/>
        </w:rPr>
        <w:t>.</w:t>
      </w:r>
      <w:r w:rsidR="006F0912" w:rsidRPr="00B95935">
        <w:rPr>
          <w:rStyle w:val="FootnoteReference"/>
          <w:rFonts w:ascii="Simplified Arabic" w:hAnsi="Simplified Arabic" w:cs="Simplified Arabic"/>
          <w:sz w:val="28"/>
          <w:szCs w:val="28"/>
          <w:rtl/>
        </w:rPr>
        <w:footnoteReference w:id="1"/>
      </w:r>
    </w:p>
    <w:p w14:paraId="7C14FB4E" w14:textId="6154DBE7" w:rsidR="0087120E" w:rsidRPr="00B95935" w:rsidRDefault="0087120E" w:rsidP="00B95935">
      <w:pPr>
        <w:pStyle w:val="ListParagraph"/>
        <w:numPr>
          <w:ilvl w:val="0"/>
          <w:numId w:val="2"/>
        </w:numPr>
        <w:jc w:val="both"/>
        <w:rPr>
          <w:rFonts w:ascii="Simplified Arabic" w:hAnsi="Simplified Arabic" w:cs="Simplified Arabic"/>
          <w:sz w:val="28"/>
          <w:szCs w:val="28"/>
          <w:lang w:bidi="ar-EG"/>
        </w:rPr>
      </w:pPr>
      <w:r w:rsidRPr="00B95935">
        <w:rPr>
          <w:rFonts w:ascii="Simplified Arabic" w:hAnsi="Simplified Arabic" w:cs="Simplified Arabic"/>
          <w:b/>
          <w:bCs/>
          <w:sz w:val="28"/>
          <w:szCs w:val="28"/>
          <w:rtl/>
          <w:lang w:bidi="ar-EG"/>
        </w:rPr>
        <w:t>تاريخ المشاركة المجتمعية</w:t>
      </w:r>
      <w:r w:rsidRPr="00B95935">
        <w:rPr>
          <w:rFonts w:ascii="Simplified Arabic" w:hAnsi="Simplified Arabic" w:cs="Simplified Arabic"/>
          <w:sz w:val="28"/>
          <w:szCs w:val="28"/>
          <w:rtl/>
          <w:lang w:bidi="ar-EG"/>
        </w:rPr>
        <w:t xml:space="preserve"> </w:t>
      </w:r>
      <w:r w:rsidRPr="00B95935">
        <w:rPr>
          <w:rFonts w:ascii="Simplified Arabic" w:hAnsi="Simplified Arabic" w:cs="Simplified Arabic"/>
          <w:b/>
          <w:bCs/>
          <w:sz w:val="28"/>
          <w:szCs w:val="28"/>
          <w:rtl/>
          <w:lang w:bidi="ar-EG"/>
        </w:rPr>
        <w:t>للجمعيات الأهلية في مصر</w:t>
      </w:r>
    </w:p>
    <w:p w14:paraId="4BF9EC33" w14:textId="454E2595" w:rsidR="0087120E" w:rsidRPr="00B95935" w:rsidRDefault="0087120E" w:rsidP="00DB1F53">
      <w:pPr>
        <w:jc w:val="both"/>
        <w:rPr>
          <w:rFonts w:ascii="Simplified Arabic" w:hAnsi="Simplified Arabic" w:cs="Simplified Arabic"/>
          <w:sz w:val="28"/>
          <w:szCs w:val="28"/>
          <w:rtl/>
          <w:lang w:bidi="ar-EG"/>
        </w:rPr>
      </w:pPr>
      <w:r w:rsidRPr="00B95935">
        <w:rPr>
          <w:rFonts w:ascii="Simplified Arabic" w:hAnsi="Simplified Arabic" w:cs="Simplified Arabic"/>
          <w:sz w:val="28"/>
          <w:szCs w:val="28"/>
          <w:rtl/>
        </w:rPr>
        <w:t xml:space="preserve">العمل الأهلي في مصر له تاريخ طويل يقرب من قرنين من الزمن، وتوالى إنشاء الجمعيات المختلفة، وأخذ بعضها الطابع الديني. فيما شهدت الأعوام الأخيرة طفرة في عدد الجمعيات الأهلية في مصر- رغم اتهام قانون 84 لسنة 2002 بأنه كان يحوي موادًا مقيدة للعمل الأهلي- فقد بلغ عدد الجمعيات الأهلية المسجلة في وزارة التضامن الاجتماعي عام 2012 (37.5 ألف) جمعية أهلية، ارتفع إلى (43.5 ألف) جمعية ومؤسسة أهلية في عام 2013، ووصلت إلى 47580 جمعية عام 2017. بينما في ظل الفترة البينية ما بين صدور القانون رقم 70 لعام 2017 والقانون الجديد شهدت زيادة مقدارها 2992 جمعية، فوصل عدد الجمعيات إلى </w:t>
      </w:r>
      <w:r w:rsidR="00DB1F53">
        <w:rPr>
          <w:rFonts w:ascii="Simplified Arabic" w:hAnsi="Simplified Arabic" w:cs="Simplified Arabic" w:hint="cs"/>
          <w:sz w:val="28"/>
          <w:szCs w:val="28"/>
          <w:rtl/>
        </w:rPr>
        <w:t xml:space="preserve">ما يقرب من 55 ألف </w:t>
      </w:r>
      <w:r w:rsidRPr="00B95935">
        <w:rPr>
          <w:rFonts w:ascii="Simplified Arabic" w:hAnsi="Simplified Arabic" w:cs="Simplified Arabic"/>
          <w:sz w:val="28"/>
          <w:szCs w:val="28"/>
          <w:rtl/>
        </w:rPr>
        <w:t>جمعية أهلية</w:t>
      </w:r>
      <w:r w:rsidR="00DB1F53">
        <w:rPr>
          <w:rFonts w:ascii="Simplified Arabic" w:hAnsi="Simplified Arabic" w:cs="Simplified Arabic" w:hint="cs"/>
          <w:sz w:val="28"/>
          <w:szCs w:val="28"/>
          <w:rtl/>
        </w:rPr>
        <w:t xml:space="preserve"> 2020</w:t>
      </w:r>
      <w:r w:rsidRPr="00B95935">
        <w:rPr>
          <w:rFonts w:ascii="Simplified Arabic" w:hAnsi="Simplified Arabic" w:cs="Simplified Arabic"/>
          <w:sz w:val="28"/>
          <w:szCs w:val="28"/>
          <w:rtl/>
        </w:rPr>
        <w:t xml:space="preserve">. </w:t>
      </w:r>
    </w:p>
    <w:p w14:paraId="4DE74CF3" w14:textId="77777777" w:rsidR="0087120E" w:rsidRPr="00B95935" w:rsidRDefault="0087120E" w:rsidP="00B95935">
      <w:pPr>
        <w:jc w:val="both"/>
        <w:rPr>
          <w:rFonts w:ascii="Simplified Arabic" w:hAnsi="Simplified Arabic" w:cs="Simplified Arabic"/>
          <w:sz w:val="28"/>
          <w:szCs w:val="28"/>
          <w:rtl/>
          <w:lang w:bidi="ar-EG"/>
        </w:rPr>
      </w:pPr>
      <w:r w:rsidRPr="00B95935">
        <w:rPr>
          <w:rFonts w:ascii="Simplified Arabic" w:hAnsi="Simplified Arabic" w:cs="Simplified Arabic"/>
          <w:sz w:val="28"/>
          <w:szCs w:val="28"/>
          <w:rtl/>
        </w:rPr>
        <w:t xml:space="preserve">والجمعيات الأهلية بمصر تقدم العديد من الأنشطة، وهي شريك أساسي بمشروع “حياة كريمة” لسابق الخبرة واندماجها المسبق مع أهالي القرى، هذا إلى جانب تقديم العديد من الأنشطة خاصة مجال الرعاية، والتنمية، وتقديم خدمات صحية للمواطنين الفقراء والمهمشين، وتقديم خدمات تعليمية من خلال المدارس، وتوفير الغذاء للمواطنين الفقراء، ورعاية المسنين وذوي الإعاقة ورعاية المسجونين وأسرهم والوقوف مع المواطنين من خلال توفير محامين للدفاع عنهم، خاصة في ظل </w:t>
      </w:r>
      <w:r w:rsidRPr="00B95935">
        <w:rPr>
          <w:rFonts w:ascii="Simplified Arabic" w:hAnsi="Simplified Arabic" w:cs="Simplified Arabic"/>
          <w:sz w:val="28"/>
          <w:szCs w:val="28"/>
          <w:rtl/>
        </w:rPr>
        <w:lastRenderedPageBreak/>
        <w:t>الظروف الاجتماعية والاقتصادية الصعبة التي مرت بها البلاد، وجميعها تتصل بشكل مباشر بمجالات حقوق الإنسان. فمثلً:</w:t>
      </w:r>
      <w:r w:rsidRPr="00B95935">
        <w:rPr>
          <w:rFonts w:ascii="Simplified Arabic" w:hAnsi="Simplified Arabic" w:cs="Simplified Arabic"/>
          <w:sz w:val="28"/>
          <w:szCs w:val="28"/>
          <w:lang w:bidi="ar-EG"/>
        </w:rPr>
        <w:t> </w:t>
      </w:r>
    </w:p>
    <w:p w14:paraId="3D7FD9BF" w14:textId="77777777" w:rsidR="0087120E" w:rsidRPr="00B95935" w:rsidRDefault="0087120E" w:rsidP="00B95935">
      <w:pPr>
        <w:jc w:val="both"/>
        <w:rPr>
          <w:rFonts w:ascii="Simplified Arabic" w:hAnsi="Simplified Arabic" w:cs="Simplified Arabic"/>
          <w:sz w:val="28"/>
          <w:szCs w:val="28"/>
          <w:lang w:bidi="ar-EG"/>
        </w:rPr>
      </w:pPr>
      <w:r w:rsidRPr="00B95935">
        <w:rPr>
          <w:rFonts w:ascii="Simplified Arabic" w:hAnsi="Simplified Arabic" w:cs="Simplified Arabic"/>
          <w:sz w:val="28"/>
          <w:szCs w:val="28"/>
          <w:rtl/>
        </w:rPr>
        <w:t>ينص دستور 2014 في مادته</w:t>
      </w:r>
      <w:r w:rsidRPr="00B95935">
        <w:rPr>
          <w:rFonts w:ascii="Simplified Arabic" w:hAnsi="Simplified Arabic" w:cs="Simplified Arabic"/>
          <w:sz w:val="28"/>
          <w:szCs w:val="28"/>
          <w:lang w:bidi="ar-EG"/>
        </w:rPr>
        <w:t xml:space="preserve"> (</w:t>
      </w:r>
      <w:r w:rsidRPr="009055E9">
        <w:rPr>
          <w:rFonts w:ascii="Simplified Arabic" w:hAnsi="Simplified Arabic" w:cs="Simplified Arabic"/>
          <w:sz w:val="28"/>
          <w:szCs w:val="28"/>
          <w:lang w:bidi="ar-EG"/>
        </w:rPr>
        <w:t>18</w:t>
      </w:r>
      <w:r w:rsidRPr="00B95935">
        <w:rPr>
          <w:rFonts w:ascii="Simplified Arabic" w:hAnsi="Simplified Arabic" w:cs="Simplified Arabic"/>
          <w:sz w:val="28"/>
          <w:szCs w:val="28"/>
          <w:lang w:bidi="ar-EG"/>
        </w:rPr>
        <w:t xml:space="preserve">) </w:t>
      </w:r>
      <w:r w:rsidRPr="00B95935">
        <w:rPr>
          <w:rFonts w:ascii="Simplified Arabic" w:hAnsi="Simplified Arabic" w:cs="Simplified Arabic"/>
          <w:sz w:val="28"/>
          <w:szCs w:val="28"/>
          <w:rtl/>
        </w:rPr>
        <w:t>على أن "لكل مواطن الحق في الصحة وفى الرعاية الصحية المتكاملة وفقا لمعايير الجودة، وتكفل الدولة الحفاظ على مرافق الخدمات الصحية العامة التي تقدم خدماتها للشعب ودعمها والعمل على رفع كفاءتها وانتشارها الجغرافي العادل، وتخضع جميع المنشآت الصحية، والمنتجات والمواد، ووسائل الدعاية المتعلقة بالصحة لرقابة الدولة،</w:t>
      </w:r>
      <w:r w:rsidRPr="00B95935">
        <w:rPr>
          <w:rFonts w:ascii="Simplified Arabic" w:hAnsi="Simplified Arabic" w:cs="Simplified Arabic"/>
          <w:sz w:val="28"/>
          <w:szCs w:val="28"/>
          <w:lang w:bidi="ar-EG"/>
        </w:rPr>
        <w:t> </w:t>
      </w:r>
      <w:r w:rsidRPr="00B95935">
        <w:rPr>
          <w:rFonts w:ascii="Simplified Arabic" w:hAnsi="Simplified Arabic" w:cs="Simplified Arabic"/>
          <w:sz w:val="28"/>
          <w:szCs w:val="28"/>
          <w:rtl/>
        </w:rPr>
        <w:t>وتشجع الدولة مشاركة القطاعين الخاص والأهلي في خدمات الرعاية الصحية وفقًا للقانون</w:t>
      </w:r>
      <w:r w:rsidRPr="00B95935">
        <w:rPr>
          <w:rFonts w:ascii="Simplified Arabic" w:hAnsi="Simplified Arabic" w:cs="Simplified Arabic"/>
          <w:sz w:val="28"/>
          <w:szCs w:val="28"/>
          <w:rtl/>
          <w:lang w:bidi="ar-EG"/>
        </w:rPr>
        <w:t xml:space="preserve">، </w:t>
      </w:r>
      <w:r w:rsidRPr="00B95935">
        <w:rPr>
          <w:rFonts w:ascii="Simplified Arabic" w:hAnsi="Simplified Arabic" w:cs="Simplified Arabic"/>
          <w:sz w:val="28"/>
          <w:szCs w:val="28"/>
          <w:rtl/>
        </w:rPr>
        <w:t>وبالفعل تقوم الجمعيات والمؤسسات الأهلية بتقديم الخدمات الصحية للمواطنين من خلال المستشفيات والمستوصفات والعيادات خاصة في المناطق الفقيرة والعشوائية والنائية. وتساهم الجمعيات والمؤسسات الأهلية بنسبة 30% من جملة الخدمات الصحية المقدمة للمواطنين</w:t>
      </w:r>
      <w:r w:rsidRPr="00B95935">
        <w:rPr>
          <w:rFonts w:ascii="Simplified Arabic" w:hAnsi="Simplified Arabic" w:cs="Simplified Arabic"/>
          <w:sz w:val="28"/>
          <w:szCs w:val="28"/>
          <w:lang w:bidi="ar-EG"/>
        </w:rPr>
        <w:t>.</w:t>
      </w:r>
    </w:p>
    <w:p w14:paraId="68C63867" w14:textId="7EF53759" w:rsidR="00EA68EE" w:rsidRPr="00B95935" w:rsidRDefault="0087120E" w:rsidP="00B95935">
      <w:pPr>
        <w:jc w:val="both"/>
        <w:rPr>
          <w:rFonts w:ascii="Simplified Arabic" w:hAnsi="Simplified Arabic" w:cs="Simplified Arabic"/>
          <w:sz w:val="28"/>
          <w:szCs w:val="28"/>
          <w:rtl/>
          <w:lang w:bidi="ar-EG"/>
        </w:rPr>
      </w:pPr>
      <w:r w:rsidRPr="00B95935">
        <w:rPr>
          <w:rFonts w:ascii="Simplified Arabic" w:hAnsi="Simplified Arabic" w:cs="Simplified Arabic"/>
          <w:sz w:val="28"/>
          <w:szCs w:val="28"/>
          <w:rtl/>
        </w:rPr>
        <w:t>فيقدر إجمالي أعداد المستفيدين من الخدمات الطبية التي تؤديها الجمعيات الأهلية المعانة بحوالي 2</w:t>
      </w:r>
      <w:r w:rsidR="009055E9">
        <w:rPr>
          <w:rFonts w:ascii="Simplified Arabic" w:hAnsi="Simplified Arabic" w:cs="Simplified Arabic" w:hint="cs"/>
          <w:sz w:val="28"/>
          <w:szCs w:val="28"/>
          <w:rtl/>
        </w:rPr>
        <w:t>,</w:t>
      </w:r>
      <w:r w:rsidRPr="00B95935">
        <w:rPr>
          <w:rFonts w:ascii="Simplified Arabic" w:hAnsi="Simplified Arabic" w:cs="Simplified Arabic"/>
          <w:sz w:val="28"/>
          <w:szCs w:val="28"/>
          <w:rtl/>
        </w:rPr>
        <w:t>045</w:t>
      </w:r>
      <w:r w:rsidR="009055E9">
        <w:rPr>
          <w:rFonts w:ascii="Simplified Arabic" w:hAnsi="Simplified Arabic" w:cs="Simplified Arabic" w:hint="cs"/>
          <w:sz w:val="28"/>
          <w:szCs w:val="28"/>
          <w:rtl/>
        </w:rPr>
        <w:t>,</w:t>
      </w:r>
      <w:r w:rsidRPr="00B95935">
        <w:rPr>
          <w:rFonts w:ascii="Simplified Arabic" w:hAnsi="Simplified Arabic" w:cs="Simplified Arabic"/>
          <w:sz w:val="28"/>
          <w:szCs w:val="28"/>
          <w:rtl/>
        </w:rPr>
        <w:t>140 مستفيد خلال عام 2019، بقيمة إجمالية حوالي 211 مليون جنيه بزيادة عن سابقتها 2018 بحوالي 85 مليون، وانقسمت هذه الخدمات بين التردد على المراكز الطبية والعيادات والمستشفيات الأهلية، وخدمة رعاية وتنظيم الأسرة، ورعاية الأمومة والطفولة</w:t>
      </w:r>
      <w:r w:rsidRPr="00B95935">
        <w:rPr>
          <w:rFonts w:ascii="Simplified Arabic" w:hAnsi="Simplified Arabic" w:cs="Simplified Arabic"/>
          <w:sz w:val="28"/>
          <w:szCs w:val="28"/>
          <w:rtl/>
          <w:lang w:bidi="ar-EG"/>
        </w:rPr>
        <w:t>.</w:t>
      </w:r>
      <w:r w:rsidRPr="00B95935">
        <w:rPr>
          <w:rFonts w:ascii="Simplified Arabic" w:eastAsia="Times New Roman" w:hAnsi="Simplified Arabic" w:cs="Simplified Arabic"/>
          <w:color w:val="2C2F34"/>
          <w:sz w:val="28"/>
          <w:szCs w:val="28"/>
          <w:rtl/>
        </w:rPr>
        <w:t xml:space="preserve"> </w:t>
      </w:r>
    </w:p>
    <w:p w14:paraId="7A40B19C" w14:textId="6E375ACD" w:rsidR="00EA68EE" w:rsidRPr="00B95935" w:rsidRDefault="00EA68EE" w:rsidP="00B95935">
      <w:pPr>
        <w:pStyle w:val="ListParagraph"/>
        <w:numPr>
          <w:ilvl w:val="0"/>
          <w:numId w:val="2"/>
        </w:numPr>
        <w:tabs>
          <w:tab w:val="left" w:pos="2651"/>
        </w:tabs>
        <w:jc w:val="both"/>
        <w:rPr>
          <w:rFonts w:ascii="Simplified Arabic" w:hAnsi="Simplified Arabic" w:cs="Simplified Arabic"/>
          <w:b/>
          <w:bCs/>
          <w:sz w:val="28"/>
          <w:szCs w:val="28"/>
          <w:rtl/>
        </w:rPr>
      </w:pPr>
      <w:r w:rsidRPr="00B95935">
        <w:rPr>
          <w:rFonts w:ascii="Simplified Arabic" w:hAnsi="Simplified Arabic" w:cs="Simplified Arabic"/>
          <w:b/>
          <w:bCs/>
          <w:sz w:val="28"/>
          <w:szCs w:val="28"/>
          <w:rtl/>
        </w:rPr>
        <w:t>جهود الدولة لتطوير عمل الجمعيات الأهلية في مصر</w:t>
      </w:r>
    </w:p>
    <w:p w14:paraId="35BA4B75" w14:textId="1859BFBB" w:rsidR="00A9542F" w:rsidRPr="00B95935" w:rsidRDefault="00A9542F" w:rsidP="00B95935">
      <w:pPr>
        <w:tabs>
          <w:tab w:val="left" w:pos="2651"/>
        </w:tabs>
        <w:jc w:val="both"/>
        <w:rPr>
          <w:rFonts w:ascii="Simplified Arabic" w:hAnsi="Simplified Arabic" w:cs="Simplified Arabic"/>
          <w:sz w:val="28"/>
          <w:szCs w:val="28"/>
        </w:rPr>
      </w:pPr>
      <w:r w:rsidRPr="00B95935">
        <w:rPr>
          <w:rFonts w:ascii="Simplified Arabic" w:hAnsi="Simplified Arabic" w:cs="Simplified Arabic"/>
          <w:sz w:val="28"/>
          <w:szCs w:val="28"/>
          <w:rtl/>
        </w:rPr>
        <w:t xml:space="preserve">الدولة جادة في مواجهة تحدياتها وعلى رأسها تحدي نشر الوعي بثقافة حقوق </w:t>
      </w:r>
      <w:proofErr w:type="spellStart"/>
      <w:r w:rsidRPr="00B95935">
        <w:rPr>
          <w:rFonts w:ascii="Simplified Arabic" w:hAnsi="Simplified Arabic" w:cs="Simplified Arabic"/>
          <w:sz w:val="28"/>
          <w:szCs w:val="28"/>
          <w:rtl/>
        </w:rPr>
        <w:t>الانسان</w:t>
      </w:r>
      <w:proofErr w:type="spellEnd"/>
      <w:r w:rsidRPr="00B95935">
        <w:rPr>
          <w:rFonts w:ascii="Simplified Arabic" w:hAnsi="Simplified Arabic" w:cs="Simplified Arabic"/>
          <w:sz w:val="28"/>
          <w:szCs w:val="28"/>
          <w:rtl/>
        </w:rPr>
        <w:t>، ويعد أبرز المحطات في هذا الصدد إصدار </w:t>
      </w:r>
      <w:hyperlink r:id="rId8" w:history="1">
        <w:r w:rsidRPr="00B95935">
          <w:rPr>
            <w:rStyle w:val="Hyperlink"/>
            <w:rFonts w:ascii="Simplified Arabic" w:hAnsi="Simplified Arabic" w:cs="Simplified Arabic"/>
            <w:color w:val="auto"/>
            <w:sz w:val="28"/>
            <w:szCs w:val="28"/>
            <w:u w:val="none"/>
            <w:rtl/>
          </w:rPr>
          <w:t>قانون</w:t>
        </w:r>
      </w:hyperlink>
      <w:r w:rsidRPr="00B95935">
        <w:rPr>
          <w:rFonts w:ascii="Simplified Arabic" w:hAnsi="Simplified Arabic" w:cs="Simplified Arabic"/>
          <w:sz w:val="28"/>
          <w:szCs w:val="28"/>
          <w:lang w:bidi="ar-EG"/>
        </w:rPr>
        <w:t> </w:t>
      </w:r>
      <w:r w:rsidRPr="00B95935">
        <w:rPr>
          <w:rFonts w:ascii="Simplified Arabic" w:hAnsi="Simplified Arabic" w:cs="Simplified Arabic"/>
          <w:sz w:val="28"/>
          <w:szCs w:val="28"/>
          <w:rtl/>
        </w:rPr>
        <w:t>تنظيم ممارسة العمل الأهلي الصادر برقم 149 لسنة 2019،</w:t>
      </w:r>
      <w:r w:rsidRPr="00B95935">
        <w:rPr>
          <w:rFonts w:ascii="Simplified Arabic" w:hAnsi="Simplified Arabic" w:cs="Simplified Arabic"/>
          <w:sz w:val="28"/>
          <w:szCs w:val="28"/>
          <w:lang w:bidi="ar-EG"/>
        </w:rPr>
        <w:t> </w:t>
      </w:r>
      <w:r w:rsidRPr="00B95935">
        <w:rPr>
          <w:rFonts w:ascii="Simplified Arabic" w:hAnsi="Simplified Arabic" w:cs="Simplified Arabic"/>
          <w:sz w:val="28"/>
          <w:szCs w:val="28"/>
          <w:rtl/>
        </w:rPr>
        <w:t xml:space="preserve">استجابة لرغبة منظمات العمل الأهلي برفضهم للقانون 70 سنة 2017، حيث كلف رئيس </w:t>
      </w:r>
      <w:r w:rsidR="0020362C">
        <w:rPr>
          <w:rFonts w:ascii="Simplified Arabic" w:hAnsi="Simplified Arabic" w:cs="Simplified Arabic" w:hint="cs"/>
          <w:sz w:val="28"/>
          <w:szCs w:val="28"/>
          <w:rtl/>
        </w:rPr>
        <w:t>الجمهورية</w:t>
      </w:r>
      <w:r w:rsidRPr="00B95935">
        <w:rPr>
          <w:rFonts w:ascii="Simplified Arabic" w:hAnsi="Simplified Arabic" w:cs="Simplified Arabic"/>
          <w:sz w:val="28"/>
          <w:szCs w:val="28"/>
          <w:rtl/>
        </w:rPr>
        <w:t xml:space="preserve"> بفتح حوار مجتمعي تشارك فيه منظمات العمل الأهلي والشباب لإعداد مشروع قانون جديد لتنظيم العمل الأهلي، وقاد الحوارات 4 جمعيات كبرى هي مصر الخير والهلال الأحمر وشباب رجال الأعمال والهيئة القبطية الإنجيلية بحضور قرابة 1000 جمعية، وكذا نظمت الأكاديمية الوطنية </w:t>
      </w:r>
      <w:r w:rsidRPr="00B95935">
        <w:rPr>
          <w:rFonts w:ascii="Simplified Arabic" w:hAnsi="Simplified Arabic" w:cs="Simplified Arabic"/>
          <w:sz w:val="28"/>
          <w:szCs w:val="28"/>
          <w:rtl/>
        </w:rPr>
        <w:lastRenderedPageBreak/>
        <w:t>للتدريب حوارًا مجتمعيًا مع شباب البرنامج الرئاسي وبحضور ممثلي وزارة التضامن الاجتماعي حول مقترحات تعديل قانون الجمعيات، كما استضافت وزارة التضامن لقاء للمنظمات الأجنبية العاملة في مصر. وهو ما يؤكد حسن النية لدى الدولة في بناء جسور الثقة مع القطاع الأهلي حيث استجاب لمطالب أساسية لطالما نادى بها هذا القطاع ونشطاؤه. كتسهيل عملية تأسيس وإشهار الجمعيات الأهلية</w:t>
      </w:r>
      <w:r w:rsidRPr="00B95935">
        <w:rPr>
          <w:rFonts w:ascii="Simplified Arabic" w:hAnsi="Simplified Arabic" w:cs="Simplified Arabic"/>
          <w:sz w:val="28"/>
          <w:szCs w:val="28"/>
          <w:lang w:bidi="ar-EG"/>
        </w:rPr>
        <w:t>.</w:t>
      </w:r>
      <w:r w:rsidR="006F0912" w:rsidRPr="00B95935">
        <w:rPr>
          <w:rStyle w:val="FootnoteReference"/>
          <w:rFonts w:ascii="Simplified Arabic" w:hAnsi="Simplified Arabic" w:cs="Simplified Arabic"/>
          <w:sz w:val="28"/>
          <w:szCs w:val="28"/>
          <w:lang w:bidi="ar-EG"/>
        </w:rPr>
        <w:footnoteReference w:id="2"/>
      </w:r>
    </w:p>
    <w:p w14:paraId="3FA5669B" w14:textId="1629D21C" w:rsidR="00175E0B" w:rsidRPr="007C052C" w:rsidRDefault="00CA75E8" w:rsidP="00175E0B">
      <w:pPr>
        <w:tabs>
          <w:tab w:val="left" w:pos="2651"/>
        </w:tabs>
        <w:jc w:val="both"/>
        <w:rPr>
          <w:rFonts w:ascii="Simplified Arabic" w:hAnsi="Simplified Arabic" w:cs="Simplified Arabic"/>
          <w:b/>
          <w:bCs/>
          <w:sz w:val="28"/>
          <w:szCs w:val="28"/>
          <w:rtl/>
          <w:lang w:bidi="ar-EG"/>
        </w:rPr>
      </w:pPr>
      <w:r w:rsidRPr="00B95935">
        <w:rPr>
          <w:rFonts w:ascii="Simplified Arabic" w:hAnsi="Simplified Arabic" w:cs="Simplified Arabic"/>
          <w:sz w:val="28"/>
          <w:szCs w:val="28"/>
          <w:rtl/>
          <w:lang w:bidi="ar-EG"/>
        </w:rPr>
        <w:t xml:space="preserve">جاء قانون رقم 149 لسنة 2019 الذي </w:t>
      </w:r>
      <w:r w:rsidRPr="00B95935">
        <w:rPr>
          <w:rFonts w:ascii="Simplified Arabic" w:hAnsi="Simplified Arabic" w:cs="Simplified Arabic"/>
          <w:sz w:val="28"/>
          <w:szCs w:val="28"/>
          <w:rtl/>
        </w:rPr>
        <w:t xml:space="preserve">ألغى قانون العقوبات السالبة للحريات واكتفى بالعقوبات المالية، كما نظم عمل المنظمات الأجنبية للعمل الأهلي، ونص على أن تأسيس الجمعية الأهلية بموجب إخطار يقدم للجهة الإدارية المختصة وذلك التزاما بنص المادة 75 من الدستور، ونصت على ثبوت الشخصية الاعتبارية لها بمجرد الإخطار ومنحت الحق لكل شخص طبيعي أو معنوي </w:t>
      </w:r>
      <w:r w:rsidR="00B95935" w:rsidRPr="00B95935">
        <w:rPr>
          <w:rFonts w:ascii="Simplified Arabic" w:hAnsi="Simplified Arabic" w:cs="Simplified Arabic"/>
          <w:sz w:val="28"/>
          <w:szCs w:val="28"/>
          <w:rtl/>
        </w:rPr>
        <w:t>في</w:t>
      </w:r>
      <w:r w:rsidRPr="00B95935">
        <w:rPr>
          <w:rFonts w:ascii="Simplified Arabic" w:hAnsi="Simplified Arabic" w:cs="Simplified Arabic"/>
          <w:sz w:val="28"/>
          <w:szCs w:val="28"/>
          <w:rtl/>
        </w:rPr>
        <w:t xml:space="preserve"> الانضمام إليها أو الانسحاب منها</w:t>
      </w:r>
      <w:r w:rsidR="006F0912" w:rsidRPr="00B95935">
        <w:rPr>
          <w:rFonts w:ascii="Simplified Arabic" w:hAnsi="Simplified Arabic" w:cs="Simplified Arabic"/>
          <w:sz w:val="28"/>
          <w:szCs w:val="28"/>
          <w:rtl/>
        </w:rPr>
        <w:t xml:space="preserve"> </w:t>
      </w:r>
      <w:r w:rsidRPr="00B95935">
        <w:rPr>
          <w:rFonts w:ascii="Simplified Arabic" w:hAnsi="Simplified Arabic" w:cs="Simplified Arabic"/>
          <w:sz w:val="28"/>
          <w:szCs w:val="28"/>
          <w:rtl/>
        </w:rPr>
        <w:t>وفقا لأحكام القانون</w:t>
      </w:r>
      <w:r w:rsidRPr="007C052C">
        <w:rPr>
          <w:rFonts w:ascii="Simplified Arabic" w:hAnsi="Simplified Arabic" w:cs="Simplified Arabic"/>
          <w:b/>
          <w:bCs/>
          <w:sz w:val="28"/>
          <w:szCs w:val="28"/>
          <w:rtl/>
          <w:lang w:bidi="ar-EG"/>
        </w:rPr>
        <w:t xml:space="preserve">، </w:t>
      </w:r>
      <w:r w:rsidR="00175E0B" w:rsidRPr="007C052C">
        <w:rPr>
          <w:rFonts w:ascii="Tajawal" w:hAnsi="Tajawal" w:cs="Tajawal"/>
          <w:sz w:val="24"/>
          <w:szCs w:val="24"/>
          <w:rtl/>
          <w:lang w:bidi="ar-EG"/>
        </w:rPr>
        <w:t xml:space="preserve">وتأتى أهمية القانون الجديد (149 لسنة 2019) من عدة زوايا: </w:t>
      </w:r>
      <w:r w:rsidR="00175E0B" w:rsidRPr="007C052C">
        <w:rPr>
          <w:rFonts w:ascii="Tajawal" w:hAnsi="Tajawal" w:cs="Tajawal"/>
          <w:b/>
          <w:bCs/>
          <w:sz w:val="24"/>
          <w:szCs w:val="24"/>
          <w:rtl/>
          <w:lang w:bidi="ar-EG"/>
        </w:rPr>
        <w:t>أولها</w:t>
      </w:r>
      <w:r w:rsidR="00175E0B" w:rsidRPr="007C052C">
        <w:rPr>
          <w:rFonts w:ascii="Tajawal" w:hAnsi="Tajawal" w:cs="Tajawal"/>
          <w:sz w:val="24"/>
          <w:szCs w:val="24"/>
          <w:rtl/>
          <w:lang w:bidi="ar-EG"/>
        </w:rPr>
        <w:t xml:space="preserve"> الفلسفة الحاكمة للقانون ونصوصه التي عكست تطورًا في رؤية الدولة للقطاع الأهلي باعتباره شريكًا أساسيًا في عملية التنمية بمختلف مراحلها، </w:t>
      </w:r>
      <w:r w:rsidR="00175E0B" w:rsidRPr="007C052C">
        <w:rPr>
          <w:rFonts w:ascii="Tajawal" w:hAnsi="Tajawal" w:cs="Tajawal"/>
          <w:b/>
          <w:bCs/>
          <w:sz w:val="24"/>
          <w:szCs w:val="24"/>
          <w:rtl/>
          <w:lang w:bidi="ar-EG"/>
        </w:rPr>
        <w:t>ثانيها</w:t>
      </w:r>
      <w:r w:rsidR="00175E0B" w:rsidRPr="007C052C">
        <w:rPr>
          <w:rFonts w:ascii="Tajawal" w:hAnsi="Tajawal" w:cs="Tajawal"/>
          <w:sz w:val="24"/>
          <w:szCs w:val="24"/>
          <w:rtl/>
          <w:lang w:bidi="ar-EG"/>
        </w:rPr>
        <w:t xml:space="preserve"> يرتبط بمراعاة المرجعية الدستورية والمواثيق الدولية التي تكفل حق تكوين الجمعيات والمؤسسات الأهلية للمواطنين باعتباره حقًا أصيلًا من حقوق الإنسان، </w:t>
      </w:r>
      <w:r w:rsidR="00175E0B" w:rsidRPr="007C052C">
        <w:rPr>
          <w:rFonts w:ascii="Tajawal" w:hAnsi="Tajawal" w:cs="Tajawal"/>
          <w:b/>
          <w:bCs/>
          <w:sz w:val="24"/>
          <w:szCs w:val="24"/>
          <w:rtl/>
          <w:lang w:bidi="ar-EG"/>
        </w:rPr>
        <w:t>ثالثها</w:t>
      </w:r>
      <w:r w:rsidR="00175E0B" w:rsidRPr="007C052C">
        <w:rPr>
          <w:rFonts w:ascii="Tajawal" w:hAnsi="Tajawal" w:cs="Tajawal"/>
          <w:sz w:val="24"/>
          <w:szCs w:val="24"/>
          <w:rtl/>
          <w:lang w:bidi="ar-EG"/>
        </w:rPr>
        <w:t xml:space="preserve"> يرتبط باستحضار </w:t>
      </w:r>
      <w:r w:rsidR="00175E0B" w:rsidRPr="007C052C">
        <w:rPr>
          <w:rFonts w:ascii="Tajawal" w:hAnsi="Tajawal" w:cs="Tajawal" w:hint="cs"/>
          <w:sz w:val="24"/>
          <w:szCs w:val="24"/>
          <w:rtl/>
          <w:lang w:bidi="ar-EG"/>
        </w:rPr>
        <w:t>المبادئ</w:t>
      </w:r>
      <w:r w:rsidR="00175E0B" w:rsidRPr="007C052C">
        <w:rPr>
          <w:rFonts w:ascii="Tajawal" w:hAnsi="Tajawal" w:cs="Tajawal"/>
          <w:sz w:val="24"/>
          <w:szCs w:val="24"/>
          <w:rtl/>
          <w:lang w:bidi="ar-EG"/>
        </w:rPr>
        <w:t xml:space="preserve"> العالمية للحوكمة سواء على مستوى القطاع الأهلي أو الجهة الإدارية الممثلة للدولة وتفاعلهما معًا بما يضمن كفاءة وفعالية الأداء من ناحية وإمكانية المساءلة والمحاسبة من ناحية ثانية، </w:t>
      </w:r>
      <w:r w:rsidR="00175E0B" w:rsidRPr="007C052C">
        <w:rPr>
          <w:rFonts w:ascii="Tajawal" w:hAnsi="Tajawal" w:cs="Tajawal"/>
          <w:b/>
          <w:bCs/>
          <w:sz w:val="24"/>
          <w:szCs w:val="24"/>
          <w:rtl/>
          <w:lang w:bidi="ar-EG"/>
        </w:rPr>
        <w:t>ورابعها</w:t>
      </w:r>
      <w:r w:rsidR="00175E0B" w:rsidRPr="007C052C">
        <w:rPr>
          <w:rFonts w:ascii="Tajawal" w:hAnsi="Tajawal" w:cs="Tajawal"/>
          <w:sz w:val="24"/>
          <w:szCs w:val="24"/>
          <w:rtl/>
          <w:lang w:bidi="ar-EG"/>
        </w:rPr>
        <w:t xml:space="preserve"> يرتبط بجملة من </w:t>
      </w:r>
      <w:proofErr w:type="spellStart"/>
      <w:r w:rsidR="00175E0B" w:rsidRPr="007C052C">
        <w:rPr>
          <w:rFonts w:ascii="Tajawal" w:hAnsi="Tajawal" w:cs="Tajawal"/>
          <w:sz w:val="24"/>
          <w:szCs w:val="24"/>
          <w:rtl/>
          <w:lang w:bidi="ar-EG"/>
        </w:rPr>
        <w:t>التيسيرات</w:t>
      </w:r>
      <w:proofErr w:type="spellEnd"/>
      <w:r w:rsidR="00175E0B" w:rsidRPr="007C052C">
        <w:rPr>
          <w:rFonts w:ascii="Tajawal" w:hAnsi="Tajawal" w:cs="Tajawal"/>
          <w:sz w:val="24"/>
          <w:szCs w:val="24"/>
          <w:rtl/>
          <w:lang w:bidi="ar-EG"/>
        </w:rPr>
        <w:t xml:space="preserve"> التي نص عليها القانون لتوفر البيئة الصالحة لقطاع أهلي صحي قادر على أداء أدوار الشراكة، </w:t>
      </w:r>
      <w:r w:rsidR="00175E0B" w:rsidRPr="007C052C">
        <w:rPr>
          <w:rFonts w:ascii="Tajawal" w:hAnsi="Tajawal" w:cs="Tajawal"/>
          <w:b/>
          <w:bCs/>
          <w:sz w:val="24"/>
          <w:szCs w:val="24"/>
          <w:rtl/>
          <w:lang w:bidi="ar-EG"/>
        </w:rPr>
        <w:t>خامسها</w:t>
      </w:r>
      <w:r w:rsidR="00175E0B" w:rsidRPr="007C052C">
        <w:rPr>
          <w:rFonts w:ascii="Tajawal" w:hAnsi="Tajawal" w:cs="Tajawal"/>
          <w:sz w:val="24"/>
          <w:szCs w:val="24"/>
          <w:rtl/>
          <w:lang w:bidi="ar-EG"/>
        </w:rPr>
        <w:t xml:space="preserve"> يرتبط بالإطار العام الذي يراعي الحاضر ويتطلع إلى مستقبل أفضل يضمن نموًا مستدامًا وفق رؤية مصر 2030.</w:t>
      </w:r>
      <w:r w:rsidR="00175E0B" w:rsidRPr="007C052C">
        <w:rPr>
          <w:rFonts w:ascii="Tajawal" w:hAnsi="Tajawal" w:cs="Tajawal" w:hint="cs"/>
          <w:sz w:val="24"/>
          <w:szCs w:val="24"/>
          <w:rtl/>
          <w:lang w:bidi="ar-EG"/>
        </w:rPr>
        <w:t xml:space="preserve"> </w:t>
      </w:r>
    </w:p>
    <w:p w14:paraId="475E27B1" w14:textId="77777777" w:rsidR="00175E0B" w:rsidRPr="00865498" w:rsidRDefault="00175E0B" w:rsidP="00175E0B">
      <w:pPr>
        <w:spacing w:line="240" w:lineRule="auto"/>
        <w:jc w:val="lowKashida"/>
        <w:rPr>
          <w:rFonts w:ascii="Tajawal" w:hAnsi="Tajawal" w:cs="Tajawal"/>
          <w:sz w:val="24"/>
          <w:szCs w:val="24"/>
          <w:lang w:bidi="ar-EG"/>
        </w:rPr>
      </w:pPr>
      <w:r w:rsidRPr="007C052C">
        <w:rPr>
          <w:rFonts w:ascii="Tajawal" w:hAnsi="Tajawal" w:cs="Tajawal" w:hint="cs"/>
          <w:sz w:val="24"/>
          <w:szCs w:val="24"/>
          <w:rtl/>
          <w:lang w:bidi="ar-EG"/>
        </w:rPr>
        <w:t xml:space="preserve">ومن أبرز </w:t>
      </w:r>
      <w:proofErr w:type="spellStart"/>
      <w:r w:rsidRPr="007C052C">
        <w:rPr>
          <w:rFonts w:ascii="Tajawal" w:hAnsi="Tajawal" w:cs="Tajawal" w:hint="cs"/>
          <w:sz w:val="24"/>
          <w:szCs w:val="24"/>
          <w:rtl/>
          <w:lang w:bidi="ar-EG"/>
        </w:rPr>
        <w:t>الايجابيات</w:t>
      </w:r>
      <w:proofErr w:type="spellEnd"/>
      <w:r w:rsidRPr="007C052C">
        <w:rPr>
          <w:rFonts w:ascii="Tajawal" w:hAnsi="Tajawal" w:cs="Tajawal" w:hint="cs"/>
          <w:sz w:val="24"/>
          <w:szCs w:val="24"/>
          <w:rtl/>
          <w:lang w:bidi="ar-EG"/>
        </w:rPr>
        <w:t xml:space="preserve"> التي جاء بها القانون الجديد هو أن تأسيس الجمعية أصبح بمجرد الإخطار، و</w:t>
      </w:r>
      <w:r w:rsidRPr="007C052C">
        <w:rPr>
          <w:rFonts w:ascii="Tajawal" w:hAnsi="Tajawal" w:cs="Tajawal"/>
          <w:sz w:val="24"/>
          <w:szCs w:val="24"/>
          <w:rtl/>
          <w:lang w:bidi="ar-EG"/>
        </w:rPr>
        <w:t xml:space="preserve">إن عدم اعترض الجهة الإدارية على تأسيس الجمعية خلال ستون يومًا إذعانًا بالموافقة. ولا يجوز للجهة الإدارية أن ترفض قبول الأوراق والمستندات التي تتقدم بها الجمعيات الأهلية. </w:t>
      </w:r>
      <w:r w:rsidRPr="007C052C">
        <w:rPr>
          <w:rFonts w:ascii="Tajawal" w:hAnsi="Tajawal" w:cs="Tajawal" w:hint="cs"/>
          <w:sz w:val="24"/>
          <w:szCs w:val="24"/>
          <w:rtl/>
          <w:lang w:bidi="ar-EG"/>
        </w:rPr>
        <w:t xml:space="preserve">كما </w:t>
      </w:r>
      <w:r w:rsidRPr="007C052C">
        <w:rPr>
          <w:rFonts w:ascii="Tajawal" w:hAnsi="Tajawal" w:cs="Tajawal"/>
          <w:sz w:val="24"/>
          <w:szCs w:val="24"/>
          <w:rtl/>
          <w:lang w:bidi="ar-EG"/>
        </w:rPr>
        <w:t xml:space="preserve">أجاز القانون للأجانب </w:t>
      </w:r>
      <w:r w:rsidRPr="007C052C">
        <w:rPr>
          <w:rFonts w:ascii="Tajawal" w:hAnsi="Tajawal" w:cs="Tajawal" w:hint="cs"/>
          <w:sz w:val="24"/>
          <w:szCs w:val="24"/>
          <w:rtl/>
          <w:lang w:bidi="ar-EG"/>
        </w:rPr>
        <w:t>م</w:t>
      </w:r>
      <w:r w:rsidRPr="007C052C">
        <w:rPr>
          <w:rFonts w:ascii="Tajawal" w:hAnsi="Tajawal" w:cs="Tajawal"/>
          <w:sz w:val="24"/>
          <w:szCs w:val="24"/>
          <w:rtl/>
          <w:lang w:bidi="ar-EG"/>
        </w:rPr>
        <w:t xml:space="preserve">من لديهم إقامة دائمة أو مؤقتة في مصر الاشتراك في عضوية الجمعيات الأهلية </w:t>
      </w:r>
      <w:r w:rsidRPr="007C052C">
        <w:rPr>
          <w:rFonts w:ascii="Tajawal" w:hAnsi="Tajawal" w:cs="Tajawal" w:hint="cs"/>
          <w:sz w:val="24"/>
          <w:szCs w:val="24"/>
          <w:rtl/>
          <w:lang w:bidi="ar-EG"/>
        </w:rPr>
        <w:t>أ</w:t>
      </w:r>
      <w:r w:rsidRPr="007C052C">
        <w:rPr>
          <w:rFonts w:ascii="Tajawal" w:hAnsi="Tajawal" w:cs="Tajawal"/>
          <w:sz w:val="24"/>
          <w:szCs w:val="24"/>
          <w:rtl/>
          <w:lang w:bidi="ar-EG"/>
        </w:rPr>
        <w:t>و مجالس إدارتها بنسبة 25% من عدد الأعضاء، كما أتاح تكوين الجمعيات للجاليات الأجنبية في مصر لتعني بشئون أعضائها.</w:t>
      </w:r>
      <w:r w:rsidRPr="007C052C">
        <w:rPr>
          <w:rFonts w:ascii="Tajawal" w:hAnsi="Tajawal" w:cs="Tajawal" w:hint="cs"/>
          <w:sz w:val="24"/>
          <w:szCs w:val="24"/>
          <w:rtl/>
          <w:lang w:bidi="ar-EG"/>
        </w:rPr>
        <w:t xml:space="preserve"> كما </w:t>
      </w:r>
      <w:r w:rsidRPr="007C052C">
        <w:rPr>
          <w:rFonts w:ascii="Tajawal" w:hAnsi="Tajawal" w:cs="Tajawal"/>
          <w:sz w:val="24"/>
          <w:szCs w:val="24"/>
          <w:rtl/>
          <w:lang w:bidi="ar-EG"/>
        </w:rPr>
        <w:t xml:space="preserve">منح القانون الحق للجمعيات والمؤسسات الأهلية في تلقي الأموال والمنح بعد إخطار الجهة الإدارية، </w:t>
      </w:r>
      <w:r w:rsidRPr="007C052C">
        <w:rPr>
          <w:rFonts w:ascii="Tajawal" w:hAnsi="Tajawal" w:cs="Tajawal" w:hint="cs"/>
          <w:sz w:val="24"/>
          <w:szCs w:val="24"/>
          <w:rtl/>
          <w:lang w:bidi="ar-EG"/>
        </w:rPr>
        <w:t xml:space="preserve">هذا بالإضافة إلى </w:t>
      </w:r>
      <w:r w:rsidRPr="007C052C">
        <w:rPr>
          <w:rFonts w:ascii="Tajawal" w:hAnsi="Tajawal" w:cs="Tajawal"/>
          <w:sz w:val="24"/>
          <w:szCs w:val="24"/>
          <w:rtl/>
          <w:lang w:bidi="ar-EG"/>
        </w:rPr>
        <w:t xml:space="preserve">الإعفاء من رسوم التسجيل والقيد في جميع أنواع العقود التي تكون طرفا فيها كعقود الملكية </w:t>
      </w:r>
      <w:proofErr w:type="spellStart"/>
      <w:r w:rsidRPr="007C052C">
        <w:rPr>
          <w:rFonts w:ascii="Tajawal" w:hAnsi="Tajawal" w:cs="Tajawal"/>
          <w:sz w:val="24"/>
          <w:szCs w:val="24"/>
          <w:rtl/>
          <w:lang w:bidi="ar-EG"/>
        </w:rPr>
        <w:t>او</w:t>
      </w:r>
      <w:proofErr w:type="spellEnd"/>
      <w:r w:rsidRPr="007C052C">
        <w:rPr>
          <w:rFonts w:ascii="Tajawal" w:hAnsi="Tajawal" w:cs="Tajawal"/>
          <w:sz w:val="24"/>
          <w:szCs w:val="24"/>
          <w:rtl/>
          <w:lang w:bidi="ar-EG"/>
        </w:rPr>
        <w:t xml:space="preserve"> الرهن </w:t>
      </w:r>
      <w:proofErr w:type="spellStart"/>
      <w:r w:rsidRPr="007C052C">
        <w:rPr>
          <w:rFonts w:ascii="Tajawal" w:hAnsi="Tajawal" w:cs="Tajawal"/>
          <w:sz w:val="24"/>
          <w:szCs w:val="24"/>
          <w:rtl/>
          <w:lang w:bidi="ar-EG"/>
        </w:rPr>
        <w:t>او</w:t>
      </w:r>
      <w:proofErr w:type="spellEnd"/>
      <w:r w:rsidRPr="007C052C">
        <w:rPr>
          <w:rFonts w:ascii="Tajawal" w:hAnsi="Tajawal" w:cs="Tajawal"/>
          <w:sz w:val="24"/>
          <w:szCs w:val="24"/>
          <w:rtl/>
          <w:lang w:bidi="ar-EG"/>
        </w:rPr>
        <w:t xml:space="preserve"> أي حقوق عينية أخري وكذلك من رسوم التصديق على التوقيعات</w:t>
      </w:r>
      <w:r w:rsidRPr="007C052C">
        <w:rPr>
          <w:rFonts w:ascii="Tajawal" w:hAnsi="Tajawal" w:cs="Tajawal" w:hint="cs"/>
          <w:sz w:val="24"/>
          <w:szCs w:val="24"/>
          <w:rtl/>
          <w:lang w:bidi="ar-EG"/>
        </w:rPr>
        <w:t xml:space="preserve">. كما </w:t>
      </w:r>
      <w:r w:rsidRPr="007C052C">
        <w:rPr>
          <w:rFonts w:ascii="Tajawal" w:hAnsi="Tajawal" w:cs="Tajawal"/>
          <w:sz w:val="24"/>
          <w:szCs w:val="24"/>
          <w:rtl/>
          <w:lang w:bidi="ar-EG"/>
        </w:rPr>
        <w:t xml:space="preserve">يجوز للجمعية فتح فروع لها خارج </w:t>
      </w:r>
      <w:proofErr w:type="gramStart"/>
      <w:r w:rsidRPr="007C052C">
        <w:rPr>
          <w:rFonts w:ascii="Tajawal" w:hAnsi="Tajawal" w:cs="Tajawal"/>
          <w:sz w:val="24"/>
          <w:szCs w:val="24"/>
          <w:rtl/>
          <w:lang w:bidi="ar-EG"/>
        </w:rPr>
        <w:t xml:space="preserve">مصر </w:t>
      </w:r>
      <w:r w:rsidRPr="007C052C">
        <w:rPr>
          <w:rFonts w:ascii="Tajawal" w:hAnsi="Tajawal" w:cs="Tajawal" w:hint="cs"/>
          <w:sz w:val="24"/>
          <w:szCs w:val="24"/>
          <w:rtl/>
          <w:lang w:bidi="ar-EG"/>
        </w:rPr>
        <w:t>.</w:t>
      </w:r>
      <w:proofErr w:type="gramEnd"/>
    </w:p>
    <w:p w14:paraId="2690ED12" w14:textId="3FEB8C47" w:rsidR="00961D67" w:rsidRPr="007C052C" w:rsidRDefault="00961D67" w:rsidP="00961D67">
      <w:pPr>
        <w:pStyle w:val="ListParagraph"/>
        <w:numPr>
          <w:ilvl w:val="0"/>
          <w:numId w:val="2"/>
        </w:numPr>
        <w:tabs>
          <w:tab w:val="left" w:pos="2651"/>
        </w:tabs>
        <w:jc w:val="both"/>
        <w:rPr>
          <w:rFonts w:ascii="Simplified Arabic" w:hAnsi="Simplified Arabic" w:cs="Simplified Arabic"/>
          <w:b/>
          <w:bCs/>
          <w:sz w:val="28"/>
          <w:szCs w:val="28"/>
          <w:rtl/>
        </w:rPr>
      </w:pPr>
      <w:r w:rsidRPr="00961D67">
        <w:rPr>
          <w:rFonts w:ascii="Simplified Arabic" w:hAnsi="Simplified Arabic" w:cs="Simplified Arabic" w:hint="cs"/>
          <w:b/>
          <w:bCs/>
          <w:sz w:val="28"/>
          <w:szCs w:val="28"/>
          <w:rtl/>
        </w:rPr>
        <w:t xml:space="preserve"> </w:t>
      </w:r>
      <w:r w:rsidRPr="007C052C">
        <w:rPr>
          <w:rFonts w:ascii="Simplified Arabic" w:hAnsi="Simplified Arabic" w:cs="Simplified Arabic" w:hint="cs"/>
          <w:b/>
          <w:bCs/>
          <w:sz w:val="28"/>
          <w:szCs w:val="28"/>
          <w:rtl/>
        </w:rPr>
        <w:t>جهود المجتمع المدني في تعزيز حقوق الإنسان</w:t>
      </w:r>
    </w:p>
    <w:p w14:paraId="20E3987E" w14:textId="05F26E80" w:rsidR="00961D67" w:rsidRPr="007C052C" w:rsidRDefault="00961D67" w:rsidP="00961D67">
      <w:pPr>
        <w:spacing w:line="240" w:lineRule="auto"/>
        <w:jc w:val="lowKashida"/>
        <w:rPr>
          <w:rFonts w:ascii="Tajawal" w:hAnsi="Tajawal" w:cs="Tajawal"/>
          <w:sz w:val="24"/>
          <w:szCs w:val="24"/>
          <w:rtl/>
          <w:lang w:bidi="ar-EG"/>
        </w:rPr>
      </w:pPr>
      <w:r w:rsidRPr="007C052C">
        <w:rPr>
          <w:rFonts w:ascii="Tajawal" w:hAnsi="Tajawal" w:cs="Tajawal" w:hint="cs"/>
          <w:sz w:val="24"/>
          <w:szCs w:val="24"/>
          <w:rtl/>
          <w:lang w:bidi="ar-EG"/>
        </w:rPr>
        <w:t xml:space="preserve">على مدار أكثر من عقدين من الزمن وبرغم القيود التي كانت مفروضة على المجتمع المدني إلا انه وفي ظل العلاقة الجديدة "التشاركية" بين الدولة والمجتمع المدني، وفتح صفحة جديدة أصبح له دور ملموس في العديد من الملفات المتعلقة بتعزيز وتحسين أوضاع حقوق الإنسان في مصر، فعلى سبيل المثال دعت مؤسسة ماعت للسلام والتنمية وحقوق الإنسان في نوفمبر 2019 وعلى هامش خضوع مصر لعملية </w:t>
      </w:r>
      <w:r w:rsidRPr="007C052C">
        <w:rPr>
          <w:rFonts w:ascii="Tajawal" w:hAnsi="Tajawal" w:cs="Tajawal" w:hint="cs"/>
          <w:sz w:val="24"/>
          <w:szCs w:val="24"/>
          <w:rtl/>
          <w:lang w:bidi="ar-EG"/>
        </w:rPr>
        <w:lastRenderedPageBreak/>
        <w:t xml:space="preserve">الاستعراض الدوري الشامل، الحكومة المصرية بوضع استراتيجية وطنية لتعزيز حقوق الإنسان في مصر، وذلك بمشاركة عدد من الخبراء الحقوقيين، وذلك بهدف خلق بيئة داعمة لحقوق </w:t>
      </w:r>
      <w:proofErr w:type="spellStart"/>
      <w:r w:rsidRPr="007C052C">
        <w:rPr>
          <w:rFonts w:ascii="Tajawal" w:hAnsi="Tajawal" w:cs="Tajawal" w:hint="cs"/>
          <w:sz w:val="24"/>
          <w:szCs w:val="24"/>
          <w:rtl/>
          <w:lang w:bidi="ar-EG"/>
        </w:rPr>
        <w:t>الانسان</w:t>
      </w:r>
      <w:proofErr w:type="spellEnd"/>
      <w:r w:rsidRPr="007C052C">
        <w:rPr>
          <w:rFonts w:ascii="Tajawal" w:hAnsi="Tajawal" w:cs="Tajawal" w:hint="cs"/>
          <w:sz w:val="24"/>
          <w:szCs w:val="24"/>
          <w:rtl/>
          <w:lang w:bidi="ar-EG"/>
        </w:rPr>
        <w:t xml:space="preserve"> باعتبارها وسيلة لتحقيق السلام </w:t>
      </w:r>
      <w:proofErr w:type="spellStart"/>
      <w:r w:rsidRPr="007C052C">
        <w:rPr>
          <w:rFonts w:ascii="Tajawal" w:hAnsi="Tajawal" w:cs="Tajawal" w:hint="cs"/>
          <w:sz w:val="24"/>
          <w:szCs w:val="24"/>
          <w:rtl/>
          <w:lang w:bidi="ar-EG"/>
        </w:rPr>
        <w:t>والامن</w:t>
      </w:r>
      <w:proofErr w:type="spellEnd"/>
      <w:r w:rsidRPr="007C052C">
        <w:rPr>
          <w:rFonts w:ascii="Tajawal" w:hAnsi="Tajawal" w:cs="Tajawal" w:hint="cs"/>
          <w:sz w:val="24"/>
          <w:szCs w:val="24"/>
          <w:rtl/>
          <w:lang w:bidi="ar-EG"/>
        </w:rPr>
        <w:t xml:space="preserve">، وباعتبارها لازمة لتحقيق التنمية المستدامة. وأن تعترف هذه الاستراتيجية بالدور المحوري للمجتمع المدني وغيره من الشركاء في معاونة الدولة لضمان حقوق </w:t>
      </w:r>
      <w:proofErr w:type="spellStart"/>
      <w:r w:rsidRPr="007C052C">
        <w:rPr>
          <w:rFonts w:ascii="Tajawal" w:hAnsi="Tajawal" w:cs="Tajawal" w:hint="cs"/>
          <w:sz w:val="24"/>
          <w:szCs w:val="24"/>
          <w:rtl/>
          <w:lang w:bidi="ar-EG"/>
        </w:rPr>
        <w:t>الانسان</w:t>
      </w:r>
      <w:proofErr w:type="spellEnd"/>
      <w:r w:rsidRPr="007C052C">
        <w:rPr>
          <w:rFonts w:ascii="Tajawal" w:hAnsi="Tajawal" w:cs="Tajawal" w:hint="cs"/>
          <w:sz w:val="24"/>
          <w:szCs w:val="24"/>
          <w:rtl/>
          <w:lang w:bidi="ar-EG"/>
        </w:rPr>
        <w:t xml:space="preserve"> لمواطنيها. وكذلك تنفيذ التوصيات التي تمخض عنها الاستعراض الدوري الشامل، وتنفيذ الدستور المصري. وتحدد الرؤية والسياسات، التي يتعين إقرارها لتنفيذ الرؤية وإقامة بنية تحتية وطنية صلبة تكفل حماية وترويج </w:t>
      </w:r>
      <w:proofErr w:type="spellStart"/>
      <w:r w:rsidRPr="007C052C">
        <w:rPr>
          <w:rFonts w:ascii="Tajawal" w:hAnsi="Tajawal" w:cs="Tajawal" w:hint="cs"/>
          <w:sz w:val="24"/>
          <w:szCs w:val="24"/>
          <w:rtl/>
          <w:lang w:bidi="ar-EG"/>
        </w:rPr>
        <w:t>وانفاذ</w:t>
      </w:r>
      <w:proofErr w:type="spellEnd"/>
      <w:r w:rsidRPr="007C052C">
        <w:rPr>
          <w:rFonts w:ascii="Tajawal" w:hAnsi="Tajawal" w:cs="Tajawal" w:hint="cs"/>
          <w:sz w:val="24"/>
          <w:szCs w:val="24"/>
          <w:rtl/>
          <w:lang w:bidi="ar-EG"/>
        </w:rPr>
        <w:t xml:space="preserve"> حقوق </w:t>
      </w:r>
      <w:proofErr w:type="spellStart"/>
      <w:r w:rsidRPr="007C052C">
        <w:rPr>
          <w:rFonts w:ascii="Tajawal" w:hAnsi="Tajawal" w:cs="Tajawal" w:hint="cs"/>
          <w:sz w:val="24"/>
          <w:szCs w:val="24"/>
          <w:rtl/>
          <w:lang w:bidi="ar-EG"/>
        </w:rPr>
        <w:t>الانسان</w:t>
      </w:r>
      <w:proofErr w:type="spellEnd"/>
      <w:r w:rsidRPr="007C052C">
        <w:rPr>
          <w:rFonts w:ascii="Tajawal" w:hAnsi="Tajawal" w:cs="Tajawal" w:hint="cs"/>
          <w:sz w:val="24"/>
          <w:szCs w:val="24"/>
          <w:rtl/>
          <w:lang w:bidi="ar-EG"/>
        </w:rPr>
        <w:t xml:space="preserve">. وهو ما استجابت لها الدولة وتم الإعلان عن هذه الاستراتيجية في سبتمبر 2021 بعد مشاورات مع منظمات المجتمع المدني. </w:t>
      </w:r>
    </w:p>
    <w:p w14:paraId="565DE227" w14:textId="77777777" w:rsidR="00961D67" w:rsidRPr="007C052C" w:rsidRDefault="00961D67" w:rsidP="00961D67">
      <w:pPr>
        <w:spacing w:line="240" w:lineRule="auto"/>
        <w:jc w:val="lowKashida"/>
        <w:rPr>
          <w:rFonts w:ascii="Tajawal" w:hAnsi="Tajawal" w:cs="Tajawal"/>
          <w:sz w:val="24"/>
          <w:szCs w:val="24"/>
          <w:rtl/>
          <w:lang w:bidi="ar-EG"/>
        </w:rPr>
      </w:pPr>
      <w:r w:rsidRPr="007C052C">
        <w:rPr>
          <w:rFonts w:ascii="Tajawal" w:hAnsi="Tajawal" w:cs="Tajawal" w:hint="cs"/>
          <w:sz w:val="24"/>
          <w:szCs w:val="24"/>
          <w:rtl/>
          <w:lang w:bidi="ar-EG"/>
        </w:rPr>
        <w:t xml:space="preserve">وفيما يتعلق بملف حقوق المرأة والشباب ونتيجة للجهود المشتركة بين الدولة والمجتمع المدني اتخذت خطوات جادة في هذا الملف حيث </w:t>
      </w:r>
      <w:r w:rsidRPr="007C052C">
        <w:rPr>
          <w:rFonts w:ascii="Tajawal" w:hAnsi="Tajawal" w:cs="Tajawal"/>
          <w:sz w:val="24"/>
          <w:szCs w:val="24"/>
          <w:rtl/>
          <w:lang w:bidi="ar-EG"/>
        </w:rPr>
        <w:t xml:space="preserve">حصلت المرأة </w:t>
      </w:r>
      <w:r w:rsidRPr="007C052C">
        <w:rPr>
          <w:rFonts w:ascii="Tajawal" w:hAnsi="Tajawal" w:cs="Tajawal" w:hint="eastAsia"/>
          <w:sz w:val="24"/>
          <w:szCs w:val="24"/>
          <w:rtl/>
          <w:lang w:bidi="ar-EG"/>
        </w:rPr>
        <w:t>في</w:t>
      </w:r>
      <w:r w:rsidRPr="007C052C">
        <w:rPr>
          <w:rFonts w:ascii="Tajawal" w:hAnsi="Tajawal" w:cs="Tajawal"/>
          <w:sz w:val="24"/>
          <w:szCs w:val="24"/>
          <w:rtl/>
          <w:lang w:bidi="ar-EG"/>
        </w:rPr>
        <w:t xml:space="preserve"> </w:t>
      </w:r>
      <w:r w:rsidRPr="007C052C">
        <w:rPr>
          <w:rFonts w:ascii="Tajawal" w:hAnsi="Tajawal" w:cs="Tajawal" w:hint="eastAsia"/>
          <w:sz w:val="24"/>
          <w:szCs w:val="24"/>
          <w:rtl/>
          <w:lang w:bidi="ar-EG"/>
        </w:rPr>
        <w:t>الانتخابات</w:t>
      </w:r>
      <w:r w:rsidRPr="007C052C">
        <w:rPr>
          <w:rFonts w:ascii="Tajawal" w:hAnsi="Tajawal" w:cs="Tajawal"/>
          <w:sz w:val="24"/>
          <w:szCs w:val="24"/>
          <w:rtl/>
          <w:lang w:bidi="ar-EG"/>
        </w:rPr>
        <w:t xml:space="preserve"> </w:t>
      </w:r>
      <w:r w:rsidRPr="007C052C">
        <w:rPr>
          <w:rFonts w:ascii="Tajawal" w:hAnsi="Tajawal" w:cs="Tajawal" w:hint="eastAsia"/>
          <w:sz w:val="24"/>
          <w:szCs w:val="24"/>
          <w:rtl/>
          <w:lang w:bidi="ar-EG"/>
        </w:rPr>
        <w:t>البرلمانية</w:t>
      </w:r>
      <w:r w:rsidRPr="007C052C">
        <w:rPr>
          <w:rFonts w:ascii="Tajawal" w:hAnsi="Tajawal" w:cs="Tajawal" w:hint="cs"/>
          <w:sz w:val="24"/>
          <w:szCs w:val="24"/>
          <w:rtl/>
          <w:lang w:bidi="ar-EG"/>
        </w:rPr>
        <w:t xml:space="preserve"> الأخيرة لعام 2020 على 163 مقعداً ما بين انتخاب وتعين، مقارنة بـ 90 مقعداً في انتخابات 2015، هذا إلى جانب ارتفاع نسبة الوزيرات في الحكومة بنحو 18 بالمئة بمعدل (8 وزيرات) مقارنة بـ 1 بالمئة من العام 1999، كما تم تعين المرأة في منصب محافظ لأول مرة، عندما تم تعين نادية عبده محافظة للبحيرة عام 2017، هذا بالإضافة إلى تعيين 98 قاضية بهيئة قضايا الدولة والنيابة الإدارية لأول مرة، بعد أن كانت حكراً على الرجال. وكذلك صدور قرار </w:t>
      </w:r>
      <w:r w:rsidRPr="007C052C">
        <w:rPr>
          <w:rFonts w:ascii="Tajawal" w:hAnsi="Tajawal" w:cs="Tajawal"/>
          <w:sz w:val="24"/>
          <w:szCs w:val="24"/>
          <w:rtl/>
          <w:lang w:bidi="ar-EG"/>
        </w:rPr>
        <w:t>رئيس مجلس الوزراء</w:t>
      </w:r>
      <w:r w:rsidRPr="007C052C">
        <w:rPr>
          <w:rFonts w:ascii="Tajawal" w:hAnsi="Tajawal" w:cs="Tajawal" w:hint="cs"/>
          <w:sz w:val="24"/>
          <w:szCs w:val="24"/>
          <w:rtl/>
          <w:lang w:bidi="ar-EG"/>
        </w:rPr>
        <w:t xml:space="preserve"> في 2 سبتمبر 2021 </w:t>
      </w:r>
      <w:r w:rsidRPr="007C052C">
        <w:rPr>
          <w:rFonts w:ascii="Tajawal" w:hAnsi="Tajawal" w:cs="Tajawal"/>
          <w:sz w:val="24"/>
          <w:szCs w:val="24"/>
          <w:rtl/>
          <w:lang w:bidi="ar-EG"/>
        </w:rPr>
        <w:t>بإنشاء الوحدة المجمعة لحماية المرأة من العنف تتبع مجلس الوزراء</w:t>
      </w:r>
      <w:r w:rsidRPr="007C052C">
        <w:rPr>
          <w:rFonts w:ascii="Tajawal" w:hAnsi="Tajawal" w:cs="Tajawal" w:hint="cs"/>
          <w:sz w:val="24"/>
          <w:szCs w:val="24"/>
          <w:rtl/>
          <w:lang w:bidi="ar-EG"/>
        </w:rPr>
        <w:t xml:space="preserve">. هذا إلى جانب </w:t>
      </w:r>
      <w:r w:rsidRPr="007C052C">
        <w:rPr>
          <w:rFonts w:ascii="Tajawal" w:hAnsi="Tajawal" w:cs="Tajawal"/>
          <w:sz w:val="24"/>
          <w:szCs w:val="24"/>
          <w:rtl/>
          <w:lang w:bidi="ar-EG"/>
        </w:rPr>
        <w:t xml:space="preserve">اهتمام الدولة بإعداد الكوادر الشابة القادرة عبر إنشاء "الأكاديمية الوطنية لتدريب </w:t>
      </w:r>
      <w:r w:rsidRPr="007C052C">
        <w:rPr>
          <w:rFonts w:ascii="Times New Roman" w:hAnsi="Times New Roman" w:cs="Times New Roman" w:hint="cs"/>
          <w:sz w:val="24"/>
          <w:szCs w:val="24"/>
          <w:rtl/>
          <w:lang w:bidi="ar-EG"/>
        </w:rPr>
        <w:t>‏</w:t>
      </w:r>
      <w:r w:rsidRPr="007C052C">
        <w:rPr>
          <w:rFonts w:ascii="Tajawal" w:hAnsi="Tajawal" w:cs="Tajawal" w:hint="cs"/>
          <w:sz w:val="24"/>
          <w:szCs w:val="24"/>
          <w:rtl/>
          <w:lang w:bidi="ar-EG"/>
        </w:rPr>
        <w:t>الشباب</w:t>
      </w:r>
      <w:r w:rsidRPr="007C052C">
        <w:rPr>
          <w:rFonts w:ascii="Tajawal" w:hAnsi="Tajawal" w:cs="Tajawal"/>
          <w:sz w:val="24"/>
          <w:szCs w:val="24"/>
          <w:rtl/>
          <w:lang w:bidi="ar-EG"/>
        </w:rPr>
        <w:t>"</w:t>
      </w:r>
      <w:r w:rsidRPr="007C052C">
        <w:rPr>
          <w:rFonts w:ascii="Tajawal" w:hAnsi="Tajawal" w:cs="Tajawal" w:hint="cs"/>
          <w:sz w:val="24"/>
          <w:szCs w:val="24"/>
          <w:rtl/>
          <w:lang w:bidi="ar-EG"/>
        </w:rPr>
        <w:t>، ومشاركة</w:t>
      </w:r>
      <w:r w:rsidRPr="007C052C">
        <w:rPr>
          <w:rFonts w:ascii="Tajawal" w:hAnsi="Tajawal" w:cs="Tajawal"/>
          <w:sz w:val="24"/>
          <w:szCs w:val="24"/>
          <w:rtl/>
          <w:lang w:bidi="ar-EG"/>
        </w:rPr>
        <w:t xml:space="preserve"> </w:t>
      </w:r>
      <w:r w:rsidRPr="007C052C">
        <w:rPr>
          <w:rFonts w:ascii="Tajawal" w:hAnsi="Tajawal" w:cs="Tajawal" w:hint="cs"/>
          <w:sz w:val="24"/>
          <w:szCs w:val="24"/>
          <w:rtl/>
          <w:lang w:bidi="ar-EG"/>
        </w:rPr>
        <w:t>ال</w:t>
      </w:r>
      <w:r w:rsidRPr="007C052C">
        <w:rPr>
          <w:rFonts w:ascii="Tajawal" w:hAnsi="Tajawal" w:cs="Tajawal"/>
          <w:sz w:val="24"/>
          <w:szCs w:val="24"/>
          <w:rtl/>
          <w:lang w:bidi="ar-EG"/>
        </w:rPr>
        <w:t xml:space="preserve">شباب في صياغة خطط </w:t>
      </w:r>
      <w:r w:rsidRPr="007C052C">
        <w:rPr>
          <w:rFonts w:ascii="Times New Roman" w:hAnsi="Times New Roman" w:cs="Times New Roman" w:hint="cs"/>
          <w:sz w:val="24"/>
          <w:szCs w:val="24"/>
          <w:rtl/>
          <w:lang w:bidi="ar-EG"/>
        </w:rPr>
        <w:t>‏</w:t>
      </w:r>
      <w:r w:rsidRPr="007C052C">
        <w:rPr>
          <w:rFonts w:ascii="Tajawal" w:hAnsi="Tajawal" w:cs="Tajawal" w:hint="cs"/>
          <w:sz w:val="24"/>
          <w:szCs w:val="24"/>
          <w:rtl/>
          <w:lang w:bidi="ar-EG"/>
        </w:rPr>
        <w:t>التنمية</w:t>
      </w:r>
      <w:r w:rsidRPr="007C052C">
        <w:rPr>
          <w:rFonts w:ascii="Tajawal" w:hAnsi="Tajawal" w:cs="Tajawal"/>
          <w:sz w:val="24"/>
          <w:szCs w:val="24"/>
          <w:rtl/>
          <w:lang w:bidi="ar-EG"/>
        </w:rPr>
        <w:t xml:space="preserve"> </w:t>
      </w:r>
      <w:r w:rsidRPr="007C052C">
        <w:rPr>
          <w:rFonts w:ascii="Tajawal" w:hAnsi="Tajawal" w:cs="Tajawal" w:hint="cs"/>
          <w:sz w:val="24"/>
          <w:szCs w:val="24"/>
          <w:rtl/>
          <w:lang w:bidi="ar-EG"/>
        </w:rPr>
        <w:t>وتنفيذها،</w:t>
      </w:r>
      <w:r w:rsidRPr="007C052C">
        <w:rPr>
          <w:rFonts w:ascii="Tajawal" w:hAnsi="Tajawal" w:cs="Tajawal"/>
          <w:sz w:val="24"/>
          <w:szCs w:val="24"/>
          <w:rtl/>
          <w:lang w:bidi="ar-EG"/>
        </w:rPr>
        <w:t xml:space="preserve"> </w:t>
      </w:r>
      <w:r w:rsidRPr="007C052C">
        <w:rPr>
          <w:rFonts w:ascii="Tajawal" w:hAnsi="Tajawal" w:cs="Tajawal" w:hint="cs"/>
          <w:sz w:val="24"/>
          <w:szCs w:val="24"/>
          <w:rtl/>
          <w:lang w:bidi="ar-EG"/>
        </w:rPr>
        <w:t>وتعيين</w:t>
      </w:r>
      <w:r w:rsidRPr="007C052C">
        <w:rPr>
          <w:rFonts w:ascii="Tajawal" w:hAnsi="Tajawal" w:cs="Tajawal"/>
          <w:sz w:val="24"/>
          <w:szCs w:val="24"/>
          <w:rtl/>
          <w:lang w:bidi="ar-EG"/>
        </w:rPr>
        <w:t xml:space="preserve"> </w:t>
      </w:r>
      <w:r w:rsidRPr="007C052C">
        <w:rPr>
          <w:rFonts w:ascii="Tajawal" w:hAnsi="Tajawal" w:cs="Tajawal" w:hint="cs"/>
          <w:sz w:val="24"/>
          <w:szCs w:val="24"/>
          <w:rtl/>
          <w:lang w:bidi="ar-EG"/>
        </w:rPr>
        <w:t>بعضهم</w:t>
      </w:r>
      <w:r w:rsidRPr="007C052C">
        <w:rPr>
          <w:rFonts w:ascii="Tajawal" w:hAnsi="Tajawal" w:cs="Tajawal"/>
          <w:sz w:val="24"/>
          <w:szCs w:val="24"/>
          <w:rtl/>
          <w:lang w:bidi="ar-EG"/>
        </w:rPr>
        <w:t xml:space="preserve"> </w:t>
      </w:r>
      <w:r w:rsidRPr="007C052C">
        <w:rPr>
          <w:rFonts w:ascii="Tajawal" w:hAnsi="Tajawal" w:cs="Tajawal" w:hint="cs"/>
          <w:sz w:val="24"/>
          <w:szCs w:val="24"/>
          <w:rtl/>
          <w:lang w:bidi="ar-EG"/>
        </w:rPr>
        <w:t>نوابًا</w:t>
      </w:r>
      <w:r w:rsidRPr="007C052C">
        <w:rPr>
          <w:rFonts w:ascii="Tajawal" w:hAnsi="Tajawal" w:cs="Tajawal"/>
          <w:sz w:val="24"/>
          <w:szCs w:val="24"/>
          <w:rtl/>
          <w:lang w:bidi="ar-EG"/>
        </w:rPr>
        <w:t xml:space="preserve"> </w:t>
      </w:r>
      <w:r w:rsidRPr="007C052C">
        <w:rPr>
          <w:rFonts w:ascii="Tajawal" w:hAnsi="Tajawal" w:cs="Tajawal" w:hint="cs"/>
          <w:sz w:val="24"/>
          <w:szCs w:val="24"/>
          <w:rtl/>
          <w:lang w:bidi="ar-EG"/>
        </w:rPr>
        <w:t>للوزراء</w:t>
      </w:r>
      <w:r w:rsidRPr="007C052C">
        <w:rPr>
          <w:rFonts w:ascii="Tajawal" w:hAnsi="Tajawal" w:cs="Tajawal"/>
          <w:sz w:val="24"/>
          <w:szCs w:val="24"/>
          <w:rtl/>
          <w:lang w:bidi="ar-EG"/>
        </w:rPr>
        <w:t xml:space="preserve"> </w:t>
      </w:r>
      <w:r w:rsidRPr="007C052C">
        <w:rPr>
          <w:rFonts w:ascii="Tajawal" w:hAnsi="Tajawal" w:cs="Tajawal" w:hint="cs"/>
          <w:sz w:val="24"/>
          <w:szCs w:val="24"/>
          <w:rtl/>
          <w:lang w:bidi="ar-EG"/>
        </w:rPr>
        <w:t>والمحافظين</w:t>
      </w:r>
      <w:r w:rsidRPr="007C052C">
        <w:rPr>
          <w:rFonts w:ascii="Tajawal" w:hAnsi="Tajawal" w:cs="Tajawal"/>
          <w:sz w:val="24"/>
          <w:szCs w:val="24"/>
          <w:rtl/>
          <w:lang w:bidi="ar-EG"/>
        </w:rPr>
        <w:t xml:space="preserve"> </w:t>
      </w:r>
      <w:r w:rsidRPr="007C052C">
        <w:rPr>
          <w:rFonts w:ascii="Tajawal" w:hAnsi="Tajawal" w:cs="Tajawal" w:hint="cs"/>
          <w:sz w:val="24"/>
          <w:szCs w:val="24"/>
          <w:rtl/>
          <w:lang w:bidi="ar-EG"/>
        </w:rPr>
        <w:t>وممثلين</w:t>
      </w:r>
      <w:r w:rsidRPr="007C052C">
        <w:rPr>
          <w:rFonts w:ascii="Tajawal" w:hAnsi="Tajawal" w:cs="Tajawal"/>
          <w:sz w:val="24"/>
          <w:szCs w:val="24"/>
          <w:rtl/>
          <w:lang w:bidi="ar-EG"/>
        </w:rPr>
        <w:t xml:space="preserve"> </w:t>
      </w:r>
      <w:r w:rsidRPr="007C052C">
        <w:rPr>
          <w:rFonts w:ascii="Times New Roman" w:hAnsi="Times New Roman" w:cs="Times New Roman" w:hint="cs"/>
          <w:sz w:val="24"/>
          <w:szCs w:val="24"/>
          <w:rtl/>
          <w:lang w:bidi="ar-EG"/>
        </w:rPr>
        <w:t>‏</w:t>
      </w:r>
      <w:r w:rsidRPr="007C052C">
        <w:rPr>
          <w:rFonts w:ascii="Tajawal" w:hAnsi="Tajawal" w:cs="Tajawal" w:hint="cs"/>
          <w:sz w:val="24"/>
          <w:szCs w:val="24"/>
          <w:rtl/>
          <w:lang w:bidi="ar-EG"/>
        </w:rPr>
        <w:t>للشعب</w:t>
      </w:r>
      <w:r w:rsidRPr="007C052C">
        <w:rPr>
          <w:rFonts w:ascii="Tajawal" w:hAnsi="Tajawal" w:cs="Tajawal"/>
          <w:sz w:val="24"/>
          <w:szCs w:val="24"/>
          <w:rtl/>
          <w:lang w:bidi="ar-EG"/>
        </w:rPr>
        <w:t xml:space="preserve"> </w:t>
      </w:r>
      <w:r w:rsidRPr="007C052C">
        <w:rPr>
          <w:rFonts w:ascii="Tajawal" w:hAnsi="Tajawal" w:cs="Tajawal" w:hint="cs"/>
          <w:sz w:val="24"/>
          <w:szCs w:val="24"/>
          <w:rtl/>
          <w:lang w:bidi="ar-EG"/>
        </w:rPr>
        <w:t>بالبرلمان،</w:t>
      </w:r>
      <w:r w:rsidRPr="007C052C">
        <w:rPr>
          <w:rFonts w:ascii="Tajawal" w:hAnsi="Tajawal" w:cs="Tajawal"/>
          <w:sz w:val="24"/>
          <w:szCs w:val="24"/>
          <w:rtl/>
          <w:lang w:bidi="ar-EG"/>
        </w:rPr>
        <w:t xml:space="preserve"> </w:t>
      </w:r>
      <w:r w:rsidRPr="007C052C">
        <w:rPr>
          <w:rFonts w:ascii="Tajawal" w:hAnsi="Tajawal" w:cs="Tajawal" w:hint="cs"/>
          <w:sz w:val="24"/>
          <w:szCs w:val="24"/>
          <w:rtl/>
          <w:lang w:bidi="ar-EG"/>
        </w:rPr>
        <w:t>وذلك</w:t>
      </w:r>
      <w:r w:rsidRPr="007C052C">
        <w:rPr>
          <w:rFonts w:ascii="Tajawal" w:hAnsi="Tajawal" w:cs="Tajawal"/>
          <w:sz w:val="24"/>
          <w:szCs w:val="24"/>
          <w:rtl/>
          <w:lang w:bidi="ar-EG"/>
        </w:rPr>
        <w:t xml:space="preserve"> </w:t>
      </w:r>
      <w:r w:rsidRPr="007C052C">
        <w:rPr>
          <w:rFonts w:ascii="Tajawal" w:hAnsi="Tajawal" w:cs="Tajawal" w:hint="cs"/>
          <w:sz w:val="24"/>
          <w:szCs w:val="24"/>
          <w:rtl/>
          <w:lang w:bidi="ar-EG"/>
        </w:rPr>
        <w:t>من</w:t>
      </w:r>
      <w:r w:rsidRPr="007C052C">
        <w:rPr>
          <w:rFonts w:ascii="Tajawal" w:hAnsi="Tajawal" w:cs="Tajawal"/>
          <w:sz w:val="24"/>
          <w:szCs w:val="24"/>
          <w:rtl/>
          <w:lang w:bidi="ar-EG"/>
        </w:rPr>
        <w:t xml:space="preserve"> </w:t>
      </w:r>
      <w:r w:rsidRPr="007C052C">
        <w:rPr>
          <w:rFonts w:ascii="Tajawal" w:hAnsi="Tajawal" w:cs="Tajawal" w:hint="cs"/>
          <w:sz w:val="24"/>
          <w:szCs w:val="24"/>
          <w:rtl/>
          <w:lang w:bidi="ar-EG"/>
        </w:rPr>
        <w:t>خلال</w:t>
      </w:r>
      <w:r w:rsidRPr="007C052C">
        <w:rPr>
          <w:rFonts w:ascii="Tajawal" w:hAnsi="Tajawal" w:cs="Tajawal"/>
          <w:sz w:val="24"/>
          <w:szCs w:val="24"/>
          <w:rtl/>
          <w:lang w:bidi="ar-EG"/>
        </w:rPr>
        <w:t xml:space="preserve"> </w:t>
      </w:r>
      <w:r w:rsidRPr="007C052C">
        <w:rPr>
          <w:rFonts w:ascii="Tajawal" w:hAnsi="Tajawal" w:cs="Tajawal" w:hint="cs"/>
          <w:sz w:val="24"/>
          <w:szCs w:val="24"/>
          <w:rtl/>
          <w:lang w:bidi="ar-EG"/>
        </w:rPr>
        <w:t>ما</w:t>
      </w:r>
      <w:r w:rsidRPr="007C052C">
        <w:rPr>
          <w:rFonts w:ascii="Tajawal" w:hAnsi="Tajawal" w:cs="Tajawal"/>
          <w:sz w:val="24"/>
          <w:szCs w:val="24"/>
          <w:rtl/>
          <w:lang w:bidi="ar-EG"/>
        </w:rPr>
        <w:t xml:space="preserve"> </w:t>
      </w:r>
      <w:r w:rsidRPr="007C052C">
        <w:rPr>
          <w:rFonts w:ascii="Tajawal" w:hAnsi="Tajawal" w:cs="Tajawal" w:hint="cs"/>
          <w:sz w:val="24"/>
          <w:szCs w:val="24"/>
          <w:rtl/>
          <w:lang w:bidi="ar-EG"/>
        </w:rPr>
        <w:t>تتخذه</w:t>
      </w:r>
      <w:r w:rsidRPr="007C052C">
        <w:rPr>
          <w:rFonts w:ascii="Tajawal" w:hAnsi="Tajawal" w:cs="Tajawal"/>
          <w:sz w:val="24"/>
          <w:szCs w:val="24"/>
          <w:rtl/>
          <w:lang w:bidi="ar-EG"/>
        </w:rPr>
        <w:t xml:space="preserve"> </w:t>
      </w:r>
      <w:r w:rsidRPr="007C052C">
        <w:rPr>
          <w:rFonts w:ascii="Tajawal" w:hAnsi="Tajawal" w:cs="Tajawal" w:hint="cs"/>
          <w:sz w:val="24"/>
          <w:szCs w:val="24"/>
          <w:rtl/>
          <w:lang w:bidi="ar-EG"/>
        </w:rPr>
        <w:t>الأكاديمية</w:t>
      </w:r>
      <w:r w:rsidRPr="007C052C">
        <w:rPr>
          <w:rFonts w:ascii="Tajawal" w:hAnsi="Tajawal" w:cs="Tajawal"/>
          <w:sz w:val="24"/>
          <w:szCs w:val="24"/>
          <w:rtl/>
          <w:lang w:bidi="ar-EG"/>
        </w:rPr>
        <w:t xml:space="preserve"> </w:t>
      </w:r>
      <w:r w:rsidRPr="007C052C">
        <w:rPr>
          <w:rFonts w:ascii="Tajawal" w:hAnsi="Tajawal" w:cs="Tajawal" w:hint="cs"/>
          <w:sz w:val="24"/>
          <w:szCs w:val="24"/>
          <w:rtl/>
          <w:lang w:bidi="ar-EG"/>
        </w:rPr>
        <w:t>من</w:t>
      </w:r>
      <w:r w:rsidRPr="007C052C">
        <w:rPr>
          <w:rFonts w:ascii="Tajawal" w:hAnsi="Tajawal" w:cs="Tajawal"/>
          <w:sz w:val="24"/>
          <w:szCs w:val="24"/>
          <w:rtl/>
          <w:lang w:bidi="ar-EG"/>
        </w:rPr>
        <w:t xml:space="preserve"> </w:t>
      </w:r>
      <w:r w:rsidRPr="007C052C">
        <w:rPr>
          <w:rFonts w:ascii="Tajawal" w:hAnsi="Tajawal" w:cs="Tajawal" w:hint="cs"/>
          <w:sz w:val="24"/>
          <w:szCs w:val="24"/>
          <w:rtl/>
          <w:lang w:bidi="ar-EG"/>
        </w:rPr>
        <w:t>برامج</w:t>
      </w:r>
      <w:r w:rsidRPr="007C052C">
        <w:rPr>
          <w:rFonts w:ascii="Tajawal" w:hAnsi="Tajawal" w:cs="Tajawal"/>
          <w:sz w:val="24"/>
          <w:szCs w:val="24"/>
          <w:rtl/>
          <w:lang w:bidi="ar-EG"/>
        </w:rPr>
        <w:t xml:space="preserve"> </w:t>
      </w:r>
      <w:r w:rsidRPr="007C052C">
        <w:rPr>
          <w:rFonts w:ascii="Tajawal" w:hAnsi="Tajawal" w:cs="Tajawal" w:hint="cs"/>
          <w:sz w:val="24"/>
          <w:szCs w:val="24"/>
          <w:rtl/>
          <w:lang w:bidi="ar-EG"/>
        </w:rPr>
        <w:t>تأهيلية</w:t>
      </w:r>
      <w:r w:rsidRPr="007C052C">
        <w:rPr>
          <w:rFonts w:ascii="Tajawal" w:hAnsi="Tajawal" w:cs="Tajawal"/>
          <w:sz w:val="24"/>
          <w:szCs w:val="24"/>
          <w:rtl/>
          <w:lang w:bidi="ar-EG"/>
        </w:rPr>
        <w:t xml:space="preserve"> </w:t>
      </w:r>
      <w:r w:rsidRPr="007C052C">
        <w:rPr>
          <w:rFonts w:ascii="Times New Roman" w:hAnsi="Times New Roman" w:cs="Times New Roman" w:hint="cs"/>
          <w:sz w:val="24"/>
          <w:szCs w:val="24"/>
          <w:rtl/>
          <w:lang w:bidi="ar-EG"/>
        </w:rPr>
        <w:t>‏</w:t>
      </w:r>
      <w:r w:rsidRPr="007C052C">
        <w:rPr>
          <w:rFonts w:ascii="Tajawal" w:hAnsi="Tajawal" w:cs="Tajawal" w:hint="cs"/>
          <w:sz w:val="24"/>
          <w:szCs w:val="24"/>
          <w:rtl/>
          <w:lang w:bidi="ar-EG"/>
        </w:rPr>
        <w:t>لصقل</w:t>
      </w:r>
      <w:r w:rsidRPr="007C052C">
        <w:rPr>
          <w:rFonts w:ascii="Tajawal" w:hAnsi="Tajawal" w:cs="Tajawal"/>
          <w:sz w:val="24"/>
          <w:szCs w:val="24"/>
          <w:rtl/>
          <w:lang w:bidi="ar-EG"/>
        </w:rPr>
        <w:t xml:space="preserve"> </w:t>
      </w:r>
      <w:r w:rsidRPr="007C052C">
        <w:rPr>
          <w:rFonts w:ascii="Tajawal" w:hAnsi="Tajawal" w:cs="Tajawal" w:hint="cs"/>
          <w:sz w:val="24"/>
          <w:szCs w:val="24"/>
          <w:rtl/>
          <w:lang w:bidi="ar-EG"/>
        </w:rPr>
        <w:t>مهاراتهم</w:t>
      </w:r>
      <w:r w:rsidRPr="007C052C">
        <w:rPr>
          <w:rFonts w:ascii="Tajawal" w:hAnsi="Tajawal" w:cs="Tajawal"/>
          <w:sz w:val="24"/>
          <w:szCs w:val="24"/>
          <w:rtl/>
          <w:lang w:bidi="ar-EG"/>
        </w:rPr>
        <w:t xml:space="preserve"> </w:t>
      </w:r>
      <w:r w:rsidRPr="007C052C">
        <w:rPr>
          <w:rFonts w:ascii="Tajawal" w:hAnsi="Tajawal" w:cs="Tajawal" w:hint="cs"/>
          <w:sz w:val="24"/>
          <w:szCs w:val="24"/>
          <w:rtl/>
          <w:lang w:bidi="ar-EG"/>
        </w:rPr>
        <w:t>وإعدادهم</w:t>
      </w:r>
      <w:r w:rsidRPr="007C052C">
        <w:rPr>
          <w:rFonts w:ascii="Times New Roman" w:hAnsi="Times New Roman" w:cs="Times New Roman" w:hint="cs"/>
          <w:sz w:val="24"/>
          <w:szCs w:val="24"/>
          <w:cs/>
          <w:lang w:bidi="ar-EG"/>
        </w:rPr>
        <w:t>‎</w:t>
      </w:r>
      <w:r w:rsidRPr="007C052C">
        <w:rPr>
          <w:rFonts w:ascii="Tajawal" w:hAnsi="Tajawal" w:cs="Tajawal" w:hint="cs"/>
          <w:sz w:val="24"/>
          <w:szCs w:val="24"/>
          <w:rtl/>
          <w:lang w:bidi="ar-EG"/>
        </w:rPr>
        <w:t>.</w:t>
      </w:r>
    </w:p>
    <w:p w14:paraId="6AB9DDD6" w14:textId="77777777" w:rsidR="00961D67" w:rsidRPr="007C052C" w:rsidRDefault="00961D67" w:rsidP="00961D67">
      <w:pPr>
        <w:spacing w:line="240" w:lineRule="auto"/>
        <w:jc w:val="lowKashida"/>
        <w:rPr>
          <w:rFonts w:ascii="Tajawal" w:hAnsi="Tajawal" w:cs="Tajawal"/>
          <w:sz w:val="24"/>
          <w:szCs w:val="24"/>
          <w:rtl/>
          <w:lang w:bidi="ar-EG"/>
        </w:rPr>
      </w:pPr>
      <w:r w:rsidRPr="007C052C">
        <w:rPr>
          <w:rFonts w:ascii="Tajawal" w:hAnsi="Tajawal" w:cs="Tajawal" w:hint="cs"/>
          <w:sz w:val="24"/>
          <w:szCs w:val="24"/>
          <w:rtl/>
          <w:lang w:bidi="ar-EG"/>
        </w:rPr>
        <w:t xml:space="preserve">كما كان لمنظمات المجتمع المدني بما في ذلك مؤسسة ماعت دورًا حيويًا في إطلاق سراح عدد من الصحفيين والمحبوسين احتياطيا في قضايا الرأي ورعت بعض المبادرات تنسيقا بينها وبين النيابة العامة حيث بناءً علي هذا التنسيق تم إطلاق سراح أكثر من 50 شخصا من المحبوسين احتياطيا من بينهم صحفيين ومدونين ومدافعين عن حقوق الإنسان وذلك بعد مراجعة موقفهم القانوني، كما كان لمطالبات منظمات المجتمع </w:t>
      </w:r>
      <w:proofErr w:type="spellStart"/>
      <w:r w:rsidRPr="007C052C">
        <w:rPr>
          <w:rFonts w:ascii="Tajawal" w:hAnsi="Tajawal" w:cs="Tajawal" w:hint="cs"/>
          <w:sz w:val="24"/>
          <w:szCs w:val="24"/>
          <w:rtl/>
          <w:lang w:bidi="ar-EG"/>
        </w:rPr>
        <w:t>اسهاما</w:t>
      </w:r>
      <w:proofErr w:type="spellEnd"/>
      <w:r w:rsidRPr="007C052C">
        <w:rPr>
          <w:rFonts w:ascii="Tajawal" w:hAnsi="Tajawal" w:cs="Tajawal" w:hint="cs"/>
          <w:sz w:val="24"/>
          <w:szCs w:val="24"/>
          <w:rtl/>
          <w:lang w:bidi="ar-EG"/>
        </w:rPr>
        <w:t xml:space="preserve"> واضحا في قٌرب إنهاء القضية 173 لسنة 2011 المعروفة إعلامياً "بالتمويل الأجنبي" حتي وصل عدد المنظمات الحاصلة علي البراءة إلي 75 منظمة حتي 21 أكتوبر 2021 بعد أن صدرت </w:t>
      </w:r>
      <w:proofErr w:type="spellStart"/>
      <w:r w:rsidRPr="007C052C">
        <w:rPr>
          <w:rFonts w:ascii="Tajawal" w:hAnsi="Tajawal" w:cs="Tajawal" w:hint="cs"/>
          <w:sz w:val="24"/>
          <w:szCs w:val="24"/>
          <w:rtl/>
          <w:lang w:bidi="ar-EG"/>
        </w:rPr>
        <w:t>احكاماً</w:t>
      </w:r>
      <w:proofErr w:type="spellEnd"/>
      <w:r w:rsidRPr="007C052C">
        <w:rPr>
          <w:rFonts w:ascii="Tajawal" w:hAnsi="Tajawal" w:cs="Tajawal" w:hint="cs"/>
          <w:sz w:val="24"/>
          <w:szCs w:val="24"/>
          <w:rtl/>
          <w:lang w:bidi="ar-EG"/>
        </w:rPr>
        <w:t xml:space="preserve"> بالا وجه لإقامة الدعوي الجنائية ضد هذه المنظمات، كما خلصت جهود هذه المنظمات إلي </w:t>
      </w:r>
      <w:proofErr w:type="spellStart"/>
      <w:r w:rsidRPr="007C052C">
        <w:rPr>
          <w:rFonts w:ascii="Tajawal" w:hAnsi="Tajawal" w:cs="Tajawal" w:hint="cs"/>
          <w:sz w:val="24"/>
          <w:szCs w:val="24"/>
          <w:rtl/>
          <w:lang w:bidi="ar-EG"/>
        </w:rPr>
        <w:t>الغاء</w:t>
      </w:r>
      <w:proofErr w:type="spellEnd"/>
      <w:r w:rsidRPr="007C052C">
        <w:rPr>
          <w:rFonts w:ascii="Tajawal" w:hAnsi="Tajawal" w:cs="Tajawal" w:hint="cs"/>
          <w:sz w:val="24"/>
          <w:szCs w:val="24"/>
          <w:rtl/>
          <w:lang w:bidi="ar-EG"/>
        </w:rPr>
        <w:t xml:space="preserve"> حظر السفر ومصادرة أموال عدد كبير من المدافعين عن حقوق الإنسان ومدراء المنظمات غير الحكومية. </w:t>
      </w:r>
    </w:p>
    <w:p w14:paraId="7B993579" w14:textId="5DE3C405" w:rsidR="00175E0B" w:rsidRPr="00961D67" w:rsidRDefault="00961D67" w:rsidP="00961D67">
      <w:pPr>
        <w:spacing w:line="240" w:lineRule="auto"/>
        <w:jc w:val="lowKashida"/>
        <w:rPr>
          <w:rFonts w:ascii="Tajawal" w:hAnsi="Tajawal" w:cs="Tajawal"/>
          <w:sz w:val="24"/>
          <w:szCs w:val="24"/>
          <w:rtl/>
          <w:lang w:bidi="ar-EG"/>
        </w:rPr>
      </w:pPr>
      <w:r w:rsidRPr="007C052C">
        <w:rPr>
          <w:rFonts w:ascii="Tajawal" w:hAnsi="Tajawal" w:cs="Tajawal" w:hint="cs"/>
          <w:sz w:val="24"/>
          <w:szCs w:val="24"/>
          <w:rtl/>
          <w:lang w:bidi="ar-EG"/>
        </w:rPr>
        <w:t xml:space="preserve">ومن ثم يمكن القول بإن إجراء مزيداً من التعاون والتشارك بين الدولة والمجتمع المدني قد يساهم بشكل كبير في فتح المجال العام والحريات بشكل كامل وذلك في ظل الالتزام بالتعهدات الدولية التي وافقت عليها الحكومة المصرية بشكل طوعي، وكذلك وفقا للمواثيق والاتفاقيات الدولية، كما يساهم هذا التعاون في </w:t>
      </w:r>
      <w:r w:rsidRPr="007C052C">
        <w:rPr>
          <w:rFonts w:ascii="Tajawal" w:hAnsi="Tajawal" w:cs="Tajawal"/>
          <w:sz w:val="24"/>
          <w:szCs w:val="24"/>
          <w:rtl/>
          <w:lang w:bidi="ar-EG"/>
        </w:rPr>
        <w:t>تطوير التشريعات المعنية بحقوق الإنسان، و</w:t>
      </w:r>
      <w:r w:rsidRPr="007C052C">
        <w:rPr>
          <w:rFonts w:ascii="Tajawal" w:hAnsi="Tajawal" w:cs="Tajawal" w:hint="cs"/>
          <w:sz w:val="24"/>
          <w:szCs w:val="24"/>
          <w:rtl/>
          <w:lang w:bidi="ar-EG"/>
        </w:rPr>
        <w:t xml:space="preserve">استمرار </w:t>
      </w:r>
      <w:r w:rsidRPr="007C052C">
        <w:rPr>
          <w:rFonts w:ascii="Tajawal" w:hAnsi="Tajawal" w:cs="Tajawal"/>
          <w:sz w:val="24"/>
          <w:szCs w:val="24"/>
          <w:rtl/>
          <w:lang w:bidi="ar-EG"/>
        </w:rPr>
        <w:t xml:space="preserve">تعزيز وتمكين المرأة، وكفالة حرية الرأي والتعبير، واحترام الحريات الدينية والثقافية، وضمان المحاكمات العادلة بما يتوافق مع المعايير </w:t>
      </w:r>
      <w:proofErr w:type="gramStart"/>
      <w:r w:rsidRPr="007C052C">
        <w:rPr>
          <w:rFonts w:ascii="Tajawal" w:hAnsi="Tajawal" w:cs="Tajawal"/>
          <w:sz w:val="24"/>
          <w:szCs w:val="24"/>
          <w:rtl/>
          <w:lang w:bidi="ar-EG"/>
        </w:rPr>
        <w:t>الدولية</w:t>
      </w:r>
      <w:r w:rsidRPr="007C052C">
        <w:rPr>
          <w:rFonts w:ascii="Tajawal" w:hAnsi="Tajawal" w:cs="Tajawal"/>
          <w:sz w:val="24"/>
          <w:szCs w:val="24"/>
          <w:lang w:bidi="ar-EG"/>
        </w:rPr>
        <w:t xml:space="preserve"> .</w:t>
      </w:r>
      <w:proofErr w:type="gramEnd"/>
    </w:p>
    <w:p w14:paraId="1EF63414" w14:textId="2BFD16E5" w:rsidR="00EC505B" w:rsidRPr="00B95935" w:rsidRDefault="00F8586B" w:rsidP="00B95935">
      <w:pPr>
        <w:shd w:val="clear" w:color="auto" w:fill="0070C0"/>
        <w:jc w:val="both"/>
        <w:rPr>
          <w:rFonts w:ascii="Simplified Arabic" w:hAnsi="Simplified Arabic" w:cs="Simplified Arabic"/>
          <w:b/>
          <w:bCs/>
          <w:sz w:val="28"/>
          <w:szCs w:val="28"/>
          <w:rtl/>
          <w:lang w:bidi="ar-EG"/>
        </w:rPr>
      </w:pPr>
      <w:r w:rsidRPr="00B95935">
        <w:rPr>
          <w:rFonts w:ascii="Simplified Arabic" w:hAnsi="Simplified Arabic" w:cs="Simplified Arabic"/>
          <w:b/>
          <w:bCs/>
          <w:sz w:val="28"/>
          <w:szCs w:val="28"/>
          <w:rtl/>
          <w:lang w:bidi="ar-EG"/>
        </w:rPr>
        <w:t>ثالثا: التوصيات</w:t>
      </w:r>
    </w:p>
    <w:p w14:paraId="27640C8F" w14:textId="2926F9A1" w:rsidR="00F8586B" w:rsidRPr="00B95935" w:rsidRDefault="00F8586B" w:rsidP="00B95935">
      <w:pPr>
        <w:jc w:val="both"/>
        <w:rPr>
          <w:rFonts w:ascii="Simplified Arabic" w:hAnsi="Simplified Arabic" w:cs="Simplified Arabic"/>
          <w:sz w:val="28"/>
          <w:szCs w:val="28"/>
          <w:rtl/>
          <w:lang w:bidi="ar-EG"/>
        </w:rPr>
      </w:pPr>
      <w:r w:rsidRPr="00B95935">
        <w:rPr>
          <w:rFonts w:ascii="Simplified Arabic" w:hAnsi="Simplified Arabic" w:cs="Simplified Arabic"/>
          <w:sz w:val="28"/>
          <w:szCs w:val="28"/>
          <w:rtl/>
          <w:lang w:bidi="ar-EG"/>
        </w:rPr>
        <w:t xml:space="preserve">في ظل الجهود المبذولة من قبل الحكومة المصرية في مجال الجمعيات </w:t>
      </w:r>
      <w:r w:rsidR="0036774E" w:rsidRPr="00B95935">
        <w:rPr>
          <w:rFonts w:ascii="Simplified Arabic" w:hAnsi="Simplified Arabic" w:cs="Simplified Arabic"/>
          <w:sz w:val="28"/>
          <w:szCs w:val="28"/>
          <w:rtl/>
          <w:lang w:bidi="ar-EG"/>
        </w:rPr>
        <w:t>الأهلية</w:t>
      </w:r>
      <w:r w:rsidRPr="00B95935">
        <w:rPr>
          <w:rFonts w:ascii="Simplified Arabic" w:hAnsi="Simplified Arabic" w:cs="Simplified Arabic"/>
          <w:sz w:val="28"/>
          <w:szCs w:val="28"/>
          <w:rtl/>
          <w:lang w:bidi="ar-EG"/>
        </w:rPr>
        <w:t xml:space="preserve"> </w:t>
      </w:r>
      <w:r w:rsidR="0036774E" w:rsidRPr="00B95935">
        <w:rPr>
          <w:rFonts w:ascii="Simplified Arabic" w:hAnsi="Simplified Arabic" w:cs="Simplified Arabic"/>
          <w:sz w:val="28"/>
          <w:szCs w:val="28"/>
          <w:rtl/>
          <w:lang w:bidi="ar-EG"/>
        </w:rPr>
        <w:t xml:space="preserve">مقارنة بالأوضاع قبل قانون رقم 149 لسنة 2019، فتشيد مؤسسة ماعت للسلام والتنمية وحقوق الإنسان بتلك الجهود وتثني على الحكومة المصرية، </w:t>
      </w:r>
      <w:r w:rsidR="0036774E" w:rsidRPr="00B95935">
        <w:rPr>
          <w:rFonts w:ascii="Simplified Arabic" w:hAnsi="Simplified Arabic" w:cs="Simplified Arabic"/>
          <w:b/>
          <w:bCs/>
          <w:sz w:val="28"/>
          <w:szCs w:val="28"/>
          <w:rtl/>
          <w:lang w:bidi="ar-EG"/>
        </w:rPr>
        <w:t>وتقدم عددا من التوصيات التي تتمثل في:</w:t>
      </w:r>
    </w:p>
    <w:p w14:paraId="3D583D73" w14:textId="1D1D6D88" w:rsidR="0036774E" w:rsidRPr="00B95935" w:rsidRDefault="00E959EF" w:rsidP="00B95935">
      <w:pPr>
        <w:pStyle w:val="ListParagraph"/>
        <w:numPr>
          <w:ilvl w:val="0"/>
          <w:numId w:val="5"/>
        </w:numPr>
        <w:jc w:val="both"/>
        <w:rPr>
          <w:rFonts w:ascii="Simplified Arabic" w:hAnsi="Simplified Arabic" w:cs="Simplified Arabic"/>
          <w:sz w:val="28"/>
          <w:szCs w:val="28"/>
          <w:lang w:bidi="ar-EG"/>
        </w:rPr>
      </w:pPr>
      <w:r w:rsidRPr="00B95935">
        <w:rPr>
          <w:rFonts w:ascii="Simplified Arabic" w:hAnsi="Simplified Arabic" w:cs="Simplified Arabic"/>
          <w:sz w:val="28"/>
          <w:szCs w:val="28"/>
          <w:rtl/>
          <w:lang w:bidi="ar-EG"/>
        </w:rPr>
        <w:lastRenderedPageBreak/>
        <w:t>استمرار الحكومة المصرية من مواصلة جهودها في تطوير عمل منظمات المجتمع المدني وإشراك المنظمات في المشاركة في كافة قطاعات الدولة بما يتوافق مع سياسات تلك المنظمة ووفقا لاختصاصاتها العملية والمهنية.</w:t>
      </w:r>
    </w:p>
    <w:p w14:paraId="30DFEA48" w14:textId="5C0DF39E" w:rsidR="00E959EF" w:rsidRPr="00B95935" w:rsidRDefault="006A7E35" w:rsidP="00B95935">
      <w:pPr>
        <w:pStyle w:val="ListParagraph"/>
        <w:numPr>
          <w:ilvl w:val="0"/>
          <w:numId w:val="5"/>
        </w:numPr>
        <w:jc w:val="both"/>
        <w:rPr>
          <w:rFonts w:ascii="Simplified Arabic" w:hAnsi="Simplified Arabic" w:cs="Simplified Arabic"/>
          <w:sz w:val="28"/>
          <w:szCs w:val="28"/>
          <w:lang w:bidi="ar-EG"/>
        </w:rPr>
      </w:pPr>
      <w:r w:rsidRPr="00B95935">
        <w:rPr>
          <w:rFonts w:ascii="Simplified Arabic" w:hAnsi="Simplified Arabic" w:cs="Simplified Arabic"/>
          <w:sz w:val="28"/>
          <w:szCs w:val="28"/>
          <w:rtl/>
          <w:lang w:bidi="ar-EG"/>
        </w:rPr>
        <w:t>الاهتمام بالجانب القانوني للجمعيات الأهلية لمراعاة أوضاع تلك الجمعيات لحمايتها من التضييق والمراقبة التي تقيد من حريتها في العمل.</w:t>
      </w:r>
    </w:p>
    <w:p w14:paraId="723AAB9B" w14:textId="3DDE54A7" w:rsidR="006A7E35" w:rsidRPr="00B95935" w:rsidRDefault="006A7E35" w:rsidP="00B95935">
      <w:pPr>
        <w:pStyle w:val="ListParagraph"/>
        <w:numPr>
          <w:ilvl w:val="0"/>
          <w:numId w:val="5"/>
        </w:numPr>
        <w:jc w:val="both"/>
        <w:rPr>
          <w:rFonts w:ascii="Simplified Arabic" w:hAnsi="Simplified Arabic" w:cs="Simplified Arabic"/>
          <w:sz w:val="28"/>
          <w:szCs w:val="28"/>
          <w:rtl/>
          <w:lang w:bidi="ar-EG"/>
        </w:rPr>
      </w:pPr>
      <w:r w:rsidRPr="00B95935">
        <w:rPr>
          <w:rFonts w:ascii="Simplified Arabic" w:hAnsi="Simplified Arabic" w:cs="Simplified Arabic"/>
          <w:sz w:val="28"/>
          <w:szCs w:val="28"/>
          <w:rtl/>
          <w:lang w:bidi="ar-EG"/>
        </w:rPr>
        <w:t xml:space="preserve"> وضع آلية منتظمة لدعم الحوار النشط والمستمر مع منظمات المجتمع المدني في قطاعات الحماية الاجتماعية وصحة المرأة والطفل، والتعليم المجتمعي، وحقوق الأشخاص ذوي الإعاقة، والصحة، والتمكين الاقتصادي والشمول المالي، والحماية من العنف، وذلك ضمن إطار وطني موحد طبقًا لرؤية مصر للتنمية المستدامة 2030. </w:t>
      </w:r>
    </w:p>
    <w:p w14:paraId="13A3240E" w14:textId="79B46667" w:rsidR="006A7E35" w:rsidRPr="00B95935" w:rsidRDefault="0008429F" w:rsidP="00B95935">
      <w:pPr>
        <w:pStyle w:val="ListParagraph"/>
        <w:numPr>
          <w:ilvl w:val="0"/>
          <w:numId w:val="5"/>
        </w:numPr>
        <w:jc w:val="both"/>
        <w:rPr>
          <w:rFonts w:ascii="Simplified Arabic" w:hAnsi="Simplified Arabic" w:cs="Simplified Arabic"/>
          <w:sz w:val="28"/>
          <w:szCs w:val="28"/>
          <w:rtl/>
          <w:lang w:bidi="ar-EG"/>
        </w:rPr>
      </w:pPr>
      <w:r w:rsidRPr="00B95935">
        <w:rPr>
          <w:rFonts w:ascii="Simplified Arabic" w:hAnsi="Simplified Arabic" w:cs="Simplified Arabic"/>
          <w:sz w:val="28"/>
          <w:szCs w:val="28"/>
          <w:rtl/>
          <w:lang w:bidi="ar-EG"/>
        </w:rPr>
        <w:t xml:space="preserve">السماح </w:t>
      </w:r>
      <w:r w:rsidR="00CA175E">
        <w:rPr>
          <w:rFonts w:ascii="Simplified Arabic" w:hAnsi="Simplified Arabic" w:cs="Simplified Arabic" w:hint="cs"/>
          <w:sz w:val="28"/>
          <w:szCs w:val="28"/>
          <w:rtl/>
          <w:lang w:bidi="ar-EG"/>
        </w:rPr>
        <w:t>ب</w:t>
      </w:r>
      <w:r w:rsidRPr="00B95935">
        <w:rPr>
          <w:rFonts w:ascii="Simplified Arabic" w:hAnsi="Simplified Arabic" w:cs="Simplified Arabic"/>
          <w:sz w:val="28"/>
          <w:szCs w:val="28"/>
          <w:rtl/>
        </w:rPr>
        <w:t>نقل الخبرات الفنية والإدارية وأهم الدروس المستفادة بين الجمعيات الكبيرة المحورية ونظرائها من الجمعيات الصغيرة بالمجتمعات المحلية على مستوى القرى، والمتوسطة على مستوى المحافظات والمراكز، وذلك لوضع رؤية موحدة بين منظمات المجتمع المدني بكافة مستوياته لتعزيز رؤية موحدة وأولويات التنمية المستدامة والعادلة</w:t>
      </w:r>
      <w:r w:rsidR="00CA175E">
        <w:rPr>
          <w:rFonts w:ascii="Simplified Arabic" w:hAnsi="Simplified Arabic" w:cs="Simplified Arabic" w:hint="cs"/>
          <w:sz w:val="28"/>
          <w:szCs w:val="28"/>
          <w:rtl/>
        </w:rPr>
        <w:t>.</w:t>
      </w:r>
    </w:p>
    <w:bookmarkEnd w:id="0"/>
    <w:p w14:paraId="7EE5FCED" w14:textId="77777777" w:rsidR="00FE62BF" w:rsidRPr="00B95935" w:rsidRDefault="00FE62BF" w:rsidP="00B95935">
      <w:pPr>
        <w:jc w:val="both"/>
        <w:rPr>
          <w:rFonts w:ascii="Simplified Arabic" w:hAnsi="Simplified Arabic" w:cs="Simplified Arabic"/>
          <w:sz w:val="28"/>
          <w:szCs w:val="28"/>
          <w:lang w:bidi="ar-EG"/>
        </w:rPr>
      </w:pPr>
    </w:p>
    <w:sectPr w:rsidR="00FE62BF" w:rsidRPr="00B95935" w:rsidSect="00BF1E65">
      <w:headerReference w:type="default" r:id="rId9"/>
      <w:footerReference w:type="default" r:id="rId10"/>
      <w:pgSz w:w="12240" w:h="15840"/>
      <w:pgMar w:top="851" w:right="851" w:bottom="851"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44C056" w14:textId="77777777" w:rsidR="000B005F" w:rsidRDefault="000B005F" w:rsidP="006F0912">
      <w:pPr>
        <w:spacing w:after="0" w:line="240" w:lineRule="auto"/>
      </w:pPr>
      <w:r>
        <w:separator/>
      </w:r>
    </w:p>
  </w:endnote>
  <w:endnote w:type="continuationSeparator" w:id="0">
    <w:p w14:paraId="4D8E30A7" w14:textId="77777777" w:rsidR="000B005F" w:rsidRDefault="000B005F" w:rsidP="006F09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jawal">
    <w:altName w:val="Arial"/>
    <w:charset w:val="00"/>
    <w:family w:val="auto"/>
    <w:pitch w:val="variable"/>
    <w:sig w:usb0="8000202F" w:usb1="9000204A" w:usb2="00000008" w:usb3="00000000" w:csb0="0000004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9"/>
      <w:gridCol w:w="577"/>
      <w:gridCol w:w="1397"/>
      <w:gridCol w:w="692"/>
      <w:gridCol w:w="453"/>
      <w:gridCol w:w="819"/>
      <w:gridCol w:w="524"/>
      <w:gridCol w:w="4753"/>
    </w:tblGrid>
    <w:tr w:rsidR="0086433E" w14:paraId="269429FD" w14:textId="77777777" w:rsidTr="0086433E">
      <w:trPr>
        <w:jc w:val="center"/>
      </w:trPr>
      <w:tc>
        <w:tcPr>
          <w:tcW w:w="740" w:type="pct"/>
          <w:vMerge w:val="restart"/>
          <w:vAlign w:val="center"/>
        </w:tcPr>
        <w:p w14:paraId="00B438D2" w14:textId="77777777" w:rsidR="0086433E" w:rsidRDefault="00E9265C" w:rsidP="0086433E">
          <w:pPr>
            <w:bidi w:val="0"/>
            <w:spacing w:after="60"/>
            <w:jc w:val="center"/>
            <w:rPr>
              <w:noProof/>
              <w:rtl/>
            </w:rPr>
          </w:pPr>
          <w:r>
            <w:rPr>
              <w:rFonts w:hint="cs"/>
              <w:noProof/>
            </w:rPr>
            <w:drawing>
              <wp:inline distT="0" distB="0" distL="0" distR="0" wp14:anchorId="4D94758B" wp14:editId="536E2DB0">
                <wp:extent cx="721378" cy="560173"/>
                <wp:effectExtent l="0" t="0" r="2540" b="0"/>
                <wp:docPr id="2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60" w:type="pct"/>
          <w:gridSpan w:val="7"/>
        </w:tcPr>
        <w:p w14:paraId="1CF48604" w14:textId="77777777" w:rsidR="0086433E" w:rsidRDefault="00E9265C" w:rsidP="00C124EA">
          <w:pPr>
            <w:bidi w:val="0"/>
            <w:spacing w:after="60"/>
            <w:rPr>
              <w:rFonts w:ascii="Times New Roman" w:hAnsi="Times New Roman" w:cs="Times New Roman"/>
              <w:b/>
              <w:bCs/>
              <w:color w:val="000066"/>
              <w:sz w:val="20"/>
              <w:szCs w:val="20"/>
            </w:rPr>
          </w:pPr>
          <w:r>
            <w:rPr>
              <w:noProof/>
              <w:rtl/>
            </w:rPr>
            <mc:AlternateContent>
              <mc:Choice Requires="wps">
                <w:drawing>
                  <wp:inline distT="0" distB="0" distL="0" distR="0" wp14:anchorId="44DB8AC2" wp14:editId="35671BCE">
                    <wp:extent cx="5632106" cy="38615"/>
                    <wp:effectExtent l="19050" t="19050" r="6985" b="19050"/>
                    <wp:docPr id="17"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5632106" cy="38615"/>
                            </a:xfrm>
                            <a:prstGeom prst="line">
                              <a:avLst/>
                            </a:prstGeom>
                            <a:noFill/>
                            <a:ln w="28575">
                              <a:solidFill>
                                <a:srgbClr val="FF0000"/>
                              </a:solidFill>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6654C3C7" id="Line 1" o:spid="_x0000_s1026" style="flip:x y;visibility:visible;mso-wrap-style:square;mso-left-percent:-10001;mso-top-percent:-10001;mso-position-horizontal:absolute;mso-position-horizontal-relative:char;mso-position-vertical:absolute;mso-position-vertical-relative:line;mso-left-percent:-10001;mso-top-percent:-10001" from="0,0" to="443.45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" strokecolor="red" strokeweight="2.25pt">
                    <w10:anchorlock/>
                  </v:line>
                </w:pict>
              </mc:Fallback>
            </mc:AlternateContent>
          </w:r>
        </w:p>
        <w:p w14:paraId="6BC603FE" w14:textId="77777777" w:rsidR="0086433E" w:rsidRPr="006F4190" w:rsidRDefault="00E9265C" w:rsidP="00C124EA">
          <w:pPr>
            <w:bidi w:val="0"/>
            <w:spacing w:after="60"/>
            <w:jc w:val="center"/>
            <w:rPr>
              <w:rFonts w:ascii="Times New Roman" w:hAnsi="Times New Roman" w:cs="Times New Roman"/>
              <w:b/>
              <w:bCs/>
              <w:color w:val="000066"/>
              <w:sz w:val="20"/>
              <w:szCs w:val="20"/>
            </w:rPr>
          </w:pPr>
          <w:r w:rsidRPr="009E5A85">
            <w:rPr>
              <w:rFonts w:ascii="Times New Roman" w:hAnsi="Times New Roman" w:cs="Times New Roman"/>
              <w:b/>
              <w:bCs/>
              <w:color w:val="000066"/>
              <w:sz w:val="20"/>
              <w:szCs w:val="20"/>
            </w:rPr>
            <w:t>Organization in special consultative status with the Economic and Social Council since 2016</w:t>
          </w:r>
        </w:p>
      </w:tc>
    </w:tr>
    <w:tr w:rsidR="0086433E" w14:paraId="7A694676" w14:textId="77777777" w:rsidTr="0086433E">
      <w:trPr>
        <w:jc w:val="center"/>
      </w:trPr>
      <w:tc>
        <w:tcPr>
          <w:tcW w:w="740" w:type="pct"/>
          <w:vMerge/>
        </w:tcPr>
        <w:p w14:paraId="1D1B90C6" w14:textId="77777777" w:rsidR="0086433E" w:rsidRDefault="000B005F" w:rsidP="00BF1E65">
          <w:pPr>
            <w:bidi w:val="0"/>
            <w:jc w:val="center"/>
            <w:rPr>
              <w:b/>
              <w:bCs/>
              <w:noProof/>
              <w:lang w:bidi="ar-EG"/>
            </w:rPr>
          </w:pPr>
        </w:p>
      </w:tc>
      <w:tc>
        <w:tcPr>
          <w:tcW w:w="269" w:type="pct"/>
          <w:vMerge w:val="restart"/>
          <w:vAlign w:val="center"/>
        </w:tcPr>
        <w:p w14:paraId="458DC8CE" w14:textId="77777777" w:rsidR="0086433E" w:rsidRPr="000F15D5" w:rsidRDefault="00E9265C" w:rsidP="00BF1E65">
          <w:pPr>
            <w:bidi w:val="0"/>
            <w:jc w:val="center"/>
            <w:rPr>
              <w:b/>
              <w:bCs/>
              <w:lang w:bidi="ar-EG"/>
            </w:rPr>
          </w:pPr>
          <w:r>
            <w:rPr>
              <w:b/>
              <w:bCs/>
              <w:noProof/>
              <w:lang w:bidi="ar-EG"/>
            </w:rPr>
            <w:drawing>
              <wp:inline distT="0" distB="0" distL="0" distR="0" wp14:anchorId="4FA273D1" wp14:editId="26420BCB">
                <wp:extent cx="113208" cy="180000"/>
                <wp:effectExtent l="0" t="0" r="1270" b="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7"/>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3208" cy="180000"/>
                        </a:xfrm>
                        <a:prstGeom prst="rect">
                          <a:avLst/>
                        </a:prstGeom>
                      </pic:spPr>
                    </pic:pic>
                  </a:graphicData>
                </a:graphic>
              </wp:inline>
            </w:drawing>
          </w:r>
        </w:p>
      </w:tc>
      <w:tc>
        <w:tcPr>
          <w:tcW w:w="3991" w:type="pct"/>
          <w:gridSpan w:val="6"/>
          <w:vAlign w:val="center"/>
        </w:tcPr>
        <w:p w14:paraId="6B5D6E9C" w14:textId="77777777" w:rsidR="0086433E" w:rsidRPr="000F15D5" w:rsidRDefault="00E9265C" w:rsidP="00BF1E65">
          <w:pPr>
            <w:bidi w:val="0"/>
            <w:ind w:left="-57"/>
            <w:rPr>
              <w:rFonts w:asciiTheme="majorBidi" w:hAnsiTheme="majorBidi" w:cstheme="majorBidi"/>
              <w:color w:val="000000"/>
              <w:sz w:val="18"/>
              <w:szCs w:val="18"/>
              <w:shd w:val="clear" w:color="auto" w:fill="FFFFFF"/>
            </w:rPr>
          </w:pPr>
          <w:r w:rsidRPr="0086433E">
            <w:rPr>
              <w:rFonts w:asciiTheme="majorBidi" w:eastAsia="Times New Roman" w:hAnsiTheme="majorBidi" w:cstheme="majorBidi"/>
              <w:b/>
              <w:bCs/>
              <w:color w:val="000000"/>
              <w:sz w:val="18"/>
              <w:szCs w:val="18"/>
            </w:rPr>
            <w:t>Headquarters</w:t>
          </w:r>
          <w:r>
            <w:rPr>
              <w:rFonts w:asciiTheme="majorBidi" w:eastAsia="Times New Roman" w:hAnsiTheme="majorBidi" w:cstheme="majorBidi"/>
              <w:color w:val="000000"/>
              <w:sz w:val="18"/>
              <w:szCs w:val="18"/>
            </w:rPr>
            <w:t>:</w:t>
          </w:r>
          <w:r w:rsidRPr="000F15D5">
            <w:rPr>
              <w:rFonts w:asciiTheme="majorBidi" w:eastAsia="Times New Roman" w:hAnsiTheme="majorBidi" w:cstheme="majorBidi"/>
              <w:color w:val="000000"/>
              <w:sz w:val="18"/>
              <w:szCs w:val="18"/>
            </w:rPr>
            <w:t xml:space="preserve">148 </w:t>
          </w:r>
          <w:proofErr w:type="spellStart"/>
          <w:r w:rsidRPr="000F15D5">
            <w:rPr>
              <w:rFonts w:asciiTheme="majorBidi" w:eastAsia="Times New Roman" w:hAnsiTheme="majorBidi" w:cstheme="majorBidi"/>
              <w:color w:val="000000"/>
              <w:sz w:val="18"/>
              <w:szCs w:val="18"/>
            </w:rPr>
            <w:t>Misr</w:t>
          </w:r>
          <w:proofErr w:type="spellEnd"/>
          <w:r w:rsidRPr="000F15D5">
            <w:rPr>
              <w:rFonts w:asciiTheme="majorBidi" w:eastAsia="Times New Roman" w:hAnsiTheme="majorBidi" w:cstheme="majorBidi"/>
              <w:color w:val="000000"/>
              <w:sz w:val="18"/>
              <w:szCs w:val="18"/>
            </w:rPr>
            <w:t xml:space="preserve"> Helwan El-</w:t>
          </w:r>
          <w:proofErr w:type="spellStart"/>
          <w:r w:rsidRPr="000F15D5">
            <w:rPr>
              <w:rFonts w:asciiTheme="majorBidi" w:eastAsia="Times New Roman" w:hAnsiTheme="majorBidi" w:cstheme="majorBidi"/>
              <w:color w:val="000000"/>
              <w:sz w:val="18"/>
              <w:szCs w:val="18"/>
            </w:rPr>
            <w:t>Zyrae</w:t>
          </w:r>
          <w:proofErr w:type="spellEnd"/>
          <w:r w:rsidRPr="000F15D5">
            <w:rPr>
              <w:rFonts w:asciiTheme="majorBidi" w:eastAsia="Times New Roman" w:hAnsiTheme="majorBidi" w:cstheme="majorBidi"/>
              <w:color w:val="000000"/>
              <w:sz w:val="18"/>
              <w:szCs w:val="18"/>
            </w:rPr>
            <w:t xml:space="preserve"> Road, El </w:t>
          </w:r>
          <w:proofErr w:type="spellStart"/>
          <w:r w:rsidRPr="000F15D5">
            <w:rPr>
              <w:rFonts w:asciiTheme="majorBidi" w:eastAsia="Times New Roman" w:hAnsiTheme="majorBidi" w:cstheme="majorBidi"/>
              <w:color w:val="000000"/>
              <w:sz w:val="18"/>
              <w:szCs w:val="18"/>
            </w:rPr>
            <w:t>Matbaa</w:t>
          </w:r>
          <w:proofErr w:type="spellEnd"/>
          <w:r w:rsidRPr="000F15D5">
            <w:rPr>
              <w:rFonts w:asciiTheme="majorBidi" w:eastAsia="Times New Roman" w:hAnsiTheme="majorBidi" w:cstheme="majorBidi"/>
              <w:color w:val="000000"/>
              <w:sz w:val="18"/>
              <w:szCs w:val="18"/>
              <w:rtl/>
            </w:rPr>
            <w:t xml:space="preserve"> </w:t>
          </w:r>
          <w:r w:rsidRPr="000F15D5">
            <w:rPr>
              <w:rFonts w:asciiTheme="majorBidi" w:eastAsia="Times New Roman" w:hAnsiTheme="majorBidi" w:cstheme="majorBidi"/>
              <w:color w:val="000000"/>
              <w:sz w:val="18"/>
              <w:szCs w:val="18"/>
            </w:rPr>
            <w:t xml:space="preserve">Sq, </w:t>
          </w:r>
          <w:proofErr w:type="spellStart"/>
          <w:r w:rsidRPr="000F15D5">
            <w:rPr>
              <w:rFonts w:asciiTheme="majorBidi" w:eastAsia="Times New Roman" w:hAnsiTheme="majorBidi" w:cstheme="majorBidi"/>
              <w:color w:val="000000"/>
              <w:sz w:val="18"/>
              <w:szCs w:val="18"/>
            </w:rPr>
            <w:t>Hadayek</w:t>
          </w:r>
          <w:proofErr w:type="spellEnd"/>
          <w:r w:rsidRPr="000F15D5">
            <w:rPr>
              <w:rFonts w:asciiTheme="majorBidi" w:eastAsia="Times New Roman" w:hAnsiTheme="majorBidi" w:cstheme="majorBidi"/>
              <w:color w:val="000000"/>
              <w:sz w:val="18"/>
              <w:szCs w:val="18"/>
            </w:rPr>
            <w:t xml:space="preserve"> El Maadi, 4</w:t>
          </w:r>
          <w:r w:rsidRPr="000F15D5">
            <w:rPr>
              <w:rFonts w:asciiTheme="majorBidi" w:eastAsia="Times New Roman" w:hAnsiTheme="majorBidi" w:cstheme="majorBidi"/>
              <w:color w:val="000000"/>
              <w:sz w:val="18"/>
              <w:szCs w:val="18"/>
              <w:vertAlign w:val="superscript"/>
            </w:rPr>
            <w:t>th</w:t>
          </w:r>
          <w:r w:rsidRPr="000F15D5">
            <w:rPr>
              <w:rFonts w:asciiTheme="majorBidi" w:eastAsia="Times New Roman" w:hAnsiTheme="majorBidi" w:cstheme="majorBidi"/>
              <w:color w:val="000000"/>
              <w:sz w:val="18"/>
              <w:szCs w:val="18"/>
            </w:rPr>
            <w:t xml:space="preserve"> Floor, No 41, Cairo, Egypt</w:t>
          </w:r>
          <w:r w:rsidRPr="000F15D5">
            <w:rPr>
              <w:rFonts w:asciiTheme="majorBidi" w:eastAsia="Times New Roman" w:hAnsiTheme="majorBidi" w:cstheme="majorBidi"/>
              <w:color w:val="FF0000"/>
              <w:sz w:val="18"/>
              <w:szCs w:val="18"/>
            </w:rPr>
            <w:t xml:space="preserve"> </w:t>
          </w:r>
        </w:p>
      </w:tc>
    </w:tr>
    <w:tr w:rsidR="0086433E" w14:paraId="00F687A8" w14:textId="77777777" w:rsidTr="0086433E">
      <w:trPr>
        <w:jc w:val="center"/>
      </w:trPr>
      <w:tc>
        <w:tcPr>
          <w:tcW w:w="740" w:type="pct"/>
          <w:vMerge/>
        </w:tcPr>
        <w:p w14:paraId="33C11D5F" w14:textId="77777777" w:rsidR="0086433E" w:rsidRDefault="000B005F" w:rsidP="00BF1E65">
          <w:pPr>
            <w:bidi w:val="0"/>
            <w:jc w:val="center"/>
            <w:rPr>
              <w:lang w:bidi="ar-EG"/>
            </w:rPr>
          </w:pPr>
        </w:p>
      </w:tc>
      <w:tc>
        <w:tcPr>
          <w:tcW w:w="269" w:type="pct"/>
          <w:vMerge/>
          <w:vAlign w:val="center"/>
        </w:tcPr>
        <w:p w14:paraId="12908CC6" w14:textId="77777777" w:rsidR="0086433E" w:rsidRDefault="000B005F" w:rsidP="00BF1E65">
          <w:pPr>
            <w:bidi w:val="0"/>
            <w:jc w:val="center"/>
            <w:rPr>
              <w:lang w:bidi="ar-EG"/>
            </w:rPr>
          </w:pPr>
        </w:p>
      </w:tc>
      <w:tc>
        <w:tcPr>
          <w:tcW w:w="3991" w:type="pct"/>
          <w:gridSpan w:val="6"/>
          <w:vAlign w:val="center"/>
        </w:tcPr>
        <w:p w14:paraId="4E753170" w14:textId="77777777" w:rsidR="0086433E" w:rsidRPr="000F15D5" w:rsidRDefault="00E9265C" w:rsidP="00BF1E65">
          <w:pPr>
            <w:bidi w:val="0"/>
            <w:rPr>
              <w:rFonts w:asciiTheme="majorBidi" w:hAnsiTheme="majorBidi" w:cstheme="majorBidi"/>
              <w:color w:val="000000"/>
              <w:sz w:val="18"/>
              <w:szCs w:val="18"/>
              <w:shd w:val="clear" w:color="auto" w:fill="FFFFFF"/>
            </w:rPr>
          </w:pPr>
          <w:r w:rsidRPr="005C2948">
            <w:rPr>
              <w:rFonts w:asciiTheme="majorBidi" w:hAnsiTheme="majorBidi" w:cstheme="majorBidi"/>
              <w:b/>
              <w:bCs/>
              <w:color w:val="000000" w:themeColor="text1"/>
              <w:sz w:val="18"/>
              <w:szCs w:val="18"/>
              <w:shd w:val="clear" w:color="auto" w:fill="FFFFFF"/>
            </w:rPr>
            <w:t>Maat Training Center</w:t>
          </w:r>
          <w:r>
            <w:rPr>
              <w:rFonts w:asciiTheme="majorBidi" w:hAnsiTheme="majorBidi" w:cstheme="majorBidi"/>
              <w:color w:val="000000"/>
              <w:sz w:val="18"/>
              <w:szCs w:val="18"/>
              <w:shd w:val="clear" w:color="auto" w:fill="FFFFFF"/>
            </w:rPr>
            <w:t xml:space="preserve">: </w:t>
          </w:r>
          <w:r w:rsidRPr="000F15D5">
            <w:rPr>
              <w:rFonts w:asciiTheme="majorBidi" w:hAnsiTheme="majorBidi" w:cstheme="majorBidi"/>
              <w:color w:val="000000"/>
              <w:sz w:val="18"/>
              <w:szCs w:val="18"/>
              <w:shd w:val="clear" w:color="auto" w:fill="FFFFFF"/>
            </w:rPr>
            <w:t xml:space="preserve">380 Corniche El Nil St., </w:t>
          </w:r>
          <w:proofErr w:type="spellStart"/>
          <w:r w:rsidRPr="000F15D5">
            <w:rPr>
              <w:rFonts w:asciiTheme="majorBidi" w:hAnsiTheme="majorBidi" w:cstheme="majorBidi"/>
              <w:color w:val="000000"/>
              <w:sz w:val="18"/>
              <w:szCs w:val="18"/>
              <w:shd w:val="clear" w:color="auto" w:fill="FFFFFF"/>
            </w:rPr>
            <w:t>Gawharet</w:t>
          </w:r>
          <w:proofErr w:type="spellEnd"/>
          <w:r w:rsidRPr="000F15D5">
            <w:rPr>
              <w:rFonts w:asciiTheme="majorBidi" w:hAnsiTheme="majorBidi" w:cstheme="majorBidi"/>
              <w:color w:val="000000"/>
              <w:sz w:val="18"/>
              <w:szCs w:val="18"/>
              <w:shd w:val="clear" w:color="auto" w:fill="FFFFFF"/>
            </w:rPr>
            <w:t xml:space="preserve"> El Maadi Tower,38th Floor, Tower B, Cairo, Egypt</w:t>
          </w:r>
        </w:p>
      </w:tc>
    </w:tr>
    <w:tr w:rsidR="00C124EA" w14:paraId="775DD5CE" w14:textId="77777777" w:rsidTr="0086433E">
      <w:trPr>
        <w:jc w:val="center"/>
      </w:trPr>
      <w:tc>
        <w:tcPr>
          <w:tcW w:w="740" w:type="pct"/>
          <w:vMerge/>
        </w:tcPr>
        <w:p w14:paraId="0CBEF613" w14:textId="77777777" w:rsidR="0086433E" w:rsidRDefault="000B005F" w:rsidP="00BF1E65">
          <w:pPr>
            <w:bidi w:val="0"/>
            <w:jc w:val="center"/>
            <w:rPr>
              <w:noProof/>
              <w:lang w:bidi="ar-EG"/>
            </w:rPr>
          </w:pPr>
        </w:p>
      </w:tc>
      <w:tc>
        <w:tcPr>
          <w:tcW w:w="269" w:type="pct"/>
          <w:vAlign w:val="center"/>
        </w:tcPr>
        <w:p w14:paraId="14F2F9AB" w14:textId="77777777" w:rsidR="0086433E" w:rsidRDefault="00E9265C" w:rsidP="00BF1E65">
          <w:pPr>
            <w:bidi w:val="0"/>
            <w:jc w:val="center"/>
            <w:rPr>
              <w:lang w:bidi="ar-EG"/>
            </w:rPr>
          </w:pPr>
          <w:r>
            <w:rPr>
              <w:noProof/>
              <w:lang w:bidi="ar-EG"/>
            </w:rPr>
            <w:drawing>
              <wp:inline distT="0" distB="0" distL="0" distR="0" wp14:anchorId="4ECB2FAE" wp14:editId="63F1043E">
                <wp:extent cx="178378" cy="180000"/>
                <wp:effectExtent l="0" t="0" r="0" b="0"/>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8"/>
                        <pic:cNvPicPr/>
                      </pic:nvPicPr>
                      <pic:blipFill>
                        <a:blip r:embed="rId3"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652" w:type="pct"/>
          <w:vAlign w:val="center"/>
        </w:tcPr>
        <w:p w14:paraId="4860CE07" w14:textId="77777777" w:rsidR="0086433E" w:rsidRPr="000F15D5" w:rsidRDefault="00E9265C" w:rsidP="00BF1E65">
          <w:pPr>
            <w:bidi w:val="0"/>
            <w:rPr>
              <w:sz w:val="18"/>
              <w:szCs w:val="18"/>
              <w:lang w:bidi="ar-EG"/>
            </w:rPr>
          </w:pPr>
          <w:r w:rsidRPr="000F15D5">
            <w:rPr>
              <w:rFonts w:ascii="Tahoma" w:hAnsi="Tahoma" w:cs="Tahoma"/>
              <w:color w:val="000000"/>
              <w:sz w:val="18"/>
              <w:szCs w:val="18"/>
              <w:shd w:val="clear" w:color="auto" w:fill="FFFFFF"/>
            </w:rPr>
            <w:t>490 El Maadi</w:t>
          </w:r>
          <w:r w:rsidRPr="000F15D5">
            <w:rPr>
              <w:sz w:val="18"/>
              <w:szCs w:val="18"/>
              <w:lang w:bidi="ar-EG"/>
            </w:rPr>
            <w:t xml:space="preserve"> </w:t>
          </w:r>
        </w:p>
      </w:tc>
      <w:tc>
        <w:tcPr>
          <w:tcW w:w="875" w:type="pct"/>
          <w:gridSpan w:val="3"/>
          <w:vAlign w:val="center"/>
        </w:tcPr>
        <w:p w14:paraId="44CCCDE1" w14:textId="77777777" w:rsidR="0086433E" w:rsidRPr="000F15D5" w:rsidRDefault="00E9265C" w:rsidP="00BF1E65">
          <w:pPr>
            <w:bidi w:val="0"/>
            <w:rPr>
              <w:sz w:val="18"/>
              <w:szCs w:val="18"/>
              <w:lang w:bidi="ar-EG"/>
            </w:rPr>
          </w:pPr>
          <w:r w:rsidRPr="00A20672">
            <w:rPr>
              <w:b/>
              <w:bCs/>
              <w:noProof/>
              <w:sz w:val="18"/>
              <w:szCs w:val="18"/>
              <w:lang w:bidi="ar-EG"/>
            </w:rPr>
            <w:t>WWW</w:t>
          </w:r>
          <w:r>
            <w:rPr>
              <w:b/>
              <w:bCs/>
              <w:noProof/>
              <w:sz w:val="18"/>
              <w:szCs w:val="18"/>
              <w:lang w:bidi="ar-EG"/>
            </w:rPr>
            <w:t>.</w:t>
          </w:r>
          <w:r w:rsidRPr="0086433E">
            <w:rPr>
              <w:rFonts w:ascii="Times New Roman" w:eastAsia="Times New Roman" w:hAnsi="Times New Roman" w:cs="Times New Roman"/>
              <w:color w:val="000000"/>
              <w:sz w:val="20"/>
              <w:szCs w:val="20"/>
            </w:rPr>
            <w:t>maatpeace.org </w:t>
          </w:r>
        </w:p>
      </w:tc>
      <w:tc>
        <w:tcPr>
          <w:tcW w:w="245" w:type="pct"/>
          <w:vAlign w:val="center"/>
        </w:tcPr>
        <w:p w14:paraId="0002FF1E" w14:textId="77777777" w:rsidR="0086433E" w:rsidRPr="00A20672" w:rsidRDefault="00E9265C" w:rsidP="00BF1E65">
          <w:pPr>
            <w:bidi w:val="0"/>
            <w:rPr>
              <w:b/>
              <w:bCs/>
              <w:sz w:val="18"/>
              <w:szCs w:val="18"/>
              <w:lang w:bidi="ar-EG"/>
            </w:rPr>
          </w:pPr>
          <w:r>
            <w:rPr>
              <w:b/>
              <w:bCs/>
              <w:noProof/>
              <w:sz w:val="18"/>
              <w:szCs w:val="18"/>
              <w:lang w:bidi="ar-EG"/>
            </w:rPr>
            <w:drawing>
              <wp:inline distT="0" distB="0" distL="0" distR="0" wp14:anchorId="303CBD27" wp14:editId="253159F6">
                <wp:extent cx="185455" cy="180000"/>
                <wp:effectExtent l="0" t="0" r="5080" b="0"/>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صورة 15"/>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5455" cy="180000"/>
                        </a:xfrm>
                        <a:prstGeom prst="rect">
                          <a:avLst/>
                        </a:prstGeom>
                      </pic:spPr>
                    </pic:pic>
                  </a:graphicData>
                </a:graphic>
              </wp:inline>
            </w:drawing>
          </w:r>
        </w:p>
      </w:tc>
      <w:tc>
        <w:tcPr>
          <w:tcW w:w="2219" w:type="pct"/>
          <w:vAlign w:val="center"/>
        </w:tcPr>
        <w:p w14:paraId="0E01D53A" w14:textId="77777777" w:rsidR="0086433E" w:rsidRPr="000F15D5" w:rsidRDefault="00E9265C" w:rsidP="00BF1E65">
          <w:pPr>
            <w:bidi w:val="0"/>
            <w:rPr>
              <w:sz w:val="18"/>
              <w:szCs w:val="18"/>
              <w:lang w:bidi="ar-EG"/>
            </w:rPr>
          </w:pPr>
          <w:r w:rsidRPr="0086433E">
            <w:rPr>
              <w:rStyle w:val="apple-style-span"/>
              <w:color w:val="000000"/>
              <w:sz w:val="20"/>
              <w:szCs w:val="20"/>
            </w:rPr>
            <w:t>maat@maatpeace.org</w:t>
          </w:r>
        </w:p>
      </w:tc>
    </w:tr>
    <w:tr w:rsidR="00C124EA" w14:paraId="3BD3985C" w14:textId="77777777" w:rsidTr="0086433E">
      <w:trPr>
        <w:jc w:val="center"/>
      </w:trPr>
      <w:tc>
        <w:tcPr>
          <w:tcW w:w="740" w:type="pct"/>
          <w:vMerge/>
        </w:tcPr>
        <w:p w14:paraId="65E02F4A" w14:textId="77777777" w:rsidR="0086433E" w:rsidRDefault="000B005F" w:rsidP="00BF1E65">
          <w:pPr>
            <w:bidi w:val="0"/>
            <w:jc w:val="center"/>
            <w:rPr>
              <w:noProof/>
              <w:lang w:bidi="ar-EG"/>
            </w:rPr>
          </w:pPr>
        </w:p>
      </w:tc>
      <w:tc>
        <w:tcPr>
          <w:tcW w:w="269" w:type="pct"/>
          <w:vAlign w:val="center"/>
        </w:tcPr>
        <w:p w14:paraId="64831E3F" w14:textId="77777777" w:rsidR="0086433E" w:rsidRDefault="00E9265C" w:rsidP="00BF1E65">
          <w:pPr>
            <w:bidi w:val="0"/>
            <w:jc w:val="center"/>
            <w:rPr>
              <w:lang w:bidi="ar-EG"/>
            </w:rPr>
          </w:pPr>
          <w:r>
            <w:rPr>
              <w:noProof/>
              <w:lang w:bidi="ar-EG"/>
            </w:rPr>
            <w:drawing>
              <wp:inline distT="0" distB="0" distL="0" distR="0" wp14:anchorId="7154EF35" wp14:editId="6269B0F9">
                <wp:extent cx="178378" cy="180000"/>
                <wp:effectExtent l="0" t="0" r="0" b="0"/>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صورة 9"/>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960" w:type="pct"/>
          <w:gridSpan w:val="2"/>
          <w:vAlign w:val="center"/>
        </w:tcPr>
        <w:p w14:paraId="152C341A" w14:textId="77777777" w:rsidR="0086433E" w:rsidRPr="005C2948" w:rsidRDefault="00E9265C" w:rsidP="00BF1E65">
          <w:pPr>
            <w:bidi w:val="0"/>
            <w:rPr>
              <w:rFonts w:asciiTheme="majorBidi" w:hAnsiTheme="majorBidi" w:cstheme="majorBidi"/>
              <w:b/>
              <w:bCs/>
              <w:color w:val="000000"/>
              <w:sz w:val="18"/>
              <w:szCs w:val="18"/>
              <w:shd w:val="clear" w:color="auto" w:fill="FFFFFF"/>
            </w:rPr>
          </w:pPr>
          <w:r w:rsidRPr="005C2948">
            <w:rPr>
              <w:rStyle w:val="apple-style-span"/>
              <w:b/>
              <w:bCs/>
              <w:color w:val="000000"/>
              <w:sz w:val="18"/>
              <w:szCs w:val="18"/>
            </w:rPr>
            <w:t>00(20) (2) 25344706/</w:t>
          </w:r>
          <w:r w:rsidRPr="005C2948">
            <w:rPr>
              <w:rStyle w:val="apple-style-span"/>
              <w:b/>
              <w:bCs/>
              <w:sz w:val="18"/>
              <w:szCs w:val="18"/>
            </w:rPr>
            <w:t>7</w:t>
          </w:r>
        </w:p>
      </w:tc>
      <w:tc>
        <w:tcPr>
          <w:tcW w:w="202" w:type="pct"/>
          <w:vAlign w:val="center"/>
        </w:tcPr>
        <w:p w14:paraId="5BD77B6C" w14:textId="77777777" w:rsidR="0086433E" w:rsidRPr="005C2948" w:rsidRDefault="00E9265C" w:rsidP="00BF1E65">
          <w:pPr>
            <w:bidi w:val="0"/>
            <w:jc w:val="center"/>
            <w:rPr>
              <w:rFonts w:asciiTheme="majorBidi" w:hAnsiTheme="majorBidi" w:cstheme="majorBidi"/>
              <w:b/>
              <w:bCs/>
              <w:color w:val="000000"/>
              <w:sz w:val="18"/>
              <w:szCs w:val="18"/>
              <w:shd w:val="clear" w:color="auto" w:fill="FFFFFF"/>
            </w:rPr>
          </w:pPr>
          <w:r w:rsidRPr="005C2948">
            <w:rPr>
              <w:rFonts w:asciiTheme="majorBidi" w:hAnsiTheme="majorBidi" w:cstheme="majorBidi"/>
              <w:b/>
              <w:bCs/>
              <w:noProof/>
              <w:color w:val="000000"/>
              <w:sz w:val="18"/>
              <w:szCs w:val="18"/>
              <w:shd w:val="clear" w:color="auto" w:fill="FFFFFF"/>
            </w:rPr>
            <w:drawing>
              <wp:inline distT="0" distB="0" distL="0" distR="0" wp14:anchorId="0BB72FE1" wp14:editId="0DB4820A">
                <wp:extent cx="100547" cy="180000"/>
                <wp:effectExtent l="0" t="0" r="0" b="0"/>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صورة 16"/>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0547" cy="180000"/>
                        </a:xfrm>
                        <a:prstGeom prst="rect">
                          <a:avLst/>
                        </a:prstGeom>
                      </pic:spPr>
                    </pic:pic>
                  </a:graphicData>
                </a:graphic>
              </wp:inline>
            </w:drawing>
          </w:r>
        </w:p>
      </w:tc>
      <w:tc>
        <w:tcPr>
          <w:tcW w:w="2829" w:type="pct"/>
          <w:gridSpan w:val="3"/>
          <w:vAlign w:val="center"/>
        </w:tcPr>
        <w:p w14:paraId="74A6BDFD" w14:textId="77777777" w:rsidR="0086433E" w:rsidRPr="0086433E" w:rsidRDefault="00E9265C" w:rsidP="00BF1E65">
          <w:pPr>
            <w:bidi w:val="0"/>
            <w:rPr>
              <w:rFonts w:asciiTheme="majorBidi" w:hAnsiTheme="majorBidi" w:cstheme="majorBidi"/>
              <w:b/>
              <w:bCs/>
              <w:color w:val="000000" w:themeColor="text1"/>
              <w:sz w:val="18"/>
              <w:szCs w:val="18"/>
              <w:shd w:val="clear" w:color="auto" w:fill="FFFFFF"/>
            </w:rPr>
          </w:pPr>
          <w:r w:rsidRPr="0086433E">
            <w:rPr>
              <w:rStyle w:val="apple-style-span"/>
              <w:b/>
              <w:bCs/>
              <w:color w:val="000000" w:themeColor="text1"/>
              <w:sz w:val="18"/>
              <w:szCs w:val="18"/>
            </w:rPr>
            <w:t>+201226521170</w:t>
          </w:r>
        </w:p>
      </w:tc>
    </w:tr>
  </w:tbl>
  <w:p w14:paraId="3F88C83B" w14:textId="77777777" w:rsidR="00BF1E65" w:rsidRPr="00BF1E65" w:rsidRDefault="000B005F" w:rsidP="00BF1E65">
    <w:pPr>
      <w:pStyle w:val="Foote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099B7D" w14:textId="77777777" w:rsidR="000B005F" w:rsidRDefault="000B005F" w:rsidP="006F0912">
      <w:pPr>
        <w:spacing w:after="0" w:line="240" w:lineRule="auto"/>
      </w:pPr>
      <w:r>
        <w:separator/>
      </w:r>
    </w:p>
  </w:footnote>
  <w:footnote w:type="continuationSeparator" w:id="0">
    <w:p w14:paraId="5CC99E3F" w14:textId="77777777" w:rsidR="000B005F" w:rsidRDefault="000B005F" w:rsidP="006F0912">
      <w:pPr>
        <w:spacing w:after="0" w:line="240" w:lineRule="auto"/>
      </w:pPr>
      <w:r>
        <w:continuationSeparator/>
      </w:r>
    </w:p>
  </w:footnote>
  <w:footnote w:id="1">
    <w:p w14:paraId="64D35CF8" w14:textId="0AF7A41C" w:rsidR="006F0912" w:rsidRPr="00750CCC" w:rsidRDefault="006F0912" w:rsidP="006F0912">
      <w:pPr>
        <w:pStyle w:val="FootnoteText"/>
        <w:bidi w:val="0"/>
        <w:rPr>
          <w:rFonts w:asciiTheme="majorBidi" w:hAnsiTheme="majorBidi" w:cstheme="majorBidi"/>
          <w:lang w:bidi="ar-EG"/>
        </w:rPr>
      </w:pPr>
      <w:r w:rsidRPr="00750CCC">
        <w:rPr>
          <w:rStyle w:val="FootnoteReference"/>
          <w:rFonts w:asciiTheme="majorBidi" w:hAnsiTheme="majorBidi" w:cstheme="majorBidi"/>
        </w:rPr>
        <w:footnoteRef/>
      </w:r>
      <w:r w:rsidRPr="00750CCC">
        <w:rPr>
          <w:rFonts w:asciiTheme="majorBidi" w:hAnsiTheme="majorBidi" w:cstheme="majorBidi"/>
        </w:rPr>
        <w:t xml:space="preserve">- Egypt Today, Civil society praises issuing executive regulations for NGOs Act, Jan 2020, at:  </w:t>
      </w:r>
      <w:hyperlink r:id="rId1" w:history="1">
        <w:r w:rsidR="00750CCC" w:rsidRPr="00750CCC">
          <w:rPr>
            <w:rStyle w:val="Hyperlink"/>
            <w:rFonts w:asciiTheme="majorBidi" w:hAnsiTheme="majorBidi" w:cstheme="majorBidi"/>
          </w:rPr>
          <w:t>https://2u.pw/97ucz</w:t>
        </w:r>
      </w:hyperlink>
      <w:r w:rsidR="00750CCC" w:rsidRPr="00750CCC">
        <w:rPr>
          <w:rFonts w:asciiTheme="majorBidi" w:hAnsiTheme="majorBidi" w:cstheme="majorBidi"/>
          <w:rtl/>
        </w:rPr>
        <w:t xml:space="preserve"> </w:t>
      </w:r>
    </w:p>
  </w:footnote>
  <w:footnote w:id="2">
    <w:p w14:paraId="00C3A157" w14:textId="5F8EEAE8" w:rsidR="006F0912" w:rsidRPr="0030491C" w:rsidRDefault="006F0912" w:rsidP="006F0912">
      <w:pPr>
        <w:pStyle w:val="FootnoteText"/>
        <w:bidi w:val="0"/>
        <w:rPr>
          <w:rFonts w:asciiTheme="majorBidi" w:hAnsiTheme="majorBidi" w:cstheme="majorBidi"/>
          <w:lang w:bidi="ar-EG"/>
        </w:rPr>
      </w:pPr>
      <w:r w:rsidRPr="0030491C">
        <w:rPr>
          <w:rStyle w:val="FootnoteReference"/>
          <w:rFonts w:asciiTheme="majorBidi" w:hAnsiTheme="majorBidi" w:cstheme="majorBidi"/>
        </w:rPr>
        <w:footnoteRef/>
      </w:r>
      <w:r w:rsidRPr="0030491C">
        <w:rPr>
          <w:rFonts w:asciiTheme="majorBidi" w:hAnsiTheme="majorBidi" w:cstheme="majorBidi"/>
        </w:rPr>
        <w:t xml:space="preserve">- </w:t>
      </w:r>
      <w:r w:rsidR="0030491C" w:rsidRPr="0030491C">
        <w:rPr>
          <w:rFonts w:asciiTheme="majorBidi" w:hAnsiTheme="majorBidi" w:cstheme="majorBidi"/>
          <w:lang w:bidi="ar-EG"/>
        </w:rPr>
        <w:t xml:space="preserve">Daily News, 3 factors determine how NGOs can obtain foreign funding: Talaat Abdel </w:t>
      </w:r>
      <w:proofErr w:type="spellStart"/>
      <w:r w:rsidR="0030491C" w:rsidRPr="0030491C">
        <w:rPr>
          <w:rFonts w:asciiTheme="majorBidi" w:hAnsiTheme="majorBidi" w:cstheme="majorBidi"/>
          <w:lang w:bidi="ar-EG"/>
        </w:rPr>
        <w:t>Kawy</w:t>
      </w:r>
      <w:proofErr w:type="spellEnd"/>
      <w:r w:rsidR="0030491C" w:rsidRPr="0030491C">
        <w:rPr>
          <w:rFonts w:asciiTheme="majorBidi" w:hAnsiTheme="majorBidi" w:cstheme="majorBidi"/>
          <w:lang w:bidi="ar-EG"/>
        </w:rPr>
        <w:t xml:space="preserve">, Oct 2021, at: </w:t>
      </w:r>
      <w:hyperlink r:id="rId2" w:history="1">
        <w:r w:rsidR="0030491C" w:rsidRPr="0030491C">
          <w:rPr>
            <w:rStyle w:val="Hyperlink"/>
            <w:rFonts w:asciiTheme="majorBidi" w:hAnsiTheme="majorBidi" w:cstheme="majorBidi"/>
            <w:lang w:bidi="ar-EG"/>
          </w:rPr>
          <w:t>https://2u.pw/se4z0</w:t>
        </w:r>
      </w:hyperlink>
      <w:r w:rsidR="0030491C" w:rsidRPr="0030491C">
        <w:rPr>
          <w:rFonts w:asciiTheme="majorBidi" w:hAnsiTheme="majorBidi" w:cstheme="majorBidi"/>
          <w:lang w:bidi="ar-EG"/>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A5AB5A" w14:textId="77777777" w:rsidR="0086433E" w:rsidRDefault="00E9265C" w:rsidP="0086433E">
    <w:pPr>
      <w:pStyle w:val="Header"/>
      <w:jc w:val="right"/>
    </w:pPr>
    <w:r>
      <w:rPr>
        <w:rFonts w:hint="cs"/>
        <w:noProof/>
      </w:rPr>
      <w:drawing>
        <wp:inline distT="0" distB="0" distL="0" distR="0" wp14:anchorId="3E491B40" wp14:editId="15A7487C">
          <wp:extent cx="1471930" cy="1143000"/>
          <wp:effectExtent l="0" t="0" r="0" b="0"/>
          <wp:docPr id="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1472065" cy="1143105"/>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C83CBB"/>
    <w:multiLevelType w:val="hybridMultilevel"/>
    <w:tmpl w:val="C724279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46D17729"/>
    <w:multiLevelType w:val="hybridMultilevel"/>
    <w:tmpl w:val="F934D3F4"/>
    <w:lvl w:ilvl="0" w:tplc="F0860AA8">
      <w:start w:val="1"/>
      <w:numFmt w:val="arabicAlpha"/>
      <w:lvlText w:val="%1."/>
      <w:lvlJc w:val="center"/>
      <w:pPr>
        <w:ind w:left="720" w:hanging="360"/>
      </w:pPr>
      <w:rPr>
        <w:rFonts w:ascii="Simplified Arabic" w:eastAsiaTheme="minorHAnsi" w:hAnsi="Simplified Arabic" w:cs="Simplified Arabic"/>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575B78C4"/>
    <w:multiLevelType w:val="hybridMultilevel"/>
    <w:tmpl w:val="CC882E76"/>
    <w:lvl w:ilvl="0" w:tplc="4F8898B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73FA0674"/>
    <w:multiLevelType w:val="hybridMultilevel"/>
    <w:tmpl w:val="D10439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EC92F31"/>
    <w:multiLevelType w:val="hybridMultilevel"/>
    <w:tmpl w:val="83FCEEFE"/>
    <w:lvl w:ilvl="0" w:tplc="C8363AA0">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 w:numId="2">
    <w:abstractNumId w:val="4"/>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4B6774"/>
    <w:rsid w:val="0008429F"/>
    <w:rsid w:val="00087C77"/>
    <w:rsid w:val="000B005F"/>
    <w:rsid w:val="00163808"/>
    <w:rsid w:val="00175E0B"/>
    <w:rsid w:val="001F24AF"/>
    <w:rsid w:val="001F3E50"/>
    <w:rsid w:val="0020362C"/>
    <w:rsid w:val="002E5035"/>
    <w:rsid w:val="002F77DC"/>
    <w:rsid w:val="0030491C"/>
    <w:rsid w:val="00343E96"/>
    <w:rsid w:val="003659BD"/>
    <w:rsid w:val="0036774E"/>
    <w:rsid w:val="003B0805"/>
    <w:rsid w:val="003E124D"/>
    <w:rsid w:val="00411CA8"/>
    <w:rsid w:val="004B6774"/>
    <w:rsid w:val="004F6E1F"/>
    <w:rsid w:val="005B2CBC"/>
    <w:rsid w:val="005B73B0"/>
    <w:rsid w:val="005C4EB3"/>
    <w:rsid w:val="005D7528"/>
    <w:rsid w:val="0061519C"/>
    <w:rsid w:val="00620E65"/>
    <w:rsid w:val="00681905"/>
    <w:rsid w:val="006A7E35"/>
    <w:rsid w:val="006F0912"/>
    <w:rsid w:val="007105AD"/>
    <w:rsid w:val="00750CCC"/>
    <w:rsid w:val="007906DE"/>
    <w:rsid w:val="007C052C"/>
    <w:rsid w:val="0080072C"/>
    <w:rsid w:val="0082253A"/>
    <w:rsid w:val="0087120E"/>
    <w:rsid w:val="008D195C"/>
    <w:rsid w:val="008E0FE0"/>
    <w:rsid w:val="009055E9"/>
    <w:rsid w:val="00961D67"/>
    <w:rsid w:val="00976228"/>
    <w:rsid w:val="00A9542F"/>
    <w:rsid w:val="00AC53C7"/>
    <w:rsid w:val="00B1165C"/>
    <w:rsid w:val="00B41374"/>
    <w:rsid w:val="00B95935"/>
    <w:rsid w:val="00BA1193"/>
    <w:rsid w:val="00BD3912"/>
    <w:rsid w:val="00C2062D"/>
    <w:rsid w:val="00CA175E"/>
    <w:rsid w:val="00CA75E8"/>
    <w:rsid w:val="00D25444"/>
    <w:rsid w:val="00D53598"/>
    <w:rsid w:val="00D76CA9"/>
    <w:rsid w:val="00D916AB"/>
    <w:rsid w:val="00DB1F53"/>
    <w:rsid w:val="00E15D3B"/>
    <w:rsid w:val="00E27ECB"/>
    <w:rsid w:val="00E60C48"/>
    <w:rsid w:val="00E9265C"/>
    <w:rsid w:val="00E959EF"/>
    <w:rsid w:val="00EA68EE"/>
    <w:rsid w:val="00EC505B"/>
    <w:rsid w:val="00F12C02"/>
    <w:rsid w:val="00F172E4"/>
    <w:rsid w:val="00F427DF"/>
    <w:rsid w:val="00F8586B"/>
    <w:rsid w:val="00FA73C5"/>
    <w:rsid w:val="00FE62B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A0FE2"/>
  <w15:chartTrackingRefBased/>
  <w15:docId w15:val="{CC23B680-6349-4739-B5E4-97A4A828F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75E8"/>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5D7528"/>
    <w:pPr>
      <w:tabs>
        <w:tab w:val="center" w:pos="4680"/>
        <w:tab w:val="right" w:pos="9360"/>
      </w:tabs>
      <w:spacing w:after="0" w:line="240" w:lineRule="auto"/>
      <w:ind w:left="300" w:hanging="357"/>
    </w:pPr>
    <w:rPr>
      <w:rFonts w:eastAsiaTheme="minorEastAsia"/>
    </w:rPr>
  </w:style>
  <w:style w:type="character" w:customStyle="1" w:styleId="FooterChar">
    <w:name w:val="Footer Char"/>
    <w:basedOn w:val="DefaultParagraphFont"/>
    <w:link w:val="Footer"/>
    <w:uiPriority w:val="99"/>
    <w:rsid w:val="005D7528"/>
    <w:rPr>
      <w:rFonts w:eastAsiaTheme="minorEastAsia"/>
    </w:rPr>
  </w:style>
  <w:style w:type="character" w:customStyle="1" w:styleId="apple-style-span">
    <w:name w:val="apple-style-span"/>
    <w:basedOn w:val="DefaultParagraphFont"/>
    <w:rsid w:val="005D7528"/>
  </w:style>
  <w:style w:type="table" w:styleId="TableGrid">
    <w:name w:val="Table Grid"/>
    <w:basedOn w:val="TableNormal"/>
    <w:uiPriority w:val="39"/>
    <w:rsid w:val="005D7528"/>
    <w:pPr>
      <w:bidi/>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D7528"/>
    <w:pPr>
      <w:tabs>
        <w:tab w:val="center" w:pos="4513"/>
        <w:tab w:val="right" w:pos="9026"/>
      </w:tabs>
      <w:spacing w:after="0" w:line="240" w:lineRule="auto"/>
      <w:ind w:left="300" w:hanging="357"/>
    </w:pPr>
    <w:rPr>
      <w:rFonts w:eastAsiaTheme="minorEastAsia"/>
    </w:rPr>
  </w:style>
  <w:style w:type="character" w:customStyle="1" w:styleId="HeaderChar">
    <w:name w:val="Header Char"/>
    <w:basedOn w:val="DefaultParagraphFont"/>
    <w:link w:val="Header"/>
    <w:uiPriority w:val="99"/>
    <w:rsid w:val="005D7528"/>
    <w:rPr>
      <w:rFonts w:eastAsiaTheme="minorEastAsia"/>
    </w:rPr>
  </w:style>
  <w:style w:type="character" w:styleId="Hyperlink">
    <w:name w:val="Hyperlink"/>
    <w:basedOn w:val="DefaultParagraphFont"/>
    <w:uiPriority w:val="99"/>
    <w:unhideWhenUsed/>
    <w:rsid w:val="003659BD"/>
    <w:rPr>
      <w:color w:val="0000FF" w:themeColor="hyperlink"/>
      <w:u w:val="single"/>
    </w:rPr>
  </w:style>
  <w:style w:type="character" w:styleId="UnresolvedMention">
    <w:name w:val="Unresolved Mention"/>
    <w:basedOn w:val="DefaultParagraphFont"/>
    <w:uiPriority w:val="99"/>
    <w:semiHidden/>
    <w:unhideWhenUsed/>
    <w:rsid w:val="003659BD"/>
    <w:rPr>
      <w:color w:val="605E5C"/>
      <w:shd w:val="clear" w:color="auto" w:fill="E1DFDD"/>
    </w:rPr>
  </w:style>
  <w:style w:type="paragraph" w:styleId="ListParagraph">
    <w:name w:val="List Paragraph"/>
    <w:basedOn w:val="Normal"/>
    <w:uiPriority w:val="34"/>
    <w:qFormat/>
    <w:rsid w:val="001F3E50"/>
    <w:pPr>
      <w:ind w:left="720"/>
      <w:contextualSpacing/>
    </w:pPr>
  </w:style>
  <w:style w:type="paragraph" w:styleId="NormalWeb">
    <w:name w:val="Normal (Web)"/>
    <w:basedOn w:val="Normal"/>
    <w:uiPriority w:val="99"/>
    <w:semiHidden/>
    <w:unhideWhenUsed/>
    <w:rsid w:val="0082253A"/>
    <w:rPr>
      <w:rFonts w:ascii="Times New Roman" w:hAnsi="Times New Roman" w:cs="Times New Roman"/>
      <w:sz w:val="24"/>
      <w:szCs w:val="24"/>
    </w:rPr>
  </w:style>
  <w:style w:type="paragraph" w:styleId="FootnoteText">
    <w:name w:val="footnote text"/>
    <w:basedOn w:val="Normal"/>
    <w:link w:val="FootnoteTextChar"/>
    <w:uiPriority w:val="99"/>
    <w:semiHidden/>
    <w:unhideWhenUsed/>
    <w:rsid w:val="006F091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F0912"/>
    <w:rPr>
      <w:sz w:val="20"/>
      <w:szCs w:val="20"/>
    </w:rPr>
  </w:style>
  <w:style w:type="character" w:styleId="FootnoteReference">
    <w:name w:val="footnote reference"/>
    <w:basedOn w:val="DefaultParagraphFont"/>
    <w:uiPriority w:val="99"/>
    <w:semiHidden/>
    <w:unhideWhenUsed/>
    <w:rsid w:val="006F091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661020">
      <w:bodyDiv w:val="1"/>
      <w:marLeft w:val="0"/>
      <w:marRight w:val="0"/>
      <w:marTop w:val="0"/>
      <w:marBottom w:val="0"/>
      <w:divBdr>
        <w:top w:val="none" w:sz="0" w:space="0" w:color="auto"/>
        <w:left w:val="none" w:sz="0" w:space="0" w:color="auto"/>
        <w:bottom w:val="none" w:sz="0" w:space="0" w:color="auto"/>
        <w:right w:val="none" w:sz="0" w:space="0" w:color="auto"/>
      </w:divBdr>
    </w:div>
    <w:div w:id="123696457">
      <w:bodyDiv w:val="1"/>
      <w:marLeft w:val="0"/>
      <w:marRight w:val="0"/>
      <w:marTop w:val="0"/>
      <w:marBottom w:val="0"/>
      <w:divBdr>
        <w:top w:val="none" w:sz="0" w:space="0" w:color="auto"/>
        <w:left w:val="none" w:sz="0" w:space="0" w:color="auto"/>
        <w:bottom w:val="none" w:sz="0" w:space="0" w:color="auto"/>
        <w:right w:val="none" w:sz="0" w:space="0" w:color="auto"/>
      </w:divBdr>
    </w:div>
    <w:div w:id="127362365">
      <w:bodyDiv w:val="1"/>
      <w:marLeft w:val="0"/>
      <w:marRight w:val="0"/>
      <w:marTop w:val="0"/>
      <w:marBottom w:val="0"/>
      <w:divBdr>
        <w:top w:val="none" w:sz="0" w:space="0" w:color="auto"/>
        <w:left w:val="none" w:sz="0" w:space="0" w:color="auto"/>
        <w:bottom w:val="none" w:sz="0" w:space="0" w:color="auto"/>
        <w:right w:val="none" w:sz="0" w:space="0" w:color="auto"/>
      </w:divBdr>
    </w:div>
    <w:div w:id="152843478">
      <w:bodyDiv w:val="1"/>
      <w:marLeft w:val="0"/>
      <w:marRight w:val="0"/>
      <w:marTop w:val="0"/>
      <w:marBottom w:val="0"/>
      <w:divBdr>
        <w:top w:val="none" w:sz="0" w:space="0" w:color="auto"/>
        <w:left w:val="none" w:sz="0" w:space="0" w:color="auto"/>
        <w:bottom w:val="none" w:sz="0" w:space="0" w:color="auto"/>
        <w:right w:val="none" w:sz="0" w:space="0" w:color="auto"/>
      </w:divBdr>
    </w:div>
    <w:div w:id="171144336">
      <w:bodyDiv w:val="1"/>
      <w:marLeft w:val="0"/>
      <w:marRight w:val="0"/>
      <w:marTop w:val="0"/>
      <w:marBottom w:val="0"/>
      <w:divBdr>
        <w:top w:val="none" w:sz="0" w:space="0" w:color="auto"/>
        <w:left w:val="none" w:sz="0" w:space="0" w:color="auto"/>
        <w:bottom w:val="none" w:sz="0" w:space="0" w:color="auto"/>
        <w:right w:val="none" w:sz="0" w:space="0" w:color="auto"/>
      </w:divBdr>
    </w:div>
    <w:div w:id="240336631">
      <w:bodyDiv w:val="1"/>
      <w:marLeft w:val="0"/>
      <w:marRight w:val="0"/>
      <w:marTop w:val="0"/>
      <w:marBottom w:val="0"/>
      <w:divBdr>
        <w:top w:val="none" w:sz="0" w:space="0" w:color="auto"/>
        <w:left w:val="none" w:sz="0" w:space="0" w:color="auto"/>
        <w:bottom w:val="none" w:sz="0" w:space="0" w:color="auto"/>
        <w:right w:val="none" w:sz="0" w:space="0" w:color="auto"/>
      </w:divBdr>
    </w:div>
    <w:div w:id="324474015">
      <w:bodyDiv w:val="1"/>
      <w:marLeft w:val="0"/>
      <w:marRight w:val="0"/>
      <w:marTop w:val="0"/>
      <w:marBottom w:val="0"/>
      <w:divBdr>
        <w:top w:val="none" w:sz="0" w:space="0" w:color="auto"/>
        <w:left w:val="none" w:sz="0" w:space="0" w:color="auto"/>
        <w:bottom w:val="none" w:sz="0" w:space="0" w:color="auto"/>
        <w:right w:val="none" w:sz="0" w:space="0" w:color="auto"/>
      </w:divBdr>
    </w:div>
    <w:div w:id="530995557">
      <w:bodyDiv w:val="1"/>
      <w:marLeft w:val="0"/>
      <w:marRight w:val="0"/>
      <w:marTop w:val="0"/>
      <w:marBottom w:val="0"/>
      <w:divBdr>
        <w:top w:val="none" w:sz="0" w:space="0" w:color="auto"/>
        <w:left w:val="none" w:sz="0" w:space="0" w:color="auto"/>
        <w:bottom w:val="none" w:sz="0" w:space="0" w:color="auto"/>
        <w:right w:val="none" w:sz="0" w:space="0" w:color="auto"/>
      </w:divBdr>
    </w:div>
    <w:div w:id="756906117">
      <w:bodyDiv w:val="1"/>
      <w:marLeft w:val="0"/>
      <w:marRight w:val="0"/>
      <w:marTop w:val="0"/>
      <w:marBottom w:val="0"/>
      <w:divBdr>
        <w:top w:val="none" w:sz="0" w:space="0" w:color="auto"/>
        <w:left w:val="none" w:sz="0" w:space="0" w:color="auto"/>
        <w:bottom w:val="none" w:sz="0" w:space="0" w:color="auto"/>
        <w:right w:val="none" w:sz="0" w:space="0" w:color="auto"/>
      </w:divBdr>
    </w:div>
    <w:div w:id="803279142">
      <w:bodyDiv w:val="1"/>
      <w:marLeft w:val="0"/>
      <w:marRight w:val="0"/>
      <w:marTop w:val="0"/>
      <w:marBottom w:val="0"/>
      <w:divBdr>
        <w:top w:val="none" w:sz="0" w:space="0" w:color="auto"/>
        <w:left w:val="none" w:sz="0" w:space="0" w:color="auto"/>
        <w:bottom w:val="none" w:sz="0" w:space="0" w:color="auto"/>
        <w:right w:val="none" w:sz="0" w:space="0" w:color="auto"/>
      </w:divBdr>
    </w:div>
    <w:div w:id="851144645">
      <w:bodyDiv w:val="1"/>
      <w:marLeft w:val="0"/>
      <w:marRight w:val="0"/>
      <w:marTop w:val="0"/>
      <w:marBottom w:val="0"/>
      <w:divBdr>
        <w:top w:val="none" w:sz="0" w:space="0" w:color="auto"/>
        <w:left w:val="none" w:sz="0" w:space="0" w:color="auto"/>
        <w:bottom w:val="none" w:sz="0" w:space="0" w:color="auto"/>
        <w:right w:val="none" w:sz="0" w:space="0" w:color="auto"/>
      </w:divBdr>
    </w:div>
    <w:div w:id="907886846">
      <w:bodyDiv w:val="1"/>
      <w:marLeft w:val="0"/>
      <w:marRight w:val="0"/>
      <w:marTop w:val="0"/>
      <w:marBottom w:val="0"/>
      <w:divBdr>
        <w:top w:val="none" w:sz="0" w:space="0" w:color="auto"/>
        <w:left w:val="none" w:sz="0" w:space="0" w:color="auto"/>
        <w:bottom w:val="none" w:sz="0" w:space="0" w:color="auto"/>
        <w:right w:val="none" w:sz="0" w:space="0" w:color="auto"/>
      </w:divBdr>
    </w:div>
    <w:div w:id="923801419">
      <w:bodyDiv w:val="1"/>
      <w:marLeft w:val="0"/>
      <w:marRight w:val="0"/>
      <w:marTop w:val="0"/>
      <w:marBottom w:val="0"/>
      <w:divBdr>
        <w:top w:val="none" w:sz="0" w:space="0" w:color="auto"/>
        <w:left w:val="none" w:sz="0" w:space="0" w:color="auto"/>
        <w:bottom w:val="none" w:sz="0" w:space="0" w:color="auto"/>
        <w:right w:val="none" w:sz="0" w:space="0" w:color="auto"/>
      </w:divBdr>
    </w:div>
    <w:div w:id="1029451017">
      <w:bodyDiv w:val="1"/>
      <w:marLeft w:val="0"/>
      <w:marRight w:val="0"/>
      <w:marTop w:val="0"/>
      <w:marBottom w:val="0"/>
      <w:divBdr>
        <w:top w:val="none" w:sz="0" w:space="0" w:color="auto"/>
        <w:left w:val="none" w:sz="0" w:space="0" w:color="auto"/>
        <w:bottom w:val="none" w:sz="0" w:space="0" w:color="auto"/>
        <w:right w:val="none" w:sz="0" w:space="0" w:color="auto"/>
      </w:divBdr>
    </w:div>
    <w:div w:id="1070155910">
      <w:bodyDiv w:val="1"/>
      <w:marLeft w:val="0"/>
      <w:marRight w:val="0"/>
      <w:marTop w:val="0"/>
      <w:marBottom w:val="0"/>
      <w:divBdr>
        <w:top w:val="none" w:sz="0" w:space="0" w:color="auto"/>
        <w:left w:val="none" w:sz="0" w:space="0" w:color="auto"/>
        <w:bottom w:val="none" w:sz="0" w:space="0" w:color="auto"/>
        <w:right w:val="none" w:sz="0" w:space="0" w:color="auto"/>
      </w:divBdr>
    </w:div>
    <w:div w:id="1218736030">
      <w:bodyDiv w:val="1"/>
      <w:marLeft w:val="0"/>
      <w:marRight w:val="0"/>
      <w:marTop w:val="0"/>
      <w:marBottom w:val="0"/>
      <w:divBdr>
        <w:top w:val="none" w:sz="0" w:space="0" w:color="auto"/>
        <w:left w:val="none" w:sz="0" w:space="0" w:color="auto"/>
        <w:bottom w:val="none" w:sz="0" w:space="0" w:color="auto"/>
        <w:right w:val="none" w:sz="0" w:space="0" w:color="auto"/>
      </w:divBdr>
    </w:div>
    <w:div w:id="1246379246">
      <w:bodyDiv w:val="1"/>
      <w:marLeft w:val="0"/>
      <w:marRight w:val="0"/>
      <w:marTop w:val="0"/>
      <w:marBottom w:val="0"/>
      <w:divBdr>
        <w:top w:val="none" w:sz="0" w:space="0" w:color="auto"/>
        <w:left w:val="none" w:sz="0" w:space="0" w:color="auto"/>
        <w:bottom w:val="none" w:sz="0" w:space="0" w:color="auto"/>
        <w:right w:val="none" w:sz="0" w:space="0" w:color="auto"/>
      </w:divBdr>
    </w:div>
    <w:div w:id="1358853661">
      <w:bodyDiv w:val="1"/>
      <w:marLeft w:val="0"/>
      <w:marRight w:val="0"/>
      <w:marTop w:val="0"/>
      <w:marBottom w:val="0"/>
      <w:divBdr>
        <w:top w:val="none" w:sz="0" w:space="0" w:color="auto"/>
        <w:left w:val="none" w:sz="0" w:space="0" w:color="auto"/>
        <w:bottom w:val="none" w:sz="0" w:space="0" w:color="auto"/>
        <w:right w:val="none" w:sz="0" w:space="0" w:color="auto"/>
      </w:divBdr>
    </w:div>
    <w:div w:id="1384254775">
      <w:bodyDiv w:val="1"/>
      <w:marLeft w:val="0"/>
      <w:marRight w:val="0"/>
      <w:marTop w:val="0"/>
      <w:marBottom w:val="0"/>
      <w:divBdr>
        <w:top w:val="none" w:sz="0" w:space="0" w:color="auto"/>
        <w:left w:val="none" w:sz="0" w:space="0" w:color="auto"/>
        <w:bottom w:val="none" w:sz="0" w:space="0" w:color="auto"/>
        <w:right w:val="none" w:sz="0" w:space="0" w:color="auto"/>
      </w:divBdr>
    </w:div>
    <w:div w:id="1397316946">
      <w:bodyDiv w:val="1"/>
      <w:marLeft w:val="0"/>
      <w:marRight w:val="0"/>
      <w:marTop w:val="0"/>
      <w:marBottom w:val="0"/>
      <w:divBdr>
        <w:top w:val="none" w:sz="0" w:space="0" w:color="auto"/>
        <w:left w:val="none" w:sz="0" w:space="0" w:color="auto"/>
        <w:bottom w:val="none" w:sz="0" w:space="0" w:color="auto"/>
        <w:right w:val="none" w:sz="0" w:space="0" w:color="auto"/>
      </w:divBdr>
    </w:div>
    <w:div w:id="1430615995">
      <w:bodyDiv w:val="1"/>
      <w:marLeft w:val="0"/>
      <w:marRight w:val="0"/>
      <w:marTop w:val="0"/>
      <w:marBottom w:val="0"/>
      <w:divBdr>
        <w:top w:val="none" w:sz="0" w:space="0" w:color="auto"/>
        <w:left w:val="none" w:sz="0" w:space="0" w:color="auto"/>
        <w:bottom w:val="none" w:sz="0" w:space="0" w:color="auto"/>
        <w:right w:val="none" w:sz="0" w:space="0" w:color="auto"/>
      </w:divBdr>
    </w:div>
    <w:div w:id="1438405034">
      <w:bodyDiv w:val="1"/>
      <w:marLeft w:val="0"/>
      <w:marRight w:val="0"/>
      <w:marTop w:val="0"/>
      <w:marBottom w:val="0"/>
      <w:divBdr>
        <w:top w:val="none" w:sz="0" w:space="0" w:color="auto"/>
        <w:left w:val="none" w:sz="0" w:space="0" w:color="auto"/>
        <w:bottom w:val="none" w:sz="0" w:space="0" w:color="auto"/>
        <w:right w:val="none" w:sz="0" w:space="0" w:color="auto"/>
      </w:divBdr>
    </w:div>
    <w:div w:id="1501117018">
      <w:bodyDiv w:val="1"/>
      <w:marLeft w:val="0"/>
      <w:marRight w:val="0"/>
      <w:marTop w:val="0"/>
      <w:marBottom w:val="0"/>
      <w:divBdr>
        <w:top w:val="none" w:sz="0" w:space="0" w:color="auto"/>
        <w:left w:val="none" w:sz="0" w:space="0" w:color="auto"/>
        <w:bottom w:val="none" w:sz="0" w:space="0" w:color="auto"/>
        <w:right w:val="none" w:sz="0" w:space="0" w:color="auto"/>
      </w:divBdr>
    </w:div>
    <w:div w:id="1779332208">
      <w:bodyDiv w:val="1"/>
      <w:marLeft w:val="0"/>
      <w:marRight w:val="0"/>
      <w:marTop w:val="0"/>
      <w:marBottom w:val="0"/>
      <w:divBdr>
        <w:top w:val="none" w:sz="0" w:space="0" w:color="auto"/>
        <w:left w:val="none" w:sz="0" w:space="0" w:color="auto"/>
        <w:bottom w:val="none" w:sz="0" w:space="0" w:color="auto"/>
        <w:right w:val="none" w:sz="0" w:space="0" w:color="auto"/>
      </w:divBdr>
    </w:div>
    <w:div w:id="1807888123">
      <w:bodyDiv w:val="1"/>
      <w:marLeft w:val="0"/>
      <w:marRight w:val="0"/>
      <w:marTop w:val="0"/>
      <w:marBottom w:val="0"/>
      <w:divBdr>
        <w:top w:val="none" w:sz="0" w:space="0" w:color="auto"/>
        <w:left w:val="none" w:sz="0" w:space="0" w:color="auto"/>
        <w:bottom w:val="none" w:sz="0" w:space="0" w:color="auto"/>
        <w:right w:val="none" w:sz="0" w:space="0" w:color="auto"/>
      </w:divBdr>
    </w:div>
    <w:div w:id="1810048265">
      <w:bodyDiv w:val="1"/>
      <w:marLeft w:val="0"/>
      <w:marRight w:val="0"/>
      <w:marTop w:val="0"/>
      <w:marBottom w:val="0"/>
      <w:divBdr>
        <w:top w:val="none" w:sz="0" w:space="0" w:color="auto"/>
        <w:left w:val="none" w:sz="0" w:space="0" w:color="auto"/>
        <w:bottom w:val="none" w:sz="0" w:space="0" w:color="auto"/>
        <w:right w:val="none" w:sz="0" w:space="0" w:color="auto"/>
      </w:divBdr>
    </w:div>
    <w:div w:id="1900052049">
      <w:bodyDiv w:val="1"/>
      <w:marLeft w:val="0"/>
      <w:marRight w:val="0"/>
      <w:marTop w:val="0"/>
      <w:marBottom w:val="0"/>
      <w:divBdr>
        <w:top w:val="none" w:sz="0" w:space="0" w:color="auto"/>
        <w:left w:val="none" w:sz="0" w:space="0" w:color="auto"/>
        <w:bottom w:val="none" w:sz="0" w:space="0" w:color="auto"/>
        <w:right w:val="none" w:sz="0" w:space="0" w:color="auto"/>
      </w:divBdr>
    </w:div>
    <w:div w:id="1968731087">
      <w:bodyDiv w:val="1"/>
      <w:marLeft w:val="0"/>
      <w:marRight w:val="0"/>
      <w:marTop w:val="0"/>
      <w:marBottom w:val="0"/>
      <w:divBdr>
        <w:top w:val="none" w:sz="0" w:space="0" w:color="auto"/>
        <w:left w:val="none" w:sz="0" w:space="0" w:color="auto"/>
        <w:bottom w:val="none" w:sz="0" w:space="0" w:color="auto"/>
        <w:right w:val="none" w:sz="0" w:space="0" w:color="auto"/>
      </w:divBdr>
    </w:div>
    <w:div w:id="2036230798">
      <w:bodyDiv w:val="1"/>
      <w:marLeft w:val="0"/>
      <w:marRight w:val="0"/>
      <w:marTop w:val="0"/>
      <w:marBottom w:val="0"/>
      <w:divBdr>
        <w:top w:val="none" w:sz="0" w:space="0" w:color="auto"/>
        <w:left w:val="none" w:sz="0" w:space="0" w:color="auto"/>
        <w:bottom w:val="none" w:sz="0" w:space="0" w:color="auto"/>
        <w:right w:val="none" w:sz="0" w:space="0" w:color="auto"/>
      </w:divBdr>
    </w:div>
    <w:div w:id="2103990928">
      <w:bodyDiv w:val="1"/>
      <w:marLeft w:val="0"/>
      <w:marRight w:val="0"/>
      <w:marTop w:val="0"/>
      <w:marBottom w:val="0"/>
      <w:divBdr>
        <w:top w:val="none" w:sz="0" w:space="0" w:color="auto"/>
        <w:left w:val="none" w:sz="0" w:space="0" w:color="auto"/>
        <w:bottom w:val="none" w:sz="0" w:space="0" w:color="auto"/>
        <w:right w:val="none" w:sz="0" w:space="0" w:color="auto"/>
      </w:divBdr>
    </w:div>
    <w:div w:id="2127774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arsad.ecss.com.eg/51683/" TargetMode="Externa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_rels/footnotes.xml.rels><?xml version="1.0" encoding="UTF-8" standalone="yes"?>
<Relationships xmlns="http://schemas.openxmlformats.org/package/2006/relationships"><Relationship Id="rId2" Type="http://schemas.openxmlformats.org/officeDocument/2006/relationships/hyperlink" Target="https://2u.pw/se4z0" TargetMode="External"/><Relationship Id="rId1" Type="http://schemas.openxmlformats.org/officeDocument/2006/relationships/hyperlink" Target="https://2u.pw/97ucz"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DF83127-8156-4B1A-B554-F2C1CA653D5E}">
  <ds:schemaRefs>
    <ds:schemaRef ds:uri="http://schemas.openxmlformats.org/officeDocument/2006/bibliography"/>
  </ds:schemaRefs>
</ds:datastoreItem>
</file>

<file path=customXml/itemProps2.xml><?xml version="1.0" encoding="utf-8"?>
<ds:datastoreItem xmlns:ds="http://schemas.openxmlformats.org/officeDocument/2006/customXml" ds:itemID="{6E556D15-B698-4F01-89C9-EC0B5F5561AF}"/>
</file>

<file path=customXml/itemProps3.xml><?xml version="1.0" encoding="utf-8"?>
<ds:datastoreItem xmlns:ds="http://schemas.openxmlformats.org/officeDocument/2006/customXml" ds:itemID="{110C1386-699F-4BEC-BB71-6BB1E579055F}"/>
</file>

<file path=customXml/itemProps4.xml><?xml version="1.0" encoding="utf-8"?>
<ds:datastoreItem xmlns:ds="http://schemas.openxmlformats.org/officeDocument/2006/customXml" ds:itemID="{CBCD3551-7E68-4C15-AC47-D194C8F10DFB}"/>
</file>

<file path=docProps/app.xml><?xml version="1.0" encoding="utf-8"?>
<Properties xmlns="http://schemas.openxmlformats.org/officeDocument/2006/extended-properties" xmlns:vt="http://schemas.openxmlformats.org/officeDocument/2006/docPropsVTypes">
  <Template>Normal</Template>
  <TotalTime>182</TotalTime>
  <Pages>7</Pages>
  <Words>1977</Words>
  <Characters>11271</Characters>
  <Application>Microsoft Office Word</Application>
  <DocSecurity>0</DocSecurity>
  <Lines>93</Lines>
  <Paragraphs>26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13222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DR.ASMAA HEGAZY</dc:creator>
  <cp:keywords/>
  <dc:description/>
  <cp:lastModifiedBy>Mennatallah Bakr</cp:lastModifiedBy>
  <cp:revision>26</cp:revision>
  <dcterms:created xsi:type="dcterms:W3CDTF">2021-12-20T08:37:00Z</dcterms:created>
  <dcterms:modified xsi:type="dcterms:W3CDTF">2022-01-04T10:48:00Z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