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1A9" w:rsidRPr="005904EC" w:rsidRDefault="008B31A9" w:rsidP="000137DF">
      <w:pPr>
        <w:spacing w:before="120" w:after="240"/>
        <w:jc w:val="center"/>
        <w:rPr>
          <w:rFonts w:ascii="Arial" w:hAnsi="Arial" w:cs="Arial"/>
          <w:b/>
          <w:sz w:val="24"/>
          <w:szCs w:val="24"/>
        </w:rPr>
      </w:pPr>
      <w:r w:rsidRPr="005904EC">
        <w:rPr>
          <w:rFonts w:ascii="Arial" w:hAnsi="Arial" w:cs="Arial"/>
          <w:b/>
          <w:sz w:val="24"/>
          <w:szCs w:val="24"/>
        </w:rPr>
        <w:t>Written Response to questions posed by the Committee on the Elimination of</w:t>
      </w:r>
      <w:r w:rsidR="005904EC">
        <w:rPr>
          <w:rFonts w:ascii="Arial" w:hAnsi="Arial" w:cs="Arial"/>
          <w:b/>
          <w:sz w:val="24"/>
          <w:szCs w:val="24"/>
        </w:rPr>
        <w:t> </w:t>
      </w:r>
      <w:r w:rsidRPr="005904EC">
        <w:rPr>
          <w:rFonts w:ascii="Arial" w:hAnsi="Arial" w:cs="Arial"/>
          <w:b/>
          <w:sz w:val="24"/>
          <w:szCs w:val="24"/>
        </w:rPr>
        <w:t xml:space="preserve">Racial Discrimination </w:t>
      </w:r>
      <w:r w:rsidR="005904EC">
        <w:rPr>
          <w:rFonts w:ascii="Arial" w:hAnsi="Arial" w:cs="Arial"/>
          <w:b/>
          <w:sz w:val="24"/>
          <w:szCs w:val="24"/>
        </w:rPr>
        <w:t>during the Interactive Dialogue with Canada on </w:t>
      </w:r>
      <w:r w:rsidRPr="005904EC">
        <w:rPr>
          <w:rFonts w:ascii="Arial" w:hAnsi="Arial" w:cs="Arial"/>
          <w:b/>
          <w:sz w:val="24"/>
          <w:szCs w:val="24"/>
        </w:rPr>
        <w:t>August</w:t>
      </w:r>
      <w:r w:rsidR="005904EC">
        <w:rPr>
          <w:rFonts w:ascii="Arial" w:hAnsi="Arial" w:cs="Arial"/>
          <w:b/>
          <w:sz w:val="24"/>
          <w:szCs w:val="24"/>
        </w:rPr>
        <w:t> </w:t>
      </w:r>
      <w:r w:rsidRPr="005904EC">
        <w:rPr>
          <w:rFonts w:ascii="Arial" w:hAnsi="Arial" w:cs="Arial"/>
          <w:b/>
          <w:sz w:val="24"/>
          <w:szCs w:val="24"/>
        </w:rPr>
        <w:t>14-15, 2017</w:t>
      </w:r>
    </w:p>
    <w:p w:rsidR="00C660DE" w:rsidRDefault="00C660DE" w:rsidP="008A3A16">
      <w:pPr>
        <w:spacing w:before="120" w:after="240"/>
        <w:rPr>
          <w:rFonts w:ascii="Arial" w:hAnsi="Arial" w:cs="Arial"/>
          <w:sz w:val="24"/>
          <w:szCs w:val="24"/>
        </w:rPr>
      </w:pPr>
    </w:p>
    <w:p w:rsidR="008B31A9" w:rsidRPr="00D01FE7" w:rsidRDefault="008B31A9" w:rsidP="008A3A16">
      <w:pPr>
        <w:spacing w:before="120" w:after="240"/>
        <w:rPr>
          <w:rFonts w:ascii="Arial" w:hAnsi="Arial" w:cs="Arial"/>
          <w:sz w:val="24"/>
          <w:szCs w:val="24"/>
        </w:rPr>
      </w:pPr>
      <w:r w:rsidRPr="00D01FE7">
        <w:rPr>
          <w:rFonts w:ascii="Arial" w:hAnsi="Arial" w:cs="Arial"/>
          <w:sz w:val="24"/>
          <w:szCs w:val="24"/>
        </w:rPr>
        <w:t>Canada is pleased to respond in writing to questions posed by the Committee during Canada</w:t>
      </w:r>
      <w:r w:rsidR="00CB5B9D">
        <w:rPr>
          <w:rFonts w:ascii="Arial" w:hAnsi="Arial" w:cs="Arial"/>
          <w:sz w:val="24"/>
          <w:szCs w:val="24"/>
        </w:rPr>
        <w:t>’s</w:t>
      </w:r>
      <w:r w:rsidRPr="00D01FE7">
        <w:rPr>
          <w:rFonts w:ascii="Arial" w:hAnsi="Arial" w:cs="Arial"/>
          <w:sz w:val="24"/>
          <w:szCs w:val="24"/>
        </w:rPr>
        <w:t xml:space="preserve"> interactive dialogue. Please note that Canada has strived to answer the questions as fully as possible in the available time, and acknowledges that some of the answers may be incomplete.</w:t>
      </w:r>
      <w:r w:rsidR="00A56DA2">
        <w:rPr>
          <w:rFonts w:ascii="Arial" w:hAnsi="Arial" w:cs="Arial"/>
          <w:sz w:val="24"/>
          <w:szCs w:val="24"/>
        </w:rPr>
        <w:t xml:space="preserve"> </w:t>
      </w:r>
      <w:r w:rsidR="00A56DA2" w:rsidRPr="00A56DA2">
        <w:rPr>
          <w:rFonts w:ascii="Arial" w:hAnsi="Arial" w:cs="Arial"/>
          <w:sz w:val="24"/>
          <w:szCs w:val="24"/>
        </w:rPr>
        <w:t>Canada hopes that this additional information will be helpful to the Committee. Canada thanks the Committee for the opportunity to engage in the interactive dialogue on August 14-15, and looks forward to receiving the Committee’s Concluding Observations.</w:t>
      </w:r>
    </w:p>
    <w:p w:rsidR="008B31A9" w:rsidRPr="005904EC" w:rsidRDefault="008B31A9" w:rsidP="005246FA">
      <w:pPr>
        <w:pStyle w:val="ListParagraph"/>
        <w:keepNext/>
        <w:numPr>
          <w:ilvl w:val="0"/>
          <w:numId w:val="27"/>
        </w:numPr>
        <w:spacing w:before="120" w:after="240"/>
        <w:ind w:left="540" w:hanging="540"/>
        <w:rPr>
          <w:rFonts w:ascii="Arial" w:hAnsi="Arial" w:cs="Arial"/>
          <w:b/>
          <w:sz w:val="24"/>
          <w:szCs w:val="24"/>
        </w:rPr>
      </w:pPr>
      <w:r w:rsidRPr="005904EC">
        <w:rPr>
          <w:rFonts w:ascii="Arial" w:hAnsi="Arial" w:cs="Arial"/>
          <w:b/>
          <w:sz w:val="24"/>
          <w:szCs w:val="24"/>
        </w:rPr>
        <w:t xml:space="preserve">How will the National Poverty Strategy take into account the situation of Canadians of African descent? </w:t>
      </w:r>
    </w:p>
    <w:p w:rsidR="00A0174F" w:rsidRPr="00A0174F" w:rsidRDefault="00A0174F" w:rsidP="005246FA">
      <w:pPr>
        <w:spacing w:before="120" w:after="240"/>
        <w:ind w:left="540"/>
        <w:rPr>
          <w:rFonts w:ascii="Arial" w:hAnsi="Arial" w:cs="Arial"/>
          <w:sz w:val="24"/>
          <w:szCs w:val="24"/>
          <w:lang w:val="en-US"/>
        </w:rPr>
      </w:pPr>
      <w:r w:rsidRPr="00A0174F">
        <w:rPr>
          <w:rFonts w:ascii="Arial" w:hAnsi="Arial" w:cs="Arial"/>
          <w:sz w:val="24"/>
          <w:szCs w:val="24"/>
        </w:rPr>
        <w:t xml:space="preserve">Poverty is a complex issue that affects more than 3 million Canadians. It has many faces—children and families, seniors, Indigenous people, people with disabilities and immigrants. </w:t>
      </w:r>
      <w:r w:rsidRPr="00A0174F">
        <w:rPr>
          <w:rFonts w:ascii="Arial" w:hAnsi="Arial" w:cs="Arial"/>
          <w:sz w:val="24"/>
          <w:szCs w:val="24"/>
          <w:lang w:val="en"/>
        </w:rPr>
        <w:t xml:space="preserve">Poverty is also an issue that disproportionately impacts visible minorities, including Canadians of African descent. </w:t>
      </w:r>
    </w:p>
    <w:p w:rsidR="00A0174F" w:rsidRPr="00A0174F" w:rsidRDefault="00A0174F" w:rsidP="005246FA">
      <w:pPr>
        <w:spacing w:before="120" w:after="240"/>
        <w:ind w:left="540"/>
        <w:rPr>
          <w:rFonts w:ascii="Arial" w:hAnsi="Arial" w:cs="Arial"/>
          <w:sz w:val="24"/>
          <w:szCs w:val="24"/>
        </w:rPr>
      </w:pPr>
      <w:r w:rsidRPr="00A0174F">
        <w:rPr>
          <w:rFonts w:ascii="Arial" w:hAnsi="Arial" w:cs="Arial"/>
          <w:sz w:val="24"/>
          <w:szCs w:val="24"/>
        </w:rPr>
        <w:t xml:space="preserve">Canada is committed to reducing poverty by pursuing a long-term vision of a country that is diverse, prosperous and inclusive, where each individual can access the supports they need to participate in society to their fullest ability both socially and economically. </w:t>
      </w:r>
    </w:p>
    <w:p w:rsidR="00A0174F" w:rsidRDefault="00A0174F" w:rsidP="005246FA">
      <w:pPr>
        <w:autoSpaceDE w:val="0"/>
        <w:autoSpaceDN w:val="0"/>
        <w:spacing w:before="120" w:after="240" w:line="240" w:lineRule="auto"/>
        <w:ind w:left="540"/>
        <w:rPr>
          <w:rFonts w:ascii="Arial" w:hAnsi="Arial" w:cs="Arial"/>
          <w:sz w:val="24"/>
          <w:szCs w:val="24"/>
          <w:lang w:eastAsia="en-CA"/>
        </w:rPr>
      </w:pPr>
      <w:r>
        <w:rPr>
          <w:rFonts w:ascii="Arial" w:hAnsi="Arial" w:cs="Arial"/>
          <w:sz w:val="24"/>
          <w:szCs w:val="24"/>
        </w:rPr>
        <w:t>The Government of Canada’s commitment to develop a Canadian Poverty Reduction Strategy will build on past efforts and address the persistent challenges that remain. The Canadian Poverty Reduction Strategy will align with and support existing provincial and municipal poverty reduction strategies.</w:t>
      </w:r>
    </w:p>
    <w:p w:rsidR="00A0174F" w:rsidRPr="00A0174F" w:rsidRDefault="00A0174F" w:rsidP="005246FA">
      <w:pPr>
        <w:spacing w:before="120" w:after="240"/>
        <w:ind w:left="540"/>
        <w:rPr>
          <w:rFonts w:ascii="Arial" w:hAnsi="Arial" w:cs="Arial"/>
          <w:b/>
          <w:bCs/>
          <w:caps/>
          <w:sz w:val="24"/>
          <w:szCs w:val="24"/>
        </w:rPr>
      </w:pPr>
      <w:r w:rsidRPr="00A0174F">
        <w:rPr>
          <w:rFonts w:ascii="Arial" w:hAnsi="Arial" w:cs="Arial"/>
          <w:sz w:val="24"/>
          <w:szCs w:val="24"/>
          <w:lang w:eastAsia="en-CA"/>
        </w:rPr>
        <w:t xml:space="preserve">Canada has completed a nation-wide consultation process to give Canadians an opportunity to have their say on reducing poverty </w:t>
      </w:r>
      <w:r w:rsidRPr="00A0174F">
        <w:rPr>
          <w:rFonts w:ascii="Arial" w:hAnsi="Arial" w:cs="Arial"/>
          <w:sz w:val="24"/>
          <w:szCs w:val="24"/>
        </w:rPr>
        <w:t>through on-line discussions, community conversations, focus groups and roundtables with the minister. These sessions included Canadians of African descent. The Honourable Jean</w:t>
      </w:r>
      <w:r w:rsidR="005904EC">
        <w:rPr>
          <w:rFonts w:ascii="Arial" w:hAnsi="Arial" w:cs="Arial"/>
          <w:sz w:val="24"/>
          <w:szCs w:val="24"/>
        </w:rPr>
        <w:noBreakHyphen/>
      </w:r>
      <w:r w:rsidRPr="00A0174F">
        <w:rPr>
          <w:rFonts w:ascii="Arial" w:hAnsi="Arial" w:cs="Arial"/>
          <w:sz w:val="24"/>
          <w:szCs w:val="24"/>
        </w:rPr>
        <w:t>Yves</w:t>
      </w:r>
      <w:r w:rsidR="005904EC">
        <w:rPr>
          <w:rFonts w:ascii="Arial" w:hAnsi="Arial" w:cs="Arial"/>
          <w:sz w:val="24"/>
          <w:szCs w:val="24"/>
        </w:rPr>
        <w:t> </w:t>
      </w:r>
      <w:r w:rsidRPr="00A0174F">
        <w:rPr>
          <w:rFonts w:ascii="Arial" w:hAnsi="Arial" w:cs="Arial"/>
          <w:sz w:val="24"/>
          <w:szCs w:val="24"/>
        </w:rPr>
        <w:t xml:space="preserve">Duclos, </w:t>
      </w:r>
      <w:r w:rsidR="005904EC">
        <w:rPr>
          <w:rFonts w:ascii="Arial" w:hAnsi="Arial" w:cs="Arial"/>
          <w:sz w:val="24"/>
          <w:szCs w:val="24"/>
        </w:rPr>
        <w:t xml:space="preserve">the federal </w:t>
      </w:r>
      <w:r w:rsidRPr="00A0174F">
        <w:rPr>
          <w:rFonts w:ascii="Arial" w:hAnsi="Arial" w:cs="Arial"/>
          <w:sz w:val="24"/>
          <w:szCs w:val="24"/>
        </w:rPr>
        <w:t>Minister of Families, Children and Social Development, also hosted a roundtable in Halifax that focussed on racialized poverty</w:t>
      </w:r>
      <w:r w:rsidR="00CB5B9D">
        <w:rPr>
          <w:rFonts w:ascii="Arial" w:hAnsi="Arial" w:cs="Arial"/>
          <w:sz w:val="24"/>
          <w:szCs w:val="24"/>
        </w:rPr>
        <w:t>.</w:t>
      </w:r>
    </w:p>
    <w:p w:rsidR="00A0174F" w:rsidRPr="00A0174F" w:rsidRDefault="00A0174F" w:rsidP="005246FA">
      <w:pPr>
        <w:spacing w:before="120" w:after="240"/>
        <w:ind w:left="540"/>
        <w:rPr>
          <w:rFonts w:ascii="Arial" w:hAnsi="Arial" w:cs="Arial"/>
          <w:sz w:val="24"/>
          <w:szCs w:val="24"/>
        </w:rPr>
      </w:pPr>
      <w:r w:rsidRPr="00A0174F">
        <w:rPr>
          <w:rFonts w:ascii="Arial" w:hAnsi="Arial" w:cs="Arial"/>
          <w:sz w:val="24"/>
          <w:szCs w:val="24"/>
        </w:rPr>
        <w:t xml:space="preserve">The input and feedback collected from Canadians will provide valuable information to help shape the Poverty Reduction Strategy. The feedback collected will help the Government understand the areas of focus for the Strategy and what is important to Canadians. </w:t>
      </w:r>
    </w:p>
    <w:p w:rsidR="008B31A9" w:rsidRPr="005904EC" w:rsidRDefault="008B31A9" w:rsidP="005246FA">
      <w:pPr>
        <w:pStyle w:val="ListParagraph"/>
        <w:keepNext/>
        <w:numPr>
          <w:ilvl w:val="0"/>
          <w:numId w:val="27"/>
        </w:numPr>
        <w:spacing w:before="120" w:after="240"/>
        <w:ind w:left="540" w:hanging="540"/>
        <w:rPr>
          <w:b/>
          <w:lang w:val="en-CA"/>
        </w:rPr>
      </w:pPr>
      <w:r w:rsidRPr="005904EC">
        <w:rPr>
          <w:rFonts w:ascii="Arial" w:hAnsi="Arial" w:cs="Arial"/>
          <w:b/>
          <w:sz w:val="24"/>
          <w:szCs w:val="24"/>
        </w:rPr>
        <w:lastRenderedPageBreak/>
        <w:t>Information</w:t>
      </w:r>
      <w:r w:rsidRPr="005904EC">
        <w:rPr>
          <w:rFonts w:ascii="Arial" w:hAnsi="Arial" w:cs="Arial"/>
          <w:b/>
          <w:sz w:val="24"/>
          <w:szCs w:val="24"/>
          <w:lang w:val="en-CA"/>
        </w:rPr>
        <w:t xml:space="preserve"> about Labour inspectors in the Temporary Foreign Workers program. </w:t>
      </w:r>
    </w:p>
    <w:p w:rsidR="008D2FD2" w:rsidRPr="00D01FE7" w:rsidRDefault="008D2FD2" w:rsidP="005246FA">
      <w:pPr>
        <w:spacing w:before="120" w:after="240"/>
        <w:ind w:left="540"/>
        <w:rPr>
          <w:rFonts w:ascii="Arial" w:hAnsi="Arial" w:cs="Arial"/>
          <w:sz w:val="24"/>
          <w:szCs w:val="24"/>
        </w:rPr>
      </w:pPr>
      <w:r w:rsidRPr="00D01FE7">
        <w:rPr>
          <w:rFonts w:ascii="Arial" w:hAnsi="Arial" w:cs="Arial"/>
          <w:sz w:val="24"/>
          <w:szCs w:val="24"/>
        </w:rPr>
        <w:t>The Government of Canada is committed to ensure that further measures are taken so that foreign workers, particularly vulnerable workers, do not experience mistreatment, abuse or unsafe working conditions during their time working on a temporary basis in Canada.</w:t>
      </w:r>
    </w:p>
    <w:p w:rsidR="008D2FD2" w:rsidRPr="00D01FE7" w:rsidRDefault="008D2FD2" w:rsidP="005246FA">
      <w:pPr>
        <w:spacing w:before="120" w:after="240"/>
        <w:ind w:left="540"/>
        <w:rPr>
          <w:rFonts w:ascii="Arial" w:hAnsi="Arial" w:cs="Arial"/>
          <w:sz w:val="24"/>
          <w:szCs w:val="24"/>
        </w:rPr>
      </w:pPr>
      <w:r w:rsidRPr="00D01FE7">
        <w:rPr>
          <w:rFonts w:ascii="Arial" w:hAnsi="Arial" w:cs="Arial"/>
          <w:sz w:val="24"/>
          <w:szCs w:val="24"/>
        </w:rPr>
        <w:t>In Canada, provincial and territorial governments are responsible for administering and enforcing employment, labour and occupational health and safety standards, under their respective frameworks.</w:t>
      </w:r>
    </w:p>
    <w:p w:rsidR="0028556D" w:rsidRPr="0028556D" w:rsidRDefault="008D2FD2" w:rsidP="00BC6ACC">
      <w:pPr>
        <w:spacing w:before="120" w:after="240"/>
        <w:ind w:left="540"/>
        <w:rPr>
          <w:rFonts w:ascii="Arial" w:hAnsi="Arial" w:cs="Arial"/>
          <w:sz w:val="24"/>
          <w:szCs w:val="24"/>
        </w:rPr>
      </w:pPr>
      <w:r w:rsidRPr="00D01FE7">
        <w:rPr>
          <w:rFonts w:ascii="Arial" w:hAnsi="Arial" w:cs="Arial"/>
          <w:sz w:val="24"/>
          <w:szCs w:val="24"/>
        </w:rPr>
        <w:t xml:space="preserve">The Temporary Foreign Worker Program (TFW), a federal program, conducts employer inspections to validate whether employers comply with program requirements, such as conditions set out in the </w:t>
      </w:r>
      <w:r w:rsidRPr="00C660DE">
        <w:rPr>
          <w:rFonts w:ascii="Arial" w:hAnsi="Arial" w:cs="Arial"/>
          <w:i/>
          <w:sz w:val="24"/>
          <w:szCs w:val="24"/>
        </w:rPr>
        <w:t>Immigration and Refugee Protection Act</w:t>
      </w:r>
      <w:r w:rsidRPr="00D01FE7">
        <w:rPr>
          <w:rFonts w:ascii="Arial" w:hAnsi="Arial" w:cs="Arial"/>
          <w:sz w:val="24"/>
          <w:szCs w:val="24"/>
        </w:rPr>
        <w:t xml:space="preserve"> and Immigration and Refugee Protection Regulations (federal legislation), and other program requirements agreed to by the employer in the positive Labour Marker Impact Assessment. </w:t>
      </w:r>
    </w:p>
    <w:p w:rsidR="0052445B" w:rsidRDefault="007B11BB" w:rsidP="005246FA">
      <w:pPr>
        <w:spacing w:before="120" w:after="240"/>
        <w:ind w:left="540"/>
        <w:rPr>
          <w:rFonts w:ascii="Arial" w:hAnsi="Arial" w:cs="Arial"/>
          <w:b/>
          <w:i/>
          <w:sz w:val="24"/>
          <w:szCs w:val="24"/>
        </w:rPr>
      </w:pPr>
      <w:r w:rsidRPr="00962CC9">
        <w:rPr>
          <w:rFonts w:ascii="Arial" w:hAnsi="Arial" w:cs="Arial"/>
          <w:b/>
          <w:i/>
          <w:sz w:val="24"/>
          <w:szCs w:val="24"/>
        </w:rPr>
        <w:t>Additional conditions and requirements</w:t>
      </w:r>
      <w:r w:rsidR="00340776" w:rsidRPr="00962CC9">
        <w:rPr>
          <w:rFonts w:ascii="Arial" w:hAnsi="Arial" w:cs="Arial"/>
          <w:b/>
          <w:i/>
          <w:sz w:val="24"/>
          <w:szCs w:val="24"/>
        </w:rPr>
        <w:t xml:space="preserve"> </w:t>
      </w:r>
    </w:p>
    <w:p w:rsidR="008D2FD2" w:rsidRPr="00D01FE7" w:rsidRDefault="008D2FD2" w:rsidP="005246FA">
      <w:pPr>
        <w:spacing w:before="120" w:after="240"/>
        <w:ind w:left="540"/>
        <w:rPr>
          <w:rFonts w:ascii="Arial" w:hAnsi="Arial" w:cs="Arial"/>
          <w:sz w:val="24"/>
          <w:szCs w:val="24"/>
        </w:rPr>
      </w:pPr>
      <w:r w:rsidRPr="00D01FE7">
        <w:rPr>
          <w:rFonts w:ascii="Arial" w:hAnsi="Arial" w:cs="Arial"/>
          <w:sz w:val="24"/>
          <w:szCs w:val="24"/>
        </w:rPr>
        <w:t>In the case of low-wage and agricultural streams where workers may be particularly vulnerable, additional program conditions and requirements must be met by employers, such as providing an employment contract, providing private health insurance until provincial insurance is available, providing workplace safety insurance, round-trip transportation and, where applicable, providing suitable and affordable accommodations.</w:t>
      </w:r>
    </w:p>
    <w:p w:rsidR="008D2FD2" w:rsidRPr="00D01FE7" w:rsidRDefault="008D2FD2" w:rsidP="005246FA">
      <w:pPr>
        <w:spacing w:before="120" w:after="240"/>
        <w:ind w:left="540"/>
        <w:rPr>
          <w:rFonts w:ascii="Arial" w:hAnsi="Arial" w:cs="Arial"/>
          <w:sz w:val="24"/>
          <w:szCs w:val="24"/>
        </w:rPr>
      </w:pPr>
      <w:r w:rsidRPr="00D01FE7">
        <w:rPr>
          <w:rFonts w:ascii="Arial" w:hAnsi="Arial" w:cs="Arial"/>
          <w:sz w:val="24"/>
          <w:szCs w:val="24"/>
        </w:rPr>
        <w:t xml:space="preserve">In situations where there is a mutual agreement between an employer and a Caregiver for that person to reside in the employer’s private residence, employers are not allowed to take deductions from wages for accommodation.  </w:t>
      </w:r>
    </w:p>
    <w:p w:rsidR="008D2FD2" w:rsidRPr="00D01FE7" w:rsidRDefault="008D2FD2" w:rsidP="005246FA">
      <w:pPr>
        <w:spacing w:before="120" w:after="240"/>
        <w:ind w:left="540"/>
        <w:rPr>
          <w:rFonts w:ascii="Arial" w:hAnsi="Arial" w:cs="Arial"/>
          <w:sz w:val="24"/>
          <w:szCs w:val="24"/>
        </w:rPr>
      </w:pPr>
      <w:r w:rsidRPr="00D01FE7">
        <w:rPr>
          <w:rFonts w:ascii="Arial" w:hAnsi="Arial" w:cs="Arial"/>
          <w:sz w:val="24"/>
          <w:szCs w:val="24"/>
        </w:rPr>
        <w:t>In addition, employers participating in the four primary agriculture streams are subject to a number of housing requirements that help ensure the well-being of workers while in Canada. These requirements include:</w:t>
      </w:r>
    </w:p>
    <w:p w:rsidR="008D2FD2" w:rsidRPr="00C660DE" w:rsidRDefault="008D2FD2" w:rsidP="00C660DE">
      <w:pPr>
        <w:pStyle w:val="ListParagraph"/>
        <w:numPr>
          <w:ilvl w:val="0"/>
          <w:numId w:val="39"/>
        </w:numPr>
        <w:spacing w:before="120" w:after="240"/>
        <w:rPr>
          <w:rFonts w:ascii="Arial" w:hAnsi="Arial" w:cs="Arial"/>
          <w:sz w:val="24"/>
          <w:szCs w:val="24"/>
        </w:rPr>
      </w:pPr>
      <w:r w:rsidRPr="00C660DE">
        <w:rPr>
          <w:rFonts w:ascii="Arial" w:hAnsi="Arial" w:cs="Arial"/>
          <w:sz w:val="24"/>
          <w:szCs w:val="24"/>
        </w:rPr>
        <w:t>Having housing inspected annually to verify that it meets provincial or municipal standards;</w:t>
      </w:r>
    </w:p>
    <w:p w:rsidR="008D2FD2" w:rsidRPr="00C660DE" w:rsidRDefault="008D2FD2" w:rsidP="00C660DE">
      <w:pPr>
        <w:pStyle w:val="ListParagraph"/>
        <w:numPr>
          <w:ilvl w:val="0"/>
          <w:numId w:val="39"/>
        </w:numPr>
        <w:spacing w:before="120" w:after="240"/>
        <w:rPr>
          <w:rFonts w:ascii="Arial" w:hAnsi="Arial" w:cs="Arial"/>
          <w:sz w:val="24"/>
          <w:szCs w:val="24"/>
        </w:rPr>
      </w:pPr>
      <w:r w:rsidRPr="00C660DE">
        <w:rPr>
          <w:rFonts w:ascii="Arial" w:hAnsi="Arial" w:cs="Arial"/>
          <w:sz w:val="24"/>
          <w:szCs w:val="24"/>
        </w:rPr>
        <w:t>For the Seasonal Agricultural Workers Program, providing accommodation at no cost to workers (except for in British Columbia where the cost is shared between the employer and foreign worker); and</w:t>
      </w:r>
    </w:p>
    <w:p w:rsidR="008D2FD2" w:rsidRPr="00C660DE" w:rsidRDefault="008D2FD2" w:rsidP="00C660DE">
      <w:pPr>
        <w:pStyle w:val="ListParagraph"/>
        <w:numPr>
          <w:ilvl w:val="0"/>
          <w:numId w:val="39"/>
        </w:numPr>
        <w:spacing w:before="120" w:after="240"/>
        <w:rPr>
          <w:rFonts w:ascii="Arial" w:hAnsi="Arial" w:cs="Arial"/>
          <w:sz w:val="24"/>
          <w:szCs w:val="24"/>
        </w:rPr>
      </w:pPr>
      <w:r w:rsidRPr="00C660DE">
        <w:rPr>
          <w:rFonts w:ascii="Arial" w:hAnsi="Arial" w:cs="Arial"/>
          <w:sz w:val="24"/>
          <w:szCs w:val="24"/>
        </w:rPr>
        <w:t xml:space="preserve">For the Agricultural Stream, providing suitable and affordable accommodations (approved by the provincial/municipal body or private inspection service), at a </w:t>
      </w:r>
      <w:r w:rsidRPr="00C660DE">
        <w:rPr>
          <w:rFonts w:ascii="Arial" w:hAnsi="Arial" w:cs="Arial"/>
          <w:sz w:val="24"/>
          <w:szCs w:val="24"/>
        </w:rPr>
        <w:lastRenderedPageBreak/>
        <w:t>fee of no more than $30 per week for low-wage workers, or 30% of the worker’s income for high-wage workers.</w:t>
      </w:r>
    </w:p>
    <w:p w:rsidR="00340776" w:rsidRPr="00962CC9" w:rsidRDefault="00340776" w:rsidP="005246FA">
      <w:pPr>
        <w:spacing w:before="120" w:after="240"/>
        <w:ind w:left="540"/>
        <w:rPr>
          <w:rFonts w:ascii="Arial" w:hAnsi="Arial" w:cs="Arial"/>
          <w:b/>
          <w:i/>
          <w:sz w:val="24"/>
          <w:szCs w:val="24"/>
        </w:rPr>
      </w:pPr>
      <w:r w:rsidRPr="00962CC9">
        <w:rPr>
          <w:rFonts w:ascii="Arial" w:hAnsi="Arial" w:cs="Arial"/>
          <w:b/>
          <w:i/>
          <w:sz w:val="24"/>
          <w:szCs w:val="24"/>
        </w:rPr>
        <w:t xml:space="preserve">Inspections under the </w:t>
      </w:r>
      <w:r w:rsidR="0052445B">
        <w:rPr>
          <w:rFonts w:ascii="Arial" w:hAnsi="Arial" w:cs="Arial"/>
          <w:b/>
          <w:i/>
          <w:sz w:val="24"/>
          <w:szCs w:val="24"/>
        </w:rPr>
        <w:t>p</w:t>
      </w:r>
      <w:r w:rsidRPr="00962CC9">
        <w:rPr>
          <w:rFonts w:ascii="Arial" w:hAnsi="Arial" w:cs="Arial"/>
          <w:b/>
          <w:i/>
          <w:sz w:val="24"/>
          <w:szCs w:val="24"/>
        </w:rPr>
        <w:t>rogram</w:t>
      </w:r>
    </w:p>
    <w:p w:rsidR="008D2FD2" w:rsidRPr="00D01FE7" w:rsidRDefault="00FD6E9A" w:rsidP="005246FA">
      <w:pPr>
        <w:spacing w:before="120" w:after="240"/>
        <w:ind w:left="540"/>
        <w:rPr>
          <w:rFonts w:ascii="Arial" w:hAnsi="Arial" w:cs="Arial"/>
          <w:sz w:val="24"/>
          <w:szCs w:val="24"/>
        </w:rPr>
      </w:pPr>
      <w:r>
        <w:rPr>
          <w:rFonts w:ascii="Arial" w:hAnsi="Arial" w:cs="Arial"/>
          <w:sz w:val="24"/>
          <w:szCs w:val="24"/>
        </w:rPr>
        <w:t>I</w:t>
      </w:r>
      <w:r w:rsidR="008D2FD2" w:rsidRPr="00D01FE7">
        <w:rPr>
          <w:rFonts w:ascii="Arial" w:hAnsi="Arial" w:cs="Arial"/>
          <w:sz w:val="24"/>
          <w:szCs w:val="24"/>
        </w:rPr>
        <w:t xml:space="preserve">nspections </w:t>
      </w:r>
      <w:r>
        <w:rPr>
          <w:rFonts w:ascii="Arial" w:hAnsi="Arial" w:cs="Arial"/>
          <w:sz w:val="24"/>
          <w:szCs w:val="24"/>
        </w:rPr>
        <w:t>are</w:t>
      </w:r>
      <w:r w:rsidR="008D2FD2" w:rsidRPr="00D01FE7">
        <w:rPr>
          <w:rFonts w:ascii="Arial" w:hAnsi="Arial" w:cs="Arial"/>
          <w:sz w:val="24"/>
          <w:szCs w:val="24"/>
        </w:rPr>
        <w:t xml:space="preserve"> the cornerstone of the program compliance regime</w:t>
      </w:r>
      <w:r>
        <w:rPr>
          <w:rFonts w:ascii="Arial" w:hAnsi="Arial" w:cs="Arial"/>
          <w:sz w:val="24"/>
          <w:szCs w:val="24"/>
        </w:rPr>
        <w:t xml:space="preserve"> and </w:t>
      </w:r>
      <w:r w:rsidR="008D2FD2" w:rsidRPr="00D01FE7">
        <w:rPr>
          <w:rFonts w:ascii="Arial" w:hAnsi="Arial" w:cs="Arial"/>
          <w:sz w:val="24"/>
          <w:szCs w:val="24"/>
        </w:rPr>
        <w:t>the</w:t>
      </w:r>
      <w:r>
        <w:rPr>
          <w:rFonts w:ascii="Arial" w:hAnsi="Arial" w:cs="Arial"/>
          <w:sz w:val="24"/>
          <w:szCs w:val="24"/>
        </w:rPr>
        <w:t>ir</w:t>
      </w:r>
      <w:r w:rsidR="008D2FD2" w:rsidRPr="00D01FE7">
        <w:rPr>
          <w:rFonts w:ascii="Arial" w:hAnsi="Arial" w:cs="Arial"/>
          <w:sz w:val="24"/>
          <w:szCs w:val="24"/>
        </w:rPr>
        <w:t xml:space="preserve"> number has increased each year since their introduction, with 2,117 conducted in 2014-2015, 3,531 in 2015-2016, and 2,300 in 2016-2017, as of November 30, 2016. </w:t>
      </w:r>
    </w:p>
    <w:p w:rsidR="008D2FD2" w:rsidRPr="00D01FE7" w:rsidRDefault="008D2FD2" w:rsidP="005246FA">
      <w:pPr>
        <w:spacing w:before="120" w:after="240"/>
        <w:ind w:left="540"/>
        <w:rPr>
          <w:rFonts w:ascii="Arial" w:hAnsi="Arial" w:cs="Arial"/>
          <w:sz w:val="24"/>
          <w:szCs w:val="24"/>
        </w:rPr>
      </w:pPr>
      <w:r w:rsidRPr="00D01FE7">
        <w:rPr>
          <w:rFonts w:ascii="Arial" w:hAnsi="Arial" w:cs="Arial"/>
          <w:sz w:val="24"/>
          <w:szCs w:val="24"/>
        </w:rPr>
        <w:t>As of June 30, 2017, the number of completed on-site inspections is 140 and the number of on-site inspections that are still in progress is 495.</w:t>
      </w:r>
    </w:p>
    <w:p w:rsidR="008D2FD2" w:rsidRPr="00D01FE7" w:rsidRDefault="008D2FD2" w:rsidP="005246FA">
      <w:pPr>
        <w:spacing w:before="120" w:after="240"/>
        <w:ind w:left="540"/>
        <w:rPr>
          <w:rFonts w:ascii="Arial" w:hAnsi="Arial" w:cs="Arial"/>
          <w:sz w:val="24"/>
          <w:szCs w:val="24"/>
        </w:rPr>
      </w:pPr>
      <w:r w:rsidRPr="00D01FE7">
        <w:rPr>
          <w:rFonts w:ascii="Arial" w:hAnsi="Arial" w:cs="Arial"/>
          <w:sz w:val="24"/>
          <w:szCs w:val="24"/>
        </w:rPr>
        <w:t>Failure to meet program requirements will result in a negative labour market impact assessment, or could result in an administrative monetary penalty, ban and publication of the employer’s name on a public website.</w:t>
      </w:r>
    </w:p>
    <w:p w:rsidR="008D2FD2" w:rsidRDefault="008D2FD2" w:rsidP="005246FA">
      <w:pPr>
        <w:spacing w:before="120" w:after="240"/>
        <w:ind w:left="540"/>
        <w:rPr>
          <w:rFonts w:ascii="Arial" w:hAnsi="Arial" w:cs="Arial"/>
          <w:sz w:val="24"/>
          <w:szCs w:val="24"/>
        </w:rPr>
      </w:pPr>
      <w:r w:rsidRPr="00D01FE7">
        <w:rPr>
          <w:rFonts w:ascii="Arial" w:hAnsi="Arial" w:cs="Arial"/>
          <w:sz w:val="24"/>
          <w:szCs w:val="24"/>
        </w:rPr>
        <w:t>The Path Forward Plan for the Program, announced in April 10, 2017, includes increasing the number of onsite inspections of workplaces that employ foreign workers and prioritizing efforts on sectors that rely on the most vulnerable workers, such as Primary Agriculture and caregivers; as well as establishing measures to inform workers of their rights and responsibilities under the Program.</w:t>
      </w:r>
    </w:p>
    <w:p w:rsidR="00BC6ACC" w:rsidRPr="00BC6ACC" w:rsidRDefault="00BC6ACC" w:rsidP="005246FA">
      <w:pPr>
        <w:spacing w:before="120" w:after="240"/>
        <w:ind w:left="540"/>
        <w:rPr>
          <w:rFonts w:ascii="Arial" w:hAnsi="Arial" w:cs="Arial"/>
          <w:b/>
          <w:i/>
          <w:sz w:val="24"/>
          <w:szCs w:val="24"/>
        </w:rPr>
      </w:pPr>
      <w:r w:rsidRPr="00BC6ACC">
        <w:rPr>
          <w:rFonts w:ascii="Arial" w:hAnsi="Arial" w:cs="Arial"/>
          <w:b/>
          <w:i/>
          <w:sz w:val="24"/>
          <w:szCs w:val="24"/>
        </w:rPr>
        <w:t>Inspections by provincial and territorial governments</w:t>
      </w:r>
    </w:p>
    <w:p w:rsidR="00BC6ACC" w:rsidRDefault="00BC6ACC" w:rsidP="00BC6ACC">
      <w:pPr>
        <w:spacing w:before="120" w:after="240"/>
        <w:ind w:left="540"/>
        <w:rPr>
          <w:rFonts w:ascii="Arial" w:hAnsi="Arial" w:cs="Arial"/>
          <w:sz w:val="24"/>
          <w:szCs w:val="24"/>
        </w:rPr>
      </w:pPr>
      <w:r>
        <w:rPr>
          <w:rFonts w:ascii="Arial" w:hAnsi="Arial" w:cs="Arial"/>
          <w:sz w:val="24"/>
          <w:szCs w:val="24"/>
        </w:rPr>
        <w:t xml:space="preserve">Provinces and territories conduct their own inspections </w:t>
      </w:r>
      <w:r w:rsidRPr="005246FA">
        <w:rPr>
          <w:rFonts w:ascii="Arial" w:hAnsi="Arial" w:cs="Arial"/>
          <w:sz w:val="24"/>
          <w:szCs w:val="24"/>
        </w:rPr>
        <w:t>under their labour or employment codes</w:t>
      </w:r>
      <w:r>
        <w:rPr>
          <w:rFonts w:ascii="Arial" w:hAnsi="Arial" w:cs="Arial"/>
          <w:sz w:val="24"/>
          <w:szCs w:val="24"/>
        </w:rPr>
        <w:t xml:space="preserve"> and regulations</w:t>
      </w:r>
      <w:r w:rsidRPr="005246FA">
        <w:rPr>
          <w:rFonts w:ascii="Arial" w:hAnsi="Arial" w:cs="Arial"/>
          <w:sz w:val="24"/>
          <w:szCs w:val="24"/>
        </w:rPr>
        <w:t xml:space="preserve">. </w:t>
      </w:r>
      <w:r w:rsidRPr="00745FB5">
        <w:rPr>
          <w:rFonts w:ascii="Arial" w:hAnsi="Arial" w:cs="Arial"/>
          <w:sz w:val="24"/>
          <w:szCs w:val="24"/>
        </w:rPr>
        <w:t xml:space="preserve"> </w:t>
      </w:r>
    </w:p>
    <w:p w:rsidR="00BC6ACC" w:rsidRDefault="00BC6ACC" w:rsidP="00BC6ACC">
      <w:pPr>
        <w:spacing w:before="120" w:after="240"/>
        <w:ind w:left="540"/>
        <w:rPr>
          <w:rFonts w:ascii="Arial" w:hAnsi="Arial" w:cs="Arial"/>
          <w:sz w:val="24"/>
          <w:szCs w:val="24"/>
        </w:rPr>
      </w:pPr>
      <w:r w:rsidRPr="001F6B18">
        <w:rPr>
          <w:rFonts w:ascii="Arial" w:hAnsi="Arial" w:cs="Arial"/>
          <w:sz w:val="24"/>
          <w:szCs w:val="24"/>
        </w:rPr>
        <w:t xml:space="preserve">In Alberta, for example, worksite inspections are conducted to ensure employers hiring Temporary Foreign Workers abide by </w:t>
      </w:r>
      <w:r w:rsidRPr="008040A8">
        <w:rPr>
          <w:rFonts w:ascii="Arial" w:hAnsi="Arial" w:cs="Arial"/>
          <w:i/>
          <w:sz w:val="24"/>
          <w:szCs w:val="24"/>
        </w:rPr>
        <w:t>Alberta’s Employment Standards Code</w:t>
      </w:r>
      <w:r w:rsidRPr="001F6B18">
        <w:rPr>
          <w:rFonts w:ascii="Arial" w:hAnsi="Arial" w:cs="Arial"/>
          <w:sz w:val="24"/>
          <w:szCs w:val="24"/>
        </w:rPr>
        <w:t>. The Code proactively targets and inspects industries, employers and geographical locations across Alberta where Temporary Foreign Worker populations are the highest.</w:t>
      </w:r>
    </w:p>
    <w:p w:rsidR="00BC6ACC" w:rsidRPr="002E3E55" w:rsidRDefault="00BC6ACC" w:rsidP="00BC6ACC">
      <w:pPr>
        <w:spacing w:before="120" w:after="240"/>
        <w:ind w:left="540"/>
        <w:rPr>
          <w:rFonts w:ascii="Arial" w:hAnsi="Arial" w:cs="Arial"/>
          <w:sz w:val="24"/>
          <w:szCs w:val="24"/>
        </w:rPr>
      </w:pPr>
      <w:r w:rsidRPr="002E3E55">
        <w:rPr>
          <w:rFonts w:ascii="Arial" w:hAnsi="Arial" w:cs="Arial"/>
          <w:sz w:val="24"/>
          <w:szCs w:val="24"/>
        </w:rPr>
        <w:t xml:space="preserve">In Ontario, in addition to thorough investigation of claims filed by employees, including temporary foreign workers, who believe their rights under the </w:t>
      </w:r>
      <w:r w:rsidRPr="002E3E55">
        <w:rPr>
          <w:rFonts w:ascii="Arial" w:hAnsi="Arial" w:cs="Arial"/>
          <w:i/>
          <w:sz w:val="24"/>
          <w:szCs w:val="24"/>
        </w:rPr>
        <w:t>Employment Standards Act, 2000</w:t>
      </w:r>
      <w:r w:rsidRPr="002E3E55">
        <w:rPr>
          <w:rFonts w:ascii="Arial" w:hAnsi="Arial" w:cs="Arial"/>
          <w:sz w:val="24"/>
          <w:szCs w:val="24"/>
        </w:rPr>
        <w:t xml:space="preserve"> may have been contravened, employment standards officers proactively enforce the Act and its regulations at workplaces across the province by conducting inspections. The government’s proactive enforcement strategy focuses on targeting specific industry sectors for inspections in areas where there is a history of employment standards contraventions.</w:t>
      </w:r>
    </w:p>
    <w:p w:rsidR="00BC6ACC" w:rsidRPr="00457300" w:rsidRDefault="00BC6ACC" w:rsidP="00BC6ACC">
      <w:pPr>
        <w:spacing w:before="120" w:after="240"/>
        <w:ind w:left="540"/>
        <w:rPr>
          <w:rFonts w:ascii="Arial" w:hAnsi="Arial" w:cs="Arial"/>
          <w:sz w:val="24"/>
          <w:szCs w:val="24"/>
        </w:rPr>
      </w:pPr>
      <w:r w:rsidRPr="002E3E55">
        <w:rPr>
          <w:rFonts w:ascii="Arial" w:hAnsi="Arial" w:cs="Arial"/>
          <w:sz w:val="24"/>
          <w:szCs w:val="24"/>
        </w:rPr>
        <w:t>The goal of inspections is to ensure compliance with the Act and its regulations and to educate empl</w:t>
      </w:r>
      <w:r>
        <w:rPr>
          <w:rFonts w:ascii="Arial" w:hAnsi="Arial" w:cs="Arial"/>
          <w:sz w:val="24"/>
          <w:szCs w:val="24"/>
        </w:rPr>
        <w:t xml:space="preserve">oyers about their obligations. </w:t>
      </w:r>
    </w:p>
    <w:p w:rsidR="00BC6ACC" w:rsidRPr="0028556D" w:rsidRDefault="00BC6ACC" w:rsidP="00BC6ACC">
      <w:pPr>
        <w:spacing w:before="120" w:after="240"/>
        <w:ind w:left="540"/>
        <w:rPr>
          <w:rFonts w:ascii="Arial" w:hAnsi="Arial" w:cs="Arial"/>
          <w:sz w:val="24"/>
          <w:szCs w:val="24"/>
        </w:rPr>
      </w:pPr>
      <w:r w:rsidRPr="0028556D">
        <w:rPr>
          <w:rFonts w:ascii="Arial" w:hAnsi="Arial" w:cs="Arial"/>
          <w:sz w:val="24"/>
          <w:szCs w:val="24"/>
        </w:rPr>
        <w:lastRenderedPageBreak/>
        <w:t xml:space="preserve">In Quebec, in the agricultural stream, an agreement with the </w:t>
      </w:r>
      <w:proofErr w:type="spellStart"/>
      <w:r w:rsidRPr="00B11A0E">
        <w:rPr>
          <w:rFonts w:ascii="Arial" w:hAnsi="Arial" w:cs="Arial"/>
          <w:sz w:val="24"/>
          <w:szCs w:val="24"/>
        </w:rPr>
        <w:t>Fondation</w:t>
      </w:r>
      <w:proofErr w:type="spellEnd"/>
      <w:r w:rsidRPr="00B11A0E">
        <w:rPr>
          <w:rFonts w:ascii="Arial" w:hAnsi="Arial" w:cs="Arial"/>
          <w:sz w:val="24"/>
          <w:szCs w:val="24"/>
        </w:rPr>
        <w:t xml:space="preserve"> des </w:t>
      </w:r>
      <w:proofErr w:type="spellStart"/>
      <w:r w:rsidRPr="00B11A0E">
        <w:rPr>
          <w:rFonts w:ascii="Arial" w:hAnsi="Arial" w:cs="Arial"/>
          <w:sz w:val="24"/>
          <w:szCs w:val="24"/>
        </w:rPr>
        <w:t>entreprises</w:t>
      </w:r>
      <w:proofErr w:type="spellEnd"/>
      <w:r w:rsidRPr="00B11A0E">
        <w:rPr>
          <w:rFonts w:ascii="Arial" w:hAnsi="Arial" w:cs="Arial"/>
          <w:sz w:val="24"/>
          <w:szCs w:val="24"/>
        </w:rPr>
        <w:t xml:space="preserve"> de </w:t>
      </w:r>
      <w:proofErr w:type="spellStart"/>
      <w:r w:rsidRPr="00B11A0E">
        <w:rPr>
          <w:rFonts w:ascii="Arial" w:hAnsi="Arial" w:cs="Arial"/>
          <w:sz w:val="24"/>
          <w:szCs w:val="24"/>
        </w:rPr>
        <w:t>recrutement</w:t>
      </w:r>
      <w:proofErr w:type="spellEnd"/>
      <w:r w:rsidRPr="00B11A0E">
        <w:rPr>
          <w:rFonts w:ascii="Arial" w:hAnsi="Arial" w:cs="Arial"/>
          <w:sz w:val="24"/>
          <w:szCs w:val="24"/>
        </w:rPr>
        <w:t xml:space="preserve"> </w:t>
      </w:r>
      <w:proofErr w:type="spellStart"/>
      <w:r w:rsidRPr="00B11A0E">
        <w:rPr>
          <w:rFonts w:ascii="Arial" w:hAnsi="Arial" w:cs="Arial"/>
          <w:sz w:val="24"/>
          <w:szCs w:val="24"/>
        </w:rPr>
        <w:t>en</w:t>
      </w:r>
      <w:proofErr w:type="spellEnd"/>
      <w:r w:rsidRPr="00B11A0E">
        <w:rPr>
          <w:rFonts w:ascii="Arial" w:hAnsi="Arial" w:cs="Arial"/>
          <w:sz w:val="24"/>
          <w:szCs w:val="24"/>
        </w:rPr>
        <w:t xml:space="preserve"> main-</w:t>
      </w:r>
      <w:proofErr w:type="spellStart"/>
      <w:r w:rsidRPr="00B11A0E">
        <w:rPr>
          <w:rFonts w:ascii="Arial" w:hAnsi="Arial" w:cs="Arial"/>
          <w:sz w:val="24"/>
          <w:szCs w:val="24"/>
        </w:rPr>
        <w:t>d’œuvre</w:t>
      </w:r>
      <w:proofErr w:type="spellEnd"/>
      <w:r w:rsidRPr="00B11A0E">
        <w:rPr>
          <w:rFonts w:ascii="Arial" w:hAnsi="Arial" w:cs="Arial"/>
          <w:sz w:val="24"/>
          <w:szCs w:val="24"/>
        </w:rPr>
        <w:t xml:space="preserve"> </w:t>
      </w:r>
      <w:proofErr w:type="spellStart"/>
      <w:r w:rsidRPr="00B11A0E">
        <w:rPr>
          <w:rFonts w:ascii="Arial" w:hAnsi="Arial" w:cs="Arial"/>
          <w:sz w:val="24"/>
          <w:szCs w:val="24"/>
        </w:rPr>
        <w:t>étrangère</w:t>
      </w:r>
      <w:proofErr w:type="spellEnd"/>
      <w:r w:rsidRPr="0028556D">
        <w:rPr>
          <w:rFonts w:ascii="Arial" w:hAnsi="Arial" w:cs="Arial"/>
          <w:sz w:val="24"/>
          <w:szCs w:val="24"/>
        </w:rPr>
        <w:t xml:space="preserve">, of which employers are members, allows the </w:t>
      </w:r>
      <w:r w:rsidRPr="003076C2">
        <w:rPr>
          <w:rFonts w:ascii="Arial" w:hAnsi="Arial" w:cs="Arial"/>
          <w:sz w:val="24"/>
          <w:szCs w:val="24"/>
        </w:rPr>
        <w:t xml:space="preserve">Commission des </w:t>
      </w:r>
      <w:proofErr w:type="spellStart"/>
      <w:r w:rsidRPr="00B11A0E">
        <w:rPr>
          <w:rFonts w:ascii="Arial" w:hAnsi="Arial" w:cs="Arial"/>
          <w:sz w:val="24"/>
          <w:szCs w:val="24"/>
        </w:rPr>
        <w:t>normes</w:t>
      </w:r>
      <w:proofErr w:type="spellEnd"/>
      <w:r w:rsidRPr="00B11A0E">
        <w:rPr>
          <w:rFonts w:ascii="Arial" w:hAnsi="Arial" w:cs="Arial"/>
          <w:sz w:val="24"/>
          <w:szCs w:val="24"/>
        </w:rPr>
        <w:t xml:space="preserve">, de </w:t>
      </w:r>
      <w:proofErr w:type="spellStart"/>
      <w:r w:rsidRPr="00B11A0E">
        <w:rPr>
          <w:rFonts w:ascii="Arial" w:hAnsi="Arial" w:cs="Arial"/>
          <w:sz w:val="24"/>
          <w:szCs w:val="24"/>
        </w:rPr>
        <w:t>l’équité</w:t>
      </w:r>
      <w:proofErr w:type="spellEnd"/>
      <w:r w:rsidRPr="00B11A0E">
        <w:rPr>
          <w:rFonts w:ascii="Arial" w:hAnsi="Arial" w:cs="Arial"/>
          <w:sz w:val="24"/>
          <w:szCs w:val="24"/>
        </w:rPr>
        <w:t xml:space="preserve">, de la santé et de la </w:t>
      </w:r>
      <w:proofErr w:type="spellStart"/>
      <w:r w:rsidRPr="00B11A0E">
        <w:rPr>
          <w:rFonts w:ascii="Arial" w:hAnsi="Arial" w:cs="Arial"/>
          <w:sz w:val="24"/>
          <w:szCs w:val="24"/>
        </w:rPr>
        <w:t>sécurité</w:t>
      </w:r>
      <w:proofErr w:type="spellEnd"/>
      <w:r w:rsidRPr="00B11A0E">
        <w:rPr>
          <w:rFonts w:ascii="Arial" w:hAnsi="Arial" w:cs="Arial"/>
          <w:sz w:val="24"/>
          <w:szCs w:val="24"/>
        </w:rPr>
        <w:t xml:space="preserve"> du travail</w:t>
      </w:r>
      <w:r w:rsidRPr="0028556D">
        <w:rPr>
          <w:rFonts w:ascii="Arial" w:hAnsi="Arial" w:cs="Arial"/>
          <w:sz w:val="24"/>
          <w:szCs w:val="24"/>
        </w:rPr>
        <w:t xml:space="preserve"> to obtain a list of employers who do business with the Foundation and perform surprise inspections on job sites (approximately one sixty per year). In the food processing stream, the Commission proceeds by means of lists of employers received or denunciation with surprise inspections.</w:t>
      </w:r>
    </w:p>
    <w:p w:rsidR="00BC6ACC" w:rsidRPr="0028556D" w:rsidRDefault="00BC6ACC" w:rsidP="00BC6ACC">
      <w:pPr>
        <w:spacing w:before="120" w:after="240"/>
        <w:ind w:left="540"/>
        <w:rPr>
          <w:rFonts w:ascii="Arial" w:hAnsi="Arial" w:cs="Arial"/>
          <w:sz w:val="24"/>
          <w:szCs w:val="24"/>
        </w:rPr>
      </w:pPr>
      <w:r w:rsidRPr="0028556D">
        <w:rPr>
          <w:rFonts w:ascii="Arial" w:hAnsi="Arial" w:cs="Arial"/>
          <w:sz w:val="24"/>
          <w:szCs w:val="24"/>
        </w:rPr>
        <w:t>In addition, good links are established with the consulates of Guatemala, Mexico and Honduras, and when nationals of these countries make complaints to these consulates, they are relayed to the Commission.</w:t>
      </w:r>
    </w:p>
    <w:p w:rsidR="00D56464" w:rsidRPr="005904EC" w:rsidRDefault="00187785" w:rsidP="005246FA">
      <w:pPr>
        <w:pStyle w:val="ListParagraph"/>
        <w:keepNext/>
        <w:numPr>
          <w:ilvl w:val="0"/>
          <w:numId w:val="27"/>
        </w:numPr>
        <w:spacing w:before="120" w:after="240"/>
        <w:ind w:left="540" w:hanging="540"/>
        <w:rPr>
          <w:rFonts w:ascii="Arial" w:hAnsi="Arial" w:cs="Arial"/>
          <w:b/>
          <w:sz w:val="24"/>
          <w:szCs w:val="24"/>
        </w:rPr>
      </w:pPr>
      <w:r w:rsidRPr="005246FA">
        <w:rPr>
          <w:rFonts w:ascii="Arial" w:hAnsi="Arial" w:cs="Arial"/>
          <w:b/>
          <w:sz w:val="24"/>
          <w:szCs w:val="24"/>
        </w:rPr>
        <w:t>Information</w:t>
      </w:r>
      <w:r>
        <w:rPr>
          <w:rFonts w:ascii="Arial" w:hAnsi="Arial" w:cs="Arial"/>
          <w:b/>
          <w:sz w:val="24"/>
          <w:szCs w:val="24"/>
          <w:lang w:val="en-CA"/>
        </w:rPr>
        <w:t xml:space="preserve"> on measure</w:t>
      </w:r>
      <w:r w:rsidR="003A75E3">
        <w:rPr>
          <w:rFonts w:ascii="Arial" w:hAnsi="Arial" w:cs="Arial"/>
          <w:b/>
          <w:sz w:val="24"/>
          <w:szCs w:val="24"/>
          <w:lang w:val="en-CA"/>
        </w:rPr>
        <w:t>s</w:t>
      </w:r>
      <w:r>
        <w:rPr>
          <w:rFonts w:ascii="Arial" w:hAnsi="Arial" w:cs="Arial"/>
          <w:b/>
          <w:sz w:val="24"/>
          <w:szCs w:val="24"/>
          <w:lang w:val="en-CA"/>
        </w:rPr>
        <w:t xml:space="preserve"> </w:t>
      </w:r>
      <w:r w:rsidR="003A75E3">
        <w:rPr>
          <w:rFonts w:ascii="Arial" w:hAnsi="Arial" w:cs="Arial"/>
          <w:b/>
          <w:sz w:val="24"/>
          <w:szCs w:val="24"/>
          <w:lang w:val="en-CA"/>
        </w:rPr>
        <w:t xml:space="preserve">in Ontario </w:t>
      </w:r>
      <w:r w:rsidR="00F4612B">
        <w:rPr>
          <w:rFonts w:ascii="Arial" w:hAnsi="Arial" w:cs="Arial"/>
          <w:b/>
          <w:sz w:val="24"/>
          <w:szCs w:val="24"/>
        </w:rPr>
        <w:t>addressing the d</w:t>
      </w:r>
      <w:r w:rsidR="00D56464" w:rsidRPr="005904EC">
        <w:rPr>
          <w:rFonts w:ascii="Arial" w:hAnsi="Arial" w:cs="Arial"/>
          <w:b/>
          <w:sz w:val="24"/>
          <w:szCs w:val="24"/>
        </w:rPr>
        <w:t>eculturalization</w:t>
      </w:r>
      <w:r w:rsidR="003A75E3">
        <w:rPr>
          <w:rFonts w:ascii="Arial" w:hAnsi="Arial" w:cs="Arial"/>
          <w:b/>
          <w:sz w:val="24"/>
          <w:szCs w:val="24"/>
        </w:rPr>
        <w:t xml:space="preserve"> </w:t>
      </w:r>
      <w:r w:rsidR="008B31A9" w:rsidRPr="005904EC">
        <w:rPr>
          <w:rFonts w:ascii="Arial" w:hAnsi="Arial" w:cs="Arial"/>
          <w:b/>
          <w:sz w:val="24"/>
          <w:szCs w:val="24"/>
        </w:rPr>
        <w:t xml:space="preserve">of children who end up in </w:t>
      </w:r>
      <w:r w:rsidR="00340776" w:rsidRPr="005904EC">
        <w:rPr>
          <w:rFonts w:ascii="Arial" w:hAnsi="Arial" w:cs="Arial"/>
          <w:b/>
          <w:sz w:val="24"/>
          <w:szCs w:val="24"/>
        </w:rPr>
        <w:t xml:space="preserve">the </w:t>
      </w:r>
      <w:r w:rsidR="008B31A9" w:rsidRPr="005904EC">
        <w:rPr>
          <w:rFonts w:ascii="Arial" w:hAnsi="Arial" w:cs="Arial"/>
          <w:b/>
          <w:sz w:val="24"/>
          <w:szCs w:val="24"/>
        </w:rPr>
        <w:t xml:space="preserve">care </w:t>
      </w:r>
      <w:r w:rsidR="00340776" w:rsidRPr="005904EC">
        <w:rPr>
          <w:rFonts w:ascii="Arial" w:hAnsi="Arial" w:cs="Arial"/>
          <w:b/>
          <w:sz w:val="24"/>
          <w:szCs w:val="24"/>
        </w:rPr>
        <w:t>of the child welfare system</w:t>
      </w:r>
    </w:p>
    <w:p w:rsidR="00F551CC" w:rsidRDefault="00B4658C" w:rsidP="005246FA">
      <w:pPr>
        <w:spacing w:before="120" w:after="240"/>
        <w:ind w:left="540"/>
        <w:rPr>
          <w:rFonts w:ascii="Arial" w:hAnsi="Arial" w:cs="Arial"/>
          <w:sz w:val="24"/>
          <w:szCs w:val="24"/>
        </w:rPr>
      </w:pPr>
      <w:r w:rsidRPr="00D56464">
        <w:rPr>
          <w:rFonts w:ascii="Arial" w:hAnsi="Arial" w:cs="Arial"/>
          <w:sz w:val="24"/>
          <w:szCs w:val="24"/>
        </w:rPr>
        <w:t>The Government of Ontario is committed to a child welfare system that achieves positive outcomes for all children and youth, and that recognizes and responds to Ontario’s diversity.</w:t>
      </w:r>
      <w:r w:rsidR="00D56464" w:rsidRPr="00D56464">
        <w:rPr>
          <w:rFonts w:ascii="Arial" w:hAnsi="Arial" w:cs="Arial"/>
          <w:sz w:val="24"/>
          <w:szCs w:val="24"/>
        </w:rPr>
        <w:t xml:space="preserve"> </w:t>
      </w:r>
      <w:r w:rsidRPr="00D56464">
        <w:rPr>
          <w:rFonts w:ascii="Arial" w:hAnsi="Arial" w:cs="Arial"/>
          <w:sz w:val="24"/>
          <w:szCs w:val="24"/>
        </w:rPr>
        <w:t>That is why the government will be requiring societies to collect and report in aggregate identity-based data about children and youth receiving services and in their care, in the near future, to support system planning and the delivery of culturally appropriate services.</w:t>
      </w:r>
      <w:r w:rsidR="00D56464">
        <w:rPr>
          <w:rFonts w:ascii="Arial" w:hAnsi="Arial" w:cs="Arial"/>
          <w:sz w:val="24"/>
          <w:szCs w:val="24"/>
        </w:rPr>
        <w:t xml:space="preserve"> </w:t>
      </w:r>
    </w:p>
    <w:p w:rsidR="00B4658C" w:rsidRPr="00D56464" w:rsidRDefault="00B4658C" w:rsidP="005246FA">
      <w:pPr>
        <w:spacing w:before="120" w:after="240"/>
        <w:ind w:left="540"/>
        <w:rPr>
          <w:rFonts w:ascii="Arial" w:hAnsi="Arial" w:cs="Arial"/>
          <w:sz w:val="24"/>
          <w:szCs w:val="24"/>
        </w:rPr>
      </w:pPr>
      <w:r w:rsidRPr="00D56464">
        <w:rPr>
          <w:rFonts w:ascii="Arial" w:hAnsi="Arial" w:cs="Arial"/>
          <w:sz w:val="24"/>
          <w:szCs w:val="24"/>
        </w:rPr>
        <w:t>Some societies are already collecting data base</w:t>
      </w:r>
      <w:r w:rsidR="00D56464">
        <w:rPr>
          <w:rFonts w:ascii="Arial" w:hAnsi="Arial" w:cs="Arial"/>
          <w:sz w:val="24"/>
          <w:szCs w:val="24"/>
        </w:rPr>
        <w:t xml:space="preserve">d on race and ethnicity but there is a </w:t>
      </w:r>
      <w:r w:rsidRPr="00D56464">
        <w:rPr>
          <w:rFonts w:ascii="Arial" w:hAnsi="Arial" w:cs="Arial"/>
          <w:sz w:val="24"/>
          <w:szCs w:val="24"/>
        </w:rPr>
        <w:t>need to standardize and expand this practice across all societies.</w:t>
      </w:r>
      <w:r w:rsidR="00D56464">
        <w:rPr>
          <w:rFonts w:ascii="Arial" w:hAnsi="Arial" w:cs="Arial"/>
          <w:sz w:val="24"/>
          <w:szCs w:val="24"/>
        </w:rPr>
        <w:t xml:space="preserve"> </w:t>
      </w:r>
      <w:r w:rsidRPr="00D56464">
        <w:rPr>
          <w:rFonts w:ascii="Arial" w:hAnsi="Arial" w:cs="Arial"/>
          <w:sz w:val="24"/>
          <w:szCs w:val="24"/>
        </w:rPr>
        <w:t>Societies will be supported to implement the policy directive with training, including on how to collect identity-based data in an appropriate and sensitive manner.</w:t>
      </w:r>
    </w:p>
    <w:p w:rsidR="00B4658C" w:rsidRPr="00D56464" w:rsidRDefault="00B4658C" w:rsidP="005246FA">
      <w:pPr>
        <w:spacing w:before="120" w:after="240"/>
        <w:ind w:left="540"/>
        <w:rPr>
          <w:rFonts w:ascii="Arial" w:hAnsi="Arial" w:cs="Arial"/>
          <w:sz w:val="24"/>
          <w:szCs w:val="24"/>
        </w:rPr>
      </w:pPr>
      <w:r w:rsidRPr="00D56464">
        <w:rPr>
          <w:rFonts w:ascii="Arial" w:hAnsi="Arial" w:cs="Arial"/>
          <w:sz w:val="24"/>
          <w:szCs w:val="24"/>
        </w:rPr>
        <w:t>The collection of identity-based data will provide a deeper understanding of the impact of child welfare services on diverse communities, to support a more equitable child welfare system for all Ontario children, youth and families.</w:t>
      </w:r>
    </w:p>
    <w:p w:rsidR="00F22C1D" w:rsidRDefault="00D304EE" w:rsidP="005246FA">
      <w:pPr>
        <w:pStyle w:val="ListParagraph"/>
        <w:keepNext/>
        <w:numPr>
          <w:ilvl w:val="0"/>
          <w:numId w:val="27"/>
        </w:numPr>
        <w:spacing w:before="120" w:after="240"/>
        <w:ind w:left="540" w:hanging="540"/>
        <w:rPr>
          <w:rFonts w:ascii="Arial" w:hAnsi="Arial" w:cs="Arial"/>
          <w:b/>
          <w:sz w:val="24"/>
          <w:szCs w:val="24"/>
        </w:rPr>
      </w:pPr>
      <w:r>
        <w:rPr>
          <w:rFonts w:ascii="Arial" w:hAnsi="Arial" w:cs="Arial"/>
          <w:b/>
          <w:sz w:val="24"/>
          <w:szCs w:val="24"/>
        </w:rPr>
        <w:t>Information on the progress being made on the implementation of</w:t>
      </w:r>
      <w:r w:rsidR="00F22C1D">
        <w:rPr>
          <w:rFonts w:ascii="Arial" w:hAnsi="Arial" w:cs="Arial"/>
          <w:b/>
          <w:sz w:val="24"/>
          <w:szCs w:val="24"/>
        </w:rPr>
        <w:t xml:space="preserve"> the Truth and Reconciliation Commission of Canada’s Calls to Action </w:t>
      </w:r>
    </w:p>
    <w:p w:rsidR="00D304EE" w:rsidRPr="00D304EE" w:rsidRDefault="00D304EE" w:rsidP="005246FA">
      <w:pPr>
        <w:spacing w:before="120" w:after="240"/>
        <w:ind w:left="540"/>
        <w:rPr>
          <w:rFonts w:ascii="Arial" w:hAnsi="Arial" w:cs="Arial"/>
          <w:sz w:val="24"/>
          <w:szCs w:val="24"/>
        </w:rPr>
      </w:pPr>
      <w:r w:rsidRPr="00D304EE">
        <w:rPr>
          <w:rFonts w:ascii="Arial" w:hAnsi="Arial" w:cs="Arial"/>
          <w:sz w:val="24"/>
          <w:szCs w:val="24"/>
        </w:rPr>
        <w:t xml:space="preserve">The Truth and Reconciliation Commission of Canada (TRC) was one component of the historic Indian Residential Schools Settlement Agreement, which was implemented in September 2007. On June 2, 2015, the TRC released a summary of its Final Report, which included 94 Calls to Action. </w:t>
      </w:r>
    </w:p>
    <w:p w:rsidR="00D304EE" w:rsidRPr="00D304EE" w:rsidRDefault="00D304EE" w:rsidP="005246FA">
      <w:pPr>
        <w:spacing w:before="120" w:after="240"/>
        <w:ind w:left="540"/>
        <w:rPr>
          <w:rFonts w:ascii="Arial" w:hAnsi="Arial" w:cs="Arial"/>
          <w:sz w:val="24"/>
          <w:szCs w:val="24"/>
        </w:rPr>
      </w:pPr>
      <w:r w:rsidRPr="00D304EE">
        <w:rPr>
          <w:rFonts w:ascii="Arial" w:hAnsi="Arial" w:cs="Arial"/>
          <w:sz w:val="24"/>
          <w:szCs w:val="24"/>
        </w:rPr>
        <w:t>In accepting the Report, the Prime Minister of Canada, Justin Trudeau, made a firm commitment to “a renewed relationship with Indigenous Peoples based on the recognition of rights, respect, co-operation, and partnership.” As part of advancing reconciliation, a commitment has been made to implement all 94 Calls to Action, which are directed at multiple parties, including the Government of Canada, provincial and territorial governments, Aboriginal Governments, Churches, and other public and private sector organizations.</w:t>
      </w:r>
    </w:p>
    <w:p w:rsidR="00D304EE" w:rsidRPr="00D304EE" w:rsidRDefault="00D304EE" w:rsidP="005246FA">
      <w:pPr>
        <w:spacing w:before="120" w:after="240"/>
        <w:ind w:left="540"/>
        <w:rPr>
          <w:rFonts w:ascii="Arial" w:hAnsi="Arial" w:cs="Arial"/>
          <w:sz w:val="24"/>
          <w:szCs w:val="24"/>
        </w:rPr>
      </w:pPr>
      <w:r w:rsidRPr="00D304EE">
        <w:rPr>
          <w:rFonts w:ascii="Arial" w:hAnsi="Arial" w:cs="Arial"/>
          <w:sz w:val="24"/>
          <w:szCs w:val="24"/>
        </w:rPr>
        <w:t>The Calls to Action touch upon 22 categories: Child Welfare; Education; Language and Culture; Health; Justice; Canadian Governments and the United Nations Declaration on the Rights of Indigenous Peoples; Royal Proclamation and covenant of reconciliation; Settlement Agreement parties and the UNDRIP; Equity for Aboriginal People in the Legal System; National Council for Reconciliation; Professional Development and Training for Public Servants; Church Apologies and Reconciliation; Education for Reconciliation; Youth Programs; Museum and Archives; Missing children and burial information; National Centre for Truth and Reconciliation; Commemoration; Media; Sports; Business; and Newcomers to Canada.</w:t>
      </w:r>
    </w:p>
    <w:p w:rsidR="00D304EE" w:rsidRPr="00D304EE" w:rsidRDefault="00D304EE" w:rsidP="005246FA">
      <w:pPr>
        <w:spacing w:before="120" w:after="240"/>
        <w:ind w:left="540"/>
        <w:rPr>
          <w:rFonts w:ascii="Arial" w:hAnsi="Arial" w:cs="Arial"/>
          <w:sz w:val="24"/>
          <w:szCs w:val="24"/>
        </w:rPr>
      </w:pPr>
      <w:r w:rsidRPr="00D304EE">
        <w:rPr>
          <w:rFonts w:ascii="Arial" w:hAnsi="Arial" w:cs="Arial"/>
          <w:sz w:val="24"/>
          <w:szCs w:val="24"/>
        </w:rPr>
        <w:t>The breakdown of responsibility for implementation of the Calls to Action is as follows:</w:t>
      </w:r>
    </w:p>
    <w:p w:rsidR="00D304EE" w:rsidRPr="005246FA" w:rsidRDefault="00D304EE" w:rsidP="005246FA">
      <w:pPr>
        <w:pStyle w:val="ListParagraph"/>
        <w:numPr>
          <w:ilvl w:val="0"/>
          <w:numId w:val="30"/>
        </w:numPr>
        <w:spacing w:before="120" w:after="240"/>
        <w:rPr>
          <w:rFonts w:ascii="Arial" w:hAnsi="Arial" w:cs="Arial"/>
          <w:sz w:val="24"/>
          <w:szCs w:val="24"/>
        </w:rPr>
      </w:pPr>
      <w:r w:rsidRPr="005246FA">
        <w:rPr>
          <w:rFonts w:ascii="Arial" w:hAnsi="Arial" w:cs="Arial"/>
          <w:sz w:val="24"/>
          <w:szCs w:val="24"/>
        </w:rPr>
        <w:t>45 calls for federal government to lead;</w:t>
      </w:r>
    </w:p>
    <w:p w:rsidR="00D304EE" w:rsidRPr="005246FA" w:rsidRDefault="00D304EE" w:rsidP="005246FA">
      <w:pPr>
        <w:pStyle w:val="ListParagraph"/>
        <w:numPr>
          <w:ilvl w:val="0"/>
          <w:numId w:val="30"/>
        </w:numPr>
        <w:spacing w:before="120" w:after="240"/>
        <w:rPr>
          <w:rFonts w:ascii="Arial" w:hAnsi="Arial" w:cs="Arial"/>
          <w:sz w:val="24"/>
          <w:szCs w:val="24"/>
        </w:rPr>
      </w:pPr>
      <w:r w:rsidRPr="005246FA">
        <w:rPr>
          <w:rFonts w:ascii="Arial" w:hAnsi="Arial" w:cs="Arial"/>
          <w:sz w:val="24"/>
          <w:szCs w:val="24"/>
        </w:rPr>
        <w:t>3 calls for provincial / territorial governments to lead;</w:t>
      </w:r>
    </w:p>
    <w:p w:rsidR="00D304EE" w:rsidRPr="005246FA" w:rsidRDefault="00D304EE" w:rsidP="005246FA">
      <w:pPr>
        <w:pStyle w:val="ListParagraph"/>
        <w:numPr>
          <w:ilvl w:val="0"/>
          <w:numId w:val="30"/>
        </w:numPr>
        <w:spacing w:before="120" w:after="240"/>
        <w:rPr>
          <w:rFonts w:ascii="Arial" w:hAnsi="Arial" w:cs="Arial"/>
          <w:sz w:val="24"/>
          <w:szCs w:val="24"/>
        </w:rPr>
      </w:pPr>
      <w:r w:rsidRPr="005246FA">
        <w:rPr>
          <w:rFonts w:ascii="Arial" w:hAnsi="Arial" w:cs="Arial"/>
          <w:sz w:val="24"/>
          <w:szCs w:val="24"/>
        </w:rPr>
        <w:t xml:space="preserve">30 calls for shared lead (federal / provincial / territorial / Aboriginal or municipalities); </w:t>
      </w:r>
    </w:p>
    <w:p w:rsidR="00D304EE" w:rsidRPr="005246FA" w:rsidRDefault="00D304EE" w:rsidP="005246FA">
      <w:pPr>
        <w:pStyle w:val="ListParagraph"/>
        <w:numPr>
          <w:ilvl w:val="0"/>
          <w:numId w:val="30"/>
        </w:numPr>
        <w:spacing w:before="120" w:after="240"/>
        <w:rPr>
          <w:rFonts w:ascii="Arial" w:hAnsi="Arial" w:cs="Arial"/>
          <w:sz w:val="24"/>
          <w:szCs w:val="24"/>
        </w:rPr>
      </w:pPr>
      <w:r w:rsidRPr="005246FA">
        <w:rPr>
          <w:rFonts w:ascii="Arial" w:hAnsi="Arial" w:cs="Arial"/>
          <w:sz w:val="24"/>
          <w:szCs w:val="24"/>
        </w:rPr>
        <w:t>6 calls for religious institutions to lead; and</w:t>
      </w:r>
    </w:p>
    <w:p w:rsidR="00D304EE" w:rsidRPr="005246FA" w:rsidRDefault="00D304EE" w:rsidP="005246FA">
      <w:pPr>
        <w:pStyle w:val="ListParagraph"/>
        <w:numPr>
          <w:ilvl w:val="0"/>
          <w:numId w:val="30"/>
        </w:numPr>
        <w:spacing w:before="120" w:after="240"/>
        <w:rPr>
          <w:rFonts w:ascii="Arial" w:hAnsi="Arial" w:cs="Arial"/>
          <w:sz w:val="24"/>
          <w:szCs w:val="24"/>
        </w:rPr>
      </w:pPr>
      <w:r w:rsidRPr="005246FA">
        <w:rPr>
          <w:rFonts w:ascii="Arial" w:hAnsi="Arial" w:cs="Arial"/>
          <w:sz w:val="24"/>
          <w:szCs w:val="24"/>
        </w:rPr>
        <w:t>10 calls for others to lead (e.g., universities, professional associations).</w:t>
      </w:r>
    </w:p>
    <w:p w:rsidR="00D304EE" w:rsidRPr="00D304EE" w:rsidRDefault="00D304EE" w:rsidP="005246FA">
      <w:pPr>
        <w:spacing w:before="120" w:after="240"/>
        <w:ind w:left="540"/>
        <w:rPr>
          <w:rFonts w:ascii="Arial" w:hAnsi="Arial" w:cs="Arial"/>
          <w:sz w:val="24"/>
          <w:szCs w:val="24"/>
        </w:rPr>
      </w:pPr>
      <w:r w:rsidRPr="00D304EE">
        <w:rPr>
          <w:rFonts w:ascii="Arial" w:hAnsi="Arial" w:cs="Arial"/>
          <w:sz w:val="24"/>
          <w:szCs w:val="24"/>
        </w:rPr>
        <w:t>Since June 2, 2015, federal departments and agencies have been engaged in implementing respective Calls to Action.  As of June 30, 2017, the Government of Canada has made progress on over two-thirds of the Calls to Action where there is federal or shared responsibility. A public report will be issued in the near future.</w:t>
      </w:r>
    </w:p>
    <w:p w:rsidR="00D304EE" w:rsidRDefault="00D304EE" w:rsidP="005246FA">
      <w:pPr>
        <w:spacing w:before="120" w:after="240"/>
        <w:ind w:left="540"/>
        <w:rPr>
          <w:rFonts w:ascii="Arial" w:hAnsi="Arial" w:cs="Arial"/>
          <w:sz w:val="24"/>
          <w:szCs w:val="24"/>
        </w:rPr>
      </w:pPr>
      <w:r w:rsidRPr="00D304EE">
        <w:rPr>
          <w:rFonts w:ascii="Arial" w:hAnsi="Arial" w:cs="Arial"/>
          <w:sz w:val="24"/>
          <w:szCs w:val="24"/>
        </w:rPr>
        <w:t xml:space="preserve">Canada has made historic investments to better support the wellbeing of children and families on reserve, improve the quality of education for First Nations children, and urgently address housing needs on reserve. </w:t>
      </w:r>
    </w:p>
    <w:p w:rsidR="00165485" w:rsidRPr="00165485" w:rsidRDefault="00165485" w:rsidP="005246FA">
      <w:pPr>
        <w:spacing w:before="120" w:after="240"/>
        <w:ind w:left="540"/>
        <w:rPr>
          <w:rFonts w:ascii="Arial" w:hAnsi="Arial" w:cs="Arial"/>
          <w:b/>
          <w:i/>
          <w:sz w:val="24"/>
          <w:szCs w:val="24"/>
        </w:rPr>
      </w:pPr>
      <w:r w:rsidRPr="00165485">
        <w:rPr>
          <w:rFonts w:ascii="Arial" w:hAnsi="Arial" w:cs="Arial"/>
          <w:b/>
          <w:i/>
          <w:sz w:val="24"/>
          <w:szCs w:val="24"/>
        </w:rPr>
        <w:t>Provincial and territorial implementation measures</w:t>
      </w:r>
    </w:p>
    <w:p w:rsidR="00165485" w:rsidRPr="00165485" w:rsidRDefault="00165485" w:rsidP="00165485">
      <w:pPr>
        <w:spacing w:before="120" w:after="240"/>
        <w:ind w:left="540"/>
        <w:rPr>
          <w:rFonts w:ascii="Arial" w:hAnsi="Arial" w:cs="Arial"/>
          <w:sz w:val="24"/>
          <w:szCs w:val="24"/>
        </w:rPr>
      </w:pPr>
      <w:r w:rsidRPr="00165485">
        <w:rPr>
          <w:rFonts w:ascii="Arial" w:hAnsi="Arial" w:cs="Arial"/>
          <w:sz w:val="24"/>
          <w:szCs w:val="24"/>
        </w:rPr>
        <w:t xml:space="preserve">For the first time in British Columbia, mandate letters require each minister to consider the implications of the Truth and Reconciliation Commission Calls to Action on the policies, programs, and legislation for which they are responsible. </w:t>
      </w:r>
    </w:p>
    <w:p w:rsidR="00165485" w:rsidRPr="00165485" w:rsidRDefault="00165485" w:rsidP="00165485">
      <w:pPr>
        <w:spacing w:before="120" w:after="240"/>
        <w:ind w:left="540"/>
        <w:rPr>
          <w:rFonts w:ascii="Arial" w:hAnsi="Arial" w:cs="Arial"/>
          <w:sz w:val="24"/>
          <w:szCs w:val="24"/>
        </w:rPr>
      </w:pPr>
      <w:r w:rsidRPr="00165485">
        <w:rPr>
          <w:rFonts w:ascii="Arial" w:hAnsi="Arial" w:cs="Arial"/>
          <w:sz w:val="24"/>
          <w:szCs w:val="24"/>
        </w:rPr>
        <w:t>British Columbia Attorney General’s July 2017 mandate letter outlines a commitment to address the Calls to Action of the Truth and Reconciliation Commission. As such, the Ministry of Attorney General participates in federal-provincial-territorial discussions and analysis of the Truth and Reconciliation Commission Calls to Action in an effort to identify best practices, consider further opportunities to address over-representation of Indigenous people in custody, and to make progress on reconciliation.</w:t>
      </w:r>
    </w:p>
    <w:p w:rsidR="00165485" w:rsidRPr="00165485" w:rsidRDefault="00165485" w:rsidP="00165485">
      <w:pPr>
        <w:spacing w:before="120" w:after="240"/>
        <w:ind w:left="540"/>
        <w:rPr>
          <w:rFonts w:ascii="Arial" w:hAnsi="Arial" w:cs="Arial"/>
          <w:sz w:val="24"/>
          <w:szCs w:val="24"/>
        </w:rPr>
      </w:pPr>
      <w:r w:rsidRPr="00165485">
        <w:rPr>
          <w:rFonts w:ascii="Arial" w:hAnsi="Arial" w:cs="Arial"/>
          <w:sz w:val="24"/>
          <w:szCs w:val="24"/>
        </w:rPr>
        <w:t xml:space="preserve">Training and education has also been provided to front-line Family Justice Services Division staff and mediators </w:t>
      </w:r>
      <w:r>
        <w:rPr>
          <w:rFonts w:ascii="Arial" w:hAnsi="Arial" w:cs="Arial"/>
          <w:sz w:val="24"/>
          <w:szCs w:val="24"/>
        </w:rPr>
        <w:t xml:space="preserve">in British Columbia </w:t>
      </w:r>
      <w:r w:rsidRPr="00165485">
        <w:rPr>
          <w:rFonts w:ascii="Arial" w:hAnsi="Arial" w:cs="Arial"/>
          <w:sz w:val="24"/>
          <w:szCs w:val="24"/>
        </w:rPr>
        <w:t>in response to Call to Action #57 in the Truth and Reconciliation Commission.</w:t>
      </w:r>
    </w:p>
    <w:p w:rsidR="00165485" w:rsidRPr="00165485" w:rsidRDefault="00165485" w:rsidP="00165485">
      <w:pPr>
        <w:spacing w:before="120" w:after="240"/>
        <w:ind w:left="540"/>
        <w:rPr>
          <w:rFonts w:ascii="Arial" w:hAnsi="Arial" w:cs="Arial"/>
          <w:sz w:val="24"/>
          <w:szCs w:val="24"/>
        </w:rPr>
      </w:pPr>
      <w:r w:rsidRPr="00165485">
        <w:rPr>
          <w:rFonts w:ascii="Arial" w:hAnsi="Arial" w:cs="Arial"/>
          <w:sz w:val="24"/>
          <w:szCs w:val="24"/>
        </w:rPr>
        <w:t xml:space="preserve">As called for in the Truth and Reconciliation Commission’s Final Report, the Government of Alberta as a whole is approaching the United Nations Declaration on the Rights of Indigenous Peoples as a framework for reconciliation. </w:t>
      </w:r>
    </w:p>
    <w:p w:rsidR="00165485" w:rsidRPr="00165485" w:rsidRDefault="00165485" w:rsidP="00165485">
      <w:pPr>
        <w:spacing w:before="120" w:after="240"/>
        <w:ind w:left="540"/>
        <w:rPr>
          <w:rFonts w:ascii="Arial" w:hAnsi="Arial" w:cs="Arial"/>
          <w:sz w:val="24"/>
          <w:szCs w:val="24"/>
        </w:rPr>
      </w:pPr>
      <w:r w:rsidRPr="00165485">
        <w:rPr>
          <w:rFonts w:ascii="Arial" w:hAnsi="Arial" w:cs="Arial"/>
          <w:sz w:val="24"/>
          <w:szCs w:val="24"/>
        </w:rPr>
        <w:t>Last year, all of Alberta’s Ministries completed a review of existing policies, programs and legislation within the context of the principles and objectives set out in the UN Declaration and the Truth and Reconciliation Commission’s Call to Action frameworks. The Government of Alberta is currently working to engage Indigenous communities and organizations on a suite of UN Declaration proposals.</w:t>
      </w:r>
    </w:p>
    <w:p w:rsidR="00165485" w:rsidRPr="00165485" w:rsidRDefault="00165485" w:rsidP="00165485">
      <w:pPr>
        <w:spacing w:before="120" w:after="240"/>
        <w:ind w:left="540"/>
        <w:rPr>
          <w:rFonts w:ascii="Arial" w:hAnsi="Arial" w:cs="Arial"/>
          <w:sz w:val="24"/>
          <w:szCs w:val="24"/>
        </w:rPr>
      </w:pPr>
      <w:r w:rsidRPr="00165485">
        <w:rPr>
          <w:rFonts w:ascii="Arial" w:hAnsi="Arial" w:cs="Arial"/>
          <w:sz w:val="24"/>
          <w:szCs w:val="24"/>
        </w:rPr>
        <w:t xml:space="preserve">The Government of Manitoba enacted </w:t>
      </w:r>
      <w:r w:rsidRPr="00165485">
        <w:rPr>
          <w:rFonts w:ascii="Arial" w:hAnsi="Arial" w:cs="Arial"/>
          <w:i/>
          <w:sz w:val="24"/>
          <w:szCs w:val="24"/>
        </w:rPr>
        <w:t>The Path to Reconciliation Act</w:t>
      </w:r>
      <w:r w:rsidRPr="00165485">
        <w:rPr>
          <w:rFonts w:ascii="Arial" w:hAnsi="Arial" w:cs="Arial"/>
          <w:sz w:val="24"/>
          <w:szCs w:val="24"/>
        </w:rPr>
        <w:t xml:space="preserve"> as a legislated foundation for the Government of Manitoba’s activities related to the Truth and Reconciliation Commission Calls to Action and reconciliation. The Act establishes a transparent mechanism to monitor and evaluate the measures taken by the Government of Manitoba, including the measures taken to engage Indigenous nations and peoples in the process. </w:t>
      </w:r>
    </w:p>
    <w:p w:rsidR="00165485" w:rsidRPr="00165485" w:rsidRDefault="00165485" w:rsidP="00165485">
      <w:pPr>
        <w:spacing w:before="120" w:after="240"/>
        <w:ind w:left="540"/>
        <w:rPr>
          <w:rFonts w:ascii="Arial" w:hAnsi="Arial" w:cs="Arial"/>
          <w:sz w:val="24"/>
          <w:szCs w:val="24"/>
        </w:rPr>
      </w:pPr>
      <w:r w:rsidRPr="00165485">
        <w:rPr>
          <w:rFonts w:ascii="Arial" w:hAnsi="Arial" w:cs="Arial"/>
          <w:sz w:val="24"/>
          <w:szCs w:val="24"/>
        </w:rPr>
        <w:t>Over the next year, Manitoba will begin a public engagement process with Indigenous nations and peoples to shape the priorities and framework of reconciliation and to guide the development of a reconciliation strategy in Manitoba. This pursuit will be a collaborative effort involving both Indigenous and non-Indigenous peoples in Manitoba and all sectors of society.</w:t>
      </w:r>
    </w:p>
    <w:p w:rsidR="00165485" w:rsidRPr="00165485" w:rsidRDefault="00165485" w:rsidP="00165485">
      <w:pPr>
        <w:spacing w:before="120" w:after="240"/>
        <w:ind w:left="540"/>
        <w:rPr>
          <w:rFonts w:ascii="Arial" w:hAnsi="Arial" w:cs="Arial"/>
          <w:sz w:val="24"/>
          <w:szCs w:val="24"/>
        </w:rPr>
      </w:pPr>
      <w:r w:rsidRPr="00165485">
        <w:rPr>
          <w:rFonts w:ascii="Arial" w:hAnsi="Arial" w:cs="Arial"/>
          <w:sz w:val="24"/>
          <w:szCs w:val="24"/>
        </w:rPr>
        <w:t>In response to Call to Action #57, corporate training for all Manitoba government employees is in development.</w:t>
      </w:r>
    </w:p>
    <w:p w:rsidR="00165485" w:rsidRPr="00165485" w:rsidRDefault="00165485" w:rsidP="00165485">
      <w:pPr>
        <w:spacing w:before="120" w:after="240"/>
        <w:ind w:left="540"/>
        <w:rPr>
          <w:rFonts w:ascii="Arial" w:hAnsi="Arial" w:cs="Arial"/>
          <w:sz w:val="24"/>
          <w:szCs w:val="24"/>
        </w:rPr>
      </w:pPr>
      <w:r w:rsidRPr="00165485">
        <w:rPr>
          <w:rFonts w:ascii="Arial" w:hAnsi="Arial" w:cs="Arial"/>
          <w:sz w:val="24"/>
          <w:szCs w:val="24"/>
        </w:rPr>
        <w:t xml:space="preserve">Since October 2015, a Justice Aboriginal Working Group on Truth and Reconciliation was put in place so that the Government of Northwest Territories’ departments continue to engage on implementing the Calls to Action of the Commission.  </w:t>
      </w:r>
    </w:p>
    <w:p w:rsidR="00165485" w:rsidRPr="00165485" w:rsidRDefault="00165485" w:rsidP="005246FA">
      <w:pPr>
        <w:spacing w:before="120" w:after="240"/>
        <w:ind w:left="540"/>
        <w:rPr>
          <w:rFonts w:ascii="Arial" w:hAnsi="Arial" w:cs="Arial"/>
          <w:sz w:val="24"/>
          <w:szCs w:val="24"/>
          <w:lang w:val="en-US"/>
        </w:rPr>
      </w:pPr>
    </w:p>
    <w:p w:rsidR="008B31A9" w:rsidRDefault="006E453D" w:rsidP="005246FA">
      <w:pPr>
        <w:pStyle w:val="ListParagraph"/>
        <w:keepNext/>
        <w:numPr>
          <w:ilvl w:val="0"/>
          <w:numId w:val="27"/>
        </w:numPr>
        <w:spacing w:before="120" w:after="240"/>
        <w:ind w:left="540" w:hanging="540"/>
        <w:rPr>
          <w:rFonts w:ascii="Arial" w:hAnsi="Arial" w:cs="Arial"/>
          <w:b/>
          <w:sz w:val="24"/>
          <w:szCs w:val="24"/>
        </w:rPr>
      </w:pPr>
      <w:r>
        <w:rPr>
          <w:rFonts w:ascii="Arial" w:hAnsi="Arial" w:cs="Arial"/>
          <w:b/>
          <w:sz w:val="24"/>
          <w:szCs w:val="24"/>
        </w:rPr>
        <w:t xml:space="preserve">Information on the </w:t>
      </w:r>
      <w:r w:rsidR="008B31A9" w:rsidRPr="00F22C1D">
        <w:rPr>
          <w:rFonts w:ascii="Arial" w:hAnsi="Arial" w:cs="Arial"/>
          <w:b/>
          <w:sz w:val="24"/>
          <w:szCs w:val="24"/>
        </w:rPr>
        <w:t>Specific Claims Tribunal process</w:t>
      </w:r>
    </w:p>
    <w:p w:rsidR="007B650C" w:rsidRPr="007B650C" w:rsidRDefault="007B650C" w:rsidP="005246FA">
      <w:pPr>
        <w:spacing w:before="120" w:after="240"/>
        <w:ind w:left="540"/>
        <w:rPr>
          <w:rFonts w:ascii="Arial" w:hAnsi="Arial" w:cs="Arial"/>
          <w:sz w:val="24"/>
          <w:szCs w:val="24"/>
        </w:rPr>
      </w:pPr>
      <w:r w:rsidRPr="007B650C">
        <w:rPr>
          <w:rFonts w:ascii="Arial" w:hAnsi="Arial" w:cs="Arial"/>
          <w:sz w:val="24"/>
          <w:szCs w:val="24"/>
        </w:rPr>
        <w:t xml:space="preserve">The Administrative Tribunals Support Service of Canada (ATSSC) was established with the coming into force on November 1, 2014, of the </w:t>
      </w:r>
      <w:r w:rsidRPr="00576C0F">
        <w:rPr>
          <w:rFonts w:ascii="Arial" w:hAnsi="Arial" w:cs="Arial"/>
          <w:i/>
          <w:sz w:val="24"/>
          <w:szCs w:val="24"/>
        </w:rPr>
        <w:t>Administrative Tribunals Support Service of Canada Act</w:t>
      </w:r>
      <w:r w:rsidRPr="007B650C">
        <w:rPr>
          <w:rFonts w:ascii="Arial" w:hAnsi="Arial" w:cs="Arial"/>
          <w:sz w:val="24"/>
          <w:szCs w:val="24"/>
        </w:rPr>
        <w:t>. It is responsible for providing support services and facilities to 11 federal administrative tribunals – including the Specific Claims Tribunal – by way of a single, integrated organization.</w:t>
      </w:r>
    </w:p>
    <w:p w:rsidR="007B650C" w:rsidRPr="007B650C" w:rsidRDefault="007B650C" w:rsidP="005246FA">
      <w:pPr>
        <w:spacing w:before="120" w:after="240"/>
        <w:ind w:left="540"/>
        <w:rPr>
          <w:rFonts w:ascii="Arial" w:hAnsi="Arial" w:cs="Arial"/>
          <w:sz w:val="24"/>
          <w:szCs w:val="24"/>
        </w:rPr>
      </w:pPr>
      <w:r w:rsidRPr="007B650C">
        <w:rPr>
          <w:rFonts w:ascii="Arial" w:hAnsi="Arial" w:cs="Arial"/>
          <w:sz w:val="24"/>
          <w:szCs w:val="24"/>
        </w:rPr>
        <w:t>These services include the specialized services required to support the mandate of each tribunal (e.g., registry, research and analysis, legal and other case- and mandate-specific work), as well as internal services (e.g., financial services, human resources, information management and technology, accommodation, security and communications).</w:t>
      </w:r>
    </w:p>
    <w:p w:rsidR="007B650C" w:rsidRPr="007B650C" w:rsidRDefault="007B650C" w:rsidP="005246FA">
      <w:pPr>
        <w:spacing w:before="120" w:after="240"/>
        <w:ind w:left="540"/>
        <w:rPr>
          <w:rFonts w:ascii="Arial" w:hAnsi="Arial" w:cs="Arial"/>
          <w:sz w:val="24"/>
          <w:szCs w:val="24"/>
        </w:rPr>
      </w:pPr>
      <w:r w:rsidRPr="007B650C">
        <w:rPr>
          <w:rFonts w:ascii="Arial" w:hAnsi="Arial" w:cs="Arial"/>
          <w:sz w:val="24"/>
          <w:szCs w:val="24"/>
        </w:rPr>
        <w:t xml:space="preserve">By providing these services, the ATSSC enables the tribunals to exercise their individual powers and perform their unique duties and functions in accordance with their respective legislation, rules and regulations.  </w:t>
      </w:r>
    </w:p>
    <w:p w:rsidR="007B650C" w:rsidRPr="007B650C" w:rsidRDefault="007B650C" w:rsidP="005246FA">
      <w:pPr>
        <w:spacing w:before="120" w:after="240"/>
        <w:ind w:left="540"/>
        <w:rPr>
          <w:rFonts w:ascii="Arial" w:hAnsi="Arial" w:cs="Arial"/>
          <w:sz w:val="24"/>
          <w:szCs w:val="24"/>
        </w:rPr>
      </w:pPr>
      <w:r w:rsidRPr="007B650C">
        <w:rPr>
          <w:rFonts w:ascii="Arial" w:hAnsi="Arial" w:cs="Arial"/>
          <w:sz w:val="24"/>
          <w:szCs w:val="24"/>
        </w:rPr>
        <w:t xml:space="preserve">The Specific Claims Tribunal (SCT), established in October 2008, is part of the Government of Canada’s “Justice at Last” policy and joint initiative with the Assembly of First Nations. Its aim is to accelerate the resolution of specific claims of First Nations against the Crown relating to Reserve lands, other assets and the fulfillment of Treaty promises.  </w:t>
      </w:r>
    </w:p>
    <w:p w:rsidR="007B650C" w:rsidRPr="007B650C" w:rsidRDefault="007B650C" w:rsidP="005246FA">
      <w:pPr>
        <w:spacing w:before="120" w:after="240"/>
        <w:ind w:left="540"/>
        <w:rPr>
          <w:rFonts w:ascii="Arial" w:hAnsi="Arial" w:cs="Arial"/>
          <w:sz w:val="24"/>
          <w:szCs w:val="24"/>
        </w:rPr>
      </w:pPr>
      <w:r w:rsidRPr="007B650C">
        <w:rPr>
          <w:rFonts w:ascii="Arial" w:hAnsi="Arial" w:cs="Arial"/>
          <w:sz w:val="24"/>
          <w:szCs w:val="24"/>
        </w:rPr>
        <w:t>The claims that come before the Tribunal are complex on the facts and on application of the law. Most claims go to a full hearing on the merits of validity and, if found valid, compensation. Preliminary applications pertaining to jurisdiction, the admissibility of evidence and other matters often arise. The record frequently includes oral history, expert witness evidence and a voluminous documentary record, sometimes spanning a century.</w:t>
      </w:r>
    </w:p>
    <w:p w:rsidR="007B650C" w:rsidRPr="007B650C" w:rsidRDefault="007B650C" w:rsidP="005246FA">
      <w:pPr>
        <w:spacing w:before="120" w:after="240"/>
        <w:ind w:left="540"/>
        <w:rPr>
          <w:rFonts w:ascii="Arial" w:hAnsi="Arial" w:cs="Arial"/>
          <w:sz w:val="24"/>
          <w:szCs w:val="24"/>
        </w:rPr>
      </w:pPr>
      <w:r w:rsidRPr="007B650C">
        <w:rPr>
          <w:rFonts w:ascii="Arial" w:hAnsi="Arial" w:cs="Arial"/>
          <w:sz w:val="24"/>
          <w:szCs w:val="24"/>
        </w:rPr>
        <w:t xml:space="preserve">Since the SCT’s inception, it has held over 602 case management conferences and 63 hearings.  The Tribunal currently has 70 active claims and 15 inactive claims in its inventory.  </w:t>
      </w:r>
    </w:p>
    <w:p w:rsidR="007B650C" w:rsidRPr="007B650C" w:rsidRDefault="007B650C" w:rsidP="005246FA">
      <w:pPr>
        <w:spacing w:before="120" w:after="240"/>
        <w:ind w:left="540"/>
        <w:rPr>
          <w:rFonts w:ascii="Arial" w:hAnsi="Arial" w:cs="Arial"/>
          <w:sz w:val="24"/>
          <w:szCs w:val="24"/>
        </w:rPr>
      </w:pPr>
      <w:r w:rsidRPr="007B650C">
        <w:rPr>
          <w:rFonts w:ascii="Arial" w:hAnsi="Arial" w:cs="Arial"/>
          <w:sz w:val="24"/>
          <w:szCs w:val="24"/>
        </w:rPr>
        <w:t xml:space="preserve">In the SCT’s </w:t>
      </w:r>
      <w:hyperlink r:id="rId7" w:history="1">
        <w:r w:rsidR="00012864" w:rsidRPr="00012864">
          <w:rPr>
            <w:rFonts w:ascii="Arial" w:eastAsia="Calibri" w:hAnsi="Arial" w:cs="Arial"/>
            <w:color w:val="0000FF"/>
            <w:sz w:val="24"/>
            <w:szCs w:val="24"/>
            <w:u w:val="single"/>
            <w:lang w:val="en-US"/>
          </w:rPr>
          <w:t>2016 Annual Report</w:t>
        </w:r>
      </w:hyperlink>
      <w:r w:rsidRPr="00012864">
        <w:rPr>
          <w:rFonts w:ascii="Arial" w:hAnsi="Arial" w:cs="Arial"/>
          <w:sz w:val="24"/>
          <w:szCs w:val="24"/>
        </w:rPr>
        <w:t>,</w:t>
      </w:r>
      <w:r w:rsidRPr="007B650C">
        <w:rPr>
          <w:rFonts w:ascii="Arial" w:hAnsi="Arial" w:cs="Arial"/>
          <w:sz w:val="24"/>
          <w:szCs w:val="24"/>
        </w:rPr>
        <w:t xml:space="preserve"> the Tribunal reported it has experienced a backlog of cases which it attributes to an inadequate complement of members needed to adjudicate claims in timely manner.   </w:t>
      </w:r>
    </w:p>
    <w:p w:rsidR="007B650C" w:rsidRPr="007B650C" w:rsidRDefault="007B650C" w:rsidP="005246FA">
      <w:pPr>
        <w:spacing w:before="120" w:after="240"/>
        <w:ind w:left="540"/>
        <w:rPr>
          <w:rFonts w:ascii="Arial" w:hAnsi="Arial" w:cs="Arial"/>
          <w:sz w:val="24"/>
          <w:szCs w:val="24"/>
        </w:rPr>
      </w:pPr>
      <w:r w:rsidRPr="007B650C">
        <w:rPr>
          <w:rFonts w:ascii="Arial" w:hAnsi="Arial" w:cs="Arial"/>
          <w:sz w:val="24"/>
          <w:szCs w:val="24"/>
        </w:rPr>
        <w:t>Pursuant to its enabling legislation, the SCT is made up of up to six full-time members, or an equivalent of part-time and full-time members, appointed by the Governor in Council on recommendation of the Minister of Justice and the Minister of Indian Affairs and Northern Development, from a roster of Superior Court judges.</w:t>
      </w:r>
    </w:p>
    <w:p w:rsidR="007B650C" w:rsidRPr="005246FA" w:rsidRDefault="007B650C" w:rsidP="005246FA">
      <w:pPr>
        <w:spacing w:before="120" w:after="240"/>
        <w:ind w:left="540"/>
        <w:rPr>
          <w:rFonts w:ascii="Arial" w:hAnsi="Arial" w:cs="Arial"/>
          <w:sz w:val="24"/>
          <w:szCs w:val="24"/>
        </w:rPr>
      </w:pPr>
      <w:r w:rsidRPr="005246FA">
        <w:rPr>
          <w:rFonts w:ascii="Arial" w:hAnsi="Arial" w:cs="Arial"/>
          <w:sz w:val="24"/>
          <w:szCs w:val="24"/>
        </w:rPr>
        <w:t>The Tribunal is currently composed of one full-time Chairperson and 4 part-time members, including three new members appointed in May 2016.</w:t>
      </w:r>
    </w:p>
    <w:p w:rsidR="007B650C" w:rsidRPr="005246FA" w:rsidRDefault="007B650C" w:rsidP="005246FA">
      <w:pPr>
        <w:spacing w:before="120" w:after="240"/>
        <w:ind w:left="540"/>
        <w:rPr>
          <w:rFonts w:ascii="Arial" w:hAnsi="Arial" w:cs="Arial"/>
          <w:sz w:val="24"/>
          <w:szCs w:val="24"/>
        </w:rPr>
      </w:pPr>
      <w:r w:rsidRPr="005246FA">
        <w:rPr>
          <w:rFonts w:ascii="Arial" w:hAnsi="Arial" w:cs="Arial"/>
          <w:sz w:val="24"/>
          <w:szCs w:val="24"/>
        </w:rPr>
        <w:t xml:space="preserve">The SCT’s historical budget of $2.9M, recently confirmed by Federal Budget 2017, is sufficient to cover its operations and support the Tribunal’s existing complement of members.   </w:t>
      </w:r>
    </w:p>
    <w:p w:rsidR="007B650C" w:rsidRPr="005246FA" w:rsidRDefault="007B650C" w:rsidP="005246FA">
      <w:pPr>
        <w:spacing w:before="120" w:after="240"/>
        <w:ind w:left="540"/>
        <w:rPr>
          <w:rFonts w:ascii="Arial" w:hAnsi="Arial" w:cs="Arial"/>
          <w:sz w:val="24"/>
          <w:szCs w:val="24"/>
        </w:rPr>
      </w:pPr>
      <w:r w:rsidRPr="005246FA">
        <w:rPr>
          <w:rFonts w:ascii="Arial" w:hAnsi="Arial" w:cs="Arial"/>
          <w:sz w:val="24"/>
          <w:szCs w:val="24"/>
        </w:rPr>
        <w:t xml:space="preserve">Should additional members be appointed to the SCT to further accelerate the resolution of specific claims, the ATSSC will work with the Chairperson and central agencies to secure any incremental funding, as required. </w:t>
      </w:r>
    </w:p>
    <w:p w:rsidR="007E2778" w:rsidRDefault="006E453D" w:rsidP="00440E30">
      <w:pPr>
        <w:pStyle w:val="ListParagraph"/>
        <w:keepNext/>
        <w:numPr>
          <w:ilvl w:val="0"/>
          <w:numId w:val="27"/>
        </w:numPr>
        <w:spacing w:before="120" w:after="240"/>
        <w:ind w:left="540" w:hanging="540"/>
        <w:rPr>
          <w:rFonts w:ascii="Arial" w:hAnsi="Arial" w:cs="Arial"/>
          <w:b/>
          <w:sz w:val="24"/>
          <w:szCs w:val="24"/>
        </w:rPr>
      </w:pPr>
      <w:r>
        <w:rPr>
          <w:rFonts w:ascii="Arial" w:hAnsi="Arial" w:cs="Arial"/>
          <w:b/>
          <w:sz w:val="24"/>
          <w:szCs w:val="24"/>
        </w:rPr>
        <w:t xml:space="preserve">Information on </w:t>
      </w:r>
      <w:r w:rsidR="008B31A9" w:rsidRPr="007E2778">
        <w:rPr>
          <w:rFonts w:ascii="Arial" w:hAnsi="Arial" w:cs="Arial"/>
          <w:b/>
          <w:sz w:val="24"/>
          <w:szCs w:val="24"/>
        </w:rPr>
        <w:t xml:space="preserve">Free Prior </w:t>
      </w:r>
      <w:r w:rsidR="00F61ECD">
        <w:rPr>
          <w:rFonts w:ascii="Arial" w:hAnsi="Arial" w:cs="Arial"/>
          <w:b/>
          <w:sz w:val="24"/>
          <w:szCs w:val="24"/>
        </w:rPr>
        <w:t xml:space="preserve">and </w:t>
      </w:r>
      <w:r w:rsidR="008B31A9" w:rsidRPr="007E2778">
        <w:rPr>
          <w:rFonts w:ascii="Arial" w:hAnsi="Arial" w:cs="Arial"/>
          <w:b/>
          <w:sz w:val="24"/>
          <w:szCs w:val="24"/>
        </w:rPr>
        <w:t xml:space="preserve">Informed Consent </w:t>
      </w:r>
      <w:r>
        <w:rPr>
          <w:rFonts w:ascii="Arial" w:hAnsi="Arial" w:cs="Arial"/>
          <w:b/>
          <w:sz w:val="24"/>
          <w:szCs w:val="24"/>
        </w:rPr>
        <w:t>(FPIC)</w:t>
      </w:r>
    </w:p>
    <w:p w:rsidR="006E453D" w:rsidRPr="006E453D" w:rsidRDefault="006E453D" w:rsidP="00332BA4">
      <w:pPr>
        <w:ind w:left="540"/>
        <w:rPr>
          <w:rFonts w:ascii="Arial" w:hAnsi="Arial" w:cs="Arial"/>
          <w:b/>
          <w:i/>
          <w:sz w:val="24"/>
          <w:szCs w:val="24"/>
          <w:lang w:val="en-US"/>
        </w:rPr>
      </w:pPr>
      <w:r w:rsidRPr="006E453D">
        <w:rPr>
          <w:rFonts w:ascii="Arial" w:hAnsi="Arial" w:cs="Arial"/>
          <w:b/>
          <w:i/>
          <w:sz w:val="24"/>
          <w:szCs w:val="24"/>
          <w:lang w:val="en-US"/>
        </w:rPr>
        <w:t>Canada’s approach to FPIC</w:t>
      </w:r>
    </w:p>
    <w:p w:rsidR="007573F8" w:rsidRPr="007573F8" w:rsidRDefault="007573F8" w:rsidP="007573F8">
      <w:pPr>
        <w:ind w:left="540"/>
        <w:rPr>
          <w:rFonts w:ascii="Arial" w:hAnsi="Arial" w:cs="Arial"/>
          <w:sz w:val="24"/>
          <w:szCs w:val="24"/>
          <w:lang w:val="en-US"/>
        </w:rPr>
      </w:pPr>
      <w:r w:rsidRPr="007573F8">
        <w:rPr>
          <w:rFonts w:ascii="Arial" w:hAnsi="Arial" w:cs="Arial"/>
          <w:sz w:val="24"/>
          <w:szCs w:val="24"/>
          <w:lang w:val="en-US"/>
        </w:rPr>
        <w:t>During Canada’s interactive dialogue with the Committee, the delegation provided information on Canada’s approach to free, prior and informed consent.</w:t>
      </w:r>
    </w:p>
    <w:p w:rsidR="007573F8" w:rsidRPr="007573F8" w:rsidRDefault="007573F8" w:rsidP="007573F8">
      <w:pPr>
        <w:ind w:left="540"/>
        <w:rPr>
          <w:rFonts w:ascii="Arial" w:hAnsi="Arial" w:cs="Arial"/>
          <w:sz w:val="24"/>
          <w:szCs w:val="24"/>
          <w:lang w:val="en-US"/>
        </w:rPr>
      </w:pPr>
      <w:r w:rsidRPr="007573F8">
        <w:rPr>
          <w:rFonts w:ascii="Arial" w:hAnsi="Arial" w:cs="Arial"/>
          <w:sz w:val="24"/>
          <w:szCs w:val="24"/>
          <w:lang w:val="en-US"/>
        </w:rPr>
        <w:t>As referenced in Canada’s opening statement, the Government of Canada publicly released on 14 July 2017 a set of Principles Respecting the Government of Canada’s Relatio</w:t>
      </w:r>
      <w:r>
        <w:rPr>
          <w:rFonts w:ascii="Arial" w:hAnsi="Arial" w:cs="Arial"/>
          <w:sz w:val="24"/>
          <w:szCs w:val="24"/>
          <w:lang w:val="en-US"/>
        </w:rPr>
        <w:t xml:space="preserve">nship with Indigenous Peoples. </w:t>
      </w:r>
      <w:r w:rsidRPr="007573F8">
        <w:rPr>
          <w:rFonts w:ascii="Arial" w:hAnsi="Arial" w:cs="Arial"/>
          <w:sz w:val="24"/>
          <w:szCs w:val="24"/>
          <w:lang w:val="en-US"/>
        </w:rPr>
        <w:t>The 10 principles are based on the recognition of Indigenous peoples, governments, laws, and rights, including the right to self-determination and the inhe</w:t>
      </w:r>
      <w:r>
        <w:rPr>
          <w:rFonts w:ascii="Arial" w:hAnsi="Arial" w:cs="Arial"/>
          <w:sz w:val="24"/>
          <w:szCs w:val="24"/>
          <w:lang w:val="en-US"/>
        </w:rPr>
        <w:t xml:space="preserve">rent right of self-government. </w:t>
      </w:r>
    </w:p>
    <w:p w:rsidR="007573F8" w:rsidRPr="007573F8" w:rsidRDefault="007573F8" w:rsidP="007573F8">
      <w:pPr>
        <w:ind w:left="540"/>
        <w:rPr>
          <w:rFonts w:ascii="Arial" w:hAnsi="Arial" w:cs="Arial"/>
          <w:sz w:val="24"/>
          <w:szCs w:val="24"/>
          <w:lang w:val="en-US"/>
        </w:rPr>
      </w:pPr>
      <w:r w:rsidRPr="007573F8">
        <w:rPr>
          <w:rFonts w:ascii="Arial" w:hAnsi="Arial" w:cs="Arial"/>
          <w:sz w:val="24"/>
          <w:szCs w:val="24"/>
          <w:lang w:val="en-US"/>
        </w:rPr>
        <w:t>For more clarity on Canada’s approach to free, prior and informed consent, please refer to Principle 6:</w:t>
      </w:r>
    </w:p>
    <w:p w:rsidR="007573F8" w:rsidRPr="007573F8" w:rsidRDefault="007573F8" w:rsidP="006F1645">
      <w:pPr>
        <w:ind w:left="1440"/>
        <w:rPr>
          <w:rFonts w:ascii="Arial" w:hAnsi="Arial" w:cs="Arial"/>
          <w:sz w:val="24"/>
          <w:szCs w:val="24"/>
          <w:lang w:val="en-US"/>
        </w:rPr>
      </w:pPr>
      <w:r w:rsidRPr="007573F8">
        <w:rPr>
          <w:rFonts w:ascii="Arial" w:hAnsi="Arial" w:cs="Arial"/>
          <w:sz w:val="24"/>
          <w:szCs w:val="24"/>
          <w:lang w:val="en-US"/>
        </w:rPr>
        <w:t>The Government of Canada recognizes that meaningful engagement with Indigenous peoples aims to secure their free, prior, and informed consent when Canada proposes to take actions which impact them and their rights, including their lands, territories and resources.</w:t>
      </w:r>
    </w:p>
    <w:p w:rsidR="007573F8" w:rsidRPr="007573F8" w:rsidRDefault="007573F8" w:rsidP="006F1645">
      <w:pPr>
        <w:ind w:left="1440"/>
        <w:rPr>
          <w:rFonts w:ascii="Arial" w:hAnsi="Arial" w:cs="Arial"/>
          <w:sz w:val="24"/>
          <w:szCs w:val="24"/>
          <w:lang w:val="en-US"/>
        </w:rPr>
      </w:pPr>
      <w:r w:rsidRPr="007573F8">
        <w:rPr>
          <w:rFonts w:ascii="Arial" w:hAnsi="Arial" w:cs="Arial"/>
          <w:sz w:val="24"/>
          <w:szCs w:val="24"/>
          <w:lang w:val="en-US"/>
        </w:rPr>
        <w:t>This Principle acknowledges the Government of Canada’s commitment to new nation-to-nation, government-to-government, and Inuit-Crown relationships that builds on and goes beyond the legal duty to consult. In delivering on this commitment, the Government recognizes the right of Indigenous peoples to participate in decision-making in matters that affect their rights through their own representative institutions and the need to consult and cooperate in good faith with the aim of securing their free, prior, and informed consent.</w:t>
      </w:r>
    </w:p>
    <w:p w:rsidR="007573F8" w:rsidRPr="007573F8" w:rsidRDefault="007573F8" w:rsidP="006F1645">
      <w:pPr>
        <w:ind w:left="1440"/>
        <w:rPr>
          <w:rFonts w:ascii="Arial" w:hAnsi="Arial" w:cs="Arial"/>
          <w:sz w:val="24"/>
          <w:szCs w:val="24"/>
          <w:lang w:val="en-US"/>
        </w:rPr>
      </w:pPr>
      <w:r w:rsidRPr="007573F8">
        <w:rPr>
          <w:rFonts w:ascii="Arial" w:hAnsi="Arial" w:cs="Arial"/>
          <w:sz w:val="24"/>
          <w:szCs w:val="24"/>
          <w:lang w:val="en-US"/>
        </w:rPr>
        <w:t>The Supreme Court of Canada has clarified that the standard to secure consent of Indigenous peoples is strongest in the case of Aboriginal title lands. The Supreme Court of Canada has confirmed that Aboriginal title gives the holder the right to use, control, and manage the land and the right to the economic benefits of the land and its resources. The Indigenous nation, as proper title holder, decides how to use and manage its lands for both traditional activities and modern purposes, subject to the limit that the land cannot be developed in a way that would deprive future generations of the benefit of the land.</w:t>
      </w:r>
    </w:p>
    <w:p w:rsidR="007573F8" w:rsidRPr="007573F8" w:rsidRDefault="007573F8" w:rsidP="006F1645">
      <w:pPr>
        <w:ind w:left="1440"/>
        <w:rPr>
          <w:rFonts w:ascii="Arial" w:hAnsi="Arial" w:cs="Arial"/>
          <w:sz w:val="24"/>
          <w:szCs w:val="24"/>
          <w:lang w:val="en-US"/>
        </w:rPr>
      </w:pPr>
      <w:r w:rsidRPr="007573F8">
        <w:rPr>
          <w:rFonts w:ascii="Arial" w:hAnsi="Arial" w:cs="Arial"/>
          <w:sz w:val="24"/>
          <w:szCs w:val="24"/>
          <w:lang w:val="en-US"/>
        </w:rPr>
        <w:t>The importance of free, prior, and informed consent, as identified in the UN Declaration [on the Rights of Indigenous Peoples], extends beyond title lands. To this end, the Government of Canada will look for opportunities to build processes and approaches aimed at securing consent, as well as creative and innovative mechanisms that will help build deeper collaboration, consensus, and new ways of working together. It will ensure that Indigenous peoples and their governments have a role in public decision-making as part of Canada’s constitutional framework and ensure that Indigenous rights, interests, and aspirations are recognized in decision-making.</w:t>
      </w:r>
    </w:p>
    <w:p w:rsidR="007573F8" w:rsidRPr="007573F8" w:rsidRDefault="007573F8" w:rsidP="007573F8">
      <w:pPr>
        <w:ind w:left="540"/>
        <w:rPr>
          <w:rFonts w:ascii="Arial" w:hAnsi="Arial" w:cs="Arial"/>
          <w:sz w:val="24"/>
          <w:szCs w:val="24"/>
          <w:lang w:val="en-US"/>
        </w:rPr>
      </w:pPr>
      <w:r w:rsidRPr="007573F8">
        <w:rPr>
          <w:rFonts w:ascii="Arial" w:hAnsi="Arial" w:cs="Arial"/>
          <w:sz w:val="24"/>
          <w:szCs w:val="24"/>
          <w:lang w:val="en-US"/>
        </w:rPr>
        <w:t>The 10 Principles, including Principle 6, are being utilized by the Government of Canada as part of a Review of Laws, Policies, and Operational Practices. This Review is intended to ensure that Canada is meeting its constitutional obligations with respect to Aboriginal and treaty rights and adhering to international human rights standards, including the United Nations Declaration on the Rights of Indigenous Peoples (UNDRIP). It is being conducted by a Working Group of six Ministers and will include consideration of the development of new laws and policies including for the purposes of implementing UNDRIP. The Review includes engagement and partnership with Indigenous peoples.</w:t>
      </w:r>
    </w:p>
    <w:p w:rsidR="006E453D" w:rsidRPr="006E453D" w:rsidRDefault="006E453D" w:rsidP="00332BA4">
      <w:pPr>
        <w:ind w:left="540"/>
        <w:rPr>
          <w:rFonts w:ascii="Arial" w:hAnsi="Arial" w:cs="Arial"/>
          <w:b/>
          <w:i/>
          <w:sz w:val="24"/>
          <w:szCs w:val="24"/>
          <w:lang w:val="en-US"/>
        </w:rPr>
      </w:pPr>
      <w:r w:rsidRPr="006E453D">
        <w:rPr>
          <w:rFonts w:ascii="Arial" w:hAnsi="Arial" w:cs="Arial"/>
          <w:b/>
          <w:i/>
          <w:sz w:val="24"/>
          <w:szCs w:val="24"/>
          <w:lang w:val="en-US"/>
        </w:rPr>
        <w:t>Consensus-building through consultation</w:t>
      </w:r>
    </w:p>
    <w:p w:rsidR="00332BA4" w:rsidRPr="00332BA4" w:rsidRDefault="00332BA4" w:rsidP="00332BA4">
      <w:pPr>
        <w:ind w:left="540"/>
        <w:rPr>
          <w:rFonts w:ascii="Arial" w:hAnsi="Arial" w:cs="Arial"/>
          <w:sz w:val="24"/>
          <w:szCs w:val="24"/>
        </w:rPr>
      </w:pPr>
      <w:r w:rsidRPr="00332BA4">
        <w:rPr>
          <w:rFonts w:ascii="Arial" w:hAnsi="Arial" w:cs="Arial"/>
          <w:sz w:val="24"/>
          <w:szCs w:val="24"/>
        </w:rPr>
        <w:t>The recently released Principles Respecting the Government of Canada’s Relationship with Indigenous Peoples are clear that the Government of Canada recognizes that meaningful engagement with Indigenous peoples aims to secure their free, prior and informed consent when Canada proposes to take actions which impact them and their rights, including their lands, territories and resources.</w:t>
      </w:r>
    </w:p>
    <w:p w:rsidR="00332BA4" w:rsidRPr="00332BA4" w:rsidRDefault="00332BA4" w:rsidP="00332BA4">
      <w:pPr>
        <w:ind w:left="540"/>
        <w:rPr>
          <w:rFonts w:ascii="Arial" w:hAnsi="Arial" w:cs="Arial"/>
          <w:sz w:val="24"/>
          <w:szCs w:val="24"/>
        </w:rPr>
      </w:pPr>
      <w:r w:rsidRPr="00332BA4">
        <w:rPr>
          <w:rFonts w:ascii="Arial" w:hAnsi="Arial" w:cs="Arial"/>
          <w:sz w:val="24"/>
          <w:szCs w:val="24"/>
        </w:rPr>
        <w:t>There are various recent examples of consensus-building through consultation in resource development projects, including such projects as Woodfiber LNG, Brucejack Gold Mine, Black Point Quarry Project, Joslyn Oil Sands, and LNG Canada Export Terminal Project.</w:t>
      </w:r>
    </w:p>
    <w:p w:rsidR="00332BA4" w:rsidRPr="00332BA4" w:rsidRDefault="00332BA4" w:rsidP="00332BA4">
      <w:pPr>
        <w:ind w:left="540"/>
        <w:rPr>
          <w:rFonts w:ascii="Arial" w:hAnsi="Arial" w:cs="Arial"/>
          <w:sz w:val="24"/>
          <w:szCs w:val="24"/>
        </w:rPr>
      </w:pPr>
      <w:r w:rsidRPr="00332BA4">
        <w:rPr>
          <w:rFonts w:ascii="Arial" w:hAnsi="Arial" w:cs="Arial"/>
          <w:sz w:val="24"/>
          <w:szCs w:val="24"/>
        </w:rPr>
        <w:t>At the same time, the government is committed to looking for opportunities to build processes and approaches aimed at securing consent, as well as creative and innovative mechanisms that will help build deeper collaboration, consensus, and new ways of working together with Indigenous peoples. We are committed to ensuring that Indigenous peoples and their governments have a role in public decision-making as part of Canada’s constitutional framework, and ensuring that Indigenous rights, interests, and aspirations are recognized in decision-making.</w:t>
      </w:r>
    </w:p>
    <w:p w:rsidR="00332BA4" w:rsidRPr="00332BA4" w:rsidRDefault="00332BA4" w:rsidP="00332BA4">
      <w:pPr>
        <w:ind w:left="540"/>
        <w:rPr>
          <w:rFonts w:ascii="Arial" w:hAnsi="Arial" w:cs="Arial"/>
          <w:sz w:val="24"/>
          <w:szCs w:val="24"/>
        </w:rPr>
      </w:pPr>
      <w:r w:rsidRPr="00332BA4">
        <w:rPr>
          <w:rFonts w:ascii="Arial" w:hAnsi="Arial" w:cs="Arial"/>
          <w:sz w:val="24"/>
          <w:szCs w:val="24"/>
        </w:rPr>
        <w:t>As part of this, the current Review of processes for environmental assessment in Canada proposes to be responsive to Indigenous rights, jurisdiction and decision-making, recognizing that the Government is committed to a renewed relationship with Indigenous peoples, nation-to-nation, Inuit-to-Crown, government-to-government. This renewed relationship is based on the recognition of rights, respect, co-operation and partnership.</w:t>
      </w:r>
    </w:p>
    <w:p w:rsidR="0083745B" w:rsidRPr="007E2778" w:rsidRDefault="0083745B" w:rsidP="00440E30">
      <w:pPr>
        <w:pStyle w:val="ListParagraph"/>
        <w:keepNext/>
        <w:numPr>
          <w:ilvl w:val="0"/>
          <w:numId w:val="27"/>
        </w:numPr>
        <w:spacing w:before="120" w:after="240"/>
        <w:ind w:left="540" w:hanging="540"/>
        <w:rPr>
          <w:rFonts w:ascii="Arial" w:hAnsi="Arial" w:cs="Arial"/>
          <w:b/>
          <w:sz w:val="24"/>
          <w:szCs w:val="24"/>
        </w:rPr>
      </w:pPr>
      <w:r w:rsidRPr="007E2778">
        <w:rPr>
          <w:rFonts w:ascii="Arial" w:hAnsi="Arial" w:cs="Arial"/>
          <w:b/>
          <w:sz w:val="24"/>
          <w:szCs w:val="24"/>
        </w:rPr>
        <w:t xml:space="preserve">Information on the </w:t>
      </w:r>
      <w:r w:rsidR="008B31A9" w:rsidRPr="007E2778">
        <w:rPr>
          <w:rFonts w:ascii="Arial" w:hAnsi="Arial" w:cs="Arial"/>
          <w:b/>
          <w:sz w:val="24"/>
          <w:szCs w:val="24"/>
        </w:rPr>
        <w:t>Statute of Limitations</w:t>
      </w:r>
      <w:r w:rsidRPr="007E2778">
        <w:rPr>
          <w:rFonts w:ascii="Arial" w:hAnsi="Arial" w:cs="Arial"/>
          <w:b/>
          <w:sz w:val="24"/>
          <w:szCs w:val="24"/>
        </w:rPr>
        <w:t xml:space="preserve"> regarding the Mount Polley disaster</w:t>
      </w:r>
    </w:p>
    <w:p w:rsidR="0083745B" w:rsidRPr="0083745B" w:rsidRDefault="0083745B" w:rsidP="005246FA">
      <w:pPr>
        <w:pStyle w:val="ListParagraph"/>
        <w:keepNext/>
        <w:spacing w:before="120" w:after="240"/>
        <w:ind w:left="540"/>
        <w:rPr>
          <w:rFonts w:ascii="Arial" w:hAnsi="Arial" w:cs="Arial"/>
          <w:sz w:val="24"/>
          <w:szCs w:val="24"/>
          <w:lang w:val="en-CA"/>
        </w:rPr>
      </w:pPr>
      <w:r w:rsidRPr="0083745B">
        <w:rPr>
          <w:rFonts w:ascii="Arial" w:hAnsi="Arial" w:cs="Arial"/>
          <w:sz w:val="24"/>
          <w:szCs w:val="24"/>
          <w:lang w:val="en-CA"/>
        </w:rPr>
        <w:t>The federal and provincial governments take environmental protection very seriously. The British Columbia Conservation Officer Service, Fisheries and Oceans Canada, and Environment and Climate Change Canada are conducting the investigation into the tailings pond breach at the Mount Polley mine site.</w:t>
      </w:r>
    </w:p>
    <w:p w:rsidR="0083745B" w:rsidRPr="0083745B" w:rsidRDefault="0083745B" w:rsidP="005246FA">
      <w:pPr>
        <w:pStyle w:val="ListParagraph"/>
        <w:keepNext/>
        <w:spacing w:before="120" w:after="240"/>
        <w:ind w:left="540"/>
        <w:rPr>
          <w:rFonts w:ascii="Arial" w:hAnsi="Arial" w:cs="Arial"/>
          <w:sz w:val="24"/>
          <w:szCs w:val="24"/>
          <w:lang w:val="en-CA"/>
        </w:rPr>
      </w:pPr>
      <w:r w:rsidRPr="0083745B">
        <w:rPr>
          <w:rFonts w:ascii="Arial" w:hAnsi="Arial" w:cs="Arial"/>
          <w:sz w:val="24"/>
          <w:szCs w:val="24"/>
          <w:lang w:val="en-CA"/>
        </w:rPr>
        <w:t xml:space="preserve">To date, evidence has been collected regarding the breach under the provincial </w:t>
      </w:r>
      <w:r w:rsidRPr="0083745B">
        <w:rPr>
          <w:rFonts w:ascii="Arial" w:hAnsi="Arial" w:cs="Arial"/>
          <w:i/>
          <w:sz w:val="24"/>
          <w:szCs w:val="24"/>
          <w:lang w:val="en-CA"/>
        </w:rPr>
        <w:t>Environmental Management Act and the federal Fisheries Act</w:t>
      </w:r>
      <w:r w:rsidRPr="0083745B">
        <w:rPr>
          <w:rFonts w:ascii="Arial" w:hAnsi="Arial" w:cs="Arial"/>
          <w:sz w:val="24"/>
          <w:szCs w:val="24"/>
          <w:lang w:val="en-CA"/>
        </w:rPr>
        <w:t>. All of the information gathered during the course of this investigation will be considered by the Public Prosecution Service of Canada should charges be recommended.</w:t>
      </w:r>
    </w:p>
    <w:p w:rsidR="0083745B" w:rsidRPr="0083745B" w:rsidRDefault="0083745B" w:rsidP="005246FA">
      <w:pPr>
        <w:pStyle w:val="ListParagraph"/>
        <w:keepNext/>
        <w:spacing w:before="120" w:after="240"/>
        <w:ind w:left="540"/>
        <w:rPr>
          <w:rFonts w:ascii="Arial" w:hAnsi="Arial" w:cs="Arial"/>
          <w:sz w:val="24"/>
          <w:szCs w:val="24"/>
          <w:lang w:val="en-CA"/>
        </w:rPr>
      </w:pPr>
      <w:r w:rsidRPr="0083745B">
        <w:rPr>
          <w:rFonts w:ascii="Arial" w:hAnsi="Arial" w:cs="Arial"/>
          <w:sz w:val="24"/>
          <w:szCs w:val="24"/>
          <w:lang w:val="en-CA"/>
        </w:rPr>
        <w:t xml:space="preserve">Sections 25(1) and 36(3) of the </w:t>
      </w:r>
      <w:r w:rsidRPr="0083745B">
        <w:rPr>
          <w:rFonts w:ascii="Arial" w:hAnsi="Arial" w:cs="Arial"/>
          <w:i/>
          <w:sz w:val="24"/>
          <w:szCs w:val="24"/>
          <w:lang w:val="en-CA"/>
        </w:rPr>
        <w:t>Fisheries Act</w:t>
      </w:r>
      <w:r w:rsidRPr="0083745B">
        <w:rPr>
          <w:rFonts w:ascii="Arial" w:hAnsi="Arial" w:cs="Arial"/>
          <w:sz w:val="24"/>
          <w:szCs w:val="24"/>
          <w:lang w:val="en-CA"/>
        </w:rPr>
        <w:t xml:space="preserve"> – general prohibition against destruction of fish habitat, and deposit of a deleterious substance to water frequented by fish, respectively – are the classic pollution charges.  Under section</w:t>
      </w:r>
      <w:r w:rsidR="00576C0F">
        <w:rPr>
          <w:rFonts w:ascii="Arial" w:hAnsi="Arial" w:cs="Arial"/>
          <w:sz w:val="24"/>
          <w:szCs w:val="24"/>
          <w:lang w:val="en-CA"/>
        </w:rPr>
        <w:t> </w:t>
      </w:r>
      <w:r w:rsidRPr="0083745B">
        <w:rPr>
          <w:rFonts w:ascii="Arial" w:hAnsi="Arial" w:cs="Arial"/>
          <w:sz w:val="24"/>
          <w:szCs w:val="24"/>
          <w:lang w:val="en-CA"/>
        </w:rPr>
        <w:t xml:space="preserve">82 of the federal </w:t>
      </w:r>
      <w:r w:rsidRPr="000364A9">
        <w:rPr>
          <w:rFonts w:ascii="Arial" w:hAnsi="Arial" w:cs="Arial"/>
          <w:i/>
          <w:sz w:val="24"/>
          <w:szCs w:val="24"/>
          <w:lang w:val="en-CA"/>
        </w:rPr>
        <w:t>Fisheries Act</w:t>
      </w:r>
      <w:r w:rsidRPr="0083745B">
        <w:rPr>
          <w:rFonts w:ascii="Arial" w:hAnsi="Arial" w:cs="Arial"/>
          <w:sz w:val="24"/>
          <w:szCs w:val="24"/>
          <w:lang w:val="en-CA"/>
        </w:rPr>
        <w:t xml:space="preserve"> there is a limitation period of 5 years where the Crown proceeds summarily. There is no limitation period where the Crown proceeds indictably under the </w:t>
      </w:r>
      <w:r w:rsidRPr="00576C0F">
        <w:rPr>
          <w:rFonts w:ascii="Arial" w:hAnsi="Arial" w:cs="Arial"/>
          <w:i/>
          <w:sz w:val="24"/>
          <w:szCs w:val="24"/>
          <w:lang w:val="en-CA"/>
        </w:rPr>
        <w:t>Fisheries Act</w:t>
      </w:r>
      <w:r w:rsidRPr="0083745B">
        <w:rPr>
          <w:rFonts w:ascii="Arial" w:hAnsi="Arial" w:cs="Arial"/>
          <w:sz w:val="24"/>
          <w:szCs w:val="24"/>
          <w:lang w:val="en-CA"/>
        </w:rPr>
        <w:t xml:space="preserve">.   </w:t>
      </w:r>
    </w:p>
    <w:p w:rsidR="0083745B" w:rsidRPr="0083745B" w:rsidRDefault="0083745B" w:rsidP="005246FA">
      <w:pPr>
        <w:pStyle w:val="ListParagraph"/>
        <w:keepNext/>
        <w:spacing w:before="120" w:after="240"/>
        <w:ind w:left="540"/>
        <w:rPr>
          <w:rFonts w:ascii="Arial" w:hAnsi="Arial" w:cs="Arial"/>
          <w:sz w:val="24"/>
          <w:szCs w:val="24"/>
          <w:lang w:val="en-CA"/>
        </w:rPr>
      </w:pPr>
      <w:r w:rsidRPr="0083745B">
        <w:rPr>
          <w:rFonts w:ascii="Arial" w:hAnsi="Arial" w:cs="Arial"/>
          <w:sz w:val="24"/>
          <w:szCs w:val="24"/>
          <w:lang w:val="en-CA"/>
        </w:rPr>
        <w:t xml:space="preserve">Under Section 124 of the </w:t>
      </w:r>
      <w:r w:rsidRPr="0083745B">
        <w:rPr>
          <w:rFonts w:ascii="Arial" w:hAnsi="Arial" w:cs="Arial"/>
          <w:i/>
          <w:sz w:val="24"/>
          <w:szCs w:val="24"/>
          <w:lang w:val="en-CA"/>
        </w:rPr>
        <w:t>B.C. Environmental Management Act</w:t>
      </w:r>
      <w:r w:rsidRPr="0083745B">
        <w:rPr>
          <w:rFonts w:ascii="Arial" w:hAnsi="Arial" w:cs="Arial"/>
          <w:sz w:val="24"/>
          <w:szCs w:val="24"/>
          <w:lang w:val="en-CA"/>
        </w:rPr>
        <w:t>, a statute under which charges might be laid in the Mount Polley matter, there is a limitation period of 3 years after the facts on which the information is based arose, or 18 months after the facts became known if a special certificate was issued by the B.C. Minister of the Environment. This limitation period still applies where the Crown proceeds indictably.</w:t>
      </w:r>
    </w:p>
    <w:p w:rsidR="005246FA" w:rsidRDefault="005246FA" w:rsidP="005246FA">
      <w:pPr>
        <w:pStyle w:val="ListParagraph"/>
        <w:keepNext/>
        <w:numPr>
          <w:ilvl w:val="0"/>
          <w:numId w:val="27"/>
        </w:numPr>
        <w:spacing w:before="120" w:after="240"/>
        <w:ind w:left="540" w:hanging="540"/>
        <w:rPr>
          <w:rFonts w:ascii="Arial" w:hAnsi="Arial" w:cs="Arial"/>
          <w:b/>
          <w:sz w:val="24"/>
          <w:szCs w:val="24"/>
        </w:rPr>
      </w:pPr>
      <w:r w:rsidRPr="005246FA">
        <w:rPr>
          <w:rFonts w:ascii="Arial" w:hAnsi="Arial" w:cs="Arial"/>
          <w:b/>
          <w:sz w:val="24"/>
          <w:szCs w:val="24"/>
        </w:rPr>
        <w:t>Who accords the right to non-indigenous partners (e.g. resource extraction companies) to continue with their activities without ceasing even when the dispute is not solved or if the treaty is still before the courts?</w:t>
      </w:r>
    </w:p>
    <w:p w:rsidR="003E714D" w:rsidRPr="003E714D" w:rsidRDefault="003E714D" w:rsidP="003E714D">
      <w:pPr>
        <w:keepNext/>
        <w:spacing w:before="120" w:after="240"/>
        <w:ind w:left="540"/>
        <w:rPr>
          <w:rFonts w:ascii="Arial" w:hAnsi="Arial" w:cs="Arial"/>
          <w:sz w:val="24"/>
          <w:szCs w:val="24"/>
        </w:rPr>
      </w:pPr>
      <w:r w:rsidRPr="003E714D">
        <w:rPr>
          <w:rFonts w:ascii="Arial" w:hAnsi="Arial" w:cs="Arial"/>
          <w:sz w:val="24"/>
          <w:szCs w:val="24"/>
        </w:rPr>
        <w:t>The legal duty to consult arises when the Crown (federal and provincial) contemplates any conduct that could have an impact on either asserted or established Aboriginal or Treaty Rights.</w:t>
      </w:r>
    </w:p>
    <w:p w:rsidR="003E714D" w:rsidRPr="003E714D" w:rsidRDefault="003E714D" w:rsidP="003E714D">
      <w:pPr>
        <w:keepNext/>
        <w:spacing w:before="120" w:after="240"/>
        <w:ind w:left="540"/>
        <w:rPr>
          <w:rFonts w:ascii="Arial" w:hAnsi="Arial" w:cs="Arial"/>
          <w:sz w:val="24"/>
          <w:szCs w:val="24"/>
        </w:rPr>
      </w:pPr>
      <w:r w:rsidRPr="003E714D">
        <w:rPr>
          <w:rFonts w:ascii="Arial" w:hAnsi="Arial" w:cs="Arial"/>
          <w:sz w:val="24"/>
          <w:szCs w:val="24"/>
        </w:rPr>
        <w:t xml:space="preserve">Major projects have the potential to adversely impact established or asserted Aboriginal and Treaty rights as affirmed in section 35 of the </w:t>
      </w:r>
      <w:r w:rsidRPr="003E714D">
        <w:rPr>
          <w:rFonts w:ascii="Arial" w:hAnsi="Arial" w:cs="Arial"/>
          <w:i/>
          <w:sz w:val="24"/>
          <w:szCs w:val="24"/>
        </w:rPr>
        <w:t>Constitution Act, 1982</w:t>
      </w:r>
      <w:r w:rsidRPr="003E714D">
        <w:rPr>
          <w:rFonts w:ascii="Arial" w:hAnsi="Arial" w:cs="Arial"/>
          <w:sz w:val="24"/>
          <w:szCs w:val="24"/>
        </w:rPr>
        <w:t xml:space="preserve"> and as a result, meaningful consultation surrounding these projects is critical.</w:t>
      </w:r>
    </w:p>
    <w:p w:rsidR="003E714D" w:rsidRPr="003E714D" w:rsidRDefault="003E714D" w:rsidP="003E714D">
      <w:pPr>
        <w:keepNext/>
        <w:spacing w:before="120" w:after="240"/>
        <w:ind w:left="540"/>
        <w:rPr>
          <w:rFonts w:ascii="Arial" w:hAnsi="Arial" w:cs="Arial"/>
          <w:sz w:val="24"/>
          <w:szCs w:val="24"/>
        </w:rPr>
      </w:pPr>
      <w:r w:rsidRPr="003E714D">
        <w:rPr>
          <w:rFonts w:ascii="Arial" w:hAnsi="Arial" w:cs="Arial"/>
          <w:sz w:val="24"/>
          <w:szCs w:val="24"/>
        </w:rPr>
        <w:t xml:space="preserve">Canada’s consultation approach to major projects enables early engagement with Indigenous groups, provides support for their participation in consultations, and integrates their input into informed decision-making and project outcomes, while fulfilling the legal obligations of consultation. Prior to construction and operation of any review project, potential impacts on economic, social and cultural rights are identified, assessed and, where appropriate, addressed through this approach. </w:t>
      </w:r>
    </w:p>
    <w:p w:rsidR="003E714D" w:rsidRPr="003E714D" w:rsidRDefault="003E714D" w:rsidP="003E714D">
      <w:pPr>
        <w:keepNext/>
        <w:spacing w:before="120" w:after="240"/>
        <w:ind w:left="540"/>
        <w:rPr>
          <w:rFonts w:ascii="Arial" w:hAnsi="Arial" w:cs="Arial"/>
          <w:sz w:val="24"/>
          <w:szCs w:val="24"/>
        </w:rPr>
      </w:pPr>
      <w:r w:rsidRPr="003E714D">
        <w:rPr>
          <w:rFonts w:ascii="Arial" w:hAnsi="Arial" w:cs="Arial"/>
          <w:sz w:val="24"/>
          <w:szCs w:val="24"/>
        </w:rPr>
        <w:t>Compliance and follow-up mechanisms ensure that mitigation measures are enforced through the project life cycle and that Indigenous groups are engaged. In some cases, dedicated consultation processes outside of regulatory reviews may be used to strengthen relationships or to better understand and address the interests of Indigenous Peoples.</w:t>
      </w:r>
    </w:p>
    <w:p w:rsidR="003E714D" w:rsidRPr="003E714D" w:rsidRDefault="003E714D" w:rsidP="003E714D">
      <w:pPr>
        <w:keepNext/>
        <w:spacing w:before="120" w:after="240"/>
        <w:ind w:left="540"/>
        <w:rPr>
          <w:rFonts w:ascii="Arial" w:hAnsi="Arial" w:cs="Arial"/>
          <w:sz w:val="24"/>
          <w:szCs w:val="24"/>
        </w:rPr>
      </w:pPr>
      <w:r w:rsidRPr="003E714D">
        <w:rPr>
          <w:rFonts w:ascii="Arial" w:hAnsi="Arial" w:cs="Arial"/>
          <w:sz w:val="24"/>
          <w:szCs w:val="24"/>
        </w:rPr>
        <w:t>Recognizing that there is room for improvement, the Government of Canada is in the process of reviewing the environmental and regulatory processes typically used to meet consultation obligations for major resource development projects. The goal of the review is to have new processes that are fair and based on science, respect the rights of Indigenous peoples, provide certainty to businesses and protect Canada’s environment for the generations to come.</w:t>
      </w:r>
    </w:p>
    <w:p w:rsidR="003E714D" w:rsidRPr="003E714D" w:rsidRDefault="003E714D" w:rsidP="003E714D">
      <w:pPr>
        <w:keepNext/>
        <w:spacing w:before="120" w:after="240"/>
        <w:ind w:left="540"/>
        <w:rPr>
          <w:rFonts w:ascii="Arial" w:hAnsi="Arial" w:cs="Arial"/>
          <w:sz w:val="24"/>
          <w:szCs w:val="24"/>
        </w:rPr>
      </w:pPr>
      <w:r w:rsidRPr="003E714D">
        <w:rPr>
          <w:rFonts w:ascii="Arial" w:hAnsi="Arial" w:cs="Arial"/>
          <w:sz w:val="24"/>
          <w:szCs w:val="24"/>
        </w:rPr>
        <w:t xml:space="preserve">Canada’s efforts are bolstered by approaches taken by private industry. While none are specifically endorsed by the Government of Canada, various natural resource sectors have in place industry-led corporate responsibility standards or requirements that include social and cultural performance criteria. For example: </w:t>
      </w:r>
    </w:p>
    <w:p w:rsidR="003E714D" w:rsidRPr="00A11BE3" w:rsidRDefault="003E714D" w:rsidP="00A11BE3">
      <w:pPr>
        <w:pStyle w:val="ListParagraph"/>
        <w:keepNext/>
        <w:numPr>
          <w:ilvl w:val="0"/>
          <w:numId w:val="31"/>
        </w:numPr>
        <w:spacing w:before="120" w:after="240"/>
        <w:rPr>
          <w:rFonts w:ascii="Arial" w:hAnsi="Arial" w:cs="Arial"/>
          <w:sz w:val="24"/>
          <w:szCs w:val="24"/>
        </w:rPr>
      </w:pPr>
      <w:r w:rsidRPr="00A11BE3">
        <w:rPr>
          <w:rFonts w:ascii="Arial" w:hAnsi="Arial" w:cs="Arial"/>
          <w:sz w:val="24"/>
          <w:szCs w:val="24"/>
        </w:rPr>
        <w:t>The Mining Association of Canada’s Toward Sustainable Mining framework requires all member companies to annually self-assess their performance against indicators, including an Indigenous and community outreach protocol. Performance indicators in the protocol seek to ensure that facilities are engaging in meaningful dialogue with communities of interest and that their feedback is being considered in decision-making. Facilities must also demonstrate that there is a clear mechanism for receiving complaints and concerns from communities, and ensuring effective responses.</w:t>
      </w:r>
    </w:p>
    <w:p w:rsidR="009557F3" w:rsidRPr="003E714D" w:rsidRDefault="003E714D" w:rsidP="00A11BE3">
      <w:pPr>
        <w:pStyle w:val="ListParagraph"/>
        <w:keepNext/>
        <w:numPr>
          <w:ilvl w:val="0"/>
          <w:numId w:val="31"/>
        </w:numPr>
        <w:spacing w:before="120" w:after="240"/>
        <w:rPr>
          <w:rFonts w:ascii="Arial" w:hAnsi="Arial" w:cs="Arial"/>
          <w:sz w:val="24"/>
          <w:szCs w:val="24"/>
        </w:rPr>
      </w:pPr>
      <w:r w:rsidRPr="003E714D">
        <w:rPr>
          <w:rFonts w:ascii="Arial" w:hAnsi="Arial" w:cs="Arial"/>
          <w:sz w:val="24"/>
          <w:szCs w:val="24"/>
        </w:rPr>
        <w:t>The Prospectors and Developers Association of Canada has developed e3 Plus: A Framework for Responsible Exploration – an information resource on which explorers are encouraged to base their corporate social responsibility policies and programs. e3 Plus includes eight principles for responsible exploration, guidance notes on implementing the principles, and three internet-based toolkits in the areas of social responsibility, environmental stewardship, and health and safety. The guidance notes are offered to assist practitioners in converting the principles into action.</w:t>
      </w:r>
    </w:p>
    <w:p w:rsidR="00F547DE" w:rsidRDefault="00A11BE3" w:rsidP="00F547DE">
      <w:pPr>
        <w:pStyle w:val="ListParagraph"/>
        <w:keepNext/>
        <w:numPr>
          <w:ilvl w:val="0"/>
          <w:numId w:val="27"/>
        </w:numPr>
        <w:spacing w:before="120" w:after="240"/>
        <w:ind w:left="540" w:hanging="540"/>
        <w:rPr>
          <w:rFonts w:ascii="Arial" w:hAnsi="Arial" w:cs="Arial"/>
          <w:b/>
          <w:sz w:val="24"/>
          <w:szCs w:val="24"/>
        </w:rPr>
      </w:pPr>
      <w:r w:rsidRPr="00F547DE">
        <w:rPr>
          <w:rFonts w:ascii="Arial" w:hAnsi="Arial" w:cs="Arial"/>
          <w:b/>
          <w:sz w:val="24"/>
          <w:szCs w:val="24"/>
        </w:rPr>
        <w:t>What is the process leading to Self-Government?</w:t>
      </w:r>
    </w:p>
    <w:p w:rsidR="00F547DE" w:rsidRPr="00F547DE" w:rsidRDefault="00F547DE" w:rsidP="00F547DE">
      <w:pPr>
        <w:keepNext/>
        <w:spacing w:before="120" w:after="240"/>
        <w:ind w:left="540"/>
        <w:rPr>
          <w:rFonts w:ascii="Arial" w:hAnsi="Arial" w:cs="Arial"/>
          <w:sz w:val="24"/>
          <w:szCs w:val="24"/>
        </w:rPr>
      </w:pPr>
      <w:r w:rsidRPr="00F547DE">
        <w:rPr>
          <w:rFonts w:ascii="Arial" w:hAnsi="Arial" w:cs="Arial"/>
          <w:sz w:val="24"/>
          <w:szCs w:val="24"/>
        </w:rPr>
        <w:t>Canada recognizes the inherent right of self-government as an existing Aboriginal right under section 35 of the Constitution Act, 1982. It recognizes, as well, that the inherent right may find expression in treaties, and in the context of the Crown's relationship with treaty First Nations. Recognition of the inherent right is based on the view that the Indigenous peoples of Canada have the right to govern themselves in relation to matters that are internal to their communities, integral to their unique cultures, identities, traditions, languages and institutions, and with respect to their special relationship to their land and their resources.</w:t>
      </w:r>
    </w:p>
    <w:p w:rsidR="00F547DE" w:rsidRPr="00F547DE" w:rsidRDefault="00F547DE" w:rsidP="00F547DE">
      <w:pPr>
        <w:keepNext/>
        <w:spacing w:before="120" w:after="240"/>
        <w:ind w:left="540"/>
        <w:rPr>
          <w:rFonts w:ascii="Arial" w:hAnsi="Arial" w:cs="Arial"/>
          <w:sz w:val="24"/>
          <w:szCs w:val="24"/>
        </w:rPr>
      </w:pPr>
      <w:r w:rsidRPr="00F547DE">
        <w:rPr>
          <w:rFonts w:ascii="Arial" w:hAnsi="Arial" w:cs="Arial"/>
          <w:sz w:val="24"/>
          <w:szCs w:val="24"/>
        </w:rPr>
        <w:t>Canada acknowledges that the inherent right of self-government may be enforceable through the courts and that there are different views about the nature, scope and content of the inherent right. However, litigation over the inherent right would be lengthy, costly and would tend to foster conflict. In any case, the courts are likely to provide general guidance to the parties involved, leaving it to them to work out detailed arrangements.</w:t>
      </w:r>
    </w:p>
    <w:p w:rsidR="00F547DE" w:rsidRPr="00F547DE" w:rsidRDefault="00F547DE" w:rsidP="00F547DE">
      <w:pPr>
        <w:keepNext/>
        <w:spacing w:before="120" w:after="240"/>
        <w:ind w:left="540"/>
        <w:rPr>
          <w:rFonts w:ascii="Arial" w:hAnsi="Arial" w:cs="Arial"/>
          <w:sz w:val="24"/>
          <w:szCs w:val="24"/>
        </w:rPr>
      </w:pPr>
      <w:r w:rsidRPr="00F547DE">
        <w:rPr>
          <w:rFonts w:ascii="Arial" w:hAnsi="Arial" w:cs="Arial"/>
          <w:sz w:val="24"/>
          <w:szCs w:val="24"/>
        </w:rPr>
        <w:t>For these reasons, Canada is convinced that litigation should be a last resort. Negotiations among governments and Indigenous Peoples are clearly preferable as the most practical and effective way to implement the inherent right of self-government.</w:t>
      </w:r>
    </w:p>
    <w:p w:rsidR="00F547DE" w:rsidRDefault="00F547DE" w:rsidP="00F547DE">
      <w:pPr>
        <w:keepNext/>
        <w:spacing w:before="120" w:after="240"/>
        <w:ind w:left="540"/>
        <w:rPr>
          <w:rFonts w:ascii="Arial" w:hAnsi="Arial" w:cs="Arial"/>
          <w:sz w:val="24"/>
          <w:szCs w:val="24"/>
        </w:rPr>
      </w:pPr>
      <w:r w:rsidRPr="00F547DE">
        <w:rPr>
          <w:rFonts w:ascii="Arial" w:hAnsi="Arial" w:cs="Arial"/>
          <w:sz w:val="24"/>
          <w:szCs w:val="24"/>
        </w:rPr>
        <w:t xml:space="preserve">The implementation of self-government is not expected to be uniform and agreements should meet the unique needs of Indigenous groups. Canada must also respond to their specific political, legal, historical, cultural and social circumstances. Several types of self-government agreement may be negotiated: </w:t>
      </w:r>
    </w:p>
    <w:p w:rsidR="00F547DE" w:rsidRPr="00F547DE" w:rsidRDefault="00F547DE" w:rsidP="00F547DE">
      <w:pPr>
        <w:pStyle w:val="ListParagraph"/>
        <w:keepNext/>
        <w:numPr>
          <w:ilvl w:val="0"/>
          <w:numId w:val="45"/>
        </w:numPr>
        <w:spacing w:before="120" w:after="240"/>
        <w:rPr>
          <w:rFonts w:ascii="Arial" w:hAnsi="Arial" w:cs="Arial"/>
          <w:sz w:val="24"/>
          <w:szCs w:val="24"/>
        </w:rPr>
      </w:pPr>
      <w:r w:rsidRPr="00F547DE">
        <w:rPr>
          <w:rFonts w:ascii="Arial" w:hAnsi="Arial" w:cs="Arial"/>
          <w:sz w:val="24"/>
          <w:szCs w:val="24"/>
        </w:rPr>
        <w:t>Separate comprehensive agreements: covering a comprehensive range of subjects, and recognizes a comprehensive range of Indigenous law making ability.  One example of this type of agreement is the Sioux Valley Dakota Nation self-government agreement in Manitoba.</w:t>
      </w:r>
    </w:p>
    <w:p w:rsidR="00F547DE" w:rsidRPr="00F547DE" w:rsidRDefault="00F547DE" w:rsidP="00F547DE">
      <w:pPr>
        <w:pStyle w:val="ListParagraph"/>
        <w:keepNext/>
        <w:numPr>
          <w:ilvl w:val="0"/>
          <w:numId w:val="45"/>
        </w:numPr>
        <w:spacing w:before="120" w:after="240"/>
        <w:rPr>
          <w:rFonts w:ascii="Arial" w:hAnsi="Arial" w:cs="Arial"/>
          <w:sz w:val="24"/>
          <w:szCs w:val="24"/>
        </w:rPr>
      </w:pPr>
      <w:r w:rsidRPr="00F547DE">
        <w:rPr>
          <w:rFonts w:ascii="Arial" w:hAnsi="Arial" w:cs="Arial"/>
          <w:sz w:val="24"/>
          <w:szCs w:val="24"/>
        </w:rPr>
        <w:t xml:space="preserve">Sectoral agreements: recognize self-government over just one area, such as education or health and family services, like the </w:t>
      </w:r>
      <w:r w:rsidRPr="00576C0F">
        <w:rPr>
          <w:rFonts w:ascii="Arial" w:hAnsi="Arial" w:cs="Arial"/>
          <w:i/>
          <w:sz w:val="24"/>
          <w:szCs w:val="24"/>
        </w:rPr>
        <w:t>Mi’kmaq Education Act</w:t>
      </w:r>
      <w:r w:rsidRPr="00F547DE">
        <w:rPr>
          <w:rFonts w:ascii="Arial" w:hAnsi="Arial" w:cs="Arial"/>
          <w:sz w:val="24"/>
          <w:szCs w:val="24"/>
        </w:rPr>
        <w:t xml:space="preserve"> in Nova Scotia, the </w:t>
      </w:r>
      <w:r w:rsidRPr="00576C0F">
        <w:rPr>
          <w:rFonts w:ascii="Arial" w:hAnsi="Arial" w:cs="Arial"/>
          <w:i/>
          <w:sz w:val="24"/>
          <w:szCs w:val="24"/>
        </w:rPr>
        <w:t>First Nations Jurisdiction over Education in British Columbia Act</w:t>
      </w:r>
      <w:r w:rsidRPr="00F547DE">
        <w:rPr>
          <w:rFonts w:ascii="Arial" w:hAnsi="Arial" w:cs="Arial"/>
          <w:sz w:val="24"/>
          <w:szCs w:val="24"/>
        </w:rPr>
        <w:t xml:space="preserve"> and the Anishinabek Nation Education Agreement in Ontario (being ratified).</w:t>
      </w:r>
    </w:p>
    <w:p w:rsidR="00F547DE" w:rsidRPr="00F547DE" w:rsidRDefault="00F547DE" w:rsidP="00F547DE">
      <w:pPr>
        <w:pStyle w:val="ListParagraph"/>
        <w:keepNext/>
        <w:numPr>
          <w:ilvl w:val="0"/>
          <w:numId w:val="45"/>
        </w:numPr>
        <w:spacing w:before="120" w:after="240"/>
        <w:rPr>
          <w:rFonts w:ascii="Arial" w:hAnsi="Arial" w:cs="Arial"/>
          <w:sz w:val="24"/>
          <w:szCs w:val="24"/>
        </w:rPr>
      </w:pPr>
      <w:r w:rsidRPr="00F547DE">
        <w:rPr>
          <w:rFonts w:ascii="Arial" w:hAnsi="Arial" w:cs="Arial"/>
          <w:sz w:val="24"/>
          <w:szCs w:val="24"/>
        </w:rPr>
        <w:t>Claims-related agreements: self-government agreements negotiated together with comprehensive land claims agreements, like the Nisga’a Final Agreement in British Columbia.</w:t>
      </w:r>
    </w:p>
    <w:p w:rsidR="00F547DE" w:rsidRPr="00F547DE" w:rsidRDefault="00F547DE" w:rsidP="00F547DE">
      <w:pPr>
        <w:pStyle w:val="ListParagraph"/>
        <w:keepNext/>
        <w:numPr>
          <w:ilvl w:val="0"/>
          <w:numId w:val="45"/>
        </w:numPr>
        <w:spacing w:before="120" w:after="240"/>
        <w:rPr>
          <w:rFonts w:ascii="Arial" w:hAnsi="Arial" w:cs="Arial"/>
          <w:sz w:val="24"/>
          <w:szCs w:val="24"/>
        </w:rPr>
      </w:pPr>
      <w:r w:rsidRPr="00F547DE">
        <w:rPr>
          <w:rFonts w:ascii="Arial" w:hAnsi="Arial" w:cs="Arial"/>
          <w:sz w:val="24"/>
          <w:szCs w:val="24"/>
        </w:rPr>
        <w:t>Public government agreements: self-government exercised as part of broader public government agreements, as is the case in the Nunavut Territory.</w:t>
      </w:r>
    </w:p>
    <w:p w:rsidR="00F547DE" w:rsidRPr="00F547DE" w:rsidRDefault="00F547DE" w:rsidP="00F547DE">
      <w:pPr>
        <w:keepNext/>
        <w:spacing w:before="120" w:after="240"/>
        <w:ind w:left="540"/>
        <w:rPr>
          <w:rFonts w:ascii="Arial" w:hAnsi="Arial" w:cs="Arial"/>
          <w:sz w:val="24"/>
          <w:szCs w:val="24"/>
        </w:rPr>
      </w:pPr>
      <w:r w:rsidRPr="00F547DE">
        <w:rPr>
          <w:rFonts w:ascii="Arial" w:hAnsi="Arial" w:cs="Arial"/>
          <w:sz w:val="24"/>
          <w:szCs w:val="24"/>
        </w:rPr>
        <w:t>Canada is prepared to enter into negotiations with duly mandated representatives of Indigenous groups and the provinces concerned, in order to establish mutually acceptable processes at the local, regional, treaty or provincial level. The size of the group and workable economies of scale will be significant considerations in determining what may be practical to negotiate. The process for completing self-government /comprehensive claim agreements follows these six steps:</w:t>
      </w:r>
    </w:p>
    <w:p w:rsidR="00F547DE" w:rsidRPr="00F547DE" w:rsidRDefault="00F547DE" w:rsidP="00F547DE">
      <w:pPr>
        <w:keepNext/>
        <w:spacing w:before="120" w:after="240"/>
        <w:ind w:left="540"/>
        <w:rPr>
          <w:rFonts w:ascii="Arial" w:hAnsi="Arial" w:cs="Arial"/>
          <w:sz w:val="24"/>
          <w:szCs w:val="24"/>
        </w:rPr>
      </w:pPr>
      <w:r w:rsidRPr="00F547DE">
        <w:rPr>
          <w:rFonts w:ascii="Arial" w:hAnsi="Arial" w:cs="Arial"/>
          <w:sz w:val="24"/>
          <w:szCs w:val="24"/>
        </w:rPr>
        <w:t>1.</w:t>
      </w:r>
      <w:r w:rsidRPr="00F547DE">
        <w:rPr>
          <w:rFonts w:ascii="Arial" w:hAnsi="Arial" w:cs="Arial"/>
          <w:sz w:val="24"/>
          <w:szCs w:val="24"/>
        </w:rPr>
        <w:tab/>
        <w:t>Submission of Claim</w:t>
      </w:r>
    </w:p>
    <w:p w:rsidR="00F547DE" w:rsidRPr="00F547DE" w:rsidRDefault="00F547DE" w:rsidP="00F547DE">
      <w:pPr>
        <w:keepNext/>
        <w:spacing w:before="120" w:after="240"/>
        <w:ind w:left="540"/>
        <w:rPr>
          <w:rFonts w:ascii="Arial" w:hAnsi="Arial" w:cs="Arial"/>
          <w:sz w:val="24"/>
          <w:szCs w:val="24"/>
        </w:rPr>
      </w:pPr>
      <w:r w:rsidRPr="00F547DE">
        <w:rPr>
          <w:rFonts w:ascii="Arial" w:hAnsi="Arial" w:cs="Arial"/>
          <w:sz w:val="24"/>
          <w:szCs w:val="24"/>
        </w:rPr>
        <w:t>2.</w:t>
      </w:r>
      <w:r w:rsidRPr="00F547DE">
        <w:rPr>
          <w:rFonts w:ascii="Arial" w:hAnsi="Arial" w:cs="Arial"/>
          <w:sz w:val="24"/>
          <w:szCs w:val="24"/>
        </w:rPr>
        <w:tab/>
        <w:t>Acceptance</w:t>
      </w:r>
    </w:p>
    <w:p w:rsidR="00F547DE" w:rsidRPr="00F547DE" w:rsidRDefault="00F547DE" w:rsidP="00F547DE">
      <w:pPr>
        <w:keepNext/>
        <w:spacing w:before="120" w:after="240"/>
        <w:ind w:left="540"/>
        <w:rPr>
          <w:rFonts w:ascii="Arial" w:hAnsi="Arial" w:cs="Arial"/>
          <w:sz w:val="24"/>
          <w:szCs w:val="24"/>
        </w:rPr>
      </w:pPr>
      <w:r w:rsidRPr="00F547DE">
        <w:rPr>
          <w:rFonts w:ascii="Arial" w:hAnsi="Arial" w:cs="Arial"/>
          <w:sz w:val="24"/>
          <w:szCs w:val="24"/>
        </w:rPr>
        <w:t>3.</w:t>
      </w:r>
      <w:r w:rsidRPr="00F547DE">
        <w:rPr>
          <w:rFonts w:ascii="Arial" w:hAnsi="Arial" w:cs="Arial"/>
          <w:sz w:val="24"/>
          <w:szCs w:val="24"/>
        </w:rPr>
        <w:tab/>
        <w:t>Framework agreement</w:t>
      </w:r>
    </w:p>
    <w:p w:rsidR="00F547DE" w:rsidRPr="00F547DE" w:rsidRDefault="00F547DE" w:rsidP="00F547DE">
      <w:pPr>
        <w:keepNext/>
        <w:spacing w:before="120" w:after="240"/>
        <w:ind w:left="540"/>
        <w:rPr>
          <w:rFonts w:ascii="Arial" w:hAnsi="Arial" w:cs="Arial"/>
          <w:sz w:val="24"/>
          <w:szCs w:val="24"/>
        </w:rPr>
      </w:pPr>
      <w:r w:rsidRPr="00F547DE">
        <w:rPr>
          <w:rFonts w:ascii="Arial" w:hAnsi="Arial" w:cs="Arial"/>
          <w:sz w:val="24"/>
          <w:szCs w:val="24"/>
        </w:rPr>
        <w:t>4.</w:t>
      </w:r>
      <w:r w:rsidRPr="00F547DE">
        <w:rPr>
          <w:rFonts w:ascii="Arial" w:hAnsi="Arial" w:cs="Arial"/>
          <w:sz w:val="24"/>
          <w:szCs w:val="24"/>
        </w:rPr>
        <w:tab/>
        <w:t>Agreement in Principle</w:t>
      </w:r>
    </w:p>
    <w:p w:rsidR="00F547DE" w:rsidRPr="00F547DE" w:rsidRDefault="00F547DE" w:rsidP="00F547DE">
      <w:pPr>
        <w:keepNext/>
        <w:spacing w:before="120" w:after="240"/>
        <w:ind w:left="540"/>
        <w:rPr>
          <w:rFonts w:ascii="Arial" w:hAnsi="Arial" w:cs="Arial"/>
          <w:sz w:val="24"/>
          <w:szCs w:val="24"/>
        </w:rPr>
      </w:pPr>
      <w:r w:rsidRPr="00F547DE">
        <w:rPr>
          <w:rFonts w:ascii="Arial" w:hAnsi="Arial" w:cs="Arial"/>
          <w:sz w:val="24"/>
          <w:szCs w:val="24"/>
        </w:rPr>
        <w:t>5.</w:t>
      </w:r>
      <w:r w:rsidRPr="00F547DE">
        <w:rPr>
          <w:rFonts w:ascii="Arial" w:hAnsi="Arial" w:cs="Arial"/>
          <w:sz w:val="24"/>
          <w:szCs w:val="24"/>
        </w:rPr>
        <w:tab/>
        <w:t>Final agreement and Ratification</w:t>
      </w:r>
    </w:p>
    <w:p w:rsidR="00F547DE" w:rsidRPr="00F547DE" w:rsidRDefault="00F547DE" w:rsidP="00F547DE">
      <w:pPr>
        <w:keepNext/>
        <w:spacing w:before="120" w:after="240"/>
        <w:ind w:left="540"/>
        <w:rPr>
          <w:rFonts w:ascii="Arial" w:hAnsi="Arial" w:cs="Arial"/>
          <w:sz w:val="24"/>
          <w:szCs w:val="24"/>
        </w:rPr>
      </w:pPr>
      <w:r w:rsidRPr="00F547DE">
        <w:rPr>
          <w:rFonts w:ascii="Arial" w:hAnsi="Arial" w:cs="Arial"/>
          <w:sz w:val="24"/>
          <w:szCs w:val="24"/>
        </w:rPr>
        <w:t>6.</w:t>
      </w:r>
      <w:r w:rsidRPr="00F547DE">
        <w:rPr>
          <w:rFonts w:ascii="Arial" w:hAnsi="Arial" w:cs="Arial"/>
          <w:sz w:val="24"/>
          <w:szCs w:val="24"/>
        </w:rPr>
        <w:tab/>
        <w:t>Implementation</w:t>
      </w:r>
    </w:p>
    <w:p w:rsidR="00F547DE" w:rsidRPr="00F547DE" w:rsidRDefault="00F547DE" w:rsidP="00F547DE">
      <w:pPr>
        <w:keepNext/>
        <w:spacing w:before="120" w:after="240"/>
        <w:ind w:left="540"/>
        <w:rPr>
          <w:rFonts w:ascii="Arial" w:hAnsi="Arial" w:cs="Arial"/>
          <w:sz w:val="24"/>
          <w:szCs w:val="24"/>
        </w:rPr>
      </w:pPr>
      <w:r w:rsidRPr="00F547DE">
        <w:rPr>
          <w:rFonts w:ascii="Arial" w:hAnsi="Arial" w:cs="Arial"/>
          <w:sz w:val="24"/>
          <w:szCs w:val="24"/>
        </w:rPr>
        <w:t>Since Canada began negotiating self-government agreements, 27 self-government agreements have been signed, of which 17 are separate agreements and 10 are combined with Comprehensive land claims agreements. Currently there are about 90 self-government negotiation tables across the country. These tables are at various stages of the negotiation process and in most cases are being negotiated in conjunction with comprehensive land claim agreements.</w:t>
      </w:r>
    </w:p>
    <w:p w:rsidR="008B31A9" w:rsidRPr="00F547DE" w:rsidRDefault="005246FA" w:rsidP="004303C0">
      <w:pPr>
        <w:pStyle w:val="ListParagraph"/>
        <w:keepNext/>
        <w:numPr>
          <w:ilvl w:val="0"/>
          <w:numId w:val="27"/>
        </w:numPr>
        <w:spacing w:before="120" w:after="240"/>
        <w:ind w:left="540" w:hanging="540"/>
        <w:rPr>
          <w:rFonts w:ascii="Arial" w:hAnsi="Arial" w:cs="Arial"/>
          <w:b/>
          <w:sz w:val="24"/>
          <w:szCs w:val="24"/>
        </w:rPr>
      </w:pPr>
      <w:r w:rsidRPr="00F547DE">
        <w:rPr>
          <w:rFonts w:ascii="Arial" w:hAnsi="Arial" w:cs="Arial"/>
          <w:b/>
          <w:sz w:val="24"/>
          <w:szCs w:val="24"/>
        </w:rPr>
        <w:t xml:space="preserve">Information on the application of the </w:t>
      </w:r>
      <w:r w:rsidR="008B31A9" w:rsidRPr="00F547DE">
        <w:rPr>
          <w:rFonts w:ascii="Arial" w:hAnsi="Arial" w:cs="Arial"/>
          <w:b/>
          <w:sz w:val="24"/>
          <w:szCs w:val="24"/>
        </w:rPr>
        <w:t xml:space="preserve">Mandela </w:t>
      </w:r>
      <w:r w:rsidR="0026053A" w:rsidRPr="00F547DE">
        <w:rPr>
          <w:rFonts w:ascii="Arial" w:hAnsi="Arial" w:cs="Arial"/>
          <w:b/>
          <w:sz w:val="24"/>
          <w:szCs w:val="24"/>
        </w:rPr>
        <w:t>Rules for the treatment of prisoners</w:t>
      </w:r>
      <w:r w:rsidR="008B31A9" w:rsidRPr="00F547DE">
        <w:rPr>
          <w:rFonts w:ascii="Arial" w:hAnsi="Arial" w:cs="Arial"/>
          <w:b/>
          <w:sz w:val="24"/>
          <w:szCs w:val="24"/>
        </w:rPr>
        <w:t xml:space="preserve"> </w:t>
      </w:r>
    </w:p>
    <w:p w:rsidR="0026053A" w:rsidRPr="009557F3" w:rsidRDefault="0026053A" w:rsidP="005246FA">
      <w:pPr>
        <w:pStyle w:val="Body"/>
        <w:spacing w:before="120" w:after="240"/>
        <w:ind w:left="540"/>
        <w:rPr>
          <w:rFonts w:ascii="Arial" w:eastAsiaTheme="minorHAnsi" w:hAnsi="Arial" w:cs="Arial"/>
          <w:color w:val="auto"/>
          <w:sz w:val="24"/>
          <w:szCs w:val="24"/>
          <w:bdr w:val="none" w:sz="0" w:space="0" w:color="auto"/>
          <w:lang w:val="en-CA"/>
        </w:rPr>
      </w:pPr>
      <w:r w:rsidRPr="009557F3">
        <w:rPr>
          <w:rFonts w:ascii="Arial" w:eastAsiaTheme="minorHAnsi" w:hAnsi="Arial" w:cs="Arial"/>
          <w:color w:val="auto"/>
          <w:sz w:val="24"/>
          <w:szCs w:val="24"/>
          <w:bdr w:val="none" w:sz="0" w:space="0" w:color="auto"/>
          <w:lang w:val="en-CA"/>
        </w:rPr>
        <w:t xml:space="preserve">There were eight substantive areas of the Mandela Rules that were revised and incorporated into </w:t>
      </w:r>
      <w:r w:rsidR="005246FA" w:rsidRPr="009557F3">
        <w:rPr>
          <w:rFonts w:ascii="Arial" w:eastAsiaTheme="minorHAnsi" w:hAnsi="Arial" w:cs="Arial"/>
          <w:color w:val="auto"/>
          <w:sz w:val="24"/>
          <w:szCs w:val="24"/>
          <w:bdr w:val="none" w:sz="0" w:space="0" w:color="auto"/>
          <w:lang w:val="en-CA"/>
        </w:rPr>
        <w:t xml:space="preserve">the Government of Canada’s </w:t>
      </w:r>
      <w:r w:rsidRPr="009557F3">
        <w:rPr>
          <w:rFonts w:ascii="Arial" w:eastAsiaTheme="minorHAnsi" w:hAnsi="Arial" w:cs="Arial"/>
          <w:color w:val="auto"/>
          <w:sz w:val="24"/>
          <w:szCs w:val="24"/>
          <w:bdr w:val="none" w:sz="0" w:space="0" w:color="auto"/>
          <w:lang w:val="en-CA"/>
        </w:rPr>
        <w:t xml:space="preserve">Correctional Services Canada’s </w:t>
      </w:r>
      <w:r w:rsidR="00576C0F">
        <w:rPr>
          <w:rFonts w:ascii="Arial" w:eastAsiaTheme="minorHAnsi" w:hAnsi="Arial" w:cs="Arial"/>
          <w:color w:val="auto"/>
          <w:sz w:val="24"/>
          <w:szCs w:val="24"/>
          <w:bdr w:val="none" w:sz="0" w:space="0" w:color="auto"/>
          <w:lang w:val="en-CA"/>
        </w:rPr>
        <w:t xml:space="preserve">(CSC) </w:t>
      </w:r>
      <w:r w:rsidRPr="009557F3">
        <w:rPr>
          <w:rFonts w:ascii="Arial" w:eastAsiaTheme="minorHAnsi" w:hAnsi="Arial" w:cs="Arial"/>
          <w:color w:val="auto"/>
          <w:sz w:val="24"/>
          <w:szCs w:val="24"/>
          <w:bdr w:val="none" w:sz="0" w:space="0" w:color="auto"/>
          <w:lang w:val="en-CA"/>
        </w:rPr>
        <w:t xml:space="preserve">mandate and operations. The following text in italics represents how the revision was incorporated. </w:t>
      </w:r>
    </w:p>
    <w:p w:rsidR="001876F5" w:rsidRPr="009557F3" w:rsidRDefault="001876F5" w:rsidP="009557F3">
      <w:pPr>
        <w:pStyle w:val="Body"/>
        <w:numPr>
          <w:ilvl w:val="1"/>
          <w:numId w:val="8"/>
        </w:numPr>
        <w:spacing w:before="120" w:after="240"/>
        <w:ind w:left="900"/>
        <w:rPr>
          <w:rFonts w:ascii="Arial" w:eastAsia="Arial" w:hAnsi="Arial" w:cs="Arial"/>
          <w:b/>
          <w:bCs/>
          <w:sz w:val="24"/>
          <w:szCs w:val="24"/>
          <w:u w:color="000000"/>
          <w:lang w:val="en-CA"/>
        </w:rPr>
      </w:pPr>
      <w:r w:rsidRPr="009557F3">
        <w:rPr>
          <w:rFonts w:ascii="Arial" w:hAnsi="Arial" w:cs="Arial"/>
          <w:b/>
          <w:bCs/>
          <w:sz w:val="24"/>
          <w:szCs w:val="24"/>
          <w:u w:color="000000"/>
          <w:lang w:val="en-CA"/>
        </w:rPr>
        <w:t>Respect for prisoners’ inherent dignity</w:t>
      </w:r>
    </w:p>
    <w:p w:rsidR="001876F5" w:rsidRPr="009557F3" w:rsidRDefault="001876F5" w:rsidP="009557F3">
      <w:pPr>
        <w:pStyle w:val="Body"/>
        <w:spacing w:before="120" w:after="240"/>
        <w:ind w:left="540"/>
        <w:rPr>
          <w:rFonts w:ascii="Arial" w:eastAsia="Arial" w:hAnsi="Arial" w:cs="Arial"/>
          <w:sz w:val="24"/>
          <w:szCs w:val="24"/>
          <w:u w:color="000000"/>
          <w:lang w:val="en-CA"/>
        </w:rPr>
      </w:pPr>
      <w:r w:rsidRPr="009557F3">
        <w:rPr>
          <w:rFonts w:ascii="Arial" w:hAnsi="Arial" w:cs="Arial"/>
          <w:sz w:val="24"/>
          <w:szCs w:val="24"/>
          <w:u w:color="000000"/>
          <w:lang w:val="en-CA"/>
        </w:rPr>
        <w:t>The principle of treatment with respect for the dignity and value as human beings and the prohibition of torture and other cruel, inhuman or degrading treatment or punishment have been incorporated throughout the Rules, including as a basic principle in Rule 6 and by providing guidance on searches of prisoners for example.</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Charter of Human Rights and Freedoms</w:t>
      </w:r>
    </w:p>
    <w:p w:rsidR="001876F5" w:rsidRPr="009557F3" w:rsidRDefault="001876F5" w:rsidP="00576C0F">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 xml:space="preserve">A guiding principle for </w:t>
      </w:r>
      <w:r w:rsidR="00576C0F" w:rsidRPr="00576C0F">
        <w:rPr>
          <w:rFonts w:ascii="Arial" w:hAnsi="Arial" w:cs="Arial"/>
          <w:i/>
          <w:sz w:val="24"/>
          <w:szCs w:val="24"/>
          <w:u w:color="00B050"/>
        </w:rPr>
        <w:t>Correctional Services Canada</w:t>
      </w:r>
      <w:r w:rsidR="00576C0F">
        <w:rPr>
          <w:rFonts w:ascii="Arial" w:hAnsi="Arial" w:cs="Arial"/>
          <w:i/>
          <w:sz w:val="24"/>
          <w:szCs w:val="24"/>
          <w:u w:color="00B050"/>
        </w:rPr>
        <w:t xml:space="preserve"> (CSC)</w:t>
      </w:r>
      <w:r w:rsidRPr="009557F3">
        <w:rPr>
          <w:rFonts w:ascii="Arial" w:hAnsi="Arial" w:cs="Arial"/>
          <w:i/>
          <w:sz w:val="24"/>
          <w:szCs w:val="24"/>
          <w:u w:color="00B050"/>
        </w:rPr>
        <w:t xml:space="preserve">, entrenched in the Corrections and Conditional Release Act </w:t>
      </w:r>
      <w:bookmarkStart w:id="0" w:name="_GoBack"/>
      <w:bookmarkEnd w:id="0"/>
      <w:r w:rsidRPr="009557F3">
        <w:rPr>
          <w:rFonts w:ascii="Arial" w:hAnsi="Arial" w:cs="Arial"/>
          <w:i/>
          <w:sz w:val="24"/>
          <w:szCs w:val="24"/>
          <w:u w:color="00B050"/>
        </w:rPr>
        <w:t xml:space="preserve">is that “the Service uses measures that are consistent with the protection of society, staff members and offenders and that are limited to only what is necessary and proportionate to attain the purposes of this Act; </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CSC mission and values</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Parameters for searching offenders, institutions, visitors are outlined in legislation and policy</w:t>
      </w:r>
    </w:p>
    <w:p w:rsidR="001876F5" w:rsidRPr="009557F3" w:rsidRDefault="001876F5" w:rsidP="009557F3">
      <w:pPr>
        <w:pStyle w:val="Body"/>
        <w:numPr>
          <w:ilvl w:val="1"/>
          <w:numId w:val="8"/>
        </w:numPr>
        <w:spacing w:before="120" w:after="240"/>
        <w:ind w:left="900"/>
        <w:rPr>
          <w:rFonts w:ascii="Arial" w:eastAsia="Arial" w:hAnsi="Arial" w:cs="Arial"/>
          <w:b/>
          <w:bCs/>
          <w:sz w:val="24"/>
          <w:szCs w:val="24"/>
          <w:u w:color="000000"/>
          <w:lang w:val="en-CA"/>
        </w:rPr>
      </w:pPr>
      <w:r w:rsidRPr="009557F3">
        <w:rPr>
          <w:rFonts w:ascii="Arial" w:hAnsi="Arial" w:cs="Arial"/>
          <w:b/>
          <w:bCs/>
          <w:sz w:val="24"/>
          <w:szCs w:val="24"/>
          <w:u w:color="000000"/>
          <w:lang w:val="en-CA"/>
        </w:rPr>
        <w:t>Medical and health services</w:t>
      </w:r>
    </w:p>
    <w:p w:rsidR="001876F5" w:rsidRPr="009557F3" w:rsidRDefault="001876F5" w:rsidP="009557F3">
      <w:pPr>
        <w:pStyle w:val="Body"/>
        <w:spacing w:before="120" w:after="240"/>
        <w:ind w:left="540"/>
        <w:rPr>
          <w:rFonts w:ascii="Arial" w:eastAsia="Arial" w:hAnsi="Arial" w:cs="Arial"/>
          <w:sz w:val="24"/>
          <w:szCs w:val="24"/>
          <w:u w:color="000000"/>
          <w:lang w:val="en-CA"/>
        </w:rPr>
      </w:pPr>
      <w:r w:rsidRPr="009557F3">
        <w:rPr>
          <w:rFonts w:ascii="Arial" w:hAnsi="Arial" w:cs="Arial"/>
          <w:sz w:val="24"/>
          <w:szCs w:val="24"/>
          <w:u w:color="000000"/>
          <w:lang w:val="en-CA"/>
        </w:rPr>
        <w:t>The Rules clarify that healthcare of prisoners is a state responsibility, and should be of an equal standard to that available in the community and organised in close relationship to the general public health administration. There is detailed guidance on healthcare in prison and on the role of healthcare staff.</w:t>
      </w:r>
    </w:p>
    <w:p w:rsidR="001876F5" w:rsidRPr="009557F3" w:rsidRDefault="001876F5" w:rsidP="00877A84">
      <w:pPr>
        <w:pStyle w:val="ListParagraph"/>
        <w:numPr>
          <w:ilvl w:val="0"/>
          <w:numId w:val="18"/>
        </w:numPr>
        <w:pBdr>
          <w:top w:val="nil"/>
          <w:left w:val="nil"/>
          <w:bottom w:val="nil"/>
          <w:right w:val="nil"/>
          <w:between w:val="nil"/>
          <w:bar w:val="nil"/>
        </w:pBdr>
        <w:spacing w:before="120" w:after="240"/>
        <w:rPr>
          <w:rFonts w:ascii="Arial" w:eastAsia="Arial" w:hAnsi="Arial" w:cs="Arial"/>
          <w:i/>
          <w:sz w:val="24"/>
          <w:szCs w:val="24"/>
          <w:u w:color="00B050"/>
        </w:rPr>
      </w:pPr>
      <w:r w:rsidRPr="009557F3">
        <w:rPr>
          <w:rFonts w:ascii="Arial" w:hAnsi="Arial" w:cs="Arial"/>
          <w:i/>
          <w:sz w:val="24"/>
          <w:szCs w:val="24"/>
          <w:u w:color="00B050"/>
        </w:rPr>
        <w:t>CSC provides all inmates with essential health care in accordance with professionally accepted standards</w:t>
      </w:r>
    </w:p>
    <w:p w:rsidR="001876F5" w:rsidRPr="009557F3" w:rsidRDefault="001876F5" w:rsidP="00877A84">
      <w:pPr>
        <w:pStyle w:val="ListParagraph"/>
        <w:numPr>
          <w:ilvl w:val="0"/>
          <w:numId w:val="18"/>
        </w:numPr>
        <w:pBdr>
          <w:top w:val="nil"/>
          <w:left w:val="nil"/>
          <w:bottom w:val="nil"/>
          <w:right w:val="nil"/>
          <w:between w:val="nil"/>
          <w:bar w:val="nil"/>
        </w:pBdr>
        <w:spacing w:before="120" w:after="240"/>
        <w:rPr>
          <w:rFonts w:ascii="Arial" w:eastAsia="Arial" w:hAnsi="Arial" w:cs="Arial"/>
          <w:i/>
          <w:sz w:val="24"/>
          <w:szCs w:val="24"/>
          <w:u w:color="00B050"/>
        </w:rPr>
      </w:pPr>
      <w:r w:rsidRPr="009557F3">
        <w:rPr>
          <w:rFonts w:ascii="Arial" w:hAnsi="Arial" w:cs="Arial"/>
          <w:i/>
          <w:sz w:val="24"/>
          <w:szCs w:val="24"/>
          <w:u w:color="00B050"/>
        </w:rPr>
        <w:t>To provide assurance of this, CSC healthcare is accredited by the same NGO that accredits health care for all Canadians</w:t>
      </w:r>
    </w:p>
    <w:p w:rsidR="001876F5" w:rsidRPr="009557F3" w:rsidRDefault="001876F5" w:rsidP="00877A84">
      <w:pPr>
        <w:pStyle w:val="ListParagraph"/>
        <w:numPr>
          <w:ilvl w:val="0"/>
          <w:numId w:val="18"/>
        </w:numPr>
        <w:pBdr>
          <w:top w:val="nil"/>
          <w:left w:val="nil"/>
          <w:bottom w:val="nil"/>
          <w:right w:val="nil"/>
          <w:between w:val="nil"/>
          <w:bar w:val="nil"/>
        </w:pBdr>
        <w:spacing w:before="120" w:after="240"/>
        <w:rPr>
          <w:rFonts w:ascii="Arial" w:eastAsia="Arial" w:hAnsi="Arial" w:cs="Arial"/>
          <w:i/>
          <w:sz w:val="24"/>
          <w:szCs w:val="24"/>
          <w:u w:color="00B050"/>
        </w:rPr>
      </w:pPr>
      <w:r w:rsidRPr="009557F3">
        <w:rPr>
          <w:rFonts w:ascii="Arial" w:hAnsi="Arial" w:cs="Arial"/>
          <w:i/>
          <w:sz w:val="24"/>
          <w:szCs w:val="24"/>
          <w:u w:color="00B050"/>
        </w:rPr>
        <w:t>All 5 regions have an inpatient facility</w:t>
      </w:r>
    </w:p>
    <w:p w:rsidR="001876F5" w:rsidRPr="009557F3" w:rsidRDefault="001876F5" w:rsidP="00877A84">
      <w:pPr>
        <w:pStyle w:val="ListParagraph"/>
        <w:numPr>
          <w:ilvl w:val="0"/>
          <w:numId w:val="18"/>
        </w:numPr>
        <w:pBdr>
          <w:top w:val="nil"/>
          <w:left w:val="nil"/>
          <w:bottom w:val="nil"/>
          <w:right w:val="nil"/>
          <w:between w:val="nil"/>
          <w:bar w:val="nil"/>
        </w:pBdr>
        <w:spacing w:before="120" w:after="240"/>
        <w:rPr>
          <w:rFonts w:ascii="Arial" w:eastAsia="Arial" w:hAnsi="Arial" w:cs="Arial"/>
          <w:i/>
          <w:sz w:val="24"/>
          <w:szCs w:val="24"/>
          <w:u w:color="00B050"/>
        </w:rPr>
      </w:pPr>
      <w:r w:rsidRPr="009557F3">
        <w:rPr>
          <w:rFonts w:ascii="Arial" w:hAnsi="Arial" w:cs="Arial"/>
          <w:i/>
          <w:sz w:val="24"/>
          <w:szCs w:val="24"/>
          <w:u w:color="00B050"/>
        </w:rPr>
        <w:t>Offenders have access to outside medical treatment as required</w:t>
      </w:r>
    </w:p>
    <w:p w:rsidR="001876F5" w:rsidRPr="009557F3" w:rsidRDefault="001876F5" w:rsidP="00576C0F">
      <w:pPr>
        <w:pStyle w:val="ListParagraph"/>
        <w:numPr>
          <w:ilvl w:val="0"/>
          <w:numId w:val="18"/>
        </w:numPr>
        <w:pBdr>
          <w:top w:val="nil"/>
          <w:left w:val="nil"/>
          <w:bottom w:val="nil"/>
          <w:right w:val="nil"/>
          <w:between w:val="nil"/>
          <w:bar w:val="nil"/>
        </w:pBdr>
        <w:spacing w:before="120" w:after="240"/>
        <w:rPr>
          <w:rFonts w:ascii="Arial" w:eastAsia="Arial" w:hAnsi="Arial" w:cs="Arial"/>
          <w:i/>
          <w:sz w:val="24"/>
          <w:szCs w:val="24"/>
          <w:u w:color="00B050"/>
        </w:rPr>
      </w:pPr>
      <w:r w:rsidRPr="009557F3">
        <w:rPr>
          <w:rFonts w:ascii="Arial" w:hAnsi="Arial" w:cs="Arial"/>
          <w:i/>
          <w:sz w:val="24"/>
          <w:szCs w:val="24"/>
          <w:u w:color="00B050"/>
        </w:rPr>
        <w:t xml:space="preserve">Section 4 (g) of the </w:t>
      </w:r>
      <w:r w:rsidR="00576C0F" w:rsidRPr="00576C0F">
        <w:rPr>
          <w:rFonts w:ascii="Arial" w:hAnsi="Arial" w:cs="Arial"/>
          <w:i/>
          <w:sz w:val="24"/>
          <w:szCs w:val="24"/>
          <w:u w:color="00B050"/>
        </w:rPr>
        <w:t>Corrections and Conditional Release Act</w:t>
      </w:r>
      <w:r w:rsidRPr="009557F3">
        <w:rPr>
          <w:rFonts w:ascii="Arial" w:hAnsi="Arial" w:cs="Arial"/>
          <w:i/>
          <w:sz w:val="24"/>
          <w:szCs w:val="24"/>
          <w:u w:color="00B050"/>
        </w:rPr>
        <w:t xml:space="preserve"> requires that correctional policies, programs and practices respect gender, ethnic, cultural and linguistic differences and are responsive to the special needs of women, aboriginal peoples, persons requiring mental health care and other groups </w:t>
      </w:r>
    </w:p>
    <w:p w:rsidR="001876F5" w:rsidRPr="009557F3" w:rsidRDefault="001876F5" w:rsidP="009557F3">
      <w:pPr>
        <w:pStyle w:val="Body"/>
        <w:numPr>
          <w:ilvl w:val="1"/>
          <w:numId w:val="8"/>
        </w:numPr>
        <w:spacing w:before="120" w:after="240"/>
        <w:ind w:left="900"/>
        <w:rPr>
          <w:rFonts w:ascii="Arial" w:eastAsia="Arial" w:hAnsi="Arial" w:cs="Arial"/>
          <w:b/>
          <w:bCs/>
          <w:sz w:val="24"/>
          <w:szCs w:val="24"/>
          <w:u w:color="000000"/>
          <w:lang w:val="en-CA"/>
        </w:rPr>
      </w:pPr>
      <w:r w:rsidRPr="009557F3">
        <w:rPr>
          <w:rFonts w:ascii="Arial" w:hAnsi="Arial" w:cs="Arial"/>
          <w:b/>
          <w:bCs/>
          <w:sz w:val="24"/>
          <w:szCs w:val="24"/>
          <w:u w:color="000000"/>
          <w:lang w:val="en-CA"/>
        </w:rPr>
        <w:t>Disciplinary measures and sanctions</w:t>
      </w:r>
    </w:p>
    <w:p w:rsidR="001876F5" w:rsidRPr="009557F3" w:rsidRDefault="001876F5" w:rsidP="009557F3">
      <w:pPr>
        <w:pStyle w:val="Body"/>
        <w:spacing w:before="120" w:after="240"/>
        <w:ind w:left="540"/>
        <w:rPr>
          <w:rFonts w:ascii="Arial" w:eastAsia="Arial" w:hAnsi="Arial" w:cs="Arial"/>
          <w:sz w:val="24"/>
          <w:szCs w:val="24"/>
          <w:u w:color="000000"/>
          <w:lang w:val="en-CA"/>
        </w:rPr>
      </w:pPr>
      <w:r w:rsidRPr="009557F3">
        <w:rPr>
          <w:rFonts w:ascii="Arial" w:hAnsi="Arial" w:cs="Arial"/>
          <w:sz w:val="24"/>
          <w:szCs w:val="24"/>
          <w:u w:color="000000"/>
          <w:lang w:val="en-CA"/>
        </w:rPr>
        <w:t>Comprehensive changes in this area include updated guidance on the use of instruments of restraint, procedural safeguards in disciplinary procedures and clarification of prohibited disciplinary sanctions (e</w:t>
      </w:r>
      <w:r w:rsidR="00C90F77" w:rsidRPr="009557F3">
        <w:rPr>
          <w:rFonts w:ascii="Arial" w:hAnsi="Arial" w:cs="Arial"/>
          <w:sz w:val="24"/>
          <w:szCs w:val="24"/>
          <w:u w:color="000000"/>
          <w:lang w:val="en-CA"/>
        </w:rPr>
        <w:t>.</w:t>
      </w:r>
      <w:r w:rsidRPr="009557F3">
        <w:rPr>
          <w:rFonts w:ascii="Arial" w:hAnsi="Arial" w:cs="Arial"/>
          <w:sz w:val="24"/>
          <w:szCs w:val="24"/>
          <w:u w:color="000000"/>
          <w:lang w:val="en-CA"/>
        </w:rPr>
        <w:t>g</w:t>
      </w:r>
      <w:r w:rsidR="00C90F77" w:rsidRPr="009557F3">
        <w:rPr>
          <w:rFonts w:ascii="Arial" w:hAnsi="Arial" w:cs="Arial"/>
          <w:sz w:val="24"/>
          <w:szCs w:val="24"/>
          <w:u w:color="000000"/>
          <w:lang w:val="en-CA"/>
        </w:rPr>
        <w:t xml:space="preserve">., </w:t>
      </w:r>
      <w:r w:rsidRPr="009557F3">
        <w:rPr>
          <w:rFonts w:ascii="Arial" w:hAnsi="Arial" w:cs="Arial"/>
          <w:sz w:val="24"/>
          <w:szCs w:val="24"/>
          <w:u w:color="000000"/>
          <w:lang w:val="en-CA"/>
        </w:rPr>
        <w:t>restriction of drinking water). As an overarching principle, prison staff are encouraged to use conflict prevention mechanisms to prevent disciplinary offences and resolve conflicts. Limitations on the use of solitary confinement (which is also defined) are included for the first time in an international standard.</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 xml:space="preserve">Guided by legislation and CSC policy </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 xml:space="preserve">Independent </w:t>
      </w:r>
      <w:r w:rsidR="00C90F77" w:rsidRPr="009557F3">
        <w:rPr>
          <w:rFonts w:ascii="Arial" w:hAnsi="Arial" w:cs="Arial"/>
          <w:i/>
          <w:sz w:val="24"/>
          <w:szCs w:val="24"/>
          <w:u w:color="00B050"/>
        </w:rPr>
        <w:t>Chairperson</w:t>
      </w:r>
      <w:r w:rsidRPr="009557F3">
        <w:rPr>
          <w:rFonts w:ascii="Arial" w:hAnsi="Arial" w:cs="Arial"/>
          <w:i/>
          <w:sz w:val="24"/>
          <w:szCs w:val="24"/>
          <w:u w:color="00B050"/>
        </w:rPr>
        <w:t xml:space="preserve"> to process serious charges</w:t>
      </w:r>
    </w:p>
    <w:p w:rsidR="001876F5" w:rsidRPr="009557F3" w:rsidRDefault="001876F5" w:rsidP="009557F3">
      <w:pPr>
        <w:pStyle w:val="Body"/>
        <w:numPr>
          <w:ilvl w:val="1"/>
          <w:numId w:val="8"/>
        </w:numPr>
        <w:spacing w:before="120" w:after="240"/>
        <w:ind w:left="900"/>
        <w:rPr>
          <w:rFonts w:ascii="Arial" w:eastAsia="Arial" w:hAnsi="Arial" w:cs="Arial"/>
          <w:b/>
          <w:bCs/>
          <w:sz w:val="24"/>
          <w:szCs w:val="24"/>
          <w:u w:color="000000"/>
          <w:lang w:val="en-CA"/>
        </w:rPr>
      </w:pPr>
      <w:r w:rsidRPr="009557F3">
        <w:rPr>
          <w:rFonts w:ascii="Arial" w:hAnsi="Arial" w:cs="Arial"/>
          <w:b/>
          <w:bCs/>
          <w:sz w:val="24"/>
          <w:szCs w:val="24"/>
          <w:u w:color="000000"/>
          <w:lang w:val="en-CA"/>
        </w:rPr>
        <w:t>Investigations of deaths and torture in custody</w:t>
      </w:r>
    </w:p>
    <w:p w:rsidR="001876F5" w:rsidRPr="009557F3" w:rsidRDefault="001876F5" w:rsidP="009557F3">
      <w:pPr>
        <w:pStyle w:val="Body"/>
        <w:spacing w:before="120" w:after="240"/>
        <w:ind w:left="540"/>
        <w:rPr>
          <w:rFonts w:ascii="Arial" w:eastAsia="Arial" w:hAnsi="Arial" w:cs="Arial"/>
          <w:sz w:val="24"/>
          <w:szCs w:val="24"/>
          <w:u w:color="000000"/>
          <w:lang w:val="en-CA"/>
        </w:rPr>
      </w:pPr>
      <w:r w:rsidRPr="009557F3">
        <w:rPr>
          <w:rFonts w:ascii="Arial" w:hAnsi="Arial" w:cs="Arial"/>
          <w:sz w:val="24"/>
          <w:szCs w:val="24"/>
          <w:u w:color="000000"/>
          <w:lang w:val="en-CA"/>
        </w:rPr>
        <w:t>The updated provisions introduce the obligations of the prison in cases of any death, disappearance or serious injury. These include obligations on reporting, investigations and notifying family or friends. Prisoner file management requirements were also amended in recognition of their role in recording incidents and complaints.</w:t>
      </w:r>
    </w:p>
    <w:p w:rsidR="001876F5" w:rsidRPr="009557F3" w:rsidRDefault="001876F5" w:rsidP="00DD66C8">
      <w:pPr>
        <w:pStyle w:val="ListParagraph"/>
        <w:keepNext/>
        <w:numPr>
          <w:ilvl w:val="0"/>
          <w:numId w:val="18"/>
        </w:numPr>
        <w:pBdr>
          <w:top w:val="nil"/>
          <w:left w:val="nil"/>
          <w:bottom w:val="nil"/>
          <w:right w:val="nil"/>
          <w:between w:val="nil"/>
          <w:bar w:val="nil"/>
        </w:pBdr>
        <w:spacing w:before="120" w:after="240"/>
        <w:ind w:left="907"/>
        <w:rPr>
          <w:rFonts w:ascii="Arial" w:hAnsi="Arial" w:cs="Arial"/>
          <w:i/>
          <w:sz w:val="24"/>
          <w:szCs w:val="24"/>
          <w:u w:color="00B050"/>
        </w:rPr>
      </w:pPr>
      <w:r w:rsidRPr="009557F3">
        <w:rPr>
          <w:rFonts w:ascii="Arial" w:hAnsi="Arial" w:cs="Arial"/>
          <w:i/>
          <w:sz w:val="24"/>
          <w:szCs w:val="24"/>
          <w:u w:color="00B050"/>
        </w:rPr>
        <w:t>Investigation branch</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Automatic investigation for deaths</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Injuries classified as serious bodily injury are reviewed by the investigations branch</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Independent Coroner’s Inquests</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 xml:space="preserve">Independent Office of the Correctional Investigator </w:t>
      </w:r>
    </w:p>
    <w:p w:rsidR="001876F5" w:rsidRPr="009557F3" w:rsidRDefault="001876F5" w:rsidP="009557F3">
      <w:pPr>
        <w:pStyle w:val="Body"/>
        <w:numPr>
          <w:ilvl w:val="1"/>
          <w:numId w:val="8"/>
        </w:numPr>
        <w:spacing w:before="120" w:after="240"/>
        <w:ind w:left="900"/>
        <w:rPr>
          <w:rFonts w:ascii="Arial" w:eastAsia="Arial" w:hAnsi="Arial" w:cs="Arial"/>
          <w:b/>
          <w:bCs/>
          <w:sz w:val="24"/>
          <w:szCs w:val="24"/>
          <w:u w:color="000000"/>
          <w:lang w:val="en-CA"/>
        </w:rPr>
      </w:pPr>
      <w:r w:rsidRPr="009557F3">
        <w:rPr>
          <w:rFonts w:ascii="Arial" w:hAnsi="Arial" w:cs="Arial"/>
          <w:b/>
          <w:bCs/>
          <w:sz w:val="24"/>
          <w:szCs w:val="24"/>
          <w:u w:color="000000"/>
          <w:lang w:val="en-CA"/>
        </w:rPr>
        <w:t>Protection of vulnerable groups</w:t>
      </w:r>
    </w:p>
    <w:p w:rsidR="001876F5" w:rsidRPr="009557F3" w:rsidRDefault="001876F5" w:rsidP="009557F3">
      <w:pPr>
        <w:pStyle w:val="Body"/>
        <w:spacing w:before="120" w:after="240"/>
        <w:ind w:left="540"/>
        <w:rPr>
          <w:rFonts w:ascii="Arial" w:eastAsia="Arial" w:hAnsi="Arial" w:cs="Arial"/>
          <w:sz w:val="24"/>
          <w:szCs w:val="24"/>
          <w:u w:color="000000"/>
          <w:lang w:val="en-CA"/>
        </w:rPr>
      </w:pPr>
      <w:r w:rsidRPr="009557F3">
        <w:rPr>
          <w:rFonts w:ascii="Arial" w:hAnsi="Arial" w:cs="Arial"/>
          <w:sz w:val="24"/>
          <w:szCs w:val="24"/>
          <w:u w:color="000000"/>
          <w:lang w:val="en-CA"/>
        </w:rPr>
        <w:t>Revisions to provisions for prisoners with particular vulnerabilities were limited, but overall the Rules now clarify that prisons need to identify the individual needs of prisoners and that measures taking account of such needs must not be regarded as discriminatory. Some provisions were incorporated on children imprisoned with their parent and outdated terminology regarding prisoners with disabilities was changed.</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 xml:space="preserve">Women Offender Sector </w:t>
      </w:r>
      <w:r w:rsidR="00C90F77" w:rsidRPr="009557F3">
        <w:rPr>
          <w:rFonts w:ascii="Arial" w:hAnsi="Arial" w:cs="Arial"/>
          <w:i/>
          <w:sz w:val="24"/>
          <w:szCs w:val="24"/>
          <w:u w:color="00B050"/>
        </w:rPr>
        <w:t>and</w:t>
      </w:r>
      <w:r w:rsidRPr="009557F3">
        <w:rPr>
          <w:rFonts w:ascii="Arial" w:hAnsi="Arial" w:cs="Arial"/>
          <w:i/>
          <w:sz w:val="24"/>
          <w:szCs w:val="24"/>
          <w:u w:color="00B050"/>
        </w:rPr>
        <w:t xml:space="preserve"> mother-child programs</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Aboriginal Initiatives Directorate</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Mental health branch</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Assessment processes identify needs of prisoners, development of an individualized correctional plan, programming, report on progress</w:t>
      </w:r>
    </w:p>
    <w:p w:rsidR="001876F5" w:rsidRPr="009557F3" w:rsidRDefault="001876F5" w:rsidP="009557F3">
      <w:pPr>
        <w:pStyle w:val="Body"/>
        <w:numPr>
          <w:ilvl w:val="1"/>
          <w:numId w:val="8"/>
        </w:numPr>
        <w:spacing w:before="120" w:after="240"/>
        <w:ind w:left="900"/>
        <w:rPr>
          <w:rFonts w:ascii="Arial" w:eastAsia="Arial" w:hAnsi="Arial" w:cs="Arial"/>
          <w:b/>
          <w:bCs/>
          <w:sz w:val="24"/>
          <w:szCs w:val="24"/>
          <w:u w:color="000000"/>
          <w:lang w:val="en-CA"/>
        </w:rPr>
      </w:pPr>
      <w:r w:rsidRPr="009557F3">
        <w:rPr>
          <w:rFonts w:ascii="Arial" w:hAnsi="Arial" w:cs="Arial"/>
          <w:b/>
          <w:bCs/>
          <w:sz w:val="24"/>
          <w:szCs w:val="24"/>
          <w:u w:color="000000"/>
          <w:lang w:val="en-CA"/>
        </w:rPr>
        <w:t>Access to legal representation</w:t>
      </w:r>
    </w:p>
    <w:p w:rsidR="001876F5" w:rsidRPr="009557F3" w:rsidRDefault="001876F5" w:rsidP="009557F3">
      <w:pPr>
        <w:pStyle w:val="Body"/>
        <w:spacing w:before="120" w:after="240"/>
        <w:ind w:left="540"/>
        <w:rPr>
          <w:rFonts w:ascii="Arial" w:eastAsia="Arial" w:hAnsi="Arial" w:cs="Arial"/>
          <w:sz w:val="24"/>
          <w:szCs w:val="24"/>
          <w:u w:color="000000"/>
          <w:lang w:val="en-CA"/>
        </w:rPr>
      </w:pPr>
      <w:r w:rsidRPr="009557F3">
        <w:rPr>
          <w:rFonts w:ascii="Arial" w:hAnsi="Arial" w:cs="Arial"/>
          <w:sz w:val="24"/>
          <w:szCs w:val="24"/>
          <w:u w:color="000000"/>
          <w:lang w:val="en-CA"/>
        </w:rPr>
        <w:t>Provisions were updated and expanded to cover not only pre-trial detention and criminal proceedings, but requirements of legal counsel more comprehensively based on the 2012 UN Legal Aid Principles and Guidelines. The Rules also clarify that prisoners are allowed to keep in their possession documents relating to their legal proceedings.</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Access to contact their lawyers or legal aid</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Prisoners are allowed to keep their legal documentation in their possession</w:t>
      </w:r>
    </w:p>
    <w:p w:rsidR="001876F5" w:rsidRPr="009557F3" w:rsidRDefault="001876F5" w:rsidP="009557F3">
      <w:pPr>
        <w:pStyle w:val="Body"/>
        <w:numPr>
          <w:ilvl w:val="1"/>
          <w:numId w:val="8"/>
        </w:numPr>
        <w:spacing w:before="120" w:after="240"/>
        <w:ind w:left="900"/>
        <w:rPr>
          <w:rFonts w:ascii="Arial" w:eastAsia="Arial" w:hAnsi="Arial" w:cs="Arial"/>
          <w:b/>
          <w:bCs/>
          <w:sz w:val="24"/>
          <w:szCs w:val="24"/>
          <w:u w:color="000000"/>
          <w:lang w:val="en-CA"/>
        </w:rPr>
      </w:pPr>
      <w:r w:rsidRPr="009557F3">
        <w:rPr>
          <w:rFonts w:ascii="Arial" w:hAnsi="Arial" w:cs="Arial"/>
          <w:b/>
          <w:bCs/>
          <w:sz w:val="24"/>
          <w:szCs w:val="24"/>
          <w:u w:color="000000"/>
          <w:lang w:val="en-CA"/>
        </w:rPr>
        <w:t>Complaints and independent inspection</w:t>
      </w:r>
    </w:p>
    <w:p w:rsidR="001876F5" w:rsidRPr="009557F3" w:rsidRDefault="001876F5" w:rsidP="009557F3">
      <w:pPr>
        <w:pStyle w:val="Body"/>
        <w:spacing w:before="120" w:after="240"/>
        <w:ind w:left="540"/>
        <w:rPr>
          <w:rFonts w:ascii="Arial" w:eastAsia="Arial" w:hAnsi="Arial" w:cs="Arial"/>
          <w:sz w:val="24"/>
          <w:szCs w:val="24"/>
          <w:u w:color="000000"/>
          <w:lang w:val="en-CA"/>
        </w:rPr>
      </w:pPr>
      <w:r w:rsidRPr="009557F3">
        <w:rPr>
          <w:rFonts w:ascii="Arial" w:hAnsi="Arial" w:cs="Arial"/>
          <w:sz w:val="24"/>
          <w:szCs w:val="24"/>
          <w:u w:color="000000"/>
          <w:lang w:val="en-CA"/>
        </w:rPr>
        <w:t>Provisions dealing with information for prisoners and access to complaints mechanisms has been updated, as well as protection against retaliation, intimidation or other negative consequences as a result of a complaint. The impact of external monitoring was acknowledged by introducing the requirement of a twofold system of regular inspections, internal as well as external by an independent body. The revised Rules specify the powers of inspectors and require written inspection reports and encourage their publication.</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Offender Redress Division</w:t>
      </w:r>
    </w:p>
    <w:p w:rsidR="001876F5" w:rsidRPr="009557F3" w:rsidRDefault="001876F5" w:rsidP="009557F3">
      <w:pPr>
        <w:pStyle w:val="ListParagraph"/>
        <w:numPr>
          <w:ilvl w:val="1"/>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val="single"/>
        </w:rPr>
        <w:t>Mi</w:t>
      </w:r>
      <w:r w:rsidR="00C90F77" w:rsidRPr="009557F3">
        <w:rPr>
          <w:rFonts w:ascii="Arial" w:hAnsi="Arial" w:cs="Arial"/>
          <w:i/>
          <w:sz w:val="24"/>
          <w:szCs w:val="24"/>
          <w:u w:val="single"/>
        </w:rPr>
        <w:t>s</w:t>
      </w:r>
      <w:r w:rsidRPr="009557F3">
        <w:rPr>
          <w:rFonts w:ascii="Arial" w:hAnsi="Arial" w:cs="Arial"/>
          <w:i/>
          <w:sz w:val="24"/>
          <w:szCs w:val="24"/>
          <w:u w:val="single"/>
        </w:rPr>
        <w:t>si</w:t>
      </w:r>
      <w:r w:rsidR="00C90F77" w:rsidRPr="009557F3">
        <w:rPr>
          <w:rFonts w:ascii="Arial" w:hAnsi="Arial" w:cs="Arial"/>
          <w:i/>
          <w:sz w:val="24"/>
          <w:szCs w:val="24"/>
          <w:u w:val="single"/>
        </w:rPr>
        <w:t>on</w:t>
      </w:r>
      <w:r w:rsidRPr="009557F3">
        <w:rPr>
          <w:rFonts w:ascii="Arial" w:hAnsi="Arial" w:cs="Arial"/>
          <w:i/>
          <w:sz w:val="24"/>
          <w:szCs w:val="24"/>
          <w:u w:color="00B050"/>
        </w:rPr>
        <w:t>: Support respect for the rule of law and respect for the rights of offenders by providing expeditious access to a fair and effective redress mechanism and by recommending corrective action in cases where there is mistreatment or injustice. Ensure that offenders' problems, concerns and expectations are brought to the attention of functional and line managers across the Service by providing grievance-based information on trends and specific issues.</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 xml:space="preserve">Independent Office of the Correctional Investigator </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CSC can be investigated by the Auditor General of Canada</w:t>
      </w:r>
    </w:p>
    <w:p w:rsidR="001876F5" w:rsidRPr="009557F3" w:rsidRDefault="001876F5" w:rsidP="009557F3">
      <w:pPr>
        <w:pStyle w:val="Body"/>
        <w:numPr>
          <w:ilvl w:val="1"/>
          <w:numId w:val="8"/>
        </w:numPr>
        <w:spacing w:before="120" w:after="240"/>
        <w:ind w:left="900"/>
        <w:rPr>
          <w:rFonts w:ascii="Arial" w:eastAsia="Arial" w:hAnsi="Arial" w:cs="Arial"/>
          <w:b/>
          <w:bCs/>
          <w:sz w:val="24"/>
          <w:szCs w:val="24"/>
          <w:u w:color="000000"/>
          <w:lang w:val="en-CA"/>
        </w:rPr>
      </w:pPr>
      <w:r w:rsidRPr="009557F3">
        <w:rPr>
          <w:rFonts w:ascii="Arial" w:hAnsi="Arial" w:cs="Arial"/>
          <w:b/>
          <w:bCs/>
          <w:sz w:val="24"/>
          <w:szCs w:val="24"/>
          <w:u w:color="000000"/>
          <w:lang w:val="en-CA"/>
        </w:rPr>
        <w:t>Training of staff</w:t>
      </w:r>
    </w:p>
    <w:p w:rsidR="001876F5" w:rsidRPr="009557F3" w:rsidRDefault="001876F5" w:rsidP="009557F3">
      <w:pPr>
        <w:pStyle w:val="Body"/>
        <w:spacing w:before="120" w:after="240"/>
        <w:ind w:left="540"/>
        <w:rPr>
          <w:rFonts w:ascii="Arial" w:eastAsia="Arial" w:hAnsi="Arial" w:cs="Arial"/>
          <w:sz w:val="24"/>
          <w:szCs w:val="24"/>
          <w:u w:color="000000"/>
          <w:lang w:val="en-CA"/>
        </w:rPr>
      </w:pPr>
      <w:r w:rsidRPr="009557F3">
        <w:rPr>
          <w:rFonts w:ascii="Arial" w:hAnsi="Arial" w:cs="Arial"/>
          <w:sz w:val="24"/>
          <w:szCs w:val="24"/>
          <w:u w:color="000000"/>
          <w:lang w:val="en-CA"/>
        </w:rPr>
        <w:t>Provisions on training were updated to clarify the necessity of training for staff prior to entry into service as well as ongoing in-service training, both of which should reflect contemporary evidence-based best practice. A list of training requirements includes security and safety, the concept of dynamic security, and the use of force and instruments of restraint, as well as management of violent offenders, with due consideration to preventive and defusing techniques.</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National training standards</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 xml:space="preserve">Correctional training program </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New employee orientation program</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Parole Officer Induction Training</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 xml:space="preserve">Specialized training for specific posts, such as the institutional emergency response team, women-centred training, crisis management </w:t>
      </w:r>
    </w:p>
    <w:p w:rsidR="001876F5" w:rsidRPr="009557F3" w:rsidRDefault="001876F5" w:rsidP="009557F3">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sidRPr="009557F3">
        <w:rPr>
          <w:rFonts w:ascii="Arial" w:hAnsi="Arial" w:cs="Arial"/>
          <w:i/>
          <w:sz w:val="24"/>
          <w:szCs w:val="24"/>
          <w:u w:color="00B050"/>
        </w:rPr>
        <w:t>Leadership development program</w:t>
      </w:r>
    </w:p>
    <w:p w:rsidR="008B31A9" w:rsidRPr="009557F3" w:rsidRDefault="008B31A9" w:rsidP="008A3A16">
      <w:pPr>
        <w:spacing w:before="120" w:after="240"/>
        <w:rPr>
          <w:rFonts w:ascii="Arial" w:hAnsi="Arial" w:cs="Arial"/>
          <w:sz w:val="24"/>
          <w:szCs w:val="24"/>
        </w:rPr>
      </w:pPr>
    </w:p>
    <w:sectPr w:rsidR="008B31A9" w:rsidRPr="009557F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04EC" w:rsidRDefault="005904EC" w:rsidP="005904EC">
      <w:pPr>
        <w:spacing w:after="0" w:line="240" w:lineRule="auto"/>
      </w:pPr>
      <w:r>
        <w:separator/>
      </w:r>
    </w:p>
  </w:endnote>
  <w:endnote w:type="continuationSeparator" w:id="0">
    <w:p w:rsidR="005904EC" w:rsidRDefault="005904EC" w:rsidP="0059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4253291"/>
      <w:docPartObj>
        <w:docPartGallery w:val="Page Numbers (Bottom of Page)"/>
        <w:docPartUnique/>
      </w:docPartObj>
    </w:sdtPr>
    <w:sdtEndPr>
      <w:rPr>
        <w:noProof/>
      </w:rPr>
    </w:sdtEndPr>
    <w:sdtContent>
      <w:p w:rsidR="005904EC" w:rsidRDefault="005904EC">
        <w:pPr>
          <w:pStyle w:val="Footer"/>
          <w:jc w:val="right"/>
        </w:pPr>
        <w:r>
          <w:fldChar w:fldCharType="begin"/>
        </w:r>
        <w:r>
          <w:instrText xml:space="preserve"> PAGE   \* MERGEFORMAT </w:instrText>
        </w:r>
        <w:r>
          <w:fldChar w:fldCharType="separate"/>
        </w:r>
        <w:r w:rsidR="00C23908">
          <w:rPr>
            <w:noProof/>
          </w:rPr>
          <w:t>14</w:t>
        </w:r>
        <w:r>
          <w:rPr>
            <w:noProof/>
          </w:rPr>
          <w:fldChar w:fldCharType="end"/>
        </w:r>
      </w:p>
    </w:sdtContent>
  </w:sdt>
  <w:p w:rsidR="005904EC" w:rsidRDefault="005904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04EC" w:rsidRDefault="005904EC" w:rsidP="005904EC">
      <w:pPr>
        <w:spacing w:after="0" w:line="240" w:lineRule="auto"/>
      </w:pPr>
      <w:r>
        <w:separator/>
      </w:r>
    </w:p>
  </w:footnote>
  <w:footnote w:type="continuationSeparator" w:id="0">
    <w:p w:rsidR="005904EC" w:rsidRDefault="005904EC" w:rsidP="005904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E5003"/>
    <w:multiLevelType w:val="hybridMultilevel"/>
    <w:tmpl w:val="AB8ED15C"/>
    <w:lvl w:ilvl="0" w:tplc="2D0ED87A">
      <w:start w:val="6"/>
      <w:numFmt w:val="bullet"/>
      <w:lvlText w:val=""/>
      <w:lvlJc w:val="left"/>
      <w:pPr>
        <w:ind w:left="90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F6316"/>
    <w:multiLevelType w:val="hybridMultilevel"/>
    <w:tmpl w:val="2C6A4156"/>
    <w:styleLink w:val="ImportedStyle4"/>
    <w:lvl w:ilvl="0" w:tplc="ECE0DE9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8CE630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6AEC6EA6">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5470D94C">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B11042FC">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D4695AC">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94504B9A">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B9F44506">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6F268B1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2BB6D8A"/>
    <w:multiLevelType w:val="hybridMultilevel"/>
    <w:tmpl w:val="30D4AA08"/>
    <w:lvl w:ilvl="0" w:tplc="C6FC685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3A74152"/>
    <w:multiLevelType w:val="multilevel"/>
    <w:tmpl w:val="30348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BD145B"/>
    <w:multiLevelType w:val="hybridMultilevel"/>
    <w:tmpl w:val="57665DB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093327EB"/>
    <w:multiLevelType w:val="hybridMultilevel"/>
    <w:tmpl w:val="FCCCBB36"/>
    <w:lvl w:ilvl="0" w:tplc="04090001">
      <w:start w:val="1"/>
      <w:numFmt w:val="bullet"/>
      <w:lvlText w:val=""/>
      <w:lvlJc w:val="left"/>
      <w:pPr>
        <w:ind w:left="900" w:hanging="360"/>
      </w:pPr>
      <w:rPr>
        <w:rFonts w:ascii="Symbol" w:hAnsi="Symbol" w:hint="default"/>
      </w:rPr>
    </w:lvl>
    <w:lvl w:ilvl="1" w:tplc="9E3CE856">
      <w:start w:val="6"/>
      <w:numFmt w:val="bullet"/>
      <w:lvlText w:val="•"/>
      <w:lvlJc w:val="left"/>
      <w:pPr>
        <w:ind w:left="1620" w:hanging="360"/>
      </w:pPr>
      <w:rPr>
        <w:rFonts w:ascii="Arial" w:eastAsiaTheme="minorHAnsi" w:hAnsi="Arial" w:cs="Aria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15:restartNumberingAfterBreak="0">
    <w:nsid w:val="0A8D62D7"/>
    <w:multiLevelType w:val="hybridMultilevel"/>
    <w:tmpl w:val="4DA40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CA1192"/>
    <w:multiLevelType w:val="hybridMultilevel"/>
    <w:tmpl w:val="7C762E2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0F777B3D"/>
    <w:multiLevelType w:val="hybridMultilevel"/>
    <w:tmpl w:val="3B78E93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119F2462"/>
    <w:multiLevelType w:val="hybridMultilevel"/>
    <w:tmpl w:val="5E1EF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381A52"/>
    <w:multiLevelType w:val="hybridMultilevel"/>
    <w:tmpl w:val="CDFE2AA4"/>
    <w:lvl w:ilvl="0" w:tplc="DDA830AE">
      <w:start w:val="1"/>
      <w:numFmt w:val="decimal"/>
      <w:lvlText w:val="%1."/>
      <w:lvlJc w:val="left"/>
      <w:pPr>
        <w:ind w:left="1980" w:hanging="90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135F48BF"/>
    <w:multiLevelType w:val="hybridMultilevel"/>
    <w:tmpl w:val="1B90C7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589704D"/>
    <w:multiLevelType w:val="hybridMultilevel"/>
    <w:tmpl w:val="2000E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873CA3"/>
    <w:multiLevelType w:val="hybridMultilevel"/>
    <w:tmpl w:val="F0BCF5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B471E95"/>
    <w:multiLevelType w:val="multilevel"/>
    <w:tmpl w:val="CD2465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69470D"/>
    <w:multiLevelType w:val="hybridMultilevel"/>
    <w:tmpl w:val="1F323EFA"/>
    <w:lvl w:ilvl="0" w:tplc="8B88600A">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8F5428"/>
    <w:multiLevelType w:val="hybridMultilevel"/>
    <w:tmpl w:val="B4E0A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AF3CBA"/>
    <w:multiLevelType w:val="hybridMultilevel"/>
    <w:tmpl w:val="0ED0B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C0078C"/>
    <w:multiLevelType w:val="hybridMultilevel"/>
    <w:tmpl w:val="2AEE3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602B69"/>
    <w:multiLevelType w:val="multilevel"/>
    <w:tmpl w:val="38F2E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5D2324"/>
    <w:multiLevelType w:val="hybridMultilevel"/>
    <w:tmpl w:val="BB089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2F13D0"/>
    <w:multiLevelType w:val="hybridMultilevel"/>
    <w:tmpl w:val="9DAEC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EE6C88"/>
    <w:multiLevelType w:val="hybridMultilevel"/>
    <w:tmpl w:val="E048EE22"/>
    <w:lvl w:ilvl="0" w:tplc="0409000F">
      <w:start w:val="1"/>
      <w:numFmt w:val="decimal"/>
      <w:lvlText w:val="%1."/>
      <w:lvlJc w:val="left"/>
      <w:pPr>
        <w:ind w:left="360" w:hanging="360"/>
      </w:p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EE640C5"/>
    <w:multiLevelType w:val="hybridMultilevel"/>
    <w:tmpl w:val="04D26818"/>
    <w:lvl w:ilvl="0" w:tplc="0412A874">
      <w:start w:val="1"/>
      <w:numFmt w:val="bullet"/>
      <w:lvlText w:val="o"/>
      <w:lvlJc w:val="left"/>
      <w:pPr>
        <w:ind w:left="9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24" w15:restartNumberingAfterBreak="0">
    <w:nsid w:val="44704021"/>
    <w:multiLevelType w:val="hybridMultilevel"/>
    <w:tmpl w:val="C108F4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5934B24"/>
    <w:multiLevelType w:val="hybridMultilevel"/>
    <w:tmpl w:val="EF6ED460"/>
    <w:lvl w:ilvl="0" w:tplc="DDA830AE">
      <w:start w:val="1"/>
      <w:numFmt w:val="decimal"/>
      <w:lvlText w:val="%1."/>
      <w:lvlJc w:val="left"/>
      <w:pPr>
        <w:ind w:left="1440" w:hanging="90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46AE4F39"/>
    <w:multiLevelType w:val="hybridMultilevel"/>
    <w:tmpl w:val="06BA5F5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4BC161AD"/>
    <w:multiLevelType w:val="hybridMultilevel"/>
    <w:tmpl w:val="51CA3974"/>
    <w:lvl w:ilvl="0" w:tplc="2D0ED87A">
      <w:start w:val="6"/>
      <w:numFmt w:val="bullet"/>
      <w:lvlText w:val=""/>
      <w:lvlJc w:val="left"/>
      <w:pPr>
        <w:ind w:left="900" w:hanging="360"/>
      </w:pPr>
      <w:rPr>
        <w:rFonts w:ascii="Symbol" w:eastAsiaTheme="minorHAnsi" w:hAnsi="Symbo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8" w15:restartNumberingAfterBreak="0">
    <w:nsid w:val="4E066EF7"/>
    <w:multiLevelType w:val="hybridMultilevel"/>
    <w:tmpl w:val="B18E0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EA0AD5"/>
    <w:multiLevelType w:val="hybridMultilevel"/>
    <w:tmpl w:val="2C6A4156"/>
    <w:numStyleLink w:val="ImportedStyle4"/>
  </w:abstractNum>
  <w:abstractNum w:abstractNumId="30" w15:restartNumberingAfterBreak="0">
    <w:nsid w:val="55E61CD0"/>
    <w:multiLevelType w:val="hybridMultilevel"/>
    <w:tmpl w:val="39FCF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D719E9"/>
    <w:multiLevelType w:val="hybridMultilevel"/>
    <w:tmpl w:val="8098D744"/>
    <w:lvl w:ilvl="0" w:tplc="DDA830AE">
      <w:start w:val="1"/>
      <w:numFmt w:val="decimal"/>
      <w:lvlText w:val="%1."/>
      <w:lvlJc w:val="left"/>
      <w:pPr>
        <w:ind w:left="1080" w:hanging="90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4A467E"/>
    <w:multiLevelType w:val="hybridMultilevel"/>
    <w:tmpl w:val="2B8E2B6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15:restartNumberingAfterBreak="0">
    <w:nsid w:val="59F2673B"/>
    <w:multiLevelType w:val="hybridMultilevel"/>
    <w:tmpl w:val="42AAE14C"/>
    <w:lvl w:ilvl="0" w:tplc="04090001">
      <w:start w:val="1"/>
      <w:numFmt w:val="bullet"/>
      <w:lvlText w:val=""/>
      <w:lvlJc w:val="left"/>
      <w:pPr>
        <w:ind w:left="144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5A6B55"/>
    <w:multiLevelType w:val="hybridMultilevel"/>
    <w:tmpl w:val="E13073FE"/>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5" w15:restartNumberingAfterBreak="0">
    <w:nsid w:val="658977A2"/>
    <w:multiLevelType w:val="hybridMultilevel"/>
    <w:tmpl w:val="8BD88420"/>
    <w:lvl w:ilvl="0" w:tplc="04090001">
      <w:start w:val="1"/>
      <w:numFmt w:val="bullet"/>
      <w:lvlText w:val=""/>
      <w:lvlJc w:val="left"/>
      <w:pPr>
        <w:ind w:left="72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CD175A"/>
    <w:multiLevelType w:val="hybridMultilevel"/>
    <w:tmpl w:val="351E24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7" w15:restartNumberingAfterBreak="0">
    <w:nsid w:val="695B086C"/>
    <w:multiLevelType w:val="hybridMultilevel"/>
    <w:tmpl w:val="8EE8D9B4"/>
    <w:lvl w:ilvl="0" w:tplc="0BA62FEC">
      <w:start w:val="1"/>
      <w:numFmt w:val="decimal"/>
      <w:lvlText w:val="%1."/>
      <w:lvlJc w:val="left"/>
      <w:pPr>
        <w:ind w:left="360" w:hanging="360"/>
      </w:pPr>
      <w:rPr>
        <w:rFonts w:hint="default"/>
        <w:sz w:val="24"/>
      </w:rPr>
    </w:lvl>
    <w:lvl w:ilvl="1" w:tplc="04090011">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971674A"/>
    <w:multiLevelType w:val="hybridMultilevel"/>
    <w:tmpl w:val="C380B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8D6AAF"/>
    <w:multiLevelType w:val="hybridMultilevel"/>
    <w:tmpl w:val="1D685E66"/>
    <w:lvl w:ilvl="0" w:tplc="2D0ED87A">
      <w:start w:val="6"/>
      <w:numFmt w:val="bullet"/>
      <w:lvlText w:val=""/>
      <w:lvlJc w:val="left"/>
      <w:pPr>
        <w:ind w:left="90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C52546"/>
    <w:multiLevelType w:val="hybridMultilevel"/>
    <w:tmpl w:val="60B09DE8"/>
    <w:lvl w:ilvl="0" w:tplc="C6FC685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D4F3DCE"/>
    <w:multiLevelType w:val="hybridMultilevel"/>
    <w:tmpl w:val="7CECF5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2" w15:restartNumberingAfterBreak="0">
    <w:nsid w:val="70216983"/>
    <w:multiLevelType w:val="hybridMultilevel"/>
    <w:tmpl w:val="4AA4DA96"/>
    <w:lvl w:ilvl="0" w:tplc="C6FC685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61D09EB"/>
    <w:multiLevelType w:val="hybridMultilevel"/>
    <w:tmpl w:val="7FDCB794"/>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start w:val="1"/>
      <w:numFmt w:val="bullet"/>
      <w:lvlText w:val=""/>
      <w:lvlJc w:val="left"/>
      <w:pPr>
        <w:ind w:left="2940" w:hanging="360"/>
      </w:pPr>
      <w:rPr>
        <w:rFonts w:ascii="Symbol" w:hAnsi="Symbol" w:hint="default"/>
      </w:rPr>
    </w:lvl>
    <w:lvl w:ilvl="4" w:tplc="10090003">
      <w:start w:val="1"/>
      <w:numFmt w:val="bullet"/>
      <w:lvlText w:val="o"/>
      <w:lvlJc w:val="left"/>
      <w:pPr>
        <w:ind w:left="3660" w:hanging="360"/>
      </w:pPr>
      <w:rPr>
        <w:rFonts w:ascii="Courier New" w:hAnsi="Courier New" w:cs="Courier New" w:hint="default"/>
      </w:rPr>
    </w:lvl>
    <w:lvl w:ilvl="5" w:tplc="10090005">
      <w:start w:val="1"/>
      <w:numFmt w:val="bullet"/>
      <w:lvlText w:val=""/>
      <w:lvlJc w:val="left"/>
      <w:pPr>
        <w:ind w:left="4380" w:hanging="360"/>
      </w:pPr>
      <w:rPr>
        <w:rFonts w:ascii="Wingdings" w:hAnsi="Wingdings" w:hint="default"/>
      </w:rPr>
    </w:lvl>
    <w:lvl w:ilvl="6" w:tplc="10090001">
      <w:start w:val="1"/>
      <w:numFmt w:val="bullet"/>
      <w:lvlText w:val=""/>
      <w:lvlJc w:val="left"/>
      <w:pPr>
        <w:ind w:left="5100" w:hanging="360"/>
      </w:pPr>
      <w:rPr>
        <w:rFonts w:ascii="Symbol" w:hAnsi="Symbol" w:hint="default"/>
      </w:rPr>
    </w:lvl>
    <w:lvl w:ilvl="7" w:tplc="10090003">
      <w:start w:val="1"/>
      <w:numFmt w:val="bullet"/>
      <w:lvlText w:val="o"/>
      <w:lvlJc w:val="left"/>
      <w:pPr>
        <w:ind w:left="5820" w:hanging="360"/>
      </w:pPr>
      <w:rPr>
        <w:rFonts w:ascii="Courier New" w:hAnsi="Courier New" w:cs="Courier New" w:hint="default"/>
      </w:rPr>
    </w:lvl>
    <w:lvl w:ilvl="8" w:tplc="10090005">
      <w:start w:val="1"/>
      <w:numFmt w:val="bullet"/>
      <w:lvlText w:val=""/>
      <w:lvlJc w:val="left"/>
      <w:pPr>
        <w:ind w:left="6540" w:hanging="360"/>
      </w:pPr>
      <w:rPr>
        <w:rFonts w:ascii="Wingdings" w:hAnsi="Wingdings" w:hint="default"/>
      </w:rPr>
    </w:lvl>
  </w:abstractNum>
  <w:num w:numId="1">
    <w:abstractNumId w:val="11"/>
  </w:num>
  <w:num w:numId="2">
    <w:abstractNumId w:val="24"/>
  </w:num>
  <w:num w:numId="3">
    <w:abstractNumId w:val="20"/>
  </w:num>
  <w:num w:numId="4">
    <w:abstractNumId w:val="28"/>
  </w:num>
  <w:num w:numId="5">
    <w:abstractNumId w:val="1"/>
  </w:num>
  <w:num w:numId="6">
    <w:abstractNumId w:val="29"/>
  </w:num>
  <w:num w:numId="7">
    <w:abstractNumId w:val="16"/>
  </w:num>
  <w:num w:numId="8">
    <w:abstractNumId w:val="22"/>
  </w:num>
  <w:num w:numId="9">
    <w:abstractNumId w:val="36"/>
  </w:num>
  <w:num w:numId="10">
    <w:abstractNumId w:val="43"/>
  </w:num>
  <w:num w:numId="11">
    <w:abstractNumId w:val="41"/>
  </w:num>
  <w:num w:numId="12">
    <w:abstractNumId w:val="38"/>
  </w:num>
  <w:num w:numId="13">
    <w:abstractNumId w:val="19"/>
  </w:num>
  <w:num w:numId="14">
    <w:abstractNumId w:val="14"/>
  </w:num>
  <w:num w:numId="15">
    <w:abstractNumId w:val="3"/>
  </w:num>
  <w:num w:numId="16">
    <w:abstractNumId w:val="15"/>
  </w:num>
  <w:num w:numId="17">
    <w:abstractNumId w:val="30"/>
  </w:num>
  <w:num w:numId="18">
    <w:abstractNumId w:val="34"/>
  </w:num>
  <w:num w:numId="19">
    <w:abstractNumId w:val="13"/>
  </w:num>
  <w:num w:numId="20">
    <w:abstractNumId w:val="21"/>
  </w:num>
  <w:num w:numId="21">
    <w:abstractNumId w:val="6"/>
  </w:num>
  <w:num w:numId="22">
    <w:abstractNumId w:val="42"/>
  </w:num>
  <w:num w:numId="23">
    <w:abstractNumId w:val="40"/>
  </w:num>
  <w:num w:numId="24">
    <w:abstractNumId w:val="2"/>
  </w:num>
  <w:num w:numId="25">
    <w:abstractNumId w:val="35"/>
  </w:num>
  <w:num w:numId="26">
    <w:abstractNumId w:val="22"/>
    <w:lvlOverride w:ilvl="0">
      <w:lvl w:ilvl="0" w:tplc="0409000F">
        <w:start w:val="1"/>
        <w:numFmt w:val="decimal"/>
        <w:lvlText w:val="%1."/>
        <w:lvlJc w:val="left"/>
        <w:pPr>
          <w:ind w:left="360" w:hanging="360"/>
        </w:pPr>
        <w:rPr>
          <w:rFonts w:hint="default"/>
        </w:rPr>
      </w:lvl>
    </w:lvlOverride>
    <w:lvlOverride w:ilvl="1">
      <w:lvl w:ilvl="1" w:tplc="04090011"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7">
    <w:abstractNumId w:val="37"/>
  </w:num>
  <w:num w:numId="28">
    <w:abstractNumId w:val="18"/>
  </w:num>
  <w:num w:numId="29">
    <w:abstractNumId w:val="23"/>
  </w:num>
  <w:num w:numId="30">
    <w:abstractNumId w:val="33"/>
  </w:num>
  <w:num w:numId="31">
    <w:abstractNumId w:val="5"/>
  </w:num>
  <w:num w:numId="32">
    <w:abstractNumId w:val="25"/>
  </w:num>
  <w:num w:numId="33">
    <w:abstractNumId w:val="10"/>
  </w:num>
  <w:num w:numId="34">
    <w:abstractNumId w:val="31"/>
  </w:num>
  <w:num w:numId="35">
    <w:abstractNumId w:val="7"/>
  </w:num>
  <w:num w:numId="36">
    <w:abstractNumId w:val="4"/>
  </w:num>
  <w:num w:numId="37">
    <w:abstractNumId w:val="8"/>
  </w:num>
  <w:num w:numId="38">
    <w:abstractNumId w:val="27"/>
  </w:num>
  <w:num w:numId="39">
    <w:abstractNumId w:val="0"/>
  </w:num>
  <w:num w:numId="40">
    <w:abstractNumId w:val="17"/>
  </w:num>
  <w:num w:numId="41">
    <w:abstractNumId w:val="9"/>
  </w:num>
  <w:num w:numId="42">
    <w:abstractNumId w:val="12"/>
  </w:num>
  <w:num w:numId="43">
    <w:abstractNumId w:val="39"/>
  </w:num>
  <w:num w:numId="44">
    <w:abstractNumId w:val="32"/>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1A9"/>
    <w:rsid w:val="00012864"/>
    <w:rsid w:val="000137DF"/>
    <w:rsid w:val="000364A9"/>
    <w:rsid w:val="0015604E"/>
    <w:rsid w:val="00165485"/>
    <w:rsid w:val="001876F5"/>
    <w:rsid w:val="00187785"/>
    <w:rsid w:val="001F6B18"/>
    <w:rsid w:val="0026053A"/>
    <w:rsid w:val="0028556D"/>
    <w:rsid w:val="002E3E55"/>
    <w:rsid w:val="003076C2"/>
    <w:rsid w:val="00332BA4"/>
    <w:rsid w:val="00340776"/>
    <w:rsid w:val="003510FC"/>
    <w:rsid w:val="003A75E3"/>
    <w:rsid w:val="003C68E1"/>
    <w:rsid w:val="003E65FA"/>
    <w:rsid w:val="003E714D"/>
    <w:rsid w:val="00457300"/>
    <w:rsid w:val="0052445B"/>
    <w:rsid w:val="005246FA"/>
    <w:rsid w:val="00576C0F"/>
    <w:rsid w:val="005904EC"/>
    <w:rsid w:val="0065252F"/>
    <w:rsid w:val="006E453D"/>
    <w:rsid w:val="006F1645"/>
    <w:rsid w:val="006F1F7E"/>
    <w:rsid w:val="00745FB5"/>
    <w:rsid w:val="007573F8"/>
    <w:rsid w:val="007B11BB"/>
    <w:rsid w:val="007B650C"/>
    <w:rsid w:val="007D4581"/>
    <w:rsid w:val="007E2778"/>
    <w:rsid w:val="008040A8"/>
    <w:rsid w:val="00820F71"/>
    <w:rsid w:val="00823B26"/>
    <w:rsid w:val="0083745B"/>
    <w:rsid w:val="00855961"/>
    <w:rsid w:val="00877A84"/>
    <w:rsid w:val="008A3A16"/>
    <w:rsid w:val="008B31A9"/>
    <w:rsid w:val="008D2FD2"/>
    <w:rsid w:val="008D7C7E"/>
    <w:rsid w:val="009557F3"/>
    <w:rsid w:val="00962CC9"/>
    <w:rsid w:val="00A0174F"/>
    <w:rsid w:val="00A11BE3"/>
    <w:rsid w:val="00A56DA2"/>
    <w:rsid w:val="00AB37A8"/>
    <w:rsid w:val="00AB49E9"/>
    <w:rsid w:val="00AD161B"/>
    <w:rsid w:val="00B11A0E"/>
    <w:rsid w:val="00B4658C"/>
    <w:rsid w:val="00BC6ACC"/>
    <w:rsid w:val="00C23908"/>
    <w:rsid w:val="00C2446E"/>
    <w:rsid w:val="00C660DE"/>
    <w:rsid w:val="00C90F77"/>
    <w:rsid w:val="00CB5B9D"/>
    <w:rsid w:val="00CB5F37"/>
    <w:rsid w:val="00D01FE7"/>
    <w:rsid w:val="00D304EE"/>
    <w:rsid w:val="00D56464"/>
    <w:rsid w:val="00DD1B33"/>
    <w:rsid w:val="00DD66C8"/>
    <w:rsid w:val="00ED7BE0"/>
    <w:rsid w:val="00F22C1D"/>
    <w:rsid w:val="00F4612B"/>
    <w:rsid w:val="00F547DE"/>
    <w:rsid w:val="00F551CC"/>
    <w:rsid w:val="00F61ECD"/>
    <w:rsid w:val="00FD6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F944CF-A844-40F7-B2D6-F708C53EE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1A9"/>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bullets"/>
    <w:basedOn w:val="Normal"/>
    <w:link w:val="ListParagraphChar"/>
    <w:uiPriority w:val="34"/>
    <w:qFormat/>
    <w:rsid w:val="008B31A9"/>
    <w:pPr>
      <w:spacing w:after="0" w:line="240" w:lineRule="auto"/>
      <w:ind w:left="720"/>
    </w:pPr>
    <w:rPr>
      <w:rFonts w:ascii="Calibri" w:hAnsi="Calibri" w:cs="Calibri"/>
      <w:lang w:val="en-US"/>
    </w:rPr>
  </w:style>
  <w:style w:type="paragraph" w:styleId="NoSpacing">
    <w:name w:val="No Spacing"/>
    <w:uiPriority w:val="1"/>
    <w:qFormat/>
    <w:rsid w:val="008D2FD2"/>
    <w:pPr>
      <w:spacing w:after="0" w:line="240" w:lineRule="auto"/>
    </w:pPr>
    <w:rPr>
      <w:lang w:val="en-CA"/>
    </w:rPr>
  </w:style>
  <w:style w:type="table" w:styleId="TableGrid">
    <w:name w:val="Table Grid"/>
    <w:basedOn w:val="TableNormal"/>
    <w:uiPriority w:val="59"/>
    <w:rsid w:val="008D2FD2"/>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2FD2"/>
    <w:rPr>
      <w:color w:val="0563C1" w:themeColor="hyperlink"/>
      <w:u w:val="single"/>
    </w:rPr>
  </w:style>
  <w:style w:type="paragraph" w:customStyle="1" w:styleId="Body">
    <w:name w:val="Body"/>
    <w:rsid w:val="001876F5"/>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numbering" w:customStyle="1" w:styleId="ImportedStyle4">
    <w:name w:val="Imported Style 4"/>
    <w:rsid w:val="001876F5"/>
    <w:pPr>
      <w:numPr>
        <w:numId w:val="5"/>
      </w:numPr>
    </w:pPr>
  </w:style>
  <w:style w:type="paragraph" w:styleId="PlainText">
    <w:name w:val="Plain Text"/>
    <w:basedOn w:val="Normal"/>
    <w:link w:val="PlainTextChar"/>
    <w:uiPriority w:val="99"/>
    <w:semiHidden/>
    <w:unhideWhenUsed/>
    <w:rsid w:val="00745FB5"/>
    <w:pPr>
      <w:spacing w:after="0" w:line="240" w:lineRule="auto"/>
    </w:pPr>
    <w:rPr>
      <w:rFonts w:ascii="Calibri" w:hAnsi="Calibri"/>
      <w:szCs w:val="21"/>
      <w:lang w:val="en-US"/>
    </w:rPr>
  </w:style>
  <w:style w:type="character" w:customStyle="1" w:styleId="PlainTextChar">
    <w:name w:val="Plain Text Char"/>
    <w:basedOn w:val="DefaultParagraphFont"/>
    <w:link w:val="PlainText"/>
    <w:uiPriority w:val="99"/>
    <w:semiHidden/>
    <w:rsid w:val="00745FB5"/>
    <w:rPr>
      <w:rFonts w:ascii="Calibri" w:hAnsi="Calibri"/>
      <w:szCs w:val="21"/>
    </w:rPr>
  </w:style>
  <w:style w:type="character" w:customStyle="1" w:styleId="ListParagraphChar">
    <w:name w:val="List Paragraph Char"/>
    <w:aliases w:val="table bullets Char"/>
    <w:basedOn w:val="DefaultParagraphFont"/>
    <w:link w:val="ListParagraph"/>
    <w:uiPriority w:val="34"/>
    <w:qFormat/>
    <w:locked/>
    <w:rsid w:val="00A0174F"/>
    <w:rPr>
      <w:rFonts w:ascii="Calibri" w:hAnsi="Calibri" w:cs="Calibri"/>
    </w:rPr>
  </w:style>
  <w:style w:type="paragraph" w:styleId="Header">
    <w:name w:val="header"/>
    <w:basedOn w:val="Normal"/>
    <w:link w:val="HeaderChar"/>
    <w:uiPriority w:val="99"/>
    <w:unhideWhenUsed/>
    <w:rsid w:val="005904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4EC"/>
    <w:rPr>
      <w:lang w:val="en-CA"/>
    </w:rPr>
  </w:style>
  <w:style w:type="paragraph" w:styleId="Footer">
    <w:name w:val="footer"/>
    <w:basedOn w:val="Normal"/>
    <w:link w:val="FooterChar"/>
    <w:uiPriority w:val="99"/>
    <w:unhideWhenUsed/>
    <w:rsid w:val="00590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4EC"/>
    <w:rPr>
      <w:lang w:val="en-CA"/>
    </w:rPr>
  </w:style>
  <w:style w:type="paragraph" w:styleId="NormalWeb">
    <w:name w:val="Normal (Web)"/>
    <w:basedOn w:val="Normal"/>
    <w:rsid w:val="007B650C"/>
    <w:pPr>
      <w:spacing w:before="100" w:beforeAutospacing="1" w:after="100" w:afterAutospacing="1" w:line="240" w:lineRule="auto"/>
    </w:pPr>
    <w:rPr>
      <w:rFonts w:ascii="Verdana" w:eastAsia="Times New Roman" w:hAnsi="Verdana"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608785">
      <w:bodyDiv w:val="1"/>
      <w:marLeft w:val="0"/>
      <w:marRight w:val="0"/>
      <w:marTop w:val="0"/>
      <w:marBottom w:val="0"/>
      <w:divBdr>
        <w:top w:val="none" w:sz="0" w:space="0" w:color="auto"/>
        <w:left w:val="none" w:sz="0" w:space="0" w:color="auto"/>
        <w:bottom w:val="none" w:sz="0" w:space="0" w:color="auto"/>
        <w:right w:val="none" w:sz="0" w:space="0" w:color="auto"/>
      </w:divBdr>
    </w:div>
    <w:div w:id="1588417398">
      <w:bodyDiv w:val="1"/>
      <w:marLeft w:val="0"/>
      <w:marRight w:val="0"/>
      <w:marTop w:val="0"/>
      <w:marBottom w:val="0"/>
      <w:divBdr>
        <w:top w:val="none" w:sz="0" w:space="0" w:color="auto"/>
        <w:left w:val="none" w:sz="0" w:space="0" w:color="auto"/>
        <w:bottom w:val="none" w:sz="0" w:space="0" w:color="auto"/>
        <w:right w:val="none" w:sz="0" w:space="0" w:color="auto"/>
      </w:divBdr>
    </w:div>
    <w:div w:id="190278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sct-trp.ca/pdf/2016_Annual_Report-eng.pdf"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9A483C-4250-4DE0-8EE4-7297D466E3A1}"/>
</file>

<file path=customXml/itemProps2.xml><?xml version="1.0" encoding="utf-8"?>
<ds:datastoreItem xmlns:ds="http://schemas.openxmlformats.org/officeDocument/2006/customXml" ds:itemID="{6CD113AD-DDE1-445F-A23C-C9885888F99A}"/>
</file>

<file path=customXml/itemProps3.xml><?xml version="1.0" encoding="utf-8"?>
<ds:datastoreItem xmlns:ds="http://schemas.openxmlformats.org/officeDocument/2006/customXml" ds:itemID="{5830F7A4-5A11-4183-9B34-E16A12F48E0A}"/>
</file>

<file path=docProps/app.xml><?xml version="1.0" encoding="utf-8"?>
<Properties xmlns="http://schemas.openxmlformats.org/officeDocument/2006/extended-properties" xmlns:vt="http://schemas.openxmlformats.org/officeDocument/2006/docPropsVTypes">
  <Template>Normal</Template>
  <TotalTime>0</TotalTime>
  <Pages>16</Pages>
  <Words>5616</Words>
  <Characters>32014</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PCH</Company>
  <LinksUpToDate>false</LinksUpToDate>
  <CharactersWithSpaces>37555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PCH</dc:creator>
  <cp:keywords/>
  <dc:description/>
  <cp:lastModifiedBy>PCH</cp:lastModifiedBy>
  <cp:revision>2</cp:revision>
  <dcterms:created xsi:type="dcterms:W3CDTF">2017-09-15T15:21:00Z</dcterms:created>
  <dcterms:modified xsi:type="dcterms:W3CDTF">2017-09-15T15:21:00Z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