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6C08C0" w:rsidRPr="00EA31ED" w14:paraId="69E35281" w14:textId="77777777" w:rsidTr="006C08C0">
        <w:tc>
          <w:tcPr>
            <w:tcW w:w="4414" w:type="dxa"/>
            <w:shd w:val="clear" w:color="auto" w:fill="B4C6E7" w:themeFill="accent1" w:themeFillTint="66"/>
          </w:tcPr>
          <w:p w14:paraId="1F2F2E2A" w14:textId="77777777" w:rsidR="006C08C0" w:rsidRPr="00EA31ED" w:rsidRDefault="006C08C0" w:rsidP="00981C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31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Medidas adoptadas Consejo de la Judicatura en la emergencia sanitaria</w:t>
            </w:r>
          </w:p>
        </w:tc>
        <w:tc>
          <w:tcPr>
            <w:tcW w:w="4414" w:type="dxa"/>
            <w:shd w:val="clear" w:color="auto" w:fill="B4C6E7" w:themeFill="accent1" w:themeFillTint="66"/>
          </w:tcPr>
          <w:p w14:paraId="700AD03B" w14:textId="77777777" w:rsidR="006C08C0" w:rsidRPr="00EA31ED" w:rsidRDefault="006C08C0" w:rsidP="00981C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31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Tema tratado</w:t>
            </w:r>
          </w:p>
        </w:tc>
      </w:tr>
      <w:tr w:rsidR="006C08C0" w:rsidRPr="00EA31ED" w14:paraId="55AD91EB" w14:textId="77777777" w:rsidTr="00981CCF">
        <w:tc>
          <w:tcPr>
            <w:tcW w:w="4414" w:type="dxa"/>
          </w:tcPr>
          <w:p w14:paraId="50E10E6E" w14:textId="77777777" w:rsidR="006C08C0" w:rsidRPr="00EA31ED" w:rsidRDefault="006C08C0" w:rsidP="00981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1ED">
              <w:rPr>
                <w:rFonts w:ascii="Times New Roman" w:hAnsi="Times New Roman" w:cs="Times New Roman"/>
                <w:sz w:val="20"/>
                <w:szCs w:val="20"/>
              </w:rPr>
              <w:t>Régimen de implementación de la Sentencia de la Corte Constitucional del Ecuador No. 9-17-CN/19</w:t>
            </w:r>
          </w:p>
        </w:tc>
        <w:tc>
          <w:tcPr>
            <w:tcW w:w="4414" w:type="dxa"/>
          </w:tcPr>
          <w:p w14:paraId="64F37D8E" w14:textId="77777777" w:rsidR="006C08C0" w:rsidRPr="00EA31ED" w:rsidRDefault="006C08C0" w:rsidP="00981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1ED">
              <w:rPr>
                <w:rFonts w:ascii="Times New Roman" w:hAnsi="Times New Roman" w:cs="Times New Roman"/>
                <w:sz w:val="20"/>
                <w:szCs w:val="20"/>
              </w:rPr>
              <w:t>Sobre el juzgamiento imparcial y especializado de adolescentes en conflicto con la ley 19 de septiembre de 2019</w:t>
            </w:r>
          </w:p>
          <w:p w14:paraId="6C24AA7E" w14:textId="77777777" w:rsidR="006C08C0" w:rsidRPr="00EA31ED" w:rsidRDefault="006C08C0" w:rsidP="00981C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8C0" w:rsidRPr="00EA31ED" w14:paraId="4B70128C" w14:textId="77777777" w:rsidTr="00981CCF">
        <w:tc>
          <w:tcPr>
            <w:tcW w:w="4414" w:type="dxa"/>
          </w:tcPr>
          <w:p w14:paraId="7EC3BECE" w14:textId="77777777" w:rsidR="006C08C0" w:rsidRPr="00EA31ED" w:rsidRDefault="006C08C0" w:rsidP="00981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1ED">
              <w:rPr>
                <w:rFonts w:ascii="Times New Roman" w:hAnsi="Times New Roman" w:cs="Times New Roman"/>
                <w:sz w:val="20"/>
                <w:szCs w:val="20"/>
              </w:rPr>
              <w:t xml:space="preserve">Resolución No. 152-2019, Pleno del Consejo de la judicatura, 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04 de febrero de 2020</w:t>
            </w:r>
          </w:p>
        </w:tc>
        <w:tc>
          <w:tcPr>
            <w:tcW w:w="4414" w:type="dxa"/>
          </w:tcPr>
          <w:p w14:paraId="367BEE41" w14:textId="77777777" w:rsidR="006C08C0" w:rsidRPr="00EA31ED" w:rsidRDefault="006C08C0" w:rsidP="00981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1ED">
              <w:rPr>
                <w:rFonts w:ascii="Times New Roman" w:hAnsi="Times New Roman" w:cs="Times New Roman"/>
                <w:sz w:val="20"/>
                <w:szCs w:val="20"/>
              </w:rPr>
              <w:t>Reformar la resolución 045-2016 de 16 de marzo de 2016, mediante la cual el Pleno del Consejo de la Judicatura Cesado (2013-2018) resolvió: expedir el reglamento general de turnos para atención de infracciones flagrantes a nivel nacional</w:t>
            </w:r>
          </w:p>
        </w:tc>
      </w:tr>
      <w:tr w:rsidR="006C08C0" w:rsidRPr="00EA31ED" w14:paraId="3379A314" w14:textId="77777777" w:rsidTr="00981CCF">
        <w:tc>
          <w:tcPr>
            <w:tcW w:w="4414" w:type="dxa"/>
          </w:tcPr>
          <w:p w14:paraId="25846405" w14:textId="77777777" w:rsidR="006C08C0" w:rsidRPr="00EA31ED" w:rsidRDefault="006C08C0" w:rsidP="00981CC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</w:pP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Resolución No. 015-2020, Pleno del Consejo de la Judicatura, 14 de mayo de 2020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  <w:t> 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</w:p>
          <w:p w14:paraId="62FDE184" w14:textId="77777777" w:rsidR="006C08C0" w:rsidRPr="00EA31ED" w:rsidRDefault="006C08C0" w:rsidP="00981CC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</w:pPr>
          </w:p>
          <w:p w14:paraId="40C16CA7" w14:textId="77777777" w:rsidR="006C08C0" w:rsidRPr="00EA31ED" w:rsidRDefault="006C08C0" w:rsidP="00981CC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</w:pPr>
          </w:p>
          <w:p w14:paraId="57722B7E" w14:textId="77777777" w:rsidR="006C08C0" w:rsidRPr="00EA31ED" w:rsidRDefault="006C08C0" w:rsidP="00981C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4" w:type="dxa"/>
          </w:tcPr>
          <w:p w14:paraId="51FB5F08" w14:textId="77777777" w:rsidR="006C08C0" w:rsidRPr="00EA31ED" w:rsidRDefault="006C08C0" w:rsidP="00981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Conformar la Comisión Interinstitucional para Implementación de Justicia Especializada en materia de Adolescentes en Conflicto con la Ley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</w:p>
        </w:tc>
      </w:tr>
      <w:tr w:rsidR="006C08C0" w:rsidRPr="00EA31ED" w14:paraId="113016A6" w14:textId="77777777" w:rsidTr="00981CCF">
        <w:tc>
          <w:tcPr>
            <w:tcW w:w="4414" w:type="dxa"/>
          </w:tcPr>
          <w:p w14:paraId="5C7202B1" w14:textId="77777777" w:rsidR="006C08C0" w:rsidRPr="00EA31ED" w:rsidRDefault="006C08C0" w:rsidP="00981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Resolución 050-2020, Pleno del Consejo de la Judicatura, 31 de marzo de 2020</w:t>
            </w:r>
          </w:p>
        </w:tc>
        <w:tc>
          <w:tcPr>
            <w:tcW w:w="4414" w:type="dxa"/>
          </w:tcPr>
          <w:p w14:paraId="1CDE24A2" w14:textId="77777777" w:rsidR="006C08C0" w:rsidRPr="00EA31ED" w:rsidRDefault="006C08C0" w:rsidP="00981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 Exhorto a jueces sobre la observancia de la doctrina de protección integral a adolescentes infractores en el contexto pandemia.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</w:p>
        </w:tc>
      </w:tr>
      <w:tr w:rsidR="006C08C0" w:rsidRPr="00EA31ED" w14:paraId="64A1E9BF" w14:textId="77777777" w:rsidTr="00981CCF">
        <w:tc>
          <w:tcPr>
            <w:tcW w:w="4414" w:type="dxa"/>
          </w:tcPr>
          <w:p w14:paraId="7CE18FD4" w14:textId="77777777" w:rsidR="006C08C0" w:rsidRPr="00EA31ED" w:rsidRDefault="006C08C0" w:rsidP="00981CC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</w:pP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Memorando circular CJ-DG-2020-1037-MC,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  <w:t xml:space="preserve">Dirección General del Consejo de la Judicatura, de 06 de abril de 2020. 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</w:p>
        </w:tc>
        <w:tc>
          <w:tcPr>
            <w:tcW w:w="4414" w:type="dxa"/>
          </w:tcPr>
          <w:p w14:paraId="7457BAB0" w14:textId="77777777" w:rsidR="006C08C0" w:rsidRPr="00EA31ED" w:rsidRDefault="006C08C0" w:rsidP="00981CC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</w:pP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Solicitud al COE Nacional para autorizar traslados coordinados a adolescentes que egresan de Centros de Adolescentes Infractores hacia los hogares en provincia de domicilio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</w:p>
        </w:tc>
      </w:tr>
      <w:tr w:rsidR="006C08C0" w:rsidRPr="00EA31ED" w14:paraId="1312697D" w14:textId="77777777" w:rsidTr="00981CCF">
        <w:tc>
          <w:tcPr>
            <w:tcW w:w="4414" w:type="dxa"/>
          </w:tcPr>
          <w:p w14:paraId="32912F4F" w14:textId="77777777" w:rsidR="006C08C0" w:rsidRPr="00EA31ED" w:rsidRDefault="006C08C0" w:rsidP="00981CC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</w:pP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Oficio Nro. CJ-PRC-2020-0006-OF C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  <w:t>Presidencia Consejo de la Judicatura, 06 de abril de 2020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</w:p>
        </w:tc>
        <w:tc>
          <w:tcPr>
            <w:tcW w:w="4414" w:type="dxa"/>
          </w:tcPr>
          <w:p w14:paraId="06D0CB42" w14:textId="77777777" w:rsidR="006C08C0" w:rsidRPr="00EA31ED" w:rsidRDefault="006C08C0" w:rsidP="00981CC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</w:pP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Presidencia Consejo de la Judicatura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  <w:t>Autorización traslados interprovinciales entre Defensoría del Pueblo, SNAI y Consejo de la Judicatura a adolescentes que egresen de CAI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</w:p>
        </w:tc>
      </w:tr>
      <w:tr w:rsidR="006C08C0" w:rsidRPr="00EA31ED" w14:paraId="00671F5F" w14:textId="77777777" w:rsidTr="00981CCF">
        <w:tc>
          <w:tcPr>
            <w:tcW w:w="4414" w:type="dxa"/>
          </w:tcPr>
          <w:p w14:paraId="446590F7" w14:textId="77777777" w:rsidR="006C08C0" w:rsidRPr="00EA31ED" w:rsidRDefault="006C08C0" w:rsidP="00981CC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</w:pP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Resolución 06-04-2020, Pleno del Consejo de la Judicatura y Comité de Operaciones de Emergencia, COE Nacional 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</w:p>
        </w:tc>
        <w:tc>
          <w:tcPr>
            <w:tcW w:w="4414" w:type="dxa"/>
          </w:tcPr>
          <w:p w14:paraId="0777222F" w14:textId="77777777" w:rsidR="006C08C0" w:rsidRPr="00EA31ED" w:rsidRDefault="006C08C0" w:rsidP="00981CC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</w:pP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t>Habilitar la recepción electrónica de peticiones de beneficios penitenciarios para personas privadas de la libertad y adolescentes infractores con cambios de régimen a quienes cumplen los requisitos </w:t>
            </w:r>
            <w:r w:rsidRPr="00EA31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C" w:eastAsia="es-EC"/>
              </w:rPr>
              <w:br/>
            </w:r>
          </w:p>
        </w:tc>
      </w:tr>
    </w:tbl>
    <w:p w14:paraId="7256B410" w14:textId="77777777" w:rsidR="006C08C0" w:rsidRPr="006C08C0" w:rsidRDefault="006C08C0">
      <w:pPr>
        <w:rPr>
          <w:rFonts w:ascii="Times New Roman" w:hAnsi="Times New Roman" w:cs="Times New Roman"/>
          <w:sz w:val="20"/>
          <w:szCs w:val="20"/>
        </w:rPr>
      </w:pPr>
    </w:p>
    <w:sectPr w:rsidR="006C08C0" w:rsidRPr="006C08C0">
      <w:head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B6C0A" w14:textId="77777777" w:rsidR="008D1324" w:rsidRDefault="008D1324" w:rsidP="006C08C0">
      <w:pPr>
        <w:spacing w:after="0" w:line="240" w:lineRule="auto"/>
      </w:pPr>
      <w:r>
        <w:separator/>
      </w:r>
    </w:p>
  </w:endnote>
  <w:endnote w:type="continuationSeparator" w:id="0">
    <w:p w14:paraId="44C5B22C" w14:textId="77777777" w:rsidR="008D1324" w:rsidRDefault="008D1324" w:rsidP="006C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78611" w14:textId="77777777" w:rsidR="008D1324" w:rsidRDefault="008D1324" w:rsidP="006C08C0">
      <w:pPr>
        <w:spacing w:after="0" w:line="240" w:lineRule="auto"/>
      </w:pPr>
      <w:r>
        <w:separator/>
      </w:r>
    </w:p>
  </w:footnote>
  <w:footnote w:type="continuationSeparator" w:id="0">
    <w:p w14:paraId="74E85936" w14:textId="77777777" w:rsidR="008D1324" w:rsidRDefault="008D1324" w:rsidP="006C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7F5D0" w14:textId="53F45F55" w:rsidR="006C08C0" w:rsidRPr="00EA31ED" w:rsidRDefault="006C08C0">
    <w:pPr>
      <w:pStyle w:val="Encabezado"/>
      <w:rPr>
        <w:rFonts w:ascii="Times New Roman" w:hAnsi="Times New Roman" w:cs="Times New Roman"/>
        <w:sz w:val="20"/>
        <w:szCs w:val="20"/>
      </w:rPr>
    </w:pPr>
    <w:r w:rsidRPr="00EA31ED">
      <w:rPr>
        <w:rFonts w:ascii="Times New Roman" w:hAnsi="Times New Roman" w:cs="Times New Roman"/>
        <w:sz w:val="20"/>
        <w:szCs w:val="20"/>
      </w:rPr>
      <w:t xml:space="preserve">Anexo </w:t>
    </w:r>
    <w:r w:rsidR="001C1DAA">
      <w:rPr>
        <w:rFonts w:ascii="Times New Roman" w:hAnsi="Times New Roman" w:cs="Times New Roman"/>
        <w:sz w:val="20"/>
        <w:szCs w:val="20"/>
      </w:rPr>
      <w:t>2</w:t>
    </w:r>
    <w:r w:rsidR="00EA31ED" w:rsidRPr="00EA31ED">
      <w:rPr>
        <w:rFonts w:ascii="Times New Roman" w:hAnsi="Times New Roman" w:cs="Times New Roman"/>
        <w:sz w:val="20"/>
        <w:szCs w:val="20"/>
      </w:rPr>
      <w:t xml:space="preserve"> </w:t>
    </w:r>
    <w:r w:rsidRPr="00EA31ED">
      <w:rPr>
        <w:rFonts w:ascii="Times New Roman" w:hAnsi="Times New Roman" w:cs="Times New Roman"/>
        <w:sz w:val="20"/>
        <w:szCs w:val="20"/>
      </w:rPr>
      <w:t xml:space="preserve">párrafo 2 </w:t>
    </w:r>
    <w:proofErr w:type="gramStart"/>
    <w:r w:rsidRPr="00EA31ED">
      <w:rPr>
        <w:rFonts w:ascii="Times New Roman" w:hAnsi="Times New Roman" w:cs="Times New Roman"/>
        <w:sz w:val="20"/>
        <w:szCs w:val="20"/>
      </w:rPr>
      <w:t>b)_</w:t>
    </w:r>
    <w:proofErr w:type="gramEnd"/>
    <w:r w:rsidRPr="00EA31ED">
      <w:rPr>
        <w:rFonts w:ascii="Times New Roman" w:hAnsi="Times New Roman" w:cs="Times New Roman"/>
        <w:sz w:val="20"/>
        <w:szCs w:val="20"/>
      </w:rPr>
      <w:t>medidas adoptadas CJ</w:t>
    </w:r>
  </w:p>
  <w:p w14:paraId="61FDF613" w14:textId="5E58D7F3" w:rsidR="006C08C0" w:rsidRDefault="006C08C0">
    <w:pPr>
      <w:pStyle w:val="Encabezado"/>
    </w:pPr>
  </w:p>
  <w:p w14:paraId="11616C9B" w14:textId="77777777" w:rsidR="006C08C0" w:rsidRDefault="006C08C0">
    <w:pPr>
      <w:pStyle w:val="Encabezado"/>
    </w:pPr>
  </w:p>
  <w:p w14:paraId="63C8FA0E" w14:textId="302DC740" w:rsidR="006C08C0" w:rsidRDefault="006C08C0">
    <w:pPr>
      <w:pStyle w:val="Encabezado"/>
    </w:pPr>
  </w:p>
  <w:p w14:paraId="6741A5C2" w14:textId="77777777" w:rsidR="006C08C0" w:rsidRDefault="006C08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8C0"/>
    <w:rsid w:val="001C1DAA"/>
    <w:rsid w:val="00207BCB"/>
    <w:rsid w:val="003B3E91"/>
    <w:rsid w:val="006C08C0"/>
    <w:rsid w:val="008D1324"/>
    <w:rsid w:val="00EA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35C34"/>
  <w15:chartTrackingRefBased/>
  <w15:docId w15:val="{A17900F5-1137-48DB-B503-396D6852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C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C0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C08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C08C0"/>
  </w:style>
  <w:style w:type="paragraph" w:styleId="Piedepgina">
    <w:name w:val="footer"/>
    <w:basedOn w:val="Normal"/>
    <w:link w:val="PiedepginaCar"/>
    <w:uiPriority w:val="99"/>
    <w:unhideWhenUsed/>
    <w:rsid w:val="006C08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0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3</cp:revision>
  <dcterms:created xsi:type="dcterms:W3CDTF">2023-05-23T18:27:00Z</dcterms:created>
  <dcterms:modified xsi:type="dcterms:W3CDTF">2023-06-03T04:55:00Z</dcterms:modified>
</cp:coreProperties>
</file>