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59A" w:rsidRPr="00C0420C" w:rsidRDefault="00D7759A" w:rsidP="00D775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rsidR="00D7759A" w:rsidRPr="00C0420C" w:rsidRDefault="00D7759A" w:rsidP="00D775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rsidR="00D7759A" w:rsidRDefault="00D7759A" w:rsidP="00D7759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85</w:t>
      </w:r>
      <w:r w:rsidRPr="0026001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8-26 de mayo</w:t>
      </w:r>
      <w:r w:rsidRPr="0026001A">
        <w:rPr>
          <w:rFonts w:ascii="Times New Roman" w:eastAsia="Arial Unicode MS" w:hAnsi="Times New Roman" w:cs="Times New Roman"/>
          <w:b/>
          <w:bCs/>
          <w:color w:val="000000"/>
          <w:sz w:val="24"/>
          <w:szCs w:val="24"/>
          <w:bdr w:val="nil"/>
          <w:lang w:val="es-ES_tradnl"/>
        </w:rPr>
        <w:t xml:space="preserve"> de 202</w:t>
      </w:r>
      <w:r>
        <w:rPr>
          <w:rFonts w:ascii="Times New Roman" w:eastAsia="Arial Unicode MS" w:hAnsi="Times New Roman" w:cs="Times New Roman"/>
          <w:b/>
          <w:bCs/>
          <w:color w:val="000000"/>
          <w:sz w:val="24"/>
          <w:szCs w:val="24"/>
          <w:bdr w:val="nil"/>
          <w:lang w:val="es-ES_tradnl"/>
        </w:rPr>
        <w:t>3</w:t>
      </w:r>
      <w:r w:rsidRPr="0026001A">
        <w:rPr>
          <w:rFonts w:ascii="Times New Roman" w:eastAsia="Arial Unicode MS" w:hAnsi="Times New Roman" w:cs="Times New Roman"/>
          <w:b/>
          <w:bCs/>
          <w:color w:val="000000"/>
          <w:sz w:val="24"/>
          <w:szCs w:val="24"/>
          <w:bdr w:val="nil"/>
          <w:lang w:val="es-ES_tradnl"/>
        </w:rPr>
        <w:t>)</w:t>
      </w:r>
    </w:p>
    <w:p w:rsidR="00D7759A" w:rsidRDefault="00D7759A" w:rsidP="00D7759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rsidR="00E74A23" w:rsidRPr="00E74A23" w:rsidRDefault="00E74A23" w:rsidP="00E74A23">
      <w:pPr>
        <w:jc w:val="both"/>
        <w:rPr>
          <w:lang w:val="es-419"/>
        </w:rPr>
      </w:pPr>
      <w:r w:rsidRPr="00E74A23">
        <w:rPr>
          <w:lang w:val="es-419"/>
        </w:rPr>
        <w:t xml:space="preserve">Este informe analiza la situación de </w:t>
      </w:r>
      <w:r>
        <w:rPr>
          <w:lang w:val="es-419"/>
        </w:rPr>
        <w:t xml:space="preserve">las mujeres que forman parte de la población de lesbianas, bisexuales, </w:t>
      </w:r>
      <w:proofErr w:type="spellStart"/>
      <w:r>
        <w:rPr>
          <w:lang w:val="es-419"/>
        </w:rPr>
        <w:t>transgéneras</w:t>
      </w:r>
      <w:proofErr w:type="spellEnd"/>
      <w:r>
        <w:rPr>
          <w:lang w:val="es-419"/>
        </w:rPr>
        <w:t>, transexuales e intersexuales</w:t>
      </w:r>
      <w:r w:rsidRPr="00E74A23">
        <w:rPr>
          <w:lang w:val="es-419"/>
        </w:rPr>
        <w:t xml:space="preserve"> en Venezuela, en particular, a la luz de las recomendaciones que ha dado el Comité de la CEDAW al Estado venezolano en </w:t>
      </w:r>
      <w:r>
        <w:rPr>
          <w:lang w:val="es-419"/>
        </w:rPr>
        <w:t>distintas</w:t>
      </w:r>
      <w:r w:rsidRPr="00E74A23">
        <w:rPr>
          <w:lang w:val="es-419"/>
        </w:rPr>
        <w:t xml:space="preserve"> áreas, y la información aportada por la República Bolivariana de Venezuela en su Informe periódico Noveno. Asimismo, se aporta información pertinente recabada de manera independiente</w:t>
      </w:r>
      <w:r>
        <w:rPr>
          <w:lang w:val="es-419"/>
        </w:rPr>
        <w:t xml:space="preserve">, considerando que asegurar la igualdad formal y plena así como el derecho a las mujeres a una vida libre de violencia y discriminación, debe ser abordado desde una perspectiva de género que no obvie, </w:t>
      </w:r>
      <w:proofErr w:type="spellStart"/>
      <w:r>
        <w:rPr>
          <w:lang w:val="es-419"/>
        </w:rPr>
        <w:t>invisibilice</w:t>
      </w:r>
      <w:proofErr w:type="spellEnd"/>
      <w:r>
        <w:rPr>
          <w:lang w:val="es-419"/>
        </w:rPr>
        <w:t xml:space="preserve"> o niegue las orientaciones sexuales e identidades de género diversas presentes en la naturaleza humana, pues de lo contrario las recomendaciones en cuanto a legislaciones, acciones judiciales y políticas públicas podrían ignorar las demandas diferenciadas que tienen mujeres en condiciones de vulnerabilidad como lo son las mujeres lesbianas, bisexuales, </w:t>
      </w:r>
      <w:proofErr w:type="spellStart"/>
      <w:r>
        <w:rPr>
          <w:lang w:val="es-419"/>
        </w:rPr>
        <w:t>transgéneras</w:t>
      </w:r>
      <w:proofErr w:type="spellEnd"/>
      <w:r>
        <w:rPr>
          <w:lang w:val="es-419"/>
        </w:rPr>
        <w:t xml:space="preserve"> e intersexuales.</w:t>
      </w:r>
    </w:p>
    <w:p w:rsidR="00E74A23" w:rsidRPr="00E74A23" w:rsidRDefault="00E74A23" w:rsidP="00E74A23">
      <w:pPr>
        <w:jc w:val="both"/>
        <w:rPr>
          <w:lang w:val="es-419"/>
        </w:rPr>
      </w:pPr>
      <w:r>
        <w:rPr>
          <w:lang w:val="es-419"/>
        </w:rPr>
        <w:t xml:space="preserve">El informe </w:t>
      </w:r>
      <w:r w:rsidR="00375B77">
        <w:rPr>
          <w:lang w:val="es-419"/>
        </w:rPr>
        <w:t xml:space="preserve">que puede ser visibilizado de manera pública </w:t>
      </w:r>
      <w:r>
        <w:rPr>
          <w:lang w:val="es-419"/>
        </w:rPr>
        <w:t>es presentado por AC Venezuela Igualitaria</w:t>
      </w:r>
      <w:r>
        <w:rPr>
          <w:rStyle w:val="FootnoteReference"/>
          <w:lang w:val="es-419"/>
        </w:rPr>
        <w:footnoteReference w:id="1"/>
      </w:r>
      <w:r w:rsidRPr="00E74A23">
        <w:rPr>
          <w:lang w:val="es-419"/>
        </w:rPr>
        <w:t xml:space="preserve"> </w:t>
      </w:r>
    </w:p>
    <w:p w:rsidR="00E74A23" w:rsidRDefault="00E74A23" w:rsidP="00E74A23">
      <w:pPr>
        <w:jc w:val="both"/>
        <w:rPr>
          <w:lang w:val="es-419"/>
        </w:rPr>
      </w:pPr>
      <w:r w:rsidRPr="00E74A23">
        <w:rPr>
          <w:lang w:val="es-419"/>
        </w:rPr>
        <w:t xml:space="preserve">Correos electrónicos de contacto: </w:t>
      </w:r>
      <w:hyperlink r:id="rId8" w:history="1">
        <w:r w:rsidRPr="007F601E">
          <w:rPr>
            <w:rStyle w:val="Hyperlink"/>
            <w:lang w:val="es-419"/>
          </w:rPr>
          <w:t>ve.igualitaria@gmail.com</w:t>
        </w:r>
      </w:hyperlink>
      <w:r>
        <w:rPr>
          <w:lang w:val="es-419"/>
        </w:rPr>
        <w:t xml:space="preserve"> y </w:t>
      </w:r>
      <w:hyperlink r:id="rId9" w:history="1">
        <w:r w:rsidRPr="007F601E">
          <w:rPr>
            <w:rStyle w:val="Hyperlink"/>
            <w:lang w:val="es-419"/>
          </w:rPr>
          <w:t>Giovanni.piermattei@gmail.com</w:t>
        </w:r>
      </w:hyperlink>
      <w:r>
        <w:rPr>
          <w:lang w:val="es-419"/>
        </w:rPr>
        <w:t xml:space="preserve"> </w:t>
      </w:r>
    </w:p>
    <w:p w:rsidR="00E74A23" w:rsidRPr="00E74A23" w:rsidRDefault="00E74A23" w:rsidP="00E74A23">
      <w:pPr>
        <w:rPr>
          <w:b/>
          <w:sz w:val="24"/>
          <w:lang w:val="es-419"/>
        </w:rPr>
      </w:pPr>
      <w:r w:rsidRPr="00E74A23">
        <w:rPr>
          <w:b/>
          <w:sz w:val="24"/>
          <w:lang w:val="es-419"/>
        </w:rPr>
        <w:t>Contexto general</w:t>
      </w:r>
    </w:p>
    <w:p w:rsidR="00E74A23" w:rsidRPr="00E74A23" w:rsidRDefault="00E74A23" w:rsidP="000B1073">
      <w:pPr>
        <w:jc w:val="both"/>
        <w:rPr>
          <w:lang w:val="es-ES"/>
        </w:rPr>
      </w:pPr>
      <w:r>
        <w:rPr>
          <w:lang w:val="es-419"/>
        </w:rPr>
        <w:t xml:space="preserve">La </w:t>
      </w:r>
      <w:r w:rsidRPr="00E74A23">
        <w:rPr>
          <w:lang w:val="es-419"/>
        </w:rPr>
        <w:t xml:space="preserve">emergencia humanitaria compleja </w:t>
      </w:r>
      <w:r>
        <w:rPr>
          <w:lang w:val="es-419"/>
        </w:rPr>
        <w:t xml:space="preserve">que vive Venezuela sumada a la afectación </w:t>
      </w:r>
      <w:r w:rsidR="00375B77">
        <w:rPr>
          <w:lang w:val="es-419"/>
        </w:rPr>
        <w:t>de</w:t>
      </w:r>
      <w:r>
        <w:rPr>
          <w:lang w:val="es-419"/>
        </w:rPr>
        <w:t xml:space="preserve"> la pandemia por COVID-19 </w:t>
      </w:r>
      <w:r w:rsidRPr="00E74A23">
        <w:rPr>
          <w:lang w:val="es-419"/>
        </w:rPr>
        <w:t>ha tenido un impacto específico en la población</w:t>
      </w:r>
      <w:r>
        <w:rPr>
          <w:lang w:val="es-419"/>
        </w:rPr>
        <w:t xml:space="preserve"> LGBTI que</w:t>
      </w:r>
      <w:r w:rsidRPr="00E74A23">
        <w:rPr>
          <w:lang w:val="es-419"/>
        </w:rPr>
        <w:t xml:space="preserve"> se mantiene hasta la ac</w:t>
      </w:r>
      <w:r>
        <w:rPr>
          <w:lang w:val="es-419"/>
        </w:rPr>
        <w:t>tualidad</w:t>
      </w:r>
      <w:r w:rsidR="000B1073">
        <w:rPr>
          <w:lang w:val="es-419"/>
        </w:rPr>
        <w:t xml:space="preserve">, como </w:t>
      </w:r>
      <w:r w:rsidRPr="00E74A23">
        <w:rPr>
          <w:lang w:val="es-419"/>
        </w:rPr>
        <w:t xml:space="preserve">resultado de una ausencia histórica de políticas públicas </w:t>
      </w:r>
      <w:r w:rsidR="000B1073">
        <w:rPr>
          <w:lang w:val="es-419"/>
        </w:rPr>
        <w:t>efectivas</w:t>
      </w:r>
      <w:r w:rsidRPr="00E74A23">
        <w:rPr>
          <w:lang w:val="es-419"/>
        </w:rPr>
        <w:t xml:space="preserve"> en materia de </w:t>
      </w:r>
      <w:r w:rsidR="000B1073">
        <w:rPr>
          <w:lang w:val="es-419"/>
        </w:rPr>
        <w:t xml:space="preserve">protección de personas lesbianas, </w:t>
      </w:r>
      <w:proofErr w:type="spellStart"/>
      <w:r w:rsidR="000B1073">
        <w:rPr>
          <w:lang w:val="es-419"/>
        </w:rPr>
        <w:t>gays</w:t>
      </w:r>
      <w:proofErr w:type="spellEnd"/>
      <w:r w:rsidR="000B1073">
        <w:rPr>
          <w:lang w:val="es-419"/>
        </w:rPr>
        <w:t xml:space="preserve">, bisexuales, </w:t>
      </w:r>
      <w:proofErr w:type="spellStart"/>
      <w:r w:rsidR="000B1073">
        <w:rPr>
          <w:lang w:val="es-419"/>
        </w:rPr>
        <w:t>transgéneras</w:t>
      </w:r>
      <w:proofErr w:type="spellEnd"/>
      <w:r w:rsidR="000B1073">
        <w:rPr>
          <w:lang w:val="es-419"/>
        </w:rPr>
        <w:t>, transexuales e intersexuales LGBTI</w:t>
      </w:r>
      <w:r w:rsidRPr="00E74A23">
        <w:rPr>
          <w:lang w:val="es-419"/>
        </w:rPr>
        <w:t xml:space="preserve"> en Venezuela.</w:t>
      </w:r>
    </w:p>
    <w:p w:rsidR="00E74A23" w:rsidRDefault="000B1073" w:rsidP="000B1073">
      <w:pPr>
        <w:jc w:val="both"/>
        <w:rPr>
          <w:lang w:val="es-ES"/>
        </w:rPr>
      </w:pPr>
      <w:r>
        <w:rPr>
          <w:lang w:val="es-ES"/>
        </w:rPr>
        <w:t>P</w:t>
      </w:r>
      <w:r w:rsidRPr="000B1073">
        <w:rPr>
          <w:lang w:val="es-ES"/>
        </w:rPr>
        <w:t xml:space="preserve">ese a que </w:t>
      </w:r>
      <w:r>
        <w:rPr>
          <w:lang w:val="es-ES"/>
        </w:rPr>
        <w:t>a la fecha de presentación del presente informe</w:t>
      </w:r>
      <w:r w:rsidR="00375B77">
        <w:rPr>
          <w:lang w:val="es-ES"/>
        </w:rPr>
        <w:t>,</w:t>
      </w:r>
      <w:r>
        <w:rPr>
          <w:lang w:val="es-ES"/>
        </w:rPr>
        <w:t xml:space="preserve"> </w:t>
      </w:r>
      <w:r w:rsidRPr="000B1073">
        <w:rPr>
          <w:lang w:val="es-ES"/>
        </w:rPr>
        <w:t>el país cuenta con un marco</w:t>
      </w:r>
      <w:r w:rsidR="00375B77">
        <w:rPr>
          <w:lang w:val="es-ES"/>
        </w:rPr>
        <w:t xml:space="preserve"> legal</w:t>
      </w:r>
      <w:r w:rsidRPr="000B1073">
        <w:rPr>
          <w:lang w:val="es-ES"/>
        </w:rPr>
        <w:t xml:space="preserve"> nacional</w:t>
      </w:r>
      <w:r>
        <w:rPr>
          <w:lang w:val="es-ES"/>
        </w:rPr>
        <w:t>, y en algunos casos regional,</w:t>
      </w:r>
      <w:r w:rsidRPr="000B1073">
        <w:rPr>
          <w:lang w:val="es-ES"/>
        </w:rPr>
        <w:t xml:space="preserve"> </w:t>
      </w:r>
      <w:r w:rsidR="00375B77">
        <w:rPr>
          <w:lang w:val="es-ES"/>
        </w:rPr>
        <w:t xml:space="preserve">en torno al </w:t>
      </w:r>
      <w:r>
        <w:rPr>
          <w:lang w:val="es-ES"/>
        </w:rPr>
        <w:t xml:space="preserve">derecho a la no discriminación por orientación sexual, identidad de género y expresión de género, </w:t>
      </w:r>
      <w:r w:rsidRPr="000B1073">
        <w:rPr>
          <w:lang w:val="es-ES"/>
        </w:rPr>
        <w:t xml:space="preserve">el Estado ha </w:t>
      </w:r>
      <w:r>
        <w:rPr>
          <w:lang w:val="es-ES"/>
        </w:rPr>
        <w:t>demostrado falta de voluntad política en el establecimiento de políticas públicas concretas que promuevan la igualdad legal y plena para este grupo social, con base en esta mismo marco legal, reproduc</w:t>
      </w:r>
      <w:r w:rsidR="00313071">
        <w:rPr>
          <w:lang w:val="es-ES"/>
        </w:rPr>
        <w:t>iendo</w:t>
      </w:r>
      <w:r>
        <w:rPr>
          <w:lang w:val="es-ES"/>
        </w:rPr>
        <w:t xml:space="preserve"> y sosteni</w:t>
      </w:r>
      <w:r w:rsidR="00313071">
        <w:rPr>
          <w:lang w:val="es-ES"/>
        </w:rPr>
        <w:t xml:space="preserve">endo </w:t>
      </w:r>
      <w:r>
        <w:rPr>
          <w:lang w:val="es-ES"/>
        </w:rPr>
        <w:t xml:space="preserve">prejuicios y </w:t>
      </w:r>
      <w:r w:rsidRPr="000B1073">
        <w:rPr>
          <w:lang w:val="es-ES"/>
        </w:rPr>
        <w:t xml:space="preserve">estereotipos </w:t>
      </w:r>
      <w:r>
        <w:rPr>
          <w:lang w:val="es-ES"/>
        </w:rPr>
        <w:t xml:space="preserve">de género </w:t>
      </w:r>
      <w:r w:rsidRPr="000B1073">
        <w:rPr>
          <w:lang w:val="es-ES"/>
        </w:rPr>
        <w:t>perjudiciales</w:t>
      </w:r>
      <w:r>
        <w:rPr>
          <w:lang w:val="es-ES"/>
        </w:rPr>
        <w:t xml:space="preserve"> especialmente para mujeres lesbianas, bisexuales, </w:t>
      </w:r>
      <w:proofErr w:type="spellStart"/>
      <w:r>
        <w:rPr>
          <w:lang w:val="es-ES"/>
        </w:rPr>
        <w:t>trans</w:t>
      </w:r>
      <w:proofErr w:type="spellEnd"/>
      <w:r>
        <w:rPr>
          <w:lang w:val="es-ES"/>
        </w:rPr>
        <w:t xml:space="preserve"> e intersexuales</w:t>
      </w:r>
      <w:r w:rsidRPr="000B1073">
        <w:rPr>
          <w:lang w:val="es-ES"/>
        </w:rPr>
        <w:t>.</w:t>
      </w:r>
    </w:p>
    <w:p w:rsidR="00536319" w:rsidRDefault="00536319" w:rsidP="00536319">
      <w:pPr>
        <w:jc w:val="both"/>
        <w:rPr>
          <w:lang w:val="es-ES"/>
        </w:rPr>
      </w:pPr>
      <w:r w:rsidRPr="00536319">
        <w:rPr>
          <w:lang w:val="es-ES"/>
        </w:rPr>
        <w:t xml:space="preserve">Un ejemplo </w:t>
      </w:r>
      <w:r>
        <w:rPr>
          <w:lang w:val="es-ES"/>
        </w:rPr>
        <w:t>de ello es que a pesar de la Sentencia 1187/2016</w:t>
      </w:r>
      <w:r w:rsidR="0065180C">
        <w:rPr>
          <w:rStyle w:val="FootnoteReference"/>
          <w:lang w:val="es-ES"/>
        </w:rPr>
        <w:footnoteReference w:id="2"/>
      </w:r>
      <w:r>
        <w:rPr>
          <w:lang w:val="es-ES"/>
        </w:rPr>
        <w:t xml:space="preserve"> de la Sala Constitucional del Tribunal Supremo de Justicia</w:t>
      </w:r>
      <w:r w:rsidR="0065180C">
        <w:rPr>
          <w:lang w:val="es-ES"/>
        </w:rPr>
        <w:t>,</w:t>
      </w:r>
      <w:r>
        <w:rPr>
          <w:lang w:val="es-ES"/>
        </w:rPr>
        <w:t xml:space="preserve"> que </w:t>
      </w:r>
      <w:r w:rsidR="000F27D5">
        <w:rPr>
          <w:lang w:val="es-ES"/>
        </w:rPr>
        <w:t xml:space="preserve">la RBV destaca como un avance significativo </w:t>
      </w:r>
      <w:r>
        <w:rPr>
          <w:lang w:val="es-ES"/>
        </w:rPr>
        <w:t xml:space="preserve">en el aparte 17.c </w:t>
      </w:r>
      <w:r w:rsidR="009A4AEB">
        <w:rPr>
          <w:lang w:val="es-ES"/>
        </w:rPr>
        <w:t xml:space="preserve">y 207 </w:t>
      </w:r>
      <w:r>
        <w:rPr>
          <w:lang w:val="es-ES"/>
        </w:rPr>
        <w:t xml:space="preserve">del noveno informe, </w:t>
      </w:r>
      <w:r w:rsidR="0065180C">
        <w:rPr>
          <w:lang w:val="es-ES"/>
        </w:rPr>
        <w:t xml:space="preserve">sentencia </w:t>
      </w:r>
      <w:r w:rsidR="000F27D5">
        <w:rPr>
          <w:lang w:val="es-ES"/>
        </w:rPr>
        <w:t>que</w:t>
      </w:r>
      <w:r w:rsidRPr="00536319">
        <w:rPr>
          <w:lang w:val="es-ES"/>
        </w:rPr>
        <w:t xml:space="preserve"> reconoc</w:t>
      </w:r>
      <w:r w:rsidR="000F27D5">
        <w:rPr>
          <w:lang w:val="es-ES"/>
        </w:rPr>
        <w:t>e</w:t>
      </w:r>
      <w:r w:rsidRPr="00536319">
        <w:rPr>
          <w:lang w:val="es-ES"/>
        </w:rPr>
        <w:t xml:space="preserve"> la familia </w:t>
      </w:r>
      <w:proofErr w:type="spellStart"/>
      <w:r w:rsidRPr="00536319">
        <w:rPr>
          <w:lang w:val="es-ES"/>
        </w:rPr>
        <w:t>homoparental</w:t>
      </w:r>
      <w:proofErr w:type="spellEnd"/>
      <w:r w:rsidRPr="00536319">
        <w:rPr>
          <w:lang w:val="es-ES"/>
        </w:rPr>
        <w:t xml:space="preserve">, interpretando el artículo 75 de la CRBV, “en el sentido de que la jefatura de las familias puede ejercerlas las familias </w:t>
      </w:r>
      <w:proofErr w:type="spellStart"/>
      <w:r w:rsidRPr="00536319">
        <w:rPr>
          <w:lang w:val="es-ES"/>
        </w:rPr>
        <w:t>homoparentales</w:t>
      </w:r>
      <w:proofErr w:type="spellEnd"/>
      <w:r w:rsidRPr="00536319">
        <w:rPr>
          <w:lang w:val="es-ES"/>
        </w:rPr>
        <w:t xml:space="preserve">, y los niños, niñas y adolescentes nacidos en estas familias tienen la protección del Estado al igual que cualquier otro niño </w:t>
      </w:r>
      <w:r w:rsidRPr="00536319">
        <w:rPr>
          <w:lang w:val="es-ES"/>
        </w:rPr>
        <w:lastRenderedPageBreak/>
        <w:t>que haya nacido den</w:t>
      </w:r>
      <w:r>
        <w:rPr>
          <w:lang w:val="es-ES"/>
        </w:rPr>
        <w:t xml:space="preserve">tro de una familia tradicional”, sigue </w:t>
      </w:r>
      <w:r w:rsidR="0065180C">
        <w:rPr>
          <w:lang w:val="es-ES"/>
        </w:rPr>
        <w:t>sin</w:t>
      </w:r>
      <w:r>
        <w:rPr>
          <w:lang w:val="es-ES"/>
        </w:rPr>
        <w:t xml:space="preserve"> respuesta una Solicitud de </w:t>
      </w:r>
      <w:r w:rsidRPr="00536319">
        <w:rPr>
          <w:lang w:val="es-ES"/>
        </w:rPr>
        <w:t xml:space="preserve">Aclaratoria de </w:t>
      </w:r>
      <w:r>
        <w:rPr>
          <w:lang w:val="es-ES"/>
        </w:rPr>
        <w:t xml:space="preserve">dicha </w:t>
      </w:r>
      <w:r w:rsidRPr="00536319">
        <w:rPr>
          <w:lang w:val="es-ES"/>
        </w:rPr>
        <w:t>Sentencia</w:t>
      </w:r>
      <w:r w:rsidR="006E7ABC">
        <w:rPr>
          <w:rStyle w:val="FootnoteReference"/>
          <w:lang w:val="es-ES"/>
        </w:rPr>
        <w:footnoteReference w:id="3"/>
      </w:r>
      <w:r w:rsidRPr="00536319">
        <w:rPr>
          <w:lang w:val="es-ES"/>
        </w:rPr>
        <w:t xml:space="preserve"> </w:t>
      </w:r>
      <w:r w:rsidR="0065180C">
        <w:rPr>
          <w:lang w:val="es-ES"/>
        </w:rPr>
        <w:t xml:space="preserve">que hiciéramos en fecha 20.12.2016, para no </w:t>
      </w:r>
      <w:r w:rsidRPr="00536319">
        <w:rPr>
          <w:lang w:val="es-ES"/>
        </w:rPr>
        <w:t xml:space="preserve">dejar lagunas jurídicas </w:t>
      </w:r>
      <w:r w:rsidR="0065180C">
        <w:rPr>
          <w:lang w:val="es-ES"/>
        </w:rPr>
        <w:t>y se pueda aplicar de forma administrativa a nuevos casos</w:t>
      </w:r>
      <w:r w:rsidRPr="00536319">
        <w:rPr>
          <w:lang w:val="es-ES"/>
        </w:rPr>
        <w:t>.</w:t>
      </w:r>
    </w:p>
    <w:p w:rsidR="00536319" w:rsidRDefault="00536319" w:rsidP="00536319">
      <w:pPr>
        <w:jc w:val="both"/>
        <w:rPr>
          <w:lang w:val="es-ES"/>
        </w:rPr>
      </w:pPr>
      <w:r>
        <w:rPr>
          <w:lang w:val="es-ES"/>
        </w:rPr>
        <w:t xml:space="preserve">Lo que nos lleva a cuestionar la cualidad de </w:t>
      </w:r>
      <w:r w:rsidR="000F27D5">
        <w:rPr>
          <w:lang w:val="es-ES"/>
        </w:rPr>
        <w:t xml:space="preserve">vinculante </w:t>
      </w:r>
      <w:r w:rsidR="009A4AEB">
        <w:rPr>
          <w:lang w:val="es-ES"/>
        </w:rPr>
        <w:t xml:space="preserve">de dicha sentencia cuando </w:t>
      </w:r>
      <w:r w:rsidR="0065180C">
        <w:rPr>
          <w:lang w:val="es-ES"/>
        </w:rPr>
        <w:t>al presentar</w:t>
      </w:r>
      <w:r w:rsidR="000F27D5">
        <w:rPr>
          <w:lang w:val="es-ES"/>
        </w:rPr>
        <w:t xml:space="preserve"> una</w:t>
      </w:r>
      <w:r>
        <w:rPr>
          <w:lang w:val="es-ES"/>
        </w:rPr>
        <w:t xml:space="preserve"> </w:t>
      </w:r>
      <w:r w:rsidR="000F27D5" w:rsidRPr="00536319">
        <w:rPr>
          <w:lang w:val="es-ES"/>
        </w:rPr>
        <w:t>Acción Mero Declarativa</w:t>
      </w:r>
      <w:r w:rsidR="000F27D5">
        <w:rPr>
          <w:lang w:val="es-ES"/>
        </w:rPr>
        <w:t xml:space="preserve"> en 2018</w:t>
      </w:r>
      <w:r w:rsidR="000F27D5" w:rsidRPr="00536319">
        <w:rPr>
          <w:lang w:val="es-ES"/>
        </w:rPr>
        <w:t>, en defensa del Derecho Humano a la Identidad de</w:t>
      </w:r>
      <w:r w:rsidR="000F27D5">
        <w:rPr>
          <w:lang w:val="es-ES"/>
        </w:rPr>
        <w:t xml:space="preserve"> un</w:t>
      </w:r>
      <w:r w:rsidR="000F27D5" w:rsidRPr="00536319">
        <w:rPr>
          <w:lang w:val="es-ES"/>
        </w:rPr>
        <w:t xml:space="preserve"> niño</w:t>
      </w:r>
      <w:r w:rsidR="000F27D5">
        <w:rPr>
          <w:lang w:val="es-ES"/>
        </w:rPr>
        <w:t xml:space="preserve"> nacido de dos madres lesbianas, </w:t>
      </w:r>
      <w:r w:rsidR="0065180C">
        <w:rPr>
          <w:lang w:val="es-ES"/>
        </w:rPr>
        <w:t>con base en el</w:t>
      </w:r>
      <w:r w:rsidR="000F27D5">
        <w:rPr>
          <w:lang w:val="es-ES"/>
        </w:rPr>
        <w:t xml:space="preserve"> ejercicio de la voluntad </w:t>
      </w:r>
      <w:proofErr w:type="spellStart"/>
      <w:r w:rsidR="000F27D5">
        <w:rPr>
          <w:lang w:val="es-ES"/>
        </w:rPr>
        <w:t>procreacional</w:t>
      </w:r>
      <w:proofErr w:type="spellEnd"/>
      <w:r w:rsidR="000F27D5">
        <w:rPr>
          <w:lang w:val="es-ES"/>
        </w:rPr>
        <w:t xml:space="preserve">, </w:t>
      </w:r>
      <w:r w:rsidR="000F27D5" w:rsidRPr="00536319">
        <w:rPr>
          <w:lang w:val="es-ES"/>
        </w:rPr>
        <w:t xml:space="preserve">signada con el Asunto AP51-V-2018-009376 </w:t>
      </w:r>
      <w:r w:rsidR="000F27D5">
        <w:rPr>
          <w:lang w:val="es-ES"/>
        </w:rPr>
        <w:t xml:space="preserve">ante el </w:t>
      </w:r>
      <w:r w:rsidRPr="00536319">
        <w:rPr>
          <w:lang w:val="es-ES"/>
        </w:rPr>
        <w:t>CJPNNA</w:t>
      </w:r>
      <w:r w:rsidR="000F27D5">
        <w:rPr>
          <w:lang w:val="es-ES"/>
        </w:rPr>
        <w:t xml:space="preserve">, </w:t>
      </w:r>
      <w:r w:rsidR="0065180C">
        <w:rPr>
          <w:lang w:val="es-ES"/>
        </w:rPr>
        <w:t>fue declarada IMPROCEDENTE el 25.01.</w:t>
      </w:r>
      <w:r w:rsidRPr="00536319">
        <w:rPr>
          <w:lang w:val="es-ES"/>
        </w:rPr>
        <w:t xml:space="preserve">2018 por el Tribunal Sexto de Primera Instancia de Mediación, Sustanciación y Ejecución de Protección </w:t>
      </w:r>
      <w:r w:rsidR="000F27D5">
        <w:rPr>
          <w:lang w:val="es-ES"/>
        </w:rPr>
        <w:t xml:space="preserve">de Niños, Niñas y Adolescentes, </w:t>
      </w:r>
      <w:r w:rsidR="0065180C">
        <w:rPr>
          <w:lang w:val="es-ES"/>
        </w:rPr>
        <w:t xml:space="preserve">y aunque tal decisión fue </w:t>
      </w:r>
      <w:r w:rsidR="000F27D5">
        <w:rPr>
          <w:lang w:val="es-ES"/>
        </w:rPr>
        <w:t>a</w:t>
      </w:r>
      <w:r w:rsidRPr="00536319">
        <w:rPr>
          <w:lang w:val="es-ES"/>
        </w:rPr>
        <w:t>pela</w:t>
      </w:r>
      <w:r w:rsidR="000F27D5">
        <w:rPr>
          <w:lang w:val="es-ES"/>
        </w:rPr>
        <w:t>da</w:t>
      </w:r>
      <w:r w:rsidRPr="00536319">
        <w:rPr>
          <w:lang w:val="es-ES"/>
        </w:rPr>
        <w:t xml:space="preserve"> el 31</w:t>
      </w:r>
      <w:r w:rsidR="0065180C">
        <w:rPr>
          <w:lang w:val="es-ES"/>
        </w:rPr>
        <w:t>.01.</w:t>
      </w:r>
      <w:r w:rsidRPr="00536319">
        <w:rPr>
          <w:lang w:val="es-ES"/>
        </w:rPr>
        <w:t>2019, quedando signada con e</w:t>
      </w:r>
      <w:r w:rsidR="0065180C">
        <w:rPr>
          <w:lang w:val="es-ES"/>
        </w:rPr>
        <w:t xml:space="preserve">l Asunto: AP51-R-2019-00102343 y </w:t>
      </w:r>
      <w:r w:rsidR="000F27D5">
        <w:rPr>
          <w:lang w:val="es-ES"/>
        </w:rPr>
        <w:t>declarada</w:t>
      </w:r>
      <w:r w:rsidRPr="00536319">
        <w:rPr>
          <w:lang w:val="es-ES"/>
        </w:rPr>
        <w:t xml:space="preserve"> CON LUGAR</w:t>
      </w:r>
      <w:r w:rsidR="003726D5">
        <w:rPr>
          <w:rStyle w:val="FootnoteReference"/>
          <w:lang w:val="es-ES"/>
        </w:rPr>
        <w:footnoteReference w:id="4"/>
      </w:r>
      <w:r w:rsidRPr="00536319">
        <w:rPr>
          <w:lang w:val="es-ES"/>
        </w:rPr>
        <w:t xml:space="preserve"> </w:t>
      </w:r>
      <w:r w:rsidR="000F27D5">
        <w:rPr>
          <w:lang w:val="es-ES"/>
        </w:rPr>
        <w:t xml:space="preserve">anulando </w:t>
      </w:r>
      <w:r w:rsidRPr="00536319">
        <w:rPr>
          <w:lang w:val="es-ES"/>
        </w:rPr>
        <w:t xml:space="preserve">la sentencia </w:t>
      </w:r>
      <w:r w:rsidR="000F27D5">
        <w:rPr>
          <w:lang w:val="es-ES"/>
        </w:rPr>
        <w:t xml:space="preserve">anterior, </w:t>
      </w:r>
      <w:r w:rsidR="0065180C">
        <w:rPr>
          <w:lang w:val="es-ES"/>
        </w:rPr>
        <w:t xml:space="preserve">el fallo del </w:t>
      </w:r>
      <w:r w:rsidR="0065180C" w:rsidRPr="00536319">
        <w:rPr>
          <w:lang w:val="es-ES"/>
        </w:rPr>
        <w:t>Tribunal Décimo Segundo de Primera Instancia de Mediación, Sustanciación y Ejecución</w:t>
      </w:r>
      <w:r w:rsidR="0065180C">
        <w:rPr>
          <w:lang w:val="es-ES"/>
        </w:rPr>
        <w:t xml:space="preserve"> </w:t>
      </w:r>
      <w:r w:rsidR="003726D5">
        <w:rPr>
          <w:lang w:val="es-ES"/>
        </w:rPr>
        <w:t xml:space="preserve">lo declara </w:t>
      </w:r>
      <w:r w:rsidR="000F27D5">
        <w:rPr>
          <w:lang w:val="es-ES"/>
        </w:rPr>
        <w:t xml:space="preserve"> </w:t>
      </w:r>
      <w:r w:rsidR="000F27D5" w:rsidRPr="00536319">
        <w:rPr>
          <w:lang w:val="es-ES"/>
        </w:rPr>
        <w:t xml:space="preserve">SIN LUGAR </w:t>
      </w:r>
      <w:r w:rsidR="000F27D5">
        <w:rPr>
          <w:lang w:val="es-ES"/>
        </w:rPr>
        <w:t>nuevamente</w:t>
      </w:r>
      <w:r w:rsidR="003726D5">
        <w:rPr>
          <w:lang w:val="es-ES"/>
        </w:rPr>
        <w:t>,</w:t>
      </w:r>
      <w:r w:rsidRPr="00536319">
        <w:rPr>
          <w:lang w:val="es-ES"/>
        </w:rPr>
        <w:t xml:space="preserve"> desconoc</w:t>
      </w:r>
      <w:r w:rsidR="000F27D5">
        <w:rPr>
          <w:lang w:val="es-ES"/>
        </w:rPr>
        <w:t xml:space="preserve">iendo </w:t>
      </w:r>
      <w:r w:rsidRPr="00536319">
        <w:rPr>
          <w:lang w:val="es-ES"/>
        </w:rPr>
        <w:t>la volunta</w:t>
      </w:r>
      <w:r w:rsidR="000F27D5">
        <w:rPr>
          <w:lang w:val="es-ES"/>
        </w:rPr>
        <w:t xml:space="preserve">d </w:t>
      </w:r>
      <w:proofErr w:type="spellStart"/>
      <w:r w:rsidR="000F27D5">
        <w:rPr>
          <w:lang w:val="es-ES"/>
        </w:rPr>
        <w:t>procreacional</w:t>
      </w:r>
      <w:proofErr w:type="spellEnd"/>
      <w:r w:rsidR="000F27D5">
        <w:rPr>
          <w:lang w:val="es-ES"/>
        </w:rPr>
        <w:t xml:space="preserve"> de ambas madres e</w:t>
      </w:r>
      <w:r w:rsidRPr="00536319">
        <w:rPr>
          <w:lang w:val="es-ES"/>
        </w:rPr>
        <w:t xml:space="preserve"> ignora</w:t>
      </w:r>
      <w:r w:rsidR="000F27D5">
        <w:rPr>
          <w:lang w:val="es-ES"/>
        </w:rPr>
        <w:t>ndo</w:t>
      </w:r>
      <w:r w:rsidRPr="00536319">
        <w:rPr>
          <w:lang w:val="es-ES"/>
        </w:rPr>
        <w:t xml:space="preserve"> la aplicación jurisprudencial de la Sentencia 1187/2016 de la Sala Constitucional del </w:t>
      </w:r>
      <w:r w:rsidR="000F27D5">
        <w:rPr>
          <w:lang w:val="es-ES"/>
        </w:rPr>
        <w:t>TSJ</w:t>
      </w:r>
      <w:r w:rsidRPr="00536319">
        <w:rPr>
          <w:lang w:val="es-ES"/>
        </w:rPr>
        <w:t>.</w:t>
      </w:r>
    </w:p>
    <w:p w:rsidR="009A4AEB" w:rsidRDefault="009A4AEB" w:rsidP="00536319">
      <w:pPr>
        <w:jc w:val="both"/>
        <w:rPr>
          <w:lang w:val="es-ES"/>
        </w:rPr>
      </w:pPr>
      <w:r>
        <w:rPr>
          <w:lang w:val="es-ES"/>
        </w:rPr>
        <w:t xml:space="preserve">Asimismo, la existencia de la Ley de Familias Maternidad y Paternidad </w:t>
      </w:r>
      <w:r w:rsidR="006E7ABC">
        <w:rPr>
          <w:lang w:val="es-ES"/>
        </w:rPr>
        <w:t>que reconoce la pluralidad de formas de familia con igualdad y sin discriminación, no parece ser un recurso aplicable por funcionarios y funciona</w:t>
      </w:r>
      <w:r w:rsidR="00DA4BC7">
        <w:rPr>
          <w:lang w:val="es-ES"/>
        </w:rPr>
        <w:t xml:space="preserve">rias, jueces y juezas </w:t>
      </w:r>
      <w:r w:rsidR="006E7ABC">
        <w:rPr>
          <w:lang w:val="es-ES"/>
        </w:rPr>
        <w:t>del Concejo de Protección</w:t>
      </w:r>
      <w:r w:rsidR="00DA4BC7">
        <w:rPr>
          <w:lang w:val="es-ES"/>
        </w:rPr>
        <w:t>.</w:t>
      </w:r>
      <w:r w:rsidR="00E846B0">
        <w:rPr>
          <w:lang w:val="es-ES"/>
        </w:rPr>
        <w:t xml:space="preserve"> Constituyéndose la falta de protección a las familias no tradicionales en violencia institucional, en particular a las familias existentes formadas por mujeres lesbianas o con la presencia de una mujer </w:t>
      </w:r>
      <w:proofErr w:type="spellStart"/>
      <w:r w:rsidR="00E846B0">
        <w:rPr>
          <w:lang w:val="es-ES"/>
        </w:rPr>
        <w:t>trans</w:t>
      </w:r>
      <w:proofErr w:type="spellEnd"/>
      <w:r w:rsidR="00E846B0">
        <w:rPr>
          <w:lang w:val="es-ES"/>
        </w:rPr>
        <w:t xml:space="preserve">. </w:t>
      </w:r>
    </w:p>
    <w:p w:rsidR="00536319" w:rsidRPr="000B1073" w:rsidRDefault="009A4AEB" w:rsidP="00DA4BC7">
      <w:pPr>
        <w:jc w:val="both"/>
        <w:rPr>
          <w:lang w:val="es-ES"/>
        </w:rPr>
      </w:pPr>
      <w:r>
        <w:rPr>
          <w:lang w:val="es-ES"/>
        </w:rPr>
        <w:t xml:space="preserve">Por otro lado, aunque existen leyes como la del derecho a la mujer a una vida libre de violencia, </w:t>
      </w:r>
      <w:r w:rsidR="00DA4BC7">
        <w:rPr>
          <w:lang w:val="es-ES"/>
        </w:rPr>
        <w:t xml:space="preserve">que a la fecha de presentación de este informe no solo reconoce a las mujeres lesbianas, bisexuales y </w:t>
      </w:r>
      <w:proofErr w:type="spellStart"/>
      <w:r w:rsidR="00DA4BC7">
        <w:rPr>
          <w:lang w:val="es-ES"/>
        </w:rPr>
        <w:t>trans</w:t>
      </w:r>
      <w:proofErr w:type="spellEnd"/>
      <w:r w:rsidR="00DA4BC7">
        <w:rPr>
          <w:lang w:val="es-ES"/>
        </w:rPr>
        <w:t xml:space="preserve"> como sujetas de protección del Estado, sino que también asume como </w:t>
      </w:r>
      <w:r w:rsidR="00DA4BC7" w:rsidRPr="00DA4BC7">
        <w:rPr>
          <w:lang w:val="es-ES"/>
        </w:rPr>
        <w:t>circunstancias agravantes de los delitos previstos</w:t>
      </w:r>
      <w:r w:rsidR="00DA4BC7">
        <w:rPr>
          <w:lang w:val="es-ES"/>
        </w:rPr>
        <w:t xml:space="preserve"> e</w:t>
      </w:r>
      <w:r w:rsidR="00DA4BC7" w:rsidRPr="00DA4BC7">
        <w:rPr>
          <w:lang w:val="es-ES"/>
        </w:rPr>
        <w:t xml:space="preserve">n </w:t>
      </w:r>
      <w:r w:rsidR="00DA4BC7">
        <w:rPr>
          <w:lang w:val="es-ES"/>
        </w:rPr>
        <w:t xml:space="preserve">la misma los cometidos por </w:t>
      </w:r>
      <w:r w:rsidR="00DA4BC7" w:rsidRPr="00DA4BC7">
        <w:rPr>
          <w:lang w:val="es-ES"/>
        </w:rPr>
        <w:t>motivo de la pertenencia, real o presunta, de la</w:t>
      </w:r>
      <w:r w:rsidR="00DA4BC7">
        <w:rPr>
          <w:lang w:val="es-ES"/>
        </w:rPr>
        <w:t xml:space="preserve"> víctima a determinada </w:t>
      </w:r>
      <w:r w:rsidR="00DA4BC7" w:rsidRPr="00DA4BC7">
        <w:rPr>
          <w:lang w:val="es-ES"/>
        </w:rPr>
        <w:t>orientación sexual, identidad d</w:t>
      </w:r>
      <w:r w:rsidR="00DA4BC7">
        <w:rPr>
          <w:lang w:val="es-ES"/>
        </w:rPr>
        <w:t xml:space="preserve">e género, expresión de género, la Sala Constitucional del Tribunal Supremo de Justicia cumple ya 6 años de retardo procesal en dar sentencia definitiva sobre la demanda innominada por el derecho a la identidad de género de personas </w:t>
      </w:r>
      <w:proofErr w:type="spellStart"/>
      <w:r w:rsidR="00DA4BC7">
        <w:rPr>
          <w:lang w:val="es-ES"/>
        </w:rPr>
        <w:t>trans</w:t>
      </w:r>
      <w:proofErr w:type="spellEnd"/>
      <w:r w:rsidR="003726D5">
        <w:rPr>
          <w:rStyle w:val="FootnoteReference"/>
          <w:lang w:val="es-ES"/>
        </w:rPr>
        <w:footnoteReference w:id="5"/>
      </w:r>
      <w:r w:rsidR="00C864A8">
        <w:rPr>
          <w:rStyle w:val="FootnoteReference"/>
          <w:lang w:val="es-ES"/>
        </w:rPr>
        <w:footnoteReference w:id="6"/>
      </w:r>
      <w:r w:rsidR="00DA4BC7">
        <w:rPr>
          <w:lang w:val="es-ES"/>
        </w:rPr>
        <w:t xml:space="preserve">, </w:t>
      </w:r>
      <w:r w:rsidR="00E846B0">
        <w:rPr>
          <w:lang w:val="es-ES"/>
        </w:rPr>
        <w:t xml:space="preserve">así como el Concejo Nacional Electoral no actúa con diligencia en las distintas demandas interpuestas por el colectivo </w:t>
      </w:r>
      <w:proofErr w:type="spellStart"/>
      <w:r w:rsidR="00E846B0">
        <w:rPr>
          <w:lang w:val="es-ES"/>
        </w:rPr>
        <w:t>trans</w:t>
      </w:r>
      <w:proofErr w:type="spellEnd"/>
      <w:r w:rsidR="00E846B0">
        <w:rPr>
          <w:lang w:val="es-ES"/>
        </w:rPr>
        <w:t xml:space="preserve"> con respecto a un derecho tan básico como lo es el derecho a la identidad, </w:t>
      </w:r>
      <w:r w:rsidR="00DA4BC7">
        <w:rPr>
          <w:lang w:val="es-ES"/>
        </w:rPr>
        <w:t xml:space="preserve">lo que demuestra una profunda incongruencia entre lo que dicen </w:t>
      </w:r>
      <w:r w:rsidR="003726D5">
        <w:rPr>
          <w:lang w:val="es-ES"/>
        </w:rPr>
        <w:t xml:space="preserve">en la norma </w:t>
      </w:r>
      <w:r w:rsidR="00DA4BC7">
        <w:rPr>
          <w:lang w:val="es-ES"/>
        </w:rPr>
        <w:t>y lo que hacen</w:t>
      </w:r>
      <w:r w:rsidR="003726D5">
        <w:rPr>
          <w:lang w:val="es-ES"/>
        </w:rPr>
        <w:t xml:space="preserve"> al interpretarla funcionarios y funcionarias del Estado.</w:t>
      </w:r>
    </w:p>
    <w:p w:rsidR="007E2C1B" w:rsidRPr="00C223E1" w:rsidRDefault="008B2343" w:rsidP="00C864A8">
      <w:pPr>
        <w:jc w:val="both"/>
        <w:rPr>
          <w:szCs w:val="24"/>
          <w:lang w:val="es-ES_tradnl"/>
        </w:rPr>
      </w:pPr>
      <w:r>
        <w:rPr>
          <w:lang w:val="es-419"/>
        </w:rPr>
        <w:t>A sabiendas que para</w:t>
      </w:r>
      <w:r w:rsidR="00670380">
        <w:rPr>
          <w:lang w:val="es-419"/>
        </w:rPr>
        <w:t xml:space="preserve"> este</w:t>
      </w:r>
      <w:r w:rsidR="004E0357">
        <w:rPr>
          <w:lang w:val="es-419"/>
        </w:rPr>
        <w:t xml:space="preserve"> comité, una de las </w:t>
      </w:r>
      <w:r w:rsidR="007E2C1B" w:rsidRPr="00C223E1">
        <w:rPr>
          <w:lang w:val="es-ES_tradnl"/>
        </w:rPr>
        <w:t xml:space="preserve">Principales esferas de preocupación y recomendaciones </w:t>
      </w:r>
      <w:r w:rsidR="004E0357">
        <w:rPr>
          <w:lang w:val="es-ES_tradnl"/>
        </w:rPr>
        <w:t xml:space="preserve">dadas en el séptimo y octavo informe periódico, en cuanto </w:t>
      </w:r>
      <w:r w:rsidR="007E2C1B" w:rsidRPr="00C223E1">
        <w:rPr>
          <w:lang w:val="es-ES_tradnl"/>
        </w:rPr>
        <w:t>Grupos desfavorecidos de mujeres</w:t>
      </w:r>
      <w:r w:rsidR="004E0357">
        <w:rPr>
          <w:lang w:val="es-ES_tradnl"/>
        </w:rPr>
        <w:t xml:space="preserve">, (36) era </w:t>
      </w:r>
      <w:r w:rsidR="004E0357" w:rsidRPr="00C864A8">
        <w:rPr>
          <w:lang w:val="es-ES_tradnl"/>
        </w:rPr>
        <w:t>“…</w:t>
      </w:r>
      <w:r w:rsidR="007E2C1B" w:rsidRPr="00C864A8">
        <w:rPr>
          <w:szCs w:val="24"/>
          <w:lang w:val="es-ES_tradnl"/>
        </w:rPr>
        <w:t xml:space="preserve">la falta de medidas eficaces orientadas a combatir la discriminación y la violencia que afrontan los grupos desfavorecidos de mujeres, como son las </w:t>
      </w:r>
      <w:r w:rsidR="004E0357" w:rsidRPr="00C864A8">
        <w:rPr>
          <w:szCs w:val="24"/>
          <w:lang w:val="es-ES_tradnl"/>
        </w:rPr>
        <w:t xml:space="preserve">… </w:t>
      </w:r>
      <w:r w:rsidR="007E2C1B" w:rsidRPr="00C864A8">
        <w:rPr>
          <w:szCs w:val="24"/>
          <w:lang w:val="es-ES_tradnl"/>
        </w:rPr>
        <w:t xml:space="preserve">mujeres lesbianas, bisexuales, </w:t>
      </w:r>
      <w:proofErr w:type="spellStart"/>
      <w:r w:rsidR="007E2C1B" w:rsidRPr="00C864A8">
        <w:rPr>
          <w:szCs w:val="24"/>
          <w:lang w:val="es-ES_tradnl"/>
        </w:rPr>
        <w:t>transgénero</w:t>
      </w:r>
      <w:proofErr w:type="spellEnd"/>
      <w:r w:rsidR="007E2C1B" w:rsidRPr="00C864A8">
        <w:rPr>
          <w:szCs w:val="24"/>
          <w:lang w:val="es-ES_tradnl"/>
        </w:rPr>
        <w:t xml:space="preserve"> e intersexuales y otras mujeres que afrontan formas múltiples y entrecruzadas de discriminación</w:t>
      </w:r>
      <w:r w:rsidR="004E0357" w:rsidRPr="00C864A8">
        <w:rPr>
          <w:szCs w:val="24"/>
          <w:lang w:val="es-ES_tradnl"/>
        </w:rPr>
        <w:t>”,</w:t>
      </w:r>
      <w:r w:rsidR="004E0357">
        <w:rPr>
          <w:szCs w:val="24"/>
          <w:lang w:val="es-ES_tradnl"/>
        </w:rPr>
        <w:t xml:space="preserve"> por lo </w:t>
      </w:r>
      <w:r w:rsidR="004E0357">
        <w:rPr>
          <w:szCs w:val="24"/>
          <w:lang w:val="es-ES_tradnl"/>
        </w:rPr>
        <w:lastRenderedPageBreak/>
        <w:t xml:space="preserve">que el comité recomendó </w:t>
      </w:r>
      <w:r w:rsidR="007E2C1B" w:rsidRPr="008B2343">
        <w:rPr>
          <w:szCs w:val="24"/>
          <w:lang w:val="es-ES_tradnl"/>
        </w:rPr>
        <w:t xml:space="preserve">que </w:t>
      </w:r>
      <w:r w:rsidRPr="008B2343">
        <w:rPr>
          <w:szCs w:val="24"/>
          <w:lang w:val="es-ES_tradnl"/>
        </w:rPr>
        <w:t>se</w:t>
      </w:r>
      <w:r w:rsidR="007E2C1B" w:rsidRPr="008B2343">
        <w:rPr>
          <w:szCs w:val="24"/>
          <w:lang w:val="es-ES_tradnl"/>
        </w:rPr>
        <w:t xml:space="preserve"> adopte</w:t>
      </w:r>
      <w:r w:rsidRPr="008B2343">
        <w:rPr>
          <w:szCs w:val="24"/>
          <w:lang w:val="es-ES_tradnl"/>
        </w:rPr>
        <w:t>n</w:t>
      </w:r>
      <w:r w:rsidR="007E2C1B" w:rsidRPr="00C223E1">
        <w:rPr>
          <w:b/>
          <w:szCs w:val="24"/>
          <w:lang w:val="es-ES_tradnl"/>
        </w:rPr>
        <w:t xml:space="preserve"> </w:t>
      </w:r>
      <w:r w:rsidRPr="00C864A8">
        <w:rPr>
          <w:szCs w:val="24"/>
          <w:lang w:val="es-ES_tradnl"/>
        </w:rPr>
        <w:t>“</w:t>
      </w:r>
      <w:r w:rsidR="007E2C1B" w:rsidRPr="00C864A8">
        <w:rPr>
          <w:szCs w:val="24"/>
          <w:lang w:val="es-ES_tradnl"/>
        </w:rPr>
        <w:t>las medidas oportunas para atender las necesidades particulares de los grupos desfavorecidos de mujeres. El Estado parte debería facilitar información detallada y datos desglosados en su próximo informe periódico sobre la situación de estas mujeres y las medidas adoptadas para atender sus necesidades específicas.</w:t>
      </w:r>
      <w:r w:rsidRPr="00C864A8">
        <w:rPr>
          <w:szCs w:val="24"/>
          <w:lang w:val="es-ES_tradnl"/>
        </w:rPr>
        <w:t>”</w:t>
      </w:r>
      <w:r w:rsidR="007E2C1B" w:rsidRPr="00C864A8">
        <w:rPr>
          <w:szCs w:val="24"/>
          <w:lang w:val="es-ES_tradnl"/>
        </w:rPr>
        <w:t xml:space="preserve"> </w:t>
      </w:r>
    </w:p>
    <w:p w:rsidR="005D7040" w:rsidRDefault="004E0357" w:rsidP="00C864A8">
      <w:pPr>
        <w:jc w:val="both"/>
        <w:rPr>
          <w:lang w:val="es-419"/>
        </w:rPr>
      </w:pPr>
      <w:r>
        <w:rPr>
          <w:lang w:val="es-419"/>
        </w:rPr>
        <w:t>A lo que la RBV responde</w:t>
      </w:r>
      <w:r w:rsidR="00D7759A" w:rsidRPr="00D7759A">
        <w:rPr>
          <w:lang w:val="es-419"/>
        </w:rPr>
        <w:t xml:space="preserve"> </w:t>
      </w:r>
      <w:r w:rsidR="008B2343">
        <w:rPr>
          <w:lang w:val="es-419"/>
        </w:rPr>
        <w:t>(</w:t>
      </w:r>
      <w:r w:rsidR="00D7759A" w:rsidRPr="00D7759A">
        <w:rPr>
          <w:lang w:val="es-419"/>
        </w:rPr>
        <w:t>184</w:t>
      </w:r>
      <w:r w:rsidR="008B2343">
        <w:rPr>
          <w:lang w:val="es-419"/>
        </w:rPr>
        <w:t>) que</w:t>
      </w:r>
      <w:r w:rsidR="00D7759A" w:rsidRPr="00D7759A">
        <w:rPr>
          <w:lang w:val="es-419"/>
        </w:rPr>
        <w:t xml:space="preserve"> implementó acciones </w:t>
      </w:r>
      <w:r w:rsidR="00D7759A" w:rsidRPr="005D7040">
        <w:rPr>
          <w:b/>
          <w:lang w:val="es-419"/>
        </w:rPr>
        <w:t xml:space="preserve">para asegurar la igualdad de </w:t>
      </w:r>
      <w:proofErr w:type="gramStart"/>
      <w:r w:rsidR="00D7759A" w:rsidRPr="005D7040">
        <w:rPr>
          <w:b/>
          <w:lang w:val="es-419"/>
        </w:rPr>
        <w:t xml:space="preserve">mujeres </w:t>
      </w:r>
      <w:r w:rsidR="008B2343" w:rsidRPr="005D7040">
        <w:rPr>
          <w:b/>
          <w:lang w:val="es-419"/>
        </w:rPr>
        <w:t>…</w:t>
      </w:r>
      <w:proofErr w:type="gramEnd"/>
      <w:r w:rsidR="00D7759A" w:rsidRPr="005D7040">
        <w:rPr>
          <w:b/>
          <w:lang w:val="es-419"/>
        </w:rPr>
        <w:t xml:space="preserve"> lesbianas, bisexuales, </w:t>
      </w:r>
      <w:proofErr w:type="spellStart"/>
      <w:r w:rsidR="00D7759A" w:rsidRPr="005D7040">
        <w:rPr>
          <w:b/>
          <w:lang w:val="es-419"/>
        </w:rPr>
        <w:t>transgénero</w:t>
      </w:r>
      <w:proofErr w:type="spellEnd"/>
      <w:r w:rsidR="00D7759A" w:rsidRPr="005D7040">
        <w:rPr>
          <w:b/>
          <w:lang w:val="es-419"/>
        </w:rPr>
        <w:t xml:space="preserve"> e intersexuales</w:t>
      </w:r>
      <w:r w:rsidR="00D7759A" w:rsidRPr="00D7759A">
        <w:rPr>
          <w:lang w:val="es-419"/>
        </w:rPr>
        <w:t xml:space="preserve"> </w:t>
      </w:r>
      <w:r w:rsidR="008B2343">
        <w:rPr>
          <w:lang w:val="es-419"/>
        </w:rPr>
        <w:t>… con acciones tales como</w:t>
      </w:r>
      <w:r w:rsidR="00C864A8">
        <w:rPr>
          <w:lang w:val="es-419"/>
        </w:rPr>
        <w:t>:</w:t>
      </w:r>
      <w:r w:rsidR="008B2343">
        <w:rPr>
          <w:lang w:val="es-419"/>
        </w:rPr>
        <w:t xml:space="preserve"> </w:t>
      </w:r>
    </w:p>
    <w:p w:rsidR="005D7040" w:rsidRDefault="005D7040" w:rsidP="00C864A8">
      <w:pPr>
        <w:jc w:val="both"/>
        <w:rPr>
          <w:lang w:val="es-419"/>
        </w:rPr>
      </w:pPr>
      <w:r>
        <w:rPr>
          <w:lang w:val="es-419"/>
        </w:rPr>
        <w:t xml:space="preserve">- </w:t>
      </w:r>
      <w:r w:rsidR="008B2343">
        <w:rPr>
          <w:lang w:val="es-419"/>
        </w:rPr>
        <w:t>(</w:t>
      </w:r>
      <w:r w:rsidR="00D7759A" w:rsidRPr="00D7759A">
        <w:rPr>
          <w:lang w:val="es-419"/>
        </w:rPr>
        <w:t>203</w:t>
      </w:r>
      <w:r w:rsidR="008B2343">
        <w:rPr>
          <w:lang w:val="es-419"/>
        </w:rPr>
        <w:t xml:space="preserve">) </w:t>
      </w:r>
      <w:r w:rsidR="00D7759A" w:rsidRPr="00D7759A">
        <w:rPr>
          <w:lang w:val="es-419"/>
        </w:rPr>
        <w:t xml:space="preserve">curso básico </w:t>
      </w:r>
      <w:r w:rsidR="008B2343">
        <w:rPr>
          <w:lang w:val="es-419"/>
        </w:rPr>
        <w:t xml:space="preserve">dictados por el Ministerio de la Mujer en 2013 y 2014, </w:t>
      </w:r>
    </w:p>
    <w:p w:rsidR="005D7040" w:rsidRDefault="005D7040" w:rsidP="00C864A8">
      <w:pPr>
        <w:jc w:val="both"/>
        <w:rPr>
          <w:lang w:val="es-419"/>
        </w:rPr>
      </w:pPr>
      <w:r>
        <w:rPr>
          <w:lang w:val="es-419"/>
        </w:rPr>
        <w:t>-</w:t>
      </w:r>
      <w:r w:rsidR="00C864A8">
        <w:rPr>
          <w:lang w:val="es-419"/>
        </w:rPr>
        <w:t xml:space="preserve"> </w:t>
      </w:r>
      <w:r w:rsidR="008B2343">
        <w:rPr>
          <w:lang w:val="es-419"/>
        </w:rPr>
        <w:t>(2</w:t>
      </w:r>
      <w:r w:rsidR="00D7759A" w:rsidRPr="00D7759A">
        <w:rPr>
          <w:lang w:val="es-419"/>
        </w:rPr>
        <w:t>04</w:t>
      </w:r>
      <w:r w:rsidR="008B2343">
        <w:rPr>
          <w:lang w:val="es-419"/>
        </w:rPr>
        <w:t xml:space="preserve">) la </w:t>
      </w:r>
      <w:r w:rsidR="00D7759A" w:rsidRPr="00D7759A">
        <w:rPr>
          <w:lang w:val="es-419"/>
        </w:rPr>
        <w:t>conforma</w:t>
      </w:r>
      <w:r w:rsidR="008B2343">
        <w:rPr>
          <w:lang w:val="es-419"/>
        </w:rPr>
        <w:t>ción d</w:t>
      </w:r>
      <w:r w:rsidR="00D7759A" w:rsidRPr="00D7759A">
        <w:rPr>
          <w:lang w:val="es-419"/>
        </w:rPr>
        <w:t>el Consejo Pres</w:t>
      </w:r>
      <w:r w:rsidR="008B2343">
        <w:rPr>
          <w:lang w:val="es-419"/>
        </w:rPr>
        <w:t xml:space="preserve">idencial de la Sexo-Diversidad en 2018, </w:t>
      </w:r>
    </w:p>
    <w:p w:rsidR="00D7759A" w:rsidRPr="00D7759A" w:rsidRDefault="005D7040" w:rsidP="00C864A8">
      <w:pPr>
        <w:jc w:val="both"/>
        <w:rPr>
          <w:lang w:val="es-419"/>
        </w:rPr>
      </w:pPr>
      <w:r>
        <w:rPr>
          <w:lang w:val="es-419"/>
        </w:rPr>
        <w:t xml:space="preserve">- </w:t>
      </w:r>
      <w:r w:rsidR="008B2343">
        <w:rPr>
          <w:lang w:val="es-419"/>
        </w:rPr>
        <w:t>(</w:t>
      </w:r>
      <w:r w:rsidR="00D7759A" w:rsidRPr="00D7759A">
        <w:rPr>
          <w:lang w:val="es-419"/>
        </w:rPr>
        <w:t>205</w:t>
      </w:r>
      <w:r>
        <w:rPr>
          <w:lang w:val="es-419"/>
        </w:rPr>
        <w:t>)</w:t>
      </w:r>
      <w:r w:rsidR="00D7759A" w:rsidRPr="00D7759A">
        <w:rPr>
          <w:lang w:val="es-419"/>
        </w:rPr>
        <w:t xml:space="preserve"> la Ley Constitucional Contra el Odio, por la Convive</w:t>
      </w:r>
      <w:r>
        <w:rPr>
          <w:lang w:val="es-419"/>
        </w:rPr>
        <w:t xml:space="preserve">ncia Pacífica y la Tolerancia  </w:t>
      </w:r>
      <w:r w:rsidR="008B2343">
        <w:rPr>
          <w:lang w:val="es-419"/>
        </w:rPr>
        <w:t xml:space="preserve">en </w:t>
      </w:r>
      <w:r w:rsidR="00D7759A" w:rsidRPr="00D7759A">
        <w:rPr>
          <w:lang w:val="es-419"/>
        </w:rPr>
        <w:t xml:space="preserve">2017 </w:t>
      </w:r>
      <w:r w:rsidR="008B2343">
        <w:rPr>
          <w:lang w:val="es-419"/>
        </w:rPr>
        <w:t xml:space="preserve">que </w:t>
      </w:r>
      <w:r w:rsidR="00D7759A" w:rsidRPr="00D7759A">
        <w:rPr>
          <w:lang w:val="es-419"/>
        </w:rPr>
        <w:t xml:space="preserve">prohíbe la discriminación por razones de orientación sexual, identidad de género o expresión de género; consagra </w:t>
      </w:r>
      <w:r>
        <w:rPr>
          <w:lang w:val="es-419"/>
        </w:rPr>
        <w:t>como</w:t>
      </w:r>
      <w:r w:rsidR="00D7759A" w:rsidRPr="00D7759A">
        <w:rPr>
          <w:lang w:val="es-419"/>
        </w:rPr>
        <w:t xml:space="preserve"> delito </w:t>
      </w:r>
      <w:r>
        <w:rPr>
          <w:lang w:val="es-419"/>
        </w:rPr>
        <w:t xml:space="preserve">y </w:t>
      </w:r>
      <w:r w:rsidRPr="00D7759A">
        <w:rPr>
          <w:lang w:val="es-419"/>
        </w:rPr>
        <w:t xml:space="preserve">conducta punible </w:t>
      </w:r>
      <w:r>
        <w:rPr>
          <w:lang w:val="es-419"/>
        </w:rPr>
        <w:t>la</w:t>
      </w:r>
      <w:r w:rsidR="00D7759A" w:rsidRPr="00D7759A">
        <w:rPr>
          <w:lang w:val="es-419"/>
        </w:rPr>
        <w:t xml:space="preserve"> </w:t>
      </w:r>
      <w:r>
        <w:rPr>
          <w:lang w:val="es-419"/>
        </w:rPr>
        <w:t xml:space="preserve">promoción o incitación al odio por tales motivos, </w:t>
      </w:r>
    </w:p>
    <w:p w:rsidR="00D7759A" w:rsidRPr="00D7759A" w:rsidRDefault="005D7040" w:rsidP="00C864A8">
      <w:pPr>
        <w:jc w:val="both"/>
        <w:rPr>
          <w:lang w:val="es-419"/>
        </w:rPr>
      </w:pPr>
      <w:r>
        <w:rPr>
          <w:lang w:val="es-419"/>
        </w:rPr>
        <w:t xml:space="preserve">- </w:t>
      </w:r>
      <w:r w:rsidR="00C864A8">
        <w:rPr>
          <w:lang w:val="es-419"/>
        </w:rPr>
        <w:t>(</w:t>
      </w:r>
      <w:r w:rsidR="00D7759A" w:rsidRPr="00D7759A">
        <w:rPr>
          <w:lang w:val="es-419"/>
        </w:rPr>
        <w:t>206</w:t>
      </w:r>
      <w:r w:rsidR="00C864A8">
        <w:rPr>
          <w:lang w:val="es-419"/>
        </w:rPr>
        <w:t>)</w:t>
      </w:r>
      <w:r w:rsidR="00D7759A" w:rsidRPr="00D7759A">
        <w:rPr>
          <w:lang w:val="es-419"/>
        </w:rPr>
        <w:t>.</w:t>
      </w:r>
      <w:r w:rsidR="00D7759A" w:rsidRPr="00D7759A">
        <w:rPr>
          <w:lang w:val="es-419"/>
        </w:rPr>
        <w:tab/>
      </w:r>
      <w:r>
        <w:rPr>
          <w:lang w:val="es-419"/>
        </w:rPr>
        <w:t>la</w:t>
      </w:r>
      <w:r w:rsidR="00D7759A" w:rsidRPr="00D7759A">
        <w:rPr>
          <w:lang w:val="es-419"/>
        </w:rPr>
        <w:t xml:space="preserve"> aproba</w:t>
      </w:r>
      <w:r>
        <w:rPr>
          <w:lang w:val="es-419"/>
        </w:rPr>
        <w:t>ció</w:t>
      </w:r>
      <w:r w:rsidR="00D7759A" w:rsidRPr="00D7759A">
        <w:rPr>
          <w:lang w:val="es-419"/>
        </w:rPr>
        <w:t xml:space="preserve">n </w:t>
      </w:r>
      <w:r>
        <w:rPr>
          <w:lang w:val="es-419"/>
        </w:rPr>
        <w:t xml:space="preserve">en 2017 de </w:t>
      </w:r>
      <w:r w:rsidR="00D7759A" w:rsidRPr="00D7759A">
        <w:rPr>
          <w:lang w:val="es-419"/>
        </w:rPr>
        <w:t xml:space="preserve">las Normas Básicas de Actuación de los Servidores y Servidoras Públicas </w:t>
      </w:r>
      <w:r>
        <w:rPr>
          <w:lang w:val="es-419"/>
        </w:rPr>
        <w:t>en materia de Derechos Humanos, c</w:t>
      </w:r>
      <w:r w:rsidR="00D7759A" w:rsidRPr="00D7759A">
        <w:rPr>
          <w:lang w:val="es-419"/>
        </w:rPr>
        <w:t xml:space="preserve">onforme a </w:t>
      </w:r>
      <w:r>
        <w:rPr>
          <w:lang w:val="es-419"/>
        </w:rPr>
        <w:t xml:space="preserve">las cuales </w:t>
      </w:r>
      <w:r w:rsidR="00D7759A" w:rsidRPr="00D7759A">
        <w:rPr>
          <w:lang w:val="es-419"/>
        </w:rPr>
        <w:t xml:space="preserve">los servidores públicos y servidoras públicas deben abstenerse de realizar cualquier tipo de acto o actuación de discriminación basada </w:t>
      </w:r>
      <w:r>
        <w:rPr>
          <w:lang w:val="es-419"/>
        </w:rPr>
        <w:t>…</w:t>
      </w:r>
      <w:r w:rsidR="00D7759A" w:rsidRPr="00D7759A">
        <w:rPr>
          <w:lang w:val="es-419"/>
        </w:rPr>
        <w:t>, género, orientación sexual, identidad</w:t>
      </w:r>
      <w:r>
        <w:rPr>
          <w:lang w:val="es-419"/>
        </w:rPr>
        <w:t xml:space="preserve"> de género, expresión de género…</w:t>
      </w:r>
      <w:r w:rsidR="00D7759A" w:rsidRPr="00D7759A">
        <w:rPr>
          <w:lang w:val="es-419"/>
        </w:rPr>
        <w:t>.</w:t>
      </w:r>
    </w:p>
    <w:p w:rsidR="00D7759A" w:rsidRPr="00D7759A" w:rsidRDefault="005D7040" w:rsidP="00C864A8">
      <w:pPr>
        <w:jc w:val="both"/>
        <w:rPr>
          <w:lang w:val="es-419"/>
        </w:rPr>
      </w:pPr>
      <w:r>
        <w:rPr>
          <w:lang w:val="es-419"/>
        </w:rPr>
        <w:t xml:space="preserve">- </w:t>
      </w:r>
      <w:r w:rsidR="00C864A8">
        <w:rPr>
          <w:lang w:val="es-419"/>
        </w:rPr>
        <w:t>(</w:t>
      </w:r>
      <w:r>
        <w:rPr>
          <w:lang w:val="es-419"/>
        </w:rPr>
        <w:t>207</w:t>
      </w:r>
      <w:r w:rsidR="00C864A8">
        <w:rPr>
          <w:lang w:val="es-419"/>
        </w:rPr>
        <w:t>)</w:t>
      </w:r>
      <w:r>
        <w:rPr>
          <w:lang w:val="es-419"/>
        </w:rPr>
        <w:t xml:space="preserve">. </w:t>
      </w:r>
      <w:r w:rsidR="00424940">
        <w:rPr>
          <w:lang w:val="es-419"/>
        </w:rPr>
        <w:t xml:space="preserve">La </w:t>
      </w:r>
      <w:r w:rsidR="00D7759A" w:rsidRPr="00D7759A">
        <w:rPr>
          <w:lang w:val="es-419"/>
        </w:rPr>
        <w:t xml:space="preserve">sentencia Nº 1187 </w:t>
      </w:r>
      <w:r w:rsidR="00424940">
        <w:rPr>
          <w:lang w:val="es-419"/>
        </w:rPr>
        <w:t xml:space="preserve">del 2016 </w:t>
      </w:r>
      <w:r w:rsidR="00D7759A" w:rsidRPr="00D7759A">
        <w:rPr>
          <w:lang w:val="es-419"/>
        </w:rPr>
        <w:t xml:space="preserve">de la Sala Constitucional del TSJ declaró el reconocimiento de la familia </w:t>
      </w:r>
      <w:proofErr w:type="spellStart"/>
      <w:r w:rsidR="00D7759A" w:rsidRPr="00D7759A">
        <w:rPr>
          <w:lang w:val="es-419"/>
        </w:rPr>
        <w:t>homoparental</w:t>
      </w:r>
      <w:proofErr w:type="spellEnd"/>
      <w:r w:rsidR="00D7759A" w:rsidRPr="00D7759A">
        <w:rPr>
          <w:lang w:val="es-419"/>
        </w:rPr>
        <w:t xml:space="preserve">, interpretando el artículo 75 de la Constitución de la RBV en el sentido de que la jefatura de las familias pueden ejercerlas las familias </w:t>
      </w:r>
      <w:proofErr w:type="spellStart"/>
      <w:r w:rsidR="00D7759A" w:rsidRPr="00D7759A">
        <w:rPr>
          <w:lang w:val="es-419"/>
        </w:rPr>
        <w:t>homoparentales</w:t>
      </w:r>
      <w:proofErr w:type="spellEnd"/>
      <w:r w:rsidR="00D7759A" w:rsidRPr="00D7759A">
        <w:rPr>
          <w:lang w:val="es-419"/>
        </w:rPr>
        <w:t xml:space="preserve">, y los niños, niñas y adolescentes nacidos en estas familias tienen la protección del Estado al igual que cualquier otro niño que haya nacido dentro de una familia tradicional. </w:t>
      </w:r>
    </w:p>
    <w:p w:rsidR="00D7759A" w:rsidRPr="00D7759A" w:rsidRDefault="00424940" w:rsidP="00C864A8">
      <w:pPr>
        <w:jc w:val="both"/>
        <w:rPr>
          <w:lang w:val="es-419"/>
        </w:rPr>
      </w:pPr>
      <w:r>
        <w:rPr>
          <w:lang w:val="es-419"/>
        </w:rPr>
        <w:t xml:space="preserve">- </w:t>
      </w:r>
      <w:r w:rsidR="00C864A8">
        <w:rPr>
          <w:lang w:val="es-419"/>
        </w:rPr>
        <w:t>(</w:t>
      </w:r>
      <w:r w:rsidR="00D7759A" w:rsidRPr="00D7759A">
        <w:rPr>
          <w:lang w:val="es-419"/>
        </w:rPr>
        <w:t>208</w:t>
      </w:r>
      <w:r w:rsidR="00C864A8">
        <w:rPr>
          <w:lang w:val="es-419"/>
        </w:rPr>
        <w:t>)</w:t>
      </w:r>
      <w:r w:rsidR="00D7759A" w:rsidRPr="00D7759A">
        <w:rPr>
          <w:lang w:val="es-419"/>
        </w:rPr>
        <w:t>.</w:t>
      </w:r>
      <w:r>
        <w:rPr>
          <w:lang w:val="es-419"/>
        </w:rPr>
        <w:t xml:space="preserve"> O las diferentes acciones regionales</w:t>
      </w:r>
      <w:r w:rsidR="00D7759A" w:rsidRPr="00D7759A">
        <w:rPr>
          <w:lang w:val="es-419"/>
        </w:rPr>
        <w:t>.</w:t>
      </w:r>
    </w:p>
    <w:p w:rsidR="00D7759A" w:rsidRPr="00D7759A" w:rsidRDefault="00E846B0" w:rsidP="00C864A8">
      <w:pPr>
        <w:jc w:val="both"/>
        <w:rPr>
          <w:lang w:val="es-419"/>
        </w:rPr>
      </w:pPr>
      <w:r>
        <w:rPr>
          <w:lang w:val="es-419"/>
        </w:rPr>
        <w:t xml:space="preserve">- </w:t>
      </w:r>
      <w:r w:rsidR="00C864A8">
        <w:rPr>
          <w:lang w:val="es-419"/>
        </w:rPr>
        <w:t>(</w:t>
      </w:r>
      <w:r w:rsidR="00D7759A" w:rsidRPr="00D7759A">
        <w:rPr>
          <w:lang w:val="es-419"/>
        </w:rPr>
        <w:t>209</w:t>
      </w:r>
      <w:r w:rsidR="00C864A8">
        <w:rPr>
          <w:lang w:val="es-419"/>
        </w:rPr>
        <w:t>)</w:t>
      </w:r>
      <w:r w:rsidR="00D7759A" w:rsidRPr="00D7759A">
        <w:rPr>
          <w:lang w:val="es-419"/>
        </w:rPr>
        <w:t>.</w:t>
      </w:r>
      <w:r>
        <w:rPr>
          <w:lang w:val="es-419"/>
        </w:rPr>
        <w:t xml:space="preserve"> </w:t>
      </w:r>
      <w:r w:rsidR="00D7759A" w:rsidRPr="00D7759A">
        <w:rPr>
          <w:lang w:val="es-419"/>
        </w:rPr>
        <w:t xml:space="preserve">En el 2017 se creó en el MPPMIG la línea de trabajo de la </w:t>
      </w:r>
      <w:proofErr w:type="spellStart"/>
      <w:r w:rsidR="00D7759A" w:rsidRPr="00D7759A">
        <w:rPr>
          <w:lang w:val="es-419"/>
        </w:rPr>
        <w:t>Sexodiversidad</w:t>
      </w:r>
      <w:proofErr w:type="spellEnd"/>
      <w:r w:rsidR="00D7759A" w:rsidRPr="00D7759A">
        <w:rPr>
          <w:lang w:val="es-419"/>
        </w:rPr>
        <w:t xml:space="preserve">, con enfoque de género feminista y de derechos humanos para la atención integral, formación, participación protagónica e investigación, conjuntamente con la población </w:t>
      </w:r>
      <w:proofErr w:type="spellStart"/>
      <w:r w:rsidR="00D7759A" w:rsidRPr="00D7759A">
        <w:rPr>
          <w:lang w:val="es-419"/>
        </w:rPr>
        <w:t>sexodiversa</w:t>
      </w:r>
      <w:proofErr w:type="spellEnd"/>
      <w:r w:rsidR="00D7759A" w:rsidRPr="00D7759A">
        <w:rPr>
          <w:lang w:val="es-419"/>
        </w:rPr>
        <w:t>.</w:t>
      </w:r>
    </w:p>
    <w:p w:rsidR="00D7759A" w:rsidRPr="00D7759A" w:rsidRDefault="00E846B0" w:rsidP="00C864A8">
      <w:pPr>
        <w:jc w:val="both"/>
        <w:rPr>
          <w:lang w:val="es-419"/>
        </w:rPr>
      </w:pPr>
      <w:r>
        <w:rPr>
          <w:lang w:val="es-419"/>
        </w:rPr>
        <w:t xml:space="preserve">- </w:t>
      </w:r>
      <w:r w:rsidR="00C864A8">
        <w:rPr>
          <w:lang w:val="es-419"/>
        </w:rPr>
        <w:t>(</w:t>
      </w:r>
      <w:r>
        <w:rPr>
          <w:lang w:val="es-419"/>
        </w:rPr>
        <w:t>210</w:t>
      </w:r>
      <w:r w:rsidR="00C864A8">
        <w:rPr>
          <w:lang w:val="es-419"/>
        </w:rPr>
        <w:t>)</w:t>
      </w:r>
      <w:r>
        <w:rPr>
          <w:lang w:val="es-419"/>
        </w:rPr>
        <w:t xml:space="preserve">. </w:t>
      </w:r>
      <w:r w:rsidR="00D7759A" w:rsidRPr="00D7759A">
        <w:rPr>
          <w:lang w:val="es-419"/>
        </w:rPr>
        <w:t xml:space="preserve">El Plan Nacional de Derechos Humanos 2016-2019, incorporó la creación de mecanismos especializados en la </w:t>
      </w:r>
      <w:proofErr w:type="spellStart"/>
      <w:r w:rsidR="00D7759A" w:rsidRPr="00D7759A">
        <w:rPr>
          <w:lang w:val="es-419"/>
        </w:rPr>
        <w:t>DdP</w:t>
      </w:r>
      <w:proofErr w:type="spellEnd"/>
      <w:r w:rsidR="00D7759A" w:rsidRPr="00D7759A">
        <w:rPr>
          <w:lang w:val="es-419"/>
        </w:rPr>
        <w:t xml:space="preserve"> y el MP para la promoción y protección del derecho a la igualdad y no discriminación por motivos de orientación sexual, identidad de género o expresión de género. El Plan de la Patria 2019-2025 contempla la protección integral de la comunidad LGBTI. </w:t>
      </w:r>
    </w:p>
    <w:p w:rsidR="00D7759A" w:rsidRPr="00D7759A" w:rsidRDefault="00E846B0" w:rsidP="00C864A8">
      <w:pPr>
        <w:jc w:val="both"/>
        <w:rPr>
          <w:lang w:val="es-419"/>
        </w:rPr>
      </w:pPr>
      <w:r>
        <w:rPr>
          <w:lang w:val="es-419"/>
        </w:rPr>
        <w:t xml:space="preserve">- </w:t>
      </w:r>
      <w:r w:rsidR="00C864A8">
        <w:rPr>
          <w:lang w:val="es-419"/>
        </w:rPr>
        <w:t>(</w:t>
      </w:r>
      <w:r>
        <w:rPr>
          <w:lang w:val="es-419"/>
        </w:rPr>
        <w:t>211</w:t>
      </w:r>
      <w:r w:rsidR="00C864A8">
        <w:rPr>
          <w:lang w:val="es-419"/>
        </w:rPr>
        <w:t>)</w:t>
      </w:r>
      <w:r>
        <w:rPr>
          <w:lang w:val="es-419"/>
        </w:rPr>
        <w:t xml:space="preserve">. </w:t>
      </w:r>
      <w:r w:rsidR="00D7759A" w:rsidRPr="00D7759A">
        <w:rPr>
          <w:lang w:val="es-419"/>
        </w:rPr>
        <w:t xml:space="preserve">En noviembre de 2020, la </w:t>
      </w:r>
      <w:proofErr w:type="spellStart"/>
      <w:r w:rsidR="00D7759A" w:rsidRPr="00D7759A">
        <w:rPr>
          <w:lang w:val="es-419"/>
        </w:rPr>
        <w:t>DdP</w:t>
      </w:r>
      <w:proofErr w:type="spellEnd"/>
      <w:r w:rsidR="00D7759A" w:rsidRPr="00D7759A">
        <w:rPr>
          <w:lang w:val="es-419"/>
        </w:rPr>
        <w:t xml:space="preserve"> creó la Defensoría Delegada Especial con competencia a nivel nacional para la protección de las personas de la </w:t>
      </w:r>
      <w:proofErr w:type="spellStart"/>
      <w:r w:rsidR="00D7759A" w:rsidRPr="00D7759A">
        <w:rPr>
          <w:lang w:val="es-419"/>
        </w:rPr>
        <w:t>sexodiversidad</w:t>
      </w:r>
      <w:proofErr w:type="spellEnd"/>
      <w:r w:rsidR="00D7759A" w:rsidRPr="00D7759A">
        <w:rPr>
          <w:lang w:val="es-419"/>
        </w:rPr>
        <w:t>, adscrita a la Dirección de Mater</w:t>
      </w:r>
      <w:r>
        <w:rPr>
          <w:lang w:val="es-419"/>
        </w:rPr>
        <w:t>ias de Especial Atención</w:t>
      </w:r>
      <w:r w:rsidR="00D7759A" w:rsidRPr="00D7759A">
        <w:rPr>
          <w:lang w:val="es-419"/>
        </w:rPr>
        <w:t>.</w:t>
      </w:r>
    </w:p>
    <w:p w:rsidR="00D7759A" w:rsidRDefault="00E846B0" w:rsidP="00C864A8">
      <w:pPr>
        <w:jc w:val="both"/>
        <w:rPr>
          <w:lang w:val="es-419"/>
        </w:rPr>
      </w:pPr>
      <w:r>
        <w:rPr>
          <w:lang w:val="es-419"/>
        </w:rPr>
        <w:t xml:space="preserve">Ninguna de estas acciones se ven reflejadas en concreto en las distintas violencias y discriminaciones arbitrarias que el Estado venezolano infringe sobre </w:t>
      </w:r>
      <w:r w:rsidR="00C940A9">
        <w:rPr>
          <w:lang w:val="es-419"/>
        </w:rPr>
        <w:t xml:space="preserve">mujeres lesbianas, bisexuales, </w:t>
      </w:r>
      <w:proofErr w:type="spellStart"/>
      <w:r w:rsidR="00C940A9">
        <w:rPr>
          <w:lang w:val="es-419"/>
        </w:rPr>
        <w:t>trans</w:t>
      </w:r>
      <w:proofErr w:type="spellEnd"/>
      <w:r w:rsidR="00C940A9">
        <w:rPr>
          <w:lang w:val="es-419"/>
        </w:rPr>
        <w:t xml:space="preserve"> e intersexuales, tampoco en cuanto al m</w:t>
      </w:r>
      <w:r w:rsidR="00D7759A" w:rsidRPr="00D7759A">
        <w:rPr>
          <w:lang w:val="es-419"/>
        </w:rPr>
        <w:t>atrimonio y relaciones familiares</w:t>
      </w:r>
      <w:r w:rsidR="00C940A9">
        <w:rPr>
          <w:lang w:val="es-419"/>
        </w:rPr>
        <w:t xml:space="preserve"> que enfrentan situaciones de desigualdad </w:t>
      </w:r>
      <w:proofErr w:type="spellStart"/>
      <w:r w:rsidR="00C940A9">
        <w:rPr>
          <w:lang w:val="es-419"/>
        </w:rPr>
        <w:t>aun</w:t>
      </w:r>
      <w:proofErr w:type="spellEnd"/>
      <w:r w:rsidR="00C940A9">
        <w:rPr>
          <w:lang w:val="es-419"/>
        </w:rPr>
        <w:t xml:space="preserve"> mayores que las que viven l</w:t>
      </w:r>
      <w:r w:rsidR="00C864A8">
        <w:rPr>
          <w:lang w:val="es-419"/>
        </w:rPr>
        <w:t xml:space="preserve">as mujeres </w:t>
      </w:r>
      <w:proofErr w:type="spellStart"/>
      <w:r w:rsidR="00C864A8">
        <w:rPr>
          <w:lang w:val="es-419"/>
        </w:rPr>
        <w:t>cis</w:t>
      </w:r>
      <w:proofErr w:type="spellEnd"/>
      <w:r w:rsidR="00C864A8">
        <w:rPr>
          <w:lang w:val="es-419"/>
        </w:rPr>
        <w:t xml:space="preserve"> heterosexuales, respecto a la cual reposa en la Sala </w:t>
      </w:r>
      <w:r w:rsidR="00C864A8">
        <w:rPr>
          <w:lang w:val="es-419"/>
        </w:rPr>
        <w:lastRenderedPageBreak/>
        <w:t xml:space="preserve">Constitucional desde hace 9 años un recurso de nulidad por la inconstitucionalidad del artículo 44 del Código Civil, que solo reconoce el matrimonio entre un solo hombre y una sola mujer. </w:t>
      </w:r>
      <w:r w:rsidR="00C864A8">
        <w:rPr>
          <w:rStyle w:val="FootnoteReference"/>
          <w:lang w:val="es-419"/>
        </w:rPr>
        <w:footnoteReference w:id="7"/>
      </w:r>
      <w:r w:rsidR="00C940A9">
        <w:rPr>
          <w:lang w:val="es-419"/>
        </w:rPr>
        <w:t xml:space="preserve"> </w:t>
      </w:r>
    </w:p>
    <w:p w:rsidR="00C864A8" w:rsidRPr="00C864A8" w:rsidRDefault="00C864A8" w:rsidP="00C864A8">
      <w:pPr>
        <w:jc w:val="both"/>
        <w:rPr>
          <w:b/>
          <w:sz w:val="24"/>
          <w:lang w:val="es-419"/>
        </w:rPr>
      </w:pPr>
      <w:r w:rsidRPr="00C864A8">
        <w:rPr>
          <w:b/>
          <w:sz w:val="24"/>
          <w:lang w:val="es-419"/>
        </w:rPr>
        <w:t>Recomendaciones</w:t>
      </w:r>
    </w:p>
    <w:p w:rsidR="002E2DA9" w:rsidRDefault="002E2DA9" w:rsidP="00C864A8">
      <w:pPr>
        <w:jc w:val="both"/>
        <w:rPr>
          <w:lang w:val="es-419"/>
        </w:rPr>
      </w:pPr>
      <w:r>
        <w:rPr>
          <w:lang w:val="es-419"/>
        </w:rPr>
        <w:t xml:space="preserve">Con base en que efectivamente nuestra constitución, en sus artículos </w:t>
      </w:r>
      <w:r w:rsidR="006409D6">
        <w:rPr>
          <w:lang w:val="es-419"/>
        </w:rPr>
        <w:t xml:space="preserve">3, </w:t>
      </w:r>
      <w:r>
        <w:rPr>
          <w:lang w:val="es-419"/>
        </w:rPr>
        <w:t xml:space="preserve">19, 20, </w:t>
      </w:r>
      <w:r w:rsidRPr="002E2DA9">
        <w:rPr>
          <w:lang w:val="es-419"/>
        </w:rPr>
        <w:t>21</w:t>
      </w:r>
      <w:r>
        <w:rPr>
          <w:lang w:val="es-419"/>
        </w:rPr>
        <w:t xml:space="preserve"> y 22</w:t>
      </w:r>
      <w:r w:rsidRPr="002E2DA9">
        <w:rPr>
          <w:lang w:val="es-419"/>
        </w:rPr>
        <w:t>, reconoce la obligación del Estado de garantizar los derechos humanos a toda persona</w:t>
      </w:r>
      <w:r w:rsidR="006409D6">
        <w:rPr>
          <w:lang w:val="es-419"/>
        </w:rPr>
        <w:t>,</w:t>
      </w:r>
      <w:r>
        <w:rPr>
          <w:lang w:val="es-419"/>
        </w:rPr>
        <w:t xml:space="preserve"> incluso aquellos que </w:t>
      </w:r>
      <w:r w:rsidR="006409D6">
        <w:rPr>
          <w:rFonts w:cs="Times New Roman"/>
          <w:lang w:val="es-AR"/>
        </w:rPr>
        <w:t>no se han normado aún</w:t>
      </w:r>
      <w:r w:rsidRPr="002E2DA9">
        <w:rPr>
          <w:lang w:val="es-419"/>
        </w:rPr>
        <w:t>, sin discriminación alguna fundada en categorías co</w:t>
      </w:r>
      <w:r>
        <w:rPr>
          <w:lang w:val="es-419"/>
        </w:rPr>
        <w:t xml:space="preserve">mo la raza, el sexo, el credo, </w:t>
      </w:r>
      <w:r w:rsidRPr="002E2DA9">
        <w:rPr>
          <w:lang w:val="es-419"/>
        </w:rPr>
        <w:t>la condición social</w:t>
      </w:r>
      <w:r>
        <w:rPr>
          <w:lang w:val="es-419"/>
        </w:rPr>
        <w:t xml:space="preserve"> y orientación sexual (Sentencia 190/2008 de la Sala Constitucional del TSJ)</w:t>
      </w:r>
      <w:r>
        <w:rPr>
          <w:rStyle w:val="FootnoteReference"/>
          <w:lang w:val="es-419"/>
        </w:rPr>
        <w:footnoteReference w:id="8"/>
      </w:r>
      <w:r w:rsidR="006409D6">
        <w:rPr>
          <w:lang w:val="es-419"/>
        </w:rPr>
        <w:t xml:space="preserve"> con el fin de respetar la dignidad </w:t>
      </w:r>
      <w:r w:rsidR="006409D6" w:rsidRPr="002E2DA9">
        <w:rPr>
          <w:lang w:val="es-419"/>
        </w:rPr>
        <w:t xml:space="preserve">y el desarrollo de </w:t>
      </w:r>
      <w:r w:rsidR="006409D6">
        <w:rPr>
          <w:lang w:val="es-419"/>
        </w:rPr>
        <w:t>toda</w:t>
      </w:r>
      <w:r w:rsidR="006409D6" w:rsidRPr="002E2DA9">
        <w:rPr>
          <w:lang w:val="es-419"/>
        </w:rPr>
        <w:t xml:space="preserve"> persona con el fin de lograr su bienestar social</w:t>
      </w:r>
      <w:r w:rsidR="009E563E">
        <w:rPr>
          <w:lang w:val="es-419"/>
        </w:rPr>
        <w:t xml:space="preserve">, y considerando que el someter a la desigualdad social a grupos de personas con base en prejuicios y estereotipos es una forma de violencia institucional y estructural, que afecta a un grupo poblacional como lo son las mujeres, lesbianas, bisexuales, </w:t>
      </w:r>
      <w:proofErr w:type="spellStart"/>
      <w:r w:rsidR="009E563E">
        <w:rPr>
          <w:lang w:val="es-419"/>
        </w:rPr>
        <w:t>trans</w:t>
      </w:r>
      <w:proofErr w:type="spellEnd"/>
      <w:r w:rsidR="009E563E">
        <w:rPr>
          <w:lang w:val="es-419"/>
        </w:rPr>
        <w:t xml:space="preserve"> e intersexuales, que además se </w:t>
      </w:r>
      <w:proofErr w:type="spellStart"/>
      <w:r w:rsidR="009E563E">
        <w:rPr>
          <w:lang w:val="es-419"/>
        </w:rPr>
        <w:t>interseccionan</w:t>
      </w:r>
      <w:proofErr w:type="spellEnd"/>
      <w:r w:rsidR="009E563E">
        <w:rPr>
          <w:lang w:val="es-419"/>
        </w:rPr>
        <w:t xml:space="preserve"> con vulnerabilidades como el origen étnico, la </w:t>
      </w:r>
      <w:proofErr w:type="spellStart"/>
      <w:r w:rsidR="009E563E">
        <w:rPr>
          <w:lang w:val="es-419"/>
        </w:rPr>
        <w:t>racialización</w:t>
      </w:r>
      <w:proofErr w:type="spellEnd"/>
      <w:r w:rsidR="009E563E">
        <w:rPr>
          <w:lang w:val="es-419"/>
        </w:rPr>
        <w:t xml:space="preserve">, la condición socioeconómica, entre otras, y entendiendo que la desigualdad legal de una población marginada históricamente profundiza </w:t>
      </w:r>
      <w:r w:rsidR="00D1725D">
        <w:rPr>
          <w:lang w:val="es-419"/>
        </w:rPr>
        <w:t xml:space="preserve">el deterioro del autoestima, la violencia intrafamiliar, </w:t>
      </w:r>
      <w:r w:rsidR="009E563E">
        <w:rPr>
          <w:lang w:val="es-419"/>
        </w:rPr>
        <w:t>el acceso a la educación, a la salud integral, al trabajo, incluso a la protección de la familia y el Estado, entre otras,</w:t>
      </w:r>
    </w:p>
    <w:p w:rsidR="0075522C" w:rsidRDefault="006409D6" w:rsidP="00C864A8">
      <w:pPr>
        <w:jc w:val="both"/>
        <w:rPr>
          <w:lang w:val="es-419"/>
        </w:rPr>
      </w:pPr>
      <w:r w:rsidRPr="0075522C">
        <w:rPr>
          <w:lang w:val="es-419"/>
        </w:rPr>
        <w:t>Recomendamos</w:t>
      </w:r>
      <w:r>
        <w:rPr>
          <w:lang w:val="es-419"/>
        </w:rPr>
        <w:t xml:space="preserve"> </w:t>
      </w:r>
    </w:p>
    <w:p w:rsidR="0075522C" w:rsidRPr="0075522C" w:rsidRDefault="0075522C" w:rsidP="0075522C">
      <w:pPr>
        <w:pStyle w:val="ListParagraph"/>
        <w:numPr>
          <w:ilvl w:val="0"/>
          <w:numId w:val="1"/>
        </w:numPr>
        <w:jc w:val="both"/>
        <w:rPr>
          <w:lang w:val="es-419"/>
        </w:rPr>
      </w:pPr>
      <w:r w:rsidRPr="0075522C">
        <w:rPr>
          <w:lang w:val="es-419"/>
        </w:rPr>
        <w:t>Como ha quedado claramente establecido en la sentencia 190/2008 de la Sala Constitucional del TSJ que la orientación sexual, como parte fundamental de la personalidad humana, está protegida por la CRBV y, considerando que la identidad de género es un proceso subjetivo, emocional y plural que forma parte estructural de los derechos sexuales y reproductivos y en consecuencia de la personalidad humana que permite a las personas ser quienes sienten que son y comulgar armoniosamente con su entorno y orientar sus destinos: incluir expresamente entre los supuestos de no discriminación del Artículo 21 de la CRBV la orientación sexual, la identidad de género y la exp</w:t>
      </w:r>
      <w:r w:rsidR="002D1CFB">
        <w:rPr>
          <w:lang w:val="es-419"/>
        </w:rPr>
        <w:t>resión de género.</w:t>
      </w:r>
    </w:p>
    <w:p w:rsidR="0075522C" w:rsidRPr="0075522C" w:rsidRDefault="0075522C" w:rsidP="0075522C">
      <w:pPr>
        <w:pStyle w:val="ListParagraph"/>
        <w:numPr>
          <w:ilvl w:val="0"/>
          <w:numId w:val="1"/>
        </w:numPr>
        <w:jc w:val="both"/>
        <w:rPr>
          <w:lang w:val="es-419"/>
        </w:rPr>
      </w:pPr>
      <w:r w:rsidRPr="0075522C">
        <w:rPr>
          <w:lang w:val="es-419"/>
        </w:rPr>
        <w:t xml:space="preserve">Aunque se puede estimar que el Artículo 56 de la CRBV abarca el "Derecho a la Identidad", lo cierto es que el mismo sólo da indicios del reconocimiento, protección y garantía del Derecho a la Identificación o podría decirse que es mero derecho registral. Por lo que se estima necesario, enfatizar en los tres componentes del “Derecho a la Identidad”, reconocidos en la Convención de Derechos del Niño en su Artículo 8, estableciendo clara y enfáticamente que toda persona tiene derecho a un nombre, nacionalidad y relaciones familiares biológicas o no, reconocidas legalmente o no, en armonía con la pluralidad de las familias señalada el Artículo 75. Asimismo, es necesario que se incluya el Derecho a la Identidad </w:t>
      </w:r>
      <w:proofErr w:type="spellStart"/>
      <w:r w:rsidRPr="0075522C">
        <w:rPr>
          <w:lang w:val="es-419"/>
        </w:rPr>
        <w:t>Autopercibida</w:t>
      </w:r>
      <w:proofErr w:type="spellEnd"/>
      <w:r w:rsidRPr="0075522C">
        <w:rPr>
          <w:lang w:val="es-419"/>
        </w:rPr>
        <w:t xml:space="preserve">, para así garantizar protección y una vida digna a las personas transexuales, </w:t>
      </w:r>
      <w:proofErr w:type="spellStart"/>
      <w:r w:rsidRPr="0075522C">
        <w:rPr>
          <w:lang w:val="es-419"/>
        </w:rPr>
        <w:t>transgéneras</w:t>
      </w:r>
      <w:proofErr w:type="spellEnd"/>
      <w:r w:rsidRPr="0075522C">
        <w:rPr>
          <w:lang w:val="es-419"/>
        </w:rPr>
        <w:t>, intersexuales o a las personas que no se identifican con ninguno de los dos géneros binarios (hombre-mujer).</w:t>
      </w:r>
    </w:p>
    <w:p w:rsidR="0075522C" w:rsidRDefault="0075522C" w:rsidP="0075522C">
      <w:pPr>
        <w:pStyle w:val="ListParagraph"/>
        <w:numPr>
          <w:ilvl w:val="0"/>
          <w:numId w:val="1"/>
        </w:numPr>
        <w:jc w:val="both"/>
        <w:rPr>
          <w:lang w:val="es-419"/>
        </w:rPr>
      </w:pPr>
      <w:r w:rsidRPr="0075522C">
        <w:rPr>
          <w:lang w:val="es-419"/>
        </w:rPr>
        <w:t xml:space="preserve">A los puntos </w:t>
      </w:r>
      <w:r>
        <w:rPr>
          <w:lang w:val="es-419"/>
        </w:rPr>
        <w:t xml:space="preserve">1 y 2 se daría una respuesta a través de la emisión de la sentencia definitiva al </w:t>
      </w:r>
      <w:r w:rsidRPr="0075522C">
        <w:rPr>
          <w:lang w:val="es-419"/>
        </w:rPr>
        <w:t>Expediente: AA50-T-2017-000413</w:t>
      </w:r>
      <w:r>
        <w:rPr>
          <w:lang w:val="es-419"/>
        </w:rPr>
        <w:t xml:space="preserve"> y sus derivados que reposan en la Sala Constitucional del TSJ. </w:t>
      </w:r>
      <w:r>
        <w:rPr>
          <w:lang w:val="es-419"/>
        </w:rPr>
        <w:lastRenderedPageBreak/>
        <w:t xml:space="preserve">Asimismo, dando respuesta a la  </w:t>
      </w:r>
      <w:r>
        <w:rPr>
          <w:lang w:val="es-ES"/>
        </w:rPr>
        <w:t xml:space="preserve">Solicitud de </w:t>
      </w:r>
      <w:r w:rsidRPr="00536319">
        <w:rPr>
          <w:lang w:val="es-ES"/>
        </w:rPr>
        <w:t xml:space="preserve">Aclaratoria de </w:t>
      </w:r>
      <w:r>
        <w:rPr>
          <w:lang w:val="es-ES"/>
        </w:rPr>
        <w:t xml:space="preserve">la </w:t>
      </w:r>
      <w:r w:rsidRPr="00536319">
        <w:rPr>
          <w:lang w:val="es-ES"/>
        </w:rPr>
        <w:t>Sentencia</w:t>
      </w:r>
      <w:r w:rsidR="00DD733A">
        <w:rPr>
          <w:lang w:val="es-ES"/>
        </w:rPr>
        <w:t xml:space="preserve"> 1187/2016 de la misma sala, garantizando además el acceso a la justicia, que hasta ahora se nos está siendo negado.</w:t>
      </w:r>
    </w:p>
    <w:p w:rsidR="0075522C" w:rsidRDefault="00DD733A" w:rsidP="009E563E">
      <w:pPr>
        <w:pStyle w:val="ListParagraph"/>
        <w:numPr>
          <w:ilvl w:val="0"/>
          <w:numId w:val="1"/>
        </w:numPr>
        <w:jc w:val="both"/>
        <w:rPr>
          <w:lang w:val="es-419"/>
        </w:rPr>
      </w:pPr>
      <w:r w:rsidRPr="00DD733A">
        <w:rPr>
          <w:lang w:val="es-419"/>
        </w:rPr>
        <w:t xml:space="preserve">Dada la </w:t>
      </w:r>
      <w:r>
        <w:rPr>
          <w:lang w:val="es-419"/>
        </w:rPr>
        <w:t>Sentencia 1187/2016</w:t>
      </w:r>
      <w:r w:rsidRPr="00DD733A">
        <w:rPr>
          <w:lang w:val="es-419"/>
        </w:rPr>
        <w:t xml:space="preserve"> Tribunal Supremo de Justicia en su Sala Constitucional reivindicando las familias </w:t>
      </w:r>
      <w:proofErr w:type="spellStart"/>
      <w:r>
        <w:rPr>
          <w:lang w:val="es-419"/>
        </w:rPr>
        <w:t>homoparentales</w:t>
      </w:r>
      <w:proofErr w:type="spellEnd"/>
      <w:r>
        <w:rPr>
          <w:lang w:val="es-419"/>
        </w:rPr>
        <w:t xml:space="preserve"> como familias con los mismos derechos que la familia tradicional</w:t>
      </w:r>
      <w:r w:rsidRPr="00DD733A">
        <w:rPr>
          <w:lang w:val="es-419"/>
        </w:rPr>
        <w:t xml:space="preserve">, </w:t>
      </w:r>
      <w:r>
        <w:rPr>
          <w:lang w:val="es-419"/>
        </w:rPr>
        <w:t>interpretando el artículo 75 CRBV</w:t>
      </w:r>
      <w:r w:rsidRPr="00DD733A">
        <w:rPr>
          <w:lang w:val="es-419"/>
        </w:rPr>
        <w:t xml:space="preserve">, modificar el Art </w:t>
      </w:r>
      <w:r>
        <w:rPr>
          <w:lang w:val="es-419"/>
        </w:rPr>
        <w:t xml:space="preserve">44 del Código Civil y declarar la inconstitucionalidad del artículo 77 constitucional dado que brinda </w:t>
      </w:r>
      <w:r w:rsidRPr="00DD733A">
        <w:rPr>
          <w:lang w:val="es-419"/>
        </w:rPr>
        <w:t xml:space="preserve">protección especial </w:t>
      </w:r>
      <w:r>
        <w:rPr>
          <w:lang w:val="es-419"/>
        </w:rPr>
        <w:t>o se consagra como una</w:t>
      </w:r>
      <w:r w:rsidRPr="00DD733A">
        <w:rPr>
          <w:lang w:val="es-419"/>
        </w:rPr>
        <w:t xml:space="preserve"> discriminación positiva a un univ</w:t>
      </w:r>
      <w:r>
        <w:rPr>
          <w:lang w:val="es-419"/>
        </w:rPr>
        <w:t>erso de personas no vulnerables</w:t>
      </w:r>
      <w:r w:rsidR="002D1CFB">
        <w:rPr>
          <w:lang w:val="es-419"/>
        </w:rPr>
        <w:t xml:space="preserve"> (personas </w:t>
      </w:r>
      <w:proofErr w:type="spellStart"/>
      <w:r w:rsidR="002D1CFB">
        <w:rPr>
          <w:lang w:val="es-419"/>
        </w:rPr>
        <w:t>hetero</w:t>
      </w:r>
      <w:proofErr w:type="spellEnd"/>
      <w:r w:rsidR="002D1CFB">
        <w:rPr>
          <w:lang w:val="es-419"/>
        </w:rPr>
        <w:t xml:space="preserve"> </w:t>
      </w:r>
      <w:proofErr w:type="spellStart"/>
      <w:r w:rsidR="002D1CFB">
        <w:rPr>
          <w:lang w:val="es-419"/>
        </w:rPr>
        <w:t>cis</w:t>
      </w:r>
      <w:proofErr w:type="spellEnd"/>
      <w:r w:rsidR="002D1CFB">
        <w:rPr>
          <w:lang w:val="es-419"/>
        </w:rPr>
        <w:t xml:space="preserve"> sexuales)</w:t>
      </w:r>
      <w:r w:rsidRPr="00DD733A">
        <w:rPr>
          <w:lang w:val="es-419"/>
        </w:rPr>
        <w:t>, para amparar</w:t>
      </w:r>
      <w:r w:rsidR="002D1CFB">
        <w:rPr>
          <w:lang w:val="es-419"/>
        </w:rPr>
        <w:t>,</w:t>
      </w:r>
      <w:r w:rsidRPr="00DD733A">
        <w:rPr>
          <w:lang w:val="es-419"/>
        </w:rPr>
        <w:t xml:space="preserve"> como lo establece la sentencia antes señalada</w:t>
      </w:r>
      <w:r w:rsidR="002D1CFB">
        <w:rPr>
          <w:lang w:val="es-419"/>
        </w:rPr>
        <w:t>,</w:t>
      </w:r>
      <w:r w:rsidRPr="00DD733A">
        <w:rPr>
          <w:lang w:val="es-419"/>
        </w:rPr>
        <w:t xml:space="preserve"> en el derecho de toda familia a proteger a sus miembros bajos las institucione</w:t>
      </w:r>
      <w:r>
        <w:rPr>
          <w:lang w:val="es-419"/>
        </w:rPr>
        <w:t>s creadas para tales efectos</w:t>
      </w:r>
      <w:r w:rsidR="002D1CFB">
        <w:rPr>
          <w:lang w:val="es-419"/>
        </w:rPr>
        <w:t xml:space="preserve"> como lo es la institución matrimonial y las uniones estables de hecho</w:t>
      </w:r>
      <w:r w:rsidRPr="00DD733A">
        <w:rPr>
          <w:lang w:val="es-419"/>
        </w:rPr>
        <w:t>.</w:t>
      </w:r>
      <w:r>
        <w:rPr>
          <w:lang w:val="es-419"/>
        </w:rPr>
        <w:t xml:space="preserve"> </w:t>
      </w:r>
      <w:r w:rsidR="009E563E">
        <w:rPr>
          <w:lang w:val="es-419"/>
        </w:rPr>
        <w:t>Este</w:t>
      </w:r>
      <w:r>
        <w:rPr>
          <w:lang w:val="es-419"/>
        </w:rPr>
        <w:t xml:space="preserve"> solo amerita la sentencia definitiva a la demanda interpuesta ante la Sala Constitucional del TSJ identificada con el expediente </w:t>
      </w:r>
      <w:r w:rsidR="009E563E" w:rsidRPr="009E563E">
        <w:rPr>
          <w:lang w:val="es-419"/>
        </w:rPr>
        <w:t>AA50-T-2015-000107</w:t>
      </w:r>
      <w:r w:rsidR="009E563E">
        <w:rPr>
          <w:lang w:val="es-419"/>
        </w:rPr>
        <w:t>.</w:t>
      </w:r>
    </w:p>
    <w:p w:rsidR="009E563E" w:rsidRPr="009E563E" w:rsidRDefault="009E563E" w:rsidP="009E563E">
      <w:pPr>
        <w:pStyle w:val="ListParagraph"/>
        <w:numPr>
          <w:ilvl w:val="0"/>
          <w:numId w:val="1"/>
        </w:numPr>
        <w:jc w:val="both"/>
        <w:rPr>
          <w:lang w:val="es-419"/>
        </w:rPr>
      </w:pPr>
      <w:r>
        <w:rPr>
          <w:lang w:val="es-419"/>
        </w:rPr>
        <w:t xml:space="preserve">Legislar en materia del derecho al aborto, </w:t>
      </w:r>
      <w:r w:rsidR="002D1CFB">
        <w:rPr>
          <w:lang w:val="es-419"/>
        </w:rPr>
        <w:t xml:space="preserve">considerando </w:t>
      </w:r>
      <w:r>
        <w:rPr>
          <w:lang w:val="es-419"/>
        </w:rPr>
        <w:t xml:space="preserve">que hay una importante incidencia en la población de mujeres lesbianas y </w:t>
      </w:r>
      <w:proofErr w:type="spellStart"/>
      <w:r>
        <w:rPr>
          <w:lang w:val="es-419"/>
        </w:rPr>
        <w:t>trans</w:t>
      </w:r>
      <w:proofErr w:type="spellEnd"/>
      <w:r>
        <w:rPr>
          <w:lang w:val="es-419"/>
        </w:rPr>
        <w:t xml:space="preserve"> masculinos, en la práctica de las llamadas “violaciones correctivas” que buscan </w:t>
      </w:r>
      <w:r w:rsidR="002D1CFB">
        <w:rPr>
          <w:lang w:val="es-419"/>
        </w:rPr>
        <w:t>corregir la orientación sexual o identidad de género de éstas personas a través de la violencia sexual que terminan en embarazos no deseados.</w:t>
      </w:r>
    </w:p>
    <w:p w:rsidR="002E2DA9" w:rsidRDefault="002D1CFB" w:rsidP="00C864A8">
      <w:pPr>
        <w:jc w:val="both"/>
        <w:rPr>
          <w:lang w:val="es-419"/>
        </w:rPr>
      </w:pPr>
      <w:r>
        <w:rPr>
          <w:lang w:val="es-419"/>
        </w:rPr>
        <w:t>Recordamos que las omisiones a las demandas también son violencia institucional, y solo están fundamentadas en el cuestionamiento de la dignidad de las personas por tener una orientación sexual o identidad de género o expresión de género no hegemónica, y el sostener esta desigualdad es contrario al espíritu constitucional en su artículo 3.</w:t>
      </w:r>
    </w:p>
    <w:p w:rsidR="00F62626" w:rsidRPr="00D7759A" w:rsidRDefault="00F62626" w:rsidP="00C864A8">
      <w:pPr>
        <w:jc w:val="both"/>
        <w:rPr>
          <w:lang w:val="es-419"/>
        </w:rPr>
      </w:pPr>
      <w:bookmarkStart w:id="0" w:name="_GoBack"/>
      <w:bookmarkEnd w:id="0"/>
    </w:p>
    <w:sectPr w:rsidR="00F62626" w:rsidRPr="00D7759A">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617" w:rsidRDefault="00816617" w:rsidP="00D7759A">
      <w:pPr>
        <w:spacing w:after="0" w:line="240" w:lineRule="auto"/>
      </w:pPr>
      <w:r>
        <w:separator/>
      </w:r>
    </w:p>
  </w:endnote>
  <w:endnote w:type="continuationSeparator" w:id="0">
    <w:p w:rsidR="00816617" w:rsidRDefault="00816617" w:rsidP="00D77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59A" w:rsidRPr="00D7759A" w:rsidRDefault="00D7759A" w:rsidP="00D7759A">
    <w:pPr>
      <w:pStyle w:val="Footer"/>
      <w:pBdr>
        <w:top w:val="single" w:sz="4" w:space="1" w:color="auto"/>
      </w:pBdr>
      <w:jc w:val="center"/>
      <w:rPr>
        <w:sz w:val="16"/>
        <w:szCs w:val="16"/>
        <w:lang w:val="es-419"/>
      </w:rPr>
    </w:pPr>
    <w:r w:rsidRPr="00D7759A">
      <w:rPr>
        <w:sz w:val="16"/>
        <w:szCs w:val="16"/>
        <w:lang w:val="es-419"/>
      </w:rPr>
      <w:t>Telf. 0412-8400516 - Correo-e: ve.igualitaria@gmail.com</w:t>
    </w:r>
  </w:p>
  <w:p w:rsidR="00D7759A" w:rsidRDefault="00D7759A" w:rsidP="00D7759A">
    <w:pPr>
      <w:pStyle w:val="Footer"/>
      <w:pBdr>
        <w:top w:val="single" w:sz="4" w:space="1" w:color="auto"/>
      </w:pBdr>
      <w:jc w:val="center"/>
      <w:rPr>
        <w:sz w:val="16"/>
        <w:szCs w:val="16"/>
      </w:rPr>
    </w:pPr>
    <w:r w:rsidRPr="0098592A">
      <w:rPr>
        <w:sz w:val="16"/>
        <w:szCs w:val="16"/>
      </w:rPr>
      <w:t>Twitter</w:t>
    </w:r>
    <w:r>
      <w:rPr>
        <w:sz w:val="16"/>
        <w:szCs w:val="16"/>
      </w:rPr>
      <w:t xml:space="preserve"> e Instagram</w:t>
    </w:r>
    <w:r w:rsidRPr="0098592A">
      <w:rPr>
        <w:sz w:val="16"/>
        <w:szCs w:val="16"/>
      </w:rPr>
      <w:t xml:space="preserve"> @</w:t>
    </w:r>
    <w:proofErr w:type="spellStart"/>
    <w:r w:rsidRPr="0098592A">
      <w:rPr>
        <w:sz w:val="16"/>
        <w:szCs w:val="16"/>
      </w:rPr>
      <w:t>v</w:t>
    </w:r>
    <w:r>
      <w:rPr>
        <w:sz w:val="16"/>
        <w:szCs w:val="16"/>
      </w:rPr>
      <w:t>e_</w:t>
    </w:r>
    <w:r w:rsidRPr="0098592A">
      <w:rPr>
        <w:sz w:val="16"/>
        <w:szCs w:val="16"/>
      </w:rPr>
      <w:t>ig</w:t>
    </w:r>
    <w:r>
      <w:rPr>
        <w:sz w:val="16"/>
        <w:szCs w:val="16"/>
      </w:rPr>
      <w:t>ualitaria</w:t>
    </w:r>
    <w:proofErr w:type="spellEnd"/>
    <w:r w:rsidRPr="0098592A">
      <w:rPr>
        <w:sz w:val="16"/>
        <w:szCs w:val="16"/>
      </w:rPr>
      <w:t xml:space="preserve">, Facebook: </w:t>
    </w:r>
    <w:r>
      <w:rPr>
        <w:sz w:val="16"/>
        <w:szCs w:val="16"/>
      </w:rPr>
      <w:t>@</w:t>
    </w:r>
    <w:proofErr w:type="spellStart"/>
    <w:r>
      <w:rPr>
        <w:sz w:val="16"/>
        <w:szCs w:val="16"/>
      </w:rPr>
      <w:t>ve.igualitaria</w:t>
    </w:r>
    <w:proofErr w:type="spellEnd"/>
  </w:p>
  <w:p w:rsidR="00D7759A" w:rsidRPr="00C0310D" w:rsidRDefault="00D7759A" w:rsidP="00D7759A">
    <w:pPr>
      <w:pStyle w:val="Footer"/>
      <w:pBdr>
        <w:top w:val="single" w:sz="4" w:space="1" w:color="auto"/>
      </w:pBdr>
      <w:jc w:val="center"/>
      <w:rPr>
        <w:sz w:val="16"/>
        <w:szCs w:val="16"/>
      </w:rPr>
    </w:pPr>
    <w:r>
      <w:rPr>
        <w:sz w:val="16"/>
        <w:szCs w:val="16"/>
      </w:rPr>
      <w:t>www.venezuelaigualitaria.org</w:t>
    </w:r>
  </w:p>
  <w:p w:rsidR="00D7759A" w:rsidRDefault="00D775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617" w:rsidRDefault="00816617" w:rsidP="00D7759A">
      <w:pPr>
        <w:spacing w:after="0" w:line="240" w:lineRule="auto"/>
      </w:pPr>
      <w:r>
        <w:separator/>
      </w:r>
    </w:p>
  </w:footnote>
  <w:footnote w:type="continuationSeparator" w:id="0">
    <w:p w:rsidR="00816617" w:rsidRDefault="00816617" w:rsidP="00D7759A">
      <w:pPr>
        <w:spacing w:after="0" w:line="240" w:lineRule="auto"/>
      </w:pPr>
      <w:r>
        <w:continuationSeparator/>
      </w:r>
    </w:p>
  </w:footnote>
  <w:footnote w:id="1">
    <w:p w:rsidR="00E74A23" w:rsidRPr="00E74A23" w:rsidRDefault="00E74A23" w:rsidP="00536319">
      <w:pPr>
        <w:pStyle w:val="FootnoteText"/>
        <w:tabs>
          <w:tab w:val="left" w:pos="3210"/>
        </w:tabs>
        <w:rPr>
          <w:lang w:val="es-419"/>
        </w:rPr>
      </w:pPr>
      <w:r>
        <w:rPr>
          <w:rStyle w:val="FootnoteReference"/>
        </w:rPr>
        <w:footnoteRef/>
      </w:r>
      <w:r>
        <w:t xml:space="preserve"> </w:t>
      </w:r>
      <w:hyperlink r:id="rId1" w:history="1">
        <w:r w:rsidRPr="007F601E">
          <w:rPr>
            <w:rStyle w:val="Hyperlink"/>
            <w:lang w:val="es-419"/>
          </w:rPr>
          <w:t>www.venezuelaigualitaria.org</w:t>
        </w:r>
      </w:hyperlink>
      <w:r>
        <w:rPr>
          <w:lang w:val="es-419"/>
        </w:rPr>
        <w:t xml:space="preserve"> </w:t>
      </w:r>
      <w:r w:rsidR="00536319">
        <w:rPr>
          <w:lang w:val="es-419"/>
        </w:rPr>
        <w:tab/>
      </w:r>
    </w:p>
  </w:footnote>
  <w:footnote w:id="2">
    <w:p w:rsidR="0065180C" w:rsidRPr="0065180C" w:rsidRDefault="0065180C">
      <w:pPr>
        <w:pStyle w:val="FootnoteText"/>
        <w:rPr>
          <w:lang w:val="es-419"/>
        </w:rPr>
      </w:pPr>
      <w:r>
        <w:rPr>
          <w:rStyle w:val="FootnoteReference"/>
        </w:rPr>
        <w:footnoteRef/>
      </w:r>
      <w:r w:rsidRPr="0065180C">
        <w:rPr>
          <w:lang w:val="es-419"/>
        </w:rPr>
        <w:t xml:space="preserve"> </w:t>
      </w:r>
      <w:hyperlink r:id="rId2" w:history="1">
        <w:r w:rsidRPr="007F601E">
          <w:rPr>
            <w:rStyle w:val="Hyperlink"/>
            <w:lang w:val="es-419"/>
          </w:rPr>
          <w:t>https://drive.google.com/file/d/1892gMcOosdEs8BfopGQQOi06qimN5Iow/view</w:t>
        </w:r>
      </w:hyperlink>
      <w:r>
        <w:rPr>
          <w:lang w:val="es-419"/>
        </w:rPr>
        <w:t xml:space="preserve"> </w:t>
      </w:r>
    </w:p>
  </w:footnote>
  <w:footnote w:id="3">
    <w:p w:rsidR="006E7ABC" w:rsidRPr="006E7ABC" w:rsidRDefault="006E7ABC">
      <w:pPr>
        <w:pStyle w:val="FootnoteText"/>
        <w:rPr>
          <w:lang w:val="es-419"/>
        </w:rPr>
      </w:pPr>
      <w:r>
        <w:rPr>
          <w:rStyle w:val="FootnoteReference"/>
        </w:rPr>
        <w:footnoteRef/>
      </w:r>
      <w:r w:rsidRPr="006E7ABC">
        <w:rPr>
          <w:lang w:val="es-419"/>
        </w:rPr>
        <w:t xml:space="preserve"> https://drive.google.com/file/d/1dYltEIVbJYmMo3LIVl8V_uG6Xj03FigG/view?usp=share_link</w:t>
      </w:r>
    </w:p>
  </w:footnote>
  <w:footnote w:id="4">
    <w:p w:rsidR="003726D5" w:rsidRPr="003726D5" w:rsidRDefault="003726D5">
      <w:pPr>
        <w:pStyle w:val="FootnoteText"/>
        <w:rPr>
          <w:lang w:val="es-419"/>
        </w:rPr>
      </w:pPr>
      <w:r>
        <w:rPr>
          <w:rStyle w:val="FootnoteReference"/>
        </w:rPr>
        <w:footnoteRef/>
      </w:r>
      <w:r w:rsidRPr="003726D5">
        <w:rPr>
          <w:lang w:val="es-419"/>
        </w:rPr>
        <w:t xml:space="preserve"> https://drive.google.com/file/d/14IC3N-wLYqZTJgGgG3NDyXcGBvxOHZrB/view</w:t>
      </w:r>
    </w:p>
  </w:footnote>
  <w:footnote w:id="5">
    <w:p w:rsidR="003726D5" w:rsidRPr="003726D5" w:rsidRDefault="003726D5">
      <w:pPr>
        <w:pStyle w:val="FootnoteText"/>
        <w:rPr>
          <w:lang w:val="es-419"/>
        </w:rPr>
      </w:pPr>
      <w:r>
        <w:rPr>
          <w:rStyle w:val="FootnoteReference"/>
        </w:rPr>
        <w:footnoteRef/>
      </w:r>
      <w:r w:rsidRPr="003726D5">
        <w:rPr>
          <w:lang w:val="es-419"/>
        </w:rPr>
        <w:t xml:space="preserve"> https://drive.google.com/file/d/1LI5vc-Ic5-C6zl2k7QVDqPF_rD1mHQki/view</w:t>
      </w:r>
    </w:p>
  </w:footnote>
  <w:footnote w:id="6">
    <w:p w:rsidR="00C864A8" w:rsidRPr="00C864A8" w:rsidRDefault="00C864A8">
      <w:pPr>
        <w:pStyle w:val="FootnoteText"/>
        <w:rPr>
          <w:lang w:val="es-419"/>
        </w:rPr>
      </w:pPr>
      <w:r>
        <w:rPr>
          <w:rStyle w:val="FootnoteReference"/>
        </w:rPr>
        <w:footnoteRef/>
      </w:r>
      <w:r w:rsidRPr="00C864A8">
        <w:rPr>
          <w:lang w:val="es-419"/>
        </w:rPr>
        <w:t xml:space="preserve"> https://drive.google.com/file/d/1KrQFSWFh8IoU_5R-EqBCXSC_FGGsHqc-/view</w:t>
      </w:r>
    </w:p>
  </w:footnote>
  <w:footnote w:id="7">
    <w:p w:rsidR="00C864A8" w:rsidRPr="00C864A8" w:rsidRDefault="00C864A8">
      <w:pPr>
        <w:pStyle w:val="FootnoteText"/>
        <w:rPr>
          <w:lang w:val="es-419"/>
        </w:rPr>
      </w:pPr>
      <w:r>
        <w:rPr>
          <w:rStyle w:val="FootnoteReference"/>
        </w:rPr>
        <w:footnoteRef/>
      </w:r>
      <w:r w:rsidRPr="00C864A8">
        <w:rPr>
          <w:lang w:val="es-419"/>
        </w:rPr>
        <w:t xml:space="preserve"> https://drive.google.com/file/d/1xoRvtSpoQljStljgfnRYqBYBG4BXkmZM/view</w:t>
      </w:r>
    </w:p>
  </w:footnote>
  <w:footnote w:id="8">
    <w:p w:rsidR="002E2DA9" w:rsidRPr="002E2DA9" w:rsidRDefault="002E2DA9">
      <w:pPr>
        <w:pStyle w:val="FootnoteText"/>
        <w:rPr>
          <w:lang w:val="es-419"/>
        </w:rPr>
      </w:pPr>
      <w:r>
        <w:rPr>
          <w:rStyle w:val="FootnoteReference"/>
        </w:rPr>
        <w:footnoteRef/>
      </w:r>
      <w:r w:rsidRPr="002E2DA9">
        <w:rPr>
          <w:lang w:val="es-419"/>
        </w:rPr>
        <w:t xml:space="preserve"> https://drive.google.com/file/d/1ES82ViN1Z4uIV4elY-Stc6Fb3VVfY34w/view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59A" w:rsidRDefault="00D7759A" w:rsidP="00933679">
    <w:pPr>
      <w:pStyle w:val="Header"/>
      <w:tabs>
        <w:tab w:val="clear" w:pos="4680"/>
      </w:tabs>
      <w:rPr>
        <w:sz w:val="16"/>
        <w:szCs w:val="16"/>
      </w:rPr>
    </w:pPr>
    <w:r>
      <w:rPr>
        <w:noProof/>
      </w:rPr>
      <w:drawing>
        <wp:inline distT="0" distB="0" distL="0" distR="0" wp14:anchorId="4732838D" wp14:editId="77ED883E">
          <wp:extent cx="659027" cy="669518"/>
          <wp:effectExtent l="0" t="0" r="8255"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2182_10201569504298491_955706978_n.jpg"/>
                  <pic:cNvPicPr/>
                </pic:nvPicPr>
                <pic:blipFill>
                  <a:blip r:embed="rId1">
                    <a:extLst>
                      <a:ext uri="{28A0092B-C50C-407E-A947-70E740481C1C}">
                        <a14:useLocalDpi xmlns:a14="http://schemas.microsoft.com/office/drawing/2010/main" val="0"/>
                      </a:ext>
                    </a:extLst>
                  </a:blip>
                  <a:stretch>
                    <a:fillRect/>
                  </a:stretch>
                </pic:blipFill>
                <pic:spPr>
                  <a:xfrm>
                    <a:off x="0" y="0"/>
                    <a:ext cx="659807" cy="670311"/>
                  </a:xfrm>
                  <a:prstGeom prst="rect">
                    <a:avLst/>
                  </a:prstGeom>
                </pic:spPr>
              </pic:pic>
            </a:graphicData>
          </a:graphic>
        </wp:inline>
      </w:drawing>
    </w:r>
  </w:p>
  <w:p w:rsidR="00D7759A" w:rsidRPr="003E34AC" w:rsidRDefault="00D7759A" w:rsidP="00933679">
    <w:pPr>
      <w:pStyle w:val="Caption"/>
      <w:widowControl w:val="0"/>
      <w:pBdr>
        <w:bottom w:val="single" w:sz="4" w:space="1" w:color="auto"/>
      </w:pBdr>
      <w:tabs>
        <w:tab w:val="right" w:pos="9360"/>
      </w:tabs>
      <w:rPr>
        <w:b/>
        <w:bCs/>
        <w:sz w:val="20"/>
        <w:szCs w:val="20"/>
        <w:lang w:val="es-ES"/>
        <w14:ligatures w14:val="none"/>
      </w:rPr>
    </w:pPr>
    <w:r w:rsidRPr="009E5DBC">
      <w:rPr>
        <w:rFonts w:ascii="Montserrat" w:hAnsi="Montserrat"/>
        <w:sz w:val="16"/>
        <w:szCs w:val="16"/>
      </w:rPr>
      <w:t>Rif: J40283216-8</w:t>
    </w:r>
    <w:r>
      <w:rPr>
        <w:sz w:val="16"/>
        <w:szCs w:val="16"/>
      </w:rPr>
      <w:tab/>
    </w:r>
    <w:r w:rsidRPr="009E5DBC">
      <w:rPr>
        <w:rFonts w:ascii="Montserrat" w:hAnsi="Montserrat"/>
        <w:b/>
        <w:bCs/>
        <w:sz w:val="18"/>
        <w:szCs w:val="18"/>
        <w:lang w:val="es-ES"/>
        <w14:ligatures w14:val="none"/>
      </w:rPr>
      <w:t>Por el derecho a vivir sin miedo, culpa ni vergüenza</w:t>
    </w:r>
  </w:p>
  <w:p w:rsidR="00D7759A" w:rsidRPr="00D7759A" w:rsidRDefault="00D7759A">
    <w:pPr>
      <w:pStyle w:val="Header"/>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A43302"/>
    <w:multiLevelType w:val="hybridMultilevel"/>
    <w:tmpl w:val="D1068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59A"/>
    <w:rsid w:val="000B1073"/>
    <w:rsid w:val="000F27D5"/>
    <w:rsid w:val="00277C9F"/>
    <w:rsid w:val="002D1CFB"/>
    <w:rsid w:val="002E2DA9"/>
    <w:rsid w:val="00313071"/>
    <w:rsid w:val="003726D5"/>
    <w:rsid w:val="00375B77"/>
    <w:rsid w:val="00424940"/>
    <w:rsid w:val="0047496D"/>
    <w:rsid w:val="004E0357"/>
    <w:rsid w:val="005072C1"/>
    <w:rsid w:val="00536319"/>
    <w:rsid w:val="005D7040"/>
    <w:rsid w:val="006409D6"/>
    <w:rsid w:val="0065180C"/>
    <w:rsid w:val="00661EA2"/>
    <w:rsid w:val="00670380"/>
    <w:rsid w:val="006B7195"/>
    <w:rsid w:val="006E7ABC"/>
    <w:rsid w:val="0075522C"/>
    <w:rsid w:val="007E2C1B"/>
    <w:rsid w:val="00816617"/>
    <w:rsid w:val="008B2343"/>
    <w:rsid w:val="00933679"/>
    <w:rsid w:val="009A4AEB"/>
    <w:rsid w:val="009E563E"/>
    <w:rsid w:val="00B70D5F"/>
    <w:rsid w:val="00C864A8"/>
    <w:rsid w:val="00C940A9"/>
    <w:rsid w:val="00D1725D"/>
    <w:rsid w:val="00D7759A"/>
    <w:rsid w:val="00DA4BC7"/>
    <w:rsid w:val="00DD733A"/>
    <w:rsid w:val="00E74A23"/>
    <w:rsid w:val="00E846B0"/>
    <w:rsid w:val="00F62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AFCD16-8E06-4ACD-8941-67D59D42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59A"/>
  </w:style>
  <w:style w:type="paragraph" w:styleId="Footer">
    <w:name w:val="footer"/>
    <w:basedOn w:val="Normal"/>
    <w:link w:val="FooterChar"/>
    <w:uiPriority w:val="99"/>
    <w:unhideWhenUsed/>
    <w:rsid w:val="00D775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59A"/>
  </w:style>
  <w:style w:type="paragraph" w:styleId="Caption">
    <w:name w:val="caption"/>
    <w:basedOn w:val="Normal"/>
    <w:uiPriority w:val="35"/>
    <w:qFormat/>
    <w:rsid w:val="00D7759A"/>
    <w:pPr>
      <w:spacing w:after="0" w:line="264" w:lineRule="auto"/>
    </w:pPr>
    <w:rPr>
      <w:rFonts w:ascii="Cambria" w:eastAsia="Times New Roman" w:hAnsi="Cambria" w:cs="Times New Roman"/>
      <w:i/>
      <w:iCs/>
      <w:color w:val="333333"/>
      <w:kern w:val="28"/>
      <w:sz w:val="17"/>
      <w:szCs w:val="17"/>
      <w:lang w:val="es-VE" w:eastAsia="es-VE"/>
      <w14:ligatures w14:val="standard"/>
      <w14:cntxtAlts/>
    </w:rPr>
  </w:style>
  <w:style w:type="paragraph" w:customStyle="1" w:styleId="H1">
    <w:name w:val="_ H_1"/>
    <w:basedOn w:val="Normal"/>
    <w:next w:val="Normal"/>
    <w:qFormat/>
    <w:rsid w:val="007E2C1B"/>
    <w:pPr>
      <w:keepNext/>
      <w:keepLines/>
      <w:suppressAutoHyphens/>
      <w:spacing w:after="0" w:line="270" w:lineRule="exact"/>
      <w:outlineLvl w:val="0"/>
    </w:pPr>
    <w:rPr>
      <w:rFonts w:ascii="Times New Roman" w:eastAsia="Calibri" w:hAnsi="Times New Roman" w:cs="Times New Roman"/>
      <w:b/>
      <w:spacing w:val="4"/>
      <w:w w:val="103"/>
      <w:kern w:val="14"/>
      <w:sz w:val="24"/>
      <w:lang w:val="es-ES"/>
    </w:rPr>
  </w:style>
  <w:style w:type="paragraph" w:customStyle="1" w:styleId="H23">
    <w:name w:val="_ H_2/3"/>
    <w:basedOn w:val="H1"/>
    <w:next w:val="SingleTxt"/>
    <w:qFormat/>
    <w:rsid w:val="007E2C1B"/>
    <w:pPr>
      <w:spacing w:line="240" w:lineRule="exact"/>
      <w:outlineLvl w:val="1"/>
    </w:pPr>
    <w:rPr>
      <w:spacing w:val="2"/>
      <w:sz w:val="20"/>
    </w:rPr>
  </w:style>
  <w:style w:type="paragraph" w:customStyle="1" w:styleId="SingleTxt">
    <w:name w:val="__Single Txt"/>
    <w:basedOn w:val="Normal"/>
    <w:qFormat/>
    <w:rsid w:val="007E2C1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lang w:val="es-ES"/>
    </w:rPr>
  </w:style>
  <w:style w:type="character" w:styleId="Hyperlink">
    <w:name w:val="Hyperlink"/>
    <w:basedOn w:val="DefaultParagraphFont"/>
    <w:uiPriority w:val="99"/>
    <w:unhideWhenUsed/>
    <w:rsid w:val="00E74A23"/>
    <w:rPr>
      <w:color w:val="0563C1" w:themeColor="hyperlink"/>
      <w:u w:val="single"/>
    </w:rPr>
  </w:style>
  <w:style w:type="paragraph" w:styleId="FootnoteText">
    <w:name w:val="footnote text"/>
    <w:basedOn w:val="Normal"/>
    <w:link w:val="FootnoteTextChar"/>
    <w:uiPriority w:val="99"/>
    <w:semiHidden/>
    <w:unhideWhenUsed/>
    <w:rsid w:val="00E74A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4A23"/>
    <w:rPr>
      <w:sz w:val="20"/>
      <w:szCs w:val="20"/>
    </w:rPr>
  </w:style>
  <w:style w:type="character" w:styleId="FootnoteReference">
    <w:name w:val="footnote reference"/>
    <w:basedOn w:val="DefaultParagraphFont"/>
    <w:uiPriority w:val="99"/>
    <w:semiHidden/>
    <w:unhideWhenUsed/>
    <w:rsid w:val="00E74A23"/>
    <w:rPr>
      <w:vertAlign w:val="superscript"/>
    </w:rPr>
  </w:style>
  <w:style w:type="paragraph" w:styleId="ListParagraph">
    <w:name w:val="List Paragraph"/>
    <w:basedOn w:val="Normal"/>
    <w:uiPriority w:val="34"/>
    <w:qFormat/>
    <w:rsid w:val="00755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igualitari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iovanni.piermattei@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rive.google.com/file/d/1892gMcOosdEs8BfopGQQOi06qimN5Iow/view" TargetMode="External"/><Relationship Id="rId1" Type="http://schemas.openxmlformats.org/officeDocument/2006/relationships/hyperlink" Target="http://www.venezuelaigualita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9C8CF-B465-4001-B291-D558167D2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5</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6</cp:revision>
  <dcterms:created xsi:type="dcterms:W3CDTF">2023-04-10T14:05:00Z</dcterms:created>
  <dcterms:modified xsi:type="dcterms:W3CDTF">2023-04-10T21:15:00Z</dcterms:modified>
</cp:coreProperties>
</file>