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71FBF" w14:textId="65FC9C91" w:rsidR="00204EC9" w:rsidRPr="007D1505" w:rsidRDefault="00F743B6" w:rsidP="00F4418C">
      <w:pPr>
        <w:rPr>
          <w:rFonts w:cs="Arial"/>
          <w:b/>
          <w:bCs/>
          <w:lang w:val="en-US"/>
        </w:rPr>
      </w:pPr>
      <w:r w:rsidRPr="007D1505">
        <w:rPr>
          <w:rFonts w:cs="Arial"/>
          <w:b/>
          <w:bCs/>
          <w:noProof/>
          <w:lang w:val="en-US"/>
        </w:rPr>
        <w:drawing>
          <wp:inline distT="0" distB="0" distL="0" distR="0" wp14:anchorId="11142879" wp14:editId="13065B14">
            <wp:extent cx="5731510" cy="1470660"/>
            <wp:effectExtent l="0" t="0" r="2540" b="0"/>
            <wp:docPr id="881893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893540" name="Picture 88189354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470660"/>
                    </a:xfrm>
                    <a:prstGeom prst="rect">
                      <a:avLst/>
                    </a:prstGeom>
                  </pic:spPr>
                </pic:pic>
              </a:graphicData>
            </a:graphic>
          </wp:inline>
        </w:drawing>
      </w:r>
    </w:p>
    <w:p w14:paraId="6E92A0E3" w14:textId="77777777" w:rsidR="00C3437D" w:rsidRPr="007D1505" w:rsidRDefault="00C3437D" w:rsidP="00F743B6">
      <w:pPr>
        <w:jc w:val="center"/>
        <w:rPr>
          <w:rFonts w:cs="Arial"/>
          <w:b/>
          <w:bCs/>
          <w:lang w:val="en-US"/>
        </w:rPr>
      </w:pPr>
    </w:p>
    <w:p w14:paraId="660FD181" w14:textId="77777777" w:rsidR="00C3437D" w:rsidRPr="007D1505" w:rsidRDefault="00C3437D" w:rsidP="00F743B6">
      <w:pPr>
        <w:jc w:val="center"/>
        <w:rPr>
          <w:rFonts w:cs="Arial"/>
          <w:b/>
          <w:bCs/>
          <w:lang w:val="en-US"/>
        </w:rPr>
      </w:pPr>
    </w:p>
    <w:p w14:paraId="61BE9F59" w14:textId="0A331DED" w:rsidR="00F4418C" w:rsidRPr="00F4418C" w:rsidRDefault="00F4418C" w:rsidP="00F743B6">
      <w:pPr>
        <w:jc w:val="center"/>
        <w:rPr>
          <w:rFonts w:cs="Arial"/>
          <w:b/>
          <w:bCs/>
          <w:sz w:val="32"/>
          <w:szCs w:val="32"/>
          <w:lang w:val="en-US"/>
        </w:rPr>
      </w:pPr>
      <w:r w:rsidRPr="00F4418C">
        <w:rPr>
          <w:rFonts w:cs="Arial"/>
          <w:b/>
          <w:bCs/>
          <w:sz w:val="32"/>
          <w:szCs w:val="32"/>
          <w:lang w:val="en-US"/>
        </w:rPr>
        <w:t>Submission to the UN Committee on the Elimination of Racial Discrimination (CERD)</w:t>
      </w:r>
    </w:p>
    <w:p w14:paraId="68F40EAB" w14:textId="77777777" w:rsidR="00F4418C" w:rsidRPr="00F4418C" w:rsidRDefault="00F4418C" w:rsidP="00F743B6">
      <w:pPr>
        <w:jc w:val="center"/>
        <w:rPr>
          <w:rFonts w:cs="Arial"/>
          <w:b/>
          <w:bCs/>
          <w:lang w:val="en-US"/>
        </w:rPr>
      </w:pPr>
      <w:r w:rsidRPr="00F4418C">
        <w:rPr>
          <w:rFonts w:cs="Arial"/>
          <w:b/>
          <w:bCs/>
          <w:sz w:val="32"/>
          <w:szCs w:val="32"/>
          <w:lang w:val="en-US"/>
        </w:rPr>
        <w:t>United Kingdom</w:t>
      </w:r>
    </w:p>
    <w:p w14:paraId="0AE97234" w14:textId="77777777" w:rsidR="00C3437D" w:rsidRPr="007D1505" w:rsidRDefault="00C3437D" w:rsidP="00C3437D">
      <w:pPr>
        <w:jc w:val="right"/>
        <w:rPr>
          <w:rFonts w:cs="Arial"/>
          <w:lang w:val="en-US"/>
        </w:rPr>
      </w:pPr>
    </w:p>
    <w:p w14:paraId="75F16197" w14:textId="77777777" w:rsidR="00C3437D" w:rsidRPr="007D1505" w:rsidRDefault="00C3437D" w:rsidP="00C3437D">
      <w:pPr>
        <w:jc w:val="right"/>
        <w:rPr>
          <w:rFonts w:cs="Arial"/>
          <w:lang w:val="en-US"/>
        </w:rPr>
      </w:pPr>
    </w:p>
    <w:p w14:paraId="14F0E312" w14:textId="77777777" w:rsidR="009E7837" w:rsidRPr="00CE3D18" w:rsidRDefault="00F4418C" w:rsidP="00C3437D">
      <w:pPr>
        <w:jc w:val="right"/>
        <w:rPr>
          <w:rFonts w:cs="Arial"/>
          <w:sz w:val="28"/>
          <w:szCs w:val="28"/>
          <w:lang w:val="en-US"/>
        </w:rPr>
      </w:pPr>
      <w:r w:rsidRPr="00F4418C">
        <w:rPr>
          <w:rFonts w:cs="Arial"/>
          <w:sz w:val="28"/>
          <w:szCs w:val="28"/>
          <w:lang w:val="en-US"/>
        </w:rPr>
        <w:t xml:space="preserve">Submitted by: </w:t>
      </w:r>
      <w:r w:rsidR="00C3437D" w:rsidRPr="00CE3D18">
        <w:rPr>
          <w:rFonts w:cs="Arial"/>
          <w:sz w:val="28"/>
          <w:szCs w:val="28"/>
          <w:lang w:val="en-US"/>
        </w:rPr>
        <w:t xml:space="preserve">The </w:t>
      </w:r>
      <w:r w:rsidRPr="00F4418C">
        <w:rPr>
          <w:rFonts w:cs="Arial"/>
          <w:sz w:val="28"/>
          <w:szCs w:val="28"/>
          <w:lang w:val="en-US"/>
        </w:rPr>
        <w:t>Independent Commission on UK Counter-Terrorism Law, Policy and Practice</w:t>
      </w:r>
    </w:p>
    <w:p w14:paraId="38ABC44B" w14:textId="1A3240E9" w:rsidR="00F4418C" w:rsidRDefault="00F4418C" w:rsidP="00C3437D">
      <w:pPr>
        <w:jc w:val="right"/>
        <w:rPr>
          <w:rFonts w:cs="Arial"/>
          <w:sz w:val="28"/>
          <w:szCs w:val="28"/>
          <w:lang w:val="en-US"/>
        </w:rPr>
      </w:pPr>
      <w:r w:rsidRPr="00F4418C">
        <w:rPr>
          <w:rFonts w:cs="Arial"/>
          <w:sz w:val="28"/>
          <w:szCs w:val="28"/>
          <w:lang w:val="en-US"/>
        </w:rPr>
        <w:br/>
        <w:t>(Supported by the Bingham Centre for the Rule of Law)</w:t>
      </w:r>
    </w:p>
    <w:p w14:paraId="61A7B862" w14:textId="77777777" w:rsidR="00CE3D18" w:rsidRDefault="00CE3D18" w:rsidP="00C3437D">
      <w:pPr>
        <w:jc w:val="right"/>
        <w:rPr>
          <w:rFonts w:cs="Arial"/>
          <w:sz w:val="28"/>
          <w:szCs w:val="28"/>
          <w:lang w:val="en-US"/>
        </w:rPr>
      </w:pPr>
    </w:p>
    <w:p w14:paraId="22F5A2F7" w14:textId="77777777" w:rsidR="00CE3D18" w:rsidRDefault="00CE3D18" w:rsidP="00CE3D18">
      <w:pPr>
        <w:jc w:val="right"/>
        <w:rPr>
          <w:sz w:val="28"/>
          <w:szCs w:val="28"/>
          <w:lang w:val="en-US"/>
        </w:rPr>
      </w:pPr>
      <w:r>
        <w:rPr>
          <w:sz w:val="28"/>
          <w:szCs w:val="28"/>
          <w:lang w:val="en-US"/>
        </w:rPr>
        <w:t xml:space="preserve">11 </w:t>
      </w:r>
      <w:r w:rsidRPr="00CE3D18">
        <w:rPr>
          <w:sz w:val="28"/>
          <w:szCs w:val="28"/>
          <w:lang w:val="en-US"/>
        </w:rPr>
        <w:t>May 2026</w:t>
      </w:r>
    </w:p>
    <w:p w14:paraId="77F42158" w14:textId="77777777" w:rsidR="00CE3D18" w:rsidRPr="00CE3D18" w:rsidRDefault="00CE3D18" w:rsidP="00CE3D18">
      <w:pPr>
        <w:jc w:val="right"/>
        <w:rPr>
          <w:rFonts w:cs="Arial"/>
          <w:sz w:val="28"/>
          <w:szCs w:val="28"/>
        </w:rPr>
      </w:pPr>
    </w:p>
    <w:p w14:paraId="46360F4C" w14:textId="77777777" w:rsidR="00CE3D18" w:rsidRPr="00F4418C" w:rsidRDefault="00CE3D18" w:rsidP="00C3437D">
      <w:pPr>
        <w:jc w:val="right"/>
        <w:rPr>
          <w:rFonts w:cs="Arial"/>
          <w:sz w:val="28"/>
          <w:szCs w:val="28"/>
          <w:lang w:val="en-US"/>
        </w:rPr>
      </w:pPr>
    </w:p>
    <w:p w14:paraId="666FE5C3" w14:textId="77777777" w:rsidR="00C3437D" w:rsidRDefault="00C3437D" w:rsidP="00CE3D18">
      <w:pPr>
        <w:rPr>
          <w:rFonts w:cs="Arial"/>
          <w:sz w:val="28"/>
          <w:szCs w:val="28"/>
        </w:rPr>
      </w:pPr>
    </w:p>
    <w:p w14:paraId="7B274025" w14:textId="77777777" w:rsidR="00CE3D18" w:rsidRPr="007D1505" w:rsidRDefault="00CE3D18" w:rsidP="00CE3D18">
      <w:pPr>
        <w:rPr>
          <w:lang w:val="en-US"/>
        </w:rPr>
      </w:pPr>
    </w:p>
    <w:p w14:paraId="1D3259F2" w14:textId="77777777" w:rsidR="00C3437D" w:rsidRPr="007D1505" w:rsidRDefault="00C3437D" w:rsidP="00C3437D">
      <w:pPr>
        <w:jc w:val="right"/>
        <w:rPr>
          <w:lang w:val="en-US"/>
        </w:rPr>
      </w:pPr>
    </w:p>
    <w:p w14:paraId="6F86A7CF" w14:textId="2FB15AED" w:rsidR="00C3437D" w:rsidRPr="00CE3D18" w:rsidRDefault="00C3437D" w:rsidP="00C3437D">
      <w:pPr>
        <w:rPr>
          <w:sz w:val="28"/>
          <w:szCs w:val="28"/>
          <w:lang w:val="en-US"/>
        </w:rPr>
      </w:pPr>
      <w:r w:rsidRPr="00CE3D18">
        <w:rPr>
          <w:sz w:val="28"/>
          <w:szCs w:val="28"/>
          <w:lang w:val="en-US"/>
        </w:rPr>
        <w:t>For further information</w:t>
      </w:r>
      <w:r w:rsidRPr="00CE3D18">
        <w:rPr>
          <w:sz w:val="28"/>
          <w:szCs w:val="28"/>
          <w:lang w:val="en-US"/>
        </w:rPr>
        <w:t>,</w:t>
      </w:r>
      <w:r w:rsidRPr="00CE3D18">
        <w:rPr>
          <w:sz w:val="28"/>
          <w:szCs w:val="28"/>
          <w:lang w:val="en-US"/>
        </w:rPr>
        <w:t xml:space="preserve"> please contact </w:t>
      </w:r>
    </w:p>
    <w:p w14:paraId="1BE0AC95" w14:textId="77777777" w:rsidR="00C3437D" w:rsidRPr="00CE3D18" w:rsidRDefault="00C3437D" w:rsidP="00C3437D">
      <w:pPr>
        <w:rPr>
          <w:sz w:val="28"/>
          <w:szCs w:val="28"/>
          <w:lang w:val="en-US"/>
        </w:rPr>
      </w:pPr>
      <w:r w:rsidRPr="00CE3D18">
        <w:rPr>
          <w:sz w:val="28"/>
          <w:szCs w:val="28"/>
          <w:lang w:val="en-US"/>
        </w:rPr>
        <w:t xml:space="preserve">Tufyal Choudhury </w:t>
      </w:r>
      <w:hyperlink r:id="rId8" w:history="1">
        <w:r w:rsidRPr="00CE3D18">
          <w:rPr>
            <w:rStyle w:val="Hyperlink"/>
            <w:sz w:val="28"/>
            <w:szCs w:val="28"/>
            <w:lang w:val="en-US"/>
          </w:rPr>
          <w:t>t.choudhury@binghamcentre.biicl.org</w:t>
        </w:r>
      </w:hyperlink>
    </w:p>
    <w:p w14:paraId="7E1761ED" w14:textId="41FA10E9" w:rsidR="00C3437D" w:rsidRPr="00CE3D18" w:rsidRDefault="00C3437D" w:rsidP="00C3437D">
      <w:pPr>
        <w:rPr>
          <w:sz w:val="28"/>
          <w:szCs w:val="28"/>
          <w:lang w:val="en-US"/>
        </w:rPr>
      </w:pPr>
      <w:r w:rsidRPr="00CE3D18">
        <w:rPr>
          <w:sz w:val="28"/>
          <w:szCs w:val="28"/>
          <w:lang w:val="en-US"/>
        </w:rPr>
        <w:t>Senior Research Fellow</w:t>
      </w:r>
      <w:r w:rsidRPr="00CE3D18">
        <w:rPr>
          <w:sz w:val="28"/>
          <w:szCs w:val="28"/>
          <w:lang w:val="en-US"/>
        </w:rPr>
        <w:t>,</w:t>
      </w:r>
      <w:r w:rsidRPr="00CE3D18">
        <w:rPr>
          <w:sz w:val="28"/>
          <w:szCs w:val="28"/>
          <w:lang w:val="en-US"/>
        </w:rPr>
        <w:t xml:space="preserve"> Bingham Centre for the Rule of Law  </w:t>
      </w:r>
    </w:p>
    <w:p w14:paraId="75B6EF35" w14:textId="77777777" w:rsidR="00204EC9" w:rsidRPr="007D1505" w:rsidRDefault="00204EC9" w:rsidP="00C3437D">
      <w:pPr>
        <w:rPr>
          <w:lang w:val="en-US"/>
        </w:rPr>
      </w:pPr>
    </w:p>
    <w:p w14:paraId="328A99CA" w14:textId="177F7FC0" w:rsidR="00204EC9" w:rsidRDefault="00204EC9">
      <w:pPr>
        <w:rPr>
          <w:rFonts w:cs="Arial"/>
        </w:rPr>
      </w:pPr>
    </w:p>
    <w:p w14:paraId="4C70B1B2" w14:textId="22D13242" w:rsidR="00F4418C" w:rsidRPr="00CE3D18" w:rsidRDefault="00F4418C" w:rsidP="00CE3D18">
      <w:pPr>
        <w:pStyle w:val="ListParagraph"/>
        <w:numPr>
          <w:ilvl w:val="0"/>
          <w:numId w:val="4"/>
        </w:numPr>
        <w:rPr>
          <w:rFonts w:cs="Arial"/>
          <w:sz w:val="28"/>
          <w:szCs w:val="28"/>
        </w:rPr>
      </w:pPr>
      <w:r w:rsidRPr="00CE3D18">
        <w:rPr>
          <w:rFonts w:cs="Arial"/>
          <w:b/>
          <w:bCs/>
          <w:sz w:val="28"/>
          <w:szCs w:val="28"/>
          <w:lang w:val="en-US"/>
        </w:rPr>
        <w:lastRenderedPageBreak/>
        <w:t>Introduction</w:t>
      </w:r>
    </w:p>
    <w:p w14:paraId="1A5DD23B" w14:textId="69EB6EB0" w:rsidR="00F4418C" w:rsidRPr="00F4418C" w:rsidRDefault="00F4418C" w:rsidP="00F4418C">
      <w:pPr>
        <w:rPr>
          <w:rFonts w:cs="Arial"/>
          <w:lang w:val="en-US"/>
        </w:rPr>
      </w:pPr>
      <w:r w:rsidRPr="00F4418C">
        <w:rPr>
          <w:rFonts w:cs="Arial"/>
          <w:lang w:val="en-US"/>
        </w:rPr>
        <w:t xml:space="preserve">This submission highlights findings of the Independent Commission on UK Counter-Terrorism Law, Policy and Practice relevant to the </w:t>
      </w:r>
      <w:r w:rsidR="00C64404" w:rsidRPr="007D1505">
        <w:rPr>
          <w:rFonts w:cs="Arial"/>
          <w:lang w:val="en-US"/>
        </w:rPr>
        <w:t>exami</w:t>
      </w:r>
      <w:r w:rsidR="00C64404" w:rsidRPr="007D1505">
        <w:rPr>
          <w:rFonts w:cs="Arial"/>
          <w:lang w:val="en-US"/>
        </w:rPr>
        <w:t>nation</w:t>
      </w:r>
      <w:r w:rsidR="00C64404" w:rsidRPr="007D1505">
        <w:rPr>
          <w:rFonts w:cs="Arial"/>
          <w:lang w:val="en-US"/>
        </w:rPr>
        <w:t xml:space="preserve"> at the 118th CERD session in August 2026</w:t>
      </w:r>
      <w:r w:rsidR="00C64404" w:rsidRPr="007D1505">
        <w:rPr>
          <w:rFonts w:cs="Arial"/>
          <w:lang w:val="en-US"/>
        </w:rPr>
        <w:t xml:space="preserve"> of the </w:t>
      </w:r>
      <w:r w:rsidRPr="00F4418C">
        <w:rPr>
          <w:rFonts w:cs="Arial"/>
          <w:lang w:val="en-US"/>
        </w:rPr>
        <w:t xml:space="preserve">United Kingdom’s obligations under the International Convention on the Elimination of All Forms of Racial Discrimination (ICERD). It focuses </w:t>
      </w:r>
      <w:proofErr w:type="gramStart"/>
      <w:r w:rsidRPr="00F4418C">
        <w:rPr>
          <w:rFonts w:cs="Arial"/>
          <w:lang w:val="en-US"/>
        </w:rPr>
        <w:t>in particular on</w:t>
      </w:r>
      <w:proofErr w:type="gramEnd"/>
      <w:r w:rsidRPr="00F4418C">
        <w:rPr>
          <w:rFonts w:cs="Arial"/>
          <w:lang w:val="en-US"/>
        </w:rPr>
        <w:t xml:space="preserve"> concerns relating to:</w:t>
      </w:r>
    </w:p>
    <w:p w14:paraId="1C56EFBC" w14:textId="77777777" w:rsidR="00F4418C" w:rsidRPr="00F4418C" w:rsidRDefault="00F4418C" w:rsidP="00F4418C">
      <w:pPr>
        <w:numPr>
          <w:ilvl w:val="0"/>
          <w:numId w:val="2"/>
        </w:numPr>
        <w:rPr>
          <w:rFonts w:cs="Arial"/>
          <w:lang w:val="en-US"/>
        </w:rPr>
      </w:pPr>
      <w:r w:rsidRPr="00F4418C">
        <w:rPr>
          <w:rFonts w:cs="Arial"/>
          <w:lang w:val="en-US"/>
        </w:rPr>
        <w:t>evidence of discriminatory impacts arising from the Prevent strategy and related counter-</w:t>
      </w:r>
      <w:proofErr w:type="spellStart"/>
      <w:r w:rsidRPr="00F4418C">
        <w:rPr>
          <w:rFonts w:cs="Arial"/>
          <w:lang w:val="en-US"/>
        </w:rPr>
        <w:t>radicalisation</w:t>
      </w:r>
      <w:proofErr w:type="spellEnd"/>
      <w:r w:rsidRPr="00F4418C">
        <w:rPr>
          <w:rFonts w:cs="Arial"/>
          <w:lang w:val="en-US"/>
        </w:rPr>
        <w:t xml:space="preserve"> </w:t>
      </w:r>
      <w:proofErr w:type="gramStart"/>
      <w:r w:rsidRPr="00F4418C">
        <w:rPr>
          <w:rFonts w:cs="Arial"/>
          <w:lang w:val="en-US"/>
        </w:rPr>
        <w:t>policies;</w:t>
      </w:r>
      <w:proofErr w:type="gramEnd"/>
    </w:p>
    <w:p w14:paraId="4E37D204" w14:textId="77777777" w:rsidR="00F4418C" w:rsidRPr="00F4418C" w:rsidRDefault="00F4418C" w:rsidP="00F4418C">
      <w:pPr>
        <w:numPr>
          <w:ilvl w:val="0"/>
          <w:numId w:val="2"/>
        </w:numPr>
        <w:rPr>
          <w:rFonts w:cs="Arial"/>
          <w:lang w:val="en-US"/>
        </w:rPr>
      </w:pPr>
      <w:r w:rsidRPr="00F4418C">
        <w:rPr>
          <w:rFonts w:cs="Arial"/>
          <w:lang w:val="en-US"/>
        </w:rPr>
        <w:t xml:space="preserve">the adequacy and independence of oversight mechanisms governing </w:t>
      </w:r>
      <w:proofErr w:type="gramStart"/>
      <w:r w:rsidRPr="00F4418C">
        <w:rPr>
          <w:rFonts w:cs="Arial"/>
          <w:lang w:val="en-US"/>
        </w:rPr>
        <w:t>Prevent;</w:t>
      </w:r>
      <w:proofErr w:type="gramEnd"/>
    </w:p>
    <w:p w14:paraId="4E80D1AC" w14:textId="77777777" w:rsidR="00F4418C" w:rsidRPr="00F4418C" w:rsidRDefault="00F4418C" w:rsidP="00F4418C">
      <w:pPr>
        <w:numPr>
          <w:ilvl w:val="0"/>
          <w:numId w:val="2"/>
        </w:numPr>
        <w:rPr>
          <w:rFonts w:cs="Arial"/>
          <w:lang w:val="en-US"/>
        </w:rPr>
      </w:pPr>
      <w:r w:rsidRPr="00F4418C">
        <w:rPr>
          <w:rFonts w:cs="Arial"/>
          <w:lang w:val="en-US"/>
        </w:rPr>
        <w:t>limitations in transparency and data collection affecting the assessment of discriminatory impacts; and</w:t>
      </w:r>
    </w:p>
    <w:p w14:paraId="3EF894BE" w14:textId="470F2DA8" w:rsidR="00F4418C" w:rsidRDefault="00F4418C" w:rsidP="00F4418C">
      <w:pPr>
        <w:numPr>
          <w:ilvl w:val="0"/>
          <w:numId w:val="2"/>
        </w:numPr>
        <w:rPr>
          <w:rFonts w:cs="Arial"/>
          <w:lang w:val="en-US"/>
        </w:rPr>
      </w:pPr>
      <w:r w:rsidRPr="00F4418C">
        <w:rPr>
          <w:rFonts w:cs="Arial"/>
          <w:lang w:val="en-US"/>
        </w:rPr>
        <w:t xml:space="preserve">the role and remit of the Independent Reviewer / Commissioner responsible for oversight of </w:t>
      </w:r>
      <w:proofErr w:type="gramStart"/>
      <w:r w:rsidRPr="00F4418C">
        <w:rPr>
          <w:rFonts w:cs="Arial"/>
          <w:lang w:val="en-US"/>
        </w:rPr>
        <w:t>Prevent</w:t>
      </w:r>
      <w:r w:rsidR="00704B70">
        <w:rPr>
          <w:rFonts w:cs="Arial"/>
          <w:lang w:val="en-US"/>
        </w:rPr>
        <w:t>;</w:t>
      </w:r>
      <w:proofErr w:type="gramEnd"/>
    </w:p>
    <w:p w14:paraId="2FC936E4" w14:textId="3E103D3A" w:rsidR="00704B70" w:rsidRPr="00F4418C" w:rsidRDefault="00E92DD6" w:rsidP="00F4418C">
      <w:pPr>
        <w:numPr>
          <w:ilvl w:val="0"/>
          <w:numId w:val="2"/>
        </w:numPr>
        <w:rPr>
          <w:rFonts w:cs="Arial"/>
          <w:lang w:val="en-US"/>
        </w:rPr>
      </w:pPr>
      <w:r>
        <w:rPr>
          <w:rFonts w:cs="Arial"/>
        </w:rPr>
        <w:t xml:space="preserve">the Commission’s major recommendation for a move to reconfigure Prevent towards a </w:t>
      </w:r>
      <w:r w:rsidR="00704B70" w:rsidRPr="00704B70">
        <w:rPr>
          <w:rFonts w:cs="Arial"/>
        </w:rPr>
        <w:t>safeguarding framework capable of addressing diverse forms of vulnerability and violence</w:t>
      </w:r>
    </w:p>
    <w:p w14:paraId="3D1DE863" w14:textId="77777777" w:rsidR="00F53D8B" w:rsidRPr="007D1505" w:rsidRDefault="00F53D8B" w:rsidP="00F53D8B">
      <w:r w:rsidRPr="007D1505">
        <w:t xml:space="preserve">The Independent Commission on UK Counter-Terrorism Law, Policy and Practice was established in 2022 to examine whether the United Kingdom’s counter-terrorism framework remains effective, proportionate, and consistent with the rule of law and international human rights standards. </w:t>
      </w:r>
    </w:p>
    <w:p w14:paraId="3F68E1A0" w14:textId="77777777" w:rsidR="00F53D8B" w:rsidRPr="007D1505" w:rsidRDefault="00F53D8B" w:rsidP="00F53D8B">
      <w:r w:rsidRPr="007D1505">
        <w:t xml:space="preserve">The Commission was chaired by the Rt Hon. Sir Declan Morgan KC PC, former Lord Chief Justice of Northern Ireland. The 14 members of the Commission included a former Attorney General for England and Wales, former government ministers, and senior practitioners with experience in policing and the intelligence services, as well as human rights and the Rule of Law.   </w:t>
      </w:r>
    </w:p>
    <w:p w14:paraId="35A491CA" w14:textId="77777777" w:rsidR="00F53D8B" w:rsidRPr="007D1505" w:rsidRDefault="00F53D8B" w:rsidP="00F53D8B">
      <w:r w:rsidRPr="007D1505">
        <w:t>Over three years, the Commission gathered evidence from more than 200 stakeholders, including government advisors, practitioners, policymakers, academics, civil society organisations and affected communities. The resulting report (2025) assessed the operation of counter-terrorism legislation, policy and practice across the four strands of the UK’s CONTEST strategy and made 113 recommendations to improve effectiveness, accountability and human rights protection.</w:t>
      </w:r>
    </w:p>
    <w:p w14:paraId="34C2AE01" w14:textId="240855FC" w:rsidR="00B66921" w:rsidRPr="007D1505" w:rsidRDefault="00C510A0" w:rsidP="00081FFB">
      <w:pPr>
        <w:jc w:val="both"/>
        <w:rPr>
          <w:rFonts w:cs="Calibri"/>
        </w:rPr>
      </w:pPr>
      <w:r w:rsidRPr="007D1505">
        <w:rPr>
          <w:rFonts w:cs="Calibri"/>
        </w:rPr>
        <w:t xml:space="preserve">The Commission gathered extensive evidence revealing significant concerns </w:t>
      </w:r>
      <w:r w:rsidR="00081FFB" w:rsidRPr="007D1505">
        <w:rPr>
          <w:rFonts w:cs="Calibri"/>
        </w:rPr>
        <w:t xml:space="preserve">about Prevent </w:t>
      </w:r>
      <w:r w:rsidRPr="007D1505">
        <w:rPr>
          <w:rFonts w:cs="Calibri"/>
        </w:rPr>
        <w:t xml:space="preserve">in two key areas. First, questions were raised about the programme's core methodology, training, safeguarding framework, and evaluation processes; these are examined in </w:t>
      </w:r>
      <w:r w:rsidR="00081FFB" w:rsidRPr="007D1505">
        <w:rPr>
          <w:rFonts w:cs="Calibri"/>
        </w:rPr>
        <w:t>chapter 8.</w:t>
      </w:r>
      <w:r w:rsidRPr="007D1505">
        <w:rPr>
          <w:rFonts w:cs="Calibri"/>
        </w:rPr>
        <w:t>1</w:t>
      </w:r>
      <w:r w:rsidR="00081FFB" w:rsidRPr="007D1505">
        <w:rPr>
          <w:rFonts w:cs="Calibri"/>
        </w:rPr>
        <w:t xml:space="preserve"> of the Commission’s report</w:t>
      </w:r>
      <w:r w:rsidRPr="007D1505">
        <w:rPr>
          <w:rFonts w:cs="Calibri"/>
        </w:rPr>
        <w:t xml:space="preserve">. Second, evidence suggested potential adverse impacts resulting from Prevent, including allegations of discriminatory practices, inappropriate questioning of children, concerns about interference with rights to privacy and personal data, and reports that some legitimate discussions of controversial topics had been constrained. This is examined in </w:t>
      </w:r>
      <w:r w:rsidR="00081FFB" w:rsidRPr="007D1505">
        <w:rPr>
          <w:rFonts w:cs="Calibri"/>
        </w:rPr>
        <w:t>chapter 8.</w:t>
      </w:r>
      <w:r w:rsidRPr="007D1505">
        <w:rPr>
          <w:rFonts w:cs="Calibri"/>
        </w:rPr>
        <w:t xml:space="preserve">2. </w:t>
      </w:r>
      <w:r w:rsidR="00687652" w:rsidRPr="007D1505">
        <w:rPr>
          <w:rFonts w:cs="Calibri"/>
        </w:rPr>
        <w:t xml:space="preserve">This submission summarises the key findings. </w:t>
      </w:r>
    </w:p>
    <w:p w14:paraId="5821BB4A" w14:textId="635D90BA" w:rsidR="00687652" w:rsidRPr="007D1505" w:rsidRDefault="00687652" w:rsidP="00687652">
      <w:pPr>
        <w:rPr>
          <w:rFonts w:cs="Arial"/>
          <w:lang w:val="en-US"/>
        </w:rPr>
      </w:pPr>
      <w:r w:rsidRPr="007D1505">
        <w:rPr>
          <w:rFonts w:cs="Arial"/>
          <w:lang w:val="en-US"/>
        </w:rPr>
        <w:t xml:space="preserve">The </w:t>
      </w:r>
      <w:r w:rsidR="00EA1ED3">
        <w:rPr>
          <w:rFonts w:cs="Arial"/>
          <w:lang w:val="en-US"/>
        </w:rPr>
        <w:t>relevant paragraphs of</w:t>
      </w:r>
      <w:r w:rsidRPr="007D1505">
        <w:rPr>
          <w:rFonts w:cs="Arial"/>
          <w:lang w:val="en-US"/>
        </w:rPr>
        <w:t xml:space="preserve"> section 8.2 of the Commission report related to discrimination and bias in Prevent </w:t>
      </w:r>
      <w:proofErr w:type="gramStart"/>
      <w:r w:rsidRPr="007D1505">
        <w:rPr>
          <w:rFonts w:cs="Arial"/>
          <w:lang w:val="en-US"/>
        </w:rPr>
        <w:t>is</w:t>
      </w:r>
      <w:proofErr w:type="gramEnd"/>
      <w:r w:rsidRPr="007D1505">
        <w:rPr>
          <w:rFonts w:cs="Arial"/>
          <w:lang w:val="en-US"/>
        </w:rPr>
        <w:t xml:space="preserve"> provided at the end of this submission. </w:t>
      </w:r>
      <w:r w:rsidRPr="00F4418C">
        <w:rPr>
          <w:rFonts w:cs="Arial"/>
          <w:lang w:val="en-US"/>
        </w:rPr>
        <w:t>An executive summary of the Commission’s report, including the full list of recommendations, is attached separately.</w:t>
      </w:r>
    </w:p>
    <w:p w14:paraId="4FE98B35" w14:textId="0A4C9972" w:rsidR="00DE14E4" w:rsidRPr="00CE3D18" w:rsidRDefault="007D1505" w:rsidP="00CE3D18">
      <w:pPr>
        <w:pStyle w:val="ListParagraph"/>
        <w:numPr>
          <w:ilvl w:val="0"/>
          <w:numId w:val="4"/>
        </w:numPr>
        <w:rPr>
          <w:rFonts w:cs="Arial"/>
          <w:sz w:val="28"/>
          <w:szCs w:val="28"/>
          <w:lang w:val="en-US"/>
        </w:rPr>
      </w:pPr>
      <w:r w:rsidRPr="00CE3D18">
        <w:rPr>
          <w:rFonts w:cs="Arial"/>
          <w:lang w:val="en-US"/>
        </w:rPr>
        <w:br w:type="page"/>
      </w:r>
      <w:r w:rsidR="00DE14E4" w:rsidRPr="00CE3D18">
        <w:rPr>
          <w:rFonts w:cs="Arial"/>
          <w:b/>
          <w:bCs/>
          <w:sz w:val="28"/>
          <w:szCs w:val="28"/>
          <w:lang w:val="en-US"/>
        </w:rPr>
        <w:lastRenderedPageBreak/>
        <w:t>Prevent and evidence of discriminatory impacts</w:t>
      </w:r>
    </w:p>
    <w:p w14:paraId="4D8E4705" w14:textId="77777777" w:rsidR="00DE14E4" w:rsidRPr="00DE14E4" w:rsidRDefault="00DE14E4" w:rsidP="00DE14E4">
      <w:pPr>
        <w:rPr>
          <w:rFonts w:cs="Arial"/>
          <w:lang w:val="en-US"/>
        </w:rPr>
      </w:pPr>
      <w:r w:rsidRPr="00DE14E4">
        <w:rPr>
          <w:rFonts w:cs="Arial"/>
          <w:lang w:val="en-US"/>
        </w:rPr>
        <w:t>The Commission heard extensive evidence regarding the perceived and actual discriminatory impacts of the Prevent strategy, particularly in relation to Muslim communities and racialised minority groups.</w:t>
      </w:r>
    </w:p>
    <w:p w14:paraId="664771B1" w14:textId="77777777" w:rsidR="00DE14E4" w:rsidRPr="00DE14E4" w:rsidRDefault="00DE14E4" w:rsidP="00DE14E4">
      <w:pPr>
        <w:rPr>
          <w:rFonts w:cs="Arial"/>
          <w:lang w:val="en-US"/>
        </w:rPr>
      </w:pPr>
      <w:r w:rsidRPr="00DE14E4">
        <w:rPr>
          <w:rFonts w:cs="Arial"/>
          <w:lang w:val="en-US"/>
        </w:rPr>
        <w:t xml:space="preserve">Witnesses and community organisations repeatedly described Prevent as contributing to feelings of surveillance, mistrust and </w:t>
      </w:r>
      <w:proofErr w:type="spellStart"/>
      <w:r w:rsidRPr="00DE14E4">
        <w:rPr>
          <w:rFonts w:cs="Arial"/>
          <w:lang w:val="en-US"/>
        </w:rPr>
        <w:t>stigmatisation</w:t>
      </w:r>
      <w:proofErr w:type="spellEnd"/>
      <w:r w:rsidRPr="00DE14E4">
        <w:rPr>
          <w:rFonts w:cs="Arial"/>
          <w:lang w:val="en-US"/>
        </w:rPr>
        <w:t xml:space="preserve"> within affected communities. The Commission heard concerns that the operation of Prevent has, in practice, disproportionately affected Muslim communities, particularly within educational settings, health services and other public institutions subject to the statutory Prevent duty.</w:t>
      </w:r>
    </w:p>
    <w:p w14:paraId="5DE17C33" w14:textId="77777777" w:rsidR="00DE14E4" w:rsidRPr="00DE14E4" w:rsidRDefault="00DE14E4" w:rsidP="00DE14E4">
      <w:pPr>
        <w:rPr>
          <w:rFonts w:cs="Arial"/>
          <w:lang w:val="en-US"/>
        </w:rPr>
      </w:pPr>
      <w:r w:rsidRPr="00DE14E4">
        <w:rPr>
          <w:rFonts w:cs="Arial"/>
          <w:lang w:val="en-US"/>
        </w:rPr>
        <w:t>The Commission noted that these concerns have persisted despite changes in the nature of the terrorism threat and despite the broadening of Prevent referrals to include individuals associated with a range of ideological backgrounds. Evidence presented to the Commission indicated that Prevent continues to be widely perceived within many communities as disproportionately focused upon Muslim populations.</w:t>
      </w:r>
    </w:p>
    <w:p w14:paraId="2E6695C2" w14:textId="6DDFF567" w:rsidR="00DE14E4" w:rsidRPr="00DE14E4" w:rsidRDefault="00DE14E4" w:rsidP="00DE14E4">
      <w:pPr>
        <w:rPr>
          <w:rFonts w:cs="Arial"/>
          <w:lang w:val="en-US"/>
        </w:rPr>
      </w:pPr>
      <w:r w:rsidRPr="00DE14E4">
        <w:rPr>
          <w:rFonts w:cs="Arial"/>
          <w:lang w:val="en-US"/>
        </w:rPr>
        <w:t xml:space="preserve">The Commission </w:t>
      </w:r>
      <w:r w:rsidR="00D23083" w:rsidRPr="007D1505">
        <w:rPr>
          <w:rFonts w:cs="Arial"/>
          <w:lang w:val="en-US"/>
        </w:rPr>
        <w:t>also heard concerns about the low threshold for referrals into Prevent and Channel processes, particularly when referrals involve children or express</w:t>
      </w:r>
      <w:r w:rsidRPr="00DE14E4">
        <w:rPr>
          <w:rFonts w:cs="Arial"/>
          <w:lang w:val="en-US"/>
        </w:rPr>
        <w:t xml:space="preserve"> political or religious views. Several stakeholders argued that vague indicators of “extremism” or “</w:t>
      </w:r>
      <w:proofErr w:type="spellStart"/>
      <w:r w:rsidRPr="00DE14E4">
        <w:rPr>
          <w:rFonts w:cs="Arial"/>
          <w:lang w:val="en-US"/>
        </w:rPr>
        <w:t>radicalisation</w:t>
      </w:r>
      <w:proofErr w:type="spellEnd"/>
      <w:r w:rsidRPr="00DE14E4">
        <w:rPr>
          <w:rFonts w:cs="Arial"/>
          <w:lang w:val="en-US"/>
        </w:rPr>
        <w:t>” create risks of discriminatory or subjective decision-making.</w:t>
      </w:r>
    </w:p>
    <w:p w14:paraId="308BF62A" w14:textId="43D65BF1" w:rsidR="00DE14E4" w:rsidRPr="00DE14E4" w:rsidRDefault="00DE14E4" w:rsidP="00DE14E4">
      <w:pPr>
        <w:rPr>
          <w:rFonts w:cs="Arial"/>
          <w:lang w:val="en-US"/>
        </w:rPr>
      </w:pPr>
      <w:r w:rsidRPr="00DE14E4">
        <w:rPr>
          <w:rFonts w:cs="Arial"/>
          <w:lang w:val="en-US"/>
        </w:rPr>
        <w:t xml:space="preserve">The Commission identified a significant lack of publicly available evidence enabling </w:t>
      </w:r>
      <w:r w:rsidR="00D23083" w:rsidRPr="007D1505">
        <w:rPr>
          <w:rFonts w:cs="Arial"/>
          <w:lang w:val="en-US"/>
        </w:rPr>
        <w:t xml:space="preserve">a </w:t>
      </w:r>
      <w:r w:rsidRPr="00DE14E4">
        <w:rPr>
          <w:rFonts w:cs="Arial"/>
          <w:lang w:val="en-US"/>
        </w:rPr>
        <w:t>robust assessment of whether Prevent operates in a discriminatory manner. While aggregate referral statistics are published, available data remains insufficient to evaluate:</w:t>
      </w:r>
    </w:p>
    <w:p w14:paraId="046F7610" w14:textId="77777777" w:rsidR="00DE14E4" w:rsidRPr="00DE14E4" w:rsidRDefault="00DE14E4" w:rsidP="00DE14E4">
      <w:pPr>
        <w:numPr>
          <w:ilvl w:val="0"/>
          <w:numId w:val="2"/>
        </w:numPr>
        <w:rPr>
          <w:rFonts w:cs="Arial"/>
          <w:lang w:val="en-US"/>
        </w:rPr>
      </w:pPr>
      <w:r w:rsidRPr="00DE14E4">
        <w:rPr>
          <w:rFonts w:cs="Arial"/>
          <w:lang w:val="en-US"/>
        </w:rPr>
        <w:t xml:space="preserve">demographic patterns and disproportionality in </w:t>
      </w:r>
      <w:proofErr w:type="gramStart"/>
      <w:r w:rsidRPr="00DE14E4">
        <w:rPr>
          <w:rFonts w:cs="Arial"/>
          <w:lang w:val="en-US"/>
        </w:rPr>
        <w:t>referrals;</w:t>
      </w:r>
      <w:proofErr w:type="gramEnd"/>
    </w:p>
    <w:p w14:paraId="4310FE42" w14:textId="77777777" w:rsidR="00DE14E4" w:rsidRPr="00DE14E4" w:rsidRDefault="00DE14E4" w:rsidP="00DE14E4">
      <w:pPr>
        <w:numPr>
          <w:ilvl w:val="0"/>
          <w:numId w:val="2"/>
        </w:numPr>
        <w:rPr>
          <w:rFonts w:cs="Arial"/>
          <w:lang w:val="en-US"/>
        </w:rPr>
      </w:pPr>
      <w:r w:rsidRPr="00DE14E4">
        <w:rPr>
          <w:rFonts w:cs="Arial"/>
          <w:lang w:val="en-US"/>
        </w:rPr>
        <w:t xml:space="preserve">the reasons for referrals and referral </w:t>
      </w:r>
      <w:proofErr w:type="gramStart"/>
      <w:r w:rsidRPr="00DE14E4">
        <w:rPr>
          <w:rFonts w:cs="Arial"/>
          <w:lang w:val="en-US"/>
        </w:rPr>
        <w:t>outcomes;</w:t>
      </w:r>
      <w:proofErr w:type="gramEnd"/>
    </w:p>
    <w:p w14:paraId="7DF6F786" w14:textId="77777777" w:rsidR="00DE14E4" w:rsidRPr="00DE14E4" w:rsidRDefault="00DE14E4" w:rsidP="00DE14E4">
      <w:pPr>
        <w:numPr>
          <w:ilvl w:val="0"/>
          <w:numId w:val="2"/>
        </w:numPr>
        <w:rPr>
          <w:rFonts w:cs="Arial"/>
          <w:lang w:val="en-US"/>
        </w:rPr>
      </w:pPr>
      <w:r w:rsidRPr="00DE14E4">
        <w:rPr>
          <w:rFonts w:cs="Arial"/>
          <w:lang w:val="en-US"/>
        </w:rPr>
        <w:t xml:space="preserve">long-term outcomes for individuals referred into </w:t>
      </w:r>
      <w:proofErr w:type="gramStart"/>
      <w:r w:rsidRPr="00DE14E4">
        <w:rPr>
          <w:rFonts w:cs="Arial"/>
          <w:lang w:val="en-US"/>
        </w:rPr>
        <w:t>Prevent;</w:t>
      </w:r>
      <w:proofErr w:type="gramEnd"/>
    </w:p>
    <w:p w14:paraId="0682CFD0" w14:textId="77777777" w:rsidR="00DE14E4" w:rsidRPr="00DE14E4" w:rsidRDefault="00DE14E4" w:rsidP="00DE14E4">
      <w:pPr>
        <w:numPr>
          <w:ilvl w:val="0"/>
          <w:numId w:val="2"/>
        </w:numPr>
        <w:rPr>
          <w:rFonts w:cs="Arial"/>
          <w:lang w:val="en-US"/>
        </w:rPr>
      </w:pPr>
      <w:r w:rsidRPr="00DE14E4">
        <w:rPr>
          <w:rFonts w:cs="Arial"/>
          <w:lang w:val="en-US"/>
        </w:rPr>
        <w:t>the extent to which referrals arise from protected expression, religious practice or political views.</w:t>
      </w:r>
    </w:p>
    <w:p w14:paraId="636B030D" w14:textId="77777777" w:rsidR="00DE14E4" w:rsidRPr="00DE14E4" w:rsidRDefault="00DE14E4" w:rsidP="00DE14E4">
      <w:pPr>
        <w:rPr>
          <w:rFonts w:cs="Arial"/>
          <w:lang w:val="en-US"/>
        </w:rPr>
      </w:pPr>
      <w:r w:rsidRPr="00DE14E4">
        <w:rPr>
          <w:rFonts w:cs="Arial"/>
          <w:lang w:val="en-US"/>
        </w:rPr>
        <w:t>The absence of systematic equality monitoring and independent evaluation significantly limits the ability of Parliament, civil society and affected communities to assess whether Prevent complies with equality and non-discrimination obligations.</w:t>
      </w:r>
    </w:p>
    <w:p w14:paraId="1B60F52C" w14:textId="77777777" w:rsidR="00DE14E4" w:rsidRPr="00DE14E4" w:rsidRDefault="00DE14E4" w:rsidP="00DE14E4">
      <w:pPr>
        <w:rPr>
          <w:rFonts w:cs="Arial"/>
          <w:lang w:val="en-US"/>
        </w:rPr>
      </w:pPr>
      <w:r w:rsidRPr="00DE14E4">
        <w:rPr>
          <w:rFonts w:cs="Arial"/>
          <w:lang w:val="en-US"/>
        </w:rPr>
        <w:t>The Commission also heard concerns regarding the chilling effect that Prevent may have on freedom of expression, political participation and religious practice, particularly among Muslim students and young people. Witnesses described fears that discussion of political issues, including foreign policy matters, could result in referral or scrutiny.</w:t>
      </w:r>
    </w:p>
    <w:p w14:paraId="71AA5E97" w14:textId="2661D686" w:rsidR="00DE14E4" w:rsidRDefault="00DE14E4" w:rsidP="00DE14E4">
      <w:pPr>
        <w:rPr>
          <w:rFonts w:cs="Arial"/>
          <w:lang w:val="en-US"/>
        </w:rPr>
      </w:pPr>
      <w:r w:rsidRPr="00DE14E4">
        <w:rPr>
          <w:rFonts w:cs="Arial"/>
          <w:lang w:val="en-US"/>
        </w:rPr>
        <w:t xml:space="preserve">The Commission concluded that transparency and independent oversight are essential </w:t>
      </w:r>
      <w:proofErr w:type="gramStart"/>
      <w:r w:rsidRPr="00DE14E4">
        <w:rPr>
          <w:rFonts w:cs="Arial"/>
          <w:lang w:val="en-US"/>
        </w:rPr>
        <w:t>in order to</w:t>
      </w:r>
      <w:proofErr w:type="gramEnd"/>
      <w:r w:rsidRPr="00DE14E4">
        <w:rPr>
          <w:rFonts w:cs="Arial"/>
          <w:lang w:val="en-US"/>
        </w:rPr>
        <w:t xml:space="preserve"> assess whether Prevent operates proportionately and without discriminatory impact.</w:t>
      </w:r>
      <w:r w:rsidR="00B523CA">
        <w:rPr>
          <w:rFonts w:cs="Arial"/>
          <w:lang w:val="en-US"/>
        </w:rPr>
        <w:t xml:space="preserve"> The Commission recommended that </w:t>
      </w:r>
      <w:r w:rsidR="00446959">
        <w:rPr>
          <w:rFonts w:cs="Arial"/>
          <w:lang w:val="en-US"/>
        </w:rPr>
        <w:t xml:space="preserve">there should be an ongoing </w:t>
      </w:r>
      <w:proofErr w:type="spellStart"/>
      <w:r w:rsidR="00446959">
        <w:rPr>
          <w:rFonts w:cs="Arial"/>
          <w:lang w:val="en-US"/>
        </w:rPr>
        <w:t>programme</w:t>
      </w:r>
      <w:proofErr w:type="spellEnd"/>
      <w:r w:rsidR="00446959">
        <w:rPr>
          <w:rFonts w:cs="Arial"/>
          <w:lang w:val="en-US"/>
        </w:rPr>
        <w:t xml:space="preserve"> of equality impact assessment of all counter-terrorism laws and practices, including prevent, to ensure that </w:t>
      </w:r>
      <w:r w:rsidR="00E56F4A">
        <w:rPr>
          <w:rFonts w:cs="Arial"/>
          <w:lang w:val="en-US"/>
        </w:rPr>
        <w:t>all are subject to review at least once every seven years (</w:t>
      </w:r>
      <w:r w:rsidR="00E56F4A" w:rsidRPr="00E56F4A">
        <w:rPr>
          <w:rFonts w:cs="Arial"/>
          <w:b/>
          <w:bCs/>
          <w:lang w:val="en-US"/>
        </w:rPr>
        <w:t>Recommendation 7</w:t>
      </w:r>
      <w:r w:rsidR="00E56F4A">
        <w:rPr>
          <w:rFonts w:cs="Arial"/>
          <w:lang w:val="en-US"/>
        </w:rPr>
        <w:t xml:space="preserve">) </w:t>
      </w:r>
    </w:p>
    <w:p w14:paraId="7D56FCE8" w14:textId="77777777" w:rsidR="00A3621B" w:rsidRDefault="00A3621B" w:rsidP="00DE14E4">
      <w:pPr>
        <w:rPr>
          <w:rFonts w:cs="Arial"/>
          <w:lang w:val="en-US"/>
        </w:rPr>
      </w:pPr>
    </w:p>
    <w:p w14:paraId="4199E8EB" w14:textId="77777777" w:rsidR="00A3621B" w:rsidRPr="00A064F9" w:rsidRDefault="00A3621B" w:rsidP="00A3621B">
      <w:pPr>
        <w:rPr>
          <w:rFonts w:cs="Arial"/>
          <w:lang w:val="en-US"/>
        </w:rPr>
      </w:pPr>
      <w:r w:rsidRPr="00A064F9">
        <w:rPr>
          <w:rFonts w:cs="Arial"/>
          <w:lang w:val="en-US"/>
        </w:rPr>
        <w:lastRenderedPageBreak/>
        <w:t xml:space="preserve">The Commission concluded that the absence of comprehensive and independently verifiable data significantly hinders </w:t>
      </w:r>
      <w:r w:rsidRPr="00A3621B">
        <w:rPr>
          <w:rFonts w:cs="Arial"/>
          <w:lang w:val="en-US"/>
        </w:rPr>
        <w:t xml:space="preserve">the </w:t>
      </w:r>
      <w:r w:rsidRPr="00A064F9">
        <w:rPr>
          <w:rFonts w:cs="Arial"/>
          <w:lang w:val="en-US"/>
        </w:rPr>
        <w:t>assessment of whether Prevent has discriminatory effects.</w:t>
      </w:r>
      <w:r w:rsidRPr="00A3621B">
        <w:rPr>
          <w:rFonts w:cs="Arial"/>
          <w:lang w:val="en-US"/>
        </w:rPr>
        <w:t xml:space="preserve"> The Commission concluded that the Prevent policy must be grounded in rigorous evidence and research. This requires collecting and sharing clear, consistent and robust data (including equality data) needed to evaluate policies and interventions </w:t>
      </w:r>
      <w:r w:rsidRPr="00A3621B">
        <w:rPr>
          <w:rFonts w:cs="Arial"/>
          <w:b/>
          <w:bCs/>
          <w:lang w:val="en-US"/>
        </w:rPr>
        <w:t>(Recommendation 31)</w:t>
      </w:r>
    </w:p>
    <w:p w14:paraId="45E6E9A7" w14:textId="77777777" w:rsidR="00687652" w:rsidRPr="007D1505" w:rsidRDefault="00687652" w:rsidP="00A064F9">
      <w:pPr>
        <w:rPr>
          <w:rFonts w:cs="Arial"/>
          <w:b/>
          <w:bCs/>
          <w:lang w:val="en-US"/>
        </w:rPr>
      </w:pPr>
      <w:bookmarkStart w:id="0" w:name="X356632f74554eca311cfebd7c024286f24dab2c"/>
    </w:p>
    <w:p w14:paraId="1546B9B1" w14:textId="2C863816" w:rsidR="00A064F9" w:rsidRPr="00CE3D18" w:rsidRDefault="00A064F9" w:rsidP="00CE3D18">
      <w:pPr>
        <w:pStyle w:val="ListParagraph"/>
        <w:numPr>
          <w:ilvl w:val="0"/>
          <w:numId w:val="4"/>
        </w:numPr>
        <w:rPr>
          <w:rFonts w:cs="Arial"/>
          <w:b/>
          <w:bCs/>
          <w:sz w:val="28"/>
          <w:szCs w:val="28"/>
          <w:lang w:val="en-US"/>
        </w:rPr>
      </w:pPr>
      <w:r w:rsidRPr="00CE3D18">
        <w:rPr>
          <w:rFonts w:cs="Arial"/>
          <w:b/>
          <w:bCs/>
          <w:sz w:val="28"/>
          <w:szCs w:val="28"/>
          <w:lang w:val="en-US"/>
        </w:rPr>
        <w:t xml:space="preserve">Oversight of Prevent and the role of the </w:t>
      </w:r>
      <w:r w:rsidR="00E50207">
        <w:rPr>
          <w:rFonts w:cs="Arial"/>
          <w:b/>
          <w:bCs/>
          <w:sz w:val="28"/>
          <w:szCs w:val="28"/>
          <w:lang w:val="en-US"/>
        </w:rPr>
        <w:t>Prevent</w:t>
      </w:r>
      <w:r w:rsidRPr="00CE3D18">
        <w:rPr>
          <w:rFonts w:cs="Arial"/>
          <w:b/>
          <w:bCs/>
          <w:sz w:val="28"/>
          <w:szCs w:val="28"/>
          <w:lang w:val="en-US"/>
        </w:rPr>
        <w:t xml:space="preserve"> Commissioner</w:t>
      </w:r>
    </w:p>
    <w:p w14:paraId="3C16A450" w14:textId="2D02E5CE" w:rsidR="00A064F9" w:rsidRPr="00A064F9" w:rsidRDefault="00A064F9" w:rsidP="00A064F9">
      <w:pPr>
        <w:rPr>
          <w:rFonts w:cs="Arial"/>
          <w:lang w:val="en-US"/>
        </w:rPr>
      </w:pPr>
      <w:r w:rsidRPr="00A064F9">
        <w:rPr>
          <w:rFonts w:cs="Arial"/>
          <w:lang w:val="en-US"/>
        </w:rPr>
        <w:t>The Commission examined the adequacy of oversight arrangements governing Prevent and identified several concerns regarding independence, transparency and institutional accountability.</w:t>
      </w:r>
      <w:r w:rsidR="00B15E95">
        <w:rPr>
          <w:rFonts w:cs="Arial"/>
          <w:lang w:val="en-US"/>
        </w:rPr>
        <w:t xml:space="preserve"> </w:t>
      </w:r>
      <w:r w:rsidRPr="00A064F9">
        <w:rPr>
          <w:rFonts w:cs="Arial"/>
          <w:lang w:val="en-US"/>
        </w:rPr>
        <w:t>The Commission noted that effective oversight of Prevent has historically been limited by fragmented accountability arrangements and the absence of comprehensive independent review mechanisms. Although the office of the Independent Prevent Commissioner was created to strengthen oversight, concerns remain regarding:</w:t>
      </w:r>
    </w:p>
    <w:p w14:paraId="4BAA5ADE" w14:textId="77777777" w:rsidR="00A064F9" w:rsidRPr="00A064F9" w:rsidRDefault="00A064F9" w:rsidP="00A064F9">
      <w:pPr>
        <w:numPr>
          <w:ilvl w:val="0"/>
          <w:numId w:val="2"/>
        </w:numPr>
        <w:rPr>
          <w:rFonts w:cs="Arial"/>
          <w:lang w:val="en-US"/>
        </w:rPr>
      </w:pPr>
      <w:r w:rsidRPr="00A064F9">
        <w:rPr>
          <w:rFonts w:cs="Arial"/>
          <w:lang w:val="en-US"/>
        </w:rPr>
        <w:t xml:space="preserve">the scope of the office’s </w:t>
      </w:r>
      <w:proofErr w:type="gramStart"/>
      <w:r w:rsidRPr="00A064F9">
        <w:rPr>
          <w:rFonts w:cs="Arial"/>
          <w:lang w:val="en-US"/>
        </w:rPr>
        <w:t>mandate;</w:t>
      </w:r>
      <w:proofErr w:type="gramEnd"/>
    </w:p>
    <w:p w14:paraId="616CCD44" w14:textId="77777777" w:rsidR="00A064F9" w:rsidRPr="00A064F9" w:rsidRDefault="00A064F9" w:rsidP="00A064F9">
      <w:pPr>
        <w:numPr>
          <w:ilvl w:val="0"/>
          <w:numId w:val="2"/>
        </w:numPr>
        <w:rPr>
          <w:rFonts w:cs="Arial"/>
          <w:lang w:val="en-US"/>
        </w:rPr>
      </w:pPr>
      <w:r w:rsidRPr="00A064F9">
        <w:rPr>
          <w:rFonts w:cs="Arial"/>
          <w:lang w:val="en-US"/>
        </w:rPr>
        <w:t xml:space="preserve">institutional independence from the </w:t>
      </w:r>
      <w:proofErr w:type="gramStart"/>
      <w:r w:rsidRPr="00A064F9">
        <w:rPr>
          <w:rFonts w:cs="Arial"/>
          <w:lang w:val="en-US"/>
        </w:rPr>
        <w:t>executive;</w:t>
      </w:r>
      <w:proofErr w:type="gramEnd"/>
    </w:p>
    <w:p w14:paraId="260B82A5" w14:textId="77777777" w:rsidR="00A064F9" w:rsidRPr="00A064F9" w:rsidRDefault="00A064F9" w:rsidP="00A064F9">
      <w:pPr>
        <w:numPr>
          <w:ilvl w:val="0"/>
          <w:numId w:val="2"/>
        </w:numPr>
        <w:rPr>
          <w:rFonts w:cs="Arial"/>
          <w:lang w:val="en-US"/>
        </w:rPr>
      </w:pPr>
      <w:r w:rsidRPr="00A064F9">
        <w:rPr>
          <w:rFonts w:cs="Arial"/>
          <w:lang w:val="en-US"/>
        </w:rPr>
        <w:t>access to information and operational data; and</w:t>
      </w:r>
    </w:p>
    <w:p w14:paraId="229FBEB9" w14:textId="77777777" w:rsidR="00A064F9" w:rsidRPr="00A064F9" w:rsidRDefault="00A064F9" w:rsidP="00A064F9">
      <w:pPr>
        <w:numPr>
          <w:ilvl w:val="0"/>
          <w:numId w:val="2"/>
        </w:numPr>
        <w:rPr>
          <w:rFonts w:cs="Arial"/>
          <w:lang w:val="en-US"/>
        </w:rPr>
      </w:pPr>
      <w:r w:rsidRPr="00A064F9">
        <w:rPr>
          <w:rFonts w:cs="Arial"/>
          <w:lang w:val="en-US"/>
        </w:rPr>
        <w:t>the absence of sufficiently robust reporting obligations.</w:t>
      </w:r>
    </w:p>
    <w:p w14:paraId="0B580A7D" w14:textId="46E234A7" w:rsidR="00A3621B" w:rsidRDefault="00A064F9" w:rsidP="00A064F9">
      <w:pPr>
        <w:rPr>
          <w:rFonts w:cs="Arial"/>
          <w:lang w:val="en-US"/>
        </w:rPr>
      </w:pPr>
      <w:r w:rsidRPr="00A064F9">
        <w:rPr>
          <w:rFonts w:cs="Arial"/>
          <w:lang w:val="en-US"/>
        </w:rPr>
        <w:t xml:space="preserve">The Commission found that effective oversight requires meaningful institutional independence, particularly </w:t>
      </w:r>
      <w:r w:rsidR="00C44B07" w:rsidRPr="00A3621B">
        <w:rPr>
          <w:rFonts w:cs="Arial"/>
          <w:lang w:val="en-US"/>
        </w:rPr>
        <w:t xml:space="preserve">when policies raise concerns about discrimination and their </w:t>
      </w:r>
      <w:proofErr w:type="gramStart"/>
      <w:r w:rsidRPr="00A064F9">
        <w:rPr>
          <w:rFonts w:cs="Arial"/>
          <w:lang w:val="en-US"/>
        </w:rPr>
        <w:t>impacts</w:t>
      </w:r>
      <w:proofErr w:type="gramEnd"/>
      <w:r w:rsidRPr="00A064F9">
        <w:rPr>
          <w:rFonts w:cs="Arial"/>
          <w:lang w:val="en-US"/>
        </w:rPr>
        <w:t xml:space="preserve"> on minority communities.</w:t>
      </w:r>
      <w:r w:rsidR="000B416F">
        <w:rPr>
          <w:rFonts w:cs="Arial"/>
          <w:lang w:val="en-US"/>
        </w:rPr>
        <w:t xml:space="preserve"> </w:t>
      </w:r>
      <w:r w:rsidRPr="00A064F9">
        <w:rPr>
          <w:rFonts w:cs="Arial"/>
          <w:lang w:val="en-US"/>
        </w:rPr>
        <w:t>The Commission recommend</w:t>
      </w:r>
      <w:r w:rsidR="00B43E6D" w:rsidRPr="00A3621B">
        <w:rPr>
          <w:rFonts w:cs="Arial"/>
          <w:lang w:val="en-US"/>
        </w:rPr>
        <w:t xml:space="preserve">s </w:t>
      </w:r>
      <w:r w:rsidRPr="00A064F9">
        <w:rPr>
          <w:rFonts w:cs="Arial"/>
          <w:lang w:val="en-US"/>
        </w:rPr>
        <w:t>that the Independent Prevent Commissioner be placed on a clear statutory footing</w:t>
      </w:r>
      <w:r w:rsidR="00473FA8" w:rsidRPr="00A3621B">
        <w:rPr>
          <w:rFonts w:cs="Arial"/>
          <w:lang w:val="en-US"/>
        </w:rPr>
        <w:t>, with defined powers, functions, and reporting obligations, including the review of</w:t>
      </w:r>
      <w:r w:rsidR="00091CEA" w:rsidRPr="00A3621B">
        <w:rPr>
          <w:rFonts w:cs="Arial"/>
          <w:lang w:val="en-US"/>
        </w:rPr>
        <w:t xml:space="preserve"> Prevent practices to ensure compliance with human rights</w:t>
      </w:r>
      <w:r w:rsidRPr="00A064F9">
        <w:rPr>
          <w:rFonts w:cs="Arial"/>
          <w:lang w:val="en-US"/>
        </w:rPr>
        <w:t xml:space="preserve"> </w:t>
      </w:r>
      <w:r w:rsidRPr="00A064F9">
        <w:rPr>
          <w:rFonts w:cs="Arial"/>
          <w:b/>
          <w:bCs/>
          <w:lang w:val="en-US"/>
        </w:rPr>
        <w:t>(Recommendation 36</w:t>
      </w:r>
      <w:r w:rsidRPr="00A064F9">
        <w:rPr>
          <w:rFonts w:cs="Arial"/>
          <w:lang w:val="en-US"/>
        </w:rPr>
        <w:t xml:space="preserve">). </w:t>
      </w:r>
      <w:bookmarkStart w:id="1" w:name="data-gaps-and-transparency"/>
      <w:bookmarkEnd w:id="0"/>
      <w:bookmarkEnd w:id="1"/>
    </w:p>
    <w:p w14:paraId="1F3A8288" w14:textId="77777777" w:rsidR="003F5280" w:rsidRPr="00A3621B" w:rsidRDefault="003F5280" w:rsidP="00A064F9">
      <w:pPr>
        <w:rPr>
          <w:rFonts w:cs="Arial"/>
          <w:lang w:val="en-US"/>
        </w:rPr>
      </w:pPr>
    </w:p>
    <w:p w14:paraId="75E36340" w14:textId="272D9EAF" w:rsidR="00A63A21" w:rsidRPr="00E50207" w:rsidRDefault="008742DF" w:rsidP="00E50207">
      <w:pPr>
        <w:pStyle w:val="ListParagraph"/>
        <w:numPr>
          <w:ilvl w:val="0"/>
          <w:numId w:val="4"/>
        </w:numPr>
        <w:jc w:val="both"/>
        <w:rPr>
          <w:rFonts w:cs="Arial"/>
          <w:b/>
          <w:bCs/>
          <w:sz w:val="28"/>
          <w:szCs w:val="28"/>
          <w:lang w:val="en-US"/>
        </w:rPr>
      </w:pPr>
      <w:r w:rsidRPr="00E50207">
        <w:rPr>
          <w:rFonts w:cs="Arial"/>
          <w:b/>
          <w:bCs/>
          <w:sz w:val="28"/>
          <w:szCs w:val="28"/>
          <w:lang w:val="en-US"/>
        </w:rPr>
        <w:t xml:space="preserve">Reforming Prevent: towards a </w:t>
      </w:r>
      <w:r w:rsidR="00E50207">
        <w:rPr>
          <w:rFonts w:cs="Arial"/>
          <w:b/>
          <w:bCs/>
          <w:sz w:val="28"/>
          <w:szCs w:val="28"/>
          <w:lang w:val="en-US"/>
        </w:rPr>
        <w:t>multi-agency</w:t>
      </w:r>
      <w:r w:rsidRPr="00E50207">
        <w:rPr>
          <w:rFonts w:cs="Arial"/>
          <w:b/>
          <w:bCs/>
          <w:sz w:val="28"/>
          <w:szCs w:val="28"/>
          <w:lang w:val="en-US"/>
        </w:rPr>
        <w:t xml:space="preserve"> safeguarding model</w:t>
      </w:r>
    </w:p>
    <w:p w14:paraId="693CA533" w14:textId="16A93F05" w:rsidR="00A63A21" w:rsidRPr="00A3621B" w:rsidRDefault="00A63A21" w:rsidP="00A3621B">
      <w:r w:rsidRPr="00A3621B">
        <w:t xml:space="preserve">Most Prevent referrals now concern people with complex vulnerabilities, such as mental ill health, social isolation or neurodivergence, rather than clear terrorism-related risks. In 2024/25, over two-thirds (68%) of Prevent referrals involved cases where there was ‘no ideology’, a ‘fascination with extreme violence’, or ‘multiple ideologies (with no dominant ideology)’. This shift shows that </w:t>
      </w:r>
      <w:proofErr w:type="spellStart"/>
      <w:r w:rsidRPr="00A3621B">
        <w:t>Prevent’s</w:t>
      </w:r>
      <w:proofErr w:type="spellEnd"/>
      <w:r w:rsidRPr="00A3621B">
        <w:t xml:space="preserve"> purpose has become blurred and its remit stretched well beyond its original counter-terrorism aim. </w:t>
      </w:r>
    </w:p>
    <w:p w14:paraId="569A955B" w14:textId="56CA23A9" w:rsidR="00A63A21" w:rsidRPr="00A3621B" w:rsidRDefault="00A63A21" w:rsidP="00A3621B">
      <w:r w:rsidRPr="00A3621B">
        <w:t>The Commission proposes a reconfigured model in which Prevent is one part of a broader, locally-led safeguarding framework capable of addressing diverse forms of vulnerability and violence</w:t>
      </w:r>
      <w:r w:rsidR="0096521D" w:rsidRPr="00A3621B">
        <w:t xml:space="preserve"> (</w:t>
      </w:r>
      <w:r w:rsidR="0096521D" w:rsidRPr="00A3621B">
        <w:rPr>
          <w:b/>
          <w:bCs/>
        </w:rPr>
        <w:t>Recommendation 19</w:t>
      </w:r>
      <w:r w:rsidR="0096521D" w:rsidRPr="00A3621B">
        <w:t>)</w:t>
      </w:r>
      <w:r w:rsidRPr="00A3621B">
        <w:t xml:space="preserve">. This vision is in line with the recommendations of the </w:t>
      </w:r>
      <w:r w:rsidR="00B45CD8" w:rsidRPr="00A3621B">
        <w:t xml:space="preserve">Interim </w:t>
      </w:r>
      <w:r w:rsidRPr="00A3621B">
        <w:t xml:space="preserve">Prevent Commissioner, Lord Anderson KC and </w:t>
      </w:r>
      <w:r w:rsidR="00B45CD8" w:rsidRPr="00A3621B">
        <w:t>supported by the House of Common’s Home Affairs Select Committee</w:t>
      </w:r>
      <w:r w:rsidRPr="00A3621B">
        <w:rPr>
          <w:rStyle w:val="FootnoteReference"/>
        </w:rPr>
        <w:footnoteReference w:id="1"/>
      </w:r>
      <w:r w:rsidRPr="00A3621B">
        <w:t xml:space="preserve"> all of whom argue that it is now time to create a ‘</w:t>
      </w:r>
      <w:r w:rsidRPr="00A3621B">
        <w:rPr>
          <w:b/>
          <w:bCs/>
        </w:rPr>
        <w:t>big front door’</w:t>
      </w:r>
      <w:r w:rsidRPr="00A3621B">
        <w:t xml:space="preserve">, for referrals of all those vulnerable or susceptible to being drawn into violence. </w:t>
      </w:r>
    </w:p>
    <w:p w14:paraId="03609942" w14:textId="77777777" w:rsidR="00A63A21" w:rsidRPr="00A3621B" w:rsidRDefault="00A63A21" w:rsidP="00A3621B">
      <w:r w:rsidRPr="00A3621B">
        <w:lastRenderedPageBreak/>
        <w:t xml:space="preserve">Under this model, all concerns about vulnerability or susceptibility to violence would be directed to a multi-agency safeguarding hub (MASH). This single access point would assess cases involving complex needs or unclear links to extremist groups. Individuals at risk of terrorist violence would then be passed to Prevent and, where appropriate, Channel. Those whose needs are unrelated to terrorism would be supported by other agencies. To ensure appropriate referral, these forums would include a wide range of expertise, including those skilled at dealing with children, severe trauma, violence, fascination and extreme fringes of internet culture. Counter-terrorism police would contribute to this triaging system and, where appropriate, referrals would be forwarded to Prevent. Rather than create new structures, this approach would streamline existing provision, avoiding replicating existing multi-agency panels, and relieve pressure on Prevent operating as a ‘last resort’ when mainstream support is underfunded or unavailable. </w:t>
      </w:r>
    </w:p>
    <w:p w14:paraId="3C3679E5" w14:textId="24B02A23" w:rsidR="00C44B07" w:rsidRDefault="00A63A21" w:rsidP="00A064F9">
      <w:r w:rsidRPr="00A3621B">
        <w:t xml:space="preserve">This reconfiguration of the countering extremism, safeguarding and violence reduction nexus must be accompanied by the commitment at national and local government levels to investing in social cohesion as a strategic priority and to shoring up community, neighbourhood, youth and mental health services that help people live well together. Past experience shows that when countering extremism and promoting cohesion are combined within Prevent, a sense of shared identity can be undermined as particular communities appear targeted or stigmatised, However, there is also evidence that the absence of properly funded and supported social cohesion policies since 2010 has contributed to the rise in extremist views and lack of community resilience to them, allowing  vulnerabilities to be exploited by groups that use social exclusion, racism and rights violations to divide society and justify violence. </w:t>
      </w:r>
    </w:p>
    <w:p w14:paraId="09F68E5A" w14:textId="77777777" w:rsidR="000B416F" w:rsidRPr="003F5280" w:rsidRDefault="000B416F" w:rsidP="00A064F9"/>
    <w:p w14:paraId="27D9A94B" w14:textId="65A1AD74" w:rsidR="00A064F9" w:rsidRPr="00E50207" w:rsidRDefault="00C44B07" w:rsidP="00E50207">
      <w:pPr>
        <w:pStyle w:val="ListParagraph"/>
        <w:numPr>
          <w:ilvl w:val="0"/>
          <w:numId w:val="4"/>
        </w:numPr>
        <w:rPr>
          <w:rFonts w:cs="Arial"/>
          <w:sz w:val="28"/>
          <w:szCs w:val="28"/>
          <w:lang w:val="en-US"/>
        </w:rPr>
      </w:pPr>
      <w:r w:rsidRPr="00E50207">
        <w:rPr>
          <w:rFonts w:cs="Arial"/>
          <w:b/>
          <w:bCs/>
          <w:sz w:val="28"/>
          <w:szCs w:val="28"/>
          <w:lang w:val="en-US"/>
        </w:rPr>
        <w:t xml:space="preserve"> </w:t>
      </w:r>
      <w:r w:rsidR="00A064F9" w:rsidRPr="00E50207">
        <w:rPr>
          <w:rFonts w:cs="Arial"/>
          <w:b/>
          <w:bCs/>
          <w:sz w:val="28"/>
          <w:szCs w:val="28"/>
          <w:lang w:val="en-US"/>
        </w:rPr>
        <w:t>Recommendations relevant to CERD</w:t>
      </w:r>
    </w:p>
    <w:p w14:paraId="6440793C" w14:textId="77777777" w:rsidR="00A064F9" w:rsidRPr="00A064F9" w:rsidRDefault="00A064F9" w:rsidP="00A064F9">
      <w:pPr>
        <w:rPr>
          <w:rFonts w:cs="Arial"/>
          <w:lang w:val="en-US"/>
        </w:rPr>
      </w:pPr>
      <w:r w:rsidRPr="00A064F9">
        <w:rPr>
          <w:rFonts w:cs="Arial"/>
          <w:lang w:val="en-US"/>
        </w:rPr>
        <w:t>Drawing on the findings of the Independent Commission, the following measures would strengthen compliance with equality and non-discrimination obligations in the context of counter-terrorism policy:</w:t>
      </w:r>
    </w:p>
    <w:p w14:paraId="603C5469" w14:textId="08FA83A4" w:rsidR="002E590C" w:rsidRPr="00A064F9" w:rsidRDefault="002E590C" w:rsidP="002E590C">
      <w:pPr>
        <w:numPr>
          <w:ilvl w:val="0"/>
          <w:numId w:val="3"/>
        </w:numPr>
        <w:rPr>
          <w:rFonts w:cs="Arial"/>
          <w:lang w:val="en-US"/>
        </w:rPr>
      </w:pPr>
      <w:r w:rsidRPr="00A064F9">
        <w:rPr>
          <w:rFonts w:cs="Arial"/>
          <w:lang w:val="en-US"/>
        </w:rPr>
        <w:t xml:space="preserve">Improve transparency and </w:t>
      </w:r>
      <w:r w:rsidRPr="003F5280">
        <w:rPr>
          <w:rFonts w:cs="Arial"/>
          <w:lang w:val="en-US"/>
        </w:rPr>
        <w:t xml:space="preserve">the collection and </w:t>
      </w:r>
      <w:r w:rsidRPr="00A064F9">
        <w:rPr>
          <w:rFonts w:cs="Arial"/>
          <w:lang w:val="en-US"/>
        </w:rPr>
        <w:t>publication of equality and demographic data relating to Prevent referrals, Channel outcomes and long-term impacts</w:t>
      </w:r>
      <w:r w:rsidR="00C5170E" w:rsidRPr="003F5280">
        <w:rPr>
          <w:rFonts w:cs="Arial"/>
          <w:lang w:val="en-US"/>
        </w:rPr>
        <w:t xml:space="preserve"> (</w:t>
      </w:r>
      <w:r w:rsidR="00C5170E" w:rsidRPr="003F5280">
        <w:rPr>
          <w:rFonts w:cs="Arial"/>
          <w:b/>
          <w:bCs/>
          <w:lang w:val="en-US"/>
        </w:rPr>
        <w:t>Recommendation 7 and 31</w:t>
      </w:r>
      <w:r w:rsidR="00C5170E" w:rsidRPr="003F5280">
        <w:rPr>
          <w:rFonts w:cs="Arial"/>
          <w:lang w:val="en-US"/>
        </w:rPr>
        <w:t>)</w:t>
      </w:r>
      <w:r w:rsidRPr="00A064F9">
        <w:rPr>
          <w:rFonts w:cs="Arial"/>
          <w:lang w:val="en-US"/>
        </w:rPr>
        <w:t>.</w:t>
      </w:r>
    </w:p>
    <w:p w14:paraId="4C08804D" w14:textId="3FA4ED10" w:rsidR="00A064F9" w:rsidRPr="00A064F9" w:rsidRDefault="00A064F9" w:rsidP="00A064F9">
      <w:pPr>
        <w:numPr>
          <w:ilvl w:val="0"/>
          <w:numId w:val="3"/>
        </w:numPr>
        <w:rPr>
          <w:rFonts w:cs="Arial"/>
          <w:lang w:val="en-US"/>
        </w:rPr>
      </w:pPr>
      <w:r w:rsidRPr="00A064F9">
        <w:rPr>
          <w:rFonts w:cs="Arial"/>
          <w:lang w:val="en-US"/>
        </w:rPr>
        <w:t>Place the Independent Prevent Commissioner on a statutory footing with clearly defined powers and reporting obligations</w:t>
      </w:r>
      <w:r w:rsidR="006B465A" w:rsidRPr="003F5280">
        <w:rPr>
          <w:rFonts w:cs="Arial"/>
          <w:lang w:val="en-US"/>
        </w:rPr>
        <w:t>,</w:t>
      </w:r>
      <w:r w:rsidRPr="00A064F9">
        <w:rPr>
          <w:rFonts w:cs="Arial"/>
          <w:lang w:val="en-US"/>
        </w:rPr>
        <w:t xml:space="preserve"> </w:t>
      </w:r>
      <w:r w:rsidR="0042765E" w:rsidRPr="003F5280">
        <w:rPr>
          <w:rFonts w:cs="Arial"/>
          <w:lang w:val="en-US"/>
        </w:rPr>
        <w:t>including in relation to human rights</w:t>
      </w:r>
      <w:r w:rsidR="006B465A" w:rsidRPr="003F5280">
        <w:rPr>
          <w:rFonts w:cs="Arial"/>
          <w:lang w:val="en-US"/>
        </w:rPr>
        <w:t xml:space="preserve"> </w:t>
      </w:r>
      <w:r w:rsidRPr="00A064F9">
        <w:rPr>
          <w:rFonts w:cs="Arial"/>
          <w:lang w:val="en-US"/>
        </w:rPr>
        <w:t>(</w:t>
      </w:r>
      <w:r w:rsidRPr="00A064F9">
        <w:rPr>
          <w:rFonts w:cs="Arial"/>
          <w:b/>
          <w:bCs/>
          <w:lang w:val="en-US"/>
        </w:rPr>
        <w:t>Recommendation 3</w:t>
      </w:r>
      <w:r w:rsidR="00C5170E" w:rsidRPr="003F5280">
        <w:rPr>
          <w:rFonts w:cs="Arial"/>
          <w:b/>
          <w:bCs/>
          <w:lang w:val="en-US"/>
        </w:rPr>
        <w:t>6</w:t>
      </w:r>
      <w:r w:rsidRPr="00A064F9">
        <w:rPr>
          <w:rFonts w:cs="Arial"/>
          <w:lang w:val="en-US"/>
        </w:rPr>
        <w:t>).</w:t>
      </w:r>
    </w:p>
    <w:p w14:paraId="154D6066" w14:textId="2C016967" w:rsidR="00A064F9" w:rsidRPr="00A064F9" w:rsidRDefault="00A064F9" w:rsidP="00A064F9">
      <w:pPr>
        <w:numPr>
          <w:ilvl w:val="0"/>
          <w:numId w:val="3"/>
        </w:numPr>
        <w:rPr>
          <w:rFonts w:cs="Arial"/>
          <w:lang w:val="en-US"/>
        </w:rPr>
      </w:pPr>
      <w:r w:rsidRPr="00A064F9">
        <w:rPr>
          <w:rFonts w:cs="Arial"/>
          <w:lang w:val="en-US"/>
        </w:rPr>
        <w:t>Establish structured consultation mechanisms enabling meaningful participation by affected communities and civil society organisations in oversight and policy review processes</w:t>
      </w:r>
      <w:r w:rsidR="00634C4D" w:rsidRPr="003F5280">
        <w:rPr>
          <w:rFonts w:cs="Arial"/>
          <w:lang w:val="en-US"/>
        </w:rPr>
        <w:t xml:space="preserve"> (</w:t>
      </w:r>
      <w:r w:rsidR="00634C4D" w:rsidRPr="003F5280">
        <w:rPr>
          <w:rFonts w:cs="Arial"/>
          <w:b/>
          <w:bCs/>
          <w:lang w:val="en-US"/>
        </w:rPr>
        <w:t>Recommendation 1)</w:t>
      </w:r>
      <w:r w:rsidRPr="00A064F9">
        <w:rPr>
          <w:rFonts w:cs="Arial"/>
          <w:lang w:val="en-US"/>
        </w:rPr>
        <w:t>.</w:t>
      </w:r>
    </w:p>
    <w:p w14:paraId="6046BE79" w14:textId="34C1263E" w:rsidR="0053697A" w:rsidRPr="00A064F9" w:rsidRDefault="00C84BC4" w:rsidP="00A064F9">
      <w:pPr>
        <w:numPr>
          <w:ilvl w:val="0"/>
          <w:numId w:val="3"/>
        </w:numPr>
        <w:rPr>
          <w:rFonts w:cs="Arial"/>
          <w:lang w:val="en-US"/>
        </w:rPr>
      </w:pPr>
      <w:r w:rsidRPr="003F5280">
        <w:t xml:space="preserve">Move towards a </w:t>
      </w:r>
      <w:r w:rsidR="0053697A" w:rsidRPr="003F5280">
        <w:t>model in which Prevent is one part of a broader, locally-led safeguarding framework capable of addressing diverse forms of vulnerability and violence</w:t>
      </w:r>
      <w:r w:rsidR="003F5280" w:rsidRPr="003F5280">
        <w:t xml:space="preserve"> (</w:t>
      </w:r>
      <w:r w:rsidR="003F5280" w:rsidRPr="003F5280">
        <w:rPr>
          <w:b/>
          <w:bCs/>
        </w:rPr>
        <w:t>Recommendation 19</w:t>
      </w:r>
      <w:r w:rsidR="003F5280" w:rsidRPr="003F5280">
        <w:t>)</w:t>
      </w:r>
      <w:r w:rsidRPr="003F5280">
        <w:t xml:space="preserve">. </w:t>
      </w:r>
    </w:p>
    <w:p w14:paraId="02CC9F66" w14:textId="76BFF182" w:rsidR="00A064F9" w:rsidRPr="007D1505" w:rsidRDefault="00A064F9">
      <w:pPr>
        <w:rPr>
          <w:rFonts w:cs="Arial"/>
        </w:rPr>
      </w:pPr>
      <w:r w:rsidRPr="007D1505">
        <w:rPr>
          <w:rFonts w:cs="Arial"/>
        </w:rPr>
        <w:br w:type="page"/>
      </w:r>
    </w:p>
    <w:p w14:paraId="3CA0F9BE" w14:textId="718F7460" w:rsidR="00DE14E4" w:rsidRPr="006B465A" w:rsidRDefault="00A064F9">
      <w:pPr>
        <w:rPr>
          <w:rFonts w:cs="Arial"/>
          <w:b/>
          <w:bCs/>
          <w:sz w:val="28"/>
          <w:szCs w:val="28"/>
        </w:rPr>
      </w:pPr>
      <w:r w:rsidRPr="006B465A">
        <w:rPr>
          <w:rFonts w:cs="Arial"/>
          <w:b/>
          <w:bCs/>
          <w:sz w:val="28"/>
          <w:szCs w:val="28"/>
        </w:rPr>
        <w:lastRenderedPageBreak/>
        <w:t>Appendix 1</w:t>
      </w:r>
      <w:r w:rsidR="00A751CA" w:rsidRPr="006B465A">
        <w:rPr>
          <w:rFonts w:cs="Arial"/>
          <w:b/>
          <w:bCs/>
          <w:sz w:val="28"/>
          <w:szCs w:val="28"/>
        </w:rPr>
        <w:t>:</w:t>
      </w:r>
      <w:r w:rsidRPr="006B465A">
        <w:rPr>
          <w:rFonts w:cs="Arial"/>
          <w:b/>
          <w:bCs/>
          <w:sz w:val="28"/>
          <w:szCs w:val="28"/>
        </w:rPr>
        <w:t xml:space="preserve"> Report of the Independent Commission on UK Counter-Terrorism </w:t>
      </w:r>
      <w:r w:rsidR="006D5A83" w:rsidRPr="006B465A">
        <w:rPr>
          <w:rFonts w:cs="Arial"/>
          <w:b/>
          <w:bCs/>
          <w:sz w:val="28"/>
          <w:szCs w:val="28"/>
        </w:rPr>
        <w:t xml:space="preserve">Law, Policy and Practice </w:t>
      </w:r>
    </w:p>
    <w:p w14:paraId="39DEB402" w14:textId="5A81A80E" w:rsidR="002A248D" w:rsidRPr="002A248D" w:rsidRDefault="00D91C66" w:rsidP="002A248D">
      <w:pPr>
        <w:rPr>
          <w:rFonts w:cs="Arial"/>
          <w:b/>
          <w:bCs/>
          <w:sz w:val="28"/>
          <w:szCs w:val="28"/>
          <w:lang w:val="en-US"/>
        </w:rPr>
      </w:pPr>
      <w:r w:rsidRPr="006B465A">
        <w:rPr>
          <w:rFonts w:cs="Arial"/>
          <w:b/>
          <w:bCs/>
          <w:sz w:val="28"/>
          <w:szCs w:val="28"/>
          <w:lang w:val="en-US"/>
        </w:rPr>
        <w:t xml:space="preserve">8.2 Discrimination and Bias </w:t>
      </w:r>
    </w:p>
    <w:p w14:paraId="6DA052B4" w14:textId="77777777" w:rsidR="00C70494" w:rsidRPr="006B465A" w:rsidRDefault="00C70494" w:rsidP="00C70494">
      <w:pPr>
        <w:jc w:val="both"/>
        <w:rPr>
          <w:rFonts w:cs="Arial"/>
          <w:sz w:val="24"/>
          <w:szCs w:val="24"/>
        </w:rPr>
      </w:pPr>
      <w:r w:rsidRPr="006B465A">
        <w:rPr>
          <w:rFonts w:cs="Arial"/>
          <w:sz w:val="24"/>
          <w:szCs w:val="24"/>
        </w:rPr>
        <w:t>The Commission heard evidence that Prevent stigmatises Muslims, alienating individuals and communities where support is needed.</w:t>
      </w:r>
    </w:p>
    <w:p w14:paraId="3A91AA1E" w14:textId="77777777" w:rsidR="00C70494" w:rsidRPr="006B465A" w:rsidRDefault="00C70494" w:rsidP="00C70494">
      <w:pPr>
        <w:jc w:val="both"/>
        <w:rPr>
          <w:rFonts w:cs="Arial"/>
          <w:sz w:val="24"/>
          <w:szCs w:val="24"/>
        </w:rPr>
      </w:pPr>
      <w:r w:rsidRPr="006B465A">
        <w:rPr>
          <w:rFonts w:cs="Arial"/>
          <w:sz w:val="24"/>
          <w:szCs w:val="24"/>
        </w:rPr>
        <w:t>From 2007-2011, the explicit focus of the Prevent strategy was on Muslims, leading to accusations of institutional racism. Initially, funding was based on the size of local Muslim communities, with local authority performance measured by the depth and detail of their knowledge of local Muslim communities, including the location and denomination of mosques.</w:t>
      </w:r>
      <w:r w:rsidRPr="006B465A">
        <w:rPr>
          <w:rStyle w:val="FootnoteReference"/>
          <w:rFonts w:cs="Arial"/>
          <w:sz w:val="24"/>
          <w:szCs w:val="24"/>
        </w:rPr>
        <w:footnoteReference w:id="2"/>
      </w:r>
      <w:r w:rsidRPr="006B465A">
        <w:rPr>
          <w:rFonts w:cs="Arial"/>
          <w:sz w:val="24"/>
          <w:szCs w:val="24"/>
        </w:rPr>
        <w:t xml:space="preserve"> Initiatives such as improving mosque governance, organising national roadshows of Islamic scholars, and developing citizenship curricula in madrasas reinforced the perception that Islam was viewed as the cause and solution to radicalisation.</w:t>
      </w:r>
      <w:r w:rsidRPr="006B465A">
        <w:rPr>
          <w:rStyle w:val="FootnoteReference"/>
          <w:rFonts w:cs="Arial"/>
          <w:sz w:val="24"/>
          <w:szCs w:val="24"/>
        </w:rPr>
        <w:footnoteReference w:id="3"/>
      </w:r>
      <w:r w:rsidRPr="006B465A">
        <w:rPr>
          <w:rFonts w:cs="Arial"/>
          <w:sz w:val="24"/>
          <w:szCs w:val="24"/>
        </w:rPr>
        <w:t xml:space="preserve"> Paternalistic assumptions about Muslim women and the role they could play as mothers, wives and daughters in countering violent radicalisation underpinned government engagement, while support for projects to increase their access to mosques reinforced the notion that a liberal/moderate Islam was the solution to radical/extremist Islam.</w:t>
      </w:r>
      <w:r w:rsidRPr="006B465A">
        <w:rPr>
          <w:rStyle w:val="FootnoteReference"/>
          <w:rFonts w:cs="Arial"/>
          <w:sz w:val="24"/>
          <w:szCs w:val="24"/>
        </w:rPr>
        <w:footnoteReference w:id="4"/>
      </w:r>
      <w:r w:rsidRPr="006B465A">
        <w:rPr>
          <w:rFonts w:cs="Arial"/>
          <w:sz w:val="24"/>
          <w:szCs w:val="24"/>
        </w:rPr>
        <w:t xml:space="preserve"> Attempts to draw a distinction between ‘moderate’ and ‘extremist’ Muslims reinforced the perception that the problem of terrorist violence lies with Islam. This was said to lead to the assumption that, ‘[</w:t>
      </w:r>
      <w:proofErr w:type="spellStart"/>
      <w:r w:rsidRPr="006B465A">
        <w:rPr>
          <w:rFonts w:cs="Arial"/>
          <w:sz w:val="24"/>
          <w:szCs w:val="24"/>
        </w:rPr>
        <w:t>i</w:t>
      </w:r>
      <w:proofErr w:type="spellEnd"/>
      <w:r w:rsidRPr="006B465A">
        <w:rPr>
          <w:rFonts w:cs="Arial"/>
          <w:sz w:val="24"/>
          <w:szCs w:val="24"/>
        </w:rPr>
        <w:t>]n the war on terror, every Muslim is infected with a dormant virus and must offer an immunisation record; a reassurance that the strain of Muslimness they contain is safe.’</w:t>
      </w:r>
      <w:r w:rsidRPr="006B465A">
        <w:rPr>
          <w:rStyle w:val="FootnoteReference"/>
          <w:rFonts w:cs="Arial"/>
          <w:sz w:val="24"/>
          <w:szCs w:val="24"/>
        </w:rPr>
        <w:footnoteReference w:id="5"/>
      </w:r>
      <w:r w:rsidRPr="006B465A">
        <w:rPr>
          <w:rFonts w:cs="Arial"/>
          <w:sz w:val="24"/>
          <w:szCs w:val="24"/>
        </w:rPr>
        <w:t xml:space="preserve"> This view is reinforced by the statements</w:t>
      </w:r>
      <w:r w:rsidRPr="006B465A">
        <w:rPr>
          <w:rStyle w:val="FootnoteReference"/>
          <w:rFonts w:cs="Arial"/>
          <w:sz w:val="24"/>
          <w:szCs w:val="24"/>
        </w:rPr>
        <w:footnoteReference w:id="6"/>
      </w:r>
      <w:r w:rsidRPr="006B465A">
        <w:rPr>
          <w:rFonts w:cs="Arial"/>
          <w:sz w:val="24"/>
          <w:szCs w:val="24"/>
        </w:rPr>
        <w:t xml:space="preserve"> and actions of some politicians, such as the letter sent by the Secretary of State for Communities to mosques in Britain after the Charlie Hebdo attacks in France, focusing on the important role of mosques in challenging extremism.</w:t>
      </w:r>
      <w:r w:rsidRPr="006B465A">
        <w:rPr>
          <w:rStyle w:val="FootnoteReference"/>
          <w:rFonts w:cs="Arial"/>
          <w:sz w:val="24"/>
          <w:szCs w:val="24"/>
        </w:rPr>
        <w:footnoteReference w:id="7"/>
      </w:r>
      <w:r w:rsidRPr="006B465A">
        <w:rPr>
          <w:rFonts w:cs="Arial"/>
          <w:sz w:val="24"/>
          <w:szCs w:val="24"/>
        </w:rPr>
        <w:t xml:space="preserve"> Critics say that this placed collective responsibility on Muslims for terrorist acts, while far-right attacks were seen as individual rather than communal acts.</w:t>
      </w:r>
      <w:r w:rsidRPr="006B465A">
        <w:rPr>
          <w:rStyle w:val="FootnoteReference"/>
          <w:rFonts w:cs="Arial"/>
          <w:sz w:val="24"/>
          <w:szCs w:val="24"/>
        </w:rPr>
        <w:footnoteReference w:id="8"/>
      </w:r>
      <w:r w:rsidRPr="006B465A">
        <w:rPr>
          <w:rStyle w:val="FootnoteReference"/>
          <w:rFonts w:cs="Arial"/>
          <w:sz w:val="24"/>
          <w:szCs w:val="24"/>
        </w:rPr>
        <w:t xml:space="preserve"> </w:t>
      </w:r>
    </w:p>
    <w:p w14:paraId="01381BF1" w14:textId="77777777" w:rsidR="00C70494" w:rsidRPr="006B465A" w:rsidRDefault="00C70494" w:rsidP="00C70494">
      <w:pPr>
        <w:jc w:val="both"/>
        <w:rPr>
          <w:rFonts w:cs="Arial"/>
          <w:sz w:val="24"/>
          <w:szCs w:val="24"/>
        </w:rPr>
      </w:pPr>
      <w:r w:rsidRPr="006B465A">
        <w:rPr>
          <w:rFonts w:cs="Arial"/>
          <w:sz w:val="24"/>
          <w:szCs w:val="24"/>
        </w:rPr>
        <w:t xml:space="preserve">The government recognised the need for the police and the Home Office to monitor </w:t>
      </w:r>
      <w:proofErr w:type="spellStart"/>
      <w:r w:rsidRPr="006B465A">
        <w:rPr>
          <w:rFonts w:cs="Arial"/>
          <w:sz w:val="24"/>
          <w:szCs w:val="24"/>
        </w:rPr>
        <w:t>Prevent’s</w:t>
      </w:r>
      <w:proofErr w:type="spellEnd"/>
      <w:r w:rsidRPr="006B465A">
        <w:rPr>
          <w:rFonts w:cs="Arial"/>
          <w:sz w:val="24"/>
          <w:szCs w:val="24"/>
        </w:rPr>
        <w:t xml:space="preserve"> impact on different racial and religious groups closely.</w:t>
      </w:r>
      <w:r w:rsidRPr="006B465A">
        <w:rPr>
          <w:rStyle w:val="FootnoteReference"/>
          <w:rFonts w:cs="Arial"/>
          <w:sz w:val="24"/>
          <w:szCs w:val="24"/>
        </w:rPr>
        <w:footnoteReference w:id="9"/>
      </w:r>
      <w:r w:rsidRPr="006B465A">
        <w:rPr>
          <w:rFonts w:cs="Arial"/>
          <w:sz w:val="24"/>
          <w:szCs w:val="24"/>
        </w:rPr>
        <w:t xml:space="preserve"> However, it chose not </w:t>
      </w:r>
      <w:r w:rsidRPr="006B465A">
        <w:rPr>
          <w:rFonts w:cs="Arial"/>
          <w:sz w:val="24"/>
          <w:szCs w:val="24"/>
        </w:rPr>
        <w:lastRenderedPageBreak/>
        <w:t>to record such data systematically and resisted publication of any partial data on race and ethnicity, arguing that publication could deter individuals from engaging with Prevent.</w:t>
      </w:r>
      <w:r w:rsidRPr="006B465A">
        <w:rPr>
          <w:rStyle w:val="FootnoteReference"/>
          <w:rFonts w:cs="Arial"/>
          <w:sz w:val="24"/>
          <w:szCs w:val="24"/>
        </w:rPr>
        <w:footnoteReference w:id="10"/>
      </w:r>
      <w:r w:rsidRPr="006B465A">
        <w:rPr>
          <w:rFonts w:cs="Arial"/>
          <w:sz w:val="24"/>
          <w:szCs w:val="24"/>
        </w:rPr>
        <w:t xml:space="preserve"> The collection and publication of data on race and religion, while sensitive, is important for transparency and identifying discrimination. The introduction of the single Prevent national referral form in 2024 will provide more robust and consistent equality data and it should allow for a better understanding of </w:t>
      </w:r>
      <w:proofErr w:type="spellStart"/>
      <w:r w:rsidRPr="006B465A">
        <w:rPr>
          <w:rFonts w:cs="Arial"/>
          <w:sz w:val="24"/>
          <w:szCs w:val="24"/>
        </w:rPr>
        <w:t>Prevent’s</w:t>
      </w:r>
      <w:proofErr w:type="spellEnd"/>
      <w:r w:rsidRPr="006B465A">
        <w:rPr>
          <w:rFonts w:cs="Arial"/>
          <w:sz w:val="24"/>
          <w:szCs w:val="24"/>
        </w:rPr>
        <w:t xml:space="preserve"> impact on groups by religion and ethnicity. This is still not a complete picture, however, as it does not cover cases that do not reach the point of a formal referral. </w:t>
      </w:r>
    </w:p>
    <w:p w14:paraId="60949443" w14:textId="128B258B" w:rsidR="00C70494" w:rsidRPr="006B465A" w:rsidRDefault="00C70494" w:rsidP="00C70494">
      <w:pPr>
        <w:jc w:val="both"/>
        <w:rPr>
          <w:rFonts w:cs="Arial"/>
          <w:sz w:val="24"/>
          <w:szCs w:val="24"/>
        </w:rPr>
      </w:pPr>
      <w:r w:rsidRPr="006B465A">
        <w:rPr>
          <w:rFonts w:cs="Arial"/>
          <w:sz w:val="24"/>
          <w:szCs w:val="24"/>
        </w:rPr>
        <w:t>Under the Prevent duty, workers in specified authorities are required to monitor individuals for signs of extremism. This duty has been criticised for institutionalising racialised surveillance of Muslims,</w:t>
      </w:r>
      <w:r w:rsidRPr="006B465A">
        <w:rPr>
          <w:rStyle w:val="FootnoteReference"/>
          <w:rFonts w:cs="Arial"/>
          <w:sz w:val="24"/>
          <w:szCs w:val="24"/>
        </w:rPr>
        <w:footnoteReference w:id="11"/>
      </w:r>
      <w:r w:rsidRPr="006B465A">
        <w:rPr>
          <w:rFonts w:cs="Arial"/>
          <w:sz w:val="24"/>
          <w:szCs w:val="24"/>
        </w:rPr>
        <w:t xml:space="preserve"> as it encourages suspicion of views and actions that differ from the mainstream or are unfamiliar to frontline professionals.</w:t>
      </w:r>
      <w:bookmarkStart w:id="2" w:name="_Ref211126163"/>
      <w:r w:rsidRPr="006B465A">
        <w:rPr>
          <w:rStyle w:val="FootnoteReference"/>
          <w:rFonts w:cs="Arial"/>
          <w:sz w:val="24"/>
          <w:szCs w:val="24"/>
        </w:rPr>
        <w:footnoteReference w:id="12"/>
      </w:r>
      <w:bookmarkEnd w:id="2"/>
      <w:r w:rsidRPr="006B465A">
        <w:rPr>
          <w:rFonts w:cs="Arial"/>
          <w:sz w:val="24"/>
          <w:szCs w:val="24"/>
        </w:rPr>
        <w:t xml:space="preserve"> Disagreements over the racialised impact of Prevent can be seen in the interpretation of referral data, with discussions often using 'Islamist' as a proxy for referral of Muslims. Those who dispute claims that Prevent targets Muslims highlight the decrease between 2016 and 2024 in Islamist referrals (from 61 per cent to 13 per cent of the total) and the rise in XRW and MUU referrals.</w:t>
      </w:r>
      <w:r w:rsidRPr="006B465A">
        <w:rPr>
          <w:rStyle w:val="FootnoteReference"/>
          <w:rFonts w:cs="Arial"/>
          <w:sz w:val="24"/>
          <w:szCs w:val="24"/>
        </w:rPr>
        <w:footnoteReference w:id="13"/>
      </w:r>
      <w:r w:rsidRPr="006B465A">
        <w:rPr>
          <w:rFonts w:cs="Arial"/>
          <w:sz w:val="24"/>
          <w:szCs w:val="24"/>
        </w:rPr>
        <w:t xml:space="preserve"> </w:t>
      </w:r>
    </w:p>
    <w:p w14:paraId="3F08B285" w14:textId="77777777" w:rsidR="00C70494" w:rsidRPr="006B465A" w:rsidRDefault="00C70494" w:rsidP="00C70494">
      <w:pPr>
        <w:jc w:val="both"/>
        <w:rPr>
          <w:rFonts w:cs="Arial"/>
          <w:sz w:val="24"/>
          <w:szCs w:val="24"/>
        </w:rPr>
      </w:pPr>
      <w:r w:rsidRPr="006B465A">
        <w:rPr>
          <w:rFonts w:cs="Arial"/>
          <w:sz w:val="24"/>
          <w:szCs w:val="24"/>
        </w:rPr>
        <w:t>Those saying that Prevent is discriminatory argue that the decline in the number of Islamist referrals does not disprove claims of discrimination and note that the rate of referral still represents disproportionate targeting. While Muslims are 6.5 per cent of the population in England and Wales, they made up 27 per cent of all the Prevent referrals between 2016-2024.</w:t>
      </w:r>
      <w:r w:rsidRPr="006B465A">
        <w:rPr>
          <w:rStyle w:val="FootnoteReference"/>
          <w:rFonts w:cs="Arial"/>
          <w:sz w:val="24"/>
          <w:szCs w:val="24"/>
        </w:rPr>
        <w:footnoteReference w:id="14"/>
      </w:r>
      <w:r w:rsidRPr="006B465A">
        <w:rPr>
          <w:rFonts w:cs="Arial"/>
          <w:sz w:val="24"/>
          <w:szCs w:val="24"/>
        </w:rPr>
        <w:t xml:space="preserve"> Furthermore, analysis of Channel case adoption rates reveals stark disparities between the outcomes of Islamist and XRW referrals. Between 2016 and 2024, there were 13,897 Islamist referrals, resulting in 1,331 people receiving Channel support; in the same period, there were 10,323 XRW referrals, leading to 2,038 individuals receiving Channel support. Thus, for every Islamist extremist case receiving Channel support, there were 10 referrals. By contrast, for every XRW case adopted for Channel support, there were only 5 referrals. This either indicates a systemic bias favouring the adoption of XRW cases or discriminatory over-referral of Muslims by frontline practitioners. </w:t>
      </w:r>
    </w:p>
    <w:p w14:paraId="4BB57800" w14:textId="77777777" w:rsidR="00C70494" w:rsidRPr="006B465A" w:rsidRDefault="00C70494" w:rsidP="00C70494">
      <w:pPr>
        <w:jc w:val="both"/>
        <w:rPr>
          <w:rFonts w:cs="Arial"/>
          <w:sz w:val="24"/>
          <w:szCs w:val="24"/>
        </w:rPr>
      </w:pPr>
      <w:r w:rsidRPr="006B465A">
        <w:rPr>
          <w:rFonts w:cs="Arial"/>
          <w:sz w:val="24"/>
          <w:szCs w:val="24"/>
        </w:rPr>
        <w:lastRenderedPageBreak/>
        <w:t>Qualitative research provides evidence of discrimination, suggesting a system designed to over-report,</w:t>
      </w:r>
      <w:r w:rsidRPr="006B465A">
        <w:rPr>
          <w:rStyle w:val="FootnoteReference"/>
          <w:rFonts w:cs="Arial"/>
          <w:sz w:val="24"/>
          <w:szCs w:val="24"/>
        </w:rPr>
        <w:footnoteReference w:id="15"/>
      </w:r>
      <w:r w:rsidRPr="006B465A">
        <w:rPr>
          <w:rFonts w:cs="Arial"/>
          <w:sz w:val="24"/>
          <w:szCs w:val="24"/>
        </w:rPr>
        <w:t xml:space="preserve"> in which signs of Muslim religious observance are often flagged as suspicious,</w:t>
      </w:r>
      <w:r w:rsidRPr="006B465A">
        <w:rPr>
          <w:rStyle w:val="FootnoteReference"/>
          <w:rFonts w:cs="Arial"/>
          <w:sz w:val="24"/>
          <w:szCs w:val="24"/>
        </w:rPr>
        <w:footnoteReference w:id="16"/>
      </w:r>
      <w:r w:rsidRPr="006B465A">
        <w:rPr>
          <w:rFonts w:cs="Arial"/>
          <w:sz w:val="24"/>
          <w:szCs w:val="24"/>
        </w:rPr>
        <w:t xml:space="preserve"> and questions on religious beliefs and practices are asked in Prevent interviews.</w:t>
      </w:r>
      <w:r w:rsidRPr="006B465A">
        <w:rPr>
          <w:rStyle w:val="FootnoteReference"/>
          <w:rFonts w:cs="Arial"/>
          <w:sz w:val="24"/>
          <w:szCs w:val="24"/>
        </w:rPr>
        <w:footnoteReference w:id="17"/>
      </w:r>
      <w:r w:rsidRPr="006B465A">
        <w:rPr>
          <w:rFonts w:cs="Arial"/>
          <w:sz w:val="24"/>
          <w:szCs w:val="24"/>
        </w:rPr>
        <w:t xml:space="preserve"> Practitioners say the threshold for concern appears to be lower for Muslim children than for those expressing significant XRW views.</w:t>
      </w:r>
      <w:r w:rsidRPr="006B465A">
        <w:rPr>
          <w:rStyle w:val="FootnoteReference"/>
          <w:rFonts w:cs="Arial"/>
          <w:sz w:val="24"/>
          <w:szCs w:val="24"/>
        </w:rPr>
        <w:footnoteReference w:id="18"/>
      </w:r>
      <w:r w:rsidRPr="006B465A">
        <w:rPr>
          <w:rFonts w:cs="Arial"/>
          <w:sz w:val="24"/>
          <w:szCs w:val="24"/>
        </w:rPr>
        <w:t xml:space="preserve"> The Commission heard troubling examples of this. A refugee, volunteering with a charity as a mentor and advocate for other refugees, was told by a local Prevent team to report conservative religious behaviour, such as not shaking hands with the opposite sex, despite their attempts to explain that such behaviour was not concerning.</w:t>
      </w:r>
      <w:r w:rsidRPr="006B465A">
        <w:rPr>
          <w:rStyle w:val="FootnoteReference"/>
          <w:rFonts w:cs="Arial"/>
          <w:sz w:val="24"/>
          <w:szCs w:val="24"/>
        </w:rPr>
        <w:footnoteReference w:id="19"/>
      </w:r>
      <w:r w:rsidRPr="006B465A">
        <w:rPr>
          <w:rFonts w:cs="Arial"/>
          <w:sz w:val="24"/>
          <w:szCs w:val="24"/>
        </w:rPr>
        <w:t xml:space="preserve"> Another submission referenced an Ofsted report that included a case study as an example of effective staff training, which identified the discovery of a Qur'an hidden in a recent convert's bedroom as a potential sign of radicalisation.</w:t>
      </w:r>
      <w:r w:rsidRPr="006B465A">
        <w:rPr>
          <w:rStyle w:val="FootnoteReference"/>
          <w:rFonts w:cs="Arial"/>
          <w:sz w:val="24"/>
          <w:szCs w:val="24"/>
        </w:rPr>
        <w:footnoteReference w:id="20"/>
      </w:r>
      <w:r w:rsidRPr="006B465A">
        <w:rPr>
          <w:rFonts w:cs="Arial"/>
          <w:sz w:val="24"/>
          <w:szCs w:val="24"/>
        </w:rPr>
        <w:t xml:space="preserve"> Such examples show that even though ‘Islamist’ referrals have declined, many still rest on Islamophobic assumptions about religious beliefs and practices. Weaknesses in the VAF, which underpins the assessment of Channel referrals and Prevent training and places reliance on intuition, are argued to be ‘foundational in explaining how racial prejudice enters the picture’.</w:t>
      </w:r>
      <w:r w:rsidRPr="006B465A">
        <w:rPr>
          <w:rStyle w:val="FootnoteReference"/>
          <w:rFonts w:cs="Arial"/>
          <w:sz w:val="24"/>
          <w:szCs w:val="24"/>
        </w:rPr>
        <w:footnoteReference w:id="21"/>
      </w:r>
      <w:r w:rsidRPr="006B465A">
        <w:rPr>
          <w:rFonts w:cs="Arial"/>
          <w:sz w:val="24"/>
          <w:szCs w:val="24"/>
        </w:rPr>
        <w:t xml:space="preserve"> </w:t>
      </w:r>
    </w:p>
    <w:p w14:paraId="0BC9701F" w14:textId="77777777" w:rsidR="00C70494" w:rsidRPr="006B465A" w:rsidRDefault="00C70494" w:rsidP="00C70494">
      <w:pPr>
        <w:rPr>
          <w:rFonts w:cs="Arial"/>
          <w:b/>
          <w:bCs/>
          <w:sz w:val="24"/>
          <w:szCs w:val="24"/>
        </w:rPr>
      </w:pPr>
      <w:r w:rsidRPr="006B465A">
        <w:rPr>
          <w:rFonts w:cs="Arial"/>
          <w:b/>
          <w:bCs/>
          <w:sz w:val="24"/>
          <w:szCs w:val="24"/>
        </w:rPr>
        <w:t xml:space="preserve">Recommendation 31: Prevent policy must be grounded in rigorous evidence and research. This requires collecting and sharing clear, consistent and robust data (including equality data) needed to evaluate policies and interventions. </w:t>
      </w:r>
    </w:p>
    <w:p w14:paraId="43820C4B" w14:textId="77777777" w:rsidR="00F4418C" w:rsidRPr="007D1505" w:rsidRDefault="00F4418C">
      <w:pPr>
        <w:rPr>
          <w:rFonts w:cs="Arial"/>
        </w:rPr>
      </w:pPr>
    </w:p>
    <w:sectPr w:rsidR="00F4418C" w:rsidRPr="007D150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5D352" w14:textId="77777777" w:rsidR="00C70494" w:rsidRDefault="00C70494" w:rsidP="00C70494">
      <w:pPr>
        <w:spacing w:after="0" w:line="240" w:lineRule="auto"/>
      </w:pPr>
      <w:r>
        <w:separator/>
      </w:r>
    </w:p>
  </w:endnote>
  <w:endnote w:type="continuationSeparator" w:id="0">
    <w:p w14:paraId="50BFEAD2" w14:textId="77777777" w:rsidR="00C70494" w:rsidRDefault="00C70494" w:rsidP="00C70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2102500"/>
      <w:docPartObj>
        <w:docPartGallery w:val="Page Numbers (Bottom of Page)"/>
        <w:docPartUnique/>
      </w:docPartObj>
    </w:sdtPr>
    <w:sdtEndPr>
      <w:rPr>
        <w:noProof/>
      </w:rPr>
    </w:sdtEndPr>
    <w:sdtContent>
      <w:p w14:paraId="5C7A6B50" w14:textId="4F782C1C" w:rsidR="00117003" w:rsidRDefault="001170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3283D9" w14:textId="77777777" w:rsidR="00117003" w:rsidRDefault="001170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98077" w14:textId="77777777" w:rsidR="00C70494" w:rsidRDefault="00C70494" w:rsidP="00C70494">
      <w:pPr>
        <w:spacing w:after="0" w:line="240" w:lineRule="auto"/>
      </w:pPr>
      <w:r>
        <w:separator/>
      </w:r>
    </w:p>
  </w:footnote>
  <w:footnote w:type="continuationSeparator" w:id="0">
    <w:p w14:paraId="48DFB2B9" w14:textId="77777777" w:rsidR="00C70494" w:rsidRDefault="00C70494" w:rsidP="00C70494">
      <w:pPr>
        <w:spacing w:after="0" w:line="240" w:lineRule="auto"/>
      </w:pPr>
      <w:r>
        <w:continuationSeparator/>
      </w:r>
    </w:p>
  </w:footnote>
  <w:footnote w:id="1">
    <w:p w14:paraId="0204E123" w14:textId="6812BB68" w:rsidR="00A63A21" w:rsidRDefault="00A63A21" w:rsidP="00A63A21">
      <w:pPr>
        <w:pStyle w:val="FootnoteText"/>
      </w:pPr>
      <w:r>
        <w:rPr>
          <w:rStyle w:val="FootnoteReference"/>
        </w:rPr>
        <w:footnoteRef/>
      </w:r>
      <w:r>
        <w:t xml:space="preserve"> </w:t>
      </w:r>
      <w:r w:rsidR="00A20425">
        <w:t xml:space="preserve">Lord Anderson, </w:t>
      </w:r>
      <w:hyperlink r:id="rId1" w:history="1">
        <w:r w:rsidR="00A20425" w:rsidRPr="003B7BF1">
          <w:rPr>
            <w:rStyle w:val="Hyperlink"/>
          </w:rPr>
          <w:t>Lessons for Prevent</w:t>
        </w:r>
      </w:hyperlink>
      <w:r w:rsidR="00A20425">
        <w:t xml:space="preserve"> (July 2025); </w:t>
      </w:r>
      <w:r w:rsidR="000F0D20">
        <w:t xml:space="preserve">House of Commons, </w:t>
      </w:r>
      <w:r w:rsidR="00A20425">
        <w:t xml:space="preserve">Home Affairs Committee, </w:t>
      </w:r>
      <w:hyperlink r:id="rId2" w:history="1">
        <w:r w:rsidR="0089719A" w:rsidRPr="00790A85">
          <w:rPr>
            <w:rStyle w:val="Hyperlink"/>
          </w:rPr>
          <w:t>Combatting New Forms of Extremism</w:t>
        </w:r>
      </w:hyperlink>
      <w:r w:rsidR="007728CE">
        <w:t xml:space="preserve"> (HC-903, </w:t>
      </w:r>
      <w:r w:rsidR="000F0D20">
        <w:t>2026</w:t>
      </w:r>
      <w:r w:rsidR="007728CE">
        <w:t>)</w:t>
      </w:r>
      <w:r w:rsidR="001E0609">
        <w:t xml:space="preserve">. </w:t>
      </w:r>
      <w:r w:rsidR="0089719A">
        <w:t xml:space="preserve"> </w:t>
      </w:r>
      <w:r w:rsidR="00A20425">
        <w:t xml:space="preserve">  </w:t>
      </w:r>
    </w:p>
  </w:footnote>
  <w:footnote w:id="2">
    <w:p w14:paraId="49DEF9C0" w14:textId="77777777" w:rsidR="00C70494" w:rsidRPr="0058638D" w:rsidRDefault="00C70494" w:rsidP="00C70494">
      <w:pPr>
        <w:pStyle w:val="NoSpacing"/>
        <w:rPr>
          <w:rFonts w:ascii="Calibri" w:hAnsi="Calibri" w:cs="Calibri"/>
          <w:sz w:val="20"/>
          <w:szCs w:val="20"/>
        </w:rPr>
      </w:pPr>
      <w:r w:rsidRPr="0058638D">
        <w:rPr>
          <w:rStyle w:val="FootnoteReference"/>
          <w:rFonts w:ascii="Calibri" w:hAnsi="Calibri" w:cs="Calibri"/>
          <w:sz w:val="20"/>
          <w:szCs w:val="20"/>
        </w:rPr>
        <w:footnoteRef/>
      </w:r>
      <w:r w:rsidRPr="0058638D">
        <w:rPr>
          <w:rFonts w:ascii="Calibri" w:hAnsi="Calibri" w:cs="Calibri"/>
          <w:sz w:val="20"/>
          <w:szCs w:val="20"/>
        </w:rPr>
        <w:t xml:space="preserve"> National Indicator 35, Building Resilience on Violent Extremism. See Anna Turley, </w:t>
      </w:r>
      <w:r>
        <w:rPr>
          <w:rFonts w:ascii="Calibri" w:hAnsi="Calibri" w:cs="Calibri"/>
          <w:sz w:val="20"/>
          <w:szCs w:val="20"/>
        </w:rPr>
        <w:t>‘</w:t>
      </w:r>
      <w:r w:rsidRPr="00BB6F62">
        <w:rPr>
          <w:rFonts w:ascii="Calibri" w:hAnsi="Calibri" w:cs="Calibri"/>
          <w:sz w:val="20"/>
          <w:szCs w:val="20"/>
        </w:rPr>
        <w:t>Stronger Together: A New Approach to Preventing Violent Extremism</w:t>
      </w:r>
      <w:r>
        <w:rPr>
          <w:rFonts w:ascii="Calibri" w:hAnsi="Calibri" w:cs="Calibri"/>
          <w:sz w:val="20"/>
          <w:szCs w:val="20"/>
        </w:rPr>
        <w:t>’</w:t>
      </w:r>
      <w:r w:rsidRPr="0058638D">
        <w:rPr>
          <w:rFonts w:ascii="Calibri" w:hAnsi="Calibri" w:cs="Calibri"/>
          <w:sz w:val="20"/>
          <w:szCs w:val="20"/>
        </w:rPr>
        <w:t xml:space="preserve"> (New Local Government Network 2009).</w:t>
      </w:r>
    </w:p>
  </w:footnote>
  <w:footnote w:id="3">
    <w:p w14:paraId="0A202633" w14:textId="77777777" w:rsidR="00C70494" w:rsidRPr="0058638D" w:rsidRDefault="00C70494" w:rsidP="00C70494">
      <w:pPr>
        <w:pStyle w:val="FootnoteText"/>
        <w:rPr>
          <w:rFonts w:ascii="Calibri" w:hAnsi="Calibri" w:cs="Calibri"/>
        </w:rPr>
      </w:pPr>
      <w:r w:rsidRPr="0058638D">
        <w:rPr>
          <w:rStyle w:val="FootnoteReference"/>
          <w:rFonts w:ascii="Calibri" w:hAnsi="Calibri" w:cs="Calibri"/>
        </w:rPr>
        <w:footnoteRef/>
      </w:r>
      <w:r w:rsidRPr="0058638D">
        <w:rPr>
          <w:rFonts w:ascii="Calibri" w:hAnsi="Calibri" w:cs="Calibri"/>
        </w:rPr>
        <w:t xml:space="preserve"> Katherine E Brown, ‘Introduction: Radicalisation and Securitisation of Muslims in Europe’ </w:t>
      </w:r>
      <w:r w:rsidRPr="0058638D">
        <w:rPr>
          <w:rFonts w:ascii="Calibri" w:eastAsia="Aptos" w:hAnsi="Calibri" w:cs="Calibri"/>
        </w:rPr>
        <w:t>(2018)</w:t>
      </w:r>
      <w:r w:rsidRPr="0058638D">
        <w:rPr>
          <w:rFonts w:ascii="Calibri" w:hAnsi="Calibri" w:cs="Calibri"/>
        </w:rPr>
        <w:t xml:space="preserve"> 7 </w:t>
      </w:r>
      <w:r w:rsidRPr="00C350D5">
        <w:rPr>
          <w:rFonts w:ascii="Calibri" w:hAnsi="Calibri" w:cs="Calibri"/>
        </w:rPr>
        <w:t>Journal of Muslims in Europe</w:t>
      </w:r>
      <w:r w:rsidRPr="0058638D">
        <w:rPr>
          <w:rFonts w:ascii="Calibri" w:hAnsi="Calibri" w:cs="Calibri"/>
        </w:rPr>
        <w:t xml:space="preserve"> 139.</w:t>
      </w:r>
    </w:p>
  </w:footnote>
  <w:footnote w:id="4">
    <w:p w14:paraId="0E663824" w14:textId="77777777" w:rsidR="00C70494" w:rsidRPr="0058638D" w:rsidRDefault="00C70494" w:rsidP="00C70494">
      <w:pPr>
        <w:pStyle w:val="FootnoteText"/>
        <w:rPr>
          <w:rFonts w:ascii="Calibri" w:hAnsi="Calibri" w:cs="Calibri"/>
        </w:rPr>
      </w:pPr>
      <w:r w:rsidRPr="0058638D">
        <w:rPr>
          <w:rStyle w:val="FootnoteReference"/>
          <w:rFonts w:ascii="Calibri" w:hAnsi="Calibri" w:cs="Calibri"/>
        </w:rPr>
        <w:footnoteRef/>
      </w:r>
      <w:r w:rsidRPr="0058638D">
        <w:rPr>
          <w:rFonts w:ascii="Calibri" w:hAnsi="Calibri" w:cs="Calibri"/>
        </w:rPr>
        <w:t xml:space="preserve"> Katerine Brown, ‘Gender and Counter-radicalisation: women and the emerging </w:t>
      </w:r>
      <w:r>
        <w:rPr>
          <w:rFonts w:ascii="Calibri" w:hAnsi="Calibri" w:cs="Calibri"/>
        </w:rPr>
        <w:t>Counter-terror</w:t>
      </w:r>
      <w:r w:rsidRPr="0058638D">
        <w:rPr>
          <w:rFonts w:ascii="Calibri" w:hAnsi="Calibri" w:cs="Calibri"/>
        </w:rPr>
        <w:t xml:space="preserve"> measure’ in Margaret Satterthwaite and Jayne Huckerby (eds.) </w:t>
      </w:r>
      <w:r w:rsidRPr="0058638D">
        <w:rPr>
          <w:rFonts w:ascii="Calibri" w:hAnsi="Calibri" w:cs="Calibri"/>
          <w:i/>
          <w:iCs/>
        </w:rPr>
        <w:t>Gender, Counter-Terrorism and National Security: Human Rights Perspectives</w:t>
      </w:r>
      <w:r w:rsidRPr="0058638D">
        <w:rPr>
          <w:rFonts w:ascii="Calibri" w:hAnsi="Calibri" w:cs="Calibri"/>
        </w:rPr>
        <w:t xml:space="preserve"> (Routledge 2013). </w:t>
      </w:r>
    </w:p>
  </w:footnote>
  <w:footnote w:id="5">
    <w:p w14:paraId="028466BE" w14:textId="77777777" w:rsidR="00C70494" w:rsidRPr="0058638D" w:rsidRDefault="00C70494" w:rsidP="00C70494">
      <w:pPr>
        <w:pStyle w:val="FootnoteText"/>
        <w:rPr>
          <w:rFonts w:ascii="Calibri" w:hAnsi="Calibri" w:cs="Calibri"/>
        </w:rPr>
      </w:pPr>
      <w:r w:rsidRPr="0058638D">
        <w:rPr>
          <w:rStyle w:val="FootnoteReference"/>
          <w:rFonts w:ascii="Calibri" w:hAnsi="Calibri" w:cs="Calibri"/>
        </w:rPr>
        <w:footnoteRef/>
      </w:r>
      <w:r w:rsidRPr="0058638D">
        <w:rPr>
          <w:rFonts w:ascii="Calibri" w:hAnsi="Calibri" w:cs="Calibri"/>
        </w:rPr>
        <w:t xml:space="preserve"> Randa Abdel-Fattah, ‘Managing Belief and Speech as Incipient Violence: </w:t>
      </w:r>
      <w:r>
        <w:rPr>
          <w:rFonts w:ascii="Calibri" w:hAnsi="Calibri" w:cs="Calibri"/>
        </w:rPr>
        <w:t>“</w:t>
      </w:r>
      <w:r w:rsidRPr="0058638D">
        <w:rPr>
          <w:rFonts w:ascii="Calibri" w:hAnsi="Calibri" w:cs="Calibri"/>
        </w:rPr>
        <w:t>I’m Giving you the Opportunity to Say that you Aren’t</w:t>
      </w:r>
      <w:r>
        <w:rPr>
          <w:rFonts w:ascii="Calibri" w:hAnsi="Calibri" w:cs="Calibri"/>
        </w:rPr>
        <w:t>”</w:t>
      </w:r>
      <w:r w:rsidRPr="0058638D">
        <w:rPr>
          <w:rFonts w:ascii="Calibri" w:hAnsi="Calibri" w:cs="Calibri"/>
        </w:rPr>
        <w:t xml:space="preserve">’ (2019) 14 </w:t>
      </w:r>
      <w:r w:rsidRPr="00732682">
        <w:rPr>
          <w:rFonts w:ascii="Calibri" w:hAnsi="Calibri" w:cs="Calibri"/>
        </w:rPr>
        <w:t>Journal of Policing, Intelligence and Counter Terrorism</w:t>
      </w:r>
      <w:r w:rsidRPr="0058638D">
        <w:rPr>
          <w:rFonts w:ascii="Calibri" w:hAnsi="Calibri" w:cs="Calibri"/>
        </w:rPr>
        <w:t xml:space="preserve"> 20, 21.</w:t>
      </w:r>
    </w:p>
  </w:footnote>
  <w:footnote w:id="6">
    <w:p w14:paraId="2C663A33" w14:textId="77777777" w:rsidR="00C70494" w:rsidRPr="0058638D" w:rsidRDefault="00C70494" w:rsidP="00C70494">
      <w:pPr>
        <w:pStyle w:val="FootnoteText"/>
        <w:rPr>
          <w:rFonts w:ascii="Calibri" w:hAnsi="Calibri" w:cs="Calibri"/>
        </w:rPr>
      </w:pPr>
      <w:r w:rsidRPr="0058638D">
        <w:rPr>
          <w:rStyle w:val="FootnoteReference"/>
          <w:rFonts w:ascii="Calibri" w:hAnsi="Calibri" w:cs="Calibri"/>
        </w:rPr>
        <w:footnoteRef/>
      </w:r>
      <w:r w:rsidRPr="0058638D">
        <w:rPr>
          <w:rFonts w:ascii="Calibri" w:hAnsi="Calibri" w:cs="Calibri"/>
        </w:rPr>
        <w:t xml:space="preserve"> See, for example</w:t>
      </w:r>
      <w:r>
        <w:rPr>
          <w:rFonts w:ascii="Calibri" w:hAnsi="Calibri" w:cs="Calibri"/>
        </w:rPr>
        <w:t>,</w:t>
      </w:r>
      <w:r w:rsidRPr="0058638D">
        <w:rPr>
          <w:rFonts w:ascii="Calibri" w:hAnsi="Calibri" w:cs="Calibri"/>
        </w:rPr>
        <w:t xml:space="preserve"> BBC News, 'Muslims </w:t>
      </w:r>
      <w:r>
        <w:rPr>
          <w:rFonts w:ascii="Calibri" w:hAnsi="Calibri" w:cs="Calibri"/>
        </w:rPr>
        <w:t>“</w:t>
      </w:r>
      <w:r w:rsidRPr="0058638D">
        <w:rPr>
          <w:rFonts w:ascii="Calibri" w:hAnsi="Calibri" w:cs="Calibri"/>
        </w:rPr>
        <w:t>Must Root Out Extremism</w:t>
      </w:r>
      <w:r>
        <w:rPr>
          <w:rFonts w:ascii="Calibri" w:hAnsi="Calibri" w:cs="Calibri"/>
        </w:rPr>
        <w:t>”’</w:t>
      </w:r>
      <w:r w:rsidRPr="0058638D">
        <w:rPr>
          <w:rFonts w:ascii="Calibri" w:hAnsi="Calibri" w:cs="Calibri"/>
        </w:rPr>
        <w:t xml:space="preserve"> (4 July 2006) </w:t>
      </w:r>
      <w:r>
        <w:rPr>
          <w:rFonts w:ascii="Calibri" w:hAnsi="Calibri" w:cs="Calibri"/>
        </w:rPr>
        <w:t>&lt;</w:t>
      </w:r>
      <w:hyperlink r:id="rId3" w:history="1">
        <w:r w:rsidRPr="00F06AF4">
          <w:rPr>
            <w:rStyle w:val="Hyperlink"/>
            <w:rFonts w:ascii="Calibri" w:hAnsi="Calibri" w:cs="Calibri"/>
          </w:rPr>
          <w:t>http://news.bbc.co.uk/2/hi/5144438.stm</w:t>
        </w:r>
      </w:hyperlink>
      <w:r>
        <w:rPr>
          <w:rFonts w:ascii="Calibri" w:hAnsi="Calibri" w:cs="Calibri"/>
        </w:rPr>
        <w:t>&gt;</w:t>
      </w:r>
      <w:r w:rsidRPr="0058638D">
        <w:rPr>
          <w:rFonts w:ascii="Calibri" w:hAnsi="Calibri" w:cs="Calibri"/>
        </w:rPr>
        <w:t xml:space="preserve"> </w:t>
      </w:r>
      <w:r w:rsidRPr="0058638D">
        <w:rPr>
          <w:rFonts w:ascii="Calibri" w:eastAsia="Aptos" w:hAnsi="Calibri" w:cs="Calibri"/>
        </w:rPr>
        <w:t>accessed 10 October 2024</w:t>
      </w:r>
      <w:r>
        <w:rPr>
          <w:rFonts w:ascii="Calibri" w:eastAsia="Aptos" w:hAnsi="Calibri" w:cs="Calibri"/>
        </w:rPr>
        <w:t>.</w:t>
      </w:r>
    </w:p>
  </w:footnote>
  <w:footnote w:id="7">
    <w:p w14:paraId="68D392B0" w14:textId="77777777" w:rsidR="00C70494" w:rsidRPr="0058638D" w:rsidRDefault="00C70494" w:rsidP="00C70494">
      <w:pPr>
        <w:pStyle w:val="NoSpacing"/>
        <w:rPr>
          <w:rFonts w:ascii="Calibri" w:hAnsi="Calibri" w:cs="Calibri"/>
          <w:sz w:val="20"/>
          <w:szCs w:val="20"/>
        </w:rPr>
      </w:pPr>
      <w:r w:rsidRPr="0058638D">
        <w:rPr>
          <w:rStyle w:val="FootnoteReference"/>
          <w:rFonts w:ascii="Calibri" w:hAnsi="Calibri" w:cs="Calibri"/>
          <w:sz w:val="20"/>
          <w:szCs w:val="20"/>
        </w:rPr>
        <w:footnoteRef/>
      </w:r>
      <w:r w:rsidRPr="0058638D">
        <w:rPr>
          <w:rFonts w:ascii="Calibri" w:hAnsi="Calibri" w:cs="Calibri"/>
          <w:sz w:val="20"/>
          <w:szCs w:val="20"/>
        </w:rPr>
        <w:t xml:space="preserve"> Department for Communities and Local Government, </w:t>
      </w:r>
      <w:r>
        <w:rPr>
          <w:rFonts w:ascii="Calibri" w:hAnsi="Calibri" w:cs="Calibri"/>
          <w:sz w:val="20"/>
          <w:szCs w:val="20"/>
        </w:rPr>
        <w:t>‘</w:t>
      </w:r>
      <w:r w:rsidRPr="0058638D">
        <w:rPr>
          <w:rFonts w:ascii="Calibri" w:hAnsi="Calibri" w:cs="Calibri"/>
          <w:sz w:val="20"/>
          <w:szCs w:val="20"/>
        </w:rPr>
        <w:t>Letter to Muslim faith leaders</w:t>
      </w:r>
      <w:r>
        <w:rPr>
          <w:rFonts w:ascii="Calibri" w:hAnsi="Calibri" w:cs="Calibri"/>
          <w:sz w:val="20"/>
          <w:szCs w:val="20"/>
        </w:rPr>
        <w:t>’</w:t>
      </w:r>
      <w:r w:rsidRPr="0058638D">
        <w:rPr>
          <w:rFonts w:ascii="Calibri" w:hAnsi="Calibri" w:cs="Calibri"/>
          <w:sz w:val="20"/>
          <w:szCs w:val="20"/>
        </w:rPr>
        <w:t xml:space="preserve"> </w:t>
      </w:r>
      <w:r w:rsidRPr="0058638D">
        <w:rPr>
          <w:rFonts w:ascii="Calibri" w:eastAsia="Aptos" w:hAnsi="Calibri" w:cs="Calibri"/>
          <w:sz w:val="20"/>
          <w:szCs w:val="20"/>
        </w:rPr>
        <w:t>(18 January 2015)</w:t>
      </w:r>
      <w:r w:rsidRPr="0058638D">
        <w:rPr>
          <w:rFonts w:ascii="Calibri" w:hAnsi="Calibri" w:cs="Calibri"/>
          <w:sz w:val="20"/>
          <w:szCs w:val="20"/>
        </w:rPr>
        <w:t xml:space="preserve"> </w:t>
      </w:r>
      <w:r>
        <w:rPr>
          <w:rFonts w:ascii="Calibri" w:hAnsi="Calibri" w:cs="Calibri"/>
          <w:sz w:val="20"/>
          <w:szCs w:val="20"/>
        </w:rPr>
        <w:t>&lt;</w:t>
      </w:r>
      <w:hyperlink r:id="rId4" w:history="1">
        <w:r w:rsidRPr="00F06AF4">
          <w:rPr>
            <w:rStyle w:val="Hyperlink"/>
            <w:rFonts w:ascii="Calibri" w:hAnsi="Calibri" w:cs="Calibri"/>
            <w:sz w:val="20"/>
            <w:szCs w:val="20"/>
          </w:rPr>
          <w:t xml:space="preserve">https://www.gov.uk/government/publications/terrorist-attacks-in-paris&gt; </w:t>
        </w:r>
      </w:hyperlink>
      <w:r w:rsidRPr="0058638D">
        <w:rPr>
          <w:rFonts w:ascii="Calibri" w:eastAsia="Aptos" w:hAnsi="Calibri" w:cs="Calibri"/>
          <w:sz w:val="20"/>
          <w:szCs w:val="20"/>
        </w:rPr>
        <w:t>accessed 10 October 2024</w:t>
      </w:r>
      <w:r>
        <w:rPr>
          <w:rFonts w:ascii="Calibri" w:eastAsia="Aptos" w:hAnsi="Calibri" w:cs="Calibri"/>
          <w:sz w:val="20"/>
          <w:szCs w:val="20"/>
        </w:rPr>
        <w:t>.</w:t>
      </w:r>
    </w:p>
  </w:footnote>
  <w:footnote w:id="8">
    <w:p w14:paraId="17AF6AD1" w14:textId="77777777" w:rsidR="00C70494" w:rsidRPr="0058638D" w:rsidRDefault="00C70494" w:rsidP="00C70494">
      <w:pPr>
        <w:pStyle w:val="NoSpacing"/>
        <w:rPr>
          <w:rFonts w:ascii="Calibri" w:hAnsi="Calibri" w:cs="Calibri"/>
          <w:sz w:val="20"/>
          <w:szCs w:val="20"/>
        </w:rPr>
      </w:pPr>
      <w:r w:rsidRPr="0058638D">
        <w:rPr>
          <w:rStyle w:val="FootnoteReference"/>
          <w:rFonts w:ascii="Calibri" w:hAnsi="Calibri" w:cs="Calibri"/>
          <w:sz w:val="20"/>
          <w:szCs w:val="20"/>
        </w:rPr>
        <w:footnoteRef/>
      </w:r>
      <w:r w:rsidRPr="0058638D">
        <w:rPr>
          <w:rFonts w:ascii="Calibri" w:hAnsi="Calibri" w:cs="Calibri"/>
          <w:sz w:val="20"/>
          <w:szCs w:val="20"/>
        </w:rPr>
        <w:t xml:space="preserve"> Evidence submissions</w:t>
      </w:r>
      <w:r>
        <w:rPr>
          <w:rFonts w:ascii="Calibri" w:hAnsi="Calibri" w:cs="Calibri"/>
          <w:sz w:val="20"/>
          <w:szCs w:val="20"/>
        </w:rPr>
        <w:t>:</w:t>
      </w:r>
      <w:r w:rsidRPr="0058638D">
        <w:rPr>
          <w:rFonts w:ascii="Calibri" w:hAnsi="Calibri" w:cs="Calibri"/>
          <w:sz w:val="20"/>
          <w:szCs w:val="20"/>
        </w:rPr>
        <w:t xml:space="preserve"> Dr Madeline-Sophie Abbas</w:t>
      </w:r>
      <w:r>
        <w:rPr>
          <w:rFonts w:ascii="Calibri" w:hAnsi="Calibri" w:cs="Calibri"/>
          <w:sz w:val="20"/>
          <w:szCs w:val="20"/>
        </w:rPr>
        <w:t>,</w:t>
      </w:r>
      <w:r w:rsidRPr="0058638D">
        <w:rPr>
          <w:rFonts w:ascii="Calibri" w:hAnsi="Calibri" w:cs="Calibri"/>
          <w:sz w:val="20"/>
          <w:szCs w:val="20"/>
        </w:rPr>
        <w:t xml:space="preserve"> and Dr Tara Lai Quinlan. See also Nadiya Ali, </w:t>
      </w:r>
      <w:r w:rsidRPr="0058638D">
        <w:rPr>
          <w:rFonts w:ascii="Calibri" w:hAnsi="Calibri" w:cs="Calibri"/>
          <w:i/>
          <w:iCs/>
          <w:sz w:val="20"/>
          <w:szCs w:val="20"/>
        </w:rPr>
        <w:t>The Violence of Britishness: Racism, Borders and the Condition of Citizenship</w:t>
      </w:r>
      <w:r w:rsidRPr="0058638D">
        <w:rPr>
          <w:rFonts w:ascii="Calibri" w:hAnsi="Calibri" w:cs="Calibri"/>
          <w:sz w:val="20"/>
          <w:szCs w:val="20"/>
        </w:rPr>
        <w:t xml:space="preserve"> (Pluto Press</w:t>
      </w:r>
      <w:r>
        <w:rPr>
          <w:rFonts w:ascii="Calibri" w:hAnsi="Calibri" w:cs="Calibri"/>
          <w:sz w:val="20"/>
          <w:szCs w:val="20"/>
        </w:rPr>
        <w:t xml:space="preserve"> </w:t>
      </w:r>
      <w:r w:rsidRPr="0058638D">
        <w:rPr>
          <w:rFonts w:ascii="Calibri" w:hAnsi="Calibri" w:cs="Calibri"/>
          <w:sz w:val="20"/>
          <w:szCs w:val="20"/>
        </w:rPr>
        <w:t>2023)</w:t>
      </w:r>
      <w:r>
        <w:rPr>
          <w:rFonts w:ascii="Calibri" w:hAnsi="Calibri" w:cs="Calibri"/>
          <w:sz w:val="20"/>
          <w:szCs w:val="20"/>
        </w:rPr>
        <w:t>.</w:t>
      </w:r>
    </w:p>
  </w:footnote>
  <w:footnote w:id="9">
    <w:p w14:paraId="3FA19796" w14:textId="77777777" w:rsidR="00C70494" w:rsidRPr="0058638D" w:rsidRDefault="00C70494" w:rsidP="00C70494">
      <w:pPr>
        <w:pStyle w:val="FootnoteText"/>
        <w:rPr>
          <w:rFonts w:ascii="Calibri" w:hAnsi="Calibri" w:cs="Calibri"/>
        </w:rPr>
      </w:pPr>
      <w:r w:rsidRPr="0058638D">
        <w:rPr>
          <w:rStyle w:val="FootnoteReference"/>
          <w:rFonts w:ascii="Calibri" w:hAnsi="Calibri" w:cs="Calibri"/>
        </w:rPr>
        <w:footnoteRef/>
      </w:r>
      <w:r w:rsidRPr="0058638D">
        <w:rPr>
          <w:rFonts w:ascii="Calibri" w:hAnsi="Calibri" w:cs="Calibri"/>
        </w:rPr>
        <w:t xml:space="preserve"> HM Government, </w:t>
      </w:r>
      <w:r>
        <w:rPr>
          <w:rFonts w:ascii="Calibri" w:hAnsi="Calibri" w:cs="Calibri"/>
        </w:rPr>
        <w:t>‘</w:t>
      </w:r>
      <w:r w:rsidRPr="0058638D">
        <w:rPr>
          <w:rFonts w:ascii="Calibri" w:hAnsi="Calibri" w:cs="Calibri"/>
        </w:rPr>
        <w:t>The Prevent Strategy: Equality Impact Assessment</w:t>
      </w:r>
      <w:r>
        <w:rPr>
          <w:rFonts w:ascii="Calibri" w:hAnsi="Calibri" w:cs="Calibri"/>
        </w:rPr>
        <w:t>’</w:t>
      </w:r>
      <w:r w:rsidRPr="0058638D">
        <w:rPr>
          <w:rFonts w:ascii="Calibri" w:hAnsi="Calibri" w:cs="Calibri"/>
        </w:rPr>
        <w:t xml:space="preserve"> (2011) 12. </w:t>
      </w:r>
    </w:p>
  </w:footnote>
  <w:footnote w:id="10">
    <w:p w14:paraId="35413028" w14:textId="77777777" w:rsidR="00C70494" w:rsidRPr="0058638D" w:rsidRDefault="00C70494" w:rsidP="00C70494">
      <w:pPr>
        <w:pStyle w:val="FootnoteText"/>
        <w:rPr>
          <w:rFonts w:ascii="Calibri" w:hAnsi="Calibri" w:cs="Calibri"/>
        </w:rPr>
      </w:pPr>
      <w:r w:rsidRPr="0058638D">
        <w:rPr>
          <w:rStyle w:val="FootnoteReference"/>
          <w:rFonts w:ascii="Calibri" w:hAnsi="Calibri" w:cs="Calibri"/>
        </w:rPr>
        <w:footnoteRef/>
      </w:r>
      <w:r w:rsidRPr="0058638D">
        <w:rPr>
          <w:rFonts w:ascii="Calibri" w:hAnsi="Calibri" w:cs="Calibri"/>
        </w:rPr>
        <w:t xml:space="preserve"> Evidence submission, Rights and Security International. </w:t>
      </w:r>
    </w:p>
  </w:footnote>
  <w:footnote w:id="11">
    <w:p w14:paraId="20E14021" w14:textId="77777777" w:rsidR="00C70494" w:rsidRPr="00D242CD" w:rsidRDefault="00C70494" w:rsidP="00C70494">
      <w:pPr>
        <w:pStyle w:val="NoSpacing"/>
        <w:rPr>
          <w:rFonts w:ascii="Calibri" w:hAnsi="Calibri" w:cs="Calibri"/>
          <w:sz w:val="20"/>
          <w:szCs w:val="20"/>
        </w:rPr>
      </w:pPr>
      <w:r w:rsidRPr="00D242CD">
        <w:rPr>
          <w:rStyle w:val="FootnoteReference"/>
          <w:rFonts w:ascii="Calibri" w:hAnsi="Calibri" w:cs="Calibri"/>
          <w:sz w:val="20"/>
          <w:szCs w:val="20"/>
        </w:rPr>
        <w:footnoteRef/>
      </w:r>
      <w:r w:rsidRPr="00D242CD">
        <w:rPr>
          <w:rFonts w:ascii="Calibri" w:hAnsi="Calibri" w:cs="Calibri"/>
          <w:sz w:val="20"/>
          <w:szCs w:val="20"/>
        </w:rPr>
        <w:t xml:space="preserve"> Barbara Cohen and Waqas Tufail, 'Prevent and the Normalization of Islamophobia' in </w:t>
      </w:r>
      <w:r w:rsidRPr="00D242CD">
        <w:rPr>
          <w:rFonts w:ascii="Calibri" w:hAnsi="Calibri" w:cs="Calibri"/>
          <w:i/>
          <w:iCs/>
          <w:sz w:val="20"/>
          <w:szCs w:val="20"/>
        </w:rPr>
        <w:t>Islamophobia: Still a Challenge for Us All</w:t>
      </w:r>
      <w:r w:rsidRPr="00D242CD">
        <w:rPr>
          <w:rFonts w:ascii="Calibri" w:hAnsi="Calibri" w:cs="Calibri"/>
          <w:sz w:val="20"/>
          <w:szCs w:val="20"/>
        </w:rPr>
        <w:t xml:space="preserve"> (Runnymede Trust 2017); </w:t>
      </w:r>
      <w:r w:rsidRPr="00D242CD">
        <w:rPr>
          <w:rFonts w:ascii="Calibri" w:hAnsi="Calibri" w:cs="Calibri"/>
          <w:color w:val="000000" w:themeColor="text1"/>
          <w:sz w:val="20"/>
          <w:szCs w:val="20"/>
        </w:rPr>
        <w:t xml:space="preserve">Shareen Fernandez, 'When Counter-Extremism "Sticks": The Circulation of the Prevent Duty in the School Space' (2024) </w:t>
      </w:r>
      <w:r w:rsidRPr="004D2589">
        <w:rPr>
          <w:rFonts w:ascii="Calibri" w:hAnsi="Calibri" w:cs="Calibri"/>
          <w:color w:val="000000" w:themeColor="text1"/>
          <w:sz w:val="20"/>
          <w:szCs w:val="20"/>
        </w:rPr>
        <w:t>Identities</w:t>
      </w:r>
      <w:r w:rsidRPr="00D242CD">
        <w:rPr>
          <w:rFonts w:ascii="Calibri" w:hAnsi="Calibri" w:cs="Calibri"/>
          <w:color w:val="000000" w:themeColor="text1"/>
          <w:sz w:val="20"/>
          <w:szCs w:val="20"/>
        </w:rPr>
        <w:t xml:space="preserve"> 1</w:t>
      </w:r>
      <w:r w:rsidRPr="00D242CD">
        <w:rPr>
          <w:rFonts w:ascii="Calibri" w:hAnsi="Calibri" w:cs="Calibri"/>
          <w:sz w:val="20"/>
          <w:szCs w:val="20"/>
        </w:rPr>
        <w:t>.</w:t>
      </w:r>
    </w:p>
  </w:footnote>
  <w:footnote w:id="12">
    <w:p w14:paraId="7C660468" w14:textId="77777777" w:rsidR="00C70494" w:rsidRPr="00D242CD" w:rsidRDefault="00C70494" w:rsidP="00C70494">
      <w:pPr>
        <w:pStyle w:val="FootnoteText"/>
        <w:rPr>
          <w:rFonts w:ascii="Calibri" w:hAnsi="Calibri" w:cs="Calibri"/>
        </w:rPr>
      </w:pPr>
      <w:r w:rsidRPr="00D242CD">
        <w:rPr>
          <w:rStyle w:val="FootnoteReference"/>
          <w:rFonts w:ascii="Calibri" w:hAnsi="Calibri" w:cs="Calibri"/>
        </w:rPr>
        <w:footnoteRef/>
      </w:r>
      <w:r w:rsidRPr="00D242CD">
        <w:rPr>
          <w:rFonts w:ascii="Calibri" w:hAnsi="Calibri" w:cs="Calibri"/>
        </w:rPr>
        <w:t xml:space="preserve"> Joel Busher, Tufyal </w:t>
      </w:r>
      <w:proofErr w:type="spellStart"/>
      <w:r w:rsidRPr="00D242CD">
        <w:rPr>
          <w:rFonts w:ascii="Calibri" w:hAnsi="Calibri" w:cs="Calibri"/>
        </w:rPr>
        <w:t>Choudhury,</w:t>
      </w:r>
      <w:proofErr w:type="spellEnd"/>
      <w:r w:rsidRPr="00D242CD">
        <w:rPr>
          <w:rFonts w:ascii="Calibri" w:hAnsi="Calibri" w:cs="Calibri"/>
        </w:rPr>
        <w:t xml:space="preserve"> and Paul Thomas, 'Surveillance and Preventing Violent Extremism: The Evidence from Schools and Further Education Colleges in England' in </w:t>
      </w:r>
      <w:r>
        <w:rPr>
          <w:rFonts w:ascii="Calibri" w:hAnsi="Calibri" w:cs="Calibri"/>
        </w:rPr>
        <w:t xml:space="preserve">M </w:t>
      </w:r>
      <w:proofErr w:type="spellStart"/>
      <w:r>
        <w:rPr>
          <w:rFonts w:ascii="Calibri" w:hAnsi="Calibri" w:cs="Calibri"/>
        </w:rPr>
        <w:t>Kwert</w:t>
      </w:r>
      <w:proofErr w:type="spellEnd"/>
      <w:r>
        <w:rPr>
          <w:rFonts w:ascii="Calibri" w:hAnsi="Calibri" w:cs="Calibri"/>
        </w:rPr>
        <w:t xml:space="preserve"> (ed.), </w:t>
      </w:r>
      <w:r w:rsidRPr="00D242CD">
        <w:rPr>
          <w:rFonts w:ascii="Calibri" w:hAnsi="Calibri" w:cs="Calibri"/>
          <w:i/>
          <w:iCs/>
        </w:rPr>
        <w:t>The Cambridge Handbook of Race and Surveillance</w:t>
      </w:r>
      <w:r w:rsidRPr="00D242CD">
        <w:rPr>
          <w:rFonts w:ascii="Calibri" w:hAnsi="Calibri" w:cs="Calibri"/>
        </w:rPr>
        <w:t xml:space="preserve"> (Cambridge University Press 2023).</w:t>
      </w:r>
    </w:p>
  </w:footnote>
  <w:footnote w:id="13">
    <w:p w14:paraId="70C4027D" w14:textId="77777777" w:rsidR="00C70494" w:rsidRPr="004D2589" w:rsidRDefault="00C70494" w:rsidP="00C70494">
      <w:pPr>
        <w:pStyle w:val="NoSpacing"/>
        <w:rPr>
          <w:rFonts w:ascii="Calibri" w:hAnsi="Calibri" w:cs="Calibri"/>
          <w:sz w:val="20"/>
          <w:szCs w:val="20"/>
        </w:rPr>
      </w:pPr>
      <w:r w:rsidRPr="00D242CD">
        <w:rPr>
          <w:rStyle w:val="FootnoteReference"/>
          <w:rFonts w:ascii="Calibri" w:hAnsi="Calibri" w:cs="Calibri"/>
          <w:sz w:val="20"/>
          <w:szCs w:val="20"/>
        </w:rPr>
        <w:footnoteRef/>
      </w:r>
      <w:r w:rsidRPr="00D242CD">
        <w:rPr>
          <w:rFonts w:ascii="Calibri" w:hAnsi="Calibri" w:cs="Calibri"/>
          <w:sz w:val="20"/>
          <w:szCs w:val="20"/>
        </w:rPr>
        <w:t xml:space="preserve"> See, for example, foreword by former Prime Minister David Cameron in John Jenkins, Damon Perry and Paul Stott, ‘Delegitimising Counter-Terrorism: The Activist Campaign to Demonise Prevent’ (Policy</w:t>
      </w:r>
      <w:r w:rsidRPr="00D242CD">
        <w:rPr>
          <w:rFonts w:ascii="Calibri" w:hAnsi="Calibri" w:cs="Calibri"/>
          <w:i/>
          <w:iCs/>
          <w:sz w:val="20"/>
          <w:szCs w:val="20"/>
        </w:rPr>
        <w:t xml:space="preserve"> </w:t>
      </w:r>
      <w:r w:rsidRPr="00D242CD">
        <w:rPr>
          <w:rFonts w:ascii="Calibri" w:hAnsi="Calibri" w:cs="Calibri"/>
          <w:sz w:val="20"/>
          <w:szCs w:val="20"/>
        </w:rPr>
        <w:t>Exchange, 2022)</w:t>
      </w:r>
      <w:r w:rsidRPr="00D242CD">
        <w:rPr>
          <w:rFonts w:ascii="Calibri" w:hAnsi="Calibri" w:cs="Calibri"/>
          <w:i/>
          <w:iCs/>
          <w:sz w:val="20"/>
          <w:szCs w:val="20"/>
        </w:rPr>
        <w:t xml:space="preserve"> </w:t>
      </w:r>
      <w:r>
        <w:rPr>
          <w:rFonts w:ascii="Calibri" w:hAnsi="Calibri" w:cs="Calibri"/>
          <w:i/>
          <w:iCs/>
          <w:sz w:val="20"/>
          <w:szCs w:val="20"/>
        </w:rPr>
        <w:t>&lt;</w:t>
      </w:r>
      <w:hyperlink r:id="rId5" w:history="1">
        <w:r w:rsidRPr="004D2589">
          <w:rPr>
            <w:rStyle w:val="Hyperlink"/>
            <w:rFonts w:ascii="Calibri" w:hAnsi="Calibri" w:cs="Calibri"/>
            <w:sz w:val="20"/>
            <w:szCs w:val="20"/>
          </w:rPr>
          <w:t>https://policyexchange.org.uk/wp-content/uploads/2022/10/Delegitimising-Counter-Terrorism.pdf</w:t>
        </w:r>
      </w:hyperlink>
      <w:r>
        <w:rPr>
          <w:rFonts w:ascii="Calibri" w:hAnsi="Calibri" w:cs="Calibri"/>
          <w:sz w:val="20"/>
          <w:szCs w:val="20"/>
        </w:rPr>
        <w:t xml:space="preserve">&gt; </w:t>
      </w:r>
      <w:r w:rsidRPr="004D2589">
        <w:rPr>
          <w:rFonts w:ascii="Calibri" w:hAnsi="Calibri" w:cs="Calibri"/>
          <w:sz w:val="20"/>
          <w:szCs w:val="20"/>
        </w:rPr>
        <w:t>accessed 10 October 2024</w:t>
      </w:r>
      <w:r>
        <w:rPr>
          <w:rFonts w:ascii="Calibri" w:hAnsi="Calibri" w:cs="Calibri"/>
          <w:sz w:val="20"/>
          <w:szCs w:val="20"/>
        </w:rPr>
        <w:t>.</w:t>
      </w:r>
    </w:p>
  </w:footnote>
  <w:footnote w:id="14">
    <w:p w14:paraId="2AA0673A" w14:textId="77777777" w:rsidR="00C70494" w:rsidRDefault="00C70494" w:rsidP="00C70494">
      <w:pPr>
        <w:pStyle w:val="FootnoteText"/>
      </w:pPr>
      <w:r>
        <w:rPr>
          <w:rStyle w:val="FootnoteReference"/>
        </w:rPr>
        <w:footnoteRef/>
      </w:r>
      <w:r>
        <w:t xml:space="preserve"> Based on data </w:t>
      </w:r>
      <w:r>
        <w:rPr>
          <w:rFonts w:ascii="Calibri" w:hAnsi="Calibri" w:cs="Calibri"/>
        </w:rPr>
        <w:t xml:space="preserve">from </w:t>
      </w:r>
      <w:r w:rsidRPr="00FE4729">
        <w:rPr>
          <w:rFonts w:ascii="Calibri" w:hAnsi="Calibri" w:cs="Calibri"/>
        </w:rPr>
        <w:t xml:space="preserve">Home Office, </w:t>
      </w:r>
      <w:r w:rsidRPr="00FE4729">
        <w:rPr>
          <w:rFonts w:ascii="Calibri" w:hAnsi="Calibri" w:cs="Calibri"/>
          <w:i/>
          <w:iCs/>
        </w:rPr>
        <w:t>Individuals referred to and supported through the Prevent Programme, England and Wales, April 202</w:t>
      </w:r>
      <w:r>
        <w:rPr>
          <w:rFonts w:ascii="Calibri" w:hAnsi="Calibri" w:cs="Calibri"/>
          <w:i/>
          <w:iCs/>
        </w:rPr>
        <w:t>3</w:t>
      </w:r>
      <w:r w:rsidRPr="00FE4729">
        <w:rPr>
          <w:rFonts w:ascii="Calibri" w:hAnsi="Calibri" w:cs="Calibri"/>
          <w:i/>
          <w:iCs/>
        </w:rPr>
        <w:t>-March 202</w:t>
      </w:r>
      <w:r>
        <w:rPr>
          <w:rFonts w:ascii="Calibri" w:hAnsi="Calibri" w:cs="Calibri"/>
          <w:i/>
          <w:iCs/>
        </w:rPr>
        <w:t>4</w:t>
      </w:r>
      <w:r w:rsidRPr="00FE4729">
        <w:rPr>
          <w:rFonts w:ascii="Calibri" w:hAnsi="Calibri" w:cs="Calibri"/>
          <w:i/>
          <w:iCs/>
        </w:rPr>
        <w:t xml:space="preserve">: data tables </w:t>
      </w:r>
      <w:r w:rsidRPr="00FE4729">
        <w:rPr>
          <w:rFonts w:ascii="Calibri" w:hAnsi="Calibri" w:cs="Calibri"/>
        </w:rPr>
        <w:t>(202</w:t>
      </w:r>
      <w:r>
        <w:rPr>
          <w:rFonts w:ascii="Calibri" w:hAnsi="Calibri" w:cs="Calibri"/>
        </w:rPr>
        <w:t>5) Table 6</w:t>
      </w:r>
    </w:p>
  </w:footnote>
  <w:footnote w:id="15">
    <w:p w14:paraId="66A4F29C" w14:textId="77777777" w:rsidR="00C70494" w:rsidRPr="00D242CD" w:rsidRDefault="00C70494" w:rsidP="00C70494">
      <w:pPr>
        <w:pStyle w:val="FootnoteText"/>
        <w:rPr>
          <w:rFonts w:ascii="Calibri" w:hAnsi="Calibri" w:cs="Calibri"/>
        </w:rPr>
      </w:pPr>
      <w:r w:rsidRPr="00D242CD">
        <w:rPr>
          <w:rStyle w:val="FootnoteReference"/>
          <w:rFonts w:ascii="Calibri" w:hAnsi="Calibri" w:cs="Calibri"/>
        </w:rPr>
        <w:footnoteRef/>
      </w:r>
      <w:r w:rsidRPr="00D242CD">
        <w:rPr>
          <w:rFonts w:ascii="Calibri" w:hAnsi="Calibri" w:cs="Calibri"/>
        </w:rPr>
        <w:t xml:space="preserve"> Evidence session, February 2024, teaching union.</w:t>
      </w:r>
    </w:p>
  </w:footnote>
  <w:footnote w:id="16">
    <w:p w14:paraId="60FC4301" w14:textId="77777777" w:rsidR="00C70494" w:rsidRPr="00D242CD" w:rsidRDefault="00C70494" w:rsidP="00C70494">
      <w:pPr>
        <w:pStyle w:val="FootnoteText"/>
        <w:rPr>
          <w:rFonts w:ascii="Calibri" w:hAnsi="Calibri" w:cs="Calibri"/>
        </w:rPr>
      </w:pPr>
      <w:r w:rsidRPr="00D242CD">
        <w:rPr>
          <w:rStyle w:val="FootnoteReference"/>
          <w:rFonts w:ascii="Calibri" w:hAnsi="Calibri" w:cs="Calibri"/>
        </w:rPr>
        <w:footnoteRef/>
      </w:r>
      <w:r w:rsidRPr="00D242CD">
        <w:rPr>
          <w:rFonts w:ascii="Calibri" w:hAnsi="Calibri" w:cs="Calibri"/>
        </w:rPr>
        <w:t xml:space="preserve"> Evidence submission</w:t>
      </w:r>
      <w:r>
        <w:rPr>
          <w:rFonts w:ascii="Calibri" w:hAnsi="Calibri" w:cs="Calibri"/>
        </w:rPr>
        <w:t>s:</w:t>
      </w:r>
      <w:r w:rsidRPr="00D242CD">
        <w:rPr>
          <w:rFonts w:ascii="Calibri" w:hAnsi="Calibri" w:cs="Calibri"/>
        </w:rPr>
        <w:t xml:space="preserve"> </w:t>
      </w:r>
      <w:proofErr w:type="spellStart"/>
      <w:r w:rsidRPr="00D242CD">
        <w:rPr>
          <w:rFonts w:ascii="Calibri" w:hAnsi="Calibri" w:cs="Calibri"/>
        </w:rPr>
        <w:t>MedAct</w:t>
      </w:r>
      <w:proofErr w:type="spellEnd"/>
      <w:r>
        <w:rPr>
          <w:rFonts w:ascii="Calibri" w:hAnsi="Calibri" w:cs="Calibri"/>
        </w:rPr>
        <w:t xml:space="preserve"> and </w:t>
      </w:r>
      <w:r w:rsidRPr="00D242CD">
        <w:rPr>
          <w:rFonts w:ascii="Calibri" w:hAnsi="Calibri" w:cs="Calibri"/>
        </w:rPr>
        <w:t>Runnymede Trust; see also Busher</w:t>
      </w:r>
      <w:r>
        <w:rPr>
          <w:rFonts w:ascii="Calibri" w:hAnsi="Calibri" w:cs="Calibri"/>
        </w:rPr>
        <w:t>, Choudhury and Thomas (n</w:t>
      </w:r>
      <w:r>
        <w:rPr>
          <w:rFonts w:ascii="Calibri" w:hAnsi="Calibri" w:cs="Calibri"/>
        </w:rPr>
        <w:fldChar w:fldCharType="begin"/>
      </w:r>
      <w:r>
        <w:rPr>
          <w:rFonts w:ascii="Calibri" w:hAnsi="Calibri" w:cs="Calibri"/>
        </w:rPr>
        <w:instrText xml:space="preserve"> NOTEREF _Ref211126163 \h </w:instrText>
      </w:r>
      <w:r>
        <w:rPr>
          <w:rFonts w:ascii="Calibri" w:hAnsi="Calibri" w:cs="Calibri"/>
        </w:rPr>
      </w:r>
      <w:r>
        <w:rPr>
          <w:rFonts w:ascii="Calibri" w:hAnsi="Calibri" w:cs="Calibri"/>
        </w:rPr>
        <w:fldChar w:fldCharType="separate"/>
      </w:r>
      <w:r>
        <w:rPr>
          <w:rFonts w:ascii="Calibri" w:hAnsi="Calibri" w:cs="Calibri"/>
        </w:rPr>
        <w:t>71</w:t>
      </w:r>
      <w:r>
        <w:rPr>
          <w:rFonts w:ascii="Calibri" w:hAnsi="Calibri" w:cs="Calibri"/>
        </w:rPr>
        <w:fldChar w:fldCharType="end"/>
      </w:r>
      <w:r>
        <w:rPr>
          <w:rFonts w:ascii="Calibri" w:hAnsi="Calibri" w:cs="Calibri"/>
        </w:rPr>
        <w:t>)</w:t>
      </w:r>
      <w:r w:rsidRPr="00D242CD">
        <w:rPr>
          <w:rFonts w:ascii="Calibri" w:hAnsi="Calibri" w:cs="Calibri"/>
        </w:rPr>
        <w:t>.</w:t>
      </w:r>
    </w:p>
  </w:footnote>
  <w:footnote w:id="17">
    <w:p w14:paraId="48A372A0" w14:textId="77777777" w:rsidR="00C70494" w:rsidRPr="00FE4729" w:rsidRDefault="00C70494" w:rsidP="00C70494">
      <w:pPr>
        <w:pStyle w:val="FootnoteText"/>
        <w:rPr>
          <w:rFonts w:ascii="Calibri" w:hAnsi="Calibri" w:cs="Calibri"/>
        </w:rPr>
      </w:pPr>
      <w:r w:rsidRPr="00FE4729">
        <w:rPr>
          <w:rStyle w:val="FootnoteReference"/>
          <w:rFonts w:ascii="Calibri" w:hAnsi="Calibri" w:cs="Calibri"/>
        </w:rPr>
        <w:footnoteRef/>
      </w:r>
      <w:r w:rsidRPr="00FE4729">
        <w:rPr>
          <w:rFonts w:ascii="Calibri" w:hAnsi="Calibri" w:cs="Calibri"/>
        </w:rPr>
        <w:t xml:space="preserve"> See</w:t>
      </w:r>
      <w:r>
        <w:rPr>
          <w:rFonts w:ascii="Calibri" w:hAnsi="Calibri" w:cs="Calibri"/>
        </w:rPr>
        <w:t>,</w:t>
      </w:r>
      <w:r w:rsidRPr="00FE4729">
        <w:rPr>
          <w:rFonts w:ascii="Calibri" w:hAnsi="Calibri" w:cs="Calibri"/>
        </w:rPr>
        <w:t xml:space="preserve"> for example, evidence of the notes from </w:t>
      </w:r>
      <w:r>
        <w:rPr>
          <w:rFonts w:ascii="Calibri" w:hAnsi="Calibri" w:cs="Calibri"/>
        </w:rPr>
        <w:t xml:space="preserve">a </w:t>
      </w:r>
      <w:r w:rsidRPr="00FE4729">
        <w:rPr>
          <w:rFonts w:ascii="Calibri" w:hAnsi="Calibri" w:cs="Calibri"/>
        </w:rPr>
        <w:t xml:space="preserve">police officer interview when investigating a Prevent referral: </w:t>
      </w:r>
      <w:r w:rsidRPr="00FE4729">
        <w:rPr>
          <w:rFonts w:ascii="Calibri" w:hAnsi="Calibri" w:cs="Calibri"/>
          <w:i/>
          <w:iCs/>
        </w:rPr>
        <w:t>R (II) v Commissioner of Police of the Metropolis</w:t>
      </w:r>
      <w:r w:rsidRPr="00FE4729">
        <w:rPr>
          <w:rFonts w:ascii="Calibri" w:hAnsi="Calibri" w:cs="Calibri"/>
        </w:rPr>
        <w:t xml:space="preserve"> [2020] EWHC 2528 (Admin) [24] </w:t>
      </w:r>
    </w:p>
  </w:footnote>
  <w:footnote w:id="18">
    <w:p w14:paraId="4171483B" w14:textId="77777777" w:rsidR="00C70494" w:rsidRPr="00FE4729" w:rsidRDefault="00C70494" w:rsidP="00C70494">
      <w:pPr>
        <w:pStyle w:val="FootnoteText"/>
        <w:rPr>
          <w:rFonts w:ascii="Calibri" w:hAnsi="Calibri" w:cs="Calibri"/>
        </w:rPr>
      </w:pPr>
      <w:r w:rsidRPr="00FE4729">
        <w:rPr>
          <w:rStyle w:val="FootnoteReference"/>
          <w:rFonts w:ascii="Calibri" w:hAnsi="Calibri" w:cs="Calibri"/>
        </w:rPr>
        <w:footnoteRef/>
      </w:r>
      <w:r w:rsidRPr="00FE4729">
        <w:rPr>
          <w:rFonts w:ascii="Calibri" w:hAnsi="Calibri" w:cs="Calibri"/>
        </w:rPr>
        <w:t xml:space="preserve"> Evidence session, July 2023, </w:t>
      </w:r>
      <w:r>
        <w:rPr>
          <w:rFonts w:ascii="Calibri" w:hAnsi="Calibri" w:cs="Calibri"/>
        </w:rPr>
        <w:t>s</w:t>
      </w:r>
      <w:r w:rsidRPr="00FE4729">
        <w:rPr>
          <w:rFonts w:ascii="Calibri" w:hAnsi="Calibri" w:cs="Calibri"/>
        </w:rPr>
        <w:t>ocial work researcher and lawyer. Also, evidence submissions</w:t>
      </w:r>
      <w:r>
        <w:rPr>
          <w:rFonts w:ascii="Calibri" w:hAnsi="Calibri" w:cs="Calibri"/>
        </w:rPr>
        <w:t>:</w:t>
      </w:r>
      <w:r w:rsidRPr="00FE4729">
        <w:rPr>
          <w:rFonts w:ascii="Calibri" w:hAnsi="Calibri" w:cs="Calibri"/>
        </w:rPr>
        <w:t xml:space="preserve"> Sophie Shall, Dr Leona Vaughn</w:t>
      </w:r>
      <w:r>
        <w:rPr>
          <w:rFonts w:ascii="Calibri" w:hAnsi="Calibri" w:cs="Calibri"/>
        </w:rPr>
        <w:t>,</w:t>
      </w:r>
      <w:r w:rsidRPr="00FE4729">
        <w:rPr>
          <w:rFonts w:ascii="Calibri" w:hAnsi="Calibri" w:cs="Calibri"/>
        </w:rPr>
        <w:t xml:space="preserve"> and Prevent Watch.</w:t>
      </w:r>
      <w:r>
        <w:rPr>
          <w:rFonts w:ascii="Calibri" w:hAnsi="Calibri" w:cs="Calibri"/>
        </w:rPr>
        <w:t xml:space="preserve"> </w:t>
      </w:r>
    </w:p>
  </w:footnote>
  <w:footnote w:id="19">
    <w:p w14:paraId="31ECCCB0" w14:textId="77777777" w:rsidR="00C70494" w:rsidRPr="00FE4729" w:rsidRDefault="00C70494" w:rsidP="00C70494">
      <w:pPr>
        <w:pStyle w:val="FootnoteText"/>
        <w:rPr>
          <w:rFonts w:ascii="Calibri" w:hAnsi="Calibri" w:cs="Calibri"/>
        </w:rPr>
      </w:pPr>
      <w:r w:rsidRPr="00FE4729">
        <w:rPr>
          <w:rStyle w:val="FootnoteReference"/>
          <w:rFonts w:ascii="Calibri" w:hAnsi="Calibri" w:cs="Calibri"/>
        </w:rPr>
        <w:footnoteRef/>
      </w:r>
      <w:r w:rsidRPr="00FE4729">
        <w:rPr>
          <w:rFonts w:ascii="Calibri" w:hAnsi="Calibri" w:cs="Calibri"/>
        </w:rPr>
        <w:t xml:space="preserve"> Evidence </w:t>
      </w:r>
      <w:r>
        <w:rPr>
          <w:rFonts w:ascii="Calibri" w:hAnsi="Calibri" w:cs="Calibri"/>
        </w:rPr>
        <w:t>s</w:t>
      </w:r>
      <w:r w:rsidRPr="00FE4729">
        <w:rPr>
          <w:rFonts w:ascii="Calibri" w:hAnsi="Calibri" w:cs="Calibri"/>
        </w:rPr>
        <w:t xml:space="preserve">ubmission, Dr Aram Ghaemmaghami and Dr Naheem Jabbar. </w:t>
      </w:r>
    </w:p>
  </w:footnote>
  <w:footnote w:id="20">
    <w:p w14:paraId="647539D4" w14:textId="77777777" w:rsidR="00C70494" w:rsidRPr="00067A75" w:rsidRDefault="00C70494" w:rsidP="00C70494">
      <w:pPr>
        <w:pStyle w:val="NoSpacing"/>
        <w:rPr>
          <w:rFonts w:ascii="Calibri" w:hAnsi="Calibri" w:cs="Calibri"/>
          <w:sz w:val="20"/>
          <w:szCs w:val="20"/>
        </w:rPr>
      </w:pPr>
      <w:r w:rsidRPr="00067A75">
        <w:rPr>
          <w:rStyle w:val="FootnoteReference"/>
          <w:rFonts w:ascii="Calibri" w:hAnsi="Calibri" w:cs="Calibri"/>
          <w:sz w:val="20"/>
          <w:szCs w:val="20"/>
        </w:rPr>
        <w:footnoteRef/>
      </w:r>
      <w:r w:rsidRPr="00067A75">
        <w:rPr>
          <w:rFonts w:ascii="Calibri" w:hAnsi="Calibri" w:cs="Calibri"/>
          <w:sz w:val="20"/>
          <w:szCs w:val="20"/>
        </w:rPr>
        <w:t xml:space="preserve"> Of</w:t>
      </w:r>
      <w:r>
        <w:rPr>
          <w:rFonts w:ascii="Calibri" w:hAnsi="Calibri" w:cs="Calibri"/>
          <w:sz w:val="20"/>
          <w:szCs w:val="20"/>
        </w:rPr>
        <w:t>s</w:t>
      </w:r>
      <w:r w:rsidRPr="00067A75">
        <w:rPr>
          <w:rFonts w:ascii="Calibri" w:hAnsi="Calibri" w:cs="Calibri"/>
          <w:sz w:val="20"/>
          <w:szCs w:val="20"/>
        </w:rPr>
        <w:t xml:space="preserve">ted, </w:t>
      </w:r>
      <w:r>
        <w:rPr>
          <w:rFonts w:ascii="Calibri" w:hAnsi="Calibri" w:cs="Calibri"/>
          <w:sz w:val="20"/>
          <w:szCs w:val="20"/>
        </w:rPr>
        <w:t>‘</w:t>
      </w:r>
      <w:r w:rsidRPr="00067A75">
        <w:rPr>
          <w:rFonts w:ascii="Calibri" w:hAnsi="Calibri" w:cs="Calibri"/>
          <w:sz w:val="20"/>
          <w:szCs w:val="20"/>
        </w:rPr>
        <w:t>How Well Are Further Education and Skills Providers Implementing the ‘Prevent’ Duty?</w:t>
      </w:r>
      <w:r>
        <w:rPr>
          <w:rFonts w:ascii="Calibri" w:hAnsi="Calibri" w:cs="Calibri"/>
          <w:sz w:val="20"/>
          <w:szCs w:val="20"/>
        </w:rPr>
        <w:t>’</w:t>
      </w:r>
      <w:r w:rsidRPr="00067A75">
        <w:rPr>
          <w:rFonts w:ascii="Calibri" w:hAnsi="Calibri" w:cs="Calibri"/>
          <w:sz w:val="20"/>
          <w:szCs w:val="20"/>
        </w:rPr>
        <w:t xml:space="preserve"> (2012) 16, cited in </w:t>
      </w:r>
      <w:r>
        <w:rPr>
          <w:rFonts w:ascii="Calibri" w:hAnsi="Calibri" w:cs="Calibri"/>
          <w:sz w:val="20"/>
          <w:szCs w:val="20"/>
        </w:rPr>
        <w:t>e</w:t>
      </w:r>
      <w:r w:rsidRPr="00067A75">
        <w:rPr>
          <w:rFonts w:ascii="Calibri" w:hAnsi="Calibri" w:cs="Calibri"/>
          <w:sz w:val="20"/>
          <w:szCs w:val="20"/>
        </w:rPr>
        <w:t>vidence submission</w:t>
      </w:r>
      <w:r>
        <w:rPr>
          <w:rFonts w:ascii="Calibri" w:hAnsi="Calibri" w:cs="Calibri"/>
          <w:sz w:val="20"/>
          <w:szCs w:val="20"/>
        </w:rPr>
        <w:t xml:space="preserve"> by the</w:t>
      </w:r>
      <w:r w:rsidRPr="00067A75">
        <w:rPr>
          <w:rFonts w:ascii="Calibri" w:hAnsi="Calibri" w:cs="Calibri"/>
          <w:sz w:val="20"/>
          <w:szCs w:val="20"/>
        </w:rPr>
        <w:t xml:space="preserve"> Muslim Council of Britain.</w:t>
      </w:r>
    </w:p>
  </w:footnote>
  <w:footnote w:id="21">
    <w:p w14:paraId="00385535" w14:textId="77777777" w:rsidR="00C70494" w:rsidRPr="00123866" w:rsidRDefault="00C70494" w:rsidP="00C70494">
      <w:pPr>
        <w:pStyle w:val="NoSpacing"/>
        <w:rPr>
          <w:rFonts w:ascii="Calibri" w:hAnsi="Calibri" w:cs="Calibri"/>
          <w:sz w:val="20"/>
          <w:szCs w:val="20"/>
        </w:rPr>
      </w:pPr>
      <w:r w:rsidRPr="00123866">
        <w:rPr>
          <w:rStyle w:val="FootnoteReference"/>
          <w:rFonts w:ascii="Calibri" w:hAnsi="Calibri" w:cs="Calibri"/>
          <w:sz w:val="20"/>
          <w:szCs w:val="20"/>
        </w:rPr>
        <w:footnoteRef/>
      </w:r>
      <w:r w:rsidRPr="00123866">
        <w:rPr>
          <w:rFonts w:ascii="Calibri" w:hAnsi="Calibri" w:cs="Calibri"/>
          <w:sz w:val="20"/>
          <w:szCs w:val="20"/>
        </w:rPr>
        <w:t xml:space="preserve"> Tarek Younis, 'Counter-Radicalisation, Public Health and Racism – A Case Analysis of Prevent' in Kamaldeep </w:t>
      </w:r>
      <w:proofErr w:type="spellStart"/>
      <w:r w:rsidRPr="00123866">
        <w:rPr>
          <w:rFonts w:ascii="Calibri" w:hAnsi="Calibri" w:cs="Calibri"/>
          <w:sz w:val="20"/>
          <w:szCs w:val="20"/>
        </w:rPr>
        <w:t>Bhui</w:t>
      </w:r>
      <w:proofErr w:type="spellEnd"/>
      <w:r w:rsidRPr="00123866">
        <w:rPr>
          <w:rFonts w:ascii="Calibri" w:hAnsi="Calibri" w:cs="Calibri"/>
          <w:sz w:val="20"/>
          <w:szCs w:val="20"/>
        </w:rPr>
        <w:t xml:space="preserve"> and Dinesh Bhugra (eds), </w:t>
      </w:r>
      <w:r w:rsidRPr="00123866">
        <w:rPr>
          <w:rFonts w:ascii="Calibri" w:hAnsi="Calibri" w:cs="Calibri"/>
          <w:i/>
          <w:iCs/>
          <w:sz w:val="20"/>
          <w:szCs w:val="20"/>
        </w:rPr>
        <w:t>Terrorism, Violent Radicalisation and Mental Health</w:t>
      </w:r>
      <w:r w:rsidRPr="00123866">
        <w:rPr>
          <w:rFonts w:ascii="Calibri" w:hAnsi="Calibri" w:cs="Calibri"/>
          <w:sz w:val="20"/>
          <w:szCs w:val="20"/>
        </w:rPr>
        <w:t xml:space="preserve"> (Oxford University Press 2021) 8</w:t>
      </w:r>
      <w:r>
        <w:rPr>
          <w:rFonts w:ascii="Calibri" w:hAnsi="Calibri" w:cs="Calibri"/>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62AAE" w14:textId="0DF9652B" w:rsidR="00117003" w:rsidRDefault="00117003">
    <w:pPr>
      <w:pStyle w:val="Header"/>
    </w:pPr>
    <w:r>
      <w:t>Independent Commission on UK Counter-Terrorism Law, Policy and Practice</w:t>
    </w:r>
  </w:p>
  <w:p w14:paraId="464119AA" w14:textId="77777777" w:rsidR="00117003" w:rsidRDefault="001170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72E89B48"/>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A99411"/>
    <w:multiLevelType w:val="multilevel"/>
    <w:tmpl w:val="1592BEB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C4914EA"/>
    <w:multiLevelType w:val="hybridMultilevel"/>
    <w:tmpl w:val="FC74B8E8"/>
    <w:lvl w:ilvl="0" w:tplc="8B0A61A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6B6157"/>
    <w:multiLevelType w:val="multilevel"/>
    <w:tmpl w:val="081C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7619618">
    <w:abstractNumId w:val="3"/>
  </w:num>
  <w:num w:numId="2" w16cid:durableId="1358891916">
    <w:abstractNumId w:val="0"/>
    <w:lvlOverride w:ilvl="0"/>
    <w:lvlOverride w:ilvl="1"/>
    <w:lvlOverride w:ilvl="2"/>
    <w:lvlOverride w:ilvl="3"/>
    <w:lvlOverride w:ilvl="4"/>
    <w:lvlOverride w:ilvl="5"/>
    <w:lvlOverride w:ilvl="6"/>
    <w:lvlOverride w:ilvl="7"/>
    <w:lvlOverride w:ilvl="8"/>
  </w:num>
  <w:num w:numId="3" w16cid:durableId="15167276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886408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18C"/>
    <w:rsid w:val="0000116A"/>
    <w:rsid w:val="00081FFB"/>
    <w:rsid w:val="00091CEA"/>
    <w:rsid w:val="000B416F"/>
    <w:rsid w:val="000F0D20"/>
    <w:rsid w:val="00100BB3"/>
    <w:rsid w:val="00117003"/>
    <w:rsid w:val="00124910"/>
    <w:rsid w:val="001A21E1"/>
    <w:rsid w:val="001B5404"/>
    <w:rsid w:val="001C421D"/>
    <w:rsid w:val="001E0609"/>
    <w:rsid w:val="00204EC9"/>
    <w:rsid w:val="00276278"/>
    <w:rsid w:val="002A248D"/>
    <w:rsid w:val="002E590C"/>
    <w:rsid w:val="00336DAC"/>
    <w:rsid w:val="003B7BF1"/>
    <w:rsid w:val="003D6F9E"/>
    <w:rsid w:val="003F5280"/>
    <w:rsid w:val="0042765E"/>
    <w:rsid w:val="00446959"/>
    <w:rsid w:val="00473FA8"/>
    <w:rsid w:val="004B6935"/>
    <w:rsid w:val="004E12D2"/>
    <w:rsid w:val="0051396E"/>
    <w:rsid w:val="0053697A"/>
    <w:rsid w:val="00634C4D"/>
    <w:rsid w:val="006409A5"/>
    <w:rsid w:val="00687652"/>
    <w:rsid w:val="006B465A"/>
    <w:rsid w:val="006C4335"/>
    <w:rsid w:val="006D5A83"/>
    <w:rsid w:val="00704B70"/>
    <w:rsid w:val="007728CE"/>
    <w:rsid w:val="00790A85"/>
    <w:rsid w:val="007D1505"/>
    <w:rsid w:val="00826132"/>
    <w:rsid w:val="00827A63"/>
    <w:rsid w:val="008569FD"/>
    <w:rsid w:val="008742DF"/>
    <w:rsid w:val="008874E0"/>
    <w:rsid w:val="0089719A"/>
    <w:rsid w:val="008B31C1"/>
    <w:rsid w:val="008B5A63"/>
    <w:rsid w:val="008D18D7"/>
    <w:rsid w:val="008D7136"/>
    <w:rsid w:val="0096521D"/>
    <w:rsid w:val="009C119B"/>
    <w:rsid w:val="009E7837"/>
    <w:rsid w:val="00A064F9"/>
    <w:rsid w:val="00A20425"/>
    <w:rsid w:val="00A3621B"/>
    <w:rsid w:val="00A63A21"/>
    <w:rsid w:val="00A751CA"/>
    <w:rsid w:val="00A801CF"/>
    <w:rsid w:val="00AB5F44"/>
    <w:rsid w:val="00B15E95"/>
    <w:rsid w:val="00B25615"/>
    <w:rsid w:val="00B43E6D"/>
    <w:rsid w:val="00B45CD8"/>
    <w:rsid w:val="00B523CA"/>
    <w:rsid w:val="00B63430"/>
    <w:rsid w:val="00B66921"/>
    <w:rsid w:val="00B846F0"/>
    <w:rsid w:val="00C3437D"/>
    <w:rsid w:val="00C44B07"/>
    <w:rsid w:val="00C47FD4"/>
    <w:rsid w:val="00C510A0"/>
    <w:rsid w:val="00C5170E"/>
    <w:rsid w:val="00C64404"/>
    <w:rsid w:val="00C70494"/>
    <w:rsid w:val="00C84BC4"/>
    <w:rsid w:val="00C91939"/>
    <w:rsid w:val="00CA5EC8"/>
    <w:rsid w:val="00CE3D18"/>
    <w:rsid w:val="00CF16E2"/>
    <w:rsid w:val="00D23083"/>
    <w:rsid w:val="00D91C66"/>
    <w:rsid w:val="00DE14E4"/>
    <w:rsid w:val="00E21B32"/>
    <w:rsid w:val="00E50207"/>
    <w:rsid w:val="00E56F4A"/>
    <w:rsid w:val="00E92DD6"/>
    <w:rsid w:val="00EA1ED3"/>
    <w:rsid w:val="00ED052C"/>
    <w:rsid w:val="00F4418C"/>
    <w:rsid w:val="00F53D8B"/>
    <w:rsid w:val="00F743B6"/>
    <w:rsid w:val="00F92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E1A31"/>
  <w15:chartTrackingRefBased/>
  <w15:docId w15:val="{0ED64889-A563-4EBD-B448-33415F4A6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C66"/>
  </w:style>
  <w:style w:type="paragraph" w:styleId="Heading1">
    <w:name w:val="heading 1"/>
    <w:basedOn w:val="Normal"/>
    <w:next w:val="Normal"/>
    <w:link w:val="Heading1Char"/>
    <w:uiPriority w:val="9"/>
    <w:qFormat/>
    <w:rsid w:val="00D91C66"/>
    <w:pPr>
      <w:keepNext/>
      <w:keepLines/>
      <w:spacing w:before="320" w:after="0" w:line="240" w:lineRule="auto"/>
      <w:outlineLvl w:val="0"/>
    </w:pPr>
    <w:rPr>
      <w:rFonts w:asciiTheme="majorHAnsi" w:eastAsiaTheme="majorEastAsia" w:hAnsiTheme="majorHAnsi" w:cstheme="majorBidi"/>
      <w:color w:val="0F4761" w:themeColor="accent1" w:themeShade="BF"/>
      <w:sz w:val="30"/>
      <w:szCs w:val="30"/>
    </w:rPr>
  </w:style>
  <w:style w:type="paragraph" w:styleId="Heading2">
    <w:name w:val="heading 2"/>
    <w:basedOn w:val="Normal"/>
    <w:next w:val="Normal"/>
    <w:link w:val="Heading2Char"/>
    <w:uiPriority w:val="9"/>
    <w:semiHidden/>
    <w:unhideWhenUsed/>
    <w:qFormat/>
    <w:rsid w:val="00D91C66"/>
    <w:pPr>
      <w:keepNext/>
      <w:keepLines/>
      <w:spacing w:before="40" w:after="0" w:line="240" w:lineRule="auto"/>
      <w:outlineLvl w:val="1"/>
    </w:pPr>
    <w:rPr>
      <w:rFonts w:asciiTheme="majorHAnsi" w:eastAsiaTheme="majorEastAsia" w:hAnsiTheme="majorHAnsi" w:cstheme="majorBidi"/>
      <w:color w:val="BF4E14" w:themeColor="accent2" w:themeShade="BF"/>
      <w:sz w:val="28"/>
      <w:szCs w:val="28"/>
    </w:rPr>
  </w:style>
  <w:style w:type="paragraph" w:styleId="Heading3">
    <w:name w:val="heading 3"/>
    <w:basedOn w:val="Normal"/>
    <w:next w:val="Normal"/>
    <w:link w:val="Heading3Char"/>
    <w:uiPriority w:val="9"/>
    <w:semiHidden/>
    <w:unhideWhenUsed/>
    <w:qFormat/>
    <w:rsid w:val="00D91C66"/>
    <w:pPr>
      <w:keepNext/>
      <w:keepLines/>
      <w:spacing w:before="40" w:after="0" w:line="240" w:lineRule="auto"/>
      <w:outlineLvl w:val="2"/>
    </w:pPr>
    <w:rPr>
      <w:rFonts w:asciiTheme="majorHAnsi" w:eastAsiaTheme="majorEastAsia" w:hAnsiTheme="majorHAnsi" w:cstheme="majorBidi"/>
      <w:color w:val="3A7C22" w:themeColor="accent6" w:themeShade="BF"/>
      <w:sz w:val="26"/>
      <w:szCs w:val="26"/>
    </w:rPr>
  </w:style>
  <w:style w:type="paragraph" w:styleId="Heading4">
    <w:name w:val="heading 4"/>
    <w:basedOn w:val="Normal"/>
    <w:next w:val="Normal"/>
    <w:link w:val="Heading4Char"/>
    <w:uiPriority w:val="9"/>
    <w:semiHidden/>
    <w:unhideWhenUsed/>
    <w:qFormat/>
    <w:rsid w:val="00D91C66"/>
    <w:pPr>
      <w:keepNext/>
      <w:keepLines/>
      <w:spacing w:before="40" w:after="0"/>
      <w:outlineLvl w:val="3"/>
    </w:pPr>
    <w:rPr>
      <w:rFonts w:asciiTheme="majorHAnsi" w:eastAsiaTheme="majorEastAsia" w:hAnsiTheme="majorHAnsi" w:cstheme="majorBidi"/>
      <w:i/>
      <w:iCs/>
      <w:color w:val="77206D" w:themeColor="accent5" w:themeShade="BF"/>
      <w:sz w:val="25"/>
      <w:szCs w:val="25"/>
    </w:rPr>
  </w:style>
  <w:style w:type="paragraph" w:styleId="Heading5">
    <w:name w:val="heading 5"/>
    <w:basedOn w:val="Normal"/>
    <w:next w:val="Normal"/>
    <w:link w:val="Heading5Char"/>
    <w:uiPriority w:val="9"/>
    <w:semiHidden/>
    <w:unhideWhenUsed/>
    <w:qFormat/>
    <w:rsid w:val="00D91C66"/>
    <w:pPr>
      <w:keepNext/>
      <w:keepLines/>
      <w:spacing w:before="40" w:after="0"/>
      <w:outlineLvl w:val="4"/>
    </w:pPr>
    <w:rPr>
      <w:rFonts w:asciiTheme="majorHAnsi" w:eastAsiaTheme="majorEastAsia" w:hAnsiTheme="majorHAnsi" w:cstheme="majorBidi"/>
      <w:i/>
      <w:iCs/>
      <w:color w:val="80340D" w:themeColor="accent2" w:themeShade="80"/>
      <w:sz w:val="24"/>
      <w:szCs w:val="24"/>
    </w:rPr>
  </w:style>
  <w:style w:type="paragraph" w:styleId="Heading6">
    <w:name w:val="heading 6"/>
    <w:basedOn w:val="Normal"/>
    <w:next w:val="Normal"/>
    <w:link w:val="Heading6Char"/>
    <w:uiPriority w:val="9"/>
    <w:semiHidden/>
    <w:unhideWhenUsed/>
    <w:qFormat/>
    <w:rsid w:val="00D91C66"/>
    <w:pPr>
      <w:keepNext/>
      <w:keepLines/>
      <w:spacing w:before="40" w:after="0"/>
      <w:outlineLvl w:val="5"/>
    </w:pPr>
    <w:rPr>
      <w:rFonts w:asciiTheme="majorHAnsi" w:eastAsiaTheme="majorEastAsia" w:hAnsiTheme="majorHAnsi" w:cstheme="majorBidi"/>
      <w:i/>
      <w:iCs/>
      <w:color w:val="275317" w:themeColor="accent6" w:themeShade="80"/>
      <w:sz w:val="23"/>
      <w:szCs w:val="23"/>
    </w:rPr>
  </w:style>
  <w:style w:type="paragraph" w:styleId="Heading7">
    <w:name w:val="heading 7"/>
    <w:basedOn w:val="Normal"/>
    <w:next w:val="Normal"/>
    <w:link w:val="Heading7Char"/>
    <w:uiPriority w:val="9"/>
    <w:semiHidden/>
    <w:unhideWhenUsed/>
    <w:qFormat/>
    <w:rsid w:val="00D91C66"/>
    <w:pPr>
      <w:keepNext/>
      <w:keepLines/>
      <w:spacing w:before="40" w:after="0"/>
      <w:outlineLvl w:val="6"/>
    </w:pPr>
    <w:rPr>
      <w:rFonts w:asciiTheme="majorHAnsi" w:eastAsiaTheme="majorEastAsia" w:hAnsiTheme="majorHAnsi" w:cstheme="majorBidi"/>
      <w:color w:val="0A2F41" w:themeColor="accent1" w:themeShade="80"/>
    </w:rPr>
  </w:style>
  <w:style w:type="paragraph" w:styleId="Heading8">
    <w:name w:val="heading 8"/>
    <w:basedOn w:val="Normal"/>
    <w:next w:val="Normal"/>
    <w:link w:val="Heading8Char"/>
    <w:uiPriority w:val="9"/>
    <w:semiHidden/>
    <w:unhideWhenUsed/>
    <w:qFormat/>
    <w:rsid w:val="00D91C66"/>
    <w:pPr>
      <w:keepNext/>
      <w:keepLines/>
      <w:spacing w:before="40" w:after="0"/>
      <w:outlineLvl w:val="7"/>
    </w:pPr>
    <w:rPr>
      <w:rFonts w:asciiTheme="majorHAnsi" w:eastAsiaTheme="majorEastAsia" w:hAnsiTheme="majorHAnsi" w:cstheme="majorBidi"/>
      <w:color w:val="80340D" w:themeColor="accent2" w:themeShade="80"/>
      <w:sz w:val="21"/>
      <w:szCs w:val="21"/>
    </w:rPr>
  </w:style>
  <w:style w:type="paragraph" w:styleId="Heading9">
    <w:name w:val="heading 9"/>
    <w:basedOn w:val="Normal"/>
    <w:next w:val="Normal"/>
    <w:link w:val="Heading9Char"/>
    <w:uiPriority w:val="9"/>
    <w:semiHidden/>
    <w:unhideWhenUsed/>
    <w:qFormat/>
    <w:rsid w:val="00D91C66"/>
    <w:pPr>
      <w:keepNext/>
      <w:keepLines/>
      <w:spacing w:before="40" w:after="0"/>
      <w:outlineLvl w:val="8"/>
    </w:pPr>
    <w:rPr>
      <w:rFonts w:asciiTheme="majorHAnsi" w:eastAsiaTheme="majorEastAsia" w:hAnsiTheme="majorHAnsi" w:cstheme="majorBidi"/>
      <w:color w:val="275317"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C66"/>
    <w:rPr>
      <w:rFonts w:asciiTheme="majorHAnsi" w:eastAsiaTheme="majorEastAsia" w:hAnsiTheme="majorHAnsi" w:cstheme="majorBidi"/>
      <w:color w:val="0F4761" w:themeColor="accent1" w:themeShade="BF"/>
      <w:sz w:val="30"/>
      <w:szCs w:val="30"/>
    </w:rPr>
  </w:style>
  <w:style w:type="character" w:customStyle="1" w:styleId="Heading2Char">
    <w:name w:val="Heading 2 Char"/>
    <w:basedOn w:val="DefaultParagraphFont"/>
    <w:link w:val="Heading2"/>
    <w:uiPriority w:val="9"/>
    <w:semiHidden/>
    <w:rsid w:val="00D91C66"/>
    <w:rPr>
      <w:rFonts w:asciiTheme="majorHAnsi" w:eastAsiaTheme="majorEastAsia" w:hAnsiTheme="majorHAnsi" w:cstheme="majorBidi"/>
      <w:color w:val="BF4E14" w:themeColor="accent2" w:themeShade="BF"/>
      <w:sz w:val="28"/>
      <w:szCs w:val="28"/>
    </w:rPr>
  </w:style>
  <w:style w:type="character" w:customStyle="1" w:styleId="Heading3Char">
    <w:name w:val="Heading 3 Char"/>
    <w:basedOn w:val="DefaultParagraphFont"/>
    <w:link w:val="Heading3"/>
    <w:uiPriority w:val="9"/>
    <w:semiHidden/>
    <w:rsid w:val="00D91C66"/>
    <w:rPr>
      <w:rFonts w:asciiTheme="majorHAnsi" w:eastAsiaTheme="majorEastAsia" w:hAnsiTheme="majorHAnsi" w:cstheme="majorBidi"/>
      <w:color w:val="3A7C22" w:themeColor="accent6" w:themeShade="BF"/>
      <w:sz w:val="26"/>
      <w:szCs w:val="26"/>
    </w:rPr>
  </w:style>
  <w:style w:type="character" w:customStyle="1" w:styleId="Heading4Char">
    <w:name w:val="Heading 4 Char"/>
    <w:basedOn w:val="DefaultParagraphFont"/>
    <w:link w:val="Heading4"/>
    <w:uiPriority w:val="9"/>
    <w:semiHidden/>
    <w:rsid w:val="00D91C66"/>
    <w:rPr>
      <w:rFonts w:asciiTheme="majorHAnsi" w:eastAsiaTheme="majorEastAsia" w:hAnsiTheme="majorHAnsi" w:cstheme="majorBidi"/>
      <w:i/>
      <w:iCs/>
      <w:color w:val="77206D" w:themeColor="accent5" w:themeShade="BF"/>
      <w:sz w:val="25"/>
      <w:szCs w:val="25"/>
    </w:rPr>
  </w:style>
  <w:style w:type="character" w:customStyle="1" w:styleId="Heading5Char">
    <w:name w:val="Heading 5 Char"/>
    <w:basedOn w:val="DefaultParagraphFont"/>
    <w:link w:val="Heading5"/>
    <w:uiPriority w:val="9"/>
    <w:semiHidden/>
    <w:rsid w:val="00D91C66"/>
    <w:rPr>
      <w:rFonts w:asciiTheme="majorHAnsi" w:eastAsiaTheme="majorEastAsia" w:hAnsiTheme="majorHAnsi" w:cstheme="majorBidi"/>
      <w:i/>
      <w:iCs/>
      <w:color w:val="80340D" w:themeColor="accent2" w:themeShade="80"/>
      <w:sz w:val="24"/>
      <w:szCs w:val="24"/>
    </w:rPr>
  </w:style>
  <w:style w:type="character" w:customStyle="1" w:styleId="Heading6Char">
    <w:name w:val="Heading 6 Char"/>
    <w:basedOn w:val="DefaultParagraphFont"/>
    <w:link w:val="Heading6"/>
    <w:uiPriority w:val="9"/>
    <w:semiHidden/>
    <w:rsid w:val="00D91C66"/>
    <w:rPr>
      <w:rFonts w:asciiTheme="majorHAnsi" w:eastAsiaTheme="majorEastAsia" w:hAnsiTheme="majorHAnsi" w:cstheme="majorBidi"/>
      <w:i/>
      <w:iCs/>
      <w:color w:val="275317" w:themeColor="accent6" w:themeShade="80"/>
      <w:sz w:val="23"/>
      <w:szCs w:val="23"/>
    </w:rPr>
  </w:style>
  <w:style w:type="character" w:customStyle="1" w:styleId="Heading7Char">
    <w:name w:val="Heading 7 Char"/>
    <w:basedOn w:val="DefaultParagraphFont"/>
    <w:link w:val="Heading7"/>
    <w:uiPriority w:val="9"/>
    <w:semiHidden/>
    <w:rsid w:val="00D91C66"/>
    <w:rPr>
      <w:rFonts w:asciiTheme="majorHAnsi" w:eastAsiaTheme="majorEastAsia" w:hAnsiTheme="majorHAnsi" w:cstheme="majorBidi"/>
      <w:color w:val="0A2F41" w:themeColor="accent1" w:themeShade="80"/>
    </w:rPr>
  </w:style>
  <w:style w:type="character" w:customStyle="1" w:styleId="Heading8Char">
    <w:name w:val="Heading 8 Char"/>
    <w:basedOn w:val="DefaultParagraphFont"/>
    <w:link w:val="Heading8"/>
    <w:uiPriority w:val="9"/>
    <w:semiHidden/>
    <w:rsid w:val="00D91C66"/>
    <w:rPr>
      <w:rFonts w:asciiTheme="majorHAnsi" w:eastAsiaTheme="majorEastAsia" w:hAnsiTheme="majorHAnsi" w:cstheme="majorBidi"/>
      <w:color w:val="80340D" w:themeColor="accent2" w:themeShade="80"/>
      <w:sz w:val="21"/>
      <w:szCs w:val="21"/>
    </w:rPr>
  </w:style>
  <w:style w:type="character" w:customStyle="1" w:styleId="Heading9Char">
    <w:name w:val="Heading 9 Char"/>
    <w:basedOn w:val="DefaultParagraphFont"/>
    <w:link w:val="Heading9"/>
    <w:uiPriority w:val="9"/>
    <w:semiHidden/>
    <w:rsid w:val="00D91C66"/>
    <w:rPr>
      <w:rFonts w:asciiTheme="majorHAnsi" w:eastAsiaTheme="majorEastAsia" w:hAnsiTheme="majorHAnsi" w:cstheme="majorBidi"/>
      <w:color w:val="275317" w:themeColor="accent6" w:themeShade="80"/>
    </w:rPr>
  </w:style>
  <w:style w:type="paragraph" w:styleId="Title">
    <w:name w:val="Title"/>
    <w:basedOn w:val="Normal"/>
    <w:next w:val="Normal"/>
    <w:link w:val="TitleChar"/>
    <w:uiPriority w:val="10"/>
    <w:qFormat/>
    <w:rsid w:val="00D91C66"/>
    <w:pPr>
      <w:spacing w:after="0" w:line="240" w:lineRule="auto"/>
      <w:contextualSpacing/>
    </w:pPr>
    <w:rPr>
      <w:rFonts w:asciiTheme="majorHAnsi" w:eastAsiaTheme="majorEastAsia" w:hAnsiTheme="majorHAnsi" w:cstheme="majorBidi"/>
      <w:color w:val="0F4761" w:themeColor="accent1" w:themeShade="BF"/>
      <w:spacing w:val="-10"/>
      <w:sz w:val="52"/>
      <w:szCs w:val="52"/>
    </w:rPr>
  </w:style>
  <w:style w:type="character" w:customStyle="1" w:styleId="TitleChar">
    <w:name w:val="Title Char"/>
    <w:basedOn w:val="DefaultParagraphFont"/>
    <w:link w:val="Title"/>
    <w:uiPriority w:val="10"/>
    <w:rsid w:val="00D91C66"/>
    <w:rPr>
      <w:rFonts w:asciiTheme="majorHAnsi" w:eastAsiaTheme="majorEastAsia" w:hAnsiTheme="majorHAnsi" w:cstheme="majorBidi"/>
      <w:color w:val="0F4761" w:themeColor="accent1" w:themeShade="BF"/>
      <w:spacing w:val="-10"/>
      <w:sz w:val="52"/>
      <w:szCs w:val="52"/>
    </w:rPr>
  </w:style>
  <w:style w:type="paragraph" w:styleId="Subtitle">
    <w:name w:val="Subtitle"/>
    <w:basedOn w:val="Normal"/>
    <w:next w:val="Normal"/>
    <w:link w:val="SubtitleChar"/>
    <w:uiPriority w:val="11"/>
    <w:qFormat/>
    <w:rsid w:val="00D91C66"/>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D91C66"/>
    <w:rPr>
      <w:rFonts w:asciiTheme="majorHAnsi" w:eastAsiaTheme="majorEastAsia" w:hAnsiTheme="majorHAnsi" w:cstheme="majorBidi"/>
    </w:rPr>
  </w:style>
  <w:style w:type="paragraph" w:styleId="Quote">
    <w:name w:val="Quote"/>
    <w:basedOn w:val="Normal"/>
    <w:next w:val="Normal"/>
    <w:link w:val="QuoteChar"/>
    <w:uiPriority w:val="29"/>
    <w:qFormat/>
    <w:rsid w:val="00D91C66"/>
    <w:pPr>
      <w:spacing w:before="120"/>
      <w:ind w:left="720" w:right="720"/>
      <w:jc w:val="center"/>
    </w:pPr>
    <w:rPr>
      <w:i/>
      <w:iCs/>
    </w:rPr>
  </w:style>
  <w:style w:type="character" w:customStyle="1" w:styleId="QuoteChar">
    <w:name w:val="Quote Char"/>
    <w:basedOn w:val="DefaultParagraphFont"/>
    <w:link w:val="Quote"/>
    <w:uiPriority w:val="29"/>
    <w:rsid w:val="00D91C66"/>
    <w:rPr>
      <w:i/>
      <w:iCs/>
    </w:rPr>
  </w:style>
  <w:style w:type="paragraph" w:styleId="ListParagraph">
    <w:name w:val="List Paragraph"/>
    <w:basedOn w:val="Normal"/>
    <w:uiPriority w:val="34"/>
    <w:qFormat/>
    <w:rsid w:val="00F4418C"/>
    <w:pPr>
      <w:ind w:left="720"/>
      <w:contextualSpacing/>
    </w:pPr>
  </w:style>
  <w:style w:type="character" w:styleId="IntenseEmphasis">
    <w:name w:val="Intense Emphasis"/>
    <w:basedOn w:val="DefaultParagraphFont"/>
    <w:uiPriority w:val="21"/>
    <w:qFormat/>
    <w:rsid w:val="00D91C66"/>
    <w:rPr>
      <w:b w:val="0"/>
      <w:bCs w:val="0"/>
      <w:i/>
      <w:iCs/>
      <w:color w:val="156082" w:themeColor="accent1"/>
    </w:rPr>
  </w:style>
  <w:style w:type="paragraph" w:styleId="IntenseQuote">
    <w:name w:val="Intense Quote"/>
    <w:basedOn w:val="Normal"/>
    <w:next w:val="Normal"/>
    <w:link w:val="IntenseQuoteChar"/>
    <w:uiPriority w:val="30"/>
    <w:qFormat/>
    <w:rsid w:val="00D91C66"/>
    <w:pPr>
      <w:spacing w:before="120" w:line="300" w:lineRule="auto"/>
      <w:ind w:left="576" w:right="576"/>
      <w:jc w:val="center"/>
    </w:pPr>
    <w:rPr>
      <w:rFonts w:asciiTheme="majorHAnsi" w:eastAsiaTheme="majorEastAsia" w:hAnsiTheme="majorHAnsi" w:cstheme="majorBidi"/>
      <w:color w:val="156082" w:themeColor="accent1"/>
      <w:sz w:val="24"/>
      <w:szCs w:val="24"/>
    </w:rPr>
  </w:style>
  <w:style w:type="character" w:customStyle="1" w:styleId="IntenseQuoteChar">
    <w:name w:val="Intense Quote Char"/>
    <w:basedOn w:val="DefaultParagraphFont"/>
    <w:link w:val="IntenseQuote"/>
    <w:uiPriority w:val="30"/>
    <w:rsid w:val="00D91C66"/>
    <w:rPr>
      <w:rFonts w:asciiTheme="majorHAnsi" w:eastAsiaTheme="majorEastAsia" w:hAnsiTheme="majorHAnsi" w:cstheme="majorBidi"/>
      <w:color w:val="156082" w:themeColor="accent1"/>
      <w:sz w:val="24"/>
      <w:szCs w:val="24"/>
    </w:rPr>
  </w:style>
  <w:style w:type="character" w:styleId="IntenseReference">
    <w:name w:val="Intense Reference"/>
    <w:basedOn w:val="DefaultParagraphFont"/>
    <w:uiPriority w:val="32"/>
    <w:qFormat/>
    <w:rsid w:val="00D91C66"/>
    <w:rPr>
      <w:b/>
      <w:bCs/>
      <w:smallCaps/>
      <w:color w:val="156082" w:themeColor="accent1"/>
      <w:spacing w:val="5"/>
      <w:u w:val="single"/>
    </w:rPr>
  </w:style>
  <w:style w:type="paragraph" w:styleId="FootnoteText">
    <w:name w:val="footnote text"/>
    <w:aliases w:val="5_G"/>
    <w:basedOn w:val="Normal"/>
    <w:link w:val="FootnoteTextChar"/>
    <w:uiPriority w:val="99"/>
    <w:unhideWhenUsed/>
    <w:rsid w:val="00C7049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70494"/>
    <w:rPr>
      <w:kern w:val="0"/>
      <w:sz w:val="20"/>
      <w:szCs w:val="20"/>
      <w14:ligatures w14:val="none"/>
    </w:rPr>
  </w:style>
  <w:style w:type="character" w:styleId="FootnoteReference">
    <w:name w:val="footnote reference"/>
    <w:aliases w:val="Footnote number,4_G,Footnotes refss"/>
    <w:basedOn w:val="DefaultParagraphFont"/>
    <w:uiPriority w:val="99"/>
    <w:unhideWhenUsed/>
    <w:rsid w:val="00C70494"/>
    <w:rPr>
      <w:vertAlign w:val="superscript"/>
    </w:rPr>
  </w:style>
  <w:style w:type="character" w:styleId="Hyperlink">
    <w:name w:val="Hyperlink"/>
    <w:basedOn w:val="DefaultParagraphFont"/>
    <w:uiPriority w:val="99"/>
    <w:unhideWhenUsed/>
    <w:rsid w:val="00C70494"/>
    <w:rPr>
      <w:color w:val="467886" w:themeColor="hyperlink"/>
      <w:u w:val="single"/>
    </w:rPr>
  </w:style>
  <w:style w:type="paragraph" w:styleId="NoSpacing">
    <w:name w:val="No Spacing"/>
    <w:link w:val="NoSpacingChar"/>
    <w:uiPriority w:val="1"/>
    <w:qFormat/>
    <w:rsid w:val="00D91C66"/>
    <w:pPr>
      <w:spacing w:after="0" w:line="240" w:lineRule="auto"/>
    </w:pPr>
  </w:style>
  <w:style w:type="character" w:customStyle="1" w:styleId="NoSpacingChar">
    <w:name w:val="No Spacing Char"/>
    <w:basedOn w:val="DefaultParagraphFont"/>
    <w:link w:val="NoSpacing"/>
    <w:uiPriority w:val="1"/>
    <w:rsid w:val="00C70494"/>
  </w:style>
  <w:style w:type="paragraph" w:styleId="Caption">
    <w:name w:val="caption"/>
    <w:basedOn w:val="Normal"/>
    <w:next w:val="Normal"/>
    <w:uiPriority w:val="35"/>
    <w:semiHidden/>
    <w:unhideWhenUsed/>
    <w:qFormat/>
    <w:rsid w:val="00D91C66"/>
    <w:pPr>
      <w:spacing w:line="240" w:lineRule="auto"/>
    </w:pPr>
    <w:rPr>
      <w:b/>
      <w:bCs/>
      <w:smallCaps/>
      <w:color w:val="156082" w:themeColor="accent1"/>
      <w:spacing w:val="6"/>
    </w:rPr>
  </w:style>
  <w:style w:type="character" w:styleId="Strong">
    <w:name w:val="Strong"/>
    <w:basedOn w:val="DefaultParagraphFont"/>
    <w:uiPriority w:val="22"/>
    <w:qFormat/>
    <w:rsid w:val="00D91C66"/>
    <w:rPr>
      <w:b/>
      <w:bCs/>
    </w:rPr>
  </w:style>
  <w:style w:type="character" w:styleId="Emphasis">
    <w:name w:val="Emphasis"/>
    <w:basedOn w:val="DefaultParagraphFont"/>
    <w:uiPriority w:val="20"/>
    <w:qFormat/>
    <w:rsid w:val="00D91C66"/>
    <w:rPr>
      <w:i/>
      <w:iCs/>
    </w:rPr>
  </w:style>
  <w:style w:type="character" w:styleId="SubtleEmphasis">
    <w:name w:val="Subtle Emphasis"/>
    <w:basedOn w:val="DefaultParagraphFont"/>
    <w:uiPriority w:val="19"/>
    <w:qFormat/>
    <w:rsid w:val="00D91C66"/>
    <w:rPr>
      <w:i/>
      <w:iCs/>
      <w:color w:val="404040" w:themeColor="text1" w:themeTint="BF"/>
    </w:rPr>
  </w:style>
  <w:style w:type="character" w:styleId="SubtleReference">
    <w:name w:val="Subtle Reference"/>
    <w:basedOn w:val="DefaultParagraphFont"/>
    <w:uiPriority w:val="31"/>
    <w:qFormat/>
    <w:rsid w:val="00D91C66"/>
    <w:rPr>
      <w:smallCaps/>
      <w:color w:val="404040" w:themeColor="text1" w:themeTint="BF"/>
      <w:u w:val="single" w:color="7F7F7F" w:themeColor="text1" w:themeTint="80"/>
    </w:rPr>
  </w:style>
  <w:style w:type="character" w:styleId="BookTitle">
    <w:name w:val="Book Title"/>
    <w:basedOn w:val="DefaultParagraphFont"/>
    <w:uiPriority w:val="33"/>
    <w:qFormat/>
    <w:rsid w:val="00D91C66"/>
    <w:rPr>
      <w:b/>
      <w:bCs/>
      <w:smallCaps/>
    </w:rPr>
  </w:style>
  <w:style w:type="paragraph" w:styleId="TOCHeading">
    <w:name w:val="TOC Heading"/>
    <w:basedOn w:val="Heading1"/>
    <w:next w:val="Normal"/>
    <w:uiPriority w:val="39"/>
    <w:semiHidden/>
    <w:unhideWhenUsed/>
    <w:qFormat/>
    <w:rsid w:val="00D91C66"/>
    <w:pPr>
      <w:outlineLvl w:val="9"/>
    </w:pPr>
  </w:style>
  <w:style w:type="character" w:styleId="CommentReference">
    <w:name w:val="annotation reference"/>
    <w:basedOn w:val="DefaultParagraphFont"/>
    <w:uiPriority w:val="99"/>
    <w:semiHidden/>
    <w:unhideWhenUsed/>
    <w:rsid w:val="00A63A21"/>
    <w:rPr>
      <w:sz w:val="16"/>
      <w:szCs w:val="16"/>
    </w:rPr>
  </w:style>
  <w:style w:type="paragraph" w:styleId="CommentText">
    <w:name w:val="annotation text"/>
    <w:basedOn w:val="Normal"/>
    <w:link w:val="CommentTextChar"/>
    <w:uiPriority w:val="99"/>
    <w:unhideWhenUsed/>
    <w:rsid w:val="00A63A21"/>
    <w:pPr>
      <w:spacing w:line="240" w:lineRule="auto"/>
    </w:pPr>
    <w:rPr>
      <w:rFonts w:eastAsiaTheme="minorHAnsi"/>
      <w:kern w:val="2"/>
      <w:sz w:val="20"/>
      <w:szCs w:val="20"/>
      <w14:ligatures w14:val="standardContextual"/>
    </w:rPr>
  </w:style>
  <w:style w:type="character" w:customStyle="1" w:styleId="CommentTextChar">
    <w:name w:val="Comment Text Char"/>
    <w:basedOn w:val="DefaultParagraphFont"/>
    <w:link w:val="CommentText"/>
    <w:uiPriority w:val="99"/>
    <w:rsid w:val="00A63A21"/>
    <w:rPr>
      <w:rFonts w:eastAsiaTheme="minorHAnsi"/>
      <w:kern w:val="2"/>
      <w:sz w:val="20"/>
      <w:szCs w:val="20"/>
      <w14:ligatures w14:val="standardContextual"/>
    </w:rPr>
  </w:style>
  <w:style w:type="character" w:styleId="UnresolvedMention">
    <w:name w:val="Unresolved Mention"/>
    <w:basedOn w:val="DefaultParagraphFont"/>
    <w:uiPriority w:val="99"/>
    <w:semiHidden/>
    <w:unhideWhenUsed/>
    <w:rsid w:val="00790A85"/>
    <w:rPr>
      <w:color w:val="605E5C"/>
      <w:shd w:val="clear" w:color="auto" w:fill="E1DFDD"/>
    </w:rPr>
  </w:style>
  <w:style w:type="paragraph" w:styleId="Header">
    <w:name w:val="header"/>
    <w:basedOn w:val="Normal"/>
    <w:link w:val="HeaderChar"/>
    <w:uiPriority w:val="99"/>
    <w:unhideWhenUsed/>
    <w:rsid w:val="001170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003"/>
  </w:style>
  <w:style w:type="paragraph" w:styleId="Footer">
    <w:name w:val="footer"/>
    <w:basedOn w:val="Normal"/>
    <w:link w:val="FooterChar"/>
    <w:uiPriority w:val="99"/>
    <w:unhideWhenUsed/>
    <w:rsid w:val="001170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choudhury@binghamcentre.biicl.or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news.bbc.co.uk/2/hi/5144438.stm" TargetMode="External"/><Relationship Id="rId2" Type="http://schemas.openxmlformats.org/officeDocument/2006/relationships/hyperlink" Target="https://committees.parliament.uk/work/9126/combatting-new-forms-of-extremism/" TargetMode="External"/><Relationship Id="rId1" Type="http://schemas.openxmlformats.org/officeDocument/2006/relationships/hyperlink" Target="https://www.gov.uk/government/publications/lessons-for-prevent" TargetMode="External"/><Relationship Id="rId5" Type="http://schemas.openxmlformats.org/officeDocument/2006/relationships/hyperlink" Target="https://policyexchange.org.uk/wp-content/uploads/2022/10/Delegitimising-Counter-Terrorism.pdf" TargetMode="External"/><Relationship Id="rId4" Type="http://schemas.openxmlformats.org/officeDocument/2006/relationships/hyperlink" Target="https://www.gov.uk/government/publications/terrorist-attacks-in-paris%3e%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8</Pages>
  <Words>2666</Words>
  <Characters>15730</Characters>
  <Application>Microsoft Office Word</Application>
  <DocSecurity>0</DocSecurity>
  <Lines>231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CHOUDHURY, TUFYAL A.</dc:creator>
  <cp:keywords/>
  <dc:description/>
  <cp:lastModifiedBy>CHOUDHURY, TUFYAL A.</cp:lastModifiedBy>
  <cp:revision>60</cp:revision>
  <dcterms:created xsi:type="dcterms:W3CDTF">2026-05-08T11:56:00Z</dcterms:created>
  <dcterms:modified xsi:type="dcterms:W3CDTF">2026-05-11T11:01:00Z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c809e232-2c26-4fd3-8916-c94f4ba2873c</vt:lpwstr>
  </property>
</Properties>
</file>