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03F6" w:rsidRDefault="00F503F6" w:rsidP="00F503F6">
      <w:pPr>
        <w:pStyle w:val="Title"/>
        <w:bidi/>
        <w:jc w:val="center"/>
        <w:rPr>
          <w:b w:val="0"/>
          <w:bCs/>
          <w:sz w:val="40"/>
          <w:szCs w:val="36"/>
          <w:rtl/>
          <w:lang w:bidi="ar-EG"/>
        </w:rPr>
      </w:pPr>
      <w:r w:rsidRPr="00F503F6">
        <w:rPr>
          <w:b w:val="0"/>
          <w:bCs/>
          <w:sz w:val="40"/>
          <w:szCs w:val="36"/>
          <w:rtl/>
          <w:lang w:bidi="ar-EG"/>
        </w:rPr>
        <w:t xml:space="preserve">تقرير مقدم من مؤسسة ماعت </w:t>
      </w:r>
      <w:r w:rsidRPr="00F503F6">
        <w:rPr>
          <w:rFonts w:hint="cs"/>
          <w:b w:val="0"/>
          <w:bCs/>
          <w:sz w:val="40"/>
          <w:szCs w:val="36"/>
          <w:rtl/>
          <w:lang w:bidi="ar-EG"/>
        </w:rPr>
        <w:t>إلى</w:t>
      </w:r>
      <w:r w:rsidRPr="00F503F6">
        <w:rPr>
          <w:b w:val="0"/>
          <w:bCs/>
          <w:sz w:val="40"/>
          <w:szCs w:val="36"/>
          <w:rtl/>
          <w:lang w:bidi="ar-EG"/>
        </w:rPr>
        <w:t xml:space="preserve"> </w:t>
      </w:r>
      <w:r w:rsidRPr="00F503F6">
        <w:rPr>
          <w:b w:val="0"/>
          <w:bCs/>
          <w:sz w:val="40"/>
          <w:szCs w:val="36"/>
          <w:rtl/>
        </w:rPr>
        <w:t>اللجنة المعنية بحماية حقوق جميع العمال المهاجرين وأفراد أسرهم</w:t>
      </w:r>
      <w:r>
        <w:rPr>
          <w:rFonts w:hint="cs"/>
          <w:b w:val="0"/>
          <w:bCs/>
          <w:sz w:val="40"/>
          <w:szCs w:val="36"/>
          <w:rtl/>
        </w:rPr>
        <w:t xml:space="preserve"> </w:t>
      </w:r>
      <w:r w:rsidRPr="00F503F6">
        <w:rPr>
          <w:rFonts w:hint="cs"/>
          <w:b w:val="0"/>
          <w:bCs/>
          <w:sz w:val="40"/>
          <w:szCs w:val="36"/>
          <w:rtl/>
          <w:lang w:bidi="ar-EG"/>
        </w:rPr>
        <w:t xml:space="preserve">بخصوص </w:t>
      </w:r>
      <w:r>
        <w:rPr>
          <w:rFonts w:hint="cs"/>
          <w:b w:val="0"/>
          <w:bCs/>
          <w:sz w:val="40"/>
          <w:szCs w:val="36"/>
          <w:rtl/>
          <w:lang w:bidi="ar-EG"/>
        </w:rPr>
        <w:t xml:space="preserve">قائمة المسائل الخاصة بجمهورية مصر العربية </w:t>
      </w:r>
    </w:p>
    <w:p w:rsidR="00F503F6" w:rsidRPr="00F503F6" w:rsidRDefault="00F503F6" w:rsidP="00F503F6">
      <w:pPr>
        <w:pStyle w:val="Title"/>
        <w:bidi/>
        <w:jc w:val="center"/>
        <w:rPr>
          <w:b w:val="0"/>
          <w:bCs/>
          <w:sz w:val="40"/>
          <w:szCs w:val="36"/>
          <w:rtl/>
          <w:lang w:bidi="ar-EG"/>
        </w:rPr>
      </w:pPr>
      <w:r w:rsidRPr="00F503F6">
        <w:rPr>
          <w:rFonts w:hint="cs"/>
          <w:b w:val="0"/>
          <w:bCs/>
          <w:sz w:val="40"/>
          <w:szCs w:val="36"/>
          <w:rtl/>
          <w:lang w:bidi="ar-EG"/>
        </w:rPr>
        <w:t>(مايو 2024)</w:t>
      </w:r>
    </w:p>
    <w:p w:rsidR="00F503F6" w:rsidRDefault="00F503F6" w:rsidP="00423018">
      <w:pPr>
        <w:bidi/>
        <w:spacing w:line="276" w:lineRule="auto"/>
        <w:jc w:val="lowKashida"/>
        <w:rPr>
          <w:rFonts w:ascii="Dubai" w:hAnsi="Dubai" w:cs="Dubai"/>
          <w:sz w:val="24"/>
          <w:szCs w:val="24"/>
          <w:rtl/>
          <w:lang w:bidi="ar-EG"/>
        </w:rPr>
      </w:pPr>
      <w:r w:rsidRPr="00423018">
        <w:rPr>
          <w:rFonts w:ascii="Dubai" w:hAnsi="Dubai" w:cs="Dubai"/>
          <w:sz w:val="24"/>
          <w:szCs w:val="24"/>
          <w:rtl/>
          <w:lang w:bidi="ar-EG"/>
        </w:rPr>
        <w:t xml:space="preserve">تقدم مؤسسة </w:t>
      </w:r>
      <w:r w:rsidRPr="00423018">
        <w:rPr>
          <w:rFonts w:ascii="Dubai" w:hAnsi="Dubai" w:cs="Dubai"/>
          <w:b/>
          <w:bCs/>
          <w:sz w:val="24"/>
          <w:szCs w:val="24"/>
          <w:rtl/>
          <w:lang w:bidi="ar-EG"/>
        </w:rPr>
        <w:t>ماعت  للسلام والتنمية وحقوق الإنسان</w:t>
      </w:r>
      <w:r w:rsidRPr="00423018">
        <w:rPr>
          <w:rFonts w:ascii="Dubai" w:hAnsi="Dubai" w:cs="Dubai"/>
          <w:sz w:val="24"/>
          <w:szCs w:val="24"/>
          <w:rtl/>
          <w:lang w:bidi="ar-EG"/>
        </w:rPr>
        <w:t>، هذا التقرير إلي لجنة حقوق العمال المهاجرين وأفراد أسرهم، وتشير مؤسسة ماعت</w:t>
      </w:r>
      <w:r>
        <w:rPr>
          <w:rFonts w:ascii="Dubai" w:hAnsi="Dubai" w:cs="Dubai" w:hint="cs"/>
          <w:sz w:val="24"/>
          <w:szCs w:val="24"/>
          <w:rtl/>
          <w:lang w:bidi="ar-EG"/>
        </w:rPr>
        <w:t xml:space="preserve"> إلى</w:t>
      </w:r>
      <w:r w:rsidRPr="00423018">
        <w:rPr>
          <w:rFonts w:ascii="Dubai" w:hAnsi="Dubai" w:cs="Dubai"/>
          <w:sz w:val="24"/>
          <w:szCs w:val="24"/>
          <w:rtl/>
          <w:lang w:bidi="ar-EG"/>
        </w:rPr>
        <w:t xml:space="preserve"> إن مصر هي أول دولة صادقت علي اتفاقية حقوق العمال المهاجرين وأفراد أسرهم في 19 فبراير 1993 ونشر هذا التصديق في الجريدة الرسمية في 5 أغسطس 1993، وأطلعت مؤسسة ماعت قبل إعداد هذا التقرير علي التقرير الجامع للتقارير الدورية الثاني والثالث والرابع المقدم من مصر بشأن اتفاقية حماية حقوق جميع العمال المهاجرين وأفراد أسرهم والذي قدمته مصر في 1 يناير 2024 إلي اللجنة وهو التقرير الذي كان من المفترض تسليمه إلي اللجنة في مايو 2018 وتأمل مؤسسة ماعت أن تسرع مصر وتيرة تسليم التقارير إلي لجان المعاهدات بالأمم المتحدة.</w:t>
      </w:r>
    </w:p>
    <w:p w:rsidR="00F503F6" w:rsidRPr="00423018" w:rsidRDefault="00F503F6" w:rsidP="00423018">
      <w:pPr>
        <w:bidi/>
        <w:spacing w:line="276" w:lineRule="auto"/>
        <w:jc w:val="lowKashida"/>
        <w:rPr>
          <w:rFonts w:ascii="Dubai" w:hAnsi="Dubai" w:cs="Dubai"/>
          <w:sz w:val="24"/>
          <w:szCs w:val="24"/>
          <w:rtl/>
          <w:lang w:bidi="ar-EG"/>
        </w:rPr>
      </w:pPr>
      <w:r w:rsidRPr="00423018">
        <w:rPr>
          <w:rFonts w:ascii="Dubai" w:hAnsi="Dubai" w:cs="Dubai"/>
          <w:sz w:val="24"/>
          <w:szCs w:val="24"/>
          <w:rtl/>
          <w:lang w:bidi="ar-EG"/>
        </w:rPr>
        <w:t xml:space="preserve">وتري مؤسسة ماعت إن قضية العمال المهاجرين وأفراد أسرهم باتت تشكل نقاشًا مجتمعيًا في الوقت الحالي نظرًا للزيادة الواسعة لأعداد المهاجرين نتيجة النزاعات المسلحة والحروب في الدول المجاورة، ومع تقدير مؤسسة ماعت للرؤية الحكومية المتمثلة في إن عدم الاستقرار الإقليمي والنزوح المترتب عليه يمثلان تحديين </w:t>
      </w:r>
      <w:r w:rsidRPr="00423018">
        <w:rPr>
          <w:rFonts w:ascii="Dubai" w:hAnsi="Dubai" w:cs="Dubai" w:hint="cs"/>
          <w:sz w:val="24"/>
          <w:szCs w:val="24"/>
          <w:rtl/>
          <w:lang w:bidi="ar-EG"/>
        </w:rPr>
        <w:t>أساسيين</w:t>
      </w:r>
      <w:r w:rsidRPr="00423018">
        <w:rPr>
          <w:rFonts w:ascii="Dubai" w:hAnsi="Dubai" w:cs="Dubai"/>
          <w:sz w:val="24"/>
          <w:szCs w:val="24"/>
          <w:rtl/>
          <w:lang w:bidi="ar-EG"/>
        </w:rPr>
        <w:t xml:space="preserve"> يضعان ضغوطا مجتمعية وسياسية واقتصادية عليها كدول</w:t>
      </w:r>
      <w:r>
        <w:rPr>
          <w:rFonts w:ascii="Dubai" w:hAnsi="Dubai" w:cs="Dubai" w:hint="cs"/>
          <w:sz w:val="24"/>
          <w:szCs w:val="24"/>
          <w:rtl/>
          <w:lang w:bidi="ar-EG"/>
        </w:rPr>
        <w:t>ة</w:t>
      </w:r>
      <w:r w:rsidRPr="00423018">
        <w:rPr>
          <w:rFonts w:ascii="Dubai" w:hAnsi="Dubai" w:cs="Dubai"/>
          <w:sz w:val="24"/>
          <w:szCs w:val="24"/>
          <w:rtl/>
          <w:lang w:bidi="ar-EG"/>
        </w:rPr>
        <w:t xml:space="preserve"> مضيفة إلا إن مؤسسة ماعت تري إن ذلك لا يمكن أن يحول دون استمرار الحكومة المصرية في التقيد بالتزاماته بموجب الاتفاقية. </w:t>
      </w:r>
    </w:p>
    <w:p w:rsidR="00F503F6" w:rsidRDefault="00F503F6" w:rsidP="00423018">
      <w:pPr>
        <w:bidi/>
        <w:spacing w:line="276" w:lineRule="auto"/>
        <w:jc w:val="lowKashida"/>
        <w:rPr>
          <w:rFonts w:ascii="Dubai" w:hAnsi="Dubai" w:cs="Dubai"/>
          <w:sz w:val="24"/>
          <w:szCs w:val="24"/>
          <w:rtl/>
          <w:lang w:bidi="ar-EG"/>
        </w:rPr>
      </w:pPr>
      <w:r w:rsidRPr="00423018">
        <w:rPr>
          <w:rFonts w:ascii="Dubai" w:hAnsi="Dubai" w:cs="Dubai"/>
          <w:sz w:val="24"/>
          <w:szCs w:val="24"/>
          <w:rtl/>
          <w:lang w:bidi="ar-EG"/>
        </w:rPr>
        <w:t xml:space="preserve">كما تعد مصر من دول المنشأ والمقصد والعبور وهو ما يضفي أهمية أخري </w:t>
      </w:r>
      <w:r w:rsidRPr="00423018">
        <w:rPr>
          <w:rFonts w:ascii="Dubai" w:hAnsi="Dubai" w:cs="Dubai" w:hint="cs"/>
          <w:sz w:val="24"/>
          <w:szCs w:val="24"/>
          <w:rtl/>
          <w:lang w:bidi="ar-EG"/>
        </w:rPr>
        <w:t>على</w:t>
      </w:r>
      <w:r w:rsidRPr="00423018">
        <w:rPr>
          <w:rFonts w:ascii="Dubai" w:hAnsi="Dubai" w:cs="Dubai"/>
          <w:sz w:val="24"/>
          <w:szCs w:val="24"/>
          <w:rtl/>
          <w:lang w:bidi="ar-EG"/>
        </w:rPr>
        <w:t xml:space="preserve"> هذا التقرير ومع تقدير مؤسسة ماعت للجهود الواسعة التي تقوم بها الحكومة المصرية من أجل ادماج المهاجرين وأفراد اسرهم في المجتمع المصري بما في ذلك توفير الرعاية الطبية لهم وإدراجهم في المبادرة الرئاسية 100 مليون صحة وإتاحة التعليم لبعض الجنسيات في المدارس الحكومية أسوة </w:t>
      </w:r>
      <w:r w:rsidRPr="00423018">
        <w:rPr>
          <w:rFonts w:ascii="Dubai" w:hAnsi="Dubai" w:cs="Dubai" w:hint="cs"/>
          <w:sz w:val="24"/>
          <w:szCs w:val="24"/>
          <w:rtl/>
          <w:lang w:bidi="ar-EG"/>
        </w:rPr>
        <w:t>بالمواطنين.</w:t>
      </w:r>
      <w:r w:rsidRPr="00423018">
        <w:rPr>
          <w:rFonts w:ascii="Dubai" w:hAnsi="Dubai" w:cs="Dubai"/>
          <w:sz w:val="24"/>
          <w:szCs w:val="24"/>
          <w:rtl/>
          <w:lang w:bidi="ar-EG"/>
        </w:rPr>
        <w:t xml:space="preserve"> وما نص عليه إطار الأمم المتحدة للتعاون من أجل التنمية المستدامة 2023-2027 الموقع </w:t>
      </w:r>
      <w:r w:rsidRPr="00423018">
        <w:rPr>
          <w:rFonts w:ascii="Dubai" w:hAnsi="Dubai" w:cs="Dubai" w:hint="cs"/>
          <w:sz w:val="24"/>
          <w:szCs w:val="24"/>
          <w:rtl/>
          <w:lang w:bidi="ar-EG"/>
        </w:rPr>
        <w:t>في 11</w:t>
      </w:r>
      <w:r w:rsidRPr="00423018">
        <w:rPr>
          <w:rFonts w:ascii="Dubai" w:hAnsi="Dubai" w:cs="Dubai"/>
          <w:sz w:val="24"/>
          <w:szCs w:val="24"/>
          <w:rtl/>
          <w:lang w:bidi="ar-EG"/>
        </w:rPr>
        <w:t xml:space="preserve"> مايو 2023 </w:t>
      </w:r>
      <w:r w:rsidRPr="00423018">
        <w:rPr>
          <w:rFonts w:ascii="Dubai" w:hAnsi="Dubai" w:cs="Dubai" w:hint="cs"/>
          <w:sz w:val="24"/>
          <w:szCs w:val="24"/>
          <w:rtl/>
          <w:lang w:bidi="ar-EG"/>
        </w:rPr>
        <w:t>بين الحكومة</w:t>
      </w:r>
      <w:r w:rsidRPr="00423018">
        <w:rPr>
          <w:rFonts w:ascii="Dubai" w:hAnsi="Dubai" w:cs="Dubai"/>
          <w:sz w:val="24"/>
          <w:szCs w:val="24"/>
          <w:rtl/>
          <w:lang w:bidi="ar-EG"/>
        </w:rPr>
        <w:t xml:space="preserve"> المصرية والأمم المتحدة وهو الإطار الذي يتضمن مساعدة للمهاجرين بالشكل الذي </w:t>
      </w:r>
      <w:r w:rsidRPr="00423018">
        <w:rPr>
          <w:rFonts w:ascii="Dubai" w:hAnsi="Dubai" w:cs="Dubai" w:hint="cs"/>
          <w:sz w:val="24"/>
          <w:szCs w:val="24"/>
          <w:rtl/>
          <w:lang w:bidi="ar-EG"/>
        </w:rPr>
        <w:t>يحقق أحد</w:t>
      </w:r>
      <w:r w:rsidRPr="00423018">
        <w:rPr>
          <w:rFonts w:ascii="Dubai" w:hAnsi="Dubai" w:cs="Dubai"/>
          <w:sz w:val="24"/>
          <w:szCs w:val="24"/>
          <w:rtl/>
          <w:lang w:bidi="ar-EG"/>
        </w:rPr>
        <w:t xml:space="preserve"> المبادئ العامة لأهداف التنمية المستدامة المتمثل في عدم ترك أحد يتخلف عن الركب. كما أطلقت </w:t>
      </w:r>
      <w:r w:rsidRPr="00423018">
        <w:rPr>
          <w:rFonts w:ascii="Dubai" w:hAnsi="Dubai" w:cs="Dubai" w:hint="cs"/>
          <w:sz w:val="24"/>
          <w:szCs w:val="24"/>
          <w:rtl/>
          <w:lang w:bidi="ar-EG"/>
        </w:rPr>
        <w:t>مصر المنصة</w:t>
      </w:r>
      <w:r w:rsidRPr="00423018">
        <w:rPr>
          <w:rFonts w:ascii="Dubai" w:hAnsi="Dubai" w:cs="Dubai"/>
          <w:sz w:val="24"/>
          <w:szCs w:val="24"/>
          <w:rtl/>
          <w:lang w:bidi="ar-EG"/>
        </w:rPr>
        <w:t xml:space="preserve"> المشتركة للمهاجرين واللاجئين في نوفمبر 2021، والتي تجمع بين مصر ووكالات الأمم المتحدة وشركاء التنمية والمنظمات المدنية. وأصحاب المصلحة الآخرين لتعزيز الجهود الرامية إلى مساعدة المهاجرين واللاجئين والمجتمعات المضيفة لهم في مصر.</w:t>
      </w:r>
    </w:p>
    <w:p w:rsidR="00F503F6" w:rsidRPr="00423018" w:rsidRDefault="00F503F6" w:rsidP="00423018">
      <w:pPr>
        <w:bidi/>
        <w:spacing w:line="276" w:lineRule="auto"/>
        <w:jc w:val="lowKashida"/>
        <w:rPr>
          <w:rFonts w:ascii="Dubai" w:hAnsi="Dubai" w:cs="Dubai"/>
          <w:sz w:val="24"/>
          <w:szCs w:val="24"/>
          <w:rtl/>
          <w:lang w:bidi="ar-EG"/>
        </w:rPr>
      </w:pPr>
      <w:r w:rsidRPr="00456D44">
        <w:rPr>
          <w:rFonts w:ascii="Dubai" w:hAnsi="Dubai" w:cs="Dubai"/>
          <w:sz w:val="24"/>
          <w:szCs w:val="24"/>
          <w:rtl/>
          <w:lang w:bidi="ar-EG"/>
        </w:rPr>
        <w:lastRenderedPageBreak/>
        <w:t xml:space="preserve">إلا إنه لا يزال لدي مؤسسة ماعت بواعث قلق بشأن البيانات الرسمية التي تقر بعدم وجود إحصاءات دقيقة وبيانات منتظمة بشأن تدفقات الهجرة </w:t>
      </w:r>
      <w:r w:rsidRPr="00456D44">
        <w:rPr>
          <w:rFonts w:ascii="Dubai" w:hAnsi="Dubai" w:cs="Dubai" w:hint="cs"/>
          <w:sz w:val="24"/>
          <w:szCs w:val="24"/>
          <w:rtl/>
          <w:lang w:bidi="ar-EG"/>
        </w:rPr>
        <w:t>إلى</w:t>
      </w:r>
      <w:r w:rsidRPr="00456D44">
        <w:rPr>
          <w:rFonts w:ascii="Dubai" w:hAnsi="Dubai" w:cs="Dubai"/>
          <w:sz w:val="24"/>
          <w:szCs w:val="24"/>
          <w:rtl/>
          <w:lang w:bidi="ar-EG"/>
        </w:rPr>
        <w:t xml:space="preserve"> مصر وتري مؤسسة ماعت إن هذه المعلومات ذات أهمية خاصة لإنه يترتب عليها فهم </w:t>
      </w:r>
      <w:r w:rsidRPr="00456D44">
        <w:rPr>
          <w:rFonts w:ascii="Dubai" w:hAnsi="Dubai" w:cs="Dubai" w:hint="cs"/>
          <w:sz w:val="24"/>
          <w:szCs w:val="24"/>
          <w:rtl/>
          <w:lang w:bidi="ar-EG"/>
        </w:rPr>
        <w:t>وإدراك</w:t>
      </w:r>
      <w:r w:rsidRPr="00456D44">
        <w:rPr>
          <w:rFonts w:ascii="Dubai" w:hAnsi="Dubai" w:cs="Dubai"/>
          <w:sz w:val="24"/>
          <w:szCs w:val="24"/>
          <w:rtl/>
          <w:lang w:bidi="ar-EG"/>
        </w:rPr>
        <w:t xml:space="preserve"> حالة العمال المهاجرين في الدولة ولتقييم تنفيذ الاتفاقية</w:t>
      </w:r>
      <w:r w:rsidRPr="00423018">
        <w:rPr>
          <w:rFonts w:ascii="Dubai" w:hAnsi="Dubai" w:cs="Dubai"/>
          <w:sz w:val="24"/>
          <w:szCs w:val="24"/>
          <w:rtl/>
          <w:lang w:bidi="ar-EG"/>
        </w:rPr>
        <w:t>. ووفقًا للجهاز المركزي للتعبئة العامة والإحصاء، فإن التحديات الرئيسية التي تواجه تدفق بيانات منتظمة عن المهاجرين تشمل انخفاض مستوى التعاون بين المؤسسات المعنية بجمع البي</w:t>
      </w:r>
      <w:r>
        <w:rPr>
          <w:rFonts w:ascii="Dubai" w:hAnsi="Dubai" w:cs="Dubai" w:hint="cs"/>
          <w:sz w:val="24"/>
          <w:szCs w:val="24"/>
          <w:rtl/>
          <w:lang w:bidi="ar-EG"/>
        </w:rPr>
        <w:t>ا</w:t>
      </w:r>
      <w:r w:rsidRPr="00423018">
        <w:rPr>
          <w:rFonts w:ascii="Dubai" w:hAnsi="Dubai" w:cs="Dubai"/>
          <w:sz w:val="24"/>
          <w:szCs w:val="24"/>
          <w:rtl/>
          <w:lang w:bidi="ar-EG"/>
        </w:rPr>
        <w:t xml:space="preserve">نات، وانخفاض مستوى الاهتمام وارتفاع التكاليف، ويرجع أخر جهد مبذول لجمع البيانات في هذا السياق لمسح الهجرة الدولية للأسر في مصر لعام 2013. </w:t>
      </w:r>
    </w:p>
    <w:p w:rsidR="00F503F6" w:rsidRPr="00423018" w:rsidRDefault="00F503F6" w:rsidP="00423018">
      <w:pPr>
        <w:bidi/>
        <w:spacing w:line="276" w:lineRule="auto"/>
        <w:jc w:val="lowKashida"/>
        <w:rPr>
          <w:rFonts w:ascii="Dubai" w:hAnsi="Dubai" w:cs="Dubai"/>
          <w:sz w:val="24"/>
          <w:szCs w:val="24"/>
          <w:rtl/>
          <w:lang w:bidi="ar-EG"/>
        </w:rPr>
      </w:pPr>
      <w:r w:rsidRPr="00423018">
        <w:rPr>
          <w:rFonts w:ascii="Dubai" w:hAnsi="Dubai" w:cs="Dubai"/>
          <w:sz w:val="24"/>
          <w:szCs w:val="24"/>
          <w:rtl/>
          <w:lang w:bidi="ar-EG"/>
        </w:rPr>
        <w:t xml:space="preserve">وتلاحظ مؤسسة ماعت أيضا المرسوم الصادر عن </w:t>
      </w:r>
      <w:r w:rsidRPr="00423018">
        <w:rPr>
          <w:rFonts w:ascii="Dubai" w:hAnsi="Dubai" w:cs="Dubai" w:hint="cs"/>
          <w:sz w:val="24"/>
          <w:szCs w:val="24"/>
          <w:rtl/>
          <w:lang w:bidi="ar-EG"/>
        </w:rPr>
        <w:t>رئيس</w:t>
      </w:r>
      <w:r w:rsidRPr="00423018">
        <w:rPr>
          <w:rFonts w:ascii="Dubai" w:hAnsi="Dubai" w:cs="Dubai"/>
          <w:sz w:val="24"/>
          <w:szCs w:val="24"/>
          <w:rtl/>
          <w:lang w:bidi="ar-EG"/>
        </w:rPr>
        <w:t xml:space="preserve"> الوزراء بإنشاء لجنة وطنية برئاسة وزارة </w:t>
      </w:r>
      <w:r w:rsidRPr="00423018">
        <w:rPr>
          <w:rFonts w:ascii="Dubai" w:hAnsi="Dubai" w:cs="Dubai" w:hint="cs"/>
          <w:sz w:val="24"/>
          <w:szCs w:val="24"/>
          <w:rtl/>
          <w:lang w:bidi="ar-EG"/>
        </w:rPr>
        <w:t>الخارجية لمتابعة</w:t>
      </w:r>
      <w:r w:rsidRPr="00423018">
        <w:rPr>
          <w:rFonts w:ascii="Dubai" w:hAnsi="Dubai" w:cs="Dubai"/>
          <w:sz w:val="24"/>
          <w:szCs w:val="24"/>
          <w:rtl/>
          <w:lang w:bidi="ar-EG"/>
        </w:rPr>
        <w:t xml:space="preserve"> تنفيذ الاتفاق العالمي للهجرة بالتعاون مع جميع الجهات المعنية، ومع تقدير مؤسسة ماعت لهذا المرسوم إلا إن المؤسسة تلاحظ إن المرسوم لا يتضمن مشاركة أصحاب المصلحة الأخرين مثل المجالس القومية المتخصصة والمجتمع المدني في تنفيذ </w:t>
      </w:r>
      <w:r w:rsidRPr="00423018">
        <w:rPr>
          <w:rFonts w:ascii="Dubai" w:hAnsi="Dubai" w:cs="Dubai" w:hint="cs"/>
          <w:sz w:val="24"/>
          <w:szCs w:val="24"/>
          <w:rtl/>
          <w:lang w:bidi="ar-EG"/>
        </w:rPr>
        <w:t>الاتفاق.</w:t>
      </w:r>
      <w:r w:rsidRPr="00423018">
        <w:rPr>
          <w:rFonts w:ascii="Dubai" w:hAnsi="Dubai" w:cs="Dubai"/>
          <w:sz w:val="24"/>
          <w:szCs w:val="24"/>
          <w:rtl/>
          <w:lang w:bidi="ar-EG"/>
        </w:rPr>
        <w:t xml:space="preserve"> ووفقا لبيانات المنظمة الدولية للهجرة فإن العدد الحالي للمهاجرين في مصر هو تسعة مليون تشكل الجنسيات السودانية والسورية والليبية واليمينة 80% من هؤلاء المهاجرين</w:t>
      </w:r>
      <w:r w:rsidRPr="00423018">
        <w:rPr>
          <w:rStyle w:val="FootnoteReference"/>
          <w:rFonts w:ascii="Dubai" w:hAnsi="Dubai" w:cs="Dubai"/>
          <w:sz w:val="24"/>
          <w:szCs w:val="24"/>
          <w:rtl/>
          <w:lang w:bidi="ar-EG"/>
        </w:rPr>
        <w:footnoteReference w:id="1"/>
      </w:r>
      <w:r>
        <w:rPr>
          <w:rFonts w:ascii="Dubai" w:hAnsi="Dubai" w:cs="Dubai" w:hint="cs"/>
          <w:sz w:val="24"/>
          <w:szCs w:val="24"/>
          <w:rtl/>
          <w:lang w:bidi="ar-EG"/>
        </w:rPr>
        <w:t>.</w:t>
      </w:r>
      <w:r w:rsidRPr="00423018">
        <w:rPr>
          <w:rFonts w:ascii="Dubai" w:hAnsi="Dubai" w:cs="Dubai"/>
          <w:sz w:val="24"/>
          <w:szCs w:val="24"/>
          <w:rtl/>
          <w:lang w:bidi="ar-EG"/>
        </w:rPr>
        <w:t xml:space="preserve"> وتعد هذه الإحصائيات قريبة من البيانات المصرية والتي تفيد بوجود 9 مليون أجنبي ما بين مهاجرين شرعيين وغير شرعيين ولاجئين</w:t>
      </w:r>
      <w:r w:rsidRPr="00423018">
        <w:rPr>
          <w:rStyle w:val="FootnoteReference"/>
          <w:rFonts w:ascii="Dubai" w:hAnsi="Dubai" w:cs="Dubai"/>
          <w:sz w:val="24"/>
          <w:szCs w:val="24"/>
          <w:rtl/>
          <w:lang w:bidi="ar-EG"/>
        </w:rPr>
        <w:footnoteReference w:id="2"/>
      </w:r>
      <w:r w:rsidRPr="00423018">
        <w:rPr>
          <w:rFonts w:ascii="Dubai" w:hAnsi="Dubai" w:cs="Dubai"/>
          <w:sz w:val="24"/>
          <w:szCs w:val="24"/>
          <w:rtl/>
          <w:lang w:bidi="ar-EG"/>
        </w:rPr>
        <w:t xml:space="preserve">. يركز هذا التقرير </w:t>
      </w:r>
      <w:r w:rsidRPr="00423018">
        <w:rPr>
          <w:rFonts w:ascii="Dubai" w:hAnsi="Dubai" w:cs="Dubai" w:hint="cs"/>
          <w:sz w:val="24"/>
          <w:szCs w:val="24"/>
          <w:rtl/>
          <w:lang w:bidi="ar-EG"/>
        </w:rPr>
        <w:t>على</w:t>
      </w:r>
      <w:r w:rsidRPr="00423018">
        <w:rPr>
          <w:rFonts w:ascii="Dubai" w:hAnsi="Dubai" w:cs="Dubai"/>
          <w:sz w:val="24"/>
          <w:szCs w:val="24"/>
          <w:rtl/>
          <w:lang w:bidi="ar-EG"/>
        </w:rPr>
        <w:t xml:space="preserve"> التقدم الذي حققته مصر في تنفيذ اتفاقية حماية حقوق العمال المهاجرين وأفراد أسرهم (يشار إليها فيما بعد </w:t>
      </w:r>
      <w:r w:rsidRPr="00423018">
        <w:rPr>
          <w:rFonts w:ascii="Dubai" w:hAnsi="Dubai" w:cs="Dubai" w:hint="cs"/>
          <w:sz w:val="24"/>
          <w:szCs w:val="24"/>
          <w:rtl/>
          <w:lang w:bidi="ar-EG"/>
        </w:rPr>
        <w:t>بالاتفاقية</w:t>
      </w:r>
      <w:r w:rsidRPr="00423018">
        <w:rPr>
          <w:rFonts w:ascii="Dubai" w:hAnsi="Dubai" w:cs="Dubai"/>
          <w:sz w:val="24"/>
          <w:szCs w:val="24"/>
          <w:rtl/>
          <w:lang w:bidi="ar-EG"/>
        </w:rPr>
        <w:t xml:space="preserve">) وعلي التحديات التي تري المؤسسة إنها تظل ماثلة أمام التنفيذ الأمثل </w:t>
      </w:r>
      <w:r w:rsidRPr="00423018">
        <w:rPr>
          <w:rFonts w:ascii="Dubai" w:hAnsi="Dubai" w:cs="Dubai" w:hint="cs"/>
          <w:sz w:val="24"/>
          <w:szCs w:val="24"/>
          <w:rtl/>
          <w:lang w:bidi="ar-EG"/>
        </w:rPr>
        <w:t>للاتفاقية</w:t>
      </w:r>
      <w:r w:rsidRPr="00423018">
        <w:rPr>
          <w:rFonts w:ascii="Dubai" w:hAnsi="Dubai" w:cs="Dubai"/>
          <w:sz w:val="24"/>
          <w:szCs w:val="24"/>
          <w:rtl/>
          <w:lang w:bidi="ar-EG"/>
        </w:rPr>
        <w:t>.</w:t>
      </w:r>
    </w:p>
    <w:p w:rsidR="00F503F6" w:rsidRPr="00BC7206" w:rsidRDefault="00F503F6" w:rsidP="00423018">
      <w:pPr>
        <w:bidi/>
        <w:spacing w:line="276" w:lineRule="auto"/>
        <w:jc w:val="lowKashida"/>
        <w:rPr>
          <w:rFonts w:ascii="Dubai" w:hAnsi="Dubai" w:cs="Dubai"/>
          <w:b/>
          <w:bCs/>
          <w:color w:val="0000FF"/>
          <w:sz w:val="28"/>
          <w:szCs w:val="28"/>
          <w:rtl/>
          <w:lang w:bidi="ar-EG"/>
        </w:rPr>
      </w:pPr>
      <w:r w:rsidRPr="00BC7206">
        <w:rPr>
          <w:rFonts w:ascii="Dubai" w:hAnsi="Dubai" w:cs="Dubai"/>
          <w:b/>
          <w:bCs/>
          <w:color w:val="0000FF"/>
          <w:sz w:val="28"/>
          <w:szCs w:val="28"/>
          <w:rtl/>
          <w:lang w:bidi="ar-EG"/>
        </w:rPr>
        <w:t xml:space="preserve">أولا: المبادئ العامة </w:t>
      </w:r>
    </w:p>
    <w:p w:rsidR="00F503F6" w:rsidRPr="00423018" w:rsidRDefault="00F503F6" w:rsidP="00423018">
      <w:pPr>
        <w:bidi/>
        <w:spacing w:line="276" w:lineRule="auto"/>
        <w:jc w:val="lowKashida"/>
        <w:rPr>
          <w:rFonts w:ascii="Dubai" w:hAnsi="Dubai" w:cs="Dubai"/>
          <w:sz w:val="24"/>
          <w:szCs w:val="24"/>
          <w:rtl/>
          <w:lang w:bidi="ar-EG"/>
        </w:rPr>
      </w:pPr>
      <w:r w:rsidRPr="00423018">
        <w:rPr>
          <w:rFonts w:ascii="Dubai" w:hAnsi="Dubai" w:cs="Dubai"/>
          <w:sz w:val="24"/>
          <w:szCs w:val="24"/>
          <w:rtl/>
          <w:lang w:bidi="ar-EG"/>
        </w:rPr>
        <w:t xml:space="preserve">يتناول هذ الجزء من التقرير المبادئ العامة من </w:t>
      </w:r>
      <w:r w:rsidRPr="00423018">
        <w:rPr>
          <w:rFonts w:ascii="Dubai" w:hAnsi="Dubai" w:cs="Dubai" w:hint="cs"/>
          <w:sz w:val="24"/>
          <w:szCs w:val="24"/>
          <w:rtl/>
          <w:lang w:bidi="ar-EG"/>
        </w:rPr>
        <w:t>الاتفاقية</w:t>
      </w:r>
      <w:r w:rsidRPr="00423018">
        <w:rPr>
          <w:rFonts w:ascii="Dubai" w:hAnsi="Dubai" w:cs="Dubai"/>
          <w:sz w:val="24"/>
          <w:szCs w:val="24"/>
          <w:rtl/>
          <w:lang w:bidi="ar-EG"/>
        </w:rPr>
        <w:t xml:space="preserve"> وهو جزء أساسي في </w:t>
      </w:r>
      <w:r w:rsidRPr="00423018">
        <w:rPr>
          <w:rFonts w:ascii="Dubai" w:hAnsi="Dubai" w:cs="Dubai" w:hint="cs"/>
          <w:sz w:val="24"/>
          <w:szCs w:val="24"/>
          <w:rtl/>
          <w:lang w:bidi="ar-EG"/>
        </w:rPr>
        <w:t>الاتفاقية</w:t>
      </w:r>
      <w:r w:rsidRPr="00423018">
        <w:rPr>
          <w:rFonts w:ascii="Dubai" w:hAnsi="Dubai" w:cs="Dubai"/>
          <w:sz w:val="24"/>
          <w:szCs w:val="24"/>
          <w:rtl/>
          <w:lang w:bidi="ar-EG"/>
        </w:rPr>
        <w:t xml:space="preserve"> ويشمل مبدأ عدم التمييز وسبل الانتصاف الفعال، ومبدأ وجوب تنفيذ </w:t>
      </w:r>
      <w:r w:rsidRPr="00423018">
        <w:rPr>
          <w:rFonts w:ascii="Dubai" w:hAnsi="Dubai" w:cs="Dubai" w:hint="cs"/>
          <w:sz w:val="24"/>
          <w:szCs w:val="24"/>
          <w:rtl/>
          <w:lang w:bidi="ar-EG"/>
        </w:rPr>
        <w:t>الاتفاقية</w:t>
      </w:r>
      <w:r>
        <w:rPr>
          <w:rFonts w:ascii="Dubai" w:hAnsi="Dubai" w:cs="Dubai" w:hint="cs"/>
          <w:sz w:val="24"/>
          <w:szCs w:val="24"/>
          <w:rtl/>
          <w:lang w:bidi="ar-EG"/>
        </w:rPr>
        <w:t>.</w:t>
      </w:r>
    </w:p>
    <w:p w:rsidR="00F503F6" w:rsidRPr="00423018" w:rsidRDefault="00F503F6" w:rsidP="00F503F6">
      <w:pPr>
        <w:pStyle w:val="ListParagraph"/>
        <w:numPr>
          <w:ilvl w:val="0"/>
          <w:numId w:val="19"/>
        </w:numPr>
        <w:bidi/>
        <w:spacing w:line="276" w:lineRule="auto"/>
        <w:jc w:val="lowKashida"/>
        <w:rPr>
          <w:rFonts w:ascii="Dubai" w:hAnsi="Dubai" w:cs="Dubai"/>
          <w:b/>
          <w:bCs/>
          <w:color w:val="0070C0"/>
          <w:sz w:val="24"/>
          <w:szCs w:val="24"/>
          <w:rtl/>
          <w:lang w:bidi="ar-EG"/>
        </w:rPr>
      </w:pPr>
      <w:r w:rsidRPr="00423018">
        <w:rPr>
          <w:rFonts w:ascii="Dubai" w:hAnsi="Dubai" w:cs="Dubai"/>
          <w:b/>
          <w:bCs/>
          <w:color w:val="0070C0"/>
          <w:sz w:val="24"/>
          <w:szCs w:val="24"/>
          <w:rtl/>
          <w:lang w:bidi="ar-EG"/>
        </w:rPr>
        <w:t>عدم التمييز ضد المهاجرين (الفقرة 1 المادة الأولي والمادة 7)</w:t>
      </w:r>
    </w:p>
    <w:p w:rsidR="00F503F6" w:rsidRPr="00423018" w:rsidRDefault="00F503F6" w:rsidP="00423018">
      <w:pPr>
        <w:bidi/>
        <w:spacing w:line="276" w:lineRule="auto"/>
        <w:jc w:val="lowKashida"/>
        <w:rPr>
          <w:rFonts w:ascii="Dubai" w:hAnsi="Dubai" w:cs="Dubai"/>
          <w:sz w:val="24"/>
          <w:szCs w:val="24"/>
          <w:rtl/>
          <w:lang w:bidi="ar-EG"/>
        </w:rPr>
      </w:pPr>
      <w:r w:rsidRPr="00423018">
        <w:rPr>
          <w:rFonts w:ascii="Dubai" w:hAnsi="Dubai" w:cs="Dubai"/>
          <w:sz w:val="24"/>
          <w:szCs w:val="24"/>
          <w:rtl/>
          <w:lang w:bidi="ar-EG"/>
        </w:rPr>
        <w:t xml:space="preserve">أطلعت مؤسسة ماعت علي ردود مصر في تقريرها الجامع علي تنفيذ الفقرة الأولي من المادة الأولي والمادة السابعة من الاتفاقية والذين </w:t>
      </w:r>
      <w:r w:rsidRPr="00423018">
        <w:rPr>
          <w:rFonts w:ascii="Dubai" w:hAnsi="Dubai" w:cs="Dubai" w:hint="cs"/>
          <w:sz w:val="24"/>
          <w:szCs w:val="24"/>
          <w:rtl/>
          <w:lang w:bidi="ar-EG"/>
        </w:rPr>
        <w:t>يتناولا</w:t>
      </w:r>
      <w:r w:rsidRPr="00423018">
        <w:rPr>
          <w:rFonts w:ascii="Dubai" w:hAnsi="Dubai" w:cs="Dubai" w:hint="eastAsia"/>
          <w:sz w:val="24"/>
          <w:szCs w:val="24"/>
          <w:rtl/>
          <w:lang w:bidi="ar-EG"/>
        </w:rPr>
        <w:t>ن</w:t>
      </w:r>
      <w:r w:rsidRPr="00423018">
        <w:rPr>
          <w:rFonts w:ascii="Dubai" w:hAnsi="Dubai" w:cs="Dubai"/>
          <w:sz w:val="24"/>
          <w:szCs w:val="24"/>
          <w:rtl/>
          <w:lang w:bidi="ar-EG"/>
        </w:rPr>
        <w:t xml:space="preserve"> مبدأ عدم التمييز ضد المهاجرين، وفي هذا السياق تلاحظ مؤسسة ماعت الخطوات التي قامت بها الحكومة المصرية علي سبيل المثال في القطاع الصحي تنص اللائحة التنفيذية  للقانون رقم 2 لسنة 2018 الخاص بالتأمين الصحي الشامل، بجواز تقديم الخدمة للأجانب المقيمين أو الوافدين لجمهورية مصر العربية وفقا للضوابط والاشتراطات التي تضعها هيئة التأمين الصحي الشامل مع التقيد بمبدأ المعاملة بالمثل</w:t>
      </w:r>
      <w:r>
        <w:rPr>
          <w:rFonts w:ascii="Dubai" w:hAnsi="Dubai" w:cs="Dubai" w:hint="cs"/>
          <w:sz w:val="24"/>
          <w:szCs w:val="24"/>
          <w:rtl/>
          <w:lang w:bidi="ar-EG"/>
        </w:rPr>
        <w:t>؛</w:t>
      </w:r>
      <w:r w:rsidRPr="00423018">
        <w:rPr>
          <w:rFonts w:ascii="Dubai" w:hAnsi="Dubai" w:cs="Dubai"/>
          <w:sz w:val="24"/>
          <w:szCs w:val="24"/>
          <w:rtl/>
          <w:lang w:bidi="ar-EG"/>
        </w:rPr>
        <w:t xml:space="preserve"> مع ذلك فإن مؤسسة ماعت تلاحظ عدم اقدام الأجانب علي الحصول علي هذه الخدمة بسبب نقص الوعي بالتشريعات والقوانين المصرية في أحيان كثيرة. كما تقدم مصر للمهاجرين جميع خدمات الرعاية الصحية للمهاجرين، مع إدراجهم ضمن المبادرات </w:t>
      </w:r>
      <w:r w:rsidRPr="00423018">
        <w:rPr>
          <w:rFonts w:ascii="Dubai" w:hAnsi="Dubai" w:cs="Dubai" w:hint="cs"/>
          <w:sz w:val="24"/>
          <w:szCs w:val="24"/>
          <w:rtl/>
          <w:lang w:bidi="ar-EG"/>
        </w:rPr>
        <w:t>الرئاسية 100</w:t>
      </w:r>
      <w:r w:rsidRPr="00423018">
        <w:rPr>
          <w:rFonts w:ascii="Dubai" w:hAnsi="Dubai" w:cs="Dubai"/>
          <w:sz w:val="24"/>
          <w:szCs w:val="24"/>
          <w:rtl/>
          <w:lang w:bidi="ar-EG"/>
        </w:rPr>
        <w:t xml:space="preserve"> مليون صحة</w:t>
      </w:r>
      <w:r w:rsidRPr="00423018">
        <w:rPr>
          <w:rStyle w:val="FootnoteReference"/>
          <w:rFonts w:ascii="Dubai" w:hAnsi="Dubai" w:cs="Dubai"/>
          <w:sz w:val="24"/>
          <w:szCs w:val="24"/>
          <w:rtl/>
          <w:lang w:bidi="ar-EG"/>
        </w:rPr>
        <w:footnoteReference w:id="3"/>
      </w:r>
      <w:r>
        <w:rPr>
          <w:rFonts w:ascii="Dubai" w:hAnsi="Dubai" w:cs="Dubai" w:hint="cs"/>
          <w:sz w:val="24"/>
          <w:szCs w:val="24"/>
          <w:rtl/>
          <w:lang w:bidi="ar-EG"/>
        </w:rPr>
        <w:t>.</w:t>
      </w:r>
      <w:r w:rsidRPr="00423018">
        <w:rPr>
          <w:rFonts w:ascii="Dubai" w:hAnsi="Dubai" w:cs="Dubai"/>
          <w:sz w:val="24"/>
          <w:szCs w:val="24"/>
          <w:rtl/>
          <w:lang w:bidi="ar-EG"/>
        </w:rPr>
        <w:t xml:space="preserve"> </w:t>
      </w:r>
      <w:r w:rsidRPr="00423018">
        <w:rPr>
          <w:rFonts w:ascii="Dubai" w:hAnsi="Dubai" w:cs="Dubai" w:hint="cs"/>
          <w:sz w:val="24"/>
          <w:szCs w:val="24"/>
          <w:rtl/>
          <w:lang w:bidi="ar-EG"/>
        </w:rPr>
        <w:t>وحتى</w:t>
      </w:r>
      <w:r w:rsidRPr="00423018">
        <w:rPr>
          <w:rFonts w:ascii="Dubai" w:hAnsi="Dubai" w:cs="Dubai"/>
          <w:sz w:val="24"/>
          <w:szCs w:val="24"/>
          <w:rtl/>
          <w:lang w:bidi="ar-EG"/>
        </w:rPr>
        <w:t xml:space="preserve"> مع إطلاق آليات مختلفة لتعزيز دمج المهاجرين واللاجئين في النظام الصحي، فإن عدد كبير منهم وخاصة الذين يعيشون في أوضاع هشة </w:t>
      </w:r>
      <w:r>
        <w:rPr>
          <w:rFonts w:ascii="Dubai" w:hAnsi="Dubai" w:cs="Dubai" w:hint="cs"/>
          <w:sz w:val="24"/>
          <w:szCs w:val="24"/>
          <w:rtl/>
          <w:lang w:bidi="ar-EG"/>
        </w:rPr>
        <w:t>يعزفون عن التقدم للحصول</w:t>
      </w:r>
      <w:r w:rsidRPr="00423018">
        <w:rPr>
          <w:rFonts w:ascii="Dubai" w:hAnsi="Dubai" w:cs="Dubai"/>
          <w:sz w:val="24"/>
          <w:szCs w:val="24"/>
          <w:rtl/>
          <w:lang w:bidi="ar-EG"/>
        </w:rPr>
        <w:t xml:space="preserve"> </w:t>
      </w:r>
      <w:r>
        <w:rPr>
          <w:rFonts w:ascii="Dubai" w:hAnsi="Dubai" w:cs="Dubai" w:hint="cs"/>
          <w:sz w:val="24"/>
          <w:szCs w:val="24"/>
          <w:rtl/>
          <w:lang w:bidi="ar-EG"/>
        </w:rPr>
        <w:t>على</w:t>
      </w:r>
      <w:r w:rsidRPr="00423018">
        <w:rPr>
          <w:rFonts w:ascii="Dubai" w:hAnsi="Dubai" w:cs="Dubai"/>
          <w:sz w:val="24"/>
          <w:szCs w:val="24"/>
          <w:rtl/>
          <w:lang w:bidi="ar-EG"/>
        </w:rPr>
        <w:t xml:space="preserve"> الرعاية الصحية، ويعتمدون بشكل أساسي </w:t>
      </w:r>
      <w:r w:rsidRPr="00423018">
        <w:rPr>
          <w:rFonts w:ascii="Dubai" w:hAnsi="Dubai" w:cs="Dubai" w:hint="cs"/>
          <w:sz w:val="24"/>
          <w:szCs w:val="24"/>
          <w:rtl/>
          <w:lang w:bidi="ar-EG"/>
        </w:rPr>
        <w:t>على</w:t>
      </w:r>
      <w:r w:rsidRPr="00423018">
        <w:rPr>
          <w:rFonts w:ascii="Dubai" w:hAnsi="Dubai" w:cs="Dubai"/>
          <w:sz w:val="24"/>
          <w:szCs w:val="24"/>
          <w:rtl/>
          <w:lang w:bidi="ar-EG"/>
        </w:rPr>
        <w:t xml:space="preserve"> المساعدات التي تقدمهًا وكالات الأمم المتحدة والمنظمات الدولية </w:t>
      </w:r>
      <w:r w:rsidRPr="00423018">
        <w:rPr>
          <w:rFonts w:ascii="Dubai" w:hAnsi="Dubai" w:cs="Dubai" w:hint="cs"/>
          <w:sz w:val="24"/>
          <w:szCs w:val="24"/>
          <w:rtl/>
          <w:lang w:bidi="ar-EG"/>
        </w:rPr>
        <w:t>الأخرى</w:t>
      </w:r>
      <w:r w:rsidRPr="00423018">
        <w:rPr>
          <w:rFonts w:ascii="Dubai" w:hAnsi="Dubai" w:cs="Dubai"/>
          <w:sz w:val="24"/>
          <w:szCs w:val="24"/>
          <w:rtl/>
          <w:lang w:bidi="ar-EG"/>
        </w:rPr>
        <w:t xml:space="preserve"> للحصول علي الرعاية الصحية. في مجال التعليم تلاحظ مؤسسة ماعت القرارات الصادرة عن وزارة التربية والتعليم العالي في نوفمبر 2023 والتي تتييح للأطفال المهاجرين من الجنسية السورية التسجيل في المدارس الحكومية</w:t>
      </w:r>
      <w:r w:rsidRPr="00423018">
        <w:rPr>
          <w:rStyle w:val="FootnoteReference"/>
          <w:rFonts w:ascii="Dubai" w:hAnsi="Dubai" w:cs="Dubai"/>
          <w:sz w:val="24"/>
          <w:szCs w:val="24"/>
          <w:rtl/>
          <w:lang w:bidi="ar-EG"/>
        </w:rPr>
        <w:footnoteReference w:id="4"/>
      </w:r>
      <w:r w:rsidRPr="00423018">
        <w:rPr>
          <w:rFonts w:ascii="Dubai" w:hAnsi="Dubai" w:cs="Dubai"/>
          <w:sz w:val="24"/>
          <w:szCs w:val="24"/>
          <w:rtl/>
          <w:lang w:bidi="ar-EG"/>
        </w:rPr>
        <w:t xml:space="preserve">.  </w:t>
      </w:r>
    </w:p>
    <w:p w:rsidR="00F503F6" w:rsidRDefault="00F503F6" w:rsidP="008D60F5">
      <w:pPr>
        <w:pStyle w:val="ListParagraph"/>
        <w:bidi/>
        <w:spacing w:line="276" w:lineRule="auto"/>
        <w:ind w:left="0"/>
        <w:jc w:val="lowKashida"/>
        <w:rPr>
          <w:rFonts w:ascii="Dubai" w:hAnsi="Dubai" w:cs="Dubai"/>
          <w:sz w:val="24"/>
          <w:szCs w:val="24"/>
          <w:rtl/>
        </w:rPr>
      </w:pPr>
      <w:r w:rsidRPr="00456D44">
        <w:rPr>
          <w:rFonts w:ascii="Dubai" w:hAnsi="Dubai" w:cs="Dubai"/>
          <w:sz w:val="24"/>
          <w:szCs w:val="24"/>
          <w:rtl/>
        </w:rPr>
        <w:t xml:space="preserve">مع ذلك لا يزال لدي مؤسسة ماعت بواعث قلق بخصوص التباطؤ في إنشاء مفوضية مكافحة التمييز وهو التزام دستوري بموجب المادة 53 من الدستور المصري لعام 2014 المعدل في عام 2019.  </w:t>
      </w:r>
      <w:r w:rsidRPr="00423018">
        <w:rPr>
          <w:rFonts w:ascii="Dubai" w:hAnsi="Dubai" w:cs="Dubai"/>
          <w:sz w:val="24"/>
          <w:szCs w:val="24"/>
          <w:rtl/>
          <w:lang w:bidi="ar-EG"/>
        </w:rPr>
        <w:t>ويتفق انشاء المفوضية أيضا مع</w:t>
      </w:r>
      <w:r w:rsidRPr="00423018">
        <w:rPr>
          <w:rFonts w:ascii="Dubai" w:hAnsi="Dubai" w:cs="Dubai"/>
          <w:sz w:val="24"/>
          <w:szCs w:val="24"/>
          <w:rtl/>
        </w:rPr>
        <w:t xml:space="preserve"> مخرجات الحوار الوطني</w:t>
      </w:r>
      <w:r w:rsidRPr="00423018">
        <w:rPr>
          <w:rStyle w:val="FootnoteReference"/>
          <w:rFonts w:ascii="Dubai" w:hAnsi="Dubai" w:cs="Dubai"/>
          <w:sz w:val="24"/>
          <w:szCs w:val="24"/>
          <w:rtl/>
        </w:rPr>
        <w:footnoteReference w:id="5"/>
      </w:r>
      <w:r w:rsidRPr="00423018">
        <w:rPr>
          <w:rFonts w:ascii="Dubai" w:hAnsi="Dubai" w:cs="Dubai"/>
          <w:sz w:val="24"/>
          <w:szCs w:val="24"/>
          <w:rtl/>
        </w:rPr>
        <w:t xml:space="preserve"> التي نشرت في أغسطس 2023 للجمهور والذي تضمنت ضرورة إنشاء المفوضية وجاء في الفقرة الخامسة من مخرجات الحوار الوطني التأكيد </w:t>
      </w:r>
      <w:r w:rsidRPr="00423018">
        <w:rPr>
          <w:rFonts w:ascii="Dubai" w:hAnsi="Dubai" w:cs="Dubai" w:hint="cs"/>
          <w:sz w:val="24"/>
          <w:szCs w:val="24"/>
          <w:rtl/>
        </w:rPr>
        <w:t>على</w:t>
      </w:r>
      <w:r w:rsidRPr="00423018">
        <w:rPr>
          <w:rFonts w:ascii="Dubai" w:hAnsi="Dubai" w:cs="Dubai"/>
          <w:sz w:val="24"/>
          <w:szCs w:val="24"/>
          <w:rtl/>
        </w:rPr>
        <w:t xml:space="preserve"> أهمية تطبيق </w:t>
      </w:r>
      <w:r w:rsidRPr="00423018">
        <w:rPr>
          <w:rFonts w:ascii="Dubai" w:hAnsi="Dubai" w:cs="Dubai" w:hint="cs"/>
          <w:sz w:val="24"/>
          <w:szCs w:val="24"/>
          <w:rtl/>
        </w:rPr>
        <w:t>النص الدستوري</w:t>
      </w:r>
      <w:r w:rsidRPr="00423018">
        <w:rPr>
          <w:rFonts w:ascii="Dubai" w:hAnsi="Dubai" w:cs="Dubai"/>
          <w:sz w:val="24"/>
          <w:szCs w:val="24"/>
          <w:rtl/>
        </w:rPr>
        <w:t xml:space="preserve"> الوارد في نص المادة 53 الخاص بإصدار قانون ينظم إنشاء وإدارة مفوضية منع التمييز وأحال المخرج ضرورة أنشاء المفوضية </w:t>
      </w:r>
      <w:r w:rsidRPr="00423018">
        <w:rPr>
          <w:rFonts w:ascii="Dubai" w:hAnsi="Dubai" w:cs="Dubai" w:hint="cs"/>
          <w:sz w:val="24"/>
          <w:szCs w:val="24"/>
          <w:rtl/>
        </w:rPr>
        <w:t>إلى</w:t>
      </w:r>
      <w:r w:rsidRPr="00423018">
        <w:rPr>
          <w:rFonts w:ascii="Dubai" w:hAnsi="Dubai" w:cs="Dubai"/>
          <w:sz w:val="24"/>
          <w:szCs w:val="24"/>
          <w:rtl/>
        </w:rPr>
        <w:t xml:space="preserve"> النص الدستوري. </w:t>
      </w:r>
    </w:p>
    <w:p w:rsidR="00F503F6" w:rsidRPr="00423018" w:rsidRDefault="00F503F6" w:rsidP="00F503F6">
      <w:pPr>
        <w:pStyle w:val="ListParagraph"/>
        <w:numPr>
          <w:ilvl w:val="0"/>
          <w:numId w:val="19"/>
        </w:numPr>
        <w:bidi/>
        <w:spacing w:line="276" w:lineRule="auto"/>
        <w:jc w:val="lowKashida"/>
        <w:rPr>
          <w:rFonts w:ascii="Dubai" w:hAnsi="Dubai" w:cs="Dubai"/>
          <w:b/>
          <w:bCs/>
          <w:color w:val="0070C0"/>
          <w:sz w:val="24"/>
          <w:szCs w:val="24"/>
          <w:lang w:bidi="ar-EG"/>
        </w:rPr>
      </w:pPr>
      <w:r w:rsidRPr="00423018">
        <w:rPr>
          <w:rFonts w:ascii="Dubai" w:hAnsi="Dubai" w:cs="Dubai"/>
          <w:b/>
          <w:bCs/>
          <w:color w:val="0070C0"/>
          <w:sz w:val="24"/>
          <w:szCs w:val="24"/>
          <w:rtl/>
        </w:rPr>
        <w:t>سبل الانتصاف الفعال (المادة 83)</w:t>
      </w:r>
    </w:p>
    <w:p w:rsidR="00F503F6" w:rsidRPr="00423018" w:rsidRDefault="00F503F6" w:rsidP="00423018">
      <w:pPr>
        <w:bidi/>
        <w:spacing w:line="276" w:lineRule="auto"/>
        <w:jc w:val="lowKashida"/>
        <w:rPr>
          <w:rFonts w:ascii="Dubai" w:hAnsi="Dubai" w:cs="Dubai"/>
          <w:sz w:val="24"/>
          <w:szCs w:val="24"/>
          <w:rtl/>
          <w:lang w:bidi="ar-EG"/>
        </w:rPr>
      </w:pPr>
      <w:r w:rsidRPr="00423018">
        <w:rPr>
          <w:rFonts w:ascii="Dubai" w:hAnsi="Dubai" w:cs="Dubai"/>
          <w:sz w:val="24"/>
          <w:szCs w:val="24"/>
          <w:rtl/>
          <w:lang w:bidi="ar-EG"/>
        </w:rPr>
        <w:t xml:space="preserve">أطلعت مؤسسة ماعت علي التطورات والتدابير الأخيرة لضمان سبل الانتصاف الفعال بالشكل الذي يتفق مع المادة 83 من </w:t>
      </w:r>
      <w:r w:rsidRPr="00423018">
        <w:rPr>
          <w:rFonts w:ascii="Dubai" w:hAnsi="Dubai" w:cs="Dubai" w:hint="cs"/>
          <w:sz w:val="24"/>
          <w:szCs w:val="24"/>
          <w:rtl/>
          <w:lang w:bidi="ar-EG"/>
        </w:rPr>
        <w:t>الاتفاقية</w:t>
      </w:r>
      <w:r w:rsidRPr="00423018">
        <w:rPr>
          <w:rFonts w:ascii="Dubai" w:hAnsi="Dubai" w:cs="Dubai"/>
          <w:sz w:val="24"/>
          <w:szCs w:val="24"/>
          <w:rtl/>
          <w:lang w:bidi="ar-EG"/>
        </w:rPr>
        <w:t xml:space="preserve"> بما في ذلك </w:t>
      </w:r>
      <w:r>
        <w:rPr>
          <w:rFonts w:ascii="Dubai" w:hAnsi="Dubai" w:cs="Dubai" w:hint="cs"/>
          <w:sz w:val="24"/>
          <w:szCs w:val="24"/>
          <w:rtl/>
          <w:lang w:bidi="ar-EG"/>
        </w:rPr>
        <w:t>إ</w:t>
      </w:r>
      <w:r w:rsidRPr="00423018">
        <w:rPr>
          <w:rFonts w:ascii="Dubai" w:hAnsi="Dubai" w:cs="Dubai"/>
          <w:sz w:val="24"/>
          <w:szCs w:val="24"/>
          <w:rtl/>
          <w:lang w:bidi="ar-EG"/>
        </w:rPr>
        <w:t xml:space="preserve">حالة النيابة العامة في يونيو 2019 متهمين اثنين للمحاكمة الجنائية </w:t>
      </w:r>
      <w:r w:rsidRPr="00423018">
        <w:rPr>
          <w:rFonts w:ascii="Dubai" w:hAnsi="Dubai" w:cs="Dubai" w:hint="cs"/>
          <w:sz w:val="24"/>
          <w:szCs w:val="24"/>
          <w:rtl/>
          <w:lang w:bidi="ar-EG"/>
        </w:rPr>
        <w:t>في</w:t>
      </w:r>
      <w:r w:rsidRPr="00423018">
        <w:rPr>
          <w:rFonts w:ascii="Dubai" w:hAnsi="Dubai" w:cs="Dubai"/>
          <w:sz w:val="24"/>
          <w:szCs w:val="24"/>
          <w:rtl/>
          <w:lang w:bidi="ar-EG"/>
        </w:rPr>
        <w:t xml:space="preserve"> واقعة تنمر على أحد الأطفال من دولة جنوب السودان، وأسندت النيابة العامة للمتهمين تهمة سب المجنى عليه على نحو يخدش شرفه واعتباره وكان من شأن ذلك إحداث تمييز بين الأفراد بسبب الأصل، بالإضافة إلي انتهاك حرمة حياته الخاصة دون موافقته بنشر مقطع فيديو </w:t>
      </w:r>
      <w:r w:rsidRPr="00423018">
        <w:rPr>
          <w:rFonts w:ascii="Dubai" w:hAnsi="Dubai" w:cs="Dubai" w:hint="cs"/>
          <w:sz w:val="24"/>
          <w:szCs w:val="24"/>
          <w:rtl/>
          <w:lang w:bidi="ar-EG"/>
        </w:rPr>
        <w:t>الاعتداء</w:t>
      </w:r>
      <w:r w:rsidRPr="00423018">
        <w:rPr>
          <w:rFonts w:ascii="Dubai" w:hAnsi="Dubai" w:cs="Dubai"/>
          <w:sz w:val="24"/>
          <w:szCs w:val="24"/>
          <w:rtl/>
          <w:lang w:bidi="ar-EG"/>
        </w:rPr>
        <w:t xml:space="preserve"> عليه، وقد قضت محكمة الجنح بحبس المتهمين لمدة عامين وتغريمهما مائة ألف جنيه. </w:t>
      </w:r>
    </w:p>
    <w:p w:rsidR="00F503F6" w:rsidRPr="00423018" w:rsidRDefault="00F503F6" w:rsidP="00423018">
      <w:pPr>
        <w:bidi/>
        <w:spacing w:line="276" w:lineRule="auto"/>
        <w:jc w:val="lowKashida"/>
        <w:rPr>
          <w:rFonts w:ascii="Dubai" w:hAnsi="Dubai" w:cs="Dubai"/>
          <w:sz w:val="24"/>
          <w:szCs w:val="24"/>
          <w:rtl/>
          <w:lang w:bidi="ar-EG"/>
        </w:rPr>
      </w:pPr>
      <w:r w:rsidRPr="00456D44">
        <w:rPr>
          <w:rFonts w:ascii="Dubai" w:hAnsi="Dubai" w:cs="Dubai"/>
          <w:sz w:val="24"/>
          <w:szCs w:val="24"/>
          <w:rtl/>
          <w:lang w:bidi="ar-EG"/>
        </w:rPr>
        <w:t xml:space="preserve">وفي وقائع أخري حديثة </w:t>
      </w:r>
      <w:r w:rsidRPr="00456D44">
        <w:rPr>
          <w:rFonts w:ascii="Dubai" w:hAnsi="Dubai" w:cs="Dubai" w:hint="cs"/>
          <w:sz w:val="24"/>
          <w:szCs w:val="24"/>
          <w:rtl/>
          <w:lang w:bidi="ar-EG"/>
        </w:rPr>
        <w:t>وعلى</w:t>
      </w:r>
      <w:r w:rsidRPr="00456D44">
        <w:rPr>
          <w:rFonts w:ascii="Dubai" w:hAnsi="Dubai" w:cs="Dubai"/>
          <w:sz w:val="24"/>
          <w:szCs w:val="24"/>
          <w:rtl/>
          <w:lang w:bidi="ar-EG"/>
        </w:rPr>
        <w:t xml:space="preserve"> وجه التحديد في أبريل 2024 القت قوات الأمن المصرية القبض </w:t>
      </w:r>
      <w:r w:rsidRPr="00456D44">
        <w:rPr>
          <w:rFonts w:ascii="Dubai" w:hAnsi="Dubai" w:cs="Dubai" w:hint="cs"/>
          <w:sz w:val="24"/>
          <w:szCs w:val="24"/>
          <w:rtl/>
          <w:lang w:bidi="ar-EG"/>
        </w:rPr>
        <w:t>على</w:t>
      </w:r>
      <w:r w:rsidRPr="00456D44">
        <w:rPr>
          <w:rFonts w:ascii="Dubai" w:hAnsi="Dubai" w:cs="Dubai"/>
          <w:sz w:val="24"/>
          <w:szCs w:val="24"/>
          <w:rtl/>
          <w:lang w:bidi="ar-EG"/>
        </w:rPr>
        <w:t xml:space="preserve"> مغتصب طفلة سودانية في منطقة الكيلو أربع ونصف بمدينة نصر، كان قد اختطف طفلة لم تبلغ من العمر 15 شهرًا من منزلها وقام باغتصابهًا في منطقة مجاورة. وتمت إحالة الجاني للمحاكمة الجنائية من قبل النيابة العامة المصرية</w:t>
      </w:r>
      <w:r w:rsidRPr="00456D44">
        <w:rPr>
          <w:rFonts w:ascii="Dubai" w:hAnsi="Dubai" w:cs="Dubai" w:hint="cs"/>
          <w:sz w:val="24"/>
          <w:szCs w:val="24"/>
          <w:rtl/>
          <w:lang w:bidi="ar-EG"/>
        </w:rPr>
        <w:t>.</w:t>
      </w:r>
      <w:r w:rsidRPr="00456D44">
        <w:rPr>
          <w:rtl/>
        </w:rPr>
        <w:footnoteReference w:id="6"/>
      </w:r>
      <w:r w:rsidRPr="00D2200C">
        <w:rPr>
          <w:rFonts w:ascii="Dubai" w:hAnsi="Dubai" w:cs="Dubai"/>
          <w:color w:val="C00000"/>
          <w:sz w:val="24"/>
          <w:szCs w:val="24"/>
          <w:rtl/>
          <w:lang w:bidi="ar-EG"/>
        </w:rPr>
        <w:t xml:space="preserve"> </w:t>
      </w:r>
      <w:r>
        <w:rPr>
          <w:rFonts w:ascii="Dubai" w:hAnsi="Dubai" w:cs="Dubai" w:hint="cs"/>
          <w:sz w:val="24"/>
          <w:szCs w:val="24"/>
          <w:rtl/>
          <w:lang w:bidi="ar-EG"/>
        </w:rPr>
        <w:t>الجدير بالذكر ان بعض</w:t>
      </w:r>
      <w:r w:rsidRPr="00423018">
        <w:rPr>
          <w:rFonts w:ascii="Dubai" w:hAnsi="Dubai" w:cs="Dubai"/>
          <w:sz w:val="24"/>
          <w:szCs w:val="24"/>
          <w:rtl/>
          <w:lang w:bidi="ar-EG"/>
        </w:rPr>
        <w:t xml:space="preserve"> </w:t>
      </w:r>
      <w:r>
        <w:rPr>
          <w:rFonts w:ascii="Dubai" w:hAnsi="Dubai" w:cs="Dubai" w:hint="cs"/>
          <w:sz w:val="24"/>
          <w:szCs w:val="24"/>
          <w:rtl/>
          <w:lang w:bidi="ar-EG"/>
        </w:rPr>
        <w:t>ال</w:t>
      </w:r>
      <w:r w:rsidRPr="00423018">
        <w:rPr>
          <w:rFonts w:ascii="Dubai" w:hAnsi="Dubai" w:cs="Dubai"/>
          <w:sz w:val="24"/>
          <w:szCs w:val="24"/>
          <w:rtl/>
          <w:lang w:bidi="ar-EG"/>
        </w:rPr>
        <w:t xml:space="preserve">تقارير تفيد </w:t>
      </w:r>
      <w:r w:rsidRPr="00423018">
        <w:rPr>
          <w:rFonts w:ascii="Dubai" w:hAnsi="Dubai" w:cs="Dubai" w:hint="cs"/>
          <w:sz w:val="24"/>
          <w:szCs w:val="24"/>
          <w:rtl/>
          <w:lang w:bidi="ar-EG"/>
        </w:rPr>
        <w:t>إلى</w:t>
      </w:r>
      <w:r w:rsidRPr="00423018">
        <w:rPr>
          <w:rFonts w:ascii="Dubai" w:hAnsi="Dubai" w:cs="Dubai"/>
          <w:sz w:val="24"/>
          <w:szCs w:val="24"/>
          <w:rtl/>
          <w:lang w:bidi="ar-EG"/>
        </w:rPr>
        <w:t xml:space="preserve"> احجام العمال المهاجرين والأجانب في مصر اللجوء إلي القضاء بسبب ضعف معرفتهم بآليات اللجوء إلي المحاكم وبطرق الانتصاف </w:t>
      </w:r>
      <w:r w:rsidRPr="00423018">
        <w:rPr>
          <w:rFonts w:ascii="Dubai" w:hAnsi="Dubai" w:cs="Dubai" w:hint="cs"/>
          <w:sz w:val="24"/>
          <w:szCs w:val="24"/>
          <w:rtl/>
          <w:lang w:bidi="ar-EG"/>
        </w:rPr>
        <w:t>الإدارية</w:t>
      </w:r>
      <w:r w:rsidRPr="00423018">
        <w:rPr>
          <w:rFonts w:ascii="Dubai" w:hAnsi="Dubai" w:cs="Dubai"/>
          <w:sz w:val="24"/>
          <w:szCs w:val="24"/>
          <w:rtl/>
          <w:lang w:bidi="ar-EG"/>
        </w:rPr>
        <w:t xml:space="preserve"> المتاحة لهم</w:t>
      </w:r>
      <w:r>
        <w:rPr>
          <w:rFonts w:ascii="Dubai" w:hAnsi="Dubai" w:cs="Dubai" w:hint="cs"/>
          <w:sz w:val="24"/>
          <w:szCs w:val="24"/>
          <w:rtl/>
          <w:lang w:bidi="ar-EG"/>
        </w:rPr>
        <w:t>.</w:t>
      </w:r>
    </w:p>
    <w:p w:rsidR="00F503F6" w:rsidRPr="00423018" w:rsidRDefault="00F503F6" w:rsidP="00F503F6">
      <w:pPr>
        <w:pStyle w:val="ListParagraph"/>
        <w:numPr>
          <w:ilvl w:val="0"/>
          <w:numId w:val="19"/>
        </w:numPr>
        <w:bidi/>
        <w:spacing w:line="276" w:lineRule="auto"/>
        <w:jc w:val="lowKashida"/>
        <w:rPr>
          <w:rFonts w:ascii="Dubai" w:hAnsi="Dubai" w:cs="Dubai"/>
          <w:b/>
          <w:bCs/>
          <w:color w:val="0070C0"/>
          <w:sz w:val="24"/>
          <w:szCs w:val="24"/>
          <w:lang w:bidi="ar-EG"/>
        </w:rPr>
      </w:pPr>
      <w:r w:rsidRPr="00423018">
        <w:rPr>
          <w:rFonts w:ascii="Dubai" w:hAnsi="Dubai" w:cs="Dubai"/>
          <w:b/>
          <w:bCs/>
          <w:color w:val="0070C0"/>
          <w:sz w:val="24"/>
          <w:szCs w:val="24"/>
          <w:rtl/>
          <w:lang w:bidi="ar-EG"/>
        </w:rPr>
        <w:t xml:space="preserve">واجب تنفيذ الاتفاقية </w:t>
      </w:r>
    </w:p>
    <w:p w:rsidR="00F503F6" w:rsidRPr="00423018" w:rsidRDefault="00F503F6" w:rsidP="00423018">
      <w:pPr>
        <w:bidi/>
        <w:spacing w:line="276" w:lineRule="auto"/>
        <w:jc w:val="lowKashida"/>
        <w:rPr>
          <w:rFonts w:ascii="Dubai" w:hAnsi="Dubai" w:cs="Dubai"/>
          <w:sz w:val="24"/>
          <w:szCs w:val="24"/>
          <w:rtl/>
          <w:lang w:bidi="ar-EG"/>
        </w:rPr>
      </w:pPr>
      <w:r w:rsidRPr="00423018">
        <w:rPr>
          <w:rFonts w:ascii="Dubai" w:hAnsi="Dubai" w:cs="Dubai"/>
          <w:sz w:val="24"/>
          <w:szCs w:val="24"/>
          <w:rtl/>
          <w:lang w:bidi="ar-EG"/>
        </w:rPr>
        <w:t>كانت مصر أول دولة عضو في الأمم المتحدة التي صادقت على الاتفاقية الدولية لحماية حقوق جميع العمال المهاجرين وأفراد أسرهم في فبراير 1993</w:t>
      </w:r>
      <w:r w:rsidRPr="00423018">
        <w:rPr>
          <w:rStyle w:val="FootnoteReference"/>
          <w:rFonts w:ascii="Dubai" w:hAnsi="Dubai" w:cs="Dubai"/>
          <w:sz w:val="24"/>
          <w:szCs w:val="24"/>
          <w:rtl/>
          <w:lang w:bidi="ar-EG"/>
        </w:rPr>
        <w:footnoteReference w:id="7"/>
      </w:r>
      <w:r w:rsidRPr="00423018">
        <w:rPr>
          <w:rFonts w:ascii="Dubai" w:hAnsi="Dubai" w:cs="Dubai"/>
          <w:sz w:val="24"/>
          <w:szCs w:val="24"/>
          <w:rtl/>
          <w:lang w:bidi="ar-EG"/>
        </w:rPr>
        <w:t xml:space="preserve">. وبالعودة </w:t>
      </w:r>
      <w:r w:rsidRPr="00423018">
        <w:rPr>
          <w:rFonts w:ascii="Dubai" w:hAnsi="Dubai" w:cs="Dubai" w:hint="cs"/>
          <w:sz w:val="24"/>
          <w:szCs w:val="24"/>
          <w:rtl/>
          <w:lang w:bidi="ar-EG"/>
        </w:rPr>
        <w:t>إلى</w:t>
      </w:r>
      <w:r w:rsidRPr="00423018">
        <w:rPr>
          <w:rFonts w:ascii="Dubai" w:hAnsi="Dubai" w:cs="Dubai"/>
          <w:sz w:val="24"/>
          <w:szCs w:val="24"/>
          <w:rtl/>
          <w:lang w:bidi="ar-EG"/>
        </w:rPr>
        <w:t xml:space="preserve"> الدستور المصري المعدل لعام 2019 نجد إن الدستور المصري يمنح </w:t>
      </w:r>
      <w:r w:rsidRPr="00423018">
        <w:rPr>
          <w:rFonts w:ascii="Dubai" w:hAnsi="Dubai" w:cs="Dubai" w:hint="cs"/>
          <w:sz w:val="24"/>
          <w:szCs w:val="24"/>
          <w:rtl/>
          <w:lang w:bidi="ar-EG"/>
        </w:rPr>
        <w:t>الاتفاقيات</w:t>
      </w:r>
      <w:r w:rsidRPr="00423018">
        <w:rPr>
          <w:rFonts w:ascii="Dubai" w:hAnsi="Dubai" w:cs="Dubai"/>
          <w:sz w:val="24"/>
          <w:szCs w:val="24"/>
          <w:rtl/>
          <w:lang w:bidi="ar-EG"/>
        </w:rPr>
        <w:t xml:space="preserve"> الدولية لحقوق الإنسان التي تصادق عليها الدولة</w:t>
      </w:r>
      <w:r w:rsidRPr="00423018">
        <w:rPr>
          <w:rFonts w:ascii="Dubai" w:hAnsi="Dubai" w:cs="Dubai"/>
          <w:sz w:val="24"/>
          <w:szCs w:val="24"/>
          <w:lang w:bidi="ar-EG"/>
        </w:rPr>
        <w:t xml:space="preserve"> </w:t>
      </w:r>
      <w:r w:rsidRPr="00423018">
        <w:rPr>
          <w:rFonts w:ascii="Dubai" w:hAnsi="Dubai" w:cs="Dubai"/>
          <w:sz w:val="24"/>
          <w:szCs w:val="24"/>
          <w:rtl/>
          <w:lang w:bidi="ar-EG"/>
        </w:rPr>
        <w:t xml:space="preserve">وضعًا خاصًا ويمنحها قوة القانون الداخلي وتنص المادة 93 </w:t>
      </w:r>
      <w:r w:rsidRPr="00423018">
        <w:rPr>
          <w:rFonts w:ascii="Dubai" w:hAnsi="Dubai" w:cs="Dubai" w:hint="cs"/>
          <w:sz w:val="24"/>
          <w:szCs w:val="24"/>
          <w:rtl/>
          <w:lang w:bidi="ar-EG"/>
        </w:rPr>
        <w:t>على</w:t>
      </w:r>
      <w:r w:rsidRPr="00423018">
        <w:rPr>
          <w:rFonts w:ascii="Dubai" w:hAnsi="Dubai" w:cs="Dubai"/>
          <w:sz w:val="24"/>
          <w:szCs w:val="24"/>
          <w:rtl/>
          <w:lang w:bidi="ar-EG"/>
        </w:rPr>
        <w:t xml:space="preserve"> أن "تلتزم الدولة بالاتفاقيات والعهود والمواثيق الدولية لحقوق الإنسان التي تصدق عليها مصر، وتصبح لها قوة القانون بعد نشرها وفقاً للأوضاع المقررة"</w:t>
      </w:r>
      <w:r>
        <w:rPr>
          <w:rFonts w:ascii="Dubai" w:hAnsi="Dubai" w:cs="Dubai" w:hint="cs"/>
          <w:sz w:val="24"/>
          <w:szCs w:val="24"/>
          <w:rtl/>
          <w:lang w:bidi="ar-EG"/>
        </w:rPr>
        <w:t>،</w:t>
      </w:r>
      <w:r w:rsidRPr="00423018">
        <w:rPr>
          <w:rFonts w:ascii="Dubai" w:hAnsi="Dubai" w:cs="Dubai"/>
          <w:sz w:val="24"/>
          <w:szCs w:val="24"/>
          <w:rtl/>
          <w:lang w:bidi="ar-EG"/>
        </w:rPr>
        <w:t xml:space="preserve"> ويستدعي ذلك من السلطة التشريعية مراعاة </w:t>
      </w:r>
      <w:r w:rsidRPr="00423018">
        <w:rPr>
          <w:rFonts w:ascii="Dubai" w:hAnsi="Dubai" w:cs="Dubai" w:hint="cs"/>
          <w:sz w:val="24"/>
          <w:szCs w:val="24"/>
          <w:rtl/>
          <w:lang w:bidi="ar-EG"/>
        </w:rPr>
        <w:t>والالتزام</w:t>
      </w:r>
      <w:r w:rsidRPr="00423018">
        <w:rPr>
          <w:rFonts w:ascii="Dubai" w:hAnsi="Dubai" w:cs="Dubai"/>
          <w:sz w:val="24"/>
          <w:szCs w:val="24"/>
          <w:rtl/>
          <w:lang w:bidi="ar-EG"/>
        </w:rPr>
        <w:t xml:space="preserve"> </w:t>
      </w:r>
      <w:r w:rsidRPr="00423018">
        <w:rPr>
          <w:rFonts w:ascii="Dubai" w:hAnsi="Dubai" w:cs="Dubai" w:hint="cs"/>
          <w:sz w:val="24"/>
          <w:szCs w:val="24"/>
          <w:rtl/>
          <w:lang w:bidi="ar-EG"/>
        </w:rPr>
        <w:t>بالاتفاقيات</w:t>
      </w:r>
      <w:r w:rsidRPr="00423018">
        <w:rPr>
          <w:rFonts w:ascii="Dubai" w:hAnsi="Dubai" w:cs="Dubai"/>
          <w:sz w:val="24"/>
          <w:szCs w:val="24"/>
          <w:rtl/>
          <w:lang w:bidi="ar-EG"/>
        </w:rPr>
        <w:t xml:space="preserve"> الدولية لحقوق الإنسان عند الشروع في الموافقة أو مناقشة أي تشريع </w:t>
      </w:r>
      <w:r w:rsidRPr="00423018">
        <w:rPr>
          <w:rFonts w:ascii="Dubai" w:hAnsi="Dubai" w:cs="Dubai" w:hint="cs"/>
          <w:sz w:val="24"/>
          <w:szCs w:val="24"/>
          <w:rtl/>
          <w:lang w:bidi="ar-EG"/>
        </w:rPr>
        <w:t>حتى</w:t>
      </w:r>
      <w:r w:rsidRPr="00423018">
        <w:rPr>
          <w:rFonts w:ascii="Dubai" w:hAnsi="Dubai" w:cs="Dubai"/>
          <w:sz w:val="24"/>
          <w:szCs w:val="24"/>
          <w:rtl/>
          <w:lang w:bidi="ar-EG"/>
        </w:rPr>
        <w:t xml:space="preserve"> لا تتعارض نصوصه مع أحكام </w:t>
      </w:r>
      <w:r w:rsidRPr="00423018">
        <w:rPr>
          <w:rFonts w:ascii="Dubai" w:hAnsi="Dubai" w:cs="Dubai" w:hint="cs"/>
          <w:sz w:val="24"/>
          <w:szCs w:val="24"/>
          <w:rtl/>
          <w:lang w:bidi="ar-EG"/>
        </w:rPr>
        <w:t>الاتفاقية</w:t>
      </w:r>
      <w:r w:rsidRPr="00423018">
        <w:rPr>
          <w:rFonts w:ascii="Dubai" w:hAnsi="Dubai" w:cs="Dubai"/>
          <w:sz w:val="24"/>
          <w:szCs w:val="24"/>
          <w:rtl/>
          <w:lang w:bidi="ar-EG"/>
        </w:rPr>
        <w:t xml:space="preserve">. وأطلعت مؤسسة ماعت </w:t>
      </w:r>
      <w:r w:rsidRPr="00423018">
        <w:rPr>
          <w:rFonts w:ascii="Dubai" w:hAnsi="Dubai" w:cs="Dubai" w:hint="cs"/>
          <w:sz w:val="24"/>
          <w:szCs w:val="24"/>
          <w:rtl/>
          <w:lang w:bidi="ar-EG"/>
        </w:rPr>
        <w:t>على</w:t>
      </w:r>
      <w:r w:rsidRPr="00423018">
        <w:rPr>
          <w:rFonts w:ascii="Dubai" w:hAnsi="Dubai" w:cs="Dubai"/>
          <w:sz w:val="24"/>
          <w:szCs w:val="24"/>
          <w:rtl/>
          <w:lang w:bidi="ar-EG"/>
        </w:rPr>
        <w:t xml:space="preserve"> السوابق القضائية </w:t>
      </w:r>
      <w:r w:rsidRPr="00423018">
        <w:rPr>
          <w:rFonts w:ascii="Dubai" w:hAnsi="Dubai" w:cs="Dubai" w:hint="cs"/>
          <w:sz w:val="24"/>
          <w:szCs w:val="24"/>
          <w:rtl/>
          <w:lang w:bidi="ar-EG"/>
        </w:rPr>
        <w:t>الأخرى</w:t>
      </w:r>
      <w:r w:rsidRPr="00423018">
        <w:rPr>
          <w:rFonts w:ascii="Dubai" w:hAnsi="Dubai" w:cs="Dubai"/>
          <w:sz w:val="24"/>
          <w:szCs w:val="24"/>
          <w:rtl/>
          <w:lang w:bidi="ar-EG"/>
        </w:rPr>
        <w:t xml:space="preserve"> بما في ذلك السوابق القضائية للمحكمة الدستورية العليا في القضية رقم 131 لسنة 39 قضائية دستورية في عام 2019 والقضية رقم 114 لسنة 29 قضائية دستورية في عام 2017 والذي جاء فيهما إن سن السلطة التشريعية قوانين تتعارض مع التزامات مصر بموجب الاتفاقيات الدولية لحقوق الإنسان يتعارض مع الدستور</w:t>
      </w:r>
      <w:r>
        <w:rPr>
          <w:rFonts w:ascii="Dubai" w:hAnsi="Dubai" w:cs="Dubai" w:hint="cs"/>
          <w:sz w:val="24"/>
          <w:szCs w:val="24"/>
          <w:rtl/>
          <w:lang w:bidi="ar-EG"/>
        </w:rPr>
        <w:t xml:space="preserve"> </w:t>
      </w:r>
      <w:r w:rsidRPr="00423018">
        <w:rPr>
          <w:rFonts w:ascii="Dubai" w:hAnsi="Dubai" w:cs="Dubai"/>
          <w:sz w:val="24"/>
          <w:szCs w:val="24"/>
          <w:rtl/>
          <w:lang w:bidi="ar-EG"/>
        </w:rPr>
        <w:t xml:space="preserve">ويعد بمثابة إخلال بالتزام دستوري. </w:t>
      </w:r>
    </w:p>
    <w:p w:rsidR="00F503F6" w:rsidRPr="00A21510" w:rsidRDefault="00F503F6" w:rsidP="00423018">
      <w:pPr>
        <w:bidi/>
        <w:spacing w:line="276" w:lineRule="auto"/>
        <w:jc w:val="lowKashida"/>
        <w:rPr>
          <w:rFonts w:ascii="Dubai" w:hAnsi="Dubai" w:cs="Dubai"/>
          <w:b/>
          <w:bCs/>
          <w:color w:val="0000FF"/>
          <w:sz w:val="28"/>
          <w:szCs w:val="28"/>
          <w:rtl/>
          <w:lang w:bidi="ar-EG"/>
        </w:rPr>
      </w:pPr>
      <w:r w:rsidRPr="00A21510">
        <w:rPr>
          <w:rFonts w:ascii="Dubai" w:hAnsi="Dubai" w:cs="Dubai"/>
          <w:b/>
          <w:bCs/>
          <w:color w:val="0000FF"/>
          <w:sz w:val="28"/>
          <w:szCs w:val="28"/>
          <w:rtl/>
          <w:lang w:bidi="ar-EG"/>
        </w:rPr>
        <w:t>ثانيا</w:t>
      </w:r>
      <w:r w:rsidRPr="00A21510">
        <w:rPr>
          <w:rFonts w:ascii="Dubai" w:hAnsi="Dubai" w:cs="Dubai" w:hint="cs"/>
          <w:b/>
          <w:bCs/>
          <w:color w:val="0000FF"/>
          <w:sz w:val="28"/>
          <w:szCs w:val="28"/>
          <w:rtl/>
          <w:lang w:bidi="ar-EG"/>
        </w:rPr>
        <w:t>:</w:t>
      </w:r>
      <w:r w:rsidRPr="00A21510">
        <w:rPr>
          <w:rFonts w:ascii="Dubai" w:hAnsi="Dubai" w:cs="Dubai"/>
          <w:b/>
          <w:bCs/>
          <w:color w:val="0000FF"/>
          <w:sz w:val="28"/>
          <w:szCs w:val="28"/>
          <w:rtl/>
          <w:lang w:bidi="ar-EG"/>
        </w:rPr>
        <w:t xml:space="preserve"> تنفيذ الجزء الثالث من </w:t>
      </w:r>
      <w:r w:rsidRPr="00A21510">
        <w:rPr>
          <w:rFonts w:ascii="Dubai" w:hAnsi="Dubai" w:cs="Dubai" w:hint="cs"/>
          <w:b/>
          <w:bCs/>
          <w:color w:val="0000FF"/>
          <w:sz w:val="28"/>
          <w:szCs w:val="28"/>
          <w:rtl/>
          <w:lang w:bidi="ar-EG"/>
        </w:rPr>
        <w:t>الاتفاقية حقوق</w:t>
      </w:r>
      <w:r w:rsidRPr="00A21510">
        <w:rPr>
          <w:rFonts w:ascii="Dubai" w:hAnsi="Dubai" w:cs="Dubai"/>
          <w:b/>
          <w:bCs/>
          <w:color w:val="0000FF"/>
          <w:sz w:val="28"/>
          <w:szCs w:val="28"/>
          <w:rtl/>
          <w:lang w:bidi="ar-EG"/>
        </w:rPr>
        <w:t xml:space="preserve"> الإنسان لجميع العمال المهاجرين وأفراد أسرهم</w:t>
      </w:r>
    </w:p>
    <w:p w:rsidR="00F503F6" w:rsidRPr="00423018" w:rsidRDefault="00F503F6" w:rsidP="00F503F6">
      <w:pPr>
        <w:pStyle w:val="ListParagraph"/>
        <w:numPr>
          <w:ilvl w:val="0"/>
          <w:numId w:val="20"/>
        </w:numPr>
        <w:bidi/>
        <w:spacing w:line="276" w:lineRule="auto"/>
        <w:ind w:left="270"/>
        <w:jc w:val="lowKashida"/>
        <w:rPr>
          <w:rFonts w:ascii="Dubai" w:hAnsi="Dubai" w:cs="Dubai"/>
          <w:b/>
          <w:bCs/>
          <w:color w:val="0070C0"/>
          <w:sz w:val="24"/>
          <w:szCs w:val="24"/>
          <w:lang w:bidi="ar-EG"/>
        </w:rPr>
      </w:pPr>
      <w:r w:rsidRPr="00423018">
        <w:rPr>
          <w:rFonts w:ascii="Dubai" w:hAnsi="Dubai" w:cs="Dubai"/>
          <w:b/>
          <w:bCs/>
          <w:color w:val="0070C0"/>
          <w:sz w:val="24"/>
          <w:szCs w:val="24"/>
          <w:rtl/>
          <w:lang w:bidi="ar-EG"/>
        </w:rPr>
        <w:t>حق الفرد في مغادرة أي بلد، بما في ذلك بلده، والعودة إليه (المادة 8)</w:t>
      </w:r>
    </w:p>
    <w:p w:rsidR="00F503F6" w:rsidRPr="00423018" w:rsidRDefault="00F503F6" w:rsidP="00A21510">
      <w:pPr>
        <w:bidi/>
        <w:spacing w:line="276" w:lineRule="auto"/>
        <w:jc w:val="lowKashida"/>
        <w:rPr>
          <w:rFonts w:ascii="Dubai" w:hAnsi="Dubai" w:cs="Dubai"/>
          <w:sz w:val="24"/>
          <w:szCs w:val="24"/>
          <w:rtl/>
          <w:lang w:bidi="ar-EG"/>
        </w:rPr>
      </w:pPr>
      <w:r w:rsidRPr="00423018">
        <w:rPr>
          <w:rFonts w:ascii="Dubai" w:hAnsi="Dubai" w:cs="Dubai"/>
          <w:sz w:val="24"/>
          <w:szCs w:val="24"/>
          <w:rtl/>
          <w:lang w:bidi="ar-EG"/>
        </w:rPr>
        <w:t xml:space="preserve">أطلعت مؤسسة ماعت </w:t>
      </w:r>
      <w:r w:rsidRPr="00423018">
        <w:rPr>
          <w:rFonts w:ascii="Dubai" w:hAnsi="Dubai" w:cs="Dubai" w:hint="cs"/>
          <w:sz w:val="24"/>
          <w:szCs w:val="24"/>
          <w:rtl/>
          <w:lang w:bidi="ar-EG"/>
        </w:rPr>
        <w:t>على</w:t>
      </w:r>
      <w:r w:rsidRPr="00423018">
        <w:rPr>
          <w:rFonts w:ascii="Dubai" w:hAnsi="Dubai" w:cs="Dubai"/>
          <w:sz w:val="24"/>
          <w:szCs w:val="24"/>
          <w:rtl/>
          <w:lang w:bidi="ar-EG"/>
        </w:rPr>
        <w:t xml:space="preserve"> التدابير </w:t>
      </w:r>
      <w:r w:rsidRPr="00423018">
        <w:rPr>
          <w:rFonts w:ascii="Dubai" w:hAnsi="Dubai" w:cs="Dubai" w:hint="cs"/>
          <w:sz w:val="24"/>
          <w:szCs w:val="24"/>
          <w:rtl/>
          <w:lang w:bidi="ar-EG"/>
        </w:rPr>
        <w:t>الواردة</w:t>
      </w:r>
      <w:r w:rsidRPr="00423018">
        <w:rPr>
          <w:rFonts w:ascii="Dubai" w:hAnsi="Dubai" w:cs="Dubai"/>
          <w:sz w:val="24"/>
          <w:szCs w:val="24"/>
          <w:rtl/>
          <w:lang w:bidi="ar-EG"/>
        </w:rPr>
        <w:t xml:space="preserve"> في التقرير الجامع للدولة المصرية بما في ذلك ما أشارت إليه المادة 62 من الدستور </w:t>
      </w:r>
      <w:r>
        <w:rPr>
          <w:rFonts w:ascii="Dubai" w:hAnsi="Dubai" w:cs="Dubai" w:hint="cs"/>
          <w:sz w:val="24"/>
          <w:szCs w:val="24"/>
          <w:rtl/>
          <w:lang w:bidi="ar-EG"/>
        </w:rPr>
        <w:t xml:space="preserve">على </w:t>
      </w:r>
      <w:r w:rsidRPr="00423018">
        <w:rPr>
          <w:rFonts w:ascii="Dubai" w:hAnsi="Dubai" w:cs="Dubai"/>
          <w:sz w:val="24"/>
          <w:szCs w:val="24"/>
          <w:rtl/>
          <w:lang w:bidi="ar-EG"/>
        </w:rPr>
        <w:t xml:space="preserve">حرية التنقل والإقامة والهجرة، حيث تنص على عدم جواز إبعاد أي مواطن عن إقليم الدولة أو منعه من العودة إليه، وعدم جواز منع أي مواطن من مغادرة إقليم الدولة أو فرض الإقامة الجبرية عليه أو حظر الإقامة في جهة معينة عليه إلا بأمر قضائي مسبب، ولمدة محددة. </w:t>
      </w:r>
    </w:p>
    <w:p w:rsidR="00F503F6" w:rsidRPr="00423018" w:rsidRDefault="00F503F6" w:rsidP="00FA72BE">
      <w:pPr>
        <w:bidi/>
        <w:spacing w:line="276" w:lineRule="auto"/>
        <w:jc w:val="lowKashida"/>
        <w:rPr>
          <w:rFonts w:ascii="Dubai" w:hAnsi="Dubai" w:cs="Dubai"/>
          <w:sz w:val="24"/>
          <w:szCs w:val="24"/>
          <w:rtl/>
          <w:lang w:bidi="ar-EG"/>
        </w:rPr>
      </w:pPr>
      <w:r w:rsidRPr="00423018">
        <w:rPr>
          <w:rFonts w:ascii="Dubai" w:hAnsi="Dubai" w:cs="Dubai"/>
          <w:sz w:val="24"/>
          <w:szCs w:val="24"/>
          <w:rtl/>
          <w:lang w:bidi="ar-EG"/>
        </w:rPr>
        <w:t>كما ينظم القانون 89 لسنة 1960، بشأن دخول وإقامة الأجانب بأراضي جمهورية مصر العربية والخروج منها، شروط وإجراءات إقامة الأجانب. ويشترط في إبعاد الأجانب من ذوي الإقامة الخاصة أن يكون في وجودهم ما يهدد أمن الدولة أو سلامتها في الداخل أو الخارج أو اقتصادها القومي أو الصحة العامة أو الآداب العامة أو السكينة العامة</w:t>
      </w:r>
      <w:r w:rsidRPr="00423018">
        <w:rPr>
          <w:rStyle w:val="FootnoteReference"/>
          <w:rFonts w:ascii="Dubai" w:hAnsi="Dubai" w:cs="Dubai"/>
          <w:sz w:val="24"/>
          <w:szCs w:val="24"/>
          <w:rtl/>
          <w:lang w:bidi="ar-EG"/>
        </w:rPr>
        <w:footnoteReference w:id="8"/>
      </w:r>
      <w:r w:rsidRPr="00423018">
        <w:rPr>
          <w:rFonts w:ascii="Dubai" w:hAnsi="Dubai" w:cs="Dubai"/>
          <w:sz w:val="24"/>
          <w:szCs w:val="24"/>
          <w:rtl/>
          <w:lang w:bidi="ar-EG"/>
        </w:rPr>
        <w:t xml:space="preserve">. وتمر قرارات الإبعاد بعدة إجراءات تتمثل في دراسة كل حالة على </w:t>
      </w:r>
      <w:r w:rsidRPr="00423018">
        <w:rPr>
          <w:rFonts w:ascii="Dubai" w:hAnsi="Dubai" w:cs="Dubai" w:hint="cs"/>
          <w:sz w:val="24"/>
          <w:szCs w:val="24"/>
          <w:rtl/>
          <w:lang w:bidi="ar-EG"/>
        </w:rPr>
        <w:t>حدي</w:t>
      </w:r>
      <w:r w:rsidRPr="00423018">
        <w:rPr>
          <w:rFonts w:ascii="Dubai" w:hAnsi="Dubai" w:cs="Dubai"/>
          <w:sz w:val="24"/>
          <w:szCs w:val="24"/>
          <w:rtl/>
          <w:lang w:bidi="ar-EG"/>
        </w:rPr>
        <w:t xml:space="preserve"> من أجل الوقوف على الأسباب الموضوعية والقانونية التي تدعو إلى الإبعاد، ثم استدعاء الشخص المعني وسؤاله وسماع الإيضاحات اللازمة منه في حضور محامٍ وممثل من السفارة ومترجم. وأخيراً يصدر القرار بالإبعاد من وزير الداخلية بعد موافقة لجنة مشكلة من ممثلي الجهات الحكومية المعنية. ويمكن في جميع الأحوال التظلم من هذا القرار، والطعن عليه بالإلغاء أمام مجلس الدولة. كما يجوز طلب وقف تنفيذه بصفة مستعجلة. وبخصوص تنفيذ الفقرة </w:t>
      </w:r>
      <w:r w:rsidRPr="00423018">
        <w:rPr>
          <w:rFonts w:ascii="Dubai" w:hAnsi="Dubai" w:cs="Dubai" w:hint="cs"/>
          <w:sz w:val="24"/>
          <w:szCs w:val="24"/>
          <w:rtl/>
          <w:lang w:bidi="ar-EG"/>
        </w:rPr>
        <w:t>الثاني</w:t>
      </w:r>
      <w:r w:rsidRPr="00423018">
        <w:rPr>
          <w:rFonts w:ascii="Dubai" w:hAnsi="Dubai" w:cs="Dubai" w:hint="eastAsia"/>
          <w:sz w:val="24"/>
          <w:szCs w:val="24"/>
          <w:rtl/>
          <w:lang w:bidi="ar-EG"/>
        </w:rPr>
        <w:t>ة</w:t>
      </w:r>
      <w:r w:rsidRPr="00423018">
        <w:rPr>
          <w:rFonts w:ascii="Dubai" w:hAnsi="Dubai" w:cs="Dubai"/>
          <w:sz w:val="24"/>
          <w:szCs w:val="24"/>
          <w:rtl/>
          <w:lang w:bidi="ar-EG"/>
        </w:rPr>
        <w:t xml:space="preserve"> من المادة الثامنة في الاتفاقية لم تلاحظ مؤسسة ماعت </w:t>
      </w:r>
      <w:r>
        <w:rPr>
          <w:rFonts w:ascii="Dubai" w:hAnsi="Dubai" w:cs="Dubai" w:hint="cs"/>
          <w:sz w:val="24"/>
          <w:szCs w:val="24"/>
          <w:rtl/>
          <w:lang w:bidi="ar-EG"/>
        </w:rPr>
        <w:t>أ</w:t>
      </w:r>
      <w:r w:rsidRPr="00423018">
        <w:rPr>
          <w:rFonts w:ascii="Dubai" w:hAnsi="Dubai" w:cs="Dubai"/>
          <w:sz w:val="24"/>
          <w:szCs w:val="24"/>
          <w:rtl/>
          <w:lang w:bidi="ar-EG"/>
        </w:rPr>
        <w:t>ي عقبات تعترض العمال المهاجرين من الجنسية المصرية الذين يسافرون للعمل بالخارج من العودة إلي دولتهم باعتبارها دولة المنشأ.</w:t>
      </w:r>
    </w:p>
    <w:p w:rsidR="00F503F6" w:rsidRPr="00423018" w:rsidRDefault="00F503F6" w:rsidP="00F503F6">
      <w:pPr>
        <w:pStyle w:val="ListParagraph"/>
        <w:numPr>
          <w:ilvl w:val="0"/>
          <w:numId w:val="20"/>
        </w:numPr>
        <w:bidi/>
        <w:spacing w:line="276" w:lineRule="auto"/>
        <w:jc w:val="lowKashida"/>
        <w:rPr>
          <w:rFonts w:ascii="Dubai" w:hAnsi="Dubai" w:cs="Dubai"/>
          <w:b/>
          <w:bCs/>
          <w:color w:val="0070C0"/>
          <w:sz w:val="24"/>
          <w:szCs w:val="24"/>
          <w:lang w:bidi="ar-EG"/>
        </w:rPr>
      </w:pPr>
      <w:r w:rsidRPr="00423018">
        <w:rPr>
          <w:rFonts w:ascii="Dubai" w:hAnsi="Dubai" w:cs="Dubai"/>
          <w:b/>
          <w:bCs/>
          <w:color w:val="0070C0"/>
          <w:sz w:val="24"/>
          <w:szCs w:val="24"/>
          <w:rtl/>
          <w:lang w:bidi="ar-EG"/>
        </w:rPr>
        <w:t xml:space="preserve">حظر العبودية والعمل </w:t>
      </w:r>
      <w:r w:rsidRPr="00423018">
        <w:rPr>
          <w:rFonts w:ascii="Dubai" w:hAnsi="Dubai" w:cs="Dubai" w:hint="cs"/>
          <w:b/>
          <w:bCs/>
          <w:color w:val="0070C0"/>
          <w:sz w:val="24"/>
          <w:szCs w:val="24"/>
          <w:rtl/>
          <w:lang w:bidi="ar-EG"/>
        </w:rPr>
        <w:t>القسري (</w:t>
      </w:r>
      <w:r w:rsidRPr="00423018">
        <w:rPr>
          <w:rFonts w:ascii="Dubai" w:hAnsi="Dubai" w:cs="Dubai"/>
          <w:b/>
          <w:bCs/>
          <w:color w:val="0070C0"/>
          <w:sz w:val="24"/>
          <w:szCs w:val="24"/>
          <w:rtl/>
          <w:lang w:bidi="ar-EG"/>
        </w:rPr>
        <w:t>المادة 11)</w:t>
      </w:r>
    </w:p>
    <w:p w:rsidR="00F503F6" w:rsidRPr="00423018" w:rsidRDefault="00F503F6" w:rsidP="00423018">
      <w:pPr>
        <w:bidi/>
        <w:spacing w:line="276" w:lineRule="auto"/>
        <w:jc w:val="lowKashida"/>
        <w:rPr>
          <w:rFonts w:ascii="Dubai" w:hAnsi="Dubai" w:cs="Dubai"/>
          <w:sz w:val="24"/>
          <w:szCs w:val="24"/>
          <w:rtl/>
          <w:lang w:bidi="ar-EG"/>
        </w:rPr>
      </w:pPr>
      <w:r w:rsidRPr="00423018">
        <w:rPr>
          <w:rFonts w:ascii="Dubai" w:hAnsi="Dubai" w:cs="Dubai"/>
          <w:sz w:val="24"/>
          <w:szCs w:val="24"/>
          <w:rtl/>
          <w:lang w:bidi="ar-EG"/>
        </w:rPr>
        <w:t xml:space="preserve">تلاحظ مؤسسة ماعت إن العمل القسري يعد جريمة جنائية بموجب المادة 117 من قانون العقوبات كما ينص قانون العقوبات في المادة 291 </w:t>
      </w:r>
      <w:r w:rsidRPr="00423018">
        <w:rPr>
          <w:rFonts w:ascii="Dubai" w:hAnsi="Dubai" w:cs="Dubai" w:hint="cs"/>
          <w:sz w:val="24"/>
          <w:szCs w:val="24"/>
          <w:rtl/>
          <w:lang w:bidi="ar-EG"/>
        </w:rPr>
        <w:t>على</w:t>
      </w:r>
      <w:r w:rsidRPr="00423018">
        <w:rPr>
          <w:rFonts w:ascii="Dubai" w:hAnsi="Dubai" w:cs="Dubai"/>
          <w:sz w:val="24"/>
          <w:szCs w:val="24"/>
          <w:rtl/>
          <w:lang w:bidi="ar-EG"/>
        </w:rPr>
        <w:t xml:space="preserve"> أن "يعاقب بالسجن المشدد مدة لا تقل عن خمس سنوات وبغرامة لا تقل عن خمسين ألف جنيه ولا تجاوز مائتي ألف جنيه كل من باع طفلاً أو اشتراه أو عرضه للبيع، وكذلك من سلمه أو تسلمه أو نقله باعتباره رقيقاً، أو استغله جنسياً أو تجارياً، أو استخدمه في العمل القسري، أو في غير ذلك من الأغراض غير المشروعة، ولو وقعت الجريمة في الخارج. ويعاقب بذات العقوبة من سهل فعلاً من الأفعال المذكورة في الفقرة السابقة أو حرض عليه ولو لم تقع الجريمة بناءً على ذلك. </w:t>
      </w:r>
      <w:r w:rsidRPr="00456D44">
        <w:rPr>
          <w:rFonts w:ascii="Dubai" w:hAnsi="Dubai" w:cs="Dubai"/>
          <w:sz w:val="24"/>
          <w:szCs w:val="24"/>
          <w:rtl/>
          <w:lang w:bidi="ar-EG"/>
        </w:rPr>
        <w:t xml:space="preserve">وكانت مؤسسة ماعت تأمل أن تسرد الحكومة في تقريرها الدوري المقدم للجنة التدابير الأخيرة التي </w:t>
      </w:r>
      <w:r w:rsidRPr="00456D44">
        <w:rPr>
          <w:rFonts w:ascii="Dubai" w:hAnsi="Dubai" w:cs="Dubai" w:hint="cs"/>
          <w:sz w:val="24"/>
          <w:szCs w:val="24"/>
          <w:rtl/>
          <w:lang w:bidi="ar-EG"/>
        </w:rPr>
        <w:t>اتخذتها</w:t>
      </w:r>
      <w:r w:rsidRPr="00456D44">
        <w:rPr>
          <w:rFonts w:ascii="Dubai" w:hAnsi="Dubai" w:cs="Dubai"/>
          <w:sz w:val="24"/>
          <w:szCs w:val="24"/>
          <w:rtl/>
          <w:lang w:bidi="ar-EG"/>
        </w:rPr>
        <w:t xml:space="preserve"> مصر بدلا من إحالة تنفيذ هذه المادة للتقرير الأول الذي ق</w:t>
      </w:r>
      <w:r w:rsidRPr="00456D44">
        <w:rPr>
          <w:rFonts w:ascii="Dubai" w:hAnsi="Dubai" w:cs="Dubai" w:hint="cs"/>
          <w:sz w:val="24"/>
          <w:szCs w:val="24"/>
          <w:rtl/>
          <w:lang w:bidi="ar-EG"/>
        </w:rPr>
        <w:t>ُ</w:t>
      </w:r>
      <w:r w:rsidRPr="00456D44">
        <w:rPr>
          <w:rFonts w:ascii="Dubai" w:hAnsi="Dubai" w:cs="Dubai"/>
          <w:sz w:val="24"/>
          <w:szCs w:val="24"/>
          <w:rtl/>
          <w:lang w:bidi="ar-EG"/>
        </w:rPr>
        <w:t xml:space="preserve">دم في وقت قديم وينطوي </w:t>
      </w:r>
      <w:r w:rsidRPr="00456D44">
        <w:rPr>
          <w:rFonts w:ascii="Dubai" w:hAnsi="Dubai" w:cs="Dubai" w:hint="cs"/>
          <w:sz w:val="24"/>
          <w:szCs w:val="24"/>
          <w:rtl/>
          <w:lang w:bidi="ar-EG"/>
        </w:rPr>
        <w:t>على</w:t>
      </w:r>
      <w:r w:rsidRPr="00456D44">
        <w:rPr>
          <w:rFonts w:ascii="Dubai" w:hAnsi="Dubai" w:cs="Dubai"/>
          <w:sz w:val="24"/>
          <w:szCs w:val="24"/>
          <w:rtl/>
          <w:lang w:bidi="ar-EG"/>
        </w:rPr>
        <w:t xml:space="preserve"> بيانات ومعلومات غير محدثة ولإنه بالطبع خلال هذه الفترة قد طرأت ممارسات اضافية</w:t>
      </w:r>
      <w:r w:rsidRPr="00423018">
        <w:rPr>
          <w:rFonts w:ascii="Dubai" w:hAnsi="Dubai" w:cs="Dubai"/>
          <w:sz w:val="24"/>
          <w:szCs w:val="24"/>
          <w:rtl/>
          <w:lang w:bidi="ar-EG"/>
        </w:rPr>
        <w:t xml:space="preserve">. </w:t>
      </w:r>
      <w:r w:rsidRPr="00456D44">
        <w:rPr>
          <w:rFonts w:ascii="Dubai" w:hAnsi="Dubai" w:cs="Dubai" w:hint="cs"/>
          <w:sz w:val="24"/>
          <w:szCs w:val="24"/>
          <w:rtl/>
          <w:lang w:bidi="ar-EG"/>
        </w:rPr>
        <w:t>ج</w:t>
      </w:r>
      <w:r w:rsidRPr="00456D44">
        <w:rPr>
          <w:rFonts w:ascii="Dubai" w:hAnsi="Dubai" w:cs="Dubai"/>
          <w:sz w:val="24"/>
          <w:szCs w:val="24"/>
          <w:rtl/>
          <w:lang w:bidi="ar-EG"/>
        </w:rPr>
        <w:t>دير بالذكر إن العاملات المنزليات بما في ذلك العاملات المهاجرات غير مشمولين بالحماية الواردة في قانون العمل أسوة بباق العمال الأجانب الأخرين.</w:t>
      </w:r>
      <w:r w:rsidRPr="004416D0">
        <w:rPr>
          <w:rFonts w:ascii="Dubai" w:hAnsi="Dubai" w:cs="Dubai"/>
          <w:color w:val="C00000"/>
          <w:sz w:val="24"/>
          <w:szCs w:val="24"/>
          <w:rtl/>
          <w:lang w:bidi="ar-EG"/>
        </w:rPr>
        <w:t xml:space="preserve"> </w:t>
      </w:r>
    </w:p>
    <w:p w:rsidR="00F503F6" w:rsidRPr="00423018" w:rsidRDefault="00F503F6" w:rsidP="00F503F6">
      <w:pPr>
        <w:pStyle w:val="ListParagraph"/>
        <w:numPr>
          <w:ilvl w:val="0"/>
          <w:numId w:val="20"/>
        </w:numPr>
        <w:bidi/>
        <w:spacing w:line="276" w:lineRule="auto"/>
        <w:jc w:val="lowKashida"/>
        <w:rPr>
          <w:rFonts w:ascii="Dubai" w:hAnsi="Dubai" w:cs="Dubai"/>
          <w:b/>
          <w:bCs/>
          <w:color w:val="0070C0"/>
          <w:sz w:val="24"/>
          <w:szCs w:val="24"/>
          <w:rtl/>
          <w:lang w:bidi="ar-EG"/>
        </w:rPr>
      </w:pPr>
      <w:r w:rsidRPr="00423018">
        <w:rPr>
          <w:rFonts w:ascii="Dubai" w:hAnsi="Dubai" w:cs="Dubai"/>
          <w:b/>
          <w:bCs/>
          <w:color w:val="0070C0"/>
          <w:sz w:val="24"/>
          <w:szCs w:val="24"/>
          <w:rtl/>
          <w:lang w:bidi="ar-EG"/>
        </w:rPr>
        <w:t>حظر الحرمان التعسفي من الملكية (المادة 15)</w:t>
      </w:r>
    </w:p>
    <w:p w:rsidR="00F503F6" w:rsidRPr="00457D33" w:rsidRDefault="00F503F6" w:rsidP="00423018">
      <w:pPr>
        <w:bidi/>
        <w:spacing w:line="276" w:lineRule="auto"/>
        <w:jc w:val="lowKashida"/>
        <w:rPr>
          <w:rFonts w:ascii="Dubai" w:hAnsi="Dubai" w:cs="Dubai"/>
          <w:color w:val="C00000"/>
          <w:sz w:val="24"/>
          <w:szCs w:val="24"/>
          <w:rtl/>
          <w:lang w:bidi="ar-EG"/>
        </w:rPr>
      </w:pPr>
      <w:r w:rsidRPr="00423018">
        <w:rPr>
          <w:rFonts w:ascii="Dubai" w:hAnsi="Dubai" w:cs="Dubai"/>
          <w:sz w:val="24"/>
          <w:szCs w:val="24"/>
          <w:rtl/>
          <w:lang w:bidi="ar-EG"/>
        </w:rPr>
        <w:t>أطلعت مؤسسة ماعت علي التطورات الواردة في التقرير الجامع المقدم من مصر إلي اللجنة بما في ذلك التشريعات المصرية التي تضمن الحق في الملكية الخاصة في سياق متصل تلاحظ مؤسسة ماعت القرارات الأخيرة الصادرة عن الحكومة المصرية والتي ت</w:t>
      </w:r>
      <w:r>
        <w:rPr>
          <w:rFonts w:ascii="Dubai" w:hAnsi="Dubai" w:cs="Dubai" w:hint="cs"/>
          <w:sz w:val="24"/>
          <w:szCs w:val="24"/>
          <w:rtl/>
          <w:lang w:bidi="ar-EG"/>
        </w:rPr>
        <w:t>ت</w:t>
      </w:r>
      <w:r w:rsidRPr="00423018">
        <w:rPr>
          <w:rFonts w:ascii="Dubai" w:hAnsi="Dubai" w:cs="Dubai"/>
          <w:sz w:val="24"/>
          <w:szCs w:val="24"/>
          <w:rtl/>
          <w:lang w:bidi="ar-EG"/>
        </w:rPr>
        <w:t>ي</w:t>
      </w:r>
      <w:r>
        <w:rPr>
          <w:rFonts w:ascii="Dubai" w:hAnsi="Dubai" w:cs="Dubai" w:hint="cs"/>
          <w:sz w:val="24"/>
          <w:szCs w:val="24"/>
          <w:rtl/>
          <w:lang w:bidi="ar-EG"/>
        </w:rPr>
        <w:t>ح</w:t>
      </w:r>
      <w:r w:rsidRPr="00423018">
        <w:rPr>
          <w:rFonts w:ascii="Dubai" w:hAnsi="Dubai" w:cs="Dubai"/>
          <w:sz w:val="24"/>
          <w:szCs w:val="24"/>
          <w:rtl/>
          <w:lang w:bidi="ar-EG"/>
        </w:rPr>
        <w:t xml:space="preserve"> للأجانب بما في ذلك العمال المهاجرين وأفراد اسرهم تملك العقارات في مصر وبعد أن كان يتيح القانون تملك الأجانب عقارين فقط وفي مدينتين مختلفين وافق مجلس الوزراء المصري في 5 يوليو 2023، على تعديل تشريعي لنص المادة 2 من القانون رقم 230 لسنة 1996 بتنظيم تملك غير المصريين للعقارات المبنية والأراضي الفضاء، مقابل منحهم إقامة مؤقتة. ويسمح التعديل التشريعي للأجانب بتملك العقارات، سواء المبنية أو الفضاء، لأغراض السكن، على أن يتم دفع ثمنها بالعملة الأجنبية التي لا يجوز تحويلها إلا من الخارج إلى أحد البنوك التابعة للدولة. </w:t>
      </w:r>
      <w:r w:rsidRPr="00456D44">
        <w:rPr>
          <w:rFonts w:ascii="Dubai" w:hAnsi="Dubai" w:cs="Dubai"/>
          <w:sz w:val="24"/>
          <w:szCs w:val="24"/>
          <w:rtl/>
          <w:lang w:bidi="ar-EG"/>
        </w:rPr>
        <w:t xml:space="preserve">وأطلعت مؤسسة ماعت </w:t>
      </w:r>
      <w:r w:rsidRPr="00456D44">
        <w:rPr>
          <w:rFonts w:ascii="Dubai" w:hAnsi="Dubai" w:cs="Dubai" w:hint="cs"/>
          <w:sz w:val="24"/>
          <w:szCs w:val="24"/>
          <w:rtl/>
          <w:lang w:bidi="ar-EG"/>
        </w:rPr>
        <w:t>على</w:t>
      </w:r>
      <w:r w:rsidRPr="00456D44">
        <w:rPr>
          <w:rFonts w:ascii="Dubai" w:hAnsi="Dubai" w:cs="Dubai"/>
          <w:sz w:val="24"/>
          <w:szCs w:val="24"/>
          <w:rtl/>
          <w:lang w:bidi="ar-EG"/>
        </w:rPr>
        <w:t xml:space="preserve"> تقارير رسمية تفيد بإن هذه الخطوات جاءت من أجل تدفق العملة الأجنبية وتشجيع الاستثمار الأجنبي</w:t>
      </w:r>
      <w:r w:rsidRPr="00456D44">
        <w:rPr>
          <w:rFonts w:ascii="Dubai" w:hAnsi="Dubai" w:cs="Dubai" w:hint="cs"/>
          <w:sz w:val="24"/>
          <w:szCs w:val="24"/>
          <w:rtl/>
          <w:lang w:bidi="ar-EG"/>
        </w:rPr>
        <w:t>.</w:t>
      </w:r>
      <w:r w:rsidRPr="00457D33">
        <w:rPr>
          <w:rFonts w:ascii="Dubai" w:hAnsi="Dubai" w:cs="Dubai"/>
          <w:color w:val="C00000"/>
          <w:sz w:val="24"/>
          <w:szCs w:val="24"/>
          <w:rtl/>
          <w:lang w:bidi="ar-EG"/>
        </w:rPr>
        <w:t xml:space="preserve"> </w:t>
      </w:r>
    </w:p>
    <w:p w:rsidR="00F503F6" w:rsidRPr="00423018" w:rsidRDefault="00F503F6" w:rsidP="00F503F6">
      <w:pPr>
        <w:pStyle w:val="ListParagraph"/>
        <w:numPr>
          <w:ilvl w:val="0"/>
          <w:numId w:val="20"/>
        </w:numPr>
        <w:bidi/>
        <w:spacing w:line="276" w:lineRule="auto"/>
        <w:jc w:val="lowKashida"/>
        <w:rPr>
          <w:rFonts w:ascii="Dubai" w:hAnsi="Dubai" w:cs="Dubai"/>
          <w:b/>
          <w:bCs/>
          <w:color w:val="0070C0"/>
          <w:sz w:val="24"/>
          <w:szCs w:val="24"/>
          <w:rtl/>
          <w:lang w:bidi="ar-EG"/>
        </w:rPr>
      </w:pPr>
      <w:r w:rsidRPr="00423018">
        <w:rPr>
          <w:rFonts w:ascii="Dubai" w:hAnsi="Dubai" w:cs="Dubai"/>
          <w:b/>
          <w:bCs/>
          <w:color w:val="0070C0"/>
          <w:sz w:val="24"/>
          <w:szCs w:val="24"/>
          <w:rtl/>
          <w:lang w:bidi="ar-EG"/>
        </w:rPr>
        <w:t>الحق في المساواة في العمل والأجر (المادة 25)</w:t>
      </w:r>
    </w:p>
    <w:p w:rsidR="00F503F6" w:rsidRPr="00E261DC" w:rsidRDefault="00F503F6" w:rsidP="00423018">
      <w:pPr>
        <w:bidi/>
        <w:spacing w:line="276" w:lineRule="auto"/>
        <w:jc w:val="lowKashida"/>
        <w:rPr>
          <w:rFonts w:ascii="Dubai" w:hAnsi="Dubai" w:cs="Dubai"/>
          <w:color w:val="FF0000"/>
          <w:sz w:val="24"/>
          <w:szCs w:val="24"/>
          <w:rtl/>
          <w:lang w:bidi="ar-EG"/>
        </w:rPr>
      </w:pPr>
      <w:r w:rsidRPr="00423018">
        <w:rPr>
          <w:rFonts w:ascii="Dubai" w:hAnsi="Dubai" w:cs="Dubai"/>
          <w:sz w:val="24"/>
          <w:szCs w:val="24"/>
          <w:rtl/>
          <w:lang w:bidi="ar-EG"/>
        </w:rPr>
        <w:t xml:space="preserve">تلاحظ مؤسسة ماعت إن قانون الخدمة المدنية رقم 81 لسنة 2016 ينص </w:t>
      </w:r>
      <w:r w:rsidRPr="00423018">
        <w:rPr>
          <w:rFonts w:ascii="Dubai" w:hAnsi="Dubai" w:cs="Dubai" w:hint="cs"/>
          <w:sz w:val="24"/>
          <w:szCs w:val="24"/>
          <w:rtl/>
          <w:lang w:bidi="ar-EG"/>
        </w:rPr>
        <w:t>على</w:t>
      </w:r>
      <w:r w:rsidRPr="00423018">
        <w:rPr>
          <w:rFonts w:ascii="Dubai" w:hAnsi="Dubai" w:cs="Dubai"/>
          <w:sz w:val="24"/>
          <w:szCs w:val="24"/>
          <w:rtl/>
          <w:lang w:bidi="ar-EG"/>
        </w:rPr>
        <w:t xml:space="preserve"> تحديد ساعات العمل والراحة، والإجازات المدفوعة الأجر، وقواعد الحفاظ على الصحة والسلامة المهنية، وحماية النساء والأطفال والأشخاص ذوي الإعاقة أثناء العمل، وتطبق هذه الشروط على جميع العمال بغض النظر عن جنسيتهم</w:t>
      </w:r>
      <w:r w:rsidRPr="00423018">
        <w:rPr>
          <w:rStyle w:val="FootnoteReference"/>
          <w:rFonts w:ascii="Dubai" w:hAnsi="Dubai" w:cs="Dubai"/>
          <w:sz w:val="24"/>
          <w:szCs w:val="24"/>
          <w:rtl/>
          <w:lang w:bidi="ar-EG"/>
        </w:rPr>
        <w:footnoteReference w:id="9"/>
      </w:r>
      <w:r w:rsidRPr="00423018">
        <w:rPr>
          <w:rFonts w:ascii="Dubai" w:hAnsi="Dubai" w:cs="Dubai"/>
          <w:sz w:val="24"/>
          <w:szCs w:val="24"/>
          <w:rtl/>
          <w:lang w:bidi="ar-EG"/>
        </w:rPr>
        <w:t xml:space="preserve">. ووفقا للتقارير الموثوقة المعتمدة </w:t>
      </w:r>
      <w:r w:rsidRPr="00423018">
        <w:rPr>
          <w:rFonts w:ascii="Dubai" w:hAnsi="Dubai" w:cs="Dubai" w:hint="cs"/>
          <w:sz w:val="24"/>
          <w:szCs w:val="24"/>
          <w:rtl/>
          <w:lang w:bidi="ar-EG"/>
        </w:rPr>
        <w:t>على</w:t>
      </w:r>
      <w:r w:rsidRPr="00423018">
        <w:rPr>
          <w:rFonts w:ascii="Dubai" w:hAnsi="Dubai" w:cs="Dubai"/>
          <w:sz w:val="24"/>
          <w:szCs w:val="24"/>
          <w:rtl/>
          <w:lang w:bidi="ar-EG"/>
        </w:rPr>
        <w:t xml:space="preserve"> بيانات السفارات فإن العمل من بين الدوافع الرئيسية لبقاء العمال المهاجرين من دول مثل بنجلاديش واريتريا وإثيوبيا والفلبين والسودان وجنوب </w:t>
      </w:r>
      <w:r w:rsidRPr="00423018">
        <w:rPr>
          <w:rFonts w:ascii="Dubai" w:hAnsi="Dubai" w:cs="Dubai" w:hint="cs"/>
          <w:sz w:val="24"/>
          <w:szCs w:val="24"/>
          <w:rtl/>
          <w:lang w:bidi="ar-EG"/>
        </w:rPr>
        <w:t>السودان في</w:t>
      </w:r>
      <w:r w:rsidRPr="00423018">
        <w:rPr>
          <w:rFonts w:ascii="Dubai" w:hAnsi="Dubai" w:cs="Dubai"/>
          <w:sz w:val="24"/>
          <w:szCs w:val="24"/>
          <w:rtl/>
          <w:lang w:bidi="ar-EG"/>
        </w:rPr>
        <w:t xml:space="preserve"> </w:t>
      </w:r>
      <w:r w:rsidRPr="00423018">
        <w:rPr>
          <w:rFonts w:ascii="Dubai" w:hAnsi="Dubai" w:cs="Dubai" w:hint="cs"/>
          <w:sz w:val="24"/>
          <w:szCs w:val="24"/>
          <w:rtl/>
          <w:lang w:bidi="ar-EG"/>
        </w:rPr>
        <w:t>مصر.</w:t>
      </w:r>
      <w:r w:rsidRPr="00423018">
        <w:rPr>
          <w:rFonts w:ascii="Dubai" w:hAnsi="Dubai" w:cs="Dubai"/>
          <w:sz w:val="24"/>
          <w:szCs w:val="24"/>
          <w:rtl/>
          <w:lang w:bidi="ar-EG"/>
        </w:rPr>
        <w:t xml:space="preserve"> مع ذلك تشير الأبحاث الخاصة بمنظمة الهجرة الدولية إن القطاعات التي تضم عمالًا مهاجرين معرضة بشكل خاص </w:t>
      </w:r>
      <w:r w:rsidRPr="00423018">
        <w:rPr>
          <w:rFonts w:ascii="Dubai" w:hAnsi="Dubai" w:cs="Dubai" w:hint="cs"/>
          <w:sz w:val="24"/>
          <w:szCs w:val="24"/>
          <w:rtl/>
          <w:lang w:bidi="ar-EG"/>
        </w:rPr>
        <w:t>لانتهاكات</w:t>
      </w:r>
      <w:r w:rsidRPr="00423018">
        <w:rPr>
          <w:rFonts w:ascii="Dubai" w:hAnsi="Dubai" w:cs="Dubai"/>
          <w:sz w:val="24"/>
          <w:szCs w:val="24"/>
          <w:rtl/>
          <w:lang w:bidi="ar-EG"/>
        </w:rPr>
        <w:t xml:space="preserve"> لوائح الأجور والتعسف في زيادة ساعات العمال خاصة إن العمال المهاجرين يشكلون 19% من القوة العامة في مصر، في حين إن المهاجرين العاطلين عن العمل يشكلون 45% من إجمالي المهاجرين بينما الباقين يعملون في وظائف غير مستقرة ولكنهم لا يصنفون كعاطلين عن العمل</w:t>
      </w:r>
      <w:r w:rsidRPr="00423018">
        <w:rPr>
          <w:rStyle w:val="FootnoteReference"/>
          <w:rFonts w:ascii="Dubai" w:hAnsi="Dubai" w:cs="Dubai"/>
          <w:sz w:val="24"/>
          <w:szCs w:val="24"/>
          <w:rtl/>
          <w:lang w:bidi="ar-EG"/>
        </w:rPr>
        <w:footnoteReference w:id="10"/>
      </w:r>
      <w:r>
        <w:rPr>
          <w:rFonts w:ascii="Dubai" w:hAnsi="Dubai" w:cs="Dubai" w:hint="cs"/>
          <w:sz w:val="24"/>
          <w:szCs w:val="24"/>
          <w:rtl/>
          <w:lang w:bidi="ar-EG"/>
        </w:rPr>
        <w:t>.</w:t>
      </w:r>
      <w:r w:rsidRPr="00423018">
        <w:rPr>
          <w:rFonts w:ascii="Dubai" w:hAnsi="Dubai" w:cs="Dubai"/>
          <w:sz w:val="24"/>
          <w:szCs w:val="24"/>
          <w:rtl/>
          <w:lang w:bidi="ar-EG"/>
        </w:rPr>
        <w:t xml:space="preserve"> كما إن أحكام قانون العمل يستبعد العاملات المهاجرات المنزليات من الحماية المقررة في القانون. ورغم إن الإستراتيجية الوطنية لحقوق الإنسان استهدفت في سياق المسار التشريعي اقرار مشروع قانون لتقين أوضاع العمالة المنزلية إلا إن القانون لا يزال قيد المناقشة في الوقت الحالي. كما تلاحظ مؤسسة ماعت إن وجود أعداد كبيرة من العمال المهاجرين في القطاع غير الرسمي والذي يشكل 50% من الناتج المحلي</w:t>
      </w:r>
      <w:r w:rsidRPr="00423018">
        <w:rPr>
          <w:rStyle w:val="FootnoteReference"/>
          <w:rFonts w:ascii="Dubai" w:hAnsi="Dubai" w:cs="Dubai"/>
          <w:sz w:val="24"/>
          <w:szCs w:val="24"/>
          <w:rtl/>
          <w:lang w:bidi="ar-EG"/>
        </w:rPr>
        <w:footnoteReference w:id="11"/>
      </w:r>
      <w:r w:rsidRPr="00423018">
        <w:rPr>
          <w:rFonts w:ascii="Dubai" w:hAnsi="Dubai" w:cs="Dubai"/>
          <w:sz w:val="24"/>
          <w:szCs w:val="24"/>
          <w:rtl/>
          <w:lang w:bidi="ar-EG"/>
        </w:rPr>
        <w:t xml:space="preserve"> يجعل هؤلاء العمال بعيدين عن رقابة وزارة العمل وهو يجعلهم عرضة لممارسات تعسفية من قبل أصحاب العمل</w:t>
      </w:r>
      <w:r>
        <w:rPr>
          <w:rFonts w:ascii="Dubai" w:hAnsi="Dubai" w:cs="Dubai" w:hint="cs"/>
          <w:sz w:val="24"/>
          <w:szCs w:val="24"/>
          <w:rtl/>
          <w:lang w:bidi="ar-EG"/>
        </w:rPr>
        <w:t>،</w:t>
      </w:r>
      <w:r w:rsidRPr="00423018">
        <w:rPr>
          <w:rFonts w:ascii="Dubai" w:hAnsi="Dubai" w:cs="Dubai"/>
          <w:sz w:val="24"/>
          <w:szCs w:val="24"/>
          <w:rtl/>
          <w:lang w:bidi="ar-EG"/>
        </w:rPr>
        <w:t xml:space="preserve"> ووفقا </w:t>
      </w:r>
      <w:r>
        <w:rPr>
          <w:rFonts w:ascii="Dubai" w:hAnsi="Dubai" w:cs="Dubai" w:hint="cs"/>
          <w:sz w:val="24"/>
          <w:szCs w:val="24"/>
          <w:rtl/>
          <w:lang w:bidi="ar-EG"/>
        </w:rPr>
        <w:t>ل</w:t>
      </w:r>
      <w:r w:rsidRPr="00423018">
        <w:rPr>
          <w:rFonts w:ascii="Dubai" w:hAnsi="Dubai" w:cs="Dubai"/>
          <w:sz w:val="24"/>
          <w:szCs w:val="24"/>
          <w:rtl/>
          <w:lang w:bidi="ar-EG"/>
        </w:rPr>
        <w:t xml:space="preserve">تقديرات موثوقة فإن 60.4% من العمالة غير المنتظمة بما في ذلك العمال المهاجرون يعملون في الاقتصاد / القطاع غير الرسمي. في سياق متصل لاحظت مؤسسة ماعت الخطوات التي قامت بها وزارة العمل من أجل انشاء مكاتب التدريب المهني الذي تهدف </w:t>
      </w:r>
      <w:r w:rsidRPr="00423018">
        <w:rPr>
          <w:rFonts w:ascii="Dubai" w:hAnsi="Dubai" w:cs="Dubai" w:hint="cs"/>
          <w:sz w:val="24"/>
          <w:szCs w:val="24"/>
          <w:rtl/>
          <w:lang w:bidi="ar-EG"/>
        </w:rPr>
        <w:t>إلى</w:t>
      </w:r>
      <w:r w:rsidRPr="00423018">
        <w:rPr>
          <w:rFonts w:ascii="Dubai" w:hAnsi="Dubai" w:cs="Dubai"/>
          <w:sz w:val="24"/>
          <w:szCs w:val="24"/>
          <w:rtl/>
          <w:lang w:bidi="ar-EG"/>
        </w:rPr>
        <w:t xml:space="preserve"> بناء قدرات المهاجرين والعمل </w:t>
      </w:r>
      <w:r w:rsidRPr="00423018">
        <w:rPr>
          <w:rFonts w:ascii="Dubai" w:hAnsi="Dubai" w:cs="Dubai" w:hint="cs"/>
          <w:sz w:val="24"/>
          <w:szCs w:val="24"/>
          <w:rtl/>
          <w:lang w:bidi="ar-EG"/>
        </w:rPr>
        <w:t>على</w:t>
      </w:r>
      <w:r w:rsidRPr="00423018">
        <w:rPr>
          <w:rFonts w:ascii="Dubai" w:hAnsi="Dubai" w:cs="Dubai"/>
          <w:sz w:val="24"/>
          <w:szCs w:val="24"/>
          <w:rtl/>
          <w:lang w:bidi="ar-EG"/>
        </w:rPr>
        <w:t xml:space="preserve"> توظيفهم</w:t>
      </w:r>
      <w:r w:rsidRPr="00423018">
        <w:rPr>
          <w:rFonts w:ascii="Dubai" w:hAnsi="Dubai" w:cs="Dubai"/>
          <w:sz w:val="24"/>
          <w:szCs w:val="24"/>
          <w:lang w:bidi="ar-EG"/>
        </w:rPr>
        <w:t xml:space="preserve"> </w:t>
      </w:r>
      <w:r w:rsidRPr="00456D44">
        <w:rPr>
          <w:rFonts w:ascii="Dubai" w:hAnsi="Dubai" w:cs="Dubai"/>
          <w:sz w:val="24"/>
          <w:szCs w:val="24"/>
          <w:rtl/>
          <w:lang w:bidi="ar-EG"/>
        </w:rPr>
        <w:t xml:space="preserve">مع ذلك أطلعت مؤسسة ماعت </w:t>
      </w:r>
      <w:r w:rsidRPr="00456D44">
        <w:rPr>
          <w:rFonts w:ascii="Dubai" w:hAnsi="Dubai" w:cs="Dubai" w:hint="cs"/>
          <w:sz w:val="24"/>
          <w:szCs w:val="24"/>
          <w:rtl/>
          <w:lang w:bidi="ar-EG"/>
        </w:rPr>
        <w:t>على</w:t>
      </w:r>
      <w:r w:rsidRPr="00456D44">
        <w:rPr>
          <w:rFonts w:ascii="Dubai" w:hAnsi="Dubai" w:cs="Dubai"/>
          <w:sz w:val="24"/>
          <w:szCs w:val="24"/>
          <w:rtl/>
          <w:lang w:bidi="ar-EG"/>
        </w:rPr>
        <w:t xml:space="preserve"> تقارير موثوقة تفيد بإنه المهاجرين المسجلين في التعليم والتدريب التقني والمهني لا يزالوا عدد قليل للغاية حيث يفضل غالبية الطلاب الالتحاق </w:t>
      </w:r>
      <w:r w:rsidRPr="00456D44">
        <w:rPr>
          <w:rFonts w:ascii="Dubai" w:hAnsi="Dubai" w:cs="Dubai" w:hint="cs"/>
          <w:sz w:val="24"/>
          <w:szCs w:val="24"/>
          <w:rtl/>
          <w:lang w:bidi="ar-EG"/>
        </w:rPr>
        <w:t>بالمدارس</w:t>
      </w:r>
      <w:r w:rsidRPr="00456D44">
        <w:rPr>
          <w:rFonts w:ascii="Dubai" w:hAnsi="Dubai" w:cs="Dubai"/>
          <w:sz w:val="24"/>
          <w:szCs w:val="24"/>
          <w:rtl/>
          <w:lang w:bidi="ar-EG"/>
        </w:rPr>
        <w:t xml:space="preserve"> الثانوية العامة </w:t>
      </w:r>
      <w:r w:rsidRPr="00456D44">
        <w:rPr>
          <w:rFonts w:ascii="Dubai" w:hAnsi="Dubai" w:cs="Dubai" w:hint="cs"/>
          <w:sz w:val="24"/>
          <w:szCs w:val="24"/>
          <w:rtl/>
          <w:lang w:bidi="ar-EG"/>
        </w:rPr>
        <w:t>حتى</w:t>
      </w:r>
      <w:r w:rsidRPr="00456D44">
        <w:rPr>
          <w:rFonts w:ascii="Dubai" w:hAnsi="Dubai" w:cs="Dubai"/>
          <w:sz w:val="24"/>
          <w:szCs w:val="24"/>
          <w:rtl/>
          <w:lang w:bidi="ar-EG"/>
        </w:rPr>
        <w:t xml:space="preserve"> يتأهلون لدخول الجامعة</w:t>
      </w:r>
      <w:r w:rsidRPr="00456D44">
        <w:rPr>
          <w:rtl/>
        </w:rPr>
        <w:footnoteReference w:id="12"/>
      </w:r>
      <w:r w:rsidRPr="00456D44">
        <w:rPr>
          <w:rFonts w:ascii="Dubai" w:hAnsi="Dubai" w:cs="Dubai" w:hint="cs"/>
          <w:sz w:val="24"/>
          <w:szCs w:val="24"/>
          <w:rtl/>
          <w:lang w:bidi="ar-EG"/>
        </w:rPr>
        <w:t>.</w:t>
      </w:r>
    </w:p>
    <w:p w:rsidR="00F503F6" w:rsidRPr="00512320" w:rsidRDefault="00F503F6" w:rsidP="00F503F6">
      <w:pPr>
        <w:pStyle w:val="ListParagraph"/>
        <w:numPr>
          <w:ilvl w:val="0"/>
          <w:numId w:val="20"/>
        </w:numPr>
        <w:bidi/>
        <w:spacing w:line="276" w:lineRule="auto"/>
        <w:jc w:val="lowKashida"/>
        <w:rPr>
          <w:rFonts w:ascii="Dubai" w:hAnsi="Dubai" w:cs="Dubai"/>
          <w:b/>
          <w:bCs/>
          <w:color w:val="0070C0"/>
          <w:sz w:val="24"/>
          <w:szCs w:val="24"/>
          <w:lang w:bidi="ar-EG"/>
        </w:rPr>
      </w:pPr>
      <w:r w:rsidRPr="00512320">
        <w:rPr>
          <w:rFonts w:ascii="Dubai" w:hAnsi="Dubai" w:cs="Dubai"/>
          <w:b/>
          <w:bCs/>
          <w:color w:val="0070C0"/>
          <w:sz w:val="24"/>
          <w:szCs w:val="24"/>
          <w:rtl/>
          <w:lang w:bidi="ar-EG"/>
        </w:rPr>
        <w:t xml:space="preserve">الحق في المشاركة في النقابات </w:t>
      </w:r>
      <w:r w:rsidRPr="00512320">
        <w:rPr>
          <w:rFonts w:ascii="Dubai" w:hAnsi="Dubai" w:cs="Dubai" w:hint="cs"/>
          <w:b/>
          <w:bCs/>
          <w:color w:val="0070C0"/>
          <w:sz w:val="24"/>
          <w:szCs w:val="24"/>
          <w:rtl/>
          <w:lang w:bidi="ar-EG"/>
        </w:rPr>
        <w:t>العمالية (</w:t>
      </w:r>
      <w:r w:rsidRPr="00512320">
        <w:rPr>
          <w:rFonts w:ascii="Dubai" w:hAnsi="Dubai" w:cs="Dubai"/>
          <w:b/>
          <w:bCs/>
          <w:color w:val="0070C0"/>
          <w:sz w:val="24"/>
          <w:szCs w:val="24"/>
          <w:rtl/>
          <w:lang w:bidi="ar-EG"/>
        </w:rPr>
        <w:t>26)</w:t>
      </w:r>
    </w:p>
    <w:p w:rsidR="00F503F6" w:rsidRPr="00423018" w:rsidRDefault="00F503F6" w:rsidP="00423018">
      <w:pPr>
        <w:bidi/>
        <w:spacing w:line="276" w:lineRule="auto"/>
        <w:jc w:val="lowKashida"/>
        <w:rPr>
          <w:rFonts w:ascii="Dubai" w:hAnsi="Dubai" w:cs="Dubai"/>
          <w:sz w:val="24"/>
          <w:szCs w:val="24"/>
          <w:rtl/>
          <w:lang w:bidi="ar-EG"/>
        </w:rPr>
      </w:pPr>
      <w:r w:rsidRPr="00423018">
        <w:rPr>
          <w:rFonts w:ascii="Dubai" w:hAnsi="Dubai" w:cs="Dubai"/>
          <w:sz w:val="24"/>
          <w:szCs w:val="24"/>
          <w:rtl/>
          <w:lang w:bidi="ar-EG"/>
        </w:rPr>
        <w:t>تلاحظ مؤسسة ماعت الضمانات الواردة في قانون ممارسة العمل الأهلي رقم 149  لسنة 2019 والتي تتيح للجاليات الأجنبية في مصر الحق في تكوين الجمعيات والنقابات العمالية، والحق في المشاركة في الشئون العامة في بلدان منشئهم، والإدلاء بأصواتهم والترشح للانتخابات التي تجرى في تلك البلدان، ك</w:t>
      </w:r>
      <w:r>
        <w:rPr>
          <w:rFonts w:ascii="Dubai" w:hAnsi="Dubai" w:cs="Dubai" w:hint="cs"/>
          <w:sz w:val="24"/>
          <w:szCs w:val="24"/>
          <w:rtl/>
          <w:lang w:bidi="ar-EG"/>
        </w:rPr>
        <w:t>م</w:t>
      </w:r>
      <w:r w:rsidRPr="00423018">
        <w:rPr>
          <w:rFonts w:ascii="Dubai" w:hAnsi="Dubai" w:cs="Dubai"/>
          <w:sz w:val="24"/>
          <w:szCs w:val="24"/>
          <w:rtl/>
          <w:lang w:bidi="ar-EG"/>
        </w:rPr>
        <w:t>ا تنص المادة السادسة من قانون ممارسة العمل الأهلي إنه:</w:t>
      </w:r>
      <w:r>
        <w:rPr>
          <w:rFonts w:ascii="Dubai" w:hAnsi="Dubai" w:cs="Dubai" w:hint="cs"/>
          <w:sz w:val="24"/>
          <w:szCs w:val="24"/>
          <w:rtl/>
          <w:lang w:bidi="ar-EG"/>
        </w:rPr>
        <w:t xml:space="preserve"> </w:t>
      </w:r>
      <w:r w:rsidRPr="00423018">
        <w:rPr>
          <w:rFonts w:ascii="Dubai" w:hAnsi="Dubai" w:cs="Dubai"/>
          <w:sz w:val="24"/>
          <w:szCs w:val="24"/>
          <w:rtl/>
          <w:lang w:bidi="ar-EG"/>
        </w:rPr>
        <w:t>مع مراعاة شرط المعاملة بالمثل يجوز من الوزير المختص بالترخيص لأي من الجاليات الأجنبية في مصر إنشاء جمعية تعني بشئون أعضائها وذلك على النحو الذي تنظمه اللائحة التنفيذية للقانون</w:t>
      </w:r>
      <w:r w:rsidRPr="00423018">
        <w:rPr>
          <w:rStyle w:val="FootnoteReference"/>
          <w:rFonts w:ascii="Dubai" w:hAnsi="Dubai" w:cs="Dubai"/>
          <w:sz w:val="24"/>
          <w:szCs w:val="24"/>
          <w:rtl/>
          <w:lang w:bidi="ar-EG"/>
        </w:rPr>
        <w:footnoteReference w:id="13"/>
      </w:r>
      <w:r w:rsidRPr="00423018">
        <w:rPr>
          <w:rFonts w:ascii="Dubai" w:hAnsi="Dubai" w:cs="Dubai"/>
          <w:sz w:val="24"/>
          <w:szCs w:val="24"/>
          <w:rtl/>
          <w:lang w:bidi="ar-EG"/>
        </w:rPr>
        <w:t xml:space="preserve">. </w:t>
      </w:r>
    </w:p>
    <w:p w:rsidR="00F503F6" w:rsidRPr="00423018" w:rsidRDefault="00F503F6" w:rsidP="00423018">
      <w:pPr>
        <w:bidi/>
        <w:spacing w:line="276" w:lineRule="auto"/>
        <w:jc w:val="lowKashida"/>
        <w:rPr>
          <w:rFonts w:ascii="Dubai" w:hAnsi="Dubai" w:cs="Dubai"/>
          <w:sz w:val="24"/>
          <w:szCs w:val="24"/>
          <w:rtl/>
          <w:lang w:bidi="ar-EG"/>
        </w:rPr>
      </w:pPr>
      <w:r w:rsidRPr="00423018">
        <w:rPr>
          <w:rFonts w:ascii="Dubai" w:hAnsi="Dubai" w:cs="Dubai"/>
          <w:sz w:val="24"/>
          <w:szCs w:val="24"/>
          <w:rtl/>
          <w:lang w:bidi="ar-EG"/>
        </w:rPr>
        <w:t xml:space="preserve">كما إنه وفقا لقانون ممارسة العمل الأهلي أيضا يجوز لغير المصريين ممن لهم إقامة قانونية دائمة أو مؤقتة </w:t>
      </w:r>
      <w:r w:rsidRPr="00423018">
        <w:rPr>
          <w:rFonts w:ascii="Dubai" w:hAnsi="Dubai" w:cs="Dubai" w:hint="cs"/>
          <w:sz w:val="24"/>
          <w:szCs w:val="24"/>
          <w:rtl/>
          <w:lang w:bidi="ar-EG"/>
        </w:rPr>
        <w:t>في</w:t>
      </w:r>
      <w:r w:rsidRPr="00423018">
        <w:rPr>
          <w:rFonts w:ascii="Dubai" w:hAnsi="Dubai" w:cs="Dubai"/>
          <w:sz w:val="24"/>
          <w:szCs w:val="24"/>
          <w:rtl/>
          <w:lang w:bidi="ar-EG"/>
        </w:rPr>
        <w:t xml:space="preserve"> مصر، الاشتراك </w:t>
      </w:r>
      <w:r w:rsidRPr="00423018">
        <w:rPr>
          <w:rFonts w:ascii="Dubai" w:hAnsi="Dubai" w:cs="Dubai" w:hint="cs"/>
          <w:sz w:val="24"/>
          <w:szCs w:val="24"/>
          <w:rtl/>
          <w:lang w:bidi="ar-EG"/>
        </w:rPr>
        <w:t>في</w:t>
      </w:r>
      <w:r w:rsidRPr="00423018">
        <w:rPr>
          <w:rFonts w:ascii="Dubai" w:hAnsi="Dubai" w:cs="Dubai"/>
          <w:sz w:val="24"/>
          <w:szCs w:val="24"/>
          <w:rtl/>
          <w:lang w:bidi="ar-EG"/>
        </w:rPr>
        <w:t xml:space="preserve"> عضوية الجمعيات الأهلية أو مجالس إدارتها بما لا </w:t>
      </w:r>
      <w:r w:rsidRPr="00423018">
        <w:rPr>
          <w:rFonts w:ascii="Dubai" w:hAnsi="Dubai" w:cs="Dubai" w:hint="cs"/>
          <w:sz w:val="24"/>
          <w:szCs w:val="24"/>
          <w:rtl/>
          <w:lang w:bidi="ar-EG"/>
        </w:rPr>
        <w:t>يتخطى</w:t>
      </w:r>
      <w:r w:rsidRPr="00423018">
        <w:rPr>
          <w:rFonts w:ascii="Dubai" w:hAnsi="Dubai" w:cs="Dubai"/>
          <w:sz w:val="24"/>
          <w:szCs w:val="24"/>
          <w:rtl/>
          <w:lang w:bidi="ar-EG"/>
        </w:rPr>
        <w:t xml:space="preserve"> نسبة 25% من إجمالي عدد الأعضاء</w:t>
      </w:r>
      <w:r w:rsidRPr="00423018">
        <w:rPr>
          <w:rStyle w:val="FootnoteReference"/>
          <w:rFonts w:ascii="Dubai" w:hAnsi="Dubai" w:cs="Dubai"/>
          <w:sz w:val="24"/>
          <w:szCs w:val="24"/>
          <w:rtl/>
          <w:lang w:bidi="ar-EG"/>
        </w:rPr>
        <w:footnoteReference w:id="14"/>
      </w:r>
      <w:r w:rsidRPr="00423018">
        <w:rPr>
          <w:rFonts w:ascii="Dubai" w:hAnsi="Dubai" w:cs="Dubai"/>
          <w:sz w:val="24"/>
          <w:szCs w:val="24"/>
          <w:rtl/>
          <w:lang w:bidi="ar-EG"/>
        </w:rPr>
        <w:t>.</w:t>
      </w:r>
      <w:r>
        <w:rPr>
          <w:rFonts w:ascii="Dubai" w:hAnsi="Dubai" w:cs="Dubai" w:hint="cs"/>
          <w:sz w:val="24"/>
          <w:szCs w:val="24"/>
          <w:rtl/>
          <w:lang w:bidi="ar-EG"/>
        </w:rPr>
        <w:t xml:space="preserve"> </w:t>
      </w:r>
      <w:r w:rsidRPr="00423018">
        <w:rPr>
          <w:rFonts w:ascii="Dubai" w:hAnsi="Dubai" w:cs="Dubai"/>
          <w:sz w:val="24"/>
          <w:szCs w:val="24"/>
          <w:rtl/>
          <w:lang w:bidi="ar-EG"/>
        </w:rPr>
        <w:t xml:space="preserve">كما أنه وفقا للمادة 4 من قانون المنظمات النقابية العمالية وحماية حق التنظيم النقابي 213 لسنة 2017 وتعديلاته، يحق للعمال دون تمييز تكوين المنظمات النقابية، ولهم كذلك حرية الانضمام إليها أو </w:t>
      </w:r>
      <w:r w:rsidRPr="00423018">
        <w:rPr>
          <w:rFonts w:ascii="Dubai" w:hAnsi="Dubai" w:cs="Dubai" w:hint="cs"/>
          <w:sz w:val="24"/>
          <w:szCs w:val="24"/>
          <w:rtl/>
          <w:lang w:bidi="ar-EG"/>
        </w:rPr>
        <w:t>الانسحاب</w:t>
      </w:r>
      <w:r w:rsidRPr="00423018">
        <w:rPr>
          <w:rFonts w:ascii="Dubai" w:hAnsi="Dubai" w:cs="Dubai"/>
          <w:sz w:val="24"/>
          <w:szCs w:val="24"/>
          <w:rtl/>
          <w:lang w:bidi="ar-EG"/>
        </w:rPr>
        <w:t xml:space="preserve"> منها، وتسمح مصر لكل المقيمين على أراضيها بالمشاركة </w:t>
      </w:r>
      <w:r w:rsidRPr="00423018">
        <w:rPr>
          <w:rFonts w:ascii="Dubai" w:hAnsi="Dubai" w:cs="Dubai" w:hint="cs"/>
          <w:sz w:val="24"/>
          <w:szCs w:val="24"/>
          <w:rtl/>
          <w:lang w:bidi="ar-EG"/>
        </w:rPr>
        <w:t>في</w:t>
      </w:r>
      <w:r w:rsidRPr="00423018">
        <w:rPr>
          <w:rFonts w:ascii="Dubai" w:hAnsi="Dubai" w:cs="Dubai"/>
          <w:sz w:val="24"/>
          <w:szCs w:val="24"/>
          <w:rtl/>
          <w:lang w:bidi="ar-EG"/>
        </w:rPr>
        <w:t xml:space="preserve"> إدارة الشئون العامة في بلدان المنشأ</w:t>
      </w:r>
      <w:r w:rsidRPr="00456D44">
        <w:rPr>
          <w:rtl/>
        </w:rPr>
        <w:footnoteReference w:id="15"/>
      </w:r>
      <w:r w:rsidRPr="00423018">
        <w:rPr>
          <w:rFonts w:ascii="Dubai" w:hAnsi="Dubai" w:cs="Dubai"/>
          <w:sz w:val="24"/>
          <w:szCs w:val="24"/>
          <w:rtl/>
          <w:lang w:bidi="ar-EG"/>
        </w:rPr>
        <w:t>.</w:t>
      </w:r>
      <w:r>
        <w:rPr>
          <w:rFonts w:ascii="Dubai" w:hAnsi="Dubai" w:cs="Dubai" w:hint="cs"/>
          <w:sz w:val="24"/>
          <w:szCs w:val="24"/>
          <w:rtl/>
          <w:lang w:bidi="ar-EG"/>
        </w:rPr>
        <w:t xml:space="preserve"> </w:t>
      </w:r>
      <w:r w:rsidRPr="00456D44">
        <w:rPr>
          <w:rFonts w:ascii="Dubai" w:hAnsi="Dubai" w:cs="Dubai"/>
          <w:sz w:val="24"/>
          <w:szCs w:val="24"/>
          <w:rtl/>
          <w:lang w:bidi="ar-EG"/>
        </w:rPr>
        <w:t>مع ذلك تلاحظ مؤسسة ماعت إن العمال الأجانب يواجهون عقبات للوصول إلى مستويات الحماية النقابية نفسها المتاحة للمواطنين خاصة بسبب نقص تمثيلهم في اللجان النقابية وفي مجالس إدارات النقابات العملية</w:t>
      </w:r>
      <w:r w:rsidRPr="00456D44">
        <w:rPr>
          <w:rFonts w:ascii="Dubai" w:hAnsi="Dubai" w:cs="Dubai" w:hint="cs"/>
          <w:sz w:val="24"/>
          <w:szCs w:val="24"/>
          <w:rtl/>
          <w:lang w:bidi="ar-EG"/>
        </w:rPr>
        <w:t>.</w:t>
      </w:r>
      <w:r>
        <w:rPr>
          <w:rFonts w:ascii="Dubai" w:hAnsi="Dubai" w:cs="Dubai" w:hint="cs"/>
          <w:color w:val="C00000"/>
          <w:sz w:val="24"/>
          <w:szCs w:val="24"/>
          <w:rtl/>
          <w:lang w:bidi="ar-EG"/>
        </w:rPr>
        <w:t xml:space="preserve"> </w:t>
      </w:r>
      <w:r>
        <w:rPr>
          <w:rFonts w:ascii="Dubai" w:hAnsi="Dubai" w:cs="Dubai" w:hint="cs"/>
          <w:sz w:val="24"/>
          <w:szCs w:val="24"/>
          <w:rtl/>
          <w:lang w:bidi="ar-EG"/>
        </w:rPr>
        <w:t xml:space="preserve">حيث </w:t>
      </w:r>
      <w:r w:rsidRPr="00423018">
        <w:rPr>
          <w:rFonts w:ascii="Dubai" w:hAnsi="Dubai" w:cs="Dubai"/>
          <w:sz w:val="24"/>
          <w:szCs w:val="24"/>
          <w:rtl/>
          <w:lang w:bidi="ar-EG"/>
        </w:rPr>
        <w:t xml:space="preserve">يشترط في شروط </w:t>
      </w:r>
      <w:r w:rsidRPr="00423018">
        <w:rPr>
          <w:rFonts w:ascii="Dubai" w:hAnsi="Dubai" w:cs="Dubai" w:hint="cs"/>
          <w:sz w:val="24"/>
          <w:szCs w:val="24"/>
          <w:rtl/>
          <w:lang w:bidi="ar-EG"/>
        </w:rPr>
        <w:t>وإجراءات</w:t>
      </w:r>
      <w:r w:rsidRPr="00423018">
        <w:rPr>
          <w:rFonts w:ascii="Dubai" w:hAnsi="Dubai" w:cs="Dubai"/>
          <w:sz w:val="24"/>
          <w:szCs w:val="24"/>
          <w:rtl/>
          <w:lang w:bidi="ar-EG"/>
        </w:rPr>
        <w:t xml:space="preserve"> الترشح والانتخاب في عضوية مجلس إدارة المنظمة النقابية العملية </w:t>
      </w:r>
      <w:r w:rsidRPr="00423018">
        <w:rPr>
          <w:rFonts w:ascii="Dubai" w:hAnsi="Dubai" w:cs="Dubai" w:hint="cs"/>
          <w:sz w:val="24"/>
          <w:szCs w:val="24"/>
          <w:rtl/>
          <w:lang w:bidi="ar-EG"/>
        </w:rPr>
        <w:t>على</w:t>
      </w:r>
      <w:r w:rsidRPr="00423018">
        <w:rPr>
          <w:rFonts w:ascii="Dubai" w:hAnsi="Dubai" w:cs="Dubai"/>
          <w:sz w:val="24"/>
          <w:szCs w:val="24"/>
          <w:rtl/>
          <w:lang w:bidi="ar-EG"/>
        </w:rPr>
        <w:t xml:space="preserve"> سبيل المثال وفقا للمادة 41 من القانون أن يكون العامل عضوا في الجمعية العمومية للمنظمة النقابية العمالية وهو ما </w:t>
      </w:r>
      <w:r>
        <w:rPr>
          <w:rFonts w:ascii="Dubai" w:hAnsi="Dubai" w:cs="Dubai" w:hint="cs"/>
          <w:sz w:val="24"/>
          <w:szCs w:val="24"/>
          <w:rtl/>
          <w:lang w:bidi="ar-EG"/>
        </w:rPr>
        <w:t xml:space="preserve">لا </w:t>
      </w:r>
      <w:r w:rsidRPr="00423018">
        <w:rPr>
          <w:rFonts w:ascii="Dubai" w:hAnsi="Dubai" w:cs="Dubai"/>
          <w:sz w:val="24"/>
          <w:szCs w:val="24"/>
          <w:rtl/>
          <w:lang w:bidi="ar-EG"/>
        </w:rPr>
        <w:t>يتاح في كثير من الأحيان للعمال المهاجرين. وعلي الرغم من المزايا التي اشتمل عليها القانون رقم 213 لسنة 2017 إلا أنه تضمن تعديًا في بعض نصوصه علي حق العمل النقابي وتعزيز الحريات النقابية بما في ذلك للعمال المهاجرين حيث تفرض المادة 41 من القانون فيمن يرشح نفسه لعضوية مجلس إدارة المنظمة النقابية العمالية نحو سبعة شروط وهو ما يمثل تجاوزًا لحق الجمعية العمومية الأصيل في وضع نظمها واختيار ممثليها، وانتهاكاً لحقي الانتخاب والترشيح المفترض توافرهما لكافة أعضاء النقابة وهو الحق التي يتماشى مع المعايير التي وضعتها منظمة العمل الدولية لحق أعضاء النقابات العمالية في الانتخاب والترشيح.</w:t>
      </w:r>
    </w:p>
    <w:p w:rsidR="00F503F6" w:rsidRPr="00094867" w:rsidRDefault="00F503F6" w:rsidP="00F503F6">
      <w:pPr>
        <w:pStyle w:val="ListParagraph"/>
        <w:numPr>
          <w:ilvl w:val="0"/>
          <w:numId w:val="20"/>
        </w:numPr>
        <w:bidi/>
        <w:spacing w:line="276" w:lineRule="auto"/>
        <w:jc w:val="lowKashida"/>
        <w:rPr>
          <w:rFonts w:ascii="Dubai" w:hAnsi="Dubai" w:cs="Dubai"/>
          <w:b/>
          <w:bCs/>
          <w:color w:val="0070C0"/>
          <w:sz w:val="24"/>
          <w:szCs w:val="24"/>
          <w:rtl/>
          <w:lang w:bidi="ar-EG"/>
        </w:rPr>
      </w:pPr>
      <w:r w:rsidRPr="00094867">
        <w:rPr>
          <w:rFonts w:ascii="Dubai" w:hAnsi="Dubai" w:cs="Dubai"/>
          <w:b/>
          <w:bCs/>
          <w:color w:val="0070C0"/>
          <w:sz w:val="24"/>
          <w:szCs w:val="24"/>
          <w:rtl/>
          <w:lang w:bidi="ar-EG"/>
        </w:rPr>
        <w:t xml:space="preserve">الحق في الضمان </w:t>
      </w:r>
      <w:r w:rsidRPr="00094867">
        <w:rPr>
          <w:rFonts w:ascii="Dubai" w:hAnsi="Dubai" w:cs="Dubai" w:hint="cs"/>
          <w:b/>
          <w:bCs/>
          <w:color w:val="0070C0"/>
          <w:sz w:val="24"/>
          <w:szCs w:val="24"/>
          <w:rtl/>
          <w:lang w:bidi="ar-EG"/>
        </w:rPr>
        <w:t>الاجتماعي (</w:t>
      </w:r>
      <w:r w:rsidRPr="00094867">
        <w:rPr>
          <w:rFonts w:ascii="Dubai" w:hAnsi="Dubai" w:cs="Dubai"/>
          <w:b/>
          <w:bCs/>
          <w:color w:val="0070C0"/>
          <w:sz w:val="24"/>
          <w:szCs w:val="24"/>
          <w:rtl/>
          <w:lang w:bidi="ar-EG"/>
        </w:rPr>
        <w:t xml:space="preserve">المادة </w:t>
      </w:r>
      <w:r w:rsidRPr="00094867">
        <w:rPr>
          <w:rFonts w:ascii="Dubai" w:hAnsi="Dubai" w:cs="Dubai" w:hint="cs"/>
          <w:b/>
          <w:bCs/>
          <w:color w:val="0070C0"/>
          <w:sz w:val="24"/>
          <w:szCs w:val="24"/>
          <w:rtl/>
          <w:lang w:bidi="ar-EG"/>
        </w:rPr>
        <w:t>27)</w:t>
      </w:r>
    </w:p>
    <w:p w:rsidR="00F503F6" w:rsidRPr="00423018" w:rsidRDefault="00F503F6" w:rsidP="00423018">
      <w:pPr>
        <w:bidi/>
        <w:spacing w:line="276" w:lineRule="auto"/>
        <w:jc w:val="lowKashida"/>
        <w:rPr>
          <w:rFonts w:ascii="Dubai" w:hAnsi="Dubai" w:cs="Dubai"/>
          <w:sz w:val="24"/>
          <w:szCs w:val="24"/>
          <w:rtl/>
          <w:lang w:bidi="ar-EG"/>
        </w:rPr>
      </w:pPr>
      <w:r w:rsidRPr="00423018">
        <w:rPr>
          <w:rFonts w:ascii="Dubai" w:hAnsi="Dubai" w:cs="Dubai"/>
          <w:sz w:val="24"/>
          <w:szCs w:val="24"/>
          <w:rtl/>
          <w:lang w:bidi="ar-EG"/>
        </w:rPr>
        <w:t xml:space="preserve">لاحظت مؤسسة ماعت إن الدستور المصري المعدل في عام 2019 يضمن لجميع المواطنين الحق في الضمان </w:t>
      </w:r>
      <w:r w:rsidRPr="00423018">
        <w:rPr>
          <w:rFonts w:ascii="Dubai" w:hAnsi="Dubai" w:cs="Dubai" w:hint="cs"/>
          <w:sz w:val="24"/>
          <w:szCs w:val="24"/>
          <w:rtl/>
          <w:lang w:bidi="ar-EG"/>
        </w:rPr>
        <w:t>الاجتماعي</w:t>
      </w:r>
      <w:r w:rsidRPr="00423018">
        <w:rPr>
          <w:rFonts w:ascii="Dubai" w:hAnsi="Dubai" w:cs="Dubai"/>
          <w:sz w:val="24"/>
          <w:szCs w:val="24"/>
          <w:rtl/>
          <w:lang w:bidi="ar-EG"/>
        </w:rPr>
        <w:t xml:space="preserve"> بموجب المادة 17. مع ذلك لا يشير الدستور إلي مبدأ المساواة في المعاملة علي اساس الجنسية فيما يتعلق بالضمان الاجتماعي بم</w:t>
      </w:r>
      <w:r>
        <w:rPr>
          <w:rFonts w:ascii="Dubai" w:hAnsi="Dubai" w:cs="Dubai" w:hint="cs"/>
          <w:sz w:val="24"/>
          <w:szCs w:val="24"/>
          <w:rtl/>
          <w:lang w:bidi="ar-EG"/>
        </w:rPr>
        <w:t>ا</w:t>
      </w:r>
      <w:r w:rsidRPr="00423018">
        <w:rPr>
          <w:rFonts w:ascii="Dubai" w:hAnsi="Dubai" w:cs="Dubai"/>
          <w:sz w:val="24"/>
          <w:szCs w:val="24"/>
          <w:rtl/>
          <w:lang w:bidi="ar-EG"/>
        </w:rPr>
        <w:t xml:space="preserve"> يتعارض مع نص المادة 27 من الاتفاقية مع ذلك تشير مؤسسة ماعت بتقدير إلي إن التشريع الأخير التي اعتمدته الحكومة المصرية وهو القانون رقم 148 لسنة 2019 الخاص بالتأمينات الاجتماعية والمعاشات، يوسع من مشاركة العمال المهاجرين في نظام الضمان الاجتماعي</w:t>
      </w:r>
      <w:r w:rsidRPr="00423018">
        <w:rPr>
          <w:rStyle w:val="FootnoteReference"/>
          <w:rFonts w:ascii="Dubai" w:hAnsi="Dubai" w:cs="Dubai"/>
          <w:sz w:val="24"/>
          <w:szCs w:val="24"/>
          <w:rtl/>
          <w:lang w:bidi="ar-EG"/>
        </w:rPr>
        <w:footnoteReference w:id="16"/>
      </w:r>
      <w:r w:rsidRPr="00423018">
        <w:rPr>
          <w:rFonts w:ascii="Dubai" w:hAnsi="Dubai" w:cs="Dubai"/>
          <w:sz w:val="24"/>
          <w:szCs w:val="24"/>
          <w:rtl/>
          <w:lang w:bidi="ar-EG"/>
        </w:rPr>
        <w:t xml:space="preserve"> واعترف التشريع بالضمان والتأمين الاجتماعي لجميع الأجانب الذين أبرموا عقود عمل عادية أو المشمولين بقانون العمل. بعد أن كانت هذه الحقوق تشمل فقط الدول التي وقعت مع مصر اتفاقيات في مجال المعاملة بالمثل. مع ذلك لدي مؤسسة ماعت بواعث قلق لإن الإطار القانوني لا يزال يستبعد العاملات المهاجرات في المنازل من الضمان والتأمين </w:t>
      </w:r>
      <w:r w:rsidRPr="00423018">
        <w:rPr>
          <w:rFonts w:ascii="Dubai" w:hAnsi="Dubai" w:cs="Dubai" w:hint="cs"/>
          <w:sz w:val="24"/>
          <w:szCs w:val="24"/>
          <w:rtl/>
          <w:lang w:bidi="ar-EG"/>
        </w:rPr>
        <w:t>الاجتماعي نظرًا</w:t>
      </w:r>
      <w:r w:rsidRPr="00423018">
        <w:rPr>
          <w:rFonts w:ascii="Dubai" w:hAnsi="Dubai" w:cs="Dubai"/>
          <w:sz w:val="24"/>
          <w:szCs w:val="24"/>
          <w:rtl/>
          <w:lang w:bidi="ar-EG"/>
        </w:rPr>
        <w:t xml:space="preserve"> لإنهن مستبعدات من أحكام قانون العمل. </w:t>
      </w:r>
    </w:p>
    <w:p w:rsidR="00F503F6" w:rsidRPr="00094867" w:rsidRDefault="00F503F6" w:rsidP="00F503F6">
      <w:pPr>
        <w:pStyle w:val="ListParagraph"/>
        <w:numPr>
          <w:ilvl w:val="0"/>
          <w:numId w:val="20"/>
        </w:numPr>
        <w:bidi/>
        <w:spacing w:line="276" w:lineRule="auto"/>
        <w:jc w:val="lowKashida"/>
        <w:rPr>
          <w:rFonts w:ascii="Dubai" w:hAnsi="Dubai" w:cs="Dubai"/>
          <w:b/>
          <w:bCs/>
          <w:color w:val="0070C0"/>
          <w:sz w:val="24"/>
          <w:szCs w:val="24"/>
          <w:rtl/>
          <w:lang w:bidi="ar-EG"/>
        </w:rPr>
      </w:pPr>
      <w:r w:rsidRPr="00094867">
        <w:rPr>
          <w:rFonts w:ascii="Dubai" w:hAnsi="Dubai" w:cs="Dubai"/>
          <w:b/>
          <w:bCs/>
          <w:color w:val="0070C0"/>
          <w:sz w:val="24"/>
          <w:szCs w:val="24"/>
          <w:rtl/>
          <w:lang w:bidi="ar-EG"/>
        </w:rPr>
        <w:t xml:space="preserve">الحق في تحويل الدخول والمدخرات (المادة </w:t>
      </w:r>
      <w:r w:rsidRPr="00094867">
        <w:rPr>
          <w:rFonts w:ascii="Dubai" w:hAnsi="Dubai" w:cs="Dubai" w:hint="cs"/>
          <w:b/>
          <w:bCs/>
          <w:color w:val="0070C0"/>
          <w:sz w:val="24"/>
          <w:szCs w:val="24"/>
          <w:rtl/>
          <w:lang w:bidi="ar-EG"/>
        </w:rPr>
        <w:t>47)</w:t>
      </w:r>
    </w:p>
    <w:p w:rsidR="00F503F6" w:rsidRPr="00423018" w:rsidRDefault="00F503F6" w:rsidP="00423018">
      <w:pPr>
        <w:bidi/>
        <w:spacing w:line="276" w:lineRule="auto"/>
        <w:jc w:val="lowKashida"/>
        <w:rPr>
          <w:rFonts w:ascii="Dubai" w:hAnsi="Dubai" w:cs="Dubai"/>
          <w:sz w:val="24"/>
          <w:szCs w:val="24"/>
          <w:rtl/>
          <w:lang w:bidi="ar-EG"/>
        </w:rPr>
      </w:pPr>
      <w:r w:rsidRPr="00423018">
        <w:rPr>
          <w:rFonts w:ascii="Dubai" w:hAnsi="Dubai" w:cs="Dubai"/>
          <w:sz w:val="24"/>
          <w:szCs w:val="24"/>
          <w:rtl/>
          <w:lang w:bidi="ar-EG"/>
        </w:rPr>
        <w:t xml:space="preserve">أطلعت مؤسسة ماعت </w:t>
      </w:r>
      <w:r w:rsidRPr="00423018">
        <w:rPr>
          <w:rFonts w:ascii="Dubai" w:hAnsi="Dubai" w:cs="Dubai" w:hint="cs"/>
          <w:sz w:val="24"/>
          <w:szCs w:val="24"/>
          <w:rtl/>
          <w:lang w:bidi="ar-EG"/>
        </w:rPr>
        <w:t>على</w:t>
      </w:r>
      <w:r w:rsidRPr="00423018">
        <w:rPr>
          <w:rFonts w:ascii="Dubai" w:hAnsi="Dubai" w:cs="Dubai"/>
          <w:sz w:val="24"/>
          <w:szCs w:val="24"/>
          <w:rtl/>
          <w:lang w:bidi="ar-EG"/>
        </w:rPr>
        <w:t xml:space="preserve"> التدابير الواردة في التقرير الجامع المقدم لمصر لتنفيذ هذه المادة وتنظم المواد 207 و 215 من القانون رقم 194 لسنة 2020 بإصدار قانون البنك المركزي والجهاز المصرفي التعامل في النقد الأجنبي، حيث يرخص القانون المشار إليه في مادته 209 للشركات بتقديم خدمات تحويل الأموال، كما يتيح في مادته 212 "لكل شخص طبيعي أو اعتباري أن يحتفظ بكل ما يؤول إليه أو يملكه أو يحوزه من نقد أجنبي، وله الحق في التعامل أو القيام بأي عملية من عمليات النقد الأجنبي لما في ذلك التحويل للداخل والخارج؟ ويرخص القانون في المادة 215 للبنوك "القيام بجميع عمليات النقد الأجنبي بما في ذلك قبول الودائع والتعامل والتحويل للداخل والخارج"</w:t>
      </w:r>
      <w:r w:rsidRPr="00423018">
        <w:rPr>
          <w:rStyle w:val="FootnoteReference"/>
          <w:rFonts w:ascii="Dubai" w:hAnsi="Dubai" w:cs="Dubai"/>
          <w:sz w:val="24"/>
          <w:szCs w:val="24"/>
          <w:rtl/>
          <w:lang w:bidi="ar-EG"/>
        </w:rPr>
        <w:footnoteReference w:id="17"/>
      </w:r>
      <w:r>
        <w:rPr>
          <w:rFonts w:ascii="Dubai" w:hAnsi="Dubai" w:cs="Dubai" w:hint="cs"/>
          <w:sz w:val="24"/>
          <w:szCs w:val="24"/>
          <w:rtl/>
          <w:lang w:bidi="ar-EG"/>
        </w:rPr>
        <w:t>.</w:t>
      </w:r>
    </w:p>
    <w:p w:rsidR="00F503F6" w:rsidRPr="00423018" w:rsidRDefault="00F503F6" w:rsidP="00603AE1">
      <w:pPr>
        <w:bidi/>
        <w:spacing w:line="276" w:lineRule="auto"/>
        <w:jc w:val="lowKashida"/>
        <w:rPr>
          <w:rFonts w:ascii="Dubai" w:hAnsi="Dubai" w:cs="Dubai"/>
          <w:sz w:val="24"/>
          <w:szCs w:val="24"/>
          <w:rtl/>
          <w:lang w:bidi="ar-EG"/>
        </w:rPr>
      </w:pPr>
      <w:r w:rsidRPr="00423018">
        <w:rPr>
          <w:rFonts w:ascii="Dubai" w:hAnsi="Dubai" w:cs="Dubai"/>
          <w:sz w:val="24"/>
          <w:szCs w:val="24"/>
          <w:rtl/>
          <w:lang w:bidi="ar-EG"/>
        </w:rPr>
        <w:t xml:space="preserve">كما أطلعت مؤسسة ماعت </w:t>
      </w:r>
      <w:r w:rsidRPr="00423018">
        <w:rPr>
          <w:rFonts w:ascii="Dubai" w:hAnsi="Dubai" w:cs="Dubai" w:hint="cs"/>
          <w:sz w:val="24"/>
          <w:szCs w:val="24"/>
          <w:rtl/>
          <w:lang w:bidi="ar-EG"/>
        </w:rPr>
        <w:t>على</w:t>
      </w:r>
      <w:r w:rsidRPr="00423018">
        <w:rPr>
          <w:rFonts w:ascii="Dubai" w:hAnsi="Dubai" w:cs="Dubai"/>
          <w:sz w:val="24"/>
          <w:szCs w:val="24"/>
          <w:rtl/>
          <w:lang w:bidi="ar-EG"/>
        </w:rPr>
        <w:t xml:space="preserve"> تقارير تفيد بوجود مفاوضات بين البنك المركزي المصري مع دول عربية مستقبلة لمهاجرين مصريين وذلك لإتاحة تحويلات مالية </w:t>
      </w:r>
      <w:r w:rsidRPr="00423018">
        <w:rPr>
          <w:rFonts w:ascii="Dubai" w:hAnsi="Dubai" w:cs="Dubai" w:hint="cs"/>
          <w:sz w:val="24"/>
          <w:szCs w:val="24"/>
          <w:rtl/>
          <w:lang w:bidi="ar-EG"/>
        </w:rPr>
        <w:t>إلى</w:t>
      </w:r>
      <w:r w:rsidRPr="00423018">
        <w:rPr>
          <w:rFonts w:ascii="Dubai" w:hAnsi="Dubai" w:cs="Dubai"/>
          <w:sz w:val="24"/>
          <w:szCs w:val="24"/>
          <w:rtl/>
          <w:lang w:bidi="ar-EG"/>
        </w:rPr>
        <w:t xml:space="preserve"> حسابات العملاء في مصر باستخدام تطبيق يعرف </w:t>
      </w:r>
      <w:r w:rsidRPr="00423018">
        <w:rPr>
          <w:rFonts w:ascii="Dubai" w:hAnsi="Dubai" w:cs="Dubai" w:hint="cs"/>
          <w:sz w:val="24"/>
          <w:szCs w:val="24"/>
          <w:rtl/>
          <w:lang w:bidi="ar-EG"/>
        </w:rPr>
        <w:t>باسم</w:t>
      </w:r>
      <w:r w:rsidRPr="00423018">
        <w:rPr>
          <w:rFonts w:ascii="Dubai" w:hAnsi="Dubai" w:cs="Dubai"/>
          <w:sz w:val="24"/>
          <w:szCs w:val="24"/>
          <w:rtl/>
          <w:lang w:bidi="ar-EG"/>
        </w:rPr>
        <w:t xml:space="preserve"> </w:t>
      </w:r>
      <w:r>
        <w:rPr>
          <w:rFonts w:ascii="Dubai" w:hAnsi="Dubai" w:cs="Dubai" w:hint="cs"/>
          <w:sz w:val="24"/>
          <w:szCs w:val="24"/>
          <w:rtl/>
          <w:lang w:bidi="ar-EG"/>
        </w:rPr>
        <w:t>"</w:t>
      </w:r>
      <w:r w:rsidRPr="00423018">
        <w:rPr>
          <w:rFonts w:ascii="Dubai" w:hAnsi="Dubai" w:cs="Dubai"/>
          <w:sz w:val="24"/>
          <w:szCs w:val="24"/>
          <w:rtl/>
          <w:lang w:bidi="ar-EG"/>
        </w:rPr>
        <w:t>انستا باي</w:t>
      </w:r>
      <w:r>
        <w:rPr>
          <w:rFonts w:ascii="Dubai" w:hAnsi="Dubai" w:cs="Dubai" w:hint="cs"/>
          <w:sz w:val="24"/>
          <w:szCs w:val="24"/>
          <w:rtl/>
          <w:lang w:bidi="ar-EG"/>
        </w:rPr>
        <w:t>"</w:t>
      </w:r>
      <w:r w:rsidRPr="00423018">
        <w:rPr>
          <w:rFonts w:ascii="Dubai" w:hAnsi="Dubai" w:cs="Dubai"/>
          <w:sz w:val="24"/>
          <w:szCs w:val="24"/>
          <w:rtl/>
          <w:lang w:bidi="ar-EG"/>
        </w:rPr>
        <w:t xml:space="preserve"> وهو ما يمثل خطوة مهمة لتعزيز تحويلات المصريين العاملين بالخارج. وتعد مصر أكبر دولة منشأ لديها عمالة مهاجرة </w:t>
      </w:r>
      <w:r w:rsidRPr="00423018">
        <w:rPr>
          <w:rFonts w:ascii="Dubai" w:hAnsi="Dubai" w:cs="Dubai" w:hint="cs"/>
          <w:sz w:val="24"/>
          <w:szCs w:val="24"/>
          <w:rtl/>
          <w:lang w:bidi="ar-EG"/>
        </w:rPr>
        <w:t>إلى</w:t>
      </w:r>
      <w:r w:rsidRPr="00423018">
        <w:rPr>
          <w:rFonts w:ascii="Dubai" w:hAnsi="Dubai" w:cs="Dubai"/>
          <w:sz w:val="24"/>
          <w:szCs w:val="24"/>
          <w:rtl/>
          <w:lang w:bidi="ar-EG"/>
        </w:rPr>
        <w:t xml:space="preserve"> الخارج</w:t>
      </w:r>
      <w:r w:rsidRPr="00423018">
        <w:rPr>
          <w:rStyle w:val="FootnoteReference"/>
          <w:rFonts w:ascii="Dubai" w:hAnsi="Dubai" w:cs="Dubai"/>
          <w:sz w:val="24"/>
          <w:szCs w:val="24"/>
          <w:rtl/>
          <w:lang w:bidi="ar-EG"/>
        </w:rPr>
        <w:footnoteReference w:id="18"/>
      </w:r>
      <w:r>
        <w:rPr>
          <w:rFonts w:ascii="Dubai" w:hAnsi="Dubai" w:cs="Dubai" w:hint="cs"/>
          <w:sz w:val="24"/>
          <w:szCs w:val="24"/>
          <w:rtl/>
          <w:lang w:bidi="ar-EG"/>
        </w:rPr>
        <w:t xml:space="preserve">، </w:t>
      </w:r>
      <w:r w:rsidRPr="00423018">
        <w:rPr>
          <w:rFonts w:ascii="Dubai" w:hAnsi="Dubai" w:cs="Dubai"/>
          <w:sz w:val="24"/>
          <w:szCs w:val="24"/>
          <w:rtl/>
          <w:lang w:bidi="ar-EG"/>
        </w:rPr>
        <w:t xml:space="preserve">وهو ما يعني إن تسهيل عملية تحويل </w:t>
      </w:r>
      <w:r w:rsidRPr="00423018">
        <w:rPr>
          <w:rFonts w:ascii="Dubai" w:hAnsi="Dubai" w:cs="Dubai" w:hint="cs"/>
          <w:sz w:val="24"/>
          <w:szCs w:val="24"/>
          <w:rtl/>
          <w:lang w:bidi="ar-EG"/>
        </w:rPr>
        <w:t>المدخرات</w:t>
      </w:r>
      <w:r w:rsidRPr="00423018">
        <w:rPr>
          <w:rFonts w:ascii="Dubai" w:hAnsi="Dubai" w:cs="Dubai"/>
          <w:sz w:val="24"/>
          <w:szCs w:val="24"/>
          <w:rtl/>
          <w:lang w:bidi="ar-EG"/>
        </w:rPr>
        <w:t xml:space="preserve"> تمثل ثمة ايجابية تعزز من قدرات الاقتصاد الوطني، ومع ذلك انخفضت تحويلات المصريين في الخارج بنسبة 23% خلال النصف الأول العام المالي 2022/2023 وذلك نظرً لأزمة عدم </w:t>
      </w:r>
      <w:r w:rsidRPr="00423018">
        <w:rPr>
          <w:rFonts w:ascii="Dubai" w:hAnsi="Dubai" w:cs="Dubai" w:hint="cs"/>
          <w:sz w:val="24"/>
          <w:szCs w:val="24"/>
          <w:rtl/>
          <w:lang w:bidi="ar-EG"/>
        </w:rPr>
        <w:t>الاستقرار</w:t>
      </w:r>
      <w:r w:rsidRPr="00423018">
        <w:rPr>
          <w:rFonts w:ascii="Dubai" w:hAnsi="Dubai" w:cs="Dubai"/>
          <w:sz w:val="24"/>
          <w:szCs w:val="24"/>
          <w:rtl/>
          <w:lang w:bidi="ar-EG"/>
        </w:rPr>
        <w:t xml:space="preserve"> في سعر الصرف حينها</w:t>
      </w:r>
      <w:r>
        <w:rPr>
          <w:rFonts w:ascii="Dubai" w:hAnsi="Dubai" w:cs="Dubai" w:hint="cs"/>
          <w:sz w:val="24"/>
          <w:szCs w:val="24"/>
          <w:rtl/>
          <w:lang w:bidi="ar-EG"/>
        </w:rPr>
        <w:t xml:space="preserve"> حيث كان</w:t>
      </w:r>
      <w:r w:rsidRPr="00423018">
        <w:rPr>
          <w:rFonts w:ascii="Dubai" w:hAnsi="Dubai" w:cs="Dubai"/>
          <w:sz w:val="24"/>
          <w:szCs w:val="24"/>
          <w:rtl/>
          <w:lang w:bidi="ar-EG"/>
        </w:rPr>
        <w:t xml:space="preserve"> </w:t>
      </w:r>
      <w:r>
        <w:rPr>
          <w:rFonts w:ascii="Dubai" w:hAnsi="Dubai" w:cs="Dubai" w:hint="cs"/>
          <w:sz w:val="24"/>
          <w:szCs w:val="24"/>
          <w:rtl/>
          <w:lang w:bidi="ar-EG"/>
        </w:rPr>
        <w:t>يو</w:t>
      </w:r>
      <w:r w:rsidRPr="00423018">
        <w:rPr>
          <w:rFonts w:ascii="Dubai" w:hAnsi="Dubai" w:cs="Dubai"/>
          <w:sz w:val="24"/>
          <w:szCs w:val="24"/>
          <w:rtl/>
          <w:lang w:bidi="ar-EG"/>
        </w:rPr>
        <w:t>جد سعرين لسعر الصرف سواء في السوق الرسمي أو الموازي</w:t>
      </w:r>
      <w:r>
        <w:rPr>
          <w:rFonts w:ascii="Dubai" w:hAnsi="Dubai" w:cs="Dubai" w:hint="cs"/>
          <w:sz w:val="24"/>
          <w:szCs w:val="24"/>
          <w:rtl/>
          <w:lang w:bidi="ar-EG"/>
        </w:rPr>
        <w:t xml:space="preserve"> قبل أن يتم تدارك هذا الامر وتوحيد سعر الصرف خلال الفترة الاخيرة</w:t>
      </w:r>
      <w:r w:rsidRPr="00423018">
        <w:rPr>
          <w:rFonts w:ascii="Dubai" w:hAnsi="Dubai" w:cs="Dubai"/>
          <w:sz w:val="24"/>
          <w:szCs w:val="24"/>
          <w:rtl/>
          <w:lang w:bidi="ar-EG"/>
        </w:rPr>
        <w:t xml:space="preserve">. </w:t>
      </w:r>
      <w:r>
        <w:rPr>
          <w:rFonts w:ascii="Dubai" w:hAnsi="Dubai" w:cs="Dubai" w:hint="cs"/>
          <w:sz w:val="24"/>
          <w:szCs w:val="24"/>
          <w:rtl/>
          <w:lang w:bidi="ar-EG"/>
        </w:rPr>
        <w:t>الأمر الذي</w:t>
      </w:r>
      <w:r w:rsidRPr="00423018">
        <w:rPr>
          <w:rFonts w:ascii="Dubai" w:hAnsi="Dubai" w:cs="Dubai"/>
          <w:sz w:val="24"/>
          <w:szCs w:val="24"/>
          <w:rtl/>
          <w:lang w:bidi="ar-EG"/>
        </w:rPr>
        <w:t xml:space="preserve"> ساعد العمال المصريين المهاجرين في العودة مرة أخري </w:t>
      </w:r>
      <w:r w:rsidRPr="00423018">
        <w:rPr>
          <w:rFonts w:ascii="Dubai" w:hAnsi="Dubai" w:cs="Dubai" w:hint="cs"/>
          <w:sz w:val="24"/>
          <w:szCs w:val="24"/>
          <w:rtl/>
          <w:lang w:bidi="ar-EG"/>
        </w:rPr>
        <w:t>إلى</w:t>
      </w:r>
      <w:r w:rsidRPr="00423018">
        <w:rPr>
          <w:rFonts w:ascii="Dubai" w:hAnsi="Dubai" w:cs="Dubai"/>
          <w:sz w:val="24"/>
          <w:szCs w:val="24"/>
          <w:rtl/>
          <w:lang w:bidi="ar-EG"/>
        </w:rPr>
        <w:t xml:space="preserve"> الطرق الرسمية والمشروعة لتحويل أموالهم </w:t>
      </w:r>
      <w:r w:rsidRPr="00423018">
        <w:rPr>
          <w:rFonts w:ascii="Dubai" w:hAnsi="Dubai" w:cs="Dubai" w:hint="cs"/>
          <w:sz w:val="24"/>
          <w:szCs w:val="24"/>
          <w:rtl/>
          <w:lang w:bidi="ar-EG"/>
        </w:rPr>
        <w:t>إلى</w:t>
      </w:r>
      <w:r w:rsidRPr="00423018">
        <w:rPr>
          <w:rFonts w:ascii="Dubai" w:hAnsi="Dubai" w:cs="Dubai"/>
          <w:sz w:val="24"/>
          <w:szCs w:val="24"/>
          <w:rtl/>
          <w:lang w:bidi="ar-EG"/>
        </w:rPr>
        <w:t xml:space="preserve"> أسرهم وتأمل مؤسسة ماعت أن تستفيد الحكومة المصرية من الأزمة الماضية لمنع تكرارها مستقبلًا.</w:t>
      </w:r>
    </w:p>
    <w:p w:rsidR="00F503F6" w:rsidRPr="00352FAD" w:rsidRDefault="00F503F6" w:rsidP="00423018">
      <w:pPr>
        <w:bidi/>
        <w:spacing w:line="276" w:lineRule="auto"/>
        <w:jc w:val="lowKashida"/>
        <w:rPr>
          <w:rFonts w:ascii="Dubai" w:hAnsi="Dubai" w:cs="Dubai"/>
          <w:b/>
          <w:bCs/>
          <w:color w:val="0000FF"/>
          <w:sz w:val="28"/>
          <w:szCs w:val="28"/>
          <w:rtl/>
          <w:lang w:bidi="ar-EG"/>
        </w:rPr>
      </w:pPr>
      <w:r w:rsidRPr="00352FAD">
        <w:rPr>
          <w:rFonts w:ascii="Dubai" w:hAnsi="Dubai" w:cs="Dubai"/>
          <w:b/>
          <w:bCs/>
          <w:color w:val="0000FF"/>
          <w:sz w:val="28"/>
          <w:szCs w:val="28"/>
          <w:rtl/>
          <w:lang w:bidi="ar-EG"/>
        </w:rPr>
        <w:t>ثالثا: الأحكام المنطبقة على فئات معينة من العمال المهاجرين وأفراد أسرهم</w:t>
      </w:r>
    </w:p>
    <w:p w:rsidR="00F503F6" w:rsidRPr="00423018" w:rsidRDefault="00F503F6" w:rsidP="00F503F6">
      <w:pPr>
        <w:pStyle w:val="ListParagraph"/>
        <w:numPr>
          <w:ilvl w:val="0"/>
          <w:numId w:val="22"/>
        </w:numPr>
        <w:bidi/>
        <w:spacing w:line="276" w:lineRule="auto"/>
        <w:ind w:left="360"/>
        <w:jc w:val="lowKashida"/>
        <w:rPr>
          <w:rFonts w:ascii="Dubai" w:hAnsi="Dubai" w:cs="Dubai"/>
          <w:b/>
          <w:bCs/>
          <w:color w:val="0070C0"/>
          <w:sz w:val="24"/>
          <w:szCs w:val="24"/>
          <w:rtl/>
          <w:lang w:bidi="ar-EG"/>
        </w:rPr>
      </w:pPr>
      <w:r w:rsidRPr="00423018">
        <w:rPr>
          <w:rFonts w:ascii="Dubai" w:hAnsi="Dubai" w:cs="Dubai"/>
          <w:b/>
          <w:bCs/>
          <w:color w:val="0070C0"/>
          <w:sz w:val="24"/>
          <w:szCs w:val="24"/>
          <w:rtl/>
          <w:lang w:bidi="ar-EG"/>
        </w:rPr>
        <w:t>الٌعمال الموسميون (المادة 59)</w:t>
      </w:r>
    </w:p>
    <w:p w:rsidR="00F503F6" w:rsidRPr="00423018" w:rsidRDefault="00F503F6" w:rsidP="00423018">
      <w:pPr>
        <w:bidi/>
        <w:spacing w:line="276" w:lineRule="auto"/>
        <w:jc w:val="lowKashida"/>
        <w:rPr>
          <w:rFonts w:ascii="Dubai" w:hAnsi="Dubai" w:cs="Dubai"/>
          <w:sz w:val="24"/>
          <w:szCs w:val="24"/>
          <w:rtl/>
        </w:rPr>
      </w:pPr>
      <w:r w:rsidRPr="00423018">
        <w:rPr>
          <w:rFonts w:ascii="Dubai" w:hAnsi="Dubai" w:cs="Dubai"/>
          <w:sz w:val="24"/>
          <w:szCs w:val="24"/>
          <w:rtl/>
        </w:rPr>
        <w:t xml:space="preserve">تلاحظ مؤسسة ماعت </w:t>
      </w:r>
      <w:r w:rsidRPr="00423018">
        <w:rPr>
          <w:rFonts w:ascii="Dubai" w:hAnsi="Dubai" w:cs="Dubai" w:hint="cs"/>
          <w:sz w:val="24"/>
          <w:szCs w:val="24"/>
          <w:rtl/>
        </w:rPr>
        <w:t>بتقدير الاتفاقيات</w:t>
      </w:r>
      <w:r w:rsidRPr="00423018">
        <w:rPr>
          <w:rFonts w:ascii="Dubai" w:hAnsi="Dubai" w:cs="Dubai"/>
          <w:sz w:val="24"/>
          <w:szCs w:val="24"/>
          <w:rtl/>
        </w:rPr>
        <w:t xml:space="preserve"> الثنائية التي وقعتها مصر مع دول مختلفة ومن بينها اتفاقية تشغيل العمال الموسمية </w:t>
      </w:r>
      <w:r w:rsidRPr="00423018">
        <w:rPr>
          <w:rFonts w:ascii="Dubai" w:hAnsi="Dubai" w:cs="Dubai" w:hint="cs"/>
          <w:sz w:val="24"/>
          <w:szCs w:val="24"/>
          <w:rtl/>
        </w:rPr>
        <w:t>في</w:t>
      </w:r>
      <w:r w:rsidRPr="00423018">
        <w:rPr>
          <w:rFonts w:ascii="Dubai" w:hAnsi="Dubai" w:cs="Dubai"/>
          <w:sz w:val="24"/>
          <w:szCs w:val="24"/>
          <w:rtl/>
        </w:rPr>
        <w:t xml:space="preserve"> قطاع الزراعة بين مصر واليونان الذي وقعت في نوفمبر </w:t>
      </w:r>
      <w:r w:rsidRPr="00423018">
        <w:rPr>
          <w:rFonts w:ascii="Dubai" w:hAnsi="Dubai" w:cs="Dubai" w:hint="cs"/>
          <w:sz w:val="24"/>
          <w:szCs w:val="24"/>
          <w:rtl/>
        </w:rPr>
        <w:t>2023،</w:t>
      </w:r>
      <w:r w:rsidRPr="00423018">
        <w:rPr>
          <w:rFonts w:ascii="Dubai" w:hAnsi="Dubai" w:cs="Dubai"/>
          <w:sz w:val="24"/>
          <w:szCs w:val="24"/>
          <w:rtl/>
        </w:rPr>
        <w:t xml:space="preserve"> </w:t>
      </w:r>
      <w:r w:rsidRPr="00423018">
        <w:rPr>
          <w:rFonts w:ascii="Dubai" w:hAnsi="Dubai" w:cs="Dubai" w:hint="cs"/>
          <w:sz w:val="24"/>
          <w:szCs w:val="24"/>
          <w:rtl/>
        </w:rPr>
        <w:t>والتي</w:t>
      </w:r>
      <w:r w:rsidRPr="00423018">
        <w:rPr>
          <w:rFonts w:ascii="Dubai" w:hAnsi="Dubai" w:cs="Dubai"/>
          <w:sz w:val="24"/>
          <w:szCs w:val="24"/>
          <w:rtl/>
        </w:rPr>
        <w:t xml:space="preserve"> توفر خمسة آلاف فرصة عمل للعمالة الموسمية الزراعية باليونان، خلال السنة التجريبية الأولى. وتسهم تلك الاتفاقيات الثنائية </w:t>
      </w:r>
      <w:r w:rsidRPr="00423018">
        <w:rPr>
          <w:rFonts w:ascii="Dubai" w:hAnsi="Dubai" w:cs="Dubai" w:hint="cs"/>
          <w:sz w:val="24"/>
          <w:szCs w:val="24"/>
          <w:rtl/>
        </w:rPr>
        <w:t>في</w:t>
      </w:r>
      <w:r w:rsidRPr="00423018">
        <w:rPr>
          <w:rFonts w:ascii="Dubai" w:hAnsi="Dubai" w:cs="Dubai"/>
          <w:sz w:val="24"/>
          <w:szCs w:val="24"/>
          <w:rtl/>
        </w:rPr>
        <w:t xml:space="preserve"> حماية حقوق الفئات الخاصة من العمال المهاجرين. في سياق متصل تلاحظ مؤسسة ماعت ما أقدمت عليه الحكومة المصرية بتوقيع اتفاقات مع الحكومة الألمانية في مجال تطوير التعليم المهني، وإنشاء المركز المصري الألماني للوظائف والهجرة وإعادة الإدماج لإتاحة قنوات هجرة نظامية أمام الشباب المصري، وتقديم أدوات فنية حديثة للجهات الوطنية المعنية بمراقبة الحدود، كما تم توقيع إعلان مبادئ في عام 2021 بين مصر وهولندا لدعم التعاون في مجال الهجرة، بالإضافة إلي التعاون القائم مع الحكومة الإيطالية في مجال التدريب المهني بما يسمح بزيادة مهارات الفئات الأكثر عرضة للهجرة.</w:t>
      </w:r>
      <w:r>
        <w:rPr>
          <w:rFonts w:ascii="Dubai" w:hAnsi="Dubai" w:cs="Dubai" w:hint="cs"/>
          <w:sz w:val="24"/>
          <w:szCs w:val="24"/>
          <w:rtl/>
        </w:rPr>
        <w:t xml:space="preserve"> </w:t>
      </w:r>
      <w:r w:rsidRPr="00423018">
        <w:rPr>
          <w:rFonts w:ascii="Dubai" w:hAnsi="Dubai" w:cs="Dubai"/>
          <w:sz w:val="24"/>
          <w:szCs w:val="24"/>
          <w:rtl/>
        </w:rPr>
        <w:t xml:space="preserve">مع ذلك تلاحظ مؤسسة ماعت إنه كان هناك تقص في الدورات التدريبية المخصصة للمصريين المتجهين إلي الخارج للعمل ضمن اتفاقيات ثنائية بين الحكومة المصرية ودول أخري وقد جعلت بعض اتفاقيات العمل الثنائية العمال المصريين المهاجرين في مواقف عرضة للخطر على سبيل المثال، لا تتيح اتفاقية عمل بين الحكومتين الأردنية والمصرية للمواطن المصري مغادرة الأردن دون إذن من صاحب العمل، حتى لو كان صاحب العمل قد جري محاكمته بجريمة اتجار بالبشر. </w:t>
      </w:r>
    </w:p>
    <w:p w:rsidR="00F503F6" w:rsidRDefault="00F503F6" w:rsidP="00423018">
      <w:pPr>
        <w:bidi/>
        <w:spacing w:line="276" w:lineRule="auto"/>
        <w:jc w:val="lowKashida"/>
        <w:rPr>
          <w:rFonts w:ascii="Dubai" w:hAnsi="Dubai" w:cs="Dubai"/>
          <w:b/>
          <w:bCs/>
          <w:color w:val="0000FF"/>
          <w:sz w:val="28"/>
          <w:szCs w:val="28"/>
          <w:rtl/>
          <w:lang w:bidi="ar-EG"/>
        </w:rPr>
      </w:pPr>
      <w:r>
        <w:rPr>
          <w:rFonts w:ascii="Dubai" w:hAnsi="Dubai" w:cs="Dubai" w:hint="cs"/>
          <w:b/>
          <w:bCs/>
          <w:color w:val="0000FF"/>
          <w:sz w:val="28"/>
          <w:szCs w:val="28"/>
          <w:rtl/>
          <w:lang w:bidi="ar-EG"/>
        </w:rPr>
        <w:t xml:space="preserve">الأسئلة الرئيسية </w:t>
      </w:r>
    </w:p>
    <w:p w:rsidR="00F503F6" w:rsidRPr="00E45DC8" w:rsidRDefault="00F503F6" w:rsidP="00EA316D">
      <w:pPr>
        <w:bidi/>
        <w:spacing w:line="276" w:lineRule="auto"/>
        <w:jc w:val="lowKashida"/>
        <w:rPr>
          <w:rFonts w:ascii="Dubai" w:hAnsi="Dubai" w:cs="Dubai"/>
          <w:b/>
          <w:bCs/>
          <w:color w:val="0000FF"/>
          <w:sz w:val="28"/>
          <w:szCs w:val="28"/>
          <w:lang w:bidi="ar-EG"/>
        </w:rPr>
      </w:pPr>
      <w:r>
        <w:rPr>
          <w:rFonts w:ascii="Dubai" w:hAnsi="Dubai" w:cs="Dubai" w:hint="cs"/>
          <w:b/>
          <w:bCs/>
          <w:color w:val="0000FF"/>
          <w:sz w:val="28"/>
          <w:szCs w:val="28"/>
          <w:rtl/>
          <w:lang w:bidi="ar-EG"/>
        </w:rPr>
        <w:t>تأمل مؤسسة ماعت أن تطلب اللجنة من الدولة معلومات بخصوص الأسئلة الآتية</w:t>
      </w:r>
    </w:p>
    <w:p w:rsidR="00F503F6" w:rsidRPr="00423018" w:rsidRDefault="00F503F6" w:rsidP="00F503F6">
      <w:pPr>
        <w:pStyle w:val="ListParagraph"/>
        <w:numPr>
          <w:ilvl w:val="0"/>
          <w:numId w:val="21"/>
        </w:numPr>
        <w:bidi/>
        <w:spacing w:line="276" w:lineRule="auto"/>
        <w:jc w:val="lowKashida"/>
        <w:rPr>
          <w:rFonts w:ascii="Dubai" w:hAnsi="Dubai" w:cs="Dubai"/>
          <w:sz w:val="24"/>
          <w:szCs w:val="24"/>
          <w:rtl/>
          <w:lang w:bidi="ar-EG"/>
        </w:rPr>
      </w:pPr>
      <w:r>
        <w:rPr>
          <w:rFonts w:ascii="Dubai" w:hAnsi="Dubai" w:cs="Dubai" w:hint="cs"/>
          <w:sz w:val="24"/>
          <w:szCs w:val="24"/>
          <w:rtl/>
          <w:lang w:bidi="ar-EG"/>
        </w:rPr>
        <w:t>ما هي الخطط الحكومية المتخذة مؤخرًا أو الذي تنوي الحكومة اتخاذها من أجل</w:t>
      </w:r>
      <w:r w:rsidRPr="00423018">
        <w:rPr>
          <w:rFonts w:ascii="Dubai" w:hAnsi="Dubai" w:cs="Dubai"/>
          <w:sz w:val="24"/>
          <w:szCs w:val="24"/>
          <w:rtl/>
          <w:lang w:bidi="ar-EG"/>
        </w:rPr>
        <w:t xml:space="preserve"> إنشاء مفوضية مكافحة التمييز بما يحقق الالتزام الدستوري الوارد في المادة 53 من الدستور المصري المعدل في عام 2019</w:t>
      </w:r>
      <w:r>
        <w:rPr>
          <w:rFonts w:ascii="Dubai" w:hAnsi="Dubai" w:cs="Dubai" w:hint="cs"/>
          <w:sz w:val="24"/>
          <w:szCs w:val="24"/>
          <w:rtl/>
          <w:lang w:bidi="ar-EG"/>
        </w:rPr>
        <w:t>؟</w:t>
      </w:r>
    </w:p>
    <w:p w:rsidR="00F503F6" w:rsidRPr="00423018" w:rsidRDefault="00F503F6" w:rsidP="00F503F6">
      <w:pPr>
        <w:pStyle w:val="ListParagraph"/>
        <w:numPr>
          <w:ilvl w:val="0"/>
          <w:numId w:val="21"/>
        </w:numPr>
        <w:bidi/>
        <w:spacing w:line="276" w:lineRule="auto"/>
        <w:jc w:val="lowKashida"/>
        <w:rPr>
          <w:rFonts w:ascii="Dubai" w:hAnsi="Dubai" w:cs="Dubai"/>
          <w:sz w:val="24"/>
          <w:szCs w:val="24"/>
          <w:lang w:bidi="ar-EG"/>
        </w:rPr>
      </w:pPr>
      <w:r>
        <w:rPr>
          <w:rFonts w:ascii="Dubai" w:hAnsi="Dubai" w:cs="Dubai" w:hint="cs"/>
          <w:sz w:val="24"/>
          <w:szCs w:val="24"/>
          <w:rtl/>
          <w:lang w:bidi="ar-EG"/>
        </w:rPr>
        <w:t>توضيح ما هي البرامج المعتمدة مؤخرًا من أجل بناء</w:t>
      </w:r>
      <w:r w:rsidRPr="00423018">
        <w:rPr>
          <w:rFonts w:ascii="Dubai" w:hAnsi="Dubai" w:cs="Dubai"/>
          <w:sz w:val="24"/>
          <w:szCs w:val="24"/>
          <w:rtl/>
          <w:lang w:bidi="ar-EG"/>
        </w:rPr>
        <w:t xml:space="preserve"> قدرات العاملين في مجال الرعاية الصحية بأحكام اتفاقية حقوق العمال المهاجرين بما يضمن تنفيذ الاتفاقية علي أكمل </w:t>
      </w:r>
      <w:r w:rsidRPr="00423018">
        <w:rPr>
          <w:rFonts w:ascii="Dubai" w:hAnsi="Dubai" w:cs="Dubai" w:hint="cs"/>
          <w:sz w:val="24"/>
          <w:szCs w:val="24"/>
          <w:rtl/>
          <w:lang w:bidi="ar-EG"/>
        </w:rPr>
        <w:t>وجه؟</w:t>
      </w:r>
      <w:r>
        <w:rPr>
          <w:rFonts w:ascii="Dubai" w:hAnsi="Dubai" w:cs="Dubai" w:hint="cs"/>
          <w:sz w:val="24"/>
          <w:szCs w:val="24"/>
          <w:rtl/>
          <w:lang w:bidi="ar-EG"/>
        </w:rPr>
        <w:t xml:space="preserve"> </w:t>
      </w:r>
    </w:p>
    <w:p w:rsidR="00F503F6" w:rsidRPr="00423018" w:rsidRDefault="00F503F6" w:rsidP="00F503F6">
      <w:pPr>
        <w:pStyle w:val="ListParagraph"/>
        <w:numPr>
          <w:ilvl w:val="0"/>
          <w:numId w:val="21"/>
        </w:numPr>
        <w:bidi/>
        <w:spacing w:line="276" w:lineRule="auto"/>
        <w:jc w:val="lowKashida"/>
        <w:rPr>
          <w:rFonts w:ascii="Dubai" w:hAnsi="Dubai" w:cs="Dubai"/>
          <w:sz w:val="24"/>
          <w:szCs w:val="24"/>
          <w:lang w:bidi="ar-EG"/>
        </w:rPr>
      </w:pPr>
      <w:r>
        <w:rPr>
          <w:rFonts w:ascii="Dubai" w:hAnsi="Dubai" w:cs="Dubai" w:hint="cs"/>
          <w:sz w:val="24"/>
          <w:szCs w:val="24"/>
          <w:rtl/>
          <w:lang w:bidi="ar-EG"/>
        </w:rPr>
        <w:t xml:space="preserve">ما هي الإجراءات الأخيرة المتخذة من قبل الهيئة التشريعية لاعتماد </w:t>
      </w:r>
      <w:r w:rsidRPr="00423018">
        <w:rPr>
          <w:rFonts w:ascii="Dubai" w:hAnsi="Dubai" w:cs="Dubai"/>
          <w:sz w:val="24"/>
          <w:szCs w:val="24"/>
          <w:rtl/>
          <w:lang w:bidi="ar-EG"/>
        </w:rPr>
        <w:t>قانون تقنين أوضاع العمالة المنزلية وشمول العاملات المهاجرات بالحماية الكافية بما يحقق النتيجة المستهدفة من الإستراتيجية الوطنية لحقوق الإنسان</w:t>
      </w:r>
      <w:r>
        <w:rPr>
          <w:rFonts w:ascii="Dubai" w:hAnsi="Dubai" w:cs="Dubai" w:hint="cs"/>
          <w:sz w:val="24"/>
          <w:szCs w:val="24"/>
          <w:rtl/>
          <w:lang w:bidi="ar-EG"/>
        </w:rPr>
        <w:t xml:space="preserve">؟ </w:t>
      </w:r>
    </w:p>
    <w:p w:rsidR="00F503F6" w:rsidRPr="00423018" w:rsidRDefault="00F503F6" w:rsidP="00F503F6">
      <w:pPr>
        <w:pStyle w:val="ListParagraph"/>
        <w:numPr>
          <w:ilvl w:val="0"/>
          <w:numId w:val="21"/>
        </w:numPr>
        <w:bidi/>
        <w:spacing w:line="276" w:lineRule="auto"/>
        <w:jc w:val="lowKashida"/>
        <w:rPr>
          <w:rFonts w:ascii="Dubai" w:hAnsi="Dubai" w:cs="Dubai"/>
          <w:sz w:val="24"/>
          <w:szCs w:val="24"/>
          <w:lang w:bidi="ar-EG"/>
        </w:rPr>
      </w:pPr>
      <w:r>
        <w:rPr>
          <w:rFonts w:ascii="Dubai" w:hAnsi="Dubai" w:cs="Dubai" w:hint="cs"/>
          <w:sz w:val="24"/>
          <w:szCs w:val="24"/>
          <w:rtl/>
          <w:lang w:bidi="ar-EG"/>
        </w:rPr>
        <w:t>هل هناك خطط حكومية من أجل</w:t>
      </w:r>
      <w:r w:rsidRPr="00423018">
        <w:rPr>
          <w:rFonts w:ascii="Dubai" w:hAnsi="Dubai" w:cs="Dubai"/>
          <w:sz w:val="24"/>
          <w:szCs w:val="24"/>
          <w:rtl/>
          <w:lang w:bidi="ar-EG"/>
        </w:rPr>
        <w:t xml:space="preserve"> إنشاء آلية واضحة لرصد وجمع الأدلة الخاصة بتدفق المهاجرين في مصر والعمل </w:t>
      </w:r>
      <w:r w:rsidRPr="00423018">
        <w:rPr>
          <w:rFonts w:ascii="Dubai" w:hAnsi="Dubai" w:cs="Dubai" w:hint="cs"/>
          <w:sz w:val="24"/>
          <w:szCs w:val="24"/>
          <w:rtl/>
          <w:lang w:bidi="ar-EG"/>
        </w:rPr>
        <w:t>على</w:t>
      </w:r>
      <w:r w:rsidRPr="00423018">
        <w:rPr>
          <w:rFonts w:ascii="Dubai" w:hAnsi="Dubai" w:cs="Dubai"/>
          <w:sz w:val="24"/>
          <w:szCs w:val="24"/>
          <w:rtl/>
          <w:lang w:bidi="ar-EG"/>
        </w:rPr>
        <w:t xml:space="preserve"> تشجيع التعاون بين المؤسسات المختلفة </w:t>
      </w:r>
      <w:r w:rsidRPr="00423018">
        <w:rPr>
          <w:rFonts w:ascii="Dubai" w:hAnsi="Dubai" w:cs="Dubai" w:hint="cs"/>
          <w:sz w:val="24"/>
          <w:szCs w:val="24"/>
          <w:rtl/>
          <w:lang w:bidi="ar-EG"/>
        </w:rPr>
        <w:t>المعنية</w:t>
      </w:r>
      <w:r>
        <w:rPr>
          <w:rFonts w:ascii="Dubai" w:hAnsi="Dubai" w:cs="Dubai" w:hint="cs"/>
          <w:sz w:val="24"/>
          <w:szCs w:val="24"/>
          <w:rtl/>
          <w:lang w:bidi="ar-EG"/>
        </w:rPr>
        <w:t xml:space="preserve">؟ </w:t>
      </w:r>
    </w:p>
    <w:p w:rsidR="00F503F6" w:rsidRPr="00423018" w:rsidRDefault="00F503F6" w:rsidP="00F503F6">
      <w:pPr>
        <w:pStyle w:val="ListParagraph"/>
        <w:numPr>
          <w:ilvl w:val="0"/>
          <w:numId w:val="21"/>
        </w:numPr>
        <w:bidi/>
        <w:spacing w:line="276" w:lineRule="auto"/>
        <w:jc w:val="lowKashida"/>
        <w:rPr>
          <w:rFonts w:ascii="Dubai" w:hAnsi="Dubai" w:cs="Dubai"/>
          <w:sz w:val="24"/>
          <w:szCs w:val="24"/>
          <w:rtl/>
          <w:lang w:bidi="ar-EG"/>
        </w:rPr>
      </w:pPr>
      <w:r>
        <w:rPr>
          <w:rFonts w:ascii="Dubai" w:hAnsi="Dubai" w:cs="Dubai" w:hint="cs"/>
          <w:sz w:val="24"/>
          <w:szCs w:val="24"/>
          <w:rtl/>
          <w:lang w:bidi="ar-EG"/>
        </w:rPr>
        <w:t xml:space="preserve">توضيح كيفية ضمان </w:t>
      </w:r>
      <w:r w:rsidRPr="00423018">
        <w:rPr>
          <w:rFonts w:ascii="Dubai" w:hAnsi="Dubai" w:cs="Dubai" w:hint="cs"/>
          <w:sz w:val="24"/>
          <w:szCs w:val="24"/>
          <w:rtl/>
          <w:lang w:bidi="ar-EG"/>
        </w:rPr>
        <w:t>وصول</w:t>
      </w:r>
      <w:r w:rsidRPr="00423018">
        <w:rPr>
          <w:rFonts w:ascii="Dubai" w:hAnsi="Dubai" w:cs="Dubai"/>
          <w:sz w:val="24"/>
          <w:szCs w:val="24"/>
          <w:rtl/>
          <w:lang w:bidi="ar-EG"/>
        </w:rPr>
        <w:t xml:space="preserve"> العمال المهاجرين </w:t>
      </w:r>
      <w:r w:rsidRPr="00423018">
        <w:rPr>
          <w:rFonts w:ascii="Dubai" w:hAnsi="Dubai" w:cs="Dubai" w:hint="cs"/>
          <w:sz w:val="24"/>
          <w:szCs w:val="24"/>
          <w:rtl/>
          <w:lang w:bidi="ar-EG"/>
        </w:rPr>
        <w:t>إلى</w:t>
      </w:r>
      <w:r w:rsidRPr="00423018">
        <w:rPr>
          <w:rFonts w:ascii="Dubai" w:hAnsi="Dubai" w:cs="Dubai"/>
          <w:sz w:val="24"/>
          <w:szCs w:val="24"/>
          <w:rtl/>
          <w:lang w:bidi="ar-EG"/>
        </w:rPr>
        <w:t xml:space="preserve"> المحاكم وتعزيز معرفتهم </w:t>
      </w:r>
      <w:r w:rsidRPr="00423018">
        <w:rPr>
          <w:rFonts w:ascii="Dubai" w:hAnsi="Dubai" w:cs="Dubai" w:hint="cs"/>
          <w:sz w:val="24"/>
          <w:szCs w:val="24"/>
          <w:rtl/>
          <w:lang w:bidi="ar-EG"/>
        </w:rPr>
        <w:t>بالآليات</w:t>
      </w:r>
      <w:r w:rsidRPr="00423018">
        <w:rPr>
          <w:rFonts w:ascii="Dubai" w:hAnsi="Dubai" w:cs="Dubai"/>
          <w:sz w:val="24"/>
          <w:szCs w:val="24"/>
          <w:rtl/>
          <w:lang w:bidi="ar-EG"/>
        </w:rPr>
        <w:t xml:space="preserve"> القانونية للحصول </w:t>
      </w:r>
      <w:r w:rsidRPr="00423018">
        <w:rPr>
          <w:rFonts w:ascii="Dubai" w:hAnsi="Dubai" w:cs="Dubai" w:hint="cs"/>
          <w:sz w:val="24"/>
          <w:szCs w:val="24"/>
          <w:rtl/>
          <w:lang w:bidi="ar-EG"/>
        </w:rPr>
        <w:t>على</w:t>
      </w:r>
      <w:r w:rsidRPr="00423018">
        <w:rPr>
          <w:rFonts w:ascii="Dubai" w:hAnsi="Dubai" w:cs="Dubai"/>
          <w:sz w:val="24"/>
          <w:szCs w:val="24"/>
          <w:rtl/>
          <w:lang w:bidi="ar-EG"/>
        </w:rPr>
        <w:t xml:space="preserve"> حقوقهم</w:t>
      </w:r>
      <w:r>
        <w:rPr>
          <w:rFonts w:ascii="Dubai" w:hAnsi="Dubai" w:cs="Dubai" w:hint="cs"/>
          <w:sz w:val="24"/>
          <w:szCs w:val="24"/>
          <w:rtl/>
          <w:lang w:bidi="ar-EG"/>
        </w:rPr>
        <w:t xml:space="preserve">؟ </w:t>
      </w:r>
    </w:p>
    <w:p w:rsidR="00F503F6" w:rsidRPr="00423018" w:rsidRDefault="00F503F6" w:rsidP="00F503F6">
      <w:pPr>
        <w:pStyle w:val="ListParagraph"/>
        <w:numPr>
          <w:ilvl w:val="0"/>
          <w:numId w:val="21"/>
        </w:numPr>
        <w:bidi/>
        <w:spacing w:line="276" w:lineRule="auto"/>
        <w:jc w:val="lowKashida"/>
        <w:rPr>
          <w:rFonts w:ascii="Dubai" w:hAnsi="Dubai" w:cs="Dubai"/>
          <w:sz w:val="24"/>
          <w:szCs w:val="24"/>
          <w:lang w:bidi="ar-EG"/>
        </w:rPr>
      </w:pPr>
      <w:r>
        <w:rPr>
          <w:rFonts w:ascii="Dubai" w:hAnsi="Dubai" w:cs="Dubai" w:hint="cs"/>
          <w:sz w:val="24"/>
          <w:szCs w:val="24"/>
          <w:rtl/>
          <w:lang w:bidi="ar-EG"/>
        </w:rPr>
        <w:t>توضيح ما إذا كان هناك نية لدي الهيئة التشريعية من أجل</w:t>
      </w:r>
      <w:r w:rsidRPr="00423018">
        <w:rPr>
          <w:rFonts w:ascii="Dubai" w:hAnsi="Dubai" w:cs="Dubai"/>
          <w:sz w:val="24"/>
          <w:szCs w:val="24"/>
          <w:rtl/>
          <w:lang w:bidi="ar-EG"/>
        </w:rPr>
        <w:t xml:space="preserve"> إدراج العاملات المهاجرات في مسودة مشروع قانون العمل الذي يناقش </w:t>
      </w:r>
      <w:r w:rsidRPr="00423018">
        <w:rPr>
          <w:rFonts w:ascii="Dubai" w:hAnsi="Dubai" w:cs="Dubai" w:hint="cs"/>
          <w:sz w:val="24"/>
          <w:szCs w:val="24"/>
          <w:rtl/>
          <w:lang w:bidi="ar-EG"/>
        </w:rPr>
        <w:t>حاليًا من</w:t>
      </w:r>
      <w:r w:rsidRPr="00423018">
        <w:rPr>
          <w:rFonts w:ascii="Dubai" w:hAnsi="Dubai" w:cs="Dubai"/>
          <w:sz w:val="24"/>
          <w:szCs w:val="24"/>
          <w:rtl/>
          <w:lang w:bidi="ar-EG"/>
        </w:rPr>
        <w:t xml:space="preserve"> قبل مجلس النواب</w:t>
      </w:r>
      <w:r>
        <w:rPr>
          <w:rFonts w:ascii="Dubai" w:hAnsi="Dubai" w:cs="Dubai" w:hint="cs"/>
          <w:sz w:val="24"/>
          <w:szCs w:val="24"/>
          <w:rtl/>
          <w:lang w:bidi="ar-EG"/>
        </w:rPr>
        <w:t xml:space="preserve">؟ </w:t>
      </w:r>
      <w:r w:rsidRPr="00423018">
        <w:rPr>
          <w:rFonts w:ascii="Dubai" w:hAnsi="Dubai" w:cs="Dubai"/>
          <w:sz w:val="24"/>
          <w:szCs w:val="24"/>
          <w:rtl/>
          <w:lang w:bidi="ar-EG"/>
        </w:rPr>
        <w:t xml:space="preserve"> </w:t>
      </w:r>
    </w:p>
    <w:p w:rsidR="00F503F6" w:rsidRPr="00423018" w:rsidRDefault="00F503F6" w:rsidP="00F503F6">
      <w:pPr>
        <w:pStyle w:val="ListParagraph"/>
        <w:numPr>
          <w:ilvl w:val="0"/>
          <w:numId w:val="21"/>
        </w:numPr>
        <w:bidi/>
        <w:spacing w:line="276" w:lineRule="auto"/>
        <w:jc w:val="lowKashida"/>
        <w:rPr>
          <w:rFonts w:ascii="Dubai" w:hAnsi="Dubai" w:cs="Dubai"/>
          <w:sz w:val="24"/>
          <w:szCs w:val="24"/>
          <w:lang w:bidi="ar-EG"/>
        </w:rPr>
      </w:pPr>
      <w:r>
        <w:rPr>
          <w:rFonts w:ascii="Dubai" w:hAnsi="Dubai" w:cs="Dubai" w:hint="cs"/>
          <w:sz w:val="24"/>
          <w:szCs w:val="24"/>
          <w:rtl/>
          <w:lang w:bidi="ar-EG"/>
        </w:rPr>
        <w:t>توضيح ما إذ كان هناك دورات</w:t>
      </w:r>
      <w:r w:rsidRPr="00423018">
        <w:rPr>
          <w:rFonts w:ascii="Dubai" w:hAnsi="Dubai" w:cs="Dubai"/>
          <w:sz w:val="24"/>
          <w:szCs w:val="24"/>
          <w:rtl/>
          <w:lang w:bidi="ar-EG"/>
        </w:rPr>
        <w:t xml:space="preserve"> </w:t>
      </w:r>
      <w:r>
        <w:rPr>
          <w:rFonts w:ascii="Dubai" w:hAnsi="Dubai" w:cs="Dubai" w:hint="cs"/>
          <w:sz w:val="24"/>
          <w:szCs w:val="24"/>
          <w:rtl/>
          <w:lang w:bidi="ar-EG"/>
        </w:rPr>
        <w:t>تدريبية قد جري تنظيمها</w:t>
      </w:r>
      <w:r w:rsidRPr="00423018">
        <w:rPr>
          <w:rFonts w:ascii="Dubai" w:hAnsi="Dubai" w:cs="Dubai"/>
          <w:sz w:val="24"/>
          <w:szCs w:val="24"/>
          <w:rtl/>
          <w:lang w:bidi="ar-EG"/>
        </w:rPr>
        <w:t xml:space="preserve"> للعمال المهاجرين المصريين المتجهين للعمل بالخارج بناء </w:t>
      </w:r>
      <w:r w:rsidRPr="00423018">
        <w:rPr>
          <w:rFonts w:ascii="Dubai" w:hAnsi="Dubai" w:cs="Dubai" w:hint="cs"/>
          <w:sz w:val="24"/>
          <w:szCs w:val="24"/>
          <w:rtl/>
          <w:lang w:bidi="ar-EG"/>
        </w:rPr>
        <w:t>على</w:t>
      </w:r>
      <w:r w:rsidRPr="00423018">
        <w:rPr>
          <w:rFonts w:ascii="Dubai" w:hAnsi="Dubai" w:cs="Dubai"/>
          <w:sz w:val="24"/>
          <w:szCs w:val="24"/>
          <w:rtl/>
          <w:lang w:bidi="ar-EG"/>
        </w:rPr>
        <w:t xml:space="preserve"> اتفاقيات ثنائية</w:t>
      </w:r>
      <w:r>
        <w:rPr>
          <w:rFonts w:ascii="Dubai" w:hAnsi="Dubai" w:cs="Dubai" w:hint="cs"/>
          <w:sz w:val="24"/>
          <w:szCs w:val="24"/>
          <w:rtl/>
          <w:lang w:bidi="ar-EG"/>
        </w:rPr>
        <w:t>.؟</w:t>
      </w:r>
    </w:p>
    <w:p w:rsidR="00C41B4E" w:rsidRPr="00F503F6" w:rsidRDefault="00F503F6" w:rsidP="00F503F6">
      <w:pPr>
        <w:pStyle w:val="ListParagraph"/>
        <w:numPr>
          <w:ilvl w:val="0"/>
          <w:numId w:val="21"/>
        </w:numPr>
        <w:bidi/>
        <w:spacing w:line="276" w:lineRule="auto"/>
        <w:jc w:val="lowKashida"/>
        <w:rPr>
          <w:rFonts w:ascii="Dubai" w:hAnsi="Dubai" w:cs="Dubai"/>
          <w:sz w:val="24"/>
          <w:szCs w:val="24"/>
          <w:rtl/>
          <w:lang w:bidi="ar-EG"/>
        </w:rPr>
      </w:pPr>
      <w:r>
        <w:rPr>
          <w:rFonts w:ascii="Dubai" w:hAnsi="Dubai" w:cs="Dubai" w:hint="cs"/>
          <w:sz w:val="24"/>
          <w:szCs w:val="24"/>
          <w:rtl/>
          <w:lang w:bidi="ar-EG"/>
        </w:rPr>
        <w:t>بيان ما إذا كان هناك دورات تدريبية</w:t>
      </w:r>
      <w:r w:rsidRPr="009A035F">
        <w:rPr>
          <w:rFonts w:ascii="Dubai" w:hAnsi="Dubai" w:cs="Dubai" w:hint="cs"/>
          <w:sz w:val="24"/>
          <w:szCs w:val="24"/>
          <w:rtl/>
          <w:lang w:bidi="ar-EG"/>
        </w:rPr>
        <w:t xml:space="preserve"> </w:t>
      </w:r>
      <w:r>
        <w:rPr>
          <w:rFonts w:ascii="Dubai" w:hAnsi="Dubai" w:cs="Dubai" w:hint="cs"/>
          <w:sz w:val="24"/>
          <w:szCs w:val="24"/>
          <w:rtl/>
          <w:lang w:bidi="ar-EG"/>
        </w:rPr>
        <w:t>و</w:t>
      </w:r>
      <w:r w:rsidRPr="009A035F">
        <w:rPr>
          <w:rFonts w:ascii="Dubai" w:hAnsi="Dubai" w:cs="Dubai"/>
          <w:sz w:val="24"/>
          <w:szCs w:val="24"/>
          <w:rtl/>
          <w:lang w:bidi="ar-EG"/>
        </w:rPr>
        <w:t xml:space="preserve">برامج لبناء قدرات لجميع الموظفين العاملين في مجال الهجرة، </w:t>
      </w:r>
      <w:r w:rsidRPr="009A035F">
        <w:rPr>
          <w:rFonts w:ascii="Dubai" w:hAnsi="Dubai" w:cs="Dubai" w:hint="cs"/>
          <w:sz w:val="24"/>
          <w:szCs w:val="24"/>
          <w:rtl/>
          <w:lang w:bidi="ar-EG"/>
        </w:rPr>
        <w:t>وعلى</w:t>
      </w:r>
      <w:r w:rsidRPr="009A035F">
        <w:rPr>
          <w:rFonts w:ascii="Dubai" w:hAnsi="Dubai" w:cs="Dubai"/>
          <w:sz w:val="24"/>
          <w:szCs w:val="24"/>
          <w:rtl/>
          <w:lang w:bidi="ar-EG"/>
        </w:rPr>
        <w:t xml:space="preserve"> وجه التجديد أفراد الشرطة وموظفو الحدود والموظفون الذين يتعاملون </w:t>
      </w:r>
      <w:r w:rsidRPr="009A035F">
        <w:rPr>
          <w:rFonts w:ascii="Dubai" w:hAnsi="Dubai" w:cs="Dubai" w:hint="cs"/>
          <w:sz w:val="24"/>
          <w:szCs w:val="24"/>
          <w:rtl/>
          <w:lang w:bidi="ar-EG"/>
        </w:rPr>
        <w:t>على</w:t>
      </w:r>
      <w:r w:rsidRPr="009A035F">
        <w:rPr>
          <w:rFonts w:ascii="Dubai" w:hAnsi="Dubai" w:cs="Dubai"/>
          <w:sz w:val="24"/>
          <w:szCs w:val="24"/>
          <w:rtl/>
          <w:lang w:bidi="ar-EG"/>
        </w:rPr>
        <w:t xml:space="preserve"> المستوي المحلي مع العمال المهاجري</w:t>
      </w:r>
      <w:r>
        <w:rPr>
          <w:rFonts w:ascii="Dubai" w:hAnsi="Dubai" w:cs="Dubai" w:hint="cs"/>
          <w:sz w:val="24"/>
          <w:szCs w:val="24"/>
          <w:rtl/>
          <w:lang w:bidi="ar-EG"/>
        </w:rPr>
        <w:t>ن؟</w:t>
      </w:r>
      <w:bookmarkStart w:id="0" w:name="_GoBack"/>
      <w:bookmarkEnd w:id="0"/>
    </w:p>
    <w:sectPr w:rsidR="00C41B4E" w:rsidRPr="00F503F6" w:rsidSect="006B714E">
      <w:headerReference w:type="default" r:id="rId8"/>
      <w:footerReference w:type="default" r:id="rId9"/>
      <w:headerReference w:type="first" r:id="rId10"/>
      <w:footerReference w:type="first" r:id="rId11"/>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43D7" w:rsidRDefault="004D43D7" w:rsidP="00CF1B4C">
      <w:pPr>
        <w:spacing w:after="0" w:line="240" w:lineRule="auto"/>
      </w:pPr>
      <w:r>
        <w:separator/>
      </w:r>
    </w:p>
  </w:endnote>
  <w:endnote w:type="continuationSeparator" w:id="0">
    <w:p w:rsidR="004D43D7" w:rsidRDefault="004D43D7" w:rsidP="00CF1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Dubai">
    <w:altName w:val="Segoe UI"/>
    <w:charset w:val="00"/>
    <w:family w:val="swiss"/>
    <w:pitch w:val="variable"/>
    <w:sig w:usb0="00000000"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7605283"/>
      <w:docPartObj>
        <w:docPartGallery w:val="Page Numbers (Bottom of Page)"/>
        <w:docPartUnique/>
      </w:docPartObj>
    </w:sdtPr>
    <w:sdtEndPr>
      <w:rPr>
        <w:noProof/>
      </w:rPr>
    </w:sdtEndPr>
    <w:sdtContent>
      <w:p w:rsidR="005E0A46" w:rsidRDefault="006B714E">
        <w:pPr>
          <w:pStyle w:val="Footer"/>
          <w:jc w:val="center"/>
        </w:pPr>
        <w:r w:rsidRPr="006B714E">
          <w:rPr>
            <w:b/>
            <w:bCs/>
            <w:noProof/>
          </w:rPr>
          <w:drawing>
            <wp:anchor distT="0" distB="0" distL="114300" distR="114300" simplePos="0" relativeHeight="251661312" behindDoc="1" locked="0" layoutInCell="1" allowOverlap="1" wp14:anchorId="34EFABE8" wp14:editId="69A2A418">
              <wp:simplePos x="0" y="0"/>
              <wp:positionH relativeFrom="page">
                <wp:posOffset>20320</wp:posOffset>
              </wp:positionH>
              <wp:positionV relativeFrom="paragraph">
                <wp:posOffset>231140</wp:posOffset>
              </wp:positionV>
              <wp:extent cx="7743825" cy="670560"/>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1" cstate="print">
                        <a:extLst>
                          <a:ext uri="{28A0092B-C50C-407E-A947-70E740481C1C}">
                            <a14:useLocalDpi xmlns:a14="http://schemas.microsoft.com/office/drawing/2010/main" val="0"/>
                          </a:ext>
                        </a:extLst>
                      </a:blip>
                      <a:srcRect l="3247" t="96152" r="-3247" b="-2793"/>
                      <a:stretch/>
                    </pic:blipFill>
                    <pic:spPr bwMode="auto">
                      <a:xfrm>
                        <a:off x="0" y="0"/>
                        <a:ext cx="7743825" cy="67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A46" w:rsidRPr="006B714E">
          <w:rPr>
            <w:b/>
            <w:bCs/>
          </w:rPr>
          <w:fldChar w:fldCharType="begin"/>
        </w:r>
        <w:r w:rsidR="005E0A46" w:rsidRPr="006B714E">
          <w:rPr>
            <w:b/>
            <w:bCs/>
          </w:rPr>
          <w:instrText xml:space="preserve"> PAGE   \* MERGEFORMAT </w:instrText>
        </w:r>
        <w:r w:rsidR="005E0A46" w:rsidRPr="006B714E">
          <w:rPr>
            <w:b/>
            <w:bCs/>
          </w:rPr>
          <w:fldChar w:fldCharType="separate"/>
        </w:r>
        <w:r w:rsidR="00F503F6">
          <w:rPr>
            <w:b/>
            <w:bCs/>
            <w:noProof/>
          </w:rPr>
          <w:t>7</w:t>
        </w:r>
        <w:r w:rsidR="005E0A46" w:rsidRPr="006B714E">
          <w:rPr>
            <w:b/>
            <w:bCs/>
            <w:noProof/>
          </w:rPr>
          <w:fldChar w:fldCharType="end"/>
        </w:r>
      </w:p>
    </w:sdtContent>
  </w:sdt>
  <w:p w:rsidR="00AC72CC" w:rsidRDefault="00AC72CC"/>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6"/>
      <w:gridCol w:w="601"/>
      <w:gridCol w:w="1353"/>
      <w:gridCol w:w="568"/>
      <w:gridCol w:w="1921"/>
      <w:gridCol w:w="436"/>
      <w:gridCol w:w="4529"/>
    </w:tblGrid>
    <w:tr w:rsidR="006B714E" w:rsidTr="0036671B">
      <w:trPr>
        <w:jc w:val="center"/>
      </w:trPr>
      <w:tc>
        <w:tcPr>
          <w:tcW w:w="646" w:type="pct"/>
          <w:vMerge w:val="restart"/>
          <w:vAlign w:val="center"/>
        </w:tcPr>
        <w:p w:rsidR="006B714E" w:rsidRDefault="006B714E" w:rsidP="006B714E">
          <w:pPr>
            <w:spacing w:after="60" w:line="240" w:lineRule="auto"/>
            <w:jc w:val="center"/>
            <w:rPr>
              <w:noProof/>
              <w:rtl/>
            </w:rPr>
          </w:pPr>
          <w:r>
            <w:rPr>
              <w:rFonts w:hint="cs"/>
              <w:noProof/>
            </w:rPr>
            <w:drawing>
              <wp:inline distT="0" distB="0" distL="0" distR="0" wp14:anchorId="1117817C" wp14:editId="4DCF30C3">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rsidR="006B714E" w:rsidRDefault="006B714E" w:rsidP="006B714E">
          <w:pPr>
            <w:spacing w:after="60" w:line="240" w:lineRule="auto"/>
            <w:rPr>
              <w:rFonts w:ascii="Times New Roman" w:hAnsi="Times New Roman" w:cs="Times New Roman"/>
              <w:b/>
              <w:bCs/>
              <w:color w:val="000066"/>
              <w:sz w:val="20"/>
              <w:szCs w:val="20"/>
            </w:rPr>
          </w:pPr>
        </w:p>
        <w:p w:rsidR="006B714E" w:rsidRPr="00EB74DC" w:rsidRDefault="006B714E" w:rsidP="006B714E">
          <w:pPr>
            <w:spacing w:after="60" w:line="240" w:lineRule="auto"/>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B714E" w:rsidTr="0036671B">
      <w:trPr>
        <w:jc w:val="center"/>
      </w:trPr>
      <w:tc>
        <w:tcPr>
          <w:tcW w:w="646" w:type="pct"/>
          <w:vMerge/>
        </w:tcPr>
        <w:p w:rsidR="006B714E" w:rsidRDefault="006B714E" w:rsidP="006B714E">
          <w:pPr>
            <w:spacing w:after="0"/>
            <w:jc w:val="center"/>
            <w:rPr>
              <w:b/>
              <w:bCs/>
              <w:noProof/>
              <w:lang w:bidi="ar-EG"/>
            </w:rPr>
          </w:pPr>
        </w:p>
      </w:tc>
      <w:tc>
        <w:tcPr>
          <w:tcW w:w="278" w:type="pct"/>
          <w:vMerge w:val="restart"/>
          <w:vAlign w:val="center"/>
        </w:tcPr>
        <w:p w:rsidR="006B714E" w:rsidRPr="000F15D5" w:rsidRDefault="006B714E" w:rsidP="006B714E">
          <w:pPr>
            <w:spacing w:after="0"/>
            <w:jc w:val="center"/>
            <w:rPr>
              <w:b/>
              <w:bCs/>
              <w:lang w:bidi="ar-EG"/>
            </w:rPr>
          </w:pPr>
          <w:r>
            <w:rPr>
              <w:b/>
              <w:bCs/>
              <w:noProof/>
            </w:rPr>
            <w:drawing>
              <wp:inline distT="0" distB="0" distL="0" distR="0" wp14:anchorId="208E83F4" wp14:editId="1668FCB0">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rsidR="006B714E" w:rsidRPr="000F15D5" w:rsidRDefault="006B714E" w:rsidP="006B714E">
          <w:pPr>
            <w:spacing w:after="0"/>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El-Zyrae Road, El Matbaa</w:t>
          </w:r>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Sq, Hadayek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B714E" w:rsidTr="0036671B">
      <w:trPr>
        <w:jc w:val="center"/>
      </w:trPr>
      <w:tc>
        <w:tcPr>
          <w:tcW w:w="646" w:type="pct"/>
          <w:vMerge/>
        </w:tcPr>
        <w:p w:rsidR="006B714E" w:rsidRDefault="006B714E" w:rsidP="006B714E">
          <w:pPr>
            <w:spacing w:after="0"/>
            <w:jc w:val="center"/>
            <w:rPr>
              <w:lang w:bidi="ar-EG"/>
            </w:rPr>
          </w:pPr>
        </w:p>
      </w:tc>
      <w:tc>
        <w:tcPr>
          <w:tcW w:w="278" w:type="pct"/>
          <w:vMerge/>
          <w:vAlign w:val="center"/>
        </w:tcPr>
        <w:p w:rsidR="006B714E" w:rsidRDefault="006B714E" w:rsidP="006B714E">
          <w:pPr>
            <w:spacing w:after="0"/>
            <w:jc w:val="center"/>
            <w:rPr>
              <w:lang w:bidi="ar-EG"/>
            </w:rPr>
          </w:pPr>
        </w:p>
      </w:tc>
      <w:tc>
        <w:tcPr>
          <w:tcW w:w="4076" w:type="pct"/>
          <w:gridSpan w:val="5"/>
          <w:vAlign w:val="center"/>
        </w:tcPr>
        <w:p w:rsidR="006B714E" w:rsidRPr="000F15D5" w:rsidRDefault="006B714E" w:rsidP="006B714E">
          <w:pPr>
            <w:spacing w:after="0"/>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380 Corniche El Nil St., Gawharet El Maadi Tower,38th Floor, Tower B, Cairo, Egypt</w:t>
          </w:r>
        </w:p>
      </w:tc>
    </w:tr>
    <w:tr w:rsidR="006B714E" w:rsidTr="0036671B">
      <w:trPr>
        <w:jc w:val="center"/>
      </w:trPr>
      <w:tc>
        <w:tcPr>
          <w:tcW w:w="646" w:type="pct"/>
          <w:vMerge/>
        </w:tcPr>
        <w:p w:rsidR="006B714E" w:rsidRDefault="006B714E" w:rsidP="006B714E">
          <w:pPr>
            <w:spacing w:after="0"/>
            <w:jc w:val="center"/>
            <w:rPr>
              <w:noProof/>
              <w:lang w:bidi="ar-EG"/>
            </w:rPr>
          </w:pPr>
        </w:p>
      </w:tc>
      <w:tc>
        <w:tcPr>
          <w:tcW w:w="278" w:type="pct"/>
          <w:vAlign w:val="center"/>
        </w:tcPr>
        <w:p w:rsidR="006B714E" w:rsidRDefault="006B714E" w:rsidP="006B714E">
          <w:pPr>
            <w:spacing w:after="0"/>
            <w:jc w:val="center"/>
            <w:rPr>
              <w:lang w:bidi="ar-EG"/>
            </w:rPr>
          </w:pPr>
          <w:r>
            <w:rPr>
              <w:noProof/>
            </w:rPr>
            <w:drawing>
              <wp:inline distT="0" distB="0" distL="0" distR="0" wp14:anchorId="54B2A5A2" wp14:editId="64890C72">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rsidR="006B714E" w:rsidRPr="000F15D5" w:rsidRDefault="006B714E" w:rsidP="006B714E">
          <w:pPr>
            <w:spacing w:after="0"/>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rsidR="006B714E" w:rsidRPr="000F15D5" w:rsidRDefault="006B714E" w:rsidP="006B714E">
          <w:pPr>
            <w:spacing w:after="0"/>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rsidR="006B714E" w:rsidRPr="00A20672" w:rsidRDefault="006B714E" w:rsidP="006B714E">
          <w:pPr>
            <w:spacing w:after="0"/>
            <w:rPr>
              <w:b/>
              <w:bCs/>
              <w:sz w:val="18"/>
              <w:szCs w:val="18"/>
              <w:lang w:bidi="ar-EG"/>
            </w:rPr>
          </w:pPr>
          <w:r>
            <w:rPr>
              <w:b/>
              <w:bCs/>
              <w:noProof/>
              <w:sz w:val="18"/>
              <w:szCs w:val="18"/>
            </w:rPr>
            <w:drawing>
              <wp:inline distT="0" distB="0" distL="0" distR="0" wp14:anchorId="78AF4E06" wp14:editId="7851297F">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rsidR="006B714E" w:rsidRPr="000F15D5" w:rsidRDefault="006B714E" w:rsidP="006B714E">
          <w:pPr>
            <w:spacing w:after="0"/>
            <w:rPr>
              <w:sz w:val="18"/>
              <w:szCs w:val="18"/>
              <w:lang w:bidi="ar-EG"/>
            </w:rPr>
          </w:pPr>
          <w:r w:rsidRPr="0086433E">
            <w:rPr>
              <w:rStyle w:val="apple-style-span"/>
              <w:color w:val="000000"/>
              <w:sz w:val="20"/>
              <w:szCs w:val="20"/>
            </w:rPr>
            <w:t>maat@maatpeace.org</w:t>
          </w:r>
        </w:p>
      </w:tc>
    </w:tr>
    <w:tr w:rsidR="006B714E" w:rsidTr="0036671B">
      <w:trPr>
        <w:jc w:val="center"/>
      </w:trPr>
      <w:tc>
        <w:tcPr>
          <w:tcW w:w="646" w:type="pct"/>
          <w:vMerge/>
        </w:tcPr>
        <w:p w:rsidR="006B714E" w:rsidRDefault="006B714E" w:rsidP="006B714E">
          <w:pPr>
            <w:spacing w:after="0"/>
            <w:jc w:val="center"/>
            <w:rPr>
              <w:noProof/>
              <w:lang w:bidi="ar-EG"/>
            </w:rPr>
          </w:pPr>
        </w:p>
      </w:tc>
      <w:tc>
        <w:tcPr>
          <w:tcW w:w="278" w:type="pct"/>
          <w:vAlign w:val="center"/>
        </w:tcPr>
        <w:p w:rsidR="006B714E" w:rsidRDefault="006B714E" w:rsidP="006B714E">
          <w:pPr>
            <w:spacing w:after="0"/>
            <w:jc w:val="center"/>
            <w:rPr>
              <w:noProof/>
              <w:lang w:bidi="ar-EG"/>
            </w:rPr>
          </w:pPr>
          <w:r>
            <w:rPr>
              <w:noProof/>
            </w:rPr>
            <w:drawing>
              <wp:inline distT="0" distB="0" distL="0" distR="0" wp14:anchorId="5CB1EDF0" wp14:editId="3101F352">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rsidR="006B714E" w:rsidRPr="00DE0507" w:rsidRDefault="006B714E" w:rsidP="006B714E">
          <w:pPr>
            <w:spacing w:after="0"/>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rsidR="006B714E" w:rsidRPr="00DE0507" w:rsidRDefault="006B714E" w:rsidP="006B714E">
          <w:pPr>
            <w:spacing w:after="0"/>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rsidR="006B714E" w:rsidRDefault="006B714E" w:rsidP="006B714E">
          <w:pPr>
            <w:spacing w:after="0"/>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32E0502E" wp14:editId="6270C1CF">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rsidR="006B714E" w:rsidRPr="0086433E" w:rsidRDefault="006B714E" w:rsidP="006B714E">
          <w:pPr>
            <w:spacing w:after="0"/>
            <w:rPr>
              <w:rStyle w:val="apple-style-span"/>
              <w:color w:val="000000"/>
              <w:sz w:val="20"/>
              <w:szCs w:val="20"/>
            </w:rPr>
          </w:pPr>
          <w:r w:rsidRPr="0086433E">
            <w:rPr>
              <w:rStyle w:val="apple-style-span"/>
              <w:b/>
              <w:bCs/>
              <w:color w:val="000000" w:themeColor="text1"/>
              <w:sz w:val="18"/>
              <w:szCs w:val="18"/>
            </w:rPr>
            <w:t>+201226521170</w:t>
          </w:r>
        </w:p>
      </w:tc>
    </w:tr>
  </w:tbl>
  <w:p w:rsidR="006B714E" w:rsidRPr="00DE0507" w:rsidRDefault="006B714E" w:rsidP="006B714E">
    <w:pPr>
      <w:pStyle w:val="Footer"/>
      <w:rPr>
        <w:sz w:val="2"/>
        <w:szCs w:val="2"/>
      </w:rPr>
    </w:pPr>
    <w:r>
      <w:rPr>
        <w:noProof/>
      </w:rPr>
      <w:drawing>
        <wp:anchor distT="0" distB="0" distL="114300" distR="114300" simplePos="0" relativeHeight="251659264" behindDoc="0" locked="0" layoutInCell="1" allowOverlap="1" wp14:anchorId="1AC81EE2" wp14:editId="0A55812C">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43D7" w:rsidRDefault="004D43D7" w:rsidP="00CF1B4C">
      <w:pPr>
        <w:spacing w:after="0" w:line="240" w:lineRule="auto"/>
      </w:pPr>
      <w:r>
        <w:separator/>
      </w:r>
    </w:p>
  </w:footnote>
  <w:footnote w:type="continuationSeparator" w:id="0">
    <w:p w:rsidR="004D43D7" w:rsidRDefault="004D43D7" w:rsidP="00CF1B4C">
      <w:pPr>
        <w:spacing w:after="0" w:line="240" w:lineRule="auto"/>
      </w:pPr>
      <w:r>
        <w:continuationSeparator/>
      </w:r>
    </w:p>
  </w:footnote>
  <w:footnote w:id="1">
    <w:p w:rsidR="00F503F6" w:rsidRDefault="00F503F6" w:rsidP="00D20D4F">
      <w:pPr>
        <w:pStyle w:val="FootnoteText"/>
        <w:bidi/>
        <w:rPr>
          <w:rtl/>
          <w:lang w:bidi="ar-EG"/>
        </w:rPr>
      </w:pPr>
      <w:r>
        <w:rPr>
          <w:rStyle w:val="FootnoteReference"/>
        </w:rPr>
        <w:footnoteRef/>
      </w:r>
      <w:r>
        <w:t xml:space="preserve"> </w:t>
      </w:r>
      <w:r>
        <w:rPr>
          <w:rFonts w:hint="cs"/>
          <w:rtl/>
          <w:lang w:bidi="ar-EG"/>
        </w:rPr>
        <w:t xml:space="preserve"> أعداد المهاجرين في مصر، المنظمة الدولية للهجرة، ص 2ـ علي الرابط التالي: </w:t>
      </w:r>
      <w:hyperlink r:id="rId1" w:history="1">
        <w:r w:rsidRPr="00DC5A45">
          <w:rPr>
            <w:rStyle w:val="Hyperlink"/>
            <w:lang w:bidi="ar-EG"/>
          </w:rPr>
          <w:t>https://egypt.iom.int/sites/g/files/tmzbdl1021/files/documents/migration-stock-in-egypt-june-2022_v4_arb.pdf</w:t>
        </w:r>
      </w:hyperlink>
      <w:r>
        <w:rPr>
          <w:rFonts w:hint="cs"/>
          <w:rtl/>
          <w:lang w:bidi="ar-EG"/>
        </w:rPr>
        <w:t xml:space="preserve"> </w:t>
      </w:r>
    </w:p>
  </w:footnote>
  <w:footnote w:id="2">
    <w:p w:rsidR="00F503F6" w:rsidRPr="00F92C2B" w:rsidRDefault="00F503F6" w:rsidP="00F92C2B">
      <w:pPr>
        <w:pStyle w:val="FootnoteText"/>
        <w:bidi/>
        <w:rPr>
          <w:rtl/>
          <w:lang w:bidi="ar-EG"/>
        </w:rPr>
      </w:pPr>
      <w:r>
        <w:rPr>
          <w:rStyle w:val="FootnoteReference"/>
        </w:rPr>
        <w:footnoteRef/>
      </w:r>
      <w:r>
        <w:t xml:space="preserve"> </w:t>
      </w:r>
      <w:r>
        <w:rPr>
          <w:rFonts w:hint="cs"/>
          <w:rtl/>
          <w:lang w:bidi="ar-EG"/>
        </w:rPr>
        <w:t xml:space="preserve"> ملحوظة لا تغطي اتفاقية حقوق العمال المهاجرين الأشخاص اللاجئين وعديمي الجنسية، ويقدر عدد اللاجئين المسجلين في المفوضية السامية لشؤون اللاجئين بنحو 600 ألف لاجئ</w:t>
      </w:r>
    </w:p>
  </w:footnote>
  <w:footnote w:id="3">
    <w:p w:rsidR="00F503F6" w:rsidRPr="00242CEF" w:rsidRDefault="00F503F6" w:rsidP="00FB77AC">
      <w:pPr>
        <w:pStyle w:val="FootnoteText"/>
        <w:rPr>
          <w:rtl/>
          <w:lang w:bidi="ar-EG"/>
        </w:rPr>
      </w:pPr>
      <w:r>
        <w:rPr>
          <w:rStyle w:val="FootnoteReference"/>
        </w:rPr>
        <w:footnoteRef/>
      </w:r>
      <w:r>
        <w:t xml:space="preserve"> </w:t>
      </w:r>
      <w:r w:rsidRPr="008130FB">
        <w:t>"100 Million SIHA”; WHO, UNHCR and IOM Organize Screening for Hepatitis C to Increase Refugees' Awareness</w:t>
      </w:r>
      <w:r>
        <w:t xml:space="preserve">, </w:t>
      </w:r>
      <w:hyperlink r:id="rId2" w:history="1">
        <w:r w:rsidRPr="00DC5A45">
          <w:rPr>
            <w:rStyle w:val="Hyperlink"/>
          </w:rPr>
          <w:t>https://egypt.iom.int/news/100-million-siha-who-unhcr-and-iom-organize-screening-hepatitis-c-increase-refugees-awareness</w:t>
        </w:r>
      </w:hyperlink>
      <w:r>
        <w:t xml:space="preserve"> </w:t>
      </w:r>
    </w:p>
  </w:footnote>
  <w:footnote w:id="4">
    <w:p w:rsidR="00F503F6" w:rsidRPr="00FB77AC" w:rsidRDefault="00F503F6">
      <w:pPr>
        <w:pStyle w:val="FootnoteText"/>
        <w:rPr>
          <w:rtl/>
          <w:lang w:bidi="ar-EG"/>
        </w:rPr>
      </w:pPr>
      <w:r>
        <w:rPr>
          <w:rStyle w:val="FootnoteReference"/>
        </w:rPr>
        <w:footnoteRef/>
      </w:r>
      <w:r>
        <w:t xml:space="preserve"> </w:t>
      </w:r>
      <w:r w:rsidRPr="00314362">
        <w:t>Fragile Protection and Missing Justice: Human Rights Challenges in Arab Countries 2023</w:t>
      </w:r>
      <w:r>
        <w:t xml:space="preserve">, EGYPT, </w:t>
      </w:r>
      <w:hyperlink r:id="rId3" w:history="1">
        <w:r w:rsidRPr="00DC5A45">
          <w:rPr>
            <w:rStyle w:val="Hyperlink"/>
          </w:rPr>
          <w:t>https://maatpeace.org/wp-content/uploads/2024/03/Fragile-protection-and-missing-justice.pdf</w:t>
        </w:r>
      </w:hyperlink>
      <w:r>
        <w:t xml:space="preserve"> </w:t>
      </w:r>
    </w:p>
  </w:footnote>
  <w:footnote w:id="5">
    <w:p w:rsidR="00F503F6" w:rsidRPr="00922D6F" w:rsidRDefault="00F503F6" w:rsidP="00020B04">
      <w:pPr>
        <w:pStyle w:val="FootnoteText"/>
        <w:rPr>
          <w:lang w:bidi="ar-EG"/>
        </w:rPr>
      </w:pPr>
      <w:r>
        <w:rPr>
          <w:rStyle w:val="FootnoteReference"/>
        </w:rPr>
        <w:footnoteRef/>
      </w:r>
      <w:r>
        <w:t xml:space="preserve"> </w:t>
      </w:r>
      <w:r w:rsidRPr="00922D6F">
        <w:t>What is Egypt's National dialogue?</w:t>
      </w:r>
      <w:r>
        <w:rPr>
          <w:lang w:bidi="ar-EG"/>
        </w:rPr>
        <w:t xml:space="preserve"> </w:t>
      </w:r>
      <w:hyperlink r:id="rId4" w:history="1">
        <w:r w:rsidRPr="00FC26D6">
          <w:rPr>
            <w:rStyle w:val="Hyperlink"/>
            <w:lang w:bidi="ar-EG"/>
          </w:rPr>
          <w:t>https://hrightsstudies.sis.gov.eg/national-dialogue/what-is-egypts-national-dialogue/</w:t>
        </w:r>
      </w:hyperlink>
      <w:r>
        <w:rPr>
          <w:lang w:bidi="ar-EG"/>
        </w:rPr>
        <w:t xml:space="preserve"> </w:t>
      </w:r>
    </w:p>
  </w:footnote>
  <w:footnote w:id="6">
    <w:p w:rsidR="00F503F6" w:rsidRDefault="00F503F6" w:rsidP="006A1363">
      <w:pPr>
        <w:pStyle w:val="FootnoteText"/>
        <w:bidi/>
        <w:rPr>
          <w:rtl/>
          <w:lang w:bidi="ar-EG"/>
        </w:rPr>
      </w:pPr>
      <w:r>
        <w:rPr>
          <w:rStyle w:val="FootnoteReference"/>
        </w:rPr>
        <w:footnoteRef/>
      </w:r>
      <w:r>
        <w:t xml:space="preserve"> </w:t>
      </w:r>
      <w:r>
        <w:rPr>
          <w:rFonts w:hint="cs"/>
          <w:rtl/>
          <w:lang w:bidi="ar-EG"/>
        </w:rPr>
        <w:t xml:space="preserve"> </w:t>
      </w:r>
      <w:r w:rsidRPr="0002773D">
        <w:rPr>
          <w:rFonts w:cs="Arial"/>
          <w:rtl/>
          <w:lang w:bidi="ar-EG"/>
        </w:rPr>
        <w:t>مصر: قتل واعتداء جنسي على رضيعة سودانية "جريمة عابرة للجنسيات"</w:t>
      </w:r>
      <w:r>
        <w:rPr>
          <w:rFonts w:cs="Arial" w:hint="cs"/>
          <w:rtl/>
          <w:lang w:bidi="ar-EG"/>
        </w:rPr>
        <w:t xml:space="preserve">، بي بي سي عربي، </w:t>
      </w:r>
      <w:hyperlink r:id="rId5" w:history="1">
        <w:r w:rsidRPr="00DC5A45">
          <w:rPr>
            <w:rStyle w:val="Hyperlink"/>
            <w:rFonts w:cs="Arial"/>
            <w:lang w:bidi="ar-EG"/>
          </w:rPr>
          <w:t>https://www.bbc.com/arabic/articles/c87zyv28n65o</w:t>
        </w:r>
      </w:hyperlink>
      <w:r>
        <w:rPr>
          <w:rFonts w:cs="Arial" w:hint="cs"/>
          <w:rtl/>
          <w:lang w:bidi="ar-EG"/>
        </w:rPr>
        <w:t xml:space="preserve"> </w:t>
      </w:r>
    </w:p>
  </w:footnote>
  <w:footnote w:id="7">
    <w:p w:rsidR="00F503F6" w:rsidRPr="00DA2F9B" w:rsidRDefault="00F503F6">
      <w:pPr>
        <w:pStyle w:val="FootnoteText"/>
        <w:rPr>
          <w:rtl/>
          <w:lang w:bidi="ar-EG"/>
        </w:rPr>
      </w:pPr>
      <w:r>
        <w:rPr>
          <w:rStyle w:val="FootnoteReference"/>
        </w:rPr>
        <w:footnoteRef/>
      </w:r>
      <w:r>
        <w:t xml:space="preserve"> </w:t>
      </w:r>
      <w:r w:rsidRPr="00DA2F9B">
        <w:t>CONSIDERATION OF REPORTS SUBMITTED BY STATES PARTIESUNDER ARTICLE 74 OF THE CONVENTION</w:t>
      </w:r>
      <w:r>
        <w:t xml:space="preserve">, </w:t>
      </w:r>
      <w:hyperlink r:id="rId6" w:history="1">
        <w:r w:rsidRPr="00DC5A45">
          <w:rPr>
            <w:rStyle w:val="Hyperlink"/>
          </w:rPr>
          <w:t>https://tinyurl.com/3v285xv2</w:t>
        </w:r>
      </w:hyperlink>
    </w:p>
  </w:footnote>
  <w:footnote w:id="8">
    <w:p w:rsidR="00F503F6" w:rsidRPr="00BA12C3" w:rsidRDefault="00F503F6" w:rsidP="00BA12C3">
      <w:pPr>
        <w:pStyle w:val="FootnoteText"/>
        <w:bidi/>
        <w:rPr>
          <w:rtl/>
          <w:lang w:bidi="ar-EG"/>
        </w:rPr>
      </w:pPr>
      <w:r>
        <w:rPr>
          <w:rStyle w:val="FootnoteReference"/>
        </w:rPr>
        <w:footnoteRef/>
      </w:r>
      <w:r>
        <w:t xml:space="preserve"> </w:t>
      </w:r>
      <w:r w:rsidRPr="00BA12C3">
        <w:rPr>
          <w:rFonts w:cs="Arial"/>
          <w:rtl/>
        </w:rPr>
        <w:t>قانون دخول وإقامة الأجانب رقم 89 لسنة 1960</w:t>
      </w:r>
      <w:r>
        <w:rPr>
          <w:rFonts w:cs="Arial" w:hint="cs"/>
          <w:rtl/>
        </w:rPr>
        <w:t>، منشورات قانونية، علي الرابط التالي:</w:t>
      </w:r>
      <w:r w:rsidRPr="00BA12C3">
        <w:t xml:space="preserve"> </w:t>
      </w:r>
      <w:hyperlink r:id="rId7" w:history="1">
        <w:r w:rsidRPr="00DC5A45">
          <w:rPr>
            <w:rStyle w:val="Hyperlink"/>
            <w:rFonts w:cs="Arial"/>
          </w:rPr>
          <w:t>https://manshurat.org/node/7355</w:t>
        </w:r>
      </w:hyperlink>
      <w:r>
        <w:rPr>
          <w:rFonts w:cs="Arial" w:hint="cs"/>
          <w:rtl/>
        </w:rPr>
        <w:t xml:space="preserve"> </w:t>
      </w:r>
    </w:p>
  </w:footnote>
  <w:footnote w:id="9">
    <w:p w:rsidR="00F503F6" w:rsidRPr="00F6597E" w:rsidRDefault="00F503F6" w:rsidP="00F6597E">
      <w:pPr>
        <w:pStyle w:val="FootnoteText"/>
        <w:bidi/>
        <w:rPr>
          <w:rtl/>
          <w:lang w:bidi="ar-EG"/>
        </w:rPr>
      </w:pPr>
      <w:r>
        <w:rPr>
          <w:rStyle w:val="FootnoteReference"/>
        </w:rPr>
        <w:footnoteRef/>
      </w:r>
      <w:r>
        <w:t xml:space="preserve"> </w:t>
      </w:r>
      <w:r>
        <w:rPr>
          <w:rFonts w:hint="cs"/>
          <w:rtl/>
          <w:lang w:bidi="ar-EG"/>
        </w:rPr>
        <w:t xml:space="preserve"> </w:t>
      </w:r>
      <w:r w:rsidRPr="00F6597E">
        <w:rPr>
          <w:rFonts w:cs="Arial"/>
          <w:rtl/>
          <w:lang w:bidi="ar-EG"/>
        </w:rPr>
        <w:t>قانون الخدمة المدنية رقم 81 لسنة 2016</w:t>
      </w:r>
      <w:r>
        <w:rPr>
          <w:rFonts w:cs="Arial" w:hint="cs"/>
          <w:rtl/>
          <w:lang w:bidi="ar-EG"/>
        </w:rPr>
        <w:t xml:space="preserve">، منشورات قانونية، علي الرابط التالي: </w:t>
      </w:r>
      <w:hyperlink r:id="rId8" w:history="1">
        <w:r w:rsidRPr="00DC5A45">
          <w:rPr>
            <w:rStyle w:val="Hyperlink"/>
            <w:rFonts w:cs="Arial"/>
            <w:lang w:bidi="ar-EG"/>
          </w:rPr>
          <w:t>https://manshurat.org/node/13128</w:t>
        </w:r>
      </w:hyperlink>
      <w:r>
        <w:rPr>
          <w:rFonts w:cs="Arial" w:hint="cs"/>
          <w:rtl/>
          <w:lang w:bidi="ar-EG"/>
        </w:rPr>
        <w:t xml:space="preserve"> </w:t>
      </w:r>
    </w:p>
  </w:footnote>
  <w:footnote w:id="10">
    <w:p w:rsidR="00F503F6" w:rsidRPr="00352409" w:rsidRDefault="00F503F6" w:rsidP="00A831FC">
      <w:pPr>
        <w:pStyle w:val="FootnoteText"/>
        <w:bidi/>
        <w:rPr>
          <w:rtl/>
          <w:lang w:bidi="ar-EG"/>
        </w:rPr>
      </w:pPr>
      <w:r>
        <w:rPr>
          <w:rStyle w:val="FootnoteReference"/>
        </w:rPr>
        <w:footnoteRef/>
      </w:r>
      <w:r>
        <w:t xml:space="preserve"> </w:t>
      </w:r>
      <w:r>
        <w:rPr>
          <w:rFonts w:hint="cs"/>
          <w:rtl/>
          <w:lang w:bidi="ar-EG"/>
        </w:rPr>
        <w:t xml:space="preserve"> مصدر سبق ذكره، ص4، علي الرابط التالي: </w:t>
      </w:r>
      <w:hyperlink r:id="rId9" w:history="1">
        <w:r w:rsidRPr="00DC5A45">
          <w:rPr>
            <w:rStyle w:val="Hyperlink"/>
            <w:lang w:bidi="ar-EG"/>
          </w:rPr>
          <w:t>https://egypt.iom.int/sites/g/files/tmzbdl1021/files/documents/migration-stock-in-egypt-june-2022_v4_arb.pdf</w:t>
        </w:r>
      </w:hyperlink>
      <w:r>
        <w:rPr>
          <w:rFonts w:hint="cs"/>
          <w:rtl/>
          <w:lang w:bidi="ar-EG"/>
        </w:rPr>
        <w:t xml:space="preserve"> </w:t>
      </w:r>
    </w:p>
  </w:footnote>
  <w:footnote w:id="11">
    <w:p w:rsidR="00F503F6" w:rsidRPr="00207CE7" w:rsidRDefault="00F503F6" w:rsidP="00207CE7">
      <w:pPr>
        <w:pStyle w:val="FootnoteText"/>
        <w:bidi/>
        <w:rPr>
          <w:rtl/>
          <w:lang w:bidi="ar-EG"/>
        </w:rPr>
      </w:pPr>
      <w:r>
        <w:rPr>
          <w:rStyle w:val="FootnoteReference"/>
        </w:rPr>
        <w:footnoteRef/>
      </w:r>
      <w:r>
        <w:t xml:space="preserve"> </w:t>
      </w:r>
      <w:r>
        <w:rPr>
          <w:rFonts w:hint="cs"/>
          <w:rtl/>
          <w:lang w:bidi="ar-EG"/>
        </w:rPr>
        <w:t xml:space="preserve"> </w:t>
      </w:r>
      <w:r w:rsidRPr="00207CE7">
        <w:rPr>
          <w:rFonts w:cs="Arial"/>
          <w:rtl/>
          <w:lang w:bidi="ar-EG"/>
        </w:rPr>
        <w:t>الاقتصاد غير الرسمى.. تداعيات ومقتضيات</w:t>
      </w:r>
      <w:r>
        <w:rPr>
          <w:rFonts w:cs="Arial" w:hint="cs"/>
          <w:rtl/>
          <w:lang w:bidi="ar-EG"/>
        </w:rPr>
        <w:t>، السياسة الدولية، علي الرابط التالي:</w:t>
      </w:r>
      <w:r w:rsidRPr="00207CE7">
        <w:t xml:space="preserve"> </w:t>
      </w:r>
      <w:hyperlink r:id="rId10" w:history="1">
        <w:r w:rsidRPr="00DC5A45">
          <w:rPr>
            <w:rStyle w:val="Hyperlink"/>
            <w:rFonts w:cs="Arial"/>
            <w:lang w:bidi="ar-EG"/>
          </w:rPr>
          <w:t>https://www.siyassa.org.eg/News/19646.aspx</w:t>
        </w:r>
      </w:hyperlink>
      <w:r>
        <w:rPr>
          <w:rFonts w:cs="Arial" w:hint="cs"/>
          <w:rtl/>
          <w:lang w:bidi="ar-EG"/>
        </w:rPr>
        <w:t xml:space="preserve"> </w:t>
      </w:r>
    </w:p>
  </w:footnote>
  <w:footnote w:id="12">
    <w:p w:rsidR="00F503F6" w:rsidRPr="00DF2BA7" w:rsidRDefault="00F503F6">
      <w:pPr>
        <w:pStyle w:val="FootnoteText"/>
        <w:rPr>
          <w:rtl/>
          <w:lang w:bidi="ar-EG"/>
        </w:rPr>
      </w:pPr>
      <w:r>
        <w:rPr>
          <w:rStyle w:val="FootnoteReference"/>
        </w:rPr>
        <w:footnoteRef/>
      </w:r>
      <w:r>
        <w:t xml:space="preserve"> </w:t>
      </w:r>
      <w:r w:rsidRPr="00B8230F">
        <w:t>Joint Platform for Migrants and Refugees in Egypt</w:t>
      </w:r>
      <w:r>
        <w:t xml:space="preserve">, page 9, </w:t>
      </w:r>
      <w:hyperlink r:id="rId11" w:history="1">
        <w:r w:rsidRPr="00DC5A45">
          <w:rPr>
            <w:rStyle w:val="Hyperlink"/>
          </w:rPr>
          <w:t>https://tinyurl.com/2p9r3ecz</w:t>
        </w:r>
      </w:hyperlink>
      <w:r>
        <w:t xml:space="preserve"> </w:t>
      </w:r>
    </w:p>
  </w:footnote>
  <w:footnote w:id="13">
    <w:p w:rsidR="00F503F6" w:rsidRDefault="00F503F6" w:rsidP="009E7371">
      <w:pPr>
        <w:pStyle w:val="FootnoteText"/>
        <w:bidi/>
        <w:rPr>
          <w:rtl/>
          <w:lang w:bidi="ar-EG"/>
        </w:rPr>
      </w:pPr>
      <w:r>
        <w:rPr>
          <w:rStyle w:val="FootnoteReference"/>
        </w:rPr>
        <w:footnoteRef/>
      </w:r>
      <w:r>
        <w:t xml:space="preserve"> </w:t>
      </w:r>
      <w:r>
        <w:rPr>
          <w:rFonts w:hint="cs"/>
          <w:rtl/>
          <w:lang w:bidi="ar-EG"/>
        </w:rPr>
        <w:t xml:space="preserve"> قانون ممارسة العمل الأهلي رقم 149 لسنة 2019، المادة السادسة، علي الرابط التالي: </w:t>
      </w:r>
      <w:hyperlink r:id="rId12" w:history="1">
        <w:r w:rsidRPr="00DC5A45">
          <w:rPr>
            <w:rStyle w:val="Hyperlink"/>
            <w:lang w:bidi="ar-EG"/>
          </w:rPr>
          <w:t>https://manshurat.org/node/61248</w:t>
        </w:r>
      </w:hyperlink>
      <w:r>
        <w:rPr>
          <w:rFonts w:hint="cs"/>
          <w:rtl/>
          <w:lang w:bidi="ar-EG"/>
        </w:rPr>
        <w:t xml:space="preserve"> </w:t>
      </w:r>
    </w:p>
  </w:footnote>
  <w:footnote w:id="14">
    <w:p w:rsidR="00F503F6" w:rsidRPr="005C690D" w:rsidRDefault="00F503F6" w:rsidP="009E7371">
      <w:pPr>
        <w:pStyle w:val="FootnoteText"/>
        <w:bidi/>
        <w:rPr>
          <w:lang w:bidi="ar-EG"/>
        </w:rPr>
      </w:pPr>
      <w:r>
        <w:rPr>
          <w:rStyle w:val="FootnoteReference"/>
        </w:rPr>
        <w:footnoteRef/>
      </w:r>
      <w:r>
        <w:t xml:space="preserve">  </w:t>
      </w:r>
      <w:r w:rsidRPr="00693C27">
        <w:rPr>
          <w:rFonts w:cs="Arial"/>
          <w:rtl/>
        </w:rPr>
        <w:t>العمل الأهلي في مصر</w:t>
      </w:r>
      <w:r>
        <w:rPr>
          <w:rFonts w:cs="Arial" w:hint="cs"/>
          <w:rtl/>
          <w:lang w:bidi="ar-EG"/>
        </w:rPr>
        <w:t xml:space="preserve">، مجموعة الاستشارات الدولية للإستشارات، علي الرابط التالي: </w:t>
      </w:r>
      <w:hyperlink r:id="rId13" w:history="1">
        <w:r w:rsidRPr="00DC5A45">
          <w:rPr>
            <w:rStyle w:val="Hyperlink"/>
            <w:rFonts w:cs="Arial"/>
            <w:lang w:bidi="ar-EG"/>
          </w:rPr>
          <w:t>https://tinyurl.com/5x23mtst</w:t>
        </w:r>
      </w:hyperlink>
      <w:r>
        <w:rPr>
          <w:rFonts w:cs="Arial"/>
          <w:lang w:bidi="ar-EG"/>
        </w:rPr>
        <w:t xml:space="preserve"> </w:t>
      </w:r>
    </w:p>
  </w:footnote>
  <w:footnote w:id="15">
    <w:p w:rsidR="00F503F6" w:rsidRDefault="00F503F6" w:rsidP="009E7371">
      <w:pPr>
        <w:pStyle w:val="FootnoteText"/>
        <w:rPr>
          <w:rtl/>
          <w:lang w:bidi="ar-EG"/>
        </w:rPr>
      </w:pPr>
      <w:r>
        <w:rPr>
          <w:rStyle w:val="FootnoteReference"/>
        </w:rPr>
        <w:footnoteRef/>
      </w:r>
      <w:r>
        <w:t xml:space="preserve"> </w:t>
      </w:r>
      <w:r w:rsidRPr="00781684">
        <w:t>REFUGEES AND THE EGYPTIAN LABOUR MARKET</w:t>
      </w:r>
      <w:r>
        <w:rPr>
          <w:rFonts w:hint="cs"/>
          <w:rtl/>
          <w:lang w:bidi="ar-EG"/>
        </w:rPr>
        <w:t xml:space="preserve"> </w:t>
      </w:r>
      <w:r>
        <w:rPr>
          <w:lang w:bidi="ar-EG"/>
        </w:rPr>
        <w:t xml:space="preserve">, PAGE 13, </w:t>
      </w:r>
      <w:hyperlink r:id="rId14" w:history="1">
        <w:r w:rsidRPr="00DC5A45">
          <w:rPr>
            <w:rStyle w:val="Hyperlink"/>
            <w:lang w:bidi="ar-EG"/>
          </w:rPr>
          <w:t>https://webapps.ilo.org/wcmsp5/groups/public/---dgreports/---ddg_p/documents/publication/wcms_824113.pdf</w:t>
        </w:r>
      </w:hyperlink>
      <w:r>
        <w:rPr>
          <w:lang w:bidi="ar-EG"/>
        </w:rPr>
        <w:t xml:space="preserve"> </w:t>
      </w:r>
    </w:p>
  </w:footnote>
  <w:footnote w:id="16">
    <w:p w:rsidR="00F503F6" w:rsidRDefault="00F503F6" w:rsidP="00426AAE">
      <w:pPr>
        <w:pStyle w:val="FootnoteText"/>
        <w:bidi/>
        <w:rPr>
          <w:rtl/>
          <w:lang w:bidi="ar-EG"/>
        </w:rPr>
      </w:pPr>
      <w:r>
        <w:rPr>
          <w:rStyle w:val="FootnoteReference"/>
        </w:rPr>
        <w:footnoteRef/>
      </w:r>
      <w:r>
        <w:t xml:space="preserve"> </w:t>
      </w:r>
      <w:r>
        <w:rPr>
          <w:rFonts w:hint="cs"/>
          <w:rtl/>
          <w:lang w:bidi="ar-EG"/>
        </w:rPr>
        <w:t xml:space="preserve"> توسيع نطاق الحماية الاجتماعية للعمال المهاجرين في المنطقة العربية، منظمة العمل الدولية، علي الرابط التالي: </w:t>
      </w:r>
      <w:hyperlink r:id="rId15" w:history="1">
        <w:r w:rsidRPr="00DC5A45">
          <w:rPr>
            <w:rStyle w:val="Hyperlink"/>
            <w:lang w:bidi="ar-EG"/>
          </w:rPr>
          <w:t>https://webapps.ilo.org/wcmsp5/groups/public/---arabstates/---ro-beirut/documents/publication/wcms_884552.pdf</w:t>
        </w:r>
      </w:hyperlink>
      <w:r>
        <w:rPr>
          <w:rFonts w:hint="cs"/>
          <w:rtl/>
          <w:lang w:bidi="ar-EG"/>
        </w:rPr>
        <w:t xml:space="preserve"> </w:t>
      </w:r>
    </w:p>
  </w:footnote>
  <w:footnote w:id="17">
    <w:p w:rsidR="00F503F6" w:rsidRDefault="00F503F6" w:rsidP="005B170F">
      <w:pPr>
        <w:pStyle w:val="FootnoteText"/>
        <w:bidi/>
        <w:rPr>
          <w:rtl/>
          <w:lang w:bidi="ar-EG"/>
        </w:rPr>
      </w:pPr>
      <w:r>
        <w:rPr>
          <w:rStyle w:val="FootnoteReference"/>
        </w:rPr>
        <w:footnoteRef/>
      </w:r>
      <w:r>
        <w:t xml:space="preserve"> </w:t>
      </w:r>
      <w:r>
        <w:rPr>
          <w:rFonts w:hint="cs"/>
          <w:rtl/>
        </w:rPr>
        <w:t xml:space="preserve"> </w:t>
      </w:r>
      <w:r w:rsidRPr="00474F02">
        <w:rPr>
          <w:rFonts w:cs="Arial"/>
          <w:rtl/>
        </w:rPr>
        <w:t>إصدار قانون البنك المركزى والجهاز المصرفى</w:t>
      </w:r>
      <w:r>
        <w:rPr>
          <w:rFonts w:cs="Arial" w:hint="cs"/>
          <w:rtl/>
        </w:rPr>
        <w:t>، منشورات قانونية، علي الرابط التالي:</w:t>
      </w:r>
      <w:r w:rsidRPr="004D4066">
        <w:t xml:space="preserve"> </w:t>
      </w:r>
      <w:hyperlink r:id="rId16" w:history="1">
        <w:r w:rsidRPr="00DC5A45">
          <w:rPr>
            <w:rStyle w:val="Hyperlink"/>
            <w:rFonts w:cs="Arial"/>
          </w:rPr>
          <w:t>https://manshurat.org/node/68148</w:t>
        </w:r>
      </w:hyperlink>
      <w:r>
        <w:rPr>
          <w:rFonts w:cs="Arial" w:hint="cs"/>
          <w:rtl/>
        </w:rPr>
        <w:t xml:space="preserve"> </w:t>
      </w:r>
    </w:p>
  </w:footnote>
  <w:footnote w:id="18">
    <w:p w:rsidR="00F503F6" w:rsidRDefault="00F503F6" w:rsidP="005B170F">
      <w:pPr>
        <w:pStyle w:val="FootnoteText"/>
        <w:rPr>
          <w:rtl/>
          <w:lang w:bidi="ar-EG"/>
        </w:rPr>
      </w:pPr>
      <w:r>
        <w:rPr>
          <w:rStyle w:val="FootnoteReference"/>
        </w:rPr>
        <w:footnoteRef/>
      </w:r>
      <w:r>
        <w:t xml:space="preserve"> </w:t>
      </w:r>
      <w:r w:rsidRPr="006D4EF6">
        <w:t>IOM Egypt Country Strategy 2021-2025</w:t>
      </w:r>
      <w:r>
        <w:t xml:space="preserve">, </w:t>
      </w:r>
      <w:hyperlink r:id="rId17" w:history="1">
        <w:r w:rsidRPr="00DC5A45">
          <w:rPr>
            <w:rStyle w:val="Hyperlink"/>
          </w:rPr>
          <w:t>https://egypt.iom.int/sites/g/files/tmzbdl1021/files/documents/iom-country-strategy_final.pdf</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2CC" w:rsidRDefault="00EB74DC">
    <w:r>
      <w:rPr>
        <w:rFonts w:hint="cs"/>
        <w:noProof/>
      </w:rPr>
      <w:drawing>
        <wp:inline distT="0" distB="0" distL="0" distR="0" wp14:anchorId="45A1211B" wp14:editId="517FF53B">
          <wp:extent cx="721378" cy="560173"/>
          <wp:effectExtent l="0" t="0" r="2540" b="0"/>
          <wp:docPr id="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6B714E" w:rsidTr="00295CF7">
      <w:tc>
        <w:tcPr>
          <w:tcW w:w="2500" w:type="pct"/>
        </w:tcPr>
        <w:p w:rsidR="006B714E" w:rsidRDefault="006B714E" w:rsidP="006B714E">
          <w:pPr>
            <w:pStyle w:val="Header"/>
          </w:pPr>
          <w:r>
            <w:rPr>
              <w:rFonts w:hint="cs"/>
              <w:noProof/>
            </w:rPr>
            <w:drawing>
              <wp:inline distT="0" distB="0" distL="0" distR="0" wp14:anchorId="1F7E0B21" wp14:editId="417DC5BB">
                <wp:extent cx="1471930" cy="1143000"/>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2065" cy="11431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00" w:type="pct"/>
        </w:tcPr>
        <w:p w:rsidR="006B714E" w:rsidRDefault="006B714E" w:rsidP="006B714E">
          <w:pPr>
            <w:pStyle w:val="Header"/>
          </w:pPr>
        </w:p>
      </w:tc>
    </w:tr>
  </w:tbl>
  <w:p w:rsidR="0071497E" w:rsidRPr="00295CF7" w:rsidRDefault="0071497E" w:rsidP="00295CF7">
    <w:pPr>
      <w:pStyle w:val="Head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6084B"/>
    <w:multiLevelType w:val="hybridMultilevel"/>
    <w:tmpl w:val="A4A6FADC"/>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 w15:restartNumberingAfterBreak="0">
    <w:nsid w:val="07F43F7D"/>
    <w:multiLevelType w:val="hybridMultilevel"/>
    <w:tmpl w:val="10328E36"/>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363" w:hanging="360"/>
      </w:pPr>
      <w:rPr>
        <w:rFonts w:ascii="Courier New" w:hAnsi="Courier New" w:cs="Courier New" w:hint="default"/>
      </w:rPr>
    </w:lvl>
    <w:lvl w:ilvl="2" w:tplc="04090005">
      <w:start w:val="1"/>
      <w:numFmt w:val="bullet"/>
      <w:lvlText w:val=""/>
      <w:lvlJc w:val="left"/>
      <w:pPr>
        <w:ind w:left="2083" w:hanging="360"/>
      </w:pPr>
      <w:rPr>
        <w:rFonts w:ascii="Wingdings" w:hAnsi="Wingdings" w:hint="default"/>
      </w:rPr>
    </w:lvl>
    <w:lvl w:ilvl="3" w:tplc="04090001">
      <w:start w:val="1"/>
      <w:numFmt w:val="bullet"/>
      <w:lvlText w:val=""/>
      <w:lvlJc w:val="left"/>
      <w:pPr>
        <w:ind w:left="2803" w:hanging="360"/>
      </w:pPr>
      <w:rPr>
        <w:rFonts w:ascii="Symbol" w:hAnsi="Symbol" w:hint="default"/>
      </w:rPr>
    </w:lvl>
    <w:lvl w:ilvl="4" w:tplc="04090003">
      <w:start w:val="1"/>
      <w:numFmt w:val="bullet"/>
      <w:lvlText w:val="o"/>
      <w:lvlJc w:val="left"/>
      <w:pPr>
        <w:ind w:left="3523" w:hanging="360"/>
      </w:pPr>
      <w:rPr>
        <w:rFonts w:ascii="Courier New" w:hAnsi="Courier New" w:cs="Courier New" w:hint="default"/>
      </w:rPr>
    </w:lvl>
    <w:lvl w:ilvl="5" w:tplc="04090005">
      <w:start w:val="1"/>
      <w:numFmt w:val="bullet"/>
      <w:lvlText w:val=""/>
      <w:lvlJc w:val="left"/>
      <w:pPr>
        <w:ind w:left="4243" w:hanging="360"/>
      </w:pPr>
      <w:rPr>
        <w:rFonts w:ascii="Wingdings" w:hAnsi="Wingdings" w:hint="default"/>
      </w:rPr>
    </w:lvl>
    <w:lvl w:ilvl="6" w:tplc="04090001">
      <w:start w:val="1"/>
      <w:numFmt w:val="bullet"/>
      <w:lvlText w:val=""/>
      <w:lvlJc w:val="left"/>
      <w:pPr>
        <w:ind w:left="4963" w:hanging="360"/>
      </w:pPr>
      <w:rPr>
        <w:rFonts w:ascii="Symbol" w:hAnsi="Symbol" w:hint="default"/>
      </w:rPr>
    </w:lvl>
    <w:lvl w:ilvl="7" w:tplc="04090003">
      <w:start w:val="1"/>
      <w:numFmt w:val="bullet"/>
      <w:lvlText w:val="o"/>
      <w:lvlJc w:val="left"/>
      <w:pPr>
        <w:ind w:left="5683" w:hanging="360"/>
      </w:pPr>
      <w:rPr>
        <w:rFonts w:ascii="Courier New" w:hAnsi="Courier New" w:cs="Courier New" w:hint="default"/>
      </w:rPr>
    </w:lvl>
    <w:lvl w:ilvl="8" w:tplc="04090005">
      <w:start w:val="1"/>
      <w:numFmt w:val="bullet"/>
      <w:lvlText w:val=""/>
      <w:lvlJc w:val="left"/>
      <w:pPr>
        <w:ind w:left="6403" w:hanging="360"/>
      </w:pPr>
      <w:rPr>
        <w:rFonts w:ascii="Wingdings" w:hAnsi="Wingdings" w:hint="default"/>
      </w:rPr>
    </w:lvl>
  </w:abstractNum>
  <w:abstractNum w:abstractNumId="2" w15:restartNumberingAfterBreak="0">
    <w:nsid w:val="0A7D1D64"/>
    <w:multiLevelType w:val="hybridMultilevel"/>
    <w:tmpl w:val="7518B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E63B29"/>
    <w:multiLevelType w:val="hybridMultilevel"/>
    <w:tmpl w:val="C08A1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3356B0"/>
    <w:multiLevelType w:val="hybridMultilevel"/>
    <w:tmpl w:val="B854260C"/>
    <w:lvl w:ilvl="0" w:tplc="B5505BD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4512A9A"/>
    <w:multiLevelType w:val="hybridMultilevel"/>
    <w:tmpl w:val="3F506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2F2F30"/>
    <w:multiLevelType w:val="hybridMultilevel"/>
    <w:tmpl w:val="103E9540"/>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A8E6575"/>
    <w:multiLevelType w:val="hybridMultilevel"/>
    <w:tmpl w:val="73D67D5A"/>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B7B7ABC"/>
    <w:multiLevelType w:val="hybridMultilevel"/>
    <w:tmpl w:val="9EEA27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8766E0"/>
    <w:multiLevelType w:val="hybridMultilevel"/>
    <w:tmpl w:val="FE7EC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EA2126"/>
    <w:multiLevelType w:val="hybridMultilevel"/>
    <w:tmpl w:val="E6002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DA3C81"/>
    <w:multiLevelType w:val="hybridMultilevel"/>
    <w:tmpl w:val="A2E46F36"/>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31EC779F"/>
    <w:multiLevelType w:val="hybridMultilevel"/>
    <w:tmpl w:val="DD743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615448"/>
    <w:multiLevelType w:val="hybridMultilevel"/>
    <w:tmpl w:val="A36E6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AD76DB"/>
    <w:multiLevelType w:val="hybridMultilevel"/>
    <w:tmpl w:val="DD18A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6C0E3F"/>
    <w:multiLevelType w:val="hybridMultilevel"/>
    <w:tmpl w:val="5B7295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6C91812"/>
    <w:multiLevelType w:val="hybridMultilevel"/>
    <w:tmpl w:val="360E46E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B867F4C"/>
    <w:multiLevelType w:val="hybridMultilevel"/>
    <w:tmpl w:val="594C0A6C"/>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DEC71D1"/>
    <w:multiLevelType w:val="hybridMultilevel"/>
    <w:tmpl w:val="6172A9F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AD407A6"/>
    <w:multiLevelType w:val="hybridMultilevel"/>
    <w:tmpl w:val="D1F665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37205E"/>
    <w:multiLevelType w:val="hybridMultilevel"/>
    <w:tmpl w:val="42F4E604"/>
    <w:lvl w:ilvl="0" w:tplc="B5505BD0">
      <w:start w:val="1"/>
      <w:numFmt w:val="bullet"/>
      <w:lvlText w:val=""/>
      <w:lvlJc w:val="left"/>
      <w:pPr>
        <w:ind w:left="630" w:hanging="360"/>
      </w:pPr>
      <w:rPr>
        <w:rFonts w:ascii="Wingdings" w:hAnsi="Wingdings"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21" w15:restartNumberingAfterBreak="0">
    <w:nsid w:val="7DFF6387"/>
    <w:multiLevelType w:val="hybridMultilevel"/>
    <w:tmpl w:val="4A0ACC9C"/>
    <w:lvl w:ilvl="0" w:tplc="1DE67364">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2"/>
  </w:num>
  <w:num w:numId="3">
    <w:abstractNumId w:val="15"/>
  </w:num>
  <w:num w:numId="4">
    <w:abstractNumId w:val="10"/>
  </w:num>
  <w:num w:numId="5">
    <w:abstractNumId w:val="12"/>
  </w:num>
  <w:num w:numId="6">
    <w:abstractNumId w:val="1"/>
  </w:num>
  <w:num w:numId="7">
    <w:abstractNumId w:val="17"/>
  </w:num>
  <w:num w:numId="8">
    <w:abstractNumId w:val="7"/>
  </w:num>
  <w:num w:numId="9">
    <w:abstractNumId w:val="6"/>
  </w:num>
  <w:num w:numId="10">
    <w:abstractNumId w:val="16"/>
  </w:num>
  <w:num w:numId="11">
    <w:abstractNumId w:val="11"/>
  </w:num>
  <w:num w:numId="12">
    <w:abstractNumId w:val="18"/>
  </w:num>
  <w:num w:numId="13">
    <w:abstractNumId w:val="20"/>
  </w:num>
  <w:num w:numId="14">
    <w:abstractNumId w:val="0"/>
  </w:num>
  <w:num w:numId="15">
    <w:abstractNumId w:val="9"/>
  </w:num>
  <w:num w:numId="16">
    <w:abstractNumId w:val="4"/>
  </w:num>
  <w:num w:numId="17">
    <w:abstractNumId w:val="3"/>
  </w:num>
  <w:num w:numId="18">
    <w:abstractNumId w:val="5"/>
  </w:num>
  <w:num w:numId="19">
    <w:abstractNumId w:val="19"/>
  </w:num>
  <w:num w:numId="20">
    <w:abstractNumId w:val="13"/>
  </w:num>
  <w:num w:numId="21">
    <w:abstractNumId w:val="14"/>
  </w:num>
  <w:num w:numId="22">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revisionView w:inkAnnotations="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3F6"/>
    <w:rsid w:val="0000141C"/>
    <w:rsid w:val="00003699"/>
    <w:rsid w:val="000049A3"/>
    <w:rsid w:val="000051ED"/>
    <w:rsid w:val="0001000A"/>
    <w:rsid w:val="00010FB3"/>
    <w:rsid w:val="0001565A"/>
    <w:rsid w:val="000425CE"/>
    <w:rsid w:val="00045906"/>
    <w:rsid w:val="00050053"/>
    <w:rsid w:val="0005619F"/>
    <w:rsid w:val="00056AE1"/>
    <w:rsid w:val="000627F3"/>
    <w:rsid w:val="00062CE7"/>
    <w:rsid w:val="0006648F"/>
    <w:rsid w:val="00082F6E"/>
    <w:rsid w:val="000859CC"/>
    <w:rsid w:val="00095DC2"/>
    <w:rsid w:val="0009612F"/>
    <w:rsid w:val="00096850"/>
    <w:rsid w:val="000A1FC8"/>
    <w:rsid w:val="000A2E4F"/>
    <w:rsid w:val="000B23A1"/>
    <w:rsid w:val="000B5E39"/>
    <w:rsid w:val="000B5EE8"/>
    <w:rsid w:val="000C5C1B"/>
    <w:rsid w:val="000C5EE4"/>
    <w:rsid w:val="000D22D4"/>
    <w:rsid w:val="000E3E9C"/>
    <w:rsid w:val="000F5340"/>
    <w:rsid w:val="000F7EF5"/>
    <w:rsid w:val="0010006F"/>
    <w:rsid w:val="00103EA2"/>
    <w:rsid w:val="00104948"/>
    <w:rsid w:val="00110276"/>
    <w:rsid w:val="0011296C"/>
    <w:rsid w:val="001134B0"/>
    <w:rsid w:val="001235B5"/>
    <w:rsid w:val="0012514A"/>
    <w:rsid w:val="00130563"/>
    <w:rsid w:val="00133C34"/>
    <w:rsid w:val="00141ED5"/>
    <w:rsid w:val="00145D3F"/>
    <w:rsid w:val="0014605C"/>
    <w:rsid w:val="00175E50"/>
    <w:rsid w:val="00176201"/>
    <w:rsid w:val="00177729"/>
    <w:rsid w:val="001925E1"/>
    <w:rsid w:val="001934B3"/>
    <w:rsid w:val="00194C67"/>
    <w:rsid w:val="001968C2"/>
    <w:rsid w:val="001A232C"/>
    <w:rsid w:val="001B2519"/>
    <w:rsid w:val="001B47D7"/>
    <w:rsid w:val="001B5791"/>
    <w:rsid w:val="001B63FD"/>
    <w:rsid w:val="001C02E9"/>
    <w:rsid w:val="001C3ADD"/>
    <w:rsid w:val="001C445A"/>
    <w:rsid w:val="001C697A"/>
    <w:rsid w:val="001D634A"/>
    <w:rsid w:val="001D7656"/>
    <w:rsid w:val="001E10E5"/>
    <w:rsid w:val="001E75A7"/>
    <w:rsid w:val="002034F8"/>
    <w:rsid w:val="002053D8"/>
    <w:rsid w:val="0022005B"/>
    <w:rsid w:val="00225603"/>
    <w:rsid w:val="00231D34"/>
    <w:rsid w:val="002359EC"/>
    <w:rsid w:val="00237B6A"/>
    <w:rsid w:val="00252BBE"/>
    <w:rsid w:val="00261D7A"/>
    <w:rsid w:val="00262ADC"/>
    <w:rsid w:val="00271CCE"/>
    <w:rsid w:val="00275F9A"/>
    <w:rsid w:val="002760B6"/>
    <w:rsid w:val="00277A70"/>
    <w:rsid w:val="002876BE"/>
    <w:rsid w:val="0029497A"/>
    <w:rsid w:val="00295CF7"/>
    <w:rsid w:val="002A5414"/>
    <w:rsid w:val="002A7887"/>
    <w:rsid w:val="002B220B"/>
    <w:rsid w:val="002B238D"/>
    <w:rsid w:val="002B439B"/>
    <w:rsid w:val="002C2978"/>
    <w:rsid w:val="002C6C1D"/>
    <w:rsid w:val="002E6C2C"/>
    <w:rsid w:val="002F4AFE"/>
    <w:rsid w:val="002F61A6"/>
    <w:rsid w:val="00304783"/>
    <w:rsid w:val="00306525"/>
    <w:rsid w:val="00310535"/>
    <w:rsid w:val="003110A6"/>
    <w:rsid w:val="00311FA2"/>
    <w:rsid w:val="00315EE2"/>
    <w:rsid w:val="00316D76"/>
    <w:rsid w:val="00320754"/>
    <w:rsid w:val="00321877"/>
    <w:rsid w:val="00325AEF"/>
    <w:rsid w:val="003267CC"/>
    <w:rsid w:val="00326D40"/>
    <w:rsid w:val="003279E7"/>
    <w:rsid w:val="00327CBB"/>
    <w:rsid w:val="00335EAC"/>
    <w:rsid w:val="00336B99"/>
    <w:rsid w:val="003455BF"/>
    <w:rsid w:val="00347BF1"/>
    <w:rsid w:val="00347F18"/>
    <w:rsid w:val="00353868"/>
    <w:rsid w:val="00356B6C"/>
    <w:rsid w:val="00356C3D"/>
    <w:rsid w:val="0036481E"/>
    <w:rsid w:val="00377F94"/>
    <w:rsid w:val="00390880"/>
    <w:rsid w:val="003A6B48"/>
    <w:rsid w:val="003B2177"/>
    <w:rsid w:val="003C1343"/>
    <w:rsid w:val="003C2AC2"/>
    <w:rsid w:val="003C7C4E"/>
    <w:rsid w:val="003D1A0F"/>
    <w:rsid w:val="003E0137"/>
    <w:rsid w:val="003E2914"/>
    <w:rsid w:val="003E2C66"/>
    <w:rsid w:val="003E36C5"/>
    <w:rsid w:val="003E4111"/>
    <w:rsid w:val="003E531F"/>
    <w:rsid w:val="003E6B4F"/>
    <w:rsid w:val="003F622E"/>
    <w:rsid w:val="003F7014"/>
    <w:rsid w:val="00404DB2"/>
    <w:rsid w:val="004113EE"/>
    <w:rsid w:val="00423323"/>
    <w:rsid w:val="00424F79"/>
    <w:rsid w:val="00427E18"/>
    <w:rsid w:val="00431C16"/>
    <w:rsid w:val="004349FB"/>
    <w:rsid w:val="00440BD1"/>
    <w:rsid w:val="004464D4"/>
    <w:rsid w:val="00447EED"/>
    <w:rsid w:val="00452F9A"/>
    <w:rsid w:val="00460C7E"/>
    <w:rsid w:val="00486477"/>
    <w:rsid w:val="00486B6B"/>
    <w:rsid w:val="00486DEF"/>
    <w:rsid w:val="00493648"/>
    <w:rsid w:val="004A07FD"/>
    <w:rsid w:val="004A559D"/>
    <w:rsid w:val="004B095B"/>
    <w:rsid w:val="004B0C99"/>
    <w:rsid w:val="004B3F26"/>
    <w:rsid w:val="004C4D49"/>
    <w:rsid w:val="004C6099"/>
    <w:rsid w:val="004D43D7"/>
    <w:rsid w:val="004D5389"/>
    <w:rsid w:val="004E3BEE"/>
    <w:rsid w:val="004F651A"/>
    <w:rsid w:val="005151FA"/>
    <w:rsid w:val="00516A23"/>
    <w:rsid w:val="00533035"/>
    <w:rsid w:val="00535161"/>
    <w:rsid w:val="00540301"/>
    <w:rsid w:val="0055053D"/>
    <w:rsid w:val="00554BA6"/>
    <w:rsid w:val="00556FF2"/>
    <w:rsid w:val="00557376"/>
    <w:rsid w:val="00567825"/>
    <w:rsid w:val="0058530A"/>
    <w:rsid w:val="00591F60"/>
    <w:rsid w:val="005978CB"/>
    <w:rsid w:val="005A4360"/>
    <w:rsid w:val="005A4845"/>
    <w:rsid w:val="005B4A51"/>
    <w:rsid w:val="005B7082"/>
    <w:rsid w:val="005B77CE"/>
    <w:rsid w:val="005C00AE"/>
    <w:rsid w:val="005C5FE0"/>
    <w:rsid w:val="005C604E"/>
    <w:rsid w:val="005C699E"/>
    <w:rsid w:val="005C7EB2"/>
    <w:rsid w:val="005D5C95"/>
    <w:rsid w:val="005E0A46"/>
    <w:rsid w:val="0060038E"/>
    <w:rsid w:val="00605E5B"/>
    <w:rsid w:val="00621ADD"/>
    <w:rsid w:val="00623346"/>
    <w:rsid w:val="0063146A"/>
    <w:rsid w:val="00631C22"/>
    <w:rsid w:val="0063205B"/>
    <w:rsid w:val="00634EFC"/>
    <w:rsid w:val="00640005"/>
    <w:rsid w:val="00640EC5"/>
    <w:rsid w:val="00641517"/>
    <w:rsid w:val="006442D9"/>
    <w:rsid w:val="00644AE8"/>
    <w:rsid w:val="006531C6"/>
    <w:rsid w:val="006552C3"/>
    <w:rsid w:val="0065788D"/>
    <w:rsid w:val="006600A6"/>
    <w:rsid w:val="006603B2"/>
    <w:rsid w:val="00661990"/>
    <w:rsid w:val="00681790"/>
    <w:rsid w:val="006820EF"/>
    <w:rsid w:val="00691F64"/>
    <w:rsid w:val="00691FC2"/>
    <w:rsid w:val="00693008"/>
    <w:rsid w:val="006930CA"/>
    <w:rsid w:val="006A3909"/>
    <w:rsid w:val="006A4AF4"/>
    <w:rsid w:val="006A7DE0"/>
    <w:rsid w:val="006B714E"/>
    <w:rsid w:val="006C0FF9"/>
    <w:rsid w:val="006C22FE"/>
    <w:rsid w:val="006C6C9E"/>
    <w:rsid w:val="006C758B"/>
    <w:rsid w:val="006D13A0"/>
    <w:rsid w:val="006E56C0"/>
    <w:rsid w:val="006F17D4"/>
    <w:rsid w:val="00705DBB"/>
    <w:rsid w:val="00713491"/>
    <w:rsid w:val="0071497E"/>
    <w:rsid w:val="00716A40"/>
    <w:rsid w:val="00720B8D"/>
    <w:rsid w:val="007214F0"/>
    <w:rsid w:val="00722319"/>
    <w:rsid w:val="00726680"/>
    <w:rsid w:val="00750B80"/>
    <w:rsid w:val="00751DA8"/>
    <w:rsid w:val="00753D7F"/>
    <w:rsid w:val="0075721F"/>
    <w:rsid w:val="007623A8"/>
    <w:rsid w:val="007659D7"/>
    <w:rsid w:val="00767BF5"/>
    <w:rsid w:val="007907E1"/>
    <w:rsid w:val="00790FBB"/>
    <w:rsid w:val="00791830"/>
    <w:rsid w:val="00794563"/>
    <w:rsid w:val="00794FBB"/>
    <w:rsid w:val="007958DC"/>
    <w:rsid w:val="007A4652"/>
    <w:rsid w:val="007A5999"/>
    <w:rsid w:val="007A7D88"/>
    <w:rsid w:val="007C0544"/>
    <w:rsid w:val="007C73F1"/>
    <w:rsid w:val="007D01C3"/>
    <w:rsid w:val="007D1068"/>
    <w:rsid w:val="007D4FCB"/>
    <w:rsid w:val="007E4126"/>
    <w:rsid w:val="007F2D7E"/>
    <w:rsid w:val="007F2F04"/>
    <w:rsid w:val="007F317A"/>
    <w:rsid w:val="007F48EA"/>
    <w:rsid w:val="00801689"/>
    <w:rsid w:val="00813553"/>
    <w:rsid w:val="00815DE8"/>
    <w:rsid w:val="00821BB0"/>
    <w:rsid w:val="00822B6D"/>
    <w:rsid w:val="008278C4"/>
    <w:rsid w:val="00830635"/>
    <w:rsid w:val="00844C93"/>
    <w:rsid w:val="0084641A"/>
    <w:rsid w:val="00850F63"/>
    <w:rsid w:val="00851E42"/>
    <w:rsid w:val="00854489"/>
    <w:rsid w:val="00855715"/>
    <w:rsid w:val="00857578"/>
    <w:rsid w:val="00862EB5"/>
    <w:rsid w:val="00865914"/>
    <w:rsid w:val="008716A6"/>
    <w:rsid w:val="00880E91"/>
    <w:rsid w:val="008827E5"/>
    <w:rsid w:val="008837B6"/>
    <w:rsid w:val="00885836"/>
    <w:rsid w:val="00890D62"/>
    <w:rsid w:val="0089355F"/>
    <w:rsid w:val="008938CD"/>
    <w:rsid w:val="00894F66"/>
    <w:rsid w:val="008A0A0C"/>
    <w:rsid w:val="008A2824"/>
    <w:rsid w:val="008A2E8D"/>
    <w:rsid w:val="008B0397"/>
    <w:rsid w:val="008B0792"/>
    <w:rsid w:val="008B432C"/>
    <w:rsid w:val="008C72A8"/>
    <w:rsid w:val="008D4A37"/>
    <w:rsid w:val="008D646E"/>
    <w:rsid w:val="008D65EA"/>
    <w:rsid w:val="008D6EB7"/>
    <w:rsid w:val="008D74E8"/>
    <w:rsid w:val="008E2FF5"/>
    <w:rsid w:val="008E53F7"/>
    <w:rsid w:val="008F0E9E"/>
    <w:rsid w:val="008F57D0"/>
    <w:rsid w:val="008F70BC"/>
    <w:rsid w:val="00900F63"/>
    <w:rsid w:val="00904970"/>
    <w:rsid w:val="009134AE"/>
    <w:rsid w:val="00915541"/>
    <w:rsid w:val="0092118E"/>
    <w:rsid w:val="00933915"/>
    <w:rsid w:val="009348B7"/>
    <w:rsid w:val="009349DA"/>
    <w:rsid w:val="00936E68"/>
    <w:rsid w:val="009416C5"/>
    <w:rsid w:val="009437BF"/>
    <w:rsid w:val="009443C6"/>
    <w:rsid w:val="00947409"/>
    <w:rsid w:val="00947D85"/>
    <w:rsid w:val="00950417"/>
    <w:rsid w:val="00950E85"/>
    <w:rsid w:val="009529FD"/>
    <w:rsid w:val="009570DC"/>
    <w:rsid w:val="00961570"/>
    <w:rsid w:val="00967291"/>
    <w:rsid w:val="0096787C"/>
    <w:rsid w:val="0097218D"/>
    <w:rsid w:val="00974412"/>
    <w:rsid w:val="00977DFD"/>
    <w:rsid w:val="0098318D"/>
    <w:rsid w:val="00983B4A"/>
    <w:rsid w:val="0098629C"/>
    <w:rsid w:val="00987CDB"/>
    <w:rsid w:val="009A31A9"/>
    <w:rsid w:val="009A4F0B"/>
    <w:rsid w:val="009B203A"/>
    <w:rsid w:val="009D1560"/>
    <w:rsid w:val="009D6BD5"/>
    <w:rsid w:val="009E365E"/>
    <w:rsid w:val="009F5094"/>
    <w:rsid w:val="00A00BA7"/>
    <w:rsid w:val="00A014B9"/>
    <w:rsid w:val="00A053AD"/>
    <w:rsid w:val="00A23EC6"/>
    <w:rsid w:val="00A3076E"/>
    <w:rsid w:val="00A329B1"/>
    <w:rsid w:val="00A46990"/>
    <w:rsid w:val="00A532E3"/>
    <w:rsid w:val="00A766D1"/>
    <w:rsid w:val="00A86F65"/>
    <w:rsid w:val="00A8799D"/>
    <w:rsid w:val="00A91B4B"/>
    <w:rsid w:val="00A95B71"/>
    <w:rsid w:val="00A965F9"/>
    <w:rsid w:val="00A9748A"/>
    <w:rsid w:val="00A97709"/>
    <w:rsid w:val="00AA1B05"/>
    <w:rsid w:val="00AA3FCD"/>
    <w:rsid w:val="00AA49D0"/>
    <w:rsid w:val="00AA6908"/>
    <w:rsid w:val="00AA7398"/>
    <w:rsid w:val="00AB48CB"/>
    <w:rsid w:val="00AB50E4"/>
    <w:rsid w:val="00AB65CD"/>
    <w:rsid w:val="00AB677B"/>
    <w:rsid w:val="00AC3439"/>
    <w:rsid w:val="00AC4D5E"/>
    <w:rsid w:val="00AC58ED"/>
    <w:rsid w:val="00AC72CC"/>
    <w:rsid w:val="00AD4C96"/>
    <w:rsid w:val="00AE5CDE"/>
    <w:rsid w:val="00AF277A"/>
    <w:rsid w:val="00AF4E1E"/>
    <w:rsid w:val="00AF559A"/>
    <w:rsid w:val="00B00600"/>
    <w:rsid w:val="00B0136D"/>
    <w:rsid w:val="00B015AF"/>
    <w:rsid w:val="00B039DA"/>
    <w:rsid w:val="00B147F4"/>
    <w:rsid w:val="00B21116"/>
    <w:rsid w:val="00B22D8C"/>
    <w:rsid w:val="00B30C91"/>
    <w:rsid w:val="00B31711"/>
    <w:rsid w:val="00B3374B"/>
    <w:rsid w:val="00B3463D"/>
    <w:rsid w:val="00B41BE5"/>
    <w:rsid w:val="00B4535E"/>
    <w:rsid w:val="00B515D6"/>
    <w:rsid w:val="00B52EC7"/>
    <w:rsid w:val="00B55727"/>
    <w:rsid w:val="00B564EA"/>
    <w:rsid w:val="00B6500E"/>
    <w:rsid w:val="00B675E2"/>
    <w:rsid w:val="00B73E20"/>
    <w:rsid w:val="00B7461E"/>
    <w:rsid w:val="00B80D63"/>
    <w:rsid w:val="00B831E6"/>
    <w:rsid w:val="00B92084"/>
    <w:rsid w:val="00B970B5"/>
    <w:rsid w:val="00BA585A"/>
    <w:rsid w:val="00BB2CA9"/>
    <w:rsid w:val="00BB62BD"/>
    <w:rsid w:val="00BC230B"/>
    <w:rsid w:val="00BC4344"/>
    <w:rsid w:val="00BC6824"/>
    <w:rsid w:val="00BE49DB"/>
    <w:rsid w:val="00BF3FD5"/>
    <w:rsid w:val="00BF7B35"/>
    <w:rsid w:val="00C068AC"/>
    <w:rsid w:val="00C16612"/>
    <w:rsid w:val="00C20FDD"/>
    <w:rsid w:val="00C217FB"/>
    <w:rsid w:val="00C24862"/>
    <w:rsid w:val="00C26282"/>
    <w:rsid w:val="00C27A60"/>
    <w:rsid w:val="00C304E4"/>
    <w:rsid w:val="00C41B4E"/>
    <w:rsid w:val="00C4477C"/>
    <w:rsid w:val="00C45534"/>
    <w:rsid w:val="00C55701"/>
    <w:rsid w:val="00C56603"/>
    <w:rsid w:val="00C61BEC"/>
    <w:rsid w:val="00C73853"/>
    <w:rsid w:val="00C74890"/>
    <w:rsid w:val="00C76D0E"/>
    <w:rsid w:val="00C83345"/>
    <w:rsid w:val="00C84439"/>
    <w:rsid w:val="00C90633"/>
    <w:rsid w:val="00C91E5F"/>
    <w:rsid w:val="00C95822"/>
    <w:rsid w:val="00C95B56"/>
    <w:rsid w:val="00C95F75"/>
    <w:rsid w:val="00CA737E"/>
    <w:rsid w:val="00CB00CE"/>
    <w:rsid w:val="00CB04C1"/>
    <w:rsid w:val="00CC0A25"/>
    <w:rsid w:val="00CC190A"/>
    <w:rsid w:val="00CC663C"/>
    <w:rsid w:val="00CE3953"/>
    <w:rsid w:val="00CE5C56"/>
    <w:rsid w:val="00CE63B4"/>
    <w:rsid w:val="00CE6D95"/>
    <w:rsid w:val="00CF1B4C"/>
    <w:rsid w:val="00D0277D"/>
    <w:rsid w:val="00D029E9"/>
    <w:rsid w:val="00D07987"/>
    <w:rsid w:val="00D14AE4"/>
    <w:rsid w:val="00D155EF"/>
    <w:rsid w:val="00D16DE2"/>
    <w:rsid w:val="00D17246"/>
    <w:rsid w:val="00D21BF7"/>
    <w:rsid w:val="00D266CA"/>
    <w:rsid w:val="00D270BD"/>
    <w:rsid w:val="00D30C6C"/>
    <w:rsid w:val="00D37AD6"/>
    <w:rsid w:val="00D43874"/>
    <w:rsid w:val="00D475FD"/>
    <w:rsid w:val="00D52E28"/>
    <w:rsid w:val="00D52FF4"/>
    <w:rsid w:val="00D55CBF"/>
    <w:rsid w:val="00D6063D"/>
    <w:rsid w:val="00D74E9F"/>
    <w:rsid w:val="00D84747"/>
    <w:rsid w:val="00D85ADB"/>
    <w:rsid w:val="00D876C9"/>
    <w:rsid w:val="00D965E5"/>
    <w:rsid w:val="00DB4180"/>
    <w:rsid w:val="00DC0FB1"/>
    <w:rsid w:val="00DC26BC"/>
    <w:rsid w:val="00DC2968"/>
    <w:rsid w:val="00DC4740"/>
    <w:rsid w:val="00DE0507"/>
    <w:rsid w:val="00DE6253"/>
    <w:rsid w:val="00DF2E7F"/>
    <w:rsid w:val="00DF643E"/>
    <w:rsid w:val="00E00261"/>
    <w:rsid w:val="00E06B92"/>
    <w:rsid w:val="00E11156"/>
    <w:rsid w:val="00E15009"/>
    <w:rsid w:val="00E16D20"/>
    <w:rsid w:val="00E24EE3"/>
    <w:rsid w:val="00E3417D"/>
    <w:rsid w:val="00E3469F"/>
    <w:rsid w:val="00E34797"/>
    <w:rsid w:val="00E40F2A"/>
    <w:rsid w:val="00E41E71"/>
    <w:rsid w:val="00E454F0"/>
    <w:rsid w:val="00E523EE"/>
    <w:rsid w:val="00E53337"/>
    <w:rsid w:val="00E559E5"/>
    <w:rsid w:val="00E62928"/>
    <w:rsid w:val="00E65964"/>
    <w:rsid w:val="00E8017E"/>
    <w:rsid w:val="00E8171D"/>
    <w:rsid w:val="00E83FC2"/>
    <w:rsid w:val="00E861EA"/>
    <w:rsid w:val="00E87E10"/>
    <w:rsid w:val="00E93B72"/>
    <w:rsid w:val="00E96329"/>
    <w:rsid w:val="00E97CC4"/>
    <w:rsid w:val="00EB1383"/>
    <w:rsid w:val="00EB4D86"/>
    <w:rsid w:val="00EB57DD"/>
    <w:rsid w:val="00EB74DC"/>
    <w:rsid w:val="00EC6BD1"/>
    <w:rsid w:val="00ED6A59"/>
    <w:rsid w:val="00ED739E"/>
    <w:rsid w:val="00EE0298"/>
    <w:rsid w:val="00EE5356"/>
    <w:rsid w:val="00EF766B"/>
    <w:rsid w:val="00F07A71"/>
    <w:rsid w:val="00F149AA"/>
    <w:rsid w:val="00F216B6"/>
    <w:rsid w:val="00F32959"/>
    <w:rsid w:val="00F3389D"/>
    <w:rsid w:val="00F37646"/>
    <w:rsid w:val="00F4019A"/>
    <w:rsid w:val="00F40ABD"/>
    <w:rsid w:val="00F421AB"/>
    <w:rsid w:val="00F453D8"/>
    <w:rsid w:val="00F500F3"/>
    <w:rsid w:val="00F503F6"/>
    <w:rsid w:val="00F577A9"/>
    <w:rsid w:val="00F61A0B"/>
    <w:rsid w:val="00F6355C"/>
    <w:rsid w:val="00F6608F"/>
    <w:rsid w:val="00F83705"/>
    <w:rsid w:val="00F86220"/>
    <w:rsid w:val="00F914BF"/>
    <w:rsid w:val="00F94A5C"/>
    <w:rsid w:val="00FA170D"/>
    <w:rsid w:val="00FA5435"/>
    <w:rsid w:val="00FB4EE4"/>
    <w:rsid w:val="00FC572B"/>
    <w:rsid w:val="00FC5962"/>
    <w:rsid w:val="00FE3675"/>
    <w:rsid w:val="00FE5F5D"/>
    <w:rsid w:val="00FF3FE5"/>
    <w:rsid w:val="00FF7E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D8A615"/>
  <w15:docId w15:val="{438F8E4C-60D5-4F71-831A-62C2CE9B3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1B4C"/>
    <w:pPr>
      <w:spacing w:after="160" w:line="259" w:lineRule="auto"/>
    </w:pPr>
  </w:style>
  <w:style w:type="paragraph" w:styleId="Heading1">
    <w:name w:val="heading 1"/>
    <w:basedOn w:val="Normal"/>
    <w:next w:val="Normal"/>
    <w:link w:val="Heading1Char"/>
    <w:uiPriority w:val="9"/>
    <w:qFormat/>
    <w:rsid w:val="00CF1B4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B4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CF1B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1B4C"/>
  </w:style>
  <w:style w:type="paragraph" w:styleId="Footer">
    <w:name w:val="footer"/>
    <w:basedOn w:val="Normal"/>
    <w:link w:val="FooterChar"/>
    <w:uiPriority w:val="99"/>
    <w:unhideWhenUsed/>
    <w:rsid w:val="00CF1B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1B4C"/>
  </w:style>
  <w:style w:type="paragraph" w:styleId="BalloonText">
    <w:name w:val="Balloon Text"/>
    <w:basedOn w:val="Normal"/>
    <w:link w:val="BalloonTextChar"/>
    <w:uiPriority w:val="99"/>
    <w:semiHidden/>
    <w:unhideWhenUsed/>
    <w:rsid w:val="00CF1B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B4C"/>
    <w:rPr>
      <w:rFonts w:ascii="Tahoma" w:hAnsi="Tahoma" w:cs="Tahoma"/>
      <w:sz w:val="16"/>
      <w:szCs w:val="16"/>
    </w:rPr>
  </w:style>
  <w:style w:type="paragraph" w:styleId="NormalWeb">
    <w:name w:val="Normal (Web)"/>
    <w:basedOn w:val="Normal"/>
    <w:uiPriority w:val="99"/>
    <w:unhideWhenUsed/>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CF1B4C"/>
    <w:pPr>
      <w:ind w:left="720"/>
      <w:contextualSpacing/>
    </w:pPr>
  </w:style>
  <w:style w:type="character" w:customStyle="1" w:styleId="ListParagraphChar">
    <w:name w:val="List Paragraph Char"/>
    <w:link w:val="ListParagraph"/>
    <w:uiPriority w:val="34"/>
    <w:rsid w:val="00CF1B4C"/>
  </w:style>
  <w:style w:type="character" w:styleId="FootnoteReference">
    <w:name w:val="footnote reference"/>
    <w:aliases w:val="4_G,4_GA,4_G Char Char Char Char Char Char,Footnotes refss Char Char Char Char Char Char,ftref Char Char Char Char Char Char,BVI fnr Char Char Char Char Char Char,BVI fnr Car Car Char Char Char Char Char Char"/>
    <w:basedOn w:val="DefaultParagraphFont"/>
    <w:link w:val="4GCharCharCharCharChar"/>
    <w:uiPriority w:val="99"/>
    <w:unhideWhenUsed/>
    <w:qFormat/>
    <w:rsid w:val="00CF1B4C"/>
    <w:rPr>
      <w:vertAlign w:val="superscript"/>
    </w:rPr>
  </w:style>
  <w:style w:type="paragraph" w:styleId="FootnoteText">
    <w:name w:val="footnote text"/>
    <w:aliases w:val="5_G,Footnote Text Char Char,Footnote Text Char1 Char Char,Footnote Text Char Char Char Char,Footnote Text Char1 Char Char1 Char Char,Footnote Text Char Char Char Char1 Char Char,ft Char Char Char Char Char Char,ft,Geneva 9,Font: Geneva 9"/>
    <w:basedOn w:val="Normal"/>
    <w:link w:val="FootnoteTextChar"/>
    <w:uiPriority w:val="99"/>
    <w:unhideWhenUsed/>
    <w:qFormat/>
    <w:rsid w:val="00CF1B4C"/>
    <w:pPr>
      <w:spacing w:after="0" w:line="240" w:lineRule="auto"/>
    </w:pPr>
    <w:rPr>
      <w:sz w:val="20"/>
      <w:szCs w:val="20"/>
    </w:rPr>
  </w:style>
  <w:style w:type="character" w:customStyle="1" w:styleId="FootnoteTextChar">
    <w:name w:val="Footnote Text Char"/>
    <w:aliases w:val="5_G Char,Footnote Text Char Char Char,Footnote Text Char1 Char Char Char,Footnote Text Char Char Char Char Char,Footnote Text Char1 Char Char1 Char Char Char,Footnote Text Char Char Char Char1 Char Char Char,ft Char,Geneva 9 Char"/>
    <w:basedOn w:val="DefaultParagraphFont"/>
    <w:link w:val="FootnoteText"/>
    <w:uiPriority w:val="99"/>
    <w:rsid w:val="00CF1B4C"/>
    <w:rPr>
      <w:sz w:val="20"/>
      <w:szCs w:val="20"/>
    </w:rPr>
  </w:style>
  <w:style w:type="character" w:styleId="Hyperlink">
    <w:name w:val="Hyperlink"/>
    <w:basedOn w:val="DefaultParagraphFont"/>
    <w:uiPriority w:val="99"/>
    <w:unhideWhenUsed/>
    <w:rsid w:val="00CF1B4C"/>
    <w:rPr>
      <w:color w:val="0000FF" w:themeColor="hyperlink"/>
      <w:u w:val="single"/>
    </w:rPr>
  </w:style>
  <w:style w:type="character" w:styleId="Strong">
    <w:name w:val="Strong"/>
    <w:basedOn w:val="DefaultParagraphFont"/>
    <w:uiPriority w:val="22"/>
    <w:qFormat/>
    <w:rsid w:val="00CF1B4C"/>
    <w:rPr>
      <w:b/>
      <w:bCs/>
    </w:rPr>
  </w:style>
  <w:style w:type="paragraph" w:customStyle="1" w:styleId="ar">
    <w:name w:val="a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eTxtGA">
    <w:name w:val="_ Single Txt_GA"/>
    <w:basedOn w:val="Normal"/>
    <w:rsid w:val="00CF1B4C"/>
    <w:pPr>
      <w:tabs>
        <w:tab w:val="left" w:pos="1928"/>
        <w:tab w:val="left" w:pos="2608"/>
        <w:tab w:val="left" w:pos="3289"/>
        <w:tab w:val="left" w:pos="3969"/>
        <w:tab w:val="left" w:pos="4649"/>
        <w:tab w:val="left" w:pos="5330"/>
      </w:tabs>
      <w:suppressAutoHyphens/>
      <w:bidi/>
      <w:spacing w:after="120" w:line="380" w:lineRule="exact"/>
      <w:ind w:left="1247" w:right="1247"/>
      <w:jc w:val="both"/>
    </w:pPr>
    <w:rPr>
      <w:rFonts w:ascii="Times New Roman" w:eastAsia="Times New Roman" w:hAnsi="Times New Roman" w:cs="Traditional Arabic"/>
      <w:sz w:val="20"/>
      <w:szCs w:val="30"/>
      <w:lang w:eastAsia="ar-SA"/>
    </w:rPr>
  </w:style>
  <w:style w:type="table" w:customStyle="1" w:styleId="GridTable4-Accent11">
    <w:name w:val="Grid Table 4 - Accent 11"/>
    <w:basedOn w:val="TableNormal"/>
    <w:uiPriority w:val="49"/>
    <w:rsid w:val="00CF1B4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eGridLight1">
    <w:name w:val="Table Grid Light1"/>
    <w:basedOn w:val="TableNormal"/>
    <w:uiPriority w:val="40"/>
    <w:rsid w:val="00CF1B4C"/>
    <w:pPr>
      <w:spacing w:after="0" w:line="240" w:lineRule="auto"/>
    </w:pPr>
    <w:rPr>
      <w:color w:val="3071C3" w:themeColor="text2" w:themeTint="BF"/>
      <w:sz w:val="24"/>
      <w:szCs w:val="24"/>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ghtGrid-Accent5">
    <w:name w:val="Light Grid Accent 5"/>
    <w:basedOn w:val="TableNormal"/>
    <w:uiPriority w:val="62"/>
    <w:rsid w:val="00CF1B4C"/>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lblnewstitle">
    <w:name w:val="lblnewstitle"/>
    <w:basedOn w:val="DefaultParagraphFont"/>
    <w:rsid w:val="00CF1B4C"/>
  </w:style>
  <w:style w:type="paragraph" w:customStyle="1" w:styleId="bbc-1sy09mr">
    <w:name w:val="bbc-1sy09m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F1B4C"/>
    <w:rPr>
      <w:i/>
      <w:iCs/>
    </w:rPr>
  </w:style>
  <w:style w:type="character" w:customStyle="1" w:styleId="1">
    <w:name w:val="إشارة لم يتم حلها1"/>
    <w:basedOn w:val="DefaultParagraphFont"/>
    <w:uiPriority w:val="99"/>
    <w:semiHidden/>
    <w:unhideWhenUsed/>
    <w:rsid w:val="00CF1B4C"/>
    <w:rPr>
      <w:color w:val="605E5C"/>
      <w:shd w:val="clear" w:color="auto" w:fill="E1DFDD"/>
    </w:rPr>
  </w:style>
  <w:style w:type="paragraph" w:customStyle="1" w:styleId="t-contentchapo">
    <w:name w:val="t-content__chapo"/>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block-adlabeltext">
    <w:name w:val="m-block-ad__label__text"/>
    <w:basedOn w:val="DefaultParagraphFont"/>
    <w:rsid w:val="00CF1B4C"/>
  </w:style>
  <w:style w:type="character" w:customStyle="1" w:styleId="jlqj4b">
    <w:name w:val="jlqj4b"/>
    <w:basedOn w:val="DefaultParagraphFont"/>
    <w:rsid w:val="00CF1B4C"/>
  </w:style>
  <w:style w:type="table" w:styleId="TableGrid">
    <w:name w:val="Table Grid"/>
    <w:basedOn w:val="TableNormal"/>
    <w:uiPriority w:val="39"/>
    <w:rsid w:val="00CF1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CF1B4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1">
    <w:name w:val="Grid Table 1 Light1"/>
    <w:basedOn w:val="TableNormal"/>
    <w:uiPriority w:val="46"/>
    <w:rsid w:val="00CF1B4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21">
    <w:name w:val="List Table 21"/>
    <w:basedOn w:val="TableNormal"/>
    <w:uiPriority w:val="47"/>
    <w:rsid w:val="00CF1B4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1">
    <w:name w:val="Grid Table 6 Colorful1"/>
    <w:basedOn w:val="TableNormal"/>
    <w:uiPriority w:val="51"/>
    <w:rsid w:val="00CF1B4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1">
    <w:name w:val="Unresolved Mention1"/>
    <w:basedOn w:val="DefaultParagraphFont"/>
    <w:uiPriority w:val="99"/>
    <w:semiHidden/>
    <w:unhideWhenUsed/>
    <w:rsid w:val="00CF1B4C"/>
    <w:rPr>
      <w:color w:val="605E5C"/>
      <w:shd w:val="clear" w:color="auto" w:fill="E1DFDD"/>
    </w:rPr>
  </w:style>
  <w:style w:type="character" w:styleId="FollowedHyperlink">
    <w:name w:val="FollowedHyperlink"/>
    <w:basedOn w:val="DefaultParagraphFont"/>
    <w:uiPriority w:val="99"/>
    <w:semiHidden/>
    <w:unhideWhenUsed/>
    <w:rsid w:val="00CF1B4C"/>
    <w:rPr>
      <w:color w:val="800080" w:themeColor="followedHyperlink"/>
      <w:u w:val="single"/>
    </w:rPr>
  </w:style>
  <w:style w:type="paragraph" w:styleId="Title">
    <w:name w:val="Title"/>
    <w:basedOn w:val="Normal"/>
    <w:link w:val="TitleChar"/>
    <w:uiPriority w:val="1"/>
    <w:qFormat/>
    <w:rsid w:val="00CF1B4C"/>
    <w:pPr>
      <w:pBdr>
        <w:bottom w:val="single" w:sz="48" w:space="22" w:color="365F91" w:themeColor="accent1" w:themeShade="BF"/>
      </w:pBdr>
      <w:spacing w:after="400" w:line="240" w:lineRule="auto"/>
      <w:contextualSpacing/>
    </w:pPr>
    <w:rPr>
      <w:rFonts w:asciiTheme="majorHAnsi" w:eastAsiaTheme="majorEastAsia" w:hAnsiTheme="majorHAnsi" w:cstheme="majorBidi"/>
      <w:b/>
      <w:color w:val="265898" w:themeColor="text2" w:themeTint="E6"/>
      <w:kern w:val="28"/>
      <w:sz w:val="60"/>
      <w:szCs w:val="56"/>
      <w:lang w:eastAsia="ja-JP"/>
    </w:rPr>
  </w:style>
  <w:style w:type="character" w:customStyle="1" w:styleId="TitleChar">
    <w:name w:val="Title Char"/>
    <w:basedOn w:val="DefaultParagraphFont"/>
    <w:link w:val="Title"/>
    <w:uiPriority w:val="1"/>
    <w:rsid w:val="00CF1B4C"/>
    <w:rPr>
      <w:rFonts w:asciiTheme="majorHAnsi" w:eastAsiaTheme="majorEastAsia" w:hAnsiTheme="majorHAnsi" w:cstheme="majorBidi"/>
      <w:b/>
      <w:color w:val="265898" w:themeColor="text2" w:themeTint="E6"/>
      <w:kern w:val="28"/>
      <w:sz w:val="60"/>
      <w:szCs w:val="56"/>
      <w:lang w:eastAsia="ja-JP"/>
    </w:rPr>
  </w:style>
  <w:style w:type="paragraph" w:styleId="NoSpacing">
    <w:name w:val="No Spacing"/>
    <w:link w:val="NoSpacingChar"/>
    <w:uiPriority w:val="1"/>
    <w:qFormat/>
    <w:rsid w:val="00CF1B4C"/>
    <w:pPr>
      <w:bidi/>
      <w:spacing w:after="0" w:line="240" w:lineRule="auto"/>
    </w:pPr>
    <w:rPr>
      <w:rFonts w:eastAsiaTheme="minorEastAsia"/>
    </w:rPr>
  </w:style>
  <w:style w:type="character" w:customStyle="1" w:styleId="NoSpacingChar">
    <w:name w:val="No Spacing Char"/>
    <w:basedOn w:val="DefaultParagraphFont"/>
    <w:link w:val="NoSpacing"/>
    <w:uiPriority w:val="1"/>
    <w:rsid w:val="00CF1B4C"/>
    <w:rPr>
      <w:rFonts w:eastAsiaTheme="minorEastAsia"/>
    </w:rPr>
  </w:style>
  <w:style w:type="paragraph" w:styleId="TOCHeading">
    <w:name w:val="TOC Heading"/>
    <w:basedOn w:val="Heading1"/>
    <w:next w:val="Normal"/>
    <w:uiPriority w:val="39"/>
    <w:unhideWhenUsed/>
    <w:qFormat/>
    <w:rsid w:val="00CF1B4C"/>
    <w:pPr>
      <w:spacing w:before="320" w:line="240" w:lineRule="auto"/>
      <w:outlineLvl w:val="9"/>
    </w:pPr>
    <w:rPr>
      <w:lang w:eastAsia="ja-JP"/>
    </w:rPr>
  </w:style>
  <w:style w:type="paragraph" w:styleId="TOC2">
    <w:name w:val="toc 2"/>
    <w:basedOn w:val="Normal"/>
    <w:next w:val="Normal"/>
    <w:autoRedefine/>
    <w:uiPriority w:val="39"/>
    <w:unhideWhenUsed/>
    <w:rsid w:val="006A7DE0"/>
    <w:pPr>
      <w:tabs>
        <w:tab w:val="right" w:leader="dot" w:pos="9350"/>
      </w:tabs>
      <w:bidi/>
      <w:spacing w:after="100" w:line="264" w:lineRule="auto"/>
      <w:ind w:left="200"/>
    </w:pPr>
    <w:rPr>
      <w:rFonts w:eastAsiaTheme="minorEastAsia"/>
      <w:sz w:val="20"/>
      <w:szCs w:val="20"/>
      <w:lang w:eastAsia="ja-JP"/>
    </w:rPr>
  </w:style>
  <w:style w:type="paragraph" w:styleId="TOC1">
    <w:name w:val="toc 1"/>
    <w:basedOn w:val="Normal"/>
    <w:next w:val="Normal"/>
    <w:autoRedefine/>
    <w:uiPriority w:val="39"/>
    <w:unhideWhenUsed/>
    <w:rsid w:val="006A7DE0"/>
    <w:pPr>
      <w:tabs>
        <w:tab w:val="right" w:leader="dot" w:pos="9350"/>
      </w:tabs>
      <w:bidi/>
      <w:spacing w:after="100" w:line="276" w:lineRule="auto"/>
    </w:pPr>
    <w:rPr>
      <w:rFonts w:ascii="Traditional Arabic" w:eastAsiaTheme="minorEastAsia" w:hAnsi="Traditional Arabic" w:cs="Traditional Arabic"/>
      <w:noProof/>
      <w:sz w:val="24"/>
      <w:szCs w:val="24"/>
      <w:lang w:eastAsia="ja-JP"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customStyle="1" w:styleId="UnresolvedMention">
    <w:name w:val="Unresolved Mention"/>
    <w:basedOn w:val="DefaultParagraphFont"/>
    <w:uiPriority w:val="99"/>
    <w:semiHidden/>
    <w:unhideWhenUsed/>
    <w:rsid w:val="00720B8D"/>
    <w:rPr>
      <w:color w:val="605E5C"/>
      <w:shd w:val="clear" w:color="auto" w:fill="E1DFDD"/>
    </w:rPr>
  </w:style>
  <w:style w:type="paragraph" w:customStyle="1" w:styleId="selectionshareable">
    <w:name w:val="selectionshareable"/>
    <w:basedOn w:val="Normal"/>
    <w:rsid w:val="006F17D4"/>
    <w:pPr>
      <w:spacing w:before="100" w:beforeAutospacing="1" w:after="100" w:afterAutospacing="1" w:line="240" w:lineRule="auto"/>
    </w:pPr>
    <w:rPr>
      <w:rFonts w:ascii="Times New Roman" w:eastAsia="Times New Roman" w:hAnsi="Times New Roman" w:cs="Times New Roman"/>
      <w:sz w:val="24"/>
      <w:szCs w:val="24"/>
    </w:rPr>
  </w:style>
  <w:style w:type="table" w:styleId="PlainTable1">
    <w:name w:val="Plain Table 1"/>
    <w:basedOn w:val="TableNormal"/>
    <w:uiPriority w:val="41"/>
    <w:rsid w:val="001C69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6A7DE0"/>
    <w:pPr>
      <w:tabs>
        <w:tab w:val="right" w:leader="dot" w:pos="9350"/>
      </w:tabs>
      <w:bidi/>
      <w:spacing w:after="100"/>
    </w:pPr>
    <w:rPr>
      <w:rFonts w:ascii="Traditional Arabic" w:hAnsi="Traditional Arabic" w:cs="Traditional Arabic"/>
      <w:b/>
      <w:bCs/>
      <w:noProof/>
      <w:sz w:val="28"/>
      <w:szCs w:val="28"/>
      <w:lang w:bidi="ar-EG"/>
    </w:rPr>
  </w:style>
  <w:style w:type="table" w:styleId="GridTable5Dark-Accent4">
    <w:name w:val="Grid Table 5 Dark Accent 4"/>
    <w:basedOn w:val="TableNormal"/>
    <w:uiPriority w:val="50"/>
    <w:rsid w:val="007F317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character" w:customStyle="1" w:styleId="apple-style-span">
    <w:name w:val="apple-style-span"/>
    <w:basedOn w:val="DefaultParagraphFont"/>
    <w:rsid w:val="002A7887"/>
  </w:style>
  <w:style w:type="paragraph" w:customStyle="1" w:styleId="4GCharCharCharCharChar">
    <w:name w:val="4_G Char Char Char Char Char"/>
    <w:aliases w:val="Footnotes refss Char Char Char Char Char,ftref Char Char Char Char Char,BVI fnr Char Char Char Char Char,BVI fnr Car Car Char Char Char Char Char,BVI fnr Car Char Char Char Char Char"/>
    <w:basedOn w:val="Normal"/>
    <w:link w:val="FootnoteReference"/>
    <w:uiPriority w:val="99"/>
    <w:rsid w:val="00F503F6"/>
    <w:pPr>
      <w:spacing w:line="240" w:lineRule="exact"/>
      <w:jc w:val="both"/>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4665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2.jpeg"/><Relationship Id="rId2" Type="http://schemas.openxmlformats.org/officeDocument/2006/relationships/image" Target="media/image3.png"/><Relationship Id="rId1" Type="http://schemas.openxmlformats.org/officeDocument/2006/relationships/image" Target="media/image1.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manshurat.org/node/13128" TargetMode="External"/><Relationship Id="rId13" Type="http://schemas.openxmlformats.org/officeDocument/2006/relationships/hyperlink" Target="https://tinyurl.com/5x23mtst" TargetMode="External"/><Relationship Id="rId3" Type="http://schemas.openxmlformats.org/officeDocument/2006/relationships/hyperlink" Target="https://maatpeace.org/wp-content/uploads/2024/03/Fragile-protection-and-missing-justice.pdf" TargetMode="External"/><Relationship Id="rId7" Type="http://schemas.openxmlformats.org/officeDocument/2006/relationships/hyperlink" Target="https://manshurat.org/node/7355" TargetMode="External"/><Relationship Id="rId12" Type="http://schemas.openxmlformats.org/officeDocument/2006/relationships/hyperlink" Target="https://manshurat.org/node/61248" TargetMode="External"/><Relationship Id="rId17" Type="http://schemas.openxmlformats.org/officeDocument/2006/relationships/hyperlink" Target="https://egypt.iom.int/sites/g/files/tmzbdl1021/files/documents/iom-country-strategy_final.pdf" TargetMode="External"/><Relationship Id="rId2" Type="http://schemas.openxmlformats.org/officeDocument/2006/relationships/hyperlink" Target="https://egypt.iom.int/news/100-million-siha-who-unhcr-and-iom-organize-screening-hepatitis-c-increase-refugees-awareness" TargetMode="External"/><Relationship Id="rId16" Type="http://schemas.openxmlformats.org/officeDocument/2006/relationships/hyperlink" Target="https://manshurat.org/node/68148" TargetMode="External"/><Relationship Id="rId1" Type="http://schemas.openxmlformats.org/officeDocument/2006/relationships/hyperlink" Target="https://egypt.iom.int/sites/g/files/tmzbdl1021/files/documents/migration-stock-in-egypt-june-2022_v4_arb.pdf" TargetMode="External"/><Relationship Id="rId6" Type="http://schemas.openxmlformats.org/officeDocument/2006/relationships/hyperlink" Target="https://tinyurl.com/3v285xv2" TargetMode="External"/><Relationship Id="rId11" Type="http://schemas.openxmlformats.org/officeDocument/2006/relationships/hyperlink" Target="https://tinyurl.com/2p9r3ecz" TargetMode="External"/><Relationship Id="rId5" Type="http://schemas.openxmlformats.org/officeDocument/2006/relationships/hyperlink" Target="https://www.bbc.com/arabic/articles/c87zyv28n65o" TargetMode="External"/><Relationship Id="rId15" Type="http://schemas.openxmlformats.org/officeDocument/2006/relationships/hyperlink" Target="https://webapps.ilo.org/wcmsp5/groups/public/---arabstates/---ro-beirut/documents/publication/wcms_884552.pdf" TargetMode="External"/><Relationship Id="rId10" Type="http://schemas.openxmlformats.org/officeDocument/2006/relationships/hyperlink" Target="https://www.siyassa.org.eg/News/19646.aspx" TargetMode="External"/><Relationship Id="rId4" Type="http://schemas.openxmlformats.org/officeDocument/2006/relationships/hyperlink" Target="https://hrightsstudies.sis.gov.eg/national-dialogue/what-is-egypts-national-dialogue/" TargetMode="External"/><Relationship Id="rId9" Type="http://schemas.openxmlformats.org/officeDocument/2006/relationships/hyperlink" Target="https://egypt.iom.int/sites/g/files/tmzbdl1021/files/documents/migration-stock-in-egypt-june-2022_v4_arb.pdf" TargetMode="External"/><Relationship Id="rId14" Type="http://schemas.openxmlformats.org/officeDocument/2006/relationships/hyperlink" Target="https://webapps.ilo.org/wcmsp5/groups/public/---dgreports/---ddg_p/documents/publication/wcms_82411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Maat%20Templates\templates_Reports\Maa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0" ma:contentTypeDescription="Create a new document." ma:contentTypeScope="" ma:versionID="2637ccb1bb05592be5f0fd9e6afc9636">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6ff72a1e1412fb1c7958af630265a777"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390763-19D1-4FCA-A10F-CDA80D835E80}">
  <ds:schemaRefs>
    <ds:schemaRef ds:uri="http://schemas.openxmlformats.org/officeDocument/2006/bibliography"/>
  </ds:schemaRefs>
</ds:datastoreItem>
</file>

<file path=customXml/itemProps2.xml><?xml version="1.0" encoding="utf-8"?>
<ds:datastoreItem xmlns:ds="http://schemas.openxmlformats.org/officeDocument/2006/customXml" ds:itemID="{3361EFB2-CAC2-410B-A400-550756EC8B59}"/>
</file>

<file path=customXml/itemProps3.xml><?xml version="1.0" encoding="utf-8"?>
<ds:datastoreItem xmlns:ds="http://schemas.openxmlformats.org/officeDocument/2006/customXml" ds:itemID="{CFB18CA0-2DE3-435B-B8F4-B5FAC382B389}"/>
</file>

<file path=docProps/app.xml><?xml version="1.0" encoding="utf-8"?>
<Properties xmlns="http://schemas.openxmlformats.org/officeDocument/2006/extended-properties" xmlns:vt="http://schemas.openxmlformats.org/officeDocument/2006/docPropsVTypes">
  <Template>Maat</Template>
  <TotalTime>5</TotalTime>
  <Pages>8</Pages>
  <Words>2977</Words>
  <Characters>16973</Characters>
  <Application>Microsoft Office Word</Application>
  <DocSecurity>0</DocSecurity>
  <Lines>141</Lines>
  <Paragraphs>39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مؤشر الإرهاب في المنطقة العربية</vt:lpstr>
    </vt:vector>
  </TitlesOfParts>
  <Company/>
  <LinksUpToDate>false</LinksUpToDate>
  <CharactersWithSpaces>19911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Marina</cp:lastModifiedBy>
  <cp:revision>1</cp:revision>
  <dcterms:created xsi:type="dcterms:W3CDTF">2024-05-08T07:52:00Z</dcterms:created>
  <dcterms:modified xsi:type="dcterms:W3CDTF">2024-05-08T07:57:00Z</dcterms:modified>
  <cp:category/>
</cp:coreProperties>
</file>