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62A" w:rsidRDefault="000F362A" w:rsidP="000F362A">
      <w:pPr>
        <w:pStyle w:val="Heading1"/>
        <w:spacing w:before="0" w:after="0" w:line="240" w:lineRule="auto"/>
        <w:jc w:val="center"/>
      </w:pPr>
      <w:bookmarkStart w:id="0" w:name="_GoBack"/>
      <w:bookmarkEnd w:id="0"/>
      <w:r>
        <w:t>Corrupción y el derecho a la alimentación en Colombia.</w:t>
      </w:r>
    </w:p>
    <w:p w:rsidR="000F362A" w:rsidRPr="00566E10" w:rsidRDefault="000F362A" w:rsidP="000F362A">
      <w:pPr>
        <w:pStyle w:val="Heading1"/>
        <w:spacing w:before="0" w:after="0" w:line="240" w:lineRule="auto"/>
        <w:jc w:val="center"/>
        <w:rPr>
          <w:b w:val="0"/>
          <w:i/>
          <w:sz w:val="28"/>
          <w:szCs w:val="28"/>
        </w:rPr>
      </w:pPr>
      <w:r w:rsidRPr="00566E10">
        <w:rPr>
          <w:b w:val="0"/>
          <w:i/>
          <w:sz w:val="28"/>
          <w:szCs w:val="28"/>
        </w:rPr>
        <w:t>Presentación al Comité de Derechos Económicos, Sociales y Culturales de las Naciones Unidas.</w:t>
      </w:r>
    </w:p>
    <w:p w:rsidR="000F362A" w:rsidRPr="00566E10" w:rsidRDefault="000F362A" w:rsidP="000F362A">
      <w:pPr>
        <w:pStyle w:val="Heading1"/>
        <w:spacing w:before="0" w:after="0" w:line="240" w:lineRule="auto"/>
        <w:jc w:val="center"/>
        <w:rPr>
          <w:b w:val="0"/>
          <w:i/>
          <w:sz w:val="28"/>
          <w:szCs w:val="28"/>
        </w:rPr>
      </w:pPr>
      <w:r w:rsidRPr="00566E10">
        <w:rPr>
          <w:b w:val="0"/>
          <w:i/>
          <w:sz w:val="28"/>
          <w:szCs w:val="28"/>
        </w:rPr>
        <w:t>Examen previo al período de sesiones de Colombia.</w:t>
      </w:r>
    </w:p>
    <w:p w:rsidR="003D61AB" w:rsidRDefault="003D61AB" w:rsidP="000F362A">
      <w:pPr>
        <w:pStyle w:val="Heading1"/>
        <w:spacing w:before="0" w:after="0" w:line="240" w:lineRule="auto"/>
        <w:jc w:val="center"/>
        <w:rPr>
          <w:b w:val="0"/>
          <w:sz w:val="24"/>
          <w:szCs w:val="24"/>
        </w:rPr>
      </w:pPr>
    </w:p>
    <w:p w:rsidR="000F362A" w:rsidRPr="003D61AB" w:rsidRDefault="000F362A" w:rsidP="000F362A">
      <w:pPr>
        <w:pStyle w:val="Heading1"/>
        <w:spacing w:before="0" w:after="0" w:line="240" w:lineRule="auto"/>
        <w:jc w:val="center"/>
        <w:rPr>
          <w:b w:val="0"/>
          <w:sz w:val="24"/>
          <w:szCs w:val="24"/>
        </w:rPr>
      </w:pPr>
      <w:r w:rsidRPr="003D61AB">
        <w:rPr>
          <w:b w:val="0"/>
          <w:sz w:val="24"/>
          <w:szCs w:val="24"/>
        </w:rPr>
        <w:t>Corporación Transparencia por Colombia.</w:t>
      </w:r>
    </w:p>
    <w:p w:rsidR="000879C9" w:rsidRDefault="000879C9" w:rsidP="009701C5">
      <w:pPr>
        <w:pStyle w:val="Heading2"/>
        <w:rPr>
          <w:color w:val="auto"/>
        </w:rPr>
      </w:pPr>
    </w:p>
    <w:p w:rsidR="009701C5" w:rsidRDefault="009701C5" w:rsidP="009701C5">
      <w:pPr>
        <w:pStyle w:val="Heading2"/>
        <w:rPr>
          <w:color w:val="auto"/>
        </w:rPr>
      </w:pPr>
      <w:r w:rsidRPr="009701C5">
        <w:rPr>
          <w:color w:val="auto"/>
        </w:rPr>
        <w:t xml:space="preserve">Introducción. </w:t>
      </w:r>
    </w:p>
    <w:p w:rsidR="00566E10" w:rsidRDefault="00F25B75" w:rsidP="00F25B75">
      <w:pPr>
        <w:jc w:val="both"/>
      </w:pPr>
      <w:r>
        <w:t>El Secretariado de Transpa</w:t>
      </w:r>
      <w:r w:rsidR="00BB1DDD">
        <w:t>rencia Internacional (TI-S)</w:t>
      </w:r>
      <w:r w:rsidR="00566E10">
        <w:t>,</w:t>
      </w:r>
      <w:r w:rsidR="00BB1DDD">
        <w:t xml:space="preserve"> es la instancia coordinadora de la coalición global contra la corrupción. Con más de 100 capítulos </w:t>
      </w:r>
      <w:r w:rsidR="00566E10">
        <w:t>nacionales a lo largo del mundo, trabajamos en alianza con los gobiernos, las empresas y la sociedad civil para implementar medidas eficaces para combatir la corrupción</w:t>
      </w:r>
      <w:r w:rsidR="009943F1" w:rsidRPr="00AD7A2C">
        <w:rPr>
          <w:rStyle w:val="FootnoteReference"/>
          <w:rFonts w:asciiTheme="minorHAnsi" w:hAnsiTheme="minorHAnsi"/>
        </w:rPr>
        <w:footnoteReference w:id="1"/>
      </w:r>
      <w:r w:rsidR="00566E10">
        <w:t xml:space="preserve">. </w:t>
      </w:r>
    </w:p>
    <w:p w:rsidR="00566E10" w:rsidRDefault="00566E10" w:rsidP="00F25B75">
      <w:pPr>
        <w:jc w:val="both"/>
      </w:pPr>
      <w:r>
        <w:t xml:space="preserve">Transparencia por Colombia (TPC), capitulo nacional de Transparencia Internacional, es una organización de la sociedad civil que contribuye a </w:t>
      </w:r>
      <w:r w:rsidRPr="00F063CD">
        <w:t>lograr un p</w:t>
      </w:r>
      <w:r>
        <w:t>aís libre de corrupción, donde e</w:t>
      </w:r>
      <w:r w:rsidRPr="00F063CD">
        <w:t>sta no sea tolerada y donde la ciudadanía, el sector privado y el sector público de manera activa sancionen los actos de corrupción y se comprometan a combatirlos</w:t>
      </w:r>
      <w:r w:rsidR="009943F1">
        <w:rPr>
          <w:rStyle w:val="FootnoteReference"/>
        </w:rPr>
        <w:footnoteReference w:id="2"/>
      </w:r>
      <w:r>
        <w:t xml:space="preserve">. </w:t>
      </w:r>
    </w:p>
    <w:p w:rsidR="009701C5" w:rsidRPr="009701C5" w:rsidRDefault="00566E10" w:rsidP="009701C5">
      <w:pPr>
        <w:jc w:val="both"/>
      </w:pPr>
      <w:r>
        <w:t xml:space="preserve">Transparencia Internacional (TI) considera que la </w:t>
      </w:r>
      <w:r w:rsidR="001B59C4">
        <w:t xml:space="preserve">relación entre </w:t>
      </w:r>
      <w:r>
        <w:t>corrupción y la violación de los derechos humanos</w:t>
      </w:r>
      <w:r w:rsidR="001B59C4">
        <w:t xml:space="preserve"> es clara</w:t>
      </w:r>
      <w:r>
        <w:t xml:space="preserve">, y tanto el Secretariado como los capítulos nacionales han comenzado a utilizar mecanismos internacionales y regionales </w:t>
      </w:r>
      <w:r w:rsidR="001B59C4">
        <w:t xml:space="preserve">para abordar tal relación y evitar que la corrupción obstaculice la plena realización de estos derechos. También reconocemos y celebramos el hecho de que el Comité de </w:t>
      </w:r>
      <w:r w:rsidR="009701C5">
        <w:t xml:space="preserve">Derechos </w:t>
      </w:r>
      <w:r w:rsidR="009701C5" w:rsidRPr="009701C5">
        <w:t>Económicos, Sociales y Cu</w:t>
      </w:r>
      <w:r w:rsidR="009701C5">
        <w:t xml:space="preserve">lturales (CESCR) le esté prestando mayor atención al tema y esté haciendo recomendaciones a las obligaciones estatales para hacerle frente a la corrupción como parte de sus obligaciones en virtud del Pacto. </w:t>
      </w:r>
    </w:p>
    <w:p w:rsidR="00E02F1F" w:rsidRDefault="009701C5" w:rsidP="009701C5">
      <w:pPr>
        <w:jc w:val="both"/>
      </w:pPr>
      <w:r>
        <w:t xml:space="preserve">En el presente </w:t>
      </w:r>
      <w:r w:rsidR="00335FBA">
        <w:t>informe</w:t>
      </w:r>
      <w:r>
        <w:t xml:space="preserve"> se </w:t>
      </w:r>
      <w:r w:rsidR="00B85E71">
        <w:t>exponen</w:t>
      </w:r>
      <w:r>
        <w:t xml:space="preserve"> graves y generalizadas violaciones al derecho a la alimentac</w:t>
      </w:r>
      <w:r w:rsidR="00B85E71">
        <w:t xml:space="preserve">ión en Colombia como consecuencia de la corrupción sistemática en el Programa de Alimentación Escolar (PAE), sistema estatal responsable de garantizar que todos los estudiantes de las escuelas públicas del país tengan acceso a alimentación nutritiva y de calidad. </w:t>
      </w:r>
      <w:r w:rsidR="000879C9">
        <w:t xml:space="preserve">A pesar de </w:t>
      </w:r>
      <w:r w:rsidR="00FD3D68">
        <w:t xml:space="preserve">una inversión  anual de cerca de 800 mil millones de pesos y a pesar de </w:t>
      </w:r>
      <w:r w:rsidR="000879C9">
        <w:t xml:space="preserve">diversas alertas tempranas, </w:t>
      </w:r>
      <w:r w:rsidR="00FD3D68">
        <w:t xml:space="preserve">la corrupción y la falta de transparencia en las entidades estatales encargadas de la contratación y control de este servicio, así como en las empresas privadas responsables de su implementación, han permitido que </w:t>
      </w:r>
      <w:r w:rsidR="007349A3">
        <w:t>miles de estudian</w:t>
      </w:r>
      <w:r w:rsidR="00FD3D68">
        <w:t xml:space="preserve">tes reciban alimentos contaminados, comidas muy por debajo de </w:t>
      </w:r>
      <w:r w:rsidR="00FD3D68">
        <w:lastRenderedPageBreak/>
        <w:t xml:space="preserve">los requerimientos mínimos nutricionales, e incluso que en algunos departamentos la desnutrición crónica se haya convertido en un serio problema en los colegios. </w:t>
      </w:r>
    </w:p>
    <w:p w:rsidR="00335FBA" w:rsidRDefault="00FD3D68" w:rsidP="009701C5">
      <w:pPr>
        <w:jc w:val="both"/>
      </w:pPr>
      <w:r>
        <w:t>C</w:t>
      </w:r>
      <w:r w:rsidR="00B85E71">
        <w:t xml:space="preserve">on base en ello, </w:t>
      </w:r>
      <w:r w:rsidR="00335FBA">
        <w:t xml:space="preserve">en </w:t>
      </w:r>
      <w:r w:rsidR="00B85E71">
        <w:t>TPC considera</w:t>
      </w:r>
      <w:r w:rsidR="00335FBA">
        <w:t>mos</w:t>
      </w:r>
      <w:r w:rsidR="00B85E71">
        <w:t xml:space="preserve"> que Colombia está incumpliendo sus obligaciones bajo el Pacto Internacional de Derechos </w:t>
      </w:r>
      <w:r w:rsidR="00335FBA">
        <w:t xml:space="preserve">Económicos, Sociales y Culturales, en particular en relación con los artículos 2 y 11, e instamos al Comité a que le solicite al estado colombiano información adicional acerca de las investigaciones y sanciones judiciales, disciplinarias y civiles alrededor de este tema, </w:t>
      </w:r>
      <w:r w:rsidR="003D61AB">
        <w:t xml:space="preserve">datos consolidados sobre el número estimado de niñas, niños y adolescentes que se vieron perjudicados por estos hechos, </w:t>
      </w:r>
      <w:r w:rsidR="00335FBA">
        <w:t>así como de las políticas y medidas institucionales que se han implementado para prevenirlo. También le solicitamos al Comité</w:t>
      </w:r>
      <w:r w:rsidR="00B85E71">
        <w:t xml:space="preserve"> </w:t>
      </w:r>
      <w:r w:rsidR="00335FBA">
        <w:t xml:space="preserve">formular dentro de sus conclusiones recomendaciones enfocadas en las violaciones que se exponen en este informe a continuación. </w:t>
      </w:r>
    </w:p>
    <w:p w:rsidR="00A51664" w:rsidRPr="009D69AD" w:rsidRDefault="00A51664" w:rsidP="00A51664">
      <w:pPr>
        <w:pStyle w:val="Subtitle"/>
        <w:numPr>
          <w:ilvl w:val="0"/>
          <w:numId w:val="6"/>
        </w:numPr>
        <w:rPr>
          <w:color w:val="auto"/>
        </w:rPr>
      </w:pPr>
      <w:r>
        <w:rPr>
          <w:color w:val="auto"/>
        </w:rPr>
        <w:t>Principales cifras.</w:t>
      </w:r>
    </w:p>
    <w:p w:rsidR="0013228A" w:rsidRPr="0013228A" w:rsidRDefault="0013228A" w:rsidP="0013228A">
      <w:pPr>
        <w:pStyle w:val="ListParagraph"/>
        <w:numPr>
          <w:ilvl w:val="0"/>
          <w:numId w:val="7"/>
        </w:numPr>
        <w:rPr>
          <w:b w:val="0"/>
        </w:rPr>
      </w:pPr>
      <w:r>
        <w:rPr>
          <w:b w:val="0"/>
        </w:rPr>
        <w:t>En</w:t>
      </w:r>
      <w:r w:rsidRPr="0013228A">
        <w:rPr>
          <w:b w:val="0"/>
        </w:rPr>
        <w:t xml:space="preserve"> 2016</w:t>
      </w:r>
      <w:r>
        <w:rPr>
          <w:b w:val="0"/>
        </w:rPr>
        <w:t>,</w:t>
      </w:r>
      <w:r w:rsidRPr="0013228A">
        <w:rPr>
          <w:b w:val="0"/>
        </w:rPr>
        <w:t xml:space="preserve"> el PAE debió haber suministrado 4´073.700 raciones de alimento en 35 mil sedes educativas urbanas y rurales en Colombia, por un costo de 674 mil millones de pesos. </w:t>
      </w:r>
    </w:p>
    <w:p w:rsidR="00885660" w:rsidRDefault="008D1B35" w:rsidP="0013228A">
      <w:pPr>
        <w:pStyle w:val="ListParagraph"/>
        <w:numPr>
          <w:ilvl w:val="0"/>
          <w:numId w:val="7"/>
        </w:numPr>
        <w:rPr>
          <w:b w:val="0"/>
        </w:rPr>
      </w:pPr>
      <w:r w:rsidRPr="0013228A">
        <w:rPr>
          <w:b w:val="0"/>
        </w:rPr>
        <w:t>La C</w:t>
      </w:r>
      <w:r w:rsidR="0013228A" w:rsidRPr="0013228A">
        <w:rPr>
          <w:b w:val="0"/>
        </w:rPr>
        <w:t xml:space="preserve">ontraloría </w:t>
      </w:r>
      <w:r w:rsidRPr="0013228A">
        <w:rPr>
          <w:b w:val="0"/>
        </w:rPr>
        <w:t>G</w:t>
      </w:r>
      <w:r w:rsidR="0013228A" w:rsidRPr="0013228A">
        <w:rPr>
          <w:b w:val="0"/>
        </w:rPr>
        <w:t xml:space="preserve">eneral de la </w:t>
      </w:r>
      <w:r w:rsidRPr="0013228A">
        <w:rPr>
          <w:b w:val="0"/>
        </w:rPr>
        <w:t>R</w:t>
      </w:r>
      <w:r w:rsidR="0013228A" w:rsidRPr="0013228A">
        <w:rPr>
          <w:b w:val="0"/>
        </w:rPr>
        <w:t>epública</w:t>
      </w:r>
      <w:r w:rsidRPr="0013228A">
        <w:rPr>
          <w:b w:val="0"/>
        </w:rPr>
        <w:t xml:space="preserve"> </w:t>
      </w:r>
      <w:r w:rsidR="0013228A" w:rsidRPr="0013228A">
        <w:rPr>
          <w:b w:val="0"/>
        </w:rPr>
        <w:t>detectó irregularidades</w:t>
      </w:r>
      <w:r w:rsidRPr="0013228A">
        <w:rPr>
          <w:b w:val="0"/>
        </w:rPr>
        <w:t xml:space="preserve"> </w:t>
      </w:r>
      <w:r w:rsidR="0013228A" w:rsidRPr="0013228A">
        <w:rPr>
          <w:b w:val="0"/>
        </w:rPr>
        <w:t xml:space="preserve">en </w:t>
      </w:r>
      <w:r w:rsidRPr="0013228A">
        <w:rPr>
          <w:b w:val="0"/>
        </w:rPr>
        <w:t>24 departamentos que han manejado recursos del PAE</w:t>
      </w:r>
      <w:r w:rsidR="0013228A" w:rsidRPr="0013228A">
        <w:rPr>
          <w:b w:val="0"/>
        </w:rPr>
        <w:t xml:space="preserve">, </w:t>
      </w:r>
      <w:r w:rsidRPr="0013228A">
        <w:rPr>
          <w:b w:val="0"/>
        </w:rPr>
        <w:t xml:space="preserve">con </w:t>
      </w:r>
      <w:r w:rsidR="00E6566F">
        <w:rPr>
          <w:b w:val="0"/>
        </w:rPr>
        <w:t>desvíos de dineros por un total de</w:t>
      </w:r>
      <w:r w:rsidRPr="0013228A">
        <w:rPr>
          <w:b w:val="0"/>
        </w:rPr>
        <w:t xml:space="preserve"> $62.488 millones de pesos</w:t>
      </w:r>
      <w:r w:rsidR="00E6566F">
        <w:rPr>
          <w:b w:val="0"/>
        </w:rPr>
        <w:t xml:space="preserve"> (</w:t>
      </w:r>
      <w:r w:rsidR="0013228A" w:rsidRPr="0013228A">
        <w:rPr>
          <w:b w:val="0"/>
        </w:rPr>
        <w:t>suficientes para alimentar diariamente por dos años a 17 mil niños</w:t>
      </w:r>
      <w:r w:rsidR="00E6566F">
        <w:rPr>
          <w:b w:val="0"/>
        </w:rPr>
        <w:t>)</w:t>
      </w:r>
      <w:r w:rsidR="0013228A" w:rsidRPr="0013228A">
        <w:rPr>
          <w:b w:val="0"/>
        </w:rPr>
        <w:t xml:space="preserve">. </w:t>
      </w:r>
    </w:p>
    <w:p w:rsidR="00E6566F" w:rsidRPr="00E6566F" w:rsidRDefault="00E6566F" w:rsidP="00E6566F">
      <w:pPr>
        <w:pStyle w:val="ListParagraph"/>
        <w:numPr>
          <w:ilvl w:val="1"/>
          <w:numId w:val="7"/>
        </w:numPr>
        <w:rPr>
          <w:b w:val="0"/>
        </w:rPr>
      </w:pPr>
      <w:r>
        <w:rPr>
          <w:b w:val="0"/>
        </w:rPr>
        <w:t xml:space="preserve">Solo en el departamento de La Guajira, entre 2014 y 2015 se desviaron cerca de 17 mil millones de pesos destinados a la alimentación escolar, dato importante teniendo en cuenta que en ese mismo periodo de tiempo murieron 48 niños guajiros por desnutrición. </w:t>
      </w:r>
    </w:p>
    <w:p w:rsidR="00EF03E9" w:rsidRDefault="00EF03E9" w:rsidP="0013228A">
      <w:pPr>
        <w:pStyle w:val="ListParagraph"/>
        <w:numPr>
          <w:ilvl w:val="0"/>
          <w:numId w:val="7"/>
        </w:numPr>
        <w:rPr>
          <w:b w:val="0"/>
        </w:rPr>
      </w:pPr>
      <w:r w:rsidRPr="0013228A">
        <w:rPr>
          <w:b w:val="0"/>
        </w:rPr>
        <w:t>La Defensoría del Pueblo identificó 13 municipios con irregularidades graves en la implementación del PAE</w:t>
      </w:r>
      <w:r w:rsidR="0013228A" w:rsidRPr="0013228A">
        <w:rPr>
          <w:b w:val="0"/>
        </w:rPr>
        <w:t xml:space="preserve">, afectando la salud y la nutrición </w:t>
      </w:r>
      <w:r w:rsidR="00E6566F">
        <w:rPr>
          <w:b w:val="0"/>
        </w:rPr>
        <w:t>en miles de</w:t>
      </w:r>
      <w:r w:rsidR="0013228A" w:rsidRPr="0013228A">
        <w:rPr>
          <w:b w:val="0"/>
        </w:rPr>
        <w:t xml:space="preserve"> niños y adolescentes. </w:t>
      </w:r>
    </w:p>
    <w:p w:rsidR="00E6566F" w:rsidRDefault="0013228A" w:rsidP="00E6566F">
      <w:pPr>
        <w:pStyle w:val="ListParagraph"/>
        <w:numPr>
          <w:ilvl w:val="1"/>
          <w:numId w:val="7"/>
        </w:numPr>
        <w:rPr>
          <w:b w:val="0"/>
        </w:rPr>
      </w:pPr>
      <w:r w:rsidRPr="0013228A">
        <w:rPr>
          <w:b w:val="0"/>
        </w:rPr>
        <w:t xml:space="preserve">Los colegios de Manaure, </w:t>
      </w:r>
      <w:proofErr w:type="spellStart"/>
      <w:r w:rsidRPr="0013228A">
        <w:rPr>
          <w:b w:val="0"/>
        </w:rPr>
        <w:t>Uribia</w:t>
      </w:r>
      <w:proofErr w:type="spellEnd"/>
      <w:r w:rsidRPr="0013228A">
        <w:rPr>
          <w:b w:val="0"/>
        </w:rPr>
        <w:t xml:space="preserve">, Riohacha, Maicao, Quibdó, </w:t>
      </w:r>
      <w:proofErr w:type="spellStart"/>
      <w:r w:rsidRPr="0013228A">
        <w:rPr>
          <w:b w:val="0"/>
        </w:rPr>
        <w:t>Unguía</w:t>
      </w:r>
      <w:proofErr w:type="spellEnd"/>
      <w:r w:rsidRPr="0013228A">
        <w:rPr>
          <w:b w:val="0"/>
        </w:rPr>
        <w:t xml:space="preserve">, Yuto, Alto </w:t>
      </w:r>
      <w:proofErr w:type="spellStart"/>
      <w:r w:rsidRPr="0013228A">
        <w:rPr>
          <w:b w:val="0"/>
        </w:rPr>
        <w:t>Andágueda</w:t>
      </w:r>
      <w:proofErr w:type="spellEnd"/>
      <w:r w:rsidRPr="0013228A">
        <w:rPr>
          <w:b w:val="0"/>
        </w:rPr>
        <w:t xml:space="preserve">, Malambo, Caracolí, Puerto Colombia y </w:t>
      </w:r>
      <w:proofErr w:type="spellStart"/>
      <w:r w:rsidRPr="0013228A">
        <w:rPr>
          <w:b w:val="0"/>
        </w:rPr>
        <w:t>Tubará</w:t>
      </w:r>
      <w:proofErr w:type="spellEnd"/>
      <w:r w:rsidRPr="0013228A">
        <w:rPr>
          <w:b w:val="0"/>
        </w:rPr>
        <w:t>, no contaban con sitios para recibir, almacenar o preparar adecuadamente los alimentos</w:t>
      </w:r>
      <w:r>
        <w:rPr>
          <w:b w:val="0"/>
        </w:rPr>
        <w:t>.</w:t>
      </w:r>
    </w:p>
    <w:p w:rsidR="00E6566F" w:rsidRPr="00E6566F" w:rsidRDefault="00EF03E9" w:rsidP="00E6566F">
      <w:pPr>
        <w:pStyle w:val="ListParagraph"/>
        <w:numPr>
          <w:ilvl w:val="1"/>
          <w:numId w:val="7"/>
        </w:numPr>
        <w:rPr>
          <w:b w:val="0"/>
        </w:rPr>
      </w:pPr>
      <w:r w:rsidRPr="00E6566F">
        <w:rPr>
          <w:b w:val="0"/>
        </w:rPr>
        <w:t xml:space="preserve">Entre 2015 </w:t>
      </w:r>
      <w:r w:rsidR="0013228A" w:rsidRPr="00E6566F">
        <w:rPr>
          <w:b w:val="0"/>
        </w:rPr>
        <w:t>y 2016, más de 300 estudiantes</w:t>
      </w:r>
      <w:r w:rsidRPr="00E6566F">
        <w:rPr>
          <w:b w:val="0"/>
        </w:rPr>
        <w:t xml:space="preserve"> en el departamento de Arauca resultaron intoxicados por ingerir alimentos en malas condiciones, de acuerdo a la Defensoría del Pueblo. </w:t>
      </w:r>
    </w:p>
    <w:p w:rsidR="00885660" w:rsidRPr="00E6566F" w:rsidRDefault="00EF03E9" w:rsidP="00E6566F">
      <w:pPr>
        <w:pStyle w:val="ListParagraph"/>
        <w:numPr>
          <w:ilvl w:val="1"/>
          <w:numId w:val="7"/>
        </w:numPr>
        <w:rPr>
          <w:b w:val="0"/>
        </w:rPr>
      </w:pPr>
      <w:r w:rsidRPr="00E6566F">
        <w:rPr>
          <w:b w:val="0"/>
        </w:rPr>
        <w:t xml:space="preserve">En 2015, la Secretaría de Salud del departamento del Atlántico encontró que en más del 70% de las muestras recolectadas en 94 centros había </w:t>
      </w:r>
      <w:r w:rsidR="00E6566F">
        <w:rPr>
          <w:b w:val="0"/>
        </w:rPr>
        <w:t xml:space="preserve">alta </w:t>
      </w:r>
      <w:r w:rsidRPr="00E6566F">
        <w:rPr>
          <w:b w:val="0"/>
        </w:rPr>
        <w:t xml:space="preserve">presencia de </w:t>
      </w:r>
      <w:r w:rsidR="00E6566F">
        <w:rPr>
          <w:b w:val="0"/>
        </w:rPr>
        <w:t>materia fecal y otras sustancias</w:t>
      </w:r>
      <w:r w:rsidRPr="00E6566F">
        <w:rPr>
          <w:b w:val="0"/>
        </w:rPr>
        <w:t xml:space="preserve">. </w:t>
      </w:r>
    </w:p>
    <w:p w:rsidR="00E6566F" w:rsidRDefault="00E6566F" w:rsidP="00E6566F">
      <w:pPr>
        <w:pStyle w:val="Subtitle"/>
        <w:numPr>
          <w:ilvl w:val="0"/>
          <w:numId w:val="0"/>
        </w:numPr>
        <w:ind w:left="720"/>
        <w:rPr>
          <w:color w:val="auto"/>
        </w:rPr>
      </w:pPr>
    </w:p>
    <w:p w:rsidR="00E6566F" w:rsidRPr="00E6566F" w:rsidRDefault="00E6566F" w:rsidP="00E6566F">
      <w:pPr>
        <w:rPr>
          <w:lang w:eastAsia="es-CO"/>
        </w:rPr>
      </w:pPr>
    </w:p>
    <w:p w:rsidR="009D69AD" w:rsidRPr="009D69AD" w:rsidRDefault="009D69AD" w:rsidP="00A51664">
      <w:pPr>
        <w:pStyle w:val="Subtitle"/>
        <w:numPr>
          <w:ilvl w:val="0"/>
          <w:numId w:val="6"/>
        </w:numPr>
        <w:rPr>
          <w:color w:val="auto"/>
        </w:rPr>
      </w:pPr>
      <w:r w:rsidRPr="009D69AD">
        <w:rPr>
          <w:color w:val="auto"/>
        </w:rPr>
        <w:t>Cronología</w:t>
      </w:r>
      <w:r>
        <w:rPr>
          <w:color w:val="auto"/>
        </w:rPr>
        <w:t xml:space="preserve"> de los hechos.</w:t>
      </w:r>
    </w:p>
    <w:p w:rsidR="009D69AD" w:rsidRPr="00F44033" w:rsidRDefault="009D69AD" w:rsidP="009D69AD">
      <w:pPr>
        <w:jc w:val="both"/>
        <w:rPr>
          <w:b/>
        </w:rPr>
      </w:pPr>
      <w:r w:rsidRPr="00F44033">
        <w:t>Hasta el 2011, el PAE estuvo a cargo del Instituto Co</w:t>
      </w:r>
      <w:r>
        <w:t>lombiano de Bienestar Familiar (</w:t>
      </w:r>
      <w:r w:rsidRPr="00F44033">
        <w:t>ICBF</w:t>
      </w:r>
      <w:r>
        <w:t>)</w:t>
      </w:r>
      <w:r w:rsidRPr="00F44033">
        <w:t>. Por  problemas en la contratación, ejecución y cumplimiento, la Ley 1450 de 2011  trasladó el manejo del PAE al Mi</w:t>
      </w:r>
      <w:r>
        <w:t>nisterio de Educación Nacional (</w:t>
      </w:r>
      <w:r w:rsidRPr="00F44033">
        <w:t>MEN</w:t>
      </w:r>
      <w:r>
        <w:t>)</w:t>
      </w:r>
      <w:r w:rsidRPr="00F44033">
        <w:t>.</w:t>
      </w:r>
    </w:p>
    <w:p w:rsidR="009D69AD" w:rsidRPr="00F44033" w:rsidRDefault="009D69AD" w:rsidP="009D69AD">
      <w:pPr>
        <w:jc w:val="both"/>
        <w:rPr>
          <w:b/>
        </w:rPr>
      </w:pPr>
      <w:r w:rsidRPr="00F44033">
        <w:t>Este tránsito de funciones se terminó de implementar en septiembre de 2013, cuando el Vice ministerio de Educación Preescolar, Básica y Media absorbió plenamente las funciones del ICBF, excepto en el PAE para la primera infancia que continuó estando bajo la potestad de esta última.</w:t>
      </w:r>
    </w:p>
    <w:p w:rsidR="009D69AD" w:rsidRPr="00F44033" w:rsidRDefault="009D69AD" w:rsidP="009D69AD">
      <w:pPr>
        <w:jc w:val="both"/>
        <w:rPr>
          <w:rStyle w:val="Emphasis"/>
          <w:b/>
          <w:i w:val="0"/>
          <w:iCs w:val="0"/>
        </w:rPr>
      </w:pPr>
      <w:r w:rsidRPr="00F44033">
        <w:t>Los recursos del PAE fueron entregados por el MEN a las gobernaciones y alcaldías para que ellas se encargaran de su ejecución</w:t>
      </w:r>
      <w:r w:rsidRPr="00F44033">
        <w:rPr>
          <w:rStyle w:val="FootnoteReference"/>
        </w:rPr>
        <w:footnoteReference w:id="3"/>
      </w:r>
      <w:r>
        <w:t xml:space="preserve">, excepto en Bogotá </w:t>
      </w:r>
      <w:r w:rsidRPr="00F44033">
        <w:t>por tener un régimen especial de auton</w:t>
      </w:r>
      <w:r>
        <w:t>omía presupuestal en la materia,</w:t>
      </w:r>
      <w:r w:rsidRPr="00F44033">
        <w:t xml:space="preserve"> y </w:t>
      </w:r>
      <w:r>
        <w:t xml:space="preserve">en Amazonas </w:t>
      </w:r>
      <w:r w:rsidRPr="00F44033">
        <w:t>por ra</w:t>
      </w:r>
      <w:r>
        <w:t>zones que se están investigando.</w:t>
      </w:r>
      <w:r w:rsidRPr="00F44033">
        <w:t xml:space="preserve"> </w:t>
      </w:r>
    </w:p>
    <w:p w:rsidR="009D69AD" w:rsidRPr="00F44033" w:rsidRDefault="009D69AD" w:rsidP="009D69AD">
      <w:pPr>
        <w:jc w:val="both"/>
        <w:rPr>
          <w:b/>
        </w:rPr>
      </w:pPr>
      <w:r w:rsidRPr="00F44033">
        <w:t>A partir del mes de noviembre algunas secretarías de educación departamental y municipal</w:t>
      </w:r>
      <w:r w:rsidRPr="00F44033">
        <w:rPr>
          <w:rStyle w:val="FootnoteReference"/>
          <w:u w:val="single"/>
        </w:rPr>
        <w:footnoteReference w:id="4"/>
      </w:r>
      <w:r w:rsidRPr="00F44033">
        <w:t xml:space="preserve"> le informaron al MEN inconvenientes en la ejecución del PAE, especialmente los sobrecostos que el cambio de ejecutor presupuestal trajo consigo: mientras el régimen tributario especial del ICBF la eximía de pagar algunos impuestos y contribuciones, a los nuevos ejecutores, los gobiernos locales, si les correspondía  asumirlos</w:t>
      </w:r>
      <w:r w:rsidRPr="00F44033">
        <w:rPr>
          <w:rStyle w:val="FootnoteReference"/>
        </w:rPr>
        <w:footnoteReference w:id="5"/>
      </w:r>
      <w:r w:rsidRPr="00F44033">
        <w:t xml:space="preserve">. Los gobiernos locales se quejaron de no tener el dinero para ello. </w:t>
      </w:r>
    </w:p>
    <w:p w:rsidR="009D69AD" w:rsidRPr="00F44033" w:rsidRDefault="009D69AD" w:rsidP="009D69AD">
      <w:pPr>
        <w:jc w:val="both"/>
        <w:rPr>
          <w:b/>
        </w:rPr>
      </w:pPr>
      <w:r w:rsidRPr="00F44033">
        <w:t xml:space="preserve">El 5 de diciembre de 2013, la Federación de Gobernadores le anunció al MEN que no asumirán el PAE hasta contar con los recursos necesarios. Se negociaron unas nuevas condiciones –por determinar- que fueron aceptadas por todas las gobernaciones, excepto las de Cundinamarca y Atlántico, las cuales se declararon imposibilitadas para ejecutar directamente el PAE y le pidieron al MEN asumir el tema directamente.  </w:t>
      </w:r>
    </w:p>
    <w:p w:rsidR="009D69AD" w:rsidRPr="00F44033" w:rsidRDefault="009D69AD" w:rsidP="009D69AD">
      <w:pPr>
        <w:rPr>
          <w:b/>
        </w:rPr>
      </w:pPr>
      <w:r w:rsidRPr="00F44033">
        <w:t xml:space="preserve">Durante la primera mitad de 2014, el MEN operó el PAE a través de tres modalidades: </w:t>
      </w:r>
    </w:p>
    <w:p w:rsidR="009D69AD" w:rsidRPr="00F44033" w:rsidRDefault="009D69AD" w:rsidP="009D69AD">
      <w:pPr>
        <w:pStyle w:val="ListParagraph"/>
        <w:numPr>
          <w:ilvl w:val="0"/>
          <w:numId w:val="5"/>
        </w:numPr>
        <w:rPr>
          <w:b w:val="0"/>
        </w:rPr>
      </w:pPr>
      <w:r w:rsidRPr="00F44033">
        <w:rPr>
          <w:b w:val="0"/>
        </w:rPr>
        <w:t xml:space="preserve">Centralizada, en la que los procesos de contratación son realizados directamente por la Cartera; </w:t>
      </w:r>
    </w:p>
    <w:p w:rsidR="009D69AD" w:rsidRPr="00F44033" w:rsidRDefault="009D69AD" w:rsidP="009D69AD">
      <w:pPr>
        <w:pStyle w:val="ListParagraph"/>
        <w:numPr>
          <w:ilvl w:val="0"/>
          <w:numId w:val="5"/>
        </w:numPr>
        <w:rPr>
          <w:b w:val="0"/>
        </w:rPr>
      </w:pPr>
      <w:r w:rsidRPr="00F44033">
        <w:rPr>
          <w:b w:val="0"/>
        </w:rPr>
        <w:t>Descentralizada, en la que los procesos de contratación son realizados por alguna de las 95 Entida</w:t>
      </w:r>
      <w:r>
        <w:rPr>
          <w:b w:val="0"/>
        </w:rPr>
        <w:t>des Territoriales Certificadas (</w:t>
      </w:r>
      <w:r w:rsidRPr="00F44033">
        <w:rPr>
          <w:b w:val="0"/>
        </w:rPr>
        <w:t>ETC</w:t>
      </w:r>
      <w:r>
        <w:rPr>
          <w:b w:val="0"/>
        </w:rPr>
        <w:t>)</w:t>
      </w:r>
      <w:r w:rsidRPr="00F44033">
        <w:rPr>
          <w:b w:val="0"/>
        </w:rPr>
        <w:t xml:space="preserve">;   </w:t>
      </w:r>
    </w:p>
    <w:p w:rsidR="009D69AD" w:rsidRPr="00F44033" w:rsidRDefault="009D69AD" w:rsidP="009D69AD">
      <w:pPr>
        <w:pStyle w:val="ListParagraph"/>
        <w:numPr>
          <w:ilvl w:val="0"/>
          <w:numId w:val="5"/>
        </w:numPr>
        <w:rPr>
          <w:b w:val="0"/>
        </w:rPr>
      </w:pPr>
      <w:r w:rsidRPr="00F44033">
        <w:rPr>
          <w:b w:val="0"/>
        </w:rPr>
        <w:lastRenderedPageBreak/>
        <w:t xml:space="preserve">En  convenio con el ICBF. </w:t>
      </w:r>
    </w:p>
    <w:p w:rsidR="009D69AD" w:rsidRPr="00F44033" w:rsidRDefault="009D69AD" w:rsidP="009D69AD">
      <w:pPr>
        <w:jc w:val="both"/>
        <w:rPr>
          <w:b/>
        </w:rPr>
      </w:pPr>
      <w:r w:rsidRPr="00F44033">
        <w:t>Desde el segundo semestre de ese 2014, el MEN ejecutó el PAE a través solamente de las dos primeras modalidades, utilizando el mecanismo centralizado en el 59% de los departamentos del país (19/32).</w:t>
      </w:r>
    </w:p>
    <w:p w:rsidR="009D69AD" w:rsidRPr="00F44033" w:rsidRDefault="009D69AD" w:rsidP="009D69AD">
      <w:pPr>
        <w:jc w:val="both"/>
        <w:rPr>
          <w:b/>
        </w:rPr>
      </w:pPr>
      <w:r w:rsidRPr="00F44033">
        <w:t>La corrupción en la ejecución del PAE sale a la luz pública en 2015 gracias a una serie de reportajes que hacen los medios de comunicación sobre irregularidades en el PAE, salpicando tanto al MEN como a ICBF.</w:t>
      </w:r>
    </w:p>
    <w:p w:rsidR="009D69AD" w:rsidRPr="00F44033" w:rsidRDefault="009D69AD" w:rsidP="009D69AD">
      <w:pPr>
        <w:jc w:val="both"/>
        <w:rPr>
          <w:b/>
        </w:rPr>
      </w:pPr>
      <w:r w:rsidRPr="00F44033">
        <w:t xml:space="preserve">El mayor número de casos reportados se dieron en la región Caribe, especialmente en los departamentos de Magdalena, Cesar, Córdoba, Sucre, Atlántico, Bolívar y La Guajira. </w:t>
      </w:r>
      <w:r w:rsidRPr="00F44033">
        <w:rPr>
          <w:u w:val="single"/>
        </w:rPr>
        <w:t>Llama la atención que en los últimos tres la ejecución del PAE la manejó directamente el MEN a través de su operación centralizada</w:t>
      </w:r>
      <w:r w:rsidRPr="00F44033">
        <w:t xml:space="preserve">.  </w:t>
      </w:r>
    </w:p>
    <w:p w:rsidR="009D69AD" w:rsidRPr="00F44033" w:rsidRDefault="009D69AD" w:rsidP="009D69AD">
      <w:pPr>
        <w:jc w:val="both"/>
        <w:rPr>
          <w:b/>
        </w:rPr>
      </w:pPr>
      <w:r w:rsidRPr="00F44033">
        <w:t xml:space="preserve">En 2016 se conocen irregularidades en los departamentos de Chocó, Santander y Valle del Cauca, aunque se comienza a hablar de casos de corrupción de pequeña escala relacionados con el PAE en todo el país. </w:t>
      </w:r>
    </w:p>
    <w:p w:rsidR="009D69AD" w:rsidRPr="00F44033" w:rsidRDefault="009D69AD" w:rsidP="009D69AD">
      <w:pPr>
        <w:jc w:val="both"/>
        <w:rPr>
          <w:b/>
        </w:rPr>
      </w:pPr>
      <w:r w:rsidRPr="00F44033">
        <w:t xml:space="preserve">Se comienzan a revelar los nombres de los operadores con contratos millonarios con el MEN, el ICBF y las ETC que podrían haberse beneficiado por la corrupción. </w:t>
      </w:r>
    </w:p>
    <w:p w:rsidR="009D69AD" w:rsidRDefault="009D69AD" w:rsidP="009D69AD">
      <w:pPr>
        <w:jc w:val="both"/>
      </w:pPr>
      <w:r w:rsidRPr="00F44033">
        <w:t>A la fecha al MEN han llegado cerca de 54 mil reportes de irregularidades con la operación del PAE en todo el país.</w:t>
      </w:r>
    </w:p>
    <w:p w:rsidR="00E6566F" w:rsidRPr="00E6566F" w:rsidRDefault="00E6566F" w:rsidP="00E6566F">
      <w:pPr>
        <w:pStyle w:val="Subtitle"/>
        <w:numPr>
          <w:ilvl w:val="0"/>
          <w:numId w:val="6"/>
        </w:numPr>
        <w:rPr>
          <w:color w:val="auto"/>
        </w:rPr>
      </w:pPr>
      <w:r w:rsidRPr="00E6566F">
        <w:rPr>
          <w:color w:val="auto"/>
        </w:rPr>
        <w:t>Principales actores</w:t>
      </w:r>
    </w:p>
    <w:p w:rsidR="00E6566F" w:rsidRDefault="00E6566F" w:rsidP="00E6566F">
      <w:pPr>
        <w:pStyle w:val="ListParagraph"/>
        <w:numPr>
          <w:ilvl w:val="0"/>
          <w:numId w:val="9"/>
        </w:numPr>
        <w:rPr>
          <w:b w:val="0"/>
        </w:rPr>
      </w:pPr>
      <w:r w:rsidRPr="00E6566F">
        <w:rPr>
          <w:u w:val="single"/>
        </w:rPr>
        <w:t>El MEN, quien ha jugado un rol tanto de acusador como de acusado</w:t>
      </w:r>
      <w:r w:rsidRPr="00F44033">
        <w:t xml:space="preserve">. </w:t>
      </w:r>
      <w:r w:rsidRPr="00E6566F">
        <w:rPr>
          <w:b w:val="0"/>
        </w:rPr>
        <w:t xml:space="preserve">Lo primero, porque desde que se destapó el problema ha tenido un activo rol señalando a los operadores y a los gobiernos locales como los principales responsables de la corrupción en el PAE. Incluso en abril de 2016 el MEN presentó un informe señalando cómo estos se habrían tomado, a modo de </w:t>
      </w:r>
      <w:r w:rsidRPr="00E6566F">
        <w:rPr>
          <w:b w:val="0"/>
          <w:i/>
        </w:rPr>
        <w:t>cartel mafioso</w:t>
      </w:r>
      <w:r w:rsidRPr="00E6566F">
        <w:rPr>
          <w:b w:val="0"/>
        </w:rPr>
        <w:t>, los contratos del PAE</w:t>
      </w:r>
      <w:r w:rsidRPr="00E6566F">
        <w:rPr>
          <w:rStyle w:val="FootnoteReference"/>
          <w:b w:val="0"/>
        </w:rPr>
        <w:footnoteReference w:id="6"/>
      </w:r>
      <w:r w:rsidRPr="00E6566F">
        <w:rPr>
          <w:b w:val="0"/>
        </w:rPr>
        <w:t xml:space="preserve">. Aunque con menor despliegue mediático, también ha sido acusado por los gobiernos locales y operadores por no garantizar los recursos necesarios, por no responder efectivamente a las alertas tempranos y por no hacerle seguimiento a las licitaciones y contratos cuando fueron de su competencia. </w:t>
      </w:r>
    </w:p>
    <w:p w:rsidR="00E6566F" w:rsidRPr="00E6566F" w:rsidRDefault="00E6566F" w:rsidP="00E6566F">
      <w:pPr>
        <w:pStyle w:val="ListParagraph"/>
        <w:rPr>
          <w:b w:val="0"/>
        </w:rPr>
      </w:pPr>
    </w:p>
    <w:p w:rsidR="00E6566F" w:rsidRDefault="00E6566F" w:rsidP="00E6566F">
      <w:pPr>
        <w:pStyle w:val="ListParagraph"/>
        <w:numPr>
          <w:ilvl w:val="0"/>
          <w:numId w:val="9"/>
        </w:numPr>
        <w:rPr>
          <w:b w:val="0"/>
        </w:rPr>
      </w:pPr>
      <w:r w:rsidRPr="00E6566F">
        <w:rPr>
          <w:u w:val="single"/>
        </w:rPr>
        <w:t>Los contratistas, señalados de ser los principales responsables</w:t>
      </w:r>
      <w:r w:rsidRPr="00F44033">
        <w:t xml:space="preserve">. </w:t>
      </w:r>
      <w:r w:rsidRPr="00E6566F">
        <w:rPr>
          <w:b w:val="0"/>
        </w:rPr>
        <w:t xml:space="preserve">El seguimiento de prensa permite evidenciar que varias firmas cuentan con dos o más contratos de suministros de </w:t>
      </w:r>
      <w:r w:rsidRPr="00E6566F">
        <w:rPr>
          <w:b w:val="0"/>
        </w:rPr>
        <w:lastRenderedPageBreak/>
        <w:t>alimentos en varios departamentos, así como la manera en que varios contratos adjudicados se han realizado con contrataciones de un único oferente, de manera que aparecen como responsables no solamente esta firmas que incumplen en la ejecución del PAE sino las entidades territoriales encargadas del proceso de contratación. La concentración en la contratación también ha sido señalada por algunos órganos de control (Contraloría y Defensoría) como las principales causas de la corrupción en el PAE.</w:t>
      </w:r>
    </w:p>
    <w:p w:rsidR="00E6566F" w:rsidRPr="00E6566F" w:rsidRDefault="00E6566F" w:rsidP="00E6566F">
      <w:pPr>
        <w:pStyle w:val="ListParagraph"/>
        <w:rPr>
          <w:b w:val="0"/>
        </w:rPr>
      </w:pPr>
    </w:p>
    <w:p w:rsidR="00E6566F" w:rsidRPr="00E6566F" w:rsidRDefault="00E6566F" w:rsidP="00E6566F">
      <w:pPr>
        <w:pStyle w:val="ListParagraph"/>
        <w:numPr>
          <w:ilvl w:val="0"/>
          <w:numId w:val="9"/>
        </w:numPr>
        <w:rPr>
          <w:b w:val="0"/>
        </w:rPr>
      </w:pPr>
      <w:r w:rsidRPr="00E6566F">
        <w:rPr>
          <w:u w:val="single"/>
        </w:rPr>
        <w:t>Los organismos de control del Estado, de quienes se debe destacar su activa y eficaz gestión frente al tema</w:t>
      </w:r>
      <w:r w:rsidRPr="00F44033">
        <w:t xml:space="preserve">, </w:t>
      </w:r>
      <w:r w:rsidRPr="00E6566F">
        <w:rPr>
          <w:b w:val="0"/>
        </w:rPr>
        <w:t xml:space="preserve">en especial el de la Fiscalía, la Contraloría –tanto durante la dirección de Sandra </w:t>
      </w:r>
      <w:proofErr w:type="spellStart"/>
      <w:r w:rsidRPr="00E6566F">
        <w:rPr>
          <w:b w:val="0"/>
        </w:rPr>
        <w:t>Morelli</w:t>
      </w:r>
      <w:proofErr w:type="spellEnd"/>
      <w:r w:rsidRPr="00E6566F">
        <w:rPr>
          <w:b w:val="0"/>
        </w:rPr>
        <w:t xml:space="preserve"> como de Edgardo Maya-, la Procuraduría y la Defensoría, quienes a través de sus investigaciones, informes y visibilidad mediática ayudaron a poner el tema en la agenda pública y a generar presión en el Gobierno nacional en general y en el MEN en particular para que fortalecieran sus labores de inspección y vigilancia y repensaran las modalidades de contratación y ejecución del PAE.</w:t>
      </w:r>
    </w:p>
    <w:p w:rsidR="00E6566F" w:rsidRPr="00E6566F" w:rsidRDefault="00E6566F" w:rsidP="00E6566F">
      <w:pPr>
        <w:pStyle w:val="Subtitle"/>
        <w:numPr>
          <w:ilvl w:val="0"/>
          <w:numId w:val="6"/>
        </w:numPr>
        <w:rPr>
          <w:color w:val="auto"/>
        </w:rPr>
      </w:pPr>
      <w:r>
        <w:rPr>
          <w:color w:val="auto"/>
        </w:rPr>
        <w:t>Conclusiones</w:t>
      </w:r>
      <w:r w:rsidRPr="00E6566F">
        <w:rPr>
          <w:color w:val="auto"/>
        </w:rPr>
        <w:t xml:space="preserve">. </w:t>
      </w:r>
    </w:p>
    <w:p w:rsidR="00E6566F" w:rsidRPr="00E6566F" w:rsidRDefault="00E6566F" w:rsidP="00E6566F">
      <w:pPr>
        <w:pStyle w:val="ListParagraph"/>
        <w:numPr>
          <w:ilvl w:val="0"/>
          <w:numId w:val="10"/>
        </w:numPr>
        <w:rPr>
          <w:b w:val="0"/>
          <w:sz w:val="28"/>
          <w:szCs w:val="28"/>
        </w:rPr>
      </w:pPr>
      <w:r w:rsidRPr="00E6566F">
        <w:rPr>
          <w:u w:val="single"/>
        </w:rPr>
        <w:t>Sobre la responsabilidad del MEN</w:t>
      </w:r>
      <w:r>
        <w:t xml:space="preserve">: </w:t>
      </w:r>
      <w:r w:rsidRPr="00E6566F">
        <w:rPr>
          <w:b w:val="0"/>
        </w:rPr>
        <w:t>Sin negar que el MEN ha sido un actor clave exponiendo las redes de corrupción detrás del PAE, este ha ignorado convenientemente la carga de responsabilidad que tiene como licitador directo en varios departamentos, por la deficiencia en los mecanismos de vigilancia y sanciones, y por haber ignorado las alertas tempranas que se emitieron. Incluso la Contraloría alertó en varias ocasiones sobre irregularidades en los contratistas del PAE, pero estos continuaron siendo contratados, muchas veces bajo otros registros mercantiles.</w:t>
      </w:r>
      <w:r w:rsidRPr="00F44033">
        <w:t xml:space="preserve">  </w:t>
      </w:r>
      <w:r w:rsidRPr="00E6566F">
        <w:rPr>
          <w:b w:val="0"/>
        </w:rPr>
        <w:t>El principal argumento del MEN es que alrededor del PAE lo que hubo fue un desvío de recursos hecho por las autoridades locales en beneficio de los operadores. Sin embargo las autoridades locales vienen reclamando mayor financiación al MEN desde el 2013, aduciendo que no es posible ejecutar y desarrollar de manera eficiente el PAE con los recursos con los contaban. Además, en la actual vigencia el MEN redujo la financiación para varios de los centros poblados más grandes.</w:t>
      </w:r>
    </w:p>
    <w:p w:rsidR="00E6566F" w:rsidRDefault="00E6566F" w:rsidP="00E6566F">
      <w:pPr>
        <w:pStyle w:val="ListParagraph"/>
      </w:pPr>
    </w:p>
    <w:p w:rsidR="00E6566F" w:rsidRDefault="00E6566F" w:rsidP="00E6566F">
      <w:pPr>
        <w:pStyle w:val="ListParagraph"/>
        <w:numPr>
          <w:ilvl w:val="0"/>
          <w:numId w:val="10"/>
        </w:numPr>
        <w:rPr>
          <w:b w:val="0"/>
        </w:rPr>
      </w:pPr>
      <w:r w:rsidRPr="00E6566F">
        <w:rPr>
          <w:u w:val="single"/>
        </w:rPr>
        <w:t>Sobre la responsabilidad de los operadores</w:t>
      </w:r>
      <w:r>
        <w:t xml:space="preserve">. </w:t>
      </w:r>
      <w:r w:rsidRPr="00E6566F">
        <w:rPr>
          <w:b w:val="0"/>
        </w:rPr>
        <w:t>Una revisión hecha por Transparencia por Colombia del Registro Único Empresarial y Social –RUES de los operadores PAE acusados de corrupción, permitió concluir que:</w:t>
      </w:r>
    </w:p>
    <w:p w:rsidR="00E6566F" w:rsidRPr="00E6566F" w:rsidRDefault="00E6566F" w:rsidP="00E6566F">
      <w:pPr>
        <w:pStyle w:val="ListParagraph"/>
        <w:rPr>
          <w:b w:val="0"/>
        </w:rPr>
      </w:pPr>
    </w:p>
    <w:p w:rsidR="00E6566F" w:rsidRPr="00E6566F" w:rsidRDefault="00E6566F" w:rsidP="00E6566F">
      <w:pPr>
        <w:pStyle w:val="ListParagraph"/>
        <w:numPr>
          <w:ilvl w:val="1"/>
          <w:numId w:val="10"/>
        </w:numPr>
        <w:rPr>
          <w:b w:val="0"/>
        </w:rPr>
      </w:pPr>
      <w:r w:rsidRPr="00E6566F">
        <w:rPr>
          <w:b w:val="0"/>
        </w:rPr>
        <w:t xml:space="preserve">Varios de estos operadores del PAE son el resultado de uniones temporales o consorcios entre dos o más operadores para demostrar idoneidad, músculo </w:t>
      </w:r>
      <w:r w:rsidRPr="00E6566F">
        <w:rPr>
          <w:b w:val="0"/>
        </w:rPr>
        <w:lastRenderedPageBreak/>
        <w:t xml:space="preserve">financiero y otras características que les permitieran quedarse con los millonarios contratos. </w:t>
      </w:r>
    </w:p>
    <w:p w:rsidR="00E6566F" w:rsidRPr="00E6566F" w:rsidRDefault="00E6566F" w:rsidP="00E6566F">
      <w:pPr>
        <w:pStyle w:val="ListParagraph"/>
        <w:numPr>
          <w:ilvl w:val="1"/>
          <w:numId w:val="10"/>
        </w:numPr>
        <w:rPr>
          <w:b w:val="0"/>
        </w:rPr>
      </w:pPr>
      <w:r w:rsidRPr="00E6566F">
        <w:rPr>
          <w:b w:val="0"/>
        </w:rPr>
        <w:t>Algunos de estos operadores tienen en común el hecho de usar en el RUES la modalidad de “Actividades de otras asociaciones”. La definición de este tipo de actividad es bastante amplia, por lo que les permite a las asociaciones de este tipo presentarse como oferentes en los procesos de contratación del PAE aun sin tener experticia en el tema.</w:t>
      </w:r>
    </w:p>
    <w:p w:rsidR="00E6566F" w:rsidRDefault="00E6566F" w:rsidP="00E6566F">
      <w:pPr>
        <w:pStyle w:val="ListParagraph"/>
        <w:rPr>
          <w:u w:val="single"/>
        </w:rPr>
      </w:pPr>
    </w:p>
    <w:p w:rsidR="00E6566F" w:rsidRPr="00E6566F" w:rsidRDefault="00E6566F" w:rsidP="00E6566F">
      <w:pPr>
        <w:pStyle w:val="ListParagraph"/>
        <w:numPr>
          <w:ilvl w:val="0"/>
          <w:numId w:val="10"/>
        </w:numPr>
        <w:rPr>
          <w:b w:val="0"/>
          <w:u w:val="single"/>
        </w:rPr>
      </w:pPr>
      <w:r w:rsidRPr="00E6566F">
        <w:rPr>
          <w:u w:val="single"/>
        </w:rPr>
        <w:t>Sobre el centralismo y la descentralización</w:t>
      </w:r>
      <w:r>
        <w:rPr>
          <w:u w:val="single"/>
        </w:rPr>
        <w:t>:</w:t>
      </w:r>
      <w:r>
        <w:t xml:space="preserve"> </w:t>
      </w:r>
      <w:r w:rsidRPr="00E6566F">
        <w:rPr>
          <w:b w:val="0"/>
        </w:rPr>
        <w:t>La corrupción en el PAE no guarda una relación directa y univoca con la descentralización, como lo ha sugerido el MEN. Aunque en no pocas ocasiones estos hechos se han desarrollado en el nivel local, no se puede perder de vista que algunas de las irregularidades más grandes se presentaron en departamentos en los que la contratación fue hecha directamente por esta Cartera.</w:t>
      </w:r>
    </w:p>
    <w:p w:rsidR="000C0FA0" w:rsidRPr="000C0FA0" w:rsidRDefault="000C0FA0" w:rsidP="000C0FA0">
      <w:pPr>
        <w:pStyle w:val="ListParagraph"/>
      </w:pPr>
    </w:p>
    <w:p w:rsidR="00E6566F" w:rsidRPr="000C0FA0" w:rsidRDefault="00E6566F" w:rsidP="00E6566F">
      <w:pPr>
        <w:pStyle w:val="ListParagraph"/>
        <w:numPr>
          <w:ilvl w:val="0"/>
          <w:numId w:val="10"/>
        </w:numPr>
      </w:pPr>
      <w:r w:rsidRPr="00E6566F">
        <w:rPr>
          <w:u w:val="single"/>
        </w:rPr>
        <w:t>Sobre el control social</w:t>
      </w:r>
      <w:r w:rsidR="000C0FA0">
        <w:t xml:space="preserve">: </w:t>
      </w:r>
      <w:r w:rsidRPr="000C0FA0">
        <w:rPr>
          <w:b w:val="0"/>
        </w:rPr>
        <w:t xml:space="preserve">La prensa nacional y regional, en especial El Heraldo, El Tiempo y El Espectador, tuvieron un activo rol de investigación, </w:t>
      </w:r>
      <w:proofErr w:type="spellStart"/>
      <w:r w:rsidRPr="000C0FA0">
        <w:rPr>
          <w:b w:val="0"/>
        </w:rPr>
        <w:t>visibilización</w:t>
      </w:r>
      <w:proofErr w:type="spellEnd"/>
      <w:r w:rsidRPr="000C0FA0">
        <w:rPr>
          <w:b w:val="0"/>
        </w:rPr>
        <w:t xml:space="preserve"> y presión sobre el caso. En Santander se creó un comité de vigilancia ciudadana liderada por Transparencia para Santander, y se nombró un grupo de 50 rectores de colegios para vigilar la implementación del PAE en el departamento. Se destaca el caso de la docente </w:t>
      </w:r>
      <w:proofErr w:type="spellStart"/>
      <w:r w:rsidRPr="000C0FA0">
        <w:rPr>
          <w:b w:val="0"/>
        </w:rPr>
        <w:t>Claribel</w:t>
      </w:r>
      <w:proofErr w:type="spellEnd"/>
      <w:r w:rsidRPr="000C0FA0">
        <w:rPr>
          <w:b w:val="0"/>
        </w:rPr>
        <w:t xml:space="preserve"> Rodríguez, del colegio Sagrado Corazón del municipio de Aguachica, en el Cesar, quien con un video denunció los almuerzos precarios que recibían sus estudiantes, denuncia que en gran parte fue la responsable de que el tema ganara notoriedad nacional. Sin embargo, no puede pasarse por alto que ella tuvo que salir del territorio por razones de seguridad, lo cual necesariamente debe poner sobre la mesa la seguridad y protección de los denunciantes, tema que parece relegado en la agenda anti-corrupción del Estado.</w:t>
      </w:r>
      <w:r>
        <w:t xml:space="preserve"> </w:t>
      </w:r>
    </w:p>
    <w:p w:rsidR="000C0FA0" w:rsidRDefault="000C0FA0" w:rsidP="000C0FA0">
      <w:pPr>
        <w:pStyle w:val="ListParagraph"/>
      </w:pPr>
    </w:p>
    <w:p w:rsidR="00E6566F" w:rsidRPr="000C0FA0" w:rsidRDefault="00E6566F" w:rsidP="00E6566F">
      <w:pPr>
        <w:pStyle w:val="ListParagraph"/>
        <w:numPr>
          <w:ilvl w:val="0"/>
          <w:numId w:val="10"/>
        </w:numPr>
        <w:rPr>
          <w:rStyle w:val="Strong"/>
          <w:bCs w:val="0"/>
        </w:rPr>
      </w:pPr>
      <w:r w:rsidRPr="000C0FA0">
        <w:rPr>
          <w:u w:val="single"/>
        </w:rPr>
        <w:t>Sobre las posibles soluciones</w:t>
      </w:r>
      <w:r w:rsidRPr="00620289">
        <w:t xml:space="preserve">. </w:t>
      </w:r>
      <w:r w:rsidRPr="000C0FA0">
        <w:rPr>
          <w:b w:val="0"/>
        </w:rPr>
        <w:t>El MEN ha propuesto como solución la creación de la Agencia Nacional de la Alimentación –ANA, e incluso presentó un proyecto de ley al respecto. Más allá de la polémica por un supuesto plagio que se le habría hecho al proyecto de ley de un congresista, la iniciativa propone que la A</w:t>
      </w:r>
      <w:r w:rsidR="000C0FA0">
        <w:rPr>
          <w:b w:val="0"/>
        </w:rPr>
        <w:t>NA</w:t>
      </w:r>
      <w:r w:rsidRPr="000C0FA0">
        <w:t xml:space="preserve"> </w:t>
      </w:r>
      <w:r w:rsidRPr="000C0FA0">
        <w:rPr>
          <w:rStyle w:val="Strong"/>
          <w:lang w:val="es-ES"/>
        </w:rPr>
        <w:t>intervenga en casos excepcionales en caso de que los contratistas presenten incapacidad administrativa, así como eliminar la contratación directa y los contratos paralelos.</w:t>
      </w:r>
      <w:r w:rsidR="000C0FA0" w:rsidRPr="000C0FA0">
        <w:rPr>
          <w:rStyle w:val="Strong"/>
          <w:lang w:val="es-ES"/>
        </w:rPr>
        <w:t xml:space="preserve"> </w:t>
      </w:r>
      <w:r w:rsidRPr="000C0FA0">
        <w:rPr>
          <w:rStyle w:val="Strong"/>
          <w:lang w:val="es-ES"/>
        </w:rPr>
        <w:t xml:space="preserve">Aunque son propuestas positivas, más burocracia estatal no es la solución a estos problemas. Poco impacto tendrá la ANA si no se reforma la normativa de contratación pública para controlar los actuales niveles de flexibilidad que tienen los contratistas para registrar su registro mercantil sobre la actividad que quieran sin tener la experiencia para ello; de nada servirá esta nueva ley si no viene acompañada de un reforzamiento del diseño institucional en políticas públicas </w:t>
      </w:r>
      <w:r w:rsidRPr="000C0FA0">
        <w:rPr>
          <w:rStyle w:val="Strong"/>
          <w:lang w:val="es-ES"/>
        </w:rPr>
        <w:lastRenderedPageBreak/>
        <w:t xml:space="preserve">que garantice que el trabajo de los operadores privados tendrá un eficaz acompañamiento, vigilancia, control, evaluación y sanción del Estado. Y es allí precisamente en donde la iniciativa del MEN se queda corta. </w:t>
      </w:r>
    </w:p>
    <w:p w:rsidR="000C0FA0" w:rsidRDefault="000C0FA0" w:rsidP="009701C5">
      <w:pPr>
        <w:jc w:val="both"/>
      </w:pPr>
    </w:p>
    <w:p w:rsidR="00225671" w:rsidRPr="0015106B" w:rsidRDefault="00225671" w:rsidP="000F362A">
      <w:pPr>
        <w:pStyle w:val="Heading1"/>
        <w:jc w:val="both"/>
      </w:pPr>
    </w:p>
    <w:sectPr w:rsidR="00225671" w:rsidRPr="0015106B" w:rsidSect="00802220">
      <w:headerReference w:type="default" r:id="rId9"/>
      <w:footerReference w:type="default" r:id="rId10"/>
      <w:pgSz w:w="12240" w:h="15840"/>
      <w:pgMar w:top="1701" w:right="1701" w:bottom="1701" w:left="1701" w:header="964" w:footer="9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4CA" w:rsidRDefault="001F34CA" w:rsidP="002F7DE2">
      <w:pPr>
        <w:spacing w:after="0" w:line="240" w:lineRule="auto"/>
      </w:pPr>
      <w:r>
        <w:separator/>
      </w:r>
    </w:p>
  </w:endnote>
  <w:endnote w:type="continuationSeparator" w:id="0">
    <w:p w:rsidR="001F34CA" w:rsidRDefault="001F34CA" w:rsidP="002F7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Eurostile">
    <w:altName w:val="Segoe Scrip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E3" w:rsidRDefault="00E15DE3" w:rsidP="002167E6">
    <w:pPr>
      <w:pStyle w:val="Footer"/>
      <w:spacing w:after="0" w:line="240" w:lineRule="auto"/>
      <w:jc w:val="center"/>
      <w:rPr>
        <w:rFonts w:ascii="Eurostile" w:hAnsi="Eurostile"/>
        <w:color w:val="0070C0"/>
        <w:sz w:val="18"/>
        <w:szCs w:val="18"/>
      </w:rPr>
    </w:pPr>
  </w:p>
  <w:p w:rsidR="00AC56D3" w:rsidRDefault="00AC56D3" w:rsidP="002167E6">
    <w:pPr>
      <w:pStyle w:val="Footer"/>
      <w:spacing w:after="0" w:line="240" w:lineRule="auto"/>
      <w:jc w:val="center"/>
      <w:rPr>
        <w:rFonts w:ascii="Eurostile" w:hAnsi="Eurostile"/>
        <w:color w:val="0070C0"/>
        <w:sz w:val="18"/>
        <w:szCs w:val="18"/>
      </w:rPr>
    </w:pPr>
  </w:p>
  <w:p w:rsidR="002167E6" w:rsidRPr="00AC56D3" w:rsidRDefault="002167E6" w:rsidP="002167E6">
    <w:pPr>
      <w:pStyle w:val="Footer"/>
      <w:spacing w:after="0" w:line="240" w:lineRule="auto"/>
      <w:jc w:val="center"/>
      <w:rPr>
        <w:color w:val="0070C0"/>
        <w:sz w:val="18"/>
        <w:szCs w:val="18"/>
      </w:rPr>
    </w:pPr>
    <w:r w:rsidRPr="00AC56D3">
      <w:rPr>
        <w:color w:val="0070C0"/>
        <w:sz w:val="18"/>
        <w:szCs w:val="18"/>
      </w:rPr>
      <w:t>Corporación Transparencia por Colombia • Capítulo de</w:t>
    </w:r>
    <w:r w:rsidR="00E15DE3" w:rsidRPr="00AC56D3">
      <w:rPr>
        <w:color w:val="0070C0"/>
        <w:sz w:val="18"/>
        <w:szCs w:val="18"/>
      </w:rPr>
      <w:t xml:space="preserve"> </w:t>
    </w:r>
    <w:r w:rsidRPr="00AC56D3">
      <w:rPr>
        <w:color w:val="0070C0"/>
        <w:sz w:val="18"/>
        <w:szCs w:val="18"/>
      </w:rPr>
      <w:t>Transparen</w:t>
    </w:r>
    <w:r w:rsidR="000C5153" w:rsidRPr="00AC56D3">
      <w:rPr>
        <w:color w:val="0070C0"/>
        <w:sz w:val="18"/>
        <w:szCs w:val="18"/>
      </w:rPr>
      <w:t xml:space="preserve">cia </w:t>
    </w:r>
    <w:r w:rsidRPr="00AC56D3">
      <w:rPr>
        <w:color w:val="0070C0"/>
        <w:sz w:val="18"/>
        <w:szCs w:val="18"/>
      </w:rPr>
      <w:t>Interna</w:t>
    </w:r>
    <w:r w:rsidR="000C5153" w:rsidRPr="00AC56D3">
      <w:rPr>
        <w:color w:val="0070C0"/>
        <w:sz w:val="18"/>
        <w:szCs w:val="18"/>
      </w:rPr>
      <w:t>ci</w:t>
    </w:r>
    <w:r w:rsidRPr="00AC56D3">
      <w:rPr>
        <w:color w:val="0070C0"/>
        <w:sz w:val="18"/>
        <w:szCs w:val="18"/>
      </w:rPr>
      <w:t>onal</w:t>
    </w:r>
  </w:p>
  <w:p w:rsidR="002167E6" w:rsidRPr="00AC56D3" w:rsidRDefault="007A4845" w:rsidP="002167E6">
    <w:pPr>
      <w:pStyle w:val="Footer"/>
      <w:spacing w:after="0" w:line="240" w:lineRule="auto"/>
      <w:jc w:val="center"/>
      <w:rPr>
        <w:color w:val="0070C0"/>
        <w:sz w:val="18"/>
        <w:szCs w:val="18"/>
      </w:rPr>
    </w:pPr>
    <w:r w:rsidRPr="00AC56D3">
      <w:rPr>
        <w:color w:val="0070C0"/>
        <w:sz w:val="18"/>
        <w:szCs w:val="18"/>
      </w:rPr>
      <w:t>Carrera 45 A n.° 93</w:t>
    </w:r>
    <w:r w:rsidR="00E15DE3" w:rsidRPr="00AC56D3">
      <w:rPr>
        <w:color w:val="0070C0"/>
        <w:sz w:val="18"/>
        <w:szCs w:val="18"/>
      </w:rPr>
      <w:t xml:space="preserve"> </w:t>
    </w:r>
    <w:r w:rsidRPr="00AC56D3">
      <w:rPr>
        <w:color w:val="0070C0"/>
        <w:sz w:val="18"/>
        <w:szCs w:val="18"/>
      </w:rPr>
      <w:t>-</w:t>
    </w:r>
    <w:r w:rsidR="00E15DE3" w:rsidRPr="00AC56D3">
      <w:rPr>
        <w:color w:val="0070C0"/>
        <w:sz w:val="18"/>
        <w:szCs w:val="18"/>
      </w:rPr>
      <w:t xml:space="preserve"> </w:t>
    </w:r>
    <w:r w:rsidRPr="00AC56D3">
      <w:rPr>
        <w:color w:val="0070C0"/>
        <w:sz w:val="18"/>
        <w:szCs w:val="18"/>
      </w:rPr>
      <w:t>61</w:t>
    </w:r>
    <w:r w:rsidR="00E15DE3" w:rsidRPr="00AC56D3">
      <w:rPr>
        <w:color w:val="0070C0"/>
        <w:sz w:val="18"/>
        <w:szCs w:val="18"/>
      </w:rPr>
      <w:t xml:space="preserve"> •  PBX + 0571 610 0822 • </w:t>
    </w:r>
    <w:r w:rsidR="00AC56D3">
      <w:rPr>
        <w:color w:val="0070C0"/>
        <w:sz w:val="18"/>
        <w:szCs w:val="18"/>
      </w:rPr>
      <w:t xml:space="preserve"> </w:t>
    </w:r>
    <w:r w:rsidR="00E15DE3" w:rsidRPr="00AC56D3">
      <w:rPr>
        <w:color w:val="0070C0"/>
        <w:sz w:val="18"/>
        <w:szCs w:val="18"/>
      </w:rPr>
      <w:t>Fax  634 6266</w:t>
    </w:r>
  </w:p>
  <w:p w:rsidR="00AC56D3" w:rsidRPr="00AC56D3" w:rsidRDefault="00AC56D3" w:rsidP="002167E6">
    <w:pPr>
      <w:pStyle w:val="Footer"/>
      <w:spacing w:after="0" w:line="240" w:lineRule="auto"/>
      <w:jc w:val="center"/>
      <w:rPr>
        <w:b/>
        <w:color w:val="0070C0"/>
        <w:sz w:val="18"/>
        <w:szCs w:val="18"/>
      </w:rPr>
    </w:pPr>
    <w:r w:rsidRPr="00AC56D3">
      <w:rPr>
        <w:b/>
        <w:color w:val="0070C0"/>
        <w:sz w:val="18"/>
        <w:szCs w:val="18"/>
      </w:rPr>
      <w:t>Ayúdanos a contar más historias de ciudadanos</w:t>
    </w:r>
    <w:r w:rsidR="00F86D48">
      <w:rPr>
        <w:b/>
        <w:color w:val="0070C0"/>
        <w:sz w:val="18"/>
        <w:szCs w:val="18"/>
      </w:rPr>
      <w:t xml:space="preserve"> como tú,</w:t>
    </w:r>
    <w:r w:rsidRPr="00AC56D3">
      <w:rPr>
        <w:b/>
        <w:color w:val="0070C0"/>
        <w:sz w:val="18"/>
        <w:szCs w:val="18"/>
      </w:rPr>
      <w:t xml:space="preserve"> que luchan por un país sin corrupción y en paz</w:t>
    </w:r>
  </w:p>
  <w:p w:rsidR="002167E6" w:rsidRPr="00AC56D3" w:rsidRDefault="00DC2981" w:rsidP="002167E6">
    <w:pPr>
      <w:pStyle w:val="Footer"/>
      <w:spacing w:after="0" w:line="240" w:lineRule="auto"/>
      <w:jc w:val="center"/>
      <w:rPr>
        <w:rFonts w:ascii="Eurostile" w:hAnsi="Eurostile"/>
        <w:color w:val="0070C0"/>
        <w:sz w:val="18"/>
        <w:szCs w:val="18"/>
      </w:rPr>
    </w:pPr>
    <w:hyperlink r:id="rId1" w:history="1">
      <w:r w:rsidR="00AC56D3" w:rsidRPr="00AC56D3">
        <w:rPr>
          <w:rStyle w:val="Hyperlink"/>
          <w:color w:val="0070C0"/>
          <w:sz w:val="18"/>
          <w:szCs w:val="18"/>
        </w:rPr>
        <w:t>www.transparenciacolombia.org.co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4CA" w:rsidRDefault="001F34CA" w:rsidP="002F7DE2">
      <w:pPr>
        <w:spacing w:after="0" w:line="240" w:lineRule="auto"/>
      </w:pPr>
      <w:r>
        <w:separator/>
      </w:r>
    </w:p>
  </w:footnote>
  <w:footnote w:type="continuationSeparator" w:id="0">
    <w:p w:rsidR="001F34CA" w:rsidRDefault="001F34CA" w:rsidP="002F7DE2">
      <w:pPr>
        <w:spacing w:after="0" w:line="240" w:lineRule="auto"/>
      </w:pPr>
      <w:r>
        <w:continuationSeparator/>
      </w:r>
    </w:p>
  </w:footnote>
  <w:footnote w:id="1">
    <w:p w:rsidR="009943F1" w:rsidRPr="009943F1" w:rsidRDefault="009943F1" w:rsidP="009943F1">
      <w:pPr>
        <w:pStyle w:val="FootnoteText"/>
        <w:jc w:val="left"/>
        <w:rPr>
          <w:rFonts w:ascii="Helvetica" w:hAnsi="Helvetica" w:cs="Iskoola Pota"/>
          <w:lang w:bidi="si-LK"/>
        </w:rPr>
      </w:pPr>
      <w:r w:rsidRPr="00AD7A2C">
        <w:rPr>
          <w:rStyle w:val="FootnoteReference"/>
          <w:rFonts w:ascii="Helvetica" w:hAnsi="Helvetica"/>
        </w:rPr>
        <w:footnoteRef/>
      </w:r>
      <w:r w:rsidRPr="00AD7A2C">
        <w:rPr>
          <w:rStyle w:val="FootnoteReference"/>
          <w:rFonts w:ascii="Helvetica" w:hAnsi="Helvetica" w:cs="Iskoola Pota"/>
          <w:cs/>
          <w:lang w:bidi="si-LK"/>
        </w:rPr>
        <w:t xml:space="preserve"> </w:t>
      </w:r>
      <w:r>
        <w:rPr>
          <w:rFonts w:ascii="Helvetica" w:hAnsi="Helvetica"/>
        </w:rPr>
        <w:t>Ver más en</w:t>
      </w:r>
      <w:r w:rsidRPr="00AD7A2C">
        <w:rPr>
          <w:rFonts w:ascii="Helvetica" w:hAnsi="Helvetica" w:cs="Iskoola Pota"/>
          <w:cs/>
          <w:lang w:bidi="si-LK"/>
        </w:rPr>
        <w:t xml:space="preserve">: </w:t>
      </w:r>
      <w:hyperlink r:id="rId1" w:history="1">
        <w:r w:rsidRPr="00AD7A2C">
          <w:rPr>
            <w:rFonts w:ascii="Helvetica" w:hAnsi="Helvetica"/>
          </w:rPr>
          <w:t>http</w:t>
        </w:r>
        <w:r w:rsidRPr="00AD7A2C">
          <w:rPr>
            <w:rFonts w:ascii="Helvetica" w:hAnsi="Helvetica" w:cs="Iskoola Pota"/>
            <w:cs/>
            <w:lang w:bidi="si-LK"/>
          </w:rPr>
          <w:t>://</w:t>
        </w:r>
        <w:r w:rsidRPr="00AD7A2C">
          <w:rPr>
            <w:rFonts w:ascii="Helvetica" w:hAnsi="Helvetica"/>
          </w:rPr>
          <w:t>www</w:t>
        </w:r>
        <w:r w:rsidRPr="00AD7A2C">
          <w:rPr>
            <w:rFonts w:ascii="Helvetica" w:hAnsi="Helvetica" w:cs="Iskoola Pota"/>
            <w:cs/>
            <w:lang w:bidi="si-LK"/>
          </w:rPr>
          <w:t>.</w:t>
        </w:r>
        <w:r w:rsidRPr="00AD7A2C">
          <w:rPr>
            <w:rFonts w:ascii="Helvetica" w:hAnsi="Helvetica"/>
          </w:rPr>
          <w:t>transparency</w:t>
        </w:r>
        <w:r w:rsidRPr="00AD7A2C">
          <w:rPr>
            <w:rFonts w:ascii="Helvetica" w:hAnsi="Helvetica" w:cs="Iskoola Pota"/>
            <w:cs/>
            <w:lang w:bidi="si-LK"/>
          </w:rPr>
          <w:t>.</w:t>
        </w:r>
        <w:r w:rsidRPr="00AD7A2C">
          <w:rPr>
            <w:rFonts w:ascii="Helvetica" w:hAnsi="Helvetica"/>
          </w:rPr>
          <w:t>org</w:t>
        </w:r>
        <w:r w:rsidRPr="00AD7A2C">
          <w:rPr>
            <w:rFonts w:ascii="Helvetica" w:hAnsi="Helvetica" w:cs="Iskoola Pota"/>
            <w:cs/>
            <w:lang w:bidi="si-LK"/>
          </w:rPr>
          <w:t>/</w:t>
        </w:r>
        <w:r w:rsidRPr="00AD7A2C">
          <w:rPr>
            <w:rFonts w:ascii="Helvetica" w:hAnsi="Helvetica"/>
          </w:rPr>
          <w:t>whoweare</w:t>
        </w:r>
        <w:r w:rsidRPr="00AD7A2C">
          <w:rPr>
            <w:rFonts w:ascii="Helvetica" w:hAnsi="Helvetica" w:cs="Iskoola Pota"/>
            <w:cs/>
            <w:lang w:bidi="si-LK"/>
          </w:rPr>
          <w:t>/</w:t>
        </w:r>
        <w:r w:rsidRPr="00AD7A2C">
          <w:rPr>
            <w:rFonts w:ascii="Helvetica" w:hAnsi="Helvetica"/>
          </w:rPr>
          <w:t>organisation</w:t>
        </w:r>
        <w:r w:rsidRPr="00AD7A2C">
          <w:rPr>
            <w:rFonts w:ascii="Helvetica" w:hAnsi="Helvetica" w:cs="Iskoola Pota"/>
            <w:cs/>
            <w:lang w:bidi="si-LK"/>
          </w:rPr>
          <w:t>/</w:t>
        </w:r>
      </w:hyperlink>
      <w:r w:rsidRPr="00AD7A2C">
        <w:rPr>
          <w:rFonts w:ascii="Helvetica" w:hAnsi="Helvetica" w:cs="Iskoola Pota"/>
          <w:cs/>
          <w:lang w:bidi="si-LK"/>
        </w:rPr>
        <w:t xml:space="preserve"> </w:t>
      </w:r>
    </w:p>
  </w:footnote>
  <w:footnote w:id="2">
    <w:p w:rsidR="009943F1" w:rsidRDefault="009943F1" w:rsidP="009943F1">
      <w:pPr>
        <w:pStyle w:val="FootnoteText"/>
        <w:jc w:val="both"/>
      </w:pPr>
      <w:r>
        <w:rPr>
          <w:rStyle w:val="FootnoteReference"/>
        </w:rPr>
        <w:footnoteRef/>
      </w:r>
      <w:r>
        <w:t xml:space="preserve"> Ver más en: http://www.transparenciacolombia.org.co/que-hacemos/</w:t>
      </w:r>
    </w:p>
  </w:footnote>
  <w:footnote w:id="3">
    <w:p w:rsidR="009D69AD" w:rsidRPr="00F44033" w:rsidRDefault="009D69AD" w:rsidP="009D69AD">
      <w:pPr>
        <w:pStyle w:val="FootnoteText"/>
        <w:jc w:val="both"/>
        <w:rPr>
          <w:b/>
        </w:rPr>
      </w:pPr>
      <w:r w:rsidRPr="00F44033">
        <w:rPr>
          <w:rStyle w:val="FootnoteReference"/>
        </w:rPr>
        <w:footnoteRef/>
      </w:r>
      <w:r w:rsidRPr="00F44033">
        <w:t xml:space="preserve"> En algunos municipios, como Medellín, la administración local sumó dineros propios a los recibidos del MEN.</w:t>
      </w:r>
    </w:p>
  </w:footnote>
  <w:footnote w:id="4">
    <w:p w:rsidR="009D69AD" w:rsidRPr="00F44033" w:rsidRDefault="009D69AD" w:rsidP="009D69AD">
      <w:pPr>
        <w:pStyle w:val="FootnoteText"/>
        <w:jc w:val="both"/>
        <w:rPr>
          <w:b/>
        </w:rPr>
      </w:pPr>
      <w:r w:rsidRPr="00F44033">
        <w:rPr>
          <w:rStyle w:val="FootnoteReference"/>
        </w:rPr>
        <w:footnoteRef/>
      </w:r>
      <w:r w:rsidRPr="00F44033">
        <w:t xml:space="preserve"> Específicamente las de Cundinamarca, en cabeza de Piedad Caballero, y la del Atlántico. </w:t>
      </w:r>
    </w:p>
  </w:footnote>
  <w:footnote w:id="5">
    <w:p w:rsidR="009D69AD" w:rsidRDefault="009D69AD" w:rsidP="009D69AD">
      <w:pPr>
        <w:pStyle w:val="FootnoteText"/>
        <w:jc w:val="both"/>
      </w:pPr>
      <w:r w:rsidRPr="00F44033">
        <w:rPr>
          <w:rStyle w:val="FootnoteReference"/>
        </w:rPr>
        <w:footnoteRef/>
      </w:r>
      <w:r w:rsidRPr="00F44033">
        <w:t xml:space="preserve"> Ley 80 de 1993.</w:t>
      </w:r>
    </w:p>
  </w:footnote>
  <w:footnote w:id="6">
    <w:p w:rsidR="00E6566F" w:rsidRPr="00F44033" w:rsidRDefault="00E6566F" w:rsidP="00DB4B32">
      <w:pPr>
        <w:pStyle w:val="FootnoteText"/>
        <w:jc w:val="left"/>
        <w:rPr>
          <w:b/>
        </w:rPr>
      </w:pPr>
      <w:r w:rsidRPr="00F44033">
        <w:rPr>
          <w:rStyle w:val="FootnoteReference"/>
        </w:rPr>
        <w:footnoteRef/>
      </w:r>
      <w:r w:rsidR="00DB4B32">
        <w:t xml:space="preserve"> Ver más en:</w:t>
      </w:r>
      <w:r w:rsidRPr="00F44033">
        <w:t xml:space="preserve"> </w:t>
      </w:r>
      <w:hyperlink r:id="rId2" w:history="1">
        <w:r w:rsidRPr="00F44033">
          <w:rPr>
            <w:rStyle w:val="Hyperlink"/>
            <w:rFonts w:ascii="Segoe UI" w:hAnsi="Segoe UI" w:cs="Segoe UI"/>
          </w:rPr>
          <w:t>http://www.mineducacion.gov.co/1759/articles-356801_archivo_pdf.pdf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DE2" w:rsidRDefault="000F362A">
    <w:pPr>
      <w:pStyle w:val="Header"/>
    </w:pPr>
    <w:r>
      <w:rPr>
        <w:noProof/>
        <w:lang w:val="en-GB" w:eastAsia="en-GB"/>
      </w:rPr>
      <w:drawing>
        <wp:anchor distT="0" distB="0" distL="114300" distR="114300" simplePos="0" relativeHeight="251657216" behindDoc="0" locked="0" layoutInCell="1" allowOverlap="1">
          <wp:simplePos x="0" y="0"/>
          <wp:positionH relativeFrom="column">
            <wp:posOffset>3503295</wp:posOffset>
          </wp:positionH>
          <wp:positionV relativeFrom="paragraph">
            <wp:posOffset>-111760</wp:posOffset>
          </wp:positionV>
          <wp:extent cx="1812925" cy="504190"/>
          <wp:effectExtent l="19050" t="0" r="0" b="0"/>
          <wp:wrapSquare wrapText="bothSides"/>
          <wp:docPr id="1" name="Imagen 1" descr="logo_tpc_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tpc_docs"/>
                  <pic:cNvPicPr>
                    <a:picLocks noChangeAspect="1" noChangeArrowheads="1"/>
                  </pic:cNvPicPr>
                </pic:nvPicPr>
                <pic:blipFill>
                  <a:blip r:embed="rId1"/>
                  <a:srcRect/>
                  <a:stretch>
                    <a:fillRect/>
                  </a:stretch>
                </pic:blipFill>
                <pic:spPr bwMode="auto">
                  <a:xfrm>
                    <a:off x="0" y="0"/>
                    <a:ext cx="1812925" cy="504190"/>
                  </a:xfrm>
                  <a:prstGeom prst="rect">
                    <a:avLst/>
                  </a:prstGeom>
                  <a:noFill/>
                  <a:ln w="9525">
                    <a:noFill/>
                    <a:miter lim="800000"/>
                    <a:headEnd/>
                    <a:tailEnd/>
                  </a:ln>
                </pic:spPr>
              </pic:pic>
            </a:graphicData>
          </a:graphic>
        </wp:anchor>
      </w:drawing>
    </w:r>
    <w:r>
      <w:rPr>
        <w:noProof/>
        <w:lang w:val="en-GB" w:eastAsia="en-GB"/>
      </w:rPr>
      <w:drawing>
        <wp:anchor distT="0" distB="0" distL="114300" distR="114300" simplePos="0" relativeHeight="251658240" behindDoc="0" locked="0" layoutInCell="1" allowOverlap="1">
          <wp:simplePos x="0" y="0"/>
          <wp:positionH relativeFrom="column">
            <wp:posOffset>5476875</wp:posOffset>
          </wp:positionH>
          <wp:positionV relativeFrom="paragraph">
            <wp:posOffset>-138430</wp:posOffset>
          </wp:positionV>
          <wp:extent cx="555625" cy="555625"/>
          <wp:effectExtent l="19050" t="0" r="0" b="0"/>
          <wp:wrapSquare wrapText="bothSides"/>
          <wp:docPr id="2" name="Imagen 2" descr="AVATAR TWITTER400X4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ATAR TWITTER400X400-01"/>
                  <pic:cNvPicPr>
                    <a:picLocks noChangeAspect="1" noChangeArrowheads="1"/>
                  </pic:cNvPicPr>
                </pic:nvPicPr>
                <pic:blipFill>
                  <a:blip r:embed="rId2"/>
                  <a:srcRect/>
                  <a:stretch>
                    <a:fillRect/>
                  </a:stretch>
                </pic:blipFill>
                <pic:spPr bwMode="auto">
                  <a:xfrm>
                    <a:off x="0" y="0"/>
                    <a:ext cx="555625" cy="555625"/>
                  </a:xfrm>
                  <a:prstGeom prst="rect">
                    <a:avLst/>
                  </a:prstGeom>
                  <a:noFill/>
                  <a:ln w="9525">
                    <a:noFill/>
                    <a:miter lim="800000"/>
                    <a:headEnd/>
                    <a:tailEnd/>
                  </a:ln>
                </pic:spPr>
              </pic:pic>
            </a:graphicData>
          </a:graphic>
        </wp:anchor>
      </w:drawing>
    </w:r>
  </w:p>
  <w:p w:rsidR="00053C22" w:rsidRDefault="00053C22" w:rsidP="00053C22">
    <w:pPr>
      <w:spacing w:after="0" w:line="240" w:lineRule="auto"/>
      <w:jc w:val="center"/>
      <w:rPr>
        <w:rFonts w:cs="Arial"/>
        <w:b/>
      </w:rPr>
    </w:pPr>
  </w:p>
  <w:p w:rsidR="000F7BF4" w:rsidRDefault="000F7BF4" w:rsidP="00053C22">
    <w:pPr>
      <w:spacing w:after="0" w:line="240" w:lineRule="auto"/>
      <w:jc w:val="center"/>
      <w:rPr>
        <w:rFonts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AC025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56E58"/>
    <w:multiLevelType w:val="hybridMultilevel"/>
    <w:tmpl w:val="0EB0F7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C2B3327"/>
    <w:multiLevelType w:val="hybridMultilevel"/>
    <w:tmpl w:val="26F6F6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53C9187B"/>
    <w:multiLevelType w:val="hybridMultilevel"/>
    <w:tmpl w:val="BD26CF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9CB1A34"/>
    <w:multiLevelType w:val="hybridMultilevel"/>
    <w:tmpl w:val="B25AA7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72E1BEA"/>
    <w:multiLevelType w:val="hybridMultilevel"/>
    <w:tmpl w:val="5C603D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366590B"/>
    <w:multiLevelType w:val="hybridMultilevel"/>
    <w:tmpl w:val="97FC0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6403B4E"/>
    <w:multiLevelType w:val="hybridMultilevel"/>
    <w:tmpl w:val="D47084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nsid w:val="78243EF7"/>
    <w:multiLevelType w:val="hybridMultilevel"/>
    <w:tmpl w:val="B6E036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7A4B53A4"/>
    <w:multiLevelType w:val="hybridMultilevel"/>
    <w:tmpl w:val="47FABF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6"/>
  </w:num>
  <w:num w:numId="4">
    <w:abstractNumId w:val="0"/>
  </w:num>
  <w:num w:numId="5">
    <w:abstractNumId w:val="2"/>
  </w:num>
  <w:num w:numId="6">
    <w:abstractNumId w:val="1"/>
  </w:num>
  <w:num w:numId="7">
    <w:abstractNumId w:val="9"/>
  </w:num>
  <w:num w:numId="8">
    <w:abstractNumId w:val="7"/>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D1E"/>
    <w:rsid w:val="000039E6"/>
    <w:rsid w:val="00053C22"/>
    <w:rsid w:val="00061024"/>
    <w:rsid w:val="000879C9"/>
    <w:rsid w:val="00096D1E"/>
    <w:rsid w:val="000B5054"/>
    <w:rsid w:val="000C0FA0"/>
    <w:rsid w:val="000C3155"/>
    <w:rsid w:val="000C5153"/>
    <w:rsid w:val="000E717D"/>
    <w:rsid w:val="000F362A"/>
    <w:rsid w:val="000F6517"/>
    <w:rsid w:val="000F7BF4"/>
    <w:rsid w:val="0013228A"/>
    <w:rsid w:val="00141937"/>
    <w:rsid w:val="0015106B"/>
    <w:rsid w:val="00157C4C"/>
    <w:rsid w:val="001B59C4"/>
    <w:rsid w:val="001B6676"/>
    <w:rsid w:val="001F34CA"/>
    <w:rsid w:val="002167E6"/>
    <w:rsid w:val="0022063B"/>
    <w:rsid w:val="00225671"/>
    <w:rsid w:val="00231C8C"/>
    <w:rsid w:val="002F7DE2"/>
    <w:rsid w:val="00306695"/>
    <w:rsid w:val="00317FC2"/>
    <w:rsid w:val="00335FBA"/>
    <w:rsid w:val="0036456A"/>
    <w:rsid w:val="00393B08"/>
    <w:rsid w:val="003D61AB"/>
    <w:rsid w:val="003E381A"/>
    <w:rsid w:val="00445C49"/>
    <w:rsid w:val="00466C76"/>
    <w:rsid w:val="00507CBD"/>
    <w:rsid w:val="00557697"/>
    <w:rsid w:val="00566E10"/>
    <w:rsid w:val="005E69F7"/>
    <w:rsid w:val="005F760B"/>
    <w:rsid w:val="0060408D"/>
    <w:rsid w:val="00671967"/>
    <w:rsid w:val="006936B1"/>
    <w:rsid w:val="00695A0B"/>
    <w:rsid w:val="006D0999"/>
    <w:rsid w:val="006D5717"/>
    <w:rsid w:val="007349A3"/>
    <w:rsid w:val="00751992"/>
    <w:rsid w:val="00754627"/>
    <w:rsid w:val="007A4845"/>
    <w:rsid w:val="007C36E8"/>
    <w:rsid w:val="007F1875"/>
    <w:rsid w:val="00802220"/>
    <w:rsid w:val="008453FB"/>
    <w:rsid w:val="00885660"/>
    <w:rsid w:val="008C2963"/>
    <w:rsid w:val="008C2E99"/>
    <w:rsid w:val="008D1B35"/>
    <w:rsid w:val="009627E4"/>
    <w:rsid w:val="009701C5"/>
    <w:rsid w:val="00970D75"/>
    <w:rsid w:val="00981060"/>
    <w:rsid w:val="00992D54"/>
    <w:rsid w:val="009943F1"/>
    <w:rsid w:val="00994C4F"/>
    <w:rsid w:val="009D69AD"/>
    <w:rsid w:val="00A51664"/>
    <w:rsid w:val="00A72A4F"/>
    <w:rsid w:val="00A7317E"/>
    <w:rsid w:val="00AB693E"/>
    <w:rsid w:val="00AC56D3"/>
    <w:rsid w:val="00AD515A"/>
    <w:rsid w:val="00AE36CE"/>
    <w:rsid w:val="00B24783"/>
    <w:rsid w:val="00B44CD4"/>
    <w:rsid w:val="00B85E71"/>
    <w:rsid w:val="00BB1DDD"/>
    <w:rsid w:val="00BD1B9C"/>
    <w:rsid w:val="00CB055B"/>
    <w:rsid w:val="00CD1CC2"/>
    <w:rsid w:val="00CD43F1"/>
    <w:rsid w:val="00CF0C32"/>
    <w:rsid w:val="00D10B17"/>
    <w:rsid w:val="00D46999"/>
    <w:rsid w:val="00D6568B"/>
    <w:rsid w:val="00D97E47"/>
    <w:rsid w:val="00DB4B32"/>
    <w:rsid w:val="00DC2981"/>
    <w:rsid w:val="00E02F1F"/>
    <w:rsid w:val="00E11300"/>
    <w:rsid w:val="00E15DE3"/>
    <w:rsid w:val="00E37A34"/>
    <w:rsid w:val="00E6566F"/>
    <w:rsid w:val="00E67E6D"/>
    <w:rsid w:val="00EE4BF9"/>
    <w:rsid w:val="00EF03E9"/>
    <w:rsid w:val="00F17B4B"/>
    <w:rsid w:val="00F25B75"/>
    <w:rsid w:val="00F8175D"/>
    <w:rsid w:val="00F86D48"/>
    <w:rsid w:val="00F96C24"/>
    <w:rsid w:val="00FA60DB"/>
    <w:rsid w:val="00FD3D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963"/>
    <w:pPr>
      <w:spacing w:after="200" w:line="276" w:lineRule="auto"/>
    </w:pPr>
    <w:rPr>
      <w:sz w:val="22"/>
      <w:szCs w:val="22"/>
      <w:lang w:eastAsia="en-US"/>
    </w:rPr>
  </w:style>
  <w:style w:type="paragraph" w:styleId="Heading1">
    <w:name w:val="heading 1"/>
    <w:basedOn w:val="Normal"/>
    <w:next w:val="Normal"/>
    <w:link w:val="Heading1Char"/>
    <w:uiPriority w:val="9"/>
    <w:qFormat/>
    <w:rsid w:val="000F362A"/>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1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8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875"/>
    <w:rPr>
      <w:rFonts w:ascii="Tahoma" w:hAnsi="Tahoma" w:cs="Tahoma"/>
      <w:sz w:val="16"/>
      <w:szCs w:val="16"/>
    </w:rPr>
  </w:style>
  <w:style w:type="character" w:styleId="Hyperlink">
    <w:name w:val="Hyperlink"/>
    <w:uiPriority w:val="99"/>
    <w:unhideWhenUsed/>
    <w:rsid w:val="007F1875"/>
    <w:rPr>
      <w:color w:val="0000FF"/>
      <w:u w:val="single"/>
    </w:rPr>
  </w:style>
  <w:style w:type="paragraph" w:customStyle="1" w:styleId="Sinespaciado1">
    <w:name w:val="Sin espaciado1"/>
    <w:uiPriority w:val="1"/>
    <w:qFormat/>
    <w:rsid w:val="007F1875"/>
    <w:rPr>
      <w:sz w:val="22"/>
      <w:szCs w:val="22"/>
      <w:lang w:eastAsia="en-US"/>
    </w:rPr>
  </w:style>
  <w:style w:type="paragraph" w:styleId="Header">
    <w:name w:val="header"/>
    <w:basedOn w:val="Normal"/>
    <w:link w:val="HeaderChar"/>
    <w:uiPriority w:val="99"/>
    <w:unhideWhenUsed/>
    <w:rsid w:val="002F7DE2"/>
    <w:pPr>
      <w:tabs>
        <w:tab w:val="center" w:pos="4419"/>
        <w:tab w:val="right" w:pos="8838"/>
      </w:tabs>
    </w:pPr>
  </w:style>
  <w:style w:type="character" w:customStyle="1" w:styleId="HeaderChar">
    <w:name w:val="Header Char"/>
    <w:link w:val="Header"/>
    <w:uiPriority w:val="99"/>
    <w:rsid w:val="002F7DE2"/>
    <w:rPr>
      <w:sz w:val="22"/>
      <w:szCs w:val="22"/>
      <w:lang w:eastAsia="en-US"/>
    </w:rPr>
  </w:style>
  <w:style w:type="paragraph" w:styleId="Footer">
    <w:name w:val="footer"/>
    <w:basedOn w:val="Normal"/>
    <w:link w:val="FooterChar"/>
    <w:uiPriority w:val="99"/>
    <w:unhideWhenUsed/>
    <w:rsid w:val="002F7DE2"/>
    <w:pPr>
      <w:tabs>
        <w:tab w:val="center" w:pos="4419"/>
        <w:tab w:val="right" w:pos="8838"/>
      </w:tabs>
    </w:pPr>
  </w:style>
  <w:style w:type="character" w:customStyle="1" w:styleId="FooterChar">
    <w:name w:val="Footer Char"/>
    <w:link w:val="Footer"/>
    <w:uiPriority w:val="99"/>
    <w:rsid w:val="002F7DE2"/>
    <w:rPr>
      <w:sz w:val="22"/>
      <w:szCs w:val="22"/>
      <w:lang w:eastAsia="en-US"/>
    </w:rPr>
  </w:style>
  <w:style w:type="table" w:styleId="TableGrid">
    <w:name w:val="Table Grid"/>
    <w:basedOn w:val="TableNormal"/>
    <w:uiPriority w:val="59"/>
    <w:rsid w:val="002F7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17FC2"/>
    <w:rPr>
      <w:sz w:val="16"/>
      <w:szCs w:val="16"/>
    </w:rPr>
  </w:style>
  <w:style w:type="paragraph" w:styleId="CommentText">
    <w:name w:val="annotation text"/>
    <w:basedOn w:val="Normal"/>
    <w:link w:val="CommentTextChar"/>
    <w:uiPriority w:val="99"/>
    <w:semiHidden/>
    <w:unhideWhenUsed/>
    <w:rsid w:val="00317FC2"/>
    <w:rPr>
      <w:sz w:val="20"/>
      <w:szCs w:val="20"/>
    </w:rPr>
  </w:style>
  <w:style w:type="character" w:customStyle="1" w:styleId="CommentTextChar">
    <w:name w:val="Comment Text Char"/>
    <w:link w:val="CommentText"/>
    <w:uiPriority w:val="99"/>
    <w:semiHidden/>
    <w:rsid w:val="00317FC2"/>
    <w:rPr>
      <w:lang w:eastAsia="en-US"/>
    </w:rPr>
  </w:style>
  <w:style w:type="paragraph" w:styleId="CommentSubject">
    <w:name w:val="annotation subject"/>
    <w:basedOn w:val="CommentText"/>
    <w:next w:val="CommentText"/>
    <w:link w:val="CommentSubjectChar"/>
    <w:uiPriority w:val="99"/>
    <w:semiHidden/>
    <w:unhideWhenUsed/>
    <w:rsid w:val="00317FC2"/>
    <w:rPr>
      <w:b/>
      <w:bCs/>
    </w:rPr>
  </w:style>
  <w:style w:type="character" w:customStyle="1" w:styleId="CommentSubjectChar">
    <w:name w:val="Comment Subject Char"/>
    <w:link w:val="CommentSubject"/>
    <w:uiPriority w:val="99"/>
    <w:semiHidden/>
    <w:rsid w:val="00317FC2"/>
    <w:rPr>
      <w:b/>
      <w:bCs/>
      <w:lang w:eastAsia="en-US"/>
    </w:rPr>
  </w:style>
  <w:style w:type="paragraph" w:styleId="NormalWeb">
    <w:name w:val="Normal (Web)"/>
    <w:basedOn w:val="Normal"/>
    <w:uiPriority w:val="99"/>
    <w:semiHidden/>
    <w:unhideWhenUsed/>
    <w:rsid w:val="0098106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basedOn w:val="DefaultParagraphFont"/>
    <w:rsid w:val="00981060"/>
  </w:style>
  <w:style w:type="character" w:customStyle="1" w:styleId="Heading1Char">
    <w:name w:val="Heading 1 Char"/>
    <w:basedOn w:val="DefaultParagraphFont"/>
    <w:link w:val="Heading1"/>
    <w:uiPriority w:val="9"/>
    <w:rsid w:val="000F362A"/>
    <w:rPr>
      <w:rFonts w:asciiTheme="majorHAnsi" w:eastAsiaTheme="majorEastAsia" w:hAnsiTheme="majorHAnsi" w:cstheme="majorBidi"/>
      <w:b/>
      <w:bCs/>
      <w:kern w:val="32"/>
      <w:sz w:val="32"/>
      <w:szCs w:val="32"/>
      <w:lang w:eastAsia="en-US"/>
    </w:rPr>
  </w:style>
  <w:style w:type="paragraph" w:customStyle="1" w:styleId="Default">
    <w:name w:val="Default"/>
    <w:rsid w:val="00566E10"/>
    <w:pPr>
      <w:autoSpaceDE w:val="0"/>
      <w:autoSpaceDN w:val="0"/>
      <w:adjustRightInd w:val="0"/>
    </w:pPr>
    <w:rPr>
      <w:rFonts w:ascii="Verdana" w:hAnsi="Verdana" w:cs="Verdana"/>
      <w:color w:val="000000"/>
      <w:sz w:val="24"/>
      <w:szCs w:val="24"/>
    </w:rPr>
  </w:style>
  <w:style w:type="paragraph" w:styleId="FootnoteText">
    <w:name w:val="footnote text"/>
    <w:basedOn w:val="Normal"/>
    <w:link w:val="FootnoteTextChar"/>
    <w:uiPriority w:val="99"/>
    <w:unhideWhenUsed/>
    <w:rsid w:val="00566E10"/>
    <w:pPr>
      <w:spacing w:after="0" w:line="240" w:lineRule="auto"/>
      <w:jc w:val="center"/>
    </w:pPr>
    <w:rPr>
      <w:sz w:val="20"/>
      <w:szCs w:val="20"/>
    </w:rPr>
  </w:style>
  <w:style w:type="character" w:customStyle="1" w:styleId="FootnoteTextChar">
    <w:name w:val="Footnote Text Char"/>
    <w:basedOn w:val="DefaultParagraphFont"/>
    <w:link w:val="FootnoteText"/>
    <w:uiPriority w:val="99"/>
    <w:rsid w:val="00566E10"/>
    <w:rPr>
      <w:lang w:eastAsia="en-US"/>
    </w:rPr>
  </w:style>
  <w:style w:type="character" w:styleId="FootnoteReference">
    <w:name w:val="footnote reference"/>
    <w:basedOn w:val="DefaultParagraphFont"/>
    <w:uiPriority w:val="99"/>
    <w:unhideWhenUsed/>
    <w:rsid w:val="00566E10"/>
    <w:rPr>
      <w:vertAlign w:val="superscript"/>
    </w:rPr>
  </w:style>
  <w:style w:type="character" w:customStyle="1" w:styleId="Heading2Char">
    <w:name w:val="Heading 2 Char"/>
    <w:basedOn w:val="DefaultParagraphFont"/>
    <w:link w:val="Heading2"/>
    <w:uiPriority w:val="9"/>
    <w:rsid w:val="009701C5"/>
    <w:rPr>
      <w:rFonts w:asciiTheme="majorHAnsi" w:eastAsiaTheme="majorEastAsia" w:hAnsiTheme="majorHAnsi" w:cstheme="majorBidi"/>
      <w:b/>
      <w:bCs/>
      <w:color w:val="4F81BD" w:themeColor="accent1"/>
      <w:sz w:val="26"/>
      <w:szCs w:val="26"/>
      <w:lang w:eastAsia="en-US"/>
    </w:rPr>
  </w:style>
  <w:style w:type="character" w:styleId="Strong">
    <w:name w:val="Strong"/>
    <w:basedOn w:val="DefaultParagraphFont"/>
    <w:uiPriority w:val="22"/>
    <w:qFormat/>
    <w:rsid w:val="00E02F1F"/>
    <w:rPr>
      <w:b/>
      <w:bCs/>
    </w:rPr>
  </w:style>
  <w:style w:type="paragraph" w:styleId="ListParagraph">
    <w:name w:val="List Paragraph"/>
    <w:basedOn w:val="Normal"/>
    <w:uiPriority w:val="34"/>
    <w:qFormat/>
    <w:rsid w:val="009D69AD"/>
    <w:pPr>
      <w:ind w:left="720"/>
      <w:contextualSpacing/>
      <w:jc w:val="both"/>
    </w:pPr>
    <w:rPr>
      <w:rFonts w:asciiTheme="minorHAnsi" w:eastAsiaTheme="minorEastAsia" w:hAnsiTheme="minorHAnsi" w:cstheme="minorBidi"/>
      <w:b/>
      <w:lang w:eastAsia="es-CO"/>
    </w:rPr>
  </w:style>
  <w:style w:type="paragraph" w:styleId="Subtitle">
    <w:name w:val="Subtitle"/>
    <w:basedOn w:val="Normal"/>
    <w:next w:val="Normal"/>
    <w:link w:val="SubtitleChar"/>
    <w:uiPriority w:val="11"/>
    <w:qFormat/>
    <w:rsid w:val="009D69AD"/>
    <w:pPr>
      <w:numPr>
        <w:ilvl w:val="1"/>
      </w:numPr>
      <w:jc w:val="both"/>
    </w:pPr>
    <w:rPr>
      <w:rFonts w:asciiTheme="majorHAnsi" w:eastAsiaTheme="majorEastAsia" w:hAnsiTheme="majorHAnsi" w:cstheme="majorBidi"/>
      <w:b/>
      <w:i/>
      <w:iCs/>
      <w:color w:val="4F81BD" w:themeColor="accent1"/>
      <w:spacing w:val="15"/>
      <w:sz w:val="24"/>
      <w:szCs w:val="24"/>
      <w:lang w:eastAsia="es-CO"/>
    </w:rPr>
  </w:style>
  <w:style w:type="character" w:customStyle="1" w:styleId="SubtitleChar">
    <w:name w:val="Subtitle Char"/>
    <w:basedOn w:val="DefaultParagraphFont"/>
    <w:link w:val="Subtitle"/>
    <w:uiPriority w:val="11"/>
    <w:rsid w:val="009D69AD"/>
    <w:rPr>
      <w:rFonts w:asciiTheme="majorHAnsi" w:eastAsiaTheme="majorEastAsia" w:hAnsiTheme="majorHAnsi" w:cstheme="majorBidi"/>
      <w:b/>
      <w:i/>
      <w:iCs/>
      <w:color w:val="4F81BD" w:themeColor="accent1"/>
      <w:spacing w:val="15"/>
      <w:sz w:val="24"/>
      <w:szCs w:val="24"/>
    </w:rPr>
  </w:style>
  <w:style w:type="character" w:styleId="Emphasis">
    <w:name w:val="Emphasis"/>
    <w:basedOn w:val="DefaultParagraphFont"/>
    <w:uiPriority w:val="20"/>
    <w:qFormat/>
    <w:rsid w:val="009D69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963"/>
    <w:pPr>
      <w:spacing w:after="200" w:line="276" w:lineRule="auto"/>
    </w:pPr>
    <w:rPr>
      <w:sz w:val="22"/>
      <w:szCs w:val="22"/>
      <w:lang w:eastAsia="en-US"/>
    </w:rPr>
  </w:style>
  <w:style w:type="paragraph" w:styleId="Heading1">
    <w:name w:val="heading 1"/>
    <w:basedOn w:val="Normal"/>
    <w:next w:val="Normal"/>
    <w:link w:val="Heading1Char"/>
    <w:uiPriority w:val="9"/>
    <w:qFormat/>
    <w:rsid w:val="000F362A"/>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1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18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875"/>
    <w:rPr>
      <w:rFonts w:ascii="Tahoma" w:hAnsi="Tahoma" w:cs="Tahoma"/>
      <w:sz w:val="16"/>
      <w:szCs w:val="16"/>
    </w:rPr>
  </w:style>
  <w:style w:type="character" w:styleId="Hyperlink">
    <w:name w:val="Hyperlink"/>
    <w:uiPriority w:val="99"/>
    <w:unhideWhenUsed/>
    <w:rsid w:val="007F1875"/>
    <w:rPr>
      <w:color w:val="0000FF"/>
      <w:u w:val="single"/>
    </w:rPr>
  </w:style>
  <w:style w:type="paragraph" w:customStyle="1" w:styleId="Sinespaciado1">
    <w:name w:val="Sin espaciado1"/>
    <w:uiPriority w:val="1"/>
    <w:qFormat/>
    <w:rsid w:val="007F1875"/>
    <w:rPr>
      <w:sz w:val="22"/>
      <w:szCs w:val="22"/>
      <w:lang w:eastAsia="en-US"/>
    </w:rPr>
  </w:style>
  <w:style w:type="paragraph" w:styleId="Header">
    <w:name w:val="header"/>
    <w:basedOn w:val="Normal"/>
    <w:link w:val="HeaderChar"/>
    <w:uiPriority w:val="99"/>
    <w:unhideWhenUsed/>
    <w:rsid w:val="002F7DE2"/>
    <w:pPr>
      <w:tabs>
        <w:tab w:val="center" w:pos="4419"/>
        <w:tab w:val="right" w:pos="8838"/>
      </w:tabs>
    </w:pPr>
  </w:style>
  <w:style w:type="character" w:customStyle="1" w:styleId="HeaderChar">
    <w:name w:val="Header Char"/>
    <w:link w:val="Header"/>
    <w:uiPriority w:val="99"/>
    <w:rsid w:val="002F7DE2"/>
    <w:rPr>
      <w:sz w:val="22"/>
      <w:szCs w:val="22"/>
      <w:lang w:eastAsia="en-US"/>
    </w:rPr>
  </w:style>
  <w:style w:type="paragraph" w:styleId="Footer">
    <w:name w:val="footer"/>
    <w:basedOn w:val="Normal"/>
    <w:link w:val="FooterChar"/>
    <w:uiPriority w:val="99"/>
    <w:unhideWhenUsed/>
    <w:rsid w:val="002F7DE2"/>
    <w:pPr>
      <w:tabs>
        <w:tab w:val="center" w:pos="4419"/>
        <w:tab w:val="right" w:pos="8838"/>
      </w:tabs>
    </w:pPr>
  </w:style>
  <w:style w:type="character" w:customStyle="1" w:styleId="FooterChar">
    <w:name w:val="Footer Char"/>
    <w:link w:val="Footer"/>
    <w:uiPriority w:val="99"/>
    <w:rsid w:val="002F7DE2"/>
    <w:rPr>
      <w:sz w:val="22"/>
      <w:szCs w:val="22"/>
      <w:lang w:eastAsia="en-US"/>
    </w:rPr>
  </w:style>
  <w:style w:type="table" w:styleId="TableGrid">
    <w:name w:val="Table Grid"/>
    <w:basedOn w:val="TableNormal"/>
    <w:uiPriority w:val="59"/>
    <w:rsid w:val="002F7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17FC2"/>
    <w:rPr>
      <w:sz w:val="16"/>
      <w:szCs w:val="16"/>
    </w:rPr>
  </w:style>
  <w:style w:type="paragraph" w:styleId="CommentText">
    <w:name w:val="annotation text"/>
    <w:basedOn w:val="Normal"/>
    <w:link w:val="CommentTextChar"/>
    <w:uiPriority w:val="99"/>
    <w:semiHidden/>
    <w:unhideWhenUsed/>
    <w:rsid w:val="00317FC2"/>
    <w:rPr>
      <w:sz w:val="20"/>
      <w:szCs w:val="20"/>
    </w:rPr>
  </w:style>
  <w:style w:type="character" w:customStyle="1" w:styleId="CommentTextChar">
    <w:name w:val="Comment Text Char"/>
    <w:link w:val="CommentText"/>
    <w:uiPriority w:val="99"/>
    <w:semiHidden/>
    <w:rsid w:val="00317FC2"/>
    <w:rPr>
      <w:lang w:eastAsia="en-US"/>
    </w:rPr>
  </w:style>
  <w:style w:type="paragraph" w:styleId="CommentSubject">
    <w:name w:val="annotation subject"/>
    <w:basedOn w:val="CommentText"/>
    <w:next w:val="CommentText"/>
    <w:link w:val="CommentSubjectChar"/>
    <w:uiPriority w:val="99"/>
    <w:semiHidden/>
    <w:unhideWhenUsed/>
    <w:rsid w:val="00317FC2"/>
    <w:rPr>
      <w:b/>
      <w:bCs/>
    </w:rPr>
  </w:style>
  <w:style w:type="character" w:customStyle="1" w:styleId="CommentSubjectChar">
    <w:name w:val="Comment Subject Char"/>
    <w:link w:val="CommentSubject"/>
    <w:uiPriority w:val="99"/>
    <w:semiHidden/>
    <w:rsid w:val="00317FC2"/>
    <w:rPr>
      <w:b/>
      <w:bCs/>
      <w:lang w:eastAsia="en-US"/>
    </w:rPr>
  </w:style>
  <w:style w:type="paragraph" w:styleId="NormalWeb">
    <w:name w:val="Normal (Web)"/>
    <w:basedOn w:val="Normal"/>
    <w:uiPriority w:val="99"/>
    <w:semiHidden/>
    <w:unhideWhenUsed/>
    <w:rsid w:val="0098106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basedOn w:val="DefaultParagraphFont"/>
    <w:rsid w:val="00981060"/>
  </w:style>
  <w:style w:type="character" w:customStyle="1" w:styleId="Heading1Char">
    <w:name w:val="Heading 1 Char"/>
    <w:basedOn w:val="DefaultParagraphFont"/>
    <w:link w:val="Heading1"/>
    <w:uiPriority w:val="9"/>
    <w:rsid w:val="000F362A"/>
    <w:rPr>
      <w:rFonts w:asciiTheme="majorHAnsi" w:eastAsiaTheme="majorEastAsia" w:hAnsiTheme="majorHAnsi" w:cstheme="majorBidi"/>
      <w:b/>
      <w:bCs/>
      <w:kern w:val="32"/>
      <w:sz w:val="32"/>
      <w:szCs w:val="32"/>
      <w:lang w:eastAsia="en-US"/>
    </w:rPr>
  </w:style>
  <w:style w:type="paragraph" w:customStyle="1" w:styleId="Default">
    <w:name w:val="Default"/>
    <w:rsid w:val="00566E10"/>
    <w:pPr>
      <w:autoSpaceDE w:val="0"/>
      <w:autoSpaceDN w:val="0"/>
      <w:adjustRightInd w:val="0"/>
    </w:pPr>
    <w:rPr>
      <w:rFonts w:ascii="Verdana" w:hAnsi="Verdana" w:cs="Verdana"/>
      <w:color w:val="000000"/>
      <w:sz w:val="24"/>
      <w:szCs w:val="24"/>
    </w:rPr>
  </w:style>
  <w:style w:type="paragraph" w:styleId="FootnoteText">
    <w:name w:val="footnote text"/>
    <w:basedOn w:val="Normal"/>
    <w:link w:val="FootnoteTextChar"/>
    <w:uiPriority w:val="99"/>
    <w:unhideWhenUsed/>
    <w:rsid w:val="00566E10"/>
    <w:pPr>
      <w:spacing w:after="0" w:line="240" w:lineRule="auto"/>
      <w:jc w:val="center"/>
    </w:pPr>
    <w:rPr>
      <w:sz w:val="20"/>
      <w:szCs w:val="20"/>
    </w:rPr>
  </w:style>
  <w:style w:type="character" w:customStyle="1" w:styleId="FootnoteTextChar">
    <w:name w:val="Footnote Text Char"/>
    <w:basedOn w:val="DefaultParagraphFont"/>
    <w:link w:val="FootnoteText"/>
    <w:uiPriority w:val="99"/>
    <w:rsid w:val="00566E10"/>
    <w:rPr>
      <w:lang w:eastAsia="en-US"/>
    </w:rPr>
  </w:style>
  <w:style w:type="character" w:styleId="FootnoteReference">
    <w:name w:val="footnote reference"/>
    <w:basedOn w:val="DefaultParagraphFont"/>
    <w:uiPriority w:val="99"/>
    <w:unhideWhenUsed/>
    <w:rsid w:val="00566E10"/>
    <w:rPr>
      <w:vertAlign w:val="superscript"/>
    </w:rPr>
  </w:style>
  <w:style w:type="character" w:customStyle="1" w:styleId="Heading2Char">
    <w:name w:val="Heading 2 Char"/>
    <w:basedOn w:val="DefaultParagraphFont"/>
    <w:link w:val="Heading2"/>
    <w:uiPriority w:val="9"/>
    <w:rsid w:val="009701C5"/>
    <w:rPr>
      <w:rFonts w:asciiTheme="majorHAnsi" w:eastAsiaTheme="majorEastAsia" w:hAnsiTheme="majorHAnsi" w:cstheme="majorBidi"/>
      <w:b/>
      <w:bCs/>
      <w:color w:val="4F81BD" w:themeColor="accent1"/>
      <w:sz w:val="26"/>
      <w:szCs w:val="26"/>
      <w:lang w:eastAsia="en-US"/>
    </w:rPr>
  </w:style>
  <w:style w:type="character" w:styleId="Strong">
    <w:name w:val="Strong"/>
    <w:basedOn w:val="DefaultParagraphFont"/>
    <w:uiPriority w:val="22"/>
    <w:qFormat/>
    <w:rsid w:val="00E02F1F"/>
    <w:rPr>
      <w:b/>
      <w:bCs/>
    </w:rPr>
  </w:style>
  <w:style w:type="paragraph" w:styleId="ListParagraph">
    <w:name w:val="List Paragraph"/>
    <w:basedOn w:val="Normal"/>
    <w:uiPriority w:val="34"/>
    <w:qFormat/>
    <w:rsid w:val="009D69AD"/>
    <w:pPr>
      <w:ind w:left="720"/>
      <w:contextualSpacing/>
      <w:jc w:val="both"/>
    </w:pPr>
    <w:rPr>
      <w:rFonts w:asciiTheme="minorHAnsi" w:eastAsiaTheme="minorEastAsia" w:hAnsiTheme="minorHAnsi" w:cstheme="minorBidi"/>
      <w:b/>
      <w:lang w:eastAsia="es-CO"/>
    </w:rPr>
  </w:style>
  <w:style w:type="paragraph" w:styleId="Subtitle">
    <w:name w:val="Subtitle"/>
    <w:basedOn w:val="Normal"/>
    <w:next w:val="Normal"/>
    <w:link w:val="SubtitleChar"/>
    <w:uiPriority w:val="11"/>
    <w:qFormat/>
    <w:rsid w:val="009D69AD"/>
    <w:pPr>
      <w:numPr>
        <w:ilvl w:val="1"/>
      </w:numPr>
      <w:jc w:val="both"/>
    </w:pPr>
    <w:rPr>
      <w:rFonts w:asciiTheme="majorHAnsi" w:eastAsiaTheme="majorEastAsia" w:hAnsiTheme="majorHAnsi" w:cstheme="majorBidi"/>
      <w:b/>
      <w:i/>
      <w:iCs/>
      <w:color w:val="4F81BD" w:themeColor="accent1"/>
      <w:spacing w:val="15"/>
      <w:sz w:val="24"/>
      <w:szCs w:val="24"/>
      <w:lang w:eastAsia="es-CO"/>
    </w:rPr>
  </w:style>
  <w:style w:type="character" w:customStyle="1" w:styleId="SubtitleChar">
    <w:name w:val="Subtitle Char"/>
    <w:basedOn w:val="DefaultParagraphFont"/>
    <w:link w:val="Subtitle"/>
    <w:uiPriority w:val="11"/>
    <w:rsid w:val="009D69AD"/>
    <w:rPr>
      <w:rFonts w:asciiTheme="majorHAnsi" w:eastAsiaTheme="majorEastAsia" w:hAnsiTheme="majorHAnsi" w:cstheme="majorBidi"/>
      <w:b/>
      <w:i/>
      <w:iCs/>
      <w:color w:val="4F81BD" w:themeColor="accent1"/>
      <w:spacing w:val="15"/>
      <w:sz w:val="24"/>
      <w:szCs w:val="24"/>
    </w:rPr>
  </w:style>
  <w:style w:type="character" w:styleId="Emphasis">
    <w:name w:val="Emphasis"/>
    <w:basedOn w:val="DefaultParagraphFont"/>
    <w:uiPriority w:val="20"/>
    <w:qFormat/>
    <w:rsid w:val="009D69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203917">
      <w:bodyDiv w:val="1"/>
      <w:marLeft w:val="0"/>
      <w:marRight w:val="0"/>
      <w:marTop w:val="0"/>
      <w:marBottom w:val="0"/>
      <w:divBdr>
        <w:top w:val="none" w:sz="0" w:space="0" w:color="auto"/>
        <w:left w:val="none" w:sz="0" w:space="0" w:color="auto"/>
        <w:bottom w:val="none" w:sz="0" w:space="0" w:color="auto"/>
        <w:right w:val="none" w:sz="0" w:space="0" w:color="auto"/>
      </w:divBdr>
    </w:div>
    <w:div w:id="1474717757">
      <w:bodyDiv w:val="1"/>
      <w:marLeft w:val="0"/>
      <w:marRight w:val="0"/>
      <w:marTop w:val="0"/>
      <w:marBottom w:val="0"/>
      <w:divBdr>
        <w:top w:val="none" w:sz="0" w:space="0" w:color="auto"/>
        <w:left w:val="none" w:sz="0" w:space="0" w:color="auto"/>
        <w:bottom w:val="none" w:sz="0" w:space="0" w:color="auto"/>
        <w:right w:val="none" w:sz="0" w:space="0" w:color="auto"/>
      </w:divBdr>
      <w:divsChild>
        <w:div w:id="22900791">
          <w:marLeft w:val="0"/>
          <w:marRight w:val="0"/>
          <w:marTop w:val="0"/>
          <w:marBottom w:val="0"/>
          <w:divBdr>
            <w:top w:val="none" w:sz="0" w:space="0" w:color="auto"/>
            <w:left w:val="none" w:sz="0" w:space="0" w:color="auto"/>
            <w:bottom w:val="none" w:sz="0" w:space="0" w:color="auto"/>
            <w:right w:val="none" w:sz="0" w:space="0" w:color="auto"/>
          </w:divBdr>
        </w:div>
        <w:div w:id="75442681">
          <w:marLeft w:val="0"/>
          <w:marRight w:val="0"/>
          <w:marTop w:val="0"/>
          <w:marBottom w:val="0"/>
          <w:divBdr>
            <w:top w:val="none" w:sz="0" w:space="0" w:color="auto"/>
            <w:left w:val="none" w:sz="0" w:space="0" w:color="auto"/>
            <w:bottom w:val="none" w:sz="0" w:space="0" w:color="auto"/>
            <w:right w:val="none" w:sz="0" w:space="0" w:color="auto"/>
          </w:divBdr>
          <w:divsChild>
            <w:div w:id="24597543">
              <w:marLeft w:val="0"/>
              <w:marRight w:val="0"/>
              <w:marTop w:val="0"/>
              <w:marBottom w:val="0"/>
              <w:divBdr>
                <w:top w:val="none" w:sz="0" w:space="0" w:color="auto"/>
                <w:left w:val="none" w:sz="0" w:space="0" w:color="auto"/>
                <w:bottom w:val="none" w:sz="0" w:space="0" w:color="auto"/>
                <w:right w:val="none" w:sz="0" w:space="0" w:color="auto"/>
              </w:divBdr>
            </w:div>
            <w:div w:id="1545752271">
              <w:marLeft w:val="0"/>
              <w:marRight w:val="0"/>
              <w:marTop w:val="0"/>
              <w:marBottom w:val="0"/>
              <w:divBdr>
                <w:top w:val="none" w:sz="0" w:space="0" w:color="auto"/>
                <w:left w:val="none" w:sz="0" w:space="0" w:color="auto"/>
                <w:bottom w:val="none" w:sz="0" w:space="0" w:color="auto"/>
                <w:right w:val="none" w:sz="0" w:space="0" w:color="auto"/>
              </w:divBdr>
            </w:div>
          </w:divsChild>
        </w:div>
        <w:div w:id="159658869">
          <w:marLeft w:val="0"/>
          <w:marRight w:val="0"/>
          <w:marTop w:val="0"/>
          <w:marBottom w:val="0"/>
          <w:divBdr>
            <w:top w:val="none" w:sz="0" w:space="0" w:color="auto"/>
            <w:left w:val="none" w:sz="0" w:space="0" w:color="auto"/>
            <w:bottom w:val="none" w:sz="0" w:space="0" w:color="auto"/>
            <w:right w:val="none" w:sz="0" w:space="0" w:color="auto"/>
          </w:divBdr>
        </w:div>
        <w:div w:id="236982535">
          <w:marLeft w:val="0"/>
          <w:marRight w:val="0"/>
          <w:marTop w:val="0"/>
          <w:marBottom w:val="0"/>
          <w:divBdr>
            <w:top w:val="none" w:sz="0" w:space="0" w:color="auto"/>
            <w:left w:val="none" w:sz="0" w:space="0" w:color="auto"/>
            <w:bottom w:val="none" w:sz="0" w:space="0" w:color="auto"/>
            <w:right w:val="none" w:sz="0" w:space="0" w:color="auto"/>
          </w:divBdr>
          <w:divsChild>
            <w:div w:id="896740142">
              <w:marLeft w:val="0"/>
              <w:marRight w:val="0"/>
              <w:marTop w:val="0"/>
              <w:marBottom w:val="0"/>
              <w:divBdr>
                <w:top w:val="none" w:sz="0" w:space="0" w:color="auto"/>
                <w:left w:val="none" w:sz="0" w:space="0" w:color="auto"/>
                <w:bottom w:val="none" w:sz="0" w:space="0" w:color="auto"/>
                <w:right w:val="none" w:sz="0" w:space="0" w:color="auto"/>
              </w:divBdr>
            </w:div>
          </w:divsChild>
        </w:div>
        <w:div w:id="257100778">
          <w:marLeft w:val="0"/>
          <w:marRight w:val="0"/>
          <w:marTop w:val="0"/>
          <w:marBottom w:val="0"/>
          <w:divBdr>
            <w:top w:val="none" w:sz="0" w:space="0" w:color="auto"/>
            <w:left w:val="none" w:sz="0" w:space="0" w:color="auto"/>
            <w:bottom w:val="none" w:sz="0" w:space="0" w:color="auto"/>
            <w:right w:val="none" w:sz="0" w:space="0" w:color="auto"/>
          </w:divBdr>
        </w:div>
        <w:div w:id="275992795">
          <w:marLeft w:val="0"/>
          <w:marRight w:val="0"/>
          <w:marTop w:val="0"/>
          <w:marBottom w:val="0"/>
          <w:divBdr>
            <w:top w:val="none" w:sz="0" w:space="0" w:color="auto"/>
            <w:left w:val="none" w:sz="0" w:space="0" w:color="auto"/>
            <w:bottom w:val="none" w:sz="0" w:space="0" w:color="auto"/>
            <w:right w:val="none" w:sz="0" w:space="0" w:color="auto"/>
          </w:divBdr>
        </w:div>
        <w:div w:id="349263188">
          <w:marLeft w:val="0"/>
          <w:marRight w:val="0"/>
          <w:marTop w:val="0"/>
          <w:marBottom w:val="0"/>
          <w:divBdr>
            <w:top w:val="none" w:sz="0" w:space="0" w:color="auto"/>
            <w:left w:val="none" w:sz="0" w:space="0" w:color="auto"/>
            <w:bottom w:val="none" w:sz="0" w:space="0" w:color="auto"/>
            <w:right w:val="none" w:sz="0" w:space="0" w:color="auto"/>
          </w:divBdr>
        </w:div>
        <w:div w:id="698549616">
          <w:marLeft w:val="0"/>
          <w:marRight w:val="0"/>
          <w:marTop w:val="0"/>
          <w:marBottom w:val="0"/>
          <w:divBdr>
            <w:top w:val="none" w:sz="0" w:space="0" w:color="auto"/>
            <w:left w:val="none" w:sz="0" w:space="0" w:color="auto"/>
            <w:bottom w:val="none" w:sz="0" w:space="0" w:color="auto"/>
            <w:right w:val="none" w:sz="0" w:space="0" w:color="auto"/>
          </w:divBdr>
        </w:div>
        <w:div w:id="711929609">
          <w:marLeft w:val="0"/>
          <w:marRight w:val="0"/>
          <w:marTop w:val="0"/>
          <w:marBottom w:val="0"/>
          <w:divBdr>
            <w:top w:val="none" w:sz="0" w:space="0" w:color="auto"/>
            <w:left w:val="none" w:sz="0" w:space="0" w:color="auto"/>
            <w:bottom w:val="none" w:sz="0" w:space="0" w:color="auto"/>
            <w:right w:val="none" w:sz="0" w:space="0" w:color="auto"/>
          </w:divBdr>
        </w:div>
        <w:div w:id="852888219">
          <w:marLeft w:val="0"/>
          <w:marRight w:val="0"/>
          <w:marTop w:val="0"/>
          <w:marBottom w:val="0"/>
          <w:divBdr>
            <w:top w:val="none" w:sz="0" w:space="0" w:color="auto"/>
            <w:left w:val="none" w:sz="0" w:space="0" w:color="auto"/>
            <w:bottom w:val="none" w:sz="0" w:space="0" w:color="auto"/>
            <w:right w:val="none" w:sz="0" w:space="0" w:color="auto"/>
          </w:divBdr>
        </w:div>
        <w:div w:id="1166820921">
          <w:marLeft w:val="0"/>
          <w:marRight w:val="0"/>
          <w:marTop w:val="0"/>
          <w:marBottom w:val="0"/>
          <w:divBdr>
            <w:top w:val="none" w:sz="0" w:space="0" w:color="auto"/>
            <w:left w:val="none" w:sz="0" w:space="0" w:color="auto"/>
            <w:bottom w:val="none" w:sz="0" w:space="0" w:color="auto"/>
            <w:right w:val="none" w:sz="0" w:space="0" w:color="auto"/>
          </w:divBdr>
        </w:div>
        <w:div w:id="1253011618">
          <w:marLeft w:val="0"/>
          <w:marRight w:val="0"/>
          <w:marTop w:val="0"/>
          <w:marBottom w:val="0"/>
          <w:divBdr>
            <w:top w:val="none" w:sz="0" w:space="0" w:color="auto"/>
            <w:left w:val="none" w:sz="0" w:space="0" w:color="auto"/>
            <w:bottom w:val="none" w:sz="0" w:space="0" w:color="auto"/>
            <w:right w:val="none" w:sz="0" w:space="0" w:color="auto"/>
          </w:divBdr>
          <w:divsChild>
            <w:div w:id="196507975">
              <w:marLeft w:val="0"/>
              <w:marRight w:val="0"/>
              <w:marTop w:val="0"/>
              <w:marBottom w:val="0"/>
              <w:divBdr>
                <w:top w:val="none" w:sz="0" w:space="0" w:color="auto"/>
                <w:left w:val="none" w:sz="0" w:space="0" w:color="auto"/>
                <w:bottom w:val="none" w:sz="0" w:space="0" w:color="auto"/>
                <w:right w:val="none" w:sz="0" w:space="0" w:color="auto"/>
              </w:divBdr>
            </w:div>
          </w:divsChild>
        </w:div>
        <w:div w:id="1530484987">
          <w:marLeft w:val="0"/>
          <w:marRight w:val="0"/>
          <w:marTop w:val="0"/>
          <w:marBottom w:val="0"/>
          <w:divBdr>
            <w:top w:val="none" w:sz="0" w:space="0" w:color="auto"/>
            <w:left w:val="none" w:sz="0" w:space="0" w:color="auto"/>
            <w:bottom w:val="none" w:sz="0" w:space="0" w:color="auto"/>
            <w:right w:val="none" w:sz="0" w:space="0" w:color="auto"/>
          </w:divBdr>
        </w:div>
        <w:div w:id="1760788017">
          <w:marLeft w:val="0"/>
          <w:marRight w:val="0"/>
          <w:marTop w:val="0"/>
          <w:marBottom w:val="0"/>
          <w:divBdr>
            <w:top w:val="none" w:sz="0" w:space="0" w:color="auto"/>
            <w:left w:val="none" w:sz="0" w:space="0" w:color="auto"/>
            <w:bottom w:val="none" w:sz="0" w:space="0" w:color="auto"/>
            <w:right w:val="none" w:sz="0" w:space="0" w:color="auto"/>
          </w:divBdr>
        </w:div>
        <w:div w:id="1880431961">
          <w:marLeft w:val="0"/>
          <w:marRight w:val="0"/>
          <w:marTop w:val="0"/>
          <w:marBottom w:val="0"/>
          <w:divBdr>
            <w:top w:val="none" w:sz="0" w:space="0" w:color="auto"/>
            <w:left w:val="none" w:sz="0" w:space="0" w:color="auto"/>
            <w:bottom w:val="none" w:sz="0" w:space="0" w:color="auto"/>
            <w:right w:val="none" w:sz="0" w:space="0" w:color="auto"/>
          </w:divBdr>
        </w:div>
        <w:div w:id="1914119534">
          <w:marLeft w:val="0"/>
          <w:marRight w:val="0"/>
          <w:marTop w:val="0"/>
          <w:marBottom w:val="0"/>
          <w:divBdr>
            <w:top w:val="none" w:sz="0" w:space="0" w:color="auto"/>
            <w:left w:val="none" w:sz="0" w:space="0" w:color="auto"/>
            <w:bottom w:val="none" w:sz="0" w:space="0" w:color="auto"/>
            <w:right w:val="none" w:sz="0" w:space="0" w:color="auto"/>
          </w:divBdr>
          <w:divsChild>
            <w:div w:id="70396261">
              <w:marLeft w:val="0"/>
              <w:marRight w:val="0"/>
              <w:marTop w:val="0"/>
              <w:marBottom w:val="0"/>
              <w:divBdr>
                <w:top w:val="none" w:sz="0" w:space="0" w:color="auto"/>
                <w:left w:val="none" w:sz="0" w:space="0" w:color="auto"/>
                <w:bottom w:val="none" w:sz="0" w:space="0" w:color="auto"/>
                <w:right w:val="none" w:sz="0" w:space="0" w:color="auto"/>
              </w:divBdr>
            </w:div>
            <w:div w:id="155221552">
              <w:marLeft w:val="0"/>
              <w:marRight w:val="0"/>
              <w:marTop w:val="0"/>
              <w:marBottom w:val="0"/>
              <w:divBdr>
                <w:top w:val="none" w:sz="0" w:space="0" w:color="auto"/>
                <w:left w:val="none" w:sz="0" w:space="0" w:color="auto"/>
                <w:bottom w:val="none" w:sz="0" w:space="0" w:color="auto"/>
                <w:right w:val="none" w:sz="0" w:space="0" w:color="auto"/>
              </w:divBdr>
            </w:div>
            <w:div w:id="646983286">
              <w:marLeft w:val="0"/>
              <w:marRight w:val="0"/>
              <w:marTop w:val="0"/>
              <w:marBottom w:val="0"/>
              <w:divBdr>
                <w:top w:val="none" w:sz="0" w:space="0" w:color="auto"/>
                <w:left w:val="none" w:sz="0" w:space="0" w:color="auto"/>
                <w:bottom w:val="none" w:sz="0" w:space="0" w:color="auto"/>
                <w:right w:val="none" w:sz="0" w:space="0" w:color="auto"/>
              </w:divBdr>
            </w:div>
          </w:divsChild>
        </w:div>
        <w:div w:id="2084914915">
          <w:marLeft w:val="0"/>
          <w:marRight w:val="0"/>
          <w:marTop w:val="0"/>
          <w:marBottom w:val="0"/>
          <w:divBdr>
            <w:top w:val="none" w:sz="0" w:space="0" w:color="auto"/>
            <w:left w:val="none" w:sz="0" w:space="0" w:color="auto"/>
            <w:bottom w:val="none" w:sz="0" w:space="0" w:color="auto"/>
            <w:right w:val="none" w:sz="0" w:space="0" w:color="auto"/>
          </w:divBdr>
        </w:div>
      </w:divsChild>
    </w:div>
    <w:div w:id="1912887921">
      <w:bodyDiv w:val="1"/>
      <w:marLeft w:val="0"/>
      <w:marRight w:val="0"/>
      <w:marTop w:val="0"/>
      <w:marBottom w:val="0"/>
      <w:divBdr>
        <w:top w:val="none" w:sz="0" w:space="0" w:color="auto"/>
        <w:left w:val="none" w:sz="0" w:space="0" w:color="auto"/>
        <w:bottom w:val="none" w:sz="0" w:space="0" w:color="auto"/>
        <w:right w:val="none" w:sz="0" w:space="0" w:color="auto"/>
      </w:divBdr>
      <w:divsChild>
        <w:div w:id="1628468202">
          <w:marLeft w:val="0"/>
          <w:marRight w:val="0"/>
          <w:marTop w:val="0"/>
          <w:marBottom w:val="0"/>
          <w:divBdr>
            <w:top w:val="none" w:sz="0" w:space="0" w:color="auto"/>
            <w:left w:val="none" w:sz="0" w:space="0" w:color="auto"/>
            <w:bottom w:val="none" w:sz="0" w:space="0" w:color="auto"/>
            <w:right w:val="none" w:sz="0" w:space="0" w:color="auto"/>
          </w:divBdr>
        </w:div>
      </w:divsChild>
    </w:div>
    <w:div w:id="2021203146">
      <w:bodyDiv w:val="1"/>
      <w:marLeft w:val="0"/>
      <w:marRight w:val="0"/>
      <w:marTop w:val="0"/>
      <w:marBottom w:val="0"/>
      <w:divBdr>
        <w:top w:val="none" w:sz="0" w:space="0" w:color="auto"/>
        <w:left w:val="none" w:sz="0" w:space="0" w:color="auto"/>
        <w:bottom w:val="none" w:sz="0" w:space="0" w:color="auto"/>
        <w:right w:val="none" w:sz="0" w:space="0" w:color="auto"/>
      </w:divBdr>
    </w:div>
    <w:div w:id="2090927054">
      <w:bodyDiv w:val="1"/>
      <w:marLeft w:val="0"/>
      <w:marRight w:val="0"/>
      <w:marTop w:val="0"/>
      <w:marBottom w:val="0"/>
      <w:divBdr>
        <w:top w:val="none" w:sz="0" w:space="0" w:color="auto"/>
        <w:left w:val="none" w:sz="0" w:space="0" w:color="auto"/>
        <w:bottom w:val="none" w:sz="0" w:space="0" w:color="auto"/>
        <w:right w:val="none" w:sz="0" w:space="0" w:color="auto"/>
      </w:divBdr>
      <w:divsChild>
        <w:div w:id="1833520967">
          <w:marLeft w:val="0"/>
          <w:marRight w:val="0"/>
          <w:marTop w:val="0"/>
          <w:marBottom w:val="0"/>
          <w:divBdr>
            <w:top w:val="none" w:sz="0" w:space="0" w:color="auto"/>
            <w:left w:val="none" w:sz="0" w:space="0" w:color="auto"/>
            <w:bottom w:val="none" w:sz="0" w:space="0" w:color="auto"/>
            <w:right w:val="none" w:sz="0" w:space="0" w:color="auto"/>
          </w:divBdr>
          <w:divsChild>
            <w:div w:id="59960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http://www.transparenciacolombia.org.co"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ineducacion.gov.co/1759/articles-356801_archivo_pdf.pdf" TargetMode="External"/><Relationship Id="rId1" Type="http://schemas.openxmlformats.org/officeDocument/2006/relationships/hyperlink" Target="http://www.transparency.org/whoweare/organis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C7FF72-4EC0-43F7-BB3A-568AFCF0D5BF}"/>
</file>

<file path=customXml/itemProps2.xml><?xml version="1.0" encoding="utf-8"?>
<ds:datastoreItem xmlns:ds="http://schemas.openxmlformats.org/officeDocument/2006/customXml" ds:itemID="{F9931004-5A94-427E-A3C2-9EF085DB42B4}"/>
</file>

<file path=customXml/itemProps3.xml><?xml version="1.0" encoding="utf-8"?>
<ds:datastoreItem xmlns:ds="http://schemas.openxmlformats.org/officeDocument/2006/customXml" ds:itemID="{60D82FA3-A192-43AA-8F7A-53DC665E9B1C}"/>
</file>

<file path=customXml/itemProps4.xml><?xml version="1.0" encoding="utf-8"?>
<ds:datastoreItem xmlns:ds="http://schemas.openxmlformats.org/officeDocument/2006/customXml" ds:itemID="{6115BE26-B6B2-483E-9A33-773BEF1770DB}"/>
</file>

<file path=docProps/app.xml><?xml version="1.0" encoding="utf-8"?>
<Properties xmlns="http://schemas.openxmlformats.org/officeDocument/2006/extended-properties" xmlns:vt="http://schemas.openxmlformats.org/officeDocument/2006/docPropsVTypes">
  <Template>Normal.dotm</Template>
  <TotalTime>1</TotalTime>
  <Pages>7</Pages>
  <Words>2153</Words>
  <Characters>12273</Characters>
  <Application>Microsoft Office Word</Application>
  <DocSecurity>0</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14398</CharactersWithSpaces>
  <SharedDoc>false</SharedDoc>
  <HLinks>
    <vt:vector size="18" baseType="variant">
      <vt:variant>
        <vt:i4>2293855</vt:i4>
      </vt:variant>
      <vt:variant>
        <vt:i4>0</vt:i4>
      </vt:variant>
      <vt:variant>
        <vt:i4>0</vt:i4>
      </vt:variant>
      <vt:variant>
        <vt:i4>5</vt:i4>
      </vt:variant>
      <vt:variant>
        <vt:lpwstr>http://www.transparenciacolombia.org.co</vt:lpwstr>
      </vt:variant>
      <vt:variant>
        <vt:lpwstr/>
      </vt:variant>
      <vt:variant>
        <vt:i4>1048679</vt:i4>
      </vt:variant>
      <vt:variant>
        <vt:i4>-1</vt:i4>
      </vt:variant>
      <vt:variant>
        <vt:i4>2049</vt:i4>
      </vt:variant>
      <vt:variant>
        <vt:i4>1</vt:i4>
      </vt:variant>
      <vt:variant>
        <vt:lpwstr>logo_tpc_docs</vt:lpwstr>
      </vt:variant>
      <vt:variant>
        <vt:lpwstr/>
      </vt:variant>
      <vt:variant>
        <vt:i4>983063</vt:i4>
      </vt:variant>
      <vt:variant>
        <vt:i4>-1</vt:i4>
      </vt:variant>
      <vt:variant>
        <vt:i4>2050</vt:i4>
      </vt:variant>
      <vt:variant>
        <vt:i4>1</vt:i4>
      </vt:variant>
      <vt:variant>
        <vt:lpwstr>AVATAR TWITTER400X400-01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MargarethFigueroa</dc:creator>
  <cp:lastModifiedBy>Céline Reynaud</cp:lastModifiedBy>
  <cp:revision>2</cp:revision>
  <cp:lastPrinted>2015-01-13T19:00:00Z</cp:lastPrinted>
  <dcterms:created xsi:type="dcterms:W3CDTF">2017-02-16T10:17:00Z</dcterms:created>
  <dcterms:modified xsi:type="dcterms:W3CDTF">2017-02-16T10:17:00Z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