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39341" w14:textId="0860C940" w:rsidR="00142431" w:rsidRDefault="00AE410E" w:rsidP="007B5F0A">
      <w:pPr>
        <w:spacing w:line="276" w:lineRule="auto"/>
        <w:jc w:val="both"/>
        <w:rPr>
          <w:rFonts w:ascii="Candara" w:eastAsia="Candara" w:hAnsi="Candara" w:cs="Candara"/>
          <w:b/>
          <w:bCs/>
          <w:sz w:val="24"/>
          <w:szCs w:val="24"/>
          <w:lang w:val="en-US"/>
        </w:rPr>
      </w:pPr>
      <w:r>
        <w:rPr>
          <w:rFonts w:ascii="Candara" w:eastAsia="Candara" w:hAnsi="Candara" w:cs="Candara"/>
          <w:b/>
          <w:bCs/>
          <w:sz w:val="24"/>
          <w:szCs w:val="24"/>
          <w:lang w:val="en-US"/>
        </w:rPr>
        <w:t>List of Contributing Organizations of Persons with Disabilities</w:t>
      </w:r>
    </w:p>
    <w:p w14:paraId="5B60C6FC" w14:textId="56F4451E" w:rsidR="00AE410E" w:rsidRPr="00614D90"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Kenya Association of the Intellectually Handicapped (KAIH)</w:t>
      </w:r>
    </w:p>
    <w:p w14:paraId="6BBCE217" w14:textId="46883146" w:rsidR="00AE410E" w:rsidRPr="00614D90"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Championing Inclusive Societies – Kenya (CIC-K)</w:t>
      </w:r>
    </w:p>
    <w:p w14:paraId="68FCF636" w14:textId="754D9353" w:rsidR="00AE410E" w:rsidRPr="00614D90"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Kenya Union of the Blind (KUB)</w:t>
      </w:r>
    </w:p>
    <w:p w14:paraId="5D49F7AD" w14:textId="52CABBA1" w:rsidR="00AE410E"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Women Challenged to Challenge (WCC)</w:t>
      </w:r>
    </w:p>
    <w:p w14:paraId="468CE342" w14:textId="5A03ED89" w:rsidR="00614D90" w:rsidRPr="00614D90" w:rsidRDefault="00614D90"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Spina Bifida and Hydrocephalus Association of Kenya (SHAK)</w:t>
      </w:r>
    </w:p>
    <w:p w14:paraId="1492D0D7" w14:textId="0315D263" w:rsidR="00AE410E"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 xml:space="preserve">Kenya Network of Women with Disabilities </w:t>
      </w:r>
    </w:p>
    <w:p w14:paraId="7D1C65E7" w14:textId="099A314B" w:rsid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Kenya National Association of the DeafBlind (KNADB)</w:t>
      </w:r>
    </w:p>
    <w:p w14:paraId="7B61B780" w14:textId="1B5ABD1D" w:rsidR="000631A7" w:rsidRPr="00614D90" w:rsidRDefault="000631A7"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Positive Exposure-Kenya</w:t>
      </w:r>
    </w:p>
    <w:p w14:paraId="73287182" w14:textId="324E2D56" w:rsidR="00AE410E" w:rsidRPr="00614D90"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Albinism Society of Kenya (ASK)</w:t>
      </w:r>
    </w:p>
    <w:p w14:paraId="3B01D7AD" w14:textId="6CC18D06" w:rsidR="00AE410E" w:rsidRPr="00614D90"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Black Albinism</w:t>
      </w:r>
    </w:p>
    <w:p w14:paraId="584BFE0A" w14:textId="7734D310" w:rsidR="00AE410E"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Short Stature Society of Kenya (SSSK)</w:t>
      </w:r>
    </w:p>
    <w:p w14:paraId="4092085F" w14:textId="54BBCAD1" w:rsidR="000631A7" w:rsidRPr="00614D90" w:rsidRDefault="000631A7"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Stammering Association of Kenya</w:t>
      </w:r>
      <w:r w:rsidR="007D784F">
        <w:rPr>
          <w:rFonts w:ascii="Candara" w:eastAsia="Candara" w:hAnsi="Candara" w:cs="Candara"/>
          <w:sz w:val="24"/>
          <w:szCs w:val="24"/>
          <w:lang w:val="en-US"/>
        </w:rPr>
        <w:t xml:space="preserve"> (SAK)</w:t>
      </w:r>
    </w:p>
    <w:p w14:paraId="4414FFC1" w14:textId="76671739" w:rsidR="00AE410E"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Differently Talented Society of Kenya</w:t>
      </w:r>
    </w:p>
    <w:p w14:paraId="6BF2E768" w14:textId="09187055" w:rsidR="000631A7" w:rsidRPr="00614D90" w:rsidRDefault="000631A7"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Action for Children with Disabilities (ACD)</w:t>
      </w:r>
    </w:p>
    <w:p w14:paraId="6FF4F1A6" w14:textId="45C37C98" w:rsidR="00AE410E" w:rsidRPr="00614D90" w:rsidRDefault="00AE410E"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Society of Professionals with Visual Disabilities (SOPVID)</w:t>
      </w:r>
    </w:p>
    <w:p w14:paraId="778FBC31" w14:textId="78655AEF" w:rsidR="00AE410E" w:rsidRPr="00614D90"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Youth on the Move (YoTM)</w:t>
      </w:r>
    </w:p>
    <w:p w14:paraId="27B71E82" w14:textId="6A20D40B" w:rsidR="00614D90"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Deaf Empowerment Kenya (DEK)</w:t>
      </w:r>
    </w:p>
    <w:p w14:paraId="0873A03D" w14:textId="7F05CC19" w:rsidR="00614D90"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Disability Alliance of People Infected and Affected with HIV/AIDS</w:t>
      </w:r>
    </w:p>
    <w:p w14:paraId="1C73C675" w14:textId="16809A32" w:rsid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Association of Professional Women with Disabilities (APWD)</w:t>
      </w:r>
    </w:p>
    <w:p w14:paraId="5EA83073" w14:textId="4DD2101F" w:rsidR="00547F91" w:rsidRP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Empowerment of Disabled Development Organization (EDDO)</w:t>
      </w:r>
    </w:p>
    <w:p w14:paraId="6B204154" w14:textId="0EC14BCF" w:rsid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Kibera Disabled Group – Nairobi County</w:t>
      </w:r>
    </w:p>
    <w:p w14:paraId="2885EFCF" w14:textId="28EEA74C" w:rsid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Meru County Persons with Disabilities Network – Meru County</w:t>
      </w:r>
    </w:p>
    <w:p w14:paraId="112A4BE1" w14:textId="6ACFE90B" w:rsidR="00547F91" w:rsidRPr="00614D90" w:rsidRDefault="00547F91"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Amazing Group of Persons with Disabilities – Mombasa and Kwale Counties</w:t>
      </w:r>
    </w:p>
    <w:p w14:paraId="3D7362AB" w14:textId="0596A35D" w:rsidR="00614D90" w:rsidRPr="00614D90"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Kikuyu District Disability Network</w:t>
      </w:r>
      <w:r w:rsidR="00547F91">
        <w:rPr>
          <w:rFonts w:ascii="Candara" w:eastAsia="Candara" w:hAnsi="Candara" w:cs="Candara"/>
          <w:sz w:val="24"/>
          <w:szCs w:val="24"/>
          <w:lang w:val="en-US"/>
        </w:rPr>
        <w:t xml:space="preserve"> – Kiambu County</w:t>
      </w:r>
    </w:p>
    <w:p w14:paraId="4A4D4C92" w14:textId="7EEA872C" w:rsidR="00614D90"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614D90">
        <w:rPr>
          <w:rFonts w:ascii="Candara" w:eastAsia="Candara" w:hAnsi="Candara" w:cs="Candara"/>
          <w:sz w:val="24"/>
          <w:szCs w:val="24"/>
          <w:lang w:val="en-US"/>
        </w:rPr>
        <w:t>Kiambu County Disability Network</w:t>
      </w:r>
      <w:r>
        <w:rPr>
          <w:rFonts w:ascii="Candara" w:eastAsia="Candara" w:hAnsi="Candara" w:cs="Candara"/>
          <w:sz w:val="24"/>
          <w:szCs w:val="24"/>
          <w:lang w:val="en-US"/>
        </w:rPr>
        <w:t xml:space="preserve"> – Kiambu County</w:t>
      </w:r>
    </w:p>
    <w:p w14:paraId="06508E23" w14:textId="452C2F06" w:rsid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Njeri Maria Foundation – Kiambu County</w:t>
      </w:r>
    </w:p>
    <w:p w14:paraId="4B14E5E6" w14:textId="1E89C5C7" w:rsid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Kirinyaga County Disability Organization – Kirinyaga County</w:t>
      </w:r>
    </w:p>
    <w:p w14:paraId="2675217C" w14:textId="40A00FB4" w:rsid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Pr>
          <w:rFonts w:ascii="Candara" w:eastAsia="Candara" w:hAnsi="Candara" w:cs="Candara"/>
          <w:sz w:val="24"/>
          <w:szCs w:val="24"/>
          <w:lang w:val="en-US"/>
        </w:rPr>
        <w:t>Isiolo County Disability Network – Isiolo County</w:t>
      </w:r>
    </w:p>
    <w:p w14:paraId="1834E6A6" w14:textId="77777777" w:rsidR="00614D90" w:rsidRPr="00547F91"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 xml:space="preserve">Garissa Physically Challenged – Garissa County </w:t>
      </w:r>
    </w:p>
    <w:p w14:paraId="34013975" w14:textId="39FC395D" w:rsidR="00AE410E" w:rsidRPr="00547F91"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Building Inclusive Kenya (BLINK) – Machakos County</w:t>
      </w:r>
    </w:p>
    <w:p w14:paraId="1C3176FC" w14:textId="22FAEE01" w:rsidR="00614D90" w:rsidRPr="00547F91"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Marakwet West Disability Group – Elgeyo Marakwet County</w:t>
      </w:r>
    </w:p>
    <w:p w14:paraId="0F89607A" w14:textId="43FF9EF6" w:rsidR="00614D90" w:rsidRPr="00547F91"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Embrace Inclusion – Kiambu County</w:t>
      </w:r>
    </w:p>
    <w:p w14:paraId="4082223A" w14:textId="29FDC0E3" w:rsidR="00614D90" w:rsidRPr="00547F91"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Homabay County Disability Forum (HCDF) – Homa Bay County</w:t>
      </w:r>
    </w:p>
    <w:p w14:paraId="06DD9B9C" w14:textId="680767B5" w:rsidR="00547F91" w:rsidRP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Migori County Persons with Disabilities Development Forum (MICODDEF) – Migori County</w:t>
      </w:r>
    </w:p>
    <w:p w14:paraId="7F2268B6" w14:textId="19B874EC" w:rsidR="00547F91" w:rsidRP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Inuka Disability Group – Kisumu County</w:t>
      </w:r>
    </w:p>
    <w:p w14:paraId="546A3B94" w14:textId="0C3240BF" w:rsidR="00547F91" w:rsidRP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Hope Women with Disability – Kisumu County</w:t>
      </w:r>
    </w:p>
    <w:p w14:paraId="10BD7FF7" w14:textId="0DACA1EC" w:rsidR="00614D90" w:rsidRPr="00547F91"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Chuka</w:t>
      </w:r>
      <w:r w:rsidR="004A059C">
        <w:rPr>
          <w:rFonts w:ascii="Candara" w:eastAsia="Candara" w:hAnsi="Candara" w:cs="Candara"/>
          <w:sz w:val="24"/>
          <w:szCs w:val="24"/>
          <w:lang w:val="en-US"/>
        </w:rPr>
        <w:t>-</w:t>
      </w:r>
      <w:r w:rsidRPr="00547F91">
        <w:rPr>
          <w:rFonts w:ascii="Candara" w:eastAsia="Candara" w:hAnsi="Candara" w:cs="Candara"/>
          <w:sz w:val="24"/>
          <w:szCs w:val="24"/>
          <w:lang w:val="en-US"/>
        </w:rPr>
        <w:t>Igambang</w:t>
      </w:r>
      <w:r w:rsidR="004A059C">
        <w:rPr>
          <w:rFonts w:ascii="Candara" w:eastAsia="Candara" w:hAnsi="Candara" w:cs="Candara"/>
          <w:sz w:val="24"/>
          <w:szCs w:val="24"/>
          <w:lang w:val="en-US"/>
        </w:rPr>
        <w:t>’</w:t>
      </w:r>
      <w:r w:rsidRPr="00547F91">
        <w:rPr>
          <w:rFonts w:ascii="Candara" w:eastAsia="Candara" w:hAnsi="Candara" w:cs="Candara"/>
          <w:sz w:val="24"/>
          <w:szCs w:val="24"/>
          <w:lang w:val="en-US"/>
        </w:rPr>
        <w:t>ombe Persons with Disabilities Networking CBO – Tharaka Nithi County</w:t>
      </w:r>
    </w:p>
    <w:p w14:paraId="5B1B5574" w14:textId="5FBF4A7C" w:rsidR="00614D90" w:rsidRPr="00547F91"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Kakamega County Disability Caucus – Kakamega County</w:t>
      </w:r>
    </w:p>
    <w:p w14:paraId="48995588" w14:textId="7A304CC3" w:rsidR="00547F91" w:rsidRP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lastRenderedPageBreak/>
        <w:t>Vision of the Blind – Mombasa County</w:t>
      </w:r>
    </w:p>
    <w:p w14:paraId="126AEF9F" w14:textId="556A5DA7" w:rsidR="00547F91" w:rsidRP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Hands of Mercy Initiative – Kajiado County</w:t>
      </w:r>
    </w:p>
    <w:p w14:paraId="3CD391D8" w14:textId="292AC9F7" w:rsidR="00614D90" w:rsidRPr="00547F91" w:rsidRDefault="00614D90"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Kericho County Persons with Disabilities</w:t>
      </w:r>
    </w:p>
    <w:p w14:paraId="6992C8CB" w14:textId="6C97BB56" w:rsidR="00547F91" w:rsidRP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Mandera County Persons with Disabilities</w:t>
      </w:r>
    </w:p>
    <w:p w14:paraId="13FAD31F" w14:textId="609A7617" w:rsidR="00547F91" w:rsidRPr="00547F91" w:rsidRDefault="00547F91" w:rsidP="007B5F0A">
      <w:pPr>
        <w:pStyle w:val="ListParagraph"/>
        <w:numPr>
          <w:ilvl w:val="0"/>
          <w:numId w:val="2"/>
        </w:numPr>
        <w:spacing w:line="276" w:lineRule="auto"/>
        <w:jc w:val="both"/>
        <w:rPr>
          <w:rFonts w:ascii="Candara" w:eastAsia="Candara" w:hAnsi="Candara" w:cs="Candara"/>
          <w:sz w:val="24"/>
          <w:szCs w:val="24"/>
          <w:lang w:val="en-US"/>
        </w:rPr>
      </w:pPr>
      <w:r w:rsidRPr="00547F91">
        <w:rPr>
          <w:rFonts w:ascii="Candara" w:eastAsia="Candara" w:hAnsi="Candara" w:cs="Candara"/>
          <w:sz w:val="24"/>
          <w:szCs w:val="24"/>
          <w:lang w:val="en-US"/>
        </w:rPr>
        <w:t>Wajir County Persons with Disabilities</w:t>
      </w:r>
    </w:p>
    <w:p w14:paraId="20B1276D" w14:textId="470D2E8A" w:rsidR="00547F91" w:rsidRPr="00614D90" w:rsidRDefault="00547F91" w:rsidP="007B5F0A">
      <w:pPr>
        <w:pStyle w:val="ListParagraph"/>
        <w:numPr>
          <w:ilvl w:val="0"/>
          <w:numId w:val="2"/>
        </w:numPr>
        <w:spacing w:line="276" w:lineRule="auto"/>
        <w:jc w:val="both"/>
        <w:rPr>
          <w:rFonts w:ascii="Candara" w:eastAsia="Candara" w:hAnsi="Candara" w:cs="Candara"/>
          <w:b/>
          <w:bCs/>
          <w:sz w:val="24"/>
          <w:szCs w:val="24"/>
          <w:lang w:val="en-US"/>
        </w:rPr>
      </w:pPr>
      <w:r w:rsidRPr="00547F91">
        <w:rPr>
          <w:rFonts w:ascii="Candara" w:eastAsia="Candara" w:hAnsi="Candara" w:cs="Candara"/>
          <w:sz w:val="24"/>
          <w:szCs w:val="24"/>
          <w:lang w:val="en-US"/>
        </w:rPr>
        <w:t>Kwale County Persons with Disabilities</w:t>
      </w:r>
    </w:p>
    <w:p w14:paraId="38AA0F4B" w14:textId="41A00383" w:rsidR="009C2494" w:rsidRDefault="009C2494" w:rsidP="007B5F0A">
      <w:pPr>
        <w:spacing w:line="276" w:lineRule="auto"/>
        <w:jc w:val="both"/>
        <w:rPr>
          <w:rFonts w:ascii="Candara" w:eastAsia="Candara" w:hAnsi="Candara" w:cs="Candara"/>
          <w:b/>
          <w:bCs/>
          <w:sz w:val="24"/>
          <w:szCs w:val="24"/>
        </w:rPr>
      </w:pPr>
      <w:r w:rsidRPr="007C1696">
        <w:rPr>
          <w:rFonts w:ascii="Candara" w:eastAsia="Candara" w:hAnsi="Candara" w:cs="Candara"/>
          <w:b/>
          <w:bCs/>
          <w:sz w:val="24"/>
          <w:szCs w:val="24"/>
        </w:rPr>
        <w:t xml:space="preserve">Purpose and </w:t>
      </w:r>
      <w:r>
        <w:rPr>
          <w:rFonts w:ascii="Candara" w:eastAsia="Candara" w:hAnsi="Candara" w:cs="Candara"/>
          <w:b/>
          <w:bCs/>
          <w:sz w:val="24"/>
          <w:szCs w:val="24"/>
          <w:lang w:val="en-US"/>
        </w:rPr>
        <w:t>G</w:t>
      </w:r>
      <w:r w:rsidRPr="007C1696">
        <w:rPr>
          <w:rFonts w:ascii="Candara" w:eastAsia="Candara" w:hAnsi="Candara" w:cs="Candara"/>
          <w:b/>
          <w:bCs/>
          <w:sz w:val="24"/>
          <w:szCs w:val="24"/>
        </w:rPr>
        <w:t xml:space="preserve">eneral </w:t>
      </w:r>
      <w:r>
        <w:rPr>
          <w:rFonts w:ascii="Candara" w:eastAsia="Candara" w:hAnsi="Candara" w:cs="Candara"/>
          <w:b/>
          <w:bCs/>
          <w:sz w:val="24"/>
          <w:szCs w:val="24"/>
          <w:lang w:val="en-US"/>
        </w:rPr>
        <w:t>Obligations</w:t>
      </w:r>
      <w:r w:rsidRPr="007C1696">
        <w:rPr>
          <w:rFonts w:ascii="Candara" w:eastAsia="Candara" w:hAnsi="Candara" w:cs="Candara"/>
          <w:b/>
          <w:bCs/>
          <w:sz w:val="24"/>
          <w:szCs w:val="24"/>
        </w:rPr>
        <w:t xml:space="preserve"> (</w:t>
      </w:r>
      <w:r>
        <w:rPr>
          <w:rFonts w:ascii="Candara" w:eastAsia="Candara" w:hAnsi="Candara" w:cs="Candara"/>
          <w:b/>
          <w:bCs/>
          <w:sz w:val="24"/>
          <w:szCs w:val="24"/>
          <w:lang w:val="en-US"/>
        </w:rPr>
        <w:t>A</w:t>
      </w:r>
      <w:r w:rsidRPr="007C1696">
        <w:rPr>
          <w:rFonts w:ascii="Candara" w:eastAsia="Candara" w:hAnsi="Candara" w:cs="Candara"/>
          <w:b/>
          <w:bCs/>
          <w:sz w:val="24"/>
          <w:szCs w:val="24"/>
        </w:rPr>
        <w:t>rts. 1–4)</w:t>
      </w:r>
    </w:p>
    <w:p w14:paraId="566BCC1E" w14:textId="00827125" w:rsidR="00D90B7E" w:rsidRDefault="00D90B7E" w:rsidP="007B5F0A">
      <w:pPr>
        <w:spacing w:line="276" w:lineRule="auto"/>
        <w:jc w:val="both"/>
        <w:rPr>
          <w:rFonts w:ascii="Candara" w:eastAsia="Candara" w:hAnsi="Candara" w:cs="Candara"/>
          <w:bCs/>
          <w:sz w:val="24"/>
          <w:szCs w:val="24"/>
          <w:lang w:val="en-US"/>
        </w:rPr>
      </w:pPr>
      <w:r w:rsidRPr="007A3CF6">
        <w:rPr>
          <w:rFonts w:ascii="Candara" w:eastAsia="Candara" w:hAnsi="Candara" w:cs="Candara"/>
          <w:bCs/>
          <w:sz w:val="24"/>
          <w:szCs w:val="24"/>
          <w:lang w:val="en-US"/>
        </w:rPr>
        <w:t>Articles 83 (1) (b), 99 (2) (e)</w:t>
      </w:r>
      <w:r>
        <w:rPr>
          <w:rFonts w:ascii="Candara" w:eastAsia="Candara" w:hAnsi="Candara" w:cs="Candara"/>
          <w:bCs/>
          <w:sz w:val="24"/>
          <w:szCs w:val="24"/>
          <w:lang w:val="en-US"/>
        </w:rPr>
        <w:t>,</w:t>
      </w:r>
      <w:r w:rsidRPr="007A3CF6">
        <w:rPr>
          <w:rFonts w:ascii="Candara" w:eastAsia="Candara" w:hAnsi="Candara" w:cs="Candara"/>
          <w:bCs/>
          <w:sz w:val="24"/>
          <w:szCs w:val="24"/>
          <w:lang w:val="en-US"/>
        </w:rPr>
        <w:t xml:space="preserve"> and 193 (2) (d), amendments of Section 9 of the Election Act (No. 24 of 2011), Section 40 (1) (e) of the County Government Act, Section 12 and 255 of the Penal Code, Section 21 of the National Land Commission Act (No. 5 of 2012), Section 12 (a) (ii) of the Marriage Act (No. 4 of 2014).</w:t>
      </w:r>
    </w:p>
    <w:p w14:paraId="1049ECD9" w14:textId="1F6A91E5" w:rsidR="00A3773E" w:rsidRDefault="00A3773E" w:rsidP="007B5F0A">
      <w:pPr>
        <w:spacing w:line="276" w:lineRule="auto"/>
        <w:jc w:val="both"/>
        <w:rPr>
          <w:rFonts w:ascii="Candara" w:eastAsia="Candara" w:hAnsi="Candara" w:cs="Candara"/>
          <w:bCs/>
          <w:sz w:val="24"/>
          <w:szCs w:val="24"/>
          <w:lang w:val="en-US"/>
        </w:rPr>
      </w:pPr>
      <w:r w:rsidRPr="00862506">
        <w:rPr>
          <w:rFonts w:ascii="Candara" w:eastAsia="Candara" w:hAnsi="Candara" w:cs="Candara"/>
          <w:bCs/>
          <w:sz w:val="24"/>
          <w:szCs w:val="24"/>
          <w:lang w:val="en-US"/>
        </w:rPr>
        <w:t>Article 6 (2) provides that “The governments at the national and county levels are distinct and interdependent and shall conduct their mutual relations on the basis of consultation and cooperation.” The functions and mandates of the two levels are assigned by the Constitution in Articles 185, 186</w:t>
      </w:r>
      <w:r>
        <w:rPr>
          <w:rFonts w:ascii="Candara" w:eastAsia="Candara" w:hAnsi="Candara" w:cs="Candara"/>
          <w:bCs/>
          <w:sz w:val="24"/>
          <w:szCs w:val="24"/>
          <w:lang w:val="en-US"/>
        </w:rPr>
        <w:t>,</w:t>
      </w:r>
      <w:r w:rsidRPr="00862506">
        <w:rPr>
          <w:rFonts w:ascii="Candara" w:eastAsia="Candara" w:hAnsi="Candara" w:cs="Candara"/>
          <w:bCs/>
          <w:sz w:val="24"/>
          <w:szCs w:val="24"/>
          <w:lang w:val="en-US"/>
        </w:rPr>
        <w:t xml:space="preserve"> and 187 read together with the Fourth Schedule, Parts 1 and 2.  Specifically, Article 186 (2) and (3) </w:t>
      </w:r>
      <w:r>
        <w:rPr>
          <w:rFonts w:ascii="Candara" w:eastAsia="Candara" w:hAnsi="Candara" w:cs="Candara"/>
          <w:bCs/>
          <w:sz w:val="24"/>
          <w:szCs w:val="24"/>
          <w:lang w:val="en-US"/>
        </w:rPr>
        <w:t>distinguish</w:t>
      </w:r>
      <w:r w:rsidRPr="00862506">
        <w:rPr>
          <w:rFonts w:ascii="Candara" w:eastAsia="Candara" w:hAnsi="Candara" w:cs="Candara"/>
          <w:bCs/>
          <w:sz w:val="24"/>
          <w:szCs w:val="24"/>
          <w:lang w:val="en-US"/>
        </w:rPr>
        <w:t xml:space="preserve"> between exclusive, concurrent, and residual functions. Exclusive function is a function assigned only to one level of government. Concurrent and residual are functions assigned to both levels and those not assigned to any level.</w:t>
      </w:r>
    </w:p>
    <w:p w14:paraId="1CBA5A14" w14:textId="101F3B43" w:rsidR="00A3773E" w:rsidRDefault="00A3773E" w:rsidP="007B5F0A">
      <w:pPr>
        <w:spacing w:line="276" w:lineRule="auto"/>
        <w:jc w:val="both"/>
        <w:rPr>
          <w:rFonts w:ascii="Candara" w:eastAsia="Candara" w:hAnsi="Candara" w:cs="Candara"/>
          <w:bCs/>
          <w:sz w:val="24"/>
          <w:szCs w:val="24"/>
          <w:lang w:val="en-US"/>
        </w:rPr>
      </w:pPr>
      <w:r w:rsidRPr="007A3CF6">
        <w:rPr>
          <w:rFonts w:ascii="Candara" w:eastAsia="Candara" w:hAnsi="Candara" w:cs="Candara"/>
          <w:bCs/>
          <w:sz w:val="24"/>
          <w:szCs w:val="24"/>
          <w:lang w:val="en-US"/>
        </w:rPr>
        <w:t>(Articles 196 (b), 201 (a) of the Constitution, County Governments Act Sections 3 (f), 9, 30 (3) (g), 46(2)(g), 70, 94, 95, 100, 101, 104 (4), and 115, the Public Finance Management Act 2012, Section 125, 137, 175 (9), 207, Urban Areas and Cities Act).</w:t>
      </w:r>
    </w:p>
    <w:p w14:paraId="7B77758C" w14:textId="1DF30D17" w:rsidR="009C2494" w:rsidRDefault="005B2720" w:rsidP="007B5F0A">
      <w:pPr>
        <w:spacing w:line="276" w:lineRule="auto"/>
        <w:jc w:val="both"/>
        <w:rPr>
          <w:rFonts w:ascii="Candara" w:eastAsia="Candara" w:hAnsi="Candara" w:cs="Candara"/>
          <w:bCs/>
          <w:sz w:val="24"/>
          <w:szCs w:val="24"/>
          <w:lang w:val="en-US"/>
        </w:rPr>
      </w:pPr>
      <w:r w:rsidRPr="005B2720">
        <w:rPr>
          <w:rFonts w:ascii="Candara" w:eastAsia="Candara" w:hAnsi="Candara" w:cs="Candara"/>
          <w:bCs/>
          <w:sz w:val="24"/>
          <w:szCs w:val="24"/>
          <w:lang w:val="en-US"/>
        </w:rPr>
        <w:t>In the 2021/2022 financial year, out of 404 public institutions evaluated, 181 were able to conduct training and sensitization for both their Disability Mainstreaming Committees (DMCs) and staff</w:t>
      </w:r>
      <w:r w:rsidRPr="005B2720">
        <w:rPr>
          <w:rFonts w:ascii="Candara" w:eastAsia="Candara" w:hAnsi="Candara" w:cs="Candara"/>
          <w:bCs/>
          <w:sz w:val="24"/>
          <w:szCs w:val="24"/>
          <w:vertAlign w:val="superscript"/>
          <w:lang w:val="en-US"/>
        </w:rPr>
        <w:footnoteReference w:id="1"/>
      </w:r>
      <w:r w:rsidRPr="005B2720">
        <w:rPr>
          <w:rFonts w:ascii="Candara" w:eastAsia="Candara" w:hAnsi="Candara" w:cs="Candara"/>
          <w:bCs/>
          <w:sz w:val="24"/>
          <w:szCs w:val="24"/>
          <w:lang w:val="en-US"/>
        </w:rPr>
        <w:t xml:space="preserve">. Fifty-two trained and </w:t>
      </w:r>
      <w:r>
        <w:rPr>
          <w:rFonts w:ascii="Candara" w:eastAsia="Candara" w:hAnsi="Candara" w:cs="Candara"/>
          <w:bCs/>
          <w:sz w:val="24"/>
          <w:szCs w:val="24"/>
          <w:lang w:val="en-US"/>
        </w:rPr>
        <w:t>sensitized</w:t>
      </w:r>
      <w:r w:rsidRPr="005B2720">
        <w:rPr>
          <w:rFonts w:ascii="Candara" w:eastAsia="Candara" w:hAnsi="Candara" w:cs="Candara"/>
          <w:bCs/>
          <w:sz w:val="24"/>
          <w:szCs w:val="24"/>
          <w:lang w:val="en-US"/>
        </w:rPr>
        <w:t xml:space="preserve"> their DMC members only, while 171 did not provide evidence of training and </w:t>
      </w:r>
      <w:r>
        <w:rPr>
          <w:rFonts w:ascii="Candara" w:eastAsia="Candara" w:hAnsi="Candara" w:cs="Candara"/>
          <w:bCs/>
          <w:sz w:val="24"/>
          <w:szCs w:val="24"/>
          <w:lang w:val="en-US"/>
        </w:rPr>
        <w:t>sensitization</w:t>
      </w:r>
      <w:r w:rsidRPr="005B2720">
        <w:rPr>
          <w:rFonts w:ascii="Candara" w:eastAsia="Candara" w:hAnsi="Candara" w:cs="Candara"/>
          <w:bCs/>
          <w:sz w:val="24"/>
          <w:szCs w:val="24"/>
          <w:lang w:val="en-US"/>
        </w:rPr>
        <w:t xml:space="preserve"> as provided for in the 18th performance contracting cycle guidelines</w:t>
      </w:r>
      <w:r w:rsidRPr="005B2720">
        <w:rPr>
          <w:rFonts w:ascii="Candara" w:eastAsia="Candara" w:hAnsi="Candara" w:cs="Candara"/>
          <w:bCs/>
          <w:sz w:val="24"/>
          <w:szCs w:val="24"/>
          <w:vertAlign w:val="superscript"/>
          <w:lang w:val="en-US"/>
        </w:rPr>
        <w:footnoteReference w:id="2"/>
      </w:r>
      <w:r w:rsidRPr="005B2720">
        <w:rPr>
          <w:rFonts w:ascii="Candara" w:eastAsia="Candara" w:hAnsi="Candara" w:cs="Candara"/>
          <w:bCs/>
          <w:sz w:val="24"/>
          <w:szCs w:val="24"/>
          <w:lang w:val="en-US"/>
        </w:rPr>
        <w:t>. The recent removal of the disability mainstreaming indicator from the performance contracting guidelines for the 2023/2024 financial year risks reversing gains made toward disability inclusion</w:t>
      </w:r>
      <w:r w:rsidRPr="005B2720">
        <w:rPr>
          <w:rFonts w:ascii="Candara" w:eastAsia="Candara" w:hAnsi="Candara" w:cs="Candara"/>
          <w:bCs/>
          <w:sz w:val="24"/>
          <w:szCs w:val="24"/>
          <w:vertAlign w:val="superscript"/>
          <w:lang w:val="en-US"/>
        </w:rPr>
        <w:footnoteReference w:id="3"/>
      </w:r>
      <w:r w:rsidRPr="005B2720">
        <w:rPr>
          <w:rFonts w:ascii="Candara" w:eastAsia="Candara" w:hAnsi="Candara" w:cs="Candara"/>
          <w:bCs/>
          <w:sz w:val="24"/>
          <w:szCs w:val="24"/>
          <w:lang w:val="en-US"/>
        </w:rPr>
        <w:t xml:space="preserve">. Additionally, the performance </w:t>
      </w:r>
      <w:r w:rsidRPr="005B2720">
        <w:rPr>
          <w:rFonts w:ascii="Candara" w:eastAsia="Candara" w:hAnsi="Candara" w:cs="Candara"/>
          <w:bCs/>
          <w:sz w:val="24"/>
          <w:szCs w:val="24"/>
          <w:lang w:val="en-US"/>
        </w:rPr>
        <w:lastRenderedPageBreak/>
        <w:t>contracting guidelines did not cover county governments, commissions, and independent offices, making it difficult to push for compliance on disability issues</w:t>
      </w:r>
      <w:r w:rsidRPr="005B2720">
        <w:rPr>
          <w:rFonts w:ascii="Candara" w:eastAsia="Candara" w:hAnsi="Candara" w:cs="Candara"/>
          <w:bCs/>
          <w:sz w:val="24"/>
          <w:szCs w:val="24"/>
          <w:vertAlign w:val="superscript"/>
          <w:lang w:val="en-US"/>
        </w:rPr>
        <w:footnoteReference w:id="4"/>
      </w:r>
      <w:r w:rsidRPr="005B2720">
        <w:rPr>
          <w:rFonts w:ascii="Candara" w:eastAsia="Candara" w:hAnsi="Candara" w:cs="Candara"/>
          <w:bCs/>
          <w:sz w:val="24"/>
          <w:szCs w:val="24"/>
          <w:lang w:val="en-US"/>
        </w:rPr>
        <w:t>.</w:t>
      </w:r>
    </w:p>
    <w:p w14:paraId="1EC649E0" w14:textId="77777777" w:rsidR="005E5108" w:rsidRDefault="005E5108" w:rsidP="007B5F0A">
      <w:pPr>
        <w:spacing w:line="276" w:lineRule="auto"/>
        <w:jc w:val="both"/>
        <w:rPr>
          <w:rFonts w:ascii="Candara" w:eastAsia="Candara" w:hAnsi="Candara" w:cs="Candara"/>
          <w:b/>
          <w:bCs/>
          <w:sz w:val="24"/>
          <w:szCs w:val="24"/>
          <w:lang w:val="en-US"/>
        </w:rPr>
      </w:pPr>
    </w:p>
    <w:p w14:paraId="6DA858FF" w14:textId="04ADFA09" w:rsidR="00A3773E" w:rsidRPr="00E42C3A" w:rsidRDefault="00A3773E" w:rsidP="007B5F0A">
      <w:pPr>
        <w:spacing w:line="276" w:lineRule="auto"/>
        <w:jc w:val="both"/>
        <w:rPr>
          <w:rFonts w:ascii="Candara" w:eastAsia="Candara" w:hAnsi="Candara" w:cs="Candara"/>
          <w:b/>
          <w:bCs/>
          <w:sz w:val="24"/>
          <w:szCs w:val="24"/>
          <w:lang w:val="en-US"/>
        </w:rPr>
      </w:pPr>
      <w:r>
        <w:rPr>
          <w:rFonts w:ascii="Candara" w:eastAsia="Candara" w:hAnsi="Candara" w:cs="Candara"/>
          <w:b/>
          <w:bCs/>
          <w:sz w:val="24"/>
          <w:szCs w:val="24"/>
          <w:lang w:val="en-US"/>
        </w:rPr>
        <w:t xml:space="preserve">B. </w:t>
      </w:r>
      <w:r w:rsidRPr="00E42C3A">
        <w:rPr>
          <w:rFonts w:ascii="Candara" w:eastAsia="Candara" w:hAnsi="Candara" w:cs="Candara"/>
          <w:b/>
          <w:bCs/>
          <w:sz w:val="24"/>
          <w:szCs w:val="24"/>
          <w:lang w:val="en-GB"/>
        </w:rPr>
        <w:t>Specific Rights (</w:t>
      </w:r>
      <w:r>
        <w:rPr>
          <w:rFonts w:ascii="Candara" w:eastAsia="Candara" w:hAnsi="Candara" w:cs="Candara"/>
          <w:b/>
          <w:bCs/>
          <w:sz w:val="24"/>
          <w:szCs w:val="24"/>
          <w:lang w:val="en-GB"/>
        </w:rPr>
        <w:t>A</w:t>
      </w:r>
      <w:r w:rsidRPr="00E42C3A">
        <w:rPr>
          <w:rFonts w:ascii="Candara" w:eastAsia="Candara" w:hAnsi="Candara" w:cs="Candara"/>
          <w:b/>
          <w:bCs/>
          <w:sz w:val="24"/>
          <w:szCs w:val="24"/>
          <w:lang w:val="en-GB"/>
        </w:rPr>
        <w:t>rts. 5-30)</w:t>
      </w:r>
    </w:p>
    <w:p w14:paraId="6E6B1789" w14:textId="77777777" w:rsidR="00A3773E" w:rsidRDefault="00A3773E" w:rsidP="007B5F0A">
      <w:pPr>
        <w:spacing w:line="276" w:lineRule="auto"/>
        <w:jc w:val="both"/>
        <w:rPr>
          <w:rFonts w:ascii="Candara" w:eastAsia="Candara" w:hAnsi="Candara" w:cs="Candara"/>
          <w:b/>
          <w:bCs/>
          <w:sz w:val="24"/>
          <w:szCs w:val="24"/>
          <w:lang w:val="en-US"/>
        </w:rPr>
      </w:pPr>
      <w:r w:rsidRPr="00790356">
        <w:rPr>
          <w:rFonts w:ascii="Candara" w:eastAsia="Candara" w:hAnsi="Candara" w:cs="Candara"/>
          <w:b/>
          <w:bCs/>
          <w:sz w:val="24"/>
          <w:szCs w:val="24"/>
        </w:rPr>
        <w:t xml:space="preserve">Article 5 Equality and </w:t>
      </w:r>
      <w:r>
        <w:rPr>
          <w:rFonts w:ascii="Candara" w:eastAsia="Candara" w:hAnsi="Candara" w:cs="Candara"/>
          <w:b/>
          <w:bCs/>
          <w:sz w:val="24"/>
          <w:szCs w:val="24"/>
          <w:lang w:val="en-US"/>
        </w:rPr>
        <w:t>Non-discrimination</w:t>
      </w:r>
    </w:p>
    <w:p w14:paraId="502C9F9B" w14:textId="33A1017D" w:rsidR="005B2720" w:rsidRDefault="00A3773E" w:rsidP="007B5F0A">
      <w:pPr>
        <w:spacing w:line="276" w:lineRule="auto"/>
        <w:jc w:val="both"/>
        <w:rPr>
          <w:rFonts w:ascii="Candara" w:eastAsia="Candara" w:hAnsi="Candara" w:cs="Candara"/>
          <w:sz w:val="24"/>
          <w:szCs w:val="24"/>
        </w:rPr>
      </w:pPr>
      <w:r w:rsidRPr="00A3773E">
        <w:rPr>
          <w:rFonts w:ascii="Candara" w:eastAsia="Candara" w:hAnsi="Candara" w:cs="Candara"/>
          <w:sz w:val="24"/>
          <w:szCs w:val="24"/>
        </w:rPr>
        <w:t>For example, in the</w:t>
      </w:r>
      <w:r w:rsidR="005E5108" w:rsidRPr="005E5108">
        <w:rPr>
          <w:rFonts w:ascii="Candara" w:hAnsi="Candara"/>
          <w:i/>
          <w:iCs/>
          <w:sz w:val="24"/>
          <w:szCs w:val="24"/>
          <w:lang w:val="en-US"/>
        </w:rPr>
        <w:t xml:space="preserve"> </w:t>
      </w:r>
      <w:r w:rsidR="005E5108" w:rsidRPr="00E5079C">
        <w:rPr>
          <w:rFonts w:ascii="Candara" w:hAnsi="Candara"/>
          <w:i/>
          <w:iCs/>
          <w:sz w:val="24"/>
          <w:szCs w:val="24"/>
          <w:lang w:val="en-US"/>
        </w:rPr>
        <w:t>Juliet Mwongeli Muema v Smollan Kenya Limited</w:t>
      </w:r>
      <w:r w:rsidR="005E5108">
        <w:rPr>
          <w:rFonts w:ascii="Candara" w:hAnsi="Candara"/>
          <w:sz w:val="24"/>
          <w:szCs w:val="24"/>
          <w:lang w:val="en-US"/>
        </w:rPr>
        <w:t xml:space="preserve"> </w:t>
      </w:r>
      <w:r w:rsidR="005E5108" w:rsidRPr="00563D04">
        <w:rPr>
          <w:rFonts w:ascii="Candara" w:hAnsi="Candara"/>
          <w:sz w:val="24"/>
          <w:szCs w:val="24"/>
          <w:lang w:val="en-US"/>
        </w:rPr>
        <w:t>[2019] eKLR</w:t>
      </w:r>
      <w:r w:rsidR="005E5108">
        <w:rPr>
          <w:rStyle w:val="FootnoteReference"/>
          <w:rFonts w:ascii="Candara" w:hAnsi="Candara"/>
          <w:sz w:val="24"/>
          <w:szCs w:val="24"/>
          <w:lang w:val="en-US"/>
        </w:rPr>
        <w:footnoteReference w:id="5"/>
      </w:r>
      <w:r w:rsidR="005E5108" w:rsidRPr="00CA6A15">
        <w:rPr>
          <w:rFonts w:ascii="Candara" w:hAnsi="Candara"/>
          <w:sz w:val="24"/>
          <w:szCs w:val="24"/>
          <w:lang w:val="en-US"/>
        </w:rPr>
        <w:t>,</w:t>
      </w:r>
      <w:r w:rsidRPr="00A3773E">
        <w:rPr>
          <w:rFonts w:ascii="Candara" w:eastAsia="Candara" w:hAnsi="Candara" w:cs="Candara"/>
          <w:sz w:val="24"/>
          <w:szCs w:val="24"/>
        </w:rPr>
        <w:t xml:space="preserve"> case, the Court made reference to </w:t>
      </w:r>
      <w:r>
        <w:rPr>
          <w:rFonts w:ascii="Candara" w:eastAsia="Candara" w:hAnsi="Candara" w:cs="Candara"/>
          <w:sz w:val="24"/>
          <w:szCs w:val="24"/>
          <w:lang w:val="en-US"/>
        </w:rPr>
        <w:t>Article</w:t>
      </w:r>
      <w:r w:rsidRPr="00A3773E">
        <w:rPr>
          <w:rFonts w:ascii="Candara" w:eastAsia="Candara" w:hAnsi="Candara" w:cs="Candara"/>
          <w:sz w:val="24"/>
          <w:szCs w:val="24"/>
        </w:rPr>
        <w:t xml:space="preserve"> 5 of the CRPD to find in the plaintiff’s favour, declaring that the refusal of the employer “to install or provide the claimant with a screen reader, voice command or any other technology to help her overcome her disability” as well as the subsequent demotion of the claimant “amounted to an act of discrimination on the basis of disability.”  Conversely, in the </w:t>
      </w:r>
      <w:r w:rsidR="008C7194" w:rsidRPr="00E5079C">
        <w:rPr>
          <w:rFonts w:ascii="Candara" w:hAnsi="Candara"/>
          <w:i/>
          <w:iCs/>
          <w:sz w:val="24"/>
          <w:szCs w:val="24"/>
          <w:lang w:val="en-US"/>
        </w:rPr>
        <w:t>Wilson Macharia v Safaricom PLC</w:t>
      </w:r>
      <w:r w:rsidR="008C7194" w:rsidRPr="00563D04">
        <w:rPr>
          <w:rFonts w:ascii="Candara" w:hAnsi="Candara"/>
          <w:sz w:val="24"/>
          <w:szCs w:val="24"/>
          <w:lang w:val="en-US"/>
        </w:rPr>
        <w:t xml:space="preserve"> [</w:t>
      </w:r>
      <w:r w:rsidR="008C7194">
        <w:rPr>
          <w:rFonts w:ascii="Candara" w:hAnsi="Candara"/>
          <w:sz w:val="24"/>
          <w:szCs w:val="24"/>
          <w:lang w:val="en-US"/>
        </w:rPr>
        <w:t>2021</w:t>
      </w:r>
      <w:r w:rsidR="008C7194" w:rsidRPr="00563D04">
        <w:rPr>
          <w:rFonts w:ascii="Candara" w:hAnsi="Candara"/>
          <w:sz w:val="24"/>
          <w:szCs w:val="24"/>
          <w:lang w:val="en-US"/>
        </w:rPr>
        <w:t xml:space="preserve">] </w:t>
      </w:r>
      <w:r w:rsidR="008C7194">
        <w:rPr>
          <w:rFonts w:ascii="Candara" w:hAnsi="Candara"/>
          <w:sz w:val="24"/>
          <w:szCs w:val="24"/>
          <w:lang w:val="en-US"/>
        </w:rPr>
        <w:t>eKLR</w:t>
      </w:r>
      <w:r w:rsidR="008C7194">
        <w:rPr>
          <w:rStyle w:val="FootnoteReference"/>
          <w:rFonts w:ascii="Candara" w:hAnsi="Candara"/>
          <w:sz w:val="24"/>
          <w:szCs w:val="24"/>
          <w:lang w:val="en-US"/>
        </w:rPr>
        <w:footnoteReference w:id="6"/>
      </w:r>
      <w:r w:rsidRPr="00A3773E">
        <w:rPr>
          <w:rFonts w:ascii="Candara" w:eastAsia="Candara" w:hAnsi="Candara" w:cs="Candara"/>
          <w:sz w:val="24"/>
          <w:szCs w:val="24"/>
        </w:rPr>
        <w:t xml:space="preserve">, the High Court at Nairobi found that the withdrawal of an offer of employment to a job applicant with a visual impairment due to his reasonable accommodation requests did not amount to discrimination. Whilst the Court correctly identified the denial of reasonable accommodation as a form of discrimination in paragraphs 24 and 25 of the judgment, it concluded that there was no evidence “to demonstrate that the respondent discriminated against the petitioner simply because the respondent could not accommodate the petitioner in the company.” The Court relied on section 15(2) of the Persons with Disabilities Act to reach its erroneous decision on undue burden. This approach is inconsistent with the requirements of the CRPD.  </w:t>
      </w:r>
    </w:p>
    <w:p w14:paraId="5C821DB6" w14:textId="77777777" w:rsidR="00A3773E" w:rsidRPr="004B5468" w:rsidRDefault="00A3773E" w:rsidP="007B5F0A">
      <w:pPr>
        <w:spacing w:line="276" w:lineRule="auto"/>
        <w:jc w:val="both"/>
        <w:rPr>
          <w:rFonts w:ascii="Candara" w:eastAsia="Candara" w:hAnsi="Candara" w:cs="Candara"/>
          <w:b/>
          <w:bCs/>
          <w:sz w:val="24"/>
          <w:szCs w:val="24"/>
        </w:rPr>
      </w:pPr>
      <w:r w:rsidRPr="004B5468">
        <w:rPr>
          <w:rFonts w:ascii="Candara" w:eastAsia="Candara" w:hAnsi="Candara" w:cs="Candara"/>
          <w:b/>
          <w:bCs/>
          <w:sz w:val="24"/>
          <w:szCs w:val="24"/>
        </w:rPr>
        <w:t>Article 6 Women with disabilities</w:t>
      </w:r>
    </w:p>
    <w:p w14:paraId="5BAED083" w14:textId="45FA9767" w:rsidR="00A3773E" w:rsidRDefault="00A3773E" w:rsidP="007B5F0A">
      <w:pPr>
        <w:spacing w:line="276" w:lineRule="auto"/>
        <w:jc w:val="both"/>
        <w:rPr>
          <w:rFonts w:ascii="Candara" w:eastAsia="Candara" w:hAnsi="Candara" w:cs="Candara"/>
          <w:sz w:val="24"/>
          <w:szCs w:val="24"/>
        </w:rPr>
      </w:pPr>
      <w:r w:rsidRPr="00A3773E">
        <w:rPr>
          <w:rFonts w:ascii="Candara" w:eastAsia="Candara" w:hAnsi="Candara" w:cs="Candara"/>
          <w:sz w:val="24"/>
          <w:szCs w:val="24"/>
        </w:rPr>
        <w:t>The KNBS disaggregated data from the 2019 Population and Housing Census on the basis of gender and disability.  There are more women with disabilities (523,883) than men (394,330) who live with a disability in Kenya, the most prevalent being mobility, visual impairment, and cognitive disabilities.</w:t>
      </w:r>
    </w:p>
    <w:p w14:paraId="7F792329" w14:textId="77777777" w:rsidR="002C488A" w:rsidRPr="006C7656" w:rsidRDefault="002C488A" w:rsidP="007B5F0A">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Healthcare</w:t>
      </w:r>
      <w:r w:rsidRPr="0036745F">
        <w:rPr>
          <w:rFonts w:ascii="Candara" w:eastAsia="Candara" w:hAnsi="Candara" w:cs="Candara"/>
          <w:bCs/>
          <w:sz w:val="24"/>
          <w:szCs w:val="24"/>
          <w:lang w:val="en-US"/>
        </w:rPr>
        <w:t xml:space="preserve"> workers in Kenya </w:t>
      </w:r>
      <w:r>
        <w:rPr>
          <w:rFonts w:ascii="Candara" w:eastAsia="Candara" w:hAnsi="Candara" w:cs="Candara"/>
          <w:bCs/>
          <w:sz w:val="24"/>
          <w:szCs w:val="24"/>
          <w:lang w:val="en-US"/>
        </w:rPr>
        <w:t>do not provide</w:t>
      </w:r>
      <w:r w:rsidRPr="0036745F">
        <w:rPr>
          <w:rFonts w:ascii="Candara" w:eastAsia="Candara" w:hAnsi="Candara" w:cs="Candara"/>
          <w:bCs/>
          <w:sz w:val="24"/>
          <w:szCs w:val="24"/>
          <w:lang w:val="en-US"/>
        </w:rPr>
        <w:t xml:space="preserve"> reproductive </w:t>
      </w:r>
      <w:r>
        <w:rPr>
          <w:rFonts w:ascii="Candara" w:eastAsia="Candara" w:hAnsi="Candara" w:cs="Candara"/>
          <w:bCs/>
          <w:sz w:val="24"/>
          <w:szCs w:val="24"/>
          <w:lang w:val="en-US"/>
        </w:rPr>
        <w:t>healthcare</w:t>
      </w:r>
      <w:r w:rsidRPr="0036745F">
        <w:rPr>
          <w:rFonts w:ascii="Candara" w:eastAsia="Candara" w:hAnsi="Candara" w:cs="Candara"/>
          <w:bCs/>
          <w:sz w:val="24"/>
          <w:szCs w:val="24"/>
          <w:lang w:val="en-US"/>
        </w:rPr>
        <w:t xml:space="preserve"> services for women and girls with disabilities</w:t>
      </w:r>
      <w:r>
        <w:rPr>
          <w:rFonts w:ascii="Candara" w:eastAsia="Candara" w:hAnsi="Candara" w:cs="Candara"/>
          <w:bCs/>
          <w:sz w:val="24"/>
          <w:szCs w:val="24"/>
          <w:lang w:val="en-US"/>
        </w:rPr>
        <w:t xml:space="preserve"> on an equal basis with others</w:t>
      </w:r>
      <w:r>
        <w:rPr>
          <w:rStyle w:val="FootnoteReference"/>
          <w:rFonts w:ascii="Candara" w:eastAsia="Candara" w:hAnsi="Candara" w:cs="Candara"/>
          <w:bCs/>
          <w:sz w:val="24"/>
          <w:szCs w:val="24"/>
          <w:lang w:val="en-US"/>
        </w:rPr>
        <w:footnoteReference w:id="7"/>
      </w:r>
      <w:r>
        <w:rPr>
          <w:rFonts w:ascii="Candara" w:eastAsia="Candara" w:hAnsi="Candara" w:cs="Candara"/>
          <w:bCs/>
          <w:sz w:val="24"/>
          <w:szCs w:val="24"/>
          <w:lang w:val="en-US"/>
        </w:rPr>
        <w:t xml:space="preserve">. </w:t>
      </w:r>
      <w:r w:rsidRPr="0036745F">
        <w:rPr>
          <w:rFonts w:ascii="Candara" w:eastAsia="Candara" w:hAnsi="Candara" w:cs="Candara"/>
          <w:bCs/>
          <w:sz w:val="24"/>
          <w:szCs w:val="24"/>
          <w:lang w:val="en-US"/>
        </w:rPr>
        <w:t xml:space="preserve">Many </w:t>
      </w:r>
      <w:r>
        <w:rPr>
          <w:rFonts w:ascii="Candara" w:eastAsia="Candara" w:hAnsi="Candara" w:cs="Candara"/>
          <w:bCs/>
          <w:sz w:val="24"/>
          <w:szCs w:val="24"/>
          <w:lang w:val="en-US"/>
        </w:rPr>
        <w:t>healthcare</w:t>
      </w:r>
      <w:r w:rsidRPr="0036745F">
        <w:rPr>
          <w:rFonts w:ascii="Candara" w:eastAsia="Candara" w:hAnsi="Candara" w:cs="Candara"/>
          <w:bCs/>
          <w:sz w:val="24"/>
          <w:szCs w:val="24"/>
          <w:lang w:val="en-US"/>
        </w:rPr>
        <w:t xml:space="preserve"> workers </w:t>
      </w:r>
      <w:r>
        <w:rPr>
          <w:rFonts w:ascii="Candara" w:eastAsia="Candara" w:hAnsi="Candara" w:cs="Candara"/>
          <w:bCs/>
          <w:sz w:val="24"/>
          <w:szCs w:val="24"/>
          <w:lang w:val="en-US"/>
        </w:rPr>
        <w:t>believe</w:t>
      </w:r>
      <w:r w:rsidRPr="0036745F">
        <w:rPr>
          <w:rFonts w:ascii="Candara" w:eastAsia="Candara" w:hAnsi="Candara" w:cs="Candara"/>
          <w:bCs/>
          <w:sz w:val="24"/>
          <w:szCs w:val="24"/>
          <w:lang w:val="en-US"/>
        </w:rPr>
        <w:t xml:space="preserve"> that 15 years is the appropriate age for women and girls with disabilities to receive sexual and reproductive health information</w:t>
      </w:r>
      <w:r>
        <w:rPr>
          <w:rFonts w:ascii="Candara" w:eastAsia="Candara" w:hAnsi="Candara" w:cs="Candara"/>
          <w:bCs/>
          <w:sz w:val="24"/>
          <w:szCs w:val="24"/>
          <w:lang w:val="en-US"/>
        </w:rPr>
        <w:t xml:space="preserve">, which is </w:t>
      </w:r>
      <w:r w:rsidRPr="0036745F">
        <w:rPr>
          <w:rFonts w:ascii="Candara" w:eastAsia="Candara" w:hAnsi="Candara" w:cs="Candara"/>
          <w:bCs/>
          <w:sz w:val="24"/>
          <w:szCs w:val="24"/>
          <w:lang w:val="en-US"/>
        </w:rPr>
        <w:t>too late for adolescent girls who experience their first period much earlier</w:t>
      </w:r>
      <w:r>
        <w:rPr>
          <w:rStyle w:val="FootnoteReference"/>
          <w:rFonts w:ascii="Candara" w:eastAsia="Candara" w:hAnsi="Candara" w:cs="Candara"/>
          <w:bCs/>
          <w:sz w:val="24"/>
          <w:szCs w:val="24"/>
          <w:lang w:val="en-US"/>
        </w:rPr>
        <w:footnoteReference w:id="8"/>
      </w:r>
      <w:r w:rsidRPr="0036745F">
        <w:rPr>
          <w:rFonts w:ascii="Candara" w:eastAsia="Candara" w:hAnsi="Candara" w:cs="Candara"/>
          <w:bCs/>
          <w:sz w:val="24"/>
          <w:szCs w:val="24"/>
          <w:lang w:val="en-US"/>
        </w:rPr>
        <w:t>.</w:t>
      </w:r>
      <w:r>
        <w:rPr>
          <w:rFonts w:ascii="Candara" w:eastAsia="Candara" w:hAnsi="Candara" w:cs="Candara"/>
          <w:bCs/>
          <w:sz w:val="24"/>
          <w:szCs w:val="24"/>
          <w:lang w:val="en-US"/>
        </w:rPr>
        <w:t xml:space="preserve"> W</w:t>
      </w:r>
      <w:r w:rsidRPr="00557DD9">
        <w:rPr>
          <w:rFonts w:ascii="Candara" w:eastAsia="Candara" w:hAnsi="Candara" w:cs="Candara"/>
          <w:bCs/>
          <w:sz w:val="24"/>
          <w:szCs w:val="24"/>
          <w:lang w:val="en-US"/>
        </w:rPr>
        <w:t xml:space="preserve">omen and girls with disabilities </w:t>
      </w:r>
      <w:r>
        <w:rPr>
          <w:rFonts w:ascii="Candara" w:eastAsia="Candara" w:hAnsi="Candara" w:cs="Candara"/>
          <w:bCs/>
          <w:sz w:val="24"/>
          <w:szCs w:val="24"/>
          <w:lang w:val="en-US"/>
        </w:rPr>
        <w:t xml:space="preserve">are still viewed as </w:t>
      </w:r>
      <w:r w:rsidRPr="00557DD9">
        <w:rPr>
          <w:rFonts w:ascii="Candara" w:eastAsia="Candara" w:hAnsi="Candara" w:cs="Candara"/>
          <w:bCs/>
          <w:sz w:val="24"/>
          <w:szCs w:val="24"/>
          <w:lang w:val="en-US"/>
        </w:rPr>
        <w:t>asexual</w:t>
      </w:r>
      <w:r>
        <w:rPr>
          <w:rFonts w:ascii="Candara" w:eastAsia="Candara" w:hAnsi="Candara" w:cs="Candara"/>
          <w:bCs/>
          <w:sz w:val="24"/>
          <w:szCs w:val="24"/>
          <w:lang w:val="en-US"/>
        </w:rPr>
        <w:t xml:space="preserve"> therefore not being</w:t>
      </w:r>
      <w:r w:rsidRPr="00557DD9">
        <w:rPr>
          <w:rFonts w:ascii="Candara" w:eastAsia="Candara" w:hAnsi="Candara" w:cs="Candara"/>
          <w:bCs/>
          <w:sz w:val="24"/>
          <w:szCs w:val="24"/>
          <w:lang w:val="en-US"/>
        </w:rPr>
        <w:t xml:space="preserve"> provided with adequate information about their reproductive health</w:t>
      </w:r>
      <w:r>
        <w:rPr>
          <w:rFonts w:ascii="Candara" w:eastAsia="Candara" w:hAnsi="Candara" w:cs="Candara"/>
          <w:bCs/>
          <w:sz w:val="24"/>
          <w:szCs w:val="24"/>
          <w:lang w:val="en-US"/>
        </w:rPr>
        <w:t xml:space="preserve"> </w:t>
      </w:r>
      <w:r>
        <w:rPr>
          <w:rFonts w:ascii="Candara" w:eastAsia="Candara" w:hAnsi="Candara" w:cs="Candara"/>
          <w:bCs/>
          <w:sz w:val="24"/>
          <w:szCs w:val="24"/>
          <w:lang w:val="en-US"/>
        </w:rPr>
        <w:lastRenderedPageBreak/>
        <w:t xml:space="preserve">and rights. </w:t>
      </w:r>
      <w:r w:rsidRPr="00870D18">
        <w:rPr>
          <w:rFonts w:ascii="Candara" w:eastAsia="Candara" w:hAnsi="Candara" w:cs="Candara"/>
          <w:bCs/>
          <w:sz w:val="24"/>
          <w:szCs w:val="24"/>
        </w:rPr>
        <w:t>Women with disabilities</w:t>
      </w:r>
      <w:r>
        <w:rPr>
          <w:rFonts w:ascii="Candara" w:eastAsia="Candara" w:hAnsi="Candara" w:cs="Candara"/>
          <w:bCs/>
          <w:sz w:val="24"/>
          <w:szCs w:val="24"/>
          <w:lang w:val="en-US"/>
        </w:rPr>
        <w:t xml:space="preserve"> </w:t>
      </w:r>
      <w:r w:rsidRPr="00870D18">
        <w:rPr>
          <w:rFonts w:ascii="Candara" w:eastAsia="Candara" w:hAnsi="Candara" w:cs="Candara"/>
          <w:bCs/>
          <w:sz w:val="24"/>
          <w:szCs w:val="24"/>
        </w:rPr>
        <w:t xml:space="preserve">tend to have their reproductive healthcare decisions made for them but tend to make their own decisions regarding other aspects of life (excluding women with intellectual disabilities, with multiple disabilities and high support </w:t>
      </w:r>
      <w:r>
        <w:rPr>
          <w:rFonts w:ascii="Candara" w:eastAsia="Candara" w:hAnsi="Candara" w:cs="Candara"/>
          <w:bCs/>
          <w:sz w:val="24"/>
          <w:szCs w:val="24"/>
          <w:lang w:val="en-US"/>
        </w:rPr>
        <w:t>requirement</w:t>
      </w:r>
      <w:r w:rsidRPr="00870D18">
        <w:rPr>
          <w:rFonts w:ascii="Candara" w:eastAsia="Candara" w:hAnsi="Candara" w:cs="Candara"/>
          <w:bCs/>
          <w:sz w:val="24"/>
          <w:szCs w:val="24"/>
        </w:rPr>
        <w:t>s</w:t>
      </w:r>
      <w:r>
        <w:rPr>
          <w:rFonts w:ascii="Candara" w:eastAsia="Candara" w:hAnsi="Candara" w:cs="Candara"/>
          <w:bCs/>
          <w:sz w:val="24"/>
          <w:szCs w:val="24"/>
          <w:lang w:val="en-US"/>
        </w:rPr>
        <w:t>,</w:t>
      </w:r>
      <w:r w:rsidRPr="00870D18">
        <w:rPr>
          <w:rFonts w:ascii="Candara" w:eastAsia="Candara" w:hAnsi="Candara" w:cs="Candara"/>
          <w:bCs/>
          <w:sz w:val="24"/>
          <w:szCs w:val="24"/>
        </w:rPr>
        <w:t xml:space="preserve"> </w:t>
      </w:r>
      <w:r>
        <w:rPr>
          <w:rFonts w:ascii="Candara" w:eastAsia="Candara" w:hAnsi="Candara" w:cs="Candara"/>
          <w:bCs/>
          <w:sz w:val="24"/>
          <w:szCs w:val="24"/>
          <w:lang w:val="en-US"/>
        </w:rPr>
        <w:t xml:space="preserve">those </w:t>
      </w:r>
      <w:r w:rsidRPr="00870D18">
        <w:rPr>
          <w:rFonts w:ascii="Candara" w:eastAsia="Candara" w:hAnsi="Candara" w:cs="Candara"/>
          <w:bCs/>
          <w:sz w:val="24"/>
          <w:szCs w:val="24"/>
        </w:rPr>
        <w:t>with psychosocial disabilities</w:t>
      </w:r>
      <w:r>
        <w:rPr>
          <w:rFonts w:ascii="Candara" w:eastAsia="Candara" w:hAnsi="Candara" w:cs="Candara"/>
          <w:bCs/>
          <w:sz w:val="24"/>
          <w:szCs w:val="24"/>
          <w:lang w:val="en-US"/>
        </w:rPr>
        <w:t>, and autistic women</w:t>
      </w:r>
      <w:r w:rsidRPr="00870D18">
        <w:rPr>
          <w:rFonts w:ascii="Candara" w:eastAsia="Candara" w:hAnsi="Candara" w:cs="Candara"/>
          <w:bCs/>
          <w:sz w:val="24"/>
          <w:szCs w:val="24"/>
        </w:rPr>
        <w:t xml:space="preserve"> who experience heightened barriers to decision making in all areas of life).</w:t>
      </w:r>
      <w:r>
        <w:rPr>
          <w:rFonts w:ascii="Candara" w:eastAsia="Candara" w:hAnsi="Candara" w:cs="Candara"/>
          <w:bCs/>
          <w:sz w:val="24"/>
          <w:szCs w:val="24"/>
          <w:lang w:val="en-US"/>
        </w:rPr>
        <w:t xml:space="preserve"> </w:t>
      </w:r>
      <w:r w:rsidRPr="00104891">
        <w:rPr>
          <w:rFonts w:ascii="Candara" w:eastAsia="Candara" w:hAnsi="Candara" w:cs="Candara"/>
          <w:bCs/>
          <w:sz w:val="24"/>
          <w:szCs w:val="24"/>
          <w:lang w:val="en-US"/>
        </w:rPr>
        <w:t xml:space="preserve">Women with psychosocial </w:t>
      </w:r>
      <w:r>
        <w:rPr>
          <w:rFonts w:ascii="Candara" w:eastAsia="Candara" w:hAnsi="Candara" w:cs="Candara"/>
          <w:bCs/>
          <w:sz w:val="24"/>
          <w:szCs w:val="24"/>
          <w:lang w:val="en-US"/>
        </w:rPr>
        <w:t xml:space="preserve">disabilities, </w:t>
      </w:r>
      <w:r w:rsidRPr="00104891">
        <w:rPr>
          <w:rFonts w:ascii="Candara" w:eastAsia="Candara" w:hAnsi="Candara" w:cs="Candara"/>
          <w:bCs/>
          <w:sz w:val="24"/>
          <w:szCs w:val="24"/>
          <w:lang w:val="en-US"/>
        </w:rPr>
        <w:t>intellectual disabilities</w:t>
      </w:r>
      <w:r>
        <w:rPr>
          <w:rFonts w:ascii="Candara" w:eastAsia="Candara" w:hAnsi="Candara" w:cs="Candara"/>
          <w:bCs/>
          <w:sz w:val="24"/>
          <w:szCs w:val="24"/>
          <w:lang w:val="en-US"/>
        </w:rPr>
        <w:t>, and autistic women</w:t>
      </w:r>
      <w:r w:rsidRPr="00104891">
        <w:rPr>
          <w:rFonts w:ascii="Candara" w:eastAsia="Candara" w:hAnsi="Candara" w:cs="Candara"/>
          <w:bCs/>
          <w:sz w:val="24"/>
          <w:szCs w:val="24"/>
          <w:lang w:val="en-US"/>
        </w:rPr>
        <w:t xml:space="preserve"> continue to face systemic discrimination. They are more prone to sexual and gender-based violence and often face mismanagement of their right to access justice by not having proper support services in justice processes.</w:t>
      </w:r>
    </w:p>
    <w:p w14:paraId="398F2947" w14:textId="1BA86754" w:rsidR="002C488A" w:rsidRPr="00E641E7" w:rsidRDefault="00E641E7" w:rsidP="007B5F0A">
      <w:pPr>
        <w:spacing w:line="276" w:lineRule="auto"/>
        <w:jc w:val="both"/>
        <w:rPr>
          <w:rFonts w:ascii="Candara" w:eastAsia="Candara" w:hAnsi="Candara" w:cs="Candara"/>
          <w:b/>
          <w:bCs/>
          <w:sz w:val="24"/>
          <w:szCs w:val="24"/>
        </w:rPr>
      </w:pPr>
      <w:r w:rsidRPr="005D785F">
        <w:rPr>
          <w:rFonts w:ascii="Candara" w:eastAsia="Candara" w:hAnsi="Candara" w:cs="Candara"/>
          <w:b/>
          <w:bCs/>
          <w:sz w:val="24"/>
          <w:szCs w:val="24"/>
        </w:rPr>
        <w:t xml:space="preserve">Article </w:t>
      </w:r>
      <w:r>
        <w:rPr>
          <w:rFonts w:ascii="Candara" w:eastAsia="Candara" w:hAnsi="Candara" w:cs="Candara"/>
          <w:b/>
          <w:bCs/>
          <w:sz w:val="24"/>
          <w:szCs w:val="24"/>
          <w:lang w:val="en-US"/>
        </w:rPr>
        <w:t>7</w:t>
      </w:r>
      <w:r w:rsidRPr="005D785F">
        <w:rPr>
          <w:rFonts w:ascii="Candara" w:eastAsia="Candara" w:hAnsi="Candara" w:cs="Candara"/>
          <w:b/>
          <w:bCs/>
          <w:sz w:val="24"/>
          <w:szCs w:val="24"/>
        </w:rPr>
        <w:t xml:space="preserve"> </w:t>
      </w:r>
      <w:r>
        <w:rPr>
          <w:rFonts w:ascii="Candara" w:eastAsia="Candara" w:hAnsi="Candara" w:cs="Candara"/>
          <w:b/>
          <w:bCs/>
          <w:sz w:val="24"/>
          <w:szCs w:val="24"/>
          <w:lang w:val="en-US"/>
        </w:rPr>
        <w:t>Children</w:t>
      </w:r>
      <w:r w:rsidRPr="005D785F">
        <w:rPr>
          <w:rFonts w:ascii="Candara" w:eastAsia="Candara" w:hAnsi="Candara" w:cs="Candara"/>
          <w:b/>
          <w:bCs/>
          <w:sz w:val="24"/>
          <w:szCs w:val="24"/>
        </w:rPr>
        <w:t xml:space="preserve"> with disabilities</w:t>
      </w:r>
    </w:p>
    <w:p w14:paraId="49FE5AFE" w14:textId="5ED610D4" w:rsidR="00E641E7" w:rsidRDefault="00E641E7" w:rsidP="007B5F0A">
      <w:pPr>
        <w:spacing w:line="276" w:lineRule="auto"/>
        <w:jc w:val="both"/>
        <w:rPr>
          <w:rFonts w:ascii="Candara" w:eastAsia="Candara" w:hAnsi="Candara" w:cs="Candara"/>
          <w:bCs/>
          <w:sz w:val="24"/>
          <w:szCs w:val="24"/>
          <w:lang w:val="en-US"/>
        </w:rPr>
      </w:pPr>
      <w:r w:rsidRPr="00E641E7">
        <w:rPr>
          <w:rFonts w:ascii="Candara" w:eastAsia="Candara" w:hAnsi="Candara" w:cs="Candara"/>
          <w:bCs/>
          <w:sz w:val="24"/>
          <w:szCs w:val="24"/>
          <w:lang w:val="en-US"/>
        </w:rPr>
        <w:t>The Act states ‘every child has the right, peaceably and unarmed, to assemble, demonstrate or present petitions to public authorities, and to freely participate in matters affecting children through lawfully established forums, associations, and assemblies at the national and county levels’.</w:t>
      </w:r>
    </w:p>
    <w:p w14:paraId="0CC1E8ED" w14:textId="613BBEB4" w:rsidR="00E641E7" w:rsidRDefault="009B4856" w:rsidP="007B5F0A">
      <w:pPr>
        <w:spacing w:line="276" w:lineRule="auto"/>
        <w:jc w:val="both"/>
        <w:rPr>
          <w:rFonts w:ascii="Candara" w:hAnsi="Candara"/>
          <w:sz w:val="24"/>
          <w:szCs w:val="24"/>
          <w:lang w:val="en-US"/>
        </w:rPr>
      </w:pPr>
      <w:r>
        <w:rPr>
          <w:rFonts w:ascii="Candara" w:hAnsi="Candara"/>
          <w:sz w:val="24"/>
          <w:szCs w:val="24"/>
          <w:lang w:val="en-US"/>
        </w:rPr>
        <w:t>Section 12 (1) states that ‘e</w:t>
      </w:r>
      <w:r w:rsidRPr="00FB19B3">
        <w:rPr>
          <w:rFonts w:ascii="Candara" w:hAnsi="Candara"/>
          <w:sz w:val="24"/>
          <w:szCs w:val="24"/>
          <w:lang w:val="en-US"/>
        </w:rPr>
        <w:t>very child whose parent or guardian is unable to maintain the child has the right to social security as guaranteed by Article 43(3) of the Constitution</w:t>
      </w:r>
      <w:r>
        <w:rPr>
          <w:rFonts w:ascii="Candara" w:hAnsi="Candara"/>
          <w:sz w:val="24"/>
          <w:szCs w:val="24"/>
          <w:lang w:val="en-US"/>
        </w:rPr>
        <w:t>’ and in 12 (7)</w:t>
      </w:r>
      <w:r w:rsidRPr="00FB19B3">
        <w:t xml:space="preserve"> </w:t>
      </w:r>
      <w:r>
        <w:rPr>
          <w:lang w:val="en-US"/>
        </w:rPr>
        <w:t>‘</w:t>
      </w:r>
      <w:r w:rsidRPr="00FB19B3">
        <w:rPr>
          <w:rFonts w:ascii="Candara" w:hAnsi="Candara"/>
          <w:sz w:val="24"/>
          <w:szCs w:val="24"/>
          <w:lang w:val="en-US"/>
        </w:rPr>
        <w:t>The Cabinet Secretary responsible for matters relating to finance shall establish a fund under the Public Finance Management Act (No. 18 of 2012) to be known as the Child Welfare Fund to facilitate the realisation of the right guaranteed by Article 43(3) of the Constitution in respect of all reasonable expenses incurred in relation to alternative care and other social security programmes designed to facilitate the realisation of the welfare of the child</w:t>
      </w:r>
      <w:r>
        <w:rPr>
          <w:rFonts w:ascii="Candara" w:hAnsi="Candara"/>
          <w:sz w:val="24"/>
          <w:szCs w:val="24"/>
          <w:lang w:val="en-US"/>
        </w:rPr>
        <w:t>’</w:t>
      </w:r>
      <w:r w:rsidRPr="00FB19B3">
        <w:rPr>
          <w:rFonts w:ascii="Candara" w:hAnsi="Candara"/>
          <w:sz w:val="24"/>
          <w:szCs w:val="24"/>
          <w:lang w:val="en-US"/>
        </w:rPr>
        <w:t>.</w:t>
      </w:r>
    </w:p>
    <w:p w14:paraId="4C0FDB8D" w14:textId="3405794E" w:rsidR="00BB0745" w:rsidRPr="00BB0745" w:rsidRDefault="00BB0745" w:rsidP="007B5F0A">
      <w:p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Failure to</w:t>
      </w:r>
      <w:r w:rsidRPr="00A87A9C">
        <w:rPr>
          <w:rFonts w:ascii="Candara" w:eastAsia="Candara" w:hAnsi="Candara" w:cs="Candara"/>
          <w:bCs/>
          <w:sz w:val="24"/>
          <w:szCs w:val="24"/>
          <w:lang w:val="en-GB"/>
        </w:rPr>
        <w:t xml:space="preserve"> regist</w:t>
      </w:r>
      <w:r>
        <w:rPr>
          <w:rFonts w:ascii="Candara" w:eastAsia="Candara" w:hAnsi="Candara" w:cs="Candara"/>
          <w:bCs/>
          <w:sz w:val="24"/>
          <w:szCs w:val="24"/>
          <w:lang w:val="en-GB"/>
        </w:rPr>
        <w:t>er</w:t>
      </w:r>
      <w:r w:rsidRPr="00A87A9C">
        <w:rPr>
          <w:rFonts w:ascii="Candara" w:eastAsia="Candara" w:hAnsi="Candara" w:cs="Candara"/>
          <w:bCs/>
          <w:sz w:val="24"/>
          <w:szCs w:val="24"/>
          <w:lang w:val="en-GB"/>
        </w:rPr>
        <w:t xml:space="preserve"> children with disabilities upon birth or early enough, especially in the rural areas, those in </w:t>
      </w:r>
      <w:r>
        <w:rPr>
          <w:rFonts w:ascii="Candara" w:eastAsia="Candara" w:hAnsi="Candara" w:cs="Candara"/>
          <w:bCs/>
          <w:sz w:val="24"/>
          <w:szCs w:val="24"/>
          <w:lang w:val="en-GB"/>
        </w:rPr>
        <w:t>internal</w:t>
      </w:r>
      <w:r w:rsidRPr="00A87A9C">
        <w:rPr>
          <w:rFonts w:ascii="Candara" w:eastAsia="Candara" w:hAnsi="Candara" w:cs="Candara"/>
          <w:bCs/>
          <w:sz w:val="24"/>
          <w:szCs w:val="24"/>
          <w:lang w:val="en-GB"/>
        </w:rPr>
        <w:t xml:space="preserve"> displacement camps, and those living in</w:t>
      </w:r>
      <w:r>
        <w:rPr>
          <w:rFonts w:ascii="Candara" w:eastAsia="Candara" w:hAnsi="Candara" w:cs="Candara"/>
          <w:bCs/>
          <w:sz w:val="24"/>
          <w:szCs w:val="24"/>
          <w:lang w:val="en-GB"/>
        </w:rPr>
        <w:t xml:space="preserve"> and outside</w:t>
      </w:r>
      <w:r w:rsidRPr="00A87A9C">
        <w:rPr>
          <w:rFonts w:ascii="Candara" w:eastAsia="Candara" w:hAnsi="Candara" w:cs="Candara"/>
          <w:bCs/>
          <w:sz w:val="24"/>
          <w:szCs w:val="24"/>
          <w:lang w:val="en-GB"/>
        </w:rPr>
        <w:t xml:space="preserve"> refugee camps limits not only early interventions and the resulting prescription of assistive technologies and other services but also pauses a lot of difficulties in their being issued with necessary documents and these combined limits their freedom of movement and participation in society. </w:t>
      </w:r>
    </w:p>
    <w:p w14:paraId="323C76C3" w14:textId="38CC860E" w:rsidR="00266DC9" w:rsidRDefault="00266DC9" w:rsidP="007B5F0A">
      <w:pPr>
        <w:spacing w:line="276" w:lineRule="auto"/>
        <w:jc w:val="both"/>
        <w:rPr>
          <w:rFonts w:ascii="Candara" w:eastAsia="Candara" w:hAnsi="Candara" w:cs="Candara"/>
          <w:b/>
          <w:bCs/>
          <w:sz w:val="24"/>
          <w:szCs w:val="24"/>
          <w:lang w:val="en-US"/>
        </w:rPr>
      </w:pPr>
      <w:r w:rsidRPr="002C3B6D">
        <w:rPr>
          <w:rFonts w:ascii="Candara" w:eastAsia="Candara" w:hAnsi="Candara" w:cs="Candara"/>
          <w:b/>
          <w:bCs/>
          <w:sz w:val="24"/>
          <w:szCs w:val="24"/>
        </w:rPr>
        <w:t xml:space="preserve">Article </w:t>
      </w:r>
      <w:r>
        <w:rPr>
          <w:rFonts w:ascii="Candara" w:eastAsia="Candara" w:hAnsi="Candara" w:cs="Candara"/>
          <w:b/>
          <w:bCs/>
          <w:sz w:val="24"/>
          <w:szCs w:val="24"/>
          <w:lang w:val="en-US"/>
        </w:rPr>
        <w:t>9</w:t>
      </w:r>
      <w:r w:rsidRPr="00BE5854">
        <w:rPr>
          <w:rFonts w:ascii="Candara" w:eastAsia="Candara" w:hAnsi="Candara" w:cs="Candara"/>
          <w:b/>
          <w:bCs/>
          <w:sz w:val="24"/>
          <w:szCs w:val="24"/>
          <w:lang w:val="en-US"/>
        </w:rPr>
        <w:t xml:space="preserve"> Accessibility</w:t>
      </w:r>
    </w:p>
    <w:p w14:paraId="193FA3C6" w14:textId="66103ABC" w:rsidR="00266DC9" w:rsidRDefault="00266DC9" w:rsidP="007B5F0A">
      <w:pPr>
        <w:spacing w:line="276" w:lineRule="auto"/>
        <w:jc w:val="both"/>
        <w:rPr>
          <w:rFonts w:ascii="Candara" w:eastAsia="Candara" w:hAnsi="Candara" w:cs="Candara"/>
          <w:bCs/>
          <w:sz w:val="24"/>
          <w:szCs w:val="24"/>
        </w:rPr>
      </w:pPr>
      <w:r w:rsidRPr="00E615D7">
        <w:rPr>
          <w:rFonts w:ascii="Candara" w:eastAsia="Candara" w:hAnsi="Candara" w:cs="Candara"/>
          <w:bCs/>
          <w:sz w:val="24"/>
          <w:szCs w:val="24"/>
        </w:rPr>
        <w:t xml:space="preserve">The </w:t>
      </w:r>
      <w:r>
        <w:rPr>
          <w:rFonts w:ascii="Candara" w:eastAsia="Candara" w:hAnsi="Candara" w:cs="Candara"/>
          <w:bCs/>
          <w:sz w:val="24"/>
          <w:szCs w:val="24"/>
          <w:lang w:val="en-US"/>
        </w:rPr>
        <w:t xml:space="preserve">Kenyan </w:t>
      </w:r>
      <w:r w:rsidRPr="004958C4">
        <w:rPr>
          <w:rFonts w:ascii="Candara" w:eastAsia="Candara" w:hAnsi="Candara" w:cs="Candara"/>
          <w:bCs/>
          <w:sz w:val="24"/>
          <w:szCs w:val="24"/>
        </w:rPr>
        <w:t>Constitution in Article</w:t>
      </w:r>
      <w:r>
        <w:rPr>
          <w:rFonts w:ascii="Candara" w:eastAsia="Candara" w:hAnsi="Candara" w:cs="Candara"/>
          <w:bCs/>
          <w:sz w:val="24"/>
          <w:szCs w:val="24"/>
          <w:lang w:val="en-US"/>
        </w:rPr>
        <w:t>s 7 (3) (b) and</w:t>
      </w:r>
      <w:r w:rsidRPr="004958C4">
        <w:rPr>
          <w:rFonts w:ascii="Candara" w:eastAsia="Candara" w:hAnsi="Candara" w:cs="Candara"/>
          <w:bCs/>
          <w:sz w:val="24"/>
          <w:szCs w:val="24"/>
        </w:rPr>
        <w:t xml:space="preserve"> 54 </w:t>
      </w:r>
      <w:r>
        <w:rPr>
          <w:rFonts w:ascii="Candara" w:eastAsia="Candara" w:hAnsi="Candara" w:cs="Candara"/>
          <w:bCs/>
          <w:sz w:val="24"/>
          <w:szCs w:val="24"/>
          <w:lang w:val="en-US"/>
        </w:rPr>
        <w:t>(</w:t>
      </w:r>
      <w:r w:rsidRPr="004958C4">
        <w:rPr>
          <w:rFonts w:ascii="Candara" w:eastAsia="Candara" w:hAnsi="Candara" w:cs="Candara"/>
          <w:bCs/>
          <w:sz w:val="24"/>
          <w:szCs w:val="24"/>
        </w:rPr>
        <w:t>1</w:t>
      </w:r>
      <w:r>
        <w:rPr>
          <w:rFonts w:ascii="Candara" w:eastAsia="Candara" w:hAnsi="Candara" w:cs="Candara"/>
          <w:bCs/>
          <w:sz w:val="24"/>
          <w:szCs w:val="24"/>
          <w:lang w:val="en-US"/>
        </w:rPr>
        <w:t>)</w:t>
      </w:r>
      <w:r w:rsidRPr="004958C4">
        <w:rPr>
          <w:rFonts w:ascii="Candara" w:eastAsia="Candara" w:hAnsi="Candara" w:cs="Candara"/>
          <w:bCs/>
          <w:sz w:val="24"/>
          <w:szCs w:val="24"/>
        </w:rPr>
        <w:t xml:space="preserve"> (c), (d) and (e)</w:t>
      </w:r>
      <w:r>
        <w:rPr>
          <w:rFonts w:ascii="Candara" w:eastAsia="Candara" w:hAnsi="Candara" w:cs="Candara"/>
          <w:bCs/>
          <w:sz w:val="24"/>
          <w:szCs w:val="24"/>
          <w:lang w:val="en-US"/>
        </w:rPr>
        <w:t xml:space="preserve"> gives provisions on physical and informational accessibility, the</w:t>
      </w:r>
      <w:r w:rsidRPr="004958C4">
        <w:rPr>
          <w:rFonts w:ascii="Candara" w:eastAsia="Candara" w:hAnsi="Candara" w:cs="Candara"/>
          <w:bCs/>
          <w:sz w:val="24"/>
          <w:szCs w:val="24"/>
        </w:rPr>
        <w:t xml:space="preserve"> </w:t>
      </w:r>
      <w:r w:rsidRPr="00E615D7">
        <w:rPr>
          <w:rFonts w:ascii="Candara" w:eastAsia="Candara" w:hAnsi="Candara" w:cs="Candara"/>
          <w:bCs/>
          <w:sz w:val="24"/>
          <w:szCs w:val="24"/>
        </w:rPr>
        <w:t xml:space="preserve">National ICT Policy 2019 </w:t>
      </w:r>
      <w:r w:rsidRPr="00E615D7">
        <w:rPr>
          <w:rFonts w:ascii="Candara" w:eastAsia="Candara" w:hAnsi="Candara" w:cs="Candara"/>
          <w:bCs/>
          <w:sz w:val="24"/>
          <w:szCs w:val="24"/>
          <w:lang w:val="en-US"/>
        </w:rPr>
        <w:t>gives provisions</w:t>
      </w:r>
      <w:r w:rsidRPr="00E615D7">
        <w:rPr>
          <w:rFonts w:ascii="Candara" w:eastAsia="Candara" w:hAnsi="Candara" w:cs="Candara"/>
          <w:bCs/>
          <w:sz w:val="24"/>
          <w:szCs w:val="24"/>
        </w:rPr>
        <w:t xml:space="preserve"> </w:t>
      </w:r>
      <w:r w:rsidRPr="00E615D7">
        <w:rPr>
          <w:rFonts w:ascii="Candara" w:eastAsia="Candara" w:hAnsi="Candara" w:cs="Candara"/>
          <w:bCs/>
          <w:sz w:val="24"/>
          <w:szCs w:val="24"/>
          <w:lang w:val="en-US"/>
        </w:rPr>
        <w:t xml:space="preserve">on </w:t>
      </w:r>
      <w:r w:rsidRPr="00E615D7">
        <w:rPr>
          <w:rFonts w:ascii="Candara" w:eastAsia="Candara" w:hAnsi="Candara" w:cs="Candara"/>
          <w:bCs/>
          <w:sz w:val="24"/>
          <w:szCs w:val="24"/>
        </w:rPr>
        <w:t xml:space="preserve">informational accessibility, </w:t>
      </w:r>
      <w:r w:rsidRPr="00E615D7">
        <w:rPr>
          <w:rFonts w:ascii="Candara" w:eastAsia="Candara" w:hAnsi="Candara" w:cs="Candara"/>
          <w:bCs/>
          <w:sz w:val="24"/>
          <w:szCs w:val="24"/>
          <w:lang w:val="en-US"/>
        </w:rPr>
        <w:t xml:space="preserve">the </w:t>
      </w:r>
      <w:r w:rsidRPr="00E615D7">
        <w:rPr>
          <w:rFonts w:ascii="Candara" w:eastAsia="Candara" w:hAnsi="Candara" w:cs="Candara"/>
          <w:bCs/>
          <w:sz w:val="24"/>
          <w:szCs w:val="24"/>
        </w:rPr>
        <w:t xml:space="preserve">Person with Disabilities Act </w:t>
      </w:r>
      <w:r w:rsidRPr="00E615D7">
        <w:rPr>
          <w:rFonts w:ascii="Candara" w:eastAsia="Candara" w:hAnsi="Candara" w:cs="Candara"/>
          <w:bCs/>
          <w:sz w:val="24"/>
          <w:szCs w:val="24"/>
          <w:lang w:val="en-US"/>
        </w:rPr>
        <w:t xml:space="preserve">of </w:t>
      </w:r>
      <w:r w:rsidRPr="00E615D7">
        <w:rPr>
          <w:rFonts w:ascii="Candara" w:eastAsia="Candara" w:hAnsi="Candara" w:cs="Candara"/>
          <w:bCs/>
          <w:sz w:val="24"/>
          <w:szCs w:val="24"/>
        </w:rPr>
        <w:t xml:space="preserve">2003 speaks to physical accessibility and has provisions calling for </w:t>
      </w:r>
      <w:r>
        <w:rPr>
          <w:rFonts w:ascii="Candara" w:eastAsia="Candara" w:hAnsi="Candara" w:cs="Candara"/>
          <w:bCs/>
          <w:sz w:val="24"/>
          <w:szCs w:val="24"/>
          <w:lang w:val="en-US"/>
        </w:rPr>
        <w:t xml:space="preserve">the </w:t>
      </w:r>
      <w:r w:rsidRPr="00E615D7">
        <w:rPr>
          <w:rFonts w:ascii="Candara" w:eastAsia="Candara" w:hAnsi="Candara" w:cs="Candara"/>
          <w:bCs/>
          <w:sz w:val="24"/>
          <w:szCs w:val="24"/>
        </w:rPr>
        <w:t>issuance of adjustments orders</w:t>
      </w:r>
      <w:r>
        <w:rPr>
          <w:rFonts w:ascii="Candara" w:eastAsia="Candara" w:hAnsi="Candara" w:cs="Candara"/>
          <w:bCs/>
          <w:sz w:val="24"/>
          <w:szCs w:val="24"/>
          <w:lang w:val="en-US"/>
        </w:rPr>
        <w:t xml:space="preserve">. </w:t>
      </w:r>
      <w:r w:rsidRPr="00E615D7">
        <w:rPr>
          <w:rFonts w:ascii="Candara" w:eastAsia="Candara" w:hAnsi="Candara" w:cs="Candara"/>
          <w:bCs/>
          <w:sz w:val="24"/>
          <w:szCs w:val="24"/>
        </w:rPr>
        <w:t xml:space="preserve">The Building Code of 1968 attempts to incorporate some elements </w:t>
      </w:r>
      <w:r>
        <w:rPr>
          <w:rFonts w:ascii="Candara" w:eastAsia="Candara" w:hAnsi="Candara" w:cs="Candara"/>
          <w:bCs/>
          <w:sz w:val="24"/>
          <w:szCs w:val="24"/>
          <w:lang w:val="en-US"/>
        </w:rPr>
        <w:t>of</w:t>
      </w:r>
      <w:r w:rsidRPr="00E615D7">
        <w:rPr>
          <w:rFonts w:ascii="Candara" w:eastAsia="Candara" w:hAnsi="Candara" w:cs="Candara"/>
          <w:bCs/>
          <w:sz w:val="24"/>
          <w:szCs w:val="24"/>
          <w:lang w:val="en-US"/>
        </w:rPr>
        <w:t xml:space="preserve"> physical </w:t>
      </w:r>
      <w:r w:rsidRPr="00E615D7">
        <w:rPr>
          <w:rFonts w:ascii="Candara" w:eastAsia="Candara" w:hAnsi="Candara" w:cs="Candara"/>
          <w:bCs/>
          <w:sz w:val="24"/>
          <w:szCs w:val="24"/>
        </w:rPr>
        <w:t>accessibility</w:t>
      </w:r>
      <w:r w:rsidRPr="00E615D7">
        <w:rPr>
          <w:rFonts w:ascii="Candara" w:eastAsia="Candara" w:hAnsi="Candara" w:cs="Candara"/>
          <w:bCs/>
          <w:sz w:val="24"/>
          <w:szCs w:val="24"/>
          <w:lang w:val="en-US"/>
        </w:rPr>
        <w:t>, as does t</w:t>
      </w:r>
      <w:r w:rsidRPr="00E615D7">
        <w:rPr>
          <w:rFonts w:ascii="Candara" w:eastAsia="Candara" w:hAnsi="Candara" w:cs="Candara"/>
          <w:bCs/>
          <w:sz w:val="24"/>
          <w:szCs w:val="24"/>
        </w:rPr>
        <w:t xml:space="preserve">he Kenya Bureau of Standards KS ISO 21542 standard on building construction-Accessibility and usability of the </w:t>
      </w:r>
      <w:r>
        <w:rPr>
          <w:rFonts w:ascii="Candara" w:eastAsia="Candara" w:hAnsi="Candara" w:cs="Candara"/>
          <w:bCs/>
          <w:sz w:val="24"/>
          <w:szCs w:val="24"/>
          <w:lang w:val="en-US"/>
        </w:rPr>
        <w:t>built</w:t>
      </w:r>
      <w:r w:rsidRPr="00E615D7">
        <w:rPr>
          <w:rFonts w:ascii="Candara" w:eastAsia="Candara" w:hAnsi="Candara" w:cs="Candara"/>
          <w:bCs/>
          <w:sz w:val="24"/>
          <w:szCs w:val="24"/>
        </w:rPr>
        <w:t xml:space="preserve"> environment. The </w:t>
      </w:r>
      <w:bookmarkStart w:id="0" w:name="_Hlk137078154"/>
      <w:r w:rsidRPr="00E615D7">
        <w:rPr>
          <w:rFonts w:ascii="Candara" w:eastAsia="Candara" w:hAnsi="Candara" w:cs="Candara"/>
          <w:bCs/>
          <w:sz w:val="24"/>
          <w:szCs w:val="24"/>
        </w:rPr>
        <w:t xml:space="preserve">Communication Authority and ICT department have </w:t>
      </w:r>
      <w:r w:rsidRPr="00E615D7">
        <w:rPr>
          <w:rFonts w:ascii="Candara" w:eastAsia="Candara" w:hAnsi="Candara" w:cs="Candara"/>
          <w:bCs/>
          <w:sz w:val="24"/>
          <w:szCs w:val="24"/>
          <w:lang w:val="en-US"/>
        </w:rPr>
        <w:t xml:space="preserve">also </w:t>
      </w:r>
      <w:r w:rsidRPr="00E615D7">
        <w:rPr>
          <w:rFonts w:ascii="Candara" w:eastAsia="Candara" w:hAnsi="Candara" w:cs="Candara"/>
          <w:bCs/>
          <w:sz w:val="24"/>
          <w:szCs w:val="24"/>
        </w:rPr>
        <w:t>developed Accessibility Standards</w:t>
      </w:r>
      <w:bookmarkEnd w:id="0"/>
      <w:r w:rsidRPr="00E615D7">
        <w:rPr>
          <w:rFonts w:ascii="Candara" w:eastAsia="Candara" w:hAnsi="Candara" w:cs="Candara"/>
          <w:bCs/>
          <w:sz w:val="24"/>
          <w:szCs w:val="24"/>
        </w:rPr>
        <w:t xml:space="preserve">, </w:t>
      </w:r>
      <w:r w:rsidRPr="00E615D7">
        <w:rPr>
          <w:rFonts w:ascii="Candara" w:eastAsia="Candara" w:hAnsi="Candara" w:cs="Candara"/>
          <w:bCs/>
          <w:sz w:val="24"/>
          <w:szCs w:val="24"/>
          <w:lang w:val="en-US"/>
        </w:rPr>
        <w:t xml:space="preserve">and the </w:t>
      </w:r>
      <w:r w:rsidRPr="00E615D7">
        <w:rPr>
          <w:rFonts w:ascii="Candara" w:eastAsia="Candara" w:hAnsi="Candara" w:cs="Candara"/>
          <w:bCs/>
          <w:sz w:val="24"/>
          <w:szCs w:val="24"/>
        </w:rPr>
        <w:t xml:space="preserve">Kenya Bureau of Standards developed KS2952 Accessibility – ICT Products and Services to ensure ICT products and </w:t>
      </w:r>
      <w:r w:rsidRPr="00E615D7">
        <w:rPr>
          <w:rFonts w:ascii="Candara" w:eastAsia="Candara" w:hAnsi="Candara" w:cs="Candara"/>
          <w:bCs/>
          <w:sz w:val="24"/>
          <w:szCs w:val="24"/>
        </w:rPr>
        <w:lastRenderedPageBreak/>
        <w:t>services are accessible to persons with disabilities.</w:t>
      </w:r>
      <w:r w:rsidR="005D02C2" w:rsidRPr="005D02C2">
        <w:t xml:space="preserve"> </w:t>
      </w:r>
      <w:r w:rsidR="005D02C2" w:rsidRPr="005D02C2">
        <w:rPr>
          <w:rFonts w:ascii="Candara" w:eastAsia="Candara" w:hAnsi="Candara" w:cs="Candara"/>
          <w:bCs/>
          <w:sz w:val="24"/>
          <w:szCs w:val="24"/>
        </w:rPr>
        <w:t>These have made some strides towards the realization of accessibility both informational and physical for persons with disabilities. The level of awareness regarding accessibility seems to be on the rise, efforts are visible across public participation forums, public announcements, and on the policy front. Nonetheless, a lot remains to be done to achieve full accessibility.</w:t>
      </w:r>
    </w:p>
    <w:p w14:paraId="041D6187" w14:textId="4AC0B1DB" w:rsidR="00555689" w:rsidRPr="00555689" w:rsidRDefault="00555689" w:rsidP="007B5F0A">
      <w:pPr>
        <w:spacing w:line="276" w:lineRule="auto"/>
        <w:jc w:val="both"/>
        <w:rPr>
          <w:rFonts w:ascii="Candara" w:eastAsia="Candara" w:hAnsi="Candara" w:cs="Candara"/>
          <w:b/>
          <w:sz w:val="24"/>
          <w:szCs w:val="24"/>
        </w:rPr>
      </w:pPr>
      <w:r w:rsidRPr="002C3B6D">
        <w:rPr>
          <w:rFonts w:ascii="Candara" w:eastAsia="Candara" w:hAnsi="Candara" w:cs="Candara"/>
          <w:b/>
          <w:bCs/>
          <w:sz w:val="24"/>
          <w:szCs w:val="24"/>
        </w:rPr>
        <w:t xml:space="preserve">Article </w:t>
      </w:r>
      <w:r>
        <w:rPr>
          <w:rFonts w:ascii="Candara" w:eastAsia="Candara" w:hAnsi="Candara" w:cs="Candara"/>
          <w:b/>
          <w:bCs/>
          <w:sz w:val="24"/>
          <w:szCs w:val="24"/>
          <w:lang w:val="en-US"/>
        </w:rPr>
        <w:t>10</w:t>
      </w:r>
      <w:r w:rsidRPr="002C3B6D">
        <w:rPr>
          <w:rFonts w:ascii="Candara" w:eastAsia="Candara" w:hAnsi="Candara" w:cs="Candara"/>
          <w:b/>
          <w:bCs/>
          <w:sz w:val="24"/>
          <w:szCs w:val="24"/>
        </w:rPr>
        <w:t xml:space="preserve"> </w:t>
      </w:r>
      <w:r w:rsidRPr="007D290C">
        <w:rPr>
          <w:rFonts w:ascii="Candara" w:eastAsia="Candara" w:hAnsi="Candara" w:cs="Candara"/>
          <w:b/>
          <w:bCs/>
          <w:sz w:val="24"/>
          <w:szCs w:val="24"/>
          <w:lang w:val="en-US"/>
        </w:rPr>
        <w:t>Right to life</w:t>
      </w:r>
    </w:p>
    <w:p w14:paraId="2497D94D" w14:textId="5D73FF97" w:rsidR="00555689" w:rsidRDefault="00555689" w:rsidP="007B5F0A">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In a KNCHR report</w:t>
      </w:r>
      <w:r>
        <w:rPr>
          <w:rStyle w:val="FootnoteReference"/>
          <w:rFonts w:ascii="Candara" w:eastAsia="Candara" w:hAnsi="Candara" w:cs="Candara"/>
          <w:bCs/>
          <w:sz w:val="24"/>
          <w:szCs w:val="24"/>
          <w:lang w:val="en-US"/>
        </w:rPr>
        <w:footnoteReference w:id="9"/>
      </w:r>
      <w:r>
        <w:rPr>
          <w:rFonts w:ascii="Candara" w:eastAsia="Candara" w:hAnsi="Candara" w:cs="Candara"/>
          <w:bCs/>
          <w:sz w:val="24"/>
          <w:szCs w:val="24"/>
          <w:lang w:val="en-US"/>
        </w:rPr>
        <w:t xml:space="preserve"> persons with Albinism reported </w:t>
      </w:r>
      <w:r w:rsidRPr="00DF0FBA">
        <w:rPr>
          <w:rFonts w:ascii="Candara" w:eastAsia="Candara" w:hAnsi="Candara" w:cs="Candara"/>
          <w:bCs/>
          <w:sz w:val="24"/>
          <w:szCs w:val="24"/>
          <w:lang w:val="en-US"/>
        </w:rPr>
        <w:t xml:space="preserve">having been threatened or mocked to be sold off to </w:t>
      </w:r>
      <w:r>
        <w:rPr>
          <w:rFonts w:ascii="Candara" w:eastAsia="Candara" w:hAnsi="Candara" w:cs="Candara"/>
          <w:bCs/>
          <w:sz w:val="24"/>
          <w:szCs w:val="24"/>
          <w:lang w:val="en-US"/>
        </w:rPr>
        <w:t>a neighboring country</w:t>
      </w:r>
      <w:r w:rsidRPr="00DF0FBA">
        <w:rPr>
          <w:rFonts w:ascii="Candara" w:eastAsia="Candara" w:hAnsi="Candara" w:cs="Candara"/>
          <w:bCs/>
          <w:sz w:val="24"/>
          <w:szCs w:val="24"/>
          <w:lang w:val="en-US"/>
        </w:rPr>
        <w:t xml:space="preserve"> by persons known to them</w:t>
      </w:r>
      <w:r>
        <w:rPr>
          <w:rFonts w:ascii="Candara" w:eastAsia="Candara" w:hAnsi="Candara" w:cs="Candara"/>
          <w:bCs/>
          <w:sz w:val="24"/>
          <w:szCs w:val="24"/>
          <w:lang w:val="en-US"/>
        </w:rPr>
        <w:t xml:space="preserve">, given </w:t>
      </w:r>
      <w:r w:rsidRPr="00DF0FBA">
        <w:rPr>
          <w:rFonts w:ascii="Candara" w:eastAsia="Candara" w:hAnsi="Candara" w:cs="Candara"/>
          <w:bCs/>
          <w:sz w:val="24"/>
          <w:szCs w:val="24"/>
        </w:rPr>
        <w:t>the numerous incidences where persons with albinism have been physically attacked, maimed, or killed for their body parts to be sold off to witch doctors for large sums of money</w:t>
      </w:r>
      <w:r w:rsidRPr="00DF0FBA">
        <w:rPr>
          <w:rFonts w:ascii="Candara" w:eastAsia="Candara" w:hAnsi="Candara" w:cs="Candara"/>
          <w:bCs/>
          <w:sz w:val="24"/>
          <w:szCs w:val="24"/>
          <w:lang w:val="en-US"/>
        </w:rPr>
        <w:t xml:space="preserve">. </w:t>
      </w:r>
      <w:r>
        <w:rPr>
          <w:rFonts w:ascii="Candara" w:eastAsia="Candara" w:hAnsi="Candara" w:cs="Candara"/>
          <w:bCs/>
          <w:sz w:val="24"/>
          <w:szCs w:val="24"/>
          <w:lang w:val="en-US"/>
        </w:rPr>
        <w:t xml:space="preserve">21% of the respondents reported that </w:t>
      </w:r>
      <w:r w:rsidRPr="00DF0FBA">
        <w:rPr>
          <w:rFonts w:ascii="Candara" w:eastAsia="Candara" w:hAnsi="Candara" w:cs="Candara"/>
          <w:bCs/>
          <w:sz w:val="24"/>
          <w:szCs w:val="24"/>
          <w:lang w:val="en-US"/>
        </w:rPr>
        <w:t xml:space="preserve">when such matters were reported to the authorities, no action was taken </w:t>
      </w:r>
      <w:r>
        <w:rPr>
          <w:rFonts w:ascii="Candara" w:eastAsia="Candara" w:hAnsi="Candara" w:cs="Candara"/>
          <w:bCs/>
          <w:sz w:val="24"/>
          <w:szCs w:val="24"/>
          <w:lang w:val="en-US"/>
        </w:rPr>
        <w:t xml:space="preserve">by the police </w:t>
      </w:r>
      <w:r w:rsidRPr="00DF0FBA">
        <w:rPr>
          <w:rFonts w:ascii="Candara" w:eastAsia="Candara" w:hAnsi="Candara" w:cs="Candara"/>
          <w:bCs/>
          <w:sz w:val="24"/>
          <w:szCs w:val="24"/>
          <w:lang w:val="en-US"/>
        </w:rPr>
        <w:t>or the issue was handled lightly without giving it the attention it deserved</w:t>
      </w:r>
      <w:r>
        <w:rPr>
          <w:rStyle w:val="FootnoteReference"/>
          <w:rFonts w:ascii="Candara" w:eastAsia="Candara" w:hAnsi="Candara" w:cs="Candara"/>
          <w:bCs/>
          <w:sz w:val="24"/>
          <w:szCs w:val="24"/>
          <w:lang w:val="en-US"/>
        </w:rPr>
        <w:footnoteReference w:id="10"/>
      </w:r>
      <w:r w:rsidRPr="00DF0FBA">
        <w:rPr>
          <w:rFonts w:ascii="Candara" w:eastAsia="Candara" w:hAnsi="Candara" w:cs="Candara"/>
          <w:bCs/>
          <w:sz w:val="24"/>
          <w:szCs w:val="24"/>
          <w:lang w:val="en-US"/>
        </w:rPr>
        <w:t>.</w:t>
      </w:r>
    </w:p>
    <w:p w14:paraId="0430D910" w14:textId="77777777" w:rsidR="00555689" w:rsidRPr="00DA6A02" w:rsidRDefault="00555689" w:rsidP="007B5F0A">
      <w:pPr>
        <w:spacing w:line="276" w:lineRule="auto"/>
        <w:jc w:val="both"/>
        <w:rPr>
          <w:rFonts w:ascii="Candara" w:eastAsia="Candara" w:hAnsi="Candara" w:cs="Candara"/>
          <w:b/>
          <w:bCs/>
          <w:sz w:val="24"/>
          <w:szCs w:val="24"/>
          <w:lang w:val="en-GB"/>
        </w:rPr>
      </w:pPr>
      <w:r w:rsidRPr="00DA6A02">
        <w:rPr>
          <w:rFonts w:ascii="Candara" w:eastAsia="Candara" w:hAnsi="Candara" w:cs="Candara"/>
          <w:b/>
          <w:bCs/>
          <w:sz w:val="24"/>
          <w:szCs w:val="24"/>
          <w:lang w:val="en-GB"/>
        </w:rPr>
        <w:t>Article 11: Situation of Risks and Humanitarian Emergencies</w:t>
      </w:r>
    </w:p>
    <w:p w14:paraId="46212650" w14:textId="0EDB457C" w:rsidR="00555689" w:rsidRDefault="00555689" w:rsidP="007B5F0A">
      <w:pPr>
        <w:spacing w:line="276" w:lineRule="auto"/>
        <w:jc w:val="both"/>
        <w:rPr>
          <w:rFonts w:ascii="Candara" w:eastAsia="Candara" w:hAnsi="Candara" w:cs="Candara"/>
          <w:bCs/>
          <w:sz w:val="24"/>
          <w:szCs w:val="24"/>
          <w:lang w:val="en-GB"/>
        </w:rPr>
      </w:pPr>
      <w:r w:rsidRPr="00DA6A02">
        <w:rPr>
          <w:rFonts w:ascii="Candara" w:eastAsia="Candara" w:hAnsi="Candara" w:cs="Candara"/>
          <w:bCs/>
          <w:sz w:val="24"/>
          <w:szCs w:val="24"/>
          <w:lang w:val="en-GB"/>
        </w:rPr>
        <w:t xml:space="preserve">The County Climate Change Fund (CCCF) consists of climate legislation </w:t>
      </w:r>
      <w:r>
        <w:rPr>
          <w:rFonts w:ascii="Candara" w:eastAsia="Candara" w:hAnsi="Candara" w:cs="Candara"/>
          <w:bCs/>
          <w:sz w:val="24"/>
          <w:szCs w:val="24"/>
          <w:lang w:val="en-GB"/>
        </w:rPr>
        <w:t>(</w:t>
      </w:r>
      <w:r w:rsidRPr="00DA6A02">
        <w:rPr>
          <w:rFonts w:ascii="Candara" w:eastAsia="Candara" w:hAnsi="Candara" w:cs="Candara"/>
          <w:bCs/>
          <w:sz w:val="24"/>
          <w:szCs w:val="24"/>
          <w:lang w:val="en-GB"/>
        </w:rPr>
        <w:t xml:space="preserve">County Climate Change Acts) enacted by county governments and a county-controlled fund that finances climate projects identified and </w:t>
      </w:r>
      <w:r>
        <w:rPr>
          <w:rFonts w:ascii="Candara" w:eastAsia="Candara" w:hAnsi="Candara" w:cs="Candara"/>
          <w:bCs/>
          <w:sz w:val="24"/>
          <w:szCs w:val="24"/>
          <w:lang w:val="en-GB"/>
        </w:rPr>
        <w:t>prioritized</w:t>
      </w:r>
      <w:r w:rsidRPr="00DA6A02">
        <w:rPr>
          <w:rFonts w:ascii="Candara" w:eastAsia="Candara" w:hAnsi="Candara" w:cs="Candara"/>
          <w:bCs/>
          <w:sz w:val="24"/>
          <w:szCs w:val="24"/>
          <w:lang w:val="en-GB"/>
        </w:rPr>
        <w:t xml:space="preserve"> by local communities. County Climate Change Committees are elected and appointed at the ward and national levels to support the implementation of the CCCF mechanism. The Ward Climate Change Planning Committee (WCCPC) </w:t>
      </w:r>
      <w:r>
        <w:rPr>
          <w:rFonts w:ascii="Candara" w:eastAsia="Candara" w:hAnsi="Candara" w:cs="Candara"/>
          <w:bCs/>
          <w:sz w:val="24"/>
          <w:szCs w:val="24"/>
          <w:lang w:val="en-GB"/>
        </w:rPr>
        <w:t>is</w:t>
      </w:r>
      <w:r w:rsidRPr="00DA6A02">
        <w:rPr>
          <w:rFonts w:ascii="Candara" w:eastAsia="Candara" w:hAnsi="Candara" w:cs="Candara"/>
          <w:bCs/>
          <w:sz w:val="24"/>
          <w:szCs w:val="24"/>
          <w:lang w:val="en-GB"/>
        </w:rPr>
        <w:t xml:space="preserve"> the central pillar of the mechanism. Their members are representatives of the various locations, social groups, and livelihood systems in the ward.</w:t>
      </w:r>
    </w:p>
    <w:p w14:paraId="0D054EE3" w14:textId="5CB6988D" w:rsidR="003245AD" w:rsidRDefault="003245AD" w:rsidP="007B5F0A">
      <w:pPr>
        <w:spacing w:line="276" w:lineRule="auto"/>
        <w:jc w:val="both"/>
        <w:rPr>
          <w:rFonts w:ascii="Candara" w:eastAsia="Candara" w:hAnsi="Candara" w:cs="Candara"/>
          <w:bCs/>
          <w:sz w:val="24"/>
          <w:szCs w:val="24"/>
          <w:lang w:val="en-GB"/>
        </w:rPr>
      </w:pPr>
      <w:r w:rsidRPr="004B5468">
        <w:rPr>
          <w:rFonts w:ascii="Candara" w:eastAsia="Candara" w:hAnsi="Candara" w:cs="Candara"/>
          <w:bCs/>
          <w:sz w:val="24"/>
          <w:szCs w:val="24"/>
          <w:lang w:val="en-GB"/>
        </w:rPr>
        <w:t xml:space="preserve">Persons with disabilities within indigenous communities in Kenya are especially vulnerable in cases of extreme weather events and climate </w:t>
      </w:r>
      <w:r>
        <w:rPr>
          <w:rFonts w:ascii="Candara" w:eastAsia="Candara" w:hAnsi="Candara" w:cs="Candara"/>
          <w:bCs/>
          <w:sz w:val="24"/>
          <w:szCs w:val="24"/>
          <w:lang w:val="en-GB"/>
        </w:rPr>
        <w:t>disasters</w:t>
      </w:r>
      <w:r w:rsidRPr="004B5468">
        <w:rPr>
          <w:rFonts w:ascii="Candara" w:eastAsia="Candara" w:hAnsi="Candara" w:cs="Candara"/>
          <w:bCs/>
          <w:sz w:val="24"/>
          <w:szCs w:val="24"/>
          <w:lang w:val="en-GB"/>
        </w:rPr>
        <w:t xml:space="preserve">, this is because as indigenous and minority communities they already </w:t>
      </w:r>
      <w:r w:rsidRPr="004B5468">
        <w:rPr>
          <w:rFonts w:ascii="Candara" w:eastAsia="Candara" w:hAnsi="Candara" w:cs="Candara"/>
          <w:bCs/>
          <w:sz w:val="24"/>
          <w:szCs w:val="24"/>
        </w:rPr>
        <w:t>face scarcity and insecurity of land and resources, poor services</w:t>
      </w:r>
      <w:r>
        <w:rPr>
          <w:rFonts w:ascii="Candara" w:eastAsia="Candara" w:hAnsi="Candara" w:cs="Candara"/>
          <w:bCs/>
          <w:sz w:val="24"/>
          <w:szCs w:val="24"/>
          <w:lang w:val="en-US"/>
        </w:rPr>
        <w:t>,</w:t>
      </w:r>
      <w:r w:rsidRPr="004B5468">
        <w:rPr>
          <w:rFonts w:ascii="Candara" w:eastAsia="Candara" w:hAnsi="Candara" w:cs="Candara"/>
          <w:bCs/>
          <w:sz w:val="24"/>
          <w:szCs w:val="24"/>
        </w:rPr>
        <w:t xml:space="preserve"> and discrimination.</w:t>
      </w:r>
    </w:p>
    <w:p w14:paraId="6DA2EEC7" w14:textId="5E870D0B" w:rsidR="00F246EC" w:rsidRDefault="00F246EC" w:rsidP="007B5F0A">
      <w:pPr>
        <w:spacing w:line="276" w:lineRule="auto"/>
        <w:jc w:val="both"/>
        <w:rPr>
          <w:rFonts w:ascii="Candara" w:eastAsia="Candara" w:hAnsi="Candara" w:cs="Candara"/>
          <w:bCs/>
          <w:sz w:val="24"/>
          <w:szCs w:val="24"/>
          <w:lang w:val="en-GB"/>
        </w:rPr>
      </w:pPr>
      <w:r w:rsidRPr="002F124F">
        <w:rPr>
          <w:rFonts w:ascii="Candara" w:eastAsia="Candara" w:hAnsi="Candara" w:cs="Candara"/>
          <w:bCs/>
          <w:sz w:val="24"/>
          <w:szCs w:val="24"/>
          <w:lang w:val="en-GB"/>
        </w:rPr>
        <w:t>Women and Girls with disabilities are often among those most adversely affected in an emergency, sustaining disproportionately higher rates of morbidity and mortality, and are among those least able to access emergency support</w:t>
      </w:r>
      <w:r>
        <w:rPr>
          <w:rStyle w:val="FootnoteReference"/>
          <w:rFonts w:ascii="Candara" w:eastAsia="Candara" w:hAnsi="Candara" w:cs="Candara"/>
          <w:bCs/>
          <w:sz w:val="24"/>
          <w:szCs w:val="24"/>
          <w:lang w:val="en-GB"/>
        </w:rPr>
        <w:footnoteReference w:id="11"/>
      </w:r>
      <w:r w:rsidRPr="002F124F">
        <w:rPr>
          <w:rFonts w:ascii="Candara" w:eastAsia="Candara" w:hAnsi="Candara" w:cs="Candara"/>
          <w:bCs/>
          <w:sz w:val="24"/>
          <w:szCs w:val="24"/>
          <w:lang w:val="en-GB"/>
        </w:rPr>
        <w:t>.</w:t>
      </w:r>
      <w:r w:rsidRPr="002F124F">
        <w:t xml:space="preserve"> </w:t>
      </w:r>
      <w:r w:rsidRPr="002F124F">
        <w:rPr>
          <w:rFonts w:ascii="Candara" w:eastAsia="Candara" w:hAnsi="Candara" w:cs="Candara"/>
          <w:bCs/>
          <w:sz w:val="24"/>
          <w:szCs w:val="24"/>
          <w:lang w:val="en-GB"/>
        </w:rPr>
        <w:t xml:space="preserve">For example, the approach of people queuing for humanitarian Aid such as food stuff, clothes and temporary shelter does not consider women with disabilities who might not be in position to scramble for </w:t>
      </w:r>
      <w:r w:rsidRPr="002F124F">
        <w:rPr>
          <w:rFonts w:ascii="Candara" w:eastAsia="Candara" w:hAnsi="Candara" w:cs="Candara"/>
          <w:bCs/>
          <w:sz w:val="24"/>
          <w:szCs w:val="24"/>
          <w:lang w:val="en-GB"/>
        </w:rPr>
        <w:lastRenderedPageBreak/>
        <w:t>aid and run with their children for help</w:t>
      </w:r>
      <w:r>
        <w:rPr>
          <w:rStyle w:val="FootnoteReference"/>
          <w:rFonts w:ascii="Candara" w:eastAsia="Candara" w:hAnsi="Candara" w:cs="Candara"/>
          <w:bCs/>
          <w:sz w:val="24"/>
          <w:szCs w:val="24"/>
          <w:lang w:val="en-GB"/>
        </w:rPr>
        <w:footnoteReference w:id="12"/>
      </w:r>
      <w:r w:rsidRPr="002F124F">
        <w:rPr>
          <w:rFonts w:ascii="Candara" w:eastAsia="Candara" w:hAnsi="Candara" w:cs="Candara"/>
          <w:bCs/>
          <w:sz w:val="24"/>
          <w:szCs w:val="24"/>
          <w:lang w:val="en-GB"/>
        </w:rPr>
        <w:t>. This situation puts women and girls with disabilities at risk of premature death.</w:t>
      </w:r>
      <w:r>
        <w:rPr>
          <w:rFonts w:ascii="Candara" w:eastAsia="Candara" w:hAnsi="Candara" w:cs="Candara"/>
          <w:bCs/>
          <w:sz w:val="24"/>
          <w:szCs w:val="24"/>
          <w:lang w:val="en-GB"/>
        </w:rPr>
        <w:t xml:space="preserve"> </w:t>
      </w:r>
      <w:r w:rsidRPr="002F124F">
        <w:rPr>
          <w:rFonts w:ascii="Candara" w:eastAsia="Candara" w:hAnsi="Candara" w:cs="Candara"/>
          <w:bCs/>
          <w:sz w:val="24"/>
          <w:szCs w:val="24"/>
          <w:lang w:val="en-GB"/>
        </w:rPr>
        <w:t>The sporadic and spontaneous occurrence such as floods and drought that are related to climate change are often met with non-disability inclusive response</w:t>
      </w:r>
      <w:r>
        <w:rPr>
          <w:rStyle w:val="FootnoteReference"/>
          <w:rFonts w:ascii="Candara" w:eastAsia="Candara" w:hAnsi="Candara" w:cs="Candara"/>
          <w:bCs/>
          <w:sz w:val="24"/>
          <w:szCs w:val="24"/>
          <w:lang w:val="en-GB"/>
        </w:rPr>
        <w:footnoteReference w:id="13"/>
      </w:r>
      <w:r w:rsidRPr="002F124F">
        <w:rPr>
          <w:rFonts w:ascii="Candara" w:eastAsia="Candara" w:hAnsi="Candara" w:cs="Candara"/>
          <w:bCs/>
          <w:sz w:val="24"/>
          <w:szCs w:val="24"/>
          <w:lang w:val="en-GB"/>
        </w:rPr>
        <w:t xml:space="preserve">. As rivers continue to dry up with even sunk boreholes drying up, menstrual health and hygiene management is compromised among women and girls with disabilities. </w:t>
      </w:r>
    </w:p>
    <w:p w14:paraId="763F18AF" w14:textId="77777777" w:rsidR="00F246EC" w:rsidRDefault="00F246EC" w:rsidP="007B5F0A">
      <w:pPr>
        <w:spacing w:line="276" w:lineRule="auto"/>
        <w:jc w:val="both"/>
        <w:rPr>
          <w:rFonts w:ascii="Candara" w:eastAsia="Candara" w:hAnsi="Candara" w:cs="Candara"/>
          <w:bCs/>
          <w:sz w:val="24"/>
          <w:szCs w:val="24"/>
          <w:lang w:val="en-GB"/>
        </w:rPr>
      </w:pPr>
    </w:p>
    <w:p w14:paraId="1AB8E2CE" w14:textId="602593CC" w:rsidR="00555689" w:rsidRPr="00555689" w:rsidRDefault="00555689" w:rsidP="007B5F0A">
      <w:pPr>
        <w:spacing w:line="276" w:lineRule="auto"/>
        <w:jc w:val="both"/>
        <w:rPr>
          <w:rFonts w:ascii="Candara" w:eastAsia="Candara" w:hAnsi="Candara" w:cs="Candara"/>
          <w:b/>
          <w:sz w:val="24"/>
          <w:szCs w:val="24"/>
          <w:lang w:val="en-GB"/>
        </w:rPr>
      </w:pPr>
      <w:r w:rsidRPr="001917E2">
        <w:rPr>
          <w:rFonts w:ascii="Candara" w:eastAsia="Candara" w:hAnsi="Candara" w:cs="Candara"/>
          <w:b/>
          <w:sz w:val="24"/>
          <w:szCs w:val="24"/>
          <w:lang w:val="en-GB"/>
        </w:rPr>
        <w:t>Article 12: Equal Recognition before the Law</w:t>
      </w:r>
    </w:p>
    <w:p w14:paraId="096E4CCF" w14:textId="5192AD21" w:rsidR="00555689" w:rsidRDefault="00555689" w:rsidP="007B5F0A">
      <w:p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GB"/>
        </w:rPr>
        <w:t xml:space="preserve">Several legal instruments still take away the legal capacity of persons with disabilities, especially </w:t>
      </w:r>
      <w:r>
        <w:rPr>
          <w:rFonts w:ascii="Candara" w:eastAsia="Candara" w:hAnsi="Candara" w:cs="Candara"/>
          <w:bCs/>
          <w:sz w:val="24"/>
          <w:szCs w:val="24"/>
          <w:lang w:val="en-US"/>
        </w:rPr>
        <w:t>autistic persons</w:t>
      </w:r>
      <w:r>
        <w:rPr>
          <w:rFonts w:ascii="Candara" w:eastAsia="Candara" w:hAnsi="Candara" w:cs="Candara"/>
          <w:bCs/>
          <w:sz w:val="24"/>
          <w:szCs w:val="24"/>
          <w:lang w:val="en-GB"/>
        </w:rPr>
        <w:t xml:space="preserve">, </w:t>
      </w:r>
      <w:r w:rsidRPr="001917E2">
        <w:rPr>
          <w:rFonts w:ascii="Candara" w:eastAsia="Candara" w:hAnsi="Candara" w:cs="Candara"/>
          <w:bCs/>
          <w:sz w:val="24"/>
          <w:szCs w:val="24"/>
          <w:lang w:val="en-GB"/>
        </w:rPr>
        <w:t>persons with intellectual</w:t>
      </w:r>
      <w:r>
        <w:rPr>
          <w:rFonts w:ascii="Candara" w:eastAsia="Candara" w:hAnsi="Candara" w:cs="Candara"/>
          <w:bCs/>
          <w:sz w:val="24"/>
          <w:szCs w:val="24"/>
          <w:lang w:val="en-GB"/>
        </w:rPr>
        <w:t xml:space="preserve"> </w:t>
      </w:r>
      <w:r w:rsidRPr="001917E2">
        <w:rPr>
          <w:rFonts w:ascii="Candara" w:eastAsia="Candara" w:hAnsi="Candara" w:cs="Candara"/>
          <w:bCs/>
          <w:sz w:val="24"/>
          <w:szCs w:val="24"/>
          <w:lang w:val="en-GB"/>
        </w:rPr>
        <w:t xml:space="preserve">and psychosocial disabilities. These instruments include- the </w:t>
      </w:r>
      <w:r w:rsidRPr="001917E2">
        <w:rPr>
          <w:rFonts w:ascii="Candara" w:eastAsia="Candara" w:hAnsi="Candara" w:cs="Candara"/>
          <w:bCs/>
          <w:sz w:val="24"/>
          <w:szCs w:val="24"/>
          <w:lang w:val="en-US"/>
        </w:rPr>
        <w:t xml:space="preserve">Mental Health Act (Cap 248), The Civil Procedure </w:t>
      </w:r>
      <w:r>
        <w:rPr>
          <w:rFonts w:ascii="Candara" w:eastAsia="Candara" w:hAnsi="Candara" w:cs="Candara"/>
          <w:bCs/>
          <w:sz w:val="24"/>
          <w:szCs w:val="24"/>
          <w:lang w:val="en-US"/>
        </w:rPr>
        <w:t xml:space="preserve">Act and Rules </w:t>
      </w:r>
      <w:r w:rsidRPr="001917E2">
        <w:rPr>
          <w:rFonts w:ascii="Candara" w:eastAsia="Candara" w:hAnsi="Candara" w:cs="Candara"/>
          <w:bCs/>
          <w:sz w:val="24"/>
          <w:szCs w:val="24"/>
          <w:lang w:val="en-US"/>
        </w:rPr>
        <w:t>(</w:t>
      </w:r>
      <w:r>
        <w:rPr>
          <w:rFonts w:ascii="Candara" w:eastAsia="Candara" w:hAnsi="Candara" w:cs="Candara"/>
          <w:bCs/>
          <w:sz w:val="24"/>
          <w:szCs w:val="24"/>
          <w:lang w:val="en-US"/>
        </w:rPr>
        <w:t>Order 10 rule 1)</w:t>
      </w:r>
      <w:r w:rsidRPr="001917E2">
        <w:rPr>
          <w:rFonts w:ascii="Candara" w:eastAsia="Candara" w:hAnsi="Candara" w:cs="Candara"/>
          <w:bCs/>
          <w:sz w:val="24"/>
          <w:szCs w:val="24"/>
          <w:lang w:val="en-US"/>
        </w:rPr>
        <w:t>, The Constitution of Kenya 2010</w:t>
      </w:r>
      <w:r>
        <w:rPr>
          <w:rFonts w:ascii="Candara" w:eastAsia="Candara" w:hAnsi="Candara" w:cs="Candara"/>
          <w:bCs/>
          <w:sz w:val="24"/>
          <w:szCs w:val="24"/>
          <w:lang w:val="en-US"/>
        </w:rPr>
        <w:t xml:space="preserve"> (article 100)</w:t>
      </w:r>
      <w:r w:rsidRPr="001917E2">
        <w:rPr>
          <w:rFonts w:ascii="Candara" w:eastAsia="Candara" w:hAnsi="Candara" w:cs="Candara"/>
          <w:bCs/>
          <w:sz w:val="24"/>
          <w:szCs w:val="24"/>
          <w:lang w:val="en-US"/>
        </w:rPr>
        <w:t>, Age of Majority Act (Cap 33), Marriage Act (</w:t>
      </w:r>
      <w:r>
        <w:rPr>
          <w:rFonts w:ascii="Candara" w:eastAsia="Candara" w:hAnsi="Candara" w:cs="Candara"/>
          <w:bCs/>
          <w:sz w:val="24"/>
          <w:szCs w:val="24"/>
          <w:lang w:val="en-US"/>
        </w:rPr>
        <w:t>sections 5(2), 11 and 50)</w:t>
      </w:r>
      <w:r w:rsidRPr="001917E2">
        <w:rPr>
          <w:rFonts w:ascii="Candara" w:eastAsia="Candara" w:hAnsi="Candara" w:cs="Candara"/>
          <w:bCs/>
          <w:sz w:val="24"/>
          <w:szCs w:val="24"/>
          <w:lang w:val="en-US"/>
        </w:rPr>
        <w:t>, Matrimonial Causes Act (No. 49 of 2013), Sale of Goods Act (Cap 31), Law of Succession Act (Cap 160), Traffic Act (Cap 403), Penal Code (Cap 63), Criminal Procedure Code (Cap 75), Sexual Offences Act (Cap 62A), Evidence Act (Cap 80), Election Act (No. 24 of 2011), HIV and AIDS Prevention and Control Act (Cap 246A).</w:t>
      </w:r>
    </w:p>
    <w:p w14:paraId="0308B4DE" w14:textId="125FC6B4" w:rsidR="00555689" w:rsidRPr="00555689" w:rsidRDefault="00555689" w:rsidP="007B5F0A">
      <w:pPr>
        <w:spacing w:line="276" w:lineRule="auto"/>
        <w:jc w:val="both"/>
        <w:rPr>
          <w:rFonts w:ascii="Candara" w:eastAsia="Candara" w:hAnsi="Candara" w:cs="Candara"/>
          <w:b/>
          <w:bCs/>
          <w:sz w:val="24"/>
          <w:szCs w:val="24"/>
          <w:lang w:val="en-GB"/>
        </w:rPr>
      </w:pPr>
      <w:r w:rsidRPr="001917E2">
        <w:rPr>
          <w:rFonts w:ascii="Candara" w:eastAsia="Candara" w:hAnsi="Candara" w:cs="Candara"/>
          <w:b/>
          <w:bCs/>
          <w:sz w:val="24"/>
          <w:szCs w:val="24"/>
          <w:lang w:val="en-GB"/>
        </w:rPr>
        <w:t>Article 13: Access to Justice</w:t>
      </w:r>
    </w:p>
    <w:p w14:paraId="6656FFEE" w14:textId="3063A445" w:rsidR="00555689" w:rsidRDefault="00555689" w:rsidP="007B5F0A">
      <w:p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US"/>
        </w:rPr>
        <w:t>These include the right to fair administrative action;</w:t>
      </w:r>
      <w:r w:rsidRPr="001917E2">
        <w:rPr>
          <w:rFonts w:ascii="Candara" w:eastAsia="Candara" w:hAnsi="Candara" w:cs="Candara"/>
          <w:bCs/>
          <w:sz w:val="24"/>
          <w:szCs w:val="24"/>
          <w:vertAlign w:val="superscript"/>
          <w:lang w:val="en-US"/>
        </w:rPr>
        <w:footnoteReference w:id="14"/>
      </w:r>
      <w:r w:rsidRPr="001917E2">
        <w:rPr>
          <w:rFonts w:ascii="Candara" w:eastAsia="Candara" w:hAnsi="Candara" w:cs="Candara"/>
          <w:bCs/>
          <w:sz w:val="24"/>
          <w:szCs w:val="24"/>
          <w:lang w:val="en-US"/>
        </w:rPr>
        <w:t xml:space="preserve"> rights of arrested persons;</w:t>
      </w:r>
      <w:r w:rsidRPr="001917E2">
        <w:rPr>
          <w:rFonts w:ascii="Candara" w:eastAsia="Candara" w:hAnsi="Candara" w:cs="Candara"/>
          <w:bCs/>
          <w:sz w:val="24"/>
          <w:szCs w:val="24"/>
          <w:vertAlign w:val="superscript"/>
          <w:lang w:val="en-US"/>
        </w:rPr>
        <w:footnoteReference w:id="15"/>
      </w:r>
      <w:r w:rsidRPr="001917E2">
        <w:rPr>
          <w:rFonts w:ascii="Candara" w:eastAsia="Candara" w:hAnsi="Candara" w:cs="Candara"/>
          <w:bCs/>
          <w:sz w:val="24"/>
          <w:szCs w:val="24"/>
          <w:lang w:val="en-US"/>
        </w:rPr>
        <w:t xml:space="preserve"> right to fair hearing;</w:t>
      </w:r>
      <w:r w:rsidRPr="001917E2">
        <w:rPr>
          <w:rFonts w:ascii="Candara" w:eastAsia="Candara" w:hAnsi="Candara" w:cs="Candara"/>
          <w:bCs/>
          <w:sz w:val="24"/>
          <w:szCs w:val="24"/>
          <w:vertAlign w:val="superscript"/>
          <w:lang w:val="en-US"/>
        </w:rPr>
        <w:footnoteReference w:id="16"/>
      </w:r>
      <w:r w:rsidRPr="001917E2">
        <w:rPr>
          <w:rFonts w:ascii="Candara" w:eastAsia="Candara" w:hAnsi="Candara" w:cs="Candara"/>
          <w:bCs/>
          <w:sz w:val="24"/>
          <w:szCs w:val="24"/>
          <w:lang w:val="en-US"/>
        </w:rPr>
        <w:t xml:space="preserve"> and rights of persons detained, held in custody, or imprisoned.</w:t>
      </w:r>
      <w:r w:rsidRPr="001917E2">
        <w:rPr>
          <w:rFonts w:ascii="Candara" w:eastAsia="Candara" w:hAnsi="Candara" w:cs="Candara"/>
          <w:bCs/>
          <w:sz w:val="24"/>
          <w:szCs w:val="24"/>
          <w:vertAlign w:val="superscript"/>
          <w:lang w:val="en-US"/>
        </w:rPr>
        <w:footnoteReference w:id="17"/>
      </w:r>
      <w:r w:rsidRPr="001917E2">
        <w:rPr>
          <w:rFonts w:ascii="Candara" w:eastAsia="Candara" w:hAnsi="Candara" w:cs="Candara"/>
          <w:bCs/>
          <w:sz w:val="24"/>
          <w:szCs w:val="24"/>
          <w:lang w:val="en-US"/>
        </w:rPr>
        <w:t xml:space="preserve"> Article 49 (1) (c) and 50 (7) require the provision of legal aid and intermediaries respectively, to aid all accused persons. The Persons with Disabilities Act, on section 38, requires the development of rules and regulations to provide for free legal services for persons with disabilities, to exempt persons with disabilities from paying legal fees, and to recognize the provision of free sign language interpretation, Braille services and physical assistance in court.</w:t>
      </w:r>
    </w:p>
    <w:p w14:paraId="4EF49F7A" w14:textId="252E567E" w:rsidR="00A73954" w:rsidRPr="001917E2" w:rsidRDefault="00A73954" w:rsidP="007B5F0A">
      <w:pPr>
        <w:spacing w:line="276" w:lineRule="auto"/>
        <w:jc w:val="both"/>
        <w:rPr>
          <w:rFonts w:ascii="Candara" w:eastAsia="Candara" w:hAnsi="Candara" w:cs="Candara"/>
          <w:bCs/>
          <w:sz w:val="24"/>
          <w:szCs w:val="24"/>
          <w:lang w:val="en-US"/>
        </w:rPr>
      </w:pPr>
      <w:r w:rsidRPr="001917E2">
        <w:rPr>
          <w:rFonts w:ascii="Candara" w:eastAsia="Candara" w:hAnsi="Candara" w:cs="Candara"/>
          <w:bCs/>
          <w:sz w:val="24"/>
          <w:szCs w:val="24"/>
          <w:lang w:val="en-US"/>
        </w:rPr>
        <w:t xml:space="preserve">For example, the Criminal Procedure Code requires the mental assessment of accused persons with intellectual and psychosocial disabilities, which often leads to institutionalization to mental health institutions. These procedures contravene the CRPD which requires a support needs assessment. In addition, these instruments use derogatory </w:t>
      </w:r>
      <w:r w:rsidRPr="001917E2">
        <w:rPr>
          <w:rFonts w:ascii="Candara" w:eastAsia="Candara" w:hAnsi="Candara" w:cs="Candara"/>
          <w:bCs/>
          <w:sz w:val="24"/>
          <w:szCs w:val="24"/>
          <w:lang w:val="en-US"/>
        </w:rPr>
        <w:lastRenderedPageBreak/>
        <w:t>terms, such as ‘persons of unsound mind’,</w:t>
      </w:r>
      <w:r w:rsidRPr="001917E2">
        <w:rPr>
          <w:rFonts w:ascii="Candara" w:eastAsia="Candara" w:hAnsi="Candara" w:cs="Candara"/>
          <w:bCs/>
          <w:sz w:val="24"/>
          <w:szCs w:val="24"/>
          <w:vertAlign w:val="superscript"/>
          <w:lang w:val="en-US"/>
        </w:rPr>
        <w:footnoteReference w:id="18"/>
      </w:r>
      <w:r w:rsidRPr="001917E2">
        <w:rPr>
          <w:rFonts w:ascii="Candara" w:eastAsia="Candara" w:hAnsi="Candara" w:cs="Candara"/>
          <w:bCs/>
          <w:sz w:val="24"/>
          <w:szCs w:val="24"/>
          <w:lang w:val="en-US"/>
        </w:rPr>
        <w:t xml:space="preserve"> ‘idiots and imbeciles’,</w:t>
      </w:r>
      <w:r w:rsidRPr="001917E2">
        <w:rPr>
          <w:rFonts w:ascii="Candara" w:eastAsia="Candara" w:hAnsi="Candara" w:cs="Candara"/>
          <w:bCs/>
          <w:sz w:val="24"/>
          <w:szCs w:val="24"/>
          <w:vertAlign w:val="superscript"/>
          <w:lang w:val="en-US"/>
        </w:rPr>
        <w:footnoteReference w:id="19"/>
      </w:r>
      <w:r w:rsidRPr="001917E2">
        <w:rPr>
          <w:rFonts w:ascii="Candara" w:eastAsia="Candara" w:hAnsi="Candara" w:cs="Candara"/>
          <w:bCs/>
          <w:sz w:val="24"/>
          <w:szCs w:val="24"/>
          <w:lang w:val="en-US"/>
        </w:rPr>
        <w:t xml:space="preserve"> and ‘</w:t>
      </w:r>
      <w:r w:rsidR="00D576F1">
        <w:rPr>
          <w:rFonts w:ascii="Candara" w:eastAsia="Candara" w:hAnsi="Candara" w:cs="Candara"/>
          <w:bCs/>
          <w:sz w:val="24"/>
          <w:szCs w:val="24"/>
          <w:lang w:val="en-US"/>
        </w:rPr>
        <w:t>d</w:t>
      </w:r>
      <w:r w:rsidRPr="001917E2">
        <w:rPr>
          <w:rFonts w:ascii="Candara" w:eastAsia="Candara" w:hAnsi="Candara" w:cs="Candara"/>
          <w:bCs/>
          <w:sz w:val="24"/>
          <w:szCs w:val="24"/>
          <w:lang w:val="en-US"/>
        </w:rPr>
        <w:t>umb’,</w:t>
      </w:r>
      <w:r w:rsidRPr="001917E2">
        <w:rPr>
          <w:rFonts w:ascii="Candara" w:eastAsia="Candara" w:hAnsi="Candara" w:cs="Candara"/>
          <w:bCs/>
          <w:sz w:val="24"/>
          <w:szCs w:val="24"/>
          <w:vertAlign w:val="superscript"/>
          <w:lang w:val="en-US"/>
        </w:rPr>
        <w:footnoteReference w:id="20"/>
      </w:r>
      <w:r w:rsidRPr="001917E2">
        <w:rPr>
          <w:rFonts w:ascii="Candara" w:eastAsia="Candara" w:hAnsi="Candara" w:cs="Candara"/>
          <w:bCs/>
          <w:sz w:val="24"/>
          <w:szCs w:val="24"/>
          <w:lang w:val="en-US"/>
        </w:rPr>
        <w:t xml:space="preserve"> ‘lunatics’,</w:t>
      </w:r>
      <w:r w:rsidRPr="001917E2">
        <w:rPr>
          <w:rFonts w:ascii="Candara" w:eastAsia="Candara" w:hAnsi="Candara" w:cs="Candara"/>
          <w:bCs/>
          <w:sz w:val="24"/>
          <w:szCs w:val="24"/>
          <w:vertAlign w:val="superscript"/>
          <w:lang w:val="en-US"/>
        </w:rPr>
        <w:footnoteReference w:id="21"/>
      </w:r>
      <w:r w:rsidRPr="001917E2">
        <w:rPr>
          <w:rFonts w:ascii="Candara" w:eastAsia="Candara" w:hAnsi="Candara" w:cs="Candara"/>
          <w:bCs/>
          <w:sz w:val="24"/>
          <w:szCs w:val="24"/>
          <w:lang w:val="en-US"/>
        </w:rPr>
        <w:t xml:space="preserve"> to refer to persons with disabilities. The provisions that prescribed </w:t>
      </w:r>
      <w:bookmarkStart w:id="2" w:name="_Hlk138850794"/>
      <w:r w:rsidRPr="001917E2">
        <w:rPr>
          <w:rFonts w:ascii="Candara" w:eastAsia="Candara" w:hAnsi="Candara" w:cs="Candara"/>
          <w:bCs/>
          <w:sz w:val="24"/>
          <w:szCs w:val="24"/>
          <w:lang w:val="en-US"/>
        </w:rPr>
        <w:t xml:space="preserve">detention in a mental hospital at the mercy of the president </w:t>
      </w:r>
      <w:bookmarkEnd w:id="2"/>
      <w:r w:rsidRPr="001917E2">
        <w:rPr>
          <w:rFonts w:ascii="Candara" w:eastAsia="Candara" w:hAnsi="Candara" w:cs="Candara"/>
          <w:bCs/>
          <w:sz w:val="24"/>
          <w:szCs w:val="24"/>
          <w:lang w:val="en-US"/>
        </w:rPr>
        <w:t xml:space="preserve">were declared unconstitutional by the High Court in </w:t>
      </w:r>
      <w:r w:rsidRPr="00F42C59">
        <w:rPr>
          <w:rFonts w:ascii="Candara" w:eastAsia="Candara" w:hAnsi="Candara" w:cs="Candara"/>
          <w:bCs/>
          <w:i/>
          <w:iCs/>
          <w:sz w:val="24"/>
          <w:szCs w:val="24"/>
        </w:rPr>
        <w:t>Isaac Ndegwa Kimaru &amp; 17 others v Attorney General &amp; another; Kenya National Human Rights and Equality Commission (Interested Party) [2022] eKLR</w:t>
      </w:r>
      <w:r>
        <w:rPr>
          <w:rFonts w:ascii="Candara" w:eastAsia="Candara" w:hAnsi="Candara" w:cs="Candara"/>
          <w:bCs/>
          <w:i/>
          <w:iCs/>
          <w:sz w:val="24"/>
          <w:szCs w:val="24"/>
          <w:lang w:val="en-US"/>
        </w:rPr>
        <w:t>.</w:t>
      </w:r>
      <w:r w:rsidRPr="001917E2">
        <w:rPr>
          <w:rFonts w:ascii="Candara" w:eastAsia="Candara" w:hAnsi="Candara" w:cs="Candara"/>
          <w:bCs/>
          <w:sz w:val="24"/>
          <w:szCs w:val="24"/>
          <w:vertAlign w:val="superscript"/>
          <w:lang w:val="en-US"/>
        </w:rPr>
        <w:footnoteReference w:id="22"/>
      </w:r>
      <w:r w:rsidRPr="001917E2">
        <w:rPr>
          <w:rFonts w:ascii="Candara" w:eastAsia="Candara" w:hAnsi="Candara" w:cs="Candara"/>
          <w:bCs/>
          <w:sz w:val="24"/>
          <w:szCs w:val="24"/>
          <w:lang w:val="en-US"/>
        </w:rPr>
        <w:t xml:space="preserve"> </w:t>
      </w:r>
      <w:r>
        <w:rPr>
          <w:rFonts w:ascii="Candara" w:eastAsia="Candara" w:hAnsi="Candara" w:cs="Candara"/>
          <w:bCs/>
          <w:sz w:val="24"/>
          <w:szCs w:val="24"/>
          <w:lang w:val="en-US"/>
        </w:rPr>
        <w:t xml:space="preserve">A detailed analysis of the interaction between mental health and the criminal justice system </w:t>
      </w:r>
      <w:r w:rsidRPr="001917E2">
        <w:rPr>
          <w:rFonts w:ascii="Candara" w:eastAsia="Candara" w:hAnsi="Candara" w:cs="Candara"/>
          <w:bCs/>
          <w:sz w:val="24"/>
          <w:szCs w:val="24"/>
          <w:lang w:val="en-US"/>
        </w:rPr>
        <w:t>in</w:t>
      </w:r>
      <w:r>
        <w:rPr>
          <w:rFonts w:ascii="Candara" w:eastAsia="Candara" w:hAnsi="Candara" w:cs="Candara"/>
          <w:bCs/>
          <w:sz w:val="24"/>
          <w:szCs w:val="24"/>
          <w:lang w:val="en-US"/>
        </w:rPr>
        <w:t xml:space="preserve"> Kenya has been provided in a recent publication by the Kabarak University Press.</w:t>
      </w:r>
      <w:r>
        <w:rPr>
          <w:rStyle w:val="FootnoteReference"/>
          <w:rFonts w:ascii="Candara" w:eastAsia="Candara" w:hAnsi="Candara" w:cs="Candara"/>
          <w:bCs/>
          <w:sz w:val="24"/>
          <w:szCs w:val="24"/>
          <w:lang w:val="en-US"/>
        </w:rPr>
        <w:footnoteReference w:id="23"/>
      </w:r>
    </w:p>
    <w:p w14:paraId="63491339" w14:textId="74F0EF05" w:rsidR="009C428C" w:rsidRPr="009C428C" w:rsidRDefault="00A73954" w:rsidP="007B5F0A">
      <w:pPr>
        <w:spacing w:line="276" w:lineRule="auto"/>
        <w:jc w:val="both"/>
        <w:rPr>
          <w:rFonts w:ascii="Candara" w:eastAsia="Candara" w:hAnsi="Candara" w:cs="Candara"/>
          <w:bCs/>
          <w:sz w:val="24"/>
          <w:szCs w:val="24"/>
          <w:lang w:val="en-GB"/>
        </w:rPr>
      </w:pPr>
      <w:r w:rsidRPr="001917E2">
        <w:rPr>
          <w:rFonts w:ascii="Candara" w:eastAsia="Candara" w:hAnsi="Candara" w:cs="Candara"/>
          <w:b/>
          <w:bCs/>
          <w:sz w:val="24"/>
          <w:szCs w:val="24"/>
          <w:lang w:val="en-GB"/>
        </w:rPr>
        <w:t>Article 14: Liberty and security of Person</w:t>
      </w:r>
    </w:p>
    <w:p w14:paraId="5BF550FE" w14:textId="562E79A7" w:rsidR="00A73954" w:rsidRDefault="00A73954" w:rsidP="007B5F0A">
      <w:pPr>
        <w:spacing w:line="276" w:lineRule="auto"/>
        <w:jc w:val="both"/>
        <w:rPr>
          <w:rFonts w:ascii="Candara" w:hAnsi="Candara"/>
          <w:sz w:val="24"/>
          <w:szCs w:val="24"/>
        </w:rPr>
      </w:pPr>
      <w:r w:rsidRPr="004B5468">
        <w:rPr>
          <w:rFonts w:ascii="Candara" w:hAnsi="Candara"/>
          <w:sz w:val="24"/>
          <w:szCs w:val="24"/>
        </w:rPr>
        <w:t>The Section allows for the involuntary admission of a person for a period not exceeding six months, which can be extended for a further indeterminate period upon getting the consent of that person’s supporter, representative or guardian (in case of a minor).</w:t>
      </w:r>
    </w:p>
    <w:p w14:paraId="4FFDD728" w14:textId="4E15D808" w:rsidR="009C428C" w:rsidRPr="009C428C" w:rsidRDefault="009C428C" w:rsidP="007B5F0A">
      <w:pPr>
        <w:spacing w:line="276" w:lineRule="auto"/>
        <w:jc w:val="both"/>
        <w:rPr>
          <w:rFonts w:ascii="Candara" w:eastAsia="Candara" w:hAnsi="Candara" w:cs="Candara"/>
          <w:bCs/>
          <w:sz w:val="24"/>
          <w:szCs w:val="24"/>
          <w:lang w:val="en-US"/>
        </w:rPr>
      </w:pPr>
      <w:r w:rsidRPr="004B5468">
        <w:rPr>
          <w:rFonts w:ascii="Candara" w:eastAsia="Candara" w:hAnsi="Candara" w:cs="Candara"/>
          <w:bCs/>
          <w:sz w:val="24"/>
          <w:szCs w:val="24"/>
          <w:lang w:val="en-GB"/>
        </w:rPr>
        <w:t xml:space="preserve">There have been recent media reports of persons with psychosocial disabilities chained within religious institutions to undergo ‘treatment’. </w:t>
      </w:r>
      <w:r w:rsidRPr="004B5468">
        <w:rPr>
          <w:rFonts w:ascii="Candara" w:eastAsia="Candara" w:hAnsi="Candara" w:cs="Candara"/>
          <w:bCs/>
          <w:sz w:val="24"/>
          <w:szCs w:val="24"/>
          <w:lang w:val="en-US"/>
        </w:rPr>
        <w:t>The Kenya National Commission on Human Rights</w:t>
      </w:r>
      <w:r w:rsidRPr="004B5468">
        <w:rPr>
          <w:rFonts w:ascii="Candara" w:eastAsia="Candara" w:hAnsi="Candara" w:cs="Candara"/>
          <w:bCs/>
          <w:sz w:val="24"/>
          <w:szCs w:val="24"/>
          <w:vertAlign w:val="superscript"/>
          <w:lang w:val="en-US"/>
        </w:rPr>
        <w:footnoteReference w:id="24"/>
      </w:r>
      <w:r w:rsidRPr="004B5468">
        <w:rPr>
          <w:rFonts w:ascii="Candara" w:eastAsia="Candara" w:hAnsi="Candara" w:cs="Candara"/>
          <w:bCs/>
          <w:sz w:val="24"/>
          <w:szCs w:val="24"/>
          <w:lang w:val="en-US"/>
        </w:rPr>
        <w:t>, called for the arrest and prosecution of the Holy Ghost Coptic Church of Africa cleric Father John Pesa for illegally chaining persons with psychosocial disability in deplorable conditions. The County Government of Kisumu also sued the church and although the petition to demolish the institution was dismissed. </w:t>
      </w:r>
    </w:p>
    <w:p w14:paraId="5E97100A" w14:textId="012474BD" w:rsidR="00A73954" w:rsidRPr="00A73954" w:rsidRDefault="00A73954" w:rsidP="007B5F0A">
      <w:pPr>
        <w:spacing w:line="276" w:lineRule="auto"/>
        <w:jc w:val="both"/>
        <w:rPr>
          <w:rFonts w:ascii="Candara" w:eastAsia="Candara" w:hAnsi="Candara" w:cs="Candara"/>
          <w:b/>
          <w:bCs/>
          <w:sz w:val="24"/>
          <w:szCs w:val="24"/>
          <w:lang w:val="en-GB"/>
        </w:rPr>
      </w:pPr>
      <w:r w:rsidRPr="00A87A9C">
        <w:rPr>
          <w:rFonts w:ascii="Candara" w:eastAsia="Candara" w:hAnsi="Candara" w:cs="Candara"/>
          <w:b/>
          <w:bCs/>
          <w:sz w:val="24"/>
          <w:szCs w:val="24"/>
          <w:lang w:val="en-GB"/>
        </w:rPr>
        <w:t>Article 15: Freedom from torture or cruel, inhuman, or degrading treatment or punishment</w:t>
      </w:r>
    </w:p>
    <w:p w14:paraId="55D35B58" w14:textId="179B55B9" w:rsidR="00A73954" w:rsidRDefault="00A73954" w:rsidP="007B5F0A">
      <w:pPr>
        <w:spacing w:line="276" w:lineRule="auto"/>
        <w:jc w:val="both"/>
        <w:rPr>
          <w:rFonts w:ascii="Candara" w:eastAsia="Candara" w:hAnsi="Candara" w:cs="Candara"/>
          <w:bCs/>
          <w:sz w:val="24"/>
          <w:szCs w:val="24"/>
          <w:lang w:val="en-GB"/>
        </w:rPr>
      </w:pPr>
      <w:r w:rsidRPr="00F847DF">
        <w:rPr>
          <w:rFonts w:ascii="Candara" w:eastAsia="Candara" w:hAnsi="Candara" w:cs="Candara"/>
          <w:sz w:val="24"/>
          <w:szCs w:val="24"/>
          <w:lang w:val="en-GB"/>
        </w:rPr>
        <w:t>They are exposed to a life full of torture as they are subjected to other person’s decisions</w:t>
      </w:r>
      <w:r>
        <w:rPr>
          <w:rFonts w:ascii="Candara" w:eastAsia="Candara" w:hAnsi="Candara" w:cs="Candara"/>
          <w:sz w:val="24"/>
          <w:szCs w:val="24"/>
          <w:lang w:val="en-GB"/>
        </w:rPr>
        <w:t>,</w:t>
      </w:r>
      <w:r w:rsidRPr="00C25776">
        <w:rPr>
          <w:rFonts w:ascii="Candara" w:eastAsia="Candara" w:hAnsi="Candara" w:cs="Candara"/>
          <w:sz w:val="24"/>
          <w:szCs w:val="24"/>
          <w:lang w:val="en-GB"/>
        </w:rPr>
        <w:t xml:space="preserve"> denied the right to choose where and whom they live with, experience heightened rates of violence and abuse in the community, and are denied access to employment and finance</w:t>
      </w:r>
      <w:r>
        <w:rPr>
          <w:rFonts w:ascii="Candara" w:eastAsia="Candara" w:hAnsi="Candara" w:cs="Candara"/>
          <w:sz w:val="24"/>
          <w:szCs w:val="24"/>
          <w:lang w:val="en-GB"/>
        </w:rPr>
        <w:t xml:space="preserve">. </w:t>
      </w:r>
      <w:r w:rsidRPr="00F847DF">
        <w:rPr>
          <w:rFonts w:ascii="Candara" w:eastAsia="Candara" w:hAnsi="Candara" w:cs="Candara"/>
          <w:sz w:val="24"/>
          <w:szCs w:val="24"/>
          <w:lang w:val="en-GB"/>
        </w:rPr>
        <w:t>Those with high support requirements are not conscious of their rights as their caregivers deny them such knowledge</w:t>
      </w:r>
      <w:r>
        <w:rPr>
          <w:rFonts w:ascii="Candara" w:eastAsia="Candara" w:hAnsi="Candara" w:cs="Candara"/>
          <w:sz w:val="24"/>
          <w:szCs w:val="24"/>
          <w:lang w:val="en-GB"/>
        </w:rPr>
        <w:t xml:space="preserve">. </w:t>
      </w:r>
      <w:r w:rsidRPr="00E5079C">
        <w:rPr>
          <w:rFonts w:ascii="Candara" w:eastAsia="Candara" w:hAnsi="Candara" w:cs="Candara"/>
          <w:bCs/>
          <w:sz w:val="24"/>
          <w:szCs w:val="24"/>
          <w:lang w:val="en-GB"/>
        </w:rPr>
        <w:t>Further to this, medical professionals will also administer forced treatment within the home setup.</w:t>
      </w:r>
    </w:p>
    <w:p w14:paraId="26CD2432" w14:textId="26F25A52" w:rsidR="00A73954" w:rsidRDefault="00A73954" w:rsidP="007B5F0A">
      <w:pPr>
        <w:spacing w:line="276" w:lineRule="auto"/>
        <w:jc w:val="both"/>
        <w:rPr>
          <w:rFonts w:ascii="Candara" w:eastAsia="Candara" w:hAnsi="Candara" w:cs="Candara"/>
          <w:b/>
          <w:sz w:val="24"/>
          <w:szCs w:val="24"/>
        </w:rPr>
      </w:pPr>
      <w:r w:rsidRPr="00865456">
        <w:rPr>
          <w:rFonts w:ascii="Candara" w:eastAsia="Candara" w:hAnsi="Candara" w:cs="Candara"/>
          <w:sz w:val="24"/>
          <w:szCs w:val="24"/>
        </w:rPr>
        <w:t xml:space="preserve">Investment </w:t>
      </w:r>
      <w:r>
        <w:rPr>
          <w:rFonts w:ascii="Candara" w:eastAsia="Candara" w:hAnsi="Candara" w:cs="Candara"/>
          <w:sz w:val="24"/>
          <w:szCs w:val="24"/>
          <w:lang w:val="en-US"/>
        </w:rPr>
        <w:t>focuses o</w:t>
      </w:r>
      <w:r w:rsidRPr="00865456">
        <w:rPr>
          <w:rFonts w:ascii="Candara" w:eastAsia="Candara" w:hAnsi="Candara" w:cs="Candara"/>
          <w:sz w:val="24"/>
          <w:szCs w:val="24"/>
        </w:rPr>
        <w:t>n excessive biomedical interventions, including psychotropic medications</w:t>
      </w:r>
      <w:r>
        <w:rPr>
          <w:rFonts w:ascii="Candara" w:eastAsia="Candara" w:hAnsi="Candara" w:cs="Candara"/>
          <w:sz w:val="24"/>
          <w:szCs w:val="24"/>
          <w:lang w:val="en-US"/>
        </w:rPr>
        <w:t xml:space="preserve"> with no focus on</w:t>
      </w:r>
      <w:r w:rsidRPr="00865456">
        <w:rPr>
          <w:rFonts w:ascii="Candara" w:eastAsia="Candara" w:hAnsi="Candara" w:cs="Candara"/>
          <w:sz w:val="24"/>
          <w:szCs w:val="24"/>
        </w:rPr>
        <w:t xml:space="preserve"> community based mental health services that are compliant with the Convention</w:t>
      </w:r>
      <w:r>
        <w:rPr>
          <w:rStyle w:val="FootnoteReference"/>
          <w:rFonts w:ascii="Candara" w:eastAsia="Candara" w:hAnsi="Candara" w:cs="Candara"/>
          <w:sz w:val="24"/>
          <w:szCs w:val="24"/>
        </w:rPr>
        <w:footnoteReference w:id="25"/>
      </w:r>
      <w:r w:rsidRPr="00865456">
        <w:rPr>
          <w:rFonts w:ascii="Candara" w:eastAsia="Candara" w:hAnsi="Candara" w:cs="Candara"/>
          <w:sz w:val="24"/>
          <w:szCs w:val="24"/>
        </w:rPr>
        <w:t>.</w:t>
      </w:r>
      <w:r w:rsidRPr="00865456">
        <w:t xml:space="preserve"> </w:t>
      </w:r>
      <w:r w:rsidRPr="00865456">
        <w:rPr>
          <w:rFonts w:ascii="Candara" w:eastAsia="Candara" w:hAnsi="Candara" w:cs="Candara"/>
          <w:sz w:val="24"/>
          <w:szCs w:val="24"/>
        </w:rPr>
        <w:t>The</w:t>
      </w:r>
      <w:r>
        <w:rPr>
          <w:rFonts w:ascii="Candara" w:eastAsia="Candara" w:hAnsi="Candara" w:cs="Candara"/>
          <w:sz w:val="24"/>
          <w:szCs w:val="24"/>
          <w:lang w:val="en-US"/>
        </w:rPr>
        <w:t>se</w:t>
      </w:r>
      <w:r w:rsidRPr="00865456">
        <w:rPr>
          <w:rFonts w:ascii="Candara" w:eastAsia="Candara" w:hAnsi="Candara" w:cs="Candara"/>
          <w:sz w:val="24"/>
          <w:szCs w:val="24"/>
        </w:rPr>
        <w:t xml:space="preserve"> services are offered in an inpatient setting under deplorable </w:t>
      </w:r>
      <w:r w:rsidRPr="00865456">
        <w:rPr>
          <w:rFonts w:ascii="Candara" w:eastAsia="Candara" w:hAnsi="Candara" w:cs="Candara"/>
          <w:sz w:val="24"/>
          <w:szCs w:val="24"/>
        </w:rPr>
        <w:lastRenderedPageBreak/>
        <w:t>conditions that violate their right to freedom from inhuman and degrading treatment, and other rights</w:t>
      </w:r>
      <w:r>
        <w:rPr>
          <w:rStyle w:val="FootnoteReference"/>
          <w:rFonts w:ascii="Candara" w:eastAsia="Candara" w:hAnsi="Candara" w:cs="Candara"/>
          <w:sz w:val="24"/>
          <w:szCs w:val="24"/>
        </w:rPr>
        <w:footnoteReference w:id="26"/>
      </w:r>
      <w:r>
        <w:rPr>
          <w:rFonts w:ascii="Candara" w:eastAsia="Candara" w:hAnsi="Candara" w:cs="Candara"/>
          <w:sz w:val="24"/>
          <w:szCs w:val="24"/>
          <w:lang w:val="en-US"/>
        </w:rPr>
        <w:t>.</w:t>
      </w:r>
      <w:r w:rsidRPr="00DC081A">
        <w:t xml:space="preserve"> </w:t>
      </w:r>
      <w:r w:rsidRPr="00DC081A">
        <w:rPr>
          <w:rFonts w:ascii="Candara" w:eastAsia="Candara" w:hAnsi="Candara" w:cs="Candara"/>
          <w:sz w:val="24"/>
          <w:szCs w:val="24"/>
        </w:rPr>
        <w:t xml:space="preserve">Medical staff and non-medical staff </w:t>
      </w:r>
      <w:r>
        <w:rPr>
          <w:rFonts w:ascii="Candara" w:eastAsia="Candara" w:hAnsi="Candara" w:cs="Candara"/>
          <w:sz w:val="24"/>
          <w:szCs w:val="24"/>
          <w:lang w:val="en-US"/>
        </w:rPr>
        <w:t>lack</w:t>
      </w:r>
      <w:r w:rsidRPr="00DC081A">
        <w:rPr>
          <w:rFonts w:ascii="Candara" w:eastAsia="Candara" w:hAnsi="Candara" w:cs="Candara"/>
          <w:sz w:val="24"/>
          <w:szCs w:val="24"/>
        </w:rPr>
        <w:t xml:space="preserve"> knowledge on de-escalation techniques, which help to decrease the emotional, physical, and mental stress levels of a situation, </w:t>
      </w:r>
      <w:r>
        <w:rPr>
          <w:rFonts w:ascii="Candara" w:eastAsia="Candara" w:hAnsi="Candara" w:cs="Candara"/>
          <w:sz w:val="24"/>
          <w:szCs w:val="24"/>
          <w:lang w:val="en-US"/>
        </w:rPr>
        <w:t>instead resorting to</w:t>
      </w:r>
      <w:r w:rsidRPr="00DC081A">
        <w:rPr>
          <w:rFonts w:ascii="Candara" w:eastAsia="Candara" w:hAnsi="Candara" w:cs="Candara"/>
          <w:sz w:val="24"/>
          <w:szCs w:val="24"/>
        </w:rPr>
        <w:t xml:space="preserve"> use of force in treatment or in resolving inter-personal conflict between patients and staff and among patients</w:t>
      </w:r>
      <w:r>
        <w:rPr>
          <w:rStyle w:val="FootnoteReference"/>
          <w:rFonts w:ascii="Candara" w:eastAsia="Candara" w:hAnsi="Candara" w:cs="Candara"/>
          <w:sz w:val="24"/>
          <w:szCs w:val="24"/>
        </w:rPr>
        <w:footnoteReference w:id="27"/>
      </w:r>
      <w:r w:rsidRPr="00DC081A">
        <w:rPr>
          <w:rFonts w:ascii="Candara" w:eastAsia="Candara" w:hAnsi="Candara" w:cs="Candara"/>
          <w:sz w:val="24"/>
          <w:szCs w:val="24"/>
        </w:rPr>
        <w:t xml:space="preserve">. Alternative methods of handling service users in acute state </w:t>
      </w:r>
      <w:r>
        <w:rPr>
          <w:rFonts w:ascii="Candara" w:eastAsia="Candara" w:hAnsi="Candara" w:cs="Candara"/>
          <w:sz w:val="24"/>
          <w:szCs w:val="24"/>
          <w:lang w:val="en-US"/>
        </w:rPr>
        <w:t>a</w:t>
      </w:r>
      <w:r w:rsidRPr="00DC081A">
        <w:rPr>
          <w:rFonts w:ascii="Candara" w:eastAsia="Candara" w:hAnsi="Candara" w:cs="Candara"/>
          <w:sz w:val="24"/>
          <w:szCs w:val="24"/>
        </w:rPr>
        <w:t>re not available; instead, staff use seclusion and chemical restraint</w:t>
      </w:r>
      <w:r>
        <w:rPr>
          <w:rFonts w:ascii="Candara" w:eastAsia="Candara" w:hAnsi="Candara" w:cs="Candara"/>
          <w:sz w:val="24"/>
          <w:szCs w:val="24"/>
          <w:lang w:val="en-US"/>
        </w:rPr>
        <w:t>, and the facilities do</w:t>
      </w:r>
      <w:r w:rsidRPr="00DC081A">
        <w:rPr>
          <w:rFonts w:ascii="Candara" w:eastAsia="Candara" w:hAnsi="Candara" w:cs="Candara"/>
          <w:sz w:val="24"/>
          <w:szCs w:val="24"/>
        </w:rPr>
        <w:t xml:space="preserve"> not record instances of use of seclusion and restraints (such as type and duration), and these </w:t>
      </w:r>
      <w:r>
        <w:rPr>
          <w:rFonts w:ascii="Candara" w:eastAsia="Candara" w:hAnsi="Candara" w:cs="Candara"/>
          <w:sz w:val="24"/>
          <w:szCs w:val="24"/>
          <w:lang w:val="en-US"/>
        </w:rPr>
        <w:t xml:space="preserve">are not </w:t>
      </w:r>
      <w:r w:rsidRPr="00DC081A">
        <w:rPr>
          <w:rFonts w:ascii="Candara" w:eastAsia="Candara" w:hAnsi="Candara" w:cs="Candara"/>
          <w:sz w:val="24"/>
          <w:szCs w:val="24"/>
        </w:rPr>
        <w:t>reported to any external body</w:t>
      </w:r>
      <w:r>
        <w:rPr>
          <w:rStyle w:val="FootnoteReference"/>
          <w:rFonts w:ascii="Candara" w:eastAsia="Candara" w:hAnsi="Candara" w:cs="Candara"/>
          <w:sz w:val="24"/>
          <w:szCs w:val="24"/>
        </w:rPr>
        <w:footnoteReference w:id="28"/>
      </w:r>
      <w:r>
        <w:rPr>
          <w:rFonts w:ascii="Candara" w:eastAsia="Candara" w:hAnsi="Candara" w:cs="Candara"/>
          <w:sz w:val="24"/>
          <w:szCs w:val="24"/>
          <w:lang w:val="en-US"/>
        </w:rPr>
        <w:t>. S</w:t>
      </w:r>
      <w:r w:rsidRPr="00447EAB">
        <w:rPr>
          <w:rFonts w:ascii="Candara" w:eastAsia="Candara" w:hAnsi="Candara" w:cs="Candara"/>
          <w:sz w:val="24"/>
          <w:szCs w:val="24"/>
        </w:rPr>
        <w:t xml:space="preserve">ome forms of therapy, including electroconvulsive therapy </w:t>
      </w:r>
      <w:r>
        <w:rPr>
          <w:rFonts w:ascii="Candara" w:eastAsia="Candara" w:hAnsi="Candara" w:cs="Candara"/>
          <w:sz w:val="24"/>
          <w:szCs w:val="24"/>
          <w:lang w:val="en-US"/>
        </w:rPr>
        <w:t>are also</w:t>
      </w:r>
      <w:r w:rsidRPr="00447EAB">
        <w:rPr>
          <w:rFonts w:ascii="Candara" w:eastAsia="Candara" w:hAnsi="Candara" w:cs="Candara"/>
          <w:sz w:val="24"/>
          <w:szCs w:val="24"/>
        </w:rPr>
        <w:t xml:space="preserve"> administered without the free and informed consent of service users</w:t>
      </w:r>
      <w:r>
        <w:rPr>
          <w:rStyle w:val="FootnoteReference"/>
          <w:rFonts w:ascii="Candara" w:eastAsia="Candara" w:hAnsi="Candara" w:cs="Candara"/>
          <w:sz w:val="24"/>
          <w:szCs w:val="24"/>
        </w:rPr>
        <w:footnoteReference w:id="29"/>
      </w:r>
      <w:r w:rsidRPr="00447EAB">
        <w:rPr>
          <w:rFonts w:ascii="Candara" w:eastAsia="Candara" w:hAnsi="Candara" w:cs="Candara"/>
          <w:sz w:val="24"/>
          <w:szCs w:val="24"/>
        </w:rPr>
        <w:t>.</w:t>
      </w:r>
    </w:p>
    <w:p w14:paraId="0EA9372E" w14:textId="2AFD0835" w:rsidR="00E71025" w:rsidRPr="004B5468" w:rsidRDefault="00E71025" w:rsidP="007B5F0A">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GB"/>
        </w:rPr>
        <w:t>F</w:t>
      </w:r>
      <w:r w:rsidRPr="00892182">
        <w:rPr>
          <w:rFonts w:ascii="Candara" w:eastAsia="Candara" w:hAnsi="Candara" w:cs="Candara"/>
          <w:bCs/>
          <w:sz w:val="24"/>
          <w:szCs w:val="24"/>
          <w:lang w:val="en-GB"/>
        </w:rPr>
        <w:t xml:space="preserve">or instance, </w:t>
      </w:r>
      <w:r w:rsidRPr="00892182">
        <w:rPr>
          <w:rFonts w:ascii="Candara" w:eastAsia="Candara" w:hAnsi="Candara" w:cs="Candara"/>
          <w:bCs/>
          <w:sz w:val="24"/>
          <w:szCs w:val="24"/>
        </w:rPr>
        <w:t>on February 6, 2018 “a man paralysed at birth was shot and severely injured by police as they dispersed a protest on the deportation of lawyer Miguna Miguna at Awasi village</w:t>
      </w:r>
      <w:r w:rsidRPr="00892182">
        <w:rPr>
          <w:rFonts w:ascii="Candara" w:eastAsia="Candara" w:hAnsi="Candara" w:cs="Candara"/>
          <w:bCs/>
          <w:sz w:val="24"/>
          <w:szCs w:val="24"/>
          <w:lang w:val="en-US"/>
        </w:rPr>
        <w:t>”</w:t>
      </w:r>
      <w:r w:rsidRPr="00892182">
        <w:rPr>
          <w:rFonts w:ascii="Candara" w:eastAsia="Candara" w:hAnsi="Candara" w:cs="Candara"/>
          <w:bCs/>
          <w:sz w:val="24"/>
          <w:szCs w:val="24"/>
          <w:vertAlign w:val="superscript"/>
          <w:lang w:val="en-US"/>
        </w:rPr>
        <w:footnoteReference w:id="30"/>
      </w:r>
      <w:r w:rsidRPr="00892182">
        <w:rPr>
          <w:rFonts w:ascii="Candara" w:eastAsia="Candara" w:hAnsi="Candara" w:cs="Candara"/>
          <w:bCs/>
          <w:sz w:val="24"/>
          <w:szCs w:val="24"/>
          <w:lang w:val="en-US"/>
        </w:rPr>
        <w:t xml:space="preserve">. </w:t>
      </w:r>
      <w:r w:rsidRPr="00892182">
        <w:rPr>
          <w:rFonts w:ascii="Candara" w:eastAsia="Candara" w:hAnsi="Candara" w:cs="Candara"/>
          <w:bCs/>
          <w:sz w:val="24"/>
          <w:szCs w:val="24"/>
        </w:rPr>
        <w:t xml:space="preserve">On May 3, 2019 </w:t>
      </w:r>
      <w:r w:rsidRPr="00892182">
        <w:rPr>
          <w:rFonts w:ascii="Candara" w:eastAsia="Candara" w:hAnsi="Candara" w:cs="Candara"/>
          <w:bCs/>
          <w:sz w:val="24"/>
          <w:szCs w:val="24"/>
          <w:lang w:val="en-US"/>
        </w:rPr>
        <w:t>“</w:t>
      </w:r>
      <w:r w:rsidRPr="00892182">
        <w:rPr>
          <w:rFonts w:ascii="Candara" w:eastAsia="Candara" w:hAnsi="Candara" w:cs="Candara"/>
          <w:bCs/>
          <w:sz w:val="24"/>
          <w:szCs w:val="24"/>
        </w:rPr>
        <w:t>the police used excessive force to disperse members of the Kenya Paralympics Team who were holding a sit-in along the Nairobi-Thika Superhighway due to unpaid allowances.</w:t>
      </w:r>
      <w:r w:rsidRPr="00892182">
        <w:rPr>
          <w:rFonts w:ascii="Candara" w:eastAsia="Candara" w:hAnsi="Candara" w:cs="Candara"/>
          <w:bCs/>
          <w:sz w:val="24"/>
          <w:szCs w:val="24"/>
          <w:lang w:val="en-US"/>
        </w:rPr>
        <w:t xml:space="preserve"> </w:t>
      </w:r>
      <w:r w:rsidRPr="00892182">
        <w:rPr>
          <w:rFonts w:ascii="Candara" w:eastAsia="Candara" w:hAnsi="Candara" w:cs="Candara"/>
          <w:bCs/>
          <w:sz w:val="24"/>
          <w:szCs w:val="24"/>
        </w:rPr>
        <w:t>Video footage shows police officers beating them with batons, with one officer -- gun in hand -- seen to roughly handle a protester on a wheelchair.</w:t>
      </w:r>
      <w:r w:rsidRPr="00892182">
        <w:rPr>
          <w:rFonts w:ascii="Candara" w:eastAsia="Candara" w:hAnsi="Candara" w:cs="Candara"/>
          <w:bCs/>
          <w:sz w:val="24"/>
          <w:szCs w:val="24"/>
          <w:lang w:val="en-US"/>
        </w:rPr>
        <w:t>”</w:t>
      </w:r>
      <w:r w:rsidRPr="00892182">
        <w:rPr>
          <w:rFonts w:ascii="Candara" w:eastAsia="Candara" w:hAnsi="Candara" w:cs="Candara"/>
          <w:bCs/>
          <w:sz w:val="24"/>
          <w:szCs w:val="24"/>
          <w:vertAlign w:val="superscript"/>
          <w:lang w:val="en-US"/>
        </w:rPr>
        <w:footnoteReference w:id="31"/>
      </w:r>
      <w:r w:rsidRPr="00892182">
        <w:rPr>
          <w:rFonts w:ascii="Candara" w:eastAsia="Candara" w:hAnsi="Candara" w:cs="Candara"/>
          <w:bCs/>
          <w:sz w:val="24"/>
          <w:szCs w:val="24"/>
        </w:rPr>
        <w:t xml:space="preserve"> </w:t>
      </w:r>
      <w:r w:rsidRPr="00892182">
        <w:rPr>
          <w:rFonts w:ascii="Candara" w:eastAsia="Candara" w:hAnsi="Candara" w:cs="Candara"/>
          <w:bCs/>
          <w:sz w:val="24"/>
          <w:szCs w:val="24"/>
          <w:lang w:val="en-US"/>
        </w:rPr>
        <w:t>During the enforcement of curfew regulations during the COVID pandemic “</w:t>
      </w:r>
      <w:r w:rsidRPr="00892182">
        <w:rPr>
          <w:rFonts w:ascii="Candara" w:eastAsia="Candara" w:hAnsi="Candara" w:cs="Candara"/>
          <w:bCs/>
          <w:sz w:val="24"/>
          <w:szCs w:val="24"/>
        </w:rPr>
        <w:t>Kakamega police were on the spot for the assault of a 35-year-old man with intellectual disability on the night of 1st April 2020 who later succumbed to death. Barely a day later, on the night of 2nd April</w:t>
      </w:r>
      <w:r w:rsidR="00CC0453">
        <w:rPr>
          <w:rFonts w:ascii="Candara" w:eastAsia="Candara" w:hAnsi="Candara" w:cs="Candara"/>
          <w:bCs/>
          <w:sz w:val="24"/>
          <w:szCs w:val="24"/>
          <w:lang w:val="en-US"/>
        </w:rPr>
        <w:t>,</w:t>
      </w:r>
      <w:r w:rsidRPr="00892182">
        <w:rPr>
          <w:rFonts w:ascii="Candara" w:eastAsia="Candara" w:hAnsi="Candara" w:cs="Candara"/>
          <w:bCs/>
          <w:sz w:val="24"/>
          <w:szCs w:val="24"/>
        </w:rPr>
        <w:t xml:space="preserve"> a young man who is Deaf was assaulted by police in Mumias</w:t>
      </w:r>
      <w:r w:rsidRPr="00892182">
        <w:rPr>
          <w:rFonts w:ascii="Candara" w:eastAsia="Candara" w:hAnsi="Candara" w:cs="Candara"/>
          <w:bCs/>
          <w:sz w:val="24"/>
          <w:szCs w:val="24"/>
          <w:lang w:val="en-US"/>
        </w:rPr>
        <w:t>”</w:t>
      </w:r>
      <w:r w:rsidRPr="00892182">
        <w:rPr>
          <w:rFonts w:ascii="Candara" w:eastAsia="Candara" w:hAnsi="Candara" w:cs="Candara"/>
          <w:bCs/>
          <w:sz w:val="24"/>
          <w:szCs w:val="24"/>
          <w:vertAlign w:val="superscript"/>
          <w:lang w:val="en-US"/>
        </w:rPr>
        <w:footnoteReference w:id="32"/>
      </w:r>
      <w:r w:rsidRPr="00892182">
        <w:rPr>
          <w:rFonts w:ascii="Candara" w:eastAsia="Candara" w:hAnsi="Candara" w:cs="Candara"/>
          <w:bCs/>
          <w:sz w:val="24"/>
          <w:szCs w:val="24"/>
          <w:lang w:val="en-GB"/>
        </w:rPr>
        <w:t>.</w:t>
      </w:r>
    </w:p>
    <w:p w14:paraId="76BF4CDB" w14:textId="77777777" w:rsidR="00E71025" w:rsidRPr="00A87A9C" w:rsidRDefault="00E71025" w:rsidP="007B5F0A">
      <w:pPr>
        <w:spacing w:line="276" w:lineRule="auto"/>
        <w:jc w:val="both"/>
        <w:rPr>
          <w:rFonts w:ascii="Candara" w:eastAsia="Candara" w:hAnsi="Candara" w:cs="Candara"/>
          <w:bCs/>
          <w:sz w:val="24"/>
          <w:szCs w:val="24"/>
          <w:lang w:val="en-GB"/>
        </w:rPr>
      </w:pPr>
      <w:r>
        <w:rPr>
          <w:rFonts w:ascii="Candara" w:eastAsia="Candara" w:hAnsi="Candara" w:cs="Candara"/>
          <w:b/>
          <w:bCs/>
          <w:sz w:val="24"/>
          <w:szCs w:val="24"/>
          <w:lang w:val="en-GB"/>
        </w:rPr>
        <w:t>Article 16: Freedom from exploitation, violence, and abuse</w:t>
      </w:r>
    </w:p>
    <w:p w14:paraId="3D885548" w14:textId="31E14ABD" w:rsidR="00266DC9" w:rsidRDefault="00F32BF9" w:rsidP="007B5F0A">
      <w:pPr>
        <w:spacing w:line="276" w:lineRule="auto"/>
        <w:jc w:val="both"/>
        <w:rPr>
          <w:rFonts w:ascii="Candara" w:eastAsia="Candara" w:hAnsi="Candara" w:cs="Candara"/>
          <w:bCs/>
          <w:sz w:val="24"/>
          <w:szCs w:val="24"/>
          <w:lang w:val="en-GB"/>
        </w:rPr>
      </w:pPr>
      <w:r>
        <w:rPr>
          <w:rFonts w:ascii="Candara" w:eastAsia="Candara" w:hAnsi="Candara" w:cs="Candara"/>
          <w:bCs/>
          <w:sz w:val="24"/>
          <w:szCs w:val="24"/>
          <w:lang w:val="en-GB"/>
        </w:rPr>
        <w:t xml:space="preserve">34% of women and 24% of men </w:t>
      </w:r>
      <w:r w:rsidR="00CC0453">
        <w:rPr>
          <w:rFonts w:ascii="Candara" w:eastAsia="Candara" w:hAnsi="Candara" w:cs="Candara"/>
          <w:bCs/>
          <w:sz w:val="24"/>
          <w:szCs w:val="24"/>
          <w:lang w:val="en-GB"/>
        </w:rPr>
        <w:t xml:space="preserve">in Kenya </w:t>
      </w:r>
      <w:r>
        <w:rPr>
          <w:rFonts w:ascii="Candara" w:eastAsia="Candara" w:hAnsi="Candara" w:cs="Candara"/>
          <w:bCs/>
          <w:sz w:val="24"/>
          <w:szCs w:val="24"/>
          <w:lang w:val="en-GB"/>
        </w:rPr>
        <w:t>aged between 15-49 have experienced physical violence</w:t>
      </w:r>
      <w:r>
        <w:rPr>
          <w:rStyle w:val="FootnoteReference"/>
          <w:rFonts w:ascii="Candara" w:eastAsia="Candara" w:hAnsi="Candara" w:cs="Candara"/>
          <w:bCs/>
          <w:sz w:val="24"/>
          <w:szCs w:val="24"/>
          <w:lang w:val="en-GB"/>
        </w:rPr>
        <w:footnoteReference w:id="33"/>
      </w:r>
      <w:r>
        <w:rPr>
          <w:rFonts w:ascii="Candara" w:eastAsia="Candara" w:hAnsi="Candara" w:cs="Candara"/>
          <w:bCs/>
          <w:sz w:val="24"/>
          <w:szCs w:val="24"/>
          <w:lang w:val="en-GB"/>
        </w:rPr>
        <w:t>. 13% of women and 7% of women aged 15-49 have experienced sexual violence</w:t>
      </w:r>
      <w:r>
        <w:rPr>
          <w:rStyle w:val="FootnoteReference"/>
          <w:rFonts w:ascii="Candara" w:eastAsia="Candara" w:hAnsi="Candara" w:cs="Candara"/>
          <w:bCs/>
          <w:sz w:val="24"/>
          <w:szCs w:val="24"/>
          <w:lang w:val="en-GB"/>
        </w:rPr>
        <w:footnoteReference w:id="34"/>
      </w:r>
      <w:r>
        <w:rPr>
          <w:rFonts w:ascii="Candara" w:eastAsia="Candara" w:hAnsi="Candara" w:cs="Candara"/>
          <w:bCs/>
          <w:sz w:val="24"/>
          <w:szCs w:val="24"/>
          <w:lang w:val="en-GB"/>
        </w:rPr>
        <w:t xml:space="preserve">.  </w:t>
      </w:r>
      <w:r w:rsidR="00E71025" w:rsidRPr="00E71025">
        <w:rPr>
          <w:rFonts w:ascii="Candara" w:eastAsia="Candara" w:hAnsi="Candara" w:cs="Candara"/>
          <w:bCs/>
          <w:sz w:val="24"/>
          <w:szCs w:val="24"/>
          <w:lang w:val="en-GB"/>
        </w:rPr>
        <w:t>A report titled, Gender and disability: Inspiring practices from women and girls with disabilities addressing discrimination and violence in Africa for example noted that in Kakamega County, Kenya, 30% of women with disabilities have experienced sexual violence yet 40% of these cases have never been reported to the police (pg.6)</w:t>
      </w:r>
      <w:r w:rsidR="00E71025" w:rsidRPr="00E71025">
        <w:rPr>
          <w:rFonts w:ascii="Candara" w:eastAsia="Candara" w:hAnsi="Candara" w:cs="Candara"/>
          <w:bCs/>
          <w:sz w:val="24"/>
          <w:szCs w:val="24"/>
          <w:vertAlign w:val="superscript"/>
          <w:lang w:val="en-GB"/>
        </w:rPr>
        <w:footnoteReference w:id="35"/>
      </w:r>
      <w:r w:rsidR="00E71025" w:rsidRPr="00E71025">
        <w:rPr>
          <w:rFonts w:ascii="Candara" w:eastAsia="Candara" w:hAnsi="Candara" w:cs="Candara"/>
          <w:bCs/>
          <w:sz w:val="24"/>
          <w:szCs w:val="24"/>
          <w:lang w:val="en-GB"/>
        </w:rPr>
        <w:t xml:space="preserve">.  </w:t>
      </w:r>
    </w:p>
    <w:p w14:paraId="3EC3776B" w14:textId="0F195417" w:rsidR="00E71025" w:rsidRDefault="00E71025" w:rsidP="007B5F0A">
      <w:pPr>
        <w:spacing w:line="276" w:lineRule="auto"/>
        <w:jc w:val="both"/>
        <w:rPr>
          <w:rFonts w:ascii="Candara" w:eastAsia="Candara" w:hAnsi="Candara" w:cs="Candara"/>
          <w:sz w:val="24"/>
          <w:szCs w:val="24"/>
        </w:rPr>
      </w:pPr>
      <w:r w:rsidRPr="00E71025">
        <w:rPr>
          <w:rFonts w:ascii="Candara" w:eastAsia="Candara" w:hAnsi="Candara" w:cs="Candara"/>
          <w:sz w:val="24"/>
          <w:szCs w:val="24"/>
        </w:rPr>
        <w:lastRenderedPageBreak/>
        <w:t xml:space="preserve">The National Police Service launched </w:t>
      </w:r>
      <w:r w:rsidR="00F32BF9" w:rsidRPr="00E71025">
        <w:rPr>
          <w:rFonts w:ascii="Candara" w:eastAsia="Candara" w:hAnsi="Candara" w:cs="Candara"/>
          <w:sz w:val="24"/>
          <w:szCs w:val="24"/>
        </w:rPr>
        <w:t>PoliCare centres</w:t>
      </w:r>
      <w:r w:rsidRPr="00E71025">
        <w:rPr>
          <w:rFonts w:ascii="Candara" w:eastAsia="Candara" w:hAnsi="Candara" w:cs="Candara"/>
          <w:sz w:val="24"/>
          <w:szCs w:val="24"/>
        </w:rPr>
        <w:t xml:space="preserve"> to provide the full range of services needed by survivors of gender-based violence. However, despite the launch, only one centre is still </w:t>
      </w:r>
      <w:r w:rsidR="00F32BF9" w:rsidRPr="00E71025">
        <w:rPr>
          <w:rFonts w:ascii="Candara" w:eastAsia="Candara" w:hAnsi="Candara" w:cs="Candara"/>
          <w:sz w:val="24"/>
          <w:szCs w:val="24"/>
        </w:rPr>
        <w:t>operational.</w:t>
      </w:r>
      <w:r w:rsidRPr="00E71025">
        <w:rPr>
          <w:rFonts w:ascii="Candara" w:eastAsia="Candara" w:hAnsi="Candara" w:cs="Candara"/>
          <w:sz w:val="24"/>
          <w:szCs w:val="24"/>
        </w:rPr>
        <w:t xml:space="preserve"> Additionally, the establishment of gender desks in all police stations has been marred by lack of regularly staffing with police officers who have received specialised training on handling sexual violence cases . The state of the gender desk centres is in such a deplorable state, thus creating double trauma for the survivors going to report.</w:t>
      </w:r>
    </w:p>
    <w:p w14:paraId="77AFEE13" w14:textId="00B3CA1B" w:rsidR="00E71025" w:rsidRPr="00E71025" w:rsidRDefault="00E71025" w:rsidP="007B5F0A">
      <w:pPr>
        <w:spacing w:line="276" w:lineRule="auto"/>
        <w:jc w:val="both"/>
        <w:rPr>
          <w:rFonts w:ascii="Candara" w:eastAsia="Candara" w:hAnsi="Candara" w:cs="Candara"/>
          <w:b/>
          <w:sz w:val="24"/>
          <w:szCs w:val="24"/>
          <w:lang w:val="en-GB"/>
        </w:rPr>
      </w:pPr>
      <w:r w:rsidRPr="00BD6233">
        <w:rPr>
          <w:rFonts w:ascii="Candara" w:eastAsia="Candara" w:hAnsi="Candara" w:cs="Candara"/>
          <w:b/>
          <w:sz w:val="24"/>
          <w:szCs w:val="24"/>
          <w:lang w:val="en-GB"/>
        </w:rPr>
        <w:t xml:space="preserve">Article 17: Protecting the </w:t>
      </w:r>
      <w:r>
        <w:rPr>
          <w:rFonts w:ascii="Candara" w:eastAsia="Candara" w:hAnsi="Candara" w:cs="Candara"/>
          <w:b/>
          <w:sz w:val="24"/>
          <w:szCs w:val="24"/>
          <w:lang w:val="en-GB"/>
        </w:rPr>
        <w:t>i</w:t>
      </w:r>
      <w:r w:rsidRPr="00BD6233">
        <w:rPr>
          <w:rFonts w:ascii="Candara" w:eastAsia="Candara" w:hAnsi="Candara" w:cs="Candara"/>
          <w:b/>
          <w:sz w:val="24"/>
          <w:szCs w:val="24"/>
          <w:lang w:val="en-GB"/>
        </w:rPr>
        <w:t xml:space="preserve">ntegrity of the </w:t>
      </w:r>
      <w:r>
        <w:rPr>
          <w:rFonts w:ascii="Candara" w:eastAsia="Candara" w:hAnsi="Candara" w:cs="Candara"/>
          <w:b/>
          <w:sz w:val="24"/>
          <w:szCs w:val="24"/>
          <w:lang w:val="en-GB"/>
        </w:rPr>
        <w:t>p</w:t>
      </w:r>
      <w:r w:rsidRPr="00BD6233">
        <w:rPr>
          <w:rFonts w:ascii="Candara" w:eastAsia="Candara" w:hAnsi="Candara" w:cs="Candara"/>
          <w:b/>
          <w:sz w:val="24"/>
          <w:szCs w:val="24"/>
          <w:lang w:val="en-GB"/>
        </w:rPr>
        <w:t>erson</w:t>
      </w:r>
    </w:p>
    <w:p w14:paraId="4EEF2B29" w14:textId="77777777" w:rsidR="00E71025" w:rsidRPr="004B5468" w:rsidRDefault="00E71025" w:rsidP="007B5F0A">
      <w:pPr>
        <w:spacing w:line="276" w:lineRule="auto"/>
        <w:jc w:val="both"/>
        <w:rPr>
          <w:rFonts w:ascii="Candara" w:eastAsia="Candara" w:hAnsi="Candara" w:cs="Candara"/>
          <w:bCs/>
          <w:sz w:val="24"/>
          <w:szCs w:val="24"/>
          <w:lang w:val="en-GB"/>
        </w:rPr>
      </w:pPr>
      <w:r w:rsidRPr="004B5468">
        <w:rPr>
          <w:rFonts w:ascii="Candara" w:eastAsia="Candara" w:hAnsi="Candara" w:cs="Candara"/>
          <w:bCs/>
          <w:sz w:val="24"/>
          <w:szCs w:val="24"/>
          <w:lang w:val="en-GB"/>
        </w:rPr>
        <w:t>An inquiry report</w:t>
      </w:r>
      <w:r>
        <w:rPr>
          <w:rStyle w:val="FootnoteReference"/>
          <w:rFonts w:ascii="Candara" w:eastAsia="Candara" w:hAnsi="Candara" w:cs="Candara"/>
          <w:bCs/>
          <w:sz w:val="24"/>
          <w:szCs w:val="24"/>
          <w:lang w:val="en-GB"/>
        </w:rPr>
        <w:footnoteReference w:id="36"/>
      </w:r>
      <w:r w:rsidRPr="004B5468">
        <w:rPr>
          <w:rFonts w:ascii="Candara" w:eastAsia="Candara" w:hAnsi="Candara" w:cs="Candara"/>
          <w:bCs/>
          <w:sz w:val="24"/>
          <w:szCs w:val="24"/>
          <w:lang w:val="en-GB"/>
        </w:rPr>
        <w:t xml:space="preserve"> by KNCHR revealed that women with disabilities face stigma and discrimination where women with physical disabilities suffer abuses from health service providers who stigmatise them and assume that women with disabilities are sexually inactive. Women with disability also face mistreatment where some have been slapped by nurses in labour wards.  Further, health service providers perform invasive procedures without their consent, including forced abortions</w:t>
      </w:r>
      <w:r w:rsidRPr="006C500A">
        <w:t xml:space="preserve"> </w:t>
      </w:r>
      <w:r w:rsidRPr="006C500A">
        <w:rPr>
          <w:rFonts w:ascii="Candara" w:eastAsia="Candara" w:hAnsi="Candara" w:cs="Candara"/>
          <w:bCs/>
          <w:sz w:val="24"/>
          <w:szCs w:val="24"/>
          <w:lang w:val="en-GB"/>
        </w:rPr>
        <w:t>and contraception methods.</w:t>
      </w:r>
      <w:r w:rsidRPr="004B5468">
        <w:rPr>
          <w:rFonts w:ascii="Candara" w:eastAsia="Candara" w:hAnsi="Candara" w:cs="Candara"/>
          <w:bCs/>
          <w:sz w:val="24"/>
          <w:szCs w:val="24"/>
          <w:lang w:val="en-GB"/>
        </w:rPr>
        <w:t xml:space="preserve"> The study found that:</w:t>
      </w:r>
    </w:p>
    <w:p w14:paraId="48579BA3" w14:textId="77777777" w:rsidR="00E71025" w:rsidRPr="00BD6233" w:rsidRDefault="00E71025" w:rsidP="007B5F0A">
      <w:pPr>
        <w:spacing w:line="276" w:lineRule="auto"/>
        <w:ind w:left="720"/>
        <w:jc w:val="both"/>
        <w:rPr>
          <w:rFonts w:ascii="Candara" w:eastAsia="Candara" w:hAnsi="Candara" w:cs="Candara"/>
          <w:bCs/>
          <w:sz w:val="24"/>
          <w:szCs w:val="24"/>
          <w:lang w:val="en-GB"/>
        </w:rPr>
      </w:pPr>
      <w:r w:rsidRPr="004B5468">
        <w:rPr>
          <w:rFonts w:ascii="Candara" w:eastAsia="Candara" w:hAnsi="Candara" w:cs="Candara"/>
          <w:bCs/>
          <w:sz w:val="24"/>
          <w:szCs w:val="24"/>
          <w:lang w:val="en-GB"/>
        </w:rPr>
        <w:t>Others [nurses] doubted their [women with disabilities] capability to deliver through the normal procedures and instead suggested they undergo the caesarean process without their consent. Further, persons with disabilities were not being allowed to make choices on the mode of family planning with nurses dictating which methods to use</w:t>
      </w:r>
      <w:r w:rsidRPr="004B5468">
        <w:rPr>
          <w:rStyle w:val="FootnoteReference"/>
          <w:rFonts w:ascii="Candara" w:eastAsia="Candara" w:hAnsi="Candara" w:cs="Candara"/>
          <w:bCs/>
          <w:sz w:val="24"/>
          <w:szCs w:val="24"/>
          <w:lang w:val="en-GB"/>
        </w:rPr>
        <w:footnoteReference w:id="37"/>
      </w:r>
      <w:r w:rsidRPr="004B5468">
        <w:rPr>
          <w:rFonts w:ascii="Candara" w:eastAsia="Candara" w:hAnsi="Candara" w:cs="Candara"/>
          <w:bCs/>
          <w:sz w:val="24"/>
          <w:szCs w:val="24"/>
          <w:lang w:val="en-GB"/>
        </w:rPr>
        <w:t>.</w:t>
      </w:r>
      <w:r w:rsidRPr="00BD6233">
        <w:rPr>
          <w:rFonts w:ascii="Candara" w:eastAsia="Candara" w:hAnsi="Candara" w:cs="Candara"/>
          <w:bCs/>
          <w:sz w:val="24"/>
          <w:szCs w:val="24"/>
          <w:lang w:val="en-GB"/>
        </w:rPr>
        <w:t xml:space="preserve">  </w:t>
      </w:r>
    </w:p>
    <w:p w14:paraId="341E1776" w14:textId="4B124225" w:rsidR="00E71025" w:rsidRPr="00E71025" w:rsidRDefault="00E71025" w:rsidP="007B5F0A">
      <w:pPr>
        <w:spacing w:line="276" w:lineRule="auto"/>
        <w:jc w:val="both"/>
        <w:rPr>
          <w:rFonts w:ascii="Candara" w:eastAsia="Candara" w:hAnsi="Candara" w:cs="Candara"/>
          <w:bCs/>
          <w:sz w:val="24"/>
          <w:szCs w:val="24"/>
          <w:lang w:val="en-GB"/>
        </w:rPr>
      </w:pPr>
      <w:r w:rsidRPr="00A87A9C">
        <w:rPr>
          <w:rFonts w:ascii="Candara" w:eastAsia="Candara" w:hAnsi="Candara" w:cs="Candara"/>
          <w:b/>
          <w:bCs/>
          <w:sz w:val="24"/>
          <w:szCs w:val="24"/>
          <w:lang w:val="en-GB"/>
        </w:rPr>
        <w:t>Article 18: Liberty of movement and Nationality</w:t>
      </w:r>
    </w:p>
    <w:p w14:paraId="3722D917" w14:textId="6D904814" w:rsidR="00E71025" w:rsidRDefault="00E71025" w:rsidP="007B5F0A">
      <w:pPr>
        <w:spacing w:line="276" w:lineRule="auto"/>
        <w:jc w:val="both"/>
        <w:rPr>
          <w:rFonts w:ascii="Candara" w:eastAsia="Candara" w:hAnsi="Candara" w:cs="Candara"/>
          <w:sz w:val="24"/>
          <w:szCs w:val="24"/>
        </w:rPr>
      </w:pPr>
      <w:r w:rsidRPr="00E71025">
        <w:rPr>
          <w:rFonts w:ascii="Candara" w:eastAsia="Candara" w:hAnsi="Candara" w:cs="Candara"/>
          <w:sz w:val="24"/>
          <w:szCs w:val="24"/>
        </w:rPr>
        <w:t>This registration is for the purpose of the issuance of a Citizenship National Identity Card which is issued at the age of 18. An ID Card is required for all citizens in every type of agreement or contract including opening a bank account. It is also often required to identify a person in order to be allowed to enter government offices and other private premises where security surveillance is essential. It is therefore not only necessary but also mandatory for every citizen.</w:t>
      </w:r>
    </w:p>
    <w:p w14:paraId="532A2944" w14:textId="0CD3BBD8" w:rsidR="00E71025" w:rsidRDefault="00E71025" w:rsidP="007B5F0A">
      <w:pPr>
        <w:spacing w:line="276" w:lineRule="auto"/>
        <w:jc w:val="both"/>
        <w:rPr>
          <w:rFonts w:ascii="Candara" w:eastAsia="Candara" w:hAnsi="Candara" w:cs="Candara"/>
          <w:bCs/>
          <w:sz w:val="24"/>
          <w:szCs w:val="24"/>
          <w:lang w:val="en-GB"/>
        </w:rPr>
      </w:pPr>
      <w:r w:rsidRPr="00A87A9C">
        <w:rPr>
          <w:rFonts w:ascii="Candara" w:eastAsia="Candara" w:hAnsi="Candara" w:cs="Candara"/>
          <w:bCs/>
          <w:sz w:val="24"/>
          <w:szCs w:val="24"/>
          <w:lang w:val="en-GB"/>
        </w:rPr>
        <w:t>The purpose of a passport is to enable citizens to travel outside the country. A passport may be applied for at any age and is not mandatory for people who do not intend to travel out of the country and there are therefore many people who do not bother to apply for it.</w:t>
      </w:r>
    </w:p>
    <w:p w14:paraId="116EEC17" w14:textId="77777777" w:rsidR="009C0796" w:rsidRPr="006D343A" w:rsidRDefault="009C0796" w:rsidP="007B5F0A">
      <w:pPr>
        <w:spacing w:line="276" w:lineRule="auto"/>
        <w:jc w:val="both"/>
        <w:rPr>
          <w:rFonts w:ascii="Candara" w:eastAsia="Candara" w:hAnsi="Candara" w:cs="Candara"/>
          <w:b/>
          <w:bCs/>
          <w:sz w:val="24"/>
          <w:szCs w:val="24"/>
          <w:lang w:val="en-GB"/>
        </w:rPr>
      </w:pPr>
      <w:r w:rsidRPr="006D343A">
        <w:rPr>
          <w:rFonts w:ascii="Candara" w:eastAsia="Candara" w:hAnsi="Candara" w:cs="Candara"/>
          <w:b/>
          <w:bCs/>
          <w:sz w:val="24"/>
          <w:szCs w:val="24"/>
          <w:lang w:val="en-GB"/>
        </w:rPr>
        <w:t>Article 19: Living independently and being included in the community</w:t>
      </w:r>
    </w:p>
    <w:p w14:paraId="31D9F3E8" w14:textId="3DE8A87B" w:rsidR="009C0796" w:rsidRDefault="009C0796" w:rsidP="007B5F0A">
      <w:pPr>
        <w:spacing w:line="276" w:lineRule="auto"/>
        <w:jc w:val="both"/>
        <w:rPr>
          <w:rFonts w:ascii="Candara" w:eastAsia="Candara" w:hAnsi="Candara" w:cs="Candara"/>
          <w:bCs/>
          <w:sz w:val="24"/>
          <w:szCs w:val="24"/>
          <w:lang w:val="en-GB"/>
        </w:rPr>
      </w:pPr>
      <w:bookmarkStart w:id="4" w:name="_Hlk139380187"/>
      <w:r>
        <w:rPr>
          <w:rFonts w:ascii="Candara" w:eastAsia="Candara" w:hAnsi="Candara" w:cs="Candara"/>
          <w:bCs/>
          <w:sz w:val="24"/>
          <w:szCs w:val="24"/>
          <w:lang w:val="en-GB"/>
        </w:rPr>
        <w:lastRenderedPageBreak/>
        <w:t xml:space="preserve">In addition, majority of people with psychosocial disabilities continue to be institutionalized in different institutions. For example, in the last couple of years, there has been a rise of private mental health institutions </w:t>
      </w:r>
      <w:bookmarkStart w:id="5" w:name="_Hlk139380246"/>
      <w:bookmarkEnd w:id="4"/>
      <w:r>
        <w:rPr>
          <w:rFonts w:ascii="Candara" w:eastAsia="Candara" w:hAnsi="Candara" w:cs="Candara"/>
          <w:bCs/>
          <w:sz w:val="24"/>
          <w:szCs w:val="24"/>
          <w:lang w:val="en-GB"/>
        </w:rPr>
        <w:t>which continue to institutionalise people with mental or intellectual disabilities.</w:t>
      </w:r>
      <w:r>
        <w:rPr>
          <w:rStyle w:val="FootnoteReference"/>
          <w:rFonts w:ascii="Candara" w:eastAsia="Candara" w:hAnsi="Candara" w:cs="Candara"/>
          <w:bCs/>
          <w:sz w:val="24"/>
          <w:szCs w:val="24"/>
          <w:lang w:val="en-GB"/>
        </w:rPr>
        <w:footnoteReference w:id="38"/>
      </w:r>
      <w:r>
        <w:rPr>
          <w:rFonts w:ascii="Candara" w:eastAsia="Candara" w:hAnsi="Candara" w:cs="Candara"/>
          <w:bCs/>
          <w:sz w:val="24"/>
          <w:szCs w:val="24"/>
          <w:lang w:val="en-GB"/>
        </w:rPr>
        <w:t xml:space="preserve"> The government of Kenya has been considering moving Mathari Mental Hospital from its current location to Ngong for expansion.</w:t>
      </w:r>
      <w:r>
        <w:rPr>
          <w:rStyle w:val="FootnoteReference"/>
          <w:rFonts w:ascii="Candara" w:eastAsia="Candara" w:hAnsi="Candara" w:cs="Candara"/>
          <w:bCs/>
          <w:sz w:val="24"/>
          <w:szCs w:val="24"/>
          <w:lang w:val="en-GB"/>
        </w:rPr>
        <w:footnoteReference w:id="39"/>
      </w:r>
      <w:r>
        <w:rPr>
          <w:rFonts w:ascii="Candara" w:eastAsia="Candara" w:hAnsi="Candara" w:cs="Candara"/>
          <w:bCs/>
          <w:sz w:val="24"/>
          <w:szCs w:val="24"/>
          <w:lang w:val="en-GB"/>
        </w:rPr>
        <w:t xml:space="preserve"> In fact, in the last two years, the Kenyan government has opened up or supported the construction of private mental health institutions.</w:t>
      </w:r>
      <w:r>
        <w:rPr>
          <w:rStyle w:val="FootnoteReference"/>
          <w:rFonts w:ascii="Candara" w:eastAsia="Candara" w:hAnsi="Candara" w:cs="Candara"/>
          <w:bCs/>
          <w:sz w:val="24"/>
          <w:szCs w:val="24"/>
          <w:lang w:val="en-GB"/>
        </w:rPr>
        <w:footnoteReference w:id="40"/>
      </w:r>
      <w:r>
        <w:rPr>
          <w:rFonts w:ascii="Candara" w:eastAsia="Candara" w:hAnsi="Candara" w:cs="Candara"/>
          <w:bCs/>
          <w:sz w:val="24"/>
          <w:szCs w:val="24"/>
          <w:lang w:val="en-GB"/>
        </w:rPr>
        <w:t xml:space="preserve"> All these efforts by the government of Kenya contravene Article 19 which prohibits the government from taking measures that will lead to institutionalization of persons with disabilities. </w:t>
      </w:r>
    </w:p>
    <w:bookmarkEnd w:id="5"/>
    <w:p w14:paraId="60714C85" w14:textId="7363FF53" w:rsidR="00E71025" w:rsidRPr="00E71025" w:rsidRDefault="00E71025" w:rsidP="007B5F0A">
      <w:pPr>
        <w:spacing w:line="276" w:lineRule="auto"/>
        <w:jc w:val="both"/>
        <w:rPr>
          <w:rFonts w:ascii="Candara" w:eastAsia="Candara" w:hAnsi="Candara" w:cs="Candara"/>
          <w:b/>
          <w:sz w:val="24"/>
          <w:szCs w:val="24"/>
          <w:lang w:val="en-US"/>
        </w:rPr>
      </w:pPr>
      <w:r w:rsidRPr="00CF5377">
        <w:rPr>
          <w:rFonts w:ascii="Candara" w:eastAsia="Candara" w:hAnsi="Candara" w:cs="Candara"/>
          <w:b/>
          <w:sz w:val="24"/>
          <w:szCs w:val="24"/>
          <w:lang w:val="en-US"/>
        </w:rPr>
        <w:t>Art 20 Personal Mobility</w:t>
      </w:r>
    </w:p>
    <w:p w14:paraId="1D11AE94" w14:textId="294924A7" w:rsidR="00E71025" w:rsidRDefault="00E71025" w:rsidP="007B5F0A">
      <w:p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 xml:space="preserve">Personal mobility is a key component of </w:t>
      </w:r>
      <w:r>
        <w:rPr>
          <w:rFonts w:ascii="Candara" w:eastAsia="Candara" w:hAnsi="Candara" w:cs="Candara"/>
          <w:bCs/>
          <w:sz w:val="24"/>
          <w:szCs w:val="24"/>
          <w:lang w:val="en-US"/>
        </w:rPr>
        <w:t>i</w:t>
      </w:r>
      <w:r w:rsidRPr="00CF5377">
        <w:rPr>
          <w:rFonts w:ascii="Candara" w:eastAsia="Candara" w:hAnsi="Candara" w:cs="Candara"/>
          <w:bCs/>
          <w:sz w:val="24"/>
          <w:szCs w:val="24"/>
          <w:lang w:val="en-US"/>
        </w:rPr>
        <w:t>nclusion. To ensure persons with disabilities effectively perform activities of daily living and actively participate fully in socio-economic, political, educational, health</w:t>
      </w:r>
      <w:r>
        <w:rPr>
          <w:rFonts w:ascii="Candara" w:eastAsia="Candara" w:hAnsi="Candara" w:cs="Candara"/>
          <w:bCs/>
          <w:sz w:val="24"/>
          <w:szCs w:val="24"/>
          <w:lang w:val="en-US"/>
        </w:rPr>
        <w:t>,</w:t>
      </w:r>
      <w:r w:rsidRPr="00CF5377">
        <w:rPr>
          <w:rFonts w:ascii="Candara" w:eastAsia="Candara" w:hAnsi="Candara" w:cs="Candara"/>
          <w:bCs/>
          <w:sz w:val="24"/>
          <w:szCs w:val="24"/>
          <w:lang w:val="en-US"/>
        </w:rPr>
        <w:t xml:space="preserve"> and other vital societal affairs, facilitation of their personal mobility is indispensable. Personal Mobility should be facilitated </w:t>
      </w:r>
      <w:r w:rsidRPr="00CF5377">
        <w:rPr>
          <w:rFonts w:ascii="Candara" w:eastAsia="Candara" w:hAnsi="Candara" w:cs="Candara"/>
          <w:sz w:val="24"/>
          <w:szCs w:val="24"/>
          <w:lang w:val="en-US"/>
        </w:rPr>
        <w:t>for all persons with</w:t>
      </w:r>
      <w:r w:rsidRPr="00CF5377">
        <w:rPr>
          <w:rFonts w:ascii="Candara" w:eastAsia="Candara" w:hAnsi="Candara" w:cs="Candara"/>
          <w:bCs/>
          <w:sz w:val="24"/>
          <w:szCs w:val="24"/>
          <w:lang w:val="en-US"/>
        </w:rPr>
        <w:t xml:space="preserve"> different types of disabilities.</w:t>
      </w:r>
    </w:p>
    <w:p w14:paraId="760FE1B2" w14:textId="46A81B71" w:rsidR="001611F3" w:rsidRDefault="001611F3" w:rsidP="007B5F0A">
      <w:pPr>
        <w:spacing w:line="276" w:lineRule="auto"/>
        <w:jc w:val="both"/>
        <w:rPr>
          <w:rFonts w:ascii="Candara" w:eastAsia="Candara" w:hAnsi="Candara" w:cs="Candara"/>
          <w:sz w:val="24"/>
          <w:szCs w:val="24"/>
          <w:lang w:val="en-US"/>
        </w:rPr>
      </w:pPr>
      <w:r w:rsidRPr="003448B1">
        <w:rPr>
          <w:rFonts w:ascii="Candara" w:eastAsia="Candara" w:hAnsi="Candara" w:cs="Candara"/>
          <w:bCs/>
          <w:sz w:val="24"/>
          <w:szCs w:val="24"/>
          <w:lang w:val="en-US"/>
        </w:rPr>
        <w:t>First, Persons with Disabilities Act 2003 section 21 on</w:t>
      </w:r>
      <w:r w:rsidRPr="003448B1">
        <w:rPr>
          <w:rFonts w:ascii="Candara" w:eastAsia="Candara" w:hAnsi="Candara" w:cs="Candara"/>
          <w:b/>
          <w:bCs/>
          <w:sz w:val="24"/>
          <w:szCs w:val="24"/>
          <w:lang w:val="en-US"/>
        </w:rPr>
        <w:t xml:space="preserve"> </w:t>
      </w:r>
      <w:r w:rsidRPr="004B5468">
        <w:rPr>
          <w:rFonts w:ascii="Candara" w:eastAsia="Candara" w:hAnsi="Candara" w:cs="Candara"/>
          <w:sz w:val="24"/>
          <w:szCs w:val="24"/>
          <w:lang w:val="en-US"/>
        </w:rPr>
        <w:t>Accessibility and Mobility states that “Persons with disabilities are entitled to a barrier- free and disability friendly environment to enable them to have access to buildings, roads and other social amenities, and assistive devices and other equipment to promote their mobility”. Secondly, section 2.3 of the National Special Needs education policy on Conducive and Safe Environment - Health and Safety (Adaptation of Facilities) seeks to “enhance provision of accessible, safe and friendly learning environment and facilities for learners with special needs” the provision of accessible environment enhances mobility for learners. Section 2.4 on Specialized Facilities and Technology on the policy also seeks to enhance personal mobility by seeking “To support learners with special needs and disabilities access affordable assistive devices and advanced technological systems</w:t>
      </w:r>
      <w:r>
        <w:rPr>
          <w:rFonts w:ascii="Candara" w:eastAsia="Candara" w:hAnsi="Candara" w:cs="Candara"/>
          <w:sz w:val="24"/>
          <w:szCs w:val="24"/>
          <w:lang w:val="en-US"/>
        </w:rPr>
        <w:t>”</w:t>
      </w:r>
      <w:r w:rsidRPr="004B5468">
        <w:rPr>
          <w:rFonts w:ascii="Candara" w:eastAsia="Candara" w:hAnsi="Candara" w:cs="Candara"/>
          <w:sz w:val="24"/>
          <w:szCs w:val="24"/>
          <w:lang w:val="en-US"/>
        </w:rPr>
        <w:t>.</w:t>
      </w:r>
      <w:r>
        <w:rPr>
          <w:rFonts w:ascii="Candara" w:eastAsia="Candara" w:hAnsi="Candara" w:cs="Candara"/>
          <w:sz w:val="24"/>
          <w:szCs w:val="24"/>
          <w:lang w:val="en-US"/>
        </w:rPr>
        <w:t xml:space="preserve"> </w:t>
      </w:r>
      <w:r w:rsidRPr="004B5468">
        <w:rPr>
          <w:rFonts w:ascii="Candara" w:eastAsia="Candara" w:hAnsi="Candara" w:cs="Candara"/>
          <w:sz w:val="24"/>
          <w:szCs w:val="24"/>
          <w:lang w:val="en-US"/>
        </w:rPr>
        <w:t>Lastly, Constitution of Kenya 2010 Art 54(1) (e) states that a person with a disability is entitled “to access materials and devices to overcome constraints arising from the person's disability”. The same article 54(1) part (c) entitles a person with a disability “to reasonable access to all places, public transport and information</w:t>
      </w:r>
      <w:r>
        <w:rPr>
          <w:rFonts w:ascii="Candara" w:eastAsia="Candara" w:hAnsi="Candara" w:cs="Candara"/>
          <w:sz w:val="24"/>
          <w:szCs w:val="24"/>
          <w:lang w:val="en-US"/>
        </w:rPr>
        <w:t>,</w:t>
      </w:r>
      <w:r w:rsidRPr="004B5468">
        <w:rPr>
          <w:rFonts w:ascii="Candara" w:eastAsia="Candara" w:hAnsi="Candara" w:cs="Candara"/>
          <w:sz w:val="24"/>
          <w:szCs w:val="24"/>
          <w:lang w:val="en-US"/>
        </w:rPr>
        <w:t xml:space="preserve"> enhance and promote personal mobility for persons with disabilities.</w:t>
      </w:r>
    </w:p>
    <w:p w14:paraId="3A319B0A" w14:textId="372E1757" w:rsidR="001611F3" w:rsidRDefault="001611F3" w:rsidP="007B5F0A">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These include;</w:t>
      </w:r>
      <w:r w:rsidRPr="00CF5377">
        <w:rPr>
          <w:rFonts w:ascii="Candara" w:eastAsia="Candara" w:hAnsi="Candara" w:cs="Candara"/>
          <w:bCs/>
          <w:sz w:val="24"/>
          <w:szCs w:val="24"/>
          <w:lang w:val="en-US"/>
        </w:rPr>
        <w:t xml:space="preserve"> </w:t>
      </w:r>
      <w:r>
        <w:rPr>
          <w:rFonts w:ascii="Candara" w:eastAsia="Candara" w:hAnsi="Candara" w:cs="Candara"/>
          <w:bCs/>
          <w:sz w:val="24"/>
          <w:szCs w:val="24"/>
          <w:lang w:val="en-US"/>
        </w:rPr>
        <w:t xml:space="preserve">the </w:t>
      </w:r>
      <w:r w:rsidRPr="00CF5377">
        <w:rPr>
          <w:rFonts w:ascii="Candara" w:eastAsia="Candara" w:hAnsi="Candara" w:cs="Candara"/>
          <w:bCs/>
          <w:sz w:val="24"/>
          <w:szCs w:val="24"/>
          <w:lang w:val="en-US"/>
        </w:rPr>
        <w:t xml:space="preserve">provision of assistive devices and assistive services to persons with disabilities by the National Council for </w:t>
      </w:r>
      <w:r>
        <w:rPr>
          <w:rFonts w:ascii="Candara" w:eastAsia="Candara" w:hAnsi="Candara" w:cs="Candara"/>
          <w:bCs/>
          <w:sz w:val="24"/>
          <w:szCs w:val="24"/>
          <w:lang w:val="en-US"/>
        </w:rPr>
        <w:t>P</w:t>
      </w:r>
      <w:r w:rsidRPr="00CF5377">
        <w:rPr>
          <w:rFonts w:ascii="Candara" w:eastAsia="Candara" w:hAnsi="Candara" w:cs="Candara"/>
          <w:bCs/>
          <w:sz w:val="24"/>
          <w:szCs w:val="24"/>
          <w:lang w:val="en-US"/>
        </w:rPr>
        <w:t xml:space="preserve">ersons with Disabilities (NCPWD) through </w:t>
      </w:r>
      <w:r>
        <w:rPr>
          <w:rFonts w:ascii="Candara" w:eastAsia="Candara" w:hAnsi="Candara" w:cs="Candara"/>
          <w:bCs/>
          <w:sz w:val="24"/>
          <w:szCs w:val="24"/>
          <w:lang w:val="en-US"/>
        </w:rPr>
        <w:t xml:space="preserve">the </w:t>
      </w:r>
      <w:r w:rsidRPr="00CF5377">
        <w:rPr>
          <w:rFonts w:ascii="Candara" w:eastAsia="Candara" w:hAnsi="Candara" w:cs="Candara"/>
          <w:bCs/>
          <w:sz w:val="24"/>
          <w:szCs w:val="24"/>
          <w:lang w:val="en-US"/>
        </w:rPr>
        <w:lastRenderedPageBreak/>
        <w:t>National Development Fund for Persons with Disabilities (NDFPWD)</w:t>
      </w:r>
      <w:r>
        <w:rPr>
          <w:rFonts w:ascii="Candara" w:eastAsia="Candara" w:hAnsi="Candara" w:cs="Candara"/>
          <w:bCs/>
          <w:sz w:val="24"/>
          <w:szCs w:val="24"/>
          <w:lang w:val="en-US"/>
        </w:rPr>
        <w:t>, the National Fund for the Disabled of Kenya (NFDK), p</w:t>
      </w:r>
      <w:r w:rsidRPr="00CF5377">
        <w:rPr>
          <w:rFonts w:ascii="Candara" w:eastAsia="Candara" w:hAnsi="Candara" w:cs="Candara"/>
          <w:bCs/>
          <w:sz w:val="24"/>
          <w:szCs w:val="24"/>
          <w:lang w:val="en-US"/>
        </w:rPr>
        <w:t>rovision of assistive devices for learners with disabilities in the Secondary Education under Quality Improvement project (SEQIP) and Training on Orientation and Mobility by Kenya Institute for Special Education</w:t>
      </w:r>
      <w:r>
        <w:rPr>
          <w:rFonts w:ascii="Candara" w:eastAsia="Candara" w:hAnsi="Candara" w:cs="Candara"/>
          <w:bCs/>
          <w:sz w:val="24"/>
          <w:szCs w:val="24"/>
          <w:lang w:val="en-US"/>
        </w:rPr>
        <w:t xml:space="preserve"> </w:t>
      </w:r>
      <w:r w:rsidRPr="00CF5377">
        <w:rPr>
          <w:rFonts w:ascii="Candara" w:eastAsia="Candara" w:hAnsi="Candara" w:cs="Candara"/>
          <w:bCs/>
          <w:sz w:val="24"/>
          <w:szCs w:val="24"/>
          <w:lang w:val="en-US"/>
        </w:rPr>
        <w:t>(KISE)</w:t>
      </w:r>
      <w:r>
        <w:rPr>
          <w:rFonts w:ascii="Candara" w:eastAsia="Candara" w:hAnsi="Candara" w:cs="Candara"/>
          <w:bCs/>
          <w:sz w:val="24"/>
          <w:szCs w:val="24"/>
          <w:lang w:val="en-US"/>
        </w:rPr>
        <w:t>.</w:t>
      </w:r>
    </w:p>
    <w:p w14:paraId="4CF27DA4" w14:textId="38BE697D" w:rsidR="001611F3" w:rsidRDefault="001611F3" w:rsidP="007B5F0A">
      <w:pPr>
        <w:spacing w:line="276" w:lineRule="auto"/>
        <w:jc w:val="both"/>
        <w:rPr>
          <w:rFonts w:ascii="Candara" w:eastAsia="Candara" w:hAnsi="Candara" w:cs="Candara"/>
          <w:bCs/>
          <w:sz w:val="24"/>
          <w:szCs w:val="24"/>
          <w:lang w:val="en-US"/>
        </w:rPr>
      </w:pPr>
      <w:r w:rsidRPr="00CF5377">
        <w:rPr>
          <w:rFonts w:ascii="Candara" w:eastAsia="Candara" w:hAnsi="Candara" w:cs="Candara"/>
          <w:bCs/>
          <w:sz w:val="24"/>
          <w:szCs w:val="24"/>
          <w:lang w:val="en-US"/>
        </w:rPr>
        <w:t xml:space="preserve">The current Social Protections schemes including National Health Insurance Fund (NHIF) and Universal Health Care (UHC) do not view </w:t>
      </w:r>
      <w:r>
        <w:rPr>
          <w:rFonts w:ascii="Candara" w:eastAsia="Candara" w:hAnsi="Candara" w:cs="Candara"/>
          <w:bCs/>
          <w:sz w:val="24"/>
          <w:szCs w:val="24"/>
          <w:lang w:val="en-US"/>
        </w:rPr>
        <w:t>a</w:t>
      </w:r>
      <w:r w:rsidRPr="00CF5377">
        <w:rPr>
          <w:rFonts w:ascii="Candara" w:eastAsia="Candara" w:hAnsi="Candara" w:cs="Candara"/>
          <w:bCs/>
          <w:sz w:val="24"/>
          <w:szCs w:val="24"/>
          <w:lang w:val="en-US"/>
        </w:rPr>
        <w:t xml:space="preserve">ssistive </w:t>
      </w:r>
      <w:r>
        <w:rPr>
          <w:rFonts w:ascii="Candara" w:eastAsia="Candara" w:hAnsi="Candara" w:cs="Candara"/>
          <w:bCs/>
          <w:sz w:val="24"/>
          <w:szCs w:val="24"/>
          <w:lang w:val="en-US"/>
        </w:rPr>
        <w:t>d</w:t>
      </w:r>
      <w:r w:rsidRPr="00CF5377">
        <w:rPr>
          <w:rFonts w:ascii="Candara" w:eastAsia="Candara" w:hAnsi="Candara" w:cs="Candara"/>
          <w:bCs/>
          <w:sz w:val="24"/>
          <w:szCs w:val="24"/>
          <w:lang w:val="en-US"/>
        </w:rPr>
        <w:t xml:space="preserve">evices as part of habilitation and rehabilitation services and because most of these devices are not manufactured locally, they have to be imported attracting importation tax and higher </w:t>
      </w:r>
      <w:r>
        <w:rPr>
          <w:rFonts w:ascii="Candara" w:eastAsia="Candara" w:hAnsi="Candara" w:cs="Candara"/>
          <w:bCs/>
          <w:sz w:val="24"/>
          <w:szCs w:val="24"/>
          <w:lang w:val="en-US"/>
        </w:rPr>
        <w:t>buyi</w:t>
      </w:r>
      <w:r w:rsidRPr="00CF5377">
        <w:rPr>
          <w:rFonts w:ascii="Candara" w:eastAsia="Candara" w:hAnsi="Candara" w:cs="Candara"/>
          <w:bCs/>
          <w:sz w:val="24"/>
          <w:szCs w:val="24"/>
          <w:lang w:val="en-US"/>
        </w:rPr>
        <w:t>ng prices thus, rendering them unaffordable to most persons with disabilities</w:t>
      </w:r>
      <w:r>
        <w:rPr>
          <w:rFonts w:ascii="Candara" w:eastAsia="Candara" w:hAnsi="Candara" w:cs="Candara"/>
          <w:bCs/>
          <w:sz w:val="24"/>
          <w:szCs w:val="24"/>
          <w:lang w:val="en-US"/>
        </w:rPr>
        <w:t>; and where exemption is provided, the process is too cumbersome, for among other reasons, the poor coordination between Kenya Revenue Authority and the NCPWD.</w:t>
      </w:r>
    </w:p>
    <w:p w14:paraId="7BE1B66D" w14:textId="6AD78837" w:rsidR="001611F3" w:rsidRDefault="001611F3" w:rsidP="007B5F0A">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Nairobi has been one of the cities under the </w:t>
      </w:r>
      <w:r w:rsidRPr="00C27178">
        <w:rPr>
          <w:rFonts w:ascii="Candara" w:eastAsia="Candara" w:hAnsi="Candara" w:cs="Candara"/>
          <w:bCs/>
          <w:sz w:val="24"/>
          <w:szCs w:val="24"/>
        </w:rPr>
        <w:t>case studies on inclusive design and the built environment in lower-and-middle-income countries</w:t>
      </w:r>
      <w:r>
        <w:rPr>
          <w:rFonts w:ascii="Candara" w:eastAsia="Candara" w:hAnsi="Candara" w:cs="Candara"/>
          <w:bCs/>
          <w:sz w:val="24"/>
          <w:szCs w:val="24"/>
          <w:lang w:val="en-US"/>
        </w:rPr>
        <w:t xml:space="preserve"> meant</w:t>
      </w:r>
      <w:r w:rsidRPr="00C27178">
        <w:rPr>
          <w:rFonts w:ascii="Candara" w:eastAsia="Candara" w:hAnsi="Candara" w:cs="Candara"/>
          <w:bCs/>
          <w:sz w:val="24"/>
          <w:szCs w:val="24"/>
        </w:rPr>
        <w:t xml:space="preserve"> to inform the ‘Global Action Report’ on inclusive city design</w:t>
      </w:r>
      <w:r>
        <w:rPr>
          <w:rFonts w:ascii="Candara" w:eastAsia="Candara" w:hAnsi="Candara" w:cs="Candara"/>
          <w:bCs/>
          <w:sz w:val="24"/>
          <w:szCs w:val="24"/>
          <w:lang w:val="en-US"/>
        </w:rPr>
        <w:t>. This is a positive step to ensuring that by</w:t>
      </w:r>
      <w:r w:rsidRPr="007B5BAE">
        <w:rPr>
          <w:rFonts w:ascii="Candara" w:eastAsia="Candara" w:hAnsi="Candara" w:cs="Candara"/>
          <w:bCs/>
          <w:sz w:val="24"/>
          <w:szCs w:val="24"/>
        </w:rPr>
        <w:t xml:space="preserve"> creating safe and accessible environments for all</w:t>
      </w:r>
      <w:r>
        <w:rPr>
          <w:rFonts w:ascii="Candara" w:eastAsia="Candara" w:hAnsi="Candara" w:cs="Candara"/>
          <w:bCs/>
          <w:sz w:val="24"/>
          <w:szCs w:val="24"/>
          <w:lang w:val="en-US"/>
        </w:rPr>
        <w:t xml:space="preserve">, </w:t>
      </w:r>
      <w:r w:rsidRPr="007B5BAE">
        <w:rPr>
          <w:rFonts w:ascii="Candara" w:eastAsia="Candara" w:hAnsi="Candara" w:cs="Candara"/>
          <w:bCs/>
          <w:sz w:val="24"/>
          <w:szCs w:val="24"/>
        </w:rPr>
        <w:t>the city can allow everyone</w:t>
      </w:r>
      <w:r>
        <w:rPr>
          <w:rFonts w:ascii="Candara" w:eastAsia="Candara" w:hAnsi="Candara" w:cs="Candara"/>
          <w:bCs/>
          <w:sz w:val="24"/>
          <w:szCs w:val="24"/>
          <w:lang w:val="en-US"/>
        </w:rPr>
        <w:t>, including persons with disabilities,</w:t>
      </w:r>
      <w:r w:rsidRPr="007B5BAE">
        <w:rPr>
          <w:rFonts w:ascii="Candara" w:eastAsia="Candara" w:hAnsi="Candara" w:cs="Candara"/>
          <w:bCs/>
          <w:sz w:val="24"/>
          <w:szCs w:val="24"/>
        </w:rPr>
        <w:t xml:space="preserve"> to access and participate in the opportunities they would like</w:t>
      </w:r>
      <w:r>
        <w:rPr>
          <w:rFonts w:ascii="Candara" w:eastAsia="Candara" w:hAnsi="Candara" w:cs="Candara"/>
          <w:bCs/>
          <w:sz w:val="24"/>
          <w:szCs w:val="24"/>
          <w:lang w:val="en-US"/>
        </w:rPr>
        <w:t xml:space="preserve"> on an equal basis with others.</w:t>
      </w:r>
    </w:p>
    <w:p w14:paraId="102EB274" w14:textId="77777777" w:rsidR="00757B1B" w:rsidRPr="00876B01" w:rsidRDefault="00757B1B" w:rsidP="007B5F0A">
      <w:pPr>
        <w:spacing w:line="276" w:lineRule="auto"/>
        <w:jc w:val="both"/>
        <w:rPr>
          <w:rFonts w:ascii="Candara" w:eastAsia="Candara" w:hAnsi="Candara" w:cs="Candara"/>
          <w:b/>
          <w:bCs/>
          <w:sz w:val="24"/>
          <w:szCs w:val="24"/>
          <w:lang w:val="en-US"/>
        </w:rPr>
      </w:pPr>
      <w:r w:rsidRPr="00876B01">
        <w:rPr>
          <w:rFonts w:ascii="Candara" w:eastAsia="Candara" w:hAnsi="Candara" w:cs="Candara"/>
          <w:b/>
          <w:bCs/>
          <w:sz w:val="24"/>
          <w:szCs w:val="24"/>
          <w:lang w:val="en-US"/>
        </w:rPr>
        <w:t>Article 22</w:t>
      </w:r>
      <w:r>
        <w:rPr>
          <w:rFonts w:ascii="Candara" w:eastAsia="Candara" w:hAnsi="Candara" w:cs="Candara"/>
          <w:b/>
          <w:bCs/>
          <w:sz w:val="24"/>
          <w:szCs w:val="24"/>
          <w:lang w:val="en-US"/>
        </w:rPr>
        <w:t xml:space="preserve"> </w:t>
      </w:r>
      <w:r w:rsidRPr="00876B01">
        <w:rPr>
          <w:rFonts w:ascii="Candara" w:eastAsia="Candara" w:hAnsi="Candara" w:cs="Candara"/>
          <w:b/>
          <w:bCs/>
          <w:sz w:val="24"/>
          <w:szCs w:val="24"/>
          <w:lang w:val="en-US"/>
        </w:rPr>
        <w:t>Respect for privacy</w:t>
      </w:r>
    </w:p>
    <w:p w14:paraId="69918F2D" w14:textId="414059A1" w:rsidR="00757B1B" w:rsidRDefault="00757B1B" w:rsidP="007B5F0A">
      <w:pPr>
        <w:spacing w:line="276" w:lineRule="auto"/>
        <w:jc w:val="both"/>
        <w:rPr>
          <w:rFonts w:ascii="Candara" w:eastAsia="Candara" w:hAnsi="Candara" w:cs="Candara"/>
          <w:bCs/>
          <w:sz w:val="24"/>
          <w:szCs w:val="24"/>
          <w:lang w:val="en-US"/>
        </w:rPr>
      </w:pPr>
      <w:r w:rsidRPr="00757B1B">
        <w:rPr>
          <w:rFonts w:ascii="Candara" w:eastAsia="Candara" w:hAnsi="Candara" w:cs="Candara"/>
          <w:bCs/>
          <w:sz w:val="24"/>
          <w:szCs w:val="24"/>
          <w:lang w:val="en-US"/>
        </w:rPr>
        <w:t>Cases of social media influencers, parents, and caregivers have been reported posting videos (audiovisuals) on social media (Facebook, YouTube) which portray children and adults with intellectual disabilities and autistic persons in their most vulnerable state. Institutions have also used non-consensual portrayals of children and adults with disabilities as helpless in their campaign for resource mobilization.</w:t>
      </w:r>
    </w:p>
    <w:p w14:paraId="7E4234DA" w14:textId="03784173" w:rsidR="001611F3" w:rsidRPr="00757B1B" w:rsidRDefault="00757B1B" w:rsidP="007B5F0A">
      <w:pPr>
        <w:spacing w:line="276" w:lineRule="auto"/>
        <w:jc w:val="both"/>
        <w:rPr>
          <w:rFonts w:ascii="Candara" w:eastAsia="Candara" w:hAnsi="Candara" w:cs="Candara"/>
          <w:b/>
          <w:bCs/>
          <w:sz w:val="24"/>
          <w:szCs w:val="24"/>
          <w:lang w:val="en-US"/>
        </w:rPr>
      </w:pPr>
      <w:r w:rsidRPr="00BD7BA1">
        <w:rPr>
          <w:rFonts w:ascii="Candara" w:eastAsia="Candara" w:hAnsi="Candara" w:cs="Candara"/>
          <w:b/>
          <w:bCs/>
          <w:sz w:val="24"/>
          <w:szCs w:val="24"/>
          <w:lang w:val="en-US"/>
        </w:rPr>
        <w:t>Article 23- Respect for home and the family</w:t>
      </w:r>
    </w:p>
    <w:p w14:paraId="460F0E1C" w14:textId="1F01F542" w:rsidR="00CF321F" w:rsidRDefault="00757B1B" w:rsidP="007B5F0A">
      <w:pPr>
        <w:jc w:val="both"/>
        <w:rPr>
          <w:rFonts w:ascii="Candara" w:eastAsia="Candara" w:hAnsi="Candara" w:cs="Candara"/>
          <w:bCs/>
          <w:sz w:val="24"/>
          <w:szCs w:val="24"/>
          <w:lang w:val="en-US"/>
        </w:rPr>
      </w:pPr>
      <w:r>
        <w:rPr>
          <w:rFonts w:ascii="Candara" w:eastAsia="Candara" w:hAnsi="Candara" w:cs="Candara"/>
          <w:bCs/>
          <w:sz w:val="24"/>
          <w:szCs w:val="24"/>
          <w:lang w:val="en-US"/>
        </w:rPr>
        <w:t xml:space="preserve">It </w:t>
      </w:r>
      <w:r w:rsidRPr="008A4969">
        <w:rPr>
          <w:rFonts w:ascii="Candara" w:eastAsia="Candara" w:hAnsi="Candara" w:cs="Candara"/>
          <w:bCs/>
          <w:sz w:val="24"/>
          <w:szCs w:val="24"/>
          <w:lang w:val="en-US"/>
        </w:rPr>
        <w:t>states that ‘the State shall establish such institutions or facilities including child care facilities, health facilities, and educational institutions as may be necessary’ to ensure the progressive realization of the rights of children with disabilities</w:t>
      </w:r>
      <w:r>
        <w:rPr>
          <w:rFonts w:ascii="Candara" w:eastAsia="Candara" w:hAnsi="Candara" w:cs="Candara"/>
          <w:bCs/>
          <w:sz w:val="24"/>
          <w:szCs w:val="24"/>
          <w:lang w:val="en-US"/>
        </w:rPr>
        <w:t>.</w:t>
      </w:r>
    </w:p>
    <w:p w14:paraId="63E7D7A3" w14:textId="2053C7BC" w:rsidR="00757B1B" w:rsidRDefault="00757B1B" w:rsidP="007B5F0A">
      <w:p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Section 11, states that a union is not considered to be a marriage if at the time of making the union, Section</w:t>
      </w:r>
      <w:r>
        <w:rPr>
          <w:rFonts w:ascii="Candara" w:eastAsia="Candara" w:hAnsi="Candara" w:cs="Candara"/>
          <w:bCs/>
          <w:sz w:val="24"/>
          <w:szCs w:val="24"/>
          <w:lang w:val="en-US"/>
        </w:rPr>
        <w:t xml:space="preserve"> </w:t>
      </w:r>
      <w:r w:rsidRPr="00BD7BA1">
        <w:rPr>
          <w:rFonts w:ascii="Candara" w:eastAsia="Candara" w:hAnsi="Candara" w:cs="Candara"/>
          <w:bCs/>
          <w:sz w:val="24"/>
          <w:szCs w:val="24"/>
          <w:lang w:val="en-US"/>
        </w:rPr>
        <w:t xml:space="preserve">11, 2 (c)- consent cannot be freely given where the party that purports to give that consent is suffering from a mental condition whether permanent or temporary. Subsequently, 12 (a) (ii)- states that a marriage is voidable if at the date of marriage either party </w:t>
      </w:r>
      <w:r>
        <w:rPr>
          <w:rFonts w:ascii="Candara" w:eastAsia="Candara" w:hAnsi="Candara" w:cs="Candara"/>
          <w:bCs/>
          <w:sz w:val="24"/>
          <w:szCs w:val="24"/>
          <w:lang w:val="en-US"/>
        </w:rPr>
        <w:t>was,</w:t>
      </w:r>
      <w:r w:rsidRPr="00BD7BA1">
        <w:rPr>
          <w:rFonts w:ascii="Candara" w:eastAsia="Candara" w:hAnsi="Candara" w:cs="Candara"/>
          <w:bCs/>
          <w:sz w:val="24"/>
          <w:szCs w:val="24"/>
          <w:lang w:val="en-US"/>
        </w:rPr>
        <w:t xml:space="preserve"> and has ever since remained subject to recurrent attacks of insanity.</w:t>
      </w:r>
    </w:p>
    <w:p w14:paraId="4922400D" w14:textId="6F149FA1" w:rsidR="00757B1B" w:rsidRPr="00757B1B" w:rsidRDefault="00757B1B" w:rsidP="007B5F0A">
      <w:pPr>
        <w:spacing w:line="276" w:lineRule="auto"/>
        <w:jc w:val="both"/>
        <w:rPr>
          <w:rFonts w:ascii="Candara" w:eastAsia="Candara" w:hAnsi="Candara" w:cs="Candara"/>
          <w:b/>
          <w:bCs/>
          <w:sz w:val="24"/>
          <w:szCs w:val="24"/>
          <w:lang w:val="en-US"/>
        </w:rPr>
      </w:pPr>
      <w:r w:rsidRPr="00BD7BA1">
        <w:rPr>
          <w:rFonts w:ascii="Candara" w:eastAsia="Candara" w:hAnsi="Candara" w:cs="Candara"/>
          <w:b/>
          <w:bCs/>
          <w:sz w:val="24"/>
          <w:szCs w:val="24"/>
          <w:lang w:val="en-US"/>
        </w:rPr>
        <w:t>Article 24-Education</w:t>
      </w:r>
    </w:p>
    <w:p w14:paraId="292AA425" w14:textId="5B8B2619" w:rsidR="00757B1B" w:rsidRDefault="00757B1B" w:rsidP="007B5F0A">
      <w:pPr>
        <w:jc w:val="both"/>
        <w:rPr>
          <w:rFonts w:ascii="Candara" w:eastAsia="Candara" w:hAnsi="Candara" w:cs="Candara"/>
          <w:bCs/>
          <w:sz w:val="24"/>
          <w:szCs w:val="24"/>
          <w:lang w:val="en-US"/>
        </w:rPr>
      </w:pPr>
      <w:r>
        <w:rPr>
          <w:rFonts w:ascii="Candara" w:eastAsia="Candara" w:hAnsi="Candara" w:cs="Candara"/>
          <w:bCs/>
          <w:sz w:val="24"/>
          <w:szCs w:val="24"/>
          <w:lang w:val="en-US"/>
        </w:rPr>
        <w:t>“T</w:t>
      </w:r>
      <w:r w:rsidRPr="00BD7BA1">
        <w:rPr>
          <w:rFonts w:ascii="Candara" w:eastAsia="Candara" w:hAnsi="Candara" w:cs="Candara"/>
          <w:bCs/>
          <w:sz w:val="24"/>
          <w:szCs w:val="24"/>
          <w:lang w:val="en-US"/>
        </w:rPr>
        <w:t xml:space="preserve">he </w:t>
      </w:r>
      <w:r>
        <w:rPr>
          <w:rFonts w:ascii="Candara" w:eastAsia="Candara" w:hAnsi="Candara" w:cs="Candara"/>
          <w:bCs/>
          <w:sz w:val="24"/>
          <w:szCs w:val="24"/>
          <w:lang w:val="en-US"/>
        </w:rPr>
        <w:t xml:space="preserve">framework provides for two pathways, the Age-Based Pathway for regular learners and learners with special needs who use the regular curriculum with adaptations, and Stage Based Pathway for learners with intellectual and developmental disabilities, autism, </w:t>
      </w:r>
      <w:r>
        <w:rPr>
          <w:rFonts w:ascii="Candara" w:eastAsia="Candara" w:hAnsi="Candara" w:cs="Candara"/>
          <w:bCs/>
          <w:sz w:val="24"/>
          <w:szCs w:val="24"/>
          <w:lang w:val="en-US"/>
        </w:rPr>
        <w:lastRenderedPageBreak/>
        <w:t>deafblindness, and multiple disabilities”</w:t>
      </w:r>
      <w:r>
        <w:rPr>
          <w:rStyle w:val="FootnoteReference"/>
          <w:rFonts w:ascii="Candara" w:eastAsia="Candara" w:hAnsi="Candara" w:cs="Candara"/>
          <w:bCs/>
          <w:sz w:val="24"/>
          <w:szCs w:val="24"/>
          <w:lang w:val="en-US"/>
        </w:rPr>
        <w:footnoteReference w:id="41"/>
      </w:r>
      <w:r>
        <w:rPr>
          <w:rFonts w:ascii="Candara" w:eastAsia="Candara" w:hAnsi="Candara" w:cs="Candara"/>
          <w:bCs/>
          <w:sz w:val="24"/>
          <w:szCs w:val="24"/>
          <w:lang w:val="en-US"/>
        </w:rPr>
        <w:t>. The Stage Based Pathway is further divided into Foundation, Intermediate, Pre-vocational, and Vocational Levels.</w:t>
      </w:r>
      <w:r w:rsidRPr="00BD7BA1">
        <w:rPr>
          <w:rFonts w:ascii="Candara" w:eastAsia="Candara" w:hAnsi="Candara" w:cs="Candara"/>
          <w:bCs/>
          <w:sz w:val="24"/>
          <w:szCs w:val="24"/>
          <w:lang w:val="en-US"/>
        </w:rPr>
        <w:t xml:space="preserve"> The CBC policy and framework for the training of teachers on how to deliver the CBC training</w:t>
      </w:r>
      <w:r>
        <w:rPr>
          <w:rFonts w:ascii="Candara" w:eastAsia="Candara" w:hAnsi="Candara" w:cs="Candara"/>
          <w:bCs/>
          <w:sz w:val="24"/>
          <w:szCs w:val="24"/>
          <w:lang w:val="en-US"/>
        </w:rPr>
        <w:t>,</w:t>
      </w:r>
      <w:r w:rsidRPr="00BD7BA1">
        <w:rPr>
          <w:rFonts w:ascii="Candara" w:eastAsia="Candara" w:hAnsi="Candara" w:cs="Candara"/>
          <w:bCs/>
          <w:sz w:val="24"/>
          <w:szCs w:val="24"/>
          <w:lang w:val="en-US"/>
        </w:rPr>
        <w:t xml:space="preserve"> in its interpretation of the differentiated curriculum as envisioned </w:t>
      </w:r>
      <w:r>
        <w:rPr>
          <w:rFonts w:ascii="Candara" w:eastAsia="Candara" w:hAnsi="Candara" w:cs="Candara"/>
          <w:bCs/>
          <w:sz w:val="24"/>
          <w:szCs w:val="24"/>
          <w:lang w:val="en-US"/>
        </w:rPr>
        <w:t xml:space="preserve">for the </w:t>
      </w:r>
      <w:r w:rsidRPr="00BD7BA1">
        <w:rPr>
          <w:rFonts w:ascii="Candara" w:eastAsia="Candara" w:hAnsi="Candara" w:cs="Candara"/>
          <w:bCs/>
          <w:sz w:val="24"/>
          <w:szCs w:val="24"/>
          <w:lang w:val="en-US"/>
        </w:rPr>
        <w:t>Sector Policy for learners and trainees with disabilities</w:t>
      </w:r>
      <w:r>
        <w:rPr>
          <w:rFonts w:ascii="Candara" w:eastAsia="Candara" w:hAnsi="Candara" w:cs="Candara"/>
          <w:bCs/>
          <w:sz w:val="24"/>
          <w:szCs w:val="24"/>
          <w:lang w:val="en-US"/>
        </w:rPr>
        <w:t>,</w:t>
      </w:r>
      <w:r w:rsidRPr="00BD7BA1">
        <w:rPr>
          <w:rFonts w:ascii="Candara" w:eastAsia="Candara" w:hAnsi="Candara" w:cs="Candara"/>
          <w:bCs/>
          <w:sz w:val="24"/>
          <w:szCs w:val="24"/>
          <w:lang w:val="en-US"/>
        </w:rPr>
        <w:t xml:space="preserve"> perpetuates segregated learning for learners with intellectu</w:t>
      </w:r>
      <w:r w:rsidRPr="008C2FE6">
        <w:rPr>
          <w:rFonts w:ascii="Candara" w:eastAsia="Candara" w:hAnsi="Candara" w:cs="Candara"/>
          <w:bCs/>
          <w:sz w:val="24"/>
          <w:szCs w:val="24"/>
          <w:lang w:val="en-US"/>
        </w:rPr>
        <w:t>al disabilities</w:t>
      </w:r>
      <w:r>
        <w:rPr>
          <w:rFonts w:ascii="Candara" w:eastAsia="Candara" w:hAnsi="Candara" w:cs="Candara"/>
          <w:bCs/>
          <w:sz w:val="24"/>
          <w:szCs w:val="24"/>
          <w:lang w:val="en-US"/>
        </w:rPr>
        <w:t xml:space="preserve"> and those who are autistic.</w:t>
      </w:r>
    </w:p>
    <w:p w14:paraId="603AEDAF" w14:textId="77777777" w:rsidR="00C82CB3" w:rsidRDefault="00C82CB3" w:rsidP="007B5F0A">
      <w:pPr>
        <w:spacing w:line="276" w:lineRule="auto"/>
        <w:jc w:val="both"/>
        <w:rPr>
          <w:rFonts w:ascii="Candara" w:eastAsia="Candara" w:hAnsi="Candara" w:cs="Candara"/>
          <w:bCs/>
          <w:sz w:val="24"/>
          <w:szCs w:val="24"/>
          <w:lang w:val="en-US"/>
        </w:rPr>
      </w:pPr>
      <w:r w:rsidRPr="00BD7BA1">
        <w:rPr>
          <w:rFonts w:ascii="Candara" w:eastAsia="Candara" w:hAnsi="Candara" w:cs="Candara"/>
          <w:bCs/>
          <w:sz w:val="24"/>
          <w:szCs w:val="24"/>
          <w:lang w:val="en-US"/>
        </w:rPr>
        <w:t xml:space="preserve">EARC officers were redeployed as Curriculum Support Officers. There is also a problem in the way the assessment is conducted in that it continues to assess the disability instead of the learning requirements of the child. </w:t>
      </w:r>
      <w:r>
        <w:rPr>
          <w:rFonts w:ascii="Candara" w:eastAsia="Candara" w:hAnsi="Candara" w:cs="Candara"/>
          <w:bCs/>
          <w:sz w:val="24"/>
          <w:szCs w:val="24"/>
          <w:lang w:val="en-US"/>
        </w:rPr>
        <w:t xml:space="preserve">There is need streamline the operations of EARCs including properly staffing them and giving them staff have proper job descriptions and resourcing. </w:t>
      </w:r>
    </w:p>
    <w:p w14:paraId="6103DB7B" w14:textId="77E347BB" w:rsidR="00E910A1" w:rsidRPr="00E910A1" w:rsidRDefault="00E910A1" w:rsidP="007B5F0A">
      <w:pPr>
        <w:spacing w:line="276" w:lineRule="auto"/>
        <w:jc w:val="both"/>
        <w:rPr>
          <w:rFonts w:ascii="Candara" w:eastAsia="Candara" w:hAnsi="Candara" w:cs="Candara"/>
          <w:b/>
          <w:bCs/>
          <w:sz w:val="24"/>
          <w:szCs w:val="24"/>
          <w:lang w:val="en-US"/>
        </w:rPr>
      </w:pPr>
      <w:r w:rsidRPr="003001DA">
        <w:rPr>
          <w:rFonts w:ascii="Candara" w:eastAsia="Candara" w:hAnsi="Candara" w:cs="Candara"/>
          <w:b/>
          <w:bCs/>
          <w:sz w:val="24"/>
          <w:szCs w:val="24"/>
          <w:lang w:val="en-US"/>
        </w:rPr>
        <w:t>Article 28 Adequate standard of living and social protection</w:t>
      </w:r>
    </w:p>
    <w:p w14:paraId="04418293" w14:textId="7C7F399B" w:rsidR="00C82CB3" w:rsidRDefault="00E910A1" w:rsidP="007B5F0A">
      <w:pPr>
        <w:jc w:val="both"/>
        <w:rPr>
          <w:rFonts w:ascii="Candara" w:eastAsia="Candara" w:hAnsi="Candara" w:cs="Candara"/>
          <w:bCs/>
          <w:sz w:val="24"/>
          <w:szCs w:val="24"/>
          <w:lang w:val="en-US"/>
        </w:rPr>
      </w:pPr>
      <w:r w:rsidRPr="00577E43">
        <w:rPr>
          <w:rFonts w:ascii="Candara" w:eastAsia="Candara" w:hAnsi="Candara" w:cs="Candara"/>
          <w:bCs/>
          <w:sz w:val="24"/>
          <w:szCs w:val="24"/>
          <w:lang w:val="en-US"/>
        </w:rPr>
        <w:t>The Needs Assessment was commissioned to gather information in order to address challenges in overcoming barriers to accessing education, health care, employment, and participation in the community faced by persons with disabilities due to inadequate support services, assistive devices, and income support. It assessed the support needs of persons with disabilities and their primary caregivers to determine the extent to which the support needs are met and how they varied by type and degree of functioning difficulties, personal characteristics, household composition, and socio-economic conditions of the households</w:t>
      </w:r>
      <w:r w:rsidRPr="00577E43">
        <w:rPr>
          <w:rFonts w:ascii="Candara" w:eastAsia="Candara" w:hAnsi="Candara" w:cs="Candara"/>
          <w:bCs/>
          <w:sz w:val="24"/>
          <w:szCs w:val="24"/>
          <w:vertAlign w:val="superscript"/>
          <w:lang w:val="en-US"/>
        </w:rPr>
        <w:footnoteReference w:id="42"/>
      </w:r>
      <w:r w:rsidRPr="00577E43">
        <w:rPr>
          <w:rFonts w:ascii="Candara" w:eastAsia="Candara" w:hAnsi="Candara" w:cs="Candara"/>
          <w:bCs/>
          <w:sz w:val="24"/>
          <w:szCs w:val="24"/>
          <w:lang w:val="en-US"/>
        </w:rPr>
        <w:t>. In its analysis, the assessment recognizes that different persons with disabilities require support in different activities and domains such as self-care (e.g., personal assistance), communication (e.g., sign language interpreters), mobility (e.g., guide, guide interpreters, assistive devices, and transport), decision making (e.g., peer support, personal ombudsman), community participation (e.g., circle of support)</w:t>
      </w:r>
      <w:r w:rsidRPr="00577E43">
        <w:rPr>
          <w:rFonts w:ascii="Candara" w:eastAsia="Candara" w:hAnsi="Candara" w:cs="Candara"/>
          <w:bCs/>
          <w:sz w:val="24"/>
          <w:szCs w:val="24"/>
          <w:vertAlign w:val="superscript"/>
          <w:lang w:val="en-US"/>
        </w:rPr>
        <w:footnoteReference w:id="43"/>
      </w:r>
      <w:r w:rsidRPr="00577E43">
        <w:rPr>
          <w:rFonts w:ascii="Candara" w:eastAsia="Candara" w:hAnsi="Candara" w:cs="Candara"/>
          <w:bCs/>
          <w:sz w:val="24"/>
          <w:szCs w:val="24"/>
          <w:lang w:val="en-US"/>
        </w:rPr>
        <w:t>.</w:t>
      </w:r>
    </w:p>
    <w:p w14:paraId="37D1DDD4" w14:textId="4CA85C6A" w:rsidR="00E910A1" w:rsidRPr="00E910A1" w:rsidRDefault="00E910A1" w:rsidP="007B5F0A">
      <w:pPr>
        <w:spacing w:line="276" w:lineRule="auto"/>
        <w:jc w:val="both"/>
        <w:rPr>
          <w:rFonts w:ascii="Candara" w:eastAsia="Candara" w:hAnsi="Candara" w:cs="Candara"/>
          <w:b/>
          <w:bCs/>
          <w:sz w:val="24"/>
          <w:szCs w:val="24"/>
          <w:lang w:val="en-US"/>
        </w:rPr>
      </w:pPr>
      <w:r w:rsidRPr="003001DA">
        <w:rPr>
          <w:rFonts w:ascii="Candara" w:eastAsia="Candara" w:hAnsi="Candara" w:cs="Candara"/>
          <w:b/>
          <w:bCs/>
          <w:sz w:val="24"/>
          <w:szCs w:val="24"/>
          <w:lang w:val="en-US"/>
        </w:rPr>
        <w:t>Article 29 Participation in political and public life</w:t>
      </w:r>
    </w:p>
    <w:p w14:paraId="40539367" w14:textId="5DD38E7D" w:rsidR="00E910A1" w:rsidRDefault="00E910A1" w:rsidP="007B5F0A">
      <w:pPr>
        <w:jc w:val="both"/>
        <w:rPr>
          <w:rFonts w:ascii="Candara" w:eastAsia="Candara" w:hAnsi="Candara" w:cs="Candara"/>
          <w:bCs/>
          <w:sz w:val="24"/>
          <w:szCs w:val="24"/>
          <w:lang w:val="en-US"/>
        </w:rPr>
      </w:pPr>
      <w:r w:rsidRPr="003001DA">
        <w:rPr>
          <w:rFonts w:ascii="Candara" w:eastAsia="Candara" w:hAnsi="Candara" w:cs="Candara"/>
          <w:bCs/>
          <w:sz w:val="24"/>
          <w:szCs w:val="24"/>
          <w:lang w:val="en-US"/>
        </w:rPr>
        <w:t>Article 54 (2) provides for the progressive realization of 5% representation of persons with disabilities in all elective and appointive positions. The Elections Act of 2011 (amended) and Political Parties Act of 2011 (amended), all recognize the participation of persons with disabilities in political processes. The constitution provides for representation in the National Assembly, the Senate, and the County Assembly. The County Government Act of 2012 in Section 7A, specifically provides that any county assembly which does not have representation of persons with disabilities is not duly and fully constituted.</w:t>
      </w:r>
    </w:p>
    <w:p w14:paraId="180E41F5" w14:textId="0871BB28" w:rsidR="00B04A93" w:rsidRDefault="00B04A93" w:rsidP="007B5F0A">
      <w:pPr>
        <w:jc w:val="both"/>
        <w:rPr>
          <w:rFonts w:ascii="Candara" w:eastAsia="Candara" w:hAnsi="Candara" w:cs="Candara"/>
          <w:bCs/>
          <w:sz w:val="24"/>
          <w:szCs w:val="24"/>
          <w:lang w:val="en-US"/>
        </w:rPr>
      </w:pPr>
      <w:r w:rsidRPr="003001DA">
        <w:rPr>
          <w:rFonts w:ascii="Candara" w:eastAsia="Candara" w:hAnsi="Candara" w:cs="Candara"/>
          <w:bCs/>
          <w:sz w:val="24"/>
          <w:szCs w:val="24"/>
          <w:lang w:val="en-US"/>
        </w:rPr>
        <w:t xml:space="preserve">For instance, in </w:t>
      </w:r>
      <w:r>
        <w:rPr>
          <w:rFonts w:ascii="Candara" w:eastAsia="Candara" w:hAnsi="Candara" w:cs="Candara"/>
          <w:bCs/>
          <w:sz w:val="24"/>
          <w:szCs w:val="24"/>
          <w:lang w:val="en-US"/>
        </w:rPr>
        <w:t xml:space="preserve">the </w:t>
      </w:r>
      <w:r w:rsidRPr="003001DA">
        <w:rPr>
          <w:rFonts w:ascii="Candara" w:eastAsia="Candara" w:hAnsi="Candara" w:cs="Candara"/>
          <w:bCs/>
          <w:sz w:val="24"/>
          <w:szCs w:val="24"/>
          <w:lang w:val="en-US"/>
        </w:rPr>
        <w:t xml:space="preserve">2013 general election, only 4 out of 47 county assemblies did not have representation of persons with disabilities, in 2017 17 county assemblies did not have a representative of persons with disabilities and in 2022, a </w:t>
      </w:r>
      <w:r>
        <w:rPr>
          <w:rFonts w:ascii="Candara" w:eastAsia="Candara" w:hAnsi="Candara" w:cs="Candara"/>
          <w:bCs/>
          <w:sz w:val="24"/>
          <w:szCs w:val="24"/>
          <w:lang w:val="en-US"/>
        </w:rPr>
        <w:t>whopping</w:t>
      </w:r>
      <w:r w:rsidRPr="003001DA">
        <w:rPr>
          <w:rFonts w:ascii="Candara" w:eastAsia="Candara" w:hAnsi="Candara" w:cs="Candara"/>
          <w:bCs/>
          <w:sz w:val="24"/>
          <w:szCs w:val="24"/>
          <w:lang w:val="en-US"/>
        </w:rPr>
        <w:t xml:space="preserve"> 21 county assemblies </w:t>
      </w:r>
      <w:r w:rsidRPr="003001DA">
        <w:rPr>
          <w:rFonts w:ascii="Candara" w:eastAsia="Candara" w:hAnsi="Candara" w:cs="Candara"/>
          <w:bCs/>
          <w:sz w:val="24"/>
          <w:szCs w:val="24"/>
          <w:lang w:val="en-US"/>
        </w:rPr>
        <w:lastRenderedPageBreak/>
        <w:t xml:space="preserve">do not </w:t>
      </w:r>
      <w:r>
        <w:rPr>
          <w:rFonts w:ascii="Candara" w:eastAsia="Candara" w:hAnsi="Candara" w:cs="Candara"/>
          <w:bCs/>
          <w:sz w:val="24"/>
          <w:szCs w:val="24"/>
          <w:lang w:val="en-US"/>
        </w:rPr>
        <w:t xml:space="preserve">have </w:t>
      </w:r>
      <w:r w:rsidRPr="003001DA">
        <w:rPr>
          <w:rFonts w:ascii="Candara" w:eastAsia="Candara" w:hAnsi="Candara" w:cs="Candara"/>
          <w:bCs/>
          <w:sz w:val="24"/>
          <w:szCs w:val="24"/>
          <w:lang w:val="en-US"/>
        </w:rPr>
        <w:t>a representative</w:t>
      </w:r>
      <w:r>
        <w:rPr>
          <w:rStyle w:val="FootnoteReference"/>
          <w:rFonts w:ascii="Candara" w:eastAsia="Candara" w:hAnsi="Candara" w:cs="Candara"/>
          <w:bCs/>
          <w:sz w:val="24"/>
          <w:szCs w:val="24"/>
          <w:lang w:val="en-US"/>
        </w:rPr>
        <w:footnoteReference w:id="44"/>
      </w:r>
      <w:r w:rsidRPr="003001DA">
        <w:rPr>
          <w:rFonts w:ascii="Candara" w:eastAsia="Candara" w:hAnsi="Candara" w:cs="Candara"/>
          <w:bCs/>
          <w:sz w:val="24"/>
          <w:szCs w:val="24"/>
          <w:lang w:val="en-US"/>
        </w:rPr>
        <w:t xml:space="preserve">. </w:t>
      </w:r>
      <w:r w:rsidRPr="00D2652B">
        <w:rPr>
          <w:rFonts w:ascii="Candara" w:eastAsia="Candara" w:hAnsi="Candara" w:cs="Candara"/>
          <w:bCs/>
          <w:sz w:val="24"/>
          <w:szCs w:val="24"/>
          <w:lang w:val="en-US"/>
        </w:rPr>
        <w:t xml:space="preserve">This is caused by the failure of the government to review the Elections Act and other legislation to clarify nomination processes, specifically, the nomination of persons with disabilities in the county assemblies. The Special Interest Groups Representation Bill was introduced in the life of the last parliament. Despite individuals and </w:t>
      </w:r>
      <w:r>
        <w:rPr>
          <w:rFonts w:ascii="Candara" w:eastAsia="Candara" w:hAnsi="Candara" w:cs="Candara"/>
          <w:bCs/>
          <w:sz w:val="24"/>
          <w:szCs w:val="24"/>
          <w:lang w:val="en-US"/>
        </w:rPr>
        <w:t>organizations of persons with disabilities</w:t>
      </w:r>
      <w:r w:rsidRPr="00D2652B">
        <w:rPr>
          <w:rFonts w:ascii="Candara" w:eastAsia="Candara" w:hAnsi="Candara" w:cs="Candara"/>
          <w:bCs/>
          <w:sz w:val="24"/>
          <w:szCs w:val="24"/>
          <w:lang w:val="en-US"/>
        </w:rPr>
        <w:t xml:space="preserve"> approaching the courts for clarity, there is still no clarity on the process since the courts do not have powers to legislate.</w:t>
      </w:r>
    </w:p>
    <w:p w14:paraId="559B9004" w14:textId="77777777" w:rsidR="00B04A93" w:rsidRDefault="00B04A93" w:rsidP="007B5F0A">
      <w:pPr>
        <w:spacing w:line="276" w:lineRule="auto"/>
        <w:jc w:val="both"/>
        <w:rPr>
          <w:rFonts w:ascii="Candara" w:eastAsia="Candara" w:hAnsi="Candara" w:cs="Candara"/>
          <w:bCs/>
          <w:sz w:val="24"/>
          <w:szCs w:val="24"/>
          <w:lang w:val="en-US"/>
        </w:rPr>
      </w:pPr>
      <w:r>
        <w:rPr>
          <w:rFonts w:ascii="Candara" w:eastAsia="Candara" w:hAnsi="Candara" w:cs="Candara"/>
          <w:bCs/>
          <w:sz w:val="24"/>
          <w:szCs w:val="24"/>
          <w:lang w:val="en-US"/>
        </w:rPr>
        <w:t xml:space="preserve">The DICC was formed as </w:t>
      </w:r>
      <w:r w:rsidRPr="003001DA">
        <w:rPr>
          <w:rFonts w:ascii="Candara" w:eastAsia="Candara" w:hAnsi="Candara" w:cs="Candara"/>
          <w:bCs/>
          <w:sz w:val="24"/>
          <w:szCs w:val="24"/>
          <w:lang w:val="en-US"/>
        </w:rPr>
        <w:t>the mechanism for coordinating disability inclusion in electoral processes.</w:t>
      </w:r>
      <w:r>
        <w:rPr>
          <w:rFonts w:ascii="Candara" w:eastAsia="Candara" w:hAnsi="Candara" w:cs="Candara"/>
          <w:bCs/>
          <w:sz w:val="24"/>
          <w:szCs w:val="24"/>
          <w:lang w:val="en-US"/>
        </w:rPr>
        <w:t xml:space="preserve"> </w:t>
      </w:r>
      <w:r w:rsidRPr="003001DA">
        <w:rPr>
          <w:rFonts w:ascii="Candara" w:eastAsia="Candara" w:hAnsi="Candara" w:cs="Candara"/>
          <w:bCs/>
          <w:sz w:val="24"/>
          <w:szCs w:val="24"/>
          <w:lang w:val="en-US"/>
        </w:rPr>
        <w:t xml:space="preserve"> </w:t>
      </w:r>
      <w:r>
        <w:rPr>
          <w:rFonts w:ascii="Candara" w:eastAsia="Candara" w:hAnsi="Candara" w:cs="Candara"/>
          <w:bCs/>
          <w:sz w:val="24"/>
          <w:szCs w:val="24"/>
          <w:lang w:val="en-US"/>
        </w:rPr>
        <w:t>The DICC was involved in consultations towards the elections</w:t>
      </w:r>
      <w:r w:rsidRPr="00CF3CE3">
        <w:rPr>
          <w:rFonts w:ascii="Candara" w:eastAsia="Candara" w:hAnsi="Candara" w:cs="Candara"/>
          <w:bCs/>
          <w:sz w:val="24"/>
          <w:szCs w:val="24"/>
          <w:lang w:val="en-US"/>
        </w:rPr>
        <w:t xml:space="preserve"> </w:t>
      </w:r>
      <w:r>
        <w:rPr>
          <w:rFonts w:ascii="Candara" w:eastAsia="Candara" w:hAnsi="Candara" w:cs="Candara"/>
          <w:bCs/>
          <w:sz w:val="24"/>
          <w:szCs w:val="24"/>
          <w:lang w:val="en-US"/>
        </w:rPr>
        <w:t>however, it having been constituted late into the election process limited its impact. As such,</w:t>
      </w:r>
      <w:r w:rsidRPr="003001DA">
        <w:rPr>
          <w:rFonts w:ascii="Candara" w:eastAsia="Candara" w:hAnsi="Candara" w:cs="Candara"/>
          <w:bCs/>
          <w:sz w:val="24"/>
          <w:szCs w:val="24"/>
          <w:lang w:val="en-US"/>
        </w:rPr>
        <w:t xml:space="preserve"> a myriad of problems were experienced</w:t>
      </w:r>
      <w:r>
        <w:rPr>
          <w:rFonts w:ascii="Candara" w:eastAsia="Candara" w:hAnsi="Candara" w:cs="Candara"/>
          <w:bCs/>
          <w:sz w:val="24"/>
          <w:szCs w:val="24"/>
          <w:lang w:val="en-US"/>
        </w:rPr>
        <w:t xml:space="preserve"> during </w:t>
      </w:r>
      <w:r w:rsidRPr="003001DA">
        <w:rPr>
          <w:rFonts w:ascii="Candara" w:eastAsia="Candara" w:hAnsi="Candara" w:cs="Candara"/>
          <w:bCs/>
          <w:sz w:val="24"/>
          <w:szCs w:val="24"/>
          <w:lang w:val="en-US"/>
        </w:rPr>
        <w:t xml:space="preserve">the electoral process ranging from </w:t>
      </w:r>
      <w:r>
        <w:rPr>
          <w:rFonts w:ascii="Candara" w:eastAsia="Candara" w:hAnsi="Candara" w:cs="Candara"/>
          <w:bCs/>
          <w:sz w:val="24"/>
          <w:szCs w:val="24"/>
          <w:lang w:val="en-US"/>
        </w:rPr>
        <w:t xml:space="preserve">the </w:t>
      </w:r>
      <w:r w:rsidRPr="003001DA">
        <w:rPr>
          <w:rFonts w:ascii="Candara" w:eastAsia="Candara" w:hAnsi="Candara" w:cs="Candara"/>
          <w:bCs/>
          <w:sz w:val="24"/>
          <w:szCs w:val="24"/>
          <w:lang w:val="en-US"/>
        </w:rPr>
        <w:t xml:space="preserve">inaccessibility of polling stations and polling booths, </w:t>
      </w:r>
      <w:r>
        <w:rPr>
          <w:rFonts w:ascii="Candara" w:eastAsia="Candara" w:hAnsi="Candara" w:cs="Candara"/>
          <w:bCs/>
          <w:sz w:val="24"/>
          <w:szCs w:val="24"/>
          <w:lang w:val="en-US"/>
        </w:rPr>
        <w:t xml:space="preserve">to the </w:t>
      </w:r>
      <w:r w:rsidRPr="003001DA">
        <w:rPr>
          <w:rFonts w:ascii="Candara" w:eastAsia="Candara" w:hAnsi="Candara" w:cs="Candara"/>
          <w:bCs/>
          <w:sz w:val="24"/>
          <w:szCs w:val="24"/>
          <w:lang w:val="en-US"/>
        </w:rPr>
        <w:t>lack</w:t>
      </w:r>
      <w:r>
        <w:rPr>
          <w:rFonts w:ascii="Candara" w:eastAsia="Candara" w:hAnsi="Candara" w:cs="Candara"/>
          <w:bCs/>
          <w:sz w:val="24"/>
          <w:szCs w:val="24"/>
          <w:lang w:val="en-US"/>
        </w:rPr>
        <w:t xml:space="preserve"> of</w:t>
      </w:r>
      <w:r w:rsidRPr="003001DA">
        <w:rPr>
          <w:rFonts w:ascii="Candara" w:eastAsia="Candara" w:hAnsi="Candara" w:cs="Candara"/>
          <w:bCs/>
          <w:sz w:val="24"/>
          <w:szCs w:val="24"/>
          <w:lang w:val="en-US"/>
        </w:rPr>
        <w:t xml:space="preserve"> voter education materials in access</w:t>
      </w:r>
      <w:r>
        <w:rPr>
          <w:rFonts w:ascii="Candara" w:eastAsia="Candara" w:hAnsi="Candara" w:cs="Candara"/>
          <w:bCs/>
          <w:sz w:val="24"/>
          <w:szCs w:val="24"/>
          <w:lang w:val="en-US"/>
        </w:rPr>
        <w:t xml:space="preserve">ible </w:t>
      </w:r>
      <w:r w:rsidRPr="003001DA">
        <w:rPr>
          <w:rFonts w:ascii="Candara" w:eastAsia="Candara" w:hAnsi="Candara" w:cs="Candara"/>
          <w:bCs/>
          <w:sz w:val="24"/>
          <w:szCs w:val="24"/>
          <w:lang w:val="en-US"/>
        </w:rPr>
        <w:t xml:space="preserve">formats, and lack of voter education specifically targeted to persons with disabilities. </w:t>
      </w:r>
      <w:r>
        <w:rPr>
          <w:rFonts w:ascii="Candara" w:eastAsia="Candara" w:hAnsi="Candara" w:cs="Candara"/>
          <w:bCs/>
          <w:sz w:val="24"/>
          <w:szCs w:val="24"/>
          <w:lang w:val="en-US"/>
        </w:rPr>
        <w:t xml:space="preserve">IEBC also involved persons with disabilities and their representative organizations in the national elections conference. </w:t>
      </w:r>
    </w:p>
    <w:p w14:paraId="0FC26667" w14:textId="77777777" w:rsidR="00F32BF9" w:rsidRPr="005B2071" w:rsidRDefault="00F32BF9" w:rsidP="007B5F0A">
      <w:pPr>
        <w:spacing w:line="276" w:lineRule="auto"/>
        <w:ind w:left="720"/>
        <w:jc w:val="both"/>
        <w:rPr>
          <w:rFonts w:ascii="Candara" w:eastAsia="Candara" w:hAnsi="Candara" w:cs="Candara"/>
          <w:b/>
          <w:sz w:val="24"/>
          <w:szCs w:val="24"/>
          <w:lang w:val="en-US"/>
        </w:rPr>
      </w:pPr>
      <w:r w:rsidRPr="005B2071">
        <w:rPr>
          <w:rFonts w:ascii="Candara" w:eastAsia="Candara" w:hAnsi="Candara" w:cs="Candara"/>
          <w:b/>
          <w:sz w:val="24"/>
          <w:szCs w:val="24"/>
          <w:lang w:val="en-US"/>
        </w:rPr>
        <w:t>Specific obligations (Arts. 31-33)</w:t>
      </w:r>
    </w:p>
    <w:p w14:paraId="0E25A79B" w14:textId="436610D4" w:rsidR="00B04A93" w:rsidRPr="00F32BF9" w:rsidRDefault="00F32BF9" w:rsidP="007B5F0A">
      <w:pPr>
        <w:spacing w:line="276" w:lineRule="auto"/>
        <w:jc w:val="both"/>
        <w:rPr>
          <w:rFonts w:ascii="Candara" w:eastAsia="Candara" w:hAnsi="Candara" w:cs="Candara"/>
          <w:b/>
          <w:bCs/>
          <w:sz w:val="24"/>
          <w:szCs w:val="24"/>
          <w:lang w:val="en-US"/>
        </w:rPr>
      </w:pPr>
      <w:r w:rsidRPr="003001DA">
        <w:rPr>
          <w:rFonts w:ascii="Candara" w:eastAsia="Candara" w:hAnsi="Candara" w:cs="Candara"/>
          <w:b/>
          <w:bCs/>
          <w:sz w:val="24"/>
          <w:szCs w:val="24"/>
          <w:lang w:val="en-US"/>
        </w:rPr>
        <w:t>Article 31 Statistics and data collection</w:t>
      </w:r>
    </w:p>
    <w:p w14:paraId="58046697" w14:textId="3BE090F0" w:rsidR="00F32BF9" w:rsidRPr="009C2494" w:rsidRDefault="00F32BF9" w:rsidP="007B5F0A">
      <w:pPr>
        <w:jc w:val="both"/>
        <w:rPr>
          <w:lang w:val="en-US"/>
        </w:rPr>
      </w:pPr>
      <w:r w:rsidRPr="003001DA">
        <w:rPr>
          <w:rFonts w:ascii="Candara" w:eastAsia="Candara" w:hAnsi="Candara" w:cs="Candara"/>
          <w:bCs/>
          <w:sz w:val="24"/>
          <w:szCs w:val="24"/>
          <w:lang w:val="en-US"/>
        </w:rPr>
        <w:t xml:space="preserve">This figure is much lower than the 4.6% from the </w:t>
      </w:r>
      <w:r>
        <w:rPr>
          <w:rFonts w:ascii="Candara" w:eastAsia="Candara" w:hAnsi="Candara" w:cs="Candara"/>
          <w:bCs/>
          <w:sz w:val="24"/>
          <w:szCs w:val="24"/>
          <w:lang w:val="en-US"/>
        </w:rPr>
        <w:t xml:space="preserve">Kenya National Survey for Persons with Disabilities </w:t>
      </w:r>
      <w:r w:rsidRPr="003001DA">
        <w:rPr>
          <w:rFonts w:ascii="Candara" w:eastAsia="Candara" w:hAnsi="Candara" w:cs="Candara"/>
          <w:bCs/>
          <w:sz w:val="24"/>
          <w:szCs w:val="24"/>
          <w:lang w:val="en-US"/>
        </w:rPr>
        <w:t>(2007) and the previous census of 2009 which reflected 3.3% of Kenyans to be persons with disabilities. It also does not compare to the World Bank report (2022) which indicates a global prevalence rate of 16%.</w:t>
      </w:r>
    </w:p>
    <w:sectPr w:rsidR="00F32BF9" w:rsidRPr="009C24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2D097" w14:textId="77777777" w:rsidR="00F24FBB" w:rsidRDefault="00F24FBB" w:rsidP="005B2720">
      <w:pPr>
        <w:spacing w:after="0" w:line="240" w:lineRule="auto"/>
      </w:pPr>
      <w:r>
        <w:separator/>
      </w:r>
    </w:p>
  </w:endnote>
  <w:endnote w:type="continuationSeparator" w:id="0">
    <w:p w14:paraId="6069AC4A" w14:textId="77777777" w:rsidR="00F24FBB" w:rsidRDefault="00F24FBB" w:rsidP="005B2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8348F" w14:textId="77777777" w:rsidR="00F24FBB" w:rsidRDefault="00F24FBB" w:rsidP="005B2720">
      <w:pPr>
        <w:spacing w:after="0" w:line="240" w:lineRule="auto"/>
      </w:pPr>
      <w:r>
        <w:separator/>
      </w:r>
    </w:p>
  </w:footnote>
  <w:footnote w:type="continuationSeparator" w:id="0">
    <w:p w14:paraId="722E02AB" w14:textId="77777777" w:rsidR="00F24FBB" w:rsidRDefault="00F24FBB" w:rsidP="005B2720">
      <w:pPr>
        <w:spacing w:after="0" w:line="240" w:lineRule="auto"/>
      </w:pPr>
      <w:r>
        <w:continuationSeparator/>
      </w:r>
    </w:p>
  </w:footnote>
  <w:footnote w:id="1">
    <w:p w14:paraId="087C95EB" w14:textId="77777777" w:rsidR="005B2720" w:rsidRPr="004B5468" w:rsidRDefault="005B2720" w:rsidP="005B2720">
      <w:pPr>
        <w:pStyle w:val="FootnoteText"/>
        <w:rPr>
          <w:lang w:val="en-US"/>
        </w:rPr>
      </w:pPr>
      <w:r>
        <w:rPr>
          <w:rStyle w:val="FootnoteReference"/>
        </w:rPr>
        <w:footnoteRef/>
      </w:r>
      <w:r>
        <w:t xml:space="preserve"> </w:t>
      </w:r>
      <w:r w:rsidRPr="0021683F">
        <w:t>https://ncpwd.go.ke/download/mdas-status-report-2022/?ind=1678707333616&amp;filename=MDAs%20Status%20Report%202022%20FINAL%20(1).pdf&amp;wpdmdl=15709&amp;refresh=64a15aca6a8db1688296138</w:t>
      </w:r>
    </w:p>
  </w:footnote>
  <w:footnote w:id="2">
    <w:p w14:paraId="2E901716" w14:textId="77777777" w:rsidR="005B2720" w:rsidRPr="009418A2" w:rsidRDefault="005B2720" w:rsidP="005B2720">
      <w:pPr>
        <w:pStyle w:val="FootnoteText"/>
        <w:rPr>
          <w:lang w:val="en-US"/>
        </w:rPr>
      </w:pPr>
      <w:r>
        <w:rPr>
          <w:rStyle w:val="FootnoteReference"/>
        </w:rPr>
        <w:footnoteRef/>
      </w:r>
      <w:r>
        <w:t xml:space="preserve"> </w:t>
      </w:r>
      <w:r w:rsidRPr="0021683F">
        <w:t>https://ncpwd.go.ke/download/mdas-status-report-2022/?ind=1678707333616&amp;filename=MDAs%20Status%20Report%202022%20FINAL%20(1).pdf&amp;wpdmdl=15709&amp;refresh=64a15aca6a8db1688296138</w:t>
      </w:r>
    </w:p>
  </w:footnote>
  <w:footnote w:id="3">
    <w:p w14:paraId="68D2821A" w14:textId="77777777" w:rsidR="005B2720" w:rsidRPr="004B5468" w:rsidRDefault="005B2720" w:rsidP="005B2720">
      <w:pPr>
        <w:pStyle w:val="FootnoteText"/>
        <w:rPr>
          <w:lang w:val="en-US"/>
        </w:rPr>
      </w:pPr>
      <w:r>
        <w:rPr>
          <w:rStyle w:val="FootnoteReference"/>
        </w:rPr>
        <w:footnoteRef/>
      </w:r>
      <w:r>
        <w:t xml:space="preserve"> </w:t>
      </w:r>
      <w:r w:rsidRPr="00F72C1F">
        <w:t>https://nation.africa/kenya/kenya-60/the-state-of-disability-inclusion-in-kenya-an-analysis-of-the-past-60-years-4280942</w:t>
      </w:r>
    </w:p>
  </w:footnote>
  <w:footnote w:id="4">
    <w:p w14:paraId="6ED61ADA" w14:textId="77777777" w:rsidR="005B2720" w:rsidRPr="004B5468" w:rsidRDefault="005B2720" w:rsidP="005B2720">
      <w:pPr>
        <w:pStyle w:val="FootnoteText"/>
        <w:rPr>
          <w:lang w:val="en-US"/>
        </w:rPr>
      </w:pPr>
      <w:r>
        <w:rPr>
          <w:rStyle w:val="FootnoteReference"/>
        </w:rPr>
        <w:footnoteRef/>
      </w:r>
      <w:r>
        <w:t xml:space="preserve"> </w:t>
      </w:r>
      <w:r w:rsidRPr="00F72C1F">
        <w:t>https://nation.africa/kenya/kenya-60/the-state-of-disability-inclusion-in-kenya-an-analysis-of-the-past-60-years-4280942</w:t>
      </w:r>
    </w:p>
  </w:footnote>
  <w:footnote w:id="5">
    <w:p w14:paraId="01684035" w14:textId="77777777" w:rsidR="005E5108" w:rsidRPr="009A6F1D" w:rsidRDefault="005E5108" w:rsidP="005E5108">
      <w:pPr>
        <w:pStyle w:val="FootnoteText"/>
        <w:rPr>
          <w:lang w:val="en-US"/>
        </w:rPr>
      </w:pPr>
      <w:r>
        <w:rPr>
          <w:rStyle w:val="FootnoteReference"/>
        </w:rPr>
        <w:footnoteRef/>
      </w:r>
      <w:r>
        <w:t xml:space="preserve"> </w:t>
      </w:r>
      <w:r w:rsidRPr="00AA4FFE">
        <w:t xml:space="preserve">Juliet </w:t>
      </w:r>
      <w:proofErr w:type="spellStart"/>
      <w:r w:rsidRPr="00AA4FFE">
        <w:t>Mwongeli</w:t>
      </w:r>
      <w:proofErr w:type="spellEnd"/>
      <w:r w:rsidRPr="00AA4FFE">
        <w:t xml:space="preserve"> </w:t>
      </w:r>
      <w:proofErr w:type="spellStart"/>
      <w:r w:rsidRPr="00AA4FFE">
        <w:t>Muema</w:t>
      </w:r>
      <w:proofErr w:type="spellEnd"/>
      <w:r w:rsidRPr="00AA4FFE">
        <w:t xml:space="preserve"> v Smollan Kenya Limited [2019] </w:t>
      </w:r>
      <w:proofErr w:type="spellStart"/>
      <w:r w:rsidRPr="00AA4FFE">
        <w:t>eKLR</w:t>
      </w:r>
      <w:proofErr w:type="spellEnd"/>
      <w:r w:rsidRPr="00563D04">
        <w:rPr>
          <w:lang w:val="en-US"/>
        </w:rPr>
        <w:t>http://kenyalaw.org/caselaw/cases/view/185475</w:t>
      </w:r>
    </w:p>
  </w:footnote>
  <w:footnote w:id="6">
    <w:p w14:paraId="073876CC" w14:textId="77777777" w:rsidR="008C7194" w:rsidRPr="009A6F1D" w:rsidRDefault="008C7194" w:rsidP="008C7194">
      <w:pPr>
        <w:pStyle w:val="FootnoteText"/>
        <w:rPr>
          <w:lang w:val="en-US"/>
        </w:rPr>
      </w:pPr>
      <w:r>
        <w:rPr>
          <w:rStyle w:val="FootnoteReference"/>
        </w:rPr>
        <w:footnoteRef/>
      </w:r>
      <w:r>
        <w:t xml:space="preserve"> </w:t>
      </w:r>
      <w:r w:rsidRPr="00563D04">
        <w:t>Wilson Macharia v Safaricom PLC [</w:t>
      </w:r>
      <w:r>
        <w:rPr>
          <w:lang w:val="en-US"/>
        </w:rPr>
        <w:t>2021</w:t>
      </w:r>
      <w:r w:rsidRPr="00563D04">
        <w:t>]</w:t>
      </w:r>
      <w:r>
        <w:rPr>
          <w:lang w:val="en-US"/>
        </w:rPr>
        <w:t xml:space="preserve"> </w:t>
      </w:r>
      <w:proofErr w:type="spellStart"/>
      <w:r>
        <w:rPr>
          <w:lang w:val="en-US"/>
        </w:rPr>
        <w:t>eKLR</w:t>
      </w:r>
      <w:proofErr w:type="spellEnd"/>
      <w:r>
        <w:rPr>
          <w:lang w:val="en-US"/>
        </w:rPr>
        <w:t xml:space="preserve"> </w:t>
      </w:r>
      <w:r w:rsidRPr="00563D04">
        <w:rPr>
          <w:lang w:val="en-US"/>
        </w:rPr>
        <w:t>https://www.chr.up.ac.za/images/researchunits/dru/files/Petition_434_of_2019.pdf</w:t>
      </w:r>
    </w:p>
  </w:footnote>
  <w:footnote w:id="7">
    <w:p w14:paraId="68A8755E" w14:textId="77777777" w:rsidR="002C488A" w:rsidRPr="006C7656" w:rsidRDefault="002C488A" w:rsidP="002C488A">
      <w:pPr>
        <w:pStyle w:val="FootnoteText"/>
        <w:rPr>
          <w:lang w:val="en-US"/>
        </w:rPr>
      </w:pPr>
      <w:r>
        <w:rPr>
          <w:rStyle w:val="FootnoteReference"/>
        </w:rPr>
        <w:footnoteRef/>
      </w:r>
      <w:r>
        <w:t xml:space="preserve"> </w:t>
      </w:r>
      <w:r w:rsidRPr="0036745F">
        <w:t>https://www.unfpa.org/news/empowering-kenyan-women-and-girls-disabilities-managing-menstrual-health</w:t>
      </w:r>
    </w:p>
  </w:footnote>
  <w:footnote w:id="8">
    <w:p w14:paraId="21AB7E7A" w14:textId="77777777" w:rsidR="002C488A" w:rsidRPr="006C7656" w:rsidRDefault="002C488A" w:rsidP="002C488A">
      <w:pPr>
        <w:pStyle w:val="FootnoteText"/>
        <w:rPr>
          <w:lang w:val="en-US"/>
        </w:rPr>
      </w:pPr>
      <w:r>
        <w:rPr>
          <w:rStyle w:val="FootnoteReference"/>
        </w:rPr>
        <w:footnoteRef/>
      </w:r>
      <w:r>
        <w:t xml:space="preserve"> </w:t>
      </w:r>
      <w:r>
        <w:rPr>
          <w:lang w:val="en-US"/>
        </w:rPr>
        <w:t>ibid</w:t>
      </w:r>
    </w:p>
  </w:footnote>
  <w:footnote w:id="9">
    <w:p w14:paraId="4AEF85DC" w14:textId="77777777" w:rsidR="00555689" w:rsidRPr="00550720" w:rsidRDefault="00555689" w:rsidP="00555689">
      <w:pPr>
        <w:pStyle w:val="CommentText"/>
        <w:spacing w:after="0"/>
      </w:pPr>
      <w:r>
        <w:rPr>
          <w:rStyle w:val="FootnoteReference"/>
        </w:rPr>
        <w:footnoteRef/>
      </w:r>
      <w:r>
        <w:t xml:space="preserve"> </w:t>
      </w:r>
      <w:bookmarkStart w:id="1" w:name="_Hlk139223881"/>
      <w:r w:rsidRPr="00DF0FBA">
        <w:t>MAPPING LAWS, POLICIES AND PROGRAMMES ON ALBINISM AND EXISTING GAPS AND MAPPING ORGANIZATIONS OF PERSONS WITH ALBINISM IN KENYA</w:t>
      </w:r>
      <w:r>
        <w:rPr>
          <w:lang w:val="en-US"/>
        </w:rPr>
        <w:t xml:space="preserve"> </w:t>
      </w:r>
      <w:r>
        <w:t>https://www.knchr.org/Portals/0/Albinism%20Mapping.pdf</w:t>
      </w:r>
      <w:bookmarkEnd w:id="1"/>
    </w:p>
  </w:footnote>
  <w:footnote w:id="10">
    <w:p w14:paraId="61EF3172" w14:textId="77777777" w:rsidR="00555689" w:rsidRPr="004B5468" w:rsidRDefault="00555689" w:rsidP="00555689">
      <w:pPr>
        <w:pStyle w:val="FootnoteText"/>
        <w:rPr>
          <w:lang w:val="en-US"/>
        </w:rPr>
      </w:pPr>
      <w:r>
        <w:rPr>
          <w:rStyle w:val="FootnoteReference"/>
        </w:rPr>
        <w:footnoteRef/>
      </w:r>
      <w:r>
        <w:t xml:space="preserve"> </w:t>
      </w:r>
      <w:r w:rsidRPr="003314AD">
        <w:t>MAPPING LAWS, POLICIES AND PROGRAMMES ON ALBINISM AND EXISTING GAPS AND MAPPING ORGANIZATIONS OF PERSONS WITH ALBINISM IN KENYA https://www.knchr.org/Portals/0/Albinism%20Mapping.pdf</w:t>
      </w:r>
    </w:p>
  </w:footnote>
  <w:footnote w:id="11">
    <w:p w14:paraId="1EAF3637" w14:textId="77777777" w:rsidR="00F246EC" w:rsidRPr="004B5468" w:rsidRDefault="00F246EC" w:rsidP="00F246EC">
      <w:pPr>
        <w:pStyle w:val="FootnoteText"/>
        <w:rPr>
          <w:lang w:val="en-US"/>
        </w:rPr>
      </w:pPr>
      <w:r>
        <w:rPr>
          <w:rStyle w:val="FootnoteReference"/>
        </w:rPr>
        <w:footnoteRef/>
      </w:r>
      <w:r>
        <w:t xml:space="preserve"> </w:t>
      </w:r>
      <w:r w:rsidRPr="007642D1">
        <w:t xml:space="preserve">Submission to the Committee </w:t>
      </w:r>
      <w:proofErr w:type="gramStart"/>
      <w:r w:rsidRPr="007642D1">
        <w:t>On</w:t>
      </w:r>
      <w:proofErr w:type="gramEnd"/>
      <w:r w:rsidRPr="007642D1">
        <w:t xml:space="preserve"> Economic and Social Cultural Rights (CESCR Committee) during its 72nd Pre-Sessional Working Group ((06 Mar 2023 - 10 Mar 2023) by Kenya Network Advocating for the Rights of Women and Girls with Disabilities</w:t>
      </w:r>
    </w:p>
  </w:footnote>
  <w:footnote w:id="12">
    <w:p w14:paraId="29FFF218" w14:textId="77777777" w:rsidR="00F246EC" w:rsidRPr="004B5468" w:rsidRDefault="00F246EC" w:rsidP="00F246EC">
      <w:pPr>
        <w:pStyle w:val="FootnoteText"/>
        <w:rPr>
          <w:lang w:val="en-US"/>
        </w:rPr>
      </w:pPr>
      <w:r>
        <w:rPr>
          <w:rStyle w:val="FootnoteReference"/>
        </w:rPr>
        <w:footnoteRef/>
      </w:r>
      <w:r w:rsidRPr="007642D1">
        <w:t xml:space="preserve">Submission to the Committee </w:t>
      </w:r>
      <w:proofErr w:type="gramStart"/>
      <w:r w:rsidRPr="007642D1">
        <w:t>On</w:t>
      </w:r>
      <w:proofErr w:type="gramEnd"/>
      <w:r w:rsidRPr="007642D1">
        <w:t xml:space="preserve"> Economic and Social Cultural Rights (CESCR Committee) during its 72nd Pre-Sessional Working Group ((06 Mar 2023 - 10 Mar 2023) by Kenya Network Advocating for the Rights of Women and Girls with Disabilities</w:t>
      </w:r>
      <w:r>
        <w:t xml:space="preserve"> </w:t>
      </w:r>
    </w:p>
  </w:footnote>
  <w:footnote w:id="13">
    <w:p w14:paraId="42BFA170" w14:textId="77777777" w:rsidR="00F246EC" w:rsidRPr="00DE6C8C" w:rsidRDefault="00F246EC" w:rsidP="00F246EC">
      <w:pPr>
        <w:pStyle w:val="FootnoteText"/>
        <w:rPr>
          <w:lang w:val="en-US"/>
        </w:rPr>
      </w:pPr>
      <w:r>
        <w:rPr>
          <w:rStyle w:val="FootnoteReference"/>
        </w:rPr>
        <w:footnoteRef/>
      </w:r>
      <w:r>
        <w:t xml:space="preserve"> </w:t>
      </w:r>
      <w:r w:rsidRPr="00DE6C8C">
        <w:t xml:space="preserve">Refer to Annexes, Under Article </w:t>
      </w:r>
      <w:r>
        <w:rPr>
          <w:lang w:val="en-US"/>
        </w:rPr>
        <w:t>11</w:t>
      </w:r>
      <w:r w:rsidRPr="00DE6C8C">
        <w:t xml:space="preserve">, paragraph </w:t>
      </w:r>
      <w:proofErr w:type="gramStart"/>
      <w:r>
        <w:rPr>
          <w:lang w:val="en-US"/>
        </w:rPr>
        <w:t>2</w:t>
      </w:r>
      <w:proofErr w:type="gramEnd"/>
    </w:p>
  </w:footnote>
  <w:footnote w:id="14">
    <w:p w14:paraId="071A75BF" w14:textId="77777777" w:rsidR="00555689" w:rsidRPr="00B95BB9" w:rsidRDefault="00555689" w:rsidP="00555689">
      <w:pPr>
        <w:pStyle w:val="FootnoteText"/>
        <w:jc w:val="both"/>
        <w:rPr>
          <w:rFonts w:cstheme="minorHAnsi"/>
        </w:rPr>
      </w:pPr>
      <w:r w:rsidRPr="00B95BB9">
        <w:rPr>
          <w:rStyle w:val="FootnoteReference"/>
          <w:rFonts w:cstheme="minorHAnsi"/>
        </w:rPr>
        <w:footnoteRef/>
      </w:r>
      <w:r w:rsidRPr="00B95BB9">
        <w:rPr>
          <w:rFonts w:cstheme="minorHAnsi"/>
        </w:rPr>
        <w:t xml:space="preserve"> As above, art 47.</w:t>
      </w:r>
    </w:p>
  </w:footnote>
  <w:footnote w:id="15">
    <w:p w14:paraId="1D23C721" w14:textId="77777777" w:rsidR="00555689" w:rsidRPr="00B95BB9" w:rsidRDefault="00555689" w:rsidP="00555689">
      <w:pPr>
        <w:pStyle w:val="FootnoteText"/>
        <w:jc w:val="both"/>
        <w:rPr>
          <w:rFonts w:cstheme="minorHAnsi"/>
        </w:rPr>
      </w:pPr>
      <w:r w:rsidRPr="00B95BB9">
        <w:rPr>
          <w:rStyle w:val="FootnoteReference"/>
          <w:rFonts w:cstheme="minorHAnsi"/>
        </w:rPr>
        <w:footnoteRef/>
      </w:r>
      <w:r w:rsidRPr="00B95BB9">
        <w:rPr>
          <w:rFonts w:cstheme="minorHAnsi"/>
        </w:rPr>
        <w:t xml:space="preserve"> As above, art 49.</w:t>
      </w:r>
    </w:p>
  </w:footnote>
  <w:footnote w:id="16">
    <w:p w14:paraId="009AECF2" w14:textId="77777777" w:rsidR="00555689" w:rsidRPr="00B95BB9" w:rsidRDefault="00555689" w:rsidP="00555689">
      <w:pPr>
        <w:pStyle w:val="FootnoteText"/>
        <w:jc w:val="both"/>
        <w:rPr>
          <w:rFonts w:cstheme="minorHAnsi"/>
        </w:rPr>
      </w:pPr>
      <w:r w:rsidRPr="00B95BB9">
        <w:rPr>
          <w:rStyle w:val="FootnoteReference"/>
          <w:rFonts w:cstheme="minorHAnsi"/>
        </w:rPr>
        <w:footnoteRef/>
      </w:r>
      <w:r w:rsidRPr="00B95BB9">
        <w:rPr>
          <w:rFonts w:cstheme="minorHAnsi"/>
        </w:rPr>
        <w:t xml:space="preserve"> As above, art 50.</w:t>
      </w:r>
    </w:p>
  </w:footnote>
  <w:footnote w:id="17">
    <w:p w14:paraId="5280BCFB" w14:textId="77777777" w:rsidR="00555689" w:rsidRPr="00B95BB9" w:rsidRDefault="00555689" w:rsidP="00555689">
      <w:pPr>
        <w:pStyle w:val="FootnoteText"/>
        <w:jc w:val="both"/>
        <w:rPr>
          <w:rFonts w:cstheme="minorHAnsi"/>
        </w:rPr>
      </w:pPr>
      <w:r w:rsidRPr="00B95BB9">
        <w:rPr>
          <w:rStyle w:val="FootnoteReference"/>
          <w:rFonts w:cstheme="minorHAnsi"/>
        </w:rPr>
        <w:footnoteRef/>
      </w:r>
      <w:r w:rsidRPr="00B95BB9">
        <w:rPr>
          <w:rFonts w:cstheme="minorHAnsi"/>
        </w:rPr>
        <w:t xml:space="preserve"> As above, art 51.</w:t>
      </w:r>
    </w:p>
  </w:footnote>
  <w:footnote w:id="18">
    <w:p w14:paraId="1996F040" w14:textId="77777777" w:rsidR="00A73954" w:rsidRPr="00B95BB9" w:rsidRDefault="00A73954" w:rsidP="00A73954">
      <w:pPr>
        <w:pStyle w:val="FootnoteText"/>
        <w:rPr>
          <w:rFonts w:cstheme="minorHAnsi"/>
          <w:lang w:val="en-US"/>
        </w:rPr>
      </w:pPr>
      <w:r w:rsidRPr="00B95BB9">
        <w:rPr>
          <w:rStyle w:val="FootnoteReference"/>
          <w:rFonts w:cstheme="minorHAnsi"/>
        </w:rPr>
        <w:footnoteRef/>
      </w:r>
      <w:r w:rsidRPr="00B95BB9">
        <w:rPr>
          <w:rFonts w:cstheme="minorHAnsi"/>
        </w:rPr>
        <w:t xml:space="preserve"> </w:t>
      </w:r>
      <w:r w:rsidRPr="00B95BB9">
        <w:rPr>
          <w:rFonts w:cstheme="minorHAnsi"/>
          <w:lang w:val="en-US"/>
        </w:rPr>
        <w:t>Civil Procedure Code and Civil Procedure Rules.</w:t>
      </w:r>
    </w:p>
  </w:footnote>
  <w:footnote w:id="19">
    <w:p w14:paraId="4E8B946D" w14:textId="77777777" w:rsidR="00A73954" w:rsidRPr="00B95BB9" w:rsidRDefault="00A73954" w:rsidP="00A73954">
      <w:pPr>
        <w:pStyle w:val="FootnoteText"/>
        <w:rPr>
          <w:rFonts w:cstheme="minorHAnsi"/>
          <w:lang w:val="en-US"/>
        </w:rPr>
      </w:pPr>
      <w:r w:rsidRPr="00B95BB9">
        <w:rPr>
          <w:rStyle w:val="FootnoteReference"/>
          <w:rFonts w:cstheme="minorHAnsi"/>
        </w:rPr>
        <w:footnoteRef/>
      </w:r>
      <w:r w:rsidRPr="00B95BB9">
        <w:rPr>
          <w:rFonts w:cstheme="minorHAnsi"/>
        </w:rPr>
        <w:t xml:space="preserve"> </w:t>
      </w:r>
      <w:r w:rsidRPr="00B95BB9">
        <w:rPr>
          <w:rFonts w:cstheme="minorHAnsi"/>
          <w:lang w:val="en-US"/>
        </w:rPr>
        <w:t>Penal Code, section 146.</w:t>
      </w:r>
    </w:p>
  </w:footnote>
  <w:footnote w:id="20">
    <w:p w14:paraId="5BC9F6E2" w14:textId="77777777" w:rsidR="00A73954" w:rsidRPr="00B95BB9" w:rsidRDefault="00A73954" w:rsidP="00A73954">
      <w:pPr>
        <w:pStyle w:val="FootnoteText"/>
        <w:rPr>
          <w:rFonts w:cstheme="minorHAnsi"/>
          <w:lang w:val="en-US"/>
        </w:rPr>
      </w:pPr>
      <w:r w:rsidRPr="00B95BB9">
        <w:rPr>
          <w:rStyle w:val="FootnoteReference"/>
          <w:rFonts w:cstheme="minorHAnsi"/>
        </w:rPr>
        <w:footnoteRef/>
      </w:r>
      <w:r w:rsidRPr="00B95BB9">
        <w:rPr>
          <w:rFonts w:cstheme="minorHAnsi"/>
        </w:rPr>
        <w:t xml:space="preserve"> </w:t>
      </w:r>
      <w:r w:rsidRPr="00B95BB9">
        <w:rPr>
          <w:rFonts w:cstheme="minorHAnsi"/>
          <w:lang w:val="en-US"/>
        </w:rPr>
        <w:t xml:space="preserve">Evidence </w:t>
      </w:r>
      <w:r>
        <w:rPr>
          <w:rFonts w:cstheme="minorHAnsi"/>
          <w:lang w:val="en-US"/>
        </w:rPr>
        <w:t>Act</w:t>
      </w:r>
      <w:r w:rsidRPr="00B95BB9">
        <w:rPr>
          <w:rFonts w:cstheme="minorHAnsi"/>
          <w:lang w:val="en-US"/>
        </w:rPr>
        <w:t>.</w:t>
      </w:r>
    </w:p>
  </w:footnote>
  <w:footnote w:id="21">
    <w:p w14:paraId="6E111B68" w14:textId="77777777" w:rsidR="00A73954" w:rsidRPr="00B95BB9" w:rsidRDefault="00A73954" w:rsidP="00A73954">
      <w:pPr>
        <w:pStyle w:val="FootnoteText"/>
        <w:rPr>
          <w:rFonts w:cstheme="minorHAnsi"/>
          <w:lang w:val="en-US"/>
        </w:rPr>
      </w:pPr>
      <w:r w:rsidRPr="00B95BB9">
        <w:rPr>
          <w:rStyle w:val="FootnoteReference"/>
          <w:rFonts w:cstheme="minorHAnsi"/>
        </w:rPr>
        <w:footnoteRef/>
      </w:r>
      <w:r w:rsidRPr="00B95BB9">
        <w:rPr>
          <w:rFonts w:cstheme="minorHAnsi"/>
        </w:rPr>
        <w:t xml:space="preserve"> </w:t>
      </w:r>
      <w:r w:rsidRPr="00B95BB9">
        <w:rPr>
          <w:rFonts w:cstheme="minorHAnsi"/>
          <w:lang w:val="en-US"/>
        </w:rPr>
        <w:t>Criminal Procedure Code.</w:t>
      </w:r>
    </w:p>
  </w:footnote>
  <w:footnote w:id="22">
    <w:p w14:paraId="215566C9" w14:textId="77777777" w:rsidR="00A73954" w:rsidRPr="00B95BB9" w:rsidRDefault="00A73954" w:rsidP="00A73954">
      <w:pPr>
        <w:pStyle w:val="FootnoteText"/>
        <w:rPr>
          <w:rFonts w:cstheme="minorHAnsi"/>
        </w:rPr>
      </w:pPr>
      <w:r w:rsidRPr="00B95BB9">
        <w:rPr>
          <w:rStyle w:val="FootnoteReference"/>
          <w:rFonts w:cstheme="minorHAnsi"/>
        </w:rPr>
        <w:footnoteRef/>
      </w:r>
      <w:r w:rsidRPr="00B95BB9">
        <w:rPr>
          <w:rFonts w:cstheme="minorHAnsi"/>
        </w:rPr>
        <w:t xml:space="preserve"> </w:t>
      </w:r>
      <w:proofErr w:type="spellStart"/>
      <w:r w:rsidRPr="00B95BB9">
        <w:rPr>
          <w:rFonts w:cstheme="minorHAnsi"/>
          <w:i/>
          <w:iCs/>
          <w:color w:val="5A5A5A"/>
          <w:shd w:val="clear" w:color="auto" w:fill="FFFFFF"/>
        </w:rPr>
        <w:t>eKLR</w:t>
      </w:r>
      <w:proofErr w:type="spellEnd"/>
      <w:r w:rsidRPr="00B95BB9">
        <w:rPr>
          <w:rFonts w:cstheme="minorHAnsi"/>
          <w:i/>
          <w:iCs/>
          <w:color w:val="5A5A5A"/>
          <w:shd w:val="clear" w:color="auto" w:fill="FFFFFF"/>
        </w:rPr>
        <w:t>, http://kenyalaw.org/caselaw/cases/view/227655/#:~:text=The%20petition%20was%20a%20plea,the%20pleasure%20of%20the%20president.</w:t>
      </w:r>
    </w:p>
  </w:footnote>
  <w:footnote w:id="23">
    <w:p w14:paraId="6454E630" w14:textId="77777777" w:rsidR="00A73954" w:rsidRPr="00550720" w:rsidRDefault="00A73954" w:rsidP="00A73954">
      <w:pPr>
        <w:pStyle w:val="FootnoteText"/>
        <w:rPr>
          <w:lang w:val="en-US"/>
        </w:rPr>
      </w:pPr>
      <w:r>
        <w:rPr>
          <w:rStyle w:val="FootnoteReference"/>
        </w:rPr>
        <w:footnoteRef/>
      </w:r>
      <w:r>
        <w:t xml:space="preserve"> </w:t>
      </w:r>
      <w:r>
        <w:rPr>
          <w:lang w:val="en-US"/>
        </w:rPr>
        <w:t xml:space="preserve">Mental health and the Criminal Justice System: </w:t>
      </w:r>
      <w:hyperlink r:id="rId1" w:history="1">
        <w:r>
          <w:rPr>
            <w:rStyle w:val="Hyperlink"/>
          </w:rPr>
          <w:t>Mental health and the criminal justice system08_06_2023FINAL.pdf (knchr.org)</w:t>
        </w:r>
      </w:hyperlink>
      <w:r>
        <w:rPr>
          <w:lang w:val="en-US"/>
        </w:rPr>
        <w:t>.</w:t>
      </w:r>
    </w:p>
  </w:footnote>
  <w:footnote w:id="24">
    <w:p w14:paraId="5E3FBBD6" w14:textId="77777777" w:rsidR="009C428C" w:rsidRPr="00EF2579" w:rsidRDefault="009C428C" w:rsidP="009C428C">
      <w:pPr>
        <w:pStyle w:val="FootnoteText"/>
        <w:rPr>
          <w:lang w:val="en-US"/>
        </w:rPr>
      </w:pPr>
      <w:r>
        <w:rPr>
          <w:rStyle w:val="FootnoteReference"/>
        </w:rPr>
        <w:footnoteRef/>
      </w:r>
      <w:r>
        <w:t xml:space="preserve"> </w:t>
      </w:r>
      <w:hyperlink r:id="rId2" w:tgtFrame="_blank" w:history="1">
        <w:r w:rsidRPr="00EF2579">
          <w:rPr>
            <w:rFonts w:ascii="Calibri" w:hAnsi="Calibri" w:cs="Calibri"/>
            <w:color w:val="1155CC"/>
            <w:sz w:val="22"/>
            <w:szCs w:val="22"/>
            <w:u w:val="single"/>
          </w:rPr>
          <w:t>https://www.standardmedia.co.ke/opinion/article/2001469017/shackling-of-mentally-ill-people-is-unacceptable-and-must-be-stop</w:t>
        </w:r>
      </w:hyperlink>
    </w:p>
  </w:footnote>
  <w:footnote w:id="25">
    <w:p w14:paraId="3A7FD28F" w14:textId="77777777" w:rsidR="00A73954" w:rsidRPr="004B5468" w:rsidRDefault="00A73954" w:rsidP="00A73954">
      <w:pPr>
        <w:pStyle w:val="FootnoteText"/>
        <w:rPr>
          <w:lang w:val="en-US"/>
        </w:rPr>
      </w:pPr>
      <w:r>
        <w:rPr>
          <w:rStyle w:val="FootnoteReference"/>
        </w:rPr>
        <w:footnoteRef/>
      </w:r>
      <w:r>
        <w:t xml:space="preserve"> </w:t>
      </w:r>
      <w:r w:rsidRPr="007842B4">
        <w:t>https://www.knchr.org/Articles/ArtMID/2432/ArticleID/1107/Commemoration-of-the-world-mental-health-day</w:t>
      </w:r>
    </w:p>
  </w:footnote>
  <w:footnote w:id="26">
    <w:p w14:paraId="54BD7876" w14:textId="77777777" w:rsidR="00A73954" w:rsidRPr="004B5468" w:rsidRDefault="00A73954" w:rsidP="00A73954">
      <w:pPr>
        <w:pStyle w:val="FootnoteText"/>
        <w:rPr>
          <w:lang w:val="en-US"/>
        </w:rPr>
      </w:pPr>
      <w:r>
        <w:rPr>
          <w:rStyle w:val="FootnoteReference"/>
        </w:rPr>
        <w:footnoteRef/>
      </w:r>
      <w:r>
        <w:t xml:space="preserve"> </w:t>
      </w:r>
      <w:r w:rsidRPr="007842B4">
        <w:t>The report of the Taskforce on Mental Health</w:t>
      </w:r>
    </w:p>
  </w:footnote>
  <w:footnote w:id="27">
    <w:p w14:paraId="03C32FC5" w14:textId="77777777" w:rsidR="00A73954" w:rsidRPr="004B5468" w:rsidRDefault="00A73954" w:rsidP="00A73954">
      <w:pPr>
        <w:pStyle w:val="FootnoteText"/>
        <w:rPr>
          <w:lang w:val="en-US"/>
        </w:rPr>
      </w:pPr>
      <w:r>
        <w:rPr>
          <w:rStyle w:val="FootnoteReference"/>
        </w:rPr>
        <w:footnoteRef/>
      </w:r>
      <w:r>
        <w:t xml:space="preserve"> </w:t>
      </w:r>
      <w:r>
        <w:rPr>
          <w:lang w:val="en-US"/>
        </w:rPr>
        <w:t>A</w:t>
      </w:r>
      <w:r w:rsidRPr="00447EAB">
        <w:t xml:space="preserve"> Quality Rights assessment of four psychiatric facilities across the country, i.e., the </w:t>
      </w:r>
      <w:proofErr w:type="spellStart"/>
      <w:r w:rsidRPr="00447EAB">
        <w:t>Mathare</w:t>
      </w:r>
      <w:proofErr w:type="spellEnd"/>
      <w:r w:rsidRPr="00447EAB">
        <w:t xml:space="preserve"> National Teaching and Referral Hospital, Port Reitz </w:t>
      </w:r>
      <w:proofErr w:type="spellStart"/>
      <w:r w:rsidRPr="00447EAB">
        <w:t>SubCounty</w:t>
      </w:r>
      <w:proofErr w:type="spellEnd"/>
      <w:r w:rsidRPr="00447EAB">
        <w:t xml:space="preserve"> Hospital - Mental Unit, Kisumu County Referral Hospital and Moi Teaching and Referral Hospital</w:t>
      </w:r>
      <w:r>
        <w:rPr>
          <w:lang w:val="en-US"/>
        </w:rPr>
        <w:t xml:space="preserve"> conducted</w:t>
      </w:r>
      <w:r w:rsidRPr="00447EAB">
        <w:rPr>
          <w:sz w:val="22"/>
          <w:szCs w:val="22"/>
        </w:rPr>
        <w:t xml:space="preserve"> </w:t>
      </w:r>
      <w:r>
        <w:rPr>
          <w:lang w:val="en-US"/>
        </w:rPr>
        <w:t>b</w:t>
      </w:r>
      <w:proofErr w:type="spellStart"/>
      <w:r w:rsidRPr="00447EAB">
        <w:t>etween</w:t>
      </w:r>
      <w:proofErr w:type="spellEnd"/>
      <w:r w:rsidRPr="00447EAB">
        <w:t xml:space="preserve"> October 2019 and February 2020</w:t>
      </w:r>
      <w:r>
        <w:rPr>
          <w:lang w:val="en-US"/>
        </w:rPr>
        <w:t xml:space="preserve"> by</w:t>
      </w:r>
      <w:r w:rsidRPr="00447EAB">
        <w:t xml:space="preserve"> the KNCHR in partnership with the Ministry of Health and sector Civil Society Organizations</w:t>
      </w:r>
    </w:p>
  </w:footnote>
  <w:footnote w:id="28">
    <w:p w14:paraId="720C576E" w14:textId="77777777" w:rsidR="00A73954" w:rsidRPr="004B5468" w:rsidRDefault="00A73954" w:rsidP="00A73954">
      <w:pPr>
        <w:pStyle w:val="FootnoteText"/>
        <w:rPr>
          <w:lang w:val="en-US"/>
        </w:rPr>
      </w:pPr>
      <w:r>
        <w:rPr>
          <w:rStyle w:val="FootnoteReference"/>
        </w:rPr>
        <w:footnoteRef/>
      </w:r>
      <w:r>
        <w:t xml:space="preserve"> </w:t>
      </w:r>
      <w:r w:rsidRPr="00643410">
        <w:rPr>
          <w:lang w:val="en-US"/>
        </w:rPr>
        <w:t>https://www.knchr.org/Portals/0/Disability%20Publications/Still%20Silenced.pdf?ver=2023-06-07-154245-963</w:t>
      </w:r>
    </w:p>
  </w:footnote>
  <w:footnote w:id="29">
    <w:p w14:paraId="5E830002" w14:textId="77777777" w:rsidR="00A73954" w:rsidRPr="004B5468" w:rsidRDefault="00A73954" w:rsidP="00A73954">
      <w:pPr>
        <w:pStyle w:val="FootnoteText"/>
        <w:rPr>
          <w:lang w:val="en-US"/>
        </w:rPr>
      </w:pPr>
      <w:r>
        <w:rPr>
          <w:rStyle w:val="FootnoteReference"/>
        </w:rPr>
        <w:footnoteRef/>
      </w:r>
      <w:r>
        <w:t xml:space="preserve"> </w:t>
      </w:r>
      <w:r w:rsidRPr="00643410">
        <w:rPr>
          <w:lang w:val="en-US"/>
        </w:rPr>
        <w:t>https://www.knchr.org/Portals/0/Disability%20Publications/Still%20Silenced.pdf?ver=2023-06-07-154245-963</w:t>
      </w:r>
    </w:p>
  </w:footnote>
  <w:footnote w:id="30">
    <w:p w14:paraId="0CB6A9AB" w14:textId="77777777" w:rsidR="00E71025" w:rsidRPr="00E5079C" w:rsidRDefault="00E71025" w:rsidP="00E71025">
      <w:pPr>
        <w:pStyle w:val="FootnoteText"/>
        <w:rPr>
          <w:lang w:val="en-US"/>
        </w:rPr>
      </w:pPr>
      <w:r>
        <w:rPr>
          <w:rStyle w:val="FootnoteReference"/>
        </w:rPr>
        <w:footnoteRef/>
      </w:r>
      <w:r>
        <w:t xml:space="preserve"> </w:t>
      </w:r>
      <w:bookmarkStart w:id="3" w:name="_Hlk139214782"/>
      <w:r w:rsidRPr="002F056D">
        <w:t>https://www.standardmedia.co.ke/article/2001329056/how-should-police-arrest-persons-with-disabilities</w:t>
      </w:r>
      <w:bookmarkEnd w:id="3"/>
    </w:p>
  </w:footnote>
  <w:footnote w:id="31">
    <w:p w14:paraId="5697C34F" w14:textId="1C411682" w:rsidR="00E71025" w:rsidRPr="00CC0453" w:rsidRDefault="00E71025" w:rsidP="00E71025">
      <w:pPr>
        <w:pStyle w:val="FootnoteText"/>
        <w:rPr>
          <w:lang w:val="en-US"/>
        </w:rPr>
      </w:pPr>
      <w:r>
        <w:rPr>
          <w:rStyle w:val="FootnoteReference"/>
        </w:rPr>
        <w:footnoteRef/>
      </w:r>
      <w:r>
        <w:t xml:space="preserve"> </w:t>
      </w:r>
      <w:r w:rsidR="00CC0453">
        <w:rPr>
          <w:lang w:val="en-US"/>
        </w:rPr>
        <w:t>ibid</w:t>
      </w:r>
    </w:p>
  </w:footnote>
  <w:footnote w:id="32">
    <w:p w14:paraId="172CA4C3" w14:textId="77777777" w:rsidR="00E71025" w:rsidRPr="00E5079C" w:rsidRDefault="00E71025" w:rsidP="00E71025">
      <w:pPr>
        <w:pStyle w:val="FootnoteText"/>
        <w:rPr>
          <w:lang w:val="en-US"/>
        </w:rPr>
      </w:pPr>
      <w:r>
        <w:rPr>
          <w:rStyle w:val="FootnoteReference"/>
        </w:rPr>
        <w:footnoteRef/>
      </w:r>
      <w:r>
        <w:t xml:space="preserve"> </w:t>
      </w:r>
      <w:r w:rsidRPr="00F47EF4">
        <w:t>https://www.udpkenya.or.ke/wp-content/uploads/2020/06/UDPK-RESPONSE-TO-POLICE-BRUTALITY.pdf</w:t>
      </w:r>
    </w:p>
  </w:footnote>
  <w:footnote w:id="33">
    <w:p w14:paraId="61DF5A3F" w14:textId="22F6B825" w:rsidR="00F32BF9" w:rsidRPr="00F32BF9" w:rsidRDefault="00F32BF9">
      <w:pPr>
        <w:pStyle w:val="FootnoteText"/>
        <w:rPr>
          <w:lang w:val="en-US"/>
        </w:rPr>
      </w:pPr>
      <w:r>
        <w:rPr>
          <w:rStyle w:val="FootnoteReference"/>
        </w:rPr>
        <w:footnoteRef/>
      </w:r>
      <w:r>
        <w:t xml:space="preserve"> </w:t>
      </w:r>
      <w:r>
        <w:rPr>
          <w:lang w:val="en-US"/>
        </w:rPr>
        <w:t>Kenya Demographic and Health Survey 2022</w:t>
      </w:r>
    </w:p>
  </w:footnote>
  <w:footnote w:id="34">
    <w:p w14:paraId="27C5EAA5" w14:textId="6C65A3FC" w:rsidR="00F32BF9" w:rsidRPr="00F32BF9" w:rsidRDefault="00F32BF9">
      <w:pPr>
        <w:pStyle w:val="FootnoteText"/>
        <w:rPr>
          <w:lang w:val="en-US"/>
        </w:rPr>
      </w:pPr>
      <w:r>
        <w:rPr>
          <w:rStyle w:val="FootnoteReference"/>
        </w:rPr>
        <w:footnoteRef/>
      </w:r>
      <w:r>
        <w:t xml:space="preserve"> </w:t>
      </w:r>
      <w:r>
        <w:rPr>
          <w:lang w:val="en-US"/>
        </w:rPr>
        <w:t>Kenya Demographic and Health Survey 2022</w:t>
      </w:r>
    </w:p>
  </w:footnote>
  <w:footnote w:id="35">
    <w:p w14:paraId="069436C2" w14:textId="77777777" w:rsidR="00E71025" w:rsidRPr="00094B5B" w:rsidRDefault="00E71025" w:rsidP="00E71025">
      <w:pPr>
        <w:pStyle w:val="FootnoteText"/>
        <w:rPr>
          <w:rFonts w:cstheme="minorHAnsi"/>
        </w:rPr>
      </w:pPr>
      <w:r w:rsidRPr="00094B5B">
        <w:rPr>
          <w:rStyle w:val="FootnoteReference"/>
          <w:rFonts w:cstheme="minorHAnsi"/>
        </w:rPr>
        <w:footnoteRef/>
      </w:r>
      <w:r w:rsidRPr="00094B5B">
        <w:rPr>
          <w:rFonts w:cstheme="minorHAnsi"/>
        </w:rPr>
        <w:t xml:space="preserve">   Humanity &amp; Inclusion/Making It Work. Gender and disability: Inspiring practices from women and </w:t>
      </w:r>
    </w:p>
    <w:p w14:paraId="7F0563E0" w14:textId="77777777" w:rsidR="00E71025" w:rsidRPr="00094B5B" w:rsidRDefault="00E71025" w:rsidP="00E71025">
      <w:pPr>
        <w:pStyle w:val="FootnoteText"/>
        <w:rPr>
          <w:rFonts w:cstheme="minorHAnsi"/>
          <w:lang w:val="en-US"/>
        </w:rPr>
      </w:pPr>
      <w:r w:rsidRPr="00094B5B">
        <w:rPr>
          <w:rFonts w:cstheme="minorHAnsi"/>
        </w:rPr>
        <w:t>girls with disabilities addressing discrimination and violence in Africa. Lyon: Humanity &amp; Inclusion,</w:t>
      </w:r>
      <w:r w:rsidRPr="00094B5B">
        <w:rPr>
          <w:rFonts w:cstheme="minorHAnsi"/>
          <w:lang w:val="en-US"/>
        </w:rPr>
        <w:t xml:space="preserve"> 2020.</w:t>
      </w:r>
    </w:p>
  </w:footnote>
  <w:footnote w:id="36">
    <w:p w14:paraId="63FA8A97" w14:textId="77777777" w:rsidR="00E71025" w:rsidRPr="004B5468" w:rsidRDefault="00E71025" w:rsidP="00E71025">
      <w:pPr>
        <w:pStyle w:val="FootnoteText"/>
      </w:pPr>
      <w:r>
        <w:rPr>
          <w:rStyle w:val="FootnoteReference"/>
        </w:rPr>
        <w:footnoteRef/>
      </w:r>
      <w:r>
        <w:t xml:space="preserve"> </w:t>
      </w:r>
      <w:r w:rsidRPr="00665598">
        <w:t xml:space="preserve">Kenya National Commission on Human Rights, ‘Realizing Sexual and Reproductive Health Rights in Kenya: A myth or a Reality?’ A Report of the Public Inquiry into Violations of Sexual and Reproductive Health Rights in Kenya (2012) pg. 111-115 </w:t>
      </w:r>
      <w:hyperlink r:id="rId3" w:history="1">
        <w:r w:rsidRPr="00665598">
          <w:rPr>
            <w:rStyle w:val="Hyperlink"/>
          </w:rPr>
          <w:t>http://www.knchr.org/Portals/0/Reports/Reproductive_health_report.pdf</w:t>
        </w:r>
      </w:hyperlink>
    </w:p>
  </w:footnote>
  <w:footnote w:id="37">
    <w:p w14:paraId="1DA39C8C" w14:textId="77777777" w:rsidR="00E71025" w:rsidRPr="00BD6233" w:rsidRDefault="00E71025" w:rsidP="00E71025">
      <w:pPr>
        <w:pStyle w:val="FootnoteText"/>
        <w:rPr>
          <w:lang w:val="en-US"/>
        </w:rPr>
      </w:pPr>
      <w:r>
        <w:rPr>
          <w:rStyle w:val="FootnoteReference"/>
        </w:rPr>
        <w:footnoteRef/>
      </w:r>
      <w:r>
        <w:t xml:space="preserve"> </w:t>
      </w:r>
      <w:r w:rsidRPr="00BD6233">
        <w:t>Kenya National Commission on Human Rights, ‘From Norm to Practice: A Status Report on Implementation of the Rights of Persons with Disabilities in Kenya’ (2014) pg. 25 &lt;http://knchr.org/Portals/0/Reports/Disability%20Report.pdf&gt;</w:t>
      </w:r>
    </w:p>
  </w:footnote>
  <w:footnote w:id="38">
    <w:p w14:paraId="1B2627B8" w14:textId="77777777" w:rsidR="009C0796" w:rsidRPr="00926B69" w:rsidRDefault="009C0796" w:rsidP="009C0796">
      <w:pPr>
        <w:pStyle w:val="FootnoteText"/>
        <w:rPr>
          <w:rFonts w:cstheme="minorHAnsi"/>
          <w:lang w:val="en-GB"/>
        </w:rPr>
      </w:pPr>
      <w:r>
        <w:rPr>
          <w:rStyle w:val="FootnoteReference"/>
        </w:rPr>
        <w:footnoteRef/>
      </w:r>
      <w:r>
        <w:t xml:space="preserve"> </w:t>
      </w:r>
      <w:r w:rsidRPr="00926B69">
        <w:rPr>
          <w:rFonts w:cstheme="minorHAnsi"/>
        </w:rPr>
        <w:t>Kenya begins construction of futuristic international mental wellness facility</w:t>
      </w:r>
      <w:r w:rsidRPr="00926B69">
        <w:rPr>
          <w:rFonts w:cstheme="minorHAnsi"/>
          <w:lang w:val="en-GB"/>
        </w:rPr>
        <w:t xml:space="preserve"> available at </w:t>
      </w:r>
      <w:hyperlink r:id="rId4" w:history="1">
        <w:r w:rsidRPr="00926B69">
          <w:rPr>
            <w:rStyle w:val="Hyperlink"/>
            <w:rFonts w:cstheme="minorHAnsi"/>
            <w:lang w:val="en-GB"/>
          </w:rPr>
          <w:t>https://www.healthcaremea.com/kenya-begins-construction-of-futuristic-international-mental-wellness-facility/</w:t>
        </w:r>
      </w:hyperlink>
      <w:r w:rsidRPr="00926B69">
        <w:rPr>
          <w:rFonts w:cstheme="minorHAnsi"/>
          <w:lang w:val="en-GB"/>
        </w:rPr>
        <w:t xml:space="preserve"> </w:t>
      </w:r>
    </w:p>
  </w:footnote>
  <w:footnote w:id="39">
    <w:p w14:paraId="69C1C87D" w14:textId="77777777" w:rsidR="009C0796" w:rsidRPr="00926B69" w:rsidRDefault="009C0796" w:rsidP="009C0796">
      <w:pPr>
        <w:pStyle w:val="FootnoteText"/>
        <w:rPr>
          <w:rFonts w:cstheme="minorHAnsi"/>
          <w:lang w:val="en-GB"/>
        </w:rPr>
      </w:pPr>
      <w:r w:rsidRPr="00926B69">
        <w:rPr>
          <w:rStyle w:val="FootnoteReference"/>
          <w:rFonts w:cstheme="minorHAnsi"/>
        </w:rPr>
        <w:footnoteRef/>
      </w:r>
      <w:r w:rsidRPr="00926B69">
        <w:rPr>
          <w:rFonts w:cstheme="minorHAnsi"/>
        </w:rPr>
        <w:t xml:space="preserve"> Moving </w:t>
      </w:r>
      <w:proofErr w:type="spellStart"/>
      <w:r w:rsidRPr="00926B69">
        <w:rPr>
          <w:rFonts w:cstheme="minorHAnsi"/>
        </w:rPr>
        <w:t>Mathari</w:t>
      </w:r>
      <w:proofErr w:type="spellEnd"/>
      <w:r w:rsidRPr="00926B69">
        <w:rPr>
          <w:rFonts w:cstheme="minorHAnsi"/>
        </w:rPr>
        <w:t xml:space="preserve"> hospital to Ngong will cost Sh5bn</w:t>
      </w:r>
      <w:r w:rsidRPr="00926B69">
        <w:rPr>
          <w:rFonts w:cstheme="minorHAnsi"/>
          <w:lang w:val="en-GB"/>
        </w:rPr>
        <w:t xml:space="preserve"> available at </w:t>
      </w:r>
      <w:hyperlink r:id="rId5" w:history="1">
        <w:r w:rsidRPr="00926B69">
          <w:rPr>
            <w:rStyle w:val="Hyperlink"/>
            <w:rFonts w:cstheme="minorHAnsi"/>
            <w:lang w:val="en-GB"/>
          </w:rPr>
          <w:t>https://www.businessdailyafrica.com/bd/economy/moving-mathari-hospital-to-karen-will-cost-sh5bn-3872438</w:t>
        </w:r>
      </w:hyperlink>
      <w:r w:rsidRPr="00926B69">
        <w:rPr>
          <w:rFonts w:cstheme="minorHAnsi"/>
          <w:lang w:val="en-GB"/>
        </w:rPr>
        <w:t xml:space="preserve"> </w:t>
      </w:r>
    </w:p>
  </w:footnote>
  <w:footnote w:id="40">
    <w:p w14:paraId="60E7E141" w14:textId="77777777" w:rsidR="009C0796" w:rsidRPr="00926B69" w:rsidRDefault="009C0796" w:rsidP="009C0796">
      <w:pPr>
        <w:pStyle w:val="FootnoteText"/>
        <w:rPr>
          <w:rFonts w:cstheme="minorHAnsi"/>
          <w:lang w:val="en-GB"/>
        </w:rPr>
      </w:pPr>
      <w:r w:rsidRPr="00926B69">
        <w:rPr>
          <w:rStyle w:val="FootnoteReference"/>
          <w:rFonts w:cstheme="minorHAnsi"/>
        </w:rPr>
        <w:footnoteRef/>
      </w:r>
      <w:r w:rsidRPr="00926B69">
        <w:rPr>
          <w:rFonts w:cstheme="minorHAnsi"/>
        </w:rPr>
        <w:t xml:space="preserve"> PHOTOS – First Lady Margaret Kenyatta Opens New Mental Hospital in Nairobi</w:t>
      </w:r>
      <w:r w:rsidRPr="00926B69">
        <w:rPr>
          <w:rFonts w:cstheme="minorHAnsi"/>
          <w:lang w:val="en-GB"/>
        </w:rPr>
        <w:t xml:space="preserve"> available at </w:t>
      </w:r>
      <w:hyperlink r:id="rId6" w:history="1">
        <w:r w:rsidRPr="00926B69">
          <w:rPr>
            <w:rStyle w:val="Hyperlink"/>
            <w:rFonts w:cstheme="minorHAnsi"/>
            <w:lang w:val="en-GB"/>
          </w:rPr>
          <w:t>https://nairobiwire.com/2021/07/photos-first-lady-margaret-kenyatta-opens-new-mental-hospital-in-nairobi.html</w:t>
        </w:r>
      </w:hyperlink>
      <w:r w:rsidRPr="00926B69">
        <w:rPr>
          <w:rFonts w:cstheme="minorHAnsi"/>
          <w:lang w:val="en-GB"/>
        </w:rPr>
        <w:t xml:space="preserve"> </w:t>
      </w:r>
    </w:p>
  </w:footnote>
  <w:footnote w:id="41">
    <w:p w14:paraId="78ABC5D4" w14:textId="77777777" w:rsidR="00757B1B" w:rsidRPr="00202FD4" w:rsidRDefault="00757B1B" w:rsidP="00757B1B">
      <w:pPr>
        <w:pStyle w:val="FootnoteText"/>
        <w:rPr>
          <w:lang w:val="en-US"/>
        </w:rPr>
      </w:pPr>
      <w:r>
        <w:rPr>
          <w:rStyle w:val="FootnoteReference"/>
        </w:rPr>
        <w:footnoteRef/>
      </w:r>
      <w:r w:rsidRPr="00202FD4">
        <w:t>https://www.knec.ac.ke/wp-content/uploads/2021/06/CBA-Stage-Based-SNE-Training-Manual.pdf</w:t>
      </w:r>
      <w:r>
        <w:t xml:space="preserve"> </w:t>
      </w:r>
    </w:p>
  </w:footnote>
  <w:footnote w:id="42">
    <w:p w14:paraId="01B06B0A" w14:textId="77777777" w:rsidR="00E910A1" w:rsidRPr="00585EF4" w:rsidRDefault="00E910A1" w:rsidP="00E910A1">
      <w:pPr>
        <w:pStyle w:val="FootnoteText"/>
        <w:rPr>
          <w:lang w:val="en-US"/>
        </w:rPr>
      </w:pPr>
      <w:r>
        <w:rPr>
          <w:rStyle w:val="FootnoteReference"/>
        </w:rPr>
        <w:footnoteRef/>
      </w:r>
      <w:r>
        <w:t xml:space="preserve"> </w:t>
      </w:r>
      <w:r w:rsidRPr="00585EF4">
        <w:t>2022 Support Needs Assessment for Persons with Disabilities and their Primary Caregivers</w:t>
      </w:r>
    </w:p>
  </w:footnote>
  <w:footnote w:id="43">
    <w:p w14:paraId="68070CDD" w14:textId="77777777" w:rsidR="00E910A1" w:rsidRPr="00FD4BAE" w:rsidRDefault="00E910A1" w:rsidP="00E910A1">
      <w:pPr>
        <w:pStyle w:val="FootnoteText"/>
        <w:rPr>
          <w:lang w:val="en-US"/>
        </w:rPr>
      </w:pPr>
      <w:r>
        <w:rPr>
          <w:rStyle w:val="FootnoteReference"/>
        </w:rPr>
        <w:footnoteRef/>
      </w:r>
      <w:r>
        <w:t xml:space="preserve"> </w:t>
      </w:r>
      <w:r w:rsidRPr="00585EF4">
        <w:t>2022 Support Needs Assessment for Persons with Disabilities and their Primary Caregivers</w:t>
      </w:r>
    </w:p>
  </w:footnote>
  <w:footnote w:id="44">
    <w:p w14:paraId="38FA16FF" w14:textId="77777777" w:rsidR="00B04A93" w:rsidRPr="004B5468" w:rsidRDefault="00B04A93" w:rsidP="00B04A93">
      <w:pPr>
        <w:pStyle w:val="FootnoteText"/>
        <w:rPr>
          <w:lang w:val="en-US"/>
        </w:rPr>
      </w:pPr>
      <w:r>
        <w:rPr>
          <w:rStyle w:val="FootnoteReference"/>
        </w:rPr>
        <w:footnoteRef/>
      </w:r>
      <w:r>
        <w:t xml:space="preserve"> </w:t>
      </w:r>
      <w:r w:rsidRPr="00BC594D">
        <w:t>https://www.udpkenya.or.ke/wp-content/uploads/2023/05/Audit-Report-on-Participation-of-Persons-with-diabilities-in-2022-Elections.pdf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94FC3"/>
    <w:multiLevelType w:val="hybridMultilevel"/>
    <w:tmpl w:val="4262010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1047D71"/>
    <w:multiLevelType w:val="hybridMultilevel"/>
    <w:tmpl w:val="3196D450"/>
    <w:lvl w:ilvl="0" w:tplc="90B61336">
      <w:start w:val="1"/>
      <w:numFmt w:val="decimal"/>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267541738">
    <w:abstractNumId w:val="0"/>
  </w:num>
  <w:num w:numId="2" w16cid:durableId="1215973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BA1"/>
    <w:rsid w:val="000631A7"/>
    <w:rsid w:val="0010027F"/>
    <w:rsid w:val="00142431"/>
    <w:rsid w:val="001611F3"/>
    <w:rsid w:val="00167A4F"/>
    <w:rsid w:val="00266DC9"/>
    <w:rsid w:val="002870FB"/>
    <w:rsid w:val="002C488A"/>
    <w:rsid w:val="002D50C5"/>
    <w:rsid w:val="003227BA"/>
    <w:rsid w:val="003245AD"/>
    <w:rsid w:val="003A2784"/>
    <w:rsid w:val="004A059C"/>
    <w:rsid w:val="00547F91"/>
    <w:rsid w:val="00555689"/>
    <w:rsid w:val="005B2720"/>
    <w:rsid w:val="005D02C2"/>
    <w:rsid w:val="005E5108"/>
    <w:rsid w:val="00612DE2"/>
    <w:rsid w:val="00614D90"/>
    <w:rsid w:val="00757B1B"/>
    <w:rsid w:val="00793955"/>
    <w:rsid w:val="007B5F0A"/>
    <w:rsid w:val="007D784F"/>
    <w:rsid w:val="008153CF"/>
    <w:rsid w:val="008C7194"/>
    <w:rsid w:val="00913232"/>
    <w:rsid w:val="00926B69"/>
    <w:rsid w:val="009B4856"/>
    <w:rsid w:val="009C0796"/>
    <w:rsid w:val="009C2494"/>
    <w:rsid w:val="009C428C"/>
    <w:rsid w:val="00A3773E"/>
    <w:rsid w:val="00A73954"/>
    <w:rsid w:val="00AE410E"/>
    <w:rsid w:val="00AF0BA1"/>
    <w:rsid w:val="00B04A93"/>
    <w:rsid w:val="00BB0745"/>
    <w:rsid w:val="00C82CB3"/>
    <w:rsid w:val="00CC0453"/>
    <w:rsid w:val="00CF321F"/>
    <w:rsid w:val="00D576F1"/>
    <w:rsid w:val="00D90B7E"/>
    <w:rsid w:val="00E03744"/>
    <w:rsid w:val="00E641E7"/>
    <w:rsid w:val="00E71025"/>
    <w:rsid w:val="00E910A1"/>
    <w:rsid w:val="00F246EC"/>
    <w:rsid w:val="00F24FBB"/>
    <w:rsid w:val="00F32BF9"/>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7E94"/>
  <w15:chartTrackingRefBased/>
  <w15:docId w15:val="{977F1B0F-5491-4071-B540-5DEFECC72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4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B2720"/>
    <w:pPr>
      <w:spacing w:after="0" w:line="240" w:lineRule="auto"/>
    </w:pPr>
    <w:rPr>
      <w:sz w:val="20"/>
      <w:szCs w:val="20"/>
    </w:rPr>
  </w:style>
  <w:style w:type="character" w:customStyle="1" w:styleId="FootnoteTextChar">
    <w:name w:val="Footnote Text Char"/>
    <w:basedOn w:val="DefaultParagraphFont"/>
    <w:link w:val="FootnoteText"/>
    <w:uiPriority w:val="99"/>
    <w:rsid w:val="005B2720"/>
    <w:rPr>
      <w:sz w:val="20"/>
      <w:szCs w:val="20"/>
    </w:rPr>
  </w:style>
  <w:style w:type="character" w:styleId="FootnoteReference">
    <w:name w:val="footnote reference"/>
    <w:aliases w:val="4_G,4_G Char1 Char Char Char,4_G Char Char Char Char Char Char,Footnote Reference1 Char Char Char Char Char Char,Footnotes refss Char Char Char Char Char Char,ftref Char Char Char Char Char Char,BVI fnr Char Char Char Char Char Char"/>
    <w:basedOn w:val="DefaultParagraphFont"/>
    <w:uiPriority w:val="99"/>
    <w:unhideWhenUsed/>
    <w:qFormat/>
    <w:rsid w:val="005B2720"/>
    <w:rPr>
      <w:vertAlign w:val="superscript"/>
    </w:rPr>
  </w:style>
  <w:style w:type="paragraph" w:styleId="CommentText">
    <w:name w:val="annotation text"/>
    <w:basedOn w:val="Normal"/>
    <w:link w:val="CommentTextChar"/>
    <w:uiPriority w:val="99"/>
    <w:unhideWhenUsed/>
    <w:rsid w:val="00555689"/>
    <w:pPr>
      <w:spacing w:line="240" w:lineRule="auto"/>
    </w:pPr>
    <w:rPr>
      <w:sz w:val="20"/>
      <w:szCs w:val="20"/>
    </w:rPr>
  </w:style>
  <w:style w:type="character" w:customStyle="1" w:styleId="CommentTextChar">
    <w:name w:val="Comment Text Char"/>
    <w:basedOn w:val="DefaultParagraphFont"/>
    <w:link w:val="CommentText"/>
    <w:uiPriority w:val="99"/>
    <w:rsid w:val="00555689"/>
    <w:rPr>
      <w:sz w:val="20"/>
      <w:szCs w:val="20"/>
    </w:rPr>
  </w:style>
  <w:style w:type="character" w:styleId="Hyperlink">
    <w:name w:val="Hyperlink"/>
    <w:basedOn w:val="DefaultParagraphFont"/>
    <w:uiPriority w:val="99"/>
    <w:unhideWhenUsed/>
    <w:rsid w:val="00A73954"/>
    <w:rPr>
      <w:color w:val="0000FF"/>
      <w:u w:val="single"/>
    </w:rPr>
  </w:style>
  <w:style w:type="paragraph" w:styleId="ListParagraph">
    <w:name w:val="List Paragraph"/>
    <w:basedOn w:val="Normal"/>
    <w:uiPriority w:val="34"/>
    <w:qFormat/>
    <w:rsid w:val="00AE41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knchr.org/Portals/0/Reports/Reproductive_health_report.pdf" TargetMode="External"/><Relationship Id="rId2" Type="http://schemas.openxmlformats.org/officeDocument/2006/relationships/hyperlink" Target="https://www.standardmedia.co.ke/opinion/article/2001469017/shackling-of-mentally-ill-people-is-unacceptable-and-must-be-stop" TargetMode="External"/><Relationship Id="rId1" Type="http://schemas.openxmlformats.org/officeDocument/2006/relationships/hyperlink" Target="https://www.knchr.org/Portals/0/Disability%20Publications/Mental%20health%20and%20the%20criminal%20justice%20system08_06_2023FINAL.pdf?ver=2023-06-08-152813-300" TargetMode="External"/><Relationship Id="rId6" Type="http://schemas.openxmlformats.org/officeDocument/2006/relationships/hyperlink" Target="https://nairobiwire.com/2021/07/photos-first-lady-margaret-kenyatta-opens-new-mental-hospital-in-nairobi.html" TargetMode="External"/><Relationship Id="rId5" Type="http://schemas.openxmlformats.org/officeDocument/2006/relationships/hyperlink" Target="https://www.businessdailyafrica.com/bd/economy/moving-mathari-hospital-to-karen-will-cost-sh5bn-3872438" TargetMode="External"/><Relationship Id="rId4" Type="http://schemas.openxmlformats.org/officeDocument/2006/relationships/hyperlink" Target="https://www.healthcaremea.com/kenya-begins-construction-of-futuristic-international-mental-wellness-fac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7F1849-4F8E-4C03-988E-A8077DEEB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4607</Words>
  <Characters>26261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esther.mkamori@udpkenya.or.ke</dc:creator>
  <cp:keywords/>
  <dc:description/>
  <cp:lastModifiedBy>Mirriam Nthenge</cp:lastModifiedBy>
  <cp:revision>3</cp:revision>
  <dcterms:created xsi:type="dcterms:W3CDTF">2023-07-05T06:26:00Z</dcterms:created>
  <dcterms:modified xsi:type="dcterms:W3CDTF">2023-07-05T06:27:00Z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e0664267-235a-49df-80ed-30e65ba75931</vt:lpwstr>
  </property>
</Properties>
</file>