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47F3A" w:rsidRDefault="007B07F3" w:rsidP="00C04FD3">
      <w:pPr>
        <w:pStyle w:val="NoSpacing"/>
        <w:jc w:val="center"/>
      </w:pPr>
      <w:r>
        <w:t>Committee on the Rights of Persons with Disabilities</w:t>
      </w:r>
    </w:p>
    <w:p w:rsidR="00E47F3A" w:rsidRDefault="007B07F3">
      <w:pPr>
        <w:pStyle w:val="NoSpacing"/>
        <w:jc w:val="center"/>
        <w:rPr>
          <w:lang w:val="en-GB"/>
        </w:rPr>
      </w:pPr>
      <w:r>
        <w:rPr>
          <w:lang w:val="en-GB"/>
        </w:rPr>
        <w:t>Twenty-third session</w:t>
      </w:r>
    </w:p>
    <w:p w:rsidR="00E47F3A" w:rsidRDefault="007B07F3">
      <w:pPr>
        <w:pStyle w:val="NoSpacing"/>
        <w:jc w:val="center"/>
        <w:rPr>
          <w:lang w:val="en-GB"/>
        </w:rPr>
      </w:pPr>
      <w:r>
        <w:rPr>
          <w:lang w:val="en-GB"/>
        </w:rPr>
        <w:t>17 August 2020</w:t>
      </w:r>
    </w:p>
    <w:p w:rsidR="00E47F3A" w:rsidRDefault="00E47F3A">
      <w:pPr>
        <w:pStyle w:val="NoSpacing"/>
        <w:jc w:val="center"/>
        <w:rPr>
          <w:lang w:val="en-GB"/>
        </w:rPr>
      </w:pPr>
    </w:p>
    <w:p w:rsidR="00E47F3A" w:rsidRDefault="007B07F3">
      <w:pPr>
        <w:pStyle w:val="NoSpacing"/>
        <w:jc w:val="center"/>
        <w:rPr>
          <w:lang w:val="en-GB"/>
        </w:rPr>
      </w:pPr>
      <w:r>
        <w:rPr>
          <w:lang w:val="en-GB"/>
        </w:rPr>
        <w:t>Statement by the Anti-Personnel Mine Ban Convention’s Committee on Victim Assistance</w:t>
      </w:r>
    </w:p>
    <w:p w:rsidR="00E47F3A" w:rsidRDefault="00E47F3A">
      <w:pPr>
        <w:rPr>
          <w:rFonts w:ascii="Calibri" w:hAnsi="Calibri"/>
          <w:sz w:val="22"/>
          <w:szCs w:val="22"/>
        </w:rPr>
      </w:pPr>
    </w:p>
    <w:p w:rsidR="00E47F3A" w:rsidRDefault="00E47F3A">
      <w:pPr>
        <w:jc w:val="both"/>
        <w:rPr>
          <w:rFonts w:ascii="Calibri" w:hAnsi="Calibri"/>
          <w:sz w:val="22"/>
          <w:szCs w:val="22"/>
        </w:rPr>
      </w:pPr>
    </w:p>
    <w:p w:rsidR="00E47F3A" w:rsidRDefault="007B07F3">
      <w:pPr>
        <w:pStyle w:val="NoSpacing"/>
        <w:jc w:val="both"/>
        <w:rPr>
          <w:lang w:val="en-GB"/>
        </w:rPr>
      </w:pPr>
      <w:r>
        <w:rPr>
          <w:lang w:val="en-GB"/>
        </w:rPr>
        <w:t>I am honoured to address you in my capacity of Chair of the Committee on Victim Assistance of the Anti-Personnel Mine Ban Convention which includes representatives of Chile, Sweden</w:t>
      </w:r>
      <w:r w:rsidR="00C04FD3">
        <w:rPr>
          <w:lang w:val="en-GB"/>
        </w:rPr>
        <w:t>,</w:t>
      </w:r>
      <w:r>
        <w:rPr>
          <w:lang w:val="en-GB"/>
        </w:rPr>
        <w:t xml:space="preserve"> Thailand</w:t>
      </w:r>
      <w:r w:rsidR="00C04FD3">
        <w:rPr>
          <w:lang w:val="en-GB"/>
        </w:rPr>
        <w:t xml:space="preserve"> and my own country Italy.</w:t>
      </w:r>
    </w:p>
    <w:p w:rsidR="00E47F3A" w:rsidRDefault="00E47F3A">
      <w:pPr>
        <w:pStyle w:val="NoSpacing"/>
        <w:jc w:val="both"/>
        <w:rPr>
          <w:lang w:val="en-GB"/>
        </w:rPr>
      </w:pPr>
    </w:p>
    <w:p w:rsidR="00E47F3A" w:rsidRDefault="007B07F3">
      <w:pPr>
        <w:pStyle w:val="NoSpacing"/>
        <w:jc w:val="both"/>
      </w:pPr>
      <w:r>
        <w:rPr>
          <w:lang w:val="en-GB"/>
        </w:rPr>
        <w:t xml:space="preserve">As has been shared by past Chairs of the Committee, we represent the Anti-Personnel Mine Ban Convention, an International Humanitarian disarmament instrument that has been acceded to by 164 States. The Convention </w:t>
      </w:r>
      <w:r>
        <w:rPr>
          <w:color w:val="000000"/>
          <w:lang w:val="en-GB"/>
        </w:rPr>
        <w:t>is the cornerstone of the international effort to end the suffering and casualties caused by anti-personnel mines</w:t>
      </w:r>
      <w:r>
        <w:rPr>
          <w:lang w:val="en-GB"/>
        </w:rPr>
        <w:t>, a weapon that is indiscriminate and that continu</w:t>
      </w:r>
      <w:r w:rsidR="00C04FD3">
        <w:rPr>
          <w:lang w:val="en-GB"/>
        </w:rPr>
        <w:t>es</w:t>
      </w:r>
      <w:r>
        <w:rPr>
          <w:lang w:val="en-GB"/>
        </w:rPr>
        <w:t xml:space="preserve"> claiming casualties decades after conflicts have ended</w:t>
      </w:r>
      <w:r w:rsidR="00C04FD3">
        <w:rPr>
          <w:lang w:val="en-GB"/>
        </w:rPr>
        <w:t>,</w:t>
      </w:r>
      <w:r>
        <w:rPr>
          <w:lang w:val="en-GB"/>
        </w:rPr>
        <w:t xml:space="preserve"> causing traumatic injuries and threatening “the right to life” in affected countries.  It was also the first disarmament instrument which included provisions for support to victims/survivors. Article 6.3 of the AP Mine Ban Convention contributes to protecting the rights of the individuals injured by anti-personnel mines as well as affected families and communities.  </w:t>
      </w:r>
    </w:p>
    <w:p w:rsidR="00E47F3A" w:rsidRDefault="00E47F3A">
      <w:pPr>
        <w:pStyle w:val="NoSpacing"/>
        <w:jc w:val="both"/>
        <w:rPr>
          <w:lang w:val="en-GB"/>
        </w:rPr>
      </w:pPr>
    </w:p>
    <w:p w:rsidR="00E47F3A" w:rsidRDefault="007B07F3">
      <w:pPr>
        <w:pStyle w:val="NoSpacing"/>
        <w:jc w:val="both"/>
        <w:rPr>
          <w:lang w:val="en-GB"/>
        </w:rPr>
      </w:pPr>
      <w:r>
        <w:rPr>
          <w:lang w:val="en-GB"/>
        </w:rPr>
        <w:t>Over the past two years</w:t>
      </w:r>
      <w:r w:rsidR="00C04FD3">
        <w:rPr>
          <w:lang w:val="en-GB"/>
        </w:rPr>
        <w:t>,</w:t>
      </w:r>
      <w:r>
        <w:rPr>
          <w:lang w:val="en-GB"/>
        </w:rPr>
        <w:t xml:space="preserve"> the Committee has recommended the development of a General Comment on Article 11 of the CRPD. We understand that the Committee on the Rights of Persons with Disabilities has not been in a position to prioritise the development of a General Comment on Article 11</w:t>
      </w:r>
      <w:r w:rsidR="00C04FD3">
        <w:rPr>
          <w:lang w:val="en-GB"/>
        </w:rPr>
        <w:t>,</w:t>
      </w:r>
      <w:r>
        <w:rPr>
          <w:lang w:val="en-GB"/>
        </w:rPr>
        <w:t xml:space="preserve"> but we hope that it</w:t>
      </w:r>
      <w:r w:rsidR="00C04FD3">
        <w:rPr>
          <w:lang w:val="en-GB"/>
        </w:rPr>
        <w:t xml:space="preserve"> will</w:t>
      </w:r>
      <w:r>
        <w:rPr>
          <w:lang w:val="en-GB"/>
        </w:rPr>
        <w:t xml:space="preserve"> be consider</w:t>
      </w:r>
      <w:r w:rsidR="00C04FD3">
        <w:rPr>
          <w:lang w:val="en-GB"/>
        </w:rPr>
        <w:t>ed</w:t>
      </w:r>
      <w:r>
        <w:rPr>
          <w:lang w:val="en-GB"/>
        </w:rPr>
        <w:t xml:space="preserve"> in the near future</w:t>
      </w:r>
      <w:r w:rsidR="00C04FD3">
        <w:rPr>
          <w:lang w:val="en-GB"/>
        </w:rPr>
        <w:t>,</w:t>
      </w:r>
      <w:r>
        <w:rPr>
          <w:lang w:val="en-GB"/>
        </w:rPr>
        <w:t xml:space="preserve"> as it would support States and organisations to better understand the important linkages in our work and strengthen synergies between International Humanitarian Law (IHL) and International Human Rights Law (IHRL) with regards to the rights of persons with disabilities prior, during and after situations of risks and emergencies.</w:t>
      </w:r>
    </w:p>
    <w:p w:rsidR="00E47F3A" w:rsidRDefault="00E47F3A">
      <w:pPr>
        <w:pStyle w:val="NoSpacing"/>
        <w:jc w:val="both"/>
        <w:rPr>
          <w:lang w:val="en-GB"/>
        </w:rPr>
      </w:pPr>
    </w:p>
    <w:p w:rsidR="00E47F3A" w:rsidRDefault="007B07F3">
      <w:pPr>
        <w:pStyle w:val="NoSpacing"/>
        <w:jc w:val="both"/>
        <w:rPr>
          <w:lang w:val="en-GB"/>
        </w:rPr>
      </w:pPr>
      <w:r>
        <w:rPr>
          <w:lang w:val="en-GB"/>
        </w:rPr>
        <w:t xml:space="preserve">We </w:t>
      </w:r>
      <w:r w:rsidR="00C04FD3">
        <w:rPr>
          <w:lang w:val="en-GB"/>
        </w:rPr>
        <w:t>are</w:t>
      </w:r>
      <w:r>
        <w:rPr>
          <w:lang w:val="en-GB"/>
        </w:rPr>
        <w:t xml:space="preserve"> encouraged by the adoption</w:t>
      </w:r>
      <w:r w:rsidR="00C04FD3">
        <w:rPr>
          <w:lang w:val="en-GB"/>
        </w:rPr>
        <w:t>, last year,</w:t>
      </w:r>
      <w:r>
        <w:rPr>
          <w:lang w:val="en-GB"/>
        </w:rPr>
        <w:t xml:space="preserve"> of the UN Security Council Resolution 2475 as well as the launch of the Guidelines on the Inclusion of Persons with Disabilities in Humanitarian Action. The </w:t>
      </w:r>
      <w:r w:rsidR="00C04FD3">
        <w:rPr>
          <w:lang w:val="en-GB"/>
        </w:rPr>
        <w:t>R</w:t>
      </w:r>
      <w:r>
        <w:rPr>
          <w:lang w:val="en-GB"/>
        </w:rPr>
        <w:t xml:space="preserve">esolution and the </w:t>
      </w:r>
      <w:r w:rsidR="00C04FD3">
        <w:rPr>
          <w:lang w:val="en-GB"/>
        </w:rPr>
        <w:t>G</w:t>
      </w:r>
      <w:r>
        <w:rPr>
          <w:lang w:val="en-GB"/>
        </w:rPr>
        <w:t>uidelines should lead to an increased awareness on the urgency and importance of the safety and protection of persons with disabilities in situations of risk and humanitarian emergencies. We also recognise the significance of the UN Disability Inclusion Strategy which should ensure that the UN lead by example in ensuring full inclusion of persons with disabilities</w:t>
      </w:r>
      <w:r w:rsidR="00C04FD3">
        <w:rPr>
          <w:lang w:val="en-GB"/>
        </w:rPr>
        <w:t xml:space="preserve"> –</w:t>
      </w:r>
      <w:r>
        <w:rPr>
          <w:lang w:val="en-GB"/>
        </w:rPr>
        <w:t xml:space="preserve"> including landmine survivors</w:t>
      </w:r>
      <w:r w:rsidR="00C04FD3">
        <w:rPr>
          <w:lang w:val="en-GB"/>
        </w:rPr>
        <w:t xml:space="preserve"> –</w:t>
      </w:r>
      <w:r>
        <w:rPr>
          <w:lang w:val="en-GB"/>
        </w:rPr>
        <w:t xml:space="preserve"> in its policies and programmes. </w:t>
      </w:r>
    </w:p>
    <w:p w:rsidR="00E47F3A" w:rsidRDefault="00E47F3A">
      <w:pPr>
        <w:pStyle w:val="NoSpacing"/>
        <w:jc w:val="both"/>
        <w:rPr>
          <w:lang w:val="en-GB"/>
        </w:rPr>
      </w:pPr>
    </w:p>
    <w:p w:rsidR="00E47F3A" w:rsidRDefault="007B07F3">
      <w:pPr>
        <w:pStyle w:val="NoSpacing"/>
        <w:jc w:val="both"/>
      </w:pPr>
      <w:r>
        <w:rPr>
          <w:lang w:val="en-GB"/>
        </w:rPr>
        <w:t xml:space="preserve">In December 2019 the States Parties to the AP Mine Ban Convention adopted the Oslo Action Plan – a five-year action plan that provides a tool for States Parties in the implementation of the provisions of the Convention. The Oslo Action Plan reiterates States Parties’ commitments to respond to the needs of mine victims and to protect their rights. It further aligns mine action humanitarian efforts with the CRPD. </w:t>
      </w:r>
      <w:r>
        <w:rPr>
          <w:rFonts w:cs="Calibri"/>
          <w:lang w:val="en-GB"/>
        </w:rPr>
        <w:t xml:space="preserve">The Oslo Action Plan calls for disability inclusive efforts in risk education, policies, planning, monitoring and reporting. </w:t>
      </w:r>
      <w:r>
        <w:rPr>
          <w:lang w:val="en-GB"/>
        </w:rPr>
        <w:t>It also stresses on the need to ensure “</w:t>
      </w:r>
      <w:r>
        <w:rPr>
          <w:rFonts w:cs="Calibri"/>
          <w:i/>
          <w:iCs/>
          <w:lang w:val="en-GB"/>
        </w:rPr>
        <w:t xml:space="preserve">the full, equal and effective participation of mine victims in society, based on respect for </w:t>
      </w:r>
      <w:r>
        <w:rPr>
          <w:rFonts w:cs="Calibri"/>
          <w:lang w:val="en-GB"/>
        </w:rPr>
        <w:t xml:space="preserve">human rights, gender equality, inclusion and non-discrimination.” </w:t>
      </w:r>
    </w:p>
    <w:p w:rsidR="00E47F3A" w:rsidRDefault="00E47F3A">
      <w:pPr>
        <w:pStyle w:val="NoSpacing"/>
        <w:jc w:val="both"/>
        <w:rPr>
          <w:rFonts w:cs="Calibri"/>
          <w:lang w:val="en-GB"/>
        </w:rPr>
      </w:pPr>
    </w:p>
    <w:p w:rsidR="00E47F3A" w:rsidRDefault="007B07F3">
      <w:pPr>
        <w:pStyle w:val="NoSpacing"/>
        <w:jc w:val="both"/>
        <w:rPr>
          <w:rFonts w:cs="Calibri"/>
          <w:lang w:val="en-GB"/>
        </w:rPr>
      </w:pPr>
      <w:r>
        <w:rPr>
          <w:rFonts w:cs="Calibri"/>
          <w:lang w:val="en-GB"/>
        </w:rPr>
        <w:t xml:space="preserve">The principle of non-discrimination has been in the centre of victim assistance efforts. </w:t>
      </w:r>
      <w:r w:rsidR="00C04FD3">
        <w:rPr>
          <w:rFonts w:cs="Calibri"/>
          <w:lang w:val="en-GB"/>
        </w:rPr>
        <w:t>A</w:t>
      </w:r>
      <w:r>
        <w:rPr>
          <w:rFonts w:cs="Calibri"/>
          <w:lang w:val="en-GB"/>
        </w:rPr>
        <w:t xml:space="preserve">ny support provided through victim assistance frameworks should not discriminate against other persons with disabilities. Furthermore, for the first time, the Oslo Action Plan includes a direct reference to the CRPD, strengthening synergies between humanitarian and human rights efforts with regards to meeting the needs and rights of mine victims.  </w:t>
      </w:r>
    </w:p>
    <w:p w:rsidR="00E47F3A" w:rsidRDefault="00E47F3A">
      <w:pPr>
        <w:pStyle w:val="NoSpacing"/>
        <w:jc w:val="both"/>
        <w:rPr>
          <w:rFonts w:cs="Calibri"/>
          <w:lang w:val="en-GB"/>
        </w:rPr>
      </w:pPr>
    </w:p>
    <w:p w:rsidR="00E47F3A" w:rsidRDefault="007B07F3">
      <w:pPr>
        <w:pStyle w:val="NoSpacing"/>
        <w:jc w:val="both"/>
      </w:pPr>
      <w:r>
        <w:rPr>
          <w:rFonts w:cs="Calibri"/>
          <w:lang w:val="en-GB"/>
        </w:rPr>
        <w:t>I would also like to draw your attention to Action 40 of the Oslo Action Plan which requires States Parties to “</w:t>
      </w:r>
      <w:r>
        <w:rPr>
          <w:rFonts w:cs="Calibri"/>
          <w:i/>
          <w:iCs/>
          <w:lang w:val="en-GB"/>
        </w:rPr>
        <w:t>e</w:t>
      </w:r>
      <w:r>
        <w:rPr>
          <w:i/>
          <w:iCs/>
          <w:lang w:val="en-GB"/>
        </w:rPr>
        <w:t xml:space="preserve">nsure that relevant national humanitarian response and preparedness plans provide for the safety and protection of mine survivors in situations of risk, including situations of armed conflict, humanitarian </w:t>
      </w:r>
      <w:r>
        <w:rPr>
          <w:i/>
          <w:iCs/>
          <w:lang w:val="en-GB"/>
        </w:rPr>
        <w:lastRenderedPageBreak/>
        <w:t>emergencies and natural disasters, in line with relevant international humanitarian and human rights law and international guidelines</w:t>
      </w:r>
      <w:r>
        <w:rPr>
          <w:lang w:val="en-GB"/>
        </w:rPr>
        <w:t xml:space="preserve">.” This commitment mirrors Article 11 of the CRPD, thus serves as a direct complement to the safety and protection efforts of persons with disabilities including landmine survivors in situation of risks and humanitarian emergencies. </w:t>
      </w:r>
    </w:p>
    <w:p w:rsidR="00E47F3A" w:rsidRDefault="00E47F3A">
      <w:pPr>
        <w:pStyle w:val="NoSpacing"/>
        <w:jc w:val="both"/>
        <w:rPr>
          <w:lang w:val="en-GB"/>
        </w:rPr>
      </w:pPr>
    </w:p>
    <w:p w:rsidR="00E47F3A" w:rsidRDefault="007B07F3">
      <w:pPr>
        <w:pStyle w:val="NoSpacing"/>
        <w:jc w:val="both"/>
        <w:rPr>
          <w:lang w:val="en-GB"/>
        </w:rPr>
      </w:pPr>
      <w:r>
        <w:rPr>
          <w:lang w:val="en-GB"/>
        </w:rPr>
        <w:t xml:space="preserve">We are grateful for the collaboration with the Committee on the Rights of Persons with Disabilities. I would like to thank you, Chairperson, Mr Basharu, for your contribution to the Fostering Partnerships last year. Fostering Partnerships was the theme of a global conference on victim assistance and disability rights that brought together over 180 victim assistance and disability rights experts from 41 States last September in Jordan and provided a unique opportunity for landmine affected countries civil society and other stakeholders to share lessons learned and best practices in meeting the needs of landmine survivors and persons with disabilities. </w:t>
      </w:r>
    </w:p>
    <w:p w:rsidR="00E47F3A" w:rsidRDefault="00E47F3A">
      <w:pPr>
        <w:pStyle w:val="NoSpacing"/>
        <w:jc w:val="both"/>
        <w:rPr>
          <w:lang w:val="en-GB"/>
        </w:rPr>
      </w:pPr>
    </w:p>
    <w:p w:rsidR="00E47F3A" w:rsidRDefault="007B07F3">
      <w:pPr>
        <w:pStyle w:val="NoSpacing"/>
        <w:jc w:val="both"/>
      </w:pPr>
      <w:r>
        <w:rPr>
          <w:lang w:val="en-GB"/>
        </w:rPr>
        <w:t xml:space="preserve">The Conference called for enhanced integration of victim assistance into broader disability, human rights, development and poverty reduction frameworks. Thanks to Jordan for hosting the Conference and for the support of the European Union. </w:t>
      </w:r>
      <w:r>
        <w:rPr>
          <w:i/>
          <w:iCs/>
          <w:lang w:val="en-GB"/>
        </w:rPr>
        <w:t>Copies of the Fostering Partnerships report are available on the Convention’s website. You can contact the Implementation Support Unit of the AP Mine Ban Convention for copies of the report.</w:t>
      </w:r>
    </w:p>
    <w:p w:rsidR="00E47F3A" w:rsidRDefault="00E47F3A">
      <w:pPr>
        <w:pStyle w:val="NoSpacing"/>
        <w:jc w:val="both"/>
        <w:rPr>
          <w:lang w:val="en-GB"/>
        </w:rPr>
      </w:pPr>
    </w:p>
    <w:p w:rsidR="00E47F3A" w:rsidRDefault="007B07F3">
      <w:pPr>
        <w:pStyle w:val="NoSpacing"/>
        <w:jc w:val="both"/>
        <w:rPr>
          <w:lang w:val="en-GB"/>
        </w:rPr>
      </w:pPr>
      <w:r>
        <w:rPr>
          <w:lang w:val="en-GB"/>
        </w:rPr>
        <w:t>During the Convention’s Intersessional Meetings held on 30 June – 2 July 2020</w:t>
      </w:r>
      <w:r w:rsidR="00C04FD3">
        <w:rPr>
          <w:lang w:val="en-GB"/>
        </w:rPr>
        <w:t>,</w:t>
      </w:r>
      <w:r>
        <w:rPr>
          <w:lang w:val="en-GB"/>
        </w:rPr>
        <w:t xml:space="preserve"> the Committee </w:t>
      </w:r>
      <w:r w:rsidR="00C04FD3">
        <w:rPr>
          <w:lang w:val="en-GB"/>
        </w:rPr>
        <w:t>organized</w:t>
      </w:r>
      <w:r>
        <w:rPr>
          <w:lang w:val="en-GB"/>
        </w:rPr>
        <w:t xml:space="preserve"> a panel discussion on  Victim Assistance, Safety and Protection in Situations of Risk and Humanitarian Emergencies </w:t>
      </w:r>
      <w:r w:rsidR="00C04FD3">
        <w:rPr>
          <w:lang w:val="en-GB"/>
        </w:rPr>
        <w:t>whit the participation</w:t>
      </w:r>
      <w:r>
        <w:rPr>
          <w:lang w:val="en-GB"/>
        </w:rPr>
        <w:t xml:space="preserve"> of the Ministry of Health and Social Protection of Colombia, the Iraqi Alliance of Disability Organization, the UN Secretary General’s Special Envoy on Disability and Accessibility, the International Committee of the Red Cross and Handicap International. This was the first effort of the Committee to spread awareness of th</w:t>
      </w:r>
      <w:r w:rsidR="00961D65">
        <w:rPr>
          <w:lang w:val="en-GB"/>
        </w:rPr>
        <w:t>is</w:t>
      </w:r>
      <w:r>
        <w:rPr>
          <w:lang w:val="en-GB"/>
        </w:rPr>
        <w:t xml:space="preserve"> new action of the Oslo Action Plan.  The importance of this matter regarding the current pandemic was also made clear. </w:t>
      </w:r>
    </w:p>
    <w:p w:rsidR="00E47F3A" w:rsidRDefault="00E47F3A">
      <w:pPr>
        <w:pStyle w:val="NoSpacing"/>
        <w:jc w:val="both"/>
        <w:rPr>
          <w:lang w:val="en-GB"/>
        </w:rPr>
      </w:pPr>
    </w:p>
    <w:p w:rsidR="00E47F3A" w:rsidRDefault="007B07F3">
      <w:pPr>
        <w:pStyle w:val="NoSpacing"/>
        <w:jc w:val="both"/>
      </w:pPr>
      <w:r>
        <w:rPr>
          <w:lang w:val="en-GB"/>
        </w:rPr>
        <w:t xml:space="preserve">The </w:t>
      </w:r>
      <w:r w:rsidR="00961D65">
        <w:rPr>
          <w:lang w:val="en-GB"/>
        </w:rPr>
        <w:t>Committee</w:t>
      </w:r>
      <w:r w:rsidR="00961D65">
        <w:rPr>
          <w:rFonts w:cs="Calibri"/>
          <w:lang w:val="en-GB"/>
        </w:rPr>
        <w:t>’</w:t>
      </w:r>
      <w:r w:rsidR="00961D65">
        <w:rPr>
          <w:lang w:val="en-GB"/>
        </w:rPr>
        <w:t>s</w:t>
      </w:r>
      <w:r>
        <w:rPr>
          <w:lang w:val="en-GB"/>
        </w:rPr>
        <w:t xml:space="preserve"> work surround support to 30 States Parties to the AP Mine Ban Convention that have reported having responsibility for a significant number of landmine survivors</w:t>
      </w:r>
      <w:r>
        <w:rPr>
          <w:rStyle w:val="FootnoteReference"/>
          <w:lang w:val="en-GB"/>
        </w:rPr>
        <w:footnoteReference w:id="1"/>
      </w:r>
      <w:r>
        <w:rPr>
          <w:lang w:val="en-GB"/>
        </w:rPr>
        <w:t xml:space="preserve">. Many of these States have reported on their efforts towards inclusion of landmine survivors in broader national frameworks. We would like to encourage the inclusion of questions in the list of issues regarding the situation of landmine survivors and their inclusion and participation in the CRPD frameworks for all thirty States to further strengthen synergies between the two instruments. </w:t>
      </w:r>
    </w:p>
    <w:p w:rsidR="00E47F3A" w:rsidRDefault="00E47F3A">
      <w:pPr>
        <w:pStyle w:val="NoSpacing"/>
        <w:jc w:val="both"/>
        <w:rPr>
          <w:lang w:val="en-GB"/>
        </w:rPr>
      </w:pPr>
    </w:p>
    <w:p w:rsidR="00E47F3A" w:rsidRDefault="007B07F3" w:rsidP="00961D65">
      <w:pPr>
        <w:pStyle w:val="Default"/>
        <w:jc w:val="both"/>
        <w:rPr>
          <w:lang w:val="en-GB"/>
        </w:rPr>
      </w:pPr>
      <w:r>
        <w:rPr>
          <w:rFonts w:cs="Arial"/>
          <w:color w:val="auto"/>
          <w:sz w:val="22"/>
          <w:szCs w:val="22"/>
          <w:lang w:val="en-GB"/>
        </w:rPr>
        <w:t>2020 is another important year for the AP Mine Ban Convention</w:t>
      </w:r>
      <w:r w:rsidR="00961D65">
        <w:rPr>
          <w:rFonts w:cs="Arial"/>
          <w:color w:val="auto"/>
          <w:sz w:val="22"/>
          <w:szCs w:val="22"/>
          <w:lang w:val="en-GB"/>
        </w:rPr>
        <w:t>,</w:t>
      </w:r>
      <w:r>
        <w:rPr>
          <w:rFonts w:cs="Arial"/>
          <w:color w:val="auto"/>
          <w:sz w:val="22"/>
          <w:szCs w:val="22"/>
          <w:lang w:val="en-GB"/>
        </w:rPr>
        <w:t xml:space="preserve"> as it is the first year of implementation of the Oslo Action Plan. We look forward to continuing our collaboration with you and other partners, </w:t>
      </w:r>
      <w:r w:rsidR="00961D65">
        <w:rPr>
          <w:rFonts w:cs="Arial"/>
          <w:color w:val="auto"/>
          <w:sz w:val="22"/>
          <w:szCs w:val="22"/>
          <w:lang w:val="en-GB"/>
        </w:rPr>
        <w:t xml:space="preserve">especially for the </w:t>
      </w:r>
      <w:r w:rsidR="00961D65" w:rsidRPr="00961D65">
        <w:rPr>
          <w:rFonts w:cs="Arial"/>
          <w:color w:val="auto"/>
          <w:sz w:val="22"/>
          <w:szCs w:val="22"/>
          <w:lang w:val="en-GB"/>
        </w:rPr>
        <w:t>Victim Assistance Experts Meeting that we are planning to convene</w:t>
      </w:r>
      <w:r w:rsidR="00961D65">
        <w:rPr>
          <w:rFonts w:cs="Arial"/>
          <w:color w:val="auto"/>
          <w:sz w:val="22"/>
          <w:szCs w:val="22"/>
          <w:lang w:val="en-GB"/>
        </w:rPr>
        <w:t xml:space="preserve"> </w:t>
      </w:r>
      <w:r w:rsidRPr="00961D65">
        <w:rPr>
          <w:rFonts w:cs="Arial"/>
          <w:color w:val="auto"/>
          <w:sz w:val="22"/>
          <w:szCs w:val="22"/>
          <w:lang w:val="en-GB"/>
        </w:rPr>
        <w:t>on the margins of the Eighteenth Meeting of States Parties in November 2020 in Geneva. The Expert Meetings will provide an opportunity for a continued dialogue and exchange of experience and best practices among national authorities with responsibility for survivor assistance.</w:t>
      </w:r>
      <w:r>
        <w:rPr>
          <w:lang w:val="en-GB"/>
        </w:rPr>
        <w:t xml:space="preserve"> </w:t>
      </w:r>
    </w:p>
    <w:p w:rsidR="00E47F3A" w:rsidRDefault="00E47F3A">
      <w:pPr>
        <w:pStyle w:val="NoSpacing"/>
        <w:jc w:val="both"/>
        <w:rPr>
          <w:lang w:val="en-GB"/>
        </w:rPr>
      </w:pPr>
    </w:p>
    <w:p w:rsidR="00E47F3A" w:rsidRDefault="007B07F3">
      <w:pPr>
        <w:pStyle w:val="NoSpacing"/>
        <w:jc w:val="both"/>
        <w:rPr>
          <w:lang w:val="en-GB"/>
        </w:rPr>
      </w:pPr>
      <w:r>
        <w:rPr>
          <w:lang w:val="en-GB"/>
        </w:rPr>
        <w:t xml:space="preserve">Before closing, I would also like to take this opportunity to thank </w:t>
      </w:r>
      <w:r w:rsidR="00961D65">
        <w:rPr>
          <w:lang w:val="en-GB"/>
        </w:rPr>
        <w:t xml:space="preserve">Ms. </w:t>
      </w:r>
      <w:r>
        <w:rPr>
          <w:lang w:val="en-GB"/>
        </w:rPr>
        <w:t>Catherinne L. Pedreros Puentes from the Secretariat of the Committee on the Rights of Persons with Disabilities for briefing our Committee in January during our annual retreat.</w:t>
      </w:r>
    </w:p>
    <w:p w:rsidR="00E47F3A" w:rsidRDefault="00E47F3A">
      <w:pPr>
        <w:pStyle w:val="NoSpacing"/>
        <w:jc w:val="both"/>
        <w:rPr>
          <w:lang w:val="en-GB"/>
        </w:rPr>
      </w:pPr>
    </w:p>
    <w:p w:rsidR="00E47F3A" w:rsidRDefault="007B07F3">
      <w:pPr>
        <w:pStyle w:val="NoSpacing"/>
        <w:jc w:val="both"/>
        <w:rPr>
          <w:lang w:val="en-GB"/>
        </w:rPr>
      </w:pPr>
      <w:r>
        <w:rPr>
          <w:lang w:val="en-GB"/>
        </w:rPr>
        <w:t xml:space="preserve">In conclusion, I would like to assure you that we will continue to enhance synergies with the CRPD frameworks and I would like to also encourage the Committee on the Rights of Persons with Disabilities to make sure landmine survivors are included in relevant policies and programmes of the CRPD. </w:t>
      </w:r>
    </w:p>
    <w:p w:rsidR="00E47F3A" w:rsidRDefault="00E47F3A">
      <w:pPr>
        <w:pStyle w:val="NoSpacing"/>
        <w:jc w:val="both"/>
        <w:rPr>
          <w:lang w:val="en-GB"/>
        </w:rPr>
      </w:pPr>
    </w:p>
    <w:p w:rsidR="00E47F3A" w:rsidRDefault="007B07F3">
      <w:pPr>
        <w:pStyle w:val="NoSpacing"/>
        <w:jc w:val="both"/>
      </w:pPr>
      <w:r>
        <w:rPr>
          <w:lang w:val="en-GB"/>
        </w:rPr>
        <w:t>Thank you.</w:t>
      </w:r>
    </w:p>
    <w:sectPr w:rsidR="00E47F3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B07F3" w:rsidRDefault="007B07F3">
      <w:pPr>
        <w:spacing w:line="240" w:lineRule="auto"/>
      </w:pPr>
      <w:r>
        <w:separator/>
      </w:r>
    </w:p>
  </w:endnote>
  <w:endnote w:type="continuationSeparator" w:id="0">
    <w:p w:rsidR="007B07F3" w:rsidRDefault="007B07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B07F3" w:rsidRDefault="007B07F3">
      <w:pPr>
        <w:spacing w:line="240" w:lineRule="auto"/>
      </w:pPr>
      <w:r>
        <w:separator/>
      </w:r>
    </w:p>
  </w:footnote>
  <w:footnote w:type="continuationSeparator" w:id="0">
    <w:p w:rsidR="007B07F3" w:rsidRDefault="007B07F3">
      <w:pPr>
        <w:spacing w:line="240" w:lineRule="auto"/>
      </w:pPr>
      <w:r>
        <w:continuationSeparator/>
      </w:r>
    </w:p>
  </w:footnote>
  <w:footnote w:id="1">
    <w:p w:rsidR="00E47F3A" w:rsidRDefault="007B07F3">
      <w:pPr>
        <w:pStyle w:val="FootnoteText"/>
      </w:pPr>
      <w:r>
        <w:rPr>
          <w:rStyle w:val="FootnoteReference"/>
        </w:rPr>
        <w:footnoteRef/>
      </w:r>
      <w:r>
        <w:t xml:space="preserve"> </w:t>
      </w:r>
      <w:r>
        <w:rPr>
          <w:rFonts w:ascii="Calibri" w:eastAsia="Calibri" w:hAnsi="Calibri" w:cs="Arial"/>
          <w:i/>
          <w:iCs/>
          <w:sz w:val="16"/>
          <w:szCs w:val="16"/>
        </w:rPr>
        <w:t>Afghanistan, Albania, Angola, Bosnia and Herzegovina, Burundi, Cambodia, Chad, Colombia, Croatia, Democratic Republic of the Congo, El Salvador, Eritrea, Ethiopia, Guinea-Bissau, Iraq, Jordan, Mozambique, Nicaragua, Peru, Senegal, Serbia, Somalia, South Sudan, Sri Lanka, Sudan, Tajikistan, Thailand, Uganda, Yemen and Zimbabwe.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F114C6"/>
    <w:multiLevelType w:val="multilevel"/>
    <w:tmpl w:val="43824C28"/>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attachedTemplate r:id="rId1"/>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F3A"/>
    <w:rsid w:val="00154E0F"/>
    <w:rsid w:val="007B07F3"/>
    <w:rsid w:val="00961D65"/>
    <w:rsid w:val="00C04FD3"/>
    <w:rsid w:val="00E47F3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2B030F-54B9-47F6-9541-A644D09C7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sz w:val="22"/>
        <w:szCs w:val="22"/>
        <w:lang w:val="fr-CH"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SimSu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lang w:val="fr-FR"/>
    </w:rPr>
  </w:style>
  <w:style w:type="paragraph" w:customStyle="1" w:styleId="Default">
    <w:name w:val="Default"/>
    <w:pPr>
      <w:suppressAutoHyphens/>
      <w:autoSpaceDE w:val="0"/>
      <w:spacing w:after="0" w:line="240" w:lineRule="auto"/>
    </w:pPr>
    <w:rPr>
      <w:rFonts w:cs="Calibri"/>
      <w:color w:val="000000"/>
      <w:sz w:val="24"/>
      <w:szCs w:val="24"/>
      <w:lang w:val="pt-BR"/>
    </w:rPr>
  </w:style>
  <w:style w:type="paragraph" w:styleId="BalloonText">
    <w:name w:val="Balloon Text"/>
    <w:basedOn w:val="Normal"/>
    <w:pPr>
      <w:spacing w:line="240" w:lineRule="auto"/>
    </w:pPr>
    <w:rPr>
      <w:rFonts w:ascii="Segoe UI" w:hAnsi="Segoe UI" w:cs="Segoe UI"/>
      <w:sz w:val="18"/>
      <w:szCs w:val="18"/>
    </w:rPr>
  </w:style>
  <w:style w:type="character" w:customStyle="1" w:styleId="BalloonTextChar">
    <w:name w:val="Balloon Text Char"/>
    <w:basedOn w:val="DefaultParagraphFont"/>
    <w:rPr>
      <w:rFonts w:ascii="Segoe UI" w:eastAsia="SimSun" w:hAnsi="Segoe UI" w:cs="Segoe UI"/>
      <w:sz w:val="18"/>
      <w:szCs w:val="18"/>
      <w:lang w:val="en-GB"/>
    </w:rPr>
  </w:style>
  <w:style w:type="paragraph" w:styleId="FootnoteText">
    <w:name w:val="footnote text"/>
    <w:basedOn w:val="Normal"/>
    <w:pPr>
      <w:spacing w:line="240" w:lineRule="auto"/>
    </w:pPr>
  </w:style>
  <w:style w:type="character" w:customStyle="1" w:styleId="FootnoteTextChar">
    <w:name w:val="Footnote Text Char"/>
    <w:basedOn w:val="DefaultParagraphFont"/>
    <w:rPr>
      <w:rFonts w:ascii="Times New Roman" w:eastAsia="SimSun" w:hAnsi="Times New Roman" w:cs="Times New Roman"/>
      <w:sz w:val="20"/>
      <w:szCs w:val="20"/>
      <w:lang w:val="en-GB"/>
    </w:rPr>
  </w:style>
  <w:style w:type="character" w:styleId="FootnoteReference">
    <w:name w:val="footnote reference"/>
    <w:basedOn w:val="DefaultParagraphFont"/>
    <w:rPr>
      <w:position w:val="0"/>
      <w:vertAlign w:val="superscript"/>
    </w:rPr>
  </w:style>
  <w:style w:type="paragraph" w:customStyle="1" w:styleId="align-justify">
    <w:name w:val="align-justify"/>
    <w:basedOn w:val="Normal"/>
    <w:pPr>
      <w:suppressAutoHyphens w:val="0"/>
      <w:spacing w:before="100" w:after="100" w:line="240" w:lineRule="auto"/>
      <w:textAlignment w:val="auto"/>
    </w:pPr>
    <w:rPr>
      <w:rFonts w:eastAsia="Times New Roman"/>
      <w:sz w:val="24"/>
      <w:szCs w:val="24"/>
      <w:lang w:val="fr-CH" w:eastAsia="fr-CH"/>
    </w:rPr>
  </w:style>
  <w:style w:type="character" w:styleId="Strong">
    <w:name w:val="Strong"/>
    <w:basedOn w:val="DefaultParagraphFont"/>
    <w:rPr>
      <w:b/>
      <w:bCs/>
    </w:rPr>
  </w:style>
  <w:style w:type="character" w:styleId="Hyperlink">
    <w:name w:val="Hyperlink"/>
    <w:basedOn w:val="DefaultParagraphFont"/>
    <w:rPr>
      <w:color w:val="0000FF"/>
      <w:u w:val="single"/>
    </w:rPr>
  </w:style>
  <w:style w:type="paragraph" w:styleId="NormalWeb">
    <w:name w:val="Normal (Web)"/>
    <w:basedOn w:val="Normal"/>
    <w:pPr>
      <w:suppressAutoHyphens w:val="0"/>
      <w:spacing w:before="100" w:after="100" w:line="240" w:lineRule="auto"/>
      <w:textAlignment w:val="auto"/>
    </w:pPr>
    <w:rPr>
      <w:rFonts w:eastAsia="Times New Roman"/>
      <w:sz w:val="24"/>
      <w:szCs w:val="24"/>
      <w:lang w:val="fr-CH" w:eastAsia="fr-CH"/>
    </w:rPr>
  </w:style>
  <w:style w:type="character" w:styleId="Emphasis">
    <w:name w:val="Emphasis"/>
    <w:basedOn w:val="DefaultParagraphFont"/>
    <w:rPr>
      <w:i/>
      <w:iCs/>
    </w:rPr>
  </w:style>
  <w:style w:type="character" w:customStyle="1" w:styleId="CommentReference1">
    <w:name w:val="Comment Reference1"/>
    <w:basedOn w:val="DefaultParagraphFont"/>
    <w:rPr>
      <w:sz w:val="16"/>
      <w:szCs w:val="16"/>
    </w:rPr>
  </w:style>
  <w:style w:type="paragraph" w:customStyle="1" w:styleId="CommentText1">
    <w:name w:val="Comment Text1"/>
    <w:basedOn w:val="Normal"/>
    <w:pPr>
      <w:spacing w:line="240" w:lineRule="auto"/>
    </w:pPr>
  </w:style>
  <w:style w:type="character" w:customStyle="1" w:styleId="CommentTextChar">
    <w:name w:val="Comment Text Char"/>
    <w:basedOn w:val="DefaultParagraphFont"/>
    <w:rPr>
      <w:rFonts w:ascii="Times New Roman" w:eastAsia="SimSun" w:hAnsi="Times New Roman" w:cs="Times New Roman"/>
      <w:sz w:val="20"/>
      <w:szCs w:val="20"/>
      <w:lang w:val="en-GB"/>
    </w:rPr>
  </w:style>
  <w:style w:type="paragraph" w:customStyle="1" w:styleId="CommentSubject1">
    <w:name w:val="Comment Subject1"/>
    <w:basedOn w:val="CommentText1"/>
    <w:next w:val="CommentText1"/>
    <w:rPr>
      <w:b/>
      <w:bCs/>
    </w:rPr>
  </w:style>
  <w:style w:type="character" w:customStyle="1" w:styleId="CommentSubjectChar">
    <w:name w:val="Comment Subject Char"/>
    <w:basedOn w:val="CommentTextChar"/>
    <w:rPr>
      <w:rFonts w:ascii="Times New Roman" w:eastAsia="SimSu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66BBF237" TargetMode="Externa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3C6DB2-6769-4A6C-B1D0-C8DDCBBDB49C}"/>
</file>

<file path=customXml/itemProps2.xml><?xml version="1.0" encoding="utf-8"?>
<ds:datastoreItem xmlns:ds="http://schemas.openxmlformats.org/officeDocument/2006/customXml" ds:itemID="{2AF83DC3-4EC1-4C37-93EB-F80A04A61B54}"/>
</file>

<file path=customXml/itemProps3.xml><?xml version="1.0" encoding="utf-8"?>
<ds:datastoreItem xmlns:ds="http://schemas.openxmlformats.org/officeDocument/2006/customXml" ds:itemID="{42FFDEE6-462B-4082-A7B7-9BB3E6EF6001}"/>
</file>

<file path=docProps/app.xml><?xml version="1.0" encoding="utf-8"?>
<Properties xmlns="http://schemas.openxmlformats.org/officeDocument/2006/extended-properties" xmlns:vt="http://schemas.openxmlformats.org/officeDocument/2006/docPropsVTypes">
  <Template>66BBF237</Template>
  <TotalTime>1</TotalTime>
  <Pages>2</Pages>
  <Words>1177</Words>
  <Characters>6712</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Alizada Firoz</dc:creator>
  <dc:description/>
  <cp:lastModifiedBy>Juan Carlos Ruan</cp:lastModifiedBy>
  <cp:revision>2</cp:revision>
  <dcterms:created xsi:type="dcterms:W3CDTF">2020-08-17T08:37:00Z</dcterms:created>
  <dcterms:modified xsi:type="dcterms:W3CDTF">2020-08-17T08:37:00Z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