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0586FD" w14:textId="29805EC9" w:rsidR="00C836A6" w:rsidRPr="00C836A6" w:rsidRDefault="00C836A6" w:rsidP="00C836A6">
      <w:pPr>
        <w:spacing w:after="0" w:line="240" w:lineRule="auto"/>
        <w:jc w:val="center"/>
        <w:rPr>
          <w:rFonts w:asciiTheme="majorBidi" w:eastAsia="MS Mincho" w:hAnsiTheme="majorBidi" w:cstheme="majorBidi"/>
          <w:b/>
          <w:caps/>
          <w:noProof/>
          <w:color w:val="4472C4" w:themeColor="accent1"/>
          <w:sz w:val="32"/>
          <w:szCs w:val="32"/>
          <w:lang w:val="en-GB"/>
        </w:rPr>
      </w:pPr>
      <w:bookmarkStart w:id="0" w:name="_GoBack"/>
      <w:bookmarkEnd w:id="0"/>
      <w:r w:rsidRPr="00C836A6">
        <w:rPr>
          <w:rFonts w:asciiTheme="majorBidi" w:eastAsia="MS Mincho" w:hAnsiTheme="majorBidi" w:cstheme="majorBidi"/>
          <w:b/>
          <w:caps/>
          <w:noProof/>
          <w:color w:val="4472C4" w:themeColor="accent1"/>
          <w:sz w:val="32"/>
          <w:szCs w:val="32"/>
          <w:lang w:val="en-GB"/>
        </w:rPr>
        <w:t>SUBMISSION TO THE UN COMMITTEE ON THE ELIMINATION OF DISCRIMINATION AGAINST WOMEN</w:t>
      </w:r>
    </w:p>
    <w:p w14:paraId="0CE23372" w14:textId="007527B1" w:rsidR="00C836A6" w:rsidRPr="00C836A6" w:rsidRDefault="00C836A6" w:rsidP="00C836A6">
      <w:pPr>
        <w:spacing w:before="720" w:after="720" w:line="240" w:lineRule="auto"/>
        <w:contextualSpacing/>
        <w:jc w:val="center"/>
        <w:rPr>
          <w:rFonts w:asciiTheme="majorBidi" w:eastAsia="Times New Roman" w:hAnsiTheme="majorBidi" w:cstheme="majorBidi"/>
          <w:b/>
          <w:color w:val="4472C4" w:themeColor="accent1"/>
          <w:sz w:val="32"/>
          <w:szCs w:val="32"/>
          <w:lang w:val="en-GB" w:eastAsia="en-GB"/>
        </w:rPr>
      </w:pPr>
      <w:r w:rsidRPr="00241FEA">
        <w:rPr>
          <w:rFonts w:asciiTheme="majorBidi" w:eastAsia="MS Mincho" w:hAnsiTheme="majorBidi" w:cstheme="majorBidi"/>
          <w:b/>
          <w:caps/>
          <w:noProof/>
          <w:color w:val="4472C4" w:themeColor="accent1"/>
          <w:sz w:val="32"/>
          <w:szCs w:val="32"/>
          <w:lang w:val="en-GB"/>
        </w:rPr>
        <w:t>92</w:t>
      </w:r>
      <w:r w:rsidRPr="00241FEA">
        <w:rPr>
          <w:rFonts w:asciiTheme="majorBidi" w:eastAsia="MS Mincho" w:hAnsiTheme="majorBidi" w:cstheme="majorBidi"/>
          <w:b/>
          <w:caps/>
          <w:noProof/>
          <w:color w:val="4472C4" w:themeColor="accent1"/>
          <w:sz w:val="32"/>
          <w:szCs w:val="32"/>
          <w:vertAlign w:val="superscript"/>
          <w:lang w:val="en-GB"/>
        </w:rPr>
        <w:t>nd</w:t>
      </w:r>
      <w:r w:rsidRPr="00241FEA">
        <w:rPr>
          <w:rFonts w:asciiTheme="majorBidi" w:eastAsia="MS Mincho" w:hAnsiTheme="majorBidi" w:cstheme="majorBidi"/>
          <w:b/>
          <w:caps/>
          <w:noProof/>
          <w:color w:val="4472C4" w:themeColor="accent1"/>
          <w:sz w:val="32"/>
          <w:szCs w:val="32"/>
          <w:lang w:val="en-GB"/>
        </w:rPr>
        <w:t xml:space="preserve"> pre-sessional working group regarding Iraq</w:t>
      </w:r>
    </w:p>
    <w:p w14:paraId="463E2C70" w14:textId="77777777" w:rsidR="002D6B7E" w:rsidRPr="005D01DA" w:rsidRDefault="002D6B7E" w:rsidP="002D6B7E">
      <w:pPr>
        <w:spacing w:before="240" w:after="240" w:line="240" w:lineRule="auto"/>
        <w:ind w:left="360"/>
        <w:jc w:val="center"/>
        <w:rPr>
          <w:rFonts w:asciiTheme="majorBidi" w:eastAsiaTheme="minorEastAsia" w:hAnsiTheme="majorBidi" w:cstheme="majorBidi"/>
          <w:b/>
          <w:kern w:val="28"/>
          <w:sz w:val="24"/>
          <w:szCs w:val="24"/>
          <w:lang w:val="en-GB" w:eastAsia="ja-JP"/>
        </w:rPr>
      </w:pPr>
    </w:p>
    <w:p w14:paraId="620ABE66" w14:textId="6770A8D3" w:rsidR="00C836A6" w:rsidRPr="005D01DA" w:rsidRDefault="00C836A6" w:rsidP="002D6B7E">
      <w:pPr>
        <w:spacing w:before="240" w:after="240" w:line="240" w:lineRule="auto"/>
        <w:ind w:left="360"/>
        <w:jc w:val="center"/>
        <w:rPr>
          <w:rFonts w:asciiTheme="majorBidi" w:eastAsiaTheme="minorEastAsia" w:hAnsiTheme="majorBidi" w:cstheme="majorBidi"/>
          <w:b/>
          <w:kern w:val="28"/>
          <w:sz w:val="24"/>
          <w:szCs w:val="24"/>
          <w:lang w:eastAsia="ja-JP"/>
        </w:rPr>
      </w:pPr>
      <w:r w:rsidRPr="005D01DA">
        <w:rPr>
          <w:rFonts w:asciiTheme="majorBidi" w:eastAsiaTheme="minorEastAsia" w:hAnsiTheme="majorBidi" w:cstheme="majorBidi"/>
          <w:b/>
          <w:kern w:val="28"/>
          <w:sz w:val="24"/>
          <w:szCs w:val="24"/>
          <w:lang w:eastAsia="ja-JP"/>
        </w:rPr>
        <w:t>The Issue of Gender Based Violence Against Women in Iraq</w:t>
      </w:r>
    </w:p>
    <w:p w14:paraId="504A7B45" w14:textId="51700BD9" w:rsidR="00C836A6" w:rsidRPr="005D01DA" w:rsidRDefault="00C836A6" w:rsidP="00C836A6">
      <w:pPr>
        <w:spacing w:before="240" w:after="240" w:line="240" w:lineRule="auto"/>
        <w:ind w:left="360"/>
        <w:jc w:val="both"/>
        <w:rPr>
          <w:rFonts w:asciiTheme="majorBidi" w:hAnsiTheme="majorBidi" w:cstheme="majorBidi"/>
          <w:sz w:val="24"/>
          <w:szCs w:val="24"/>
        </w:rPr>
      </w:pPr>
      <w:r w:rsidRPr="005D01DA">
        <w:rPr>
          <w:rFonts w:asciiTheme="majorBidi" w:hAnsiTheme="majorBidi" w:cstheme="majorBidi"/>
          <w:sz w:val="24"/>
          <w:szCs w:val="24"/>
        </w:rPr>
        <w:t>Iraq’s continued failure to effectively address gender-based violence and to ensure women’s meaningful access to justice in such cases exposes women to heightened risks, including circumstances that may lead to the commission of offenses punishable by death as mentioned in the Concluding Observations from 19–22.</w:t>
      </w:r>
    </w:p>
    <w:p w14:paraId="36F2DB9A" w14:textId="7863B21A" w:rsidR="00C836A6" w:rsidRPr="005D01DA" w:rsidRDefault="00C836A6" w:rsidP="00C836A6">
      <w:pPr>
        <w:spacing w:before="240" w:after="240" w:line="240" w:lineRule="auto"/>
        <w:ind w:left="360"/>
        <w:jc w:val="both"/>
        <w:rPr>
          <w:rFonts w:asciiTheme="majorBidi" w:hAnsiTheme="majorBidi" w:cstheme="majorBidi"/>
          <w:sz w:val="24"/>
          <w:szCs w:val="24"/>
        </w:rPr>
      </w:pPr>
      <w:r w:rsidRPr="005D01DA">
        <w:rPr>
          <w:rFonts w:asciiTheme="majorBidi" w:hAnsiTheme="majorBidi" w:cstheme="majorBidi"/>
          <w:sz w:val="24"/>
          <w:szCs w:val="24"/>
        </w:rPr>
        <w:t>In its 2019 Concluding Observations, the Committee voiced serious concern over Iraq’s persistent failure to effectively address the widespread prevalence of gender-based violence. While acknowledging Iraq’s adoption of the National Strategy on Violence against Women and Girls (2018–2030), the Committee noted that the strategy aims to: (i) establish a legal, legislative, and executive framework to safeguard women’s human rights in Iraq; (ii) develop a comprehensive capacity-building framework with a particular focus on women and girls; (iii) emphasize fundamental rights such as education, health, training, and housing and promote women’s empowerment; and (iv) foster a culture that rejects gender-based violence and discrimination by providing a practical “work plan or manual” for governmental and civil society institutions to protect women and guarantee their rights as equal members of society. However, the Committee expressed concern that several factors continue to lead to the underreporting of gender-based violence, including entrenched cultural barriers, the impunity enjoyed by perpetrators, and the limited human, technical, and financial resources available to police family protection units.</w:t>
      </w:r>
    </w:p>
    <w:p w14:paraId="23B47AF8" w14:textId="5C7107BB" w:rsidR="005D01DA" w:rsidRPr="005D01DA" w:rsidRDefault="005D01DA" w:rsidP="00C836A6">
      <w:pPr>
        <w:spacing w:before="240" w:after="240" w:line="240" w:lineRule="auto"/>
        <w:ind w:left="360"/>
        <w:jc w:val="both"/>
        <w:rPr>
          <w:rFonts w:asciiTheme="majorBidi" w:hAnsiTheme="majorBidi" w:cstheme="majorBidi"/>
          <w:sz w:val="24"/>
          <w:szCs w:val="24"/>
        </w:rPr>
      </w:pPr>
      <w:r w:rsidRPr="005D01DA">
        <w:rPr>
          <w:rFonts w:asciiTheme="majorBidi" w:hAnsiTheme="majorBidi" w:cstheme="majorBidi"/>
          <w:sz w:val="24"/>
          <w:szCs w:val="24"/>
        </w:rPr>
        <w:t>The Committee further raised concerns regarding discriminatory provisions in the Penal Code that permit perpetrators to rely on so-called “honor” as a mitigating factor in cases of homicide.</w:t>
      </w:r>
    </w:p>
    <w:p w14:paraId="4379DB36" w14:textId="121053BF" w:rsidR="00C836A6" w:rsidRPr="005D01DA" w:rsidRDefault="005D01DA" w:rsidP="00C836A6">
      <w:pPr>
        <w:spacing w:before="240" w:after="240" w:line="240" w:lineRule="auto"/>
        <w:ind w:left="360"/>
        <w:jc w:val="both"/>
        <w:rPr>
          <w:rFonts w:asciiTheme="majorBidi" w:eastAsiaTheme="minorEastAsia" w:hAnsiTheme="majorBidi" w:cstheme="majorBidi"/>
          <w:b/>
          <w:kern w:val="28"/>
          <w:sz w:val="24"/>
          <w:szCs w:val="24"/>
          <w:lang w:eastAsia="ja-JP"/>
        </w:rPr>
      </w:pPr>
      <w:r w:rsidRPr="005D01DA">
        <w:rPr>
          <w:rFonts w:asciiTheme="majorBidi" w:hAnsiTheme="majorBidi" w:cstheme="majorBidi"/>
          <w:sz w:val="24"/>
          <w:szCs w:val="24"/>
        </w:rPr>
        <w:t>With regard to gender-based violence perpetrated by members of the Islamic State, Iraq’s Eighth Periodic Report notes that the Ministry of Health has established gender-based violence centers to support victims in conflict-related contexts, but it does not clarify whether these centers are accessible to the broader population. The report also refers to several hotlines for survivors of gender-based violence and indicates that, in 2023, authorities arrested 9,200 individuals in connection with domestic violence cases; however, it fails to provide information on subsequent prosecutions, convictions, or the penalties imposed for such acts.</w:t>
      </w:r>
    </w:p>
    <w:p w14:paraId="42C638F6" w14:textId="77777777" w:rsidR="005D01DA" w:rsidRPr="005D01DA" w:rsidRDefault="005D01DA" w:rsidP="005D01DA">
      <w:pPr>
        <w:spacing w:after="120" w:line="240" w:lineRule="auto"/>
        <w:jc w:val="both"/>
        <w:rPr>
          <w:rFonts w:asciiTheme="majorBidi" w:eastAsia="Times New Roman" w:hAnsiTheme="majorBidi" w:cstheme="majorBidi"/>
          <w:kern w:val="28"/>
          <w:sz w:val="24"/>
          <w:szCs w:val="24"/>
          <w:lang w:eastAsia="ja-JP"/>
        </w:rPr>
      </w:pPr>
    </w:p>
    <w:p w14:paraId="6B480A6A" w14:textId="3CA19FCD" w:rsidR="005D01DA" w:rsidRPr="005D01DA" w:rsidRDefault="005D01DA" w:rsidP="005D01DA">
      <w:pPr>
        <w:spacing w:before="240" w:after="240" w:line="240" w:lineRule="auto"/>
        <w:ind w:left="360"/>
        <w:jc w:val="center"/>
        <w:rPr>
          <w:rFonts w:asciiTheme="majorBidi" w:hAnsiTheme="majorBidi" w:cstheme="majorBidi"/>
          <w:b/>
          <w:bCs/>
          <w:sz w:val="24"/>
          <w:szCs w:val="24"/>
        </w:rPr>
      </w:pPr>
      <w:r w:rsidRPr="005D01DA">
        <w:rPr>
          <w:rFonts w:asciiTheme="majorBidi" w:hAnsiTheme="majorBidi" w:cstheme="majorBidi"/>
          <w:b/>
          <w:bCs/>
          <w:sz w:val="24"/>
          <w:szCs w:val="24"/>
        </w:rPr>
        <w:t>Iraq has not fulfilled its obligations under the Convention on the Elimination of All Forms of Discrimination against Women.</w:t>
      </w:r>
    </w:p>
    <w:p w14:paraId="4852AF64" w14:textId="498415E0" w:rsidR="005D01DA" w:rsidRPr="005D01DA" w:rsidRDefault="005D01DA" w:rsidP="005D01DA">
      <w:pPr>
        <w:spacing w:before="240" w:after="240" w:line="240" w:lineRule="auto"/>
        <w:ind w:left="360"/>
        <w:jc w:val="both"/>
        <w:rPr>
          <w:rFonts w:asciiTheme="majorBidi" w:hAnsiTheme="majorBidi" w:cstheme="majorBidi"/>
          <w:sz w:val="24"/>
          <w:szCs w:val="24"/>
        </w:rPr>
      </w:pPr>
      <w:r w:rsidRPr="005D01DA">
        <w:rPr>
          <w:rFonts w:asciiTheme="majorBidi" w:hAnsiTheme="majorBidi" w:cstheme="majorBidi"/>
          <w:sz w:val="24"/>
          <w:szCs w:val="24"/>
        </w:rPr>
        <w:lastRenderedPageBreak/>
        <w:t>as authorities continue to sentence women to death and carry out executions for offenses that do not meet the international legal threshold of the “most serious crimes,” including cases based solely on familial association with individuals linked to the Islamic State.</w:t>
      </w:r>
    </w:p>
    <w:p w14:paraId="78D38228" w14:textId="77777777" w:rsidR="005D01DA" w:rsidRPr="005D01DA" w:rsidRDefault="005D01DA" w:rsidP="005D01DA">
      <w:pPr>
        <w:spacing w:before="240" w:after="240" w:line="240" w:lineRule="auto"/>
        <w:ind w:left="360"/>
        <w:jc w:val="both"/>
        <w:rPr>
          <w:rFonts w:asciiTheme="majorBidi" w:hAnsiTheme="majorBidi" w:cstheme="majorBidi"/>
          <w:sz w:val="24"/>
          <w:szCs w:val="24"/>
        </w:rPr>
      </w:pPr>
    </w:p>
    <w:p w14:paraId="4BF17BA2" w14:textId="01D164C2" w:rsidR="005D01DA" w:rsidRPr="005D01DA" w:rsidRDefault="005D01DA" w:rsidP="005D01DA">
      <w:pPr>
        <w:spacing w:before="240" w:after="240" w:line="240" w:lineRule="auto"/>
        <w:ind w:left="360"/>
        <w:jc w:val="both"/>
        <w:rPr>
          <w:rFonts w:asciiTheme="majorBidi" w:hAnsiTheme="majorBidi" w:cstheme="majorBidi"/>
          <w:sz w:val="24"/>
          <w:szCs w:val="24"/>
        </w:rPr>
      </w:pPr>
      <w:r w:rsidRPr="005D01DA">
        <w:rPr>
          <w:rFonts w:asciiTheme="majorBidi" w:hAnsiTheme="majorBidi" w:cstheme="majorBidi"/>
          <w:sz w:val="24"/>
          <w:szCs w:val="24"/>
        </w:rPr>
        <w:t>Article 15 of the Iraqi Constitution stipulates that the right to life may not be deprived or restricted except in accordance with the law and pursuant to a final decision issued by a competent court.</w:t>
      </w:r>
    </w:p>
    <w:p w14:paraId="0A20E08E" w14:textId="01667FC8" w:rsidR="005D01DA" w:rsidRPr="005D01DA" w:rsidRDefault="005D01DA" w:rsidP="005D01DA">
      <w:pPr>
        <w:spacing w:before="240" w:after="240" w:line="240" w:lineRule="auto"/>
        <w:ind w:left="360"/>
        <w:jc w:val="both"/>
        <w:rPr>
          <w:rFonts w:asciiTheme="majorBidi" w:hAnsiTheme="majorBidi" w:cstheme="majorBidi"/>
          <w:sz w:val="24"/>
          <w:szCs w:val="24"/>
        </w:rPr>
      </w:pPr>
      <w:r w:rsidRPr="005D01DA">
        <w:rPr>
          <w:rFonts w:asciiTheme="majorBidi" w:hAnsiTheme="majorBidi" w:cstheme="majorBidi"/>
          <w:sz w:val="24"/>
          <w:szCs w:val="24"/>
        </w:rPr>
        <w:t>Under Iraqi legislation, the death penalty is permitted for aggravated murder as well as for a number of offenses that do not involve intentional killing, including arson, kidnapping with aggravating factors, deliberately causing or attempting to cause flooding, the destruction or sabotage of public facilities, incest, rape, robbery, and armed robbery.</w:t>
      </w:r>
    </w:p>
    <w:p w14:paraId="2A534DE0" w14:textId="15D736F7" w:rsidR="005D01DA" w:rsidRPr="005D01DA" w:rsidRDefault="005D01DA" w:rsidP="005D01DA">
      <w:pPr>
        <w:spacing w:before="240" w:after="240" w:line="240" w:lineRule="auto"/>
        <w:ind w:left="360"/>
        <w:jc w:val="both"/>
        <w:rPr>
          <w:rFonts w:asciiTheme="majorBidi" w:hAnsiTheme="majorBidi" w:cstheme="majorBidi"/>
          <w:sz w:val="24"/>
          <w:szCs w:val="24"/>
        </w:rPr>
      </w:pPr>
      <w:r w:rsidRPr="005D01DA">
        <w:rPr>
          <w:rFonts w:asciiTheme="majorBidi" w:hAnsiTheme="majorBidi" w:cstheme="majorBidi"/>
          <w:sz w:val="24"/>
          <w:szCs w:val="24"/>
        </w:rPr>
        <w:t>Iraq’s Anti-Terrorism Law further allows for the imposition of the death penalty for a broad range of terrorism-related offenses, many of which are defined in vague and expansive terms and may target the population, infrastructure, or state security. Acts that do not directly result in loss of life such as aiding, abetting, or financing terrorist activities may also be punishable by death. The law defines terrorism as any criminal act that causes damage to public or private property with the intent to disrupt public order or undermine stability.</w:t>
      </w:r>
    </w:p>
    <w:p w14:paraId="2B6C9ACC" w14:textId="007B3C16" w:rsidR="002D6B7E" w:rsidRPr="005D01DA" w:rsidRDefault="002D6B7E" w:rsidP="002D6B7E">
      <w:pPr>
        <w:rPr>
          <w:rFonts w:asciiTheme="majorBidi" w:hAnsiTheme="majorBidi" w:cstheme="majorBidi"/>
          <w:sz w:val="24"/>
          <w:szCs w:val="24"/>
        </w:rPr>
      </w:pPr>
    </w:p>
    <w:p w14:paraId="08418DB9" w14:textId="1F7C5FCE" w:rsidR="002D6B7E" w:rsidRPr="002D6B7E" w:rsidRDefault="002D6B7E" w:rsidP="005D01DA">
      <w:pPr>
        <w:spacing w:line="252" w:lineRule="auto"/>
        <w:jc w:val="center"/>
        <w:rPr>
          <w:rFonts w:asciiTheme="majorBidi" w:eastAsia="Calibri" w:hAnsiTheme="majorBidi" w:cstheme="majorBidi"/>
          <w:sz w:val="24"/>
          <w:szCs w:val="24"/>
          <w:lang w:val="en-CA"/>
          <w14:ligatures w14:val="standardContextual"/>
        </w:rPr>
      </w:pPr>
      <w:r w:rsidRPr="005D01DA">
        <w:rPr>
          <w:rFonts w:asciiTheme="majorBidi" w:hAnsiTheme="majorBidi" w:cstheme="majorBidi"/>
          <w:b/>
          <w:bCs/>
          <w:sz w:val="24"/>
          <w:szCs w:val="24"/>
        </w:rPr>
        <w:t xml:space="preserve">On 30th of January 2024, the UN experts issued a statement in which they raised their concerns on the mass executions implemented in Iraq, the </w:t>
      </w:r>
      <w:proofErr w:type="spellStart"/>
      <w:r w:rsidRPr="005D01DA">
        <w:rPr>
          <w:rFonts w:asciiTheme="majorBidi" w:hAnsiTheme="majorBidi" w:cstheme="majorBidi"/>
          <w:b/>
          <w:bCs/>
          <w:sz w:val="24"/>
          <w:szCs w:val="24"/>
        </w:rPr>
        <w:t>expersts</w:t>
      </w:r>
      <w:proofErr w:type="spellEnd"/>
      <w:r w:rsidRPr="005D01DA">
        <w:rPr>
          <w:rFonts w:asciiTheme="majorBidi" w:hAnsiTheme="majorBidi" w:cstheme="majorBidi"/>
          <w:b/>
          <w:bCs/>
          <w:sz w:val="24"/>
          <w:szCs w:val="24"/>
        </w:rPr>
        <w:t xml:space="preserve"> stated that </w:t>
      </w:r>
      <w:r w:rsidRPr="002D6B7E">
        <w:rPr>
          <w:rFonts w:asciiTheme="majorBidi" w:hAnsiTheme="majorBidi" w:cstheme="majorBidi"/>
          <w:b/>
          <w:bCs/>
          <w:sz w:val="24"/>
          <w:szCs w:val="24"/>
        </w:rPr>
        <w:t>Iraq must immediately stop mass, unannounced executions</w:t>
      </w:r>
      <w:r w:rsidR="005D01DA" w:rsidRPr="005D01DA">
        <w:rPr>
          <w:rFonts w:asciiTheme="majorBidi" w:eastAsia="Calibri" w:hAnsiTheme="majorBidi" w:cstheme="majorBidi"/>
          <w:b/>
          <w:bCs/>
          <w:sz w:val="24"/>
          <w:szCs w:val="24"/>
          <w:lang w:val="en-CA"/>
          <w14:ligatures w14:val="standardContextual"/>
        </w:rPr>
        <w:t>:</w:t>
      </w:r>
      <w:r w:rsidR="005D01DA" w:rsidRPr="005D01DA">
        <w:rPr>
          <w:rFonts w:asciiTheme="majorBidi" w:eastAsia="Calibri" w:hAnsiTheme="majorBidi" w:cstheme="majorBidi"/>
          <w:b/>
          <w:bCs/>
          <w:sz w:val="24"/>
          <w:szCs w:val="24"/>
          <w:lang w:val="en-CA"/>
          <w14:ligatures w14:val="standardContextual"/>
        </w:rPr>
        <w:br/>
      </w:r>
      <w:r w:rsidRPr="005D01DA">
        <w:rPr>
          <w:rFonts w:asciiTheme="majorBidi" w:eastAsia="Calibri" w:hAnsiTheme="majorBidi" w:cstheme="majorBidi"/>
          <w:b/>
          <w:bCs/>
          <w:sz w:val="24"/>
          <w:szCs w:val="24"/>
          <w:lang w:val="en-CA"/>
          <w14:ligatures w14:val="standardContextual"/>
        </w:rPr>
        <w:t xml:space="preserve"> </w:t>
      </w:r>
      <w:r w:rsidRPr="005D01DA">
        <w:rPr>
          <w:rFonts w:asciiTheme="majorBidi" w:eastAsia="Calibri" w:hAnsiTheme="majorBidi" w:cstheme="majorBidi"/>
          <w:sz w:val="24"/>
          <w:szCs w:val="24"/>
          <w:lang w:val="en-CA"/>
          <w14:ligatures w14:val="standardContextual"/>
        </w:rPr>
        <w:t xml:space="preserve">the </w:t>
      </w:r>
      <w:r w:rsidRPr="002D6B7E">
        <w:rPr>
          <w:rFonts w:asciiTheme="majorBidi" w:eastAsia="Calibri" w:hAnsiTheme="majorBidi" w:cstheme="majorBidi"/>
          <w:sz w:val="24"/>
          <w:szCs w:val="24"/>
          <w:lang w:val="en-CA"/>
          <w14:ligatures w14:val="standardContextual"/>
        </w:rPr>
        <w:t xml:space="preserve"> UN experts</w:t>
      </w:r>
      <w:r w:rsidRPr="005D01DA">
        <w:rPr>
          <w:rStyle w:val="FootnoteReference"/>
          <w:rFonts w:asciiTheme="majorBidi" w:eastAsia="Calibri" w:hAnsiTheme="majorBidi" w:cstheme="majorBidi"/>
          <w:sz w:val="24"/>
          <w:szCs w:val="24"/>
          <w:lang w:val="en-CA"/>
          <w14:ligatures w14:val="standardContextual"/>
        </w:rPr>
        <w:footnoteReference w:id="1"/>
      </w:r>
      <w:r w:rsidRPr="002D6B7E">
        <w:rPr>
          <w:rFonts w:asciiTheme="majorBidi" w:eastAsia="Calibri" w:hAnsiTheme="majorBidi" w:cstheme="majorBidi"/>
          <w:sz w:val="24"/>
          <w:szCs w:val="24"/>
          <w:lang w:val="en-CA"/>
          <w14:ligatures w14:val="standardContextual"/>
        </w:rPr>
        <w:t xml:space="preserve"> expressed deep concern at reports that Iraq has begun mass executions in its prison system. They noted with dismay that overt 250 people may be at risk of imminent execution, amid reports that the Government has expedited the enforcement of detainees’ sentences.</w:t>
      </w:r>
    </w:p>
    <w:p w14:paraId="55E6B471" w14:textId="77777777" w:rsidR="002D6B7E" w:rsidRPr="002D6B7E" w:rsidRDefault="002D6B7E" w:rsidP="002D6B7E">
      <w:pPr>
        <w:spacing w:line="252" w:lineRule="auto"/>
        <w:jc w:val="both"/>
        <w:rPr>
          <w:rFonts w:asciiTheme="majorBidi" w:eastAsia="Calibri" w:hAnsiTheme="majorBidi" w:cstheme="majorBidi"/>
          <w:sz w:val="24"/>
          <w:szCs w:val="24"/>
          <w:lang w:val="en-CA"/>
          <w14:ligatures w14:val="standardContextual"/>
        </w:rPr>
      </w:pPr>
      <w:r w:rsidRPr="002D6B7E">
        <w:rPr>
          <w:rFonts w:asciiTheme="majorBidi" w:eastAsia="Calibri" w:hAnsiTheme="majorBidi" w:cstheme="majorBidi"/>
          <w:i/>
          <w:iCs/>
          <w:sz w:val="24"/>
          <w:szCs w:val="24"/>
          <w:lang w:val="en-CA"/>
          <w14:ligatures w14:val="standardContextual"/>
        </w:rPr>
        <w:t>“We are shocked to hear that unannounced mass executions are taking place in Iraqi prisons, particularly in Nasiriyah Central Prison, where at least 13 people were recently executed on the same day and hundreds of others are at risk of imminent execution,”</w:t>
      </w:r>
      <w:r w:rsidRPr="002D6B7E">
        <w:rPr>
          <w:rFonts w:asciiTheme="majorBidi" w:eastAsia="Calibri" w:hAnsiTheme="majorBidi" w:cstheme="majorBidi"/>
          <w:sz w:val="24"/>
          <w:szCs w:val="24"/>
          <w:lang w:val="en-CA"/>
          <w14:ligatures w14:val="standardContextual"/>
        </w:rPr>
        <w:t xml:space="preserve"> the UN experts said, amid reliable reports that an “execution list” has been approved.</w:t>
      </w:r>
    </w:p>
    <w:p w14:paraId="0EA542C6" w14:textId="77777777" w:rsidR="002D6B7E" w:rsidRPr="002D6B7E" w:rsidRDefault="002D6B7E" w:rsidP="002D6B7E">
      <w:pPr>
        <w:spacing w:line="252" w:lineRule="auto"/>
        <w:jc w:val="both"/>
        <w:rPr>
          <w:rFonts w:asciiTheme="majorBidi" w:eastAsia="Calibri" w:hAnsiTheme="majorBidi" w:cstheme="majorBidi"/>
          <w:sz w:val="24"/>
          <w:szCs w:val="24"/>
          <w:lang w:val="en-CA"/>
          <w14:ligatures w14:val="standardContextual"/>
        </w:rPr>
      </w:pPr>
      <w:r w:rsidRPr="002D6B7E">
        <w:rPr>
          <w:rFonts w:asciiTheme="majorBidi" w:eastAsia="Calibri" w:hAnsiTheme="majorBidi" w:cstheme="majorBidi"/>
          <w:sz w:val="24"/>
          <w:szCs w:val="24"/>
          <w:lang w:val="en-CA"/>
          <w14:ligatures w14:val="standardContextual"/>
        </w:rPr>
        <w:t xml:space="preserve">13 male Iraqi prisoners – previously sentenced to death – were executed on 25 December 2023. This is the largest number of convicted prisoners reportedly executed by the Iraqi authorities in one day since 16 November 2020, when 20 convicted prisoners were executed. The names of the 13 prisoners were reportedly called over a loudspeaker on the evening of 24 December. They </w:t>
      </w:r>
      <w:r w:rsidRPr="002D6B7E">
        <w:rPr>
          <w:rFonts w:asciiTheme="majorBidi" w:eastAsia="Calibri" w:hAnsiTheme="majorBidi" w:cstheme="majorBidi"/>
          <w:sz w:val="24"/>
          <w:szCs w:val="24"/>
          <w:lang w:val="en-CA"/>
          <w14:ligatures w14:val="standardContextual"/>
        </w:rPr>
        <w:lastRenderedPageBreak/>
        <w:t>were taken from their cells before being executed the next morning and were not allowed to call their families or lawyers.</w:t>
      </w:r>
    </w:p>
    <w:p w14:paraId="74FF52BC" w14:textId="0964DD6D" w:rsidR="002D6B7E" w:rsidRPr="002D6B7E" w:rsidRDefault="002D6B7E" w:rsidP="002D6B7E">
      <w:pPr>
        <w:spacing w:line="252" w:lineRule="auto"/>
        <w:jc w:val="both"/>
        <w:rPr>
          <w:rFonts w:asciiTheme="majorBidi" w:eastAsia="Calibri" w:hAnsiTheme="majorBidi" w:cstheme="majorBidi"/>
          <w:sz w:val="24"/>
          <w:szCs w:val="24"/>
          <w:lang w:val="en-CA"/>
          <w14:ligatures w14:val="standardContextual"/>
        </w:rPr>
      </w:pPr>
      <w:r w:rsidRPr="002D6B7E">
        <w:rPr>
          <w:rFonts w:asciiTheme="majorBidi" w:eastAsia="Calibri" w:hAnsiTheme="majorBidi" w:cstheme="majorBidi"/>
          <w:sz w:val="24"/>
          <w:szCs w:val="24"/>
          <w:lang w:val="en-CA"/>
          <w14:ligatures w14:val="standardContextual"/>
        </w:rPr>
        <w:t xml:space="preserve">“We are deeply concerned about the secretive nature of the implementation of the death penalty in Iraq and reports of executions without prior notification to families or lawyers,” the experts said. </w:t>
      </w:r>
      <w:r w:rsidRPr="002D6B7E">
        <w:rPr>
          <w:rFonts w:asciiTheme="majorBidi" w:eastAsia="Calibri" w:hAnsiTheme="majorBidi" w:cstheme="majorBidi"/>
          <w:sz w:val="24"/>
          <w:szCs w:val="24"/>
          <w14:ligatures w14:val="standardContextual"/>
        </w:rPr>
        <w:t>According to the United Nations Safeguards Protecting the Rights of those Facing the Death Penalty</w:t>
      </w:r>
      <w:r w:rsidRPr="002D6B7E">
        <w:rPr>
          <w:rFonts w:asciiTheme="majorBidi" w:eastAsia="Calibri" w:hAnsiTheme="majorBidi" w:cstheme="majorBidi"/>
          <w:sz w:val="24"/>
          <w:szCs w:val="24"/>
          <w:lang w:val="en-CA"/>
          <w14:ligatures w14:val="standardContextual"/>
        </w:rPr>
        <w:t xml:space="preserve"> transparency is a minimum requirement in the application of the death penalty. The Human Rights Committee has also stated that </w:t>
      </w:r>
      <w:r w:rsidRPr="002D6B7E">
        <w:rPr>
          <w:rFonts w:asciiTheme="majorBidi" w:eastAsia="Calibri" w:hAnsiTheme="majorBidi" w:cstheme="majorBidi"/>
          <w:i/>
          <w:iCs/>
          <w:sz w:val="24"/>
          <w:szCs w:val="24"/>
          <w:lang w:val="en-CA"/>
          <w14:ligatures w14:val="standardContextual"/>
        </w:rPr>
        <w:t>“failure to provide individuals on death row with timely notification about the date of their execution constitutes, as a rule, a form of ill-treatment, which renders the subsequent execution contrary to article 7 of the International Covenant on Civil and Political Rights.”</w:t>
      </w:r>
    </w:p>
    <w:p w14:paraId="0215E7F8" w14:textId="77777777" w:rsidR="002D6B7E" w:rsidRPr="002D6B7E" w:rsidRDefault="002D6B7E" w:rsidP="002D6B7E">
      <w:pPr>
        <w:spacing w:line="252" w:lineRule="auto"/>
        <w:jc w:val="both"/>
        <w:rPr>
          <w:rFonts w:asciiTheme="majorBidi" w:eastAsia="Calibri" w:hAnsiTheme="majorBidi" w:cstheme="majorBidi"/>
          <w:sz w:val="24"/>
          <w:szCs w:val="24"/>
          <w:lang w:val="en-CA"/>
          <w14:ligatures w14:val="standardContextual"/>
        </w:rPr>
      </w:pPr>
      <w:r w:rsidRPr="002D6B7E">
        <w:rPr>
          <w:rFonts w:asciiTheme="majorBidi" w:eastAsia="Calibri" w:hAnsiTheme="majorBidi" w:cstheme="majorBidi"/>
          <w:sz w:val="24"/>
          <w:szCs w:val="24"/>
          <w:lang w:val="en-CA"/>
          <w14:ligatures w14:val="standardContextual"/>
        </w:rPr>
        <w:t>The experts urged Iraq to publish, if possible, on an annual basis, information on the use of the death penalty, including the number of persons sentenced to death, the number of executions carried out and the number of persons under sentence of death, for each category of offence for which the death penalty is authorised.</w:t>
      </w:r>
    </w:p>
    <w:p w14:paraId="1D70B757" w14:textId="77777777" w:rsidR="002D6B7E" w:rsidRPr="002D6B7E" w:rsidRDefault="002D6B7E" w:rsidP="002D6B7E">
      <w:pPr>
        <w:spacing w:line="252" w:lineRule="auto"/>
        <w:jc w:val="both"/>
        <w:rPr>
          <w:rFonts w:asciiTheme="majorBidi" w:eastAsia="Calibri" w:hAnsiTheme="majorBidi" w:cstheme="majorBidi"/>
          <w:i/>
          <w:iCs/>
          <w:sz w:val="24"/>
          <w:szCs w:val="24"/>
          <w14:ligatures w14:val="standardContextual"/>
        </w:rPr>
      </w:pPr>
      <w:r w:rsidRPr="002D6B7E">
        <w:rPr>
          <w:rFonts w:asciiTheme="majorBidi" w:eastAsia="Calibri" w:hAnsiTheme="majorBidi" w:cstheme="majorBidi"/>
          <w:i/>
          <w:iCs/>
          <w:sz w:val="24"/>
          <w:szCs w:val="24"/>
          <w14:ligatures w14:val="standardContextual"/>
        </w:rPr>
        <w:t>“We are also alarmed by allegations of torture and ill-treatment of detainees, particularly in Nasiriyah Central Prison, and the reported absence of prompt and impartial investigations into these allegations,” the experts said.</w:t>
      </w:r>
    </w:p>
    <w:p w14:paraId="08363876" w14:textId="5D4860D9" w:rsidR="002D6B7E" w:rsidRPr="002D6B7E" w:rsidRDefault="002D6B7E" w:rsidP="002D6B7E">
      <w:pPr>
        <w:spacing w:line="252" w:lineRule="auto"/>
        <w:jc w:val="both"/>
        <w:rPr>
          <w:rFonts w:asciiTheme="majorBidi" w:eastAsia="Calibri" w:hAnsiTheme="majorBidi" w:cstheme="majorBidi"/>
          <w:sz w:val="24"/>
          <w:szCs w:val="24"/>
          <w14:ligatures w14:val="standardContextual"/>
        </w:rPr>
      </w:pPr>
      <w:r w:rsidRPr="002D6B7E">
        <w:rPr>
          <w:rFonts w:asciiTheme="majorBidi" w:eastAsia="Calibri" w:hAnsiTheme="majorBidi" w:cstheme="majorBidi"/>
          <w:sz w:val="24"/>
          <w:szCs w:val="24"/>
          <w14:ligatures w14:val="standardContextual"/>
        </w:rPr>
        <w:t>They have previously raised concerns about Iraq's Anti-Terrorism Law No. 13 (2005), which contains a vague and overly broad definition of terrorism. The law does not require proof of terrorist intent, and even petty crimes such as vandalism can be considered terrorist acts.</w:t>
      </w:r>
    </w:p>
    <w:p w14:paraId="2320C5A9" w14:textId="77777777" w:rsidR="002D6B7E" w:rsidRPr="002D6B7E" w:rsidRDefault="002D6B7E" w:rsidP="002D6B7E">
      <w:pPr>
        <w:spacing w:line="252" w:lineRule="auto"/>
        <w:jc w:val="both"/>
        <w:rPr>
          <w:rFonts w:asciiTheme="majorBidi" w:eastAsia="Calibri" w:hAnsiTheme="majorBidi" w:cstheme="majorBidi"/>
          <w:sz w:val="24"/>
          <w:szCs w:val="24"/>
          <w:lang w:val="en-GB"/>
          <w14:ligatures w14:val="standardContextual"/>
        </w:rPr>
      </w:pPr>
      <w:r w:rsidRPr="002D6B7E">
        <w:rPr>
          <w:rFonts w:asciiTheme="majorBidi" w:eastAsia="Calibri" w:hAnsiTheme="majorBidi" w:cstheme="majorBidi"/>
          <w:sz w:val="24"/>
          <w:szCs w:val="24"/>
          <w:lang w:val="en-GB"/>
          <w14:ligatures w14:val="standardContextual"/>
        </w:rPr>
        <w:t>The experts noted that, if carried out on a widespread and systematic basis, arbitrary executions may well amount to crimes against humanity and may entail universal criminal responsibility for any officials involved.</w:t>
      </w:r>
    </w:p>
    <w:p w14:paraId="3B4BA01D" w14:textId="77777777" w:rsidR="002D6B7E" w:rsidRPr="002D6B7E" w:rsidRDefault="002D6B7E" w:rsidP="002D6B7E">
      <w:pPr>
        <w:spacing w:line="252" w:lineRule="auto"/>
        <w:jc w:val="both"/>
        <w:rPr>
          <w:rFonts w:asciiTheme="majorBidi" w:eastAsia="Calibri" w:hAnsiTheme="majorBidi" w:cstheme="majorBidi"/>
          <w:i/>
          <w:iCs/>
          <w:sz w:val="24"/>
          <w:szCs w:val="24"/>
          <w:lang w:val="en-GB"/>
          <w14:ligatures w14:val="standardContextual"/>
        </w:rPr>
      </w:pPr>
      <w:r w:rsidRPr="002D6B7E">
        <w:rPr>
          <w:rFonts w:asciiTheme="majorBidi" w:eastAsia="Calibri" w:hAnsiTheme="majorBidi" w:cstheme="majorBidi"/>
          <w:i/>
          <w:iCs/>
          <w:sz w:val="24"/>
          <w:szCs w:val="24"/>
          <w:lang w:val="en-GB"/>
          <w14:ligatures w14:val="standardContextual"/>
        </w:rPr>
        <w:t>“Given the urgency of the matter and the irreversible nature of the death penalty, we call on the Government of Iraq to take all necessary steps to immediately halt all executions, in particular in Nasiriyah Central Prison,” they said.</w:t>
      </w:r>
    </w:p>
    <w:p w14:paraId="5F4A4975" w14:textId="77777777" w:rsidR="002D6B7E" w:rsidRPr="002D6B7E" w:rsidRDefault="002D6B7E" w:rsidP="002D6B7E">
      <w:pPr>
        <w:spacing w:line="252" w:lineRule="auto"/>
        <w:jc w:val="both"/>
        <w:rPr>
          <w:rFonts w:asciiTheme="majorBidi" w:eastAsia="Calibri" w:hAnsiTheme="majorBidi" w:cstheme="majorBidi"/>
          <w:i/>
          <w:iCs/>
          <w:sz w:val="24"/>
          <w:szCs w:val="24"/>
          <w:lang w:val="en-GB"/>
          <w14:ligatures w14:val="standardContextual"/>
        </w:rPr>
      </w:pPr>
      <w:r w:rsidRPr="002D6B7E">
        <w:rPr>
          <w:rFonts w:asciiTheme="majorBidi" w:eastAsia="Calibri" w:hAnsiTheme="majorBidi" w:cstheme="majorBidi"/>
          <w:i/>
          <w:iCs/>
          <w:sz w:val="24"/>
          <w:szCs w:val="24"/>
          <w:lang w:val="en-GB"/>
          <w14:ligatures w14:val="standardContextual"/>
        </w:rPr>
        <w:t>“We urge Iraq to grant clemency and commute the sentences of those on death row as a first step towards the complete abolition of the death penalty,” the experts said.</w:t>
      </w:r>
    </w:p>
    <w:p w14:paraId="12BCBF68" w14:textId="28B86C67" w:rsidR="002D6B7E" w:rsidRDefault="002D6B7E" w:rsidP="002D6B7E">
      <w:pPr>
        <w:ind w:firstLine="720"/>
        <w:jc w:val="both"/>
        <w:rPr>
          <w:rFonts w:asciiTheme="majorBidi" w:hAnsiTheme="majorBidi" w:cstheme="majorBidi"/>
          <w:sz w:val="24"/>
          <w:szCs w:val="24"/>
          <w:lang w:val="en-GB"/>
        </w:rPr>
      </w:pPr>
    </w:p>
    <w:p w14:paraId="7CC2E782" w14:textId="3628EA1E" w:rsidR="005D01DA" w:rsidRPr="00B648F5" w:rsidRDefault="00946340" w:rsidP="005D01DA">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D01DA" w:rsidRPr="00B648F5">
        <w:rPr>
          <w:rFonts w:ascii="Times New Roman" w:eastAsia="Times New Roman" w:hAnsi="Times New Roman" w:cs="Times New Roman"/>
          <w:sz w:val="24"/>
          <w:szCs w:val="24"/>
        </w:rPr>
        <w:t>The death penalty remains one of the most contentious issues within Iraq’s criminal justice system, where legal, political, social, and religious considerations intersect in a complex and highly sensitive context. Despite its continued application, national and international calls have intensified for a comprehensive review of the death penalty’s compatibility with Iraq’s international legal obligations and established human rights standards.</w:t>
      </w:r>
    </w:p>
    <w:p w14:paraId="5C386288" w14:textId="77777777" w:rsidR="005D01DA"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This report seeks to present an overview of the current reality of the death penalty in Iraq from the perspective of the Al-</w:t>
      </w:r>
      <w:proofErr w:type="spellStart"/>
      <w:r w:rsidRPr="00B648F5">
        <w:rPr>
          <w:rFonts w:ascii="Times New Roman" w:eastAsia="Times New Roman" w:hAnsi="Times New Roman" w:cs="Times New Roman"/>
          <w:sz w:val="24"/>
          <w:szCs w:val="24"/>
        </w:rPr>
        <w:t>Munqidh</w:t>
      </w:r>
      <w:proofErr w:type="spellEnd"/>
      <w:r w:rsidRPr="00B648F5">
        <w:rPr>
          <w:rFonts w:ascii="Times New Roman" w:eastAsia="Times New Roman" w:hAnsi="Times New Roman" w:cs="Times New Roman"/>
          <w:sz w:val="24"/>
          <w:szCs w:val="24"/>
        </w:rPr>
        <w:t xml:space="preserve"> Organization for Human Rights. It outlines the organization’s position, highlights key statistical observations, and analyzes the prevailing legal, political, and social trends surrounding the use of capital punishment.</w:t>
      </w:r>
    </w:p>
    <w:p w14:paraId="54B852B6" w14:textId="77777777" w:rsidR="00946340" w:rsidRDefault="00946340" w:rsidP="005D01DA">
      <w:pPr>
        <w:spacing w:before="100" w:beforeAutospacing="1" w:after="100" w:afterAutospacing="1" w:line="240" w:lineRule="auto"/>
        <w:jc w:val="both"/>
        <w:rPr>
          <w:rFonts w:ascii="Times New Roman" w:eastAsia="Times New Roman" w:hAnsi="Times New Roman" w:cs="Times New Roman"/>
          <w:sz w:val="24"/>
          <w:szCs w:val="24"/>
        </w:rPr>
      </w:pPr>
    </w:p>
    <w:p w14:paraId="34846EF8" w14:textId="77777777" w:rsidR="00946340" w:rsidRPr="00B648F5" w:rsidRDefault="00946340" w:rsidP="005D01DA">
      <w:pPr>
        <w:spacing w:before="100" w:beforeAutospacing="1" w:after="100" w:afterAutospacing="1" w:line="240" w:lineRule="auto"/>
        <w:jc w:val="both"/>
        <w:rPr>
          <w:rFonts w:ascii="Times New Roman" w:eastAsia="Times New Roman" w:hAnsi="Times New Roman" w:cs="Times New Roman"/>
          <w:sz w:val="24"/>
          <w:szCs w:val="24"/>
        </w:rPr>
      </w:pPr>
    </w:p>
    <w:p w14:paraId="7A28E26E" w14:textId="77777777" w:rsidR="005D01DA" w:rsidRPr="00B648F5" w:rsidRDefault="005D01DA" w:rsidP="005D01DA">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648F5">
        <w:rPr>
          <w:rFonts w:ascii="Times New Roman" w:eastAsia="Times New Roman" w:hAnsi="Times New Roman" w:cs="Times New Roman"/>
          <w:b/>
          <w:bCs/>
          <w:sz w:val="27"/>
          <w:szCs w:val="27"/>
        </w:rPr>
        <w:t xml:space="preserve">First: The Current </w:t>
      </w:r>
      <w:r>
        <w:rPr>
          <w:rFonts w:ascii="Times New Roman" w:eastAsia="Times New Roman" w:hAnsi="Times New Roman" w:cs="Times New Roman"/>
          <w:b/>
          <w:bCs/>
          <w:sz w:val="27"/>
          <w:szCs w:val="27"/>
        </w:rPr>
        <w:t>Situation</w:t>
      </w:r>
      <w:r w:rsidRPr="00B648F5">
        <w:rPr>
          <w:rFonts w:ascii="Times New Roman" w:eastAsia="Times New Roman" w:hAnsi="Times New Roman" w:cs="Times New Roman"/>
          <w:b/>
          <w:bCs/>
          <w:sz w:val="27"/>
          <w:szCs w:val="27"/>
        </w:rPr>
        <w:t xml:space="preserve"> of the Death Penalty in Iraq</w:t>
      </w:r>
    </w:p>
    <w:p w14:paraId="0D838CCD"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The death penalty remains in force in Iraq under several legislative frameworks, most notably the Iraqi Penal Code No. 111 of 1969 and the Counter-Terrorism Law No. 13 of 2005, both of which provide for capital punishment for dozens of offenses.</w:t>
      </w:r>
    </w:p>
    <w:p w14:paraId="0ABD4B40"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According to data compiled by the Al-</w:t>
      </w:r>
      <w:proofErr w:type="spellStart"/>
      <w:r w:rsidRPr="00B648F5">
        <w:rPr>
          <w:rFonts w:ascii="Times New Roman" w:eastAsia="Times New Roman" w:hAnsi="Times New Roman" w:cs="Times New Roman"/>
          <w:sz w:val="24"/>
          <w:szCs w:val="24"/>
        </w:rPr>
        <w:t>Munqidh</w:t>
      </w:r>
      <w:proofErr w:type="spellEnd"/>
      <w:r w:rsidRPr="00B648F5">
        <w:rPr>
          <w:rFonts w:ascii="Times New Roman" w:eastAsia="Times New Roman" w:hAnsi="Times New Roman" w:cs="Times New Roman"/>
          <w:sz w:val="24"/>
          <w:szCs w:val="24"/>
        </w:rPr>
        <w:t xml:space="preserve"> Organization for Human Rights, between 30 and 40 executions were carried out by the Iraqi authorities during May 2025 across various governorates. The organization considers these executions to constitute mass executions. Furthermore, approximately 11,000 individuals</w:t>
      </w:r>
      <w:r>
        <w:rPr>
          <w:rFonts w:ascii="Times New Roman" w:eastAsia="Times New Roman" w:hAnsi="Times New Roman" w:cs="Times New Roman"/>
          <w:sz w:val="24"/>
          <w:szCs w:val="24"/>
        </w:rPr>
        <w:t xml:space="preserve"> </w:t>
      </w:r>
      <w:r w:rsidRPr="00B648F5">
        <w:rPr>
          <w:rFonts w:ascii="Times New Roman" w:eastAsia="Times New Roman" w:hAnsi="Times New Roman" w:cs="Times New Roman"/>
          <w:sz w:val="24"/>
          <w:szCs w:val="24"/>
        </w:rPr>
        <w:t>men and women</w:t>
      </w:r>
      <w:r>
        <w:rPr>
          <w:rFonts w:ascii="Times New Roman" w:eastAsia="Times New Roman" w:hAnsi="Times New Roman" w:cs="Times New Roman"/>
          <w:sz w:val="24"/>
          <w:szCs w:val="24"/>
        </w:rPr>
        <w:t xml:space="preserve"> </w:t>
      </w:r>
      <w:r w:rsidRPr="00B648F5">
        <w:rPr>
          <w:rFonts w:ascii="Times New Roman" w:eastAsia="Times New Roman" w:hAnsi="Times New Roman" w:cs="Times New Roman"/>
          <w:sz w:val="24"/>
          <w:szCs w:val="24"/>
        </w:rPr>
        <w:t>are currently under sentences of death across Iraq’s governorates. The number of death sentences issued and executions carried out over the past three years has fluctuated in line with the broader security and political situation in the country.</w:t>
      </w:r>
    </w:p>
    <w:p w14:paraId="1AFC8143"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The organization also notes a persistent lack of transparency in the publication of official data concerning death sentences and executions. Available figures are rarely disaggregated by gender and are often released through brief and irregular statements, lacking detailed information on judicial procedures and the guarantees afforded to defendants at all stages of the legal process.</w:t>
      </w:r>
    </w:p>
    <w:p w14:paraId="63F7A4DB" w14:textId="77777777" w:rsidR="005D01DA" w:rsidRPr="00B648F5" w:rsidRDefault="005D01DA" w:rsidP="005D01DA">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648F5">
        <w:rPr>
          <w:rFonts w:ascii="Times New Roman" w:eastAsia="Times New Roman" w:hAnsi="Times New Roman" w:cs="Times New Roman"/>
          <w:b/>
          <w:bCs/>
          <w:sz w:val="27"/>
          <w:szCs w:val="27"/>
        </w:rPr>
        <w:t>Second: Legal and Political Trends</w:t>
      </w:r>
    </w:p>
    <w:p w14:paraId="2E7C4445"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The Iraqi legal system continues to demonstrate a clear tendency to retain the death penalty as both a deterrent and the ultimate form of punishment. To date, there have been no serious or effective legislative initiatives aimed at narrowing the scope of capital punishment or replacing it with alternative sanctions.</w:t>
      </w:r>
    </w:p>
    <w:p w14:paraId="7053D551" w14:textId="77777777" w:rsidR="005D01DA"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The Al-</w:t>
      </w:r>
      <w:proofErr w:type="spellStart"/>
      <w:r w:rsidRPr="00B648F5">
        <w:rPr>
          <w:rFonts w:ascii="Times New Roman" w:eastAsia="Times New Roman" w:hAnsi="Times New Roman" w:cs="Times New Roman"/>
          <w:sz w:val="24"/>
          <w:szCs w:val="24"/>
        </w:rPr>
        <w:t>Munqidh</w:t>
      </w:r>
      <w:proofErr w:type="spellEnd"/>
      <w:r w:rsidRPr="00B648F5">
        <w:rPr>
          <w:rFonts w:ascii="Times New Roman" w:eastAsia="Times New Roman" w:hAnsi="Times New Roman" w:cs="Times New Roman"/>
          <w:sz w:val="24"/>
          <w:szCs w:val="24"/>
        </w:rPr>
        <w:t xml:space="preserve"> Organization for Human Rights observes that political will to abolish or even suspend the death penalty remains limited. This reluctance is driven by public sensitivity surrounding security issues, deep political divisions, and prevailing social and popular pressures that often frame the death penalty as an instrument of retribution rather than a means of achieving justice and accountability.</w:t>
      </w:r>
    </w:p>
    <w:p w14:paraId="6FE289B2" w14:textId="77777777" w:rsidR="005D01DA" w:rsidRPr="00B648F5" w:rsidRDefault="005D01DA" w:rsidP="005D01DA">
      <w:pPr>
        <w:spacing w:before="100" w:beforeAutospacing="1" w:after="100" w:afterAutospacing="1" w:line="240" w:lineRule="auto"/>
        <w:outlineLvl w:val="2"/>
        <w:rPr>
          <w:rFonts w:ascii="Times New Roman" w:eastAsia="Times New Roman" w:hAnsi="Times New Roman" w:cs="Times New Roman"/>
          <w:b/>
          <w:bCs/>
          <w:sz w:val="27"/>
          <w:szCs w:val="27"/>
        </w:rPr>
      </w:pPr>
      <w:r w:rsidRPr="00B648F5">
        <w:rPr>
          <w:rFonts w:ascii="Times New Roman" w:eastAsia="Times New Roman" w:hAnsi="Times New Roman" w:cs="Times New Roman"/>
          <w:b/>
          <w:bCs/>
          <w:sz w:val="27"/>
          <w:szCs w:val="27"/>
        </w:rPr>
        <w:t>Third: Social, Religious, and Cultural Dimensions</w:t>
      </w:r>
    </w:p>
    <w:p w14:paraId="60C95F22"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The prevailing social environment in Iraq constitutes one of the principal obstacles to any meaningful or effective dialogue on the abolition of the death penalty. Deeply rooted cultural perceptions, coupled with religious and traditional interpretations, continue to frame capital punishment as a legitimate and necessary response to serious crimes, particularly in contexts related to security and terrorism.</w:t>
      </w:r>
    </w:p>
    <w:p w14:paraId="285383BA"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Nevertheless, the Al-</w:t>
      </w:r>
      <w:proofErr w:type="spellStart"/>
      <w:r w:rsidRPr="00B648F5">
        <w:rPr>
          <w:rFonts w:ascii="Times New Roman" w:eastAsia="Times New Roman" w:hAnsi="Times New Roman" w:cs="Times New Roman"/>
          <w:sz w:val="24"/>
          <w:szCs w:val="24"/>
        </w:rPr>
        <w:t>Munqidh</w:t>
      </w:r>
      <w:proofErr w:type="spellEnd"/>
      <w:r w:rsidRPr="00B648F5">
        <w:rPr>
          <w:rFonts w:ascii="Times New Roman" w:eastAsia="Times New Roman" w:hAnsi="Times New Roman" w:cs="Times New Roman"/>
          <w:sz w:val="24"/>
          <w:szCs w:val="24"/>
        </w:rPr>
        <w:t xml:space="preserve"> Organization for Human Rights notes the gradual expansion of human rights–based and civil discourse, particularly among young people and civil society </w:t>
      </w:r>
      <w:r w:rsidRPr="00B648F5">
        <w:rPr>
          <w:rFonts w:ascii="Times New Roman" w:eastAsia="Times New Roman" w:hAnsi="Times New Roman" w:cs="Times New Roman"/>
          <w:sz w:val="24"/>
          <w:szCs w:val="24"/>
        </w:rPr>
        <w:lastRenderedPageBreak/>
        <w:t>organizations. These actors have increasingly begun to advocate for more humane alternatives within the criminal justice system. However, public awareness of restorative justice, rehabilitation, and victim-centered approaches remains at an early stage. Transforming entrenched perceptions of the death penalty will require sustained efforts through media engagement, public education, and the integration of human rights principles into formal and informal educational curricula.</w:t>
      </w:r>
    </w:p>
    <w:p w14:paraId="26F15163" w14:textId="77777777" w:rsidR="005D01DA" w:rsidRPr="00B648F5" w:rsidRDefault="005D01DA" w:rsidP="005D01DA">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648F5">
        <w:rPr>
          <w:rFonts w:ascii="Times New Roman" w:eastAsia="Times New Roman" w:hAnsi="Times New Roman" w:cs="Times New Roman"/>
          <w:b/>
          <w:bCs/>
          <w:sz w:val="27"/>
          <w:szCs w:val="27"/>
        </w:rPr>
        <w:t>Fourth: The Death Penalty and Women in Iraq</w:t>
      </w:r>
    </w:p>
    <w:p w14:paraId="12CBFC23"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Women constitute one of the most vulnerable groups within Iraq’s criminal justice system. They face intersecting forms of discrimination that begin at the societal level, extend through limited access to effective legal representation, and often culminate in disproportionately harsh sentences, including the death penalty. Through its ongoing monitoring of places of detention—particularly of women facing capital punishment—the Al-</w:t>
      </w:r>
      <w:proofErr w:type="spellStart"/>
      <w:r w:rsidRPr="00B648F5">
        <w:rPr>
          <w:rFonts w:ascii="Times New Roman" w:eastAsia="Times New Roman" w:hAnsi="Times New Roman" w:cs="Times New Roman"/>
          <w:sz w:val="24"/>
          <w:szCs w:val="24"/>
        </w:rPr>
        <w:t>Munqidh</w:t>
      </w:r>
      <w:proofErr w:type="spellEnd"/>
      <w:r w:rsidRPr="00B648F5">
        <w:rPr>
          <w:rFonts w:ascii="Times New Roman" w:eastAsia="Times New Roman" w:hAnsi="Times New Roman" w:cs="Times New Roman"/>
          <w:sz w:val="24"/>
          <w:szCs w:val="24"/>
        </w:rPr>
        <w:t xml:space="preserve"> Organization for Human Rights has documented the following statistics across several regions of Iraq up to May 2025:</w:t>
      </w:r>
    </w:p>
    <w:p w14:paraId="369494E5" w14:textId="77777777" w:rsidR="005D01DA" w:rsidRPr="00B648F5" w:rsidRDefault="005D01DA" w:rsidP="005D01D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b/>
          <w:bCs/>
          <w:sz w:val="24"/>
          <w:szCs w:val="24"/>
        </w:rPr>
        <w:t>Baghdad Municipalities Prison:</w:t>
      </w:r>
      <w:r w:rsidRPr="00B648F5">
        <w:rPr>
          <w:rFonts w:ascii="Times New Roman" w:eastAsia="Times New Roman" w:hAnsi="Times New Roman" w:cs="Times New Roman"/>
          <w:sz w:val="24"/>
          <w:szCs w:val="24"/>
        </w:rPr>
        <w:t xml:space="preserve"> 521 female prisoners, including 21 children and 7 non-Iraqi Arab and foreign nationals.</w:t>
      </w:r>
    </w:p>
    <w:p w14:paraId="7D20E849" w14:textId="77777777" w:rsidR="005D01DA" w:rsidRPr="00B648F5" w:rsidRDefault="005D01DA" w:rsidP="005D01D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b/>
          <w:bCs/>
          <w:sz w:val="24"/>
          <w:szCs w:val="24"/>
        </w:rPr>
        <w:t>Central Women’s Prison and Maximum Security Prison (Abu Ghraib):</w:t>
      </w:r>
      <w:r w:rsidRPr="00B648F5">
        <w:rPr>
          <w:rFonts w:ascii="Times New Roman" w:eastAsia="Times New Roman" w:hAnsi="Times New Roman" w:cs="Times New Roman"/>
          <w:sz w:val="24"/>
          <w:szCs w:val="24"/>
        </w:rPr>
        <w:t xml:space="preserve"> 741 female prisoners, of whom 228 are sentenced to death (100 for terrorism-related charges and 128 for other criminal offenses).</w:t>
      </w:r>
    </w:p>
    <w:p w14:paraId="727C2337" w14:textId="77777777" w:rsidR="005D01DA" w:rsidRPr="00B648F5" w:rsidRDefault="005D01DA" w:rsidP="005D01D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b/>
          <w:bCs/>
          <w:sz w:val="24"/>
          <w:szCs w:val="24"/>
        </w:rPr>
        <w:t>Foreign Women’s Prison:</w:t>
      </w:r>
      <w:r w:rsidRPr="00B648F5">
        <w:rPr>
          <w:rFonts w:ascii="Times New Roman" w:eastAsia="Times New Roman" w:hAnsi="Times New Roman" w:cs="Times New Roman"/>
          <w:sz w:val="24"/>
          <w:szCs w:val="24"/>
        </w:rPr>
        <w:t xml:space="preserve"> 548 women convicted of terrorism-related offenses, including 2 sentenced to death.</w:t>
      </w:r>
    </w:p>
    <w:p w14:paraId="1F5FE7FF" w14:textId="77777777" w:rsidR="005D01DA" w:rsidRPr="00B648F5" w:rsidRDefault="005D01DA" w:rsidP="005D01D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B648F5">
        <w:rPr>
          <w:rFonts w:ascii="Times New Roman" w:eastAsia="Times New Roman" w:hAnsi="Times New Roman" w:cs="Times New Roman"/>
          <w:b/>
          <w:bCs/>
          <w:sz w:val="24"/>
          <w:szCs w:val="24"/>
        </w:rPr>
        <w:t>Hilla</w:t>
      </w:r>
      <w:proofErr w:type="spellEnd"/>
      <w:r w:rsidRPr="00B648F5">
        <w:rPr>
          <w:rFonts w:ascii="Times New Roman" w:eastAsia="Times New Roman" w:hAnsi="Times New Roman" w:cs="Times New Roman"/>
          <w:b/>
          <w:bCs/>
          <w:sz w:val="24"/>
          <w:szCs w:val="24"/>
        </w:rPr>
        <w:t xml:space="preserve"> Women’s Prison:</w:t>
      </w:r>
      <w:r w:rsidRPr="00B648F5">
        <w:rPr>
          <w:rFonts w:ascii="Times New Roman" w:eastAsia="Times New Roman" w:hAnsi="Times New Roman" w:cs="Times New Roman"/>
          <w:sz w:val="24"/>
          <w:szCs w:val="24"/>
        </w:rPr>
        <w:t xml:space="preserve"> 394 female prisoners, including 18 sentenced to death.</w:t>
      </w:r>
    </w:p>
    <w:p w14:paraId="3D53F495" w14:textId="77777777" w:rsidR="005D01DA" w:rsidRPr="00B648F5" w:rsidRDefault="005D01DA" w:rsidP="005D01D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b/>
          <w:bCs/>
          <w:sz w:val="24"/>
          <w:szCs w:val="24"/>
        </w:rPr>
        <w:t>Basra Central Prison:</w:t>
      </w:r>
      <w:r w:rsidRPr="00B648F5">
        <w:rPr>
          <w:rFonts w:ascii="Times New Roman" w:eastAsia="Times New Roman" w:hAnsi="Times New Roman" w:cs="Times New Roman"/>
          <w:sz w:val="24"/>
          <w:szCs w:val="24"/>
        </w:rPr>
        <w:t xml:space="preserve"> 207 female prisoners documented.</w:t>
      </w:r>
    </w:p>
    <w:p w14:paraId="58DAD4E4" w14:textId="77777777" w:rsidR="005D01DA" w:rsidRPr="00B648F5" w:rsidRDefault="005D01DA" w:rsidP="005D01D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B648F5">
        <w:rPr>
          <w:rFonts w:ascii="Times New Roman" w:eastAsia="Times New Roman" w:hAnsi="Times New Roman" w:cs="Times New Roman"/>
          <w:b/>
          <w:bCs/>
          <w:sz w:val="24"/>
          <w:szCs w:val="24"/>
        </w:rPr>
        <w:t>Diyala</w:t>
      </w:r>
      <w:proofErr w:type="spellEnd"/>
      <w:r w:rsidRPr="00B648F5">
        <w:rPr>
          <w:rFonts w:ascii="Times New Roman" w:eastAsia="Times New Roman" w:hAnsi="Times New Roman" w:cs="Times New Roman"/>
          <w:b/>
          <w:bCs/>
          <w:sz w:val="24"/>
          <w:szCs w:val="24"/>
        </w:rPr>
        <w:t xml:space="preserve"> Central Prison:</w:t>
      </w:r>
      <w:r w:rsidRPr="00B648F5">
        <w:rPr>
          <w:rFonts w:ascii="Times New Roman" w:eastAsia="Times New Roman" w:hAnsi="Times New Roman" w:cs="Times New Roman"/>
          <w:sz w:val="24"/>
          <w:szCs w:val="24"/>
        </w:rPr>
        <w:t xml:space="preserve"> 22 female prisoners identified.</w:t>
      </w:r>
    </w:p>
    <w:p w14:paraId="5E2603B8" w14:textId="77777777" w:rsidR="005D01DA" w:rsidRPr="00B648F5" w:rsidRDefault="005D01DA" w:rsidP="005D01D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b/>
          <w:bCs/>
          <w:sz w:val="24"/>
          <w:szCs w:val="24"/>
        </w:rPr>
        <w:t>Nasiriyah Prison for Minor Offenses:</w:t>
      </w:r>
      <w:r w:rsidRPr="00B648F5">
        <w:rPr>
          <w:rFonts w:ascii="Times New Roman" w:eastAsia="Times New Roman" w:hAnsi="Times New Roman" w:cs="Times New Roman"/>
          <w:sz w:val="24"/>
          <w:szCs w:val="24"/>
        </w:rPr>
        <w:t xml:space="preserve"> 173 female prisoners identified.</w:t>
      </w:r>
    </w:p>
    <w:p w14:paraId="7369A253"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Although the proportion of women sentenced to death remains lower than that of men, the circumstances surrounding their prosecution and conviction reveal structural deficiencies in the administration of justice. These deficiencies arise from the intersection of social, economic, and psychological factors that repeatedly produce discriminatory and unjust outcomes for women.</w:t>
      </w:r>
    </w:p>
    <w:p w14:paraId="36854D5A" w14:textId="77777777" w:rsidR="005D01DA" w:rsidRPr="00B648F5" w:rsidRDefault="005D01DA" w:rsidP="005D01DA">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B648F5">
        <w:rPr>
          <w:rFonts w:ascii="Times New Roman" w:eastAsia="Times New Roman" w:hAnsi="Times New Roman" w:cs="Times New Roman"/>
          <w:b/>
          <w:bCs/>
          <w:sz w:val="24"/>
          <w:szCs w:val="24"/>
        </w:rPr>
        <w:t>1. General Characteristics of Cases Involving Women Sentenced to Death</w:t>
      </w:r>
    </w:p>
    <w:p w14:paraId="32F551A2"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Monitoring conducted by the Al-</w:t>
      </w:r>
      <w:proofErr w:type="spellStart"/>
      <w:r w:rsidRPr="00B648F5">
        <w:rPr>
          <w:rFonts w:ascii="Times New Roman" w:eastAsia="Times New Roman" w:hAnsi="Times New Roman" w:cs="Times New Roman"/>
          <w:sz w:val="24"/>
          <w:szCs w:val="24"/>
        </w:rPr>
        <w:t>Munqidh</w:t>
      </w:r>
      <w:proofErr w:type="spellEnd"/>
      <w:r w:rsidRPr="00B648F5">
        <w:rPr>
          <w:rFonts w:ascii="Times New Roman" w:eastAsia="Times New Roman" w:hAnsi="Times New Roman" w:cs="Times New Roman"/>
          <w:sz w:val="24"/>
          <w:szCs w:val="24"/>
        </w:rPr>
        <w:t xml:space="preserve"> Organization for Human Rights indicates that the majority of death sentences imposed on women relate either to domestic homicide cases or to terrorism-related charges. A significant number of these women come from impoverished and marginalized backgrounds, with limited access to education and legal assistance. This lack of support renders them particularly vulnerable during interrogation and trial proceedings, increasing the risk of coerced confessions or unfair convictions.</w:t>
      </w:r>
    </w:p>
    <w:p w14:paraId="084988D3" w14:textId="77777777" w:rsidR="005D01DA" w:rsidRPr="00B648F5" w:rsidRDefault="005D01DA" w:rsidP="005D01DA">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B648F5">
        <w:rPr>
          <w:rFonts w:ascii="Times New Roman" w:eastAsia="Times New Roman" w:hAnsi="Times New Roman" w:cs="Times New Roman"/>
          <w:b/>
          <w:bCs/>
          <w:sz w:val="24"/>
          <w:szCs w:val="24"/>
        </w:rPr>
        <w:t>2. Challenges in Judicial Procedures</w:t>
      </w:r>
    </w:p>
    <w:p w14:paraId="0812B962"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 xml:space="preserve">The organization emphasizes that many women accused of serious crimes are denied effective legal representation during the early stages of investigation, when procedural safeguards are </w:t>
      </w:r>
      <w:r w:rsidRPr="00B648F5">
        <w:rPr>
          <w:rFonts w:ascii="Times New Roman" w:eastAsia="Times New Roman" w:hAnsi="Times New Roman" w:cs="Times New Roman"/>
          <w:sz w:val="24"/>
          <w:szCs w:val="24"/>
        </w:rPr>
        <w:lastRenderedPageBreak/>
        <w:t>most critical. In security- and terrorism-related cases in particular, women are frequently convicted on the basis of kinship or marital ties to other suspects, without sufficient evidence establishing their individual criminal responsibility.</w:t>
      </w:r>
    </w:p>
    <w:p w14:paraId="515E96F4" w14:textId="77777777" w:rsidR="005D01DA" w:rsidRPr="00B648F5" w:rsidRDefault="005D01DA" w:rsidP="005D01DA">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B648F5">
        <w:rPr>
          <w:rFonts w:ascii="Times New Roman" w:eastAsia="Times New Roman" w:hAnsi="Times New Roman" w:cs="Times New Roman"/>
          <w:b/>
          <w:bCs/>
          <w:sz w:val="24"/>
          <w:szCs w:val="24"/>
        </w:rPr>
        <w:t>3. Women in Terrorism-Related Cases</w:t>
      </w:r>
    </w:p>
    <w:p w14:paraId="34D1EAE1"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One of the most alarming patterns documented concerns the prosecution of women</w:t>
      </w:r>
      <w:r>
        <w:rPr>
          <w:rFonts w:ascii="Times New Roman" w:eastAsia="Times New Roman" w:hAnsi="Times New Roman" w:cs="Times New Roman"/>
          <w:sz w:val="24"/>
          <w:szCs w:val="24"/>
        </w:rPr>
        <w:t xml:space="preserve"> </w:t>
      </w:r>
      <w:r w:rsidRPr="00B648F5">
        <w:rPr>
          <w:rFonts w:ascii="Times New Roman" w:eastAsia="Times New Roman" w:hAnsi="Times New Roman" w:cs="Times New Roman"/>
          <w:sz w:val="24"/>
          <w:szCs w:val="24"/>
        </w:rPr>
        <w:t>especially wives or widows of alleged members of armed groups</w:t>
      </w:r>
      <w:r>
        <w:rPr>
          <w:rFonts w:ascii="Times New Roman" w:eastAsia="Times New Roman" w:hAnsi="Times New Roman" w:cs="Times New Roman"/>
          <w:sz w:val="24"/>
          <w:szCs w:val="24"/>
        </w:rPr>
        <w:t xml:space="preserve"> </w:t>
      </w:r>
      <w:r w:rsidRPr="00B648F5">
        <w:rPr>
          <w:rFonts w:ascii="Times New Roman" w:eastAsia="Times New Roman" w:hAnsi="Times New Roman" w:cs="Times New Roman"/>
          <w:sz w:val="24"/>
          <w:szCs w:val="24"/>
        </w:rPr>
        <w:t>on charges of “membership in a terrorist organization” or “participation in hostilities.” In many instances, their involvement is limited to forced presence in conflict zones or familial association with wanted individuals.</w:t>
      </w:r>
    </w:p>
    <w:p w14:paraId="742C8437"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The organization underscores that this practice raises serious legal concerns regarding the principles of individual criminal responsibility and the burden of proof, and constitutes a direct threat to the right to a fair trial. Judicial proceedings frequently fail to assess the actual role, intent, or degree of participation of the accused.</w:t>
      </w:r>
    </w:p>
    <w:p w14:paraId="6AD920F2" w14:textId="77777777" w:rsidR="005D01DA" w:rsidRPr="00B648F5" w:rsidRDefault="005D01DA" w:rsidP="005D01DA">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B648F5">
        <w:rPr>
          <w:rFonts w:ascii="Times New Roman" w:eastAsia="Times New Roman" w:hAnsi="Times New Roman" w:cs="Times New Roman"/>
          <w:b/>
          <w:bCs/>
          <w:sz w:val="24"/>
          <w:szCs w:val="24"/>
        </w:rPr>
        <w:t>4. Social and Psychological Dimensions</w:t>
      </w:r>
    </w:p>
    <w:p w14:paraId="26D1E491"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Information collected by the Al-</w:t>
      </w:r>
      <w:proofErr w:type="spellStart"/>
      <w:r w:rsidRPr="00B648F5">
        <w:rPr>
          <w:rFonts w:ascii="Times New Roman" w:eastAsia="Times New Roman" w:hAnsi="Times New Roman" w:cs="Times New Roman"/>
          <w:sz w:val="24"/>
          <w:szCs w:val="24"/>
        </w:rPr>
        <w:t>Munqidh</w:t>
      </w:r>
      <w:proofErr w:type="spellEnd"/>
      <w:r w:rsidRPr="00B648F5">
        <w:rPr>
          <w:rFonts w:ascii="Times New Roman" w:eastAsia="Times New Roman" w:hAnsi="Times New Roman" w:cs="Times New Roman"/>
          <w:sz w:val="24"/>
          <w:szCs w:val="24"/>
        </w:rPr>
        <w:t xml:space="preserve"> Organization for Human Rights indicates that women sentenced to death experience profound social isolation within detention facilities. The absence of adequate psychological and social support services exacerbates mental health conditions, including severe depression, emotional withdrawal, and a pervasive loss of hope, further compounding the punitive nature of their detention.</w:t>
      </w:r>
    </w:p>
    <w:p w14:paraId="5D3A63DE" w14:textId="77777777" w:rsidR="005D01DA" w:rsidRPr="00B648F5" w:rsidRDefault="005D01DA" w:rsidP="005D01DA">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B648F5">
        <w:rPr>
          <w:rFonts w:ascii="Times New Roman" w:eastAsia="Times New Roman" w:hAnsi="Times New Roman" w:cs="Times New Roman"/>
          <w:b/>
          <w:bCs/>
          <w:sz w:val="24"/>
          <w:szCs w:val="24"/>
        </w:rPr>
        <w:t>5. Societal and Religious Perspectives</w:t>
      </w:r>
    </w:p>
    <w:p w14:paraId="241629A5"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Public discourse surrounding women sentenced to death remains particularly sensitive within Iraqi society. Nonetheless, the organization observes emerging signs of change, especially among young women human rights defenders and civil society actors. These voices are increasingly advocating for justice approaches grounded in rehabilitation, accountability, and restorative principles, rather than irreversible punishments.</w:t>
      </w:r>
    </w:p>
    <w:p w14:paraId="01486B4C" w14:textId="77777777" w:rsidR="005D01DA" w:rsidRPr="00B648F5" w:rsidRDefault="005D01DA" w:rsidP="005D01DA">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B648F5">
        <w:rPr>
          <w:rFonts w:ascii="Times New Roman" w:eastAsia="Times New Roman" w:hAnsi="Times New Roman" w:cs="Times New Roman"/>
          <w:b/>
          <w:bCs/>
          <w:sz w:val="24"/>
          <w:szCs w:val="24"/>
        </w:rPr>
        <w:t>6. The Gap Between International Obligations and Domestic Practice</w:t>
      </w:r>
    </w:p>
    <w:p w14:paraId="5248F99B"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Despite Iraq’s accession to key international human rights instruments</w:t>
      </w:r>
      <w:r>
        <w:rPr>
          <w:rFonts w:ascii="Times New Roman" w:eastAsia="Times New Roman" w:hAnsi="Times New Roman" w:cs="Times New Roman"/>
          <w:sz w:val="24"/>
          <w:szCs w:val="24"/>
        </w:rPr>
        <w:t xml:space="preserve"> </w:t>
      </w:r>
      <w:r w:rsidRPr="00B648F5">
        <w:rPr>
          <w:rFonts w:ascii="Times New Roman" w:eastAsia="Times New Roman" w:hAnsi="Times New Roman" w:cs="Times New Roman"/>
          <w:sz w:val="24"/>
          <w:szCs w:val="24"/>
        </w:rPr>
        <w:t>including the Convention on the Elimination of All Forms of Discrimination against Women (CEDAW) and the International Covenant on Civil and Political Rights</w:t>
      </w:r>
      <w:r>
        <w:rPr>
          <w:rFonts w:ascii="Times New Roman" w:eastAsia="Times New Roman" w:hAnsi="Times New Roman" w:cs="Times New Roman"/>
          <w:sz w:val="24"/>
          <w:szCs w:val="24"/>
        </w:rPr>
        <w:t xml:space="preserve"> </w:t>
      </w:r>
      <w:r w:rsidRPr="00B648F5">
        <w:rPr>
          <w:rFonts w:ascii="Times New Roman" w:eastAsia="Times New Roman" w:hAnsi="Times New Roman" w:cs="Times New Roman"/>
          <w:sz w:val="24"/>
          <w:szCs w:val="24"/>
        </w:rPr>
        <w:t>domestic judicial practice has yet to meaningfully integrate a gender-sensitive approach into criminal justice proceedings. There are no specialized protocols or procedural safeguards addressing the specific circumstances of women accused of serious crimes, nor is there a permanent, independent mechanism to review death penalty judgments against women in light of international human rights standards.</w:t>
      </w:r>
    </w:p>
    <w:p w14:paraId="16237E7A" w14:textId="77777777" w:rsidR="005D01DA" w:rsidRPr="00B648F5" w:rsidRDefault="005D01DA" w:rsidP="005D01DA">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648F5">
        <w:rPr>
          <w:rFonts w:ascii="Times New Roman" w:eastAsia="Times New Roman" w:hAnsi="Times New Roman" w:cs="Times New Roman"/>
          <w:b/>
          <w:bCs/>
          <w:sz w:val="27"/>
          <w:szCs w:val="27"/>
        </w:rPr>
        <w:t>Fifth: The Position of the Al-</w:t>
      </w:r>
      <w:proofErr w:type="spellStart"/>
      <w:r w:rsidRPr="00B648F5">
        <w:rPr>
          <w:rFonts w:ascii="Times New Roman" w:eastAsia="Times New Roman" w:hAnsi="Times New Roman" w:cs="Times New Roman"/>
          <w:b/>
          <w:bCs/>
          <w:sz w:val="27"/>
          <w:szCs w:val="27"/>
        </w:rPr>
        <w:t>Munqidh</w:t>
      </w:r>
      <w:proofErr w:type="spellEnd"/>
      <w:r w:rsidRPr="00B648F5">
        <w:rPr>
          <w:rFonts w:ascii="Times New Roman" w:eastAsia="Times New Roman" w:hAnsi="Times New Roman" w:cs="Times New Roman"/>
          <w:b/>
          <w:bCs/>
          <w:sz w:val="27"/>
          <w:szCs w:val="27"/>
        </w:rPr>
        <w:t xml:space="preserve"> Organization for Human Rights on the Death Penalty in Iraq</w:t>
      </w:r>
    </w:p>
    <w:p w14:paraId="6AB7BFC5"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lastRenderedPageBreak/>
        <w:t>The Al-</w:t>
      </w:r>
      <w:proofErr w:type="spellStart"/>
      <w:r w:rsidRPr="00B648F5">
        <w:rPr>
          <w:rFonts w:ascii="Times New Roman" w:eastAsia="Times New Roman" w:hAnsi="Times New Roman" w:cs="Times New Roman"/>
          <w:sz w:val="24"/>
          <w:szCs w:val="24"/>
        </w:rPr>
        <w:t>Munqidh</w:t>
      </w:r>
      <w:proofErr w:type="spellEnd"/>
      <w:r w:rsidRPr="00B648F5">
        <w:rPr>
          <w:rFonts w:ascii="Times New Roman" w:eastAsia="Times New Roman" w:hAnsi="Times New Roman" w:cs="Times New Roman"/>
          <w:sz w:val="24"/>
          <w:szCs w:val="24"/>
        </w:rPr>
        <w:t xml:space="preserve"> Organization for Human Rights reaffirms its firm commitment to international human rights principles, in particular those enshrined in the International Covenant on Civil and Political Rights (ICCPR), to which Iraq is a State Party. The Covenant affirms that the right to life is inherent to every human being and that no one shall be arbitrarily deprived of this right. In this regard, the organization recalls that the UN Human Rights Committee, as well as the Human Rights Council through its most recent Universal Periodic Review of Iraq (2025), have issued repeated and explicit recommendations urging Iraq to progressively restrict the application of the death penalty, with a view to its eventual abolition.</w:t>
      </w:r>
    </w:p>
    <w:p w14:paraId="2644E446"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The organization observes that Iraq remains among the countries with the highest rates of application of the death penalty, including for offenses that do not meet the threshold of the “most serious crimes” as defined under international human rights law and clarified by the jurisprudence of the Human Rights Committee.</w:t>
      </w:r>
    </w:p>
    <w:p w14:paraId="3BF62700"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Furthermore, the continued enforcement of capital punishment within a criminal justice system affected by structural and institutional shortcomings</w:t>
      </w:r>
      <w:r>
        <w:rPr>
          <w:rFonts w:ascii="Times New Roman" w:eastAsia="Times New Roman" w:hAnsi="Times New Roman" w:cs="Times New Roman"/>
          <w:sz w:val="24"/>
          <w:szCs w:val="24"/>
        </w:rPr>
        <w:t xml:space="preserve"> </w:t>
      </w:r>
      <w:r w:rsidRPr="00B648F5">
        <w:rPr>
          <w:rFonts w:ascii="Times New Roman" w:eastAsia="Times New Roman" w:hAnsi="Times New Roman" w:cs="Times New Roman"/>
          <w:sz w:val="24"/>
          <w:szCs w:val="24"/>
        </w:rPr>
        <w:t>such as inadequate criminal investigations, reliance on confessions obtained under coercion or duress, limited access to effective legal representation, and the absence of robust legal aid mechanisms</w:t>
      </w:r>
      <w:r>
        <w:rPr>
          <w:rFonts w:ascii="Times New Roman" w:eastAsia="Times New Roman" w:hAnsi="Times New Roman" w:cs="Times New Roman"/>
          <w:sz w:val="24"/>
          <w:szCs w:val="24"/>
        </w:rPr>
        <w:t xml:space="preserve"> </w:t>
      </w:r>
      <w:r w:rsidRPr="00B648F5">
        <w:rPr>
          <w:rFonts w:ascii="Times New Roman" w:eastAsia="Times New Roman" w:hAnsi="Times New Roman" w:cs="Times New Roman"/>
          <w:sz w:val="24"/>
          <w:szCs w:val="24"/>
        </w:rPr>
        <w:t>renders the implementation of death sentences an irreversible and grave threat to both the right to life and the integrity of justice.</w:t>
      </w:r>
    </w:p>
    <w:p w14:paraId="6D42EF1B"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The Al-</w:t>
      </w:r>
      <w:proofErr w:type="spellStart"/>
      <w:r w:rsidRPr="00B648F5">
        <w:rPr>
          <w:rFonts w:ascii="Times New Roman" w:eastAsia="Times New Roman" w:hAnsi="Times New Roman" w:cs="Times New Roman"/>
          <w:sz w:val="24"/>
          <w:szCs w:val="24"/>
        </w:rPr>
        <w:t>Munqidh</w:t>
      </w:r>
      <w:proofErr w:type="spellEnd"/>
      <w:r w:rsidRPr="00B648F5">
        <w:rPr>
          <w:rFonts w:ascii="Times New Roman" w:eastAsia="Times New Roman" w:hAnsi="Times New Roman" w:cs="Times New Roman"/>
          <w:sz w:val="24"/>
          <w:szCs w:val="24"/>
        </w:rPr>
        <w:t xml:space="preserve"> Organization for Human Rights emphasizes that Iraq’s international obligations require the adoption of concrete and measurable steps to reduce the number of offenses punishable by death, alongside the immediate suspension of executions as a necessary precursor to Iraq’s accession to the Second Optional Protocol to the ICCPR, which is explicitly aimed at the abolition of the death penalty.</w:t>
      </w:r>
    </w:p>
    <w:p w14:paraId="3BDBE348"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In this context, the organization calls on the Iraqi authorities to undertake a comprehensive review of national legislation, particularly the Penal Code No. 111 of 1969 and the Counter-Terrorism Law No. 13 of 2005. These laws currently encompass an excessively broad range of offenses subject to capital punishment, far exceeding the limits permitted under international law.</w:t>
      </w:r>
    </w:p>
    <w:p w14:paraId="7DAB2063"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With respect to vulnerable groups, the organization expresses deep concern over the continued imposition and execution of death sentences against women and individuals from marginalized and disadvantaged socioeconomic backgrounds. Such cases frequently arise in the context of terrorism-related charges, so-called “honor” crimes, or acts committed in situations of self-defense within environments marked by domestic violence, raising serious concerns about discrimination, proportionality, and access to justice.</w:t>
      </w:r>
    </w:p>
    <w:p w14:paraId="29067100"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The Al-</w:t>
      </w:r>
      <w:proofErr w:type="spellStart"/>
      <w:r w:rsidRPr="00B648F5">
        <w:rPr>
          <w:rFonts w:ascii="Times New Roman" w:eastAsia="Times New Roman" w:hAnsi="Times New Roman" w:cs="Times New Roman"/>
          <w:sz w:val="24"/>
          <w:szCs w:val="24"/>
        </w:rPr>
        <w:t>Munqidh</w:t>
      </w:r>
      <w:proofErr w:type="spellEnd"/>
      <w:r w:rsidRPr="00B648F5">
        <w:rPr>
          <w:rFonts w:ascii="Times New Roman" w:eastAsia="Times New Roman" w:hAnsi="Times New Roman" w:cs="Times New Roman"/>
          <w:sz w:val="24"/>
          <w:szCs w:val="24"/>
        </w:rPr>
        <w:t xml:space="preserve"> Organization for Human Rights underscores that Iraq’s meaningful compliance with recommendations issued by UN human rights mechanisms</w:t>
      </w:r>
      <w:r>
        <w:rPr>
          <w:rFonts w:ascii="Times New Roman" w:eastAsia="Times New Roman" w:hAnsi="Times New Roman" w:cs="Times New Roman"/>
          <w:sz w:val="24"/>
          <w:szCs w:val="24"/>
        </w:rPr>
        <w:t xml:space="preserve"> </w:t>
      </w:r>
      <w:r w:rsidRPr="00B648F5">
        <w:rPr>
          <w:rFonts w:ascii="Times New Roman" w:eastAsia="Times New Roman" w:hAnsi="Times New Roman" w:cs="Times New Roman"/>
          <w:sz w:val="24"/>
          <w:szCs w:val="24"/>
        </w:rPr>
        <w:t>particularly the Human Rights Committee, the Committee against Torture, and the Universal Periodic Review</w:t>
      </w:r>
      <w:r>
        <w:rPr>
          <w:rFonts w:ascii="Times New Roman" w:eastAsia="Times New Roman" w:hAnsi="Times New Roman" w:cs="Times New Roman"/>
          <w:sz w:val="24"/>
          <w:szCs w:val="24"/>
        </w:rPr>
        <w:t xml:space="preserve"> </w:t>
      </w:r>
      <w:r w:rsidRPr="00B648F5">
        <w:rPr>
          <w:rFonts w:ascii="Times New Roman" w:eastAsia="Times New Roman" w:hAnsi="Times New Roman" w:cs="Times New Roman"/>
          <w:sz w:val="24"/>
          <w:szCs w:val="24"/>
        </w:rPr>
        <w:t xml:space="preserve">is essential to restoring public confidence in the justice system and ensuring respect for human dignity and the rule of law. Accordingly, the organization adopts a principled and unequivocal position calling </w:t>
      </w:r>
      <w:r w:rsidRPr="00B648F5">
        <w:rPr>
          <w:rFonts w:ascii="Times New Roman" w:eastAsia="Times New Roman" w:hAnsi="Times New Roman" w:cs="Times New Roman"/>
          <w:sz w:val="24"/>
          <w:szCs w:val="24"/>
        </w:rPr>
        <w:lastRenderedPageBreak/>
        <w:t>for an immediate moratorium on executions in Iraq as a first and indispensable step toward the gradual abolition of the death penalty.</w:t>
      </w:r>
    </w:p>
    <w:p w14:paraId="7729CA5D"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Such a measure would not only bring Iraq into closer alignment with its international obligations, but would also contribute to fostering a justice system grounded in accountability, rehabilitation, and restorative principles, rather than irreversible punitive measures. It would further ensure humane and equitable treatment for all individuals, particularly women and other vulnerable groups who are disproportionately exposed to abuse and rights violations during arrest, investigation, trial, and detention.</w:t>
      </w:r>
    </w:p>
    <w:p w14:paraId="194548ED" w14:textId="77777777" w:rsidR="005D01DA" w:rsidRPr="00B648F5" w:rsidRDefault="005D01DA" w:rsidP="005D01DA">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B648F5">
        <w:rPr>
          <w:rFonts w:ascii="Times New Roman" w:eastAsia="Times New Roman" w:hAnsi="Times New Roman" w:cs="Times New Roman"/>
          <w:b/>
          <w:bCs/>
          <w:sz w:val="27"/>
          <w:szCs w:val="27"/>
        </w:rPr>
        <w:t>Conclusion</w:t>
      </w:r>
    </w:p>
    <w:p w14:paraId="120B5862"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Despite the political, security, and social sensitivities surrounding the issue of capital punishment, the Al-</w:t>
      </w:r>
      <w:proofErr w:type="spellStart"/>
      <w:r w:rsidRPr="00B648F5">
        <w:rPr>
          <w:rFonts w:ascii="Times New Roman" w:eastAsia="Times New Roman" w:hAnsi="Times New Roman" w:cs="Times New Roman"/>
          <w:sz w:val="24"/>
          <w:szCs w:val="24"/>
        </w:rPr>
        <w:t>Munqidh</w:t>
      </w:r>
      <w:proofErr w:type="spellEnd"/>
      <w:r w:rsidRPr="00B648F5">
        <w:rPr>
          <w:rFonts w:ascii="Times New Roman" w:eastAsia="Times New Roman" w:hAnsi="Times New Roman" w:cs="Times New Roman"/>
          <w:sz w:val="24"/>
          <w:szCs w:val="24"/>
        </w:rPr>
        <w:t xml:space="preserve"> Organization for Human Rights firmly believes that the gradual suspension, followed by the complete abolition of the death penalty, represents the course of action most consistent with Iraq’s international obligations and with the spirit of the Iraqi Constitution, which affirms the protection of fundamental rights and freedoms.</w:t>
      </w:r>
    </w:p>
    <w:p w14:paraId="584A687D" w14:textId="77777777" w:rsidR="005D01DA" w:rsidRPr="00B648F5"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The organization further asserts that the transition toward a more humane and rights-based justice system requires clear political commitment, a supportive and informed social environment, and sustained cooperation between state institutions, civil society actors, and international partners.</w:t>
      </w:r>
    </w:p>
    <w:p w14:paraId="399768CA" w14:textId="4E6FB3D9" w:rsidR="005D01DA" w:rsidRDefault="005D01DA" w:rsidP="005D01DA">
      <w:pPr>
        <w:spacing w:before="100" w:beforeAutospacing="1" w:after="100" w:afterAutospacing="1" w:line="240" w:lineRule="auto"/>
        <w:jc w:val="both"/>
        <w:rPr>
          <w:rFonts w:ascii="Times New Roman" w:eastAsia="Times New Roman" w:hAnsi="Times New Roman" w:cs="Times New Roman"/>
          <w:sz w:val="24"/>
          <w:szCs w:val="24"/>
        </w:rPr>
      </w:pPr>
      <w:r w:rsidRPr="00B648F5">
        <w:rPr>
          <w:rFonts w:ascii="Times New Roman" w:eastAsia="Times New Roman" w:hAnsi="Times New Roman" w:cs="Times New Roman"/>
          <w:sz w:val="24"/>
          <w:szCs w:val="24"/>
        </w:rPr>
        <w:t>The abolition of the death penalty does not weaken the rule of law; rather, it reflects the maturity of a justice system that upholds the sanctity of life, safeguards human dignity, and embodies the highest principles of humanity and justice.</w:t>
      </w:r>
    </w:p>
    <w:p w14:paraId="6AF3C5A3" w14:textId="77777777" w:rsidR="00C9355B" w:rsidRPr="00B648F5" w:rsidRDefault="00C9355B" w:rsidP="005D01DA">
      <w:pPr>
        <w:spacing w:before="100" w:beforeAutospacing="1" w:after="100" w:afterAutospacing="1" w:line="240" w:lineRule="auto"/>
        <w:jc w:val="both"/>
        <w:rPr>
          <w:rFonts w:ascii="Times New Roman" w:eastAsia="Times New Roman" w:hAnsi="Times New Roman" w:cs="Times New Roman"/>
          <w:sz w:val="24"/>
          <w:szCs w:val="24"/>
        </w:rPr>
      </w:pPr>
    </w:p>
    <w:p w14:paraId="45AA7B4A" w14:textId="77777777" w:rsidR="00C9355B" w:rsidRPr="00C9355B" w:rsidRDefault="00C9355B" w:rsidP="00C9355B">
      <w:pPr>
        <w:pStyle w:val="Heading3"/>
      </w:pPr>
      <w:r>
        <w:t xml:space="preserve">Recommendations: </w:t>
      </w:r>
      <w:r>
        <w:br/>
      </w:r>
      <w:r w:rsidRPr="00C9355B">
        <w:t>A. Addressing Gender-Based Violence and Access to Justice</w:t>
      </w:r>
    </w:p>
    <w:p w14:paraId="3848966E"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Strengthen legal and institutional responses to gender-based violence by ensuring the full and effective implementation of the National Strategy on Violence against Women and Girls (2018–2030), with clear benchmarks, timelines, and accountability mechanisms.</w:t>
      </w:r>
    </w:p>
    <w:p w14:paraId="53BFDDEA"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Guarantee meaningful access to justice for women survivors of gender-based violence, including through survivor-centered investigation and prosecution procedures, legal aid, and protection measures.</w:t>
      </w:r>
    </w:p>
    <w:p w14:paraId="02B13FB1"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Combat underreporting of gender-based violence by addressing cultural and social barriers, conducting nationwide awareness campaigns, and promoting trust in law enforcement and judicial institutions.</w:t>
      </w:r>
    </w:p>
    <w:p w14:paraId="64E50912"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End impunity for perpetrators of gender-based violence by ensuring prompt, impartial, and effective investigations, prosecutions, and proportionate penalties.</w:t>
      </w:r>
    </w:p>
    <w:p w14:paraId="4199D1FB"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Increase human, technical, and financial resources allocated to police family protection units and specialized judicial bodies dealing with gender-based violence.</w:t>
      </w:r>
    </w:p>
    <w:p w14:paraId="45195DE1" w14:textId="77777777" w:rsidR="00C9355B" w:rsidRPr="00C9355B" w:rsidRDefault="00C9355B" w:rsidP="00C9355B">
      <w:pPr>
        <w:spacing w:before="100" w:beforeAutospacing="1" w:after="100" w:afterAutospacing="1" w:line="240" w:lineRule="auto"/>
        <w:outlineLvl w:val="2"/>
        <w:rPr>
          <w:rFonts w:ascii="Times New Roman" w:eastAsia="Times New Roman" w:hAnsi="Times New Roman" w:cs="Times New Roman"/>
          <w:b/>
          <w:bCs/>
          <w:sz w:val="27"/>
          <w:szCs w:val="27"/>
        </w:rPr>
      </w:pPr>
      <w:r w:rsidRPr="00C9355B">
        <w:rPr>
          <w:rFonts w:ascii="Times New Roman" w:eastAsia="Times New Roman" w:hAnsi="Times New Roman" w:cs="Times New Roman"/>
          <w:b/>
          <w:bCs/>
          <w:sz w:val="27"/>
          <w:szCs w:val="27"/>
        </w:rPr>
        <w:lastRenderedPageBreak/>
        <w:t>B. Legal Reform and Discriminatory Provisions</w:t>
      </w:r>
    </w:p>
    <w:p w14:paraId="79335674"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Repeal discriminatory provisions in the Penal Code, including those that allow “honor” to be invoked as a mitigating circumstance in cases of homicide or violence against women.</w:t>
      </w:r>
    </w:p>
    <w:p w14:paraId="4188988D"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Align domestic legislation with international human rights standards, particularly the Convention on the Elimination of All Forms of Discrimination against Women (CEDAW), by ensuring full legal equality and protection for women.</w:t>
      </w:r>
    </w:p>
    <w:p w14:paraId="30512F2B" w14:textId="77777777" w:rsidR="00C9355B" w:rsidRPr="00C9355B" w:rsidRDefault="00C9355B" w:rsidP="00C9355B">
      <w:pPr>
        <w:spacing w:before="100" w:beforeAutospacing="1" w:after="100" w:afterAutospacing="1" w:line="240" w:lineRule="auto"/>
        <w:outlineLvl w:val="2"/>
        <w:rPr>
          <w:rFonts w:ascii="Times New Roman" w:eastAsia="Times New Roman" w:hAnsi="Times New Roman" w:cs="Times New Roman"/>
          <w:b/>
          <w:bCs/>
          <w:sz w:val="27"/>
          <w:szCs w:val="27"/>
        </w:rPr>
      </w:pPr>
      <w:r w:rsidRPr="00C9355B">
        <w:rPr>
          <w:rFonts w:ascii="Times New Roman" w:eastAsia="Times New Roman" w:hAnsi="Times New Roman" w:cs="Times New Roman"/>
          <w:b/>
          <w:bCs/>
          <w:sz w:val="27"/>
          <w:szCs w:val="27"/>
        </w:rPr>
        <w:t>C. Protection and Support Services for Survivors</w:t>
      </w:r>
    </w:p>
    <w:p w14:paraId="358B4536"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Ensure that gender-based violence centers established by the Ministry of Health are accessible to all women, not only those affected by conflict-related violence.</w:t>
      </w:r>
    </w:p>
    <w:p w14:paraId="3AEAF21F"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Strengthen and expand survivor support services, including shelters, psychosocial care, medical assistance, and hotlines, ensuring nationwide coverage and adequate funding.</w:t>
      </w:r>
    </w:p>
    <w:p w14:paraId="6257705E"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Improve transparency and data collection by publishing disaggregated data on complaints, arrests, prosecutions, convictions, and penalties in cases of domestic and gender-based violence.</w:t>
      </w:r>
    </w:p>
    <w:p w14:paraId="4F7EAF92" w14:textId="77777777" w:rsidR="00C9355B" w:rsidRPr="00C9355B" w:rsidRDefault="00C9355B" w:rsidP="00C9355B">
      <w:pPr>
        <w:spacing w:before="100" w:beforeAutospacing="1" w:after="100" w:afterAutospacing="1" w:line="240" w:lineRule="auto"/>
        <w:outlineLvl w:val="2"/>
        <w:rPr>
          <w:rFonts w:ascii="Times New Roman" w:eastAsia="Times New Roman" w:hAnsi="Times New Roman" w:cs="Times New Roman"/>
          <w:b/>
          <w:bCs/>
          <w:sz w:val="27"/>
          <w:szCs w:val="27"/>
        </w:rPr>
      </w:pPr>
      <w:r w:rsidRPr="00C9355B">
        <w:rPr>
          <w:rFonts w:ascii="Times New Roman" w:eastAsia="Times New Roman" w:hAnsi="Times New Roman" w:cs="Times New Roman"/>
          <w:b/>
          <w:bCs/>
          <w:sz w:val="27"/>
          <w:szCs w:val="27"/>
        </w:rPr>
        <w:t>D. Death Penalty and Gender Dimensions</w:t>
      </w:r>
    </w:p>
    <w:p w14:paraId="4A2263AF"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Cease the use of the death penalty for offenses that do not meet the “most serious crimes” threshold under international law, particularly non-lethal offenses.</w:t>
      </w:r>
    </w:p>
    <w:p w14:paraId="2456FCC7"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End the sentencing and execution of women based on familial or associative links to individuals accused of terrorism, including alleged affiliation with the Islamic State.</w:t>
      </w:r>
    </w:p>
    <w:p w14:paraId="382C2DB8"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Review and amend the Anti-Terrorism Law to narrow overly broad and vague definitions of terrorism and to ensure that the death penalty is not imposed for acts that do not involve intentional killing.</w:t>
      </w:r>
    </w:p>
    <w:p w14:paraId="11E2B401"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Ensure strict compliance with Article 15 of the Iraqi Constitution by safeguarding the right to life and limiting capital punishment in accordance with international human rights obligations.</w:t>
      </w:r>
    </w:p>
    <w:p w14:paraId="41203AC4" w14:textId="77777777" w:rsidR="00C9355B" w:rsidRPr="00C9355B" w:rsidRDefault="00C9355B" w:rsidP="00C9355B">
      <w:pPr>
        <w:spacing w:before="100" w:beforeAutospacing="1" w:after="100" w:afterAutospacing="1" w:line="240" w:lineRule="auto"/>
        <w:outlineLvl w:val="2"/>
        <w:rPr>
          <w:rFonts w:ascii="Times New Roman" w:eastAsia="Times New Roman" w:hAnsi="Times New Roman" w:cs="Times New Roman"/>
          <w:b/>
          <w:bCs/>
          <w:sz w:val="27"/>
          <w:szCs w:val="27"/>
        </w:rPr>
      </w:pPr>
      <w:r w:rsidRPr="00C9355B">
        <w:rPr>
          <w:rFonts w:ascii="Times New Roman" w:eastAsia="Times New Roman" w:hAnsi="Times New Roman" w:cs="Times New Roman"/>
          <w:b/>
          <w:bCs/>
          <w:sz w:val="27"/>
          <w:szCs w:val="27"/>
        </w:rPr>
        <w:t>E. International Obligations</w:t>
      </w:r>
    </w:p>
    <w:p w14:paraId="0C7B5815" w14:textId="77777777" w:rsidR="00C9355B" w:rsidRPr="00C9355B" w:rsidRDefault="00C9355B" w:rsidP="00C9355B">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C9355B">
        <w:rPr>
          <w:rFonts w:ascii="Times New Roman" w:eastAsia="Times New Roman" w:hAnsi="Times New Roman" w:cs="Times New Roman"/>
          <w:sz w:val="24"/>
          <w:szCs w:val="24"/>
        </w:rPr>
        <w:t>Fully comply with Iraq’s obligations under CEDAW and other international human rights treaties, including through regular review of legislation, policies, and practices that disproportionately affect women and girls.</w:t>
      </w:r>
    </w:p>
    <w:p w14:paraId="009BDE03" w14:textId="72EEE02A" w:rsidR="005D01DA" w:rsidRDefault="005D01DA" w:rsidP="005D01DA"/>
    <w:p w14:paraId="498B36D2" w14:textId="77777777" w:rsidR="005D01DA" w:rsidRPr="005D01DA" w:rsidRDefault="005D01DA" w:rsidP="005D01DA">
      <w:pPr>
        <w:rPr>
          <w:rFonts w:asciiTheme="majorBidi" w:hAnsiTheme="majorBidi" w:cstheme="majorBidi"/>
          <w:sz w:val="24"/>
          <w:szCs w:val="24"/>
        </w:rPr>
      </w:pPr>
    </w:p>
    <w:sectPr w:rsidR="005D01DA" w:rsidRPr="005D01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9C899C" w14:textId="77777777" w:rsidR="00190E9A" w:rsidRDefault="00190E9A" w:rsidP="002D6B7E">
      <w:pPr>
        <w:spacing w:after="0" w:line="240" w:lineRule="auto"/>
      </w:pPr>
      <w:r>
        <w:separator/>
      </w:r>
    </w:p>
  </w:endnote>
  <w:endnote w:type="continuationSeparator" w:id="0">
    <w:p w14:paraId="0FB91B62" w14:textId="77777777" w:rsidR="00190E9A" w:rsidRDefault="00190E9A" w:rsidP="002D6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FE566C" w14:textId="77777777" w:rsidR="00190E9A" w:rsidRDefault="00190E9A" w:rsidP="002D6B7E">
      <w:pPr>
        <w:spacing w:after="0" w:line="240" w:lineRule="auto"/>
      </w:pPr>
      <w:r>
        <w:separator/>
      </w:r>
    </w:p>
  </w:footnote>
  <w:footnote w:type="continuationSeparator" w:id="0">
    <w:p w14:paraId="4946D3E5" w14:textId="77777777" w:rsidR="00190E9A" w:rsidRDefault="00190E9A" w:rsidP="002D6B7E">
      <w:pPr>
        <w:spacing w:after="0" w:line="240" w:lineRule="auto"/>
      </w:pPr>
      <w:r>
        <w:continuationSeparator/>
      </w:r>
    </w:p>
  </w:footnote>
  <w:footnote w:id="1">
    <w:p w14:paraId="0411C093" w14:textId="6C4E3084" w:rsidR="002D6B7E" w:rsidRDefault="002D6B7E">
      <w:pPr>
        <w:pStyle w:val="FootnoteText"/>
      </w:pPr>
      <w:r>
        <w:rPr>
          <w:rStyle w:val="FootnoteReference"/>
        </w:rPr>
        <w:footnoteRef/>
      </w:r>
      <w:r>
        <w:t xml:space="preserve"> </w:t>
      </w:r>
      <w:r w:rsidRPr="002D6B7E">
        <w:rPr>
          <w:rFonts w:ascii="Arial" w:eastAsia="Calibri" w:hAnsi="Arial" w:cs="Arial"/>
          <w:b/>
          <w:bCs/>
          <w:i/>
          <w:iCs/>
          <w:sz w:val="22"/>
          <w:szCs w:val="22"/>
          <w:lang w:val="en-GB"/>
          <w14:ligatures w14:val="standardContextual"/>
        </w:rPr>
        <w:t xml:space="preserve">The experts:  Morris </w:t>
      </w:r>
      <w:proofErr w:type="spellStart"/>
      <w:r w:rsidRPr="002D6B7E">
        <w:rPr>
          <w:rFonts w:ascii="Arial" w:eastAsia="Calibri" w:hAnsi="Arial" w:cs="Arial"/>
          <w:b/>
          <w:bCs/>
          <w:i/>
          <w:iCs/>
          <w:sz w:val="22"/>
          <w:szCs w:val="22"/>
          <w:lang w:val="en-GB"/>
          <w14:ligatures w14:val="standardContextual"/>
        </w:rPr>
        <w:t>Tidball-Binz</w:t>
      </w:r>
      <w:proofErr w:type="spellEnd"/>
      <w:r w:rsidRPr="002D6B7E">
        <w:rPr>
          <w:rFonts w:ascii="Arial" w:eastAsia="Calibri" w:hAnsi="Arial" w:cs="Arial"/>
          <w:b/>
          <w:bCs/>
          <w:i/>
          <w:iCs/>
          <w:sz w:val="22"/>
          <w:szCs w:val="22"/>
          <w:lang w:val="en-GB"/>
          <w14:ligatures w14:val="standardContextual"/>
        </w:rPr>
        <w:t xml:space="preserve">, </w:t>
      </w:r>
      <w:hyperlink r:id="rId1" w:history="1">
        <w:r w:rsidRPr="002D6B7E">
          <w:rPr>
            <w:rFonts w:ascii="Arial" w:eastAsia="Calibri" w:hAnsi="Arial" w:cs="Arial"/>
            <w:i/>
            <w:iCs/>
            <w:color w:val="0563C1"/>
            <w:sz w:val="22"/>
            <w:szCs w:val="22"/>
            <w:u w:val="single"/>
            <w:lang w:val="en-GB"/>
            <w14:ligatures w14:val="standardContextual"/>
          </w:rPr>
          <w:t>Special Rapporteur on extrajudicial, summary or arbitrary executions</w:t>
        </w:r>
      </w:hyperlink>
      <w:r w:rsidRPr="002D6B7E">
        <w:rPr>
          <w:rFonts w:ascii="Arial" w:eastAsia="Calibri" w:hAnsi="Arial" w:cs="Arial"/>
          <w:b/>
          <w:bCs/>
          <w:i/>
          <w:iCs/>
          <w:sz w:val="22"/>
          <w:szCs w:val="22"/>
          <w:lang w:val="en-GB"/>
          <w14:ligatures w14:val="standardContextual"/>
        </w:rPr>
        <w:t xml:space="preserve"> ;</w:t>
      </w:r>
      <w:r w:rsidRPr="002D6B7E">
        <w:rPr>
          <w:rFonts w:ascii="Arial" w:eastAsia="Calibri" w:hAnsi="Arial" w:cs="Arial"/>
          <w:b/>
          <w:bCs/>
          <w:i/>
          <w:iCs/>
          <w:sz w:val="22"/>
          <w:szCs w:val="22"/>
          <w:lang w:val="en-CA"/>
          <w14:ligatures w14:val="standardContextual"/>
        </w:rPr>
        <w:t xml:space="preserve"> Alice Jill Edwards</w:t>
      </w:r>
      <w:r w:rsidRPr="002D6B7E">
        <w:rPr>
          <w:rFonts w:ascii="Arial" w:eastAsia="Calibri" w:hAnsi="Arial" w:cs="Arial"/>
          <w:i/>
          <w:iCs/>
          <w:sz w:val="22"/>
          <w:szCs w:val="22"/>
          <w:lang w:val="en-CA"/>
          <w14:ligatures w14:val="standardContextual"/>
        </w:rPr>
        <w:t xml:space="preserve">, </w:t>
      </w:r>
      <w:hyperlink r:id="rId2" w:history="1">
        <w:r w:rsidRPr="002D6B7E">
          <w:rPr>
            <w:rFonts w:ascii="Arial" w:eastAsia="Calibri" w:hAnsi="Arial" w:cs="Arial"/>
            <w:i/>
            <w:iCs/>
            <w:color w:val="0563C1"/>
            <w:sz w:val="22"/>
            <w:szCs w:val="22"/>
            <w:u w:val="single"/>
            <w:lang w:val="en-CA"/>
            <w14:ligatures w14:val="standardContextual"/>
          </w:rPr>
          <w:t>Special Rapporteur on Torture and Other Cruel, Inhuman or Degrading Treatment or Punishment</w:t>
        </w:r>
      </w:hyperlink>
      <w:r w:rsidRPr="002D6B7E">
        <w:rPr>
          <w:rFonts w:ascii="Arial" w:eastAsia="Calibri" w:hAnsi="Arial" w:cs="Arial"/>
          <w:b/>
          <w:bCs/>
          <w:i/>
          <w:iCs/>
          <w:sz w:val="22"/>
          <w:szCs w:val="22"/>
          <w:lang w:val="en-CA"/>
          <w14:ligatures w14:val="standardContextual"/>
        </w:rPr>
        <w:t xml:space="preserve"> </w:t>
      </w:r>
      <w:r w:rsidRPr="002D6B7E">
        <w:rPr>
          <w:rFonts w:ascii="Arial" w:eastAsia="Calibri" w:hAnsi="Arial" w:cs="Arial"/>
          <w:sz w:val="22"/>
          <w:szCs w:val="22"/>
          <w:lang w:val="en-GB"/>
          <w14:ligatures w14:val="standardContextual"/>
        </w:rPr>
        <w:t xml:space="preserve">; </w:t>
      </w:r>
      <w:r w:rsidRPr="002D6B7E">
        <w:rPr>
          <w:rFonts w:ascii="Arial" w:eastAsia="Calibri" w:hAnsi="Arial" w:cs="Arial"/>
          <w:b/>
          <w:bCs/>
          <w:i/>
          <w:iCs/>
          <w:sz w:val="22"/>
          <w:szCs w:val="22"/>
          <w:lang w:val="en-GB"/>
          <w14:ligatures w14:val="standardContextual"/>
        </w:rPr>
        <w:t xml:space="preserve"> Ms. Priya Gopalan (Chair-Rapporteur), Mr. Matthew Gillett (Vice-Chair on Communications), Ms. Miriam Estrada-Castillo, and Mr. Mumba Malila - </w:t>
      </w:r>
      <w:hyperlink r:id="rId3" w:history="1">
        <w:r w:rsidRPr="002D6B7E">
          <w:rPr>
            <w:rFonts w:ascii="Arial" w:eastAsia="Calibri" w:hAnsi="Arial" w:cs="Arial"/>
            <w:i/>
            <w:iCs/>
            <w:color w:val="0563C1"/>
            <w:sz w:val="22"/>
            <w:szCs w:val="22"/>
            <w:u w:val="single"/>
            <w:lang w:val="en-GB"/>
            <w14:ligatures w14:val="standardContextual"/>
          </w:rPr>
          <w:t>Working Group on arbitrary detention</w:t>
        </w:r>
      </w:hyperlink>
      <w:r w:rsidRPr="002D6B7E">
        <w:rPr>
          <w:rFonts w:ascii="Arial" w:eastAsia="Calibri" w:hAnsi="Arial" w:cs="Arial"/>
          <w:i/>
          <w:iCs/>
          <w:sz w:val="22"/>
          <w:szCs w:val="22"/>
          <w:lang w:val="en-GB"/>
          <w14:ligatures w14:val="standardContextua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63402"/>
    <w:multiLevelType w:val="multilevel"/>
    <w:tmpl w:val="CCEC2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9043AC1"/>
    <w:multiLevelType w:val="hybridMultilevel"/>
    <w:tmpl w:val="0C7EB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9E4FAF"/>
    <w:multiLevelType w:val="multilevel"/>
    <w:tmpl w:val="40C2C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9A2856"/>
    <w:multiLevelType w:val="multilevel"/>
    <w:tmpl w:val="5A969EE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6CB6BD6"/>
    <w:multiLevelType w:val="multilevel"/>
    <w:tmpl w:val="7F0EC3B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BCB3FE4"/>
    <w:multiLevelType w:val="multilevel"/>
    <w:tmpl w:val="89F283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23D64E0"/>
    <w:multiLevelType w:val="multilevel"/>
    <w:tmpl w:val="44AAA5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6"/>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B7E"/>
    <w:rsid w:val="00190E9A"/>
    <w:rsid w:val="00241FEA"/>
    <w:rsid w:val="002D6B7E"/>
    <w:rsid w:val="005D01DA"/>
    <w:rsid w:val="00946340"/>
    <w:rsid w:val="00B20FAE"/>
    <w:rsid w:val="00C836A6"/>
    <w:rsid w:val="00C9355B"/>
    <w:rsid w:val="00D839AA"/>
    <w:rsid w:val="00F14F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F1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9355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D6B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6B7E"/>
    <w:rPr>
      <w:sz w:val="20"/>
      <w:szCs w:val="20"/>
    </w:rPr>
  </w:style>
  <w:style w:type="character" w:styleId="FootnoteReference">
    <w:name w:val="footnote reference"/>
    <w:uiPriority w:val="99"/>
    <w:rsid w:val="002D6B7E"/>
    <w:rPr>
      <w:vertAlign w:val="superscript"/>
    </w:rPr>
  </w:style>
  <w:style w:type="paragraph" w:styleId="NormalWeb">
    <w:name w:val="Normal (Web)"/>
    <w:basedOn w:val="Normal"/>
    <w:uiPriority w:val="99"/>
    <w:semiHidden/>
    <w:unhideWhenUsed/>
    <w:rsid w:val="005D01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C9355B"/>
    <w:rPr>
      <w:rFonts w:ascii="Times New Roman" w:eastAsia="Times New Roman" w:hAnsi="Times New Roman" w:cs="Times New Roman"/>
      <w:b/>
      <w:bCs/>
      <w:sz w:val="27"/>
      <w:szCs w:val="27"/>
    </w:rPr>
  </w:style>
  <w:style w:type="character" w:styleId="Strong">
    <w:name w:val="Strong"/>
    <w:basedOn w:val="DefaultParagraphFont"/>
    <w:uiPriority w:val="22"/>
    <w:qFormat/>
    <w:rsid w:val="00C9355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9355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D6B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6B7E"/>
    <w:rPr>
      <w:sz w:val="20"/>
      <w:szCs w:val="20"/>
    </w:rPr>
  </w:style>
  <w:style w:type="character" w:styleId="FootnoteReference">
    <w:name w:val="footnote reference"/>
    <w:uiPriority w:val="99"/>
    <w:rsid w:val="002D6B7E"/>
    <w:rPr>
      <w:vertAlign w:val="superscript"/>
    </w:rPr>
  </w:style>
  <w:style w:type="paragraph" w:styleId="NormalWeb">
    <w:name w:val="Normal (Web)"/>
    <w:basedOn w:val="Normal"/>
    <w:uiPriority w:val="99"/>
    <w:semiHidden/>
    <w:unhideWhenUsed/>
    <w:rsid w:val="005D01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C9355B"/>
    <w:rPr>
      <w:rFonts w:ascii="Times New Roman" w:eastAsia="Times New Roman" w:hAnsi="Times New Roman" w:cs="Times New Roman"/>
      <w:b/>
      <w:bCs/>
      <w:sz w:val="27"/>
      <w:szCs w:val="27"/>
    </w:rPr>
  </w:style>
  <w:style w:type="character" w:styleId="Strong">
    <w:name w:val="Strong"/>
    <w:basedOn w:val="DefaultParagraphFont"/>
    <w:uiPriority w:val="22"/>
    <w:qFormat/>
    <w:rsid w:val="00C935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6325">
      <w:bodyDiv w:val="1"/>
      <w:marLeft w:val="0"/>
      <w:marRight w:val="0"/>
      <w:marTop w:val="0"/>
      <w:marBottom w:val="0"/>
      <w:divBdr>
        <w:top w:val="none" w:sz="0" w:space="0" w:color="auto"/>
        <w:left w:val="none" w:sz="0" w:space="0" w:color="auto"/>
        <w:bottom w:val="none" w:sz="0" w:space="0" w:color="auto"/>
        <w:right w:val="none" w:sz="0" w:space="0" w:color="auto"/>
      </w:divBdr>
    </w:div>
    <w:div w:id="774247196">
      <w:bodyDiv w:val="1"/>
      <w:marLeft w:val="0"/>
      <w:marRight w:val="0"/>
      <w:marTop w:val="0"/>
      <w:marBottom w:val="0"/>
      <w:divBdr>
        <w:top w:val="none" w:sz="0" w:space="0" w:color="auto"/>
        <w:left w:val="none" w:sz="0" w:space="0" w:color="auto"/>
        <w:bottom w:val="none" w:sz="0" w:space="0" w:color="auto"/>
        <w:right w:val="none" w:sz="0" w:space="0" w:color="auto"/>
      </w:divBdr>
    </w:div>
    <w:div w:id="997612616">
      <w:bodyDiv w:val="1"/>
      <w:marLeft w:val="0"/>
      <w:marRight w:val="0"/>
      <w:marTop w:val="0"/>
      <w:marBottom w:val="0"/>
      <w:divBdr>
        <w:top w:val="none" w:sz="0" w:space="0" w:color="auto"/>
        <w:left w:val="none" w:sz="0" w:space="0" w:color="auto"/>
        <w:bottom w:val="none" w:sz="0" w:space="0" w:color="auto"/>
        <w:right w:val="none" w:sz="0" w:space="0" w:color="auto"/>
      </w:divBdr>
    </w:div>
    <w:div w:id="1412968910">
      <w:bodyDiv w:val="1"/>
      <w:marLeft w:val="0"/>
      <w:marRight w:val="0"/>
      <w:marTop w:val="0"/>
      <w:marBottom w:val="0"/>
      <w:divBdr>
        <w:top w:val="none" w:sz="0" w:space="0" w:color="auto"/>
        <w:left w:val="none" w:sz="0" w:space="0" w:color="auto"/>
        <w:bottom w:val="none" w:sz="0" w:space="0" w:color="auto"/>
        <w:right w:val="none" w:sz="0" w:space="0" w:color="auto"/>
      </w:divBdr>
    </w:div>
    <w:div w:id="197055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special-procedures/wg-arbitrary-detention" TargetMode="External"/><Relationship Id="rId2" Type="http://schemas.openxmlformats.org/officeDocument/2006/relationships/hyperlink" Target="https://www.ohchr.org/en/special-procedures/sr-torture" TargetMode="External"/><Relationship Id="rId1" Type="http://schemas.openxmlformats.org/officeDocument/2006/relationships/hyperlink" Target="https://www.ohchr.org/en/special-procedures/sr-executions/about-mand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2026-01-08T09:28:04+00:00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832129-4AC9-45A3-8E55-F9C0A1915CD0}">
  <ds:schemaRefs>
    <ds:schemaRef ds:uri="http://schemas.openxmlformats.org/officeDocument/2006/bibliography"/>
  </ds:schemaRefs>
</ds:datastoreItem>
</file>

<file path=customXml/itemProps2.xml><?xml version="1.0" encoding="utf-8"?>
<ds:datastoreItem xmlns:ds="http://schemas.openxmlformats.org/officeDocument/2006/customXml" ds:itemID="{498E0B60-D7E1-4720-9BD8-B88DE4715AAC}"/>
</file>

<file path=customXml/itemProps3.xml><?xml version="1.0" encoding="utf-8"?>
<ds:datastoreItem xmlns:ds="http://schemas.openxmlformats.org/officeDocument/2006/customXml" ds:itemID="{1A789365-C10F-4DD9-9785-E3C34300A9A3}"/>
</file>

<file path=customXml/itemProps4.xml><?xml version="1.0" encoding="utf-8"?>
<ds:datastoreItem xmlns:ds="http://schemas.openxmlformats.org/officeDocument/2006/customXml" ds:itemID="{36A5BE4D-6A4A-4A7E-A95F-9680A8C898D3}"/>
</file>

<file path=docProps/app.xml><?xml version="1.0" encoding="utf-8"?>
<Properties xmlns="http://schemas.openxmlformats.org/officeDocument/2006/extended-properties" xmlns:vt="http://schemas.openxmlformats.org/officeDocument/2006/docPropsVTypes">
  <Template>Normal.dotm</Template>
  <TotalTime>1</TotalTime>
  <Pages>9</Pages>
  <Words>3688</Words>
  <Characters>21026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24665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Zito Siany</dc:creator>
  <cp:lastModifiedBy>Maher</cp:lastModifiedBy>
  <cp:revision>2</cp:revision>
  <dcterms:created xsi:type="dcterms:W3CDTF">2026-01-04T17:47:00Z</dcterms:created>
  <dcterms:modified xsi:type="dcterms:W3CDTF">2026-01-04T17:47:00Z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