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35" w:rsidRDefault="009C680F">
      <w:pPr>
        <w:jc w:val="center"/>
        <w:rPr>
          <w:rFonts w:ascii="Times New Roman Bold" w:eastAsia="Times New Roman Bold" w:hAnsi="Times New Roman Bold" w:cs="Times New Roman Bold"/>
        </w:rPr>
      </w:pPr>
      <w:r>
        <w:rPr>
          <w:rFonts w:ascii="Times New Roman Bold"/>
        </w:rPr>
        <w:t>COMMITTEE ON THE ELIMINATION OF DISCRIMINATION AGAINST</w:t>
      </w:r>
    </w:p>
    <w:p w:rsidR="001C3D35" w:rsidRDefault="009C680F">
      <w:pPr>
        <w:jc w:val="center"/>
        <w:rPr>
          <w:rFonts w:ascii="Times New Roman Bold" w:eastAsia="Times New Roman Bold" w:hAnsi="Times New Roman Bold" w:cs="Times New Roman Bold"/>
        </w:rPr>
      </w:pPr>
      <w:r>
        <w:rPr>
          <w:rFonts w:ascii="Times New Roman Bold"/>
        </w:rPr>
        <w:t>WOMEN (CEDAW)</w:t>
      </w:r>
    </w:p>
    <w:p w:rsidR="001C3D35" w:rsidRDefault="001C3D35">
      <w:pPr>
        <w:jc w:val="center"/>
        <w:rPr>
          <w:rFonts w:ascii="Times New Roman Bold" w:eastAsia="Times New Roman Bold" w:hAnsi="Times New Roman Bold" w:cs="Times New Roman Bold"/>
        </w:rPr>
      </w:pPr>
    </w:p>
    <w:p w:rsidR="001C3D35" w:rsidRDefault="009C680F">
      <w:pPr>
        <w:jc w:val="center"/>
        <w:rPr>
          <w:rFonts w:ascii="Times New Roman Bold" w:eastAsia="Times New Roman Bold" w:hAnsi="Times New Roman Bold" w:cs="Times New Roman Bold"/>
        </w:rPr>
      </w:pPr>
      <w:r>
        <w:rPr>
          <w:rFonts w:ascii="Times New Roman Bold"/>
        </w:rPr>
        <w:t>Participation by National Human Rights Institutions (NHRIs)</w:t>
      </w:r>
    </w:p>
    <w:p w:rsidR="001C3D35" w:rsidRDefault="001C3D35">
      <w:pPr>
        <w:jc w:val="center"/>
        <w:rPr>
          <w:rFonts w:ascii="Times New Roman Bold" w:eastAsia="Times New Roman Bold" w:hAnsi="Times New Roman Bold" w:cs="Times New Roman Bold"/>
        </w:rPr>
      </w:pPr>
    </w:p>
    <w:p w:rsidR="001C3D35" w:rsidRDefault="009C680F">
      <w:pPr>
        <w:jc w:val="center"/>
        <w:rPr>
          <w:rFonts w:ascii="Times New Roman Bold" w:eastAsia="Times New Roman Bold" w:hAnsi="Times New Roman Bold" w:cs="Times New Roman Bold"/>
        </w:rPr>
      </w:pPr>
      <w:r>
        <w:rPr>
          <w:rFonts w:ascii="Times New Roman Bold"/>
        </w:rPr>
        <w:t>6</w:t>
      </w:r>
      <w:r w:rsidR="00AD7535">
        <w:rPr>
          <w:rFonts w:ascii="Times New Roman Bold"/>
        </w:rPr>
        <w:t>7</w:t>
      </w:r>
      <w:r>
        <w:rPr>
          <w:rFonts w:ascii="Times New Roman Bold"/>
          <w:vertAlign w:val="superscript"/>
        </w:rPr>
        <w:t>th</w:t>
      </w:r>
      <w:r>
        <w:rPr>
          <w:rFonts w:ascii="Times New Roman Bold"/>
        </w:rPr>
        <w:t xml:space="preserve"> session (</w:t>
      </w:r>
      <w:r w:rsidR="00E07463" w:rsidRPr="009C680F">
        <w:rPr>
          <w:rFonts w:ascii="Times New Roman Bold"/>
          <w:color w:val="0B0B0B"/>
        </w:rPr>
        <w:t xml:space="preserve">3 </w:t>
      </w:r>
      <w:r w:rsidR="00300F8B">
        <w:rPr>
          <w:rFonts w:hAnsi="Times New Roman Bold"/>
          <w:color w:val="0B0B0B"/>
        </w:rPr>
        <w:t>-</w:t>
      </w:r>
      <w:r w:rsidR="00AD7535">
        <w:rPr>
          <w:rFonts w:ascii="Times New Roman Bold"/>
          <w:color w:val="0B0B0B"/>
        </w:rPr>
        <w:t>21</w:t>
      </w:r>
      <w:r w:rsidRPr="009C680F">
        <w:rPr>
          <w:rFonts w:ascii="Times New Roman Bold"/>
          <w:color w:val="0B0B0B"/>
        </w:rPr>
        <w:t xml:space="preserve"> </w:t>
      </w:r>
      <w:r w:rsidR="00AD7535">
        <w:rPr>
          <w:rFonts w:ascii="Times New Roman Bold"/>
          <w:color w:val="0B0B0B"/>
        </w:rPr>
        <w:t>July</w:t>
      </w:r>
      <w:r w:rsidRPr="009C680F">
        <w:rPr>
          <w:rFonts w:ascii="Times New Roman Bold"/>
          <w:color w:val="0B0B0B"/>
        </w:rPr>
        <w:t xml:space="preserve"> 2017</w:t>
      </w:r>
      <w:r>
        <w:rPr>
          <w:rFonts w:ascii="Times New Roman Bold"/>
        </w:rPr>
        <w:t xml:space="preserve">) and </w:t>
      </w:r>
    </w:p>
    <w:p w:rsidR="001C3D35" w:rsidRDefault="009C680F">
      <w:pPr>
        <w:jc w:val="center"/>
        <w:rPr>
          <w:rFonts w:ascii="Times New Roman Bold" w:eastAsia="Times New Roman Bold" w:hAnsi="Times New Roman Bold" w:cs="Times New Roman Bold"/>
        </w:rPr>
      </w:pPr>
      <w:r>
        <w:rPr>
          <w:rFonts w:ascii="Times New Roman Bold"/>
        </w:rPr>
        <w:t>Pre-sessional Working Group for the 6</w:t>
      </w:r>
      <w:r w:rsidR="00AD7535">
        <w:rPr>
          <w:rFonts w:ascii="Times New Roman Bold"/>
        </w:rPr>
        <w:t>9</w:t>
      </w:r>
      <w:r>
        <w:rPr>
          <w:rFonts w:ascii="Times New Roman Bold"/>
          <w:vertAlign w:val="superscript"/>
        </w:rPr>
        <w:t>th</w:t>
      </w:r>
      <w:r>
        <w:rPr>
          <w:rFonts w:ascii="Times New Roman Bold"/>
        </w:rPr>
        <w:t xml:space="preserve"> session (</w:t>
      </w:r>
      <w:r w:rsidR="00AD7535">
        <w:rPr>
          <w:rFonts w:ascii="Times New Roman Bold"/>
        </w:rPr>
        <w:t>24</w:t>
      </w:r>
      <w:r w:rsidR="00300F8B">
        <w:rPr>
          <w:rFonts w:ascii="Times New Roman Bold"/>
          <w:color w:val="010401"/>
        </w:rPr>
        <w:t>-</w:t>
      </w:r>
      <w:r w:rsidR="00AD7535">
        <w:rPr>
          <w:rFonts w:ascii="Times New Roman Bold"/>
          <w:color w:val="010401"/>
        </w:rPr>
        <w:t>28</w:t>
      </w:r>
      <w:r w:rsidRPr="009C680F">
        <w:rPr>
          <w:rFonts w:ascii="Times New Roman Bold"/>
          <w:color w:val="010401"/>
        </w:rPr>
        <w:t xml:space="preserve"> </w:t>
      </w:r>
      <w:r w:rsidR="00AD7535">
        <w:rPr>
          <w:rFonts w:ascii="Times New Roman Bold"/>
          <w:color w:val="010401"/>
        </w:rPr>
        <w:t>July</w:t>
      </w:r>
      <w:r w:rsidRPr="009C680F">
        <w:rPr>
          <w:rFonts w:ascii="Times New Roman Bold"/>
          <w:color w:val="010401"/>
        </w:rPr>
        <w:t xml:space="preserve"> 2017</w:t>
      </w:r>
      <w:r w:rsidRPr="009C680F">
        <w:rPr>
          <w:rFonts w:ascii="Times New Roman Bold"/>
        </w:rPr>
        <w:t>)</w:t>
      </w:r>
    </w:p>
    <w:p w:rsidR="001C3D35" w:rsidRDefault="009C680F">
      <w:pPr>
        <w:jc w:val="center"/>
        <w:rPr>
          <w:rFonts w:ascii="Times New Roman Bold" w:eastAsia="Times New Roman Bold" w:hAnsi="Times New Roman Bold" w:cs="Times New Roman Bold"/>
          <w:lang w:val="fr-FR"/>
        </w:rPr>
      </w:pPr>
      <w:r>
        <w:rPr>
          <w:rFonts w:ascii="Times New Roman Bold"/>
          <w:lang w:val="fr-FR"/>
        </w:rPr>
        <w:t>Geneva, Palais des Nations, Room XVI</w:t>
      </w:r>
    </w:p>
    <w:p w:rsidR="001C3D35" w:rsidRDefault="001C3D35">
      <w:pPr>
        <w:rPr>
          <w:lang w:val="fr-FR"/>
        </w:rPr>
      </w:pPr>
    </w:p>
    <w:p w:rsidR="00300F8B"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RPr="00300F8B">
        <w:rPr>
          <w:rFonts w:eastAsia="Calibri" w:hAnsi="Calibri" w:cs="Calibri"/>
          <w:b/>
          <w:bCs/>
          <w:noProof/>
        </w:rPr>
        <w:t>I.</w:t>
      </w:r>
      <w:r w:rsidRPr="00300F8B">
        <w:rPr>
          <w:rFonts w:eastAsia="Calibri" w:hAnsi="Calibri" w:cs="Calibri"/>
          <w:b/>
          <w:bCs/>
          <w:noProof/>
        </w:rPr>
        <w:tab/>
        <w:t>Considerati</w:t>
      </w:r>
      <w:r w:rsidR="00300F8B">
        <w:rPr>
          <w:rFonts w:eastAsia="Calibri" w:hAnsi="Calibri" w:cs="Calibri"/>
          <w:b/>
          <w:bCs/>
          <w:noProof/>
        </w:rPr>
        <w:t>on of reports by States Parties</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1C3D35" w:rsidRP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t>The Committee will consider the reports of the following States parties during its 6</w:t>
      </w:r>
      <w:r w:rsidR="00AD7535">
        <w:t>7</w:t>
      </w:r>
      <w:r w:rsidR="009C680F">
        <w:rPr>
          <w:vertAlign w:val="superscript"/>
        </w:rPr>
        <w:t>th</w:t>
      </w:r>
      <w:r w:rsidR="009C680F">
        <w:t xml:space="preserve"> session: </w:t>
      </w:r>
      <w:r w:rsidR="00AD7535">
        <w:rPr>
          <w:b/>
          <w:bCs/>
        </w:rPr>
        <w:t>Barbados</w:t>
      </w:r>
      <w:r w:rsidR="009C680F" w:rsidRPr="009C680F">
        <w:rPr>
          <w:b/>
          <w:bCs/>
        </w:rPr>
        <w:t xml:space="preserve">, </w:t>
      </w:r>
      <w:r w:rsidR="00AD7535">
        <w:rPr>
          <w:b/>
          <w:bCs/>
        </w:rPr>
        <w:t>Costa Rica</w:t>
      </w:r>
      <w:r w:rsidR="00A06D89">
        <w:rPr>
          <w:b/>
          <w:bCs/>
        </w:rPr>
        <w:t xml:space="preserve">, </w:t>
      </w:r>
      <w:r w:rsidR="00AD7535">
        <w:rPr>
          <w:b/>
          <w:bCs/>
        </w:rPr>
        <w:t>Italy</w:t>
      </w:r>
      <w:r w:rsidR="009C680F" w:rsidRPr="009C680F">
        <w:rPr>
          <w:b/>
          <w:bCs/>
        </w:rPr>
        <w:t xml:space="preserve">, </w:t>
      </w:r>
      <w:r w:rsidR="00AD7535">
        <w:rPr>
          <w:b/>
          <w:bCs/>
        </w:rPr>
        <w:t>Montenegro</w:t>
      </w:r>
      <w:r w:rsidR="009C680F" w:rsidRPr="009C680F">
        <w:rPr>
          <w:b/>
          <w:bCs/>
        </w:rPr>
        <w:t xml:space="preserve">, </w:t>
      </w:r>
      <w:r w:rsidR="00AD7535">
        <w:rPr>
          <w:b/>
          <w:bCs/>
        </w:rPr>
        <w:t>Niger</w:t>
      </w:r>
      <w:r w:rsidR="009C680F" w:rsidRPr="009C680F">
        <w:rPr>
          <w:b/>
          <w:bCs/>
        </w:rPr>
        <w:t xml:space="preserve">, </w:t>
      </w:r>
      <w:r w:rsidR="00AD7535">
        <w:rPr>
          <w:b/>
          <w:bCs/>
        </w:rPr>
        <w:t>Nigeria</w:t>
      </w:r>
      <w:r w:rsidR="009C680F" w:rsidRPr="009C680F">
        <w:rPr>
          <w:b/>
          <w:bCs/>
        </w:rPr>
        <w:t xml:space="preserve">, </w:t>
      </w:r>
      <w:r w:rsidR="00AD7535">
        <w:rPr>
          <w:b/>
          <w:bCs/>
        </w:rPr>
        <w:t>Romania (simplified reporting procedure)</w:t>
      </w:r>
      <w:r w:rsidR="00103AEF">
        <w:rPr>
          <w:b/>
          <w:bCs/>
        </w:rPr>
        <w:t xml:space="preserve"> and</w:t>
      </w:r>
      <w:r w:rsidR="009C680F" w:rsidRPr="009C680F">
        <w:rPr>
          <w:b/>
          <w:bCs/>
        </w:rPr>
        <w:t xml:space="preserve"> </w:t>
      </w:r>
      <w:r w:rsidR="00AD7535">
        <w:rPr>
          <w:b/>
          <w:bCs/>
        </w:rPr>
        <w:t>Thailand</w:t>
      </w:r>
      <w:r w:rsidR="009C680F" w:rsidRPr="009C680F">
        <w:rPr>
          <w:b/>
          <w:bCs/>
        </w:rPr>
        <w:t>.</w:t>
      </w:r>
    </w:p>
    <w:p w:rsidR="001C3D35" w:rsidRDefault="001C3D35"/>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RPr="00300F8B">
        <w:rPr>
          <w:rFonts w:eastAsia="Calibri" w:hAnsi="Calibri" w:cs="Calibri"/>
          <w:b/>
          <w:bCs/>
          <w:noProof/>
        </w:rPr>
        <w:t>II.</w:t>
      </w:r>
      <w:r>
        <w:rPr>
          <w:rFonts w:eastAsia="Calibri" w:hAnsi="Calibri" w:cs="Calibri"/>
          <w:b/>
          <w:bCs/>
          <w:noProof/>
        </w:rPr>
        <w:tab/>
        <w:t>Documentation</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1C3D35" w:rsidRP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t>The reports of the States parties to be considered at the 6</w:t>
      </w:r>
      <w:r w:rsidR="00AD7535">
        <w:t>7</w:t>
      </w:r>
      <w:r w:rsidR="009C680F">
        <w:rPr>
          <w:vertAlign w:val="superscript"/>
        </w:rPr>
        <w:t>th</w:t>
      </w:r>
      <w:r w:rsidR="009C680F">
        <w:t xml:space="preserve"> session, the provisional agenda (CEDAW/C/6</w:t>
      </w:r>
      <w:r w:rsidR="00AD7535">
        <w:t>7</w:t>
      </w:r>
      <w:r w:rsidR="009C680F">
        <w:t xml:space="preserve">/1) and other documents pertaining to the session are available online at: </w:t>
      </w:r>
    </w:p>
    <w:p w:rsidR="001C3D35" w:rsidRPr="00E07463" w:rsidRDefault="00AD7535">
      <w:pPr>
        <w:ind w:right="25"/>
        <w:rPr>
          <w:color w:val="0000CC"/>
        </w:rPr>
      </w:pPr>
      <w:r w:rsidRPr="00AD7535">
        <w:t>http://tbinternet.ohchr.org/_layouts/treatybodyexternal/SessionDetails1.aspx?SessionID=1078&amp;Lang=en</w:t>
      </w:r>
    </w:p>
    <w:p w:rsidR="00E07463" w:rsidRDefault="00E07463">
      <w:pPr>
        <w:rPr>
          <w:rFonts w:ascii="Times New Roman Bold"/>
        </w:rPr>
      </w:pP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III.</w:t>
      </w:r>
      <w:r>
        <w:rPr>
          <w:rFonts w:eastAsia="Calibri" w:hAnsi="Calibri" w:cs="Calibri"/>
          <w:b/>
          <w:bCs/>
          <w:noProof/>
        </w:rPr>
        <w:tab/>
        <w:t>Venue</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1C3D35" w:rsidRP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t>The 6</w:t>
      </w:r>
      <w:r w:rsidR="00AD7535">
        <w:t>7</w:t>
      </w:r>
      <w:r w:rsidR="009C680F">
        <w:rPr>
          <w:vertAlign w:val="superscript"/>
        </w:rPr>
        <w:t>th</w:t>
      </w:r>
      <w:r w:rsidR="009C680F">
        <w:t xml:space="preserve"> session of the Committee will take place in Geneva at the </w:t>
      </w:r>
      <w:r w:rsidR="009C680F">
        <w:rPr>
          <w:rFonts w:ascii="Times New Roman Bold"/>
        </w:rPr>
        <w:t>Palais des Nations</w:t>
      </w:r>
      <w:r w:rsidR="009C680F">
        <w:t xml:space="preserve"> in </w:t>
      </w:r>
      <w:r w:rsidR="00A06D89">
        <w:rPr>
          <w:rFonts w:ascii="Times New Roman Bold"/>
        </w:rPr>
        <w:t>C</w:t>
      </w:r>
      <w:r w:rsidR="009C680F">
        <w:rPr>
          <w:rFonts w:ascii="Times New Roman Bold"/>
        </w:rPr>
        <w:t xml:space="preserve">onference </w:t>
      </w:r>
      <w:r w:rsidR="00A06D89">
        <w:rPr>
          <w:rFonts w:ascii="Times New Roman Bold"/>
        </w:rPr>
        <w:t>R</w:t>
      </w:r>
      <w:r w:rsidR="009C680F">
        <w:rPr>
          <w:rFonts w:ascii="Times New Roman Bold"/>
        </w:rPr>
        <w:t>oom XVI</w:t>
      </w:r>
      <w:r w:rsidR="009C680F">
        <w:t>. The pre-sessional working group for the 6</w:t>
      </w:r>
      <w:r w:rsidR="00AD7535">
        <w:t>9</w:t>
      </w:r>
      <w:r w:rsidR="009C680F">
        <w:rPr>
          <w:vertAlign w:val="superscript"/>
        </w:rPr>
        <w:t>th</w:t>
      </w:r>
      <w:r w:rsidR="009C680F">
        <w:t xml:space="preserve"> session will also take place at the Palais des Nations in </w:t>
      </w:r>
      <w:r w:rsidR="00A06D89">
        <w:t>C</w:t>
      </w:r>
      <w:r w:rsidR="009C680F">
        <w:t xml:space="preserve">onference </w:t>
      </w:r>
      <w:r w:rsidR="00A06D89">
        <w:t>R</w:t>
      </w:r>
      <w:r w:rsidR="009C680F">
        <w:t xml:space="preserve">oom XVI. </w:t>
      </w:r>
    </w:p>
    <w:p w:rsidR="001C3D35" w:rsidRDefault="001C3D35"/>
    <w:p w:rsidR="00300F8B" w:rsidRDefault="00300F8B" w:rsidP="00300F8B">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NHRI participation</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1C3D35" w:rsidRP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rsidRPr="00300F8B">
        <w:rPr>
          <w:kern w:val="2"/>
        </w:rPr>
        <w:t xml:space="preserve">The Committee has emphasized the importance it attaches to its cooperation with NHRIs in its </w:t>
      </w:r>
      <w:r w:rsidR="009C680F" w:rsidRPr="00300F8B">
        <w:rPr>
          <w:rFonts w:ascii="Times New Roman Bold"/>
          <w:kern w:val="2"/>
        </w:rPr>
        <w:t>statement on national human rights institutions</w:t>
      </w:r>
      <w:r w:rsidR="009C680F" w:rsidRPr="00300F8B">
        <w:rPr>
          <w:kern w:val="2"/>
        </w:rPr>
        <w:t xml:space="preserve"> adopted in 2008 </w:t>
      </w:r>
      <w:r w:rsidR="009C680F">
        <w:t>(</w:t>
      </w:r>
      <w:hyperlink r:id="rId8" w:history="1">
        <w:r w:rsidR="009C680F" w:rsidRPr="004917E2">
          <w:rPr>
            <w:rStyle w:val="Hyperlink1"/>
            <w:color w:val="0000CC"/>
            <w:u w:val="single"/>
          </w:rPr>
          <w:t>http://www.ohchr.org/Documents/HRBodies/CEDAW/Statements/StatementOnNHRIs.pdf</w:t>
        </w:r>
      </w:hyperlink>
      <w:r w:rsidR="009C680F">
        <w:t>)</w:t>
      </w:r>
      <w:r w:rsidR="009C680F" w:rsidRPr="00300F8B">
        <w:rPr>
          <w:kern w:val="2"/>
        </w:rPr>
        <w:t xml:space="preserve"> and encourages </w:t>
      </w:r>
      <w:r w:rsidR="009C680F">
        <w:t>the NHRIs concerned to provide country-specific information on issues relevant to the implementation of the Convention by the States parties scheduled for consideration at the 6</w:t>
      </w:r>
      <w:r w:rsidR="00AD7535">
        <w:t>7</w:t>
      </w:r>
      <w:r w:rsidR="009C680F" w:rsidRPr="00300F8B">
        <w:rPr>
          <w:vertAlign w:val="superscript"/>
        </w:rPr>
        <w:t>th</w:t>
      </w:r>
      <w:r w:rsidR="009C680F">
        <w:t xml:space="preserve"> session. This can be done orally and/or in writing. Due to the volume of documentation received, </w:t>
      </w:r>
      <w:r w:rsidR="009C680F" w:rsidRPr="00300F8B">
        <w:rPr>
          <w:rFonts w:ascii="Times New Roman Bold"/>
        </w:rPr>
        <w:t xml:space="preserve">written submissions should not exceed </w:t>
      </w:r>
      <w:r w:rsidR="00A06D89" w:rsidRPr="00300F8B">
        <w:rPr>
          <w:rFonts w:ascii="Times New Roman Bold"/>
          <w:b/>
        </w:rPr>
        <w:t>3,300 words</w:t>
      </w:r>
      <w:r w:rsidR="009C680F" w:rsidRPr="00300F8B">
        <w:rPr>
          <w:rFonts w:ascii="Times New Roman Bold"/>
        </w:rPr>
        <w:t>,</w:t>
      </w:r>
      <w:r w:rsidR="009C680F">
        <w:t xml:space="preserve"> and should highlight priority concerns and suggest country-specific recommendations to facilitate the work of the Committee. They must not follow any specific structure or template and may be organized thematically and/or on an article-by-article basis.</w:t>
      </w:r>
    </w:p>
    <w:p w:rsidR="001C3D35" w:rsidRDefault="001C3D35">
      <w:pPr>
        <w:rPr>
          <w:kern w:val="2"/>
        </w:rPr>
      </w:pPr>
    </w:p>
    <w:p w:rsidR="00300F8B"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RPr="00300F8B">
        <w:rPr>
          <w:rFonts w:eastAsia="Calibri" w:hAnsi="Calibri" w:cs="Calibri"/>
          <w:b/>
          <w:bCs/>
          <w:noProof/>
        </w:rPr>
        <w:t>V.</w:t>
      </w:r>
      <w:r w:rsidRPr="00300F8B">
        <w:rPr>
          <w:rFonts w:eastAsia="Calibri" w:hAnsi="Calibri" w:cs="Calibri"/>
          <w:b/>
          <w:bCs/>
          <w:noProof/>
        </w:rPr>
        <w:tab/>
        <w:t>Written submissions for the 6</w:t>
      </w:r>
      <w:r w:rsidR="00AD7535">
        <w:rPr>
          <w:rFonts w:eastAsia="Calibri" w:hAnsi="Calibri" w:cs="Calibri"/>
          <w:b/>
          <w:bCs/>
          <w:noProof/>
        </w:rPr>
        <w:t>7</w:t>
      </w:r>
      <w:r w:rsidRPr="00300F8B">
        <w:rPr>
          <w:rFonts w:eastAsia="Calibri" w:hAnsi="Calibri" w:cs="Calibri"/>
          <w:b/>
          <w:bCs/>
          <w:noProof/>
        </w:rPr>
        <w:t xml:space="preserve">th session (3 </w:t>
      </w:r>
      <w:r w:rsidR="004917E2">
        <w:rPr>
          <w:rFonts w:eastAsia="Calibri" w:hAnsi="Calibri" w:cs="Calibri"/>
          <w:b/>
          <w:bCs/>
          <w:noProof/>
        </w:rPr>
        <w:t>-</w:t>
      </w:r>
      <w:r w:rsidR="00AD7535">
        <w:rPr>
          <w:rFonts w:eastAsia="Calibri" w:hAnsi="Calibri" w:cs="Calibri"/>
          <w:b/>
          <w:bCs/>
          <w:noProof/>
        </w:rPr>
        <w:t>21</w:t>
      </w:r>
      <w:r w:rsidRPr="00300F8B">
        <w:rPr>
          <w:rFonts w:eastAsia="Calibri" w:hAnsi="Calibri" w:cs="Calibri"/>
          <w:b/>
          <w:bCs/>
          <w:noProof/>
        </w:rPr>
        <w:t xml:space="preserve"> </w:t>
      </w:r>
      <w:r w:rsidR="00AD7535">
        <w:rPr>
          <w:rFonts w:eastAsia="Calibri" w:hAnsi="Calibri" w:cs="Calibri"/>
          <w:b/>
          <w:bCs/>
          <w:noProof/>
        </w:rPr>
        <w:t>July</w:t>
      </w:r>
      <w:r w:rsidRPr="00300F8B">
        <w:rPr>
          <w:rFonts w:eastAsia="Calibri" w:hAnsi="Calibri" w:cs="Calibri"/>
          <w:b/>
          <w:bCs/>
          <w:noProof/>
        </w:rPr>
        <w:t xml:space="preserve"> 2017)</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1C3D35" w:rsidRP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t>NHRIs wishing to make written submissions to the Committee are requested to:</w:t>
      </w:r>
    </w:p>
    <w:p w:rsidR="001C3D35" w:rsidRDefault="009C680F">
      <w:pPr>
        <w:numPr>
          <w:ilvl w:val="0"/>
          <w:numId w:val="6"/>
        </w:numPr>
        <w:tabs>
          <w:tab w:val="num" w:pos="1080"/>
        </w:tabs>
        <w:ind w:left="1080" w:hanging="360"/>
      </w:pPr>
      <w:r>
        <w:t>Identify the full name of the NHRI;</w:t>
      </w:r>
    </w:p>
    <w:p w:rsidR="001C3D35" w:rsidRDefault="009C680F">
      <w:pPr>
        <w:numPr>
          <w:ilvl w:val="0"/>
          <w:numId w:val="7"/>
        </w:numPr>
        <w:tabs>
          <w:tab w:val="num" w:pos="1080"/>
        </w:tabs>
        <w:ind w:left="1080" w:hanging="360"/>
      </w:pPr>
      <w:r>
        <w:t>Indicate the country to which the information relates;</w:t>
      </w:r>
    </w:p>
    <w:p w:rsidR="001C3D35" w:rsidRDefault="009C680F">
      <w:pPr>
        <w:numPr>
          <w:ilvl w:val="0"/>
          <w:numId w:val="8"/>
        </w:numPr>
        <w:tabs>
          <w:tab w:val="num" w:pos="1080"/>
        </w:tabs>
        <w:ind w:left="1080" w:hanging="360"/>
        <w:jc w:val="both"/>
      </w:pPr>
      <w:r w:rsidRPr="00300F8B">
        <w:t xml:space="preserve">Indicate </w:t>
      </w:r>
      <w:r w:rsidRPr="00300F8B">
        <w:rPr>
          <w:rFonts w:ascii="Times New Roman Bold"/>
        </w:rPr>
        <w:t>whether</w:t>
      </w:r>
      <w:r w:rsidRPr="00300F8B">
        <w:t xml:space="preserve"> or not the </w:t>
      </w:r>
      <w:r w:rsidRPr="00300F8B">
        <w:rPr>
          <w:rFonts w:ascii="Times New Roman Bold"/>
        </w:rPr>
        <w:t>submission can be posted</w:t>
      </w:r>
      <w:r w:rsidRPr="00300F8B">
        <w:t xml:space="preserve"> on the CEDAW website for public information purposes</w:t>
      </w:r>
      <w:r>
        <w:t>; and</w:t>
      </w:r>
    </w:p>
    <w:p w:rsidR="00300F8B" w:rsidRDefault="009C680F" w:rsidP="00300F8B">
      <w:pPr>
        <w:numPr>
          <w:ilvl w:val="0"/>
          <w:numId w:val="9"/>
        </w:numPr>
        <w:tabs>
          <w:tab w:val="num" w:pos="1080"/>
        </w:tabs>
        <w:ind w:left="1080" w:hanging="360"/>
        <w:jc w:val="both"/>
      </w:pPr>
      <w:r>
        <w:lastRenderedPageBreak/>
        <w:t xml:space="preserve">Submit the written information </w:t>
      </w:r>
      <w:r w:rsidR="00AD7535">
        <w:t xml:space="preserve">not exceeding 3,300 words </w:t>
      </w:r>
      <w:r>
        <w:t>in Word format by e-mail.</w:t>
      </w:r>
    </w:p>
    <w:p w:rsidR="00300F8B" w:rsidRDefault="00300F8B" w:rsidP="00300F8B">
      <w:pPr>
        <w:ind w:left="1080"/>
        <w:jc w:val="both"/>
      </w:pPr>
    </w:p>
    <w:p w:rsidR="00A06D89" w:rsidRPr="00300F8B" w:rsidRDefault="00300F8B" w:rsidP="00300F8B">
      <w:pPr>
        <w:tabs>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r>
      <w:r w:rsidR="009C680F">
        <w:t xml:space="preserve">All submissions should be received three weeks prior to the beginning of the session by the Secretariat of the Committee, i.e., </w:t>
      </w:r>
      <w:r w:rsidR="009C680F" w:rsidRPr="00300F8B">
        <w:rPr>
          <w:rFonts w:ascii="Times New Roman Bold"/>
        </w:rPr>
        <w:t xml:space="preserve">no later than </w:t>
      </w:r>
      <w:r w:rsidR="00AD7535">
        <w:rPr>
          <w:rFonts w:ascii="Times New Roman Bold"/>
        </w:rPr>
        <w:t>12</w:t>
      </w:r>
      <w:r w:rsidR="009C680F" w:rsidRPr="00300F8B">
        <w:rPr>
          <w:rFonts w:ascii="Times New Roman Bold"/>
        </w:rPr>
        <w:t xml:space="preserve"> </w:t>
      </w:r>
      <w:r w:rsidR="00AD7535">
        <w:rPr>
          <w:rFonts w:ascii="Times New Roman Bold"/>
        </w:rPr>
        <w:t>June</w:t>
      </w:r>
      <w:r w:rsidR="009C680F" w:rsidRPr="00300F8B">
        <w:rPr>
          <w:rFonts w:ascii="Times New Roman Bold"/>
        </w:rPr>
        <w:t xml:space="preserve"> 2017</w:t>
      </w:r>
      <w:r w:rsidR="009C680F" w:rsidRPr="009C680F">
        <w:t>.</w:t>
      </w:r>
      <w:r w:rsidR="009C680F">
        <w:t xml:space="preserve"> The written submission should be sent electronically in Word format to the following e-mail address: </w:t>
      </w:r>
      <w:hyperlink r:id="rId9" w:history="1">
        <w:r w:rsidR="009C680F" w:rsidRPr="004917E2">
          <w:rPr>
            <w:rStyle w:val="Hyperlink1"/>
            <w:color w:val="0000CC"/>
            <w:u w:val="single"/>
          </w:rPr>
          <w:t>cedaw@ohchr.org</w:t>
        </w:r>
      </w:hyperlink>
      <w:r w:rsidR="009C680F">
        <w:t xml:space="preserve">. </w:t>
      </w:r>
      <w:r w:rsidR="00A06D89" w:rsidRPr="00300F8B">
        <w:rPr>
          <w:rFonts w:ascii="Times New Roman Bold"/>
        </w:rPr>
        <w:t xml:space="preserve">If NHRIs also wish to submit the information in hard copy format, they should send 15 </w:t>
      </w:r>
      <w:r w:rsidR="00782ADD" w:rsidRPr="00300F8B">
        <w:rPr>
          <w:rFonts w:ascii="Times New Roman Bold"/>
        </w:rPr>
        <w:t xml:space="preserve">hard </w:t>
      </w:r>
      <w:r w:rsidR="00A06D89" w:rsidRPr="00300F8B">
        <w:rPr>
          <w:rFonts w:ascii="Times New Roman Bold"/>
        </w:rPr>
        <w:t>copies of their submission to the following address:</w:t>
      </w:r>
    </w:p>
    <w:p w:rsidR="00A06D89" w:rsidRDefault="00A06D89" w:rsidP="00A06D89">
      <w:pPr>
        <w:ind w:firstLine="720"/>
        <w:jc w:val="both"/>
        <w:rPr>
          <w:rFonts w:ascii="Times New Roman Bold"/>
        </w:rPr>
      </w:pPr>
    </w:p>
    <w:p w:rsidR="00A06D89" w:rsidRDefault="00A06D89" w:rsidP="00A06D89">
      <w:pPr>
        <w:pStyle w:val="Default"/>
        <w:rPr>
          <w:lang w:val="fr-CH"/>
        </w:rPr>
      </w:pPr>
      <w:r>
        <w:rPr>
          <w:lang w:val="fr-CH"/>
        </w:rPr>
        <w:t>CEDAW Secretariat</w:t>
      </w:r>
    </w:p>
    <w:p w:rsidR="00A06D89" w:rsidRDefault="00A06D89" w:rsidP="00A06D89">
      <w:pPr>
        <w:pStyle w:val="Default"/>
        <w:rPr>
          <w:lang w:val="fr-CH"/>
        </w:rPr>
      </w:pPr>
      <w:r>
        <w:rPr>
          <w:lang w:val="fr-CH"/>
        </w:rPr>
        <w:t>OHCHR - Palais Wilson</w:t>
      </w:r>
    </w:p>
    <w:p w:rsidR="00A06D89" w:rsidRDefault="00A06D89" w:rsidP="00A06D89">
      <w:pPr>
        <w:pStyle w:val="Default"/>
        <w:rPr>
          <w:lang w:val="fr-FR"/>
        </w:rPr>
      </w:pPr>
      <w:r>
        <w:rPr>
          <w:lang w:val="fr-FR"/>
        </w:rPr>
        <w:t>52, rue des Pâquis</w:t>
      </w:r>
    </w:p>
    <w:p w:rsidR="00A06D89" w:rsidRDefault="00A06D89" w:rsidP="00A06D89">
      <w:pPr>
        <w:pStyle w:val="Default"/>
        <w:rPr>
          <w:lang w:val="en-GB"/>
        </w:rPr>
      </w:pPr>
      <w:r>
        <w:rPr>
          <w:lang w:val="en-GB"/>
        </w:rPr>
        <w:t>CH-1201 Geneva 10</w:t>
      </w:r>
    </w:p>
    <w:p w:rsidR="001C3D35" w:rsidRDefault="00A06D89" w:rsidP="00E07463">
      <w:pPr>
        <w:jc w:val="both"/>
      </w:pPr>
      <w:r>
        <w:t>Switzerland</w:t>
      </w:r>
    </w:p>
    <w:p w:rsidR="001C3D35" w:rsidRDefault="001C3D35"/>
    <w:p w:rsidR="00300F8B"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RPr="00300F8B">
        <w:rPr>
          <w:rFonts w:eastAsia="Calibri" w:hAnsi="Calibri" w:cs="Calibri"/>
          <w:b/>
          <w:bCs/>
          <w:noProof/>
        </w:rPr>
        <w:t>VI.</w:t>
      </w:r>
      <w:r w:rsidRPr="00300F8B">
        <w:rPr>
          <w:rFonts w:eastAsia="Calibri" w:hAnsi="Calibri" w:cs="Calibri"/>
          <w:b/>
          <w:bCs/>
          <w:noProof/>
        </w:rPr>
        <w:tab/>
        <w:t>Written submissions for the P</w:t>
      </w:r>
      <w:r w:rsidR="004917E2">
        <w:rPr>
          <w:rFonts w:eastAsia="Calibri" w:hAnsi="Calibri" w:cs="Calibri"/>
          <w:b/>
          <w:bCs/>
          <w:noProof/>
        </w:rPr>
        <w:t>re-Sessional Working Group (</w:t>
      </w:r>
      <w:r w:rsidR="004B676A">
        <w:rPr>
          <w:rFonts w:eastAsia="Calibri" w:hAnsi="Calibri" w:cs="Calibri"/>
          <w:b/>
          <w:bCs/>
          <w:noProof/>
        </w:rPr>
        <w:t>24</w:t>
      </w:r>
      <w:r w:rsidR="004917E2">
        <w:rPr>
          <w:rFonts w:eastAsia="Calibri" w:hAnsi="Calibri" w:cs="Calibri"/>
          <w:b/>
          <w:bCs/>
          <w:noProof/>
        </w:rPr>
        <w:t>-</w:t>
      </w:r>
      <w:r w:rsidR="004B676A">
        <w:rPr>
          <w:rFonts w:eastAsia="Calibri" w:hAnsi="Calibri" w:cs="Calibri"/>
          <w:b/>
          <w:bCs/>
          <w:noProof/>
        </w:rPr>
        <w:t>28</w:t>
      </w:r>
      <w:r w:rsidRPr="00300F8B">
        <w:rPr>
          <w:rFonts w:eastAsia="Calibri" w:hAnsi="Calibri" w:cs="Calibri"/>
          <w:b/>
          <w:bCs/>
          <w:noProof/>
        </w:rPr>
        <w:t xml:space="preserve"> </w:t>
      </w:r>
      <w:r w:rsidR="004B676A">
        <w:rPr>
          <w:rFonts w:eastAsia="Calibri" w:hAnsi="Calibri" w:cs="Calibri"/>
          <w:b/>
          <w:bCs/>
          <w:noProof/>
        </w:rPr>
        <w:t>July</w:t>
      </w:r>
      <w:r w:rsidRPr="00300F8B">
        <w:rPr>
          <w:rFonts w:eastAsia="Calibri" w:hAnsi="Calibri" w:cs="Calibri"/>
          <w:b/>
          <w:bCs/>
          <w:noProof/>
        </w:rPr>
        <w:t xml:space="preserve"> 2017)</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t>The pre-sessional working group will convene in closed meeting and prepare lists of issues for the following States parties that are scheduled to be considered at the 6</w:t>
      </w:r>
      <w:r w:rsidR="004B676A">
        <w:t>9</w:t>
      </w:r>
      <w:r w:rsidR="009C680F">
        <w:rPr>
          <w:vertAlign w:val="superscript"/>
        </w:rPr>
        <w:t>th</w:t>
      </w:r>
      <w:r w:rsidR="009C680F">
        <w:t xml:space="preserve"> session: </w:t>
      </w:r>
      <w:r w:rsidR="004B676A">
        <w:rPr>
          <w:b/>
          <w:bCs/>
          <w:color w:val="030303"/>
        </w:rPr>
        <w:t>Chile</w:t>
      </w:r>
      <w:r w:rsidR="009C680F" w:rsidRPr="009C680F">
        <w:rPr>
          <w:b/>
          <w:bCs/>
          <w:color w:val="030303"/>
        </w:rPr>
        <w:t xml:space="preserve">, </w:t>
      </w:r>
      <w:r w:rsidR="004B676A">
        <w:rPr>
          <w:b/>
          <w:bCs/>
          <w:color w:val="030303"/>
        </w:rPr>
        <w:t>Fiji</w:t>
      </w:r>
      <w:r w:rsidR="00782ADD">
        <w:rPr>
          <w:b/>
          <w:bCs/>
          <w:color w:val="030303"/>
        </w:rPr>
        <w:t>,</w:t>
      </w:r>
      <w:r w:rsidR="00782ADD" w:rsidRPr="009C680F">
        <w:rPr>
          <w:b/>
          <w:bCs/>
          <w:color w:val="030303"/>
        </w:rPr>
        <w:t xml:space="preserve"> </w:t>
      </w:r>
      <w:r w:rsidR="004B676A">
        <w:rPr>
          <w:b/>
          <w:bCs/>
          <w:color w:val="030303"/>
        </w:rPr>
        <w:t>Malaysia</w:t>
      </w:r>
      <w:r w:rsidR="009C680F" w:rsidRPr="009C680F">
        <w:rPr>
          <w:b/>
          <w:bCs/>
          <w:color w:val="030303"/>
        </w:rPr>
        <w:t xml:space="preserve">, </w:t>
      </w:r>
      <w:r w:rsidR="004B676A">
        <w:rPr>
          <w:b/>
          <w:bCs/>
          <w:color w:val="030303"/>
        </w:rPr>
        <w:t>Marshall Islands</w:t>
      </w:r>
      <w:r w:rsidR="009C680F" w:rsidRPr="009C680F">
        <w:rPr>
          <w:b/>
          <w:bCs/>
          <w:color w:val="030303"/>
        </w:rPr>
        <w:t xml:space="preserve">, </w:t>
      </w:r>
      <w:r w:rsidR="004B676A">
        <w:rPr>
          <w:b/>
          <w:bCs/>
          <w:color w:val="030303"/>
        </w:rPr>
        <w:t>Republic of Korea</w:t>
      </w:r>
      <w:r w:rsidR="009C680F" w:rsidRPr="009C680F">
        <w:rPr>
          <w:b/>
          <w:bCs/>
          <w:color w:val="030303"/>
        </w:rPr>
        <w:t xml:space="preserve">, </w:t>
      </w:r>
      <w:r w:rsidR="004B676A">
        <w:rPr>
          <w:b/>
          <w:bCs/>
          <w:color w:val="030303"/>
        </w:rPr>
        <w:t>Suriname</w:t>
      </w:r>
      <w:r w:rsidR="009C680F" w:rsidRPr="009C680F">
        <w:rPr>
          <w:b/>
          <w:bCs/>
          <w:color w:val="030303"/>
        </w:rPr>
        <w:t xml:space="preserve"> and </w:t>
      </w:r>
      <w:r w:rsidR="004B676A">
        <w:rPr>
          <w:b/>
          <w:bCs/>
          <w:color w:val="030303"/>
        </w:rPr>
        <w:t>Saudi Arabia</w:t>
      </w:r>
      <w:r w:rsidR="009C680F" w:rsidRPr="009C680F">
        <w:rPr>
          <w:rFonts w:ascii="Times New Roman Bold"/>
          <w:color w:val="030303"/>
        </w:rPr>
        <w:t>.</w:t>
      </w:r>
      <w:r w:rsidR="009C680F">
        <w:rPr>
          <w:rFonts w:ascii="Times New Roman Bold"/>
        </w:rPr>
        <w:t xml:space="preserve"> </w:t>
      </w:r>
      <w:r w:rsidR="00782ADD">
        <w:rPr>
          <w:iCs/>
        </w:rPr>
        <w:t xml:space="preserve">In addition, it will prepare </w:t>
      </w:r>
      <w:r w:rsidR="00782ADD">
        <w:rPr>
          <w:b/>
          <w:iCs/>
        </w:rPr>
        <w:t xml:space="preserve">a list of issues prior to reporting for </w:t>
      </w:r>
      <w:r w:rsidR="004B676A">
        <w:rPr>
          <w:b/>
          <w:iCs/>
        </w:rPr>
        <w:t>Mauritius</w:t>
      </w:r>
      <w:r w:rsidR="00782ADD">
        <w:rPr>
          <w:b/>
          <w:iCs/>
        </w:rPr>
        <w:t xml:space="preserve"> </w:t>
      </w:r>
      <w:r w:rsidR="00782ADD">
        <w:rPr>
          <w:iCs/>
        </w:rPr>
        <w:t>under the simplified reporting procedure.</w:t>
      </w:r>
      <w:r w:rsidR="00782ADD">
        <w:t xml:space="preserve"> </w:t>
      </w:r>
      <w:r w:rsidR="009C680F">
        <w:t>The pre-sessional working group prepares lists of issues and questions for States parties scheduled to be reviewed two sessions later (four sessions later in case of lists of issues prior to reporting).</w:t>
      </w:r>
    </w:p>
    <w:p w:rsid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782ADD" w:rsidRPr="00300F8B"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009C680F">
        <w:t xml:space="preserve">NHRIs wishing to submit written information to the pre-sessional working group should follow the same procedure as for the submission of written information for the session (see above). Written NHRI submissions should </w:t>
      </w:r>
      <w:r w:rsidR="009C680F">
        <w:rPr>
          <w:rFonts w:ascii="Times New Roman Bold"/>
        </w:rPr>
        <w:t xml:space="preserve">not exceed </w:t>
      </w:r>
      <w:r w:rsidR="00782ADD">
        <w:rPr>
          <w:rFonts w:ascii="Times New Roman Bold"/>
        </w:rPr>
        <w:t>3,300 words</w:t>
      </w:r>
      <w:r w:rsidR="009C680F">
        <w:t xml:space="preserve"> and should be sent electronically </w:t>
      </w:r>
      <w:r w:rsidR="009C680F">
        <w:rPr>
          <w:rFonts w:ascii="Times New Roman Bold"/>
        </w:rPr>
        <w:t xml:space="preserve">in Word format </w:t>
      </w:r>
      <w:r w:rsidR="009C680F">
        <w:t xml:space="preserve">to the following e-mail address (not later than </w:t>
      </w:r>
      <w:r w:rsidR="004B676A">
        <w:rPr>
          <w:b/>
          <w:bCs/>
        </w:rPr>
        <w:t>12 June</w:t>
      </w:r>
      <w:r w:rsidR="009C680F">
        <w:rPr>
          <w:b/>
          <w:bCs/>
        </w:rPr>
        <w:t xml:space="preserve"> 2017)</w:t>
      </w:r>
      <w:r w:rsidR="009C680F">
        <w:t xml:space="preserve">: </w:t>
      </w:r>
      <w:hyperlink r:id="rId10" w:history="1">
        <w:r w:rsidR="009C680F" w:rsidRPr="004917E2">
          <w:rPr>
            <w:rStyle w:val="Hyperlink1"/>
            <w:color w:val="0000CC"/>
            <w:u w:val="single"/>
          </w:rPr>
          <w:t>cedaw@ohchr.org</w:t>
        </w:r>
      </w:hyperlink>
      <w:r w:rsidR="00782ADD">
        <w:rPr>
          <w:rStyle w:val="Hyperlink1"/>
        </w:rPr>
        <w:t xml:space="preserve">. </w:t>
      </w:r>
      <w:r w:rsidR="00782ADD">
        <w:rPr>
          <w:rFonts w:ascii="Times New Roman Bold"/>
        </w:rPr>
        <w:t>If NHRIs also wish to submit the information in hard copy format, they should send 10 hard copies of their submission to the following address:</w:t>
      </w:r>
    </w:p>
    <w:p w:rsidR="00782ADD" w:rsidRDefault="00782ADD" w:rsidP="00782ADD">
      <w:pPr>
        <w:ind w:firstLine="720"/>
        <w:jc w:val="both"/>
        <w:rPr>
          <w:rFonts w:ascii="Times New Roman Bold"/>
        </w:rPr>
      </w:pPr>
    </w:p>
    <w:p w:rsidR="00782ADD" w:rsidRDefault="00782ADD" w:rsidP="00782ADD">
      <w:pPr>
        <w:pStyle w:val="Default"/>
        <w:rPr>
          <w:lang w:val="fr-CH"/>
        </w:rPr>
      </w:pPr>
      <w:r>
        <w:rPr>
          <w:lang w:val="fr-CH"/>
        </w:rPr>
        <w:t>CEDAW Secretariat</w:t>
      </w:r>
    </w:p>
    <w:p w:rsidR="00782ADD" w:rsidRDefault="00782ADD" w:rsidP="00782ADD">
      <w:pPr>
        <w:pStyle w:val="Default"/>
        <w:rPr>
          <w:lang w:val="fr-CH"/>
        </w:rPr>
      </w:pPr>
      <w:r>
        <w:rPr>
          <w:lang w:val="fr-CH"/>
        </w:rPr>
        <w:t>OHCHR - Palais Wilson</w:t>
      </w:r>
    </w:p>
    <w:p w:rsidR="00782ADD" w:rsidRDefault="00782ADD" w:rsidP="00782ADD">
      <w:pPr>
        <w:pStyle w:val="Default"/>
        <w:rPr>
          <w:lang w:val="fr-FR"/>
        </w:rPr>
      </w:pPr>
      <w:r>
        <w:rPr>
          <w:lang w:val="fr-FR"/>
        </w:rPr>
        <w:t>52, rue des Pâquis</w:t>
      </w:r>
    </w:p>
    <w:p w:rsidR="00782ADD" w:rsidRDefault="00782ADD" w:rsidP="00782ADD">
      <w:pPr>
        <w:pStyle w:val="Default"/>
        <w:rPr>
          <w:lang w:val="en-GB"/>
        </w:rPr>
      </w:pPr>
      <w:r>
        <w:rPr>
          <w:lang w:val="en-GB"/>
        </w:rPr>
        <w:t>CH-1201 Geneva 10</w:t>
      </w:r>
    </w:p>
    <w:p w:rsidR="001C3D35" w:rsidRDefault="00782ADD" w:rsidP="00E07463">
      <w:pPr>
        <w:jc w:val="both"/>
      </w:pPr>
      <w:r>
        <w:t>Switzerland</w:t>
      </w:r>
    </w:p>
    <w:p w:rsidR="001C3D35" w:rsidRDefault="001C3D35">
      <w:pPr>
        <w:ind w:firstLine="720"/>
        <w:jc w:val="both"/>
        <w:rPr>
          <w:shd w:val="clear" w:color="auto" w:fill="00FFFF"/>
        </w:rPr>
      </w:pPr>
    </w:p>
    <w:p w:rsidR="001C3D35" w:rsidRPr="00300F8B"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RPr="00300F8B">
        <w:rPr>
          <w:rFonts w:eastAsia="Calibri" w:hAnsi="Calibri" w:cs="Calibri"/>
          <w:b/>
          <w:bCs/>
          <w:noProof/>
        </w:rPr>
        <w:t>VII.</w:t>
      </w:r>
      <w:r w:rsidRPr="00300F8B">
        <w:rPr>
          <w:rFonts w:eastAsia="Calibri" w:hAnsi="Calibri" w:cs="Calibri"/>
          <w:b/>
          <w:bCs/>
          <w:noProof/>
        </w:rPr>
        <w:tab/>
        <w:t xml:space="preserve">Meetings with NHRIs </w:t>
      </w:r>
    </w:p>
    <w:p w:rsidR="001C3D35" w:rsidRDefault="001C3D35">
      <w:pPr>
        <w:rPr>
          <w:rFonts w:ascii="Times New Roman Bold" w:eastAsia="Times New Roman Bold" w:hAnsi="Times New Roman Bold" w:cs="Times New Roman Bold"/>
        </w:rPr>
      </w:pPr>
    </w:p>
    <w:p w:rsidR="001C3D35" w:rsidRDefault="00300F8B"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r>
      <w:r w:rsidR="009C680F">
        <w:t>The Committee has set aside time at its 6</w:t>
      </w:r>
      <w:r w:rsidR="009872D2">
        <w:t>7</w:t>
      </w:r>
      <w:r w:rsidR="009C680F">
        <w:rPr>
          <w:vertAlign w:val="superscript"/>
        </w:rPr>
        <w:t>th</w:t>
      </w:r>
      <w:r w:rsidR="009C680F">
        <w:t xml:space="preserve"> session for NHRIs to provide orally country-specific information in respect of the States parties that have been scheduled for consideration during the session. These </w:t>
      </w:r>
      <w:r w:rsidR="00782ADD">
        <w:t xml:space="preserve">informal public </w:t>
      </w:r>
      <w:r w:rsidR="009C680F">
        <w:t xml:space="preserve">meetings are scheduled on </w:t>
      </w:r>
      <w:r w:rsidR="009C680F">
        <w:rPr>
          <w:b/>
          <w:bCs/>
        </w:rPr>
        <w:t>Monday</w:t>
      </w:r>
      <w:r w:rsidR="009C680F" w:rsidRPr="009C680F">
        <w:rPr>
          <w:rFonts w:ascii="Times New Roman Bold"/>
        </w:rPr>
        <w:t xml:space="preserve">, 3 </w:t>
      </w:r>
      <w:r w:rsidR="009872D2">
        <w:rPr>
          <w:rFonts w:ascii="Times New Roman Bold"/>
        </w:rPr>
        <w:t>July</w:t>
      </w:r>
      <w:r w:rsidR="009C680F" w:rsidRPr="009C680F">
        <w:rPr>
          <w:rFonts w:ascii="Times New Roman Bold"/>
        </w:rPr>
        <w:t xml:space="preserve"> 2017</w:t>
      </w:r>
      <w:r w:rsidR="009C680F">
        <w:rPr>
          <w:b/>
          <w:bCs/>
        </w:rPr>
        <w:t xml:space="preserve"> </w:t>
      </w:r>
      <w:r w:rsidR="009C680F">
        <w:t xml:space="preserve">from </w:t>
      </w:r>
      <w:r w:rsidR="009C680F">
        <w:rPr>
          <w:rFonts w:ascii="Times New Roman Bold"/>
        </w:rPr>
        <w:t>16:30 to</w:t>
      </w:r>
      <w:r w:rsidR="009C680F">
        <w:t xml:space="preserve"> </w:t>
      </w:r>
      <w:r w:rsidR="009C680F">
        <w:rPr>
          <w:rFonts w:ascii="Times New Roman Bold"/>
        </w:rPr>
        <w:t>17:00,</w:t>
      </w:r>
      <w:r w:rsidR="009C680F">
        <w:t xml:space="preserve"> for the countries that will be considered during the first week </w:t>
      </w:r>
      <w:r w:rsidR="009C680F">
        <w:rPr>
          <w:rFonts w:ascii="Times New Roman Bold"/>
        </w:rPr>
        <w:t>(</w:t>
      </w:r>
      <w:r w:rsidR="009872D2">
        <w:rPr>
          <w:rFonts w:ascii="Times New Roman Bold"/>
        </w:rPr>
        <w:t>Italy</w:t>
      </w:r>
      <w:r w:rsidR="00782ADD">
        <w:rPr>
          <w:rFonts w:ascii="Times New Roman Bold"/>
        </w:rPr>
        <w:t xml:space="preserve">, </w:t>
      </w:r>
      <w:r w:rsidR="009872D2">
        <w:rPr>
          <w:rFonts w:ascii="Times New Roman Bold"/>
        </w:rPr>
        <w:t>Thailand, Romania</w:t>
      </w:r>
      <w:r w:rsidR="00782ADD">
        <w:rPr>
          <w:rFonts w:ascii="Times New Roman Bold"/>
        </w:rPr>
        <w:t xml:space="preserve"> (simplified reporting procedure) and </w:t>
      </w:r>
      <w:r w:rsidR="009872D2">
        <w:rPr>
          <w:rFonts w:ascii="Times New Roman Bold"/>
        </w:rPr>
        <w:t>Costa Rica</w:t>
      </w:r>
      <w:r w:rsidR="009C680F">
        <w:rPr>
          <w:rFonts w:ascii="Times New Roman Bold"/>
        </w:rPr>
        <w:t>)</w:t>
      </w:r>
      <w:r w:rsidR="009C680F">
        <w:t xml:space="preserve">, </w:t>
      </w:r>
      <w:r w:rsidR="00782ADD">
        <w:t xml:space="preserve">and </w:t>
      </w:r>
      <w:r w:rsidR="009C680F">
        <w:t xml:space="preserve">on </w:t>
      </w:r>
      <w:r w:rsidR="009C680F">
        <w:rPr>
          <w:b/>
          <w:bCs/>
        </w:rPr>
        <w:t>Monday</w:t>
      </w:r>
      <w:r w:rsidR="009C680F" w:rsidRPr="009C680F">
        <w:rPr>
          <w:rFonts w:ascii="Times New Roman Bold"/>
        </w:rPr>
        <w:t xml:space="preserve">, </w:t>
      </w:r>
      <w:r w:rsidR="009872D2">
        <w:rPr>
          <w:rFonts w:ascii="Times New Roman Bold"/>
        </w:rPr>
        <w:t>10</w:t>
      </w:r>
      <w:r w:rsidR="009C680F" w:rsidRPr="009C680F">
        <w:rPr>
          <w:rFonts w:ascii="Times New Roman Bold"/>
        </w:rPr>
        <w:t xml:space="preserve"> </w:t>
      </w:r>
      <w:r w:rsidR="009872D2">
        <w:rPr>
          <w:rFonts w:ascii="Times New Roman Bold"/>
        </w:rPr>
        <w:t>July</w:t>
      </w:r>
      <w:r w:rsidR="009C680F" w:rsidRPr="009C680F">
        <w:rPr>
          <w:rFonts w:ascii="Times New Roman Bold"/>
        </w:rPr>
        <w:t xml:space="preserve"> 2017</w:t>
      </w:r>
      <w:r w:rsidR="009C680F">
        <w:rPr>
          <w:b/>
          <w:bCs/>
        </w:rPr>
        <w:t xml:space="preserve"> </w:t>
      </w:r>
      <w:r w:rsidR="009C680F">
        <w:t>from</w:t>
      </w:r>
      <w:r w:rsidR="009C680F">
        <w:rPr>
          <w:rFonts w:ascii="Times New Roman Bold"/>
        </w:rPr>
        <w:t xml:space="preserve"> 17:00 </w:t>
      </w:r>
      <w:r w:rsidR="009C680F">
        <w:t>to</w:t>
      </w:r>
      <w:r w:rsidR="009C680F">
        <w:rPr>
          <w:rFonts w:ascii="Times New Roman Bold"/>
        </w:rPr>
        <w:t xml:space="preserve"> 17:30,</w:t>
      </w:r>
      <w:r w:rsidR="009C680F">
        <w:t xml:space="preserve"> for the countries that will be considered during the second week </w:t>
      </w:r>
      <w:r w:rsidR="009C680F">
        <w:rPr>
          <w:rFonts w:ascii="Times New Roman Bold"/>
        </w:rPr>
        <w:t>(</w:t>
      </w:r>
      <w:r w:rsidR="009872D2">
        <w:rPr>
          <w:rFonts w:ascii="Times New Roman Bold"/>
        </w:rPr>
        <w:t>Montenegro</w:t>
      </w:r>
      <w:r w:rsidR="00782ADD">
        <w:rPr>
          <w:rFonts w:ascii="Times New Roman Bold"/>
        </w:rPr>
        <w:t xml:space="preserve">, </w:t>
      </w:r>
      <w:r w:rsidR="009872D2">
        <w:rPr>
          <w:rFonts w:ascii="Times New Roman Bold"/>
        </w:rPr>
        <w:t>Barbados</w:t>
      </w:r>
      <w:r w:rsidR="00782ADD">
        <w:rPr>
          <w:rFonts w:ascii="Times New Roman Bold"/>
        </w:rPr>
        <w:t xml:space="preserve">, </w:t>
      </w:r>
      <w:r w:rsidR="009872D2">
        <w:rPr>
          <w:rFonts w:ascii="Times New Roman Bold"/>
        </w:rPr>
        <w:t>Niger</w:t>
      </w:r>
      <w:r w:rsidR="00782ADD">
        <w:rPr>
          <w:rFonts w:ascii="Times New Roman Bold"/>
        </w:rPr>
        <w:t xml:space="preserve"> and </w:t>
      </w:r>
      <w:r w:rsidR="009872D2">
        <w:rPr>
          <w:rFonts w:ascii="Times New Roman Bold"/>
        </w:rPr>
        <w:t>Nigeria</w:t>
      </w:r>
      <w:r w:rsidR="009C680F">
        <w:rPr>
          <w:rFonts w:ascii="Times New Roman Bold"/>
        </w:rPr>
        <w:t xml:space="preserve">) </w:t>
      </w:r>
      <w:r w:rsidR="009C680F">
        <w:t>of the 6</w:t>
      </w:r>
      <w:r w:rsidR="009872D2">
        <w:t>7</w:t>
      </w:r>
      <w:r w:rsidR="009C680F">
        <w:rPr>
          <w:vertAlign w:val="superscript"/>
        </w:rPr>
        <w:t>th</w:t>
      </w:r>
      <w:r w:rsidR="009C680F">
        <w:t xml:space="preserve"> session. The meetings will take place in </w:t>
      </w:r>
      <w:r w:rsidR="00782ADD">
        <w:rPr>
          <w:rFonts w:ascii="Times New Roman Bold"/>
        </w:rPr>
        <w:t>C</w:t>
      </w:r>
      <w:r w:rsidR="009C680F">
        <w:rPr>
          <w:rFonts w:ascii="Times New Roman Bold"/>
        </w:rPr>
        <w:t xml:space="preserve">onference </w:t>
      </w:r>
      <w:r w:rsidR="00782ADD">
        <w:rPr>
          <w:rFonts w:ascii="Times New Roman Bold"/>
        </w:rPr>
        <w:t>R</w:t>
      </w:r>
      <w:r w:rsidR="009C680F">
        <w:rPr>
          <w:rFonts w:ascii="Times New Roman Bold"/>
        </w:rPr>
        <w:t xml:space="preserve">oom XVI </w:t>
      </w:r>
      <w:r w:rsidR="009C680F">
        <w:t xml:space="preserve">at the Palais des Nations in Geneva </w:t>
      </w:r>
      <w:r w:rsidR="009C680F">
        <w:lastRenderedPageBreak/>
        <w:t>and are open to the public. For the schedule of considerations of States parties</w:t>
      </w:r>
      <w:r w:rsidR="009C680F">
        <w:rPr>
          <w:rFonts w:hAnsi="Times New Roman"/>
        </w:rPr>
        <w:t xml:space="preserve">’ </w:t>
      </w:r>
      <w:r w:rsidR="009C680F">
        <w:t>reports, please consult the Committee</w:t>
      </w:r>
      <w:r w:rsidR="009C680F">
        <w:rPr>
          <w:rFonts w:hAnsi="Times New Roman"/>
        </w:rPr>
        <w:t>’</w:t>
      </w:r>
      <w:r w:rsidR="009C680F">
        <w:t>s website for the 6</w:t>
      </w:r>
      <w:r w:rsidR="009872D2">
        <w:t>7</w:t>
      </w:r>
      <w:r w:rsidR="009C680F">
        <w:rPr>
          <w:vertAlign w:val="superscript"/>
        </w:rPr>
        <w:t>th</w:t>
      </w:r>
      <w:r w:rsidR="009C680F">
        <w:t xml:space="preserve"> session at:</w:t>
      </w:r>
    </w:p>
    <w:p w:rsidR="001C3D35" w:rsidRPr="004917E2" w:rsidRDefault="009872D2">
      <w:pPr>
        <w:jc w:val="both"/>
        <w:rPr>
          <w:color w:val="0000CC"/>
          <w:u w:val="single" w:color="0000CC"/>
        </w:rPr>
      </w:pPr>
      <w:r w:rsidRPr="009872D2">
        <w:t>http://tbinternet.ohchr.org/_layouts/treatybodyexternal/SessionDetails1.aspx?SessionID=1078&amp;Lang=en</w:t>
      </w:r>
    </w:p>
    <w:p w:rsidR="001C3D35" w:rsidRDefault="001C3D35">
      <w:pPr>
        <w:jc w:val="both"/>
        <w:rPr>
          <w:kern w:val="2"/>
          <w:sz w:val="22"/>
          <w:szCs w:val="22"/>
        </w:rPr>
      </w:pPr>
    </w:p>
    <w:p w:rsidR="001C3D35"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t xml:space="preserve">Oral interventions by NHRIs must be concise. A maximum of 10 minutes are allocated for NHRIs per country. NHRIs making </w:t>
      </w:r>
      <w:r>
        <w:rPr>
          <w:rFonts w:ascii="Times New Roman Bold"/>
        </w:rPr>
        <w:t>oral interventions</w:t>
      </w:r>
      <w:r>
        <w:t xml:space="preserve"> should ensure that they bring </w:t>
      </w:r>
      <w:r w:rsidR="009872D2">
        <w:rPr>
          <w:rFonts w:ascii="Times New Roman Bold"/>
        </w:rPr>
        <w:t>2</w:t>
      </w:r>
      <w:r>
        <w:rPr>
          <w:rFonts w:ascii="Times New Roman Bold"/>
        </w:rPr>
        <w:t>5 copies of their oral statement</w:t>
      </w:r>
      <w:r>
        <w:t xml:space="preserve"> at least </w:t>
      </w:r>
      <w:r>
        <w:rPr>
          <w:rFonts w:ascii="Times New Roman Bold"/>
        </w:rPr>
        <w:t>one hour</w:t>
      </w:r>
      <w:r>
        <w:t xml:space="preserve"> in advance of the meeting for circulation to the Committee and for interpretation purposes. Prior to the presentation, NHRIs are requested to send an electronic version of their statement in Word format to: </w:t>
      </w:r>
      <w:hyperlink r:id="rId11" w:history="1">
        <w:r w:rsidRPr="004917E2">
          <w:rPr>
            <w:rStyle w:val="Hyperlink1"/>
            <w:color w:val="0000CC"/>
            <w:u w:val="single"/>
          </w:rPr>
          <w:t>cedaw@ohchr.org</w:t>
        </w:r>
      </w:hyperlink>
      <w:r>
        <w:t>.</w:t>
      </w:r>
    </w:p>
    <w:p w:rsidR="002471EA" w:rsidRDefault="002471EA">
      <w:pPr>
        <w:jc w:val="both"/>
      </w:pPr>
    </w:p>
    <w:p w:rsidR="00300F8B" w:rsidRDefault="002471EA" w:rsidP="00300F8B">
      <w:pPr>
        <w:ind w:firstLine="567"/>
        <w:jc w:val="both"/>
        <w:rPr>
          <w:b/>
          <w:lang w:eastAsia="fr-FR"/>
        </w:rPr>
      </w:pPr>
      <w:r w:rsidRPr="000249E2">
        <w:rPr>
          <w:b/>
        </w:rPr>
        <w:t>Please note that all public meetings of the Committee, including the</w:t>
      </w:r>
      <w:r>
        <w:rPr>
          <w:b/>
        </w:rPr>
        <w:t xml:space="preserve"> informal </w:t>
      </w:r>
      <w:r w:rsidRPr="000249E2">
        <w:rPr>
          <w:b/>
        </w:rPr>
        <w:t>public N</w:t>
      </w:r>
      <w:r>
        <w:rPr>
          <w:b/>
        </w:rPr>
        <w:t>HRI</w:t>
      </w:r>
      <w:r w:rsidRPr="000249E2">
        <w:rPr>
          <w:b/>
        </w:rPr>
        <w:t xml:space="preserve"> briefings on both Mondays 3 and </w:t>
      </w:r>
      <w:r w:rsidR="009872D2">
        <w:rPr>
          <w:b/>
        </w:rPr>
        <w:t>1</w:t>
      </w:r>
      <w:r w:rsidRPr="000249E2">
        <w:rPr>
          <w:b/>
        </w:rPr>
        <w:t xml:space="preserve">0 </w:t>
      </w:r>
      <w:r w:rsidR="009872D2">
        <w:rPr>
          <w:b/>
        </w:rPr>
        <w:t>July</w:t>
      </w:r>
      <w:r w:rsidRPr="000249E2">
        <w:rPr>
          <w:b/>
        </w:rPr>
        <w:t xml:space="preserve"> 2017, will be</w:t>
      </w:r>
      <w:r w:rsidRPr="006C3347">
        <w:t xml:space="preserve"> </w:t>
      </w:r>
      <w:r w:rsidRPr="000249E2">
        <w:rPr>
          <w:b/>
          <w:lang w:eastAsia="fr-FR"/>
        </w:rPr>
        <w:t xml:space="preserve">publicly webcast on the following website: </w:t>
      </w:r>
      <w:hyperlink r:id="rId12" w:history="1">
        <w:r w:rsidR="00300F8B" w:rsidRPr="00300F8B">
          <w:rPr>
            <w:rStyle w:val="Hyperlink"/>
            <w:b/>
            <w:color w:val="0000CC"/>
            <w:lang w:eastAsia="fr-FR"/>
          </w:rPr>
          <w:t>http://webtv.un.org/meetings-events/</w:t>
        </w:r>
      </w:hyperlink>
    </w:p>
    <w:p w:rsidR="00300F8B" w:rsidRDefault="00300F8B" w:rsidP="00300F8B">
      <w:pPr>
        <w:ind w:firstLine="567"/>
        <w:jc w:val="both"/>
        <w:rPr>
          <w:b/>
          <w:lang w:eastAsia="fr-FR"/>
        </w:rPr>
      </w:pPr>
    </w:p>
    <w:p w:rsidR="001C3D35" w:rsidRDefault="009C680F" w:rsidP="00300F8B">
      <w:pPr>
        <w:ind w:firstLine="567"/>
        <w:jc w:val="both"/>
      </w:pPr>
      <w:r>
        <w:t>The pre-sessional working group also invites NHRIs to make oral interventions to provide country-specific information on the States parties scheduled for consideration at the 6</w:t>
      </w:r>
      <w:r w:rsidR="009872D2">
        <w:t>9</w:t>
      </w:r>
      <w:r>
        <w:rPr>
          <w:vertAlign w:val="superscript"/>
        </w:rPr>
        <w:t>th</w:t>
      </w:r>
      <w:r>
        <w:t xml:space="preserve"> session. This meeting will take place on </w:t>
      </w:r>
      <w:r>
        <w:rPr>
          <w:b/>
          <w:bCs/>
        </w:rPr>
        <w:t>Monday</w:t>
      </w:r>
      <w:r w:rsidR="002471EA">
        <w:rPr>
          <w:b/>
          <w:bCs/>
        </w:rPr>
        <w:t>,</w:t>
      </w:r>
      <w:r w:rsidRPr="009C680F">
        <w:rPr>
          <w:rFonts w:ascii="Times New Roman Bold"/>
        </w:rPr>
        <w:t xml:space="preserve"> </w:t>
      </w:r>
      <w:r w:rsidR="009872D2">
        <w:rPr>
          <w:rFonts w:ascii="Times New Roman Bold"/>
        </w:rPr>
        <w:t>24</w:t>
      </w:r>
      <w:r w:rsidRPr="009C680F">
        <w:rPr>
          <w:rFonts w:ascii="Times New Roman Bold"/>
        </w:rPr>
        <w:t xml:space="preserve"> </w:t>
      </w:r>
      <w:r w:rsidR="009872D2">
        <w:rPr>
          <w:rFonts w:ascii="Times New Roman Bold"/>
        </w:rPr>
        <w:t>July</w:t>
      </w:r>
      <w:r w:rsidRPr="009C680F">
        <w:rPr>
          <w:rFonts w:ascii="Times New Roman Bold"/>
        </w:rPr>
        <w:t xml:space="preserve"> 2017</w:t>
      </w:r>
      <w:r w:rsidR="002471EA">
        <w:rPr>
          <w:rFonts w:ascii="Times New Roman Bold"/>
        </w:rPr>
        <w:t>,</w:t>
      </w:r>
      <w:r w:rsidRPr="009C680F">
        <w:t xml:space="preserve"> f</w:t>
      </w:r>
      <w:r>
        <w:t>rom</w:t>
      </w:r>
      <w:r>
        <w:rPr>
          <w:rFonts w:ascii="Times New Roman Bold"/>
        </w:rPr>
        <w:t xml:space="preserve"> 12:30 to 13:00,</w:t>
      </w:r>
      <w:r>
        <w:t xml:space="preserve"> in </w:t>
      </w:r>
      <w:r>
        <w:rPr>
          <w:rFonts w:ascii="Times New Roman Bold"/>
        </w:rPr>
        <w:t>conference room XVI</w:t>
      </w:r>
      <w:r>
        <w:t xml:space="preserve"> at the Palais des Nations.</w:t>
      </w:r>
      <w:r>
        <w:rPr>
          <w:rFonts w:ascii="Times New Roman Bold"/>
        </w:rPr>
        <w:t xml:space="preserve"> </w:t>
      </w:r>
      <w:r>
        <w:t xml:space="preserve">The paragraph above relating to the oral interventions by NHRIs is applicable to the pre-sessional working group as well, except that that the meeting is closed and that NHRIs need to bring only </w:t>
      </w:r>
      <w:r>
        <w:rPr>
          <w:rFonts w:ascii="Times New Roman Bold"/>
        </w:rPr>
        <w:t>1</w:t>
      </w:r>
      <w:r w:rsidR="002471EA" w:rsidRPr="00E07463">
        <w:rPr>
          <w:rFonts w:ascii="Times New Roman Bold"/>
          <w:b/>
        </w:rPr>
        <w:t>0</w:t>
      </w:r>
      <w:r>
        <w:rPr>
          <w:rFonts w:ascii="Times New Roman Bold"/>
        </w:rPr>
        <w:t xml:space="preserve"> copies of their oral statement </w:t>
      </w:r>
      <w:r>
        <w:t>prior</w:t>
      </w:r>
      <w:r>
        <w:rPr>
          <w:rFonts w:ascii="Times New Roman Bold"/>
        </w:rPr>
        <w:t xml:space="preserve"> </w:t>
      </w:r>
      <w:r>
        <w:t>to the meeting</w:t>
      </w:r>
      <w:r>
        <w:rPr>
          <w:rFonts w:ascii="Times New Roman Bold"/>
        </w:rPr>
        <w:t xml:space="preserve"> </w:t>
      </w:r>
      <w:r>
        <w:t xml:space="preserve">for circulation to the working group and for interpretation purposes. Prior to the presentation, NHRIs are requested to send an electronic version of their statements in </w:t>
      </w:r>
      <w:r w:rsidRPr="00E07463">
        <w:rPr>
          <w:b/>
        </w:rPr>
        <w:t>Word format</w:t>
      </w:r>
      <w:r>
        <w:t xml:space="preserve"> to: </w:t>
      </w:r>
      <w:hyperlink r:id="rId13" w:history="1">
        <w:r w:rsidRPr="004917E2">
          <w:rPr>
            <w:rStyle w:val="Hyperlink1"/>
            <w:color w:val="0000CC"/>
            <w:u w:val="single"/>
          </w:rPr>
          <w:t>cedaw@ohchr.org</w:t>
        </w:r>
      </w:hyperlink>
    </w:p>
    <w:p w:rsidR="001C3D35" w:rsidRDefault="001C3D35"/>
    <w:p w:rsidR="001C3D35" w:rsidRPr="00300F8B"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sidRPr="00300F8B">
        <w:rPr>
          <w:rFonts w:eastAsia="Calibri" w:hAnsi="Calibri" w:cs="Calibri"/>
          <w:b/>
          <w:bCs/>
          <w:noProof/>
        </w:rPr>
        <w:t>VIII.</w:t>
      </w:r>
      <w:r w:rsidRPr="00300F8B">
        <w:rPr>
          <w:rFonts w:eastAsia="Calibri" w:hAnsi="Calibri" w:cs="Calibri"/>
          <w:b/>
          <w:bCs/>
          <w:noProof/>
        </w:rPr>
        <w:tab/>
        <w:t>Registration</w:t>
      </w:r>
    </w:p>
    <w:p w:rsidR="001C3D35" w:rsidRDefault="001C3D35">
      <w:pPr>
        <w:rPr>
          <w:rFonts w:ascii="Times New Roman Bold" w:eastAsia="Times New Roman Bold" w:hAnsi="Times New Roman Bold" w:cs="Times New Roman Bold"/>
        </w:rPr>
      </w:pPr>
    </w:p>
    <w:p w:rsidR="00187604" w:rsidRDefault="009C680F" w:rsidP="00300F8B">
      <w:pPr>
        <w:ind w:firstLine="567"/>
        <w:jc w:val="both"/>
      </w:pPr>
      <w:r>
        <w:t>NHRI representatives who wish to attend any sessions of the Committee or its pre-session</w:t>
      </w:r>
      <w:r w:rsidR="0007655B">
        <w:t>al</w:t>
      </w:r>
      <w:r>
        <w:t xml:space="preserve"> working group</w:t>
      </w:r>
      <w:r w:rsidR="0007655B">
        <w:t>s</w:t>
      </w:r>
      <w:r>
        <w:t xml:space="preserve"> </w:t>
      </w:r>
      <w:r w:rsidRPr="00187604">
        <w:rPr>
          <w:b/>
        </w:rPr>
        <w:t>must</w:t>
      </w:r>
      <w:r>
        <w:t xml:space="preserve"> </w:t>
      </w:r>
      <w:r w:rsidRPr="00187604">
        <w:rPr>
          <w:b/>
        </w:rPr>
        <w:t>register</w:t>
      </w:r>
      <w:r w:rsidR="00AF7339" w:rsidRPr="00187604">
        <w:rPr>
          <w:b/>
        </w:rPr>
        <w:t xml:space="preserve"> online</w:t>
      </w:r>
      <w:r>
        <w:t xml:space="preserve"> </w:t>
      </w:r>
      <w:r w:rsidR="00AF7339">
        <w:t>by using the following link</w:t>
      </w:r>
      <w:r w:rsidR="00187604">
        <w:t>s</w:t>
      </w:r>
      <w:r w:rsidR="00AF7339">
        <w:t>:</w:t>
      </w:r>
      <w:r w:rsidR="00FC7606">
        <w:t xml:space="preserve"> </w:t>
      </w:r>
    </w:p>
    <w:p w:rsidR="00187604" w:rsidRPr="00C33517" w:rsidRDefault="00187604" w:rsidP="00187604">
      <w:pPr>
        <w:jc w:val="both"/>
        <w:rPr>
          <w:rStyle w:val="Hyperlink1"/>
          <w:color w:val="0000CC"/>
          <w:u w:val="single"/>
        </w:rPr>
      </w:pPr>
      <w:r w:rsidRPr="00187604">
        <w:rPr>
          <w:rStyle w:val="Hyperlink1"/>
          <w:color w:val="auto"/>
        </w:rPr>
        <w:t>For the 67</w:t>
      </w:r>
      <w:r w:rsidRPr="00187604">
        <w:rPr>
          <w:rStyle w:val="Hyperlink1"/>
          <w:color w:val="auto"/>
          <w:vertAlign w:val="superscript"/>
        </w:rPr>
        <w:t>th</w:t>
      </w:r>
      <w:r w:rsidRPr="00187604">
        <w:rPr>
          <w:rStyle w:val="Hyperlink1"/>
          <w:color w:val="auto"/>
        </w:rPr>
        <w:t xml:space="preserve"> plenary session</w:t>
      </w:r>
      <w:r w:rsidRPr="00C33517">
        <w:rPr>
          <w:rStyle w:val="Hyperlink1"/>
          <w:color w:val="auto"/>
        </w:rPr>
        <w:t xml:space="preserve">: </w:t>
      </w:r>
      <w:hyperlink r:id="rId14" w:history="1">
        <w:r w:rsidRPr="00187604">
          <w:rPr>
            <w:rStyle w:val="Hyperlink1"/>
            <w:color w:val="0000CC"/>
            <w:u w:val="single"/>
          </w:rPr>
          <w:t>https://reg.unog.ch/event/16993/</w:t>
        </w:r>
      </w:hyperlink>
    </w:p>
    <w:p w:rsidR="001C3D35" w:rsidRPr="00187604" w:rsidRDefault="00187604" w:rsidP="00187604">
      <w:pPr>
        <w:jc w:val="both"/>
        <w:rPr>
          <w:rStyle w:val="Hyperlink1"/>
          <w:color w:val="0000CC"/>
        </w:rPr>
      </w:pPr>
      <w:r w:rsidRPr="00187604">
        <w:rPr>
          <w:rStyle w:val="Hyperlink1"/>
          <w:color w:val="auto"/>
        </w:rPr>
        <w:t>For the pre-sessional working group for the 69</w:t>
      </w:r>
      <w:r w:rsidRPr="00187604">
        <w:rPr>
          <w:rStyle w:val="Hyperlink1"/>
          <w:color w:val="auto"/>
          <w:vertAlign w:val="superscript"/>
        </w:rPr>
        <w:t>th</w:t>
      </w:r>
      <w:r w:rsidRPr="00187604">
        <w:rPr>
          <w:rStyle w:val="Hyperlink1"/>
          <w:color w:val="auto"/>
        </w:rPr>
        <w:t xml:space="preserve"> session</w:t>
      </w:r>
      <w:r w:rsidRPr="00187604">
        <w:rPr>
          <w:rStyle w:val="Hyperlink1"/>
          <w:color w:val="0000CC"/>
        </w:rPr>
        <w:t xml:space="preserve">: </w:t>
      </w:r>
      <w:hyperlink r:id="rId15" w:history="1">
        <w:r w:rsidRPr="00187604">
          <w:rPr>
            <w:rStyle w:val="Hyperlink1"/>
            <w:color w:val="0000CC"/>
            <w:u w:val="single"/>
          </w:rPr>
          <w:t>https://reg.unog.ch/event/16995/</w:t>
        </w:r>
      </w:hyperlink>
    </w:p>
    <w:p w:rsidR="001C3D35" w:rsidRDefault="001C3D35"/>
    <w:p w:rsidR="001C3D35" w:rsidRDefault="009C680F" w:rsidP="00300F8B">
      <w:pPr>
        <w:ind w:firstLine="567"/>
        <w:jc w:val="both"/>
      </w:pPr>
      <w:r>
        <w:t xml:space="preserve">In order to receive a ground pass, all applicants must bring </w:t>
      </w:r>
      <w:r w:rsidR="00AF7339">
        <w:t>the confirmation of registration which will be sent to you by email upon successful registration</w:t>
      </w:r>
      <w:r w:rsidR="002654C3">
        <w:t xml:space="preserve"> online</w:t>
      </w:r>
      <w:r>
        <w:t>, a valid national passport or government issued ID bearing a photograph, and appear in person at the United Nations Pass and Identification Unit, Pr</w:t>
      </w:r>
      <w:r>
        <w:rPr>
          <w:rFonts w:hAnsi="Times New Roman"/>
        </w:rPr>
        <w:t>é</w:t>
      </w:r>
      <w:r>
        <w:t>gny Gate, United Nations Office at Geneva, Avenue de la Paix 8-14, Geneva, Switzerland. The office hours are 8:00 to 17:00, Monday through Friday. Please note that NHRI representatives must bring their passport (or government issued photo ID) as well as their ground pass every time they wish to enter the UN premises.</w:t>
      </w:r>
    </w:p>
    <w:p w:rsidR="001C3D35" w:rsidRDefault="001C3D35"/>
    <w:p w:rsidR="001C3D35" w:rsidRDefault="009C680F" w:rsidP="00300F8B">
      <w:pPr>
        <w:ind w:firstLine="567"/>
        <w:jc w:val="both"/>
        <w:rPr>
          <w:rFonts w:ascii="Times New Roman Bold" w:eastAsia="Times New Roman Bold" w:hAnsi="Times New Roman Bold" w:cs="Times New Roman Bold"/>
        </w:rPr>
      </w:pPr>
      <w:r>
        <w:t xml:space="preserve">Please note that </w:t>
      </w:r>
      <w:r>
        <w:rPr>
          <w:rFonts w:ascii="Times New Roman Bold"/>
        </w:rPr>
        <w:t>OHCHR will not provide letters of invitation</w:t>
      </w:r>
      <w:r>
        <w:t xml:space="preserve"> to NHRIs to attend CEDAW sessions for purposes of obtaining visa</w:t>
      </w:r>
      <w:r w:rsidR="00AF7339">
        <w:t>s</w:t>
      </w:r>
      <w:r>
        <w:t xml:space="preserve">. However, upon request, the Secretariat can provide a general </w:t>
      </w:r>
      <w:r>
        <w:rPr>
          <w:rFonts w:hAnsi="Times New Roman"/>
        </w:rPr>
        <w:t>“</w:t>
      </w:r>
      <w:r>
        <w:t>to whom it may concern</w:t>
      </w:r>
      <w:r>
        <w:rPr>
          <w:rFonts w:hAnsi="Times New Roman"/>
        </w:rPr>
        <w:t xml:space="preserve">” </w:t>
      </w:r>
      <w:r>
        <w:t xml:space="preserve">letter specifying that a representative has requested and obtained accreditation to a meeting. Please also note that OHCHR is </w:t>
      </w:r>
      <w:r>
        <w:rPr>
          <w:rFonts w:ascii="Times New Roman Bold"/>
        </w:rPr>
        <w:t>unable to assist with travel and/or accommodation costs.</w:t>
      </w:r>
    </w:p>
    <w:p w:rsidR="001C3D35" w:rsidRDefault="001C3D35">
      <w:pPr>
        <w:rPr>
          <w:rFonts w:ascii="Times New Roman Bold" w:eastAsia="Times New Roman Bold" w:hAnsi="Times New Roman Bold" w:cs="Times New Roman Bold"/>
        </w:rPr>
      </w:pPr>
    </w:p>
    <w:p w:rsidR="0007655B" w:rsidRDefault="0007655B">
      <w:pPr>
        <w:rPr>
          <w:rFonts w:eastAsia="Calibri" w:hAnsi="Calibri" w:cs="Calibri"/>
          <w:b/>
          <w:bCs/>
          <w:noProof/>
        </w:rPr>
      </w:pPr>
      <w:r>
        <w:rPr>
          <w:rFonts w:eastAsia="Calibri" w:hAnsi="Calibri" w:cs="Calibri"/>
          <w:b/>
          <w:bCs/>
          <w:noProof/>
        </w:rPr>
        <w:br w:type="page"/>
      </w:r>
    </w:p>
    <w:p w:rsidR="001C3D35" w:rsidRPr="00300F8B" w:rsidRDefault="009C680F" w:rsidP="00300F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bookmarkStart w:id="0" w:name="_GoBack"/>
      <w:bookmarkEnd w:id="0"/>
      <w:r w:rsidRPr="00300F8B">
        <w:rPr>
          <w:rFonts w:eastAsia="Calibri" w:hAnsi="Calibri" w:cs="Calibri"/>
          <w:b/>
          <w:bCs/>
          <w:noProof/>
        </w:rPr>
        <w:t>IX.</w:t>
      </w:r>
      <w:r w:rsidRPr="00300F8B">
        <w:rPr>
          <w:rFonts w:eastAsia="Calibri" w:hAnsi="Calibri" w:cs="Calibri"/>
          <w:b/>
          <w:bCs/>
          <w:noProof/>
        </w:rPr>
        <w:tab/>
        <w:t>Additional Information</w:t>
      </w:r>
    </w:p>
    <w:p w:rsidR="001C3D35" w:rsidRDefault="001C3D35">
      <w:pPr>
        <w:rPr>
          <w:rFonts w:ascii="Times New Roman Bold" w:eastAsia="Times New Roman Bold" w:hAnsi="Times New Roman Bold" w:cs="Times New Roman Bold"/>
        </w:rPr>
      </w:pPr>
    </w:p>
    <w:p w:rsidR="001C3D35" w:rsidRDefault="009C680F" w:rsidP="00300F8B">
      <w:pPr>
        <w:ind w:firstLine="567"/>
        <w:jc w:val="both"/>
      </w:pPr>
      <w:r>
        <w:t xml:space="preserve">For further information about the treaty bodies in general, specific information on CEDAW and on the participation and role of national human rights institutions in the reporting procedure, please consult the following links: </w:t>
      </w:r>
    </w:p>
    <w:p w:rsidR="001C3D35" w:rsidRDefault="001C3D35"/>
    <w:p w:rsidR="001C3D35" w:rsidRDefault="004E09CF">
      <w:pPr>
        <w:numPr>
          <w:ilvl w:val="0"/>
          <w:numId w:val="12"/>
        </w:numPr>
        <w:tabs>
          <w:tab w:val="num" w:pos="720"/>
        </w:tabs>
        <w:ind w:left="720" w:hanging="360"/>
      </w:pPr>
      <w:hyperlink r:id="rId16" w:history="1">
        <w:r w:rsidR="009C680F">
          <w:rPr>
            <w:rStyle w:val="Hyperlink0"/>
          </w:rPr>
          <w:t>http://www.ohchr.org/en/hrbodies/cedaw/pages/cedawindex.aspx</w:t>
        </w:r>
      </w:hyperlink>
      <w:r w:rsidR="009C680F">
        <w:t>; and</w:t>
      </w:r>
    </w:p>
    <w:p w:rsidR="001C3D35" w:rsidRDefault="004E09CF">
      <w:pPr>
        <w:numPr>
          <w:ilvl w:val="0"/>
          <w:numId w:val="15"/>
        </w:numPr>
        <w:tabs>
          <w:tab w:val="num" w:pos="720"/>
        </w:tabs>
        <w:ind w:left="720" w:hanging="360"/>
        <w:rPr>
          <w:color w:val="0000CC"/>
          <w:u w:val="single" w:color="0000CC"/>
        </w:rPr>
      </w:pPr>
      <w:hyperlink r:id="rId17" w:history="1">
        <w:r w:rsidR="009C680F">
          <w:rPr>
            <w:rStyle w:val="Hyperlink2"/>
          </w:rPr>
          <w:t>http://www.ohchr.org/EN/AboutUs/Pages/CivilSociety.aspx</w:t>
        </w:r>
      </w:hyperlink>
    </w:p>
    <w:p w:rsidR="001C3D35" w:rsidRDefault="009C680F">
      <w:pPr>
        <w:suppressAutoHyphens/>
        <w:spacing w:before="240" w:line="240" w:lineRule="atLeast"/>
        <w:ind w:left="1134" w:right="1134"/>
        <w:jc w:val="center"/>
      </w:pPr>
      <w:r>
        <w:rPr>
          <w:u w:val="single"/>
        </w:rPr>
        <w:tab/>
      </w:r>
      <w:r>
        <w:rPr>
          <w:u w:val="single"/>
        </w:rPr>
        <w:tab/>
      </w:r>
      <w:r>
        <w:rPr>
          <w:u w:val="single"/>
        </w:rPr>
        <w:tab/>
      </w:r>
    </w:p>
    <w:sectPr w:rsidR="001C3D35">
      <w:headerReference w:type="default" r:id="rId18"/>
      <w:footerReference w:type="default" r:id="rId19"/>
      <w:pgSz w:w="12240" w:h="15840"/>
      <w:pgMar w:top="993" w:right="144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23" w:rsidRDefault="009C680F">
      <w:r>
        <w:separator/>
      </w:r>
    </w:p>
  </w:endnote>
  <w:endnote w:type="continuationSeparator" w:id="0">
    <w:p w:rsidR="00762823" w:rsidRDefault="009C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35" w:rsidRDefault="009C680F">
    <w:pPr>
      <w:pStyle w:val="Footer"/>
      <w:jc w:val="center"/>
    </w:pPr>
    <w:r>
      <w:fldChar w:fldCharType="begin"/>
    </w:r>
    <w:r>
      <w:instrText xml:space="preserve"> PAGE </w:instrText>
    </w:r>
    <w:r>
      <w:fldChar w:fldCharType="separate"/>
    </w:r>
    <w:r w:rsidR="004E09C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23" w:rsidRDefault="009C680F">
      <w:r>
        <w:separator/>
      </w:r>
    </w:p>
  </w:footnote>
  <w:footnote w:type="continuationSeparator" w:id="0">
    <w:p w:rsidR="00762823" w:rsidRDefault="009C6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35" w:rsidRDefault="001C3D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70A"/>
    <w:multiLevelType w:val="multilevel"/>
    <w:tmpl w:val="97DC5E08"/>
    <w:styleLink w:val="List0"/>
    <w:lvl w:ilvl="0">
      <w:start w:val="4"/>
      <w:numFmt w:val="upperRoman"/>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
    <w:nsid w:val="0F3E7FBE"/>
    <w:multiLevelType w:val="multilevel"/>
    <w:tmpl w:val="CDEA3EF4"/>
    <w:lvl w:ilvl="0">
      <w:start w:val="1"/>
      <w:numFmt w:val="upperRoman"/>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CB63725"/>
    <w:multiLevelType w:val="multilevel"/>
    <w:tmpl w:val="8E48EC6C"/>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4">
    <w:nsid w:val="29A1336E"/>
    <w:multiLevelType w:val="multilevel"/>
    <w:tmpl w:val="93FCD1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14C76FF"/>
    <w:multiLevelType w:val="multilevel"/>
    <w:tmpl w:val="CACEFD7E"/>
    <w:lvl w:ilvl="0">
      <w:start w:val="1"/>
      <w:numFmt w:val="bullet"/>
      <w:lvlText w:val="•"/>
      <w:lvlJc w:val="left"/>
      <w:rPr>
        <w:color w:val="000000"/>
        <w:position w:val="0"/>
        <w:u w:val="none" w:color="000000"/>
      </w:rPr>
    </w:lvl>
    <w:lvl w:ilvl="1">
      <w:start w:val="1"/>
      <w:numFmt w:val="bullet"/>
      <w:lvlText w:val="o"/>
      <w:lvlJc w:val="left"/>
      <w:rPr>
        <w:color w:val="000000"/>
        <w:position w:val="0"/>
        <w:u w:val="none" w:color="000000"/>
      </w:rPr>
    </w:lvl>
    <w:lvl w:ilvl="2">
      <w:start w:val="1"/>
      <w:numFmt w:val="bullet"/>
      <w:lvlText w:val="▪"/>
      <w:lvlJc w:val="left"/>
      <w:rPr>
        <w:color w:val="000000"/>
        <w:position w:val="0"/>
        <w:u w:val="none" w:color="000000"/>
      </w:rPr>
    </w:lvl>
    <w:lvl w:ilvl="3">
      <w:start w:val="1"/>
      <w:numFmt w:val="bullet"/>
      <w:lvlText w:val="•"/>
      <w:lvlJc w:val="left"/>
      <w:rPr>
        <w:color w:val="000000"/>
        <w:position w:val="0"/>
        <w:u w:val="none" w:color="000000"/>
      </w:rPr>
    </w:lvl>
    <w:lvl w:ilvl="4">
      <w:start w:val="1"/>
      <w:numFmt w:val="bullet"/>
      <w:lvlText w:val="o"/>
      <w:lvlJc w:val="left"/>
      <w:rPr>
        <w:color w:val="000000"/>
        <w:position w:val="0"/>
        <w:u w:val="none" w:color="000000"/>
      </w:rPr>
    </w:lvl>
    <w:lvl w:ilvl="5">
      <w:start w:val="1"/>
      <w:numFmt w:val="bullet"/>
      <w:lvlText w:val="▪"/>
      <w:lvlJc w:val="left"/>
      <w:rPr>
        <w:color w:val="000000"/>
        <w:position w:val="0"/>
        <w:u w:val="none" w:color="000000"/>
      </w:rPr>
    </w:lvl>
    <w:lvl w:ilvl="6">
      <w:start w:val="1"/>
      <w:numFmt w:val="bullet"/>
      <w:lvlText w:val="•"/>
      <w:lvlJc w:val="left"/>
      <w:rPr>
        <w:color w:val="000000"/>
        <w:position w:val="0"/>
        <w:u w:val="none" w:color="000000"/>
      </w:rPr>
    </w:lvl>
    <w:lvl w:ilvl="7">
      <w:start w:val="1"/>
      <w:numFmt w:val="bullet"/>
      <w:lvlText w:val="o"/>
      <w:lvlJc w:val="left"/>
      <w:rPr>
        <w:color w:val="000000"/>
        <w:position w:val="0"/>
        <w:u w:val="none" w:color="000000"/>
      </w:rPr>
    </w:lvl>
    <w:lvl w:ilvl="8">
      <w:start w:val="1"/>
      <w:numFmt w:val="bullet"/>
      <w:lvlText w:val="▪"/>
      <w:lvlJc w:val="left"/>
      <w:rPr>
        <w:color w:val="000000"/>
        <w:position w:val="0"/>
        <w:u w:val="none" w:color="000000"/>
      </w:rPr>
    </w:lvl>
  </w:abstractNum>
  <w:abstractNum w:abstractNumId="6">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438F7FF1"/>
    <w:multiLevelType w:val="multilevel"/>
    <w:tmpl w:val="4A64717C"/>
    <w:lvl w:ilvl="0">
      <w:start w:val="1"/>
      <w:numFmt w:val="bullet"/>
      <w:lvlText w:val="•"/>
      <w:lvlJc w:val="left"/>
      <w:rPr>
        <w:color w:val="000000"/>
        <w:position w:val="0"/>
        <w:u w:val="none" w:color="000000"/>
      </w:rPr>
    </w:lvl>
    <w:lvl w:ilvl="1">
      <w:start w:val="1"/>
      <w:numFmt w:val="bullet"/>
      <w:lvlText w:val="o"/>
      <w:lvlJc w:val="left"/>
      <w:rPr>
        <w:color w:val="000000"/>
        <w:position w:val="0"/>
        <w:u w:val="none" w:color="000000"/>
      </w:rPr>
    </w:lvl>
    <w:lvl w:ilvl="2">
      <w:start w:val="1"/>
      <w:numFmt w:val="bullet"/>
      <w:lvlText w:val="▪"/>
      <w:lvlJc w:val="left"/>
      <w:rPr>
        <w:color w:val="000000"/>
        <w:position w:val="0"/>
        <w:u w:val="none" w:color="000000"/>
      </w:rPr>
    </w:lvl>
    <w:lvl w:ilvl="3">
      <w:start w:val="1"/>
      <w:numFmt w:val="bullet"/>
      <w:lvlText w:val="•"/>
      <w:lvlJc w:val="left"/>
      <w:rPr>
        <w:color w:val="000000"/>
        <w:position w:val="0"/>
        <w:u w:val="none" w:color="000000"/>
      </w:rPr>
    </w:lvl>
    <w:lvl w:ilvl="4">
      <w:start w:val="1"/>
      <w:numFmt w:val="bullet"/>
      <w:lvlText w:val="o"/>
      <w:lvlJc w:val="left"/>
      <w:rPr>
        <w:color w:val="000000"/>
        <w:position w:val="0"/>
        <w:u w:val="none" w:color="000000"/>
      </w:rPr>
    </w:lvl>
    <w:lvl w:ilvl="5">
      <w:start w:val="1"/>
      <w:numFmt w:val="bullet"/>
      <w:lvlText w:val="▪"/>
      <w:lvlJc w:val="left"/>
      <w:rPr>
        <w:color w:val="000000"/>
        <w:position w:val="0"/>
        <w:u w:val="none" w:color="000000"/>
      </w:rPr>
    </w:lvl>
    <w:lvl w:ilvl="6">
      <w:start w:val="1"/>
      <w:numFmt w:val="bullet"/>
      <w:lvlText w:val="•"/>
      <w:lvlJc w:val="left"/>
      <w:rPr>
        <w:color w:val="000000"/>
        <w:position w:val="0"/>
        <w:u w:val="none" w:color="000000"/>
      </w:rPr>
    </w:lvl>
    <w:lvl w:ilvl="7">
      <w:start w:val="1"/>
      <w:numFmt w:val="bullet"/>
      <w:lvlText w:val="o"/>
      <w:lvlJc w:val="left"/>
      <w:rPr>
        <w:color w:val="000000"/>
        <w:position w:val="0"/>
        <w:u w:val="none" w:color="000000"/>
      </w:rPr>
    </w:lvl>
    <w:lvl w:ilvl="8">
      <w:start w:val="1"/>
      <w:numFmt w:val="bullet"/>
      <w:lvlText w:val="▪"/>
      <w:lvlJc w:val="left"/>
      <w:rPr>
        <w:color w:val="000000"/>
        <w:position w:val="0"/>
        <w:u w:val="none" w:color="000000"/>
      </w:rPr>
    </w:lvl>
  </w:abstractNum>
  <w:abstractNum w:abstractNumId="8">
    <w:nsid w:val="45743BDA"/>
    <w:multiLevelType w:val="multilevel"/>
    <w:tmpl w:val="A7BA2666"/>
    <w:styleLink w:val="List31"/>
    <w:lvl w:ilvl="0">
      <w:numFmt w:val="bullet"/>
      <w:lvlText w:val="•"/>
      <w:lvlJc w:val="left"/>
      <w:rPr>
        <w:color w:val="000000"/>
        <w:position w:val="0"/>
        <w:u w:val="single" w:color="0000CC"/>
      </w:rPr>
    </w:lvl>
    <w:lvl w:ilvl="1">
      <w:start w:val="1"/>
      <w:numFmt w:val="bullet"/>
      <w:lvlText w:val="o"/>
      <w:lvlJc w:val="left"/>
      <w:rPr>
        <w:color w:val="000000"/>
        <w:position w:val="0"/>
        <w:u w:val="single" w:color="0000CC"/>
      </w:rPr>
    </w:lvl>
    <w:lvl w:ilvl="2">
      <w:start w:val="1"/>
      <w:numFmt w:val="bullet"/>
      <w:lvlText w:val="▪"/>
      <w:lvlJc w:val="left"/>
      <w:rPr>
        <w:color w:val="000000"/>
        <w:position w:val="0"/>
        <w:u w:val="single" w:color="0000CC"/>
      </w:rPr>
    </w:lvl>
    <w:lvl w:ilvl="3">
      <w:start w:val="1"/>
      <w:numFmt w:val="bullet"/>
      <w:lvlText w:val="•"/>
      <w:lvlJc w:val="left"/>
      <w:rPr>
        <w:color w:val="000000"/>
        <w:position w:val="0"/>
        <w:u w:val="single" w:color="0000CC"/>
      </w:rPr>
    </w:lvl>
    <w:lvl w:ilvl="4">
      <w:start w:val="1"/>
      <w:numFmt w:val="bullet"/>
      <w:lvlText w:val="o"/>
      <w:lvlJc w:val="left"/>
      <w:rPr>
        <w:color w:val="000000"/>
        <w:position w:val="0"/>
        <w:u w:val="single" w:color="0000CC"/>
      </w:rPr>
    </w:lvl>
    <w:lvl w:ilvl="5">
      <w:start w:val="1"/>
      <w:numFmt w:val="bullet"/>
      <w:lvlText w:val="▪"/>
      <w:lvlJc w:val="left"/>
      <w:rPr>
        <w:color w:val="000000"/>
        <w:position w:val="0"/>
        <w:u w:val="single" w:color="0000CC"/>
      </w:rPr>
    </w:lvl>
    <w:lvl w:ilvl="6">
      <w:start w:val="1"/>
      <w:numFmt w:val="bullet"/>
      <w:lvlText w:val="•"/>
      <w:lvlJc w:val="left"/>
      <w:rPr>
        <w:color w:val="000000"/>
        <w:position w:val="0"/>
        <w:u w:val="single" w:color="0000CC"/>
      </w:rPr>
    </w:lvl>
    <w:lvl w:ilvl="7">
      <w:start w:val="1"/>
      <w:numFmt w:val="bullet"/>
      <w:lvlText w:val="o"/>
      <w:lvlJc w:val="left"/>
      <w:rPr>
        <w:color w:val="000000"/>
        <w:position w:val="0"/>
        <w:u w:val="single" w:color="0000CC"/>
      </w:rPr>
    </w:lvl>
    <w:lvl w:ilvl="8">
      <w:start w:val="1"/>
      <w:numFmt w:val="bullet"/>
      <w:lvlText w:val="▪"/>
      <w:lvlJc w:val="left"/>
      <w:rPr>
        <w:color w:val="000000"/>
        <w:position w:val="0"/>
        <w:u w:val="single" w:color="0000CC"/>
      </w:rPr>
    </w:lvl>
  </w:abstractNum>
  <w:abstractNum w:abstractNumId="9">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8454D0B"/>
    <w:multiLevelType w:val="multilevel"/>
    <w:tmpl w:val="D4B22AF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59CD47FB"/>
    <w:multiLevelType w:val="multilevel"/>
    <w:tmpl w:val="6574ABE0"/>
    <w:lvl w:ilvl="0">
      <w:start w:val="1"/>
      <w:numFmt w:val="bullet"/>
      <w:lvlText w:val="•"/>
      <w:lvlJc w:val="left"/>
      <w:rPr>
        <w:color w:val="000000"/>
        <w:position w:val="0"/>
        <w:u w:val="single" w:color="0000CC"/>
      </w:rPr>
    </w:lvl>
    <w:lvl w:ilvl="1">
      <w:start w:val="1"/>
      <w:numFmt w:val="bullet"/>
      <w:lvlText w:val="o"/>
      <w:lvlJc w:val="left"/>
      <w:rPr>
        <w:color w:val="000000"/>
        <w:position w:val="0"/>
        <w:u w:val="single" w:color="0000CC"/>
      </w:rPr>
    </w:lvl>
    <w:lvl w:ilvl="2">
      <w:start w:val="1"/>
      <w:numFmt w:val="bullet"/>
      <w:lvlText w:val="▪"/>
      <w:lvlJc w:val="left"/>
      <w:rPr>
        <w:color w:val="000000"/>
        <w:position w:val="0"/>
        <w:u w:val="single" w:color="0000CC"/>
      </w:rPr>
    </w:lvl>
    <w:lvl w:ilvl="3">
      <w:start w:val="1"/>
      <w:numFmt w:val="bullet"/>
      <w:lvlText w:val="•"/>
      <w:lvlJc w:val="left"/>
      <w:rPr>
        <w:color w:val="000000"/>
        <w:position w:val="0"/>
        <w:u w:val="single" w:color="0000CC"/>
      </w:rPr>
    </w:lvl>
    <w:lvl w:ilvl="4">
      <w:start w:val="1"/>
      <w:numFmt w:val="bullet"/>
      <w:lvlText w:val="o"/>
      <w:lvlJc w:val="left"/>
      <w:rPr>
        <w:color w:val="000000"/>
        <w:position w:val="0"/>
        <w:u w:val="single" w:color="0000CC"/>
      </w:rPr>
    </w:lvl>
    <w:lvl w:ilvl="5">
      <w:start w:val="1"/>
      <w:numFmt w:val="bullet"/>
      <w:lvlText w:val="▪"/>
      <w:lvlJc w:val="left"/>
      <w:rPr>
        <w:color w:val="000000"/>
        <w:position w:val="0"/>
        <w:u w:val="single" w:color="0000CC"/>
      </w:rPr>
    </w:lvl>
    <w:lvl w:ilvl="6">
      <w:start w:val="1"/>
      <w:numFmt w:val="bullet"/>
      <w:lvlText w:val="•"/>
      <w:lvlJc w:val="left"/>
      <w:rPr>
        <w:color w:val="000000"/>
        <w:position w:val="0"/>
        <w:u w:val="single" w:color="0000CC"/>
      </w:rPr>
    </w:lvl>
    <w:lvl w:ilvl="7">
      <w:start w:val="1"/>
      <w:numFmt w:val="bullet"/>
      <w:lvlText w:val="o"/>
      <w:lvlJc w:val="left"/>
      <w:rPr>
        <w:color w:val="000000"/>
        <w:position w:val="0"/>
        <w:u w:val="single" w:color="0000CC"/>
      </w:rPr>
    </w:lvl>
    <w:lvl w:ilvl="8">
      <w:start w:val="1"/>
      <w:numFmt w:val="bullet"/>
      <w:lvlText w:val="▪"/>
      <w:lvlJc w:val="left"/>
      <w:rPr>
        <w:color w:val="000000"/>
        <w:position w:val="0"/>
        <w:u w:val="single" w:color="0000CC"/>
      </w:rPr>
    </w:lvl>
  </w:abstractNum>
  <w:abstractNum w:abstractNumId="12">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3">
    <w:nsid w:val="6850099B"/>
    <w:multiLevelType w:val="multilevel"/>
    <w:tmpl w:val="46DA96D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77F54750"/>
    <w:multiLevelType w:val="multilevel"/>
    <w:tmpl w:val="35E64392"/>
    <w:lvl w:ilvl="0">
      <w:start w:val="1"/>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num w:numId="1">
    <w:abstractNumId w:val="1"/>
  </w:num>
  <w:num w:numId="2">
    <w:abstractNumId w:val="10"/>
  </w:num>
  <w:num w:numId="3">
    <w:abstractNumId w:val="0"/>
  </w:num>
  <w:num w:numId="4">
    <w:abstractNumId w:val="13"/>
  </w:num>
  <w:num w:numId="5">
    <w:abstractNumId w:val="4"/>
  </w:num>
  <w:num w:numId="6">
    <w:abstractNumId w:val="9"/>
  </w:num>
  <w:num w:numId="7">
    <w:abstractNumId w:val="2"/>
  </w:num>
  <w:num w:numId="8">
    <w:abstractNumId w:val="12"/>
  </w:num>
  <w:num w:numId="9">
    <w:abstractNumId w:val="6"/>
  </w:num>
  <w:num w:numId="10">
    <w:abstractNumId w:val="14"/>
  </w:num>
  <w:num w:numId="11">
    <w:abstractNumId w:val="7"/>
  </w:num>
  <w:num w:numId="12">
    <w:abstractNumId w:val="3"/>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nH9JNAfxV/k3yITGp17QOnhNFt0=" w:salt="cpwXYgch1A+DvFVbS3B9lw=="/>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3D35"/>
    <w:rsid w:val="0002669D"/>
    <w:rsid w:val="0007655B"/>
    <w:rsid w:val="00103AEF"/>
    <w:rsid w:val="001141E0"/>
    <w:rsid w:val="00187604"/>
    <w:rsid w:val="001C3D35"/>
    <w:rsid w:val="002471EA"/>
    <w:rsid w:val="002654C3"/>
    <w:rsid w:val="00300F8B"/>
    <w:rsid w:val="00406F84"/>
    <w:rsid w:val="004917E2"/>
    <w:rsid w:val="004B676A"/>
    <w:rsid w:val="004E09CF"/>
    <w:rsid w:val="00546C2C"/>
    <w:rsid w:val="00762823"/>
    <w:rsid w:val="00782ADD"/>
    <w:rsid w:val="00812B6D"/>
    <w:rsid w:val="00892BB7"/>
    <w:rsid w:val="009872D2"/>
    <w:rsid w:val="009C680F"/>
    <w:rsid w:val="00A06D89"/>
    <w:rsid w:val="00AD7535"/>
    <w:rsid w:val="00AF7339"/>
    <w:rsid w:val="00C33517"/>
    <w:rsid w:val="00E07463"/>
    <w:rsid w:val="00EB7986"/>
    <w:rsid w:val="00FC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styleId="Footer">
    <w:name w:val="footer"/>
    <w:rPr>
      <w:rFonts w:hAnsi="Arial Unicode MS" w:cs="Arial Unicode MS"/>
      <w:color w:val="000000"/>
      <w:sz w:val="16"/>
      <w:szCs w:val="16"/>
      <w:u w:color="000000"/>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color w:val="000000"/>
      <w:u w:val="none" w:color="000000"/>
    </w:rPr>
  </w:style>
  <w:style w:type="character" w:customStyle="1" w:styleId="Hyperlink0">
    <w:name w:val="Hyperlink.0"/>
    <w:basedOn w:val="Lien"/>
    <w:rPr>
      <w:color w:val="0000CC"/>
      <w:u w:val="single" w:color="0000CC"/>
    </w:rPr>
  </w:style>
  <w:style w:type="numbering" w:customStyle="1" w:styleId="List0">
    <w:name w:val="List 0"/>
    <w:basedOn w:val="Style1import"/>
    <w:pPr>
      <w:numPr>
        <w:numId w:val="3"/>
      </w:numPr>
    </w:pPr>
  </w:style>
  <w:style w:type="numbering" w:customStyle="1" w:styleId="Style1import">
    <w:name w:val="Style 1 importé"/>
  </w:style>
  <w:style w:type="character" w:customStyle="1" w:styleId="Hyperlink1">
    <w:name w:val="Hyperlink.1"/>
    <w:basedOn w:val="Lien"/>
    <w:rPr>
      <w:color w:val="000000"/>
      <w:u w:val="none" w:color="000000"/>
    </w:rPr>
  </w:style>
  <w:style w:type="numbering" w:customStyle="1" w:styleId="List1">
    <w:name w:val="List 1"/>
    <w:basedOn w:val="Style2import"/>
    <w:pPr>
      <w:numPr>
        <w:numId w:val="9"/>
      </w:numPr>
    </w:pPr>
  </w:style>
  <w:style w:type="numbering" w:customStyle="1" w:styleId="Style2import">
    <w:name w:val="Style 2 importé"/>
  </w:style>
  <w:style w:type="numbering" w:customStyle="1" w:styleId="List21">
    <w:name w:val="List 21"/>
    <w:basedOn w:val="Style3import"/>
    <w:pPr>
      <w:numPr>
        <w:numId w:val="12"/>
      </w:numPr>
    </w:pPr>
  </w:style>
  <w:style w:type="numbering" w:customStyle="1" w:styleId="Style3import">
    <w:name w:val="Style 3 importé"/>
  </w:style>
  <w:style w:type="character" w:customStyle="1" w:styleId="Hyperlink2">
    <w:name w:val="Hyperlink.2"/>
    <w:basedOn w:val="Lien"/>
    <w:rPr>
      <w:color w:val="0000CC"/>
      <w:u w:val="single" w:color="0000CC"/>
    </w:rPr>
  </w:style>
  <w:style w:type="numbering" w:customStyle="1" w:styleId="List31">
    <w:name w:val="List 31"/>
    <w:basedOn w:val="Style4import"/>
    <w:pPr>
      <w:numPr>
        <w:numId w:val="15"/>
      </w:numPr>
    </w:pPr>
  </w:style>
  <w:style w:type="numbering" w:customStyle="1" w:styleId="Style4import">
    <w:name w:val="Style 4 importé"/>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80F"/>
    <w:rPr>
      <w:rFonts w:ascii="Tahoma" w:hAnsi="Tahoma" w:cs="Tahoma"/>
      <w:sz w:val="16"/>
      <w:szCs w:val="16"/>
    </w:rPr>
  </w:style>
  <w:style w:type="character" w:customStyle="1" w:styleId="BalloonTextChar">
    <w:name w:val="Balloon Text Char"/>
    <w:basedOn w:val="DefaultParagraphFont"/>
    <w:link w:val="BalloonText"/>
    <w:uiPriority w:val="99"/>
    <w:semiHidden/>
    <w:rsid w:val="009C680F"/>
    <w:rPr>
      <w:rFonts w:ascii="Tahoma" w:hAnsi="Tahoma" w:cs="Tahoma"/>
      <w:color w:val="000000"/>
      <w:sz w:val="16"/>
      <w:szCs w:val="16"/>
      <w:u w:color="000000"/>
      <w:lang w:eastAsia="en-US"/>
    </w:rPr>
  </w:style>
  <w:style w:type="paragraph" w:styleId="CommentSubject">
    <w:name w:val="annotation subject"/>
    <w:basedOn w:val="CommentText"/>
    <w:next w:val="CommentText"/>
    <w:link w:val="CommentSubjectChar"/>
    <w:uiPriority w:val="99"/>
    <w:semiHidden/>
    <w:unhideWhenUsed/>
    <w:rsid w:val="00A06D89"/>
    <w:rPr>
      <w:b/>
      <w:bCs/>
    </w:rPr>
  </w:style>
  <w:style w:type="character" w:customStyle="1" w:styleId="CommentSubjectChar">
    <w:name w:val="Comment Subject Char"/>
    <w:basedOn w:val="CommentTextChar"/>
    <w:link w:val="CommentSubject"/>
    <w:uiPriority w:val="99"/>
    <w:semiHidden/>
    <w:rsid w:val="00A06D89"/>
    <w:rPr>
      <w:rFonts w:hAnsi="Arial Unicode MS" w:cs="Arial Unicode MS"/>
      <w:b/>
      <w:bCs/>
      <w:color w:val="000000"/>
      <w:u w:color="000000"/>
      <w:lang w:eastAsia="en-US"/>
    </w:rPr>
  </w:style>
  <w:style w:type="paragraph" w:customStyle="1" w:styleId="Default">
    <w:name w:val="Default"/>
    <w:rsid w:val="00A06D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SimSun"/>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styleId="Footer">
    <w:name w:val="footer"/>
    <w:rPr>
      <w:rFonts w:hAnsi="Arial Unicode MS" w:cs="Arial Unicode MS"/>
      <w:color w:val="000000"/>
      <w:sz w:val="16"/>
      <w:szCs w:val="16"/>
      <w:u w:color="000000"/>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color w:val="000000"/>
      <w:u w:val="none" w:color="000000"/>
    </w:rPr>
  </w:style>
  <w:style w:type="character" w:customStyle="1" w:styleId="Hyperlink0">
    <w:name w:val="Hyperlink.0"/>
    <w:basedOn w:val="Lien"/>
    <w:rPr>
      <w:color w:val="0000CC"/>
      <w:u w:val="single" w:color="0000CC"/>
    </w:rPr>
  </w:style>
  <w:style w:type="numbering" w:customStyle="1" w:styleId="List0">
    <w:name w:val="List 0"/>
    <w:basedOn w:val="Style1import"/>
    <w:pPr>
      <w:numPr>
        <w:numId w:val="3"/>
      </w:numPr>
    </w:pPr>
  </w:style>
  <w:style w:type="numbering" w:customStyle="1" w:styleId="Style1import">
    <w:name w:val="Style 1 importé"/>
  </w:style>
  <w:style w:type="character" w:customStyle="1" w:styleId="Hyperlink1">
    <w:name w:val="Hyperlink.1"/>
    <w:basedOn w:val="Lien"/>
    <w:rPr>
      <w:color w:val="000000"/>
      <w:u w:val="none" w:color="000000"/>
    </w:rPr>
  </w:style>
  <w:style w:type="numbering" w:customStyle="1" w:styleId="List1">
    <w:name w:val="List 1"/>
    <w:basedOn w:val="Style2import"/>
    <w:pPr>
      <w:numPr>
        <w:numId w:val="9"/>
      </w:numPr>
    </w:pPr>
  </w:style>
  <w:style w:type="numbering" w:customStyle="1" w:styleId="Style2import">
    <w:name w:val="Style 2 importé"/>
  </w:style>
  <w:style w:type="numbering" w:customStyle="1" w:styleId="List21">
    <w:name w:val="List 21"/>
    <w:basedOn w:val="Style3import"/>
    <w:pPr>
      <w:numPr>
        <w:numId w:val="12"/>
      </w:numPr>
    </w:pPr>
  </w:style>
  <w:style w:type="numbering" w:customStyle="1" w:styleId="Style3import">
    <w:name w:val="Style 3 importé"/>
  </w:style>
  <w:style w:type="character" w:customStyle="1" w:styleId="Hyperlink2">
    <w:name w:val="Hyperlink.2"/>
    <w:basedOn w:val="Lien"/>
    <w:rPr>
      <w:color w:val="0000CC"/>
      <w:u w:val="single" w:color="0000CC"/>
    </w:rPr>
  </w:style>
  <w:style w:type="numbering" w:customStyle="1" w:styleId="List31">
    <w:name w:val="List 31"/>
    <w:basedOn w:val="Style4import"/>
    <w:pPr>
      <w:numPr>
        <w:numId w:val="15"/>
      </w:numPr>
    </w:pPr>
  </w:style>
  <w:style w:type="numbering" w:customStyle="1" w:styleId="Style4import">
    <w:name w:val="Style 4 importé"/>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80F"/>
    <w:rPr>
      <w:rFonts w:ascii="Tahoma" w:hAnsi="Tahoma" w:cs="Tahoma"/>
      <w:sz w:val="16"/>
      <w:szCs w:val="16"/>
    </w:rPr>
  </w:style>
  <w:style w:type="character" w:customStyle="1" w:styleId="BalloonTextChar">
    <w:name w:val="Balloon Text Char"/>
    <w:basedOn w:val="DefaultParagraphFont"/>
    <w:link w:val="BalloonText"/>
    <w:uiPriority w:val="99"/>
    <w:semiHidden/>
    <w:rsid w:val="009C680F"/>
    <w:rPr>
      <w:rFonts w:ascii="Tahoma" w:hAnsi="Tahoma" w:cs="Tahoma"/>
      <w:color w:val="000000"/>
      <w:sz w:val="16"/>
      <w:szCs w:val="16"/>
      <w:u w:color="000000"/>
      <w:lang w:eastAsia="en-US"/>
    </w:rPr>
  </w:style>
  <w:style w:type="paragraph" w:styleId="CommentSubject">
    <w:name w:val="annotation subject"/>
    <w:basedOn w:val="CommentText"/>
    <w:next w:val="CommentText"/>
    <w:link w:val="CommentSubjectChar"/>
    <w:uiPriority w:val="99"/>
    <w:semiHidden/>
    <w:unhideWhenUsed/>
    <w:rsid w:val="00A06D89"/>
    <w:rPr>
      <w:b/>
      <w:bCs/>
    </w:rPr>
  </w:style>
  <w:style w:type="character" w:customStyle="1" w:styleId="CommentSubjectChar">
    <w:name w:val="Comment Subject Char"/>
    <w:basedOn w:val="CommentTextChar"/>
    <w:link w:val="CommentSubject"/>
    <w:uiPriority w:val="99"/>
    <w:semiHidden/>
    <w:rsid w:val="00A06D89"/>
    <w:rPr>
      <w:rFonts w:hAnsi="Arial Unicode MS" w:cs="Arial Unicode MS"/>
      <w:b/>
      <w:bCs/>
      <w:color w:val="000000"/>
      <w:u w:color="000000"/>
      <w:lang w:eastAsia="en-US"/>
    </w:rPr>
  </w:style>
  <w:style w:type="paragraph" w:customStyle="1" w:styleId="Default">
    <w:name w:val="Default"/>
    <w:rsid w:val="00A06D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SimSu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6964">
      <w:bodyDiv w:val="1"/>
      <w:marLeft w:val="0"/>
      <w:marRight w:val="0"/>
      <w:marTop w:val="0"/>
      <w:marBottom w:val="0"/>
      <w:divBdr>
        <w:top w:val="none" w:sz="0" w:space="0" w:color="auto"/>
        <w:left w:val="none" w:sz="0" w:space="0" w:color="auto"/>
        <w:bottom w:val="none" w:sz="0" w:space="0" w:color="auto"/>
        <w:right w:val="none" w:sz="0" w:space="0" w:color="auto"/>
      </w:divBdr>
    </w:div>
    <w:div w:id="120070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hrbodies/cedaw/statements/statementonnhris.pdf" TargetMode="External"/><Relationship Id="rId13" Type="http://schemas.openxmlformats.org/officeDocument/2006/relationships/hyperlink" Target="mailto:cedaw@ohchr.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tv.un.org/meetings-events/" TargetMode="External"/><Relationship Id="rId17" Type="http://schemas.openxmlformats.org/officeDocument/2006/relationships/hyperlink" Target="http://www.ohchr.org/en/aboutus/pages/civilsociety.aspx" TargetMode="External"/><Relationship Id="rId2" Type="http://schemas.openxmlformats.org/officeDocument/2006/relationships/styles" Target="styles.xml"/><Relationship Id="rId16" Type="http://schemas.openxmlformats.org/officeDocument/2006/relationships/hyperlink" Target="http://www.ohchr.org/en/hrbodies/cedaw/pages/cedaw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daw@ohchr.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eg.unog.ch/event/16995/" TargetMode="External"/><Relationship Id="rId23" Type="http://schemas.openxmlformats.org/officeDocument/2006/relationships/customXml" Target="../customXml/item2.xml"/><Relationship Id="rId10" Type="http://schemas.openxmlformats.org/officeDocument/2006/relationships/hyperlink" Target="mailto:cedaw@ohch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daw@ohchr.org" TargetMode="External"/><Relationship Id="rId14" Type="http://schemas.openxmlformats.org/officeDocument/2006/relationships/hyperlink" Target="https://reg.unog.ch/event/16993/" TargetMode="External"/><Relationship Id="rId22" Type="http://schemas.openxmlformats.org/officeDocument/2006/relationships/customXml" Target="../customXml/item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6A0CA-83F2-49A6-B02E-7647428CC681}"/>
</file>

<file path=customXml/itemProps2.xml><?xml version="1.0" encoding="utf-8"?>
<ds:datastoreItem xmlns:ds="http://schemas.openxmlformats.org/officeDocument/2006/customXml" ds:itemID="{8E88BB56-DCB1-4555-966D-DDA91B174B0D}"/>
</file>

<file path=customXml/itemProps3.xml><?xml version="1.0" encoding="utf-8"?>
<ds:datastoreItem xmlns:ds="http://schemas.openxmlformats.org/officeDocument/2006/customXml" ds:itemID="{A5A36797-3728-4145-93D6-24642EEF03FF}"/>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SCHNEIDER</dc:creator>
  <cp:lastModifiedBy>Irene del Pilar Sandoval</cp:lastModifiedBy>
  <cp:revision>3</cp:revision>
  <cp:lastPrinted>2016-12-07T08:43:00Z</cp:lastPrinted>
  <dcterms:created xsi:type="dcterms:W3CDTF">2017-05-17T15:46:00Z</dcterms:created>
  <dcterms:modified xsi:type="dcterms:W3CDTF">2017-05-17T15:46:00Z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