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247AC3" w14:textId="06458289" w:rsidR="00D269A6" w:rsidRPr="00446153" w:rsidRDefault="00D269A6" w:rsidP="00241DE4">
      <w:pPr>
        <w:spacing w:after="120" w:line="240" w:lineRule="auto"/>
        <w:jc w:val="both"/>
        <w:rPr>
          <w:rFonts w:cs="Calibri"/>
          <w:b/>
          <w:color w:val="000000"/>
          <w:sz w:val="23"/>
          <w:szCs w:val="23"/>
        </w:rPr>
      </w:pPr>
      <w:bookmarkStart w:id="0" w:name="_GoBack"/>
      <w:bookmarkEnd w:id="0"/>
    </w:p>
    <w:p w14:paraId="6B2184B0" w14:textId="5AB4F4F6" w:rsidR="002A2168" w:rsidRPr="00446153" w:rsidRDefault="00446153" w:rsidP="00BE66B3">
      <w:pPr>
        <w:spacing w:after="120" w:line="240" w:lineRule="auto"/>
        <w:jc w:val="center"/>
        <w:rPr>
          <w:rFonts w:cs="Calibri"/>
          <w:b/>
          <w:color w:val="000000"/>
          <w:sz w:val="23"/>
          <w:szCs w:val="23"/>
        </w:rPr>
      </w:pPr>
      <w:r w:rsidRPr="00446153">
        <w:rPr>
          <w:rFonts w:cs="Calibri"/>
          <w:b/>
          <w:noProof/>
          <w:color w:val="000000"/>
          <w:sz w:val="23"/>
          <w:szCs w:val="23"/>
          <w:lang w:val="en-GB" w:eastAsia="en-GB"/>
        </w:rPr>
        <w:pict w14:anchorId="4F1459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397.5pt;height:341.25pt;visibility:visible;mso-wrap-style:square">
            <v:imagedata r:id="rId8" o:title=""/>
          </v:shape>
        </w:pict>
      </w:r>
    </w:p>
    <w:p w14:paraId="2622F4E5" w14:textId="77777777" w:rsidR="002A2168" w:rsidRPr="00446153" w:rsidRDefault="002A2168" w:rsidP="001E281F">
      <w:pPr>
        <w:spacing w:after="120" w:line="240" w:lineRule="auto"/>
        <w:jc w:val="center"/>
        <w:rPr>
          <w:rFonts w:cs="Calibri"/>
          <w:b/>
          <w:color w:val="000000"/>
          <w:sz w:val="23"/>
          <w:szCs w:val="23"/>
        </w:rPr>
      </w:pPr>
      <w:r w:rsidRPr="00446153">
        <w:rPr>
          <w:rFonts w:cs="Calibri"/>
          <w:b/>
          <w:color w:val="000000"/>
          <w:sz w:val="23"/>
          <w:szCs w:val="23"/>
        </w:rPr>
        <w:t>INFORME DE LA SOCIEDAD CIVIL DE CHILE AL COMITÉ CONTRA LA TORTURA DE NACIONES UNIDAS RELATIVOS A LA APLICACIÓN DE LA CONVENCIÓN CONTRA LA  TORTURA Y OTROS TRATOS O PENAS CRUELES, INHUMANOS O DEGRADANTES, EN EL MARCO DEL SEXTO EXÁMEN PERIÓDICO DEL ESTADO DE CHILE</w:t>
      </w:r>
    </w:p>
    <w:p w14:paraId="79CF686A" w14:textId="09977129" w:rsidR="00BE66B3" w:rsidRPr="00446153" w:rsidRDefault="002A2168" w:rsidP="001E281F">
      <w:pPr>
        <w:spacing w:after="120" w:line="240" w:lineRule="auto"/>
        <w:jc w:val="center"/>
        <w:rPr>
          <w:rFonts w:cs="Calibri"/>
          <w:b/>
          <w:i/>
          <w:color w:val="000000"/>
          <w:sz w:val="23"/>
          <w:szCs w:val="23"/>
        </w:rPr>
      </w:pPr>
      <w:r w:rsidRPr="00446153">
        <w:rPr>
          <w:rFonts w:cs="Calibri"/>
          <w:b/>
          <w:i/>
          <w:color w:val="000000"/>
          <w:sz w:val="23"/>
          <w:szCs w:val="23"/>
        </w:rPr>
        <w:t>Junio, 2018</w:t>
      </w:r>
    </w:p>
    <w:p w14:paraId="3CEE27B4" w14:textId="77777777" w:rsidR="00F21C56" w:rsidRPr="00446153" w:rsidRDefault="00F21C56" w:rsidP="00F21C56">
      <w:pPr>
        <w:spacing w:after="120" w:line="240" w:lineRule="auto"/>
        <w:contextualSpacing/>
        <w:jc w:val="center"/>
        <w:rPr>
          <w:rFonts w:cs="Calibri"/>
          <w:i/>
          <w:color w:val="000000"/>
          <w:sz w:val="23"/>
          <w:szCs w:val="23"/>
        </w:rPr>
      </w:pPr>
      <w:r w:rsidRPr="00446153">
        <w:rPr>
          <w:rFonts w:cs="Calibri"/>
          <w:i/>
          <w:color w:val="000000"/>
          <w:sz w:val="23"/>
          <w:szCs w:val="23"/>
        </w:rPr>
        <w:t>Centro Regional de Derechos Humanos y Justicia de Género, Corporación Humanas</w:t>
      </w:r>
    </w:p>
    <w:p w14:paraId="49A62B8D" w14:textId="77777777" w:rsidR="00BE66B3" w:rsidRPr="00446153" w:rsidRDefault="00BE66B3" w:rsidP="00BE66B3">
      <w:pPr>
        <w:spacing w:after="120" w:line="240" w:lineRule="auto"/>
        <w:contextualSpacing/>
        <w:jc w:val="center"/>
        <w:rPr>
          <w:rFonts w:cs="Calibri"/>
          <w:i/>
          <w:color w:val="000000"/>
          <w:sz w:val="23"/>
          <w:szCs w:val="23"/>
        </w:rPr>
      </w:pPr>
      <w:r w:rsidRPr="00446153">
        <w:rPr>
          <w:rFonts w:cs="Calibri"/>
          <w:i/>
          <w:color w:val="000000"/>
          <w:sz w:val="23"/>
          <w:szCs w:val="23"/>
        </w:rPr>
        <w:t>Acción Gay</w:t>
      </w:r>
    </w:p>
    <w:p w14:paraId="7F130B5A" w14:textId="77777777" w:rsidR="00BE66B3" w:rsidRPr="00446153" w:rsidRDefault="00BE66B3" w:rsidP="00BE66B3">
      <w:pPr>
        <w:spacing w:after="120" w:line="240" w:lineRule="auto"/>
        <w:contextualSpacing/>
        <w:jc w:val="center"/>
        <w:rPr>
          <w:rFonts w:cs="Calibri"/>
          <w:i/>
          <w:color w:val="000000"/>
          <w:sz w:val="23"/>
          <w:szCs w:val="23"/>
        </w:rPr>
      </w:pPr>
      <w:r w:rsidRPr="00446153">
        <w:rPr>
          <w:rFonts w:cs="Calibri"/>
          <w:i/>
          <w:color w:val="000000"/>
          <w:sz w:val="23"/>
          <w:szCs w:val="23"/>
        </w:rPr>
        <w:t>Agrupación Lésbica Rompiendo el Silencio</w:t>
      </w:r>
    </w:p>
    <w:p w14:paraId="5067053D" w14:textId="77777777" w:rsidR="00BE66B3" w:rsidRPr="00446153" w:rsidRDefault="00BE66B3" w:rsidP="00BE66B3">
      <w:pPr>
        <w:spacing w:after="120" w:line="240" w:lineRule="auto"/>
        <w:contextualSpacing/>
        <w:jc w:val="center"/>
        <w:rPr>
          <w:rFonts w:cs="Calibri"/>
          <w:i/>
          <w:color w:val="000000"/>
          <w:sz w:val="23"/>
          <w:szCs w:val="23"/>
        </w:rPr>
      </w:pPr>
      <w:r w:rsidRPr="00446153">
        <w:rPr>
          <w:rFonts w:cs="Calibri"/>
          <w:i/>
          <w:color w:val="000000"/>
          <w:sz w:val="23"/>
          <w:szCs w:val="23"/>
        </w:rPr>
        <w:t>Centro Emancipador de Mujeres y Niñas de Chile</w:t>
      </w:r>
    </w:p>
    <w:p w14:paraId="749A04C6" w14:textId="53B60981" w:rsidR="001E281F" w:rsidRPr="00446153" w:rsidRDefault="001E281F" w:rsidP="00BE66B3">
      <w:pPr>
        <w:spacing w:after="120" w:line="240" w:lineRule="auto"/>
        <w:contextualSpacing/>
        <w:jc w:val="center"/>
        <w:rPr>
          <w:rFonts w:cs="Calibri"/>
          <w:i/>
          <w:color w:val="000000"/>
          <w:sz w:val="23"/>
          <w:szCs w:val="23"/>
        </w:rPr>
      </w:pPr>
      <w:r w:rsidRPr="00446153">
        <w:rPr>
          <w:rFonts w:cs="Calibri"/>
          <w:i/>
          <w:color w:val="000000"/>
          <w:sz w:val="23"/>
          <w:szCs w:val="23"/>
        </w:rPr>
        <w:t>Centro de Estudios de la Mujer</w:t>
      </w:r>
    </w:p>
    <w:p w14:paraId="16074A7F" w14:textId="77777777" w:rsidR="00BE66B3" w:rsidRPr="00446153" w:rsidRDefault="00BE66B3" w:rsidP="00BE66B3">
      <w:pPr>
        <w:spacing w:after="120" w:line="240" w:lineRule="auto"/>
        <w:contextualSpacing/>
        <w:jc w:val="center"/>
        <w:rPr>
          <w:rFonts w:cs="Calibri"/>
          <w:i/>
          <w:color w:val="000000"/>
          <w:sz w:val="23"/>
          <w:szCs w:val="23"/>
        </w:rPr>
      </w:pPr>
      <w:r w:rsidRPr="00446153">
        <w:rPr>
          <w:rFonts w:cs="Calibri"/>
          <w:i/>
          <w:color w:val="000000"/>
          <w:sz w:val="23"/>
          <w:szCs w:val="23"/>
        </w:rPr>
        <w:t>Coordinadora Autónoma contra la Violencia</w:t>
      </w:r>
    </w:p>
    <w:p w14:paraId="5EB0089D" w14:textId="77777777" w:rsidR="00BE66B3" w:rsidRPr="00446153" w:rsidRDefault="00BE66B3" w:rsidP="00BE66B3">
      <w:pPr>
        <w:spacing w:after="120" w:line="240" w:lineRule="auto"/>
        <w:contextualSpacing/>
        <w:jc w:val="center"/>
        <w:rPr>
          <w:rFonts w:cs="Calibri"/>
          <w:i/>
          <w:color w:val="000000"/>
          <w:sz w:val="23"/>
          <w:szCs w:val="23"/>
        </w:rPr>
      </w:pPr>
      <w:r w:rsidRPr="00446153">
        <w:rPr>
          <w:rFonts w:cs="Calibri"/>
          <w:i/>
          <w:color w:val="000000"/>
          <w:sz w:val="23"/>
          <w:szCs w:val="23"/>
        </w:rPr>
        <w:t>Corporación Opción</w:t>
      </w:r>
    </w:p>
    <w:p w14:paraId="72224EAF" w14:textId="62351CD2" w:rsidR="00BE66B3" w:rsidRPr="00446153" w:rsidRDefault="00BE66B3" w:rsidP="00241DE4">
      <w:pPr>
        <w:spacing w:after="120" w:line="240" w:lineRule="auto"/>
        <w:contextualSpacing/>
        <w:jc w:val="center"/>
        <w:rPr>
          <w:rFonts w:cs="Calibri"/>
          <w:i/>
          <w:color w:val="000000"/>
          <w:sz w:val="23"/>
          <w:szCs w:val="23"/>
        </w:rPr>
      </w:pPr>
      <w:r w:rsidRPr="00446153">
        <w:rPr>
          <w:rFonts w:cs="Calibri"/>
          <w:i/>
          <w:color w:val="000000"/>
          <w:sz w:val="23"/>
          <w:szCs w:val="23"/>
        </w:rPr>
        <w:t>Observatorio Contra el Acoso Callejero</w:t>
      </w:r>
    </w:p>
    <w:p w14:paraId="25039D2C" w14:textId="77777777" w:rsidR="00BE66B3" w:rsidRPr="00446153" w:rsidRDefault="00BE66B3" w:rsidP="00BE66B3">
      <w:pPr>
        <w:spacing w:after="120" w:line="240" w:lineRule="auto"/>
        <w:contextualSpacing/>
        <w:jc w:val="center"/>
        <w:rPr>
          <w:rFonts w:cs="Calibri"/>
          <w:i/>
          <w:color w:val="000000"/>
          <w:sz w:val="23"/>
          <w:szCs w:val="23"/>
        </w:rPr>
      </w:pPr>
      <w:r w:rsidRPr="00446153">
        <w:rPr>
          <w:rFonts w:cs="Calibri"/>
          <w:i/>
          <w:color w:val="000000"/>
          <w:sz w:val="23"/>
          <w:szCs w:val="23"/>
        </w:rPr>
        <w:t>Fundación Instituto de la Mujer</w:t>
      </w:r>
    </w:p>
    <w:p w14:paraId="50C46A7D" w14:textId="0D737F21" w:rsidR="00BE66B3" w:rsidRPr="00446153" w:rsidRDefault="00BE66B3" w:rsidP="00241DE4">
      <w:pPr>
        <w:spacing w:after="120" w:line="240" w:lineRule="auto"/>
        <w:contextualSpacing/>
        <w:jc w:val="center"/>
        <w:rPr>
          <w:rFonts w:cs="Calibri"/>
          <w:i/>
          <w:color w:val="000000"/>
          <w:sz w:val="23"/>
          <w:szCs w:val="23"/>
        </w:rPr>
      </w:pPr>
      <w:r w:rsidRPr="00446153">
        <w:rPr>
          <w:rFonts w:cs="Calibri"/>
          <w:i/>
          <w:color w:val="000000"/>
          <w:sz w:val="23"/>
          <w:szCs w:val="23"/>
        </w:rPr>
        <w:t>Fundación 1367 Cada Memoria José Domingo Cañas</w:t>
      </w:r>
    </w:p>
    <w:p w14:paraId="4ED9EB11" w14:textId="380B3B1D" w:rsidR="00BE66B3" w:rsidRPr="00446153" w:rsidRDefault="00BE66B3" w:rsidP="00241DE4">
      <w:pPr>
        <w:spacing w:after="120" w:line="240" w:lineRule="auto"/>
        <w:contextualSpacing/>
        <w:jc w:val="center"/>
        <w:rPr>
          <w:rFonts w:cs="Calibri"/>
          <w:i/>
          <w:color w:val="000000"/>
          <w:sz w:val="23"/>
          <w:szCs w:val="23"/>
        </w:rPr>
      </w:pPr>
      <w:r w:rsidRPr="00446153">
        <w:rPr>
          <w:rFonts w:cs="Calibri"/>
          <w:i/>
          <w:color w:val="000000"/>
          <w:sz w:val="23"/>
          <w:szCs w:val="23"/>
        </w:rPr>
        <w:t>Litigación Estructural para América del Sur</w:t>
      </w:r>
    </w:p>
    <w:p w14:paraId="1DE4A568" w14:textId="77777777" w:rsidR="00F01E94" w:rsidRPr="00446153" w:rsidRDefault="00BE66B3" w:rsidP="00F01E94">
      <w:pPr>
        <w:spacing w:after="120" w:line="240" w:lineRule="auto"/>
        <w:contextualSpacing/>
        <w:jc w:val="center"/>
        <w:rPr>
          <w:rFonts w:cs="Calibri"/>
          <w:i/>
          <w:color w:val="000000"/>
          <w:sz w:val="23"/>
          <w:szCs w:val="23"/>
        </w:rPr>
      </w:pPr>
      <w:r w:rsidRPr="00446153">
        <w:rPr>
          <w:rFonts w:cs="Calibri"/>
          <w:i/>
          <w:color w:val="000000"/>
          <w:sz w:val="23"/>
          <w:szCs w:val="23"/>
        </w:rPr>
        <w:t>Observatorio de Violencia Institucional en Chile</w:t>
      </w:r>
    </w:p>
    <w:p w14:paraId="11DCD676" w14:textId="77777777" w:rsidR="001E281F" w:rsidRPr="00446153" w:rsidRDefault="001E281F" w:rsidP="00F01E94">
      <w:pPr>
        <w:spacing w:after="120" w:line="240" w:lineRule="auto"/>
        <w:contextualSpacing/>
        <w:rPr>
          <w:rFonts w:cs="Calibri"/>
          <w:b/>
          <w:color w:val="000000"/>
          <w:sz w:val="23"/>
          <w:szCs w:val="23"/>
        </w:rPr>
      </w:pPr>
    </w:p>
    <w:p w14:paraId="601C38EB" w14:textId="77777777" w:rsidR="001E281F" w:rsidRPr="00446153" w:rsidRDefault="001E281F" w:rsidP="00F01E94">
      <w:pPr>
        <w:spacing w:after="120" w:line="240" w:lineRule="auto"/>
        <w:contextualSpacing/>
        <w:rPr>
          <w:rFonts w:cs="Calibri"/>
          <w:b/>
          <w:color w:val="000000"/>
          <w:sz w:val="23"/>
          <w:szCs w:val="23"/>
        </w:rPr>
      </w:pPr>
    </w:p>
    <w:p w14:paraId="509AA9DD" w14:textId="67AA5108" w:rsidR="002A2168" w:rsidRPr="00446153" w:rsidRDefault="00BE66B3" w:rsidP="00F01E94">
      <w:pPr>
        <w:spacing w:after="120" w:line="240" w:lineRule="auto"/>
        <w:contextualSpacing/>
        <w:rPr>
          <w:rFonts w:cs="Calibri"/>
          <w:b/>
          <w:color w:val="000000"/>
          <w:sz w:val="23"/>
          <w:szCs w:val="23"/>
        </w:rPr>
      </w:pPr>
      <w:r w:rsidRPr="00446153">
        <w:rPr>
          <w:rFonts w:cs="Calibri"/>
          <w:b/>
          <w:color w:val="000000"/>
          <w:sz w:val="23"/>
          <w:szCs w:val="23"/>
        </w:rPr>
        <w:lastRenderedPageBreak/>
        <w:t>Antecedentes</w:t>
      </w:r>
    </w:p>
    <w:p w14:paraId="0BF3A056" w14:textId="77777777" w:rsidR="00F01E94" w:rsidRPr="00446153" w:rsidRDefault="00F01E94" w:rsidP="00F01E94">
      <w:pPr>
        <w:spacing w:after="120" w:line="240" w:lineRule="auto"/>
        <w:contextualSpacing/>
        <w:rPr>
          <w:rFonts w:cs="Calibri"/>
          <w:i/>
          <w:color w:val="000000"/>
          <w:sz w:val="23"/>
          <w:szCs w:val="23"/>
        </w:rPr>
      </w:pPr>
    </w:p>
    <w:p w14:paraId="58735B2D" w14:textId="19F40D12" w:rsidR="00E647F9" w:rsidRDefault="00DE0756" w:rsidP="00241DE4">
      <w:pPr>
        <w:spacing w:after="120" w:line="240" w:lineRule="auto"/>
        <w:jc w:val="both"/>
        <w:rPr>
          <w:rFonts w:cs="Calibri"/>
          <w:sz w:val="23"/>
          <w:szCs w:val="23"/>
        </w:rPr>
      </w:pPr>
      <w:r w:rsidRPr="00241DE4">
        <w:rPr>
          <w:rFonts w:cs="Calibri"/>
          <w:sz w:val="23"/>
          <w:szCs w:val="23"/>
        </w:rPr>
        <w:t>En marzo de 2018 asumió</w:t>
      </w:r>
      <w:r w:rsidR="001E6CB4" w:rsidRPr="00241DE4">
        <w:rPr>
          <w:rFonts w:cs="Calibri"/>
          <w:sz w:val="23"/>
          <w:szCs w:val="23"/>
        </w:rPr>
        <w:t xml:space="preserve"> un nuevo go</w:t>
      </w:r>
      <w:r w:rsidRPr="00241DE4">
        <w:rPr>
          <w:rFonts w:cs="Calibri"/>
          <w:sz w:val="23"/>
          <w:szCs w:val="23"/>
        </w:rPr>
        <w:t>bierno en Chile, encabezado por el Presidente Sebastián Piñera. Junto con ello, se anunciaron política</w:t>
      </w:r>
      <w:r w:rsidR="003C016C" w:rsidRPr="00241DE4">
        <w:rPr>
          <w:rFonts w:cs="Calibri"/>
          <w:sz w:val="23"/>
          <w:szCs w:val="23"/>
        </w:rPr>
        <w:t>s</w:t>
      </w:r>
      <w:r w:rsidRPr="00241DE4">
        <w:rPr>
          <w:rFonts w:cs="Calibri"/>
          <w:sz w:val="23"/>
          <w:szCs w:val="23"/>
        </w:rPr>
        <w:t xml:space="preserve"> públicas </w:t>
      </w:r>
      <w:r w:rsidR="001E6CB4" w:rsidRPr="00241DE4">
        <w:rPr>
          <w:rFonts w:cs="Calibri"/>
          <w:sz w:val="23"/>
          <w:szCs w:val="23"/>
        </w:rPr>
        <w:t>más severas en materia de seguridad pública, de p</w:t>
      </w:r>
      <w:r w:rsidR="000D38CC" w:rsidRPr="00241DE4">
        <w:rPr>
          <w:rFonts w:cs="Calibri"/>
          <w:sz w:val="23"/>
          <w:szCs w:val="23"/>
        </w:rPr>
        <w:t xml:space="preserve">revención de crímenes y delitos, </w:t>
      </w:r>
      <w:r w:rsidR="001E6CB4" w:rsidRPr="00241DE4">
        <w:rPr>
          <w:rFonts w:cs="Calibri"/>
          <w:sz w:val="23"/>
          <w:szCs w:val="23"/>
        </w:rPr>
        <w:t>y refuerzo de las fuerzas de orden y seguridad. Si bien la sociedad valora el hecho de vivir en una sociedad resguardada</w:t>
      </w:r>
      <w:r w:rsidR="003C016C" w:rsidRPr="00241DE4">
        <w:rPr>
          <w:rFonts w:cs="Calibri"/>
          <w:sz w:val="23"/>
          <w:szCs w:val="23"/>
        </w:rPr>
        <w:t>,</w:t>
      </w:r>
      <w:r w:rsidR="001E6CB4" w:rsidRPr="00241DE4">
        <w:rPr>
          <w:rFonts w:cs="Calibri"/>
          <w:sz w:val="23"/>
          <w:szCs w:val="23"/>
        </w:rPr>
        <w:t xml:space="preserve"> </w:t>
      </w:r>
      <w:r w:rsidR="00456E81" w:rsidRPr="00241DE4">
        <w:rPr>
          <w:rFonts w:cs="Calibri"/>
          <w:sz w:val="23"/>
          <w:szCs w:val="23"/>
        </w:rPr>
        <w:t>las organizaciones de derechos humanos observan con atención el que la preocupac</w:t>
      </w:r>
      <w:r w:rsidR="000D38CC" w:rsidRPr="00241DE4">
        <w:rPr>
          <w:rFonts w:cs="Calibri"/>
          <w:sz w:val="23"/>
          <w:szCs w:val="23"/>
        </w:rPr>
        <w:t xml:space="preserve">ión por la seguridad pública </w:t>
      </w:r>
      <w:r w:rsidR="00456E81" w:rsidRPr="00241DE4">
        <w:rPr>
          <w:rFonts w:cs="Calibri"/>
          <w:sz w:val="23"/>
          <w:szCs w:val="23"/>
        </w:rPr>
        <w:t>se</w:t>
      </w:r>
      <w:r w:rsidR="000D38CC" w:rsidRPr="00241DE4">
        <w:rPr>
          <w:rFonts w:cs="Calibri"/>
          <w:sz w:val="23"/>
          <w:szCs w:val="23"/>
        </w:rPr>
        <w:t xml:space="preserve"> pueda</w:t>
      </w:r>
      <w:r w:rsidR="006E4F57" w:rsidRPr="00241DE4">
        <w:rPr>
          <w:rFonts w:cs="Calibri"/>
          <w:sz w:val="23"/>
          <w:szCs w:val="23"/>
        </w:rPr>
        <w:t xml:space="preserve"> traducir</w:t>
      </w:r>
      <w:r w:rsidR="00456E81" w:rsidRPr="00241DE4">
        <w:rPr>
          <w:rFonts w:cs="Calibri"/>
          <w:sz w:val="23"/>
          <w:szCs w:val="23"/>
        </w:rPr>
        <w:t xml:space="preserve"> en un aumento de acciones represivas contra la población</w:t>
      </w:r>
      <w:r w:rsidR="00A802DC" w:rsidRPr="00241DE4">
        <w:rPr>
          <w:rStyle w:val="FootnoteReference"/>
          <w:rFonts w:cs="Calibri"/>
          <w:sz w:val="23"/>
          <w:szCs w:val="23"/>
        </w:rPr>
        <w:footnoteReference w:id="1"/>
      </w:r>
      <w:r w:rsidR="00456E81" w:rsidRPr="00241DE4">
        <w:rPr>
          <w:rFonts w:cs="Calibri"/>
          <w:sz w:val="23"/>
          <w:szCs w:val="23"/>
        </w:rPr>
        <w:t>.</w:t>
      </w:r>
    </w:p>
    <w:p w14:paraId="19717430" w14:textId="77777777" w:rsidR="00241DE4" w:rsidRPr="00241DE4" w:rsidRDefault="00241DE4" w:rsidP="00241DE4">
      <w:pPr>
        <w:spacing w:after="120" w:line="240" w:lineRule="auto"/>
        <w:jc w:val="both"/>
        <w:rPr>
          <w:rFonts w:cs="Calibri"/>
          <w:sz w:val="23"/>
          <w:szCs w:val="23"/>
        </w:rPr>
      </w:pPr>
    </w:p>
    <w:p w14:paraId="5C7DA9A8" w14:textId="77777777" w:rsidR="00B47564" w:rsidRDefault="00E647F9" w:rsidP="00241DE4">
      <w:pPr>
        <w:spacing w:after="120" w:line="240" w:lineRule="auto"/>
        <w:jc w:val="both"/>
        <w:rPr>
          <w:rFonts w:cs="Calibri"/>
          <w:sz w:val="23"/>
          <w:szCs w:val="23"/>
        </w:rPr>
      </w:pPr>
      <w:r w:rsidRPr="00241DE4">
        <w:rPr>
          <w:rFonts w:cs="Calibri"/>
          <w:sz w:val="23"/>
          <w:szCs w:val="23"/>
        </w:rPr>
        <w:t xml:space="preserve">Desde abril a junio de 2018, momento en que se elabora este Informe, se ha activado un proceso de protesta social impulsado por el movimiento feminista estudiantil </w:t>
      </w:r>
      <w:r w:rsidR="001E6CB4" w:rsidRPr="00241DE4">
        <w:rPr>
          <w:rFonts w:cs="Calibri"/>
          <w:sz w:val="23"/>
          <w:szCs w:val="23"/>
        </w:rPr>
        <w:t xml:space="preserve">por denuncias </w:t>
      </w:r>
      <w:r w:rsidR="00B34997" w:rsidRPr="00241DE4">
        <w:rPr>
          <w:rFonts w:cs="Calibri"/>
          <w:sz w:val="23"/>
          <w:szCs w:val="23"/>
        </w:rPr>
        <w:t xml:space="preserve">ante vulneraciones </w:t>
      </w:r>
      <w:r w:rsidR="001E6CB4" w:rsidRPr="00241DE4">
        <w:rPr>
          <w:rFonts w:cs="Calibri"/>
          <w:sz w:val="23"/>
          <w:szCs w:val="23"/>
        </w:rPr>
        <w:t xml:space="preserve">al derecho de las mujeres a una vida libre de violencia. En dicho marco, se ha podido evidenciar un abuso de fuerza policial y uso desmedido de la fuerza en manifestaciones sociales o en el desalojo de establecimientos </w:t>
      </w:r>
      <w:r w:rsidRPr="00241DE4">
        <w:rPr>
          <w:rFonts w:cs="Calibri"/>
          <w:sz w:val="23"/>
          <w:szCs w:val="23"/>
        </w:rPr>
        <w:t xml:space="preserve">educacionales </w:t>
      </w:r>
      <w:r w:rsidR="001E6CB4" w:rsidRPr="00241DE4">
        <w:rPr>
          <w:rFonts w:cs="Calibri"/>
          <w:sz w:val="23"/>
          <w:szCs w:val="23"/>
        </w:rPr>
        <w:t xml:space="preserve">públicos </w:t>
      </w:r>
      <w:r w:rsidRPr="00241DE4">
        <w:rPr>
          <w:rFonts w:cs="Calibri"/>
          <w:sz w:val="23"/>
          <w:szCs w:val="23"/>
        </w:rPr>
        <w:t>y</w:t>
      </w:r>
      <w:r w:rsidR="001E6CB4" w:rsidRPr="00241DE4">
        <w:rPr>
          <w:rFonts w:cs="Calibri"/>
          <w:sz w:val="23"/>
          <w:szCs w:val="23"/>
        </w:rPr>
        <w:t xml:space="preserve"> privados. También se ha evidenciado violencia policial en los trayectos a los centros de det</w:t>
      </w:r>
      <w:r w:rsidR="00517D04" w:rsidRPr="00241DE4">
        <w:rPr>
          <w:rFonts w:cs="Calibri"/>
          <w:sz w:val="23"/>
          <w:szCs w:val="23"/>
        </w:rPr>
        <w:t>ención o en el tiempo que perso</w:t>
      </w:r>
      <w:r w:rsidR="001E6CB4" w:rsidRPr="00241DE4">
        <w:rPr>
          <w:rFonts w:cs="Calibri"/>
          <w:sz w:val="23"/>
          <w:szCs w:val="23"/>
        </w:rPr>
        <w:t>n</w:t>
      </w:r>
      <w:r w:rsidR="00517D04" w:rsidRPr="00241DE4">
        <w:rPr>
          <w:rFonts w:cs="Calibri"/>
          <w:sz w:val="23"/>
          <w:szCs w:val="23"/>
        </w:rPr>
        <w:t>a</w:t>
      </w:r>
      <w:r w:rsidR="001E6CB4" w:rsidRPr="00241DE4">
        <w:rPr>
          <w:rFonts w:cs="Calibri"/>
          <w:sz w:val="23"/>
          <w:szCs w:val="23"/>
        </w:rPr>
        <w:t>s (particu</w:t>
      </w:r>
      <w:r w:rsidR="00B34997" w:rsidRPr="00241DE4">
        <w:rPr>
          <w:rFonts w:cs="Calibri"/>
          <w:sz w:val="23"/>
          <w:szCs w:val="23"/>
        </w:rPr>
        <w:t>l</w:t>
      </w:r>
      <w:r w:rsidR="001E6CB4" w:rsidRPr="00241DE4">
        <w:rPr>
          <w:rFonts w:cs="Calibri"/>
          <w:sz w:val="23"/>
          <w:szCs w:val="23"/>
        </w:rPr>
        <w:t>armente mujeres y niñas) han estado detenidas en comisarías.</w:t>
      </w:r>
    </w:p>
    <w:p w14:paraId="30832277" w14:textId="77777777" w:rsidR="00241DE4" w:rsidRPr="00241DE4" w:rsidRDefault="00241DE4" w:rsidP="00241DE4">
      <w:pPr>
        <w:spacing w:after="120" w:line="240" w:lineRule="auto"/>
        <w:jc w:val="both"/>
        <w:rPr>
          <w:rFonts w:cs="Calibri"/>
          <w:sz w:val="23"/>
          <w:szCs w:val="23"/>
        </w:rPr>
      </w:pPr>
    </w:p>
    <w:p w14:paraId="5BE289D7" w14:textId="77777777" w:rsidR="001E6CB4" w:rsidRDefault="001E6CB4" w:rsidP="00241DE4">
      <w:pPr>
        <w:spacing w:after="120" w:line="240" w:lineRule="auto"/>
        <w:jc w:val="both"/>
        <w:rPr>
          <w:rFonts w:cs="Calibri"/>
          <w:sz w:val="23"/>
          <w:szCs w:val="23"/>
        </w:rPr>
      </w:pPr>
      <w:r w:rsidRPr="00241DE4">
        <w:rPr>
          <w:rFonts w:cs="Calibri"/>
          <w:sz w:val="23"/>
          <w:szCs w:val="23"/>
        </w:rPr>
        <w:t>En materia de legislación sobre tortura, se celebra la modificación al Código Penal en el año 2010 que tipifica el delito de tortura y sustituye el de apremios ilegítimos, única figura anteriormente bajo la cual se podían perseguir actos de tortura de funcionarios públicos. Pero es lamentable que se haya hecho una modificación a la legislación penal que no estuviera acompañada de una política pública en la materia que implicara capacitación a</w:t>
      </w:r>
      <w:r w:rsidR="00E647F9" w:rsidRPr="00241DE4">
        <w:rPr>
          <w:rFonts w:cs="Calibri"/>
          <w:sz w:val="23"/>
          <w:szCs w:val="23"/>
        </w:rPr>
        <w:t>l</w:t>
      </w:r>
      <w:r w:rsidRPr="00241DE4">
        <w:rPr>
          <w:rFonts w:cs="Calibri"/>
          <w:sz w:val="23"/>
          <w:szCs w:val="23"/>
        </w:rPr>
        <w:t xml:space="preserve"> funcionari</w:t>
      </w:r>
      <w:r w:rsidR="00E647F9" w:rsidRPr="00241DE4">
        <w:rPr>
          <w:rFonts w:cs="Calibri"/>
          <w:sz w:val="23"/>
          <w:szCs w:val="23"/>
        </w:rPr>
        <w:t>ado público</w:t>
      </w:r>
      <w:r w:rsidRPr="00241DE4">
        <w:rPr>
          <w:rFonts w:cs="Calibri"/>
          <w:sz w:val="23"/>
          <w:szCs w:val="23"/>
        </w:rPr>
        <w:t xml:space="preserve">, </w:t>
      </w:r>
      <w:r w:rsidR="00E647F9" w:rsidRPr="00241DE4">
        <w:rPr>
          <w:rFonts w:cs="Calibri"/>
          <w:sz w:val="23"/>
          <w:szCs w:val="23"/>
        </w:rPr>
        <w:t xml:space="preserve">con </w:t>
      </w:r>
      <w:r w:rsidRPr="00241DE4">
        <w:rPr>
          <w:rFonts w:cs="Calibri"/>
          <w:sz w:val="23"/>
          <w:szCs w:val="23"/>
        </w:rPr>
        <w:t>especial énfasis en prevención y adecuada investigación y sanción de los perpetradores</w:t>
      </w:r>
      <w:r w:rsidR="00E647F9" w:rsidRPr="00241DE4">
        <w:rPr>
          <w:rFonts w:cs="Calibri"/>
          <w:sz w:val="23"/>
          <w:szCs w:val="23"/>
        </w:rPr>
        <w:t xml:space="preserve"> de actos de tortura.</w:t>
      </w:r>
      <w:r w:rsidRPr="00241DE4">
        <w:rPr>
          <w:rFonts w:cs="Calibri"/>
          <w:sz w:val="23"/>
          <w:szCs w:val="23"/>
        </w:rPr>
        <w:t xml:space="preserve"> </w:t>
      </w:r>
    </w:p>
    <w:p w14:paraId="31CDFE95" w14:textId="77777777" w:rsidR="00241DE4" w:rsidRPr="00241DE4" w:rsidRDefault="00241DE4" w:rsidP="00241DE4">
      <w:pPr>
        <w:spacing w:after="120" w:line="240" w:lineRule="auto"/>
        <w:jc w:val="both"/>
        <w:rPr>
          <w:rFonts w:cs="Calibri"/>
          <w:sz w:val="23"/>
          <w:szCs w:val="23"/>
        </w:rPr>
      </w:pPr>
    </w:p>
    <w:p w14:paraId="1CCEE7F5" w14:textId="77777777" w:rsidR="001E6CB4" w:rsidRDefault="001E6CB4" w:rsidP="00241DE4">
      <w:pPr>
        <w:spacing w:after="120" w:line="240" w:lineRule="auto"/>
        <w:jc w:val="both"/>
        <w:rPr>
          <w:rFonts w:cs="Calibri"/>
          <w:sz w:val="23"/>
          <w:szCs w:val="23"/>
        </w:rPr>
      </w:pPr>
      <w:r w:rsidRPr="00241DE4">
        <w:rPr>
          <w:rFonts w:cs="Calibri"/>
          <w:sz w:val="23"/>
          <w:szCs w:val="23"/>
        </w:rPr>
        <w:t>En materia de institucionalidad de derechos humanos, todavía no se cuenta en Chile con una figura del Defensor del Pueblo u Ombudsman que pueda representar a las personas cuyos derechos humanos han sido vulnerados, ni tampoco se ha aprobado el Mecanismos Nacional para la Prevención de la Tortura. Destacamos el hecho d</w:t>
      </w:r>
      <w:r w:rsidR="00235029" w:rsidRPr="00241DE4">
        <w:rPr>
          <w:rFonts w:cs="Calibri"/>
          <w:sz w:val="23"/>
          <w:szCs w:val="23"/>
        </w:rPr>
        <w:t>e contar con un nuevo organismo</w:t>
      </w:r>
      <w:r w:rsidRPr="00241DE4">
        <w:rPr>
          <w:rFonts w:cs="Calibri"/>
          <w:sz w:val="23"/>
          <w:szCs w:val="23"/>
        </w:rPr>
        <w:t xml:space="preserve">, la Subsecretaría de Derechos Humanos, dentro del Ministerio de Justicia y Derechos Humanos, encargada de la elaboración de políticas públicas en la materia. </w:t>
      </w:r>
    </w:p>
    <w:p w14:paraId="46AC5B51" w14:textId="77777777" w:rsidR="00241DE4" w:rsidRPr="00241DE4" w:rsidRDefault="00241DE4" w:rsidP="00241DE4">
      <w:pPr>
        <w:spacing w:after="120" w:line="240" w:lineRule="auto"/>
        <w:jc w:val="both"/>
        <w:rPr>
          <w:rFonts w:cs="Calibri"/>
          <w:sz w:val="23"/>
          <w:szCs w:val="23"/>
        </w:rPr>
      </w:pPr>
    </w:p>
    <w:p w14:paraId="48A5563B" w14:textId="77777777" w:rsidR="00B47564" w:rsidRPr="00241DE4" w:rsidRDefault="001E6CB4" w:rsidP="00241DE4">
      <w:pPr>
        <w:spacing w:after="120" w:line="240" w:lineRule="auto"/>
        <w:jc w:val="both"/>
        <w:rPr>
          <w:rFonts w:cs="Calibri"/>
          <w:sz w:val="23"/>
          <w:szCs w:val="23"/>
        </w:rPr>
      </w:pPr>
      <w:r w:rsidRPr="00241DE4">
        <w:rPr>
          <w:rFonts w:cs="Calibri"/>
          <w:sz w:val="23"/>
          <w:szCs w:val="23"/>
        </w:rPr>
        <w:lastRenderedPageBreak/>
        <w:t>Sobre lo enunciado y otras materia</w:t>
      </w:r>
      <w:r w:rsidR="00235029" w:rsidRPr="00241DE4">
        <w:rPr>
          <w:rFonts w:cs="Calibri"/>
          <w:sz w:val="23"/>
          <w:szCs w:val="23"/>
        </w:rPr>
        <w:t>s</w:t>
      </w:r>
      <w:r w:rsidRPr="00241DE4">
        <w:rPr>
          <w:rFonts w:cs="Calibri"/>
          <w:sz w:val="23"/>
          <w:szCs w:val="23"/>
        </w:rPr>
        <w:t xml:space="preserve"> se dará cuenta en el presente inform</w:t>
      </w:r>
      <w:r w:rsidR="00235029" w:rsidRPr="00241DE4">
        <w:rPr>
          <w:rFonts w:cs="Calibri"/>
          <w:sz w:val="23"/>
          <w:szCs w:val="23"/>
        </w:rPr>
        <w:t>e</w:t>
      </w:r>
      <w:r w:rsidRPr="00241DE4">
        <w:rPr>
          <w:rFonts w:cs="Calibri"/>
          <w:sz w:val="23"/>
          <w:szCs w:val="23"/>
        </w:rPr>
        <w:t xml:space="preserve"> al Comité contra la Tortura, preparado por un conjunto de organizaciones reunidas bajo la </w:t>
      </w:r>
      <w:r w:rsidRPr="00241DE4">
        <w:rPr>
          <w:rFonts w:cs="Calibri"/>
          <w:i/>
          <w:sz w:val="23"/>
          <w:szCs w:val="23"/>
        </w:rPr>
        <w:t xml:space="preserve">Articulación de Derechos Humanos, </w:t>
      </w:r>
      <w:r w:rsidRPr="00241DE4">
        <w:rPr>
          <w:rFonts w:cs="Calibri"/>
          <w:sz w:val="23"/>
          <w:szCs w:val="23"/>
        </w:rPr>
        <w:t xml:space="preserve">articulación que trabaja permanentemente en materia de defensa, protección, incidencia y promoción de derechos humanos en Chile. </w:t>
      </w:r>
    </w:p>
    <w:p w14:paraId="09E9E011" w14:textId="77777777" w:rsidR="00A00E1C" w:rsidRPr="00446153" w:rsidRDefault="00A00E1C" w:rsidP="00241DE4">
      <w:pPr>
        <w:spacing w:after="120" w:line="240" w:lineRule="auto"/>
        <w:jc w:val="both"/>
        <w:rPr>
          <w:rFonts w:cs="Calibri"/>
          <w:b/>
          <w:color w:val="000000"/>
          <w:sz w:val="23"/>
          <w:szCs w:val="23"/>
        </w:rPr>
      </w:pPr>
    </w:p>
    <w:p w14:paraId="31AFA696" w14:textId="77777777" w:rsidR="002A2168" w:rsidRPr="00446153" w:rsidRDefault="002A2168" w:rsidP="00241DE4">
      <w:pPr>
        <w:spacing w:after="120" w:line="240" w:lineRule="auto"/>
        <w:jc w:val="both"/>
        <w:rPr>
          <w:rFonts w:cs="Calibri"/>
          <w:b/>
          <w:color w:val="000000"/>
          <w:sz w:val="28"/>
          <w:szCs w:val="28"/>
        </w:rPr>
      </w:pPr>
      <w:r w:rsidRPr="00446153">
        <w:rPr>
          <w:rFonts w:cs="Calibri"/>
          <w:b/>
          <w:color w:val="000000"/>
          <w:sz w:val="28"/>
          <w:szCs w:val="28"/>
        </w:rPr>
        <w:t>Artículo</w:t>
      </w:r>
      <w:r w:rsidR="004B53E0" w:rsidRPr="00446153">
        <w:rPr>
          <w:rFonts w:cs="Calibri"/>
          <w:b/>
          <w:color w:val="000000"/>
          <w:sz w:val="28"/>
          <w:szCs w:val="28"/>
        </w:rPr>
        <w:t>s</w:t>
      </w:r>
      <w:r w:rsidRPr="00446153">
        <w:rPr>
          <w:rFonts w:cs="Calibri"/>
          <w:b/>
          <w:color w:val="000000"/>
          <w:sz w:val="28"/>
          <w:szCs w:val="28"/>
        </w:rPr>
        <w:t xml:space="preserve"> 1 a</w:t>
      </w:r>
      <w:r w:rsidR="004B53E0" w:rsidRPr="00446153">
        <w:rPr>
          <w:rFonts w:cs="Calibri"/>
          <w:b/>
          <w:color w:val="000000"/>
          <w:sz w:val="28"/>
          <w:szCs w:val="28"/>
        </w:rPr>
        <w:t>l</w:t>
      </w:r>
      <w:r w:rsidRPr="00446153">
        <w:rPr>
          <w:rFonts w:cs="Calibri"/>
          <w:b/>
          <w:color w:val="000000"/>
          <w:sz w:val="28"/>
          <w:szCs w:val="28"/>
        </w:rPr>
        <w:t xml:space="preserve"> 4</w:t>
      </w:r>
    </w:p>
    <w:p w14:paraId="5D380D50" w14:textId="77777777" w:rsidR="00241DE4" w:rsidRPr="00446153" w:rsidRDefault="00241DE4" w:rsidP="00241DE4">
      <w:pPr>
        <w:spacing w:after="120" w:line="240" w:lineRule="auto"/>
        <w:jc w:val="both"/>
        <w:rPr>
          <w:rFonts w:cs="Calibri"/>
          <w:b/>
          <w:color w:val="000000"/>
          <w:sz w:val="28"/>
          <w:szCs w:val="28"/>
        </w:rPr>
      </w:pPr>
    </w:p>
    <w:p w14:paraId="3A968722"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Definición, castigo e imprescriptibilidad de la tortura</w:t>
      </w:r>
    </w:p>
    <w:p w14:paraId="4A639C90" w14:textId="77777777" w:rsidR="00241DE4" w:rsidRPr="00446153" w:rsidRDefault="00241DE4" w:rsidP="00241DE4">
      <w:pPr>
        <w:spacing w:after="120" w:line="240" w:lineRule="auto"/>
        <w:jc w:val="both"/>
        <w:rPr>
          <w:rFonts w:cs="Calibri"/>
          <w:b/>
          <w:color w:val="000000"/>
          <w:sz w:val="23"/>
          <w:szCs w:val="23"/>
        </w:rPr>
      </w:pPr>
    </w:p>
    <w:p w14:paraId="3BCAF77F" w14:textId="77777777" w:rsidR="002A2168" w:rsidRPr="00446153" w:rsidRDefault="00643FD4" w:rsidP="00241DE4">
      <w:pPr>
        <w:spacing w:after="120" w:line="240" w:lineRule="auto"/>
        <w:jc w:val="both"/>
        <w:rPr>
          <w:rFonts w:cs="Calibri"/>
          <w:color w:val="000000"/>
          <w:sz w:val="23"/>
          <w:szCs w:val="23"/>
        </w:rPr>
      </w:pPr>
      <w:r w:rsidRPr="00446153">
        <w:rPr>
          <w:rFonts w:cs="Calibri"/>
          <w:b/>
          <w:color w:val="000000"/>
          <w:sz w:val="23"/>
          <w:szCs w:val="23"/>
        </w:rPr>
        <w:t>1</w:t>
      </w:r>
      <w:r w:rsidR="002A2168" w:rsidRPr="00446153">
        <w:rPr>
          <w:rFonts w:cs="Calibri"/>
          <w:b/>
          <w:color w:val="000000"/>
          <w:sz w:val="23"/>
          <w:szCs w:val="23"/>
        </w:rPr>
        <w:t>.</w:t>
      </w:r>
      <w:r w:rsidR="002A2168" w:rsidRPr="00446153">
        <w:rPr>
          <w:rFonts w:cs="Calibri"/>
          <w:color w:val="000000"/>
          <w:sz w:val="23"/>
          <w:szCs w:val="23"/>
        </w:rPr>
        <w:t xml:space="preserve"> El 11 de noviembre de 2016 de promulgó en Chile la Ley nº 20.968 que </w:t>
      </w:r>
      <w:r w:rsidR="002A2168" w:rsidRPr="00446153">
        <w:rPr>
          <w:rFonts w:cs="Calibri"/>
          <w:i/>
          <w:color w:val="000000"/>
          <w:sz w:val="23"/>
          <w:szCs w:val="23"/>
        </w:rPr>
        <w:t xml:space="preserve">Tipifica Delitos de Tortura, y de Tratos Crueles, Inhumanos y Degradantes, </w:t>
      </w:r>
      <w:r w:rsidR="002A2168" w:rsidRPr="00446153">
        <w:rPr>
          <w:rFonts w:cs="Calibri"/>
          <w:color w:val="000000"/>
          <w:sz w:val="23"/>
          <w:szCs w:val="23"/>
        </w:rPr>
        <w:t xml:space="preserve">modificando normas del Código Penal chileno. </w:t>
      </w:r>
    </w:p>
    <w:p w14:paraId="74859C4C" w14:textId="77777777" w:rsidR="00A00E1C" w:rsidRPr="00241DE4" w:rsidRDefault="00643FD4" w:rsidP="00241DE4">
      <w:pPr>
        <w:spacing w:after="120" w:line="240" w:lineRule="auto"/>
        <w:jc w:val="both"/>
        <w:rPr>
          <w:rFonts w:eastAsia="Times New Roman" w:cs="Calibri"/>
          <w:sz w:val="23"/>
          <w:szCs w:val="23"/>
          <w:lang w:eastAsia="es-ES"/>
        </w:rPr>
      </w:pPr>
      <w:r w:rsidRPr="00241DE4">
        <w:rPr>
          <w:rFonts w:eastAsia="Times New Roman" w:cs="Calibri"/>
          <w:b/>
          <w:sz w:val="23"/>
          <w:szCs w:val="23"/>
          <w:lang w:eastAsia="es-ES"/>
        </w:rPr>
        <w:t>2</w:t>
      </w:r>
      <w:r w:rsidR="002A2168" w:rsidRPr="00241DE4">
        <w:rPr>
          <w:rFonts w:eastAsia="Times New Roman" w:cs="Calibri"/>
          <w:b/>
          <w:sz w:val="23"/>
          <w:szCs w:val="23"/>
          <w:lang w:eastAsia="es-ES"/>
        </w:rPr>
        <w:t>.</w:t>
      </w:r>
      <w:r w:rsidR="002A2168" w:rsidRPr="00241DE4">
        <w:rPr>
          <w:rFonts w:eastAsia="Times New Roman" w:cs="Calibri"/>
          <w:sz w:val="23"/>
          <w:szCs w:val="23"/>
          <w:lang w:eastAsia="es-ES"/>
        </w:rPr>
        <w:t xml:space="preserve"> La definición introducida por la ley representa un avance frente a lo que disponía la </w:t>
      </w:r>
      <w:r w:rsidR="001E6CB4" w:rsidRPr="00241DE4">
        <w:rPr>
          <w:rFonts w:eastAsia="Times New Roman" w:cs="Calibri"/>
          <w:sz w:val="23"/>
          <w:szCs w:val="23"/>
          <w:lang w:eastAsia="es-ES"/>
        </w:rPr>
        <w:t xml:space="preserve">anterior </w:t>
      </w:r>
      <w:r w:rsidR="002A2168" w:rsidRPr="00241DE4">
        <w:rPr>
          <w:rFonts w:eastAsia="Times New Roman" w:cs="Calibri"/>
          <w:sz w:val="23"/>
          <w:szCs w:val="23"/>
          <w:lang w:eastAsia="es-ES"/>
        </w:rPr>
        <w:t xml:space="preserve">figura de apremios ilegítimos del Código Penal, ya que señala que: </w:t>
      </w:r>
    </w:p>
    <w:p w14:paraId="44CA15A8" w14:textId="09006242" w:rsidR="002A2168" w:rsidRPr="00241DE4" w:rsidRDefault="002A2168" w:rsidP="00241DE4">
      <w:pPr>
        <w:spacing w:after="120" w:line="240" w:lineRule="auto"/>
        <w:jc w:val="both"/>
        <w:rPr>
          <w:rFonts w:eastAsia="Times New Roman" w:cs="Calibri"/>
          <w:sz w:val="23"/>
          <w:szCs w:val="23"/>
          <w:lang w:eastAsia="es-ES"/>
        </w:rPr>
      </w:pPr>
      <w:r w:rsidRPr="00241DE4">
        <w:rPr>
          <w:rFonts w:eastAsia="Times New Roman" w:cs="Calibri"/>
          <w:i/>
          <w:sz w:val="23"/>
          <w:szCs w:val="23"/>
          <w:lang w:eastAsia="es-ES"/>
        </w:rPr>
        <w:t>“Se entenderá por tortura t</w:t>
      </w:r>
      <w:r w:rsidR="009E6040" w:rsidRPr="00241DE4">
        <w:rPr>
          <w:rFonts w:eastAsia="Times New Roman" w:cs="Calibri"/>
          <w:i/>
          <w:sz w:val="23"/>
          <w:szCs w:val="23"/>
          <w:lang w:eastAsia="es-ES"/>
        </w:rPr>
        <w:t>odo acto por el cual se inflinja</w:t>
      </w:r>
      <w:r w:rsidRPr="00241DE4">
        <w:rPr>
          <w:rFonts w:eastAsia="Times New Roman" w:cs="Calibri"/>
          <w:i/>
          <w:sz w:val="23"/>
          <w:szCs w:val="23"/>
          <w:lang w:eastAsia="es-ES"/>
        </w:rPr>
        <w:t xml:space="preserve"> intencionalmente a una persona dolores o</w:t>
      </w:r>
      <w:r w:rsidR="009E6040" w:rsidRPr="00241DE4">
        <w:rPr>
          <w:rFonts w:eastAsia="Times New Roman" w:cs="Calibri"/>
          <w:i/>
          <w:sz w:val="23"/>
          <w:szCs w:val="23"/>
          <w:lang w:eastAsia="es-ES"/>
        </w:rPr>
        <w:t xml:space="preserve"> sufrimientos graves, ya sean fí</w:t>
      </w:r>
      <w:r w:rsidRPr="00241DE4">
        <w:rPr>
          <w:rFonts w:eastAsia="Times New Roman" w:cs="Calibri"/>
          <w:i/>
          <w:sz w:val="23"/>
          <w:szCs w:val="23"/>
          <w:lang w:eastAsia="es-ES"/>
        </w:rPr>
        <w:t xml:space="preserve">sicos, sexuales o psíquicos, con el fin de obtener de ella o de un tercero información, declaración o una confesión, de castigarla por un acto que haya cometido, o se le impute haber cometido, o de intimidar o coaccionar a esa persona, o en razón de una discriminación fundada en motivos tales como la ideología, la opinión política, la religión o creencias de la víctima; la nación, la raza, la etnia o el grupo social al que pertenezca; el sexo, la </w:t>
      </w:r>
      <w:r w:rsidR="00A00E1C" w:rsidRPr="00241DE4">
        <w:rPr>
          <w:rFonts w:eastAsia="Times New Roman" w:cs="Calibri"/>
          <w:i/>
          <w:sz w:val="23"/>
          <w:szCs w:val="23"/>
          <w:lang w:eastAsia="es-ES"/>
        </w:rPr>
        <w:t>orientación sexual, la identidad</w:t>
      </w:r>
      <w:r w:rsidRPr="00241DE4">
        <w:rPr>
          <w:rFonts w:eastAsia="Times New Roman" w:cs="Calibri"/>
          <w:i/>
          <w:sz w:val="23"/>
          <w:szCs w:val="23"/>
          <w:lang w:eastAsia="es-ES"/>
        </w:rPr>
        <w:t xml:space="preserve"> de género, la edad, la filiación, la apariencia personal, el estado de salud o la situación de discapacidad. Se entenderá también por to</w:t>
      </w:r>
      <w:r w:rsidR="00A00E1C" w:rsidRPr="00241DE4">
        <w:rPr>
          <w:rFonts w:eastAsia="Times New Roman" w:cs="Calibri"/>
          <w:i/>
          <w:sz w:val="23"/>
          <w:szCs w:val="23"/>
          <w:lang w:eastAsia="es-ES"/>
        </w:rPr>
        <w:t>r</w:t>
      </w:r>
      <w:r w:rsidRPr="00241DE4">
        <w:rPr>
          <w:rFonts w:eastAsia="Times New Roman" w:cs="Calibri"/>
          <w:i/>
          <w:sz w:val="23"/>
          <w:szCs w:val="23"/>
          <w:lang w:eastAsia="es-ES"/>
        </w:rPr>
        <w:t>tura la aplicación intencional de métodos tendientes a anular la personalidad de la víctima, o a disminuir su voluntad o su capacidad de discernimiento o decisión, con alguno de los fines referidos en el inciso precedente. Esta conducta se sancionará con la pena de presidio menor en su grado máximo. No se considerarán como tortura las molestias o penalidades que sean consecuencia únicamente de sanciones legales, o que sean inherentes o incidentales a éstas, ni las derivadas de un acto legítimo de autoridad”</w:t>
      </w:r>
      <w:r w:rsidR="00517D04" w:rsidRPr="00241DE4">
        <w:rPr>
          <w:rStyle w:val="FootnoteReference"/>
          <w:rFonts w:eastAsia="Times New Roman" w:cs="Calibri"/>
          <w:i/>
          <w:sz w:val="23"/>
          <w:szCs w:val="23"/>
          <w:lang w:eastAsia="es-ES"/>
        </w:rPr>
        <w:footnoteReference w:id="2"/>
      </w:r>
      <w:r w:rsidRPr="00241DE4">
        <w:rPr>
          <w:rFonts w:eastAsia="Times New Roman" w:cs="Calibri"/>
          <w:i/>
          <w:sz w:val="23"/>
          <w:szCs w:val="23"/>
          <w:lang w:eastAsia="es-ES"/>
        </w:rPr>
        <w:t xml:space="preserve">. </w:t>
      </w:r>
    </w:p>
    <w:p w14:paraId="17ADA63A" w14:textId="175F8C92" w:rsidR="00ED05E9" w:rsidRPr="00446153" w:rsidRDefault="00643FD4" w:rsidP="00241DE4">
      <w:pPr>
        <w:spacing w:after="120" w:line="240" w:lineRule="auto"/>
        <w:jc w:val="both"/>
        <w:rPr>
          <w:rFonts w:eastAsia="Times New Roman" w:cs="Calibri"/>
          <w:color w:val="000000"/>
          <w:sz w:val="23"/>
          <w:szCs w:val="23"/>
          <w:lang w:eastAsia="es-ES"/>
        </w:rPr>
      </w:pPr>
      <w:r w:rsidRPr="00446153">
        <w:rPr>
          <w:rFonts w:eastAsia="Times New Roman" w:cs="Calibri"/>
          <w:b/>
          <w:color w:val="000000"/>
          <w:sz w:val="23"/>
          <w:szCs w:val="23"/>
          <w:lang w:eastAsia="es-ES"/>
        </w:rPr>
        <w:t>3</w:t>
      </w:r>
      <w:r w:rsidR="002A2168" w:rsidRPr="00446153">
        <w:rPr>
          <w:rFonts w:eastAsia="Times New Roman" w:cs="Calibri"/>
          <w:b/>
          <w:color w:val="000000"/>
          <w:sz w:val="23"/>
          <w:szCs w:val="23"/>
          <w:lang w:eastAsia="es-ES"/>
        </w:rPr>
        <w:t>.</w:t>
      </w:r>
      <w:r w:rsidR="002A2168" w:rsidRPr="00446153">
        <w:rPr>
          <w:rFonts w:eastAsia="Times New Roman" w:cs="Calibri"/>
          <w:color w:val="000000"/>
          <w:sz w:val="23"/>
          <w:szCs w:val="23"/>
          <w:lang w:eastAsia="es-ES"/>
        </w:rPr>
        <w:t xml:space="preserve"> Esta defi</w:t>
      </w:r>
      <w:r w:rsidR="000F117A" w:rsidRPr="00446153">
        <w:rPr>
          <w:rFonts w:eastAsia="Times New Roman" w:cs="Calibri"/>
          <w:color w:val="000000"/>
          <w:sz w:val="23"/>
          <w:szCs w:val="23"/>
          <w:lang w:eastAsia="es-ES"/>
        </w:rPr>
        <w:t>ni</w:t>
      </w:r>
      <w:r w:rsidR="002A2168" w:rsidRPr="00446153">
        <w:rPr>
          <w:rFonts w:eastAsia="Times New Roman" w:cs="Calibri"/>
          <w:color w:val="000000"/>
          <w:sz w:val="23"/>
          <w:szCs w:val="23"/>
          <w:lang w:eastAsia="es-ES"/>
        </w:rPr>
        <w:t xml:space="preserve">ción, que en algunos aspectos es más reducida que la de la Convención y, en otros, </w:t>
      </w:r>
      <w:r w:rsidR="000662DB" w:rsidRPr="00446153">
        <w:rPr>
          <w:rFonts w:eastAsia="Times New Roman" w:cs="Calibri"/>
          <w:color w:val="000000"/>
          <w:sz w:val="23"/>
          <w:szCs w:val="23"/>
          <w:lang w:eastAsia="es-ES"/>
        </w:rPr>
        <w:t>más amplia</w:t>
      </w:r>
      <w:r w:rsidR="002A2168" w:rsidRPr="00446153">
        <w:rPr>
          <w:rFonts w:eastAsia="Times New Roman" w:cs="Calibri"/>
          <w:color w:val="000000"/>
          <w:sz w:val="23"/>
          <w:szCs w:val="23"/>
          <w:lang w:eastAsia="es-ES"/>
        </w:rPr>
        <w:t xml:space="preserve">, </w:t>
      </w:r>
      <w:r w:rsidR="000662DB" w:rsidRPr="00446153">
        <w:rPr>
          <w:rFonts w:eastAsia="Times New Roman" w:cs="Calibri"/>
          <w:color w:val="000000"/>
          <w:sz w:val="23"/>
          <w:szCs w:val="23"/>
          <w:lang w:eastAsia="es-ES"/>
        </w:rPr>
        <w:t>no consagra</w:t>
      </w:r>
      <w:r w:rsidR="002A2168" w:rsidRPr="00446153">
        <w:rPr>
          <w:rFonts w:eastAsia="Times New Roman" w:cs="Calibri"/>
          <w:color w:val="000000"/>
          <w:sz w:val="23"/>
          <w:szCs w:val="23"/>
          <w:lang w:eastAsia="es-ES"/>
        </w:rPr>
        <w:t xml:space="preserve"> la imprescriptibilidad de la</w:t>
      </w:r>
      <w:r w:rsidR="000662DB" w:rsidRPr="00446153">
        <w:rPr>
          <w:rFonts w:eastAsia="Times New Roman" w:cs="Calibri"/>
          <w:color w:val="000000"/>
          <w:sz w:val="23"/>
          <w:szCs w:val="23"/>
          <w:lang w:eastAsia="es-ES"/>
        </w:rPr>
        <w:t xml:space="preserve"> tortura</w:t>
      </w:r>
      <w:r w:rsidR="002A2168" w:rsidRPr="00446153">
        <w:rPr>
          <w:rFonts w:eastAsia="Times New Roman" w:cs="Calibri"/>
          <w:color w:val="000000"/>
          <w:sz w:val="23"/>
          <w:szCs w:val="23"/>
          <w:lang w:eastAsia="es-ES"/>
        </w:rPr>
        <w:t xml:space="preserve"> como lo ha recomendado expresamente el </w:t>
      </w:r>
      <w:r w:rsidR="00ED05E9" w:rsidRPr="00446153">
        <w:rPr>
          <w:rFonts w:eastAsia="Times New Roman" w:cs="Calibri"/>
          <w:color w:val="000000"/>
          <w:sz w:val="23"/>
          <w:szCs w:val="23"/>
          <w:lang w:eastAsia="es-ES"/>
        </w:rPr>
        <w:t xml:space="preserve">Comité, por lo que </w:t>
      </w:r>
      <w:r w:rsidR="00ED05E9" w:rsidRPr="00446153">
        <w:rPr>
          <w:rFonts w:cs="Calibri"/>
          <w:color w:val="000000"/>
          <w:sz w:val="23"/>
          <w:szCs w:val="23"/>
        </w:rPr>
        <w:t xml:space="preserve">se mantienen vigentes normas sobre extinción de la responsabilidad penal que permiten eludir la responsabilidad criminal y civil derivada de la comisión de graves violaciones a los derechos humanos, en razón del tiempo transcurrido desde su perpetración. Lo anterior pese a la obligatoriedad que reviste consagrar la imprescriptibilidad de los crímenes de lesa humanidad y a las expresas recomendaciones formuladas en tal sentido por el Comité de Derechos Humanos, el Comité contra la Tortura y el Consejo de Derechos Humanos de Naciones Unidas al Estado de Chile. </w:t>
      </w:r>
    </w:p>
    <w:p w14:paraId="7BCEAA87" w14:textId="77777777" w:rsidR="002A2168" w:rsidRPr="00446153" w:rsidRDefault="00ED05E9" w:rsidP="00241DE4">
      <w:pPr>
        <w:spacing w:after="120" w:line="240" w:lineRule="auto"/>
        <w:jc w:val="both"/>
        <w:rPr>
          <w:rFonts w:eastAsia="Times New Roman" w:cs="Calibri"/>
          <w:b/>
          <w:color w:val="000000"/>
          <w:sz w:val="23"/>
          <w:szCs w:val="23"/>
          <w:lang w:eastAsia="es-ES"/>
        </w:rPr>
      </w:pPr>
      <w:r w:rsidRPr="00241DE4">
        <w:rPr>
          <w:rFonts w:eastAsia="Times New Roman" w:cs="Calibri"/>
          <w:b/>
          <w:sz w:val="23"/>
          <w:szCs w:val="23"/>
          <w:lang w:eastAsia="es-ES"/>
        </w:rPr>
        <w:lastRenderedPageBreak/>
        <w:t>4.</w:t>
      </w:r>
      <w:r w:rsidRPr="00241DE4">
        <w:rPr>
          <w:rFonts w:eastAsia="Times New Roman" w:cs="Calibri"/>
          <w:sz w:val="23"/>
          <w:szCs w:val="23"/>
          <w:lang w:eastAsia="es-ES"/>
        </w:rPr>
        <w:t xml:space="preserve"> </w:t>
      </w:r>
      <w:r w:rsidR="001E6CB4" w:rsidRPr="00241DE4">
        <w:rPr>
          <w:rFonts w:eastAsia="Times New Roman" w:cs="Calibri"/>
          <w:sz w:val="23"/>
          <w:szCs w:val="23"/>
          <w:lang w:eastAsia="es-ES"/>
        </w:rPr>
        <w:t xml:space="preserve">Se debe tener en cuenta que la modificación al Código Penal no se encuentra en el marco de una nueva política pública en materia de tortura, lo que implica que persiste la ausencia de </w:t>
      </w:r>
      <w:r w:rsidR="002A2168" w:rsidRPr="00241DE4">
        <w:rPr>
          <w:rFonts w:eastAsia="Times New Roman" w:cs="Calibri"/>
          <w:sz w:val="23"/>
          <w:szCs w:val="23"/>
          <w:lang w:eastAsia="es-ES"/>
        </w:rPr>
        <w:t>medidas especiales de capacitación a funcionarios/as para poder prevenir, investigar y sancionar</w:t>
      </w:r>
      <w:r w:rsidR="000662DB" w:rsidRPr="00241DE4">
        <w:rPr>
          <w:rFonts w:eastAsia="Times New Roman" w:cs="Calibri"/>
          <w:sz w:val="23"/>
          <w:szCs w:val="23"/>
          <w:lang w:eastAsia="es-ES"/>
        </w:rPr>
        <w:t xml:space="preserve"> adecuadamente</w:t>
      </w:r>
      <w:r w:rsidR="002A2168" w:rsidRPr="00241DE4">
        <w:rPr>
          <w:rFonts w:eastAsia="Times New Roman" w:cs="Calibri"/>
          <w:sz w:val="23"/>
          <w:szCs w:val="23"/>
          <w:lang w:eastAsia="es-ES"/>
        </w:rPr>
        <w:t xml:space="preserve"> la tortura.</w:t>
      </w:r>
      <w:r w:rsidR="001E6CB4" w:rsidRPr="00241DE4">
        <w:rPr>
          <w:rFonts w:eastAsia="Times New Roman" w:cs="Calibri"/>
          <w:sz w:val="23"/>
          <w:szCs w:val="23"/>
          <w:lang w:eastAsia="es-ES"/>
        </w:rPr>
        <w:t xml:space="preserve"> Tampoco</w:t>
      </w:r>
      <w:r w:rsidR="002A2168" w:rsidRPr="00241DE4">
        <w:rPr>
          <w:rFonts w:eastAsia="Times New Roman" w:cs="Calibri"/>
          <w:color w:val="FF0000"/>
          <w:sz w:val="23"/>
          <w:szCs w:val="23"/>
          <w:lang w:eastAsia="es-ES"/>
        </w:rPr>
        <w:t xml:space="preserve"> </w:t>
      </w:r>
      <w:r w:rsidRPr="00446153">
        <w:rPr>
          <w:rFonts w:eastAsia="Times New Roman" w:cs="Calibri"/>
          <w:color w:val="000000"/>
          <w:sz w:val="23"/>
          <w:szCs w:val="23"/>
          <w:lang w:eastAsia="es-ES"/>
        </w:rPr>
        <w:t xml:space="preserve">se establecieron </w:t>
      </w:r>
      <w:r w:rsidR="002A2168" w:rsidRPr="00446153">
        <w:rPr>
          <w:rFonts w:eastAsia="Times New Roman" w:cs="Calibri"/>
          <w:color w:val="000000"/>
          <w:sz w:val="23"/>
          <w:szCs w:val="23"/>
          <w:lang w:eastAsia="es-ES"/>
        </w:rPr>
        <w:t>medidas dirigidas a las fuerzas de orden y seguridad, al Ministerio Público o a los tribunales de jus</w:t>
      </w:r>
      <w:r w:rsidRPr="00446153">
        <w:rPr>
          <w:rFonts w:eastAsia="Times New Roman" w:cs="Calibri"/>
          <w:color w:val="000000"/>
          <w:sz w:val="23"/>
          <w:szCs w:val="23"/>
          <w:lang w:eastAsia="es-ES"/>
        </w:rPr>
        <w:t xml:space="preserve">ticia, ni </w:t>
      </w:r>
      <w:r w:rsidR="002A2168" w:rsidRPr="00446153">
        <w:rPr>
          <w:rFonts w:eastAsia="Times New Roman" w:cs="Calibri"/>
          <w:color w:val="000000"/>
          <w:sz w:val="23"/>
          <w:szCs w:val="23"/>
          <w:lang w:eastAsia="es-ES"/>
        </w:rPr>
        <w:t>a las unidades del Servicio Médico Legal en orden a poder analizar ciertas lesiones en el marco de actos de tortura. Todo lo anterior impacta en la correcta identificación de actos constitutivos de tortura, en la inadecuada categorización de las lesiones, entre otras consecuencias, todas las cuales inciden en la investigación y sanción de dichos actos</w:t>
      </w:r>
      <w:r w:rsidRPr="00446153">
        <w:rPr>
          <w:rFonts w:eastAsia="Times New Roman" w:cs="Calibri"/>
          <w:color w:val="000000"/>
          <w:sz w:val="23"/>
          <w:szCs w:val="23"/>
          <w:lang w:eastAsia="es-ES"/>
        </w:rPr>
        <w:t>.</w:t>
      </w:r>
      <w:r w:rsidR="000662DB" w:rsidRPr="00446153">
        <w:rPr>
          <w:rFonts w:eastAsia="Times New Roman" w:cs="Calibri"/>
          <w:b/>
          <w:color w:val="000000"/>
          <w:sz w:val="23"/>
          <w:szCs w:val="23"/>
          <w:lang w:eastAsia="es-ES"/>
        </w:rPr>
        <w:t xml:space="preserve"> </w:t>
      </w:r>
    </w:p>
    <w:p w14:paraId="15357283" w14:textId="77777777" w:rsidR="00A00E1C" w:rsidRPr="00241DE4" w:rsidRDefault="00A00E1C" w:rsidP="00241DE4">
      <w:pPr>
        <w:spacing w:after="120" w:line="240" w:lineRule="auto"/>
        <w:jc w:val="both"/>
        <w:rPr>
          <w:rFonts w:eastAsia="Times New Roman" w:cs="Calibri"/>
          <w:b/>
          <w:color w:val="FF0000"/>
          <w:sz w:val="23"/>
          <w:szCs w:val="23"/>
          <w:lang w:eastAsia="es-ES"/>
        </w:rPr>
      </w:pPr>
    </w:p>
    <w:p w14:paraId="3E76CC8E" w14:textId="77777777" w:rsidR="002A2168" w:rsidRDefault="002A2168" w:rsidP="00241DE4">
      <w:pPr>
        <w:spacing w:after="120" w:line="240" w:lineRule="auto"/>
        <w:jc w:val="both"/>
        <w:rPr>
          <w:rFonts w:eastAsia="Times New Roman" w:cs="Calibri"/>
          <w:b/>
          <w:i/>
          <w:sz w:val="23"/>
          <w:szCs w:val="23"/>
          <w:lang w:eastAsia="es-ES"/>
        </w:rPr>
      </w:pPr>
      <w:r w:rsidRPr="00241DE4">
        <w:rPr>
          <w:rFonts w:eastAsia="Times New Roman" w:cs="Calibri"/>
          <w:b/>
          <w:i/>
          <w:sz w:val="23"/>
          <w:szCs w:val="23"/>
          <w:u w:val="single"/>
          <w:lang w:eastAsia="es-ES"/>
        </w:rPr>
        <w:t>Recomendaciones</w:t>
      </w:r>
      <w:r w:rsidRPr="00241DE4">
        <w:rPr>
          <w:rFonts w:eastAsia="Times New Roman" w:cs="Calibri"/>
          <w:b/>
          <w:i/>
          <w:sz w:val="23"/>
          <w:szCs w:val="23"/>
          <w:lang w:eastAsia="es-ES"/>
        </w:rPr>
        <w:t>:</w:t>
      </w:r>
    </w:p>
    <w:p w14:paraId="1ABCDCEC" w14:textId="77777777" w:rsidR="00241DE4" w:rsidRPr="00241DE4" w:rsidRDefault="00241DE4" w:rsidP="00241DE4">
      <w:pPr>
        <w:spacing w:after="120" w:line="240" w:lineRule="auto"/>
        <w:jc w:val="both"/>
        <w:rPr>
          <w:rFonts w:eastAsia="Times New Roman" w:cs="Calibri"/>
          <w:b/>
          <w:i/>
          <w:sz w:val="23"/>
          <w:szCs w:val="23"/>
          <w:lang w:eastAsia="es-ES"/>
        </w:rPr>
      </w:pPr>
    </w:p>
    <w:p w14:paraId="6E922991" w14:textId="77777777" w:rsidR="002A2168" w:rsidRPr="00241DE4" w:rsidRDefault="002A2168" w:rsidP="00241DE4">
      <w:pPr>
        <w:pStyle w:val="ListParagraph"/>
        <w:numPr>
          <w:ilvl w:val="0"/>
          <w:numId w:val="2"/>
        </w:numPr>
        <w:spacing w:after="120" w:line="240" w:lineRule="auto"/>
        <w:ind w:left="714" w:hanging="357"/>
        <w:contextualSpacing w:val="0"/>
        <w:jc w:val="both"/>
        <w:rPr>
          <w:rFonts w:eastAsia="Times New Roman" w:cs="Calibri"/>
          <w:b/>
          <w:sz w:val="23"/>
          <w:szCs w:val="23"/>
          <w:lang w:eastAsia="es-ES"/>
        </w:rPr>
      </w:pPr>
      <w:r w:rsidRPr="00241DE4">
        <w:rPr>
          <w:rFonts w:eastAsia="Times New Roman" w:cs="Calibri"/>
          <w:b/>
          <w:sz w:val="23"/>
          <w:szCs w:val="23"/>
          <w:lang w:eastAsia="es-ES"/>
        </w:rPr>
        <w:t>Impulsar una modificación legislativa que consagre la imprescriptibilidad de los actos constitutivos de tortura con la finalidad de poder investigar y sancionar</w:t>
      </w:r>
      <w:r w:rsidR="00B47564" w:rsidRPr="00241DE4">
        <w:rPr>
          <w:rFonts w:eastAsia="Times New Roman" w:cs="Calibri"/>
          <w:b/>
          <w:sz w:val="23"/>
          <w:szCs w:val="23"/>
          <w:lang w:eastAsia="es-ES"/>
        </w:rPr>
        <w:t xml:space="preserve"> adecuadamente a los autores de </w:t>
      </w:r>
      <w:r w:rsidR="00235029" w:rsidRPr="00241DE4">
        <w:rPr>
          <w:rFonts w:eastAsia="Times New Roman" w:cs="Calibri"/>
          <w:b/>
          <w:sz w:val="23"/>
          <w:szCs w:val="23"/>
          <w:lang w:eastAsia="es-ES"/>
        </w:rPr>
        <w:t>estos actos</w:t>
      </w:r>
      <w:r w:rsidR="00B47564" w:rsidRPr="00241DE4">
        <w:rPr>
          <w:rFonts w:eastAsia="Times New Roman" w:cs="Calibri"/>
          <w:b/>
          <w:sz w:val="23"/>
          <w:szCs w:val="23"/>
          <w:lang w:eastAsia="es-ES"/>
        </w:rPr>
        <w:t xml:space="preserve">. </w:t>
      </w:r>
    </w:p>
    <w:p w14:paraId="7851928A" w14:textId="77777777" w:rsidR="00ED05E9" w:rsidRPr="00241DE4" w:rsidRDefault="00ED05E9" w:rsidP="00241DE4">
      <w:pPr>
        <w:pStyle w:val="ListParagraph"/>
        <w:numPr>
          <w:ilvl w:val="0"/>
          <w:numId w:val="2"/>
        </w:numPr>
        <w:spacing w:after="120" w:line="240" w:lineRule="auto"/>
        <w:ind w:left="714" w:hanging="357"/>
        <w:contextualSpacing w:val="0"/>
        <w:jc w:val="both"/>
        <w:rPr>
          <w:rFonts w:eastAsia="Times New Roman" w:cs="Calibri"/>
          <w:b/>
          <w:sz w:val="23"/>
          <w:szCs w:val="23"/>
          <w:lang w:eastAsia="es-ES"/>
        </w:rPr>
      </w:pPr>
      <w:r w:rsidRPr="00241DE4">
        <w:rPr>
          <w:rFonts w:eastAsia="Times New Roman" w:cs="Calibri"/>
          <w:b/>
          <w:sz w:val="23"/>
          <w:szCs w:val="23"/>
          <w:lang w:eastAsia="es-ES"/>
        </w:rPr>
        <w:t xml:space="preserve">Elaborar una política pública </w:t>
      </w:r>
      <w:r w:rsidR="00A71CE2" w:rsidRPr="00241DE4">
        <w:rPr>
          <w:rFonts w:eastAsia="Times New Roman" w:cs="Calibri"/>
          <w:b/>
          <w:sz w:val="23"/>
          <w:szCs w:val="23"/>
          <w:lang w:eastAsia="es-ES"/>
        </w:rPr>
        <w:t>intersectorial sobre tortura</w:t>
      </w:r>
      <w:r w:rsidR="00A00E1C" w:rsidRPr="00241DE4">
        <w:rPr>
          <w:rFonts w:eastAsia="Times New Roman" w:cs="Calibri"/>
          <w:b/>
          <w:sz w:val="23"/>
          <w:szCs w:val="23"/>
          <w:lang w:eastAsia="es-ES"/>
        </w:rPr>
        <w:t xml:space="preserve">, que establezca medidas de prevención, capacitación a funcionarios y recursos adecuados para llevar a cabo sus objetivos. </w:t>
      </w:r>
    </w:p>
    <w:p w14:paraId="6C6FA381" w14:textId="77777777" w:rsidR="009A41C4" w:rsidRPr="00241DE4" w:rsidRDefault="002A2168" w:rsidP="00241DE4">
      <w:pPr>
        <w:pStyle w:val="ListParagraph"/>
        <w:numPr>
          <w:ilvl w:val="0"/>
          <w:numId w:val="2"/>
        </w:numPr>
        <w:spacing w:after="120" w:line="240" w:lineRule="auto"/>
        <w:ind w:left="714" w:hanging="357"/>
        <w:contextualSpacing w:val="0"/>
        <w:jc w:val="both"/>
        <w:rPr>
          <w:rFonts w:eastAsia="Times New Roman" w:cs="Calibri"/>
          <w:b/>
          <w:sz w:val="23"/>
          <w:szCs w:val="23"/>
          <w:lang w:eastAsia="es-ES"/>
        </w:rPr>
      </w:pPr>
      <w:r w:rsidRPr="00241DE4">
        <w:rPr>
          <w:rFonts w:eastAsia="Times New Roman" w:cs="Calibri"/>
          <w:b/>
          <w:sz w:val="23"/>
          <w:szCs w:val="23"/>
          <w:lang w:eastAsia="es-ES"/>
        </w:rPr>
        <w:t xml:space="preserve">Capacitar al funcionariado público para que cumpla adecuadamente su función de prevenir, detectar, investigar y sancionar la tortura. </w:t>
      </w:r>
    </w:p>
    <w:p w14:paraId="11E070F2" w14:textId="77777777" w:rsidR="009A41C4" w:rsidRPr="00241DE4" w:rsidRDefault="009A41C4" w:rsidP="00241DE4">
      <w:pPr>
        <w:pStyle w:val="ListParagraph"/>
        <w:spacing w:after="120" w:line="240" w:lineRule="auto"/>
        <w:contextualSpacing w:val="0"/>
        <w:jc w:val="both"/>
        <w:rPr>
          <w:rFonts w:eastAsia="Times New Roman" w:cs="Calibri"/>
          <w:b/>
          <w:sz w:val="23"/>
          <w:szCs w:val="23"/>
          <w:lang w:eastAsia="es-ES"/>
        </w:rPr>
      </w:pPr>
    </w:p>
    <w:p w14:paraId="6A59A8BC"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Represión de crímenes internacionales</w:t>
      </w:r>
    </w:p>
    <w:p w14:paraId="5A7409CC" w14:textId="77777777" w:rsidR="00241DE4" w:rsidRPr="00446153" w:rsidRDefault="00241DE4" w:rsidP="00241DE4">
      <w:pPr>
        <w:spacing w:after="120" w:line="240" w:lineRule="auto"/>
        <w:jc w:val="both"/>
        <w:rPr>
          <w:rFonts w:cs="Calibri"/>
          <w:b/>
          <w:color w:val="000000"/>
          <w:sz w:val="23"/>
          <w:szCs w:val="23"/>
        </w:rPr>
      </w:pPr>
    </w:p>
    <w:p w14:paraId="0CAB36AD" w14:textId="77777777" w:rsidR="002A2168" w:rsidRPr="00241DE4" w:rsidRDefault="00A71CE2" w:rsidP="00241DE4">
      <w:pPr>
        <w:spacing w:after="120" w:line="240" w:lineRule="auto"/>
        <w:jc w:val="both"/>
        <w:rPr>
          <w:rFonts w:eastAsia="Times New Roman" w:cs="Calibri"/>
          <w:sz w:val="23"/>
          <w:szCs w:val="23"/>
          <w:lang w:eastAsia="es-ES"/>
        </w:rPr>
      </w:pPr>
      <w:r w:rsidRPr="00241DE4">
        <w:rPr>
          <w:rFonts w:eastAsia="Times New Roman" w:cs="Calibri"/>
          <w:b/>
          <w:sz w:val="23"/>
          <w:szCs w:val="23"/>
          <w:lang w:eastAsia="es-ES"/>
        </w:rPr>
        <w:t>5</w:t>
      </w:r>
      <w:r w:rsidR="002A2168" w:rsidRPr="00241DE4">
        <w:rPr>
          <w:rFonts w:eastAsia="Times New Roman" w:cs="Calibri"/>
          <w:b/>
          <w:sz w:val="23"/>
          <w:szCs w:val="23"/>
          <w:lang w:eastAsia="es-ES"/>
        </w:rPr>
        <w:t>.</w:t>
      </w:r>
      <w:r w:rsidR="002A2168" w:rsidRPr="00241DE4">
        <w:rPr>
          <w:rFonts w:eastAsia="Times New Roman" w:cs="Calibri"/>
          <w:sz w:val="23"/>
          <w:szCs w:val="23"/>
          <w:lang w:eastAsia="es-ES"/>
        </w:rPr>
        <w:t xml:space="preserve"> El Comité recomendó al Estado en 2009, en relación a los crímenes de lesa humanidad, ge</w:t>
      </w:r>
      <w:r w:rsidR="00A00E1C" w:rsidRPr="00241DE4">
        <w:rPr>
          <w:rFonts w:eastAsia="Times New Roman" w:cs="Calibri"/>
          <w:sz w:val="23"/>
          <w:szCs w:val="23"/>
          <w:lang w:eastAsia="es-ES"/>
        </w:rPr>
        <w:t xml:space="preserve">nocidio y crímenes de guerra </w:t>
      </w:r>
      <w:r w:rsidR="002A2168" w:rsidRPr="00241DE4">
        <w:rPr>
          <w:rFonts w:eastAsia="Times New Roman" w:cs="Calibri"/>
          <w:sz w:val="23"/>
          <w:szCs w:val="23"/>
          <w:lang w:eastAsia="es-ES"/>
        </w:rPr>
        <w:t>que "</w:t>
      </w:r>
      <w:r w:rsidR="002A2168" w:rsidRPr="00241DE4">
        <w:rPr>
          <w:rFonts w:eastAsia="Times New Roman" w:cs="Calibri"/>
          <w:i/>
          <w:sz w:val="23"/>
          <w:szCs w:val="23"/>
          <w:lang w:eastAsia="es-ES"/>
        </w:rPr>
        <w:t>adopte formalmente el proyecto de ley que introduce la imprescriptibilidad de los citados crímenes</w:t>
      </w:r>
      <w:r w:rsidR="002A2168" w:rsidRPr="00241DE4">
        <w:rPr>
          <w:rFonts w:eastAsia="Times New Roman" w:cs="Calibri"/>
          <w:sz w:val="23"/>
          <w:szCs w:val="23"/>
          <w:lang w:eastAsia="es-ES"/>
        </w:rPr>
        <w:t>" (párrafo 11).</w:t>
      </w:r>
    </w:p>
    <w:p w14:paraId="1F5D406C" w14:textId="77777777" w:rsidR="002A2168" w:rsidRPr="00241DE4" w:rsidRDefault="00A71CE2" w:rsidP="00241DE4">
      <w:pPr>
        <w:spacing w:after="120" w:line="240" w:lineRule="auto"/>
        <w:jc w:val="both"/>
        <w:rPr>
          <w:rFonts w:eastAsia="Times New Roman" w:cs="Calibri"/>
          <w:sz w:val="23"/>
          <w:szCs w:val="23"/>
          <w:lang w:eastAsia="es-ES"/>
        </w:rPr>
      </w:pPr>
      <w:r w:rsidRPr="00241DE4">
        <w:rPr>
          <w:rFonts w:eastAsia="Times New Roman" w:cs="Calibri"/>
          <w:b/>
          <w:sz w:val="23"/>
          <w:szCs w:val="23"/>
          <w:lang w:eastAsia="es-ES"/>
        </w:rPr>
        <w:t>6</w:t>
      </w:r>
      <w:r w:rsidR="002A2168" w:rsidRPr="00241DE4">
        <w:rPr>
          <w:rFonts w:eastAsia="Times New Roman" w:cs="Calibri"/>
          <w:b/>
          <w:sz w:val="23"/>
          <w:szCs w:val="23"/>
          <w:lang w:eastAsia="es-ES"/>
        </w:rPr>
        <w:t>.</w:t>
      </w:r>
      <w:r w:rsidR="002A2168" w:rsidRPr="00241DE4">
        <w:rPr>
          <w:rFonts w:eastAsia="Times New Roman" w:cs="Calibri"/>
          <w:sz w:val="23"/>
          <w:szCs w:val="23"/>
          <w:lang w:eastAsia="es-ES"/>
        </w:rPr>
        <w:t xml:space="preserve"> En julio de 2009</w:t>
      </w:r>
      <w:r w:rsidR="00A00E1C" w:rsidRPr="00241DE4">
        <w:rPr>
          <w:rFonts w:eastAsia="Times New Roman" w:cs="Calibri"/>
          <w:sz w:val="23"/>
          <w:szCs w:val="23"/>
          <w:lang w:eastAsia="es-ES"/>
        </w:rPr>
        <w:t xml:space="preserve"> se dictó la Ley Nº 20.357 que </w:t>
      </w:r>
      <w:r w:rsidR="00A00E1C" w:rsidRPr="00241DE4">
        <w:rPr>
          <w:rFonts w:eastAsia="Times New Roman" w:cs="Calibri"/>
          <w:i/>
          <w:sz w:val="23"/>
          <w:szCs w:val="23"/>
          <w:lang w:eastAsia="es-ES"/>
        </w:rPr>
        <w:t>Tipifica Crímenes de Lesa Humanidad y Genocidio y Crímenes y Delitos de G</w:t>
      </w:r>
      <w:r w:rsidR="002A2168" w:rsidRPr="00241DE4">
        <w:rPr>
          <w:rFonts w:eastAsia="Times New Roman" w:cs="Calibri"/>
          <w:i/>
          <w:sz w:val="23"/>
          <w:szCs w:val="23"/>
          <w:lang w:eastAsia="es-ES"/>
        </w:rPr>
        <w:t>uerra, que dispone la imprescriptibilidad de la acción penal y de la pena de los crímenes y delitos pre</w:t>
      </w:r>
      <w:r w:rsidRPr="00241DE4">
        <w:rPr>
          <w:rFonts w:eastAsia="Times New Roman" w:cs="Calibri"/>
          <w:i/>
          <w:sz w:val="23"/>
          <w:szCs w:val="23"/>
          <w:lang w:eastAsia="es-ES"/>
        </w:rPr>
        <w:t>vistos en dicha Ley</w:t>
      </w:r>
      <w:r w:rsidRPr="00241DE4">
        <w:rPr>
          <w:rFonts w:eastAsia="Times New Roman" w:cs="Calibri"/>
          <w:sz w:val="23"/>
          <w:szCs w:val="23"/>
          <w:lang w:eastAsia="es-ES"/>
        </w:rPr>
        <w:t xml:space="preserve"> (artículo </w:t>
      </w:r>
      <w:r w:rsidR="002A2168" w:rsidRPr="00241DE4">
        <w:rPr>
          <w:rFonts w:eastAsia="Times New Roman" w:cs="Calibri"/>
          <w:sz w:val="23"/>
          <w:szCs w:val="23"/>
          <w:lang w:eastAsia="es-ES"/>
        </w:rPr>
        <w:t>40). Sin embargo, se agrega una norma que limita dicha imprescriptibilidad puesto que respecto de los crímenes cometidos con anterioridad a dicha ley -como lo son todos los crímenes y violaciones a los derechos humanos cometidos durante la dictadura cívico-militar que rigió en el país-, se establece que seguirán rigiéndose por las leyes vigentes en el momento de su comisión y que la Ley Nº 20.357 sólo se aplica respecto de hechos cuyo principio de ejecución sea posterior a su entra</w:t>
      </w:r>
      <w:r w:rsidRPr="00241DE4">
        <w:rPr>
          <w:rFonts w:eastAsia="Times New Roman" w:cs="Calibri"/>
          <w:sz w:val="23"/>
          <w:szCs w:val="23"/>
          <w:lang w:eastAsia="es-ES"/>
        </w:rPr>
        <w:t>da en vigencia</w:t>
      </w:r>
      <w:r w:rsidR="002A2168" w:rsidRPr="00241DE4">
        <w:rPr>
          <w:rFonts w:eastAsia="Times New Roman" w:cs="Calibri"/>
          <w:sz w:val="23"/>
          <w:szCs w:val="23"/>
          <w:lang w:eastAsia="es-ES"/>
        </w:rPr>
        <w:t xml:space="preserve">. </w:t>
      </w:r>
      <w:r w:rsidR="00E4611E" w:rsidRPr="00241DE4">
        <w:rPr>
          <w:rFonts w:eastAsia="Times New Roman" w:cs="Calibri"/>
          <w:sz w:val="23"/>
          <w:szCs w:val="23"/>
          <w:lang w:eastAsia="es-ES"/>
        </w:rPr>
        <w:t xml:space="preserve">Esto es particularmente preocupante en el caso de la prescripción. </w:t>
      </w:r>
      <w:r w:rsidR="002A2168" w:rsidRPr="00241DE4">
        <w:rPr>
          <w:rFonts w:eastAsia="Times New Roman" w:cs="Calibri"/>
          <w:sz w:val="23"/>
          <w:szCs w:val="23"/>
          <w:lang w:eastAsia="es-ES"/>
        </w:rPr>
        <w:t>La mencionada ley tampoco establece la improcedencia de indultos y amnistías, que permitiría evitar la impunidad de crímenes tan graves y trascendentes como los ocurridos durante la dictadura militar chilena.</w:t>
      </w:r>
    </w:p>
    <w:p w14:paraId="577D4434" w14:textId="77777777" w:rsidR="002A2168" w:rsidRPr="00241DE4" w:rsidRDefault="003971F0" w:rsidP="00241DE4">
      <w:pPr>
        <w:spacing w:after="120" w:line="240" w:lineRule="auto"/>
        <w:jc w:val="both"/>
        <w:rPr>
          <w:rFonts w:eastAsia="Times New Roman" w:cs="Calibri"/>
          <w:sz w:val="23"/>
          <w:szCs w:val="23"/>
          <w:lang w:eastAsia="es-ES"/>
        </w:rPr>
      </w:pPr>
      <w:r w:rsidRPr="00241DE4">
        <w:rPr>
          <w:rFonts w:eastAsia="Times New Roman" w:cs="Calibri"/>
          <w:b/>
          <w:sz w:val="23"/>
          <w:szCs w:val="23"/>
          <w:lang w:eastAsia="es-ES"/>
        </w:rPr>
        <w:t>7</w:t>
      </w:r>
      <w:r w:rsidR="002A2168" w:rsidRPr="00241DE4">
        <w:rPr>
          <w:rFonts w:eastAsia="Times New Roman" w:cs="Calibri"/>
          <w:b/>
          <w:sz w:val="23"/>
          <w:szCs w:val="23"/>
          <w:lang w:eastAsia="es-ES"/>
        </w:rPr>
        <w:t>.</w:t>
      </w:r>
      <w:r w:rsidR="002A2168" w:rsidRPr="00241DE4">
        <w:rPr>
          <w:rFonts w:eastAsia="Times New Roman" w:cs="Calibri"/>
          <w:sz w:val="23"/>
          <w:szCs w:val="23"/>
          <w:lang w:eastAsia="es-ES"/>
        </w:rPr>
        <w:t xml:space="preserve"> Adicionalmente, la ley presenta un conjunto de problemas en los conceptos adoptados que se apartan de los estándares internacionales aplicables a dichos crímenes inter</w:t>
      </w:r>
      <w:r w:rsidR="002A2168" w:rsidRPr="00241DE4">
        <w:rPr>
          <w:rFonts w:eastAsia="Times New Roman" w:cs="Calibri"/>
          <w:sz w:val="23"/>
          <w:szCs w:val="23"/>
          <w:lang w:eastAsia="es-ES"/>
        </w:rPr>
        <w:lastRenderedPageBreak/>
        <w:t>nacionales, como lo dispuesto</w:t>
      </w:r>
      <w:r w:rsidR="00A71CE2" w:rsidRPr="00241DE4">
        <w:rPr>
          <w:rFonts w:eastAsia="Times New Roman" w:cs="Calibri"/>
          <w:sz w:val="23"/>
          <w:szCs w:val="23"/>
          <w:lang w:eastAsia="es-ES"/>
        </w:rPr>
        <w:t xml:space="preserve"> por el Estatuto de Roma</w:t>
      </w:r>
      <w:r w:rsidR="002A2168" w:rsidRPr="00241DE4">
        <w:rPr>
          <w:rFonts w:eastAsia="Times New Roman" w:cs="Calibri"/>
          <w:sz w:val="23"/>
          <w:szCs w:val="23"/>
          <w:lang w:eastAsia="es-ES"/>
        </w:rPr>
        <w:t>. En particular, inadecuadas definiciones de los crímenes de esclavitud, deportación o desplazamiento forzado de población, violación sexual, prostitución forzada, aborto forzado, embarazo forzado y abuso sexual; y la no incorporación de la trata de personas y la esclavitud sexual.</w:t>
      </w:r>
    </w:p>
    <w:p w14:paraId="7BAE57FA" w14:textId="77777777" w:rsidR="002A2168" w:rsidRDefault="002A2168" w:rsidP="00241DE4">
      <w:pPr>
        <w:spacing w:after="120" w:line="240" w:lineRule="auto"/>
        <w:jc w:val="both"/>
        <w:rPr>
          <w:rFonts w:eastAsia="Times New Roman" w:cs="Calibri"/>
          <w:b/>
          <w:i/>
          <w:sz w:val="23"/>
          <w:szCs w:val="23"/>
          <w:lang w:eastAsia="es-ES"/>
        </w:rPr>
      </w:pPr>
      <w:r w:rsidRPr="00241DE4">
        <w:rPr>
          <w:rFonts w:eastAsia="Times New Roman" w:cs="Calibri"/>
          <w:b/>
          <w:i/>
          <w:sz w:val="23"/>
          <w:szCs w:val="23"/>
          <w:u w:val="single"/>
          <w:lang w:eastAsia="es-ES"/>
        </w:rPr>
        <w:t>Recomendación</w:t>
      </w:r>
      <w:r w:rsidRPr="00241DE4">
        <w:rPr>
          <w:rFonts w:eastAsia="Times New Roman" w:cs="Calibri"/>
          <w:b/>
          <w:i/>
          <w:sz w:val="23"/>
          <w:szCs w:val="23"/>
          <w:lang w:eastAsia="es-ES"/>
        </w:rPr>
        <w:t>:</w:t>
      </w:r>
    </w:p>
    <w:p w14:paraId="30A8BC90" w14:textId="77777777" w:rsidR="00241DE4" w:rsidRPr="00241DE4" w:rsidRDefault="00241DE4" w:rsidP="00241DE4">
      <w:pPr>
        <w:spacing w:after="120" w:line="240" w:lineRule="auto"/>
        <w:jc w:val="both"/>
        <w:rPr>
          <w:rFonts w:eastAsia="Times New Roman" w:cs="Calibri"/>
          <w:i/>
          <w:sz w:val="23"/>
          <w:szCs w:val="23"/>
          <w:lang w:eastAsia="es-ES"/>
        </w:rPr>
      </w:pPr>
    </w:p>
    <w:p w14:paraId="6A7210E5" w14:textId="34BD3B98" w:rsidR="00A71CE2" w:rsidRPr="00241DE4" w:rsidRDefault="002A2168" w:rsidP="00241DE4">
      <w:pPr>
        <w:pStyle w:val="ListParagraph"/>
        <w:numPr>
          <w:ilvl w:val="0"/>
          <w:numId w:val="3"/>
        </w:numPr>
        <w:spacing w:after="120" w:line="240" w:lineRule="auto"/>
        <w:contextualSpacing w:val="0"/>
        <w:jc w:val="both"/>
        <w:rPr>
          <w:rFonts w:eastAsia="Times New Roman" w:cs="Calibri"/>
          <w:b/>
          <w:sz w:val="23"/>
          <w:szCs w:val="23"/>
          <w:lang w:eastAsia="es-ES"/>
        </w:rPr>
      </w:pPr>
      <w:r w:rsidRPr="00241DE4">
        <w:rPr>
          <w:rFonts w:eastAsia="Times New Roman" w:cs="Calibri"/>
          <w:b/>
          <w:sz w:val="23"/>
          <w:szCs w:val="23"/>
          <w:lang w:eastAsia="es-ES"/>
        </w:rPr>
        <w:t xml:space="preserve">Adoptar medidas legislativas para consagrar cabalmente la imprescriptibilidad de los crímenes de lesa humanidad, genocidio y crímenes de guerra, incluyendo los cometidos con anterioridad a la entrada en vigencia de la Ley Nº 20.357; </w:t>
      </w:r>
      <w:r w:rsidR="00A71CE2" w:rsidRPr="00241DE4">
        <w:rPr>
          <w:rFonts w:eastAsia="Times New Roman" w:cs="Calibri"/>
          <w:b/>
          <w:sz w:val="23"/>
          <w:szCs w:val="23"/>
          <w:lang w:eastAsia="es-ES"/>
        </w:rPr>
        <w:t>modificar las</w:t>
      </w:r>
      <w:r w:rsidR="00A81FBC" w:rsidRPr="00241DE4">
        <w:rPr>
          <w:rFonts w:eastAsia="Times New Roman" w:cs="Calibri"/>
          <w:b/>
          <w:sz w:val="23"/>
          <w:szCs w:val="23"/>
          <w:lang w:eastAsia="es-ES"/>
        </w:rPr>
        <w:t xml:space="preserve"> definiciones de crímenes</w:t>
      </w:r>
      <w:r w:rsidR="00A71CE2" w:rsidRPr="00241DE4">
        <w:rPr>
          <w:rFonts w:eastAsia="Times New Roman" w:cs="Calibri"/>
          <w:b/>
          <w:sz w:val="23"/>
          <w:szCs w:val="23"/>
          <w:lang w:eastAsia="es-ES"/>
        </w:rPr>
        <w:t xml:space="preserve"> de esclavitud, deportación o desplazamiento forzado de población, violación sexual, prostitución forzada, aborto forzado, embarazo forzado y abuso sexual, e incorporar la trata de personas y la esclavitud sexual. </w:t>
      </w:r>
    </w:p>
    <w:p w14:paraId="34FF23CB" w14:textId="77777777" w:rsidR="00E4611E" w:rsidRPr="00446153" w:rsidRDefault="00E4611E" w:rsidP="00241DE4">
      <w:pPr>
        <w:spacing w:after="120" w:line="240" w:lineRule="auto"/>
        <w:jc w:val="both"/>
        <w:rPr>
          <w:rFonts w:cs="Calibri"/>
          <w:b/>
          <w:color w:val="000000"/>
          <w:sz w:val="23"/>
          <w:szCs w:val="23"/>
        </w:rPr>
      </w:pPr>
    </w:p>
    <w:p w14:paraId="2E826884"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Decreto Ley de Amnistía nº 2.191 del año 1978</w:t>
      </w:r>
    </w:p>
    <w:p w14:paraId="5456B7E7" w14:textId="77777777" w:rsidR="00241DE4" w:rsidRPr="00446153" w:rsidRDefault="00241DE4" w:rsidP="00241DE4">
      <w:pPr>
        <w:spacing w:after="120" w:line="240" w:lineRule="auto"/>
        <w:jc w:val="both"/>
        <w:rPr>
          <w:rFonts w:cs="Calibri"/>
          <w:b/>
          <w:color w:val="000000"/>
          <w:sz w:val="23"/>
          <w:szCs w:val="23"/>
        </w:rPr>
      </w:pPr>
    </w:p>
    <w:p w14:paraId="5BF0600D" w14:textId="77777777" w:rsidR="00884C94" w:rsidRPr="00241DE4" w:rsidRDefault="003971F0" w:rsidP="00241DE4">
      <w:pPr>
        <w:spacing w:after="120" w:line="240" w:lineRule="auto"/>
        <w:jc w:val="both"/>
        <w:rPr>
          <w:rFonts w:eastAsia="Times New Roman" w:cs="Calibri"/>
          <w:sz w:val="23"/>
          <w:szCs w:val="23"/>
          <w:lang w:eastAsia="es-ES"/>
        </w:rPr>
      </w:pPr>
      <w:r w:rsidRPr="00241DE4">
        <w:rPr>
          <w:rFonts w:eastAsia="Times New Roman" w:cs="Calibri"/>
          <w:b/>
          <w:sz w:val="23"/>
          <w:szCs w:val="23"/>
          <w:lang w:eastAsia="es-ES"/>
        </w:rPr>
        <w:t>8</w:t>
      </w:r>
      <w:r w:rsidR="002A2168" w:rsidRPr="00241DE4">
        <w:rPr>
          <w:rFonts w:eastAsia="Times New Roman" w:cs="Calibri"/>
          <w:b/>
          <w:sz w:val="23"/>
          <w:szCs w:val="23"/>
          <w:lang w:eastAsia="es-ES"/>
        </w:rPr>
        <w:t>.</w:t>
      </w:r>
      <w:r w:rsidR="002A2168" w:rsidRPr="00241DE4">
        <w:rPr>
          <w:rFonts w:eastAsia="Times New Roman" w:cs="Calibri"/>
          <w:sz w:val="23"/>
          <w:szCs w:val="23"/>
          <w:lang w:eastAsia="es-ES"/>
        </w:rPr>
        <w:t xml:space="preserve"> La vigencia del Decreto Ley de Amnistía Nº 2191 dictado el año 1978 constituye una infracción a un conjunto de obligaciones internacionales asumidas por el Estado de Chile, que llevaron a que en el año 2006 </w:t>
      </w:r>
      <w:r w:rsidR="00A71CE2" w:rsidRPr="00241DE4">
        <w:rPr>
          <w:rFonts w:eastAsia="Times New Roman" w:cs="Calibri"/>
          <w:sz w:val="23"/>
          <w:szCs w:val="23"/>
          <w:lang w:eastAsia="es-ES"/>
        </w:rPr>
        <w:t xml:space="preserve">el Estado </w:t>
      </w:r>
      <w:r w:rsidR="002A2168" w:rsidRPr="00241DE4">
        <w:rPr>
          <w:rFonts w:eastAsia="Times New Roman" w:cs="Calibri"/>
          <w:sz w:val="23"/>
          <w:szCs w:val="23"/>
          <w:lang w:eastAsia="es-ES"/>
        </w:rPr>
        <w:t>fuera condenado por la Corte Interamericana de Derechos Humanos en el caso Almonacid</w:t>
      </w:r>
      <w:r w:rsidR="00A71CE2" w:rsidRPr="00241DE4">
        <w:rPr>
          <w:rFonts w:eastAsia="Times New Roman" w:cs="Calibri"/>
          <w:sz w:val="23"/>
          <w:szCs w:val="23"/>
          <w:lang w:eastAsia="es-ES"/>
        </w:rPr>
        <w:t xml:space="preserve"> Arellano y otros versus Chile</w:t>
      </w:r>
      <w:r w:rsidR="002A2168" w:rsidRPr="00241DE4">
        <w:rPr>
          <w:rStyle w:val="FootnoteReference"/>
          <w:rFonts w:eastAsia="Times New Roman" w:cs="Calibri"/>
          <w:sz w:val="23"/>
          <w:szCs w:val="23"/>
          <w:lang w:eastAsia="es-ES"/>
        </w:rPr>
        <w:footnoteReference w:id="3"/>
      </w:r>
      <w:r w:rsidR="002A2168" w:rsidRPr="00241DE4">
        <w:rPr>
          <w:rFonts w:eastAsia="Times New Roman" w:cs="Calibri"/>
          <w:sz w:val="23"/>
          <w:szCs w:val="23"/>
          <w:lang w:eastAsia="es-ES"/>
        </w:rPr>
        <w:t>. El Comité contra la Tortura</w:t>
      </w:r>
      <w:r w:rsidR="001F1A76" w:rsidRPr="00241DE4">
        <w:rPr>
          <w:rFonts w:eastAsia="Times New Roman" w:cs="Calibri"/>
          <w:sz w:val="23"/>
          <w:szCs w:val="23"/>
          <w:lang w:eastAsia="es-ES"/>
        </w:rPr>
        <w:t>,</w:t>
      </w:r>
      <w:r w:rsidR="002A2168" w:rsidRPr="00241DE4">
        <w:rPr>
          <w:rFonts w:eastAsia="Times New Roman" w:cs="Calibri"/>
          <w:sz w:val="23"/>
          <w:szCs w:val="23"/>
          <w:lang w:eastAsia="es-ES"/>
        </w:rPr>
        <w:t xml:space="preserve"> en sus Observaciones Finales</w:t>
      </w:r>
      <w:r w:rsidR="001F1A76" w:rsidRPr="00241DE4">
        <w:rPr>
          <w:rFonts w:eastAsia="Times New Roman" w:cs="Calibri"/>
          <w:sz w:val="23"/>
          <w:szCs w:val="23"/>
          <w:lang w:eastAsia="es-ES"/>
        </w:rPr>
        <w:t>,</w:t>
      </w:r>
      <w:r w:rsidR="002A2168" w:rsidRPr="00241DE4">
        <w:rPr>
          <w:rFonts w:eastAsia="Times New Roman" w:cs="Calibri"/>
          <w:sz w:val="23"/>
          <w:szCs w:val="23"/>
          <w:lang w:eastAsia="es-ES"/>
        </w:rPr>
        <w:t xml:space="preserve"> señaló que: "</w:t>
      </w:r>
      <w:r w:rsidR="002A2168" w:rsidRPr="00241DE4">
        <w:rPr>
          <w:rFonts w:eastAsia="Times New Roman" w:cs="Calibri"/>
          <w:i/>
          <w:sz w:val="23"/>
          <w:szCs w:val="23"/>
          <w:lang w:eastAsia="es-ES"/>
        </w:rPr>
        <w:t>El hecho que dicho Decreto-Ley continúe vigente deja todavía al arbitrio de las cortes internas la aplicación o no de la amnistía</w:t>
      </w:r>
      <w:r w:rsidR="002A2168" w:rsidRPr="00241DE4">
        <w:rPr>
          <w:rFonts w:eastAsia="Times New Roman" w:cs="Calibri"/>
          <w:sz w:val="23"/>
          <w:szCs w:val="23"/>
          <w:lang w:eastAsia="es-ES"/>
        </w:rPr>
        <w:t>", instando al Estado a que "</w:t>
      </w:r>
      <w:r w:rsidR="002A2168" w:rsidRPr="00241DE4">
        <w:rPr>
          <w:rFonts w:eastAsia="Times New Roman" w:cs="Calibri"/>
          <w:i/>
          <w:sz w:val="23"/>
          <w:szCs w:val="23"/>
          <w:lang w:eastAsia="es-ES"/>
        </w:rPr>
        <w:t>derogue el Decreto-Ley de Amnistía</w:t>
      </w:r>
      <w:r w:rsidR="002A2168" w:rsidRPr="00241DE4">
        <w:rPr>
          <w:rFonts w:eastAsia="Times New Roman" w:cs="Calibri"/>
          <w:sz w:val="23"/>
          <w:szCs w:val="23"/>
          <w:lang w:eastAsia="es-ES"/>
        </w:rPr>
        <w:t>", por cuanto "</w:t>
      </w:r>
      <w:r w:rsidR="002A2168" w:rsidRPr="00241DE4">
        <w:rPr>
          <w:rFonts w:eastAsia="Times New Roman" w:cs="Calibri"/>
          <w:i/>
          <w:sz w:val="23"/>
          <w:szCs w:val="23"/>
          <w:lang w:eastAsia="es-ES"/>
        </w:rPr>
        <w:t xml:space="preserve">las amnistías u otros obstáculos que impiden </w:t>
      </w:r>
      <w:r w:rsidR="002A2168" w:rsidRPr="00241DE4">
        <w:rPr>
          <w:rFonts w:cs="Calibri"/>
          <w:i/>
          <w:sz w:val="23"/>
          <w:szCs w:val="23"/>
        </w:rPr>
        <w:t>enjuiciar y castigar con prontitud e imparcialidad a los autores de actos de tortura o malos tratos, ponen de manifiesto una falta de voluntad al respecto, o infringen el carácter imperativo de la prohibición de la tortura</w:t>
      </w:r>
      <w:r w:rsidR="002A2168" w:rsidRPr="00241DE4">
        <w:rPr>
          <w:rFonts w:eastAsia="Times New Roman" w:cs="Calibri"/>
          <w:sz w:val="23"/>
          <w:szCs w:val="23"/>
          <w:lang w:eastAsia="es-ES"/>
        </w:rPr>
        <w:t>". Además, el Comité recomendó que se "</w:t>
      </w:r>
      <w:r w:rsidR="002A2168" w:rsidRPr="00241DE4">
        <w:rPr>
          <w:rFonts w:eastAsia="Times New Roman" w:cs="Calibri"/>
          <w:i/>
          <w:sz w:val="23"/>
          <w:szCs w:val="23"/>
          <w:lang w:eastAsia="es-ES"/>
        </w:rPr>
        <w:t xml:space="preserve">adopten todas las medidas necesarias para garantizar </w:t>
      </w:r>
      <w:r w:rsidR="002A2168" w:rsidRPr="00241DE4">
        <w:rPr>
          <w:rFonts w:cs="Calibri"/>
          <w:i/>
          <w:sz w:val="23"/>
          <w:szCs w:val="23"/>
        </w:rPr>
        <w:t>que las investigaciones de torturas y otros tratos o penas crueles, inhumanos o degradantes sean realizadas exhaustivamente, con prontitud y de manera imparcial y que se proceda al enjuiciamiento y castigo de los autores, así como a la adopción de medidas de reparación a las víctimas, de conformidad con lo dispuesto en la Convención</w:t>
      </w:r>
      <w:r w:rsidR="00E4611E" w:rsidRPr="00241DE4">
        <w:rPr>
          <w:rFonts w:eastAsia="Times New Roman" w:cs="Calibri"/>
          <w:sz w:val="23"/>
          <w:szCs w:val="23"/>
          <w:lang w:eastAsia="es-ES"/>
        </w:rPr>
        <w:t>"</w:t>
      </w:r>
      <w:r w:rsidR="002A2168" w:rsidRPr="00241DE4">
        <w:rPr>
          <w:rStyle w:val="FootnoteReference"/>
          <w:rFonts w:eastAsia="Times New Roman" w:cs="Calibri"/>
          <w:sz w:val="23"/>
          <w:szCs w:val="23"/>
          <w:lang w:eastAsia="es-ES"/>
        </w:rPr>
        <w:footnoteReference w:id="4"/>
      </w:r>
      <w:r w:rsidR="002A2168" w:rsidRPr="00241DE4">
        <w:rPr>
          <w:rFonts w:eastAsia="Times New Roman" w:cs="Calibri"/>
          <w:sz w:val="23"/>
          <w:szCs w:val="23"/>
          <w:lang w:eastAsia="es-ES"/>
        </w:rPr>
        <w:t>.</w:t>
      </w:r>
      <w:r w:rsidR="0080589A" w:rsidRPr="00241DE4">
        <w:rPr>
          <w:rFonts w:eastAsia="Times New Roman" w:cs="Calibri"/>
          <w:sz w:val="23"/>
          <w:szCs w:val="23"/>
          <w:lang w:eastAsia="es-ES"/>
        </w:rPr>
        <w:t xml:space="preserve"> </w:t>
      </w:r>
      <w:r w:rsidR="002A2168" w:rsidRPr="00241DE4">
        <w:rPr>
          <w:rFonts w:eastAsia="Times New Roman" w:cs="Calibri"/>
          <w:sz w:val="23"/>
          <w:szCs w:val="23"/>
          <w:lang w:eastAsia="es-ES"/>
        </w:rPr>
        <w:t xml:space="preserve">El proyecto de ley que declara la nulidad </w:t>
      </w:r>
      <w:r w:rsidR="00A71CE2" w:rsidRPr="00241DE4">
        <w:rPr>
          <w:rFonts w:eastAsia="Times New Roman" w:cs="Calibri"/>
          <w:sz w:val="23"/>
          <w:szCs w:val="23"/>
          <w:lang w:eastAsia="es-ES"/>
        </w:rPr>
        <w:t xml:space="preserve">del Decreto Ley Nº 2191 de 1978, </w:t>
      </w:r>
      <w:r w:rsidR="002A2168" w:rsidRPr="00241DE4">
        <w:rPr>
          <w:rFonts w:eastAsia="Times New Roman" w:cs="Calibri"/>
          <w:sz w:val="23"/>
          <w:szCs w:val="23"/>
          <w:lang w:eastAsia="es-ES"/>
        </w:rPr>
        <w:t>pres</w:t>
      </w:r>
      <w:r w:rsidR="00884C94" w:rsidRPr="00241DE4">
        <w:rPr>
          <w:rFonts w:eastAsia="Times New Roman" w:cs="Calibri"/>
          <w:sz w:val="23"/>
          <w:szCs w:val="23"/>
          <w:lang w:eastAsia="es-ES"/>
        </w:rPr>
        <w:t>entado por senadores en el año</w:t>
      </w:r>
      <w:r w:rsidR="002A2168" w:rsidRPr="00241DE4">
        <w:rPr>
          <w:rFonts w:eastAsia="Times New Roman" w:cs="Calibri"/>
          <w:sz w:val="23"/>
          <w:szCs w:val="23"/>
          <w:lang w:eastAsia="es-ES"/>
        </w:rPr>
        <w:t xml:space="preserve"> 2006, </w:t>
      </w:r>
      <w:r w:rsidR="00884C94" w:rsidRPr="00241DE4">
        <w:rPr>
          <w:rFonts w:eastAsia="Times New Roman" w:cs="Calibri"/>
          <w:sz w:val="23"/>
          <w:szCs w:val="23"/>
          <w:lang w:eastAsia="es-ES"/>
        </w:rPr>
        <w:t xml:space="preserve">no ha sido discutido desde el año 2015. </w:t>
      </w:r>
    </w:p>
    <w:p w14:paraId="2FA1B33B" w14:textId="4C4DBA2D" w:rsidR="00634FDB" w:rsidRPr="00241DE4" w:rsidRDefault="00884C94" w:rsidP="00241DE4">
      <w:pPr>
        <w:spacing w:after="120" w:line="240" w:lineRule="auto"/>
        <w:jc w:val="both"/>
        <w:rPr>
          <w:rFonts w:eastAsia="Times New Roman" w:cs="Calibri"/>
          <w:sz w:val="23"/>
          <w:szCs w:val="23"/>
          <w:lang w:eastAsia="es-ES"/>
        </w:rPr>
      </w:pPr>
      <w:r w:rsidRPr="00241DE4">
        <w:rPr>
          <w:rFonts w:eastAsia="Times New Roman" w:cs="Calibri"/>
          <w:b/>
          <w:sz w:val="23"/>
          <w:szCs w:val="23"/>
          <w:lang w:eastAsia="es-ES"/>
        </w:rPr>
        <w:t xml:space="preserve">9. </w:t>
      </w:r>
      <w:r w:rsidRPr="00241DE4">
        <w:rPr>
          <w:rFonts w:eastAsia="Times New Roman" w:cs="Calibri"/>
          <w:sz w:val="23"/>
          <w:szCs w:val="23"/>
          <w:lang w:eastAsia="es-ES"/>
        </w:rPr>
        <w:t xml:space="preserve"> </w:t>
      </w:r>
      <w:r w:rsidR="00634FDB" w:rsidRPr="00241DE4">
        <w:rPr>
          <w:rFonts w:eastAsia="Times New Roman" w:cs="Calibri"/>
          <w:sz w:val="23"/>
          <w:szCs w:val="23"/>
          <w:lang w:eastAsia="es-ES"/>
        </w:rPr>
        <w:t>Por otro lado, e</w:t>
      </w:r>
      <w:r w:rsidR="00B47564" w:rsidRPr="00241DE4">
        <w:rPr>
          <w:rFonts w:eastAsia="Times New Roman" w:cs="Calibri"/>
          <w:sz w:val="23"/>
          <w:szCs w:val="23"/>
          <w:lang w:eastAsia="es-ES"/>
        </w:rPr>
        <w:t xml:space="preserve">xiste una iniciativa legislativa </w:t>
      </w:r>
      <w:r w:rsidR="00634FDB" w:rsidRPr="00241DE4">
        <w:rPr>
          <w:rFonts w:eastAsia="Times New Roman" w:cs="Calibri"/>
          <w:sz w:val="23"/>
          <w:szCs w:val="23"/>
          <w:lang w:eastAsia="es-ES"/>
        </w:rPr>
        <w:t xml:space="preserve">vinculada a lo anterior, </w:t>
      </w:r>
      <w:r w:rsidR="00B47564" w:rsidRPr="00241DE4">
        <w:rPr>
          <w:rFonts w:eastAsia="Times New Roman" w:cs="Calibri"/>
          <w:sz w:val="23"/>
          <w:szCs w:val="23"/>
          <w:lang w:eastAsia="es-ES"/>
        </w:rPr>
        <w:t xml:space="preserve">que </w:t>
      </w:r>
      <w:r w:rsidR="00634FDB" w:rsidRPr="00241DE4">
        <w:rPr>
          <w:rFonts w:eastAsia="Times New Roman" w:cs="Calibri"/>
          <w:sz w:val="23"/>
          <w:szCs w:val="23"/>
          <w:lang w:eastAsia="es-ES"/>
        </w:rPr>
        <w:t xml:space="preserve">dispone </w:t>
      </w:r>
      <w:r w:rsidR="00B47564" w:rsidRPr="00241DE4">
        <w:rPr>
          <w:rFonts w:eastAsia="Times New Roman" w:cs="Calibri"/>
          <w:sz w:val="23"/>
          <w:szCs w:val="23"/>
          <w:lang w:eastAsia="es-ES"/>
        </w:rPr>
        <w:t>la improcedencia de amnistías, indultos y prescripción respecto de los crímenes y delitos que, en conformidad al derecho internacional, constituyan genocidio, crímenes de lesa humanidad y de guerra. El proyecto de</w:t>
      </w:r>
      <w:r w:rsidR="002A2168" w:rsidRPr="00241DE4">
        <w:rPr>
          <w:rFonts w:eastAsia="Times New Roman" w:cs="Calibri"/>
          <w:sz w:val="23"/>
          <w:szCs w:val="23"/>
          <w:lang w:eastAsia="es-ES"/>
        </w:rPr>
        <w:t xml:space="preserve"> ley </w:t>
      </w:r>
      <w:r w:rsidR="00634FDB" w:rsidRPr="00241DE4">
        <w:rPr>
          <w:rFonts w:eastAsia="Times New Roman" w:cs="Calibri"/>
          <w:sz w:val="23"/>
          <w:szCs w:val="23"/>
          <w:lang w:eastAsia="es-ES"/>
        </w:rPr>
        <w:t xml:space="preserve">indica: </w:t>
      </w:r>
      <w:r w:rsidR="0080589A" w:rsidRPr="00241DE4">
        <w:rPr>
          <w:rFonts w:eastAsia="Times New Roman" w:cs="Calibri"/>
          <w:i/>
          <w:sz w:val="23"/>
          <w:szCs w:val="23"/>
          <w:lang w:eastAsia="es-ES"/>
        </w:rPr>
        <w:t>“L</w:t>
      </w:r>
      <w:r w:rsidR="00634FDB" w:rsidRPr="00241DE4">
        <w:rPr>
          <w:rFonts w:eastAsia="Times New Roman" w:cs="Calibri"/>
          <w:i/>
          <w:sz w:val="23"/>
          <w:szCs w:val="23"/>
          <w:lang w:eastAsia="es-ES"/>
        </w:rPr>
        <w:t xml:space="preserve">a amnistía, el indulto y la prescripción </w:t>
      </w:r>
      <w:r w:rsidR="00634FDB" w:rsidRPr="00241DE4">
        <w:rPr>
          <w:rFonts w:eastAsia="Times New Roman" w:cs="Calibri"/>
          <w:i/>
          <w:sz w:val="23"/>
          <w:szCs w:val="23"/>
          <w:lang w:eastAsia="es-ES"/>
        </w:rPr>
        <w:lastRenderedPageBreak/>
        <w:t>o media prescripción, de la acción pena</w:t>
      </w:r>
      <w:r w:rsidR="001F1A76" w:rsidRPr="00241DE4">
        <w:rPr>
          <w:rFonts w:eastAsia="Times New Roman" w:cs="Calibri"/>
          <w:i/>
          <w:sz w:val="23"/>
          <w:szCs w:val="23"/>
          <w:lang w:eastAsia="es-ES"/>
        </w:rPr>
        <w:t>l</w:t>
      </w:r>
      <w:r w:rsidR="0080589A" w:rsidRPr="00241DE4">
        <w:rPr>
          <w:rFonts w:eastAsia="Times New Roman" w:cs="Calibri"/>
          <w:i/>
          <w:sz w:val="23"/>
          <w:szCs w:val="23"/>
          <w:lang w:eastAsia="es-ES"/>
        </w:rPr>
        <w:t xml:space="preserve"> y de la pena, </w:t>
      </w:r>
      <w:r w:rsidR="00634FDB" w:rsidRPr="00241DE4">
        <w:rPr>
          <w:rFonts w:eastAsia="Times New Roman" w:cs="Calibri"/>
          <w:i/>
          <w:sz w:val="23"/>
          <w:szCs w:val="23"/>
          <w:lang w:eastAsia="es-ES"/>
        </w:rPr>
        <w:t>no serán aplicables a los crímenes y simples delitos que, en conformidad al Derecho Internacional, constituyan genocidio, crímenes de lesa humanidad o crí</w:t>
      </w:r>
      <w:r w:rsidR="005C7FB2" w:rsidRPr="00241DE4">
        <w:rPr>
          <w:rFonts w:eastAsia="Times New Roman" w:cs="Calibri"/>
          <w:i/>
          <w:sz w:val="23"/>
          <w:szCs w:val="23"/>
          <w:lang w:eastAsia="es-ES"/>
        </w:rPr>
        <w:t>menes o delitos de guerra, perp</w:t>
      </w:r>
      <w:r w:rsidR="00634FDB" w:rsidRPr="00241DE4">
        <w:rPr>
          <w:rFonts w:eastAsia="Times New Roman" w:cs="Calibri"/>
          <w:i/>
          <w:sz w:val="23"/>
          <w:szCs w:val="23"/>
          <w:lang w:eastAsia="es-ES"/>
        </w:rPr>
        <w:t>et</w:t>
      </w:r>
      <w:r w:rsidR="005C7FB2" w:rsidRPr="00241DE4">
        <w:rPr>
          <w:rFonts w:eastAsia="Times New Roman" w:cs="Calibri"/>
          <w:i/>
          <w:sz w:val="23"/>
          <w:szCs w:val="23"/>
          <w:lang w:eastAsia="es-ES"/>
        </w:rPr>
        <w:t>r</w:t>
      </w:r>
      <w:r w:rsidR="00634FDB" w:rsidRPr="00241DE4">
        <w:rPr>
          <w:rFonts w:eastAsia="Times New Roman" w:cs="Calibri"/>
          <w:i/>
          <w:sz w:val="23"/>
          <w:szCs w:val="23"/>
          <w:lang w:eastAsia="es-ES"/>
        </w:rPr>
        <w:t>ados por agentes del Estado o por personas o grupos de personas que actuaron con la autorizació</w:t>
      </w:r>
      <w:r w:rsidR="001F1A76" w:rsidRPr="00241DE4">
        <w:rPr>
          <w:rFonts w:eastAsia="Times New Roman" w:cs="Calibri"/>
          <w:i/>
          <w:sz w:val="23"/>
          <w:szCs w:val="23"/>
          <w:lang w:eastAsia="es-ES"/>
        </w:rPr>
        <w:t>n, el apoy</w:t>
      </w:r>
      <w:r w:rsidR="00634FDB" w:rsidRPr="00241DE4">
        <w:rPr>
          <w:rFonts w:eastAsia="Times New Roman" w:cs="Calibri"/>
          <w:i/>
          <w:sz w:val="23"/>
          <w:szCs w:val="23"/>
          <w:lang w:eastAsia="es-ES"/>
        </w:rPr>
        <w:t>o o la aquiescencia del Estado, dura</w:t>
      </w:r>
      <w:r w:rsidR="0080589A" w:rsidRPr="00241DE4">
        <w:rPr>
          <w:rFonts w:eastAsia="Times New Roman" w:cs="Calibri"/>
          <w:i/>
          <w:sz w:val="23"/>
          <w:szCs w:val="23"/>
          <w:lang w:eastAsia="es-ES"/>
        </w:rPr>
        <w:t>nte el</w:t>
      </w:r>
      <w:r w:rsidR="00634FDB" w:rsidRPr="00241DE4">
        <w:rPr>
          <w:rFonts w:eastAsia="Times New Roman" w:cs="Calibri"/>
          <w:i/>
          <w:sz w:val="23"/>
          <w:szCs w:val="23"/>
          <w:lang w:eastAsia="es-ES"/>
        </w:rPr>
        <w:t xml:space="preserve"> período comprendido entre el 11 de septiembre de 1973 y el 10 de marzo de 1990”. </w:t>
      </w:r>
      <w:r w:rsidR="00634FDB" w:rsidRPr="00241DE4">
        <w:rPr>
          <w:rFonts w:eastAsia="Times New Roman" w:cs="Calibri"/>
          <w:sz w:val="23"/>
          <w:szCs w:val="23"/>
          <w:lang w:eastAsia="es-ES"/>
        </w:rPr>
        <w:t xml:space="preserve">El mencionado proyecto </w:t>
      </w:r>
      <w:r w:rsidR="001F1A76" w:rsidRPr="00241DE4">
        <w:rPr>
          <w:rFonts w:eastAsia="Times New Roman" w:cs="Calibri"/>
          <w:sz w:val="23"/>
          <w:szCs w:val="23"/>
          <w:lang w:eastAsia="es-ES"/>
        </w:rPr>
        <w:t>presentado</w:t>
      </w:r>
      <w:r w:rsidR="002A2168" w:rsidRPr="00241DE4">
        <w:rPr>
          <w:rFonts w:eastAsia="Times New Roman" w:cs="Calibri"/>
          <w:sz w:val="23"/>
          <w:szCs w:val="23"/>
          <w:lang w:eastAsia="es-ES"/>
        </w:rPr>
        <w:t xml:space="preserve"> por diputados en marzo d</w:t>
      </w:r>
      <w:r w:rsidR="00634FDB" w:rsidRPr="00241DE4">
        <w:rPr>
          <w:rFonts w:eastAsia="Times New Roman" w:cs="Calibri"/>
          <w:sz w:val="23"/>
          <w:szCs w:val="23"/>
          <w:lang w:eastAsia="es-ES"/>
        </w:rPr>
        <w:t xml:space="preserve">e 2009 </w:t>
      </w:r>
      <w:r w:rsidR="002A2168" w:rsidRPr="00241DE4">
        <w:rPr>
          <w:rFonts w:eastAsia="Times New Roman" w:cs="Calibri"/>
          <w:sz w:val="23"/>
          <w:szCs w:val="23"/>
          <w:lang w:eastAsia="es-ES"/>
        </w:rPr>
        <w:t xml:space="preserve">no ha tenido ningún </w:t>
      </w:r>
      <w:r w:rsidR="003971F0" w:rsidRPr="00241DE4">
        <w:rPr>
          <w:rFonts w:eastAsia="Times New Roman" w:cs="Calibri"/>
          <w:sz w:val="23"/>
          <w:szCs w:val="23"/>
          <w:lang w:eastAsia="es-ES"/>
        </w:rPr>
        <w:t xml:space="preserve">avance. </w:t>
      </w:r>
      <w:r w:rsidR="00B47564" w:rsidRPr="00241DE4">
        <w:rPr>
          <w:rFonts w:eastAsia="Times New Roman" w:cs="Calibri"/>
          <w:sz w:val="23"/>
          <w:szCs w:val="23"/>
          <w:lang w:eastAsia="es-ES"/>
        </w:rPr>
        <w:t xml:space="preserve"> </w:t>
      </w:r>
    </w:p>
    <w:p w14:paraId="6965B679" w14:textId="77777777" w:rsidR="002A2168" w:rsidRDefault="00634FDB" w:rsidP="00241DE4">
      <w:pPr>
        <w:spacing w:after="120" w:line="240" w:lineRule="auto"/>
        <w:jc w:val="both"/>
        <w:rPr>
          <w:rFonts w:eastAsia="Times New Roman" w:cs="Calibri"/>
          <w:color w:val="222222"/>
          <w:sz w:val="23"/>
          <w:szCs w:val="23"/>
          <w:shd w:val="clear" w:color="auto" w:fill="FFFFFF"/>
          <w:lang w:val="es-ES_tradnl" w:eastAsia="es-ES_tradnl"/>
        </w:rPr>
      </w:pPr>
      <w:r w:rsidRPr="00241DE4">
        <w:rPr>
          <w:rFonts w:eastAsia="Times New Roman" w:cs="Calibri"/>
          <w:b/>
          <w:sz w:val="23"/>
          <w:szCs w:val="23"/>
          <w:lang w:eastAsia="es-ES"/>
        </w:rPr>
        <w:t>10.</w:t>
      </w:r>
      <w:r w:rsidRPr="00241DE4">
        <w:rPr>
          <w:rFonts w:eastAsia="Times New Roman" w:cs="Calibri"/>
          <w:sz w:val="23"/>
          <w:szCs w:val="23"/>
          <w:lang w:eastAsia="es-ES"/>
        </w:rPr>
        <w:t xml:space="preserve"> </w:t>
      </w:r>
      <w:r w:rsidR="00B47564" w:rsidRPr="00241DE4">
        <w:rPr>
          <w:rFonts w:eastAsia="Times New Roman" w:cs="Calibri"/>
          <w:sz w:val="23"/>
          <w:szCs w:val="23"/>
          <w:lang w:eastAsia="es-ES"/>
        </w:rPr>
        <w:t>La iniciativa también e</w:t>
      </w:r>
      <w:r w:rsidR="002A2168" w:rsidRPr="00241DE4">
        <w:rPr>
          <w:rFonts w:eastAsia="Times New Roman" w:cs="Calibri"/>
          <w:sz w:val="23"/>
          <w:szCs w:val="23"/>
          <w:lang w:eastAsia="es-ES"/>
        </w:rPr>
        <w:t>xcluye expresamente la posibilidad de aplicar la prescripción gradual</w:t>
      </w:r>
      <w:r w:rsidR="000662DB" w:rsidRPr="00241DE4">
        <w:rPr>
          <w:rStyle w:val="FootnoteReference"/>
          <w:rFonts w:eastAsia="Times New Roman" w:cs="Calibri"/>
          <w:sz w:val="23"/>
          <w:szCs w:val="23"/>
          <w:lang w:eastAsia="es-ES"/>
        </w:rPr>
        <w:footnoteReference w:id="5"/>
      </w:r>
      <w:r w:rsidR="002A2168" w:rsidRPr="00241DE4">
        <w:rPr>
          <w:rFonts w:eastAsia="Times New Roman" w:cs="Calibri"/>
          <w:sz w:val="23"/>
          <w:szCs w:val="23"/>
          <w:lang w:eastAsia="es-ES"/>
        </w:rPr>
        <w:t xml:space="preserve"> establecida en el Art. 103 del Código Penal respecto de estos crímenes</w:t>
      </w:r>
      <w:r w:rsidR="00B47564" w:rsidRPr="00241DE4">
        <w:rPr>
          <w:rFonts w:eastAsia="Times New Roman" w:cs="Calibri"/>
          <w:sz w:val="23"/>
          <w:szCs w:val="23"/>
          <w:lang w:eastAsia="es-ES"/>
        </w:rPr>
        <w:t xml:space="preserve">. </w:t>
      </w:r>
      <w:r w:rsidR="00B47564" w:rsidRPr="00241DE4">
        <w:rPr>
          <w:rFonts w:eastAsia="Times New Roman" w:cs="Calibri"/>
          <w:color w:val="222222"/>
          <w:sz w:val="23"/>
          <w:szCs w:val="23"/>
          <w:shd w:val="clear" w:color="auto" w:fill="FFFFFF"/>
          <w:lang w:val="es-ES_tradnl" w:eastAsia="es-ES_tradnl"/>
        </w:rPr>
        <w:t>A nivel de la Corte Suprema de Justicia, la atenuante de prescripción gradual ha caído casi en desuso, luego de haber figurado durante un buen tiempo como la principal causa de penas tan bajas a v</w:t>
      </w:r>
      <w:r w:rsidR="003971F0" w:rsidRPr="00241DE4">
        <w:rPr>
          <w:rFonts w:eastAsia="Times New Roman" w:cs="Calibri"/>
          <w:color w:val="222222"/>
          <w:sz w:val="23"/>
          <w:szCs w:val="23"/>
          <w:shd w:val="clear" w:color="auto" w:fill="FFFFFF"/>
          <w:lang w:val="es-ES_tradnl" w:eastAsia="es-ES_tradnl"/>
        </w:rPr>
        <w:t xml:space="preserve">ioladores de derechos humanos. </w:t>
      </w:r>
      <w:r w:rsidR="00B47564" w:rsidRPr="00241DE4">
        <w:rPr>
          <w:rFonts w:eastAsia="Times New Roman" w:cs="Calibri"/>
          <w:color w:val="222222"/>
          <w:sz w:val="23"/>
          <w:szCs w:val="23"/>
          <w:shd w:val="clear" w:color="auto" w:fill="FFFFFF"/>
          <w:lang w:val="es-ES_tradnl" w:eastAsia="es-ES_tradnl"/>
        </w:rPr>
        <w:t xml:space="preserve">No obstante, la prescripción gradual sigue siendo apoyada por algunos ministros en voto de minoría y existiendo en la ley penal, por lo que es necesario la modificación legal de la norma.  </w:t>
      </w:r>
    </w:p>
    <w:p w14:paraId="1DD9FFB9" w14:textId="77777777" w:rsidR="00241DE4" w:rsidRPr="00241DE4" w:rsidRDefault="00241DE4" w:rsidP="00241DE4">
      <w:pPr>
        <w:spacing w:after="120" w:line="240" w:lineRule="auto"/>
        <w:jc w:val="both"/>
        <w:rPr>
          <w:rFonts w:eastAsia="Times New Roman" w:cs="Calibri"/>
          <w:sz w:val="23"/>
          <w:szCs w:val="23"/>
          <w:lang w:eastAsia="es-ES"/>
        </w:rPr>
      </w:pPr>
    </w:p>
    <w:p w14:paraId="7E162A34" w14:textId="77777777" w:rsidR="002A2168" w:rsidRDefault="002A2168" w:rsidP="00241DE4">
      <w:pPr>
        <w:tabs>
          <w:tab w:val="left" w:pos="4916"/>
        </w:tabs>
        <w:spacing w:after="120" w:line="240" w:lineRule="auto"/>
        <w:jc w:val="both"/>
        <w:rPr>
          <w:rFonts w:eastAsia="Times New Roman" w:cs="Calibri"/>
          <w:b/>
          <w:i/>
          <w:sz w:val="23"/>
          <w:szCs w:val="23"/>
          <w:lang w:eastAsia="es-ES"/>
        </w:rPr>
      </w:pPr>
      <w:r w:rsidRPr="00241DE4">
        <w:rPr>
          <w:rFonts w:eastAsia="Times New Roman" w:cs="Calibri"/>
          <w:b/>
          <w:i/>
          <w:sz w:val="23"/>
          <w:szCs w:val="23"/>
          <w:u w:val="single"/>
          <w:lang w:eastAsia="es-ES"/>
        </w:rPr>
        <w:t>Recomendaciones</w:t>
      </w:r>
      <w:r w:rsidRPr="00241DE4">
        <w:rPr>
          <w:rFonts w:eastAsia="Times New Roman" w:cs="Calibri"/>
          <w:b/>
          <w:i/>
          <w:sz w:val="23"/>
          <w:szCs w:val="23"/>
          <w:lang w:eastAsia="es-ES"/>
        </w:rPr>
        <w:t>:</w:t>
      </w:r>
      <w:r w:rsidRPr="00241DE4">
        <w:rPr>
          <w:rFonts w:eastAsia="Times New Roman" w:cs="Calibri"/>
          <w:b/>
          <w:i/>
          <w:sz w:val="23"/>
          <w:szCs w:val="23"/>
          <w:lang w:eastAsia="es-ES"/>
        </w:rPr>
        <w:tab/>
      </w:r>
    </w:p>
    <w:p w14:paraId="4F3417C6" w14:textId="77777777" w:rsidR="00241DE4" w:rsidRPr="00241DE4" w:rsidRDefault="00241DE4" w:rsidP="00241DE4">
      <w:pPr>
        <w:tabs>
          <w:tab w:val="left" w:pos="4916"/>
        </w:tabs>
        <w:spacing w:after="120" w:line="240" w:lineRule="auto"/>
        <w:jc w:val="both"/>
        <w:rPr>
          <w:rFonts w:eastAsia="Times New Roman" w:cs="Calibri"/>
          <w:b/>
          <w:i/>
          <w:sz w:val="23"/>
          <w:szCs w:val="23"/>
          <w:lang w:eastAsia="es-ES"/>
        </w:rPr>
      </w:pPr>
    </w:p>
    <w:p w14:paraId="335DFC76" w14:textId="77777777" w:rsidR="00535A1C" w:rsidRPr="00241DE4" w:rsidRDefault="002A2168" w:rsidP="00241DE4">
      <w:pPr>
        <w:pStyle w:val="ListParagraph"/>
        <w:numPr>
          <w:ilvl w:val="0"/>
          <w:numId w:val="3"/>
        </w:numPr>
        <w:spacing w:after="120" w:line="240" w:lineRule="auto"/>
        <w:contextualSpacing w:val="0"/>
        <w:jc w:val="both"/>
        <w:rPr>
          <w:rFonts w:eastAsia="Times New Roman" w:cs="Calibri"/>
          <w:b/>
          <w:sz w:val="23"/>
          <w:szCs w:val="23"/>
          <w:lang w:eastAsia="es-ES"/>
        </w:rPr>
      </w:pPr>
      <w:r w:rsidRPr="00241DE4">
        <w:rPr>
          <w:rFonts w:eastAsia="Times New Roman" w:cs="Calibri"/>
          <w:b/>
          <w:sz w:val="23"/>
          <w:szCs w:val="23"/>
          <w:lang w:eastAsia="es-ES"/>
        </w:rPr>
        <w:t xml:space="preserve">Adoptar medidas legislativas para poner término a la vigencia del Decreto-Ley de Amnistía nº 2.191 del año 1978 y otros obstáculos que impiden enjuiciar y castigar con prontitud e imparcialidad a los autores de actos de tortura y crímenes internacionales. </w:t>
      </w:r>
    </w:p>
    <w:p w14:paraId="37AB002D" w14:textId="77777777" w:rsidR="00634FDB" w:rsidRDefault="00634FDB" w:rsidP="00241DE4">
      <w:pPr>
        <w:pStyle w:val="ListParagraph"/>
        <w:numPr>
          <w:ilvl w:val="0"/>
          <w:numId w:val="3"/>
        </w:numPr>
        <w:spacing w:after="120" w:line="240" w:lineRule="auto"/>
        <w:contextualSpacing w:val="0"/>
        <w:jc w:val="both"/>
        <w:rPr>
          <w:rFonts w:eastAsia="Times New Roman" w:cs="Calibri"/>
          <w:b/>
          <w:sz w:val="23"/>
          <w:szCs w:val="23"/>
          <w:lang w:eastAsia="es-ES"/>
        </w:rPr>
      </w:pPr>
      <w:r w:rsidRPr="00241DE4">
        <w:rPr>
          <w:rFonts w:eastAsia="Times New Roman" w:cs="Calibri"/>
          <w:b/>
          <w:sz w:val="23"/>
          <w:szCs w:val="23"/>
          <w:lang w:eastAsia="es-ES"/>
        </w:rPr>
        <w:t>Impulsar la discusión del proyecto de ley que adecúa la normativa interna en materia de improcedencia de amnistías, indultos y prescripción respecto de los crímenes y delitos que, en conformidad al derecho internacional, constituyan genocidio, crímenes de lesa humanidad y de guerra.</w:t>
      </w:r>
    </w:p>
    <w:p w14:paraId="1C80F048" w14:textId="77777777" w:rsidR="00241DE4" w:rsidRPr="00241DE4" w:rsidRDefault="00241DE4" w:rsidP="00241DE4">
      <w:pPr>
        <w:pStyle w:val="ListParagraph"/>
        <w:spacing w:after="120" w:line="240" w:lineRule="auto"/>
        <w:contextualSpacing w:val="0"/>
        <w:jc w:val="both"/>
        <w:rPr>
          <w:rFonts w:eastAsia="Times New Roman" w:cs="Calibri"/>
          <w:b/>
          <w:sz w:val="23"/>
          <w:szCs w:val="23"/>
          <w:lang w:eastAsia="es-ES"/>
        </w:rPr>
      </w:pPr>
    </w:p>
    <w:p w14:paraId="363298DD" w14:textId="77777777" w:rsidR="002A2168" w:rsidRPr="00446153" w:rsidRDefault="00BD729C" w:rsidP="00241DE4">
      <w:pPr>
        <w:spacing w:after="120" w:line="240" w:lineRule="auto"/>
        <w:jc w:val="both"/>
        <w:rPr>
          <w:rFonts w:cs="Calibri"/>
          <w:b/>
          <w:color w:val="000000"/>
          <w:sz w:val="23"/>
          <w:szCs w:val="23"/>
        </w:rPr>
      </w:pPr>
      <w:r w:rsidRPr="00446153">
        <w:rPr>
          <w:rFonts w:cs="Calibri"/>
          <w:b/>
          <w:color w:val="000000"/>
          <w:sz w:val="23"/>
          <w:szCs w:val="23"/>
        </w:rPr>
        <w:t>Acceso a la justicia</w:t>
      </w:r>
    </w:p>
    <w:p w14:paraId="198EBC78" w14:textId="77777777" w:rsidR="00241DE4" w:rsidRPr="00446153" w:rsidRDefault="00241DE4" w:rsidP="00241DE4">
      <w:pPr>
        <w:spacing w:after="120" w:line="240" w:lineRule="auto"/>
        <w:jc w:val="both"/>
        <w:rPr>
          <w:rFonts w:cs="Calibri"/>
          <w:b/>
          <w:color w:val="000000"/>
          <w:sz w:val="23"/>
          <w:szCs w:val="23"/>
        </w:rPr>
      </w:pPr>
    </w:p>
    <w:p w14:paraId="4E1F19F2" w14:textId="77777777" w:rsidR="002A2168" w:rsidRPr="00446153" w:rsidRDefault="00643FD4" w:rsidP="00241DE4">
      <w:pPr>
        <w:pStyle w:val="Default"/>
        <w:spacing w:after="120"/>
        <w:jc w:val="both"/>
        <w:rPr>
          <w:rFonts w:ascii="Calibri" w:hAnsi="Calibri" w:cs="Calibri"/>
          <w:bCs/>
          <w:sz w:val="23"/>
          <w:szCs w:val="23"/>
        </w:rPr>
      </w:pPr>
      <w:r w:rsidRPr="00446153">
        <w:rPr>
          <w:rFonts w:ascii="Calibri" w:hAnsi="Calibri" w:cs="Calibri"/>
          <w:b/>
          <w:sz w:val="23"/>
          <w:szCs w:val="23"/>
        </w:rPr>
        <w:t>11</w:t>
      </w:r>
      <w:r w:rsidR="002A2168" w:rsidRPr="00446153">
        <w:rPr>
          <w:rFonts w:ascii="Calibri" w:hAnsi="Calibri" w:cs="Calibri"/>
          <w:b/>
          <w:sz w:val="23"/>
          <w:szCs w:val="23"/>
        </w:rPr>
        <w:t>.</w:t>
      </w:r>
      <w:r w:rsidR="002A2168" w:rsidRPr="00446153">
        <w:rPr>
          <w:rFonts w:ascii="Calibri" w:hAnsi="Calibri" w:cs="Calibri"/>
          <w:sz w:val="23"/>
          <w:szCs w:val="23"/>
        </w:rPr>
        <w:t xml:space="preserve"> En 2009 el Comité contra la Tortura expresó su preocupación por la persistencia de la impunidad de los responsables de crímenes de tortura cometidos bajo la dictadura y por la falta de adopción de medidas adecuadas para que estos sean procesados y condenados. El Comité en dicha ocasión recomendó al Estado de Chile </w:t>
      </w:r>
      <w:r w:rsidR="002A2168" w:rsidRPr="00446153">
        <w:rPr>
          <w:rFonts w:ascii="Calibri" w:hAnsi="Calibri" w:cs="Calibri"/>
          <w:i/>
          <w:sz w:val="23"/>
          <w:szCs w:val="23"/>
        </w:rPr>
        <w:t>“</w:t>
      </w:r>
      <w:r w:rsidR="002A2168" w:rsidRPr="00446153">
        <w:rPr>
          <w:rFonts w:ascii="Calibri" w:hAnsi="Calibri" w:cs="Calibri"/>
          <w:bCs/>
          <w:i/>
          <w:sz w:val="23"/>
          <w:szCs w:val="23"/>
        </w:rPr>
        <w:t>tomar todas las medidas necesarias para que se investigue, persiga y sancione adecuadamente a quienes hubieran cometido violaciones de derechos humanos, incluyendo el delito de tortura</w:t>
      </w:r>
      <w:r w:rsidR="002A2168" w:rsidRPr="00446153">
        <w:rPr>
          <w:rFonts w:ascii="Calibri" w:hAnsi="Calibri" w:cs="Calibri"/>
          <w:bCs/>
          <w:sz w:val="23"/>
          <w:szCs w:val="23"/>
        </w:rPr>
        <w:t>”.</w:t>
      </w:r>
    </w:p>
    <w:p w14:paraId="1A333394" w14:textId="7917D899" w:rsidR="00CA2EBB" w:rsidRPr="00446153" w:rsidRDefault="00643FD4" w:rsidP="00241DE4">
      <w:pPr>
        <w:pStyle w:val="Default"/>
        <w:spacing w:after="120"/>
        <w:jc w:val="both"/>
        <w:rPr>
          <w:rFonts w:ascii="Calibri" w:hAnsi="Calibri" w:cs="Calibri"/>
          <w:sz w:val="23"/>
          <w:szCs w:val="23"/>
        </w:rPr>
      </w:pPr>
      <w:r w:rsidRPr="00446153">
        <w:rPr>
          <w:rFonts w:ascii="Calibri" w:hAnsi="Calibri" w:cs="Calibri"/>
          <w:b/>
          <w:sz w:val="23"/>
          <w:szCs w:val="23"/>
        </w:rPr>
        <w:lastRenderedPageBreak/>
        <w:t>12</w:t>
      </w:r>
      <w:r w:rsidR="002A2168" w:rsidRPr="00446153">
        <w:rPr>
          <w:rFonts w:ascii="Calibri" w:hAnsi="Calibri" w:cs="Calibri"/>
          <w:b/>
          <w:sz w:val="23"/>
          <w:szCs w:val="23"/>
        </w:rPr>
        <w:t>.</w:t>
      </w:r>
      <w:r w:rsidR="002A2168" w:rsidRPr="00446153">
        <w:rPr>
          <w:rFonts w:ascii="Calibri" w:hAnsi="Calibri" w:cs="Calibri"/>
          <w:sz w:val="23"/>
          <w:szCs w:val="23"/>
        </w:rPr>
        <w:t xml:space="preserve"> </w:t>
      </w:r>
      <w:r w:rsidR="00634FDB" w:rsidRPr="00446153">
        <w:rPr>
          <w:rFonts w:ascii="Calibri" w:hAnsi="Calibri" w:cs="Calibri"/>
          <w:sz w:val="23"/>
          <w:szCs w:val="23"/>
        </w:rPr>
        <w:t>L</w:t>
      </w:r>
      <w:r w:rsidR="002A2168" w:rsidRPr="00446153">
        <w:rPr>
          <w:rFonts w:ascii="Calibri" w:hAnsi="Calibri" w:cs="Calibri"/>
          <w:sz w:val="23"/>
          <w:szCs w:val="23"/>
        </w:rPr>
        <w:t xml:space="preserve">as causas por </w:t>
      </w:r>
      <w:r w:rsidR="00634FDB" w:rsidRPr="00446153">
        <w:rPr>
          <w:rFonts w:ascii="Calibri" w:hAnsi="Calibri" w:cs="Calibri"/>
          <w:sz w:val="23"/>
          <w:szCs w:val="23"/>
        </w:rPr>
        <w:t>tortura ocurridas</w:t>
      </w:r>
      <w:r w:rsidR="002A2168" w:rsidRPr="00446153">
        <w:rPr>
          <w:rFonts w:ascii="Calibri" w:hAnsi="Calibri" w:cs="Calibri"/>
          <w:sz w:val="23"/>
          <w:szCs w:val="23"/>
        </w:rPr>
        <w:t xml:space="preserve"> durante la dictadura cívico-militar se encuentra</w:t>
      </w:r>
      <w:r w:rsidR="00634FDB" w:rsidRPr="00446153">
        <w:rPr>
          <w:rFonts w:ascii="Calibri" w:hAnsi="Calibri" w:cs="Calibri"/>
          <w:sz w:val="23"/>
          <w:szCs w:val="23"/>
        </w:rPr>
        <w:t xml:space="preserve">n radicadas, en cuanto a su investigación y sanción, </w:t>
      </w:r>
      <w:r w:rsidR="001F1A76" w:rsidRPr="00446153">
        <w:rPr>
          <w:rFonts w:ascii="Calibri" w:hAnsi="Calibri" w:cs="Calibri"/>
          <w:sz w:val="23"/>
          <w:szCs w:val="23"/>
        </w:rPr>
        <w:t>en</w:t>
      </w:r>
      <w:r w:rsidR="00634FDB" w:rsidRPr="00446153">
        <w:rPr>
          <w:rFonts w:ascii="Calibri" w:hAnsi="Calibri" w:cs="Calibri"/>
          <w:sz w:val="23"/>
          <w:szCs w:val="23"/>
        </w:rPr>
        <w:t xml:space="preserve"> jueces de Cortes de Apelaciones con dedicación exclusiva a la materia. La cantidad de jueces encargados a dicha labor </w:t>
      </w:r>
      <w:r w:rsidR="00DE5E80" w:rsidRPr="00446153">
        <w:rPr>
          <w:rFonts w:ascii="Calibri" w:hAnsi="Calibri" w:cs="Calibri"/>
          <w:sz w:val="23"/>
          <w:szCs w:val="23"/>
        </w:rPr>
        <w:t>es claramente insuficiente para la cantidad de causas que conocen, existiendo jueces que abarcan más de un territorio jurisdiccional.</w:t>
      </w:r>
      <w:r w:rsidR="003971F0" w:rsidRPr="00446153">
        <w:rPr>
          <w:rFonts w:ascii="Calibri" w:hAnsi="Calibri" w:cs="Calibri"/>
          <w:sz w:val="23"/>
          <w:szCs w:val="23"/>
        </w:rPr>
        <w:t xml:space="preserve"> Existe un alto número de</w:t>
      </w:r>
      <w:r w:rsidR="00CA2EBB" w:rsidRPr="00446153">
        <w:rPr>
          <w:rFonts w:ascii="Calibri" w:hAnsi="Calibri" w:cs="Calibri"/>
          <w:sz w:val="23"/>
          <w:szCs w:val="23"/>
        </w:rPr>
        <w:t xml:space="preserve"> casos abiertos ante dichos ministros y ministras que no han llegado a condenas </w:t>
      </w:r>
      <w:r w:rsidR="003971F0" w:rsidRPr="00446153">
        <w:rPr>
          <w:rFonts w:ascii="Calibri" w:hAnsi="Calibri" w:cs="Calibri"/>
          <w:sz w:val="23"/>
          <w:szCs w:val="23"/>
        </w:rPr>
        <w:t>y que es</w:t>
      </w:r>
      <w:r w:rsidR="00CA2EBB" w:rsidRPr="00446153">
        <w:rPr>
          <w:rFonts w:ascii="Calibri" w:hAnsi="Calibri" w:cs="Calibri"/>
          <w:sz w:val="23"/>
          <w:szCs w:val="23"/>
        </w:rPr>
        <w:t xml:space="preserve"> casi imposible de conocer, debido a que se rigen por un sistema procesal escrito, que no tiene un respaldo digital, por el cual la información no es pública. Esta situación implica qu</w:t>
      </w:r>
      <w:r w:rsidR="006E4F57" w:rsidRPr="00446153">
        <w:rPr>
          <w:rFonts w:ascii="Calibri" w:hAnsi="Calibri" w:cs="Calibri"/>
          <w:sz w:val="23"/>
          <w:szCs w:val="23"/>
        </w:rPr>
        <w:t xml:space="preserve">e el Estado deja en manos </w:t>
      </w:r>
      <w:r w:rsidR="00CA2EBB" w:rsidRPr="00446153">
        <w:rPr>
          <w:rFonts w:ascii="Calibri" w:hAnsi="Calibri" w:cs="Calibri"/>
          <w:sz w:val="23"/>
          <w:szCs w:val="23"/>
        </w:rPr>
        <w:t>de un juez no especializado la investigación de cau</w:t>
      </w:r>
      <w:r w:rsidR="003971F0" w:rsidRPr="00446153">
        <w:rPr>
          <w:rFonts w:ascii="Calibri" w:hAnsi="Calibri" w:cs="Calibri"/>
          <w:sz w:val="23"/>
          <w:szCs w:val="23"/>
        </w:rPr>
        <w:t>sas altamente complejas,</w:t>
      </w:r>
      <w:r w:rsidR="00CA2EBB" w:rsidRPr="00446153">
        <w:rPr>
          <w:rFonts w:ascii="Calibri" w:hAnsi="Calibri" w:cs="Calibri"/>
          <w:sz w:val="23"/>
          <w:szCs w:val="23"/>
        </w:rPr>
        <w:t xml:space="preserve"> la comunicación con los intervinientes, y la ejecución de diligencias, entre varias otras materias, haciendo casi imposible arribar en períodos razonables a una sente</w:t>
      </w:r>
      <w:r w:rsidR="003971F0" w:rsidRPr="00446153">
        <w:rPr>
          <w:rFonts w:ascii="Calibri" w:hAnsi="Calibri" w:cs="Calibri"/>
          <w:sz w:val="23"/>
          <w:szCs w:val="23"/>
        </w:rPr>
        <w:t>ncia definitiva, generando considerables</w:t>
      </w:r>
      <w:r w:rsidR="00CA2EBB" w:rsidRPr="00446153">
        <w:rPr>
          <w:rFonts w:ascii="Calibri" w:hAnsi="Calibri" w:cs="Calibri"/>
          <w:sz w:val="23"/>
          <w:szCs w:val="23"/>
        </w:rPr>
        <w:t xml:space="preserve"> tasas de impunidad ante crímenes de tortura. </w:t>
      </w:r>
    </w:p>
    <w:p w14:paraId="394E865D" w14:textId="77777777" w:rsidR="003971F0" w:rsidRPr="00446153" w:rsidRDefault="00CA2EBB" w:rsidP="00241DE4">
      <w:pPr>
        <w:pStyle w:val="Default"/>
        <w:spacing w:after="120"/>
        <w:jc w:val="both"/>
        <w:rPr>
          <w:rFonts w:ascii="Calibri" w:hAnsi="Calibri" w:cs="Calibri"/>
          <w:sz w:val="23"/>
          <w:szCs w:val="23"/>
        </w:rPr>
      </w:pPr>
      <w:r w:rsidRPr="00446153">
        <w:rPr>
          <w:rFonts w:ascii="Calibri" w:hAnsi="Calibri" w:cs="Calibri"/>
          <w:b/>
          <w:sz w:val="23"/>
          <w:szCs w:val="23"/>
        </w:rPr>
        <w:t>13.</w:t>
      </w:r>
      <w:r w:rsidRPr="00446153">
        <w:rPr>
          <w:rFonts w:ascii="Calibri" w:hAnsi="Calibri" w:cs="Calibri"/>
          <w:sz w:val="23"/>
          <w:szCs w:val="23"/>
        </w:rPr>
        <w:t xml:space="preserve"> A modo de ejemplo, d</w:t>
      </w:r>
      <w:r w:rsidR="002A2168" w:rsidRPr="00446153">
        <w:rPr>
          <w:rFonts w:ascii="Calibri" w:hAnsi="Calibri" w:cs="Calibri"/>
          <w:sz w:val="23"/>
          <w:szCs w:val="23"/>
        </w:rPr>
        <w:t xml:space="preserve">e los 38.254 casos de víctimas de tortura y prisión política documentados por las dos Comisiones Valech, solo se han </w:t>
      </w:r>
      <w:r w:rsidR="003971F0" w:rsidRPr="00446153">
        <w:rPr>
          <w:rFonts w:ascii="Calibri" w:hAnsi="Calibri" w:cs="Calibri"/>
          <w:sz w:val="23"/>
          <w:szCs w:val="23"/>
        </w:rPr>
        <w:t>judicializado 112 (0,29%), por lo que</w:t>
      </w:r>
      <w:r w:rsidR="002A2168" w:rsidRPr="00446153">
        <w:rPr>
          <w:rFonts w:ascii="Calibri" w:hAnsi="Calibri" w:cs="Calibri"/>
          <w:sz w:val="23"/>
          <w:szCs w:val="23"/>
        </w:rPr>
        <w:t xml:space="preserve"> </w:t>
      </w:r>
      <w:r w:rsidR="003971F0" w:rsidRPr="00446153">
        <w:rPr>
          <w:rFonts w:ascii="Calibri" w:hAnsi="Calibri" w:cs="Calibri"/>
          <w:sz w:val="23"/>
          <w:szCs w:val="23"/>
        </w:rPr>
        <w:t>gran parte</w:t>
      </w:r>
      <w:r w:rsidR="002A2168" w:rsidRPr="00446153">
        <w:rPr>
          <w:rFonts w:ascii="Calibri" w:hAnsi="Calibri" w:cs="Calibri"/>
          <w:sz w:val="23"/>
          <w:szCs w:val="23"/>
        </w:rPr>
        <w:t xml:space="preserve"> de los casos de tortura ocurri</w:t>
      </w:r>
      <w:r w:rsidR="003971F0" w:rsidRPr="00446153">
        <w:rPr>
          <w:rFonts w:ascii="Calibri" w:hAnsi="Calibri" w:cs="Calibri"/>
          <w:sz w:val="23"/>
          <w:szCs w:val="23"/>
        </w:rPr>
        <w:t>dos durante la dictadura cívico-</w:t>
      </w:r>
      <w:r w:rsidR="002A2168" w:rsidRPr="00446153">
        <w:rPr>
          <w:rFonts w:ascii="Calibri" w:hAnsi="Calibri" w:cs="Calibri"/>
          <w:sz w:val="23"/>
          <w:szCs w:val="23"/>
        </w:rPr>
        <w:t>militar y</w:t>
      </w:r>
      <w:r w:rsidR="003971F0" w:rsidRPr="00446153">
        <w:rPr>
          <w:rFonts w:ascii="Calibri" w:hAnsi="Calibri" w:cs="Calibri"/>
          <w:sz w:val="23"/>
          <w:szCs w:val="23"/>
        </w:rPr>
        <w:t xml:space="preserve"> denunciados ante</w:t>
      </w:r>
      <w:r w:rsidR="003971F0" w:rsidRPr="00446153">
        <w:rPr>
          <w:rStyle w:val="CommentReference"/>
          <w:rFonts w:ascii="Calibri" w:hAnsi="Calibri" w:cs="Calibri"/>
          <w:color w:val="auto"/>
          <w:sz w:val="23"/>
          <w:szCs w:val="23"/>
          <w:lang w:val="es-CL" w:eastAsia="en-US"/>
        </w:rPr>
        <w:t xml:space="preserve"> </w:t>
      </w:r>
      <w:r w:rsidR="003971F0" w:rsidRPr="00446153">
        <w:rPr>
          <w:rFonts w:ascii="Calibri" w:hAnsi="Calibri" w:cs="Calibri"/>
          <w:sz w:val="23"/>
          <w:szCs w:val="23"/>
        </w:rPr>
        <w:t>las Comisiones Valech I y II</w:t>
      </w:r>
      <w:r w:rsidR="002A2168" w:rsidRPr="00446153">
        <w:rPr>
          <w:rFonts w:ascii="Calibri" w:hAnsi="Calibri" w:cs="Calibri"/>
          <w:sz w:val="23"/>
          <w:szCs w:val="23"/>
        </w:rPr>
        <w:t>, no han tenido acceso a la justicia ni a la reparación acorde a los delitos cometidos</w:t>
      </w:r>
      <w:r w:rsidR="003971F0" w:rsidRPr="00446153">
        <w:rPr>
          <w:rFonts w:ascii="Calibri" w:hAnsi="Calibri" w:cs="Calibri"/>
          <w:sz w:val="23"/>
          <w:szCs w:val="23"/>
        </w:rPr>
        <w:t xml:space="preserve">. Sumado a lo anterior, hay que considerar el gran número de causas que deben investigar y substanciar los ministros y ministras con dedicación exclusiva, lo que alarga los procesos y, un hecho inevitable, que tanto las víctimas como los perpetradores están falleciendo o encontrándose incapacitados de seguir largos procesos judiciales. </w:t>
      </w:r>
    </w:p>
    <w:p w14:paraId="14857036" w14:textId="484DFC58" w:rsidR="00A7128C" w:rsidRPr="00446153" w:rsidRDefault="00326D5E" w:rsidP="00241DE4">
      <w:pPr>
        <w:pStyle w:val="Default"/>
        <w:spacing w:after="120"/>
        <w:jc w:val="both"/>
        <w:rPr>
          <w:rFonts w:ascii="Calibri" w:hAnsi="Calibri" w:cs="Calibri"/>
          <w:sz w:val="23"/>
          <w:szCs w:val="23"/>
        </w:rPr>
      </w:pPr>
      <w:r w:rsidRPr="00446153">
        <w:rPr>
          <w:rFonts w:ascii="Calibri" w:hAnsi="Calibri" w:cs="Calibri"/>
          <w:b/>
          <w:sz w:val="23"/>
          <w:szCs w:val="23"/>
        </w:rPr>
        <w:t>14</w:t>
      </w:r>
      <w:r w:rsidR="002A2168" w:rsidRPr="00446153">
        <w:rPr>
          <w:rFonts w:ascii="Calibri" w:hAnsi="Calibri" w:cs="Calibri"/>
          <w:b/>
          <w:sz w:val="23"/>
          <w:szCs w:val="23"/>
        </w:rPr>
        <w:t>.</w:t>
      </w:r>
      <w:r w:rsidR="002A2168" w:rsidRPr="00446153">
        <w:rPr>
          <w:rFonts w:ascii="Calibri" w:hAnsi="Calibri" w:cs="Calibri"/>
          <w:sz w:val="23"/>
          <w:szCs w:val="23"/>
        </w:rPr>
        <w:t xml:space="preserve"> </w:t>
      </w:r>
      <w:r w:rsidR="00EC23E9" w:rsidRPr="00446153">
        <w:rPr>
          <w:rFonts w:ascii="Calibri" w:hAnsi="Calibri" w:cs="Calibri"/>
          <w:sz w:val="23"/>
          <w:szCs w:val="23"/>
        </w:rPr>
        <w:t>Además, l</w:t>
      </w:r>
      <w:r w:rsidR="00114637" w:rsidRPr="00446153">
        <w:rPr>
          <w:rFonts w:ascii="Calibri" w:hAnsi="Calibri" w:cs="Calibri"/>
          <w:sz w:val="23"/>
          <w:szCs w:val="23"/>
        </w:rPr>
        <w:t>a</w:t>
      </w:r>
      <w:r w:rsidR="003971F0" w:rsidRPr="00446153">
        <w:rPr>
          <w:rFonts w:ascii="Calibri" w:hAnsi="Calibri" w:cs="Calibri"/>
          <w:sz w:val="23"/>
          <w:szCs w:val="23"/>
        </w:rPr>
        <w:t xml:space="preserve"> ley nº 19.992, </w:t>
      </w:r>
      <w:r w:rsidR="002A2168" w:rsidRPr="00446153">
        <w:rPr>
          <w:rFonts w:ascii="Calibri" w:hAnsi="Calibri" w:cs="Calibri"/>
          <w:sz w:val="23"/>
          <w:szCs w:val="23"/>
        </w:rPr>
        <w:t xml:space="preserve">que </w:t>
      </w:r>
      <w:r w:rsidR="002A2168" w:rsidRPr="00446153">
        <w:rPr>
          <w:rFonts w:ascii="Calibri" w:hAnsi="Calibri" w:cs="Calibri"/>
          <w:i/>
          <w:sz w:val="23"/>
          <w:szCs w:val="23"/>
        </w:rPr>
        <w:t>Establece Pensión de Reparación y Otorga otros Beneficios a las Personas que Indica</w:t>
      </w:r>
      <w:r w:rsidR="002A2168" w:rsidRPr="00446153">
        <w:rPr>
          <w:rFonts w:ascii="Calibri" w:hAnsi="Calibri" w:cs="Calibri"/>
          <w:sz w:val="23"/>
          <w:szCs w:val="23"/>
        </w:rPr>
        <w:t xml:space="preserve">, </w:t>
      </w:r>
      <w:r w:rsidR="00535A1C" w:rsidRPr="00446153">
        <w:rPr>
          <w:rFonts w:ascii="Calibri" w:hAnsi="Calibri" w:cs="Calibri"/>
          <w:sz w:val="23"/>
          <w:szCs w:val="23"/>
        </w:rPr>
        <w:t>c</w:t>
      </w:r>
      <w:r w:rsidR="00EC23E9" w:rsidRPr="00446153">
        <w:rPr>
          <w:rFonts w:ascii="Calibri" w:hAnsi="Calibri" w:cs="Calibri"/>
          <w:sz w:val="23"/>
          <w:szCs w:val="23"/>
        </w:rPr>
        <w:t>ontempla una norma, específicamente el artículo 15,</w:t>
      </w:r>
      <w:r w:rsidR="00535A1C" w:rsidRPr="00446153">
        <w:rPr>
          <w:rFonts w:ascii="Calibri" w:hAnsi="Calibri" w:cs="Calibri"/>
          <w:sz w:val="23"/>
          <w:szCs w:val="23"/>
        </w:rPr>
        <w:t xml:space="preserve"> que establece el secreto de los antecedentes </w:t>
      </w:r>
      <w:r w:rsidR="00114637" w:rsidRPr="00446153">
        <w:rPr>
          <w:rFonts w:ascii="Calibri" w:hAnsi="Calibri" w:cs="Calibri"/>
          <w:sz w:val="23"/>
          <w:szCs w:val="23"/>
        </w:rPr>
        <w:t>aportados por los y las sobrevivientes de tortura por un período de 50 años, incluso para los tribunales de justicia, lo que impide</w:t>
      </w:r>
      <w:r w:rsidR="003971F0" w:rsidRPr="00446153">
        <w:rPr>
          <w:rFonts w:ascii="Calibri" w:hAnsi="Calibri"/>
          <w:sz w:val="23"/>
          <w:szCs w:val="23"/>
        </w:rPr>
        <w:t xml:space="preserve"> que hagan uso de la información que otorgaría el cruce de los antecedentes entregados por las distintas víctimas que prestaron declaración a la Comisión, limitando sus oportunidades de investigar</w:t>
      </w:r>
      <w:r w:rsidR="00114637" w:rsidRPr="00446153">
        <w:rPr>
          <w:rFonts w:ascii="Calibri" w:hAnsi="Calibri" w:cs="Calibri"/>
          <w:sz w:val="23"/>
          <w:szCs w:val="23"/>
        </w:rPr>
        <w:t xml:space="preserve">. Sucesivos gobiernos han señalado su negativa a cambiar esta norma señalando que protege a las víctimas, lo que en la práctica implica </w:t>
      </w:r>
      <w:r w:rsidR="00106251" w:rsidRPr="00446153">
        <w:rPr>
          <w:rFonts w:ascii="Calibri" w:hAnsi="Calibri" w:cs="Calibri"/>
          <w:sz w:val="23"/>
          <w:szCs w:val="23"/>
        </w:rPr>
        <w:t xml:space="preserve">en muchos casos </w:t>
      </w:r>
      <w:r w:rsidR="00114637" w:rsidRPr="00446153">
        <w:rPr>
          <w:rFonts w:ascii="Calibri" w:hAnsi="Calibri" w:cs="Calibri"/>
          <w:sz w:val="23"/>
          <w:szCs w:val="23"/>
        </w:rPr>
        <w:t>impunidad respecto de quienes perpetraron los crímenes,</w:t>
      </w:r>
      <w:r w:rsidR="00106251" w:rsidRPr="00446153">
        <w:rPr>
          <w:rFonts w:ascii="Calibri" w:hAnsi="Calibri" w:cs="Calibri"/>
          <w:sz w:val="23"/>
          <w:szCs w:val="23"/>
        </w:rPr>
        <w:t xml:space="preserve"> </w:t>
      </w:r>
      <w:r w:rsidR="00114637" w:rsidRPr="00446153">
        <w:rPr>
          <w:rFonts w:ascii="Calibri" w:hAnsi="Calibri" w:cs="Calibri"/>
          <w:sz w:val="23"/>
          <w:szCs w:val="23"/>
        </w:rPr>
        <w:t xml:space="preserve">autores materiales o cómplices de asesinatos </w:t>
      </w:r>
      <w:r w:rsidR="00EC23E9" w:rsidRPr="00446153">
        <w:rPr>
          <w:rFonts w:ascii="Calibri" w:hAnsi="Calibri" w:cs="Calibri"/>
          <w:sz w:val="23"/>
          <w:szCs w:val="23"/>
        </w:rPr>
        <w:t xml:space="preserve">y desapariciones forzadas. En muchos de los casos, </w:t>
      </w:r>
      <w:r w:rsidR="00114637" w:rsidRPr="00446153">
        <w:rPr>
          <w:rFonts w:ascii="Calibri" w:hAnsi="Calibri" w:cs="Calibri"/>
          <w:sz w:val="23"/>
          <w:szCs w:val="23"/>
        </w:rPr>
        <w:t>nunca se les preguntó respecto a si querían mantener sus testimonios secretos. Es más, el secreto en los térm</w:t>
      </w:r>
      <w:r w:rsidR="003971F0" w:rsidRPr="00446153">
        <w:rPr>
          <w:rFonts w:ascii="Calibri" w:hAnsi="Calibri" w:cs="Calibri"/>
          <w:sz w:val="23"/>
          <w:szCs w:val="23"/>
        </w:rPr>
        <w:t>inos previstos en la ley 19.992</w:t>
      </w:r>
      <w:r w:rsidR="00114637" w:rsidRPr="00446153">
        <w:rPr>
          <w:rFonts w:ascii="Calibri" w:hAnsi="Calibri" w:cs="Calibri"/>
          <w:sz w:val="23"/>
          <w:szCs w:val="23"/>
        </w:rPr>
        <w:t xml:space="preserve"> es posterior a la vigencia de la Comisión Valech I. </w:t>
      </w:r>
    </w:p>
    <w:p w14:paraId="13E117EB" w14:textId="77777777" w:rsidR="00241DE4" w:rsidRPr="00446153" w:rsidRDefault="00241DE4" w:rsidP="00241DE4">
      <w:pPr>
        <w:pStyle w:val="Default"/>
        <w:spacing w:after="120"/>
        <w:jc w:val="both"/>
        <w:rPr>
          <w:rFonts w:ascii="Calibri" w:hAnsi="Calibri" w:cs="Calibri"/>
          <w:sz w:val="23"/>
          <w:szCs w:val="23"/>
        </w:rPr>
      </w:pPr>
    </w:p>
    <w:p w14:paraId="5E2E7399" w14:textId="77777777" w:rsidR="002A2168" w:rsidRPr="00446153" w:rsidRDefault="002A2168" w:rsidP="00241DE4">
      <w:pPr>
        <w:pStyle w:val="Default"/>
        <w:spacing w:after="120"/>
        <w:jc w:val="both"/>
        <w:rPr>
          <w:rFonts w:ascii="Calibri" w:hAnsi="Calibri" w:cs="Calibri"/>
          <w:b/>
          <w:i/>
          <w:sz w:val="23"/>
          <w:szCs w:val="23"/>
        </w:rPr>
      </w:pPr>
      <w:r w:rsidRPr="00446153">
        <w:rPr>
          <w:rFonts w:ascii="Calibri" w:hAnsi="Calibri" w:cs="Calibri"/>
          <w:b/>
          <w:i/>
          <w:sz w:val="23"/>
          <w:szCs w:val="23"/>
          <w:u w:val="single"/>
        </w:rPr>
        <w:t>Recomendaciones</w:t>
      </w:r>
      <w:r w:rsidRPr="00446153">
        <w:rPr>
          <w:rFonts w:ascii="Calibri" w:hAnsi="Calibri" w:cs="Calibri"/>
          <w:b/>
          <w:i/>
          <w:sz w:val="23"/>
          <w:szCs w:val="23"/>
        </w:rPr>
        <w:t>:</w:t>
      </w:r>
      <w:r w:rsidRPr="00446153">
        <w:rPr>
          <w:rFonts w:ascii="Calibri" w:hAnsi="Calibri" w:cs="Calibri"/>
          <w:b/>
          <w:i/>
          <w:sz w:val="23"/>
          <w:szCs w:val="23"/>
        </w:rPr>
        <w:tab/>
      </w:r>
    </w:p>
    <w:p w14:paraId="3D5F616C" w14:textId="77777777" w:rsidR="00241DE4" w:rsidRPr="00446153" w:rsidRDefault="00241DE4" w:rsidP="00241DE4">
      <w:pPr>
        <w:pStyle w:val="Default"/>
        <w:spacing w:after="120"/>
        <w:jc w:val="both"/>
        <w:rPr>
          <w:rFonts w:ascii="Calibri" w:hAnsi="Calibri" w:cs="Calibri"/>
          <w:sz w:val="23"/>
          <w:szCs w:val="23"/>
        </w:rPr>
      </w:pPr>
    </w:p>
    <w:p w14:paraId="3715A653" w14:textId="77777777" w:rsidR="00FB213D" w:rsidRPr="00446153" w:rsidRDefault="003971F0" w:rsidP="00241DE4">
      <w:pPr>
        <w:pStyle w:val="ListParagraph"/>
        <w:numPr>
          <w:ilvl w:val="0"/>
          <w:numId w:val="3"/>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Establecer una judicatura temporal especializada a materias de violaciones de derechos humanos ocurridas durante la dictadura</w:t>
      </w:r>
      <w:r w:rsidR="005E7E3A" w:rsidRPr="00446153">
        <w:rPr>
          <w:rFonts w:cs="Calibri"/>
          <w:b/>
          <w:color w:val="000000"/>
          <w:sz w:val="23"/>
          <w:szCs w:val="23"/>
        </w:rPr>
        <w:t xml:space="preserve">, que cuente con magistrados y magistradas especializados en materias de derechos humanos, en reparación y tortura. </w:t>
      </w:r>
    </w:p>
    <w:p w14:paraId="549A8DA6" w14:textId="77777777" w:rsidR="002A2168" w:rsidRPr="00446153" w:rsidRDefault="002A2168" w:rsidP="00241DE4">
      <w:pPr>
        <w:pStyle w:val="ListParagraph"/>
        <w:numPr>
          <w:ilvl w:val="0"/>
          <w:numId w:val="3"/>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 xml:space="preserve">Levantar el secreto sobre las declaraciones y testimonios recogidos por la Comisión Valech, con la finalidad de poder investigar y sancionar adecuadamente violaciones de derechos humanos, particularmente actos de tortura. </w:t>
      </w:r>
    </w:p>
    <w:p w14:paraId="01F247CA" w14:textId="77777777" w:rsidR="00236D63" w:rsidRPr="00446153" w:rsidRDefault="00236D63" w:rsidP="00241DE4">
      <w:pPr>
        <w:spacing w:after="120" w:line="240" w:lineRule="auto"/>
        <w:jc w:val="both"/>
        <w:rPr>
          <w:rFonts w:cs="Calibri"/>
          <w:b/>
          <w:color w:val="000000"/>
          <w:sz w:val="23"/>
          <w:szCs w:val="23"/>
        </w:rPr>
      </w:pPr>
    </w:p>
    <w:p w14:paraId="0F2937EA" w14:textId="77777777" w:rsidR="00241DE4" w:rsidRPr="00446153" w:rsidRDefault="00241DE4" w:rsidP="00241DE4">
      <w:pPr>
        <w:spacing w:after="120" w:line="240" w:lineRule="auto"/>
        <w:jc w:val="both"/>
        <w:rPr>
          <w:rFonts w:cs="Calibri"/>
          <w:b/>
          <w:color w:val="000000"/>
          <w:sz w:val="23"/>
          <w:szCs w:val="23"/>
        </w:rPr>
      </w:pPr>
    </w:p>
    <w:p w14:paraId="3B52D104" w14:textId="77777777" w:rsidR="00241DE4" w:rsidRPr="00446153" w:rsidRDefault="00241DE4" w:rsidP="00241DE4">
      <w:pPr>
        <w:spacing w:after="120" w:line="240" w:lineRule="auto"/>
        <w:jc w:val="both"/>
        <w:rPr>
          <w:rFonts w:cs="Calibri"/>
          <w:b/>
          <w:color w:val="000000"/>
          <w:sz w:val="23"/>
          <w:szCs w:val="23"/>
        </w:rPr>
      </w:pPr>
    </w:p>
    <w:p w14:paraId="48390ECB"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Competencias y actuación de la Comisión sobre Prisión Política y Tortura</w:t>
      </w:r>
    </w:p>
    <w:p w14:paraId="73296B74" w14:textId="77777777" w:rsidR="00241DE4" w:rsidRPr="00446153" w:rsidRDefault="00241DE4" w:rsidP="00241DE4">
      <w:pPr>
        <w:spacing w:after="120" w:line="240" w:lineRule="auto"/>
        <w:jc w:val="both"/>
        <w:rPr>
          <w:rFonts w:cs="Calibri"/>
          <w:b/>
          <w:color w:val="000000"/>
          <w:sz w:val="23"/>
          <w:szCs w:val="23"/>
        </w:rPr>
      </w:pPr>
    </w:p>
    <w:p w14:paraId="4FF95464" w14:textId="6ABC581E" w:rsidR="002A2168" w:rsidRPr="00446153" w:rsidRDefault="00CF0E96" w:rsidP="00241DE4">
      <w:pPr>
        <w:spacing w:after="120" w:line="240" w:lineRule="auto"/>
        <w:jc w:val="both"/>
        <w:rPr>
          <w:rFonts w:cs="Calibri"/>
          <w:b/>
          <w:color w:val="000000"/>
          <w:sz w:val="23"/>
          <w:szCs w:val="23"/>
        </w:rPr>
      </w:pPr>
      <w:r>
        <w:rPr>
          <w:rFonts w:cs="Calibri"/>
          <w:b/>
          <w:sz w:val="23"/>
          <w:szCs w:val="23"/>
        </w:rPr>
        <w:t>15</w:t>
      </w:r>
      <w:r w:rsidR="002A2168" w:rsidRPr="00241DE4">
        <w:rPr>
          <w:rFonts w:cs="Calibri"/>
          <w:b/>
          <w:sz w:val="23"/>
          <w:szCs w:val="23"/>
        </w:rPr>
        <w:t>.</w:t>
      </w:r>
      <w:r w:rsidR="005E7E3A" w:rsidRPr="00241DE4">
        <w:rPr>
          <w:rFonts w:cs="Calibri"/>
          <w:sz w:val="23"/>
          <w:szCs w:val="23"/>
        </w:rPr>
        <w:t xml:space="preserve"> El año 2009 </w:t>
      </w:r>
      <w:r w:rsidR="002A2168" w:rsidRPr="00241DE4">
        <w:rPr>
          <w:rFonts w:cs="Calibri"/>
          <w:sz w:val="23"/>
          <w:szCs w:val="23"/>
        </w:rPr>
        <w:t xml:space="preserve">el Comité contra la Tortura </w:t>
      </w:r>
      <w:r w:rsidR="002A2168" w:rsidRPr="00241DE4">
        <w:rPr>
          <w:rFonts w:cs="Calibri"/>
          <w:bCs/>
          <w:sz w:val="23"/>
          <w:szCs w:val="23"/>
        </w:rPr>
        <w:t>instó al Estado chileno a reabrir la Comisión sobre Prisión Política y Tortura o a establecer con prontitud otro organismo que retome el mandat</w:t>
      </w:r>
      <w:r w:rsidR="005E7E3A" w:rsidRPr="00241DE4">
        <w:rPr>
          <w:rFonts w:cs="Calibri"/>
          <w:bCs/>
          <w:sz w:val="23"/>
          <w:szCs w:val="23"/>
        </w:rPr>
        <w:t>o de dicha Comisión</w:t>
      </w:r>
      <w:r w:rsidR="002A2168" w:rsidRPr="00241DE4">
        <w:rPr>
          <w:rFonts w:cs="Calibri"/>
          <w:bCs/>
          <w:sz w:val="23"/>
          <w:szCs w:val="23"/>
        </w:rPr>
        <w:t xml:space="preserve">. Asimismo, con miras a satisfacer la exigencia de reparación de las víctimas de tortura bajo la dictadura, el Comité recomendó que: </w:t>
      </w:r>
    </w:p>
    <w:p w14:paraId="2B276795" w14:textId="77777777" w:rsidR="002A2168" w:rsidRPr="00241DE4" w:rsidRDefault="002A2168" w:rsidP="00241DE4">
      <w:pPr>
        <w:spacing w:after="120" w:line="240" w:lineRule="auto"/>
        <w:jc w:val="both"/>
        <w:rPr>
          <w:rFonts w:cs="Calibri"/>
          <w:sz w:val="23"/>
          <w:szCs w:val="23"/>
        </w:rPr>
      </w:pPr>
      <w:r w:rsidRPr="00241DE4">
        <w:rPr>
          <w:rFonts w:cs="Calibri"/>
          <w:bCs/>
          <w:i/>
          <w:sz w:val="23"/>
          <w:szCs w:val="23"/>
        </w:rPr>
        <w:t xml:space="preserve">“a) Se adopten medidas efectivas a fin de dar a conocer el mandato y la labor de la Comisión o, en su caso, del organismo que se cree con el mismo fin, de manera que todas las personas que fueron víctimas de tortura durante la dictadura tengan conocimiento de su existencia, particularmente aquéllas que se encuentran en zonas aisladas o más desfavorecidas, o fuera del país. Para ello, el Comité insta al Estado parte a utilizar, entre otros, los medios de difusión y las oficinas consulares en los países donde residen antiguos exiliados chilenos; </w:t>
      </w:r>
    </w:p>
    <w:p w14:paraId="21BD7E25" w14:textId="77777777" w:rsidR="002A2168" w:rsidRPr="00241DE4" w:rsidRDefault="002A2168" w:rsidP="00241DE4">
      <w:pPr>
        <w:spacing w:after="120" w:line="240" w:lineRule="auto"/>
        <w:jc w:val="both"/>
        <w:rPr>
          <w:rFonts w:cs="Calibri"/>
          <w:i/>
          <w:sz w:val="23"/>
          <w:szCs w:val="23"/>
        </w:rPr>
      </w:pPr>
      <w:r w:rsidRPr="00241DE4">
        <w:rPr>
          <w:rFonts w:cs="Calibri"/>
          <w:bCs/>
          <w:i/>
          <w:sz w:val="23"/>
          <w:szCs w:val="23"/>
        </w:rPr>
        <w:t xml:space="preserve">b) Se establezcan unos límites temporales suficientemente amplios para que todas aquellas personas que se consideren víctimas de tortura puedan presentar su caso; </w:t>
      </w:r>
    </w:p>
    <w:p w14:paraId="7D9D2210" w14:textId="77777777" w:rsidR="002A2168" w:rsidRPr="00241DE4" w:rsidRDefault="002A2168" w:rsidP="00241DE4">
      <w:pPr>
        <w:spacing w:after="120" w:line="240" w:lineRule="auto"/>
        <w:jc w:val="both"/>
        <w:rPr>
          <w:rFonts w:cs="Calibri"/>
          <w:i/>
          <w:sz w:val="23"/>
          <w:szCs w:val="23"/>
        </w:rPr>
      </w:pPr>
      <w:r w:rsidRPr="00241DE4">
        <w:rPr>
          <w:rFonts w:cs="Calibri"/>
          <w:bCs/>
          <w:i/>
          <w:sz w:val="23"/>
          <w:szCs w:val="23"/>
        </w:rPr>
        <w:t xml:space="preserve">c) Se incluyan todos los casos que correspondan a la definición de tortura prevista en el artículo 1 de la Convención; </w:t>
      </w:r>
    </w:p>
    <w:p w14:paraId="1030AABD" w14:textId="77777777" w:rsidR="002A2168" w:rsidRPr="00241DE4" w:rsidRDefault="002A2168" w:rsidP="00241DE4">
      <w:pPr>
        <w:spacing w:after="120" w:line="240" w:lineRule="auto"/>
        <w:jc w:val="both"/>
        <w:rPr>
          <w:rFonts w:cs="Calibri"/>
          <w:i/>
          <w:sz w:val="23"/>
          <w:szCs w:val="23"/>
        </w:rPr>
      </w:pPr>
      <w:r w:rsidRPr="00241DE4">
        <w:rPr>
          <w:rFonts w:cs="Calibri"/>
          <w:bCs/>
          <w:i/>
          <w:sz w:val="23"/>
          <w:szCs w:val="23"/>
        </w:rPr>
        <w:t xml:space="preserve">d) Se reconsideren los criterios de calificación, en especial con relación a todas las personas que sufrieron tortura siendo menores de edad, o fuera del territorio nacional, o que no residen en el Estado parte; </w:t>
      </w:r>
    </w:p>
    <w:p w14:paraId="3612CFEE" w14:textId="77777777" w:rsidR="00A7128C" w:rsidRPr="00241DE4" w:rsidRDefault="002A2168" w:rsidP="00241DE4">
      <w:pPr>
        <w:spacing w:after="120" w:line="240" w:lineRule="auto"/>
        <w:jc w:val="both"/>
        <w:rPr>
          <w:rFonts w:cs="Calibri"/>
          <w:bCs/>
          <w:i/>
          <w:sz w:val="23"/>
          <w:szCs w:val="23"/>
        </w:rPr>
      </w:pPr>
      <w:r w:rsidRPr="00241DE4">
        <w:rPr>
          <w:rFonts w:cs="Calibri"/>
          <w:bCs/>
          <w:i/>
          <w:sz w:val="23"/>
          <w:szCs w:val="23"/>
        </w:rPr>
        <w:t>e) Se incluya la violenc</w:t>
      </w:r>
      <w:r w:rsidR="00DC55FE" w:rsidRPr="00241DE4">
        <w:rPr>
          <w:rFonts w:cs="Calibri"/>
          <w:bCs/>
          <w:i/>
          <w:sz w:val="23"/>
          <w:szCs w:val="23"/>
        </w:rPr>
        <w:t>ia sexual como forma de tortura</w:t>
      </w:r>
      <w:r w:rsidRPr="00241DE4">
        <w:rPr>
          <w:rFonts w:cs="Calibri"/>
          <w:bCs/>
          <w:i/>
          <w:sz w:val="23"/>
          <w:szCs w:val="23"/>
        </w:rPr>
        <w:t>”</w:t>
      </w:r>
      <w:r w:rsidR="00DC55FE" w:rsidRPr="00241DE4">
        <w:rPr>
          <w:rStyle w:val="FootnoteReference"/>
          <w:rFonts w:cs="Calibri"/>
          <w:bCs/>
          <w:i/>
          <w:sz w:val="23"/>
          <w:szCs w:val="23"/>
        </w:rPr>
        <w:footnoteReference w:id="6"/>
      </w:r>
      <w:r w:rsidR="00DC55FE" w:rsidRPr="00241DE4">
        <w:rPr>
          <w:rFonts w:cs="Calibri"/>
          <w:bCs/>
          <w:i/>
          <w:sz w:val="23"/>
          <w:szCs w:val="23"/>
        </w:rPr>
        <w:t>.</w:t>
      </w:r>
    </w:p>
    <w:p w14:paraId="0ABFAAF1" w14:textId="0B447BF3" w:rsidR="002A2168" w:rsidRPr="00241DE4" w:rsidRDefault="00CF0E96" w:rsidP="00241DE4">
      <w:pPr>
        <w:spacing w:after="120" w:line="240" w:lineRule="auto"/>
        <w:jc w:val="both"/>
        <w:rPr>
          <w:rFonts w:cs="Calibri"/>
          <w:bCs/>
          <w:i/>
          <w:color w:val="0000FF"/>
          <w:sz w:val="23"/>
          <w:szCs w:val="23"/>
        </w:rPr>
      </w:pPr>
      <w:r>
        <w:rPr>
          <w:rFonts w:cs="Calibri"/>
          <w:b/>
          <w:bCs/>
          <w:sz w:val="23"/>
          <w:szCs w:val="23"/>
        </w:rPr>
        <w:t>16</w:t>
      </w:r>
      <w:r w:rsidR="002A2168" w:rsidRPr="00241DE4">
        <w:rPr>
          <w:rFonts w:cs="Calibri"/>
          <w:b/>
          <w:bCs/>
          <w:sz w:val="23"/>
          <w:szCs w:val="23"/>
        </w:rPr>
        <w:t>.</w:t>
      </w:r>
      <w:r w:rsidR="002A2168" w:rsidRPr="00241DE4">
        <w:rPr>
          <w:rFonts w:cs="Calibri"/>
          <w:bCs/>
          <w:sz w:val="23"/>
          <w:szCs w:val="23"/>
        </w:rPr>
        <w:t xml:space="preserve"> En virtud de la Ley </w:t>
      </w:r>
      <w:r w:rsidR="005E7E3A" w:rsidRPr="00241DE4">
        <w:rPr>
          <w:rFonts w:cs="Calibri"/>
          <w:bCs/>
          <w:sz w:val="23"/>
          <w:szCs w:val="23"/>
        </w:rPr>
        <w:t xml:space="preserve">nº </w:t>
      </w:r>
      <w:r w:rsidR="002A2168" w:rsidRPr="00241DE4">
        <w:rPr>
          <w:rFonts w:cs="Calibri"/>
          <w:bCs/>
          <w:sz w:val="23"/>
          <w:szCs w:val="23"/>
        </w:rPr>
        <w:t>20.405</w:t>
      </w:r>
      <w:r w:rsidR="005E7E3A" w:rsidRPr="00241DE4">
        <w:rPr>
          <w:rFonts w:cs="Calibri"/>
          <w:bCs/>
          <w:sz w:val="23"/>
          <w:szCs w:val="23"/>
        </w:rPr>
        <w:t xml:space="preserve"> del año 2009 que </w:t>
      </w:r>
      <w:r w:rsidR="005E7E3A" w:rsidRPr="00241DE4">
        <w:rPr>
          <w:rFonts w:cs="Calibri"/>
          <w:bCs/>
          <w:i/>
          <w:sz w:val="23"/>
          <w:szCs w:val="23"/>
        </w:rPr>
        <w:t>C</w:t>
      </w:r>
      <w:r w:rsidR="008E0877" w:rsidRPr="00241DE4">
        <w:rPr>
          <w:rFonts w:cs="Calibri"/>
          <w:bCs/>
          <w:i/>
          <w:sz w:val="23"/>
          <w:szCs w:val="23"/>
        </w:rPr>
        <w:t>rea el Instituto Nacional de Derechos Humanos</w:t>
      </w:r>
      <w:r w:rsidR="008E0877" w:rsidRPr="00241DE4">
        <w:rPr>
          <w:rFonts w:cs="Calibri"/>
          <w:bCs/>
          <w:sz w:val="23"/>
          <w:szCs w:val="23"/>
        </w:rPr>
        <w:t>,</w:t>
      </w:r>
      <w:r w:rsidR="002A2168" w:rsidRPr="00241DE4">
        <w:rPr>
          <w:rFonts w:cs="Calibri"/>
          <w:bCs/>
          <w:sz w:val="23"/>
          <w:szCs w:val="23"/>
        </w:rPr>
        <w:t xml:space="preserve"> se </w:t>
      </w:r>
      <w:r w:rsidR="005E7E3A" w:rsidRPr="00241DE4">
        <w:rPr>
          <w:rFonts w:cs="Calibri"/>
          <w:bCs/>
          <w:sz w:val="23"/>
          <w:szCs w:val="23"/>
        </w:rPr>
        <w:t>estableció</w:t>
      </w:r>
      <w:r w:rsidR="002A2168" w:rsidRPr="00241DE4">
        <w:rPr>
          <w:rFonts w:cs="Calibri"/>
          <w:bCs/>
          <w:sz w:val="23"/>
          <w:szCs w:val="23"/>
        </w:rPr>
        <w:t xml:space="preserve"> la </w:t>
      </w:r>
      <w:r w:rsidR="00D375EE" w:rsidRPr="00241DE4">
        <w:rPr>
          <w:rFonts w:cs="Calibri"/>
          <w:bCs/>
          <w:i/>
          <w:sz w:val="23"/>
          <w:szCs w:val="23"/>
        </w:rPr>
        <w:t>Comisión Asesora para la calificación de detenidos desaparecidos, e</w:t>
      </w:r>
      <w:r w:rsidR="002A2168" w:rsidRPr="00241DE4">
        <w:rPr>
          <w:rFonts w:cs="Calibri"/>
          <w:bCs/>
          <w:i/>
          <w:sz w:val="23"/>
          <w:szCs w:val="23"/>
        </w:rPr>
        <w:t xml:space="preserve">jecutados </w:t>
      </w:r>
      <w:r w:rsidR="00D375EE" w:rsidRPr="00241DE4">
        <w:rPr>
          <w:rFonts w:cs="Calibri"/>
          <w:bCs/>
          <w:i/>
          <w:sz w:val="23"/>
          <w:szCs w:val="23"/>
        </w:rPr>
        <w:t>p</w:t>
      </w:r>
      <w:r w:rsidR="002A2168" w:rsidRPr="00241DE4">
        <w:rPr>
          <w:rFonts w:cs="Calibri"/>
          <w:bCs/>
          <w:i/>
          <w:sz w:val="23"/>
          <w:szCs w:val="23"/>
        </w:rPr>
        <w:t>olíticos</w:t>
      </w:r>
      <w:r w:rsidR="00D375EE" w:rsidRPr="00241DE4">
        <w:rPr>
          <w:rFonts w:cs="Calibri"/>
          <w:bCs/>
          <w:i/>
          <w:sz w:val="23"/>
          <w:szCs w:val="23"/>
        </w:rPr>
        <w:t xml:space="preserve"> y víctimas de prisión política y t</w:t>
      </w:r>
      <w:r w:rsidR="002A2168" w:rsidRPr="00241DE4">
        <w:rPr>
          <w:rFonts w:cs="Calibri"/>
          <w:bCs/>
          <w:i/>
          <w:sz w:val="23"/>
          <w:szCs w:val="23"/>
        </w:rPr>
        <w:t>ortura,</w:t>
      </w:r>
      <w:r w:rsidR="002A2168" w:rsidRPr="00241DE4">
        <w:rPr>
          <w:rFonts w:cs="Calibri"/>
          <w:bCs/>
          <w:sz w:val="23"/>
          <w:szCs w:val="23"/>
        </w:rPr>
        <w:t xml:space="preserve"> la que si bien no fue designada expresamente como continuadora de la Comisión Rettig y la Comisión Valech, en su mandato recogió las tareas encomendadas a aquellas comisiones.</w:t>
      </w:r>
    </w:p>
    <w:p w14:paraId="760D8BFB" w14:textId="73C30FB2" w:rsidR="002A2168" w:rsidRPr="00241DE4" w:rsidRDefault="00CF0E96" w:rsidP="00241DE4">
      <w:pPr>
        <w:spacing w:after="120" w:line="240" w:lineRule="auto"/>
        <w:jc w:val="both"/>
        <w:rPr>
          <w:rFonts w:cs="Calibri"/>
          <w:bCs/>
          <w:sz w:val="23"/>
          <w:szCs w:val="23"/>
        </w:rPr>
      </w:pPr>
      <w:r>
        <w:rPr>
          <w:rFonts w:cs="Calibri"/>
          <w:b/>
          <w:bCs/>
          <w:sz w:val="23"/>
          <w:szCs w:val="23"/>
        </w:rPr>
        <w:t>17</w:t>
      </w:r>
      <w:r w:rsidR="002A2168" w:rsidRPr="00241DE4">
        <w:rPr>
          <w:rFonts w:cs="Calibri"/>
          <w:b/>
          <w:bCs/>
          <w:sz w:val="23"/>
          <w:szCs w:val="23"/>
        </w:rPr>
        <w:t>.</w:t>
      </w:r>
      <w:r w:rsidR="002A2168" w:rsidRPr="00241DE4">
        <w:rPr>
          <w:rFonts w:cs="Calibri"/>
          <w:bCs/>
          <w:sz w:val="23"/>
          <w:szCs w:val="23"/>
        </w:rPr>
        <w:t xml:space="preserve"> El plazo de funcionamiento de la Comisión Asesora, de acuerdo a la Ley Nº 20.405, fue de seis meses para la recepción de antecedentes y de seis meses más para el estudio de los antecedentes y posterior calificación de las víctimas. Si bien el proceso de calificación debía concluir el 17 de fe</w:t>
      </w:r>
      <w:r w:rsidR="005E7E3A" w:rsidRPr="00241DE4">
        <w:rPr>
          <w:rFonts w:cs="Calibri"/>
          <w:bCs/>
          <w:sz w:val="23"/>
          <w:szCs w:val="23"/>
        </w:rPr>
        <w:t>brero de 2011, se dictó la Ley n</w:t>
      </w:r>
      <w:r w:rsidR="002A2168" w:rsidRPr="00241DE4">
        <w:rPr>
          <w:rFonts w:cs="Calibri"/>
          <w:bCs/>
          <w:sz w:val="23"/>
          <w:szCs w:val="23"/>
        </w:rPr>
        <w:t xml:space="preserve">º 20.496 que prorrogó en seis meses adicionales el plazo de calificación de víctimas, es decir, hasta el 17 de agosto de 2011. Al respecto, si bien la creación de la Comisión Asesora constituye un avance en materia de verdad, resulta preocupante el breve plazo de funcionamiento que se le concedió, el que no se condice con lo recomendado por este Comité en cuanto a establecer </w:t>
      </w:r>
      <w:r w:rsidR="002A2168" w:rsidRPr="00241DE4">
        <w:rPr>
          <w:rFonts w:cs="Calibri"/>
          <w:bCs/>
          <w:i/>
          <w:sz w:val="23"/>
          <w:szCs w:val="23"/>
        </w:rPr>
        <w:t>“límites temporales suficientemente amplios para que todas aquellas personas que se consideren víctimas de tortura puedan presentar su caso”.</w:t>
      </w:r>
      <w:r w:rsidR="002A2168" w:rsidRPr="00241DE4">
        <w:rPr>
          <w:rFonts w:cs="Calibri"/>
          <w:bCs/>
          <w:sz w:val="23"/>
          <w:szCs w:val="23"/>
        </w:rPr>
        <w:t xml:space="preserve"> La breve duración del </w:t>
      </w:r>
      <w:r w:rsidR="002A2168" w:rsidRPr="00241DE4">
        <w:rPr>
          <w:rFonts w:cs="Calibri"/>
          <w:bCs/>
          <w:sz w:val="23"/>
          <w:szCs w:val="23"/>
        </w:rPr>
        <w:lastRenderedPageBreak/>
        <w:t xml:space="preserve">mandato de la Comisión Asesora resulta especialmente preocupante respecto de las mujeres víctimas de violencia sexual como tortura, ya que </w:t>
      </w:r>
      <w:r w:rsidR="002A2168" w:rsidRPr="00241DE4">
        <w:rPr>
          <w:rFonts w:cs="Calibri"/>
          <w:sz w:val="23"/>
          <w:szCs w:val="23"/>
        </w:rPr>
        <w:t>el proceso por el que pasan las mujeres hasta llegar</w:t>
      </w:r>
      <w:r w:rsidR="005E7E3A" w:rsidRPr="00241DE4">
        <w:rPr>
          <w:rFonts w:cs="Calibri"/>
          <w:sz w:val="23"/>
          <w:szCs w:val="23"/>
        </w:rPr>
        <w:t xml:space="preserve"> a denunciar es sumamente largo. </w:t>
      </w:r>
    </w:p>
    <w:p w14:paraId="00C01160" w14:textId="711A7342" w:rsidR="002A2168" w:rsidRPr="00241DE4" w:rsidRDefault="00CF0E96" w:rsidP="00241DE4">
      <w:pPr>
        <w:autoSpaceDE w:val="0"/>
        <w:autoSpaceDN w:val="0"/>
        <w:adjustRightInd w:val="0"/>
        <w:spacing w:after="120" w:line="240" w:lineRule="auto"/>
        <w:jc w:val="both"/>
        <w:rPr>
          <w:rFonts w:cs="Calibri"/>
          <w:sz w:val="23"/>
          <w:szCs w:val="23"/>
        </w:rPr>
      </w:pPr>
      <w:r>
        <w:rPr>
          <w:rFonts w:eastAsia="Times New Roman" w:cs="Calibri"/>
          <w:b/>
          <w:sz w:val="23"/>
          <w:szCs w:val="23"/>
          <w:lang w:eastAsia="es-ES"/>
        </w:rPr>
        <w:t>18</w:t>
      </w:r>
      <w:r w:rsidR="002A2168" w:rsidRPr="00241DE4">
        <w:rPr>
          <w:rFonts w:eastAsia="Times New Roman" w:cs="Calibri"/>
          <w:b/>
          <w:sz w:val="23"/>
          <w:szCs w:val="23"/>
          <w:lang w:eastAsia="es-ES"/>
        </w:rPr>
        <w:t>.</w:t>
      </w:r>
      <w:r w:rsidR="002A2168" w:rsidRPr="00241DE4">
        <w:rPr>
          <w:rFonts w:eastAsia="Times New Roman" w:cs="Calibri"/>
          <w:sz w:val="23"/>
          <w:szCs w:val="23"/>
          <w:lang w:eastAsia="es-ES"/>
        </w:rPr>
        <w:t xml:space="preserve"> </w:t>
      </w:r>
      <w:r w:rsidR="005E7E3A" w:rsidRPr="00241DE4">
        <w:rPr>
          <w:rFonts w:eastAsia="Times New Roman" w:cs="Calibri"/>
          <w:sz w:val="23"/>
          <w:szCs w:val="23"/>
          <w:lang w:eastAsia="es-ES"/>
        </w:rPr>
        <w:t xml:space="preserve">En </w:t>
      </w:r>
      <w:r w:rsidR="002A2168" w:rsidRPr="00241DE4">
        <w:rPr>
          <w:rFonts w:eastAsia="Times New Roman" w:cs="Calibri"/>
          <w:sz w:val="23"/>
          <w:szCs w:val="23"/>
          <w:lang w:eastAsia="es-ES"/>
        </w:rPr>
        <w:t xml:space="preserve">cuanto al mandato de la Comisión Asesora, es importante mencionar que el inciso cuarto del artículo 3º transitorio de la Ley Nº 20.405 dispuso que: </w:t>
      </w:r>
      <w:r w:rsidR="002A2168" w:rsidRPr="00241DE4">
        <w:rPr>
          <w:rFonts w:eastAsia="Times New Roman" w:cs="Calibri"/>
          <w:i/>
          <w:sz w:val="23"/>
          <w:szCs w:val="23"/>
          <w:lang w:eastAsia="es-ES"/>
        </w:rPr>
        <w:t xml:space="preserve">“Una vez completada la labor de calificación, la Comisión deberá elaborar una nómina con los nombres de las personas calificadas”. </w:t>
      </w:r>
      <w:r w:rsidR="002A2168" w:rsidRPr="00241DE4">
        <w:rPr>
          <w:rFonts w:eastAsia="Times New Roman" w:cs="Calibri"/>
          <w:sz w:val="23"/>
          <w:szCs w:val="23"/>
          <w:lang w:eastAsia="es-ES"/>
        </w:rPr>
        <w:t xml:space="preserve">En virtud del restringido mandato que por ley se estableció para la Comisión Asesora, no se pudieron enmendar las deficiencias que en materia de género presentaba el Informe de la Comisión Valech, en especial </w:t>
      </w:r>
      <w:r w:rsidR="002A2168" w:rsidRPr="00241DE4">
        <w:rPr>
          <w:rFonts w:cs="Calibri"/>
          <w:sz w:val="23"/>
          <w:szCs w:val="23"/>
        </w:rPr>
        <w:t xml:space="preserve">respecto a la necesidad de profundizar en las causas y consecuencias de la violencia sexual como tortura ejercida contra las mujeres víctimas de prisión política, y a la necesidad de determinar formas especiales de reparación para las mujeres que atiendan al particular tipo de violencia de </w:t>
      </w:r>
      <w:r w:rsidR="00D375EE" w:rsidRPr="00241DE4">
        <w:rPr>
          <w:rFonts w:cs="Calibri"/>
          <w:sz w:val="23"/>
          <w:szCs w:val="23"/>
        </w:rPr>
        <w:t xml:space="preserve">que fueron objeto. </w:t>
      </w:r>
    </w:p>
    <w:p w14:paraId="636746A5" w14:textId="77EB0C6C" w:rsidR="00FB213D" w:rsidRDefault="00CF0E96" w:rsidP="00241DE4">
      <w:pPr>
        <w:autoSpaceDE w:val="0"/>
        <w:autoSpaceDN w:val="0"/>
        <w:adjustRightInd w:val="0"/>
        <w:spacing w:after="120" w:line="240" w:lineRule="auto"/>
        <w:jc w:val="both"/>
        <w:rPr>
          <w:rFonts w:cs="Calibri"/>
          <w:sz w:val="23"/>
          <w:szCs w:val="23"/>
        </w:rPr>
      </w:pPr>
      <w:r>
        <w:rPr>
          <w:rFonts w:cs="Calibri"/>
          <w:b/>
          <w:sz w:val="23"/>
          <w:szCs w:val="23"/>
        </w:rPr>
        <w:t>19</w:t>
      </w:r>
      <w:r w:rsidR="00FB213D" w:rsidRPr="00241DE4">
        <w:rPr>
          <w:rFonts w:cs="Calibri"/>
          <w:b/>
          <w:sz w:val="23"/>
          <w:szCs w:val="23"/>
        </w:rPr>
        <w:t>.</w:t>
      </w:r>
      <w:r w:rsidR="00FB213D" w:rsidRPr="00241DE4">
        <w:rPr>
          <w:rFonts w:cs="Calibri"/>
          <w:sz w:val="23"/>
          <w:szCs w:val="23"/>
        </w:rPr>
        <w:t xml:space="preserve"> </w:t>
      </w:r>
      <w:r w:rsidR="00D375EE" w:rsidRPr="00241DE4">
        <w:rPr>
          <w:rFonts w:cs="Calibri"/>
          <w:sz w:val="23"/>
          <w:szCs w:val="23"/>
        </w:rPr>
        <w:t xml:space="preserve">Otra problemática práctica que se evidenció con el funcionamiento de la Comisión es que no se notificó legal y correctamente a más de 900 personas que nunca han podido obtener </w:t>
      </w:r>
      <w:r w:rsidR="005E7E3A" w:rsidRPr="00241DE4">
        <w:rPr>
          <w:rFonts w:cs="Calibri"/>
          <w:sz w:val="23"/>
          <w:szCs w:val="23"/>
        </w:rPr>
        <w:t>los</w:t>
      </w:r>
      <w:r w:rsidR="00D375EE" w:rsidRPr="00241DE4">
        <w:rPr>
          <w:rFonts w:cs="Calibri"/>
          <w:sz w:val="23"/>
          <w:szCs w:val="23"/>
        </w:rPr>
        <w:t xml:space="preserve">beneficios señalados en la misma ley por la calificación como víctimas. </w:t>
      </w:r>
      <w:r w:rsidR="00C0203B" w:rsidRPr="00241DE4">
        <w:rPr>
          <w:rFonts w:cs="Calibri"/>
          <w:sz w:val="23"/>
          <w:szCs w:val="23"/>
        </w:rPr>
        <w:t>Adicionalmente,</w:t>
      </w:r>
      <w:r w:rsidR="00FB213D" w:rsidRPr="00241DE4">
        <w:rPr>
          <w:rFonts w:cs="Calibri"/>
          <w:sz w:val="23"/>
          <w:szCs w:val="23"/>
        </w:rPr>
        <w:t xml:space="preserve"> la norma que mantenía en secreto los testimonios de las víctimas en el marco de la Comisión</w:t>
      </w:r>
      <w:r w:rsidR="005E7E3A" w:rsidRPr="00241DE4">
        <w:rPr>
          <w:rFonts w:cs="Calibri"/>
          <w:sz w:val="23"/>
          <w:szCs w:val="23"/>
        </w:rPr>
        <w:t xml:space="preserve"> Asesora descrita anteriormente, </w:t>
      </w:r>
      <w:r w:rsidR="00FB213D" w:rsidRPr="00241DE4">
        <w:rPr>
          <w:rFonts w:cs="Calibri"/>
          <w:sz w:val="23"/>
          <w:szCs w:val="23"/>
        </w:rPr>
        <w:t xml:space="preserve">era más flexible que la contenida a propósito de la Comisión Valech I, lo que también genera diferencias procesales para las víctimas de una y otra comisión. </w:t>
      </w:r>
    </w:p>
    <w:p w14:paraId="170C3BA7" w14:textId="77777777" w:rsidR="00241DE4" w:rsidRPr="00241DE4" w:rsidRDefault="00241DE4" w:rsidP="00241DE4">
      <w:pPr>
        <w:autoSpaceDE w:val="0"/>
        <w:autoSpaceDN w:val="0"/>
        <w:adjustRightInd w:val="0"/>
        <w:spacing w:after="120" w:line="240" w:lineRule="auto"/>
        <w:jc w:val="both"/>
        <w:rPr>
          <w:rFonts w:cs="Calibri"/>
          <w:sz w:val="23"/>
          <w:szCs w:val="23"/>
        </w:rPr>
      </w:pPr>
    </w:p>
    <w:p w14:paraId="0C0E1FAE" w14:textId="77777777" w:rsidR="002A2168" w:rsidRDefault="002A2168" w:rsidP="00241DE4">
      <w:pPr>
        <w:tabs>
          <w:tab w:val="left" w:pos="2793"/>
        </w:tabs>
        <w:autoSpaceDE w:val="0"/>
        <w:autoSpaceDN w:val="0"/>
        <w:adjustRightInd w:val="0"/>
        <w:spacing w:after="120" w:line="240" w:lineRule="auto"/>
        <w:jc w:val="both"/>
        <w:rPr>
          <w:rFonts w:cs="Calibri"/>
          <w:b/>
          <w:i/>
          <w:sz w:val="23"/>
          <w:szCs w:val="23"/>
        </w:rPr>
      </w:pPr>
      <w:r w:rsidRPr="00241DE4">
        <w:rPr>
          <w:rFonts w:cs="Calibri"/>
          <w:b/>
          <w:i/>
          <w:sz w:val="23"/>
          <w:szCs w:val="23"/>
          <w:u w:val="single"/>
        </w:rPr>
        <w:t>Recomendaciones</w:t>
      </w:r>
      <w:r w:rsidRPr="00241DE4">
        <w:rPr>
          <w:rFonts w:cs="Calibri"/>
          <w:b/>
          <w:i/>
          <w:sz w:val="23"/>
          <w:szCs w:val="23"/>
        </w:rPr>
        <w:t>:</w:t>
      </w:r>
      <w:r w:rsidRPr="00241DE4">
        <w:rPr>
          <w:rFonts w:cs="Calibri"/>
          <w:b/>
          <w:i/>
          <w:sz w:val="23"/>
          <w:szCs w:val="23"/>
        </w:rPr>
        <w:tab/>
      </w:r>
    </w:p>
    <w:p w14:paraId="4B59288B" w14:textId="77777777" w:rsidR="00241DE4" w:rsidRPr="00241DE4" w:rsidRDefault="00241DE4" w:rsidP="00241DE4">
      <w:pPr>
        <w:tabs>
          <w:tab w:val="left" w:pos="2793"/>
        </w:tabs>
        <w:autoSpaceDE w:val="0"/>
        <w:autoSpaceDN w:val="0"/>
        <w:adjustRightInd w:val="0"/>
        <w:spacing w:after="120" w:line="240" w:lineRule="auto"/>
        <w:jc w:val="both"/>
        <w:rPr>
          <w:rFonts w:cs="Calibri"/>
          <w:b/>
          <w:i/>
          <w:sz w:val="23"/>
          <w:szCs w:val="23"/>
        </w:rPr>
      </w:pPr>
    </w:p>
    <w:p w14:paraId="14E21F32" w14:textId="238ACB42" w:rsidR="002A2168" w:rsidRPr="00241DE4" w:rsidRDefault="002A2168" w:rsidP="00241DE4">
      <w:pPr>
        <w:pStyle w:val="ListParagraph"/>
        <w:numPr>
          <w:ilvl w:val="0"/>
          <w:numId w:val="3"/>
        </w:numPr>
        <w:autoSpaceDE w:val="0"/>
        <w:autoSpaceDN w:val="0"/>
        <w:adjustRightInd w:val="0"/>
        <w:spacing w:after="120" w:line="240" w:lineRule="auto"/>
        <w:contextualSpacing w:val="0"/>
        <w:jc w:val="both"/>
        <w:rPr>
          <w:rFonts w:cs="Calibri"/>
          <w:b/>
          <w:sz w:val="23"/>
          <w:szCs w:val="23"/>
        </w:rPr>
      </w:pPr>
      <w:r w:rsidRPr="00241DE4">
        <w:rPr>
          <w:rFonts w:cs="Calibri"/>
          <w:b/>
          <w:sz w:val="23"/>
          <w:szCs w:val="23"/>
        </w:rPr>
        <w:t>Reapertura d</w:t>
      </w:r>
      <w:r w:rsidR="0003631C" w:rsidRPr="00241DE4">
        <w:rPr>
          <w:rFonts w:cs="Calibri"/>
          <w:b/>
          <w:sz w:val="23"/>
          <w:szCs w:val="23"/>
        </w:rPr>
        <w:t>e la Comisión sobre Prisión Polí</w:t>
      </w:r>
      <w:r w:rsidRPr="00241DE4">
        <w:rPr>
          <w:rFonts w:cs="Calibri"/>
          <w:b/>
          <w:sz w:val="23"/>
          <w:szCs w:val="23"/>
        </w:rPr>
        <w:t>tica y Tortura y amplia difusión de su existencia y mandato, incluyendo dentro de los criterios de calificación todos los casos de tortura previstos en el artículo 1 de la Convención con</w:t>
      </w:r>
      <w:r w:rsidR="00A904A2" w:rsidRPr="00241DE4">
        <w:rPr>
          <w:rFonts w:cs="Calibri"/>
          <w:b/>
          <w:sz w:val="23"/>
          <w:szCs w:val="23"/>
        </w:rPr>
        <w:t xml:space="preserve">tra la Tortura y, en particular, </w:t>
      </w:r>
      <w:r w:rsidRPr="00241DE4">
        <w:rPr>
          <w:rFonts w:cs="Calibri"/>
          <w:b/>
          <w:sz w:val="23"/>
          <w:szCs w:val="23"/>
        </w:rPr>
        <w:t>reconsiderar los criterios de calificación para las personas que sufrieron torturas</w:t>
      </w:r>
      <w:r w:rsidR="00A904A2" w:rsidRPr="00241DE4">
        <w:rPr>
          <w:rFonts w:cs="Calibri"/>
          <w:b/>
          <w:sz w:val="23"/>
          <w:szCs w:val="23"/>
        </w:rPr>
        <w:t xml:space="preserve"> siendo menores de edad, o que se encontraban fuera</w:t>
      </w:r>
      <w:r w:rsidRPr="00241DE4">
        <w:rPr>
          <w:rFonts w:cs="Calibri"/>
          <w:b/>
          <w:sz w:val="23"/>
          <w:szCs w:val="23"/>
        </w:rPr>
        <w:t xml:space="preserve"> del territorio nacional, o que residen actualmente fuera de Chile.</w:t>
      </w:r>
    </w:p>
    <w:p w14:paraId="41D3717E" w14:textId="77777777" w:rsidR="002A2168" w:rsidRPr="00241DE4" w:rsidRDefault="004B0D17" w:rsidP="00241DE4">
      <w:pPr>
        <w:pStyle w:val="ListParagraph"/>
        <w:numPr>
          <w:ilvl w:val="0"/>
          <w:numId w:val="3"/>
        </w:numPr>
        <w:autoSpaceDE w:val="0"/>
        <w:autoSpaceDN w:val="0"/>
        <w:adjustRightInd w:val="0"/>
        <w:spacing w:after="120" w:line="240" w:lineRule="auto"/>
        <w:contextualSpacing w:val="0"/>
        <w:jc w:val="both"/>
        <w:rPr>
          <w:rFonts w:cs="Calibri"/>
          <w:b/>
          <w:sz w:val="23"/>
          <w:szCs w:val="23"/>
        </w:rPr>
      </w:pPr>
      <w:r w:rsidRPr="00241DE4">
        <w:rPr>
          <w:rFonts w:cs="Calibri"/>
          <w:b/>
          <w:sz w:val="23"/>
          <w:szCs w:val="23"/>
        </w:rPr>
        <w:t>Calificar la violencia sexual sufrida por mujeres durante la dictadura cívico-militar como una forma de tortura</w:t>
      </w:r>
      <w:r w:rsidR="00747BBA" w:rsidRPr="00241DE4">
        <w:rPr>
          <w:rFonts w:cs="Calibri"/>
          <w:b/>
          <w:sz w:val="23"/>
          <w:szCs w:val="23"/>
        </w:rPr>
        <w:t xml:space="preserve">, atendiendo a la especificidad de los actos de los que fueron víctimas. </w:t>
      </w:r>
    </w:p>
    <w:p w14:paraId="67B5CEAE" w14:textId="77777777" w:rsidR="00643FD4" w:rsidRPr="00241DE4" w:rsidRDefault="00643FD4" w:rsidP="00241DE4">
      <w:pPr>
        <w:pStyle w:val="ListParagraph"/>
        <w:spacing w:after="120" w:line="240" w:lineRule="auto"/>
        <w:ind w:left="714"/>
        <w:contextualSpacing w:val="0"/>
        <w:jc w:val="both"/>
        <w:rPr>
          <w:rFonts w:eastAsia="Times New Roman" w:cs="Calibri"/>
          <w:b/>
          <w:sz w:val="23"/>
          <w:szCs w:val="23"/>
          <w:lang w:eastAsia="es-ES"/>
        </w:rPr>
      </w:pPr>
    </w:p>
    <w:p w14:paraId="44C6D63B" w14:textId="77777777" w:rsidR="002A2168" w:rsidRPr="00446153" w:rsidRDefault="002A2168" w:rsidP="00241DE4">
      <w:pPr>
        <w:spacing w:after="120" w:line="240" w:lineRule="auto"/>
        <w:jc w:val="both"/>
        <w:rPr>
          <w:rFonts w:cs="Calibri"/>
          <w:b/>
          <w:color w:val="000000"/>
          <w:sz w:val="28"/>
          <w:szCs w:val="28"/>
        </w:rPr>
      </w:pPr>
      <w:r w:rsidRPr="00446153">
        <w:rPr>
          <w:rFonts w:cs="Calibri"/>
          <w:b/>
          <w:color w:val="000000"/>
          <w:sz w:val="28"/>
          <w:szCs w:val="28"/>
        </w:rPr>
        <w:t>Artículo</w:t>
      </w:r>
      <w:r w:rsidR="004B53E0" w:rsidRPr="00446153">
        <w:rPr>
          <w:rFonts w:cs="Calibri"/>
          <w:b/>
          <w:color w:val="000000"/>
          <w:sz w:val="28"/>
          <w:szCs w:val="28"/>
        </w:rPr>
        <w:t>s</w:t>
      </w:r>
      <w:r w:rsidRPr="00446153">
        <w:rPr>
          <w:rFonts w:cs="Calibri"/>
          <w:b/>
          <w:color w:val="000000"/>
          <w:sz w:val="28"/>
          <w:szCs w:val="28"/>
        </w:rPr>
        <w:t xml:space="preserve"> 5 a</w:t>
      </w:r>
      <w:r w:rsidR="004B53E0" w:rsidRPr="00446153">
        <w:rPr>
          <w:rFonts w:cs="Calibri"/>
          <w:b/>
          <w:color w:val="000000"/>
          <w:sz w:val="28"/>
          <w:szCs w:val="28"/>
        </w:rPr>
        <w:t>l</w:t>
      </w:r>
      <w:r w:rsidRPr="00446153">
        <w:rPr>
          <w:rFonts w:cs="Calibri"/>
          <w:b/>
          <w:color w:val="000000"/>
          <w:sz w:val="28"/>
          <w:szCs w:val="28"/>
        </w:rPr>
        <w:t xml:space="preserve"> 9</w:t>
      </w:r>
    </w:p>
    <w:p w14:paraId="46B8BBC4" w14:textId="77777777" w:rsidR="00236D63" w:rsidRPr="00446153" w:rsidRDefault="00236D63" w:rsidP="00241DE4">
      <w:pPr>
        <w:spacing w:after="120" w:line="240" w:lineRule="auto"/>
        <w:jc w:val="both"/>
        <w:rPr>
          <w:rFonts w:cs="Calibri"/>
          <w:b/>
          <w:color w:val="000000"/>
          <w:sz w:val="23"/>
          <w:szCs w:val="23"/>
        </w:rPr>
      </w:pPr>
    </w:p>
    <w:p w14:paraId="1B157A4A"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Reforma a la Justicia Militar</w:t>
      </w:r>
    </w:p>
    <w:p w14:paraId="1C05ADA6" w14:textId="77777777" w:rsidR="00241DE4" w:rsidRPr="00446153" w:rsidRDefault="00241DE4" w:rsidP="00241DE4">
      <w:pPr>
        <w:spacing w:after="120" w:line="240" w:lineRule="auto"/>
        <w:jc w:val="both"/>
        <w:rPr>
          <w:rFonts w:cs="Calibri"/>
          <w:b/>
          <w:color w:val="000000"/>
          <w:sz w:val="23"/>
          <w:szCs w:val="23"/>
        </w:rPr>
      </w:pPr>
    </w:p>
    <w:p w14:paraId="22012F18" w14:textId="6973E38A" w:rsidR="00DC55FE" w:rsidRPr="00241DE4" w:rsidRDefault="00CF0E96" w:rsidP="00241DE4">
      <w:pPr>
        <w:widowControl w:val="0"/>
        <w:autoSpaceDE w:val="0"/>
        <w:autoSpaceDN w:val="0"/>
        <w:adjustRightInd w:val="0"/>
        <w:spacing w:after="120" w:line="240" w:lineRule="auto"/>
        <w:jc w:val="both"/>
        <w:rPr>
          <w:rFonts w:cs="Calibri"/>
          <w:color w:val="000000"/>
          <w:sz w:val="23"/>
          <w:szCs w:val="23"/>
          <w:lang w:val="es-ES_tradnl"/>
        </w:rPr>
      </w:pPr>
      <w:r>
        <w:rPr>
          <w:rFonts w:cs="Calibri"/>
          <w:b/>
          <w:color w:val="000000"/>
          <w:sz w:val="23"/>
          <w:szCs w:val="23"/>
          <w:lang w:val="es-ES_tradnl"/>
        </w:rPr>
        <w:t>20</w:t>
      </w:r>
      <w:r w:rsidR="00DC55FE" w:rsidRPr="00241DE4">
        <w:rPr>
          <w:rFonts w:cs="Calibri"/>
          <w:b/>
          <w:color w:val="000000"/>
          <w:sz w:val="23"/>
          <w:szCs w:val="23"/>
          <w:lang w:val="es-ES_tradnl"/>
        </w:rPr>
        <w:t>.</w:t>
      </w:r>
      <w:r w:rsidR="00DC55FE" w:rsidRPr="00241DE4">
        <w:rPr>
          <w:rFonts w:cs="Calibri"/>
          <w:color w:val="000000"/>
          <w:sz w:val="23"/>
          <w:szCs w:val="23"/>
          <w:lang w:val="es-ES_tradnl"/>
        </w:rPr>
        <w:t xml:space="preserve"> </w:t>
      </w:r>
      <w:r w:rsidR="00783DF3" w:rsidRPr="00241DE4">
        <w:rPr>
          <w:rFonts w:cs="Calibri"/>
          <w:color w:val="000000"/>
          <w:sz w:val="23"/>
          <w:szCs w:val="23"/>
          <w:lang w:val="es-ES_tradnl"/>
        </w:rPr>
        <w:t xml:space="preserve">El Estado de Chile fue condenado, hace más de una década, por la Corte Interamericana de Derechos Humanos por la </w:t>
      </w:r>
      <w:r w:rsidR="00747BBA" w:rsidRPr="00241DE4">
        <w:rPr>
          <w:rFonts w:cs="Calibri"/>
          <w:color w:val="000000"/>
          <w:sz w:val="23"/>
          <w:szCs w:val="23"/>
          <w:lang w:val="es-ES_tradnl"/>
        </w:rPr>
        <w:t>amplitud de la Justicia Militar</w:t>
      </w:r>
      <w:r w:rsidR="00783DF3" w:rsidRPr="00241DE4">
        <w:rPr>
          <w:rFonts w:cs="Calibri"/>
          <w:color w:val="000000"/>
          <w:sz w:val="23"/>
          <w:szCs w:val="23"/>
          <w:lang w:val="es-ES_tradnl"/>
        </w:rPr>
        <w:t xml:space="preserve"> y la falta de garantías judiciales que de ello deriva. </w:t>
      </w:r>
    </w:p>
    <w:p w14:paraId="227866C4" w14:textId="298276AC" w:rsidR="00783DF3" w:rsidRPr="00241DE4" w:rsidRDefault="00CF0E96" w:rsidP="00241DE4">
      <w:pPr>
        <w:widowControl w:val="0"/>
        <w:autoSpaceDE w:val="0"/>
        <w:autoSpaceDN w:val="0"/>
        <w:adjustRightInd w:val="0"/>
        <w:spacing w:after="120" w:line="240" w:lineRule="auto"/>
        <w:jc w:val="both"/>
        <w:rPr>
          <w:rFonts w:cs="Calibri"/>
          <w:color w:val="000000"/>
          <w:sz w:val="23"/>
          <w:szCs w:val="23"/>
          <w:lang w:val="es-ES_tradnl"/>
        </w:rPr>
      </w:pPr>
      <w:r>
        <w:rPr>
          <w:rFonts w:cs="Calibri"/>
          <w:b/>
          <w:color w:val="000000"/>
          <w:sz w:val="23"/>
          <w:szCs w:val="23"/>
          <w:lang w:val="es-ES_tradnl"/>
        </w:rPr>
        <w:lastRenderedPageBreak/>
        <w:t>21</w:t>
      </w:r>
      <w:r w:rsidR="00DC55FE" w:rsidRPr="00241DE4">
        <w:rPr>
          <w:rFonts w:cs="Calibri"/>
          <w:b/>
          <w:color w:val="000000"/>
          <w:sz w:val="23"/>
          <w:szCs w:val="23"/>
          <w:lang w:val="es-ES_tradnl"/>
        </w:rPr>
        <w:t>.</w:t>
      </w:r>
      <w:r w:rsidR="00DC55FE" w:rsidRPr="00241DE4">
        <w:rPr>
          <w:rFonts w:cs="Calibri"/>
          <w:color w:val="000000"/>
          <w:sz w:val="23"/>
          <w:szCs w:val="23"/>
          <w:lang w:val="es-ES_tradnl"/>
        </w:rPr>
        <w:t xml:space="preserve"> </w:t>
      </w:r>
      <w:r w:rsidR="00747BBA" w:rsidRPr="00241DE4">
        <w:rPr>
          <w:rFonts w:cs="Calibri"/>
          <w:color w:val="000000"/>
          <w:sz w:val="23"/>
          <w:szCs w:val="23"/>
          <w:lang w:val="es-ES_tradnl"/>
        </w:rPr>
        <w:t>En el año</w:t>
      </w:r>
      <w:r w:rsidR="00783DF3" w:rsidRPr="00241DE4">
        <w:rPr>
          <w:rFonts w:cs="Calibri"/>
          <w:color w:val="000000"/>
          <w:sz w:val="23"/>
          <w:szCs w:val="23"/>
          <w:lang w:val="es-ES_tradnl"/>
        </w:rPr>
        <w:t xml:space="preserve"> 2005, en el caso </w:t>
      </w:r>
      <w:r w:rsidR="00783DF3" w:rsidRPr="00241DE4">
        <w:rPr>
          <w:rFonts w:cs="Calibri"/>
          <w:i/>
          <w:iCs/>
          <w:color w:val="000000"/>
          <w:sz w:val="23"/>
          <w:szCs w:val="23"/>
          <w:lang w:val="es-ES_tradnl"/>
        </w:rPr>
        <w:t>Palamara Iribarne Vs. Chile</w:t>
      </w:r>
      <w:r w:rsidR="00783DF3" w:rsidRPr="00241DE4">
        <w:rPr>
          <w:rFonts w:cs="Calibri"/>
          <w:color w:val="000000"/>
          <w:sz w:val="23"/>
          <w:szCs w:val="23"/>
          <w:lang w:val="es-ES_tradnl"/>
        </w:rPr>
        <w:t>, la Corte IDH ordenó “</w:t>
      </w:r>
      <w:r w:rsidR="00783DF3" w:rsidRPr="00241DE4">
        <w:rPr>
          <w:rFonts w:cs="Calibri"/>
          <w:i/>
          <w:iCs/>
          <w:color w:val="000000"/>
          <w:sz w:val="23"/>
          <w:szCs w:val="23"/>
          <w:lang w:val="es-ES_tradnl"/>
        </w:rPr>
        <w:t>adecuar, en un plazo razonable, el ordenamiento jurídico interno a los estándares internacionales sobre jurisdicción penal militar</w:t>
      </w:r>
      <w:r w:rsidR="00DC55FE" w:rsidRPr="00241DE4">
        <w:rPr>
          <w:rFonts w:cs="Calibri"/>
          <w:color w:val="000000"/>
          <w:sz w:val="23"/>
          <w:szCs w:val="23"/>
          <w:lang w:val="es-ES_tradnl"/>
        </w:rPr>
        <w:t xml:space="preserve">”. Al respecto señaló que: </w:t>
      </w:r>
      <w:r w:rsidR="00783DF3" w:rsidRPr="00241DE4">
        <w:rPr>
          <w:rFonts w:cs="Calibri"/>
          <w:color w:val="000000"/>
          <w:sz w:val="23"/>
          <w:szCs w:val="23"/>
          <w:lang w:val="es-ES_tradnl"/>
        </w:rPr>
        <w:t>“</w:t>
      </w:r>
      <w:r w:rsidR="00783DF3" w:rsidRPr="00241DE4">
        <w:rPr>
          <w:rFonts w:cs="Calibri"/>
          <w:i/>
          <w:iCs/>
          <w:color w:val="000000"/>
          <w:sz w:val="23"/>
          <w:szCs w:val="23"/>
          <w:lang w:val="es-ES_tradnl"/>
        </w:rPr>
        <w:t>en caso de que considere necesaria la existencia de una jurisdicción penal militar, ésta debe limitarse solamente al conocimiento de delitos de función cometidos por militares en servicio activo. Por lo tanto, el Estado debe establecer, a través de su legislación, límites a la competencia material y personal de los tribunales militares, de forma tal que en ninguna circunstancia un civil se vea sometido a la jurisdicción de los tribunales penales militares</w:t>
      </w:r>
      <w:r w:rsidR="00783DF3" w:rsidRPr="00241DE4">
        <w:rPr>
          <w:rFonts w:cs="Calibri"/>
          <w:color w:val="000000"/>
          <w:sz w:val="23"/>
          <w:szCs w:val="23"/>
          <w:lang w:val="es-ES_tradnl"/>
        </w:rPr>
        <w:t>”. Además,</w:t>
      </w:r>
      <w:r w:rsidR="00747BBA" w:rsidRPr="00241DE4">
        <w:rPr>
          <w:rFonts w:cs="Calibri"/>
          <w:color w:val="000000"/>
          <w:sz w:val="23"/>
          <w:szCs w:val="23"/>
          <w:lang w:val="es-ES_tradnl"/>
        </w:rPr>
        <w:t xml:space="preserve"> mandató al Estado a: </w:t>
      </w:r>
      <w:r w:rsidR="00783DF3" w:rsidRPr="00241DE4">
        <w:rPr>
          <w:rFonts w:cs="Calibri"/>
          <w:color w:val="000000"/>
          <w:sz w:val="23"/>
          <w:szCs w:val="23"/>
          <w:lang w:val="es-ES_tradnl"/>
        </w:rPr>
        <w:t>“</w:t>
      </w:r>
      <w:r w:rsidR="00783DF3" w:rsidRPr="00241DE4">
        <w:rPr>
          <w:rFonts w:cs="Calibri"/>
          <w:i/>
          <w:iCs/>
          <w:color w:val="000000"/>
          <w:sz w:val="23"/>
          <w:szCs w:val="23"/>
          <w:lang w:val="es-ES_tradnl"/>
        </w:rPr>
        <w:t>garantizar el debido proceso en la jurisdicción penal militar y la protección judicial respecto de las actuaciones de las autoridades militares</w:t>
      </w:r>
      <w:r w:rsidR="00783DF3" w:rsidRPr="00241DE4">
        <w:rPr>
          <w:rFonts w:cs="Calibri"/>
          <w:color w:val="000000"/>
          <w:sz w:val="23"/>
          <w:szCs w:val="23"/>
          <w:lang w:val="es-ES_tradnl"/>
        </w:rPr>
        <w:t>”</w:t>
      </w:r>
      <w:r w:rsidR="00DC55FE" w:rsidRPr="00241DE4">
        <w:rPr>
          <w:rStyle w:val="FootnoteReference"/>
          <w:rFonts w:cs="Calibri"/>
          <w:color w:val="000000"/>
          <w:sz w:val="23"/>
          <w:szCs w:val="23"/>
          <w:lang w:val="es-ES_tradnl"/>
        </w:rPr>
        <w:footnoteReference w:id="7"/>
      </w:r>
      <w:r w:rsidR="00DC55FE" w:rsidRPr="00241DE4">
        <w:rPr>
          <w:rFonts w:cs="Calibri"/>
          <w:color w:val="000000"/>
          <w:sz w:val="23"/>
          <w:szCs w:val="23"/>
          <w:lang w:val="es-ES_tradnl"/>
        </w:rPr>
        <w:t xml:space="preserve">. </w:t>
      </w:r>
    </w:p>
    <w:p w14:paraId="000B25C7" w14:textId="237A09D7" w:rsidR="00783DF3" w:rsidRPr="00241DE4" w:rsidRDefault="00CF0E96" w:rsidP="00241DE4">
      <w:pPr>
        <w:widowControl w:val="0"/>
        <w:autoSpaceDE w:val="0"/>
        <w:autoSpaceDN w:val="0"/>
        <w:adjustRightInd w:val="0"/>
        <w:spacing w:after="120" w:line="240" w:lineRule="auto"/>
        <w:jc w:val="both"/>
        <w:rPr>
          <w:rFonts w:cs="Calibri"/>
          <w:color w:val="000000"/>
          <w:sz w:val="23"/>
          <w:szCs w:val="23"/>
          <w:lang w:val="es-ES_tradnl"/>
        </w:rPr>
      </w:pPr>
      <w:r>
        <w:rPr>
          <w:rFonts w:cs="Calibri"/>
          <w:b/>
          <w:color w:val="000000"/>
          <w:sz w:val="23"/>
          <w:szCs w:val="23"/>
          <w:lang w:val="es-ES_tradnl"/>
        </w:rPr>
        <w:t>22</w:t>
      </w:r>
      <w:r w:rsidR="00DC55FE" w:rsidRPr="00241DE4">
        <w:rPr>
          <w:rFonts w:cs="Calibri"/>
          <w:b/>
          <w:color w:val="000000"/>
          <w:sz w:val="23"/>
          <w:szCs w:val="23"/>
          <w:lang w:val="es-ES_tradnl"/>
        </w:rPr>
        <w:t>.</w:t>
      </w:r>
      <w:r w:rsidR="00DC55FE" w:rsidRPr="00241DE4">
        <w:rPr>
          <w:rFonts w:cs="Calibri"/>
          <w:color w:val="000000"/>
          <w:sz w:val="23"/>
          <w:szCs w:val="23"/>
          <w:lang w:val="es-ES_tradnl"/>
        </w:rPr>
        <w:t xml:space="preserve"> </w:t>
      </w:r>
      <w:r w:rsidR="00783DF3" w:rsidRPr="00241DE4">
        <w:rPr>
          <w:rFonts w:cs="Calibri"/>
          <w:color w:val="000000"/>
          <w:sz w:val="23"/>
          <w:szCs w:val="23"/>
          <w:lang w:val="es-ES_tradnl"/>
        </w:rPr>
        <w:t>Asimismo, diversos organismos internacionales han recomendado al Estado de Chile reformar la justicia militar. En este sentido se han pronunciado el Comité de Derechos Humanos</w:t>
      </w:r>
      <w:r w:rsidR="00DC55FE" w:rsidRPr="00241DE4">
        <w:rPr>
          <w:rStyle w:val="FootnoteReference"/>
          <w:rFonts w:cs="Calibri"/>
          <w:color w:val="000000"/>
          <w:sz w:val="23"/>
          <w:szCs w:val="23"/>
          <w:lang w:val="es-ES_tradnl"/>
        </w:rPr>
        <w:footnoteReference w:id="8"/>
      </w:r>
      <w:r w:rsidR="00DC55FE" w:rsidRPr="00241DE4">
        <w:rPr>
          <w:rFonts w:cs="Calibri"/>
          <w:color w:val="000000"/>
          <w:sz w:val="23"/>
          <w:szCs w:val="23"/>
          <w:lang w:val="es-ES_tradnl"/>
        </w:rPr>
        <w:t xml:space="preserve">, </w:t>
      </w:r>
      <w:r w:rsidR="00747BBA" w:rsidRPr="00241DE4">
        <w:rPr>
          <w:rFonts w:cs="Calibri"/>
          <w:color w:val="000000"/>
          <w:sz w:val="23"/>
          <w:szCs w:val="23"/>
          <w:lang w:val="es-ES_tradnl"/>
        </w:rPr>
        <w:t>el Comité C</w:t>
      </w:r>
      <w:r w:rsidR="00783DF3" w:rsidRPr="00241DE4">
        <w:rPr>
          <w:rFonts w:cs="Calibri"/>
          <w:color w:val="000000"/>
          <w:sz w:val="23"/>
          <w:szCs w:val="23"/>
          <w:lang w:val="es-ES_tradnl"/>
        </w:rPr>
        <w:t>ontra la Tortura</w:t>
      </w:r>
      <w:r w:rsidR="00DC55FE" w:rsidRPr="00241DE4">
        <w:rPr>
          <w:rStyle w:val="FootnoteReference"/>
          <w:rFonts w:cs="Calibri"/>
          <w:color w:val="000000"/>
          <w:sz w:val="23"/>
          <w:szCs w:val="23"/>
          <w:lang w:val="es-ES_tradnl"/>
        </w:rPr>
        <w:footnoteReference w:id="9"/>
      </w:r>
      <w:r w:rsidR="00DC55FE" w:rsidRPr="00241DE4">
        <w:rPr>
          <w:rFonts w:cs="Calibri"/>
          <w:color w:val="000000"/>
          <w:sz w:val="23"/>
          <w:szCs w:val="23"/>
          <w:lang w:val="es-ES_tradnl"/>
        </w:rPr>
        <w:t xml:space="preserve"> </w:t>
      </w:r>
      <w:r w:rsidR="00783DF3" w:rsidRPr="00241DE4">
        <w:rPr>
          <w:rFonts w:cs="Calibri"/>
          <w:color w:val="000000"/>
          <w:sz w:val="23"/>
          <w:szCs w:val="23"/>
          <w:lang w:val="es-ES_tradnl"/>
        </w:rPr>
        <w:t>y el Consejo de Derechos Humanos de Naciones Unidas</w:t>
      </w:r>
      <w:r w:rsidR="00DC55FE" w:rsidRPr="00241DE4">
        <w:rPr>
          <w:rStyle w:val="FootnoteReference"/>
          <w:rFonts w:cs="Calibri"/>
          <w:color w:val="000000"/>
          <w:sz w:val="23"/>
          <w:szCs w:val="23"/>
          <w:lang w:val="es-ES_tradnl"/>
        </w:rPr>
        <w:footnoteReference w:id="10"/>
      </w:r>
      <w:r w:rsidR="00DC55FE" w:rsidRPr="00241DE4">
        <w:rPr>
          <w:rFonts w:cs="Calibri"/>
          <w:color w:val="000000"/>
          <w:sz w:val="23"/>
          <w:szCs w:val="23"/>
          <w:lang w:val="es-ES_tradnl"/>
        </w:rPr>
        <w:t xml:space="preserve">. </w:t>
      </w:r>
    </w:p>
    <w:p w14:paraId="46B4FC17" w14:textId="512E25E5" w:rsidR="00DC55FE" w:rsidRPr="00241DE4" w:rsidRDefault="00DC55FE" w:rsidP="00241DE4">
      <w:pPr>
        <w:widowControl w:val="0"/>
        <w:autoSpaceDE w:val="0"/>
        <w:autoSpaceDN w:val="0"/>
        <w:adjustRightInd w:val="0"/>
        <w:spacing w:after="120" w:line="240" w:lineRule="auto"/>
        <w:jc w:val="both"/>
        <w:rPr>
          <w:rFonts w:cs="Calibri"/>
          <w:color w:val="000000"/>
          <w:sz w:val="23"/>
          <w:szCs w:val="23"/>
          <w:lang w:val="es-ES_tradnl"/>
        </w:rPr>
      </w:pPr>
      <w:r w:rsidRPr="00241DE4">
        <w:rPr>
          <w:rFonts w:cs="Calibri"/>
          <w:b/>
          <w:color w:val="000000"/>
          <w:sz w:val="23"/>
          <w:szCs w:val="23"/>
          <w:lang w:val="es-ES_tradnl"/>
        </w:rPr>
        <w:t>2</w:t>
      </w:r>
      <w:r w:rsidR="00CF0E96">
        <w:rPr>
          <w:rFonts w:cs="Calibri"/>
          <w:b/>
          <w:color w:val="000000"/>
          <w:sz w:val="23"/>
          <w:szCs w:val="23"/>
          <w:lang w:val="es-ES_tradnl"/>
        </w:rPr>
        <w:t>3</w:t>
      </w:r>
      <w:r w:rsidRPr="00241DE4">
        <w:rPr>
          <w:rFonts w:cs="Calibri"/>
          <w:color w:val="000000"/>
          <w:sz w:val="23"/>
          <w:szCs w:val="23"/>
          <w:lang w:val="es-ES_tradnl"/>
        </w:rPr>
        <w:t xml:space="preserve">. </w:t>
      </w:r>
      <w:r w:rsidR="00783DF3" w:rsidRPr="00241DE4">
        <w:rPr>
          <w:rFonts w:cs="Calibri"/>
          <w:color w:val="000000"/>
          <w:sz w:val="23"/>
          <w:szCs w:val="23"/>
          <w:lang w:val="es-ES_tradnl"/>
        </w:rPr>
        <w:t>Cabe señalar que en el año 2010 se reformó parcialmente la justic</w:t>
      </w:r>
      <w:r w:rsidR="00993696" w:rsidRPr="00241DE4">
        <w:rPr>
          <w:rFonts w:cs="Calibri"/>
          <w:color w:val="000000"/>
          <w:sz w:val="23"/>
          <w:szCs w:val="23"/>
          <w:lang w:val="es-ES_tradnl"/>
        </w:rPr>
        <w:t xml:space="preserve">ia militar. </w:t>
      </w:r>
      <w:r w:rsidR="004B53E0" w:rsidRPr="00241DE4">
        <w:rPr>
          <w:rFonts w:cs="Calibri"/>
          <w:color w:val="000000"/>
          <w:sz w:val="23"/>
          <w:szCs w:val="23"/>
          <w:lang w:val="es-ES_tradnl"/>
        </w:rPr>
        <w:t>L</w:t>
      </w:r>
      <w:r w:rsidR="00993696" w:rsidRPr="00241DE4">
        <w:rPr>
          <w:rFonts w:cs="Calibri"/>
          <w:color w:val="000000"/>
          <w:sz w:val="23"/>
          <w:szCs w:val="23"/>
          <w:lang w:val="es-ES_tradnl"/>
        </w:rPr>
        <w:t>a Ley nº</w:t>
      </w:r>
      <w:r w:rsidR="00783DF3" w:rsidRPr="00241DE4">
        <w:rPr>
          <w:rFonts w:cs="Calibri"/>
          <w:color w:val="000000"/>
          <w:sz w:val="23"/>
          <w:szCs w:val="23"/>
          <w:lang w:val="es-ES_tradnl"/>
        </w:rPr>
        <w:t xml:space="preserve"> 20.477 modificó la competen</w:t>
      </w:r>
      <w:r w:rsidR="00747BBA" w:rsidRPr="00241DE4">
        <w:rPr>
          <w:rFonts w:cs="Calibri"/>
          <w:color w:val="000000"/>
          <w:sz w:val="23"/>
          <w:szCs w:val="23"/>
          <w:lang w:val="es-ES_tradnl"/>
        </w:rPr>
        <w:t>cia de los tribunales militares</w:t>
      </w:r>
      <w:r w:rsidR="00783DF3" w:rsidRPr="00241DE4">
        <w:rPr>
          <w:rFonts w:cs="Calibri"/>
          <w:color w:val="000000"/>
          <w:sz w:val="23"/>
          <w:szCs w:val="23"/>
          <w:lang w:val="es-ES_tradnl"/>
        </w:rPr>
        <w:t xml:space="preserve"> excluyendo a civiles y menores de edad de la jurisdicción militar cuando detentan la calidad de imputados de delitos conocidos por tribunales castrenses</w:t>
      </w:r>
      <w:r w:rsidRPr="00241DE4">
        <w:rPr>
          <w:rStyle w:val="FootnoteReference"/>
          <w:rFonts w:cs="Calibri"/>
          <w:color w:val="000000"/>
          <w:sz w:val="23"/>
          <w:szCs w:val="23"/>
          <w:lang w:val="es-ES_tradnl"/>
        </w:rPr>
        <w:footnoteReference w:id="11"/>
      </w:r>
      <w:r w:rsidRPr="00241DE4">
        <w:rPr>
          <w:rFonts w:cs="Calibri"/>
          <w:color w:val="000000"/>
          <w:sz w:val="23"/>
          <w:szCs w:val="23"/>
          <w:lang w:val="es-ES_tradnl"/>
        </w:rPr>
        <w:t xml:space="preserve">. </w:t>
      </w:r>
      <w:r w:rsidR="00783DF3" w:rsidRPr="00241DE4">
        <w:rPr>
          <w:rFonts w:cs="Calibri"/>
          <w:color w:val="000000"/>
          <w:sz w:val="23"/>
          <w:szCs w:val="23"/>
          <w:lang w:val="es-ES_tradnl"/>
        </w:rPr>
        <w:t>Sin embargo, ello solo constituyó un avance parcial puesto que se mantuvo radicado en la referida justicia militar el conocimiento de delitos cometidos por uniformados contra víctimas civiles, pese a que durante el debate legislativo diversos actores, inclusive la Corte Suprema, plantearon la necesidad de excluir de los tribunales militares a civiles y menores de edad tanto en calidad de imputados como de víctimas</w:t>
      </w:r>
      <w:r w:rsidRPr="00241DE4">
        <w:rPr>
          <w:rStyle w:val="FootnoteReference"/>
          <w:rFonts w:cs="Calibri"/>
          <w:color w:val="000000"/>
          <w:sz w:val="23"/>
          <w:szCs w:val="23"/>
          <w:lang w:val="es-ES_tradnl"/>
        </w:rPr>
        <w:footnoteReference w:id="12"/>
      </w:r>
      <w:r w:rsidRPr="00241DE4">
        <w:rPr>
          <w:rFonts w:cs="Calibri"/>
          <w:color w:val="000000"/>
          <w:sz w:val="23"/>
          <w:szCs w:val="23"/>
          <w:lang w:val="es-ES_tradnl"/>
        </w:rPr>
        <w:t xml:space="preserve">. </w:t>
      </w:r>
    </w:p>
    <w:p w14:paraId="2837CC0F" w14:textId="63D41F73" w:rsidR="00DC55FE" w:rsidRPr="00241DE4" w:rsidRDefault="00CF0E96" w:rsidP="00241DE4">
      <w:pPr>
        <w:widowControl w:val="0"/>
        <w:autoSpaceDE w:val="0"/>
        <w:autoSpaceDN w:val="0"/>
        <w:adjustRightInd w:val="0"/>
        <w:spacing w:after="120" w:line="240" w:lineRule="auto"/>
        <w:jc w:val="both"/>
        <w:rPr>
          <w:rFonts w:cs="Calibri"/>
          <w:color w:val="000000"/>
          <w:sz w:val="23"/>
          <w:szCs w:val="23"/>
          <w:lang w:val="es-ES_tradnl"/>
        </w:rPr>
      </w:pPr>
      <w:r>
        <w:rPr>
          <w:rFonts w:cs="Calibri"/>
          <w:b/>
          <w:color w:val="000000"/>
          <w:sz w:val="23"/>
          <w:szCs w:val="23"/>
          <w:lang w:val="es-ES_tradnl"/>
        </w:rPr>
        <w:t>24</w:t>
      </w:r>
      <w:r w:rsidR="00DC55FE" w:rsidRPr="00241DE4">
        <w:rPr>
          <w:rFonts w:cs="Calibri"/>
          <w:b/>
          <w:color w:val="000000"/>
          <w:sz w:val="23"/>
          <w:szCs w:val="23"/>
          <w:lang w:val="es-ES_tradnl"/>
        </w:rPr>
        <w:t>.</w:t>
      </w:r>
      <w:r w:rsidR="00DC55FE" w:rsidRPr="00241DE4">
        <w:rPr>
          <w:rFonts w:cs="Calibri"/>
          <w:color w:val="000000"/>
          <w:sz w:val="23"/>
          <w:szCs w:val="23"/>
          <w:lang w:val="es-ES_tradnl"/>
        </w:rPr>
        <w:t xml:space="preserve"> </w:t>
      </w:r>
      <w:r w:rsidR="00783DF3" w:rsidRPr="00241DE4">
        <w:rPr>
          <w:rFonts w:cs="Calibri"/>
          <w:color w:val="000000"/>
          <w:sz w:val="23"/>
          <w:szCs w:val="23"/>
          <w:lang w:val="es-ES_tradnl"/>
        </w:rPr>
        <w:t xml:space="preserve">De hecho, la propia Corte Interamericana de Derechos Humanos, en el marco del proceso de supervisión de cumplimiento a la sentencia dictada en el caso </w:t>
      </w:r>
      <w:r w:rsidR="00783DF3" w:rsidRPr="00241DE4">
        <w:rPr>
          <w:rFonts w:cs="Calibri"/>
          <w:i/>
          <w:iCs/>
          <w:color w:val="000000"/>
          <w:sz w:val="23"/>
          <w:szCs w:val="23"/>
          <w:lang w:val="es-ES_tradnl"/>
        </w:rPr>
        <w:t>Palamara Iribarne</w:t>
      </w:r>
      <w:r w:rsidR="00783DF3" w:rsidRPr="00241DE4">
        <w:rPr>
          <w:rFonts w:cs="Calibri"/>
          <w:color w:val="000000"/>
          <w:sz w:val="23"/>
          <w:szCs w:val="23"/>
          <w:lang w:val="es-ES_tradnl"/>
        </w:rPr>
        <w:t xml:space="preserve">, tomó conocimiento de la reforma sobre competencia de los tribunales militares </w:t>
      </w:r>
      <w:r w:rsidR="00783DF3" w:rsidRPr="00241DE4">
        <w:rPr>
          <w:rFonts w:cs="Calibri"/>
          <w:color w:val="000000"/>
          <w:sz w:val="23"/>
          <w:szCs w:val="23"/>
          <w:lang w:val="es-ES_tradnl"/>
        </w:rPr>
        <w:lastRenderedPageBreak/>
        <w:t>de</w:t>
      </w:r>
      <w:r w:rsidR="00747BBA" w:rsidRPr="00241DE4">
        <w:rPr>
          <w:rFonts w:cs="Calibri"/>
          <w:color w:val="000000"/>
          <w:sz w:val="23"/>
          <w:szCs w:val="23"/>
          <w:lang w:val="es-ES_tradnl"/>
        </w:rPr>
        <w:t>l año</w:t>
      </w:r>
      <w:r w:rsidR="00783DF3" w:rsidRPr="00241DE4">
        <w:rPr>
          <w:rFonts w:cs="Calibri"/>
          <w:color w:val="000000"/>
          <w:sz w:val="23"/>
          <w:szCs w:val="23"/>
          <w:lang w:val="es-ES_tradnl"/>
        </w:rPr>
        <w:t xml:space="preserve"> 2010 y, en julio de</w:t>
      </w:r>
      <w:r w:rsidR="00747BBA" w:rsidRPr="00241DE4">
        <w:rPr>
          <w:rFonts w:cs="Calibri"/>
          <w:color w:val="000000"/>
          <w:sz w:val="23"/>
          <w:szCs w:val="23"/>
          <w:lang w:val="es-ES_tradnl"/>
        </w:rPr>
        <w:t>l año</w:t>
      </w:r>
      <w:r w:rsidR="00783DF3" w:rsidRPr="00241DE4">
        <w:rPr>
          <w:rFonts w:cs="Calibri"/>
          <w:color w:val="000000"/>
          <w:sz w:val="23"/>
          <w:szCs w:val="23"/>
          <w:lang w:val="es-ES_tradnl"/>
        </w:rPr>
        <w:t xml:space="preserve"> 2011, destacó el “</w:t>
      </w:r>
      <w:r w:rsidR="00783DF3" w:rsidRPr="00241DE4">
        <w:rPr>
          <w:rFonts w:cs="Calibri"/>
          <w:i/>
          <w:iCs/>
          <w:color w:val="000000"/>
          <w:sz w:val="23"/>
          <w:szCs w:val="23"/>
          <w:lang w:val="es-ES_tradnl"/>
        </w:rPr>
        <w:t>avance que representa la aprobación de la ley 20.477 en el proceso de reforma de la justicia militar</w:t>
      </w:r>
      <w:r w:rsidR="00747BBA" w:rsidRPr="00241DE4">
        <w:rPr>
          <w:rFonts w:cs="Calibri"/>
          <w:color w:val="000000"/>
          <w:sz w:val="23"/>
          <w:szCs w:val="23"/>
          <w:lang w:val="es-ES_tradnl"/>
        </w:rPr>
        <w:t>”. No obstante, destacó</w:t>
      </w:r>
      <w:r w:rsidR="00783DF3" w:rsidRPr="00241DE4">
        <w:rPr>
          <w:rFonts w:cs="Calibri"/>
          <w:color w:val="000000"/>
          <w:sz w:val="23"/>
          <w:szCs w:val="23"/>
          <w:lang w:val="es-ES_tradnl"/>
        </w:rPr>
        <w:t xml:space="preserve"> que dicha modificación legal no constituye el cumplimiento cabal de las obligaciones impuestas al Estado de Chile y en atención al tiempo transcurrido desde la dictación de la sentencia –que a la fecha del mencionado proceso de supervisión era de más de cinco años– estimó que “</w:t>
      </w:r>
      <w:r w:rsidR="00783DF3" w:rsidRPr="00241DE4">
        <w:rPr>
          <w:rFonts w:cs="Calibri"/>
          <w:i/>
          <w:iCs/>
          <w:color w:val="000000"/>
          <w:sz w:val="23"/>
          <w:szCs w:val="23"/>
          <w:lang w:val="es-ES_tradnl"/>
        </w:rPr>
        <w:t>el proceso de cumplimiento de estas medidas de reparación se encuentra aún en una etapa inicial</w:t>
      </w:r>
      <w:r w:rsidR="00783DF3" w:rsidRPr="00241DE4">
        <w:rPr>
          <w:rFonts w:cs="Calibri"/>
          <w:color w:val="000000"/>
          <w:sz w:val="23"/>
          <w:szCs w:val="23"/>
          <w:lang w:val="es-ES_tradnl"/>
        </w:rPr>
        <w:t>”, por lo que definió mantener el caso abiert</w:t>
      </w:r>
      <w:r w:rsidR="00DC55FE" w:rsidRPr="00241DE4">
        <w:rPr>
          <w:rFonts w:cs="Calibri"/>
          <w:color w:val="000000"/>
          <w:sz w:val="23"/>
          <w:szCs w:val="23"/>
          <w:lang w:val="es-ES_tradnl"/>
        </w:rPr>
        <w:t>o</w:t>
      </w:r>
      <w:r w:rsidR="00DC55FE" w:rsidRPr="00241DE4">
        <w:rPr>
          <w:rStyle w:val="FootnoteReference"/>
          <w:rFonts w:cs="Calibri"/>
          <w:color w:val="000000"/>
          <w:sz w:val="23"/>
          <w:szCs w:val="23"/>
          <w:lang w:val="es-ES_tradnl"/>
        </w:rPr>
        <w:footnoteReference w:id="13"/>
      </w:r>
      <w:r w:rsidR="00DC55FE" w:rsidRPr="00241DE4">
        <w:rPr>
          <w:rFonts w:cs="Calibri"/>
          <w:color w:val="000000"/>
          <w:sz w:val="23"/>
          <w:szCs w:val="23"/>
          <w:lang w:val="es-ES_tradnl"/>
        </w:rPr>
        <w:t xml:space="preserve">. </w:t>
      </w:r>
    </w:p>
    <w:p w14:paraId="7F9C2A6C" w14:textId="0B996050" w:rsidR="00046117" w:rsidRPr="00241DE4" w:rsidRDefault="00CF0E96" w:rsidP="00241DE4">
      <w:pPr>
        <w:widowControl w:val="0"/>
        <w:autoSpaceDE w:val="0"/>
        <w:autoSpaceDN w:val="0"/>
        <w:adjustRightInd w:val="0"/>
        <w:spacing w:after="120" w:line="240" w:lineRule="auto"/>
        <w:jc w:val="both"/>
        <w:rPr>
          <w:rFonts w:cs="Calibri"/>
          <w:color w:val="000000"/>
          <w:sz w:val="23"/>
          <w:szCs w:val="23"/>
          <w:lang w:val="es-ES_tradnl"/>
        </w:rPr>
      </w:pPr>
      <w:r>
        <w:rPr>
          <w:rFonts w:cs="Calibri"/>
          <w:b/>
          <w:color w:val="000000"/>
          <w:sz w:val="23"/>
          <w:szCs w:val="23"/>
          <w:lang w:val="es-ES_tradnl"/>
        </w:rPr>
        <w:t>25</w:t>
      </w:r>
      <w:r w:rsidR="00DC55FE" w:rsidRPr="00241DE4">
        <w:rPr>
          <w:rFonts w:cs="Calibri"/>
          <w:b/>
          <w:color w:val="000000"/>
          <w:sz w:val="23"/>
          <w:szCs w:val="23"/>
          <w:lang w:val="es-ES_tradnl"/>
        </w:rPr>
        <w:t>.</w:t>
      </w:r>
      <w:r w:rsidR="00DC55FE" w:rsidRPr="00241DE4">
        <w:rPr>
          <w:rFonts w:cs="Calibri"/>
          <w:color w:val="000000"/>
          <w:sz w:val="23"/>
          <w:szCs w:val="23"/>
          <w:lang w:val="es-ES_tradnl"/>
        </w:rPr>
        <w:t xml:space="preserve"> </w:t>
      </w:r>
      <w:r w:rsidR="00783DF3" w:rsidRPr="00241DE4">
        <w:rPr>
          <w:rFonts w:cs="Calibri"/>
          <w:color w:val="000000"/>
          <w:sz w:val="23"/>
          <w:szCs w:val="23"/>
          <w:lang w:val="es-ES_tradnl"/>
        </w:rPr>
        <w:t>Posteriormente, en septiembre de</w:t>
      </w:r>
      <w:r w:rsidR="00747BBA" w:rsidRPr="00241DE4">
        <w:rPr>
          <w:rFonts w:cs="Calibri"/>
          <w:color w:val="000000"/>
          <w:sz w:val="23"/>
          <w:szCs w:val="23"/>
          <w:lang w:val="es-ES_tradnl"/>
        </w:rPr>
        <w:t>l año</w:t>
      </w:r>
      <w:r w:rsidR="00783DF3" w:rsidRPr="00241DE4">
        <w:rPr>
          <w:rFonts w:cs="Calibri"/>
          <w:color w:val="000000"/>
          <w:sz w:val="23"/>
          <w:szCs w:val="23"/>
          <w:lang w:val="es-ES_tradnl"/>
        </w:rPr>
        <w:t xml:space="preserve"> 2016, la Corte Interamericana –nuevamente en el marco del proceso de supervisión de cumplimiento a la antedicha sentencia– re</w:t>
      </w:r>
      <w:r w:rsidR="00E547A9" w:rsidRPr="00241DE4">
        <w:rPr>
          <w:rFonts w:cs="Calibri"/>
          <w:color w:val="000000"/>
          <w:sz w:val="23"/>
          <w:szCs w:val="23"/>
          <w:lang w:val="es-ES_tradnl"/>
        </w:rPr>
        <w:t>iteró la valoración de la Ley nº</w:t>
      </w:r>
      <w:r w:rsidR="00783DF3" w:rsidRPr="00241DE4">
        <w:rPr>
          <w:rFonts w:cs="Calibri"/>
          <w:color w:val="000000"/>
          <w:sz w:val="23"/>
          <w:szCs w:val="23"/>
          <w:lang w:val="es-ES_tradnl"/>
        </w:rPr>
        <w:t xml:space="preserve"> 20.477 que avanza “</w:t>
      </w:r>
      <w:r w:rsidR="00783DF3" w:rsidRPr="00241DE4">
        <w:rPr>
          <w:rFonts w:cs="Calibri"/>
          <w:i/>
          <w:iCs/>
          <w:color w:val="000000"/>
          <w:sz w:val="23"/>
          <w:szCs w:val="23"/>
          <w:lang w:val="es-ES_tradnl"/>
        </w:rPr>
        <w:t>en alguna medida, en excluir de la competencia de la jurisdicción militar el juzgamiento de civiles</w:t>
      </w:r>
      <w:r w:rsidR="00783DF3" w:rsidRPr="00241DE4">
        <w:rPr>
          <w:rFonts w:cs="Calibri"/>
          <w:color w:val="000000"/>
          <w:sz w:val="23"/>
          <w:szCs w:val="23"/>
          <w:lang w:val="es-ES_tradnl"/>
        </w:rPr>
        <w:t>”; pero insistiendo en su jurisprudencia previa en cuanto a que “</w:t>
      </w:r>
      <w:r w:rsidR="00783DF3" w:rsidRPr="00241DE4">
        <w:rPr>
          <w:rFonts w:cs="Calibri"/>
          <w:i/>
          <w:iCs/>
          <w:color w:val="000000"/>
          <w:sz w:val="23"/>
          <w:szCs w:val="23"/>
          <w:lang w:val="es-ES_tradnl"/>
        </w:rPr>
        <w:t>la jurisdicción penal militar debe estar encaminada a la protección de intereses jurídicos especiales, vinculados a las funciones propias de las fuerzas militares, limitarse solamente al conocimiento de delitos de función cometidos por militares en servicio activo, y que todas las vulneraciones de derechos humanos cometidas por militares contra civiles o militares deben ser conocidas en la jurisdicción ordinaria</w:t>
      </w:r>
      <w:r w:rsidR="00783DF3" w:rsidRPr="00241DE4">
        <w:rPr>
          <w:rFonts w:cs="Calibri"/>
          <w:color w:val="000000"/>
          <w:sz w:val="23"/>
          <w:szCs w:val="23"/>
          <w:lang w:val="es-ES_tradnl"/>
        </w:rPr>
        <w:t>”</w:t>
      </w:r>
      <w:r w:rsidR="00DC55FE" w:rsidRPr="00241DE4">
        <w:rPr>
          <w:rStyle w:val="FootnoteReference"/>
          <w:rFonts w:cs="Calibri"/>
          <w:color w:val="000000"/>
          <w:sz w:val="23"/>
          <w:szCs w:val="23"/>
          <w:lang w:val="es-ES_tradnl"/>
        </w:rPr>
        <w:footnoteReference w:id="14"/>
      </w:r>
      <w:r w:rsidR="00E547A9" w:rsidRPr="00241DE4">
        <w:rPr>
          <w:rFonts w:cs="Calibri"/>
          <w:color w:val="000000"/>
          <w:sz w:val="23"/>
          <w:szCs w:val="23"/>
          <w:lang w:val="es-ES_tradnl"/>
        </w:rPr>
        <w:t xml:space="preserve">. </w:t>
      </w:r>
    </w:p>
    <w:p w14:paraId="25145C4F" w14:textId="14FE8A60" w:rsidR="00783DF3" w:rsidRPr="00241DE4" w:rsidRDefault="00CF0E96" w:rsidP="00241DE4">
      <w:pPr>
        <w:widowControl w:val="0"/>
        <w:autoSpaceDE w:val="0"/>
        <w:autoSpaceDN w:val="0"/>
        <w:adjustRightInd w:val="0"/>
        <w:spacing w:after="120" w:line="240" w:lineRule="auto"/>
        <w:jc w:val="both"/>
        <w:rPr>
          <w:rFonts w:cs="Calibri"/>
          <w:color w:val="000000"/>
          <w:sz w:val="23"/>
          <w:szCs w:val="23"/>
          <w:lang w:val="es-ES_tradnl"/>
        </w:rPr>
      </w:pPr>
      <w:r>
        <w:rPr>
          <w:rFonts w:cs="Calibri"/>
          <w:b/>
          <w:color w:val="000000"/>
          <w:sz w:val="23"/>
          <w:szCs w:val="23"/>
          <w:lang w:val="es-ES_tradnl"/>
        </w:rPr>
        <w:t>26</w:t>
      </w:r>
      <w:r w:rsidR="00046117" w:rsidRPr="00241DE4">
        <w:rPr>
          <w:rFonts w:cs="Calibri"/>
          <w:b/>
          <w:color w:val="000000"/>
          <w:sz w:val="23"/>
          <w:szCs w:val="23"/>
          <w:lang w:val="es-ES_tradnl"/>
        </w:rPr>
        <w:t>.</w:t>
      </w:r>
      <w:r w:rsidR="00046117" w:rsidRPr="00241DE4">
        <w:rPr>
          <w:rFonts w:cs="Calibri"/>
          <w:color w:val="000000"/>
          <w:sz w:val="23"/>
          <w:szCs w:val="23"/>
          <w:lang w:val="es-ES_tradnl"/>
        </w:rPr>
        <w:t xml:space="preserve"> </w:t>
      </w:r>
      <w:r w:rsidR="00E547A9" w:rsidRPr="00241DE4">
        <w:rPr>
          <w:rFonts w:cs="Calibri"/>
          <w:color w:val="000000"/>
          <w:sz w:val="23"/>
          <w:szCs w:val="23"/>
          <w:lang w:val="es-ES_tradnl"/>
        </w:rPr>
        <w:t>Conforme a la referida Ley nº</w:t>
      </w:r>
      <w:r w:rsidR="00783DF3" w:rsidRPr="00241DE4">
        <w:rPr>
          <w:rFonts w:cs="Calibri"/>
          <w:color w:val="000000"/>
          <w:sz w:val="23"/>
          <w:szCs w:val="23"/>
          <w:lang w:val="es-ES_tradnl"/>
        </w:rPr>
        <w:t xml:space="preserve"> 20.477 de</w:t>
      </w:r>
      <w:r w:rsidR="00747BBA" w:rsidRPr="00241DE4">
        <w:rPr>
          <w:rFonts w:cs="Calibri"/>
          <w:color w:val="000000"/>
          <w:sz w:val="23"/>
          <w:szCs w:val="23"/>
          <w:lang w:val="es-ES_tradnl"/>
        </w:rPr>
        <w:t>l año</w:t>
      </w:r>
      <w:r w:rsidR="00783DF3" w:rsidRPr="00241DE4">
        <w:rPr>
          <w:rFonts w:cs="Calibri"/>
          <w:color w:val="000000"/>
          <w:sz w:val="23"/>
          <w:szCs w:val="23"/>
          <w:lang w:val="es-ES_tradnl"/>
        </w:rPr>
        <w:t xml:space="preserve"> 2010, en definitiva, se mantuvo la competencia militar respecto de un amplio conjunto de delitos definidos como delitos militares únicamente por el hecho de ser cometidos por uniformados, sin diferenciar entre delitos comunes y aquellos que corresponden propiamente a delitos de función militar. De ello deriva que los delitos cometidos por uniformados, incluyendo a funcionarios de Carabineros de Chile, aun en contra de víctimas civiles y/o menores de edad</w:t>
      </w:r>
      <w:r w:rsidR="0052363D" w:rsidRPr="00241DE4">
        <w:rPr>
          <w:rFonts w:cs="Calibri"/>
          <w:color w:val="000000"/>
          <w:sz w:val="23"/>
          <w:szCs w:val="23"/>
          <w:lang w:val="es-ES_tradnl"/>
        </w:rPr>
        <w:t xml:space="preserve">, </w:t>
      </w:r>
      <w:r w:rsidR="00783DF3" w:rsidRPr="00241DE4">
        <w:rPr>
          <w:rFonts w:cs="Calibri"/>
          <w:color w:val="000000"/>
          <w:sz w:val="23"/>
          <w:szCs w:val="23"/>
          <w:lang w:val="es-ES_tradnl"/>
        </w:rPr>
        <w:t xml:space="preserve">fueran igualmente investigados por tribunales militares y no por la justicia ordinaria. </w:t>
      </w:r>
      <w:r w:rsidR="00E547A9" w:rsidRPr="00241DE4">
        <w:rPr>
          <w:rFonts w:cs="Calibri"/>
          <w:color w:val="000000"/>
          <w:sz w:val="23"/>
          <w:szCs w:val="23"/>
          <w:lang w:val="es-ES_tradnl"/>
        </w:rPr>
        <w:t xml:space="preserve"> </w:t>
      </w:r>
    </w:p>
    <w:p w14:paraId="19260BE8" w14:textId="59AF06CF" w:rsidR="00783DF3" w:rsidRPr="00241DE4" w:rsidRDefault="00CF0E96" w:rsidP="00241DE4">
      <w:pPr>
        <w:widowControl w:val="0"/>
        <w:autoSpaceDE w:val="0"/>
        <w:autoSpaceDN w:val="0"/>
        <w:adjustRightInd w:val="0"/>
        <w:spacing w:after="120" w:line="240" w:lineRule="auto"/>
        <w:jc w:val="both"/>
        <w:rPr>
          <w:rFonts w:cs="Calibri"/>
          <w:color w:val="000000"/>
          <w:sz w:val="23"/>
          <w:szCs w:val="23"/>
          <w:lang w:val="es-ES_tradnl"/>
        </w:rPr>
      </w:pPr>
      <w:r>
        <w:rPr>
          <w:rFonts w:cs="Calibri"/>
          <w:b/>
          <w:color w:val="000000"/>
          <w:sz w:val="23"/>
          <w:szCs w:val="23"/>
          <w:lang w:val="es-ES_tradnl"/>
        </w:rPr>
        <w:t>27</w:t>
      </w:r>
      <w:r w:rsidR="002024C1" w:rsidRPr="00241DE4">
        <w:rPr>
          <w:rFonts w:cs="Calibri"/>
          <w:b/>
          <w:color w:val="000000"/>
          <w:sz w:val="23"/>
          <w:szCs w:val="23"/>
          <w:lang w:val="es-ES_tradnl"/>
        </w:rPr>
        <w:t>.</w:t>
      </w:r>
      <w:r w:rsidR="002024C1" w:rsidRPr="00241DE4">
        <w:rPr>
          <w:rFonts w:cs="Calibri"/>
          <w:color w:val="000000"/>
          <w:sz w:val="23"/>
          <w:szCs w:val="23"/>
          <w:lang w:val="es-ES_tradnl"/>
        </w:rPr>
        <w:t xml:space="preserve"> </w:t>
      </w:r>
      <w:r w:rsidR="00783DF3" w:rsidRPr="00241DE4">
        <w:rPr>
          <w:rFonts w:cs="Calibri"/>
          <w:color w:val="000000"/>
          <w:sz w:val="23"/>
          <w:szCs w:val="23"/>
          <w:lang w:val="es-ES_tradnl"/>
        </w:rPr>
        <w:t xml:space="preserve">Lo señalado presenta especial relevancia tratándose de denuncias de violencia policial o uso excesivo de la fuerza por parte de funcionarios de Carabineros de Chile, particularmente en el contexto de manifestaciones sociales y protestas. Estas denuncias se remiten principalmente a tribunales militares; cuya falta de imparcialidad determina altos niveles de impunidad de los delitos cometidos por carabineros y otros uniformados, tales como homicidios, lesiones, violencia innecesaria, apremios ilegítimos, violencia sexual, entre otros; o bien que se apliquen penas bajas que no dicen relación con la gravedad de los delitos. </w:t>
      </w:r>
    </w:p>
    <w:p w14:paraId="3BC80D48" w14:textId="1D6A16D6" w:rsidR="00693087" w:rsidRPr="00241DE4" w:rsidRDefault="00CF0E96" w:rsidP="00241DE4">
      <w:pPr>
        <w:widowControl w:val="0"/>
        <w:autoSpaceDE w:val="0"/>
        <w:autoSpaceDN w:val="0"/>
        <w:adjustRightInd w:val="0"/>
        <w:spacing w:after="120" w:line="240" w:lineRule="auto"/>
        <w:jc w:val="both"/>
        <w:rPr>
          <w:rFonts w:cs="Calibri"/>
          <w:color w:val="000000"/>
          <w:sz w:val="23"/>
          <w:szCs w:val="23"/>
          <w:lang w:val="es-ES_tradnl"/>
        </w:rPr>
      </w:pPr>
      <w:r>
        <w:rPr>
          <w:rFonts w:cs="Calibri"/>
          <w:b/>
          <w:color w:val="000000"/>
          <w:sz w:val="23"/>
          <w:szCs w:val="23"/>
          <w:lang w:val="es-ES_tradnl"/>
        </w:rPr>
        <w:t>28</w:t>
      </w:r>
      <w:r w:rsidR="002024C1" w:rsidRPr="00241DE4">
        <w:rPr>
          <w:rFonts w:cs="Calibri"/>
          <w:b/>
          <w:color w:val="000000"/>
          <w:sz w:val="23"/>
          <w:szCs w:val="23"/>
          <w:lang w:val="es-ES_tradnl"/>
        </w:rPr>
        <w:t>.</w:t>
      </w:r>
      <w:r w:rsidR="002024C1" w:rsidRPr="00241DE4">
        <w:rPr>
          <w:rFonts w:cs="Calibri"/>
          <w:color w:val="000000"/>
          <w:sz w:val="23"/>
          <w:szCs w:val="23"/>
          <w:lang w:val="es-ES_tradnl"/>
        </w:rPr>
        <w:t xml:space="preserve"> </w:t>
      </w:r>
      <w:r w:rsidR="00783DF3" w:rsidRPr="00241DE4">
        <w:rPr>
          <w:rFonts w:cs="Calibri"/>
          <w:color w:val="000000"/>
          <w:sz w:val="23"/>
          <w:szCs w:val="23"/>
          <w:lang w:val="es-ES_tradnl"/>
        </w:rPr>
        <w:t>Por otra parte, el incumplimiento de lo dispuesto por la sentencia de la Corte Interamericana de Derechos Humanos se expresa en la mantención del procedimiento judicial que aplican los tribunales militares, caracterizado por la falta de garantías judiciales, especialmente en relación a su falta de independencia e imparcialidad; y apartarse de los estándares propios del debido proceso, aspectos que no han sido reformados de ninguna forma. Al respecto, la propia Corte en su resolución de supervisión de cumplimiento más reciente (2016), reiteró que en la sentencia del año 2005 “</w:t>
      </w:r>
      <w:r w:rsidR="00783DF3" w:rsidRPr="00241DE4">
        <w:rPr>
          <w:rFonts w:cs="Calibri"/>
          <w:i/>
          <w:iCs/>
          <w:color w:val="000000"/>
          <w:sz w:val="23"/>
          <w:szCs w:val="23"/>
          <w:lang w:val="es-ES_tradnl"/>
        </w:rPr>
        <w:t xml:space="preserve">este Tribunal </w:t>
      </w:r>
      <w:r w:rsidR="00783DF3" w:rsidRPr="00241DE4">
        <w:rPr>
          <w:rFonts w:cs="Calibri"/>
          <w:i/>
          <w:iCs/>
          <w:color w:val="000000"/>
          <w:sz w:val="23"/>
          <w:szCs w:val="23"/>
          <w:lang w:val="es-ES_tradnl"/>
        </w:rPr>
        <w:lastRenderedPageBreak/>
        <w:t>también se pronunció sobre otras garantías del debido proceso que deberían tener los tribunales militares, tales como imparcialidad e independencia, publicidad del proceso y aquellas relacionadas con el derecho de defensa del imputado</w:t>
      </w:r>
      <w:r w:rsidR="00783DF3" w:rsidRPr="00241DE4">
        <w:rPr>
          <w:rFonts w:cs="Calibri"/>
          <w:color w:val="000000"/>
          <w:sz w:val="23"/>
          <w:szCs w:val="23"/>
          <w:lang w:val="es-ES_tradnl"/>
        </w:rPr>
        <w:t>” y señaló que “[r]</w:t>
      </w:r>
      <w:r w:rsidR="00783DF3" w:rsidRPr="00241DE4">
        <w:rPr>
          <w:rFonts w:cs="Calibri"/>
          <w:i/>
          <w:iCs/>
          <w:color w:val="000000"/>
          <w:sz w:val="23"/>
          <w:szCs w:val="23"/>
          <w:lang w:val="es-ES_tradnl"/>
        </w:rPr>
        <w:t>esulta grave que a más de diez años del dictado de la Sentencia el Estado no haya adoptado ninguna medida concreta para el cumplimiento de esta reparación</w:t>
      </w:r>
      <w:r w:rsidR="00783DF3" w:rsidRPr="00241DE4">
        <w:rPr>
          <w:rFonts w:cs="Calibri"/>
          <w:color w:val="000000"/>
          <w:sz w:val="23"/>
          <w:szCs w:val="23"/>
          <w:lang w:val="es-ES_tradnl"/>
        </w:rPr>
        <w:t>”</w:t>
      </w:r>
      <w:r w:rsidR="002024C1" w:rsidRPr="00241DE4">
        <w:rPr>
          <w:rStyle w:val="FootnoteReference"/>
          <w:rFonts w:cs="Calibri"/>
          <w:color w:val="000000"/>
          <w:sz w:val="23"/>
          <w:szCs w:val="23"/>
          <w:lang w:val="es-ES_tradnl"/>
        </w:rPr>
        <w:footnoteReference w:id="15"/>
      </w:r>
      <w:r w:rsidR="002024C1" w:rsidRPr="00241DE4">
        <w:rPr>
          <w:rFonts w:cs="Calibri"/>
          <w:color w:val="000000"/>
          <w:sz w:val="23"/>
          <w:szCs w:val="23"/>
          <w:lang w:val="es-ES_tradnl"/>
        </w:rPr>
        <w:t xml:space="preserve">. </w:t>
      </w:r>
    </w:p>
    <w:p w14:paraId="04B25D73" w14:textId="7578FD7E" w:rsidR="00783DF3" w:rsidRPr="00241DE4" w:rsidRDefault="00CF0E96" w:rsidP="00241DE4">
      <w:pPr>
        <w:widowControl w:val="0"/>
        <w:autoSpaceDE w:val="0"/>
        <w:autoSpaceDN w:val="0"/>
        <w:adjustRightInd w:val="0"/>
        <w:spacing w:after="120" w:line="240" w:lineRule="auto"/>
        <w:jc w:val="both"/>
        <w:rPr>
          <w:rFonts w:cs="Calibri"/>
          <w:color w:val="000000"/>
          <w:sz w:val="23"/>
          <w:szCs w:val="23"/>
          <w:lang w:val="es-ES_tradnl"/>
        </w:rPr>
      </w:pPr>
      <w:r>
        <w:rPr>
          <w:rFonts w:cs="Calibri"/>
          <w:b/>
          <w:color w:val="000000"/>
          <w:sz w:val="23"/>
          <w:szCs w:val="23"/>
          <w:lang w:val="es-ES_tradnl"/>
        </w:rPr>
        <w:t>29</w:t>
      </w:r>
      <w:r w:rsidR="002024C1" w:rsidRPr="00241DE4">
        <w:rPr>
          <w:rFonts w:cs="Calibri"/>
          <w:b/>
          <w:color w:val="000000"/>
          <w:sz w:val="23"/>
          <w:szCs w:val="23"/>
          <w:lang w:val="es-ES_tradnl"/>
        </w:rPr>
        <w:t>.</w:t>
      </w:r>
      <w:r w:rsidR="002024C1" w:rsidRPr="00241DE4">
        <w:rPr>
          <w:rFonts w:cs="Calibri"/>
          <w:color w:val="000000"/>
          <w:sz w:val="23"/>
          <w:szCs w:val="23"/>
          <w:lang w:val="es-ES_tradnl"/>
        </w:rPr>
        <w:t xml:space="preserve"> </w:t>
      </w:r>
      <w:r w:rsidR="00783DF3" w:rsidRPr="00241DE4">
        <w:rPr>
          <w:rFonts w:cs="Calibri"/>
          <w:color w:val="000000"/>
          <w:sz w:val="23"/>
          <w:szCs w:val="23"/>
          <w:lang w:val="es-ES_tradnl"/>
        </w:rPr>
        <w:t>Con posterioridad a la dictació</w:t>
      </w:r>
      <w:r w:rsidR="002024C1" w:rsidRPr="00241DE4">
        <w:rPr>
          <w:rFonts w:cs="Calibri"/>
          <w:color w:val="000000"/>
          <w:sz w:val="23"/>
          <w:szCs w:val="23"/>
          <w:lang w:val="es-ES_tradnl"/>
        </w:rPr>
        <w:t>n de la Ley nº 20.477</w:t>
      </w:r>
      <w:r w:rsidR="00783DF3" w:rsidRPr="00241DE4">
        <w:rPr>
          <w:rFonts w:cs="Calibri"/>
          <w:color w:val="000000"/>
          <w:sz w:val="23"/>
          <w:szCs w:val="23"/>
          <w:lang w:val="es-ES_tradnl"/>
        </w:rPr>
        <w:t>, se presentaron diversas iniciativas parlamentarias orientadas a avanzar en las reformas pendientes a la justicia militar</w:t>
      </w:r>
      <w:r w:rsidR="002024C1" w:rsidRPr="00241DE4">
        <w:rPr>
          <w:rStyle w:val="FootnoteReference"/>
          <w:rFonts w:cs="Calibri"/>
          <w:color w:val="000000"/>
          <w:sz w:val="23"/>
          <w:szCs w:val="23"/>
          <w:lang w:val="es-ES_tradnl"/>
        </w:rPr>
        <w:footnoteReference w:id="16"/>
      </w:r>
      <w:r w:rsidR="002024C1" w:rsidRPr="00241DE4">
        <w:rPr>
          <w:rFonts w:cs="Calibri"/>
          <w:color w:val="000000"/>
          <w:sz w:val="23"/>
          <w:szCs w:val="23"/>
          <w:lang w:val="es-ES_tradnl"/>
        </w:rPr>
        <w:t xml:space="preserve">. </w:t>
      </w:r>
      <w:r w:rsidR="00783DF3" w:rsidRPr="00241DE4">
        <w:rPr>
          <w:rFonts w:cs="Calibri"/>
          <w:color w:val="000000"/>
          <w:sz w:val="23"/>
          <w:szCs w:val="23"/>
          <w:lang w:val="es-ES_tradnl"/>
        </w:rPr>
        <w:t xml:space="preserve">Sin embargo, ninguna de ellas contó con el apoyo necesario para ser debatida y no se observan progresos en su tramitación. No </w:t>
      </w:r>
      <w:r w:rsidR="00E547A9" w:rsidRPr="00241DE4">
        <w:rPr>
          <w:rFonts w:cs="Calibri"/>
          <w:color w:val="000000"/>
          <w:sz w:val="23"/>
          <w:szCs w:val="23"/>
          <w:lang w:val="es-ES_tradnl"/>
        </w:rPr>
        <w:t>obstante ello, la Ley nº</w:t>
      </w:r>
      <w:r w:rsidR="002024C1" w:rsidRPr="00241DE4">
        <w:rPr>
          <w:rFonts w:cs="Calibri"/>
          <w:color w:val="000000"/>
          <w:sz w:val="23"/>
          <w:szCs w:val="23"/>
          <w:lang w:val="es-ES_tradnl"/>
        </w:rPr>
        <w:t xml:space="preserve"> 20.968, </w:t>
      </w:r>
      <w:r w:rsidR="00783DF3" w:rsidRPr="00241DE4">
        <w:rPr>
          <w:rFonts w:cs="Calibri"/>
          <w:color w:val="000000"/>
          <w:sz w:val="23"/>
          <w:szCs w:val="23"/>
          <w:lang w:val="es-ES_tradnl"/>
        </w:rPr>
        <w:t>que tipifica delitos de tortura y tratos crueles, inhumanos y degradantes, vigente desde noviembre de 2016 –como se ha señalado– incorpora una norma que modifica el artícul</w:t>
      </w:r>
      <w:r w:rsidR="00E547A9" w:rsidRPr="00241DE4">
        <w:rPr>
          <w:rFonts w:cs="Calibri"/>
          <w:color w:val="000000"/>
          <w:sz w:val="23"/>
          <w:szCs w:val="23"/>
          <w:lang w:val="es-ES_tradnl"/>
        </w:rPr>
        <w:t>o primero</w:t>
      </w:r>
      <w:r w:rsidR="002024C1" w:rsidRPr="00241DE4">
        <w:rPr>
          <w:rFonts w:cs="Calibri"/>
          <w:color w:val="000000"/>
          <w:sz w:val="23"/>
          <w:szCs w:val="23"/>
          <w:lang w:val="es-ES_tradnl"/>
        </w:rPr>
        <w:t xml:space="preserve"> de la ya mencionada Ley nº </w:t>
      </w:r>
      <w:r w:rsidR="00783DF3" w:rsidRPr="00241DE4">
        <w:rPr>
          <w:rFonts w:cs="Calibri"/>
          <w:color w:val="000000"/>
          <w:sz w:val="23"/>
          <w:szCs w:val="23"/>
          <w:lang w:val="es-ES_tradnl"/>
        </w:rPr>
        <w:t>20.477 de 2010, disponiendo expresamente que quedan fuera de la competencia de la justicia militar las personas civiles “</w:t>
      </w:r>
      <w:r w:rsidR="00783DF3" w:rsidRPr="00241DE4">
        <w:rPr>
          <w:rFonts w:cs="Calibri"/>
          <w:i/>
          <w:iCs/>
          <w:color w:val="000000"/>
          <w:sz w:val="23"/>
          <w:szCs w:val="23"/>
          <w:lang w:val="es-ES_tradnl"/>
        </w:rPr>
        <w:t>que revistan la calidad de víctimas o de imputados</w:t>
      </w:r>
      <w:r w:rsidR="00783DF3" w:rsidRPr="00241DE4">
        <w:rPr>
          <w:rFonts w:cs="Calibri"/>
          <w:color w:val="000000"/>
          <w:sz w:val="23"/>
          <w:szCs w:val="23"/>
          <w:lang w:val="es-ES_tradnl"/>
        </w:rPr>
        <w:t>”</w:t>
      </w:r>
      <w:r w:rsidR="002024C1" w:rsidRPr="00241DE4">
        <w:rPr>
          <w:rStyle w:val="FootnoteReference"/>
          <w:rFonts w:cs="Calibri"/>
          <w:color w:val="000000"/>
          <w:sz w:val="23"/>
          <w:szCs w:val="23"/>
          <w:lang w:val="es-ES_tradnl"/>
        </w:rPr>
        <w:footnoteReference w:id="17"/>
      </w:r>
      <w:r w:rsidR="002024C1" w:rsidRPr="00241DE4">
        <w:rPr>
          <w:rFonts w:cs="Calibri"/>
          <w:color w:val="000000"/>
          <w:sz w:val="23"/>
          <w:szCs w:val="23"/>
          <w:lang w:val="es-ES_tradnl"/>
        </w:rPr>
        <w:t xml:space="preserve">. </w:t>
      </w:r>
      <w:r w:rsidR="00783DF3" w:rsidRPr="00241DE4">
        <w:rPr>
          <w:rFonts w:cs="Calibri"/>
          <w:color w:val="000000"/>
          <w:sz w:val="23"/>
          <w:szCs w:val="23"/>
          <w:lang w:val="es-ES_tradnl"/>
        </w:rPr>
        <w:t xml:space="preserve">Al establecer la expresa incompetencia de la justicia militar respecto de los delitos cometidos por militares o carabineros en contra de víctimas civiles, se resuelven parcialmente algunas de las preocupaciones previamente señaladas puesto que, por ejemplo, a partir de ello las denuncias por violencia policial corresponde sean investigadas por la justicia ordinaria. </w:t>
      </w:r>
    </w:p>
    <w:p w14:paraId="49B7B388" w14:textId="0384641B" w:rsidR="00783DF3" w:rsidRPr="00241DE4" w:rsidRDefault="002024C1" w:rsidP="00241DE4">
      <w:pPr>
        <w:widowControl w:val="0"/>
        <w:autoSpaceDE w:val="0"/>
        <w:autoSpaceDN w:val="0"/>
        <w:adjustRightInd w:val="0"/>
        <w:spacing w:after="120" w:line="240" w:lineRule="auto"/>
        <w:jc w:val="both"/>
        <w:rPr>
          <w:rFonts w:cs="Calibri"/>
          <w:color w:val="000000"/>
          <w:sz w:val="23"/>
          <w:szCs w:val="23"/>
          <w:lang w:val="es-ES_tradnl"/>
        </w:rPr>
      </w:pPr>
      <w:r w:rsidRPr="00241DE4">
        <w:rPr>
          <w:rFonts w:cs="Calibri"/>
          <w:b/>
          <w:color w:val="000000"/>
          <w:sz w:val="23"/>
          <w:szCs w:val="23"/>
          <w:lang w:val="es-ES_tradnl"/>
        </w:rPr>
        <w:t>3</w:t>
      </w:r>
      <w:r w:rsidR="00CF0E96">
        <w:rPr>
          <w:rFonts w:cs="Calibri"/>
          <w:b/>
          <w:color w:val="000000"/>
          <w:sz w:val="23"/>
          <w:szCs w:val="23"/>
          <w:lang w:val="es-ES_tradnl"/>
        </w:rPr>
        <w:t>0</w:t>
      </w:r>
      <w:r w:rsidRPr="00241DE4">
        <w:rPr>
          <w:rFonts w:cs="Calibri"/>
          <w:b/>
          <w:color w:val="000000"/>
          <w:sz w:val="23"/>
          <w:szCs w:val="23"/>
          <w:lang w:val="es-ES_tradnl"/>
        </w:rPr>
        <w:t>.</w:t>
      </w:r>
      <w:r w:rsidRPr="00241DE4">
        <w:rPr>
          <w:rFonts w:cs="Calibri"/>
          <w:color w:val="000000"/>
          <w:sz w:val="23"/>
          <w:szCs w:val="23"/>
          <w:lang w:val="es-ES_tradnl"/>
        </w:rPr>
        <w:t xml:space="preserve"> </w:t>
      </w:r>
      <w:r w:rsidR="00783DF3" w:rsidRPr="00241DE4">
        <w:rPr>
          <w:rFonts w:cs="Calibri"/>
          <w:color w:val="000000"/>
          <w:sz w:val="23"/>
          <w:szCs w:val="23"/>
          <w:lang w:val="es-ES_tradnl"/>
        </w:rPr>
        <w:t>A partir de la antedicha reforma sobre ti</w:t>
      </w:r>
      <w:r w:rsidR="00693087" w:rsidRPr="00241DE4">
        <w:rPr>
          <w:rFonts w:cs="Calibri"/>
          <w:color w:val="000000"/>
          <w:sz w:val="23"/>
          <w:szCs w:val="23"/>
          <w:lang w:val="es-ES_tradnl"/>
        </w:rPr>
        <w:t>pificación de la tortura (Ley nº</w:t>
      </w:r>
      <w:r w:rsidR="00783DF3" w:rsidRPr="00241DE4">
        <w:rPr>
          <w:rFonts w:cs="Calibri"/>
          <w:color w:val="000000"/>
          <w:sz w:val="23"/>
          <w:szCs w:val="23"/>
          <w:lang w:val="es-ES_tradnl"/>
        </w:rPr>
        <w:t xml:space="preserve"> 20.968) se ha modificado la competencia personal de la justicia militar; sin embargo, se mantiene intacta la competencia material, que debe restringirse a delitos de función militar. Asi</w:t>
      </w:r>
      <w:r w:rsidR="00783DF3" w:rsidRPr="00241DE4">
        <w:rPr>
          <w:rFonts w:cs="Calibri"/>
          <w:color w:val="000000"/>
          <w:sz w:val="23"/>
          <w:szCs w:val="23"/>
          <w:lang w:val="es-ES_tradnl"/>
        </w:rPr>
        <w:lastRenderedPageBreak/>
        <w:t xml:space="preserve">mismo, permanece pendiente reformar el procedimiento aplicable de manera de garantizar independencia, imparcialidad y debido proceso. </w:t>
      </w:r>
    </w:p>
    <w:p w14:paraId="276F4F6F" w14:textId="77777777" w:rsidR="00693087" w:rsidRPr="00241DE4" w:rsidRDefault="00693087" w:rsidP="00241DE4">
      <w:pPr>
        <w:widowControl w:val="0"/>
        <w:autoSpaceDE w:val="0"/>
        <w:autoSpaceDN w:val="0"/>
        <w:adjustRightInd w:val="0"/>
        <w:spacing w:after="120" w:line="240" w:lineRule="auto"/>
        <w:jc w:val="both"/>
        <w:rPr>
          <w:rFonts w:cs="Calibri"/>
          <w:color w:val="000000"/>
          <w:sz w:val="23"/>
          <w:szCs w:val="23"/>
          <w:lang w:val="es-ES_tradnl"/>
        </w:rPr>
      </w:pPr>
    </w:p>
    <w:p w14:paraId="09010B92" w14:textId="77777777" w:rsidR="00CF0E96" w:rsidRPr="00446153" w:rsidRDefault="00CF0E96" w:rsidP="00241DE4">
      <w:pPr>
        <w:pStyle w:val="Prrafodelista1"/>
        <w:spacing w:after="120" w:line="240" w:lineRule="auto"/>
        <w:ind w:left="0"/>
        <w:contextualSpacing w:val="0"/>
        <w:jc w:val="both"/>
        <w:rPr>
          <w:rFonts w:cs="Calibri"/>
          <w:color w:val="000000"/>
          <w:sz w:val="23"/>
          <w:szCs w:val="23"/>
          <w:lang w:val="es-ES_tradnl"/>
        </w:rPr>
      </w:pPr>
    </w:p>
    <w:p w14:paraId="597EE297" w14:textId="77777777" w:rsidR="002A2168" w:rsidRPr="00446153" w:rsidRDefault="00693087" w:rsidP="00241DE4">
      <w:pPr>
        <w:pStyle w:val="Prrafodelista1"/>
        <w:spacing w:after="120" w:line="240" w:lineRule="auto"/>
        <w:ind w:left="0"/>
        <w:contextualSpacing w:val="0"/>
        <w:jc w:val="both"/>
        <w:rPr>
          <w:rFonts w:eastAsia="Times New Roman" w:cs="Calibri"/>
          <w:b/>
          <w:i/>
          <w:sz w:val="23"/>
          <w:szCs w:val="23"/>
          <w:lang w:eastAsia="es-ES"/>
        </w:rPr>
      </w:pPr>
      <w:r w:rsidRPr="00446153">
        <w:rPr>
          <w:rFonts w:eastAsia="Times New Roman" w:cs="Calibri"/>
          <w:b/>
          <w:i/>
          <w:sz w:val="23"/>
          <w:szCs w:val="23"/>
          <w:u w:val="single"/>
          <w:lang w:eastAsia="es-ES"/>
        </w:rPr>
        <w:t>Recomendacio</w:t>
      </w:r>
      <w:r w:rsidR="002A2168" w:rsidRPr="00446153">
        <w:rPr>
          <w:rFonts w:eastAsia="Times New Roman" w:cs="Calibri"/>
          <w:b/>
          <w:i/>
          <w:sz w:val="23"/>
          <w:szCs w:val="23"/>
          <w:u w:val="single"/>
          <w:lang w:eastAsia="es-ES"/>
        </w:rPr>
        <w:t>n</w:t>
      </w:r>
      <w:r w:rsidRPr="00446153">
        <w:rPr>
          <w:rFonts w:eastAsia="Times New Roman" w:cs="Calibri"/>
          <w:b/>
          <w:i/>
          <w:sz w:val="23"/>
          <w:szCs w:val="23"/>
          <w:u w:val="single"/>
          <w:lang w:eastAsia="es-ES"/>
        </w:rPr>
        <w:t>es</w:t>
      </w:r>
      <w:r w:rsidR="002A2168" w:rsidRPr="00446153">
        <w:rPr>
          <w:rFonts w:eastAsia="Times New Roman" w:cs="Calibri"/>
          <w:b/>
          <w:i/>
          <w:sz w:val="23"/>
          <w:szCs w:val="23"/>
          <w:lang w:eastAsia="es-ES"/>
        </w:rPr>
        <w:t>:</w:t>
      </w:r>
    </w:p>
    <w:p w14:paraId="2E9F1F75" w14:textId="77777777" w:rsidR="009F758F" w:rsidRPr="00446153" w:rsidRDefault="009F758F" w:rsidP="00241DE4">
      <w:pPr>
        <w:pStyle w:val="Prrafodelista1"/>
        <w:spacing w:after="120" w:line="240" w:lineRule="auto"/>
        <w:ind w:left="0"/>
        <w:contextualSpacing w:val="0"/>
        <w:jc w:val="both"/>
        <w:rPr>
          <w:rFonts w:eastAsia="Times New Roman" w:cs="Calibri"/>
          <w:b/>
          <w:i/>
          <w:sz w:val="23"/>
          <w:szCs w:val="23"/>
          <w:lang w:eastAsia="es-ES"/>
        </w:rPr>
      </w:pPr>
    </w:p>
    <w:p w14:paraId="4E68F6C1" w14:textId="77777777" w:rsidR="00E547A9" w:rsidRPr="00446153" w:rsidRDefault="00E547A9" w:rsidP="00241DE4">
      <w:pPr>
        <w:pStyle w:val="Prrafodelista1"/>
        <w:numPr>
          <w:ilvl w:val="0"/>
          <w:numId w:val="3"/>
        </w:numPr>
        <w:spacing w:after="120" w:line="240" w:lineRule="auto"/>
        <w:ind w:left="714" w:hanging="357"/>
        <w:contextualSpacing w:val="0"/>
        <w:jc w:val="both"/>
        <w:rPr>
          <w:rFonts w:eastAsia="Times New Roman" w:cs="Calibri"/>
          <w:b/>
          <w:sz w:val="23"/>
          <w:szCs w:val="23"/>
          <w:lang w:eastAsia="es-ES"/>
        </w:rPr>
      </w:pPr>
      <w:r w:rsidRPr="00446153">
        <w:rPr>
          <w:rFonts w:cs="Calibri"/>
          <w:b/>
          <w:color w:val="000000"/>
          <w:sz w:val="23"/>
          <w:szCs w:val="23"/>
          <w:lang w:val="es-ES_tradnl"/>
        </w:rPr>
        <w:t>Modificar el procedimiento penal por el cual se conocen, investigan y fallan las causas ante tribunales militares por carecer de las garantías judiciales necesarias para cumplir apropiadamente con el debido proceso.</w:t>
      </w:r>
    </w:p>
    <w:p w14:paraId="2BCF1BDD" w14:textId="486F2C6B" w:rsidR="00E547A9" w:rsidRPr="00446153" w:rsidRDefault="00E547A9" w:rsidP="00241DE4">
      <w:pPr>
        <w:pStyle w:val="Prrafodelista1"/>
        <w:numPr>
          <w:ilvl w:val="0"/>
          <w:numId w:val="3"/>
        </w:numPr>
        <w:spacing w:after="120" w:line="240" w:lineRule="auto"/>
        <w:ind w:left="714" w:hanging="357"/>
        <w:contextualSpacing w:val="0"/>
        <w:jc w:val="both"/>
        <w:rPr>
          <w:rFonts w:eastAsia="Times New Roman" w:cs="Calibri"/>
          <w:b/>
          <w:color w:val="000000"/>
          <w:sz w:val="23"/>
          <w:szCs w:val="23"/>
          <w:lang w:eastAsia="es-ES"/>
        </w:rPr>
      </w:pPr>
      <w:r w:rsidRPr="00446153">
        <w:rPr>
          <w:rFonts w:eastAsia="Times New Roman" w:cs="Calibri"/>
          <w:b/>
          <w:color w:val="000000"/>
          <w:sz w:val="23"/>
          <w:szCs w:val="23"/>
          <w:lang w:eastAsia="es-ES"/>
        </w:rPr>
        <w:t>Ti</w:t>
      </w:r>
      <w:r w:rsidR="00A24BA1" w:rsidRPr="00446153">
        <w:rPr>
          <w:rFonts w:eastAsia="Times New Roman" w:cs="Calibri"/>
          <w:b/>
          <w:color w:val="000000"/>
          <w:sz w:val="23"/>
          <w:szCs w:val="23"/>
          <w:lang w:eastAsia="es-ES"/>
        </w:rPr>
        <w:t>pificar y enunciar clara y rest</w:t>
      </w:r>
      <w:r w:rsidRPr="00446153">
        <w:rPr>
          <w:rFonts w:eastAsia="Times New Roman" w:cs="Calibri"/>
          <w:b/>
          <w:color w:val="000000"/>
          <w:sz w:val="23"/>
          <w:szCs w:val="23"/>
          <w:lang w:eastAsia="es-ES"/>
        </w:rPr>
        <w:t>r</w:t>
      </w:r>
      <w:r w:rsidR="00A24BA1" w:rsidRPr="00446153">
        <w:rPr>
          <w:rFonts w:eastAsia="Times New Roman" w:cs="Calibri"/>
          <w:b/>
          <w:color w:val="000000"/>
          <w:sz w:val="23"/>
          <w:szCs w:val="23"/>
          <w:lang w:eastAsia="es-ES"/>
        </w:rPr>
        <w:t>ingidament</w:t>
      </w:r>
      <w:r w:rsidRPr="00446153">
        <w:rPr>
          <w:rFonts w:eastAsia="Times New Roman" w:cs="Calibri"/>
          <w:b/>
          <w:color w:val="000000"/>
          <w:sz w:val="23"/>
          <w:szCs w:val="23"/>
          <w:lang w:eastAsia="es-ES"/>
        </w:rPr>
        <w:t xml:space="preserve">e los delitos de la función militar. </w:t>
      </w:r>
    </w:p>
    <w:p w14:paraId="2CEF2B6C" w14:textId="77777777" w:rsidR="00236D63" w:rsidRPr="00446153" w:rsidRDefault="00236D63" w:rsidP="00241DE4">
      <w:pPr>
        <w:spacing w:after="120" w:line="240" w:lineRule="auto"/>
        <w:jc w:val="both"/>
        <w:rPr>
          <w:rFonts w:cs="Calibri"/>
          <w:b/>
          <w:color w:val="000000"/>
          <w:sz w:val="23"/>
          <w:szCs w:val="23"/>
        </w:rPr>
      </w:pPr>
    </w:p>
    <w:p w14:paraId="436CA748"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Alegaciones de tortura en la actualidad</w:t>
      </w:r>
    </w:p>
    <w:p w14:paraId="24E79BB2" w14:textId="77777777" w:rsidR="00241DE4" w:rsidRPr="00446153" w:rsidRDefault="00241DE4" w:rsidP="00241DE4">
      <w:pPr>
        <w:spacing w:after="120" w:line="240" w:lineRule="auto"/>
        <w:jc w:val="both"/>
        <w:rPr>
          <w:rFonts w:cs="Calibri"/>
          <w:b/>
          <w:color w:val="000000"/>
          <w:sz w:val="23"/>
          <w:szCs w:val="23"/>
        </w:rPr>
      </w:pPr>
    </w:p>
    <w:p w14:paraId="3A5A3F43" w14:textId="250BFB74" w:rsidR="002A2168" w:rsidRPr="00241DE4" w:rsidRDefault="00CF0E96" w:rsidP="00241DE4">
      <w:pPr>
        <w:spacing w:after="120" w:line="240" w:lineRule="auto"/>
        <w:jc w:val="both"/>
        <w:rPr>
          <w:rFonts w:eastAsia="Times New Roman" w:cs="Calibri"/>
          <w:sz w:val="23"/>
          <w:szCs w:val="23"/>
          <w:lang w:eastAsia="es-ES"/>
        </w:rPr>
      </w:pPr>
      <w:r>
        <w:rPr>
          <w:rFonts w:eastAsia="Times New Roman" w:cs="Calibri"/>
          <w:b/>
          <w:sz w:val="23"/>
          <w:szCs w:val="23"/>
          <w:lang w:eastAsia="es-ES"/>
        </w:rPr>
        <w:t>32</w:t>
      </w:r>
      <w:r w:rsidR="002A2168" w:rsidRPr="00241DE4">
        <w:rPr>
          <w:rFonts w:eastAsia="Times New Roman" w:cs="Calibri"/>
          <w:b/>
          <w:sz w:val="23"/>
          <w:szCs w:val="23"/>
          <w:lang w:eastAsia="es-ES"/>
        </w:rPr>
        <w:t>.</w:t>
      </w:r>
      <w:r w:rsidR="002A2168" w:rsidRPr="00241DE4">
        <w:rPr>
          <w:rFonts w:eastAsia="Times New Roman" w:cs="Calibri"/>
          <w:sz w:val="23"/>
          <w:szCs w:val="23"/>
          <w:lang w:eastAsia="es-ES"/>
        </w:rPr>
        <w:t xml:space="preserve"> En</w:t>
      </w:r>
      <w:r w:rsidR="00693087" w:rsidRPr="00241DE4">
        <w:rPr>
          <w:rFonts w:eastAsia="Times New Roman" w:cs="Calibri"/>
          <w:sz w:val="23"/>
          <w:szCs w:val="23"/>
          <w:lang w:eastAsia="es-ES"/>
        </w:rPr>
        <w:t xml:space="preserve"> el año</w:t>
      </w:r>
      <w:r w:rsidR="002A2168" w:rsidRPr="00241DE4">
        <w:rPr>
          <w:rFonts w:eastAsia="Times New Roman" w:cs="Calibri"/>
          <w:sz w:val="23"/>
          <w:szCs w:val="23"/>
          <w:lang w:eastAsia="es-ES"/>
        </w:rPr>
        <w:t xml:space="preserve"> 2009 el Comité contra la Tortura expresó su preocupación frente a que "</w:t>
      </w:r>
      <w:r w:rsidR="002A2168" w:rsidRPr="00241DE4">
        <w:rPr>
          <w:rFonts w:eastAsia="Times New Roman" w:cs="Calibri"/>
          <w:i/>
          <w:sz w:val="23"/>
          <w:szCs w:val="23"/>
          <w:lang w:eastAsia="es-ES"/>
        </w:rPr>
        <w:t>sigan recibiéndose alegaciones de delitos graves cometidos por agentes policiales en el desarrollo de sus funciones y lamenta las restricciones legales a la publicidad de tales actos en la actualidad, lo cual contribuye a que esos delitos permanezcan impunes</w:t>
      </w:r>
      <w:r w:rsidR="002A2168" w:rsidRPr="00241DE4">
        <w:rPr>
          <w:rFonts w:eastAsia="Times New Roman" w:cs="Calibri"/>
          <w:sz w:val="23"/>
          <w:szCs w:val="23"/>
          <w:lang w:eastAsia="es-ES"/>
        </w:rPr>
        <w:t>", por lo que recomendó "</w:t>
      </w:r>
      <w:r w:rsidR="002A2168" w:rsidRPr="00241DE4">
        <w:rPr>
          <w:rFonts w:eastAsia="Times New Roman" w:cs="Calibri"/>
          <w:i/>
          <w:sz w:val="23"/>
          <w:szCs w:val="23"/>
          <w:lang w:eastAsia="es-ES"/>
        </w:rPr>
        <w:t xml:space="preserve">al Estado parte </w:t>
      </w:r>
      <w:r w:rsidR="002A2168" w:rsidRPr="00241DE4">
        <w:rPr>
          <w:rFonts w:cs="Calibri"/>
          <w:i/>
          <w:sz w:val="23"/>
          <w:szCs w:val="23"/>
        </w:rPr>
        <w:t>que introduzca reformas legislativas en relación al control de las fuerzas policiales lo antes posible, con miras a garantizar que ningún acto de éstas contrario a la Convención permanezca impune y que las investigaciones correspondientes sean efectivas y transparentes. El Estado parte debe reforzar los programas educativos para lograr que todos los agentes de las fuerzas del orden tengan plena conciencia de las disposiciones de la Convención</w:t>
      </w:r>
      <w:r w:rsidR="002A2168" w:rsidRPr="00241DE4">
        <w:rPr>
          <w:rFonts w:eastAsia="Times New Roman" w:cs="Calibri"/>
          <w:sz w:val="23"/>
          <w:szCs w:val="23"/>
          <w:lang w:eastAsia="es-ES"/>
        </w:rPr>
        <w:t>" (párrafo 13).</w:t>
      </w:r>
    </w:p>
    <w:p w14:paraId="3339B978" w14:textId="23E0C54A" w:rsidR="002A2168" w:rsidRPr="00241DE4" w:rsidRDefault="00CF0E96" w:rsidP="00241DE4">
      <w:pPr>
        <w:spacing w:after="120" w:line="240" w:lineRule="auto"/>
        <w:jc w:val="both"/>
        <w:rPr>
          <w:rFonts w:cs="Calibri"/>
          <w:sz w:val="23"/>
          <w:szCs w:val="23"/>
        </w:rPr>
      </w:pPr>
      <w:r>
        <w:rPr>
          <w:rFonts w:cs="Calibri"/>
          <w:b/>
          <w:sz w:val="23"/>
          <w:szCs w:val="23"/>
        </w:rPr>
        <w:t>32</w:t>
      </w:r>
      <w:r w:rsidR="002A2168" w:rsidRPr="00241DE4">
        <w:rPr>
          <w:rFonts w:cs="Calibri"/>
          <w:b/>
          <w:sz w:val="23"/>
          <w:szCs w:val="23"/>
        </w:rPr>
        <w:t>.</w:t>
      </w:r>
      <w:r w:rsidR="002A2168" w:rsidRPr="00241DE4">
        <w:rPr>
          <w:rFonts w:cs="Calibri"/>
          <w:sz w:val="23"/>
          <w:szCs w:val="23"/>
        </w:rPr>
        <w:t xml:space="preserve"> Una importante cantidad de personas detenidas con ocasión de protestas ciudadanas que se han estado verificando a lo</w:t>
      </w:r>
      <w:r w:rsidR="000C08FE" w:rsidRPr="00241DE4">
        <w:rPr>
          <w:rFonts w:cs="Calibri"/>
          <w:sz w:val="23"/>
          <w:szCs w:val="23"/>
        </w:rPr>
        <w:t xml:space="preserve"> largo de Chile</w:t>
      </w:r>
      <w:r w:rsidR="002A2168" w:rsidRPr="00241DE4">
        <w:rPr>
          <w:rFonts w:cs="Calibri"/>
          <w:sz w:val="23"/>
          <w:szCs w:val="23"/>
        </w:rPr>
        <w:t xml:space="preserve"> alegan haber sido víctimas de tortura u otros tratos crueles, inhumanos o degradantes. Se ha constatado en este contexto la existencia de un patrón de violencia sexual policial ejercido en contra de niñas, adolescentes y mujeres manifestantes. Ninguno de los poderes del Estado ha tomado medidas al respecto para prevenir, perseguir, sancionar y erradicar la violencia sexual policial contra las niñas, adolescentes y mujeres en el marco de las manifestaciones </w:t>
      </w:r>
      <w:r w:rsidR="0052363D" w:rsidRPr="00241DE4">
        <w:rPr>
          <w:rFonts w:cs="Calibri"/>
          <w:sz w:val="23"/>
          <w:szCs w:val="23"/>
        </w:rPr>
        <w:t>sociales</w:t>
      </w:r>
      <w:r w:rsidR="002A2168" w:rsidRPr="00241DE4">
        <w:rPr>
          <w:rFonts w:cs="Calibri"/>
          <w:sz w:val="23"/>
          <w:szCs w:val="23"/>
        </w:rPr>
        <w:t xml:space="preserve">, ni han dado información oficial </w:t>
      </w:r>
      <w:r w:rsidR="00F6215D" w:rsidRPr="00241DE4">
        <w:rPr>
          <w:rFonts w:cs="Calibri"/>
          <w:sz w:val="23"/>
          <w:szCs w:val="23"/>
        </w:rPr>
        <w:t xml:space="preserve">al respecto. </w:t>
      </w:r>
    </w:p>
    <w:p w14:paraId="488CF90D" w14:textId="182CEA78" w:rsidR="00B43B15" w:rsidRPr="00241DE4" w:rsidRDefault="00CF0E96" w:rsidP="00241DE4">
      <w:pPr>
        <w:spacing w:after="120" w:line="240" w:lineRule="auto"/>
        <w:jc w:val="both"/>
        <w:rPr>
          <w:rFonts w:eastAsia="Times New Roman" w:cs="Calibri"/>
          <w:sz w:val="23"/>
          <w:szCs w:val="23"/>
          <w:lang w:eastAsia="es-ES"/>
        </w:rPr>
      </w:pPr>
      <w:r>
        <w:rPr>
          <w:rFonts w:cs="Calibri"/>
          <w:b/>
          <w:sz w:val="23"/>
          <w:szCs w:val="23"/>
        </w:rPr>
        <w:t>33</w:t>
      </w:r>
      <w:r w:rsidR="00B43B15" w:rsidRPr="00241DE4">
        <w:rPr>
          <w:rFonts w:cs="Calibri"/>
          <w:b/>
          <w:sz w:val="23"/>
          <w:szCs w:val="23"/>
        </w:rPr>
        <w:t xml:space="preserve">. </w:t>
      </w:r>
      <w:r w:rsidR="00B43B15" w:rsidRPr="00241DE4">
        <w:rPr>
          <w:rFonts w:cs="Calibri"/>
          <w:sz w:val="23"/>
          <w:szCs w:val="23"/>
        </w:rPr>
        <w:t>Carabineros de Chile dictó un protocolo de actuación en casos de Mantenimiento del Orden Público</w:t>
      </w:r>
      <w:r w:rsidR="00B43B15" w:rsidRPr="00241DE4">
        <w:rPr>
          <w:rStyle w:val="FootnoteReference"/>
          <w:rFonts w:cs="Calibri"/>
          <w:sz w:val="23"/>
          <w:szCs w:val="23"/>
        </w:rPr>
        <w:footnoteReference w:id="18"/>
      </w:r>
      <w:r w:rsidR="00B43B15" w:rsidRPr="00241DE4">
        <w:rPr>
          <w:rFonts w:cs="Calibri"/>
          <w:sz w:val="23"/>
          <w:szCs w:val="23"/>
        </w:rPr>
        <w:t>, que tiene un acápite en materia de detención de niños, niñas y adolescentes que no ha tenido consecuencias en la forma cómo se detiene y trata a menores de edad involucrados en manifestaciones sociales.</w:t>
      </w:r>
      <w:r w:rsidR="00B43B15" w:rsidRPr="00241DE4">
        <w:rPr>
          <w:rFonts w:cs="Calibri"/>
          <w:b/>
          <w:sz w:val="23"/>
          <w:szCs w:val="23"/>
        </w:rPr>
        <w:t xml:space="preserve"> </w:t>
      </w:r>
    </w:p>
    <w:p w14:paraId="633B33FF" w14:textId="3DFE13A9" w:rsidR="00B43B15" w:rsidRPr="00241DE4" w:rsidRDefault="00CF0E96" w:rsidP="00241DE4">
      <w:pPr>
        <w:spacing w:after="120" w:line="240" w:lineRule="auto"/>
        <w:jc w:val="both"/>
        <w:rPr>
          <w:rFonts w:cs="Calibri"/>
          <w:sz w:val="23"/>
          <w:szCs w:val="23"/>
        </w:rPr>
      </w:pPr>
      <w:r>
        <w:rPr>
          <w:rFonts w:cs="Calibri"/>
          <w:b/>
          <w:sz w:val="23"/>
          <w:szCs w:val="23"/>
          <w:lang w:val="es-ES"/>
        </w:rPr>
        <w:t>34</w:t>
      </w:r>
      <w:r w:rsidR="00B43B15" w:rsidRPr="00241DE4">
        <w:rPr>
          <w:rFonts w:cs="Calibri"/>
          <w:b/>
          <w:sz w:val="23"/>
          <w:szCs w:val="23"/>
          <w:lang w:val="es-ES"/>
        </w:rPr>
        <w:t>.</w:t>
      </w:r>
      <w:r w:rsidR="00B43B15" w:rsidRPr="00241DE4">
        <w:rPr>
          <w:rFonts w:cs="Calibri"/>
          <w:sz w:val="23"/>
          <w:szCs w:val="23"/>
          <w:lang w:val="es-ES"/>
        </w:rPr>
        <w:t xml:space="preserve"> También se ha constatado la existencia de prácticas de torturas hacia niñas, niños y/o adolescentes en procesos de investigación de presuntos delitos por parte de la Po</w:t>
      </w:r>
      <w:r w:rsidR="00B43B15" w:rsidRPr="00241DE4">
        <w:rPr>
          <w:rFonts w:cs="Calibri"/>
          <w:sz w:val="23"/>
          <w:szCs w:val="23"/>
          <w:lang w:val="es-ES"/>
        </w:rPr>
        <w:lastRenderedPageBreak/>
        <w:t xml:space="preserve">licía de Investigaciones y de Carabineros de Chile, siendo usual los golpes, el ahogamiento en la taza del excusado, la permanencia durante largas horas de pie, la no autorización para usar baños, las amenazas con armas de fuego, etc. </w:t>
      </w:r>
    </w:p>
    <w:p w14:paraId="7146BA64" w14:textId="0F4A2D67" w:rsidR="00317409" w:rsidRPr="00241DE4" w:rsidRDefault="00CF0E96" w:rsidP="00241DE4">
      <w:pPr>
        <w:spacing w:after="120" w:line="240" w:lineRule="auto"/>
        <w:jc w:val="both"/>
        <w:rPr>
          <w:rFonts w:cs="Calibri"/>
          <w:sz w:val="23"/>
          <w:szCs w:val="23"/>
        </w:rPr>
      </w:pPr>
      <w:r>
        <w:rPr>
          <w:rFonts w:cs="Calibri"/>
          <w:b/>
          <w:sz w:val="23"/>
          <w:szCs w:val="23"/>
        </w:rPr>
        <w:t>35</w:t>
      </w:r>
      <w:r w:rsidR="00317409" w:rsidRPr="00241DE4">
        <w:rPr>
          <w:rFonts w:cs="Calibri"/>
          <w:b/>
          <w:sz w:val="23"/>
          <w:szCs w:val="23"/>
        </w:rPr>
        <w:t>.</w:t>
      </w:r>
      <w:r w:rsidR="00317409" w:rsidRPr="00241DE4">
        <w:rPr>
          <w:rFonts w:cs="Calibri"/>
          <w:sz w:val="23"/>
          <w:szCs w:val="23"/>
        </w:rPr>
        <w:t xml:space="preserve"> </w:t>
      </w:r>
      <w:r w:rsidR="00693087" w:rsidRPr="00241DE4">
        <w:rPr>
          <w:rFonts w:cs="Calibri"/>
          <w:sz w:val="23"/>
          <w:szCs w:val="23"/>
        </w:rPr>
        <w:t>L</w:t>
      </w:r>
      <w:r w:rsidR="00317409" w:rsidRPr="00241DE4">
        <w:rPr>
          <w:rFonts w:cs="Calibri"/>
          <w:sz w:val="23"/>
          <w:szCs w:val="23"/>
        </w:rPr>
        <w:t>a tortura en Chile, al igual que en otros países, tiene un componente de violencia de género, que se manifiesta en el ejercicio preferente de violencia sexual y sexualizada</w:t>
      </w:r>
      <w:r w:rsidR="00317409" w:rsidRPr="00241DE4">
        <w:rPr>
          <w:rStyle w:val="FootnoteReference"/>
          <w:rFonts w:cs="Calibri"/>
          <w:sz w:val="23"/>
          <w:szCs w:val="23"/>
        </w:rPr>
        <w:footnoteReference w:id="19"/>
      </w:r>
      <w:r w:rsidR="00317409" w:rsidRPr="00241DE4">
        <w:rPr>
          <w:rFonts w:cs="Calibri"/>
          <w:sz w:val="23"/>
          <w:szCs w:val="23"/>
        </w:rPr>
        <w:t xml:space="preserve"> en contra de mujeres y niñas que rompen con los estereotipos y roles de género tradicionalmente impuestos en sociedades conservadoras y patriarcales. Estas prácticas no sólo tienen por objeto someter y dañar la identidad de estas sujetas, sino que también restablecer los roles tradici</w:t>
      </w:r>
      <w:r w:rsidR="00693087" w:rsidRPr="00241DE4">
        <w:rPr>
          <w:rFonts w:cs="Calibri"/>
          <w:sz w:val="23"/>
          <w:szCs w:val="23"/>
        </w:rPr>
        <w:t>onales del género que le asigna</w:t>
      </w:r>
      <w:r w:rsidR="00317409" w:rsidRPr="00241DE4">
        <w:rPr>
          <w:rFonts w:cs="Calibri"/>
          <w:sz w:val="23"/>
          <w:szCs w:val="23"/>
        </w:rPr>
        <w:t xml:space="preserve"> a las mujeres un mandato de pasividad. Este componente en la tortura se reconoció por primera vez en los juicios para Ruanda y la Ex Yugoslavia en la década del 90’, lo cual fue recogido posteriormente por el Estatuto de la Corte Penal Internacional</w:t>
      </w:r>
      <w:r w:rsidR="00317409" w:rsidRPr="00241DE4">
        <w:rPr>
          <w:rStyle w:val="FootnoteReference"/>
          <w:rFonts w:cs="Calibri"/>
          <w:sz w:val="23"/>
          <w:szCs w:val="23"/>
        </w:rPr>
        <w:footnoteReference w:id="20"/>
      </w:r>
      <w:r w:rsidR="00317409" w:rsidRPr="00241DE4">
        <w:rPr>
          <w:rFonts w:cs="Calibri"/>
          <w:sz w:val="23"/>
          <w:szCs w:val="23"/>
        </w:rPr>
        <w:t xml:space="preserve"> como una categoría de crimen de lesa humanidad distinta a la tortura</w:t>
      </w:r>
      <w:r w:rsidR="00317409" w:rsidRPr="00241DE4">
        <w:rPr>
          <w:rStyle w:val="FootnoteReference"/>
          <w:rFonts w:cs="Calibri"/>
          <w:sz w:val="23"/>
          <w:szCs w:val="23"/>
        </w:rPr>
        <w:footnoteReference w:id="21"/>
      </w:r>
      <w:r w:rsidR="00317409" w:rsidRPr="00241DE4">
        <w:rPr>
          <w:rFonts w:cs="Calibri"/>
          <w:sz w:val="23"/>
          <w:szCs w:val="23"/>
        </w:rPr>
        <w:t>, y más tarde se ha reconocido en diversos fallos de la Corte Interamericana de Derechos Humanos</w:t>
      </w:r>
      <w:r w:rsidR="00317409" w:rsidRPr="00241DE4">
        <w:rPr>
          <w:rStyle w:val="FootnoteReference"/>
          <w:rFonts w:cs="Calibri"/>
          <w:sz w:val="23"/>
          <w:szCs w:val="23"/>
        </w:rPr>
        <w:footnoteReference w:id="22"/>
      </w:r>
      <w:r w:rsidR="00317409" w:rsidRPr="00241DE4">
        <w:rPr>
          <w:rFonts w:cs="Calibri"/>
          <w:sz w:val="23"/>
          <w:szCs w:val="23"/>
        </w:rPr>
        <w:t xml:space="preserve">. </w:t>
      </w:r>
    </w:p>
    <w:p w14:paraId="416978BA" w14:textId="7A9EBE34" w:rsidR="00317409" w:rsidRPr="00241DE4" w:rsidRDefault="00CF0E96" w:rsidP="00241DE4">
      <w:pPr>
        <w:spacing w:after="120" w:line="240" w:lineRule="auto"/>
        <w:jc w:val="both"/>
        <w:rPr>
          <w:rFonts w:cs="Calibri"/>
          <w:sz w:val="23"/>
          <w:szCs w:val="23"/>
        </w:rPr>
      </w:pPr>
      <w:r>
        <w:rPr>
          <w:rFonts w:cs="Calibri"/>
          <w:b/>
          <w:sz w:val="23"/>
          <w:szCs w:val="23"/>
        </w:rPr>
        <w:t>36</w:t>
      </w:r>
      <w:r w:rsidR="00317409" w:rsidRPr="00241DE4">
        <w:rPr>
          <w:rFonts w:cs="Calibri"/>
          <w:b/>
          <w:sz w:val="23"/>
          <w:szCs w:val="23"/>
        </w:rPr>
        <w:t>.</w:t>
      </w:r>
      <w:r w:rsidR="00317409" w:rsidRPr="00241DE4">
        <w:rPr>
          <w:rFonts w:cs="Calibri"/>
          <w:sz w:val="23"/>
          <w:szCs w:val="23"/>
        </w:rPr>
        <w:t xml:space="preserve"> En Chile, el Informe de la Comisión Nacional sobre Prisión Política y Tortura reconoció que el aparato Estatal ejerció de forma sistemática y generalizada violencia sexual como forma de tortura, preferente</w:t>
      </w:r>
      <w:r w:rsidR="0052363D" w:rsidRPr="00241DE4">
        <w:rPr>
          <w:rFonts w:cs="Calibri"/>
          <w:sz w:val="23"/>
          <w:szCs w:val="23"/>
        </w:rPr>
        <w:t>mente</w:t>
      </w:r>
      <w:r w:rsidR="00317409" w:rsidRPr="00241DE4">
        <w:rPr>
          <w:rFonts w:cs="Calibri"/>
          <w:sz w:val="23"/>
          <w:szCs w:val="23"/>
        </w:rPr>
        <w:t xml:space="preserve"> en contra de mujeres y adolescentes</w:t>
      </w:r>
      <w:r w:rsidR="00317409" w:rsidRPr="00241DE4">
        <w:rPr>
          <w:rStyle w:val="FootnoteReference"/>
          <w:rFonts w:cs="Calibri"/>
          <w:sz w:val="23"/>
          <w:szCs w:val="23"/>
        </w:rPr>
        <w:footnoteReference w:id="23"/>
      </w:r>
      <w:r w:rsidR="00317409" w:rsidRPr="00241DE4">
        <w:rPr>
          <w:rFonts w:cs="Calibri"/>
          <w:sz w:val="23"/>
          <w:szCs w:val="23"/>
        </w:rPr>
        <w:t>, tal como lo ha constatado recientemente la Corte Suprema en la sentencia Rol N° 31.711-17</w:t>
      </w:r>
      <w:r w:rsidR="00317409" w:rsidRPr="00241DE4">
        <w:rPr>
          <w:rStyle w:val="FootnoteReference"/>
          <w:rFonts w:cs="Calibri"/>
          <w:sz w:val="23"/>
          <w:szCs w:val="23"/>
        </w:rPr>
        <w:footnoteReference w:id="24"/>
      </w:r>
      <w:r w:rsidR="00317409" w:rsidRPr="00241DE4">
        <w:rPr>
          <w:rFonts w:cs="Calibri"/>
          <w:sz w:val="23"/>
          <w:szCs w:val="23"/>
        </w:rPr>
        <w:t xml:space="preserve">.  No obstante ello, hasta hoy, no existe ninguna sentencia que sancione expresamente alguna forma de violencia sexual a la que fueron sometidas miles de mujeres durante los interrogatorios, detenciones y privaciones de libertad en el contexto de prisión política y tortura. </w:t>
      </w:r>
    </w:p>
    <w:p w14:paraId="06494EB7" w14:textId="40B52DF8" w:rsidR="00317409" w:rsidRPr="00241DE4" w:rsidRDefault="00CF0E96" w:rsidP="00241DE4">
      <w:pPr>
        <w:spacing w:after="120" w:line="240" w:lineRule="auto"/>
        <w:jc w:val="both"/>
        <w:rPr>
          <w:rFonts w:cs="Calibri"/>
          <w:sz w:val="23"/>
          <w:szCs w:val="23"/>
        </w:rPr>
      </w:pPr>
      <w:r>
        <w:rPr>
          <w:rFonts w:cs="Calibri"/>
          <w:b/>
          <w:sz w:val="23"/>
          <w:szCs w:val="23"/>
        </w:rPr>
        <w:lastRenderedPageBreak/>
        <w:t>37</w:t>
      </w:r>
      <w:r w:rsidR="00317409" w:rsidRPr="00241DE4">
        <w:rPr>
          <w:rFonts w:cs="Calibri"/>
          <w:b/>
          <w:sz w:val="23"/>
          <w:szCs w:val="23"/>
        </w:rPr>
        <w:t>.</w:t>
      </w:r>
      <w:r w:rsidR="00693087" w:rsidRPr="00241DE4">
        <w:rPr>
          <w:rFonts w:cs="Calibri"/>
          <w:sz w:val="23"/>
          <w:szCs w:val="23"/>
        </w:rPr>
        <w:t xml:space="preserve"> En varios de estos casos, </w:t>
      </w:r>
      <w:r w:rsidR="00317409" w:rsidRPr="00241DE4">
        <w:rPr>
          <w:rFonts w:cs="Calibri"/>
          <w:sz w:val="23"/>
          <w:szCs w:val="23"/>
        </w:rPr>
        <w:t>la violencia sexual no ha podido acreditarse médicamente</w:t>
      </w:r>
      <w:r w:rsidR="00317409" w:rsidRPr="00241DE4">
        <w:rPr>
          <w:rStyle w:val="FootnoteReference"/>
          <w:rFonts w:cs="Calibri"/>
          <w:sz w:val="23"/>
          <w:szCs w:val="23"/>
        </w:rPr>
        <w:footnoteReference w:id="25"/>
      </w:r>
      <w:r w:rsidR="00317409" w:rsidRPr="00241DE4">
        <w:rPr>
          <w:rFonts w:cs="Calibri"/>
          <w:sz w:val="23"/>
          <w:szCs w:val="23"/>
        </w:rPr>
        <w:t xml:space="preserve"> y en otros, pese a haberse acreditado secuelas físicas de la violencia sexual y daños psíquicos en la esfera de la sexualidad, no ha existido pronunciamiento jurídico alguno respecto de ell</w:t>
      </w:r>
      <w:r w:rsidR="00C832D6" w:rsidRPr="00241DE4">
        <w:rPr>
          <w:rFonts w:cs="Calibri"/>
          <w:sz w:val="23"/>
          <w:szCs w:val="23"/>
        </w:rPr>
        <w:t>a</w:t>
      </w:r>
      <w:r w:rsidR="00317409" w:rsidRPr="00241DE4">
        <w:rPr>
          <w:rFonts w:cs="Calibri"/>
          <w:sz w:val="23"/>
          <w:szCs w:val="23"/>
        </w:rPr>
        <w:t xml:space="preserve">, ni </w:t>
      </w:r>
      <w:r w:rsidR="00C832D6" w:rsidRPr="00241DE4">
        <w:rPr>
          <w:rFonts w:cs="Calibri"/>
          <w:sz w:val="23"/>
          <w:szCs w:val="23"/>
        </w:rPr>
        <w:t>tampoco se ha establecido</w:t>
      </w:r>
      <w:r w:rsidR="00317409" w:rsidRPr="00241DE4">
        <w:rPr>
          <w:rFonts w:cs="Calibri"/>
          <w:sz w:val="23"/>
          <w:szCs w:val="23"/>
        </w:rPr>
        <w:t xml:space="preserve"> como agravante de la responsabilidad penal de otros delitos, siendo </w:t>
      </w:r>
      <w:r w:rsidR="00C832D6" w:rsidRPr="00241DE4">
        <w:rPr>
          <w:rFonts w:cs="Calibri"/>
          <w:sz w:val="23"/>
          <w:szCs w:val="23"/>
        </w:rPr>
        <w:t xml:space="preserve">subsumida </w:t>
      </w:r>
      <w:r w:rsidR="00317409" w:rsidRPr="00241DE4">
        <w:rPr>
          <w:rFonts w:cs="Calibri"/>
          <w:sz w:val="23"/>
          <w:szCs w:val="23"/>
        </w:rPr>
        <w:t xml:space="preserve">por los tipos penales vigentes a la época, como el de </w:t>
      </w:r>
      <w:r w:rsidR="00317409" w:rsidRPr="00241DE4">
        <w:rPr>
          <w:rFonts w:cs="Calibri"/>
          <w:i/>
          <w:sz w:val="23"/>
          <w:szCs w:val="23"/>
        </w:rPr>
        <w:t>“apremios ilegítimos”</w:t>
      </w:r>
      <w:r w:rsidR="00317409" w:rsidRPr="00241DE4">
        <w:rPr>
          <w:rFonts w:cs="Calibri"/>
          <w:sz w:val="23"/>
          <w:szCs w:val="23"/>
        </w:rPr>
        <w:t xml:space="preserve">, </w:t>
      </w:r>
      <w:r w:rsidR="00317409" w:rsidRPr="00241DE4">
        <w:rPr>
          <w:rFonts w:cs="Calibri"/>
          <w:i/>
          <w:sz w:val="23"/>
          <w:szCs w:val="23"/>
        </w:rPr>
        <w:t>“secuestro agravado”</w:t>
      </w:r>
      <w:r w:rsidR="00317409" w:rsidRPr="00241DE4">
        <w:rPr>
          <w:rFonts w:cs="Calibri"/>
          <w:sz w:val="23"/>
          <w:szCs w:val="23"/>
        </w:rPr>
        <w:t xml:space="preserve">, </w:t>
      </w:r>
      <w:r w:rsidR="00317409" w:rsidRPr="00241DE4">
        <w:rPr>
          <w:rFonts w:cs="Calibri"/>
          <w:i/>
          <w:sz w:val="23"/>
          <w:szCs w:val="23"/>
        </w:rPr>
        <w:t>“homicidio”</w:t>
      </w:r>
      <w:r w:rsidR="00317409" w:rsidRPr="00241DE4">
        <w:rPr>
          <w:rFonts w:cs="Calibri"/>
          <w:sz w:val="23"/>
          <w:szCs w:val="23"/>
        </w:rPr>
        <w:t>, entre otros</w:t>
      </w:r>
      <w:r w:rsidR="00317409" w:rsidRPr="00241DE4">
        <w:rPr>
          <w:rStyle w:val="FootnoteReference"/>
          <w:rFonts w:cs="Calibri"/>
          <w:sz w:val="23"/>
          <w:szCs w:val="23"/>
        </w:rPr>
        <w:footnoteReference w:id="26"/>
      </w:r>
      <w:r w:rsidR="00317409" w:rsidRPr="00241DE4">
        <w:rPr>
          <w:rFonts w:cs="Calibri"/>
          <w:sz w:val="23"/>
          <w:szCs w:val="23"/>
        </w:rPr>
        <w:t xml:space="preserve">, quedando en consecuencia dichos crímenes en la más absoluta impunidad.  </w:t>
      </w:r>
    </w:p>
    <w:p w14:paraId="455D7F79" w14:textId="0B7AF7AF" w:rsidR="00317409" w:rsidRPr="00241DE4" w:rsidRDefault="00CF0E96" w:rsidP="00241DE4">
      <w:pPr>
        <w:spacing w:after="120" w:line="240" w:lineRule="auto"/>
        <w:jc w:val="both"/>
        <w:rPr>
          <w:rFonts w:cs="Calibri"/>
          <w:sz w:val="23"/>
          <w:szCs w:val="23"/>
        </w:rPr>
      </w:pPr>
      <w:r>
        <w:rPr>
          <w:rFonts w:cs="Calibri"/>
          <w:b/>
          <w:sz w:val="23"/>
          <w:szCs w:val="23"/>
        </w:rPr>
        <w:t>38</w:t>
      </w:r>
      <w:r w:rsidR="00317409" w:rsidRPr="00241DE4">
        <w:rPr>
          <w:rFonts w:cs="Calibri"/>
          <w:b/>
          <w:sz w:val="23"/>
          <w:szCs w:val="23"/>
        </w:rPr>
        <w:t>.</w:t>
      </w:r>
      <w:r w:rsidR="00317409" w:rsidRPr="00241DE4">
        <w:rPr>
          <w:rFonts w:cs="Calibri"/>
          <w:sz w:val="23"/>
          <w:szCs w:val="23"/>
        </w:rPr>
        <w:t xml:space="preserve"> Desde el año 2011, con la reactivación del movimiento estudiantil en el país, comenzaron a salir a la luz una serie de casos que daban cuenta de prácticas de tortura por parte de agentes del estado en contra de estudiantes que se movilizaban a favor del derecho a una educación gratuita y de calidad, casos que se han seguido repitiendo en distintas manifestaciones sociales hasta hoy, incluso en aquellas en que las mujeres se han manifestado en contra de todas las formas de violencia contra la mujer, el aumento en el número de femicidios y el acoso sexual y otras formas de violencia sexual al interior de los recintos educacionales de todos los niveles</w:t>
      </w:r>
      <w:r w:rsidR="00317409" w:rsidRPr="00241DE4">
        <w:rPr>
          <w:rStyle w:val="FootnoteReference"/>
          <w:rFonts w:cs="Calibri"/>
          <w:sz w:val="23"/>
          <w:szCs w:val="23"/>
        </w:rPr>
        <w:footnoteReference w:id="27"/>
      </w:r>
      <w:r w:rsidR="00317409" w:rsidRPr="00241DE4">
        <w:rPr>
          <w:rFonts w:cs="Calibri"/>
          <w:sz w:val="23"/>
          <w:szCs w:val="23"/>
        </w:rPr>
        <w:t xml:space="preserve">. </w:t>
      </w:r>
    </w:p>
    <w:p w14:paraId="2EF01941" w14:textId="52119CDD" w:rsidR="00317409" w:rsidRPr="00241DE4" w:rsidRDefault="00CF0E96" w:rsidP="00241DE4">
      <w:pPr>
        <w:spacing w:after="120" w:line="240" w:lineRule="auto"/>
        <w:jc w:val="both"/>
        <w:rPr>
          <w:rFonts w:cs="Calibri"/>
          <w:sz w:val="23"/>
          <w:szCs w:val="23"/>
        </w:rPr>
      </w:pPr>
      <w:r>
        <w:rPr>
          <w:rFonts w:cs="Calibri"/>
          <w:b/>
          <w:sz w:val="23"/>
          <w:szCs w:val="23"/>
        </w:rPr>
        <w:t>39</w:t>
      </w:r>
      <w:r w:rsidR="00317409" w:rsidRPr="00241DE4">
        <w:rPr>
          <w:rFonts w:cs="Calibri"/>
          <w:b/>
          <w:sz w:val="23"/>
          <w:szCs w:val="23"/>
        </w:rPr>
        <w:t>.</w:t>
      </w:r>
      <w:r w:rsidR="00317409" w:rsidRPr="00241DE4">
        <w:rPr>
          <w:rFonts w:cs="Calibri"/>
          <w:sz w:val="23"/>
          <w:szCs w:val="23"/>
        </w:rPr>
        <w:t xml:space="preserve"> Las denuncias han aumentado desde la restauración de la detención por sospecha a mediados de 2016, hoy llamado </w:t>
      </w:r>
      <w:r w:rsidR="00317409" w:rsidRPr="00241DE4">
        <w:rPr>
          <w:rFonts w:cs="Calibri"/>
          <w:i/>
          <w:sz w:val="23"/>
          <w:szCs w:val="23"/>
        </w:rPr>
        <w:t>“control de identidad preventivo”</w:t>
      </w:r>
      <w:r w:rsidR="00317409" w:rsidRPr="00241DE4">
        <w:rPr>
          <w:rStyle w:val="FootnoteReference"/>
          <w:rFonts w:cs="Calibri"/>
          <w:sz w:val="23"/>
          <w:szCs w:val="23"/>
        </w:rPr>
        <w:footnoteReference w:id="28"/>
      </w:r>
      <w:r w:rsidR="00317409" w:rsidRPr="00241DE4">
        <w:rPr>
          <w:rFonts w:cs="Calibri"/>
          <w:sz w:val="23"/>
          <w:szCs w:val="23"/>
        </w:rPr>
        <w:t>, el que ha dado paso a detenciones arbitrarias por parte de la autoridad policial, en donde se han detectado casos de tortura en estudiantes, personas jóvenes y migrantes</w:t>
      </w:r>
      <w:r w:rsidR="00317409" w:rsidRPr="00241DE4">
        <w:rPr>
          <w:rStyle w:val="FootnoteReference"/>
          <w:rFonts w:cs="Calibri"/>
          <w:sz w:val="23"/>
          <w:szCs w:val="23"/>
        </w:rPr>
        <w:footnoteReference w:id="29"/>
      </w:r>
      <w:r w:rsidR="00317409" w:rsidRPr="00241DE4">
        <w:rPr>
          <w:rFonts w:cs="Calibri"/>
          <w:sz w:val="23"/>
          <w:szCs w:val="23"/>
        </w:rPr>
        <w:t>.</w:t>
      </w:r>
    </w:p>
    <w:p w14:paraId="4C05935A" w14:textId="248C231E" w:rsidR="00317409" w:rsidRPr="00241DE4" w:rsidRDefault="00CF0E96" w:rsidP="00241DE4">
      <w:pPr>
        <w:spacing w:after="120" w:line="240" w:lineRule="auto"/>
        <w:jc w:val="both"/>
        <w:rPr>
          <w:rFonts w:cs="Calibri"/>
          <w:sz w:val="23"/>
          <w:szCs w:val="23"/>
        </w:rPr>
      </w:pPr>
      <w:r>
        <w:rPr>
          <w:rFonts w:cs="Calibri"/>
          <w:b/>
          <w:sz w:val="23"/>
          <w:szCs w:val="23"/>
        </w:rPr>
        <w:t>40</w:t>
      </w:r>
      <w:r w:rsidR="00317409" w:rsidRPr="00241DE4">
        <w:rPr>
          <w:rFonts w:cs="Calibri"/>
          <w:b/>
          <w:sz w:val="23"/>
          <w:szCs w:val="23"/>
        </w:rPr>
        <w:t>.</w:t>
      </w:r>
      <w:r w:rsidR="00317409" w:rsidRPr="00241DE4">
        <w:rPr>
          <w:rFonts w:cs="Calibri"/>
          <w:sz w:val="23"/>
          <w:szCs w:val="23"/>
        </w:rPr>
        <w:t xml:space="preserve"> En la mayoría de las detenciones de mujeres y niñas los relatos se repiten</w:t>
      </w:r>
      <w:r w:rsidR="00C832D6" w:rsidRPr="00241DE4">
        <w:rPr>
          <w:rFonts w:cs="Calibri"/>
          <w:sz w:val="23"/>
          <w:szCs w:val="23"/>
        </w:rPr>
        <w:t>:</w:t>
      </w:r>
      <w:r w:rsidR="00317409" w:rsidRPr="00241DE4">
        <w:rPr>
          <w:rFonts w:cs="Calibri"/>
          <w:sz w:val="23"/>
          <w:szCs w:val="23"/>
        </w:rPr>
        <w:t xml:space="preserve"> desnudez forzada</w:t>
      </w:r>
      <w:r w:rsidR="00317409" w:rsidRPr="00241DE4">
        <w:rPr>
          <w:rStyle w:val="FootnoteReference"/>
          <w:rFonts w:cs="Calibri"/>
          <w:sz w:val="23"/>
          <w:szCs w:val="23"/>
        </w:rPr>
        <w:footnoteReference w:id="30"/>
      </w:r>
      <w:r w:rsidR="00317409" w:rsidRPr="00241DE4">
        <w:rPr>
          <w:rFonts w:cs="Calibri"/>
          <w:sz w:val="23"/>
          <w:szCs w:val="23"/>
        </w:rPr>
        <w:t>, realización de ejercicios físicos como sentadillas cuando están desnudas</w:t>
      </w:r>
      <w:r w:rsidR="00317409" w:rsidRPr="00241DE4">
        <w:rPr>
          <w:rStyle w:val="FootnoteReference"/>
          <w:rFonts w:cs="Calibri"/>
          <w:sz w:val="23"/>
          <w:szCs w:val="23"/>
        </w:rPr>
        <w:footnoteReference w:id="31"/>
      </w:r>
      <w:r w:rsidR="00317409" w:rsidRPr="00241DE4">
        <w:rPr>
          <w:rFonts w:cs="Calibri"/>
          <w:sz w:val="23"/>
          <w:szCs w:val="23"/>
        </w:rPr>
        <w:t xml:space="preserve">, </w:t>
      </w:r>
      <w:r w:rsidR="00317409" w:rsidRPr="00241DE4">
        <w:rPr>
          <w:rFonts w:cs="Calibri"/>
          <w:sz w:val="23"/>
          <w:szCs w:val="23"/>
        </w:rPr>
        <w:lastRenderedPageBreak/>
        <w:t>manoseos de carácter sexual sobre sus cuerpos</w:t>
      </w:r>
      <w:r w:rsidR="00317409" w:rsidRPr="00241DE4">
        <w:rPr>
          <w:rStyle w:val="FootnoteReference"/>
          <w:rFonts w:cs="Calibri"/>
          <w:sz w:val="23"/>
          <w:szCs w:val="23"/>
        </w:rPr>
        <w:footnoteReference w:id="32"/>
      </w:r>
      <w:r w:rsidR="00317409" w:rsidRPr="00241DE4">
        <w:rPr>
          <w:rFonts w:cs="Calibri"/>
          <w:sz w:val="23"/>
          <w:szCs w:val="23"/>
        </w:rPr>
        <w:t>, patadas o golpes en la vagina</w:t>
      </w:r>
      <w:r w:rsidR="00317409" w:rsidRPr="00241DE4">
        <w:rPr>
          <w:rStyle w:val="FootnoteReference"/>
          <w:rFonts w:cs="Calibri"/>
          <w:sz w:val="23"/>
          <w:szCs w:val="23"/>
        </w:rPr>
        <w:footnoteReference w:id="33"/>
      </w:r>
      <w:r w:rsidR="00317409" w:rsidRPr="00241DE4">
        <w:rPr>
          <w:rFonts w:cs="Calibri"/>
          <w:sz w:val="23"/>
          <w:szCs w:val="23"/>
        </w:rPr>
        <w:t>, amenazas de violación u otro atentado en contra de su integridad sexual, incluso detectándose casos en los que ha existido introducción de dedos u objetos por la vagina y violación</w:t>
      </w:r>
      <w:r w:rsidR="00317409" w:rsidRPr="00241DE4">
        <w:rPr>
          <w:rStyle w:val="FootnoteReference"/>
          <w:rFonts w:cs="Calibri"/>
          <w:sz w:val="23"/>
          <w:szCs w:val="23"/>
        </w:rPr>
        <w:footnoteReference w:id="34"/>
      </w:r>
      <w:r w:rsidR="00317409" w:rsidRPr="00241DE4">
        <w:rPr>
          <w:rFonts w:cs="Calibri"/>
          <w:sz w:val="23"/>
          <w:szCs w:val="23"/>
        </w:rPr>
        <w:t xml:space="preserve">. En todos los casos se repiten insultos, comentarios y actitudes sexualizadas por parte de los agentes policiales, </w:t>
      </w:r>
      <w:r w:rsidR="00C832D6" w:rsidRPr="00241DE4">
        <w:rPr>
          <w:rFonts w:cs="Calibri"/>
          <w:sz w:val="23"/>
          <w:szCs w:val="23"/>
        </w:rPr>
        <w:t xml:space="preserve">donde </w:t>
      </w:r>
      <w:r w:rsidR="00317409" w:rsidRPr="00241DE4">
        <w:rPr>
          <w:rFonts w:cs="Calibri"/>
          <w:sz w:val="23"/>
          <w:szCs w:val="23"/>
        </w:rPr>
        <w:t xml:space="preserve">comentarios tales como: </w:t>
      </w:r>
      <w:r w:rsidR="00317409" w:rsidRPr="00241DE4">
        <w:rPr>
          <w:rFonts w:cs="Calibri"/>
          <w:i/>
          <w:sz w:val="23"/>
          <w:szCs w:val="23"/>
        </w:rPr>
        <w:t>“putas”,</w:t>
      </w:r>
      <w:r w:rsidR="00317409" w:rsidRPr="00241DE4">
        <w:rPr>
          <w:rFonts w:cs="Calibri"/>
          <w:sz w:val="23"/>
          <w:szCs w:val="23"/>
        </w:rPr>
        <w:t xml:space="preserve"> </w:t>
      </w:r>
      <w:r w:rsidR="00317409" w:rsidRPr="00241DE4">
        <w:rPr>
          <w:rFonts w:cs="Calibri"/>
          <w:i/>
          <w:sz w:val="23"/>
          <w:szCs w:val="23"/>
        </w:rPr>
        <w:t>“maracas”,</w:t>
      </w:r>
      <w:r w:rsidR="00317409" w:rsidRPr="00241DE4">
        <w:rPr>
          <w:rFonts w:cs="Calibri"/>
          <w:sz w:val="23"/>
          <w:szCs w:val="23"/>
        </w:rPr>
        <w:t xml:space="preserve"> </w:t>
      </w:r>
      <w:r w:rsidR="00317409" w:rsidRPr="00241DE4">
        <w:rPr>
          <w:rFonts w:cs="Calibri"/>
          <w:i/>
          <w:sz w:val="23"/>
          <w:szCs w:val="23"/>
        </w:rPr>
        <w:t>“las señoritas se quedan en sus casas”,</w:t>
      </w:r>
      <w:r w:rsidR="00317409" w:rsidRPr="00241DE4">
        <w:rPr>
          <w:rFonts w:cs="Calibri"/>
          <w:sz w:val="23"/>
          <w:szCs w:val="23"/>
        </w:rPr>
        <w:t xml:space="preserve"> </w:t>
      </w:r>
      <w:r w:rsidR="00317409" w:rsidRPr="00241DE4">
        <w:rPr>
          <w:rFonts w:cs="Calibri"/>
          <w:i/>
          <w:sz w:val="23"/>
          <w:szCs w:val="23"/>
        </w:rPr>
        <w:t>“calladitas se ven más bonitas</w:t>
      </w:r>
      <w:r w:rsidR="00317409" w:rsidRPr="00241DE4">
        <w:rPr>
          <w:rFonts w:cs="Calibri"/>
          <w:sz w:val="23"/>
          <w:szCs w:val="23"/>
        </w:rPr>
        <w:t>”, y acciones como levantamiento de faldas, miradas lascivas, entre otros</w:t>
      </w:r>
      <w:r w:rsidR="00C832D6" w:rsidRPr="00241DE4">
        <w:rPr>
          <w:rFonts w:cs="Calibri"/>
          <w:sz w:val="23"/>
          <w:szCs w:val="23"/>
        </w:rPr>
        <w:t>, son cada vez más reportados por parte de las niñas y jovenes</w:t>
      </w:r>
      <w:r w:rsidR="00317409" w:rsidRPr="00241DE4">
        <w:rPr>
          <w:rStyle w:val="FootnoteReference"/>
          <w:rFonts w:cs="Calibri"/>
          <w:sz w:val="23"/>
          <w:szCs w:val="23"/>
        </w:rPr>
        <w:footnoteReference w:id="35"/>
      </w:r>
      <w:r w:rsidR="00317409" w:rsidRPr="00241DE4">
        <w:rPr>
          <w:rFonts w:cs="Calibri"/>
          <w:sz w:val="23"/>
          <w:szCs w:val="23"/>
        </w:rPr>
        <w:t xml:space="preserve">. </w:t>
      </w:r>
    </w:p>
    <w:p w14:paraId="0CF2BB24" w14:textId="46289111" w:rsidR="00317409" w:rsidRPr="00241DE4" w:rsidRDefault="00CF0E96" w:rsidP="00241DE4">
      <w:pPr>
        <w:spacing w:after="120" w:line="240" w:lineRule="auto"/>
        <w:jc w:val="both"/>
        <w:rPr>
          <w:rFonts w:cs="Calibri"/>
          <w:sz w:val="23"/>
          <w:szCs w:val="23"/>
        </w:rPr>
      </w:pPr>
      <w:r>
        <w:rPr>
          <w:rFonts w:cs="Calibri"/>
          <w:b/>
          <w:sz w:val="23"/>
          <w:szCs w:val="23"/>
        </w:rPr>
        <w:t>41</w:t>
      </w:r>
      <w:r w:rsidR="00317409" w:rsidRPr="00241DE4">
        <w:rPr>
          <w:rFonts w:cs="Calibri"/>
          <w:b/>
          <w:sz w:val="23"/>
          <w:szCs w:val="23"/>
        </w:rPr>
        <w:t>.</w:t>
      </w:r>
      <w:r w:rsidR="00317409" w:rsidRPr="00241DE4">
        <w:rPr>
          <w:rFonts w:cs="Calibri"/>
          <w:sz w:val="23"/>
          <w:szCs w:val="23"/>
        </w:rPr>
        <w:t xml:space="preserve"> Las pocas denuncias que se efectuaron durante las movilizaciones estudiantiles entre los años 2011 y 2013 no tuvieron ninguna sanción, ya que muchas cabían dentro de la competencia de la justicia militar, pese a la reforma efectua</w:t>
      </w:r>
      <w:r w:rsidR="00693087" w:rsidRPr="00241DE4">
        <w:rPr>
          <w:rFonts w:cs="Calibri"/>
          <w:sz w:val="23"/>
          <w:szCs w:val="23"/>
        </w:rPr>
        <w:t>da en el año 2010 al Código de J</w:t>
      </w:r>
      <w:r w:rsidR="00317409" w:rsidRPr="00241DE4">
        <w:rPr>
          <w:rFonts w:cs="Calibri"/>
          <w:sz w:val="23"/>
          <w:szCs w:val="23"/>
        </w:rPr>
        <w:t>usticia Militar, mientras que las que fueron conocidas por el Ministerio Públi</w:t>
      </w:r>
      <w:r w:rsidR="00693087" w:rsidRPr="00241DE4">
        <w:rPr>
          <w:rFonts w:cs="Calibri"/>
          <w:sz w:val="23"/>
          <w:szCs w:val="23"/>
        </w:rPr>
        <w:t xml:space="preserve">co, en algunos casos no fueron </w:t>
      </w:r>
      <w:r w:rsidR="00317409" w:rsidRPr="00241DE4">
        <w:rPr>
          <w:rFonts w:cs="Calibri"/>
          <w:sz w:val="23"/>
          <w:szCs w:val="23"/>
        </w:rPr>
        <w:t xml:space="preserve">formalizadas ante los tribunales ordinarios y otras no pudieron ser probadas ante los mismos. Lo anterior por diversos factores, entre los que se cuentan la inexistencia de un tipo penal acorde con las convenciones internacionales en materia de tortura, la falta de implementación del Protocolo de Estambul </w:t>
      </w:r>
      <w:r w:rsidR="00693087" w:rsidRPr="00241DE4">
        <w:rPr>
          <w:rFonts w:cs="Calibri"/>
          <w:sz w:val="23"/>
          <w:szCs w:val="23"/>
        </w:rPr>
        <w:t xml:space="preserve">en estos casos, </w:t>
      </w:r>
      <w:r w:rsidR="00317409" w:rsidRPr="00241DE4">
        <w:rPr>
          <w:rFonts w:cs="Calibri"/>
          <w:sz w:val="23"/>
          <w:szCs w:val="23"/>
        </w:rPr>
        <w:t>y el escaso conocimiento tanto de la judicatura como del ente p</w:t>
      </w:r>
      <w:r w:rsidR="00693087" w:rsidRPr="00241DE4">
        <w:rPr>
          <w:rFonts w:cs="Calibri"/>
          <w:sz w:val="23"/>
          <w:szCs w:val="23"/>
        </w:rPr>
        <w:t xml:space="preserve">ersecutor y defensores públicos, </w:t>
      </w:r>
      <w:r w:rsidR="00317409" w:rsidRPr="00241DE4">
        <w:rPr>
          <w:rFonts w:cs="Calibri"/>
          <w:sz w:val="23"/>
          <w:szCs w:val="23"/>
        </w:rPr>
        <w:t>en materia de derechos humanos y, específicamente, respecto del delito de tortura</w:t>
      </w:r>
      <w:r w:rsidR="00317409" w:rsidRPr="00241DE4">
        <w:rPr>
          <w:rStyle w:val="FootnoteReference"/>
          <w:rFonts w:cs="Calibri"/>
          <w:sz w:val="23"/>
          <w:szCs w:val="23"/>
        </w:rPr>
        <w:footnoteReference w:id="36"/>
      </w:r>
      <w:r w:rsidR="00317409" w:rsidRPr="00241DE4">
        <w:rPr>
          <w:rFonts w:cs="Calibri"/>
          <w:sz w:val="23"/>
          <w:szCs w:val="23"/>
        </w:rPr>
        <w:t xml:space="preserve">.  </w:t>
      </w:r>
    </w:p>
    <w:p w14:paraId="57020694" w14:textId="72C9D9F0" w:rsidR="00317409" w:rsidRPr="00241DE4" w:rsidRDefault="00CF0E96" w:rsidP="00241DE4">
      <w:pPr>
        <w:spacing w:after="120" w:line="240" w:lineRule="auto"/>
        <w:jc w:val="both"/>
        <w:rPr>
          <w:rFonts w:cs="Calibri"/>
          <w:sz w:val="23"/>
          <w:szCs w:val="23"/>
        </w:rPr>
      </w:pPr>
      <w:r>
        <w:rPr>
          <w:rFonts w:cs="Calibri"/>
          <w:b/>
          <w:sz w:val="23"/>
          <w:szCs w:val="23"/>
        </w:rPr>
        <w:t>42</w:t>
      </w:r>
      <w:r w:rsidR="00317409" w:rsidRPr="00241DE4">
        <w:rPr>
          <w:rFonts w:cs="Calibri"/>
          <w:b/>
          <w:sz w:val="23"/>
          <w:szCs w:val="23"/>
        </w:rPr>
        <w:t>.</w:t>
      </w:r>
      <w:r w:rsidR="00317409" w:rsidRPr="00241DE4">
        <w:rPr>
          <w:rFonts w:cs="Calibri"/>
          <w:sz w:val="23"/>
          <w:szCs w:val="23"/>
        </w:rPr>
        <w:t xml:space="preserve"> Si bien en Noviembre de</w:t>
      </w:r>
      <w:r w:rsidR="00693087" w:rsidRPr="00241DE4">
        <w:rPr>
          <w:rFonts w:cs="Calibri"/>
          <w:sz w:val="23"/>
          <w:szCs w:val="23"/>
        </w:rPr>
        <w:t>l año</w:t>
      </w:r>
      <w:r w:rsidR="00317409" w:rsidRPr="00241DE4">
        <w:rPr>
          <w:rFonts w:cs="Calibri"/>
          <w:sz w:val="23"/>
          <w:szCs w:val="23"/>
        </w:rPr>
        <w:t xml:space="preserve"> 2016 se </w:t>
      </w:r>
      <w:r w:rsidR="00693087" w:rsidRPr="00241DE4">
        <w:rPr>
          <w:rFonts w:cs="Calibri"/>
          <w:sz w:val="23"/>
          <w:szCs w:val="23"/>
        </w:rPr>
        <w:t>publicó la ley que tipifica la t</w:t>
      </w:r>
      <w:r w:rsidR="00317409" w:rsidRPr="00241DE4">
        <w:rPr>
          <w:rFonts w:cs="Calibri"/>
          <w:sz w:val="23"/>
          <w:szCs w:val="23"/>
        </w:rPr>
        <w:t xml:space="preserve">ortura, en la que se consagró específicamente los sufrimientos sexuales como una forma de tortura y se ha capacitado a profesionales del Servicio Médico Legal en el </w:t>
      </w:r>
      <w:r w:rsidR="00693087" w:rsidRPr="00241DE4">
        <w:rPr>
          <w:rFonts w:cs="Calibri"/>
          <w:sz w:val="23"/>
          <w:szCs w:val="23"/>
        </w:rPr>
        <w:t>P</w:t>
      </w:r>
      <w:r w:rsidR="00317409" w:rsidRPr="00241DE4">
        <w:rPr>
          <w:rFonts w:cs="Calibri"/>
          <w:sz w:val="23"/>
          <w:szCs w:val="23"/>
        </w:rPr>
        <w:t>rotocolo de Estambul, los avances en materia investigativa y sanción de estos delitos han sido mínimos. Hasta la fecha no se han formalizado  casos por tortura sexual ante los Tribunales de Justicia, ya que por una parte, el Ministerio Público no cuenta con fiscales ni fu</w:t>
      </w:r>
      <w:r w:rsidR="00693087" w:rsidRPr="00241DE4">
        <w:rPr>
          <w:rFonts w:cs="Calibri"/>
          <w:sz w:val="23"/>
          <w:szCs w:val="23"/>
        </w:rPr>
        <w:t xml:space="preserve">ncionarios/as especializados/as, </w:t>
      </w:r>
      <w:r w:rsidR="00317409" w:rsidRPr="00241DE4">
        <w:rPr>
          <w:rFonts w:cs="Calibri"/>
          <w:sz w:val="23"/>
          <w:szCs w:val="23"/>
        </w:rPr>
        <w:t xml:space="preserve">o con conocimientos mínimos de tortura en todas las fiscalías a lo largo del país, ni los pocos que han sido capacitados cuentan con formación en violencia de género. Y, por otra parte, no todos/as los/las jueces/zas cuentan con formación en derechos humanos y violencia de género, ya que dicha formación es de carácter voluntario, no existiendo por tanto, precedentes de sanción en el marco de la nueva ley.  </w:t>
      </w:r>
    </w:p>
    <w:p w14:paraId="644CD4AD" w14:textId="1635ABA9" w:rsidR="00241DE4" w:rsidRDefault="00CF0E96" w:rsidP="00B124CA">
      <w:pPr>
        <w:spacing w:after="120" w:line="240" w:lineRule="auto"/>
        <w:jc w:val="both"/>
        <w:rPr>
          <w:rFonts w:cs="Calibri"/>
          <w:sz w:val="23"/>
          <w:szCs w:val="23"/>
        </w:rPr>
      </w:pPr>
      <w:r>
        <w:rPr>
          <w:rFonts w:cs="Calibri"/>
          <w:b/>
          <w:sz w:val="23"/>
          <w:szCs w:val="23"/>
          <w:lang w:val="es-ES"/>
        </w:rPr>
        <w:t>43</w:t>
      </w:r>
      <w:r w:rsidR="002A2168" w:rsidRPr="00241DE4">
        <w:rPr>
          <w:rFonts w:cs="Calibri"/>
          <w:b/>
          <w:sz w:val="23"/>
          <w:szCs w:val="23"/>
          <w:lang w:val="es-ES"/>
        </w:rPr>
        <w:t>.</w:t>
      </w:r>
      <w:r w:rsidR="002A2168" w:rsidRPr="00241DE4">
        <w:rPr>
          <w:rFonts w:cs="Calibri"/>
          <w:sz w:val="23"/>
          <w:szCs w:val="23"/>
          <w:lang w:val="es-ES"/>
        </w:rPr>
        <w:t xml:space="preserve"> Por último, n</w:t>
      </w:r>
      <w:r w:rsidR="002A2168" w:rsidRPr="00241DE4">
        <w:rPr>
          <w:rFonts w:cs="Calibri"/>
          <w:sz w:val="23"/>
          <w:szCs w:val="23"/>
        </w:rPr>
        <w:t>o existe información pública relativa al fenómeno de la violencia o abuso policial en contra de personas con discapacidad. El Servicio Nacional de la Discapacidad no cuenta con información, ni se han realizado estudios al respecto.</w:t>
      </w:r>
    </w:p>
    <w:p w14:paraId="24072BDE" w14:textId="77777777" w:rsidR="00B124CA" w:rsidRDefault="00B124CA" w:rsidP="00B124CA">
      <w:pPr>
        <w:spacing w:after="120" w:line="240" w:lineRule="auto"/>
        <w:jc w:val="both"/>
        <w:rPr>
          <w:rFonts w:cs="Calibri"/>
          <w:sz w:val="23"/>
          <w:szCs w:val="23"/>
        </w:rPr>
      </w:pPr>
    </w:p>
    <w:p w14:paraId="422AA356" w14:textId="77777777" w:rsidR="00B124CA" w:rsidRDefault="00B124CA" w:rsidP="00B124CA">
      <w:pPr>
        <w:spacing w:after="120" w:line="240" w:lineRule="auto"/>
        <w:jc w:val="both"/>
        <w:rPr>
          <w:rFonts w:cs="Calibri"/>
          <w:sz w:val="23"/>
          <w:szCs w:val="23"/>
        </w:rPr>
      </w:pPr>
    </w:p>
    <w:p w14:paraId="78C90337" w14:textId="77777777" w:rsidR="00B124CA" w:rsidRDefault="00B124CA" w:rsidP="00B124CA">
      <w:pPr>
        <w:spacing w:after="120" w:line="240" w:lineRule="auto"/>
        <w:jc w:val="both"/>
        <w:rPr>
          <w:rFonts w:cs="Calibri"/>
          <w:sz w:val="23"/>
          <w:szCs w:val="23"/>
        </w:rPr>
      </w:pPr>
    </w:p>
    <w:p w14:paraId="528D412D" w14:textId="77777777" w:rsidR="00B124CA" w:rsidRPr="00B124CA" w:rsidRDefault="00B124CA" w:rsidP="00B124CA">
      <w:pPr>
        <w:spacing w:after="120" w:line="240" w:lineRule="auto"/>
        <w:jc w:val="both"/>
        <w:rPr>
          <w:rFonts w:cs="Calibri"/>
          <w:sz w:val="23"/>
          <w:szCs w:val="23"/>
        </w:rPr>
      </w:pPr>
    </w:p>
    <w:p w14:paraId="08AB810E" w14:textId="77777777" w:rsidR="00326D5E" w:rsidRDefault="00326D5E" w:rsidP="00241DE4">
      <w:pPr>
        <w:tabs>
          <w:tab w:val="left" w:pos="3886"/>
        </w:tabs>
        <w:spacing w:after="120" w:line="240" w:lineRule="auto"/>
        <w:jc w:val="both"/>
        <w:rPr>
          <w:rFonts w:cs="Calibri"/>
          <w:b/>
          <w:i/>
          <w:sz w:val="23"/>
          <w:szCs w:val="23"/>
          <w:u w:val="single"/>
        </w:rPr>
      </w:pPr>
    </w:p>
    <w:p w14:paraId="755EF0C9" w14:textId="77777777" w:rsidR="002A2168" w:rsidRDefault="002A2168" w:rsidP="00241DE4">
      <w:pPr>
        <w:tabs>
          <w:tab w:val="left" w:pos="3886"/>
        </w:tabs>
        <w:spacing w:after="120" w:line="240" w:lineRule="auto"/>
        <w:jc w:val="both"/>
        <w:rPr>
          <w:rFonts w:cs="Calibri"/>
          <w:b/>
          <w:i/>
          <w:sz w:val="23"/>
          <w:szCs w:val="23"/>
        </w:rPr>
      </w:pPr>
      <w:r w:rsidRPr="00241DE4">
        <w:rPr>
          <w:rFonts w:cs="Calibri"/>
          <w:b/>
          <w:i/>
          <w:sz w:val="23"/>
          <w:szCs w:val="23"/>
          <w:u w:val="single"/>
        </w:rPr>
        <w:t>Recomendaciones</w:t>
      </w:r>
      <w:r w:rsidRPr="00241DE4">
        <w:rPr>
          <w:rFonts w:cs="Calibri"/>
          <w:b/>
          <w:i/>
          <w:sz w:val="23"/>
          <w:szCs w:val="23"/>
        </w:rPr>
        <w:t>:</w:t>
      </w:r>
      <w:r w:rsidRPr="00241DE4">
        <w:rPr>
          <w:rFonts w:cs="Calibri"/>
          <w:b/>
          <w:i/>
          <w:sz w:val="23"/>
          <w:szCs w:val="23"/>
        </w:rPr>
        <w:tab/>
      </w:r>
    </w:p>
    <w:p w14:paraId="7287E8F4" w14:textId="77777777" w:rsidR="00241DE4" w:rsidRPr="00241DE4" w:rsidRDefault="00241DE4" w:rsidP="00241DE4">
      <w:pPr>
        <w:tabs>
          <w:tab w:val="left" w:pos="3886"/>
        </w:tabs>
        <w:spacing w:after="120" w:line="240" w:lineRule="auto"/>
        <w:jc w:val="both"/>
        <w:rPr>
          <w:rFonts w:cs="Calibri"/>
          <w:b/>
          <w:i/>
          <w:sz w:val="23"/>
          <w:szCs w:val="23"/>
          <w:u w:val="single"/>
        </w:rPr>
      </w:pPr>
    </w:p>
    <w:p w14:paraId="0861A3D2" w14:textId="7A8ECD5A" w:rsidR="00B124CA" w:rsidRPr="00446153" w:rsidRDefault="00B124CA" w:rsidP="00241DE4">
      <w:pPr>
        <w:pStyle w:val="ListParagraph"/>
        <w:numPr>
          <w:ilvl w:val="0"/>
          <w:numId w:val="3"/>
        </w:numPr>
        <w:spacing w:after="120" w:line="240" w:lineRule="auto"/>
        <w:contextualSpacing w:val="0"/>
        <w:jc w:val="both"/>
        <w:rPr>
          <w:rFonts w:cs="Calibri"/>
          <w:b/>
          <w:color w:val="000000"/>
          <w:sz w:val="23"/>
          <w:szCs w:val="23"/>
        </w:rPr>
      </w:pPr>
      <w:r w:rsidRPr="00446153">
        <w:rPr>
          <w:rFonts w:cs="Calibri"/>
          <w:b/>
          <w:color w:val="000000"/>
          <w:sz w:val="23"/>
          <w:szCs w:val="23"/>
        </w:rPr>
        <w:t xml:space="preserve">Adoptar protocolos en materia investigación, verificación y sanción de actos de tortura, tratos crueles, inhumanos, o degradantes cometidos por funcionarios de Carabineros y Fuerzas Especiales. </w:t>
      </w:r>
    </w:p>
    <w:p w14:paraId="24D6738D" w14:textId="61DAC795" w:rsidR="00B124CA" w:rsidRPr="00446153" w:rsidRDefault="00B124CA" w:rsidP="00241DE4">
      <w:pPr>
        <w:pStyle w:val="ListParagraph"/>
        <w:numPr>
          <w:ilvl w:val="0"/>
          <w:numId w:val="3"/>
        </w:numPr>
        <w:spacing w:after="120" w:line="240" w:lineRule="auto"/>
        <w:contextualSpacing w:val="0"/>
        <w:jc w:val="both"/>
        <w:rPr>
          <w:rFonts w:cs="Calibri"/>
          <w:b/>
          <w:color w:val="000000"/>
          <w:sz w:val="23"/>
          <w:szCs w:val="23"/>
        </w:rPr>
      </w:pPr>
      <w:r w:rsidRPr="00446153">
        <w:rPr>
          <w:rFonts w:cs="Calibri"/>
          <w:b/>
          <w:color w:val="000000"/>
          <w:sz w:val="23"/>
          <w:szCs w:val="23"/>
        </w:rPr>
        <w:t xml:space="preserve">Generar procedimientos de fiscalización, monitoreo y revisión de los procedimientos internos de </w:t>
      </w:r>
      <w:r w:rsidR="00AA6D22" w:rsidRPr="00446153">
        <w:rPr>
          <w:rFonts w:cs="Calibri"/>
          <w:b/>
          <w:color w:val="000000"/>
          <w:sz w:val="23"/>
          <w:szCs w:val="23"/>
        </w:rPr>
        <w:t>adopción de</w:t>
      </w:r>
      <w:r w:rsidR="00A5088D" w:rsidRPr="00446153">
        <w:rPr>
          <w:rFonts w:cs="Calibri"/>
          <w:b/>
          <w:color w:val="000000"/>
          <w:sz w:val="23"/>
          <w:szCs w:val="23"/>
        </w:rPr>
        <w:t xml:space="preserve"> sanciones administrativas en caso de actos de tortura, tratos crueles, inhumanos, o degradantes cometidos por funcionarios de Carabineros y Fuerzas Especiales.</w:t>
      </w:r>
    </w:p>
    <w:p w14:paraId="4D21D499" w14:textId="77777777" w:rsidR="00B124CA" w:rsidRDefault="002A2168" w:rsidP="00241DE4">
      <w:pPr>
        <w:pStyle w:val="ListParagraph"/>
        <w:numPr>
          <w:ilvl w:val="0"/>
          <w:numId w:val="3"/>
        </w:numPr>
        <w:spacing w:after="120" w:line="240" w:lineRule="auto"/>
        <w:contextualSpacing w:val="0"/>
        <w:jc w:val="both"/>
        <w:rPr>
          <w:rFonts w:cs="Calibri"/>
          <w:b/>
          <w:sz w:val="23"/>
          <w:szCs w:val="23"/>
        </w:rPr>
      </w:pPr>
      <w:r w:rsidRPr="00241DE4">
        <w:rPr>
          <w:rFonts w:cs="Calibri"/>
          <w:b/>
          <w:sz w:val="23"/>
          <w:szCs w:val="23"/>
        </w:rPr>
        <w:t xml:space="preserve">Adoptar </w:t>
      </w:r>
      <w:r w:rsidR="00161872" w:rsidRPr="00241DE4">
        <w:rPr>
          <w:rFonts w:cs="Calibri"/>
          <w:b/>
          <w:sz w:val="23"/>
          <w:szCs w:val="23"/>
        </w:rPr>
        <w:t>las medidas necesarias para garantizar</w:t>
      </w:r>
      <w:r w:rsidRPr="00241DE4">
        <w:rPr>
          <w:rFonts w:cs="Calibri"/>
          <w:b/>
          <w:sz w:val="23"/>
          <w:szCs w:val="23"/>
        </w:rPr>
        <w:t xml:space="preserve"> el desarrollo de una investigación imparcial y respetuosa de los derechos humanos, de todas las personas, particularmente de mujeres, niños, niñas y adolescentes.</w:t>
      </w:r>
      <w:r w:rsidR="00B124CA">
        <w:rPr>
          <w:rFonts w:cs="Calibri"/>
          <w:b/>
          <w:sz w:val="23"/>
          <w:szCs w:val="23"/>
        </w:rPr>
        <w:t xml:space="preserve"> </w:t>
      </w:r>
    </w:p>
    <w:p w14:paraId="6B1EB58D" w14:textId="25E5C3A1" w:rsidR="002A2168" w:rsidRPr="00241DE4" w:rsidRDefault="002A2168" w:rsidP="00241DE4">
      <w:pPr>
        <w:pStyle w:val="ListParagraph"/>
        <w:numPr>
          <w:ilvl w:val="0"/>
          <w:numId w:val="3"/>
        </w:numPr>
        <w:spacing w:after="120" w:line="240" w:lineRule="auto"/>
        <w:contextualSpacing w:val="0"/>
        <w:jc w:val="both"/>
        <w:rPr>
          <w:rFonts w:cs="Calibri"/>
          <w:b/>
          <w:sz w:val="23"/>
          <w:szCs w:val="23"/>
        </w:rPr>
      </w:pPr>
      <w:r w:rsidRPr="00241DE4">
        <w:rPr>
          <w:rFonts w:cs="Calibri"/>
          <w:b/>
          <w:sz w:val="23"/>
          <w:szCs w:val="23"/>
        </w:rPr>
        <w:t>Capacitar y formar al personal de policía y tribunales en materia de derechos de las niñas, niños y adolescentes</w:t>
      </w:r>
      <w:r w:rsidR="00D4648E" w:rsidRPr="00241DE4">
        <w:rPr>
          <w:rFonts w:cs="Calibri"/>
          <w:b/>
          <w:sz w:val="23"/>
          <w:szCs w:val="23"/>
        </w:rPr>
        <w:t>, y en materia de tortura</w:t>
      </w:r>
      <w:r w:rsidRPr="00241DE4">
        <w:rPr>
          <w:rFonts w:cs="Calibri"/>
          <w:b/>
          <w:sz w:val="23"/>
          <w:szCs w:val="23"/>
        </w:rPr>
        <w:t xml:space="preserve">. </w:t>
      </w:r>
    </w:p>
    <w:p w14:paraId="55F02655" w14:textId="083C1BEB" w:rsidR="002355E6" w:rsidRPr="00241DE4" w:rsidRDefault="002A2168" w:rsidP="00241DE4">
      <w:pPr>
        <w:pStyle w:val="ListParagraph"/>
        <w:numPr>
          <w:ilvl w:val="0"/>
          <w:numId w:val="3"/>
        </w:numPr>
        <w:spacing w:after="120" w:line="240" w:lineRule="auto"/>
        <w:contextualSpacing w:val="0"/>
        <w:jc w:val="both"/>
        <w:rPr>
          <w:rFonts w:cs="Calibri"/>
          <w:b/>
          <w:sz w:val="23"/>
          <w:szCs w:val="23"/>
        </w:rPr>
      </w:pPr>
      <w:r w:rsidRPr="00241DE4">
        <w:rPr>
          <w:rFonts w:cs="Calibri"/>
          <w:b/>
          <w:sz w:val="23"/>
          <w:szCs w:val="23"/>
        </w:rPr>
        <w:t>Establecer un registro público y actualizado sobre casos de abuso poli</w:t>
      </w:r>
      <w:r w:rsidR="00161872" w:rsidRPr="00241DE4">
        <w:rPr>
          <w:rFonts w:cs="Calibri"/>
          <w:b/>
          <w:sz w:val="23"/>
          <w:szCs w:val="23"/>
        </w:rPr>
        <w:t xml:space="preserve">cial, especialmente en el caso de personas con discapacidad, y el establecimiento de </w:t>
      </w:r>
      <w:r w:rsidRPr="00241DE4">
        <w:rPr>
          <w:rFonts w:cs="Calibri"/>
          <w:b/>
          <w:sz w:val="23"/>
          <w:szCs w:val="23"/>
        </w:rPr>
        <w:t xml:space="preserve">mecanismos y procedimientos de prevención de dichas situaciones. </w:t>
      </w:r>
    </w:p>
    <w:p w14:paraId="300FD9E4" w14:textId="77777777" w:rsidR="00236D63" w:rsidRPr="00241DE4" w:rsidRDefault="00236D63" w:rsidP="00241DE4">
      <w:pPr>
        <w:pStyle w:val="ListParagraph"/>
        <w:spacing w:after="120" w:line="240" w:lineRule="auto"/>
        <w:contextualSpacing w:val="0"/>
        <w:jc w:val="both"/>
        <w:rPr>
          <w:rFonts w:cs="Calibri"/>
          <w:b/>
          <w:sz w:val="23"/>
          <w:szCs w:val="23"/>
        </w:rPr>
      </w:pPr>
    </w:p>
    <w:p w14:paraId="5EB59FA1"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Registro de denuncias</w:t>
      </w:r>
    </w:p>
    <w:p w14:paraId="0507C756" w14:textId="77777777" w:rsidR="00241DE4" w:rsidRPr="00446153" w:rsidRDefault="00241DE4" w:rsidP="00241DE4">
      <w:pPr>
        <w:spacing w:after="120" w:line="240" w:lineRule="auto"/>
        <w:jc w:val="both"/>
        <w:rPr>
          <w:rFonts w:cs="Calibri"/>
          <w:b/>
          <w:color w:val="000000"/>
          <w:sz w:val="23"/>
          <w:szCs w:val="23"/>
        </w:rPr>
      </w:pPr>
    </w:p>
    <w:p w14:paraId="78B9B96E" w14:textId="1BB95F37"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44</w:t>
      </w:r>
      <w:r w:rsidR="002A2168" w:rsidRPr="00446153">
        <w:rPr>
          <w:rFonts w:cs="Calibri"/>
          <w:b/>
          <w:color w:val="000000"/>
          <w:sz w:val="23"/>
          <w:szCs w:val="23"/>
        </w:rPr>
        <w:t>.</w:t>
      </w:r>
      <w:r w:rsidR="002A2168" w:rsidRPr="00446153">
        <w:rPr>
          <w:rFonts w:cs="Calibri"/>
          <w:color w:val="000000"/>
          <w:sz w:val="23"/>
          <w:szCs w:val="23"/>
        </w:rPr>
        <w:t xml:space="preserve"> La Fundación 1367 Casa Memoria José Domingo Cañas, en su calidad de Observadores de Derechos Humanos, han solicitado a través de la Ley de Transparencia a diferentes organismos estatales información estadística relativa al número de denuncias por tortura, tratos crueles</w:t>
      </w:r>
      <w:r w:rsidR="002355E6" w:rsidRPr="00446153">
        <w:rPr>
          <w:rFonts w:cs="Calibri"/>
          <w:color w:val="000000"/>
          <w:sz w:val="23"/>
          <w:szCs w:val="23"/>
        </w:rPr>
        <w:t>,</w:t>
      </w:r>
      <w:r w:rsidR="002A2168" w:rsidRPr="00446153">
        <w:rPr>
          <w:rFonts w:cs="Calibri"/>
          <w:color w:val="000000"/>
          <w:sz w:val="23"/>
          <w:szCs w:val="23"/>
        </w:rPr>
        <w:t xml:space="preserve"> inhumanos o degradantes. </w:t>
      </w:r>
      <w:r w:rsidR="00A703E0" w:rsidRPr="00446153">
        <w:rPr>
          <w:rFonts w:cs="Calibri"/>
          <w:color w:val="000000"/>
          <w:sz w:val="23"/>
          <w:szCs w:val="23"/>
        </w:rPr>
        <w:t>La</w:t>
      </w:r>
      <w:r w:rsidR="002A2168" w:rsidRPr="00446153">
        <w:rPr>
          <w:rFonts w:cs="Calibri"/>
          <w:color w:val="000000"/>
          <w:sz w:val="23"/>
          <w:szCs w:val="23"/>
        </w:rPr>
        <w:t xml:space="preserve"> información entregada por Carabineros</w:t>
      </w:r>
      <w:r w:rsidR="00147C7D" w:rsidRPr="00446153">
        <w:rPr>
          <w:rFonts w:cs="Calibri"/>
          <w:color w:val="000000"/>
          <w:sz w:val="23"/>
          <w:szCs w:val="23"/>
        </w:rPr>
        <w:t xml:space="preserve">, Gendarmería </w:t>
      </w:r>
      <w:r w:rsidR="00525DDA" w:rsidRPr="00446153">
        <w:rPr>
          <w:rFonts w:cs="Calibri"/>
          <w:color w:val="000000"/>
          <w:sz w:val="23"/>
          <w:szCs w:val="23"/>
        </w:rPr>
        <w:t xml:space="preserve">de Chile </w:t>
      </w:r>
      <w:r w:rsidR="00147C7D" w:rsidRPr="00446153">
        <w:rPr>
          <w:rFonts w:cs="Calibri"/>
          <w:color w:val="000000"/>
          <w:sz w:val="23"/>
          <w:szCs w:val="23"/>
        </w:rPr>
        <w:t>y Policía de Investigaciones (PDI)</w:t>
      </w:r>
      <w:r w:rsidR="002A2168" w:rsidRPr="00446153">
        <w:rPr>
          <w:rFonts w:cs="Calibri"/>
          <w:color w:val="000000"/>
          <w:sz w:val="23"/>
          <w:szCs w:val="23"/>
        </w:rPr>
        <w:t xml:space="preserve"> mediante respuesta a consulta vía Ley de Transparencia se resume en lo siguiente:</w:t>
      </w:r>
    </w:p>
    <w:p w14:paraId="080B97EB" w14:textId="77777777" w:rsidR="002A2168" w:rsidRPr="00446153" w:rsidRDefault="002A2168" w:rsidP="00241DE4">
      <w:pPr>
        <w:tabs>
          <w:tab w:val="left" w:pos="2483"/>
        </w:tabs>
        <w:spacing w:after="120" w:line="240" w:lineRule="auto"/>
        <w:jc w:val="both"/>
        <w:rPr>
          <w:rFonts w:cs="Calibri"/>
          <w:color w:val="000000"/>
          <w:sz w:val="23"/>
          <w:szCs w:val="23"/>
        </w:rPr>
      </w:pPr>
      <w:r w:rsidRPr="00446153">
        <w:rPr>
          <w:rFonts w:cs="Calibri"/>
          <w:color w:val="000000"/>
          <w:sz w:val="23"/>
          <w:szCs w:val="23"/>
          <w:u w:val="single"/>
        </w:rPr>
        <w:t>Tabla 1</w:t>
      </w:r>
      <w:r w:rsidRPr="00446153">
        <w:rPr>
          <w:rFonts w:cs="Calibri"/>
          <w:color w:val="000000"/>
          <w:sz w:val="23"/>
          <w:szCs w:val="23"/>
        </w:rPr>
        <w:tab/>
      </w:r>
    </w:p>
    <w:p w14:paraId="3FCFB5AA" w14:textId="77777777" w:rsidR="002A2168" w:rsidRPr="00446153" w:rsidRDefault="002A2168" w:rsidP="00241DE4">
      <w:pPr>
        <w:spacing w:after="120" w:line="240" w:lineRule="auto"/>
        <w:jc w:val="both"/>
        <w:rPr>
          <w:rFonts w:cs="Calibri"/>
          <w:i/>
          <w:color w:val="000000"/>
          <w:sz w:val="23"/>
          <w:szCs w:val="23"/>
        </w:rPr>
      </w:pPr>
      <w:r w:rsidRPr="00446153">
        <w:rPr>
          <w:rFonts w:cs="Calibri"/>
          <w:color w:val="000000"/>
          <w:sz w:val="23"/>
          <w:szCs w:val="23"/>
        </w:rPr>
        <w:t>Casos de Denuncias</w:t>
      </w:r>
      <w:r w:rsidRPr="00446153">
        <w:rPr>
          <w:rFonts w:cs="Calibri"/>
          <w:i/>
          <w:color w:val="000000"/>
          <w:sz w:val="23"/>
          <w:szCs w:val="23"/>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35"/>
        <w:gridCol w:w="667"/>
        <w:gridCol w:w="667"/>
        <w:gridCol w:w="667"/>
        <w:gridCol w:w="667"/>
        <w:gridCol w:w="667"/>
        <w:gridCol w:w="667"/>
        <w:gridCol w:w="667"/>
        <w:gridCol w:w="667"/>
        <w:gridCol w:w="667"/>
      </w:tblGrid>
      <w:tr w:rsidR="00446153" w:rsidRPr="00446153" w14:paraId="4847886F" w14:textId="77777777" w:rsidTr="00446153">
        <w:trPr>
          <w:trHeight w:val="500"/>
        </w:trPr>
        <w:tc>
          <w:tcPr>
            <w:tcW w:w="0" w:type="auto"/>
            <w:shd w:val="clear" w:color="auto" w:fill="D0CECE"/>
            <w:tcMar>
              <w:top w:w="100" w:type="dxa"/>
              <w:left w:w="100" w:type="dxa"/>
              <w:bottom w:w="100" w:type="dxa"/>
              <w:right w:w="100" w:type="dxa"/>
            </w:tcMar>
            <w:hideMark/>
          </w:tcPr>
          <w:p w14:paraId="1E790371" w14:textId="77777777" w:rsidR="00771B37" w:rsidRPr="00446153" w:rsidRDefault="00771B37" w:rsidP="00241DE4">
            <w:pPr>
              <w:spacing w:after="120" w:line="240" w:lineRule="auto"/>
              <w:jc w:val="both"/>
              <w:rPr>
                <w:rFonts w:eastAsia="Times New Roman" w:cs="Calibri"/>
                <w:color w:val="000000"/>
                <w:sz w:val="23"/>
                <w:szCs w:val="23"/>
                <w:lang w:eastAsia="es-CL"/>
              </w:rPr>
            </w:pPr>
          </w:p>
        </w:tc>
        <w:tc>
          <w:tcPr>
            <w:tcW w:w="0" w:type="auto"/>
            <w:shd w:val="clear" w:color="auto" w:fill="D0CECE"/>
            <w:tcMar>
              <w:top w:w="100" w:type="dxa"/>
              <w:left w:w="100" w:type="dxa"/>
              <w:bottom w:w="100" w:type="dxa"/>
              <w:right w:w="100" w:type="dxa"/>
            </w:tcMar>
            <w:hideMark/>
          </w:tcPr>
          <w:p w14:paraId="2385C0DF"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2009</w:t>
            </w:r>
          </w:p>
        </w:tc>
        <w:tc>
          <w:tcPr>
            <w:tcW w:w="0" w:type="auto"/>
            <w:shd w:val="clear" w:color="auto" w:fill="D0CECE"/>
            <w:tcMar>
              <w:top w:w="100" w:type="dxa"/>
              <w:left w:w="100" w:type="dxa"/>
              <w:bottom w:w="100" w:type="dxa"/>
              <w:right w:w="100" w:type="dxa"/>
            </w:tcMar>
            <w:hideMark/>
          </w:tcPr>
          <w:p w14:paraId="5D44F50A"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2010</w:t>
            </w:r>
          </w:p>
        </w:tc>
        <w:tc>
          <w:tcPr>
            <w:tcW w:w="647" w:type="dxa"/>
            <w:shd w:val="clear" w:color="auto" w:fill="D0CECE"/>
            <w:tcMar>
              <w:top w:w="100" w:type="dxa"/>
              <w:left w:w="100" w:type="dxa"/>
              <w:bottom w:w="100" w:type="dxa"/>
              <w:right w:w="100" w:type="dxa"/>
            </w:tcMar>
            <w:hideMark/>
          </w:tcPr>
          <w:p w14:paraId="39796C28"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2011</w:t>
            </w:r>
          </w:p>
        </w:tc>
        <w:tc>
          <w:tcPr>
            <w:tcW w:w="647" w:type="dxa"/>
            <w:shd w:val="clear" w:color="auto" w:fill="D0CECE"/>
            <w:tcMar>
              <w:top w:w="100" w:type="dxa"/>
              <w:left w:w="100" w:type="dxa"/>
              <w:bottom w:w="100" w:type="dxa"/>
              <w:right w:w="100" w:type="dxa"/>
            </w:tcMar>
            <w:hideMark/>
          </w:tcPr>
          <w:p w14:paraId="0237071D"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2012</w:t>
            </w:r>
          </w:p>
        </w:tc>
        <w:tc>
          <w:tcPr>
            <w:tcW w:w="0" w:type="auto"/>
            <w:shd w:val="clear" w:color="auto" w:fill="D0CECE"/>
            <w:tcMar>
              <w:top w:w="100" w:type="dxa"/>
              <w:left w:w="100" w:type="dxa"/>
              <w:bottom w:w="100" w:type="dxa"/>
              <w:right w:w="100" w:type="dxa"/>
            </w:tcMar>
            <w:hideMark/>
          </w:tcPr>
          <w:p w14:paraId="14188914"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2013</w:t>
            </w:r>
          </w:p>
        </w:tc>
        <w:tc>
          <w:tcPr>
            <w:tcW w:w="0" w:type="auto"/>
            <w:shd w:val="clear" w:color="auto" w:fill="D0CECE"/>
            <w:tcMar>
              <w:top w:w="100" w:type="dxa"/>
              <w:left w:w="100" w:type="dxa"/>
              <w:bottom w:w="100" w:type="dxa"/>
              <w:right w:w="100" w:type="dxa"/>
            </w:tcMar>
            <w:hideMark/>
          </w:tcPr>
          <w:p w14:paraId="0C4F77D2"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2014</w:t>
            </w:r>
          </w:p>
        </w:tc>
        <w:tc>
          <w:tcPr>
            <w:tcW w:w="0" w:type="auto"/>
            <w:shd w:val="clear" w:color="auto" w:fill="D0CECE"/>
            <w:tcMar>
              <w:top w:w="100" w:type="dxa"/>
              <w:left w:w="100" w:type="dxa"/>
              <w:bottom w:w="100" w:type="dxa"/>
              <w:right w:w="100" w:type="dxa"/>
            </w:tcMar>
            <w:hideMark/>
          </w:tcPr>
          <w:p w14:paraId="5FB47C91"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2015</w:t>
            </w:r>
          </w:p>
        </w:tc>
        <w:tc>
          <w:tcPr>
            <w:tcW w:w="0" w:type="auto"/>
            <w:shd w:val="clear" w:color="auto" w:fill="D0CECE"/>
            <w:tcMar>
              <w:top w:w="100" w:type="dxa"/>
              <w:left w:w="100" w:type="dxa"/>
              <w:bottom w:w="100" w:type="dxa"/>
              <w:right w:w="100" w:type="dxa"/>
            </w:tcMar>
            <w:hideMark/>
          </w:tcPr>
          <w:p w14:paraId="2A1BB93E"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2016</w:t>
            </w:r>
          </w:p>
        </w:tc>
        <w:tc>
          <w:tcPr>
            <w:tcW w:w="0" w:type="auto"/>
            <w:shd w:val="clear" w:color="auto" w:fill="D0CECE"/>
            <w:tcMar>
              <w:top w:w="100" w:type="dxa"/>
              <w:left w:w="100" w:type="dxa"/>
              <w:bottom w:w="100" w:type="dxa"/>
              <w:right w:w="100" w:type="dxa"/>
            </w:tcMar>
            <w:hideMark/>
          </w:tcPr>
          <w:p w14:paraId="049E4EF4"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2017</w:t>
            </w:r>
          </w:p>
        </w:tc>
      </w:tr>
      <w:tr w:rsidR="00771B37" w:rsidRPr="00446153" w14:paraId="33ECCD17" w14:textId="77777777" w:rsidTr="00525DDA">
        <w:trPr>
          <w:trHeight w:val="880"/>
        </w:trPr>
        <w:tc>
          <w:tcPr>
            <w:tcW w:w="0" w:type="auto"/>
            <w:tcMar>
              <w:top w:w="100" w:type="dxa"/>
              <w:left w:w="100" w:type="dxa"/>
              <w:bottom w:w="100" w:type="dxa"/>
              <w:right w:w="100" w:type="dxa"/>
            </w:tcMar>
            <w:hideMark/>
          </w:tcPr>
          <w:p w14:paraId="7B49E116"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Carabineros</w:t>
            </w:r>
            <w:r w:rsidRPr="00446153">
              <w:rPr>
                <w:rFonts w:cs="Calibri"/>
                <w:color w:val="000000"/>
                <w:sz w:val="23"/>
                <w:szCs w:val="23"/>
              </w:rPr>
              <w:t>:</w:t>
            </w:r>
            <w:r w:rsidRPr="00446153">
              <w:rPr>
                <w:rFonts w:cs="Calibri"/>
                <w:i/>
                <w:color w:val="000000"/>
                <w:sz w:val="23"/>
                <w:szCs w:val="23"/>
              </w:rPr>
              <w:t xml:space="preserve"> “Violencia Innecesaria, maltrato a detenido, amenazas, agresión, acoso laboral, abuso de autoridad”</w:t>
            </w:r>
          </w:p>
        </w:tc>
        <w:tc>
          <w:tcPr>
            <w:tcW w:w="0" w:type="auto"/>
            <w:tcMar>
              <w:top w:w="100" w:type="dxa"/>
              <w:left w:w="100" w:type="dxa"/>
              <w:bottom w:w="100" w:type="dxa"/>
              <w:right w:w="100" w:type="dxa"/>
            </w:tcMar>
            <w:hideMark/>
          </w:tcPr>
          <w:p w14:paraId="5C4D163B"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1609</w:t>
            </w:r>
          </w:p>
        </w:tc>
        <w:tc>
          <w:tcPr>
            <w:tcW w:w="0" w:type="auto"/>
            <w:tcMar>
              <w:top w:w="100" w:type="dxa"/>
              <w:left w:w="100" w:type="dxa"/>
              <w:bottom w:w="100" w:type="dxa"/>
              <w:right w:w="100" w:type="dxa"/>
            </w:tcMar>
            <w:hideMark/>
          </w:tcPr>
          <w:p w14:paraId="145ABE69"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1605</w:t>
            </w:r>
          </w:p>
        </w:tc>
        <w:tc>
          <w:tcPr>
            <w:tcW w:w="647" w:type="dxa"/>
            <w:tcMar>
              <w:top w:w="100" w:type="dxa"/>
              <w:left w:w="100" w:type="dxa"/>
              <w:bottom w:w="100" w:type="dxa"/>
              <w:right w:w="100" w:type="dxa"/>
            </w:tcMar>
            <w:hideMark/>
          </w:tcPr>
          <w:p w14:paraId="784787F9"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1797</w:t>
            </w:r>
          </w:p>
        </w:tc>
        <w:tc>
          <w:tcPr>
            <w:tcW w:w="647" w:type="dxa"/>
            <w:tcMar>
              <w:top w:w="100" w:type="dxa"/>
              <w:left w:w="100" w:type="dxa"/>
              <w:bottom w:w="100" w:type="dxa"/>
              <w:right w:w="100" w:type="dxa"/>
            </w:tcMar>
            <w:hideMark/>
          </w:tcPr>
          <w:p w14:paraId="6B3866BF"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1775</w:t>
            </w:r>
          </w:p>
        </w:tc>
        <w:tc>
          <w:tcPr>
            <w:tcW w:w="0" w:type="auto"/>
            <w:tcMar>
              <w:top w:w="100" w:type="dxa"/>
              <w:left w:w="100" w:type="dxa"/>
              <w:bottom w:w="100" w:type="dxa"/>
              <w:right w:w="100" w:type="dxa"/>
            </w:tcMar>
          </w:tcPr>
          <w:p w14:paraId="6DCAA100"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color w:val="000000"/>
                <w:sz w:val="23"/>
                <w:szCs w:val="23"/>
                <w:lang w:eastAsia="es-CL"/>
              </w:rPr>
              <w:t>S/I</w:t>
            </w:r>
          </w:p>
        </w:tc>
        <w:tc>
          <w:tcPr>
            <w:tcW w:w="0" w:type="auto"/>
            <w:tcMar>
              <w:top w:w="100" w:type="dxa"/>
              <w:left w:w="100" w:type="dxa"/>
              <w:bottom w:w="100" w:type="dxa"/>
              <w:right w:w="100" w:type="dxa"/>
            </w:tcMar>
          </w:tcPr>
          <w:p w14:paraId="118F6155"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color w:val="000000"/>
                <w:sz w:val="23"/>
                <w:szCs w:val="23"/>
                <w:lang w:eastAsia="es-CL"/>
              </w:rPr>
              <w:t>S/I</w:t>
            </w:r>
          </w:p>
        </w:tc>
        <w:tc>
          <w:tcPr>
            <w:tcW w:w="0" w:type="auto"/>
            <w:tcMar>
              <w:top w:w="100" w:type="dxa"/>
              <w:left w:w="100" w:type="dxa"/>
              <w:bottom w:w="100" w:type="dxa"/>
              <w:right w:w="100" w:type="dxa"/>
            </w:tcMar>
            <w:hideMark/>
          </w:tcPr>
          <w:p w14:paraId="4495B5BF"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181</w:t>
            </w:r>
          </w:p>
        </w:tc>
        <w:tc>
          <w:tcPr>
            <w:tcW w:w="0" w:type="auto"/>
            <w:tcMar>
              <w:top w:w="100" w:type="dxa"/>
              <w:left w:w="100" w:type="dxa"/>
              <w:bottom w:w="100" w:type="dxa"/>
              <w:right w:w="100" w:type="dxa"/>
            </w:tcMar>
            <w:hideMark/>
          </w:tcPr>
          <w:p w14:paraId="3E6A3F3F"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1247</w:t>
            </w:r>
          </w:p>
        </w:tc>
        <w:tc>
          <w:tcPr>
            <w:tcW w:w="0" w:type="auto"/>
            <w:tcMar>
              <w:top w:w="100" w:type="dxa"/>
              <w:left w:w="100" w:type="dxa"/>
              <w:bottom w:w="100" w:type="dxa"/>
              <w:right w:w="100" w:type="dxa"/>
            </w:tcMar>
            <w:hideMark/>
          </w:tcPr>
          <w:p w14:paraId="0D092C15"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bCs/>
                <w:color w:val="000000"/>
                <w:sz w:val="23"/>
                <w:szCs w:val="23"/>
                <w:lang w:eastAsia="es-CL"/>
              </w:rPr>
              <w:t>871</w:t>
            </w:r>
          </w:p>
        </w:tc>
      </w:tr>
      <w:tr w:rsidR="00771B37" w:rsidRPr="00446153" w14:paraId="68AB8482" w14:textId="77777777" w:rsidTr="00525DDA">
        <w:trPr>
          <w:trHeight w:val="500"/>
        </w:trPr>
        <w:tc>
          <w:tcPr>
            <w:tcW w:w="0" w:type="auto"/>
            <w:tcMar>
              <w:top w:w="100" w:type="dxa"/>
              <w:left w:w="100" w:type="dxa"/>
              <w:bottom w:w="100" w:type="dxa"/>
              <w:right w:w="100" w:type="dxa"/>
            </w:tcMar>
          </w:tcPr>
          <w:p w14:paraId="1E84AC52"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lastRenderedPageBreak/>
              <w:t xml:space="preserve">PDI: </w:t>
            </w:r>
            <w:r w:rsidRPr="00446153">
              <w:rPr>
                <w:rFonts w:cs="Calibri"/>
                <w:color w:val="000000"/>
                <w:sz w:val="23"/>
                <w:szCs w:val="23"/>
              </w:rPr>
              <w:t>casos de abuso de poder, maltrato a detenidos y/o tortura</w:t>
            </w:r>
          </w:p>
        </w:tc>
        <w:tc>
          <w:tcPr>
            <w:tcW w:w="0" w:type="auto"/>
            <w:tcMar>
              <w:top w:w="100" w:type="dxa"/>
              <w:left w:w="100" w:type="dxa"/>
              <w:bottom w:w="100" w:type="dxa"/>
              <w:right w:w="100" w:type="dxa"/>
            </w:tcMar>
          </w:tcPr>
          <w:p w14:paraId="62D38BC5" w14:textId="77777777" w:rsidR="00771B37" w:rsidRPr="00446153" w:rsidRDefault="00771B37" w:rsidP="00241DE4">
            <w:pPr>
              <w:spacing w:after="120" w:line="240" w:lineRule="auto"/>
              <w:jc w:val="both"/>
              <w:rPr>
                <w:rFonts w:eastAsia="Times New Roman" w:cs="Calibri"/>
                <w:bCs/>
                <w:color w:val="000000"/>
                <w:sz w:val="23"/>
                <w:szCs w:val="23"/>
                <w:lang w:eastAsia="es-CL"/>
              </w:rPr>
            </w:pPr>
          </w:p>
        </w:tc>
        <w:tc>
          <w:tcPr>
            <w:tcW w:w="0" w:type="auto"/>
            <w:tcMar>
              <w:top w:w="100" w:type="dxa"/>
              <w:left w:w="100" w:type="dxa"/>
              <w:bottom w:w="100" w:type="dxa"/>
              <w:right w:w="100" w:type="dxa"/>
            </w:tcMar>
          </w:tcPr>
          <w:p w14:paraId="68A5F76E"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3</w:t>
            </w:r>
          </w:p>
        </w:tc>
        <w:tc>
          <w:tcPr>
            <w:tcW w:w="647" w:type="dxa"/>
            <w:tcMar>
              <w:top w:w="100" w:type="dxa"/>
              <w:left w:w="100" w:type="dxa"/>
              <w:bottom w:w="100" w:type="dxa"/>
              <w:right w:w="100" w:type="dxa"/>
            </w:tcMar>
          </w:tcPr>
          <w:p w14:paraId="42122242"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10</w:t>
            </w:r>
          </w:p>
        </w:tc>
        <w:tc>
          <w:tcPr>
            <w:tcW w:w="647" w:type="dxa"/>
            <w:tcMar>
              <w:top w:w="100" w:type="dxa"/>
              <w:left w:w="100" w:type="dxa"/>
              <w:bottom w:w="100" w:type="dxa"/>
              <w:right w:w="100" w:type="dxa"/>
            </w:tcMar>
          </w:tcPr>
          <w:p w14:paraId="4CB91C03"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22</w:t>
            </w:r>
          </w:p>
        </w:tc>
        <w:tc>
          <w:tcPr>
            <w:tcW w:w="0" w:type="auto"/>
            <w:tcMar>
              <w:top w:w="100" w:type="dxa"/>
              <w:left w:w="100" w:type="dxa"/>
              <w:bottom w:w="100" w:type="dxa"/>
              <w:right w:w="100" w:type="dxa"/>
            </w:tcMar>
          </w:tcPr>
          <w:p w14:paraId="7474775A"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color w:val="000000"/>
                <w:sz w:val="23"/>
                <w:szCs w:val="23"/>
                <w:lang w:eastAsia="es-CL"/>
              </w:rPr>
              <w:t>46</w:t>
            </w:r>
          </w:p>
        </w:tc>
        <w:tc>
          <w:tcPr>
            <w:tcW w:w="0" w:type="auto"/>
            <w:tcMar>
              <w:top w:w="100" w:type="dxa"/>
              <w:left w:w="100" w:type="dxa"/>
              <w:bottom w:w="100" w:type="dxa"/>
              <w:right w:w="100" w:type="dxa"/>
            </w:tcMar>
          </w:tcPr>
          <w:p w14:paraId="3313B6DA"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color w:val="000000"/>
                <w:sz w:val="23"/>
                <w:szCs w:val="23"/>
                <w:lang w:eastAsia="es-CL"/>
              </w:rPr>
              <w:t>37</w:t>
            </w:r>
          </w:p>
        </w:tc>
        <w:tc>
          <w:tcPr>
            <w:tcW w:w="0" w:type="auto"/>
            <w:tcMar>
              <w:top w:w="100" w:type="dxa"/>
              <w:left w:w="100" w:type="dxa"/>
              <w:bottom w:w="100" w:type="dxa"/>
              <w:right w:w="100" w:type="dxa"/>
            </w:tcMar>
          </w:tcPr>
          <w:p w14:paraId="165A861D" w14:textId="77777777" w:rsidR="00771B37" w:rsidRPr="00446153" w:rsidRDefault="00771B37" w:rsidP="00241DE4">
            <w:pPr>
              <w:spacing w:after="120" w:line="240" w:lineRule="auto"/>
              <w:jc w:val="both"/>
              <w:rPr>
                <w:rFonts w:eastAsia="Times New Roman" w:cs="Calibri"/>
                <w:bCs/>
                <w:color w:val="000000"/>
                <w:sz w:val="23"/>
                <w:szCs w:val="23"/>
                <w:lang w:eastAsia="es-CL"/>
              </w:rPr>
            </w:pPr>
          </w:p>
        </w:tc>
        <w:tc>
          <w:tcPr>
            <w:tcW w:w="0" w:type="auto"/>
            <w:tcMar>
              <w:top w:w="100" w:type="dxa"/>
              <w:left w:w="100" w:type="dxa"/>
              <w:bottom w:w="100" w:type="dxa"/>
              <w:right w:w="100" w:type="dxa"/>
            </w:tcMar>
          </w:tcPr>
          <w:p w14:paraId="29D7D3DD" w14:textId="77777777" w:rsidR="00771B37" w:rsidRPr="00446153" w:rsidRDefault="00771B37" w:rsidP="00241DE4">
            <w:pPr>
              <w:spacing w:after="120" w:line="240" w:lineRule="auto"/>
              <w:jc w:val="both"/>
              <w:rPr>
                <w:rFonts w:eastAsia="Times New Roman" w:cs="Calibri"/>
                <w:bCs/>
                <w:color w:val="000000"/>
                <w:sz w:val="23"/>
                <w:szCs w:val="23"/>
                <w:lang w:eastAsia="es-CL"/>
              </w:rPr>
            </w:pPr>
          </w:p>
        </w:tc>
        <w:tc>
          <w:tcPr>
            <w:tcW w:w="0" w:type="auto"/>
            <w:tcMar>
              <w:top w:w="100" w:type="dxa"/>
              <w:left w:w="100" w:type="dxa"/>
              <w:bottom w:w="100" w:type="dxa"/>
              <w:right w:w="100" w:type="dxa"/>
            </w:tcMar>
          </w:tcPr>
          <w:p w14:paraId="57E78A25" w14:textId="77777777" w:rsidR="00771B37" w:rsidRPr="00446153" w:rsidRDefault="00771B37" w:rsidP="00241DE4">
            <w:pPr>
              <w:spacing w:after="120" w:line="240" w:lineRule="auto"/>
              <w:jc w:val="both"/>
              <w:rPr>
                <w:rFonts w:eastAsia="Times New Roman" w:cs="Calibri"/>
                <w:bCs/>
                <w:color w:val="000000"/>
                <w:sz w:val="23"/>
                <w:szCs w:val="23"/>
                <w:lang w:eastAsia="es-CL"/>
              </w:rPr>
            </w:pPr>
          </w:p>
        </w:tc>
      </w:tr>
      <w:tr w:rsidR="00771B37" w:rsidRPr="00446153" w14:paraId="45EC524B" w14:textId="77777777" w:rsidTr="00525DDA">
        <w:trPr>
          <w:trHeight w:val="500"/>
        </w:trPr>
        <w:tc>
          <w:tcPr>
            <w:tcW w:w="0" w:type="auto"/>
            <w:tcMar>
              <w:top w:w="100" w:type="dxa"/>
              <w:left w:w="100" w:type="dxa"/>
              <w:bottom w:w="100" w:type="dxa"/>
              <w:right w:w="100" w:type="dxa"/>
            </w:tcMar>
          </w:tcPr>
          <w:p w14:paraId="17074B9E"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Gendarmería: casos de abuso de poder, maltrato a detenidos y/o tortura</w:t>
            </w:r>
          </w:p>
        </w:tc>
        <w:tc>
          <w:tcPr>
            <w:tcW w:w="0" w:type="auto"/>
            <w:tcMar>
              <w:top w:w="100" w:type="dxa"/>
              <w:left w:w="100" w:type="dxa"/>
              <w:bottom w:w="100" w:type="dxa"/>
              <w:right w:w="100" w:type="dxa"/>
            </w:tcMar>
          </w:tcPr>
          <w:p w14:paraId="0DEC9E74" w14:textId="77777777" w:rsidR="00771B37" w:rsidRPr="00446153" w:rsidRDefault="00771B37" w:rsidP="00241DE4">
            <w:pPr>
              <w:spacing w:after="120" w:line="240" w:lineRule="auto"/>
              <w:jc w:val="both"/>
              <w:rPr>
                <w:rFonts w:eastAsia="Times New Roman" w:cs="Calibri"/>
                <w:bCs/>
                <w:color w:val="000000"/>
                <w:sz w:val="23"/>
                <w:szCs w:val="23"/>
                <w:lang w:eastAsia="es-CL"/>
              </w:rPr>
            </w:pPr>
          </w:p>
        </w:tc>
        <w:tc>
          <w:tcPr>
            <w:tcW w:w="0" w:type="auto"/>
            <w:tcMar>
              <w:top w:w="100" w:type="dxa"/>
              <w:left w:w="100" w:type="dxa"/>
              <w:bottom w:w="100" w:type="dxa"/>
              <w:right w:w="100" w:type="dxa"/>
            </w:tcMar>
          </w:tcPr>
          <w:p w14:paraId="49878881" w14:textId="77777777" w:rsidR="00771B37" w:rsidRPr="00446153" w:rsidRDefault="00771B37" w:rsidP="00241DE4">
            <w:pPr>
              <w:spacing w:after="120" w:line="240" w:lineRule="auto"/>
              <w:jc w:val="both"/>
              <w:rPr>
                <w:rFonts w:eastAsia="Times New Roman" w:cs="Calibri"/>
                <w:bCs/>
                <w:color w:val="000000"/>
                <w:sz w:val="23"/>
                <w:szCs w:val="23"/>
                <w:lang w:eastAsia="es-CL"/>
              </w:rPr>
            </w:pPr>
          </w:p>
        </w:tc>
        <w:tc>
          <w:tcPr>
            <w:tcW w:w="647" w:type="dxa"/>
            <w:tcMar>
              <w:top w:w="100" w:type="dxa"/>
              <w:left w:w="100" w:type="dxa"/>
              <w:bottom w:w="100" w:type="dxa"/>
              <w:right w:w="100" w:type="dxa"/>
            </w:tcMar>
          </w:tcPr>
          <w:p w14:paraId="6F8C97D3"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10</w:t>
            </w:r>
          </w:p>
        </w:tc>
        <w:tc>
          <w:tcPr>
            <w:tcW w:w="647" w:type="dxa"/>
            <w:tcMar>
              <w:top w:w="100" w:type="dxa"/>
              <w:left w:w="100" w:type="dxa"/>
              <w:bottom w:w="100" w:type="dxa"/>
              <w:right w:w="100" w:type="dxa"/>
            </w:tcMar>
          </w:tcPr>
          <w:p w14:paraId="7FA9671E"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3</w:t>
            </w:r>
          </w:p>
        </w:tc>
        <w:tc>
          <w:tcPr>
            <w:tcW w:w="0" w:type="auto"/>
            <w:tcMar>
              <w:top w:w="100" w:type="dxa"/>
              <w:left w:w="100" w:type="dxa"/>
              <w:bottom w:w="100" w:type="dxa"/>
              <w:right w:w="100" w:type="dxa"/>
            </w:tcMar>
          </w:tcPr>
          <w:p w14:paraId="20E5F8A4"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color w:val="000000"/>
                <w:sz w:val="23"/>
                <w:szCs w:val="23"/>
                <w:lang w:eastAsia="es-CL"/>
              </w:rPr>
              <w:t>10</w:t>
            </w:r>
          </w:p>
        </w:tc>
        <w:tc>
          <w:tcPr>
            <w:tcW w:w="0" w:type="auto"/>
            <w:tcMar>
              <w:top w:w="100" w:type="dxa"/>
              <w:left w:w="100" w:type="dxa"/>
              <w:bottom w:w="100" w:type="dxa"/>
              <w:right w:w="100" w:type="dxa"/>
            </w:tcMar>
          </w:tcPr>
          <w:p w14:paraId="3180601B"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color w:val="000000"/>
                <w:sz w:val="23"/>
                <w:szCs w:val="23"/>
                <w:lang w:eastAsia="es-CL"/>
              </w:rPr>
              <w:t>13</w:t>
            </w:r>
          </w:p>
        </w:tc>
        <w:tc>
          <w:tcPr>
            <w:tcW w:w="0" w:type="auto"/>
            <w:tcMar>
              <w:top w:w="100" w:type="dxa"/>
              <w:left w:w="100" w:type="dxa"/>
              <w:bottom w:w="100" w:type="dxa"/>
              <w:right w:w="100" w:type="dxa"/>
            </w:tcMar>
          </w:tcPr>
          <w:p w14:paraId="24F3ABF3"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34</w:t>
            </w:r>
          </w:p>
        </w:tc>
        <w:tc>
          <w:tcPr>
            <w:tcW w:w="0" w:type="auto"/>
            <w:tcMar>
              <w:top w:w="100" w:type="dxa"/>
              <w:left w:w="100" w:type="dxa"/>
              <w:bottom w:w="100" w:type="dxa"/>
              <w:right w:w="100" w:type="dxa"/>
            </w:tcMar>
          </w:tcPr>
          <w:p w14:paraId="33184F56" w14:textId="77777777" w:rsidR="00771B37" w:rsidRPr="00446153" w:rsidRDefault="00771B37" w:rsidP="00241DE4">
            <w:pPr>
              <w:spacing w:after="120" w:line="240" w:lineRule="auto"/>
              <w:jc w:val="both"/>
              <w:rPr>
                <w:rFonts w:eastAsia="Times New Roman" w:cs="Calibri"/>
                <w:bCs/>
                <w:color w:val="000000"/>
                <w:sz w:val="23"/>
                <w:szCs w:val="23"/>
                <w:lang w:eastAsia="es-CL"/>
              </w:rPr>
            </w:pPr>
          </w:p>
        </w:tc>
        <w:tc>
          <w:tcPr>
            <w:tcW w:w="0" w:type="auto"/>
            <w:tcMar>
              <w:top w:w="100" w:type="dxa"/>
              <w:left w:w="100" w:type="dxa"/>
              <w:bottom w:w="100" w:type="dxa"/>
              <w:right w:w="100" w:type="dxa"/>
            </w:tcMar>
          </w:tcPr>
          <w:p w14:paraId="46A869B6" w14:textId="77777777" w:rsidR="00771B37" w:rsidRPr="00446153" w:rsidRDefault="00771B37" w:rsidP="00241DE4">
            <w:pPr>
              <w:spacing w:after="120" w:line="240" w:lineRule="auto"/>
              <w:jc w:val="both"/>
              <w:rPr>
                <w:rFonts w:eastAsia="Times New Roman" w:cs="Calibri"/>
                <w:bCs/>
                <w:color w:val="000000"/>
                <w:sz w:val="23"/>
                <w:szCs w:val="23"/>
                <w:lang w:eastAsia="es-CL"/>
              </w:rPr>
            </w:pPr>
          </w:p>
        </w:tc>
      </w:tr>
      <w:tr w:rsidR="00771B37" w:rsidRPr="00446153" w14:paraId="01D8B43D" w14:textId="77777777" w:rsidTr="00525DDA">
        <w:trPr>
          <w:trHeight w:val="500"/>
        </w:trPr>
        <w:tc>
          <w:tcPr>
            <w:tcW w:w="0" w:type="auto"/>
            <w:tcMar>
              <w:top w:w="100" w:type="dxa"/>
              <w:left w:w="100" w:type="dxa"/>
              <w:bottom w:w="100" w:type="dxa"/>
              <w:right w:w="100" w:type="dxa"/>
            </w:tcMar>
          </w:tcPr>
          <w:p w14:paraId="161DE5A9"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Gendarmería: fallecimientos bajo la custodia de Gendarmería</w:t>
            </w:r>
          </w:p>
        </w:tc>
        <w:tc>
          <w:tcPr>
            <w:tcW w:w="0" w:type="auto"/>
            <w:tcMar>
              <w:top w:w="100" w:type="dxa"/>
              <w:left w:w="100" w:type="dxa"/>
              <w:bottom w:w="100" w:type="dxa"/>
              <w:right w:w="100" w:type="dxa"/>
            </w:tcMar>
          </w:tcPr>
          <w:p w14:paraId="140032C7" w14:textId="77777777" w:rsidR="00771B37" w:rsidRPr="00446153" w:rsidRDefault="00771B37" w:rsidP="00241DE4">
            <w:pPr>
              <w:spacing w:after="120" w:line="240" w:lineRule="auto"/>
              <w:jc w:val="both"/>
              <w:rPr>
                <w:rFonts w:eastAsia="Times New Roman" w:cs="Calibri"/>
                <w:bCs/>
                <w:color w:val="000000"/>
                <w:sz w:val="23"/>
                <w:szCs w:val="23"/>
                <w:lang w:eastAsia="es-CL"/>
              </w:rPr>
            </w:pPr>
          </w:p>
        </w:tc>
        <w:tc>
          <w:tcPr>
            <w:tcW w:w="0" w:type="auto"/>
            <w:tcMar>
              <w:top w:w="100" w:type="dxa"/>
              <w:left w:w="100" w:type="dxa"/>
              <w:bottom w:w="100" w:type="dxa"/>
              <w:right w:w="100" w:type="dxa"/>
            </w:tcMar>
          </w:tcPr>
          <w:p w14:paraId="66A8C07A"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81</w:t>
            </w:r>
          </w:p>
        </w:tc>
        <w:tc>
          <w:tcPr>
            <w:tcW w:w="647" w:type="dxa"/>
            <w:tcMar>
              <w:top w:w="100" w:type="dxa"/>
              <w:left w:w="100" w:type="dxa"/>
              <w:bottom w:w="100" w:type="dxa"/>
              <w:right w:w="100" w:type="dxa"/>
            </w:tcMar>
          </w:tcPr>
          <w:p w14:paraId="72ECED65"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177</w:t>
            </w:r>
          </w:p>
        </w:tc>
        <w:tc>
          <w:tcPr>
            <w:tcW w:w="647" w:type="dxa"/>
            <w:tcMar>
              <w:top w:w="100" w:type="dxa"/>
              <w:left w:w="100" w:type="dxa"/>
              <w:bottom w:w="100" w:type="dxa"/>
              <w:right w:w="100" w:type="dxa"/>
            </w:tcMar>
          </w:tcPr>
          <w:p w14:paraId="065C3D2C"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140</w:t>
            </w:r>
          </w:p>
        </w:tc>
        <w:tc>
          <w:tcPr>
            <w:tcW w:w="0" w:type="auto"/>
            <w:tcMar>
              <w:top w:w="100" w:type="dxa"/>
              <w:left w:w="100" w:type="dxa"/>
              <w:bottom w:w="100" w:type="dxa"/>
              <w:right w:w="100" w:type="dxa"/>
            </w:tcMar>
          </w:tcPr>
          <w:p w14:paraId="1BA36FAB"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color w:val="000000"/>
                <w:sz w:val="23"/>
                <w:szCs w:val="23"/>
                <w:lang w:eastAsia="es-CL"/>
              </w:rPr>
              <w:t>136</w:t>
            </w:r>
          </w:p>
        </w:tc>
        <w:tc>
          <w:tcPr>
            <w:tcW w:w="0" w:type="auto"/>
            <w:tcMar>
              <w:top w:w="100" w:type="dxa"/>
              <w:left w:w="100" w:type="dxa"/>
              <w:bottom w:w="100" w:type="dxa"/>
              <w:right w:w="100" w:type="dxa"/>
            </w:tcMar>
          </w:tcPr>
          <w:p w14:paraId="67FFACD0" w14:textId="77777777" w:rsidR="00771B37" w:rsidRPr="00446153" w:rsidRDefault="00771B37" w:rsidP="00241DE4">
            <w:pPr>
              <w:spacing w:after="120" w:line="240" w:lineRule="auto"/>
              <w:jc w:val="both"/>
              <w:rPr>
                <w:rFonts w:eastAsia="Times New Roman" w:cs="Calibri"/>
                <w:color w:val="000000"/>
                <w:sz w:val="23"/>
                <w:szCs w:val="23"/>
                <w:lang w:eastAsia="es-CL"/>
              </w:rPr>
            </w:pPr>
            <w:r w:rsidRPr="00446153">
              <w:rPr>
                <w:rFonts w:eastAsia="Times New Roman" w:cs="Calibri"/>
                <w:color w:val="000000"/>
                <w:sz w:val="23"/>
                <w:szCs w:val="23"/>
                <w:lang w:eastAsia="es-CL"/>
              </w:rPr>
              <w:t>143</w:t>
            </w:r>
          </w:p>
        </w:tc>
        <w:tc>
          <w:tcPr>
            <w:tcW w:w="0" w:type="auto"/>
            <w:tcMar>
              <w:top w:w="100" w:type="dxa"/>
              <w:left w:w="100" w:type="dxa"/>
              <w:bottom w:w="100" w:type="dxa"/>
              <w:right w:w="100" w:type="dxa"/>
            </w:tcMar>
          </w:tcPr>
          <w:p w14:paraId="5695A285"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156</w:t>
            </w:r>
          </w:p>
        </w:tc>
        <w:tc>
          <w:tcPr>
            <w:tcW w:w="0" w:type="auto"/>
            <w:tcMar>
              <w:top w:w="100" w:type="dxa"/>
              <w:left w:w="100" w:type="dxa"/>
              <w:bottom w:w="100" w:type="dxa"/>
              <w:right w:w="100" w:type="dxa"/>
            </w:tcMar>
          </w:tcPr>
          <w:p w14:paraId="4588A4EE" w14:textId="77777777" w:rsidR="00771B37" w:rsidRPr="00446153" w:rsidRDefault="00771B37" w:rsidP="00241DE4">
            <w:pPr>
              <w:spacing w:after="120" w:line="240" w:lineRule="auto"/>
              <w:jc w:val="both"/>
              <w:rPr>
                <w:rFonts w:eastAsia="Times New Roman" w:cs="Calibri"/>
                <w:bCs/>
                <w:color w:val="000000"/>
                <w:sz w:val="23"/>
                <w:szCs w:val="23"/>
                <w:lang w:eastAsia="es-CL"/>
              </w:rPr>
            </w:pPr>
            <w:r w:rsidRPr="00446153">
              <w:rPr>
                <w:rFonts w:eastAsia="Times New Roman" w:cs="Calibri"/>
                <w:bCs/>
                <w:color w:val="000000"/>
                <w:sz w:val="23"/>
                <w:szCs w:val="23"/>
                <w:lang w:eastAsia="es-CL"/>
              </w:rPr>
              <w:t>142</w:t>
            </w:r>
          </w:p>
        </w:tc>
        <w:tc>
          <w:tcPr>
            <w:tcW w:w="0" w:type="auto"/>
            <w:tcMar>
              <w:top w:w="100" w:type="dxa"/>
              <w:left w:w="100" w:type="dxa"/>
              <w:bottom w:w="100" w:type="dxa"/>
              <w:right w:w="100" w:type="dxa"/>
            </w:tcMar>
          </w:tcPr>
          <w:p w14:paraId="262C056C" w14:textId="77777777" w:rsidR="00771B37" w:rsidRPr="00446153" w:rsidRDefault="00771B37" w:rsidP="00241DE4">
            <w:pPr>
              <w:spacing w:after="120" w:line="240" w:lineRule="auto"/>
              <w:jc w:val="both"/>
              <w:rPr>
                <w:rFonts w:eastAsia="Times New Roman" w:cs="Calibri"/>
                <w:bCs/>
                <w:color w:val="000000"/>
                <w:sz w:val="23"/>
                <w:szCs w:val="23"/>
                <w:lang w:eastAsia="es-CL"/>
              </w:rPr>
            </w:pPr>
          </w:p>
        </w:tc>
      </w:tr>
    </w:tbl>
    <w:p w14:paraId="71873DE2" w14:textId="77777777" w:rsidR="002A2168" w:rsidRPr="00446153" w:rsidRDefault="002A2168" w:rsidP="00241DE4">
      <w:pPr>
        <w:spacing w:after="120" w:line="240" w:lineRule="auto"/>
        <w:jc w:val="both"/>
        <w:rPr>
          <w:rFonts w:cs="Calibri"/>
          <w:color w:val="000000"/>
          <w:sz w:val="23"/>
          <w:szCs w:val="23"/>
        </w:rPr>
      </w:pPr>
    </w:p>
    <w:p w14:paraId="6C5DEA02" w14:textId="0FFD495C"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45</w:t>
      </w:r>
      <w:r w:rsidR="002A2168" w:rsidRPr="00446153">
        <w:rPr>
          <w:rFonts w:cs="Calibri"/>
          <w:b/>
          <w:color w:val="000000"/>
          <w:sz w:val="23"/>
          <w:szCs w:val="23"/>
        </w:rPr>
        <w:t>.</w:t>
      </w:r>
      <w:r w:rsidR="002A2168" w:rsidRPr="00446153">
        <w:rPr>
          <w:rFonts w:cs="Calibri"/>
          <w:color w:val="000000"/>
          <w:sz w:val="23"/>
          <w:szCs w:val="23"/>
        </w:rPr>
        <w:t xml:space="preserve"> A su vez, se solicitó al Instituto Nacional de Derechos Humanos (INDH) la información relativa a la cantidad de querellas por torturas, recursos de amparos por violencia policial y otras querellas de similar naturaleza. El INDH entregó la siguiente información estadística: en el año 2011: 4 casos, en el 2012: 15, en el 2013: 18, en el 2014: 24, en el 2015: 35, en el 2016: 52, en el 2017: 76 y hasta abril del año 2018: 38 casos.</w:t>
      </w:r>
    </w:p>
    <w:p w14:paraId="69E736A6" w14:textId="64365A87"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46</w:t>
      </w:r>
      <w:r w:rsidR="002A2168" w:rsidRPr="00446153">
        <w:rPr>
          <w:rFonts w:cs="Calibri"/>
          <w:b/>
          <w:color w:val="000000"/>
          <w:sz w:val="23"/>
          <w:szCs w:val="23"/>
        </w:rPr>
        <w:t xml:space="preserve">. </w:t>
      </w:r>
      <w:r w:rsidR="002A2168" w:rsidRPr="00446153">
        <w:rPr>
          <w:rFonts w:cs="Calibri"/>
          <w:color w:val="000000"/>
          <w:sz w:val="23"/>
          <w:szCs w:val="23"/>
        </w:rPr>
        <w:t xml:space="preserve">El promedio anual de querellas y amparos presentados por el INDH es de 33 casos, representando cerca del 2% del total de las denuncias por torturas, tratos crueles, inhumanos o degradantes a lo largo del país. Sólo 15 casos del INDH han tenido alguna resolución positiva para las víctimas. </w:t>
      </w:r>
      <w:r w:rsidR="00525DDA" w:rsidRPr="00446153">
        <w:rPr>
          <w:rFonts w:cs="Calibri"/>
          <w:color w:val="000000"/>
          <w:sz w:val="23"/>
          <w:szCs w:val="23"/>
        </w:rPr>
        <w:t xml:space="preserve">Se complica la exigencia al INDH de interponer querellas por tortura consdierando que su dotación de personal a nivel regional es muy baja, existiendo entre 1 y 3 funcionarios por servicio regional. </w:t>
      </w:r>
    </w:p>
    <w:p w14:paraId="66287C1B" w14:textId="5931DC43" w:rsidR="00161872"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47</w:t>
      </w:r>
      <w:r w:rsidR="00161872" w:rsidRPr="00446153">
        <w:rPr>
          <w:rFonts w:cs="Calibri"/>
          <w:b/>
          <w:color w:val="000000"/>
          <w:sz w:val="23"/>
          <w:szCs w:val="23"/>
        </w:rPr>
        <w:t>.</w:t>
      </w:r>
      <w:r w:rsidR="00161872" w:rsidRPr="00446153">
        <w:rPr>
          <w:rFonts w:cs="Calibri"/>
          <w:color w:val="000000"/>
          <w:sz w:val="23"/>
          <w:szCs w:val="23"/>
        </w:rPr>
        <w:t xml:space="preserve"> Precupa la baja tasa de denuncia e investigació</w:t>
      </w:r>
      <w:r w:rsidR="00525DDA" w:rsidRPr="00446153">
        <w:rPr>
          <w:rFonts w:cs="Calibri"/>
          <w:color w:val="000000"/>
          <w:sz w:val="23"/>
          <w:szCs w:val="23"/>
        </w:rPr>
        <w:t>n de las causas</w:t>
      </w:r>
      <w:r w:rsidR="00161872" w:rsidRPr="00446153">
        <w:rPr>
          <w:rFonts w:cs="Calibri"/>
          <w:color w:val="000000"/>
          <w:sz w:val="23"/>
          <w:szCs w:val="23"/>
        </w:rPr>
        <w:t xml:space="preserve">, evidenciado por las cifras </w:t>
      </w:r>
      <w:r w:rsidR="00954E6B" w:rsidRPr="00446153">
        <w:rPr>
          <w:rFonts w:cs="Calibri"/>
          <w:color w:val="000000"/>
          <w:sz w:val="23"/>
          <w:szCs w:val="23"/>
        </w:rPr>
        <w:t>entregadas por</w:t>
      </w:r>
      <w:r w:rsidR="00161872" w:rsidRPr="00446153">
        <w:rPr>
          <w:rFonts w:cs="Calibri"/>
          <w:color w:val="000000"/>
          <w:sz w:val="23"/>
          <w:szCs w:val="23"/>
        </w:rPr>
        <w:t xml:space="preserve"> el Estado y el Instituto Nacional de Derechos Humanos.</w:t>
      </w:r>
      <w:r w:rsidR="00954E6B" w:rsidRPr="00446153">
        <w:rPr>
          <w:rFonts w:cs="Calibri"/>
          <w:color w:val="000000"/>
          <w:sz w:val="23"/>
          <w:szCs w:val="23"/>
        </w:rPr>
        <w:t xml:space="preserve"> Se requiere un mecanismo efectivo destinado a prevenir las situaciones de tortura pero que, además, pueda recolectar unificadamente las denu</w:t>
      </w:r>
      <w:r w:rsidR="00771B37" w:rsidRPr="00446153">
        <w:rPr>
          <w:rFonts w:cs="Calibri"/>
          <w:color w:val="000000"/>
          <w:sz w:val="23"/>
          <w:szCs w:val="23"/>
        </w:rPr>
        <w:t>n</w:t>
      </w:r>
      <w:r w:rsidR="00954E6B" w:rsidRPr="00446153">
        <w:rPr>
          <w:rFonts w:cs="Calibri"/>
          <w:color w:val="000000"/>
          <w:sz w:val="23"/>
          <w:szCs w:val="23"/>
        </w:rPr>
        <w:t xml:space="preserve">cias en la materia, derivarlas a los organismos pertinentes y proceder a las correspondientes investigaciones y sanción judicial. </w:t>
      </w:r>
    </w:p>
    <w:p w14:paraId="15369E72" w14:textId="77777777" w:rsidR="00525DDA" w:rsidRPr="00446153" w:rsidRDefault="00525DDA" w:rsidP="00241DE4">
      <w:pPr>
        <w:spacing w:after="120" w:line="240" w:lineRule="auto"/>
        <w:jc w:val="both"/>
        <w:rPr>
          <w:rFonts w:cs="Calibri"/>
          <w:b/>
          <w:color w:val="000000"/>
          <w:sz w:val="23"/>
          <w:szCs w:val="23"/>
        </w:rPr>
      </w:pPr>
    </w:p>
    <w:p w14:paraId="6B693DA6" w14:textId="77777777" w:rsidR="002A2168" w:rsidRPr="00446153" w:rsidRDefault="002A2168" w:rsidP="00241DE4">
      <w:pPr>
        <w:spacing w:after="120" w:line="240" w:lineRule="auto"/>
        <w:jc w:val="both"/>
        <w:rPr>
          <w:rFonts w:cs="Calibri"/>
          <w:b/>
          <w:i/>
          <w:color w:val="000000"/>
          <w:sz w:val="23"/>
          <w:szCs w:val="23"/>
          <w:u w:val="single"/>
        </w:rPr>
      </w:pPr>
      <w:r w:rsidRPr="00446153">
        <w:rPr>
          <w:rFonts w:cs="Calibri"/>
          <w:b/>
          <w:i/>
          <w:color w:val="000000"/>
          <w:sz w:val="23"/>
          <w:szCs w:val="23"/>
          <w:u w:val="single"/>
        </w:rPr>
        <w:t>Recomendación:</w:t>
      </w:r>
    </w:p>
    <w:p w14:paraId="1676F43A" w14:textId="77777777" w:rsidR="00241DE4" w:rsidRPr="00446153" w:rsidRDefault="00241DE4" w:rsidP="00241DE4">
      <w:pPr>
        <w:spacing w:after="120" w:line="240" w:lineRule="auto"/>
        <w:jc w:val="both"/>
        <w:rPr>
          <w:rFonts w:cs="Calibri"/>
          <w:b/>
          <w:i/>
          <w:color w:val="000000"/>
          <w:sz w:val="23"/>
          <w:szCs w:val="23"/>
          <w:u w:val="single"/>
        </w:rPr>
      </w:pPr>
    </w:p>
    <w:p w14:paraId="3F6EF906" w14:textId="77777777" w:rsidR="00161872" w:rsidRPr="00446153" w:rsidRDefault="00771B37" w:rsidP="00241DE4">
      <w:pPr>
        <w:pStyle w:val="ListParagraph"/>
        <w:numPr>
          <w:ilvl w:val="0"/>
          <w:numId w:val="3"/>
        </w:numPr>
        <w:spacing w:after="120" w:line="240" w:lineRule="auto"/>
        <w:contextualSpacing w:val="0"/>
        <w:jc w:val="both"/>
        <w:rPr>
          <w:rFonts w:cs="Calibri"/>
          <w:b/>
          <w:color w:val="000000"/>
          <w:sz w:val="23"/>
          <w:szCs w:val="23"/>
        </w:rPr>
      </w:pPr>
      <w:r w:rsidRPr="00446153">
        <w:rPr>
          <w:rFonts w:cs="Calibri"/>
          <w:b/>
          <w:color w:val="000000"/>
          <w:sz w:val="23"/>
          <w:szCs w:val="23"/>
        </w:rPr>
        <w:t>Implementar un registro unificado de</w:t>
      </w:r>
      <w:r w:rsidR="002A2168" w:rsidRPr="00446153">
        <w:rPr>
          <w:rFonts w:cs="Calibri"/>
          <w:b/>
          <w:color w:val="000000"/>
          <w:sz w:val="23"/>
          <w:szCs w:val="23"/>
        </w:rPr>
        <w:t xml:space="preserve"> número de denuncias de presuntas torturas y malos tratos, los result</w:t>
      </w:r>
      <w:r w:rsidR="00161872" w:rsidRPr="00446153">
        <w:rPr>
          <w:rFonts w:cs="Calibri"/>
          <w:b/>
          <w:color w:val="000000"/>
          <w:sz w:val="23"/>
          <w:szCs w:val="23"/>
        </w:rPr>
        <w:t xml:space="preserve">ados de la investigación de dichas </w:t>
      </w:r>
      <w:r w:rsidR="002A2168" w:rsidRPr="00446153">
        <w:rPr>
          <w:rFonts w:cs="Calibri"/>
          <w:b/>
          <w:color w:val="000000"/>
          <w:sz w:val="23"/>
          <w:szCs w:val="23"/>
        </w:rPr>
        <w:t>denuncias, el enjuiciamiento, la condena y el tipo de sanción disciplinaria o pena impuesta a los culpables de dichas prácticas.</w:t>
      </w:r>
    </w:p>
    <w:p w14:paraId="1F542E6D" w14:textId="77777777" w:rsidR="00525DDA" w:rsidRPr="00446153" w:rsidRDefault="00525DDA" w:rsidP="00241DE4">
      <w:pPr>
        <w:pStyle w:val="ListParagraph"/>
        <w:spacing w:after="120" w:line="240" w:lineRule="auto"/>
        <w:contextualSpacing w:val="0"/>
        <w:jc w:val="both"/>
        <w:rPr>
          <w:rFonts w:cs="Calibri"/>
          <w:b/>
          <w:color w:val="000000"/>
          <w:sz w:val="23"/>
          <w:szCs w:val="23"/>
        </w:rPr>
      </w:pPr>
    </w:p>
    <w:p w14:paraId="1C5AC375" w14:textId="77777777" w:rsidR="00F01E94" w:rsidRPr="00446153" w:rsidRDefault="00F01E94" w:rsidP="00241DE4">
      <w:pPr>
        <w:spacing w:after="120" w:line="240" w:lineRule="auto"/>
        <w:jc w:val="both"/>
        <w:rPr>
          <w:rFonts w:cs="Calibri"/>
          <w:b/>
          <w:color w:val="000000"/>
          <w:sz w:val="28"/>
          <w:szCs w:val="28"/>
        </w:rPr>
      </w:pPr>
    </w:p>
    <w:p w14:paraId="61092C87" w14:textId="77777777" w:rsidR="00F01E94" w:rsidRPr="00446153" w:rsidRDefault="00F01E94" w:rsidP="00241DE4">
      <w:pPr>
        <w:spacing w:after="120" w:line="240" w:lineRule="auto"/>
        <w:jc w:val="both"/>
        <w:rPr>
          <w:rFonts w:cs="Calibri"/>
          <w:b/>
          <w:color w:val="000000"/>
          <w:sz w:val="28"/>
          <w:szCs w:val="28"/>
        </w:rPr>
      </w:pPr>
    </w:p>
    <w:p w14:paraId="37FE2CC2" w14:textId="77777777" w:rsidR="00F01E94" w:rsidRPr="00446153" w:rsidRDefault="00F01E94" w:rsidP="00241DE4">
      <w:pPr>
        <w:spacing w:after="120" w:line="240" w:lineRule="auto"/>
        <w:jc w:val="both"/>
        <w:rPr>
          <w:rFonts w:cs="Calibri"/>
          <w:b/>
          <w:color w:val="000000"/>
          <w:sz w:val="28"/>
          <w:szCs w:val="28"/>
        </w:rPr>
      </w:pPr>
    </w:p>
    <w:p w14:paraId="584BFA20" w14:textId="77777777" w:rsidR="00DF2EED" w:rsidRPr="00446153" w:rsidRDefault="00DF2EED" w:rsidP="00241DE4">
      <w:pPr>
        <w:spacing w:after="120" w:line="240" w:lineRule="auto"/>
        <w:jc w:val="both"/>
        <w:rPr>
          <w:rFonts w:cs="Calibri"/>
          <w:b/>
          <w:color w:val="000000"/>
          <w:sz w:val="28"/>
          <w:szCs w:val="28"/>
        </w:rPr>
      </w:pPr>
    </w:p>
    <w:p w14:paraId="7B85DDDE" w14:textId="77777777" w:rsidR="002A2168" w:rsidRPr="00446153" w:rsidRDefault="002A2168" w:rsidP="00241DE4">
      <w:pPr>
        <w:spacing w:after="120" w:line="240" w:lineRule="auto"/>
        <w:jc w:val="both"/>
        <w:rPr>
          <w:rFonts w:cs="Calibri"/>
          <w:b/>
          <w:color w:val="000000"/>
          <w:sz w:val="28"/>
          <w:szCs w:val="28"/>
        </w:rPr>
      </w:pPr>
      <w:r w:rsidRPr="00446153">
        <w:rPr>
          <w:rFonts w:cs="Calibri"/>
          <w:b/>
          <w:color w:val="000000"/>
          <w:sz w:val="28"/>
          <w:szCs w:val="28"/>
        </w:rPr>
        <w:lastRenderedPageBreak/>
        <w:t>Artículo 10</w:t>
      </w:r>
    </w:p>
    <w:p w14:paraId="6C842192" w14:textId="77777777" w:rsidR="00241DE4" w:rsidRPr="00446153" w:rsidRDefault="00241DE4" w:rsidP="00241DE4">
      <w:pPr>
        <w:spacing w:after="120" w:line="240" w:lineRule="auto"/>
        <w:jc w:val="both"/>
        <w:rPr>
          <w:rFonts w:cs="Calibri"/>
          <w:b/>
          <w:color w:val="000000"/>
          <w:sz w:val="28"/>
          <w:szCs w:val="28"/>
        </w:rPr>
      </w:pPr>
    </w:p>
    <w:p w14:paraId="599D786C"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Programas educativos para fuerzas policiales y de orden</w:t>
      </w:r>
    </w:p>
    <w:p w14:paraId="2408C957" w14:textId="77777777" w:rsidR="00241DE4" w:rsidRPr="00446153" w:rsidRDefault="00241DE4" w:rsidP="00241DE4">
      <w:pPr>
        <w:spacing w:after="120" w:line="240" w:lineRule="auto"/>
        <w:jc w:val="both"/>
        <w:rPr>
          <w:rFonts w:cs="Calibri"/>
          <w:b/>
          <w:color w:val="000000"/>
          <w:sz w:val="23"/>
          <w:szCs w:val="23"/>
        </w:rPr>
      </w:pPr>
    </w:p>
    <w:p w14:paraId="09219AEF" w14:textId="52B4930E" w:rsidR="009D7E8D"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48</w:t>
      </w:r>
      <w:r w:rsidR="009D7E8D" w:rsidRPr="00446153">
        <w:rPr>
          <w:rFonts w:cs="Calibri"/>
          <w:b/>
          <w:color w:val="000000"/>
          <w:sz w:val="23"/>
          <w:szCs w:val="23"/>
        </w:rPr>
        <w:t>.</w:t>
      </w:r>
      <w:r w:rsidR="009D7E8D" w:rsidRPr="00446153">
        <w:rPr>
          <w:rFonts w:cs="Calibri"/>
          <w:color w:val="000000"/>
          <w:sz w:val="23"/>
          <w:szCs w:val="23"/>
        </w:rPr>
        <w:t xml:space="preserve"> </w:t>
      </w:r>
      <w:r w:rsidR="007C2990" w:rsidRPr="00446153">
        <w:rPr>
          <w:rFonts w:cs="Calibri"/>
          <w:color w:val="000000"/>
          <w:sz w:val="23"/>
          <w:szCs w:val="23"/>
        </w:rPr>
        <w:t xml:space="preserve"> El </w:t>
      </w:r>
      <w:r w:rsidR="009D7E8D" w:rsidRPr="00446153">
        <w:rPr>
          <w:rFonts w:cs="Calibri"/>
          <w:color w:val="000000"/>
          <w:sz w:val="23"/>
          <w:szCs w:val="23"/>
        </w:rPr>
        <w:t xml:space="preserve">Departamento de Derechos </w:t>
      </w:r>
      <w:r w:rsidR="00525DDA" w:rsidRPr="00446153">
        <w:rPr>
          <w:rFonts w:cs="Calibri"/>
          <w:color w:val="000000"/>
          <w:sz w:val="23"/>
          <w:szCs w:val="23"/>
        </w:rPr>
        <w:t>Humanos de Carabineros de Chile</w:t>
      </w:r>
      <w:r w:rsidR="009D7E8D" w:rsidRPr="00446153">
        <w:rPr>
          <w:rFonts w:cs="Calibri"/>
          <w:color w:val="000000"/>
          <w:sz w:val="23"/>
          <w:szCs w:val="23"/>
        </w:rPr>
        <w:t xml:space="preserve"> es un órgano cuyo rol es promover la implementación de los estándares de Derechos Humanos aplicables a la función policial contemplados en el derecho interno chileno y en el derecho internacional, el cual fue creado mediante la Orden General N°2038 del 2011, que crea el Departamento Derechos Humanos dependiente de la Subdirección General</w:t>
      </w:r>
      <w:r w:rsidR="009D7E8D" w:rsidRPr="00446153">
        <w:rPr>
          <w:rStyle w:val="FootnoteReference"/>
          <w:rFonts w:cs="Calibri"/>
          <w:color w:val="000000"/>
          <w:sz w:val="23"/>
          <w:szCs w:val="23"/>
        </w:rPr>
        <w:footnoteReference w:id="37"/>
      </w:r>
      <w:r w:rsidR="009D7E8D" w:rsidRPr="00446153">
        <w:rPr>
          <w:rFonts w:cs="Calibri"/>
          <w:color w:val="000000"/>
          <w:sz w:val="23"/>
          <w:szCs w:val="23"/>
        </w:rPr>
        <w:t>. En dicha ordenanza, actualizada en el año 2016, se explican las atribuciones del departamento</w:t>
      </w:r>
      <w:r w:rsidR="007C2990" w:rsidRPr="00446153">
        <w:rPr>
          <w:rFonts w:cs="Calibri"/>
          <w:color w:val="000000"/>
          <w:sz w:val="23"/>
          <w:szCs w:val="23"/>
        </w:rPr>
        <w:t xml:space="preserve"> y s</w:t>
      </w:r>
      <w:r w:rsidR="009D7E8D" w:rsidRPr="00446153">
        <w:rPr>
          <w:rFonts w:cs="Calibri"/>
          <w:color w:val="000000"/>
          <w:sz w:val="23"/>
          <w:szCs w:val="23"/>
        </w:rPr>
        <w:t xml:space="preserve">e explicita que su misión es: </w:t>
      </w:r>
      <w:r w:rsidR="009D7E8D" w:rsidRPr="00446153">
        <w:rPr>
          <w:rFonts w:cs="Calibri"/>
          <w:i/>
          <w:color w:val="000000"/>
          <w:sz w:val="23"/>
          <w:szCs w:val="23"/>
        </w:rPr>
        <w:t>“Promover la implementación de los estándares internacionales de Derechos Humanos en la Institución, representar a Carabineros de Chile ante órganos internacionales de supervisión y dar respuesta a los requerimientos que emanen de órganos administrativos y jurisdiccionales del Estado sobre la materia”.</w:t>
      </w:r>
      <w:r w:rsidR="009D7E8D" w:rsidRPr="00446153">
        <w:rPr>
          <w:rFonts w:cs="Calibri"/>
          <w:color w:val="000000"/>
          <w:sz w:val="23"/>
          <w:szCs w:val="23"/>
        </w:rPr>
        <w:t xml:space="preserve"> Se evidencia así que</w:t>
      </w:r>
      <w:r w:rsidR="00525DDA" w:rsidRPr="00446153">
        <w:rPr>
          <w:rFonts w:cs="Calibri"/>
          <w:color w:val="000000"/>
          <w:sz w:val="23"/>
          <w:szCs w:val="23"/>
        </w:rPr>
        <w:t xml:space="preserve"> en la actualidad, la función del  Departamento se agota en la capacitación y perfeccionamiento de los funcinarios, pero no en un seguimiento en orden a la aplicación de los conocimientos adquiridos y la forma de integrarlos a las funciones del personal. </w:t>
      </w:r>
    </w:p>
    <w:p w14:paraId="6941722D" w14:textId="17CF88A1" w:rsidR="002A2168" w:rsidRPr="00446153" w:rsidRDefault="009D7E8D" w:rsidP="00241DE4">
      <w:pPr>
        <w:spacing w:after="120" w:line="240" w:lineRule="auto"/>
        <w:jc w:val="both"/>
        <w:rPr>
          <w:rFonts w:cs="Calibri"/>
          <w:color w:val="000000"/>
          <w:sz w:val="23"/>
          <w:szCs w:val="23"/>
        </w:rPr>
      </w:pPr>
      <w:r w:rsidRPr="00446153">
        <w:rPr>
          <w:rFonts w:cs="Calibri"/>
          <w:b/>
          <w:color w:val="000000"/>
          <w:sz w:val="23"/>
          <w:szCs w:val="23"/>
        </w:rPr>
        <w:t>4</w:t>
      </w:r>
      <w:r w:rsidR="00CF0E96" w:rsidRPr="00446153">
        <w:rPr>
          <w:rFonts w:cs="Calibri"/>
          <w:b/>
          <w:color w:val="000000"/>
          <w:sz w:val="23"/>
          <w:szCs w:val="23"/>
        </w:rPr>
        <w:t>9</w:t>
      </w:r>
      <w:r w:rsidR="002A2168" w:rsidRPr="00446153">
        <w:rPr>
          <w:rFonts w:cs="Calibri"/>
          <w:b/>
          <w:color w:val="000000"/>
          <w:sz w:val="23"/>
          <w:szCs w:val="23"/>
        </w:rPr>
        <w:t>.</w:t>
      </w:r>
      <w:r w:rsidR="002A2168" w:rsidRPr="00446153">
        <w:rPr>
          <w:rFonts w:cs="Calibri"/>
          <w:color w:val="000000"/>
          <w:sz w:val="23"/>
          <w:szCs w:val="23"/>
        </w:rPr>
        <w:t xml:space="preserve"> </w:t>
      </w:r>
      <w:r w:rsidRPr="00446153">
        <w:rPr>
          <w:rFonts w:cs="Calibri"/>
          <w:color w:val="000000"/>
          <w:sz w:val="23"/>
          <w:szCs w:val="23"/>
        </w:rPr>
        <w:t>Se puede apreciar</w:t>
      </w:r>
      <w:r w:rsidR="002A2168" w:rsidRPr="00446153">
        <w:rPr>
          <w:rFonts w:cs="Calibri"/>
          <w:color w:val="000000"/>
          <w:sz w:val="23"/>
          <w:szCs w:val="23"/>
        </w:rPr>
        <w:t xml:space="preserve"> </w:t>
      </w:r>
      <w:r w:rsidR="00525DDA" w:rsidRPr="00446153">
        <w:rPr>
          <w:rFonts w:cs="Calibri"/>
          <w:color w:val="000000"/>
          <w:sz w:val="23"/>
          <w:szCs w:val="23"/>
        </w:rPr>
        <w:t xml:space="preserve">que </w:t>
      </w:r>
      <w:r w:rsidR="002A2168" w:rsidRPr="00446153">
        <w:rPr>
          <w:rFonts w:cs="Calibri"/>
          <w:color w:val="000000"/>
          <w:sz w:val="23"/>
          <w:szCs w:val="23"/>
        </w:rPr>
        <w:t xml:space="preserve">en la página web del departamento de Derechos </w:t>
      </w:r>
      <w:r w:rsidR="00525DDA" w:rsidRPr="00446153">
        <w:rPr>
          <w:rFonts w:cs="Calibri"/>
          <w:color w:val="000000"/>
          <w:sz w:val="23"/>
          <w:szCs w:val="23"/>
        </w:rPr>
        <w:t>Humanos de Carabineros de Chile</w:t>
      </w:r>
      <w:r w:rsidRPr="00446153">
        <w:rPr>
          <w:rFonts w:cs="Calibri"/>
          <w:color w:val="000000"/>
          <w:sz w:val="23"/>
          <w:szCs w:val="23"/>
        </w:rPr>
        <w:t xml:space="preserve"> </w:t>
      </w:r>
      <w:r w:rsidR="002A2168" w:rsidRPr="00446153">
        <w:rPr>
          <w:rFonts w:cs="Calibri"/>
          <w:color w:val="000000"/>
          <w:sz w:val="23"/>
          <w:szCs w:val="23"/>
        </w:rPr>
        <w:t>se informa</w:t>
      </w:r>
      <w:r w:rsidR="00E9675E" w:rsidRPr="00446153">
        <w:rPr>
          <w:rStyle w:val="FootnoteReference"/>
          <w:rFonts w:cs="Calibri"/>
          <w:color w:val="000000"/>
          <w:sz w:val="23"/>
          <w:szCs w:val="23"/>
        </w:rPr>
        <w:footnoteReference w:id="38"/>
      </w:r>
      <w:r w:rsidR="002A2168" w:rsidRPr="00446153">
        <w:rPr>
          <w:rFonts w:cs="Calibri"/>
          <w:color w:val="000000"/>
          <w:sz w:val="23"/>
          <w:szCs w:val="23"/>
        </w:rPr>
        <w:t xml:space="preserve"> de la realización de un curso de </w:t>
      </w:r>
      <w:r w:rsidR="002A2168" w:rsidRPr="00446153">
        <w:rPr>
          <w:rFonts w:cs="Calibri"/>
          <w:i/>
          <w:color w:val="000000"/>
          <w:sz w:val="23"/>
          <w:szCs w:val="23"/>
        </w:rPr>
        <w:t>Instructores en Derechos Humanos Aplicables a la Función Policial</w:t>
      </w:r>
      <w:r w:rsidR="002A2168" w:rsidRPr="00446153">
        <w:rPr>
          <w:rFonts w:cs="Calibri"/>
          <w:color w:val="000000"/>
          <w:sz w:val="23"/>
          <w:szCs w:val="23"/>
        </w:rPr>
        <w:t xml:space="preserve">, y también se informa del tercer </w:t>
      </w:r>
      <w:r w:rsidR="002A2168" w:rsidRPr="00446153">
        <w:rPr>
          <w:rFonts w:cs="Calibri"/>
          <w:i/>
          <w:color w:val="000000"/>
          <w:sz w:val="23"/>
          <w:szCs w:val="23"/>
        </w:rPr>
        <w:t>Curso de Actualización para Instructores en Derechos Humanos</w:t>
      </w:r>
      <w:r w:rsidR="002A2168" w:rsidRPr="00446153">
        <w:rPr>
          <w:rFonts w:cs="Calibri"/>
          <w:color w:val="000000"/>
          <w:sz w:val="23"/>
          <w:szCs w:val="23"/>
        </w:rPr>
        <w:t xml:space="preserve"> perteneciente a la misma institución. En el caso particular de este último curso de actualización, cabe señalar que en esa instancia sólo participaron 17 oficiales. </w:t>
      </w:r>
    </w:p>
    <w:p w14:paraId="0EC620C3" w14:textId="53E19A80"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50</w:t>
      </w:r>
      <w:r w:rsidR="002A2168" w:rsidRPr="00446153">
        <w:rPr>
          <w:rFonts w:cs="Calibri"/>
          <w:b/>
          <w:color w:val="000000"/>
          <w:sz w:val="23"/>
          <w:szCs w:val="23"/>
        </w:rPr>
        <w:t>.</w:t>
      </w:r>
      <w:r w:rsidR="002A2168" w:rsidRPr="00446153">
        <w:rPr>
          <w:rFonts w:cs="Calibri"/>
          <w:color w:val="000000"/>
          <w:sz w:val="23"/>
          <w:szCs w:val="23"/>
        </w:rPr>
        <w:t xml:space="preserve"> En relación con los cursos en los cuales participa el INDH, su rol se reduce a dos charlas especializadas, en conjunto con el  Museo de la Memoria y los Derechos Humanos (MMDH). En el</w:t>
      </w:r>
      <w:r w:rsidR="00E9675E" w:rsidRPr="00446153">
        <w:rPr>
          <w:rFonts w:cs="Calibri"/>
          <w:color w:val="000000"/>
          <w:sz w:val="23"/>
          <w:szCs w:val="23"/>
        </w:rPr>
        <w:t xml:space="preserve"> curso de Instructores de Derechos H</w:t>
      </w:r>
      <w:r w:rsidR="002A2168" w:rsidRPr="00446153">
        <w:rPr>
          <w:rFonts w:cs="Calibri"/>
          <w:color w:val="000000"/>
          <w:sz w:val="23"/>
          <w:szCs w:val="23"/>
        </w:rPr>
        <w:t>umanos de Carabineros del presente año, sólo 24 oficiales quedaron seleccionados para realizar e</w:t>
      </w:r>
      <w:r w:rsidR="00E9675E" w:rsidRPr="00446153">
        <w:rPr>
          <w:rFonts w:cs="Calibri"/>
          <w:color w:val="000000"/>
          <w:sz w:val="23"/>
          <w:szCs w:val="23"/>
        </w:rPr>
        <w:t xml:space="preserve">l curso. Desde el primer curso </w:t>
      </w:r>
      <w:r w:rsidR="002A2168" w:rsidRPr="00446153">
        <w:rPr>
          <w:rFonts w:cs="Calibri"/>
          <w:color w:val="000000"/>
          <w:sz w:val="23"/>
          <w:szCs w:val="23"/>
        </w:rPr>
        <w:t>a la fecha, se</w:t>
      </w:r>
      <w:r w:rsidR="00E9675E" w:rsidRPr="00446153">
        <w:rPr>
          <w:rFonts w:cs="Calibri"/>
          <w:color w:val="000000"/>
          <w:sz w:val="23"/>
          <w:szCs w:val="23"/>
        </w:rPr>
        <w:t xml:space="preserve"> han graduado 160 instructores,</w:t>
      </w:r>
      <w:r w:rsidR="002A2168" w:rsidRPr="00446153">
        <w:rPr>
          <w:rFonts w:cs="Calibri"/>
          <w:color w:val="000000"/>
          <w:sz w:val="23"/>
          <w:szCs w:val="23"/>
        </w:rPr>
        <w:t xml:space="preserve"> entre los más de 60.000 funcionarios que componen la institución, y son ellos los encargados de poder transferir los conocimientos adquiridos a sus respectivas unidades. Se puede identificar una problemática en el diseño y transferencia de información de los programas educativos a fuerzas policiales y de orden.</w:t>
      </w:r>
    </w:p>
    <w:p w14:paraId="61E38858" w14:textId="08CEE120" w:rsidR="009D7E8D"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51</w:t>
      </w:r>
      <w:r w:rsidR="009D7E8D" w:rsidRPr="00446153">
        <w:rPr>
          <w:rFonts w:cs="Calibri"/>
          <w:b/>
          <w:color w:val="000000"/>
          <w:sz w:val="23"/>
          <w:szCs w:val="23"/>
        </w:rPr>
        <w:t>.</w:t>
      </w:r>
      <w:r w:rsidR="009D7E8D" w:rsidRPr="00446153">
        <w:rPr>
          <w:rFonts w:cs="Calibri"/>
          <w:color w:val="000000"/>
          <w:sz w:val="23"/>
          <w:szCs w:val="23"/>
        </w:rPr>
        <w:t xml:space="preserve"> Además, se ha presenciado y denunciado que el accionar de FF.EE. de Carabineros de Chile no se ajusta a sus propios protocolos de acción y que, sistemáticamente, han vulnerado los derechos humanos consagrados y garantizados por instrumentos internacionales. Por ende, al no haber una instancia de </w:t>
      </w:r>
      <w:r w:rsidR="00AB13AB" w:rsidRPr="00446153">
        <w:rPr>
          <w:rFonts w:cs="Calibri"/>
          <w:color w:val="000000"/>
          <w:sz w:val="23"/>
          <w:szCs w:val="23"/>
        </w:rPr>
        <w:t>evaluación o fiscalización, el D</w:t>
      </w:r>
      <w:r w:rsidR="009D7E8D" w:rsidRPr="00446153">
        <w:rPr>
          <w:rFonts w:cs="Calibri"/>
          <w:color w:val="000000"/>
          <w:sz w:val="23"/>
          <w:szCs w:val="23"/>
        </w:rPr>
        <w:t xml:space="preserve">epartamento no tiene facultades legales </w:t>
      </w:r>
      <w:r w:rsidR="00AB13AB" w:rsidRPr="00446153">
        <w:rPr>
          <w:rFonts w:cs="Calibri"/>
          <w:color w:val="000000"/>
          <w:sz w:val="23"/>
          <w:szCs w:val="23"/>
        </w:rPr>
        <w:t xml:space="preserve">para provocar cambios reales. </w:t>
      </w:r>
    </w:p>
    <w:p w14:paraId="70F277F3" w14:textId="0E308A5D"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lastRenderedPageBreak/>
        <w:t>52</w:t>
      </w:r>
      <w:r w:rsidR="002A2168" w:rsidRPr="00446153">
        <w:rPr>
          <w:rFonts w:cs="Calibri"/>
          <w:b/>
          <w:color w:val="000000"/>
          <w:sz w:val="23"/>
          <w:szCs w:val="23"/>
        </w:rPr>
        <w:t>.</w:t>
      </w:r>
      <w:r w:rsidR="002A2168" w:rsidRPr="00446153">
        <w:rPr>
          <w:rFonts w:cs="Calibri"/>
          <w:color w:val="000000"/>
          <w:sz w:val="23"/>
          <w:szCs w:val="23"/>
        </w:rPr>
        <w:t xml:space="preserve"> La Fundación 1367 Casa Memoria José Domingo Cañas, co</w:t>
      </w:r>
      <w:r w:rsidR="00E9675E" w:rsidRPr="00446153">
        <w:rPr>
          <w:rFonts w:cs="Calibri"/>
          <w:color w:val="000000"/>
          <w:sz w:val="23"/>
          <w:szCs w:val="23"/>
        </w:rPr>
        <w:t>mo Comisión de Observadores de Derechos H</w:t>
      </w:r>
      <w:r w:rsidR="002A2168" w:rsidRPr="00446153">
        <w:rPr>
          <w:rFonts w:cs="Calibri"/>
          <w:color w:val="000000"/>
          <w:sz w:val="23"/>
          <w:szCs w:val="23"/>
        </w:rPr>
        <w:t>umanos, han monitoreado y fiscalizado el accionar de la unidad de Fuerzas Especiales de Carabineros de Chile en contexto de protesta social de</w:t>
      </w:r>
      <w:r w:rsidR="00E9675E" w:rsidRPr="00446153">
        <w:rPr>
          <w:rFonts w:cs="Calibri"/>
          <w:color w:val="000000"/>
          <w:sz w:val="23"/>
          <w:szCs w:val="23"/>
        </w:rPr>
        <w:t>sde el año 2011. Han realizado</w:t>
      </w:r>
      <w:r w:rsidR="002A2168" w:rsidRPr="00446153">
        <w:rPr>
          <w:rFonts w:cs="Calibri"/>
          <w:color w:val="000000"/>
          <w:sz w:val="23"/>
          <w:szCs w:val="23"/>
        </w:rPr>
        <w:t xml:space="preserve"> 194 Misiones de Observación hasta abril del 2018. </w:t>
      </w:r>
      <w:r w:rsidR="00FB70E1" w:rsidRPr="00446153">
        <w:rPr>
          <w:rFonts w:cs="Calibri"/>
          <w:color w:val="000000"/>
          <w:sz w:val="23"/>
          <w:szCs w:val="23"/>
        </w:rPr>
        <w:t xml:space="preserve">La organización no ha </w:t>
      </w:r>
      <w:r w:rsidR="007C2990" w:rsidRPr="00446153">
        <w:rPr>
          <w:rFonts w:cs="Calibri"/>
          <w:color w:val="000000"/>
          <w:sz w:val="23"/>
          <w:szCs w:val="23"/>
        </w:rPr>
        <w:t xml:space="preserve">observado </w:t>
      </w:r>
      <w:r w:rsidR="002A2168" w:rsidRPr="00446153">
        <w:rPr>
          <w:rFonts w:cs="Calibri"/>
          <w:color w:val="000000"/>
          <w:sz w:val="23"/>
          <w:szCs w:val="23"/>
        </w:rPr>
        <w:t>por parte de la institución algún cambio que dé cuenta de la eficacia de</w:t>
      </w:r>
      <w:r w:rsidR="00E9675E" w:rsidRPr="00446153">
        <w:rPr>
          <w:rFonts w:cs="Calibri"/>
          <w:color w:val="000000"/>
          <w:sz w:val="23"/>
          <w:szCs w:val="23"/>
        </w:rPr>
        <w:t xml:space="preserve"> los programas de educación en derechos h</w:t>
      </w:r>
      <w:r w:rsidR="002A2168" w:rsidRPr="00446153">
        <w:rPr>
          <w:rFonts w:cs="Calibri"/>
          <w:color w:val="000000"/>
          <w:sz w:val="23"/>
          <w:szCs w:val="23"/>
        </w:rPr>
        <w:t xml:space="preserve">umanos. Existe una discordancia entre los estándares de derecho internacional que la institución ha identificado como necesarios para implementar en su trabajo y lo que en la práctica se ha realizado para alcanzar dichos </w:t>
      </w:r>
      <w:r w:rsidR="006C254A" w:rsidRPr="00446153">
        <w:rPr>
          <w:rFonts w:cs="Calibri"/>
          <w:color w:val="000000"/>
          <w:sz w:val="23"/>
          <w:szCs w:val="23"/>
        </w:rPr>
        <w:t>e</w:t>
      </w:r>
      <w:r w:rsidR="002A2168" w:rsidRPr="00446153">
        <w:rPr>
          <w:rFonts w:cs="Calibri"/>
          <w:color w:val="000000"/>
          <w:sz w:val="23"/>
          <w:szCs w:val="23"/>
        </w:rPr>
        <w:t xml:space="preserve">stándares. </w:t>
      </w:r>
    </w:p>
    <w:p w14:paraId="20F09945" w14:textId="57FA2CC0" w:rsidR="002A2168" w:rsidRPr="00446153" w:rsidRDefault="00CF0E96" w:rsidP="00241DE4">
      <w:pPr>
        <w:spacing w:after="120" w:line="240" w:lineRule="auto"/>
        <w:jc w:val="both"/>
        <w:rPr>
          <w:rFonts w:cs="Calibri"/>
          <w:i/>
          <w:color w:val="000000"/>
          <w:sz w:val="23"/>
          <w:szCs w:val="23"/>
        </w:rPr>
      </w:pPr>
      <w:r w:rsidRPr="00446153">
        <w:rPr>
          <w:rFonts w:cs="Calibri"/>
          <w:b/>
          <w:color w:val="000000"/>
          <w:sz w:val="23"/>
          <w:szCs w:val="23"/>
        </w:rPr>
        <w:t>53</w:t>
      </w:r>
      <w:r w:rsidR="002A2168" w:rsidRPr="00446153">
        <w:rPr>
          <w:rFonts w:cs="Calibri"/>
          <w:b/>
          <w:color w:val="000000"/>
          <w:sz w:val="23"/>
          <w:szCs w:val="23"/>
        </w:rPr>
        <w:t>.</w:t>
      </w:r>
      <w:r w:rsidR="002A2168" w:rsidRPr="00446153">
        <w:rPr>
          <w:rFonts w:cs="Calibri"/>
          <w:color w:val="000000"/>
          <w:sz w:val="23"/>
          <w:szCs w:val="23"/>
        </w:rPr>
        <w:t xml:space="preserve"> A modo de ejemplo, la Fundación 1367 Casa Memoria José Domingo Cañas ha observado en lo que va del año 2018 un aumento en el uso y abuso de la fuerza ejercida hacia manifestantes, principalmente contra estudiantes secundarios en contexto de protesta social, detenciones ilegales, detención de estudiantes que se encuentran en estado de inconsciencia, uso excesivo </w:t>
      </w:r>
      <w:r w:rsidR="00E9675E" w:rsidRPr="00446153">
        <w:rPr>
          <w:rFonts w:cs="Calibri"/>
          <w:color w:val="000000"/>
          <w:sz w:val="23"/>
          <w:szCs w:val="23"/>
        </w:rPr>
        <w:t>de armamento químico. Ad</w:t>
      </w:r>
      <w:r w:rsidR="002A2168" w:rsidRPr="00446153">
        <w:rPr>
          <w:rFonts w:cs="Calibri"/>
          <w:color w:val="000000"/>
          <w:sz w:val="23"/>
          <w:szCs w:val="23"/>
        </w:rPr>
        <w:t>emás</w:t>
      </w:r>
      <w:r w:rsidR="00E9675E" w:rsidRPr="00446153">
        <w:rPr>
          <w:rFonts w:cs="Calibri"/>
          <w:color w:val="000000"/>
          <w:sz w:val="23"/>
          <w:szCs w:val="23"/>
        </w:rPr>
        <w:t xml:space="preserve">, se ha evidenciado el </w:t>
      </w:r>
      <w:r w:rsidR="002A2168" w:rsidRPr="00446153">
        <w:rPr>
          <w:rFonts w:cs="Calibri"/>
          <w:color w:val="000000"/>
          <w:sz w:val="23"/>
          <w:szCs w:val="23"/>
        </w:rPr>
        <w:t xml:space="preserve">sistemático ingreso por parte de Fuerzas Especiales de Carabineros de Chile a establecimientos educacionales haciendo uso de perdigones, armamento químico al interior de los inmuebles, amedrentando a la comunidad educativa, golpeando al estudiantado y, en muchos de los casos, torturando, además de ejercer contra ellos y ellas tratos crueles, inhumanos y degradantes. Estas situaciones de vulneración de derechos se repiten también en recintos universitarios y con estudiantes de educación superior. En el caso de las y los estudiantes secundarios/as, éstos y éstas se encuentran en una situación de mayor vulnerabilidad teniendo presente que, como se indica en la Declaración de los Derechos de los Niños, Niñas y Adolescentes, </w:t>
      </w:r>
      <w:r w:rsidR="002A2168" w:rsidRPr="00446153">
        <w:rPr>
          <w:rFonts w:cs="Calibri"/>
          <w:i/>
          <w:color w:val="000000"/>
          <w:sz w:val="23"/>
          <w:szCs w:val="23"/>
        </w:rPr>
        <w:t>“el Niño/a, por su falta de madurez física y mental, necesita protección y cuidado</w:t>
      </w:r>
      <w:r w:rsidR="007C2990" w:rsidRPr="00446153">
        <w:rPr>
          <w:rFonts w:cs="Calibri"/>
          <w:i/>
          <w:color w:val="000000"/>
          <w:sz w:val="23"/>
          <w:szCs w:val="23"/>
        </w:rPr>
        <w:t>s</w:t>
      </w:r>
      <w:r w:rsidR="002A2168" w:rsidRPr="00446153">
        <w:rPr>
          <w:rFonts w:cs="Calibri"/>
          <w:i/>
          <w:color w:val="000000"/>
          <w:sz w:val="23"/>
          <w:szCs w:val="23"/>
        </w:rPr>
        <w:t xml:space="preserve"> especiales, incluso la debida protección legal, tanto antes como después del nacimiento”.</w:t>
      </w:r>
    </w:p>
    <w:p w14:paraId="4934A66F" w14:textId="45370E50"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54</w:t>
      </w:r>
      <w:r w:rsidR="002A2168" w:rsidRPr="00446153">
        <w:rPr>
          <w:rFonts w:cs="Calibri"/>
          <w:b/>
          <w:color w:val="000000"/>
          <w:sz w:val="23"/>
          <w:szCs w:val="23"/>
        </w:rPr>
        <w:t>.</w:t>
      </w:r>
      <w:r w:rsidR="002A2168" w:rsidRPr="00446153">
        <w:rPr>
          <w:rFonts w:cs="Calibri"/>
          <w:color w:val="000000"/>
          <w:sz w:val="23"/>
          <w:szCs w:val="23"/>
        </w:rPr>
        <w:t xml:space="preserve"> En relación con la formulación por parte del Estado de metodologías para evaluar la eficacia y los efectos de los programas de formación, sobre la reducción de los casos de tortura y malos tratos, esa función recae en el INDH, quien lleva a cabo el</w:t>
      </w:r>
      <w:r w:rsidR="002A2168" w:rsidRPr="00446153">
        <w:rPr>
          <w:rFonts w:cs="Calibri"/>
          <w:i/>
          <w:color w:val="000000"/>
          <w:sz w:val="23"/>
          <w:szCs w:val="23"/>
        </w:rPr>
        <w:t xml:space="preserve"> Programa de Derechos Humanos y Función Policial </w:t>
      </w:r>
      <w:r w:rsidR="002A2168" w:rsidRPr="00446153">
        <w:rPr>
          <w:rFonts w:cs="Calibri"/>
          <w:color w:val="000000"/>
          <w:sz w:val="23"/>
          <w:szCs w:val="23"/>
        </w:rPr>
        <w:t>desde</w:t>
      </w:r>
      <w:r w:rsidR="002A2168" w:rsidRPr="00446153">
        <w:rPr>
          <w:rFonts w:cs="Calibri"/>
          <w:i/>
          <w:color w:val="000000"/>
          <w:sz w:val="23"/>
          <w:szCs w:val="23"/>
        </w:rPr>
        <w:t xml:space="preserve"> </w:t>
      </w:r>
      <w:r w:rsidR="002A2168" w:rsidRPr="00446153">
        <w:rPr>
          <w:rFonts w:cs="Calibri"/>
          <w:color w:val="000000"/>
          <w:sz w:val="23"/>
          <w:szCs w:val="23"/>
        </w:rPr>
        <w:t xml:space="preserve">2013. Para poder llevar a cabo este programa de forma eficaz, el INDH propone que deben ser dotados de un sistema permanente de información y gestión en torno al abuso y violencia policial en contextos de manifestación, tratamiento de diversidades sexuales, particularmente travestis y transexuales, comunidades mapuche y sectores periféricos urbanos; facilitar modos de intervención eficiente y oportuna frente a las contingencias que en torno a estos tres ámbitos se vayan presentando; establecer redes y formas de colaboración con organizaciones de la sociedad civil que estén orientadas en la misma perspectiva. </w:t>
      </w:r>
      <w:r w:rsidR="006C254A" w:rsidRPr="00446153">
        <w:rPr>
          <w:rFonts w:cs="Calibri"/>
          <w:color w:val="000000"/>
          <w:sz w:val="23"/>
          <w:szCs w:val="23"/>
        </w:rPr>
        <w:t>Sin embargo, e</w:t>
      </w:r>
      <w:r w:rsidR="002A2168" w:rsidRPr="00446153">
        <w:rPr>
          <w:rFonts w:cs="Calibri"/>
          <w:color w:val="000000"/>
          <w:sz w:val="23"/>
          <w:szCs w:val="23"/>
        </w:rPr>
        <w:t xml:space="preserve">sto no se lleva a cabo. </w:t>
      </w:r>
    </w:p>
    <w:p w14:paraId="03E1DD46" w14:textId="151E4DD9"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55</w:t>
      </w:r>
      <w:r w:rsidR="002A2168" w:rsidRPr="00446153">
        <w:rPr>
          <w:rFonts w:cs="Calibri"/>
          <w:b/>
          <w:color w:val="000000"/>
          <w:sz w:val="23"/>
          <w:szCs w:val="23"/>
        </w:rPr>
        <w:t>.</w:t>
      </w:r>
      <w:r w:rsidR="002A2168" w:rsidRPr="00446153">
        <w:rPr>
          <w:rFonts w:cs="Calibri"/>
          <w:color w:val="000000"/>
          <w:sz w:val="23"/>
          <w:szCs w:val="23"/>
        </w:rPr>
        <w:t xml:space="preserve"> En la labor de monitoreo en materia de protesta social, se ha tenido conocimiento de la casi nula colaboración de Fuerzas Especiales de Carabineros con los y las funcionarios/as del INDH al momento de ejercer su función como fiscalizadores, se les ha negado el ingreso a los vehículos de traslado de detenidos, comisarías y han sido maltratados por agentes de FF.EE</w:t>
      </w:r>
      <w:r w:rsidR="002A2168" w:rsidRPr="00446153">
        <w:rPr>
          <w:rStyle w:val="FootnoteReference"/>
          <w:rFonts w:cs="Calibri"/>
          <w:color w:val="000000"/>
          <w:sz w:val="23"/>
          <w:szCs w:val="23"/>
        </w:rPr>
        <w:footnoteReference w:id="39"/>
      </w:r>
      <w:r w:rsidR="002A2168" w:rsidRPr="00446153">
        <w:rPr>
          <w:rFonts w:cs="Calibri"/>
          <w:color w:val="000000"/>
          <w:sz w:val="23"/>
          <w:szCs w:val="23"/>
        </w:rPr>
        <w:t xml:space="preserve">. </w:t>
      </w:r>
      <w:r w:rsidR="00E9675E" w:rsidRPr="00446153">
        <w:rPr>
          <w:rFonts w:cs="Calibri"/>
          <w:color w:val="000000"/>
          <w:sz w:val="23"/>
          <w:szCs w:val="23"/>
        </w:rPr>
        <w:t>Por otro lado, al interior de Carabineros existe</w:t>
      </w:r>
      <w:r w:rsidR="002A2168" w:rsidRPr="00446153">
        <w:rPr>
          <w:rFonts w:cs="Calibri"/>
          <w:color w:val="000000"/>
          <w:sz w:val="23"/>
          <w:szCs w:val="23"/>
        </w:rPr>
        <w:t xml:space="preserve"> desde octubre </w:t>
      </w:r>
      <w:r w:rsidR="002A2168" w:rsidRPr="00446153">
        <w:rPr>
          <w:rFonts w:cs="Calibri"/>
          <w:color w:val="000000"/>
          <w:sz w:val="23"/>
          <w:szCs w:val="23"/>
        </w:rPr>
        <w:lastRenderedPageBreak/>
        <w:t xml:space="preserve">de 2013 el </w:t>
      </w:r>
      <w:r w:rsidR="002A2168" w:rsidRPr="00446153">
        <w:rPr>
          <w:rFonts w:cs="Calibri"/>
          <w:i/>
          <w:color w:val="000000"/>
          <w:sz w:val="23"/>
          <w:szCs w:val="23"/>
        </w:rPr>
        <w:t>Reglamento de Sumarios Administrativos de Carabineros de Chile N° 15</w:t>
      </w:r>
      <w:r w:rsidR="0020480A" w:rsidRPr="00446153">
        <w:rPr>
          <w:rStyle w:val="FootnoteReference"/>
          <w:rFonts w:cs="Calibri"/>
          <w:i/>
          <w:color w:val="000000"/>
          <w:sz w:val="23"/>
          <w:szCs w:val="23"/>
        </w:rPr>
        <w:footnoteReference w:id="40"/>
      </w:r>
      <w:r w:rsidR="002A2168" w:rsidRPr="00446153">
        <w:rPr>
          <w:rFonts w:cs="Calibri"/>
          <w:i/>
          <w:color w:val="000000"/>
          <w:sz w:val="23"/>
          <w:szCs w:val="23"/>
        </w:rPr>
        <w:t xml:space="preserve">, </w:t>
      </w:r>
      <w:r w:rsidR="002A2168" w:rsidRPr="00446153">
        <w:rPr>
          <w:rFonts w:cs="Calibri"/>
          <w:color w:val="000000"/>
          <w:sz w:val="23"/>
          <w:szCs w:val="23"/>
        </w:rPr>
        <w:t xml:space="preserve">a </w:t>
      </w:r>
      <w:r w:rsidR="00E9675E" w:rsidRPr="00446153">
        <w:rPr>
          <w:rFonts w:cs="Calibri"/>
          <w:color w:val="000000"/>
          <w:sz w:val="23"/>
          <w:szCs w:val="23"/>
        </w:rPr>
        <w:t>cargo de la Justicia Militar, que tiene como finalidad</w:t>
      </w:r>
      <w:r w:rsidR="0020480A" w:rsidRPr="00446153">
        <w:rPr>
          <w:rFonts w:cs="Calibri"/>
          <w:color w:val="000000"/>
          <w:sz w:val="23"/>
          <w:szCs w:val="23"/>
        </w:rPr>
        <w:t xml:space="preserve">, entre otras, </w:t>
      </w:r>
      <w:r w:rsidR="0020480A" w:rsidRPr="00446153">
        <w:rPr>
          <w:rFonts w:cs="Calibri"/>
          <w:i/>
          <w:color w:val="000000"/>
          <w:sz w:val="23"/>
          <w:szCs w:val="23"/>
        </w:rPr>
        <w:t>“determinar el grado de responsabilidad en las faltas disciplinarias graves en que aparezca involucrado el personal”</w:t>
      </w:r>
      <w:r w:rsidR="00E9675E" w:rsidRPr="00446153">
        <w:rPr>
          <w:rFonts w:cs="Calibri"/>
          <w:color w:val="000000"/>
          <w:sz w:val="23"/>
          <w:szCs w:val="23"/>
        </w:rPr>
        <w:t>, el</w:t>
      </w:r>
      <w:r w:rsidR="002A2168" w:rsidRPr="00446153">
        <w:rPr>
          <w:rFonts w:cs="Calibri"/>
          <w:color w:val="000000"/>
          <w:sz w:val="23"/>
          <w:szCs w:val="23"/>
        </w:rPr>
        <w:t xml:space="preserve"> cual ya ha sido cuestionad</w:t>
      </w:r>
      <w:r w:rsidR="00E9675E" w:rsidRPr="00446153">
        <w:rPr>
          <w:rFonts w:cs="Calibri"/>
          <w:color w:val="000000"/>
          <w:sz w:val="23"/>
          <w:szCs w:val="23"/>
        </w:rPr>
        <w:t xml:space="preserve">o </w:t>
      </w:r>
      <w:r w:rsidR="002A2168" w:rsidRPr="00446153">
        <w:rPr>
          <w:rFonts w:cs="Calibri"/>
          <w:color w:val="000000"/>
          <w:sz w:val="23"/>
          <w:szCs w:val="23"/>
        </w:rPr>
        <w:t xml:space="preserve">en instancias internacionales. Ambos mecanismos de evaluación resultan ineficaces. </w:t>
      </w:r>
    </w:p>
    <w:p w14:paraId="0AF27DF5" w14:textId="191762C0" w:rsidR="009D7E8D" w:rsidRPr="00241DE4" w:rsidRDefault="009D7E8D" w:rsidP="00241DE4">
      <w:pPr>
        <w:spacing w:after="120" w:line="240" w:lineRule="auto"/>
        <w:jc w:val="both"/>
        <w:rPr>
          <w:rFonts w:cs="Calibri"/>
          <w:color w:val="FF0000"/>
          <w:sz w:val="23"/>
          <w:szCs w:val="23"/>
          <w:u w:val="single"/>
        </w:rPr>
      </w:pPr>
      <w:r w:rsidRPr="00446153">
        <w:rPr>
          <w:rFonts w:cs="Calibri"/>
          <w:b/>
          <w:color w:val="000000"/>
          <w:sz w:val="23"/>
          <w:szCs w:val="23"/>
        </w:rPr>
        <w:t>5</w:t>
      </w:r>
      <w:r w:rsidR="00CF0E96" w:rsidRPr="00446153">
        <w:rPr>
          <w:rFonts w:cs="Calibri"/>
          <w:b/>
          <w:color w:val="000000"/>
          <w:sz w:val="23"/>
          <w:szCs w:val="23"/>
        </w:rPr>
        <w:t>6</w:t>
      </w:r>
      <w:r w:rsidR="002A2168" w:rsidRPr="00446153">
        <w:rPr>
          <w:rFonts w:cs="Calibri"/>
          <w:b/>
          <w:color w:val="000000"/>
          <w:sz w:val="23"/>
          <w:szCs w:val="23"/>
        </w:rPr>
        <w:t>.</w:t>
      </w:r>
      <w:r w:rsidR="002A2168" w:rsidRPr="00446153">
        <w:rPr>
          <w:rFonts w:cs="Calibri"/>
          <w:color w:val="000000"/>
          <w:sz w:val="23"/>
          <w:szCs w:val="23"/>
        </w:rPr>
        <w:t xml:space="preserve"> En relación con la formación y capacitación </w:t>
      </w:r>
      <w:r w:rsidR="0020480A" w:rsidRPr="00446153">
        <w:rPr>
          <w:rFonts w:cs="Calibri"/>
          <w:color w:val="000000"/>
          <w:sz w:val="23"/>
          <w:szCs w:val="23"/>
        </w:rPr>
        <w:t>de los funcionarios</w:t>
      </w:r>
      <w:r w:rsidR="007C2990" w:rsidRPr="00446153">
        <w:rPr>
          <w:rFonts w:cs="Calibri"/>
          <w:color w:val="000000"/>
          <w:sz w:val="23"/>
          <w:szCs w:val="23"/>
        </w:rPr>
        <w:t xml:space="preserve"> públicos</w:t>
      </w:r>
      <w:r w:rsidR="0020480A" w:rsidRPr="00446153">
        <w:rPr>
          <w:rFonts w:cs="Calibri"/>
          <w:color w:val="000000"/>
          <w:sz w:val="23"/>
          <w:szCs w:val="23"/>
        </w:rPr>
        <w:t xml:space="preserve"> en el </w:t>
      </w:r>
      <w:r w:rsidR="002A2168" w:rsidRPr="00446153">
        <w:rPr>
          <w:rFonts w:cs="Calibri"/>
          <w:color w:val="000000"/>
          <w:sz w:val="23"/>
          <w:szCs w:val="23"/>
        </w:rPr>
        <w:t>Protocolo de Estambul esta ha sido llevada a cabo por el Colegio Médico en conjunto con el INDH.  Sin embargo, estas medidas se han traducido solamente en cursos o talleres, y no</w:t>
      </w:r>
      <w:r w:rsidR="007C2990" w:rsidRPr="00446153">
        <w:rPr>
          <w:rFonts w:cs="Calibri"/>
          <w:color w:val="000000"/>
          <w:sz w:val="23"/>
          <w:szCs w:val="23"/>
        </w:rPr>
        <w:t xml:space="preserve"> en</w:t>
      </w:r>
      <w:r w:rsidR="002A2168" w:rsidRPr="00446153">
        <w:rPr>
          <w:rFonts w:cs="Calibri"/>
          <w:color w:val="000000"/>
          <w:sz w:val="23"/>
          <w:szCs w:val="23"/>
        </w:rPr>
        <w:t xml:space="preserve"> la integración en la malla de contenidos de las carreras que se relacionen con el sector público</w:t>
      </w:r>
      <w:r w:rsidR="00AB13AB" w:rsidRPr="00446153">
        <w:rPr>
          <w:rFonts w:cs="Calibri"/>
          <w:color w:val="000000"/>
          <w:sz w:val="23"/>
          <w:szCs w:val="23"/>
        </w:rPr>
        <w:t xml:space="preserve"> ni en la formación de operadores/as de justicia</w:t>
      </w:r>
      <w:r w:rsidR="002A2168" w:rsidRPr="00446153">
        <w:rPr>
          <w:rFonts w:cs="Calibri"/>
          <w:color w:val="000000"/>
          <w:sz w:val="23"/>
          <w:szCs w:val="23"/>
        </w:rPr>
        <w:t xml:space="preserve">, por lo que la aplicación del Protocolo por parte de funcionarios públicos </w:t>
      </w:r>
      <w:r w:rsidR="00AB13AB" w:rsidRPr="00446153">
        <w:rPr>
          <w:rFonts w:cs="Calibri"/>
          <w:color w:val="000000"/>
          <w:sz w:val="23"/>
          <w:szCs w:val="23"/>
        </w:rPr>
        <w:t>es extr</w:t>
      </w:r>
      <w:r w:rsidR="007C2990" w:rsidRPr="00446153">
        <w:rPr>
          <w:rFonts w:cs="Calibri"/>
          <w:color w:val="000000"/>
          <w:sz w:val="23"/>
          <w:szCs w:val="23"/>
        </w:rPr>
        <w:t>e</w:t>
      </w:r>
      <w:r w:rsidR="00AB13AB" w:rsidRPr="00446153">
        <w:rPr>
          <w:rFonts w:cs="Calibri"/>
          <w:color w:val="000000"/>
          <w:sz w:val="23"/>
          <w:szCs w:val="23"/>
        </w:rPr>
        <w:t xml:space="preserve">madamente limitada </w:t>
      </w:r>
      <w:r w:rsidR="002A2168" w:rsidRPr="00446153">
        <w:rPr>
          <w:rFonts w:cs="Calibri"/>
          <w:color w:val="000000"/>
          <w:sz w:val="23"/>
          <w:szCs w:val="23"/>
        </w:rPr>
        <w:t>en la práctica, y muchas ve</w:t>
      </w:r>
      <w:r w:rsidR="004E1209" w:rsidRPr="00446153">
        <w:rPr>
          <w:rFonts w:cs="Calibri"/>
          <w:color w:val="000000"/>
          <w:sz w:val="23"/>
          <w:szCs w:val="23"/>
        </w:rPr>
        <w:t xml:space="preserve">ces se desconoce su existencia. </w:t>
      </w:r>
      <w:r w:rsidRPr="00446153">
        <w:rPr>
          <w:rFonts w:cs="Calibri"/>
          <w:color w:val="000000"/>
          <w:sz w:val="23"/>
          <w:szCs w:val="23"/>
        </w:rPr>
        <w:t xml:space="preserve">La organización Casa Memoria José Domingo Cañas ha denunciado la no aplicación del Protocolo de Estambul, además de malos tratos por parte de los funcionarios de la salud hacia los y las detenidos/as, siendo atendidos/as con las manos esposadas y/o en presencia de Carabineros, como también en casos de detenidos menores de edad, hombres, mujeres y personas pertenecientes a los Pueblos Originarios. </w:t>
      </w:r>
    </w:p>
    <w:p w14:paraId="13D6C3F9" w14:textId="38CF0758" w:rsidR="002A2168" w:rsidRPr="00446153" w:rsidRDefault="009D7E8D" w:rsidP="00241DE4">
      <w:pPr>
        <w:spacing w:after="120" w:line="240" w:lineRule="auto"/>
        <w:jc w:val="both"/>
        <w:rPr>
          <w:rFonts w:cs="Calibri"/>
          <w:color w:val="000000"/>
          <w:sz w:val="23"/>
          <w:szCs w:val="23"/>
        </w:rPr>
      </w:pPr>
      <w:r w:rsidRPr="00446153">
        <w:rPr>
          <w:rFonts w:cs="Calibri"/>
          <w:b/>
          <w:color w:val="000000"/>
          <w:sz w:val="23"/>
          <w:szCs w:val="23"/>
        </w:rPr>
        <w:t>5</w:t>
      </w:r>
      <w:r w:rsidR="00CF0E96" w:rsidRPr="00446153">
        <w:rPr>
          <w:rFonts w:cs="Calibri"/>
          <w:b/>
          <w:color w:val="000000"/>
          <w:sz w:val="23"/>
          <w:szCs w:val="23"/>
        </w:rPr>
        <w:t>7</w:t>
      </w:r>
      <w:r w:rsidR="002A2168" w:rsidRPr="00446153">
        <w:rPr>
          <w:rFonts w:cs="Calibri"/>
          <w:b/>
          <w:color w:val="000000"/>
          <w:sz w:val="23"/>
          <w:szCs w:val="23"/>
        </w:rPr>
        <w:t>.</w:t>
      </w:r>
      <w:r w:rsidR="002A2168" w:rsidRPr="00446153">
        <w:rPr>
          <w:rFonts w:cs="Calibri"/>
          <w:color w:val="000000"/>
          <w:sz w:val="23"/>
          <w:szCs w:val="23"/>
        </w:rPr>
        <w:t xml:space="preserve"> </w:t>
      </w:r>
      <w:r w:rsidRPr="00446153">
        <w:rPr>
          <w:rFonts w:cs="Calibri"/>
          <w:color w:val="000000"/>
          <w:sz w:val="23"/>
          <w:szCs w:val="23"/>
        </w:rPr>
        <w:t>Por otro lado, c</w:t>
      </w:r>
      <w:r w:rsidR="002A2168" w:rsidRPr="00446153">
        <w:rPr>
          <w:rFonts w:cs="Calibri"/>
          <w:color w:val="000000"/>
          <w:sz w:val="23"/>
          <w:szCs w:val="23"/>
        </w:rPr>
        <w:t xml:space="preserve">abe señalar que en el año 2013 se aprueba el </w:t>
      </w:r>
      <w:r w:rsidR="002A2168" w:rsidRPr="00446153">
        <w:rPr>
          <w:rFonts w:cs="Calibri"/>
          <w:i/>
          <w:color w:val="000000"/>
          <w:sz w:val="23"/>
          <w:szCs w:val="23"/>
        </w:rPr>
        <w:t>“Convenio de Protocolo Interinstitucional de Constatación de Estado de Salud de Detenidos en el proceso penal”</w:t>
      </w:r>
      <w:r w:rsidR="002A2168" w:rsidRPr="00446153">
        <w:rPr>
          <w:rStyle w:val="FootnoteReference"/>
          <w:rFonts w:cs="Calibri"/>
          <w:i/>
          <w:color w:val="000000"/>
          <w:sz w:val="23"/>
          <w:szCs w:val="23"/>
        </w:rPr>
        <w:footnoteReference w:id="41"/>
      </w:r>
      <w:r w:rsidR="002A2168" w:rsidRPr="00446153">
        <w:rPr>
          <w:rFonts w:cs="Calibri"/>
          <w:color w:val="000000"/>
          <w:sz w:val="23"/>
          <w:szCs w:val="23"/>
        </w:rPr>
        <w:t xml:space="preserve">, y uno de sus objetivos es: </w:t>
      </w:r>
      <w:r w:rsidR="002A2168" w:rsidRPr="00446153">
        <w:rPr>
          <w:rFonts w:cs="Calibri"/>
          <w:i/>
          <w:color w:val="000000"/>
          <w:sz w:val="23"/>
          <w:szCs w:val="23"/>
        </w:rPr>
        <w:t>“Terminar con la práctica generalizada de realizar evaluación de salud- constatación de lesiones a todos los detenidos ante los diversos centros de salud”,</w:t>
      </w:r>
      <w:r w:rsidR="002A2168" w:rsidRPr="00446153">
        <w:rPr>
          <w:rFonts w:cs="Calibri"/>
          <w:color w:val="000000"/>
          <w:sz w:val="23"/>
          <w:szCs w:val="23"/>
        </w:rPr>
        <w:t xml:space="preserve"> dejando a criterio de los funcionarios de Carabineros el traslado de los y las detenidas/os a realizar constatación de lesiones, abriendo la posibilidad de encubrir e invisibilizar situaciones de vulneración de derechos que cometan agentes del Estado o personas bajo su aquiescencia</w:t>
      </w:r>
      <w:r w:rsidRPr="00446153">
        <w:rPr>
          <w:rFonts w:cs="Calibri"/>
          <w:color w:val="000000"/>
          <w:sz w:val="23"/>
          <w:szCs w:val="23"/>
        </w:rPr>
        <w:t>, en los trayectos de un lugar a otro</w:t>
      </w:r>
      <w:r w:rsidR="002A2168" w:rsidRPr="00446153">
        <w:rPr>
          <w:rFonts w:cs="Calibri"/>
          <w:color w:val="000000"/>
          <w:sz w:val="23"/>
          <w:szCs w:val="23"/>
        </w:rPr>
        <w:t xml:space="preserve">. </w:t>
      </w:r>
    </w:p>
    <w:p w14:paraId="4A73DE12" w14:textId="77777777" w:rsidR="00236D63" w:rsidRPr="00446153" w:rsidRDefault="00236D63" w:rsidP="00241DE4">
      <w:pPr>
        <w:spacing w:after="120" w:line="240" w:lineRule="auto"/>
        <w:jc w:val="both"/>
        <w:rPr>
          <w:rFonts w:cs="Calibri"/>
          <w:b/>
          <w:i/>
          <w:color w:val="000000"/>
          <w:sz w:val="23"/>
          <w:szCs w:val="23"/>
          <w:u w:val="single"/>
        </w:rPr>
      </w:pPr>
    </w:p>
    <w:p w14:paraId="3128E221" w14:textId="77777777" w:rsidR="002A2168" w:rsidRPr="00446153" w:rsidRDefault="002A2168" w:rsidP="00241DE4">
      <w:pPr>
        <w:spacing w:after="120" w:line="240" w:lineRule="auto"/>
        <w:jc w:val="both"/>
        <w:rPr>
          <w:rFonts w:cs="Calibri"/>
          <w:b/>
          <w:i/>
          <w:color w:val="000000"/>
          <w:sz w:val="23"/>
          <w:szCs w:val="23"/>
        </w:rPr>
      </w:pPr>
      <w:r w:rsidRPr="00446153">
        <w:rPr>
          <w:rFonts w:cs="Calibri"/>
          <w:b/>
          <w:i/>
          <w:color w:val="000000"/>
          <w:sz w:val="23"/>
          <w:szCs w:val="23"/>
          <w:u w:val="single"/>
        </w:rPr>
        <w:t>Recomendaciones</w:t>
      </w:r>
      <w:r w:rsidRPr="00446153">
        <w:rPr>
          <w:rFonts w:cs="Calibri"/>
          <w:b/>
          <w:i/>
          <w:color w:val="000000"/>
          <w:sz w:val="23"/>
          <w:szCs w:val="23"/>
        </w:rPr>
        <w:t>:</w:t>
      </w:r>
    </w:p>
    <w:p w14:paraId="48EB87EC" w14:textId="77777777" w:rsidR="00F01E94" w:rsidRPr="00446153" w:rsidRDefault="00F01E94" w:rsidP="00241DE4">
      <w:pPr>
        <w:spacing w:after="120" w:line="240" w:lineRule="auto"/>
        <w:jc w:val="both"/>
        <w:rPr>
          <w:rFonts w:cs="Calibri"/>
          <w:b/>
          <w:i/>
          <w:color w:val="000000"/>
          <w:sz w:val="23"/>
          <w:szCs w:val="23"/>
        </w:rPr>
      </w:pPr>
    </w:p>
    <w:p w14:paraId="0877C816" w14:textId="77777777" w:rsidR="002A2168" w:rsidRPr="00446153" w:rsidRDefault="002A2168" w:rsidP="00241DE4">
      <w:pPr>
        <w:pStyle w:val="ListParagraph"/>
        <w:numPr>
          <w:ilvl w:val="0"/>
          <w:numId w:val="3"/>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Ampliar la educación continua y los programas de perfeccionamiento de funcionarios de Carabineros de Chile en materia de</w:t>
      </w:r>
      <w:r w:rsidR="002D70F9" w:rsidRPr="00446153">
        <w:rPr>
          <w:rFonts w:cs="Calibri"/>
          <w:b/>
          <w:color w:val="000000"/>
          <w:sz w:val="23"/>
          <w:szCs w:val="23"/>
        </w:rPr>
        <w:t xml:space="preserve"> prevención de la</w:t>
      </w:r>
      <w:r w:rsidRPr="00446153">
        <w:rPr>
          <w:rFonts w:cs="Calibri"/>
          <w:b/>
          <w:color w:val="000000"/>
          <w:sz w:val="23"/>
          <w:szCs w:val="23"/>
        </w:rPr>
        <w:t xml:space="preserve"> tortura, tratos crueles, inhumanos y degradantes. </w:t>
      </w:r>
    </w:p>
    <w:p w14:paraId="76439B07" w14:textId="77777777" w:rsidR="002A2168" w:rsidRPr="00446153" w:rsidRDefault="002D70F9" w:rsidP="00241DE4">
      <w:pPr>
        <w:pStyle w:val="ListParagraph"/>
        <w:numPr>
          <w:ilvl w:val="0"/>
          <w:numId w:val="3"/>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E</w:t>
      </w:r>
      <w:r w:rsidR="002A2168" w:rsidRPr="00446153">
        <w:rPr>
          <w:rFonts w:cs="Calibri"/>
          <w:b/>
          <w:color w:val="000000"/>
          <w:sz w:val="23"/>
          <w:szCs w:val="23"/>
        </w:rPr>
        <w:t xml:space="preserve">valuar la eficacia de los programas de formación </w:t>
      </w:r>
      <w:r w:rsidR="004E1209" w:rsidRPr="00446153">
        <w:rPr>
          <w:rFonts w:cs="Calibri"/>
          <w:b/>
          <w:color w:val="000000"/>
          <w:sz w:val="23"/>
          <w:szCs w:val="23"/>
        </w:rPr>
        <w:t>de los funcionarios, con la finalidad de reducir</w:t>
      </w:r>
      <w:r w:rsidR="002A2168" w:rsidRPr="00446153">
        <w:rPr>
          <w:rFonts w:cs="Calibri"/>
          <w:b/>
          <w:color w:val="000000"/>
          <w:sz w:val="23"/>
          <w:szCs w:val="23"/>
        </w:rPr>
        <w:t xml:space="preserve"> los casos de tortura y malos tratos</w:t>
      </w:r>
      <w:r w:rsidR="004E1209" w:rsidRPr="00446153">
        <w:rPr>
          <w:rFonts w:cs="Calibri"/>
          <w:b/>
          <w:color w:val="000000"/>
          <w:sz w:val="23"/>
          <w:szCs w:val="23"/>
        </w:rPr>
        <w:t xml:space="preserve">, </w:t>
      </w:r>
      <w:r w:rsidRPr="00446153">
        <w:rPr>
          <w:rFonts w:cs="Calibri"/>
          <w:b/>
          <w:color w:val="000000"/>
          <w:sz w:val="23"/>
          <w:szCs w:val="23"/>
        </w:rPr>
        <w:t>y realizar los ajustes necesarios</w:t>
      </w:r>
      <w:r w:rsidR="004E1209" w:rsidRPr="00446153">
        <w:rPr>
          <w:rFonts w:cs="Calibri"/>
          <w:b/>
          <w:color w:val="000000"/>
          <w:sz w:val="23"/>
          <w:szCs w:val="23"/>
        </w:rPr>
        <w:t xml:space="preserve"> de acuerdo a dicha evaluación. </w:t>
      </w:r>
    </w:p>
    <w:p w14:paraId="1A9F4DBC" w14:textId="77777777" w:rsidR="00B47564" w:rsidRPr="00446153" w:rsidRDefault="002A2168" w:rsidP="00241DE4">
      <w:pPr>
        <w:pStyle w:val="ListParagraph"/>
        <w:numPr>
          <w:ilvl w:val="0"/>
          <w:numId w:val="3"/>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lastRenderedPageBreak/>
        <w:t xml:space="preserve">Establecer capacitaciones y programas de perfeccionamiento para que todo el personal médico involucrado en la identificación de casos de tortura conozca el contenido del Manual para la Investigación y Documentación eficaces de la tortura y otros tratos o penas crueles, inhumanos o degradantes (Protocolo de Estambul). </w:t>
      </w:r>
    </w:p>
    <w:p w14:paraId="6C75F83D" w14:textId="77777777" w:rsidR="00AB13AB" w:rsidRPr="00446153" w:rsidRDefault="00AB13AB" w:rsidP="00241DE4">
      <w:pPr>
        <w:pStyle w:val="ListParagraph"/>
        <w:numPr>
          <w:ilvl w:val="0"/>
          <w:numId w:val="3"/>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 xml:space="preserve">Establecer capacitaciones y programas de perfeccionamiento para que operadores/as de justicia estén capacitados en la identificación, investigación y sanción de casos de tortura. </w:t>
      </w:r>
    </w:p>
    <w:p w14:paraId="0020C648" w14:textId="77777777" w:rsidR="00241DE4" w:rsidRPr="00446153" w:rsidRDefault="00241DE4" w:rsidP="00241DE4">
      <w:pPr>
        <w:spacing w:after="120" w:line="240" w:lineRule="auto"/>
        <w:jc w:val="both"/>
        <w:rPr>
          <w:rFonts w:cs="Calibri"/>
          <w:b/>
          <w:color w:val="000000"/>
          <w:sz w:val="28"/>
          <w:szCs w:val="28"/>
        </w:rPr>
      </w:pPr>
    </w:p>
    <w:p w14:paraId="7F1F5337" w14:textId="77777777" w:rsidR="004E1209" w:rsidRPr="00446153" w:rsidRDefault="002A2168" w:rsidP="00241DE4">
      <w:pPr>
        <w:spacing w:after="120" w:line="240" w:lineRule="auto"/>
        <w:jc w:val="both"/>
        <w:rPr>
          <w:rFonts w:cs="Calibri"/>
          <w:b/>
          <w:color w:val="000000"/>
          <w:sz w:val="28"/>
          <w:szCs w:val="28"/>
        </w:rPr>
      </w:pPr>
      <w:r w:rsidRPr="00446153">
        <w:rPr>
          <w:rFonts w:cs="Calibri"/>
          <w:b/>
          <w:color w:val="000000"/>
          <w:sz w:val="28"/>
          <w:szCs w:val="28"/>
        </w:rPr>
        <w:t>Artículo 11</w:t>
      </w:r>
    </w:p>
    <w:p w14:paraId="04636A10" w14:textId="77777777" w:rsidR="00241DE4" w:rsidRPr="00446153" w:rsidRDefault="00241DE4" w:rsidP="00241DE4">
      <w:pPr>
        <w:spacing w:after="120" w:line="240" w:lineRule="auto"/>
        <w:jc w:val="both"/>
        <w:rPr>
          <w:rFonts w:cs="Calibri"/>
          <w:b/>
          <w:color w:val="000000"/>
          <w:sz w:val="23"/>
          <w:szCs w:val="23"/>
        </w:rPr>
      </w:pPr>
    </w:p>
    <w:p w14:paraId="6FC8742A"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Políticas públicas y su ejecución</w:t>
      </w:r>
    </w:p>
    <w:p w14:paraId="74E89A3D" w14:textId="77777777" w:rsidR="00241DE4" w:rsidRPr="00446153" w:rsidRDefault="00241DE4" w:rsidP="00241DE4">
      <w:pPr>
        <w:spacing w:after="120" w:line="240" w:lineRule="auto"/>
        <w:jc w:val="both"/>
        <w:rPr>
          <w:rFonts w:cs="Calibri"/>
          <w:b/>
          <w:color w:val="000000"/>
          <w:sz w:val="23"/>
          <w:szCs w:val="23"/>
        </w:rPr>
      </w:pPr>
    </w:p>
    <w:p w14:paraId="781D73F4" w14:textId="795041AA"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58</w:t>
      </w:r>
      <w:r w:rsidR="002A2168" w:rsidRPr="00446153">
        <w:rPr>
          <w:rFonts w:cs="Calibri"/>
          <w:b/>
          <w:color w:val="000000"/>
          <w:sz w:val="23"/>
          <w:szCs w:val="23"/>
        </w:rPr>
        <w:t>.</w:t>
      </w:r>
      <w:r w:rsidR="002A2168" w:rsidRPr="00446153">
        <w:rPr>
          <w:rFonts w:cs="Calibri"/>
          <w:color w:val="000000"/>
          <w:sz w:val="23"/>
          <w:szCs w:val="23"/>
        </w:rPr>
        <w:t xml:space="preserve"> En la última década, el Estado de Chile ha realizado modificaciones legales que restringen o excluye</w:t>
      </w:r>
      <w:r w:rsidR="002D70F9" w:rsidRPr="00446153">
        <w:rPr>
          <w:rFonts w:cs="Calibri"/>
          <w:color w:val="000000"/>
          <w:sz w:val="23"/>
          <w:szCs w:val="23"/>
        </w:rPr>
        <w:t>n</w:t>
      </w:r>
      <w:r w:rsidR="002A2168" w:rsidRPr="00446153">
        <w:rPr>
          <w:rFonts w:cs="Calibri"/>
          <w:color w:val="000000"/>
          <w:sz w:val="23"/>
          <w:szCs w:val="23"/>
        </w:rPr>
        <w:t xml:space="preserve"> la posibilidad de acceder a penas s</w:t>
      </w:r>
      <w:r w:rsidR="004E1209" w:rsidRPr="00446153">
        <w:rPr>
          <w:rFonts w:cs="Calibri"/>
          <w:color w:val="000000"/>
          <w:sz w:val="23"/>
          <w:szCs w:val="23"/>
        </w:rPr>
        <w:t>ustitutivas</w:t>
      </w:r>
      <w:r w:rsidR="002A2168" w:rsidRPr="00446153">
        <w:rPr>
          <w:rFonts w:cs="Calibri"/>
          <w:color w:val="000000"/>
          <w:sz w:val="23"/>
          <w:szCs w:val="23"/>
        </w:rPr>
        <w:t xml:space="preserve"> a las personas que resulten condenadas por delitos de mediana o alta connotación pública. La búsqueda por no dar señales de impunidad ante la</w:t>
      </w:r>
      <w:r w:rsidR="00AB13AB" w:rsidRPr="00446153">
        <w:rPr>
          <w:rFonts w:cs="Calibri"/>
          <w:color w:val="000000"/>
          <w:sz w:val="23"/>
          <w:szCs w:val="23"/>
        </w:rPr>
        <w:t xml:space="preserve"> opinión pública por parte del Poder L</w:t>
      </w:r>
      <w:r w:rsidR="002A2168" w:rsidRPr="00446153">
        <w:rPr>
          <w:rFonts w:cs="Calibri"/>
          <w:color w:val="000000"/>
          <w:sz w:val="23"/>
          <w:szCs w:val="23"/>
        </w:rPr>
        <w:t xml:space="preserve">egislativo llevó a un aumento de la población penal privada de libertad, lo que queda en evidencia al comparar la situación actual del país con la situación vigente al emitirse el Quinto Informe del </w:t>
      </w:r>
      <w:r w:rsidR="00614C48" w:rsidRPr="00446153">
        <w:rPr>
          <w:rFonts w:cs="Calibri"/>
          <w:color w:val="000000"/>
          <w:sz w:val="23"/>
          <w:szCs w:val="23"/>
        </w:rPr>
        <w:t xml:space="preserve">Comité contra la Tortura respecto de Chile en </w:t>
      </w:r>
      <w:r w:rsidR="002A2168" w:rsidRPr="00446153">
        <w:rPr>
          <w:rFonts w:cs="Calibri"/>
          <w:color w:val="000000"/>
          <w:sz w:val="23"/>
          <w:szCs w:val="23"/>
        </w:rPr>
        <w:t xml:space="preserve">el año 2005, </w:t>
      </w:r>
      <w:r w:rsidR="00614C48" w:rsidRPr="00446153">
        <w:rPr>
          <w:rFonts w:cs="Calibri"/>
          <w:color w:val="000000"/>
          <w:sz w:val="23"/>
          <w:szCs w:val="23"/>
        </w:rPr>
        <w:t>en que</w:t>
      </w:r>
      <w:r w:rsidR="002A2168" w:rsidRPr="00446153">
        <w:rPr>
          <w:rFonts w:cs="Calibri"/>
          <w:color w:val="000000"/>
          <w:sz w:val="23"/>
          <w:szCs w:val="23"/>
        </w:rPr>
        <w:t xml:space="preserve"> la población penal que pertenecía al régimen cerrado llegó a un total de 38.071</w:t>
      </w:r>
      <w:r w:rsidR="004E1209" w:rsidRPr="00446153">
        <w:rPr>
          <w:rStyle w:val="FootnoteReference"/>
          <w:rFonts w:cs="Calibri"/>
          <w:color w:val="000000"/>
          <w:sz w:val="23"/>
          <w:szCs w:val="23"/>
        </w:rPr>
        <w:footnoteReference w:id="42"/>
      </w:r>
      <w:r w:rsidR="002A2168" w:rsidRPr="00446153">
        <w:rPr>
          <w:rFonts w:cs="Calibri"/>
          <w:color w:val="000000"/>
          <w:sz w:val="23"/>
          <w:szCs w:val="23"/>
        </w:rPr>
        <w:t xml:space="preserve"> personas, mientras que a marzo del 2018 la cifra llega a un total de 49.711 personas</w:t>
      </w:r>
      <w:r w:rsidR="004E1209" w:rsidRPr="00446153">
        <w:rPr>
          <w:rStyle w:val="FootnoteReference"/>
          <w:rFonts w:cs="Calibri"/>
          <w:color w:val="000000"/>
          <w:sz w:val="23"/>
          <w:szCs w:val="23"/>
        </w:rPr>
        <w:footnoteReference w:id="43"/>
      </w:r>
      <w:r w:rsidR="002A2168" w:rsidRPr="00446153">
        <w:rPr>
          <w:rFonts w:cs="Calibri"/>
          <w:color w:val="000000"/>
          <w:sz w:val="23"/>
          <w:szCs w:val="23"/>
        </w:rPr>
        <w:t>.</w:t>
      </w:r>
      <w:r w:rsidR="00614C48" w:rsidRPr="00446153">
        <w:rPr>
          <w:rFonts w:cs="Calibri"/>
          <w:color w:val="000000"/>
          <w:sz w:val="23"/>
          <w:szCs w:val="23"/>
        </w:rPr>
        <w:t xml:space="preserve"> </w:t>
      </w:r>
      <w:r w:rsidR="002A2168" w:rsidRPr="00446153">
        <w:rPr>
          <w:rFonts w:cs="Calibri"/>
          <w:color w:val="000000"/>
          <w:sz w:val="23"/>
          <w:szCs w:val="23"/>
        </w:rPr>
        <w:t>A lo anterior se suma la preocupación por la introducción de modificaciones al Decreto Ley nº 321 que regula la Libertad Condicional, que aumenta las exigencias normativas para poder postular a este beneficio.</w:t>
      </w:r>
    </w:p>
    <w:p w14:paraId="1CF64BDB" w14:textId="2E639EA1"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59</w:t>
      </w:r>
      <w:r w:rsidR="002A2168" w:rsidRPr="00446153">
        <w:rPr>
          <w:rFonts w:cs="Calibri"/>
          <w:b/>
          <w:color w:val="000000"/>
          <w:sz w:val="23"/>
          <w:szCs w:val="23"/>
        </w:rPr>
        <w:t>.</w:t>
      </w:r>
      <w:r w:rsidR="002A2168" w:rsidRPr="00446153">
        <w:rPr>
          <w:rFonts w:cs="Calibri"/>
          <w:color w:val="000000"/>
          <w:sz w:val="23"/>
          <w:szCs w:val="23"/>
        </w:rPr>
        <w:t xml:space="preserve"> Este aumento de personas privadas de libertad fue acompañado de nuevas vulneraciones a sus derechos humanos. Incluso, el intento de reducción del hacinamiento, con la creación de nuevas cárceles como las de Antofagasta, Valdivia, Puerto Montt y La Serena, abrió un nuevo foco de vulneración de los derechos de las personas privadas de libertad, específicamente el derecho a recibir visitas íntimas y familiares. Esto se originó ya que ante la sobrepoblación de las cárceles de la Región Metropolitana y la Región de Valparaíso, muchas personas privadas de libertad fueron trasladadas a las nuevas cárceles, existiendo una gran distancia entre la nueva cárcel en la que estaba la persona y la residencia de su grupo familiar o de apoyo, reduciéndose </w:t>
      </w:r>
      <w:r w:rsidR="005A22A4" w:rsidRPr="00446153">
        <w:rPr>
          <w:rFonts w:cs="Calibri"/>
          <w:color w:val="000000"/>
          <w:sz w:val="23"/>
          <w:szCs w:val="23"/>
        </w:rPr>
        <w:t>o eliminándose las visitas.</w:t>
      </w:r>
    </w:p>
    <w:p w14:paraId="2FC8DFE9" w14:textId="4F4D5F01"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60</w:t>
      </w:r>
      <w:r w:rsidR="002A2168" w:rsidRPr="00446153">
        <w:rPr>
          <w:rFonts w:cs="Calibri"/>
          <w:b/>
          <w:color w:val="000000"/>
          <w:sz w:val="23"/>
          <w:szCs w:val="23"/>
        </w:rPr>
        <w:t>.</w:t>
      </w:r>
      <w:r w:rsidR="002A2168" w:rsidRPr="00446153">
        <w:rPr>
          <w:rFonts w:cs="Calibri"/>
          <w:color w:val="000000"/>
          <w:sz w:val="23"/>
          <w:szCs w:val="23"/>
        </w:rPr>
        <w:t xml:space="preserve"> Las condiciones de sobrepoblación </w:t>
      </w:r>
      <w:r w:rsidR="005A22A4" w:rsidRPr="00446153">
        <w:rPr>
          <w:rFonts w:cs="Calibri"/>
          <w:color w:val="000000"/>
          <w:sz w:val="23"/>
          <w:szCs w:val="23"/>
        </w:rPr>
        <w:t xml:space="preserve">causan </w:t>
      </w:r>
      <w:r w:rsidR="002A2168" w:rsidRPr="00446153">
        <w:rPr>
          <w:rFonts w:cs="Calibri"/>
          <w:color w:val="000000"/>
          <w:sz w:val="23"/>
          <w:szCs w:val="23"/>
        </w:rPr>
        <w:t>una serie de consecuencias perjudiciales en las personas privadas de libertad</w:t>
      </w:r>
      <w:r w:rsidR="009C1CDC" w:rsidRPr="00446153">
        <w:rPr>
          <w:rFonts w:cs="Calibri"/>
          <w:color w:val="000000"/>
          <w:sz w:val="23"/>
          <w:szCs w:val="23"/>
        </w:rPr>
        <w:t>. Se advierten así</w:t>
      </w:r>
      <w:r w:rsidR="002A2168" w:rsidRPr="00446153">
        <w:rPr>
          <w:rFonts w:cs="Calibri"/>
          <w:color w:val="000000"/>
          <w:sz w:val="23"/>
          <w:szCs w:val="23"/>
        </w:rPr>
        <w:t xml:space="preserve"> los inevitables climas de conflictos </w:t>
      </w:r>
      <w:r w:rsidR="002A2168" w:rsidRPr="00446153">
        <w:rPr>
          <w:rFonts w:cs="Calibri"/>
          <w:color w:val="000000"/>
          <w:sz w:val="23"/>
          <w:szCs w:val="23"/>
        </w:rPr>
        <w:lastRenderedPageBreak/>
        <w:t xml:space="preserve">por los escasos espacios al interior de las cárceles; </w:t>
      </w:r>
      <w:r w:rsidR="009C1CDC" w:rsidRPr="00446153">
        <w:rPr>
          <w:rFonts w:cs="Calibri"/>
          <w:color w:val="000000"/>
          <w:sz w:val="23"/>
          <w:szCs w:val="23"/>
        </w:rPr>
        <w:t xml:space="preserve">y </w:t>
      </w:r>
      <w:r w:rsidR="002A2168" w:rsidRPr="00446153">
        <w:rPr>
          <w:rFonts w:cs="Calibri"/>
          <w:color w:val="000000"/>
          <w:sz w:val="23"/>
          <w:szCs w:val="23"/>
        </w:rPr>
        <w:t>la disminuida capacidad de los funci</w:t>
      </w:r>
      <w:r w:rsidR="009C1CDC" w:rsidRPr="00446153">
        <w:rPr>
          <w:rFonts w:cs="Calibri"/>
          <w:color w:val="000000"/>
          <w:sz w:val="23"/>
          <w:szCs w:val="23"/>
        </w:rPr>
        <w:t xml:space="preserve">onarios de Gendarmería </w:t>
      </w:r>
      <w:r w:rsidR="002A2168" w:rsidRPr="00446153">
        <w:rPr>
          <w:rFonts w:cs="Calibri"/>
          <w:color w:val="000000"/>
          <w:sz w:val="23"/>
          <w:szCs w:val="23"/>
        </w:rPr>
        <w:t xml:space="preserve">para reaccionar ante todos los episodios de violencia entre presos o de funcionarios que se apartan de sus funciones, </w:t>
      </w:r>
      <w:r w:rsidR="009C1CDC" w:rsidRPr="00446153">
        <w:rPr>
          <w:rFonts w:cs="Calibri"/>
          <w:color w:val="000000"/>
          <w:sz w:val="23"/>
          <w:szCs w:val="23"/>
        </w:rPr>
        <w:t>lo cual provoca</w:t>
      </w:r>
      <w:r w:rsidR="002A2168" w:rsidRPr="00446153">
        <w:rPr>
          <w:rFonts w:cs="Calibri"/>
          <w:color w:val="000000"/>
          <w:sz w:val="23"/>
          <w:szCs w:val="23"/>
        </w:rPr>
        <w:t xml:space="preserve"> episodios de violencia en contra de las</w:t>
      </w:r>
      <w:r w:rsidR="009C1CDC" w:rsidRPr="00446153">
        <w:rPr>
          <w:rFonts w:cs="Calibri"/>
          <w:color w:val="000000"/>
          <w:sz w:val="23"/>
          <w:szCs w:val="23"/>
        </w:rPr>
        <w:t xml:space="preserve"> personas privadas de libertad. Además, se identifica </w:t>
      </w:r>
      <w:r w:rsidR="002A2168" w:rsidRPr="00446153">
        <w:rPr>
          <w:rFonts w:cs="Calibri"/>
          <w:color w:val="000000"/>
          <w:sz w:val="23"/>
          <w:szCs w:val="23"/>
        </w:rPr>
        <w:t>el difícil acceso a la atención médica física o mental oportuna y adecuada; la falta de acceso a los Tribunales de Justicia para reclamar oportunamente por las vulneraci</w:t>
      </w:r>
      <w:r w:rsidR="009C1CDC" w:rsidRPr="00446153">
        <w:rPr>
          <w:rFonts w:cs="Calibri"/>
          <w:color w:val="000000"/>
          <w:sz w:val="23"/>
          <w:szCs w:val="23"/>
        </w:rPr>
        <w:t>ones a sus derechos; entre otros factores problemáticos</w:t>
      </w:r>
      <w:r w:rsidR="002A2168" w:rsidRPr="00446153">
        <w:rPr>
          <w:rFonts w:cs="Calibri"/>
          <w:color w:val="000000"/>
          <w:sz w:val="23"/>
          <w:szCs w:val="23"/>
        </w:rPr>
        <w:t xml:space="preserve">. A la fecha no se vislumbran medidas legislativas o administrativas concretas que reduzcan los efectos nocivos de la privación de libertad, la sobrepoblación o las mejoras en las condiciones de los recintos penitenciarios que en algunos casos llevan décadas sin mayores remodelaciones. </w:t>
      </w:r>
      <w:r w:rsidR="002A2168" w:rsidRPr="00446153">
        <w:rPr>
          <w:rFonts w:cs="Calibri"/>
          <w:b/>
          <w:color w:val="000000"/>
          <w:sz w:val="23"/>
          <w:szCs w:val="23"/>
        </w:rPr>
        <w:t xml:space="preserve"> </w:t>
      </w:r>
    </w:p>
    <w:p w14:paraId="4842AED5" w14:textId="22C3FBA4" w:rsidR="002A2168" w:rsidRPr="00241DE4" w:rsidRDefault="00CF0E96" w:rsidP="00241DE4">
      <w:pPr>
        <w:widowControl w:val="0"/>
        <w:autoSpaceDE w:val="0"/>
        <w:autoSpaceDN w:val="0"/>
        <w:adjustRightInd w:val="0"/>
        <w:spacing w:after="120" w:line="240" w:lineRule="auto"/>
        <w:jc w:val="both"/>
        <w:rPr>
          <w:rFonts w:cs="Calibri"/>
          <w:sz w:val="23"/>
          <w:szCs w:val="23"/>
        </w:rPr>
      </w:pPr>
      <w:r>
        <w:rPr>
          <w:rFonts w:cs="Calibri"/>
          <w:b/>
          <w:sz w:val="23"/>
          <w:szCs w:val="23"/>
        </w:rPr>
        <w:t>61</w:t>
      </w:r>
      <w:r w:rsidR="002A2168" w:rsidRPr="00241DE4">
        <w:rPr>
          <w:rFonts w:cs="Calibri"/>
          <w:b/>
          <w:sz w:val="23"/>
          <w:szCs w:val="23"/>
        </w:rPr>
        <w:t>.</w:t>
      </w:r>
      <w:r w:rsidR="002A2168" w:rsidRPr="00241DE4">
        <w:rPr>
          <w:rFonts w:cs="Calibri"/>
          <w:sz w:val="23"/>
          <w:szCs w:val="23"/>
        </w:rPr>
        <w:t xml:space="preserve"> Más pr</w:t>
      </w:r>
      <w:r w:rsidR="00AB13AB" w:rsidRPr="00241DE4">
        <w:rPr>
          <w:rFonts w:cs="Calibri"/>
          <w:sz w:val="23"/>
          <w:szCs w:val="23"/>
        </w:rPr>
        <w:t>eocupante resulta que el nuevo Gobierno del P</w:t>
      </w:r>
      <w:r w:rsidR="002A2168" w:rsidRPr="00241DE4">
        <w:rPr>
          <w:rFonts w:cs="Calibri"/>
          <w:sz w:val="23"/>
          <w:szCs w:val="23"/>
        </w:rPr>
        <w:t>residente Sebastián Piñera retirara de los canales formale</w:t>
      </w:r>
      <w:r w:rsidR="00614C48" w:rsidRPr="00241DE4">
        <w:rPr>
          <w:rFonts w:cs="Calibri"/>
          <w:sz w:val="23"/>
          <w:szCs w:val="23"/>
        </w:rPr>
        <w:t xml:space="preserve">s el </w:t>
      </w:r>
      <w:r w:rsidR="009C1CDC" w:rsidRPr="00241DE4">
        <w:rPr>
          <w:rFonts w:cs="Calibri"/>
          <w:sz w:val="23"/>
          <w:szCs w:val="23"/>
        </w:rPr>
        <w:t xml:space="preserve">nuevo </w:t>
      </w:r>
      <w:r w:rsidR="00614C48" w:rsidRPr="00241DE4">
        <w:rPr>
          <w:rFonts w:cs="Calibri"/>
          <w:sz w:val="23"/>
          <w:szCs w:val="23"/>
        </w:rPr>
        <w:t>Reglamento</w:t>
      </w:r>
      <w:r w:rsidR="00AB13AB" w:rsidRPr="00241DE4">
        <w:rPr>
          <w:rFonts w:cs="Calibri"/>
          <w:sz w:val="23"/>
          <w:szCs w:val="23"/>
        </w:rPr>
        <w:t xml:space="preserve"> </w:t>
      </w:r>
      <w:r w:rsidR="00614C48" w:rsidRPr="00241DE4">
        <w:rPr>
          <w:rFonts w:cs="Calibri"/>
          <w:sz w:val="23"/>
          <w:szCs w:val="23"/>
        </w:rPr>
        <w:t>de Establecimientos Penitenciarios</w:t>
      </w:r>
      <w:r w:rsidR="002A2168" w:rsidRPr="00241DE4">
        <w:rPr>
          <w:rFonts w:cs="Calibri"/>
          <w:sz w:val="23"/>
          <w:szCs w:val="23"/>
        </w:rPr>
        <w:t>, truncando e</w:t>
      </w:r>
      <w:r w:rsidR="0049722C" w:rsidRPr="00241DE4">
        <w:rPr>
          <w:rFonts w:cs="Calibri"/>
          <w:sz w:val="23"/>
          <w:szCs w:val="23"/>
        </w:rPr>
        <w:t xml:space="preserve">l proceso de revisión y reforma, </w:t>
      </w:r>
      <w:r w:rsidR="002A2168" w:rsidRPr="00241DE4">
        <w:rPr>
          <w:rFonts w:cs="Calibri"/>
          <w:sz w:val="23"/>
          <w:szCs w:val="23"/>
        </w:rPr>
        <w:t xml:space="preserve">lo que refleja la baja prioridad que el tema de tortura en cárceles y falta de control jurisdiccional del régimen sancionatorio tendrían para esta nueva administración. </w:t>
      </w:r>
    </w:p>
    <w:p w14:paraId="4139FC44" w14:textId="77777777" w:rsidR="009C1CDC" w:rsidRPr="00446153" w:rsidRDefault="009C1CDC" w:rsidP="00241DE4">
      <w:pPr>
        <w:spacing w:after="120" w:line="240" w:lineRule="auto"/>
        <w:jc w:val="both"/>
        <w:rPr>
          <w:rFonts w:cs="Calibri"/>
          <w:b/>
          <w:i/>
          <w:color w:val="000000"/>
          <w:sz w:val="23"/>
          <w:szCs w:val="23"/>
          <w:u w:val="single"/>
        </w:rPr>
      </w:pPr>
    </w:p>
    <w:p w14:paraId="688FA334" w14:textId="77777777" w:rsidR="002A2168" w:rsidRPr="00446153" w:rsidRDefault="002A2168" w:rsidP="00241DE4">
      <w:pPr>
        <w:spacing w:after="120" w:line="240" w:lineRule="auto"/>
        <w:jc w:val="both"/>
        <w:rPr>
          <w:rFonts w:cs="Calibri"/>
          <w:b/>
          <w:i/>
          <w:color w:val="000000"/>
          <w:sz w:val="23"/>
          <w:szCs w:val="23"/>
        </w:rPr>
      </w:pPr>
      <w:r w:rsidRPr="00446153">
        <w:rPr>
          <w:rFonts w:cs="Calibri"/>
          <w:b/>
          <w:i/>
          <w:color w:val="000000"/>
          <w:sz w:val="23"/>
          <w:szCs w:val="23"/>
          <w:u w:val="single"/>
        </w:rPr>
        <w:t>Recomendaciones</w:t>
      </w:r>
      <w:r w:rsidRPr="00446153">
        <w:rPr>
          <w:rFonts w:cs="Calibri"/>
          <w:b/>
          <w:i/>
          <w:color w:val="000000"/>
          <w:sz w:val="23"/>
          <w:szCs w:val="23"/>
        </w:rPr>
        <w:t>:</w:t>
      </w:r>
    </w:p>
    <w:p w14:paraId="0DA4855C" w14:textId="77777777" w:rsidR="00241DE4" w:rsidRPr="00446153" w:rsidRDefault="00241DE4" w:rsidP="00241DE4">
      <w:pPr>
        <w:spacing w:after="120" w:line="240" w:lineRule="auto"/>
        <w:jc w:val="both"/>
        <w:rPr>
          <w:rFonts w:cs="Calibri"/>
          <w:b/>
          <w:i/>
          <w:color w:val="000000"/>
          <w:sz w:val="23"/>
          <w:szCs w:val="23"/>
        </w:rPr>
      </w:pPr>
    </w:p>
    <w:p w14:paraId="6974EE4F" w14:textId="77777777" w:rsidR="002A2168" w:rsidRPr="00446153" w:rsidRDefault="002A2168" w:rsidP="00241DE4">
      <w:pPr>
        <w:numPr>
          <w:ilvl w:val="0"/>
          <w:numId w:val="4"/>
        </w:numPr>
        <w:spacing w:after="120" w:line="240" w:lineRule="auto"/>
        <w:ind w:left="714" w:hanging="357"/>
        <w:jc w:val="both"/>
        <w:rPr>
          <w:rFonts w:cs="Calibri"/>
          <w:b/>
          <w:color w:val="000000"/>
          <w:sz w:val="23"/>
          <w:szCs w:val="23"/>
        </w:rPr>
      </w:pPr>
      <w:r w:rsidRPr="00446153">
        <w:rPr>
          <w:rFonts w:cs="Calibri"/>
          <w:b/>
          <w:color w:val="000000"/>
          <w:sz w:val="23"/>
          <w:szCs w:val="23"/>
        </w:rPr>
        <w:t>Promulgar una Ley de Ejecución de Penas que garantice el acceso a la justicia por parte de las personas pr</w:t>
      </w:r>
      <w:r w:rsidR="00AB13AB" w:rsidRPr="00446153">
        <w:rPr>
          <w:rFonts w:cs="Calibri"/>
          <w:b/>
          <w:color w:val="000000"/>
          <w:sz w:val="23"/>
          <w:szCs w:val="23"/>
        </w:rPr>
        <w:t xml:space="preserve">ivadas de </w:t>
      </w:r>
      <w:r w:rsidR="00AB13AB" w:rsidRPr="00241DE4">
        <w:rPr>
          <w:rFonts w:cs="Calibri"/>
          <w:b/>
          <w:sz w:val="23"/>
          <w:szCs w:val="23"/>
        </w:rPr>
        <w:t xml:space="preserve">libertad, </w:t>
      </w:r>
      <w:r w:rsidR="00AB13AB" w:rsidRPr="00241DE4">
        <w:rPr>
          <w:rFonts w:cs="Calibri"/>
          <w:b/>
          <w:sz w:val="23"/>
          <w:szCs w:val="23"/>
          <w:highlight w:val="white"/>
        </w:rPr>
        <w:t>y su reglamento acorde, que recoja las reales necesidades de la población penitenciaria y tenga enfoque de derechos humanos y perspectiva de género.</w:t>
      </w:r>
    </w:p>
    <w:p w14:paraId="45E74688" w14:textId="77777777" w:rsidR="002A2168" w:rsidRPr="00446153" w:rsidRDefault="002A2168" w:rsidP="00241DE4">
      <w:pPr>
        <w:numPr>
          <w:ilvl w:val="0"/>
          <w:numId w:val="4"/>
        </w:numPr>
        <w:spacing w:after="120" w:line="240" w:lineRule="auto"/>
        <w:ind w:left="714" w:hanging="357"/>
        <w:jc w:val="both"/>
        <w:rPr>
          <w:rFonts w:cs="Calibri"/>
          <w:b/>
          <w:color w:val="000000"/>
          <w:sz w:val="23"/>
          <w:szCs w:val="23"/>
        </w:rPr>
      </w:pPr>
      <w:r w:rsidRPr="00446153">
        <w:rPr>
          <w:rFonts w:cs="Calibri"/>
          <w:b/>
          <w:color w:val="000000"/>
          <w:sz w:val="23"/>
          <w:szCs w:val="23"/>
        </w:rPr>
        <w:t xml:space="preserve">Reforzar </w:t>
      </w:r>
      <w:r w:rsidR="005A22A4" w:rsidRPr="00446153">
        <w:rPr>
          <w:rFonts w:cs="Calibri"/>
          <w:b/>
          <w:color w:val="000000"/>
          <w:sz w:val="23"/>
          <w:szCs w:val="23"/>
        </w:rPr>
        <w:t xml:space="preserve">a </w:t>
      </w:r>
      <w:r w:rsidRPr="00446153">
        <w:rPr>
          <w:rFonts w:cs="Calibri"/>
          <w:b/>
          <w:color w:val="000000"/>
          <w:sz w:val="23"/>
          <w:szCs w:val="23"/>
        </w:rPr>
        <w:t xml:space="preserve">las instituciones involucradas en el cumplimiento de condenas (Poder Judicial, Gendarmería de Chile, Defensoría Penal Pública y el Instituto Nacional de Derechos Humanos) con el objeto de facilitar el control de las actuaciones o conductas que se desplieguen al interior de las cárceles o que puedan afectarlas. </w:t>
      </w:r>
    </w:p>
    <w:p w14:paraId="5489B695" w14:textId="77777777" w:rsidR="002A2168" w:rsidRPr="00446153" w:rsidRDefault="002A2168" w:rsidP="00241DE4">
      <w:pPr>
        <w:numPr>
          <w:ilvl w:val="0"/>
          <w:numId w:val="4"/>
        </w:numPr>
        <w:spacing w:after="120" w:line="240" w:lineRule="auto"/>
        <w:ind w:left="714" w:hanging="357"/>
        <w:jc w:val="both"/>
        <w:rPr>
          <w:rFonts w:cs="Calibri"/>
          <w:b/>
          <w:color w:val="000000"/>
          <w:sz w:val="23"/>
          <w:szCs w:val="23"/>
        </w:rPr>
      </w:pPr>
      <w:r w:rsidRPr="00446153">
        <w:rPr>
          <w:rFonts w:cs="Calibri"/>
          <w:b/>
          <w:color w:val="000000"/>
          <w:sz w:val="23"/>
          <w:szCs w:val="23"/>
        </w:rPr>
        <w:t>Facilitar el acceso a las organizaciones de la sociedad civil a los recintos penitenciarios con el objeto de facilitar un control por parte de la ciudadanía de las actuaciones o conductas que se desplieguen al interior de las cárceles o que puedan afectarlas.</w:t>
      </w:r>
    </w:p>
    <w:p w14:paraId="422E508A" w14:textId="77777777" w:rsidR="002A2168" w:rsidRPr="00446153" w:rsidRDefault="00AB13AB" w:rsidP="00241DE4">
      <w:pPr>
        <w:numPr>
          <w:ilvl w:val="0"/>
          <w:numId w:val="4"/>
        </w:numPr>
        <w:spacing w:after="120" w:line="240" w:lineRule="auto"/>
        <w:ind w:left="714" w:hanging="357"/>
        <w:jc w:val="both"/>
        <w:rPr>
          <w:rFonts w:cs="Calibri"/>
          <w:b/>
          <w:color w:val="000000"/>
          <w:sz w:val="23"/>
          <w:szCs w:val="23"/>
        </w:rPr>
      </w:pPr>
      <w:r w:rsidRPr="00446153">
        <w:rPr>
          <w:rFonts w:cs="Calibri"/>
          <w:b/>
          <w:color w:val="000000"/>
          <w:sz w:val="23"/>
          <w:szCs w:val="23"/>
        </w:rPr>
        <w:t>Difundir los</w:t>
      </w:r>
      <w:r w:rsidR="002A2168" w:rsidRPr="00446153">
        <w:rPr>
          <w:rFonts w:cs="Calibri"/>
          <w:b/>
          <w:color w:val="000000"/>
          <w:sz w:val="23"/>
          <w:szCs w:val="23"/>
        </w:rPr>
        <w:t xml:space="preserve"> beneficios que suponen que las personas privadas de libertad cumplan sus medidas cautelares o condenas en el medio libre, </w:t>
      </w:r>
      <w:r w:rsidRPr="00446153">
        <w:rPr>
          <w:rFonts w:cs="Calibri"/>
          <w:b/>
          <w:color w:val="000000"/>
          <w:sz w:val="23"/>
          <w:szCs w:val="23"/>
        </w:rPr>
        <w:t xml:space="preserve">en especial para mujeres  y hombres con responsabilidades familiares, </w:t>
      </w:r>
      <w:r w:rsidR="002A2168" w:rsidRPr="00446153">
        <w:rPr>
          <w:rFonts w:cs="Calibri"/>
          <w:b/>
          <w:color w:val="000000"/>
          <w:sz w:val="23"/>
          <w:szCs w:val="23"/>
        </w:rPr>
        <w:t>desmitificando la supuesta eficacia de la cárcel.</w:t>
      </w:r>
    </w:p>
    <w:p w14:paraId="05D492E1" w14:textId="77777777" w:rsidR="002A2168" w:rsidRPr="00446153" w:rsidRDefault="002A2168" w:rsidP="00241DE4">
      <w:pPr>
        <w:numPr>
          <w:ilvl w:val="0"/>
          <w:numId w:val="4"/>
        </w:numPr>
        <w:spacing w:after="120" w:line="240" w:lineRule="auto"/>
        <w:ind w:left="714" w:hanging="357"/>
        <w:jc w:val="both"/>
        <w:rPr>
          <w:rFonts w:cs="Calibri"/>
          <w:b/>
          <w:color w:val="000000"/>
          <w:sz w:val="23"/>
          <w:szCs w:val="23"/>
        </w:rPr>
      </w:pPr>
      <w:r w:rsidRPr="00446153">
        <w:rPr>
          <w:rFonts w:cs="Calibri"/>
          <w:b/>
          <w:color w:val="000000"/>
          <w:sz w:val="23"/>
          <w:szCs w:val="23"/>
        </w:rPr>
        <w:t xml:space="preserve">Reforzar el rol de los profesionales vinculados a las Áreas Técnicas de las cárceles, capacitándolos y aumentando la dotación de los mismos, con el objeto de garantizar adecuadas oportunidades para que las personas puedan ingresar a terapias psicosociales o puedan contar con apoyo profesional para reforzar sus vínculos con sus grupos de apoyo o bien crear uno durante su periodo de reclusión. </w:t>
      </w:r>
    </w:p>
    <w:p w14:paraId="471385EC" w14:textId="77777777" w:rsidR="0049722C" w:rsidRPr="00446153" w:rsidRDefault="002A2168" w:rsidP="00241DE4">
      <w:pPr>
        <w:numPr>
          <w:ilvl w:val="0"/>
          <w:numId w:val="4"/>
        </w:numPr>
        <w:spacing w:after="120" w:line="240" w:lineRule="auto"/>
        <w:ind w:left="714" w:hanging="357"/>
        <w:jc w:val="both"/>
        <w:rPr>
          <w:rFonts w:cs="Calibri"/>
          <w:b/>
          <w:color w:val="000000"/>
          <w:sz w:val="23"/>
          <w:szCs w:val="23"/>
        </w:rPr>
      </w:pPr>
      <w:r w:rsidRPr="00446153">
        <w:rPr>
          <w:rFonts w:cs="Calibri"/>
          <w:b/>
          <w:color w:val="000000"/>
          <w:sz w:val="23"/>
          <w:szCs w:val="23"/>
        </w:rPr>
        <w:lastRenderedPageBreak/>
        <w:t>Reforzar las dependencias destinadas a brindar atención médica a las personas privadas de libertad</w:t>
      </w:r>
      <w:r w:rsidR="00AB13AB" w:rsidRPr="00446153">
        <w:rPr>
          <w:rFonts w:cs="Calibri"/>
          <w:b/>
          <w:color w:val="000000"/>
          <w:sz w:val="23"/>
          <w:szCs w:val="23"/>
        </w:rPr>
        <w:t>, en especial mujeres embarazadas,</w:t>
      </w:r>
      <w:r w:rsidRPr="00446153">
        <w:rPr>
          <w:rFonts w:cs="Calibri"/>
          <w:b/>
          <w:color w:val="000000"/>
          <w:sz w:val="23"/>
          <w:szCs w:val="23"/>
        </w:rPr>
        <w:t xml:space="preserve"> o bien crearlas, destinando recursos tanto </w:t>
      </w:r>
      <w:r w:rsidR="005A22A4" w:rsidRPr="00446153">
        <w:rPr>
          <w:rFonts w:cs="Calibri"/>
          <w:b/>
          <w:color w:val="000000"/>
          <w:sz w:val="23"/>
          <w:szCs w:val="23"/>
        </w:rPr>
        <w:t xml:space="preserve">para </w:t>
      </w:r>
      <w:r w:rsidRPr="00446153">
        <w:rPr>
          <w:rFonts w:cs="Calibri"/>
          <w:b/>
          <w:color w:val="000000"/>
          <w:sz w:val="23"/>
          <w:szCs w:val="23"/>
        </w:rPr>
        <w:t xml:space="preserve">la adquisición de insumos como de personal. </w:t>
      </w:r>
    </w:p>
    <w:p w14:paraId="530593D0" w14:textId="77777777" w:rsidR="005A22A4" w:rsidRPr="00446153" w:rsidRDefault="005A22A4" w:rsidP="00241DE4">
      <w:pPr>
        <w:spacing w:after="120" w:line="240" w:lineRule="auto"/>
        <w:jc w:val="both"/>
        <w:rPr>
          <w:rFonts w:cs="Calibri"/>
          <w:b/>
          <w:color w:val="000000"/>
          <w:sz w:val="23"/>
          <w:szCs w:val="23"/>
        </w:rPr>
      </w:pPr>
    </w:p>
    <w:p w14:paraId="0ECA5516" w14:textId="77777777" w:rsidR="00F01E94" w:rsidRPr="00446153" w:rsidRDefault="00F01E94" w:rsidP="00241DE4">
      <w:pPr>
        <w:spacing w:after="120" w:line="240" w:lineRule="auto"/>
        <w:jc w:val="both"/>
        <w:rPr>
          <w:rFonts w:cs="Calibri"/>
          <w:b/>
          <w:color w:val="000000"/>
          <w:sz w:val="23"/>
          <w:szCs w:val="23"/>
        </w:rPr>
      </w:pPr>
    </w:p>
    <w:p w14:paraId="032ED322" w14:textId="77777777" w:rsidR="00F01E94" w:rsidRPr="00446153" w:rsidRDefault="00F01E94" w:rsidP="00241DE4">
      <w:pPr>
        <w:spacing w:after="120" w:line="240" w:lineRule="auto"/>
        <w:jc w:val="both"/>
        <w:rPr>
          <w:rFonts w:cs="Calibri"/>
          <w:b/>
          <w:color w:val="000000"/>
          <w:sz w:val="23"/>
          <w:szCs w:val="23"/>
        </w:rPr>
      </w:pPr>
    </w:p>
    <w:p w14:paraId="18046DAE" w14:textId="77777777" w:rsidR="009B4D74" w:rsidRPr="00446153" w:rsidRDefault="009B4D74" w:rsidP="00241DE4">
      <w:pPr>
        <w:spacing w:after="120" w:line="240" w:lineRule="auto"/>
        <w:jc w:val="both"/>
        <w:rPr>
          <w:rFonts w:cs="Calibri"/>
          <w:b/>
          <w:color w:val="000000"/>
          <w:sz w:val="23"/>
          <w:szCs w:val="23"/>
        </w:rPr>
      </w:pPr>
      <w:r w:rsidRPr="00446153">
        <w:rPr>
          <w:rFonts w:cs="Calibri"/>
          <w:b/>
          <w:color w:val="000000"/>
          <w:sz w:val="23"/>
          <w:szCs w:val="23"/>
        </w:rPr>
        <w:t xml:space="preserve">Condiciones de detención </w:t>
      </w:r>
      <w:r w:rsidR="009C1CDC" w:rsidRPr="00446153">
        <w:rPr>
          <w:rFonts w:cs="Calibri"/>
          <w:b/>
          <w:color w:val="000000"/>
          <w:sz w:val="23"/>
          <w:szCs w:val="23"/>
        </w:rPr>
        <w:t>de niños, niñas y adolescentes</w:t>
      </w:r>
    </w:p>
    <w:p w14:paraId="7B9CE1D3" w14:textId="77777777" w:rsidR="00241DE4" w:rsidRPr="00446153" w:rsidRDefault="00241DE4" w:rsidP="00241DE4">
      <w:pPr>
        <w:spacing w:after="120" w:line="240" w:lineRule="auto"/>
        <w:jc w:val="both"/>
        <w:rPr>
          <w:rFonts w:cs="Calibri"/>
          <w:b/>
          <w:color w:val="000000"/>
          <w:sz w:val="23"/>
          <w:szCs w:val="23"/>
        </w:rPr>
      </w:pPr>
    </w:p>
    <w:p w14:paraId="7CF05AE3" w14:textId="41FC6121" w:rsidR="009B4D74"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62</w:t>
      </w:r>
      <w:r w:rsidR="009B4D74" w:rsidRPr="00446153">
        <w:rPr>
          <w:rFonts w:cs="Calibri"/>
          <w:b/>
          <w:color w:val="000000"/>
          <w:sz w:val="23"/>
          <w:szCs w:val="23"/>
        </w:rPr>
        <w:t>.</w:t>
      </w:r>
      <w:r w:rsidR="009B4D74" w:rsidRPr="00446153">
        <w:rPr>
          <w:rFonts w:cs="Calibri"/>
          <w:color w:val="000000"/>
          <w:sz w:val="23"/>
          <w:szCs w:val="23"/>
        </w:rPr>
        <w:t xml:space="preserve"> Se ha tomado conocimiento por parte de Corporación Opción, a través de los programas que ejecuta en el área de justicia juvenil, donde atiende a alrededor de 5.500 adolescentes que, durante la detención y traslados de los jóvenes, estos han sido víctimas de tortura y otros tratos inhumanos y degradantes. Llama la atención que estos malos tratos están totalmente naturalizados tanto por los mismos jóvenes que no se atreven a denunciar (por temor a represalias o porque no confían en que las investigaciones tendrán alguna sanción) como por los actores del sistema, como </w:t>
      </w:r>
      <w:r w:rsidR="009C1CDC" w:rsidRPr="00446153">
        <w:rPr>
          <w:rFonts w:cs="Calibri"/>
          <w:color w:val="000000"/>
          <w:sz w:val="23"/>
          <w:szCs w:val="23"/>
        </w:rPr>
        <w:t xml:space="preserve">por los </w:t>
      </w:r>
      <w:r w:rsidR="009B4D74" w:rsidRPr="00446153">
        <w:rPr>
          <w:rFonts w:cs="Calibri"/>
          <w:color w:val="000000"/>
          <w:sz w:val="23"/>
          <w:szCs w:val="23"/>
        </w:rPr>
        <w:t>defensores penales juveniles o delegados, que tampoco hacen las denuncias respectivas, ni alegan la ilegalidad de la detención, existiendo una cierta pasividad frente a estos lamentable</w:t>
      </w:r>
      <w:r w:rsidR="009C1CDC" w:rsidRPr="00446153">
        <w:rPr>
          <w:rFonts w:cs="Calibri"/>
          <w:color w:val="000000"/>
          <w:sz w:val="23"/>
          <w:szCs w:val="23"/>
        </w:rPr>
        <w:t xml:space="preserve">s hechos. En febrero y marzo del año </w:t>
      </w:r>
      <w:r w:rsidR="009B4D74" w:rsidRPr="00446153">
        <w:rPr>
          <w:rFonts w:cs="Calibri"/>
          <w:color w:val="000000"/>
          <w:sz w:val="23"/>
          <w:szCs w:val="23"/>
        </w:rPr>
        <w:t xml:space="preserve">2016 se </w:t>
      </w:r>
      <w:r w:rsidR="009C1CDC" w:rsidRPr="00446153">
        <w:rPr>
          <w:rFonts w:cs="Calibri"/>
          <w:color w:val="000000"/>
          <w:sz w:val="23"/>
          <w:szCs w:val="23"/>
        </w:rPr>
        <w:t>hizo un levantamiento que arrojó</w:t>
      </w:r>
      <w:r w:rsidR="009B4D74" w:rsidRPr="00446153">
        <w:rPr>
          <w:rFonts w:cs="Calibri"/>
          <w:color w:val="000000"/>
          <w:sz w:val="23"/>
          <w:szCs w:val="23"/>
        </w:rPr>
        <w:t xml:space="preserve"> 25 denuncias de tortura en el contexto ya mencionado.</w:t>
      </w:r>
    </w:p>
    <w:p w14:paraId="2BDBBCE3" w14:textId="3EEEF4E6" w:rsidR="009B4D74" w:rsidRPr="00446153" w:rsidRDefault="00CF0E96" w:rsidP="00241DE4">
      <w:pPr>
        <w:spacing w:after="120" w:line="240" w:lineRule="auto"/>
        <w:jc w:val="both"/>
        <w:rPr>
          <w:rFonts w:cs="Calibri"/>
          <w:b/>
          <w:color w:val="000000"/>
          <w:sz w:val="23"/>
          <w:szCs w:val="23"/>
        </w:rPr>
      </w:pPr>
      <w:r w:rsidRPr="00446153">
        <w:rPr>
          <w:rFonts w:cs="Calibri"/>
          <w:b/>
          <w:color w:val="000000"/>
          <w:sz w:val="23"/>
          <w:szCs w:val="23"/>
        </w:rPr>
        <w:t>63</w:t>
      </w:r>
      <w:r w:rsidR="009B4D74" w:rsidRPr="00446153">
        <w:rPr>
          <w:rFonts w:cs="Calibri"/>
          <w:b/>
          <w:color w:val="000000"/>
          <w:sz w:val="23"/>
          <w:szCs w:val="23"/>
        </w:rPr>
        <w:t>.</w:t>
      </w:r>
      <w:r w:rsidR="009B4D74" w:rsidRPr="00446153">
        <w:rPr>
          <w:rFonts w:cs="Calibri"/>
          <w:color w:val="000000"/>
          <w:sz w:val="23"/>
          <w:szCs w:val="23"/>
        </w:rPr>
        <w:t xml:space="preserve"> Por otra parte, dentro de los aspectos preocupantes de las condiciones en que se encuentran los jóvenes privados de libertad, se detect</w:t>
      </w:r>
      <w:r w:rsidR="00475163" w:rsidRPr="00446153">
        <w:rPr>
          <w:rFonts w:cs="Calibri"/>
          <w:color w:val="000000"/>
          <w:sz w:val="23"/>
          <w:szCs w:val="23"/>
        </w:rPr>
        <w:t>an problemas de infraestructura</w:t>
      </w:r>
      <w:r w:rsidR="009B4D74" w:rsidRPr="00446153">
        <w:rPr>
          <w:rFonts w:cs="Calibri"/>
          <w:color w:val="000000"/>
          <w:sz w:val="23"/>
          <w:szCs w:val="23"/>
        </w:rPr>
        <w:t xml:space="preserve"> de los centros, falta de actividades educativas y </w:t>
      </w:r>
      <w:r w:rsidR="00475163" w:rsidRPr="00446153">
        <w:rPr>
          <w:rFonts w:cs="Calibri"/>
          <w:color w:val="000000"/>
          <w:sz w:val="23"/>
          <w:szCs w:val="23"/>
        </w:rPr>
        <w:t xml:space="preserve">programas </w:t>
      </w:r>
      <w:r w:rsidR="009B4D74" w:rsidRPr="00446153">
        <w:rPr>
          <w:rFonts w:cs="Calibri"/>
          <w:color w:val="000000"/>
          <w:sz w:val="23"/>
          <w:szCs w:val="23"/>
        </w:rPr>
        <w:t>de reinserción laboral que están desajustadas</w:t>
      </w:r>
      <w:r w:rsidR="00475163" w:rsidRPr="00446153">
        <w:rPr>
          <w:rFonts w:cs="Calibri"/>
          <w:color w:val="000000"/>
          <w:sz w:val="23"/>
          <w:szCs w:val="23"/>
        </w:rPr>
        <w:t xml:space="preserve"> a la realidad de estos jóvenes, </w:t>
      </w:r>
      <w:r w:rsidR="009B4D74" w:rsidRPr="00446153">
        <w:rPr>
          <w:rFonts w:cs="Calibri"/>
          <w:color w:val="000000"/>
          <w:sz w:val="23"/>
          <w:szCs w:val="23"/>
        </w:rPr>
        <w:t>y el uso de castigos y elementos disuasivos cuando hay riñas, peleas y motines; además de no contar con protocolos claros para realizar denuncias al interior de los recintos de detención. Al mismo tiempo, preocupa el alto número de jóvenes en prisión preventiva, frente a lo que el Defensor Nacional afirmaba en el año 2016 que “</w:t>
      </w:r>
      <w:r w:rsidR="009B4D74" w:rsidRPr="00446153">
        <w:rPr>
          <w:rFonts w:eastAsia="Times New Roman" w:cs="Calibri"/>
          <w:i/>
          <w:color w:val="000000"/>
          <w:sz w:val="23"/>
          <w:szCs w:val="23"/>
          <w:shd w:val="clear" w:color="auto" w:fill="FFFFFF"/>
        </w:rPr>
        <w:t>el 76% de los casos entre enero y agosto de este año no termina con penas privativas de libertad”</w:t>
      </w:r>
      <w:r w:rsidR="009B4D74" w:rsidRPr="00446153">
        <w:rPr>
          <w:rStyle w:val="FootnoteReference"/>
          <w:rFonts w:eastAsia="Times New Roman" w:cs="Calibri"/>
          <w:i/>
          <w:color w:val="000000"/>
          <w:sz w:val="23"/>
          <w:szCs w:val="23"/>
          <w:shd w:val="clear" w:color="auto" w:fill="FFFFFF"/>
        </w:rPr>
        <w:footnoteReference w:id="44"/>
      </w:r>
      <w:r w:rsidR="009B4D74" w:rsidRPr="00446153">
        <w:rPr>
          <w:rFonts w:eastAsia="Times New Roman" w:cs="Calibri"/>
          <w:i/>
          <w:color w:val="000000"/>
          <w:sz w:val="23"/>
          <w:szCs w:val="23"/>
          <w:shd w:val="clear" w:color="auto" w:fill="FFFFFF"/>
        </w:rPr>
        <w:t>.</w:t>
      </w:r>
    </w:p>
    <w:p w14:paraId="27EA2536" w14:textId="60C938B9" w:rsidR="0016344A" w:rsidRPr="00446153" w:rsidRDefault="00CF0E96" w:rsidP="00241DE4">
      <w:pPr>
        <w:spacing w:after="120" w:line="240" w:lineRule="auto"/>
        <w:jc w:val="both"/>
        <w:rPr>
          <w:rFonts w:cs="Calibri"/>
          <w:b/>
          <w:color w:val="000000"/>
          <w:sz w:val="23"/>
          <w:szCs w:val="23"/>
        </w:rPr>
      </w:pPr>
      <w:r w:rsidRPr="00446153">
        <w:rPr>
          <w:rFonts w:cs="Calibri"/>
          <w:b/>
          <w:color w:val="000000"/>
          <w:sz w:val="23"/>
          <w:szCs w:val="23"/>
        </w:rPr>
        <w:t>64</w:t>
      </w:r>
      <w:r w:rsidR="0016344A" w:rsidRPr="00446153">
        <w:rPr>
          <w:rFonts w:cs="Calibri"/>
          <w:b/>
          <w:color w:val="000000"/>
          <w:sz w:val="23"/>
          <w:szCs w:val="23"/>
        </w:rPr>
        <w:t>.</w:t>
      </w:r>
      <w:r w:rsidR="0016344A" w:rsidRPr="00446153">
        <w:rPr>
          <w:rFonts w:cs="Calibri"/>
          <w:color w:val="000000"/>
          <w:sz w:val="23"/>
          <w:szCs w:val="23"/>
        </w:rPr>
        <w:t xml:space="preserve"> En cuanto a las pautas de acción y/o instructivos relacionados con el accionar policial, hay que consignar que Carabineros de Chile posee un protocolo de mantenimiento de</w:t>
      </w:r>
      <w:r w:rsidR="009C1CDC" w:rsidRPr="00446153">
        <w:rPr>
          <w:rFonts w:cs="Calibri"/>
          <w:color w:val="000000"/>
          <w:sz w:val="23"/>
          <w:szCs w:val="23"/>
        </w:rPr>
        <w:t>l</w:t>
      </w:r>
      <w:r w:rsidR="0016344A" w:rsidRPr="00446153">
        <w:rPr>
          <w:rFonts w:cs="Calibri"/>
          <w:color w:val="000000"/>
          <w:sz w:val="23"/>
          <w:szCs w:val="23"/>
        </w:rPr>
        <w:t xml:space="preserve"> orden público, como se señaló anteriormente, donde se establecen disposiciones para la detención de manifestantes menores de edad, en el cual se plantea que la fuerza sólo podrá utilizarse de manera diferenciada y gradual para conducir o detener a niños y niñas infractores de ley, así como para dispersar reuniones. El uso de esta fuerza deberá limitarse al mínimo necesario en base a los principios de fin legítimo del restablecimiento del orden y del interés superior del niño/a. Sin embargo, como ya señalamos, no existe un organismo público encargado de fiscalizar la correcta aplicación de dichos protocolos.</w:t>
      </w:r>
    </w:p>
    <w:p w14:paraId="5CA24CCD" w14:textId="5770C94D" w:rsidR="009B4D74" w:rsidRPr="00446153" w:rsidRDefault="00CF0E96" w:rsidP="00241DE4">
      <w:pPr>
        <w:spacing w:after="120" w:line="240" w:lineRule="auto"/>
        <w:jc w:val="both"/>
        <w:rPr>
          <w:rFonts w:cs="Calibri"/>
          <w:b/>
          <w:color w:val="000000"/>
          <w:sz w:val="23"/>
          <w:szCs w:val="23"/>
        </w:rPr>
      </w:pPr>
      <w:r w:rsidRPr="00446153">
        <w:rPr>
          <w:rFonts w:cs="Calibri"/>
          <w:b/>
          <w:color w:val="000000"/>
          <w:sz w:val="23"/>
          <w:szCs w:val="23"/>
        </w:rPr>
        <w:t>65</w:t>
      </w:r>
      <w:r w:rsidR="009B4D74" w:rsidRPr="00446153">
        <w:rPr>
          <w:rFonts w:cs="Calibri"/>
          <w:b/>
          <w:color w:val="000000"/>
          <w:sz w:val="23"/>
          <w:szCs w:val="23"/>
        </w:rPr>
        <w:t>.</w:t>
      </w:r>
      <w:r w:rsidR="009B4D74" w:rsidRPr="00446153">
        <w:rPr>
          <w:rFonts w:cs="Calibri"/>
          <w:color w:val="000000"/>
          <w:sz w:val="23"/>
          <w:szCs w:val="23"/>
        </w:rPr>
        <w:t xml:space="preserve"> </w:t>
      </w:r>
      <w:r w:rsidR="00475163" w:rsidRPr="00446153">
        <w:rPr>
          <w:rFonts w:cs="Calibri"/>
          <w:color w:val="000000"/>
          <w:sz w:val="23"/>
          <w:szCs w:val="23"/>
        </w:rPr>
        <w:t>Por otro lado, e</w:t>
      </w:r>
      <w:r w:rsidR="009B4D74" w:rsidRPr="00446153">
        <w:rPr>
          <w:rFonts w:cs="Calibri"/>
          <w:color w:val="000000"/>
          <w:sz w:val="23"/>
          <w:szCs w:val="23"/>
        </w:rPr>
        <w:t xml:space="preserve">n materia de manifestaciones pacíficas es altamente preocupante que sigan existiendo </w:t>
      </w:r>
      <w:r w:rsidR="000C16BB" w:rsidRPr="00446153">
        <w:rPr>
          <w:rFonts w:cs="Calibri"/>
          <w:color w:val="000000"/>
          <w:sz w:val="23"/>
          <w:szCs w:val="23"/>
        </w:rPr>
        <w:t xml:space="preserve">hechos </w:t>
      </w:r>
      <w:r w:rsidR="009B4D74" w:rsidRPr="00446153">
        <w:rPr>
          <w:rFonts w:cs="Calibri"/>
          <w:color w:val="000000"/>
          <w:sz w:val="23"/>
          <w:szCs w:val="23"/>
        </w:rPr>
        <w:t xml:space="preserve">de violencia excesiva por parte de la policía. Respecto al uso de fuerza desmedida de la policía, el presente año se han vivido dos hechos muy </w:t>
      </w:r>
      <w:r w:rsidR="009B4D74" w:rsidRPr="00446153">
        <w:rPr>
          <w:rFonts w:cs="Calibri"/>
          <w:color w:val="000000"/>
          <w:sz w:val="23"/>
          <w:szCs w:val="23"/>
        </w:rPr>
        <w:lastRenderedPageBreak/>
        <w:t>lamentables, ambos en el contexto del desalojo de colegios. El primer hecho fue el 24 de mayo</w:t>
      </w:r>
      <w:r w:rsidR="000C16BB" w:rsidRPr="00446153">
        <w:rPr>
          <w:rFonts w:cs="Calibri"/>
          <w:color w:val="000000"/>
          <w:sz w:val="23"/>
          <w:szCs w:val="23"/>
        </w:rPr>
        <w:t xml:space="preserve"> de 2018</w:t>
      </w:r>
      <w:r w:rsidR="009B4D74" w:rsidRPr="00446153">
        <w:rPr>
          <w:rFonts w:cs="Calibri"/>
          <w:color w:val="000000"/>
          <w:sz w:val="23"/>
          <w:szCs w:val="23"/>
        </w:rPr>
        <w:t>, donde los estudiantes del Instituto Nacional</w:t>
      </w:r>
      <w:r w:rsidR="00FB4882" w:rsidRPr="00446153">
        <w:rPr>
          <w:rStyle w:val="FootnoteReference"/>
          <w:rFonts w:cs="Calibri"/>
          <w:color w:val="000000"/>
          <w:sz w:val="23"/>
          <w:szCs w:val="23"/>
        </w:rPr>
        <w:footnoteReference w:id="45"/>
      </w:r>
      <w:r w:rsidR="009B4D74" w:rsidRPr="00446153">
        <w:rPr>
          <w:rFonts w:cs="Calibri"/>
          <w:color w:val="000000"/>
          <w:sz w:val="23"/>
          <w:szCs w:val="23"/>
        </w:rPr>
        <w:t xml:space="preserve"> acusan violencia excesiva en el actuar de carabineros, se utilizaron bombas lacrimógenas al interior del recinto educacional, además de golpear a los estudiantes. Otro grave incidente se presentó en el desalojo del Liceo Confederación Suiza</w:t>
      </w:r>
      <w:r w:rsidR="009B4D74" w:rsidRPr="00446153">
        <w:rPr>
          <w:rStyle w:val="FootnoteReference"/>
          <w:rFonts w:cs="Calibri"/>
          <w:color w:val="000000"/>
          <w:sz w:val="23"/>
          <w:szCs w:val="23"/>
        </w:rPr>
        <w:footnoteReference w:id="46"/>
      </w:r>
      <w:r w:rsidR="009B4D74" w:rsidRPr="00446153">
        <w:rPr>
          <w:rFonts w:cs="Calibri"/>
          <w:color w:val="000000"/>
          <w:sz w:val="23"/>
          <w:szCs w:val="23"/>
        </w:rPr>
        <w:t>, donde un estudiante de 17 años, quien después de una fuerte golpiza </w:t>
      </w:r>
      <w:r w:rsidR="009B4D74" w:rsidRPr="00446153">
        <w:rPr>
          <w:rStyle w:val="Strong"/>
          <w:rFonts w:cs="Calibri"/>
          <w:b w:val="0"/>
          <w:color w:val="000000"/>
          <w:sz w:val="23"/>
          <w:szCs w:val="23"/>
        </w:rPr>
        <w:t>fue estrangulado por un funcionario policial, lo que le generó la pérdida de la conciencia y debió ser trasladado de urgencia a la Posta Central con riesgo vital</w:t>
      </w:r>
      <w:r w:rsidR="009B4D74" w:rsidRPr="00446153">
        <w:rPr>
          <w:rFonts w:cs="Calibri"/>
          <w:b/>
          <w:color w:val="000000"/>
          <w:sz w:val="23"/>
          <w:szCs w:val="23"/>
        </w:rPr>
        <w:t>.</w:t>
      </w:r>
    </w:p>
    <w:p w14:paraId="5969398D" w14:textId="74C983F0" w:rsidR="000C16BB" w:rsidRPr="00241DE4" w:rsidRDefault="00CF0E96" w:rsidP="00241DE4">
      <w:pPr>
        <w:spacing w:after="120" w:line="240" w:lineRule="auto"/>
        <w:jc w:val="both"/>
        <w:rPr>
          <w:rFonts w:cs="Calibri"/>
          <w:sz w:val="23"/>
          <w:szCs w:val="23"/>
          <w:shd w:val="clear" w:color="auto" w:fill="FFFFFF"/>
        </w:rPr>
      </w:pPr>
      <w:r>
        <w:rPr>
          <w:rFonts w:cs="Calibri"/>
          <w:b/>
          <w:sz w:val="23"/>
          <w:szCs w:val="23"/>
        </w:rPr>
        <w:t>66</w:t>
      </w:r>
      <w:r w:rsidR="00B464B9" w:rsidRPr="00241DE4">
        <w:rPr>
          <w:rFonts w:cs="Calibri"/>
          <w:b/>
          <w:sz w:val="23"/>
          <w:szCs w:val="23"/>
        </w:rPr>
        <w:t>.</w:t>
      </w:r>
      <w:r w:rsidR="00B464B9" w:rsidRPr="00241DE4">
        <w:rPr>
          <w:rFonts w:cs="Calibri"/>
          <w:sz w:val="23"/>
          <w:szCs w:val="23"/>
        </w:rPr>
        <w:t xml:space="preserve"> </w:t>
      </w:r>
      <w:r w:rsidR="009C1CDC" w:rsidRPr="00241DE4">
        <w:rPr>
          <w:rFonts w:cs="Calibri"/>
          <w:sz w:val="23"/>
          <w:szCs w:val="23"/>
        </w:rPr>
        <w:t xml:space="preserve">De hecho, en septiembre del año </w:t>
      </w:r>
      <w:r w:rsidR="000C16BB" w:rsidRPr="00241DE4">
        <w:rPr>
          <w:rFonts w:cs="Calibri"/>
          <w:sz w:val="23"/>
          <w:szCs w:val="23"/>
        </w:rPr>
        <w:t xml:space="preserve">2015, tras la visita al país del Relator Especial sobre el derecho a la libertad de reunión pacífica y de asociación, Sr. Maina Kiai, </w:t>
      </w:r>
      <w:r w:rsidR="00B464B9" w:rsidRPr="00241DE4">
        <w:rPr>
          <w:rFonts w:cs="Calibri"/>
          <w:sz w:val="23"/>
          <w:szCs w:val="23"/>
        </w:rPr>
        <w:t xml:space="preserve">este </w:t>
      </w:r>
      <w:r w:rsidR="000C16BB" w:rsidRPr="00241DE4">
        <w:rPr>
          <w:rFonts w:cs="Calibri"/>
          <w:sz w:val="23"/>
          <w:szCs w:val="23"/>
        </w:rPr>
        <w:t xml:space="preserve">emitió un comunicado expresando sus agradecimientos </w:t>
      </w:r>
      <w:r w:rsidR="000C16BB" w:rsidRPr="00241DE4">
        <w:rPr>
          <w:rFonts w:cs="Calibri"/>
          <w:sz w:val="23"/>
          <w:szCs w:val="23"/>
          <w:shd w:val="clear" w:color="auto" w:fill="FFFFFF"/>
        </w:rPr>
        <w:t>“</w:t>
      </w:r>
      <w:r w:rsidR="000C16BB" w:rsidRPr="00241DE4">
        <w:rPr>
          <w:rFonts w:cs="Calibri"/>
          <w:i/>
          <w:sz w:val="23"/>
          <w:szCs w:val="23"/>
          <w:shd w:val="clear" w:color="auto" w:fill="FFFFFF"/>
        </w:rPr>
        <w:t>al Gobierno por su cooperación ejemplar en la organización de esta misión</w:t>
      </w:r>
      <w:r w:rsidR="000C16BB" w:rsidRPr="00241DE4">
        <w:rPr>
          <w:rFonts w:cs="Calibri"/>
          <w:sz w:val="23"/>
          <w:szCs w:val="23"/>
          <w:shd w:val="clear" w:color="auto" w:fill="FFFFFF"/>
        </w:rPr>
        <w:t>” y destacando los “</w:t>
      </w:r>
      <w:r w:rsidR="000C16BB" w:rsidRPr="00241DE4">
        <w:rPr>
          <w:rFonts w:cs="Calibri"/>
          <w:i/>
          <w:sz w:val="23"/>
          <w:szCs w:val="23"/>
          <w:shd w:val="clear" w:color="auto" w:fill="FFFFFF"/>
        </w:rPr>
        <w:t>avances [alcanzados en Chile] en las áreas de democracia y derechos humanos</w:t>
      </w:r>
      <w:r w:rsidR="000C16BB" w:rsidRPr="00241DE4">
        <w:rPr>
          <w:rFonts w:cs="Calibri"/>
          <w:sz w:val="23"/>
          <w:szCs w:val="23"/>
          <w:shd w:val="clear" w:color="auto" w:fill="FFFFFF"/>
        </w:rPr>
        <w:t>”; pero relevando haber recibido abundante información “</w:t>
      </w:r>
      <w:r w:rsidR="000C16BB" w:rsidRPr="00241DE4">
        <w:rPr>
          <w:rFonts w:cs="Calibri"/>
          <w:i/>
          <w:sz w:val="23"/>
          <w:szCs w:val="23"/>
          <w:shd w:val="clear" w:color="auto" w:fill="FFFFFF"/>
        </w:rPr>
        <w:t>en contextos múltiples y variados, relacionado al uso excesivo de la fuerza</w:t>
      </w:r>
      <w:r w:rsidR="000C16BB" w:rsidRPr="00241DE4">
        <w:rPr>
          <w:rFonts w:cs="Calibri"/>
          <w:sz w:val="23"/>
          <w:szCs w:val="23"/>
          <w:shd w:val="clear" w:color="auto" w:fill="FFFFFF"/>
        </w:rPr>
        <w:t xml:space="preserve"> [por parte de las policías, especialmente Fuerzas Especiales]</w:t>
      </w:r>
      <w:r w:rsidR="000C16BB" w:rsidRPr="00241DE4">
        <w:rPr>
          <w:rFonts w:cs="Calibri"/>
          <w:i/>
          <w:sz w:val="23"/>
          <w:szCs w:val="23"/>
          <w:shd w:val="clear" w:color="auto" w:fill="FFFFFF"/>
        </w:rPr>
        <w:t>, el no poder aislar los elementos violentos en las manifestaciones mientras se reprime más brutalmente a los manifestantes pacíficos, el apremio de activistas, la impunidad posterior a estos abusos y mucho más</w:t>
      </w:r>
      <w:r w:rsidR="000C16BB" w:rsidRPr="00241DE4">
        <w:rPr>
          <w:rFonts w:cs="Calibri"/>
          <w:sz w:val="23"/>
          <w:szCs w:val="23"/>
          <w:shd w:val="clear" w:color="auto" w:fill="FFFFFF"/>
        </w:rPr>
        <w:t>“. Como áreas específicas de preocupación el Relator Especial destacó, entre otras, la “</w:t>
      </w:r>
      <w:r w:rsidR="000C16BB" w:rsidRPr="00241DE4">
        <w:rPr>
          <w:rFonts w:cs="Calibri"/>
          <w:i/>
          <w:sz w:val="23"/>
          <w:szCs w:val="23"/>
          <w:shd w:val="clear" w:color="auto" w:fill="FFFFFF"/>
        </w:rPr>
        <w:t>brutalidad policial en el contexto de protestas callejeras de los estudiantes que reclaman una reforma a la educación</w:t>
      </w:r>
      <w:r w:rsidR="000C16BB" w:rsidRPr="00241DE4">
        <w:rPr>
          <w:rFonts w:cs="Calibri"/>
          <w:sz w:val="23"/>
          <w:szCs w:val="23"/>
          <w:shd w:val="clear" w:color="auto" w:fill="FFFFFF"/>
        </w:rPr>
        <w:t>” y que “[t]</w:t>
      </w:r>
      <w:r w:rsidR="000C16BB" w:rsidRPr="00241DE4">
        <w:rPr>
          <w:rFonts w:cs="Calibri"/>
          <w:i/>
          <w:sz w:val="23"/>
          <w:szCs w:val="23"/>
          <w:shd w:val="clear" w:color="auto" w:fill="FFFFFF"/>
        </w:rPr>
        <w:t xml:space="preserve">ambién fui alertado acerca de una cantidad de </w:t>
      </w:r>
      <w:r w:rsidR="000C16BB" w:rsidRPr="00241DE4">
        <w:rPr>
          <w:rFonts w:cs="Calibri"/>
          <w:i/>
          <w:sz w:val="23"/>
          <w:szCs w:val="23"/>
        </w:rPr>
        <w:t>casos</w:t>
      </w:r>
      <w:r w:rsidR="000C16BB" w:rsidRPr="00241DE4">
        <w:rPr>
          <w:rFonts w:cs="Calibri"/>
          <w:i/>
          <w:sz w:val="23"/>
          <w:szCs w:val="23"/>
          <w:shd w:val="clear" w:color="auto" w:fill="FFFFFF"/>
        </w:rPr>
        <w:t xml:space="preserve"> que involucran denuncias de acoso sexual en contra de manifestante</w:t>
      </w:r>
      <w:r w:rsidR="009C1CDC" w:rsidRPr="00241DE4">
        <w:rPr>
          <w:rFonts w:cs="Calibri"/>
          <w:i/>
          <w:sz w:val="23"/>
          <w:szCs w:val="23"/>
          <w:shd w:val="clear" w:color="auto" w:fill="FFFFFF"/>
        </w:rPr>
        <w:t>s mujeres estudiantes y Mapuche</w:t>
      </w:r>
      <w:r w:rsidR="000C16BB" w:rsidRPr="00241DE4">
        <w:rPr>
          <w:rFonts w:cs="Calibri"/>
          <w:i/>
          <w:sz w:val="23"/>
          <w:szCs w:val="23"/>
          <w:shd w:val="clear" w:color="auto" w:fill="FFFFFF"/>
        </w:rPr>
        <w:t xml:space="preserve"> detenidas durante protestas. Encuentro estas denuncias profundamente preocupantes</w:t>
      </w:r>
      <w:r w:rsidR="000C16BB" w:rsidRPr="00241DE4">
        <w:rPr>
          <w:rFonts w:cs="Calibri"/>
          <w:sz w:val="23"/>
          <w:szCs w:val="23"/>
          <w:shd w:val="clear" w:color="auto" w:fill="FFFFFF"/>
        </w:rPr>
        <w:t>”</w:t>
      </w:r>
      <w:r w:rsidR="000C16BB" w:rsidRPr="00241DE4">
        <w:rPr>
          <w:rStyle w:val="FootnoteReference"/>
          <w:rFonts w:cs="Calibri"/>
          <w:sz w:val="23"/>
          <w:szCs w:val="23"/>
        </w:rPr>
        <w:footnoteReference w:id="47"/>
      </w:r>
      <w:r w:rsidR="000C16BB" w:rsidRPr="00241DE4">
        <w:rPr>
          <w:rFonts w:cs="Calibri"/>
          <w:sz w:val="23"/>
          <w:szCs w:val="23"/>
          <w:shd w:val="clear" w:color="auto" w:fill="FFFFFF"/>
        </w:rPr>
        <w:t>.</w:t>
      </w:r>
    </w:p>
    <w:p w14:paraId="34D1B156" w14:textId="74FFE9C3" w:rsidR="009B4D74"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67</w:t>
      </w:r>
      <w:r w:rsidR="009B4D74" w:rsidRPr="00446153">
        <w:rPr>
          <w:rFonts w:cs="Calibri"/>
          <w:b/>
          <w:color w:val="000000"/>
          <w:sz w:val="23"/>
          <w:szCs w:val="23"/>
        </w:rPr>
        <w:t>.</w:t>
      </w:r>
      <w:r w:rsidR="009B4D74" w:rsidRPr="00446153">
        <w:rPr>
          <w:rFonts w:cs="Calibri"/>
          <w:color w:val="000000"/>
          <w:sz w:val="23"/>
          <w:szCs w:val="23"/>
        </w:rPr>
        <w:t xml:space="preserve"> En este mismo sentido, a fin de dimensionar la magni</w:t>
      </w:r>
      <w:r w:rsidR="009C1CDC" w:rsidRPr="00446153">
        <w:rPr>
          <w:rFonts w:cs="Calibri"/>
          <w:color w:val="000000"/>
          <w:sz w:val="23"/>
          <w:szCs w:val="23"/>
        </w:rPr>
        <w:t>tud de casos de tortura cometido</w:t>
      </w:r>
      <w:r w:rsidR="009B4D74" w:rsidRPr="00446153">
        <w:rPr>
          <w:rFonts w:cs="Calibri"/>
          <w:color w:val="000000"/>
          <w:sz w:val="23"/>
          <w:szCs w:val="23"/>
        </w:rPr>
        <w:t xml:space="preserve">s por agentes de Carabineros y Policía de Investigaciones contra niños, niñas y adolescentes en Chile en contexto de manifestaciones, la disponibilidad y acceso a las cifras presenta ciertas complejidades. Si bien el Ministerio Público difunde estadísticas sobre procesos vinculados a tortura, su carácter general no permite profundizar en estos datos.  </w:t>
      </w:r>
    </w:p>
    <w:p w14:paraId="6B8D0549" w14:textId="6038A477" w:rsidR="009B4D74" w:rsidRDefault="00CF0E96" w:rsidP="00241DE4">
      <w:pPr>
        <w:spacing w:after="120" w:line="240" w:lineRule="auto"/>
        <w:jc w:val="both"/>
        <w:rPr>
          <w:rFonts w:cs="Calibri"/>
          <w:sz w:val="23"/>
          <w:szCs w:val="23"/>
        </w:rPr>
      </w:pPr>
      <w:r>
        <w:rPr>
          <w:rFonts w:cs="Calibri"/>
          <w:b/>
          <w:sz w:val="23"/>
          <w:szCs w:val="23"/>
        </w:rPr>
        <w:t>68</w:t>
      </w:r>
      <w:r w:rsidR="009B4D74" w:rsidRPr="00241DE4">
        <w:rPr>
          <w:rFonts w:cs="Calibri"/>
          <w:b/>
          <w:sz w:val="23"/>
          <w:szCs w:val="23"/>
        </w:rPr>
        <w:t>.</w:t>
      </w:r>
      <w:r w:rsidR="009B4D74" w:rsidRPr="00241DE4">
        <w:rPr>
          <w:rFonts w:cs="Calibri"/>
          <w:sz w:val="23"/>
          <w:szCs w:val="23"/>
        </w:rPr>
        <w:t xml:space="preserve"> Entre los actos que buscan ser sancionados se encuentran desnudamientos en comisarías y detenciones ilegales con golpizas, entre otros. El número excesivo de detenciones declaradas ilegales constituyen una forma de inhibir la protesta social, restringiendo el derecho de libertad de expresión y de agrupación. Por lo tanto, la aplicación de tortura en el marco de la represión de manifestaciones públicas refuerza la restricción y vulneración de este tipo de derechos. </w:t>
      </w:r>
    </w:p>
    <w:p w14:paraId="4C905FD3" w14:textId="77777777" w:rsidR="00241DE4" w:rsidRPr="00241DE4" w:rsidRDefault="00241DE4" w:rsidP="00241DE4">
      <w:pPr>
        <w:spacing w:after="120" w:line="240" w:lineRule="auto"/>
        <w:jc w:val="both"/>
        <w:rPr>
          <w:rFonts w:cs="Calibri"/>
          <w:sz w:val="23"/>
          <w:szCs w:val="23"/>
        </w:rPr>
      </w:pPr>
    </w:p>
    <w:p w14:paraId="1C10A195" w14:textId="77777777" w:rsidR="009B4D74" w:rsidRPr="00446153" w:rsidRDefault="009B4D74" w:rsidP="00241DE4">
      <w:pPr>
        <w:spacing w:after="120" w:line="240" w:lineRule="auto"/>
        <w:jc w:val="both"/>
        <w:rPr>
          <w:rFonts w:cs="Calibri"/>
          <w:b/>
          <w:i/>
          <w:color w:val="000000"/>
          <w:sz w:val="23"/>
          <w:szCs w:val="23"/>
        </w:rPr>
      </w:pPr>
      <w:r w:rsidRPr="00446153">
        <w:rPr>
          <w:rFonts w:cs="Calibri"/>
          <w:b/>
          <w:i/>
          <w:color w:val="000000"/>
          <w:sz w:val="23"/>
          <w:szCs w:val="23"/>
          <w:u w:val="single"/>
        </w:rPr>
        <w:t>Recomendaciones</w:t>
      </w:r>
      <w:r w:rsidRPr="00446153">
        <w:rPr>
          <w:rFonts w:cs="Calibri"/>
          <w:b/>
          <w:i/>
          <w:color w:val="000000"/>
          <w:sz w:val="23"/>
          <w:szCs w:val="23"/>
        </w:rPr>
        <w:t>:</w:t>
      </w:r>
    </w:p>
    <w:p w14:paraId="59B90B60" w14:textId="77777777" w:rsidR="00241DE4" w:rsidRPr="00446153" w:rsidRDefault="00241DE4" w:rsidP="00241DE4">
      <w:pPr>
        <w:spacing w:after="120" w:line="240" w:lineRule="auto"/>
        <w:jc w:val="both"/>
        <w:rPr>
          <w:rFonts w:cs="Calibri"/>
          <w:b/>
          <w:i/>
          <w:color w:val="000000"/>
          <w:sz w:val="23"/>
          <w:szCs w:val="23"/>
        </w:rPr>
      </w:pPr>
    </w:p>
    <w:p w14:paraId="45137F82" w14:textId="77777777" w:rsidR="009B4D74" w:rsidRPr="00446153" w:rsidRDefault="009B4D74" w:rsidP="00241DE4">
      <w:pPr>
        <w:pStyle w:val="ListParagraph"/>
        <w:numPr>
          <w:ilvl w:val="0"/>
          <w:numId w:val="4"/>
        </w:numPr>
        <w:spacing w:after="120" w:line="240" w:lineRule="auto"/>
        <w:contextualSpacing w:val="0"/>
        <w:jc w:val="both"/>
        <w:rPr>
          <w:rFonts w:cs="Calibri"/>
          <w:b/>
          <w:color w:val="000000"/>
          <w:sz w:val="23"/>
          <w:szCs w:val="23"/>
        </w:rPr>
      </w:pPr>
      <w:r w:rsidRPr="00446153">
        <w:rPr>
          <w:rFonts w:cs="Calibri"/>
          <w:b/>
          <w:color w:val="000000"/>
          <w:sz w:val="23"/>
          <w:szCs w:val="23"/>
        </w:rPr>
        <w:t>Generar los procedimientos para que las denuncias de torturas, tratos crueles, inhumanos y degradantes sean investigados de manera pronta e independiente, que los responsables sean sancionados y que las víctimas reciban las reparaciones correspondientes.</w:t>
      </w:r>
    </w:p>
    <w:p w14:paraId="180F88C7" w14:textId="77777777" w:rsidR="009B4D74" w:rsidRPr="00446153" w:rsidRDefault="0016344A" w:rsidP="00241DE4">
      <w:pPr>
        <w:pStyle w:val="ListParagraph"/>
        <w:numPr>
          <w:ilvl w:val="0"/>
          <w:numId w:val="4"/>
        </w:numPr>
        <w:spacing w:after="120" w:line="240" w:lineRule="auto"/>
        <w:contextualSpacing w:val="0"/>
        <w:jc w:val="both"/>
        <w:rPr>
          <w:rFonts w:cs="Calibri"/>
          <w:b/>
          <w:color w:val="000000"/>
          <w:sz w:val="23"/>
          <w:szCs w:val="23"/>
        </w:rPr>
      </w:pPr>
      <w:r w:rsidRPr="00446153">
        <w:rPr>
          <w:rFonts w:cs="Calibri"/>
          <w:b/>
          <w:color w:val="000000"/>
          <w:sz w:val="23"/>
          <w:szCs w:val="23"/>
        </w:rPr>
        <w:t xml:space="preserve">Establecer un mecanismo de fiscalización y control de la aplicación de los protocolos de Carabineros en el ámbito de detención de niños, niñas y adolescentes, para prevenir actos de tortura y lesion de sus derechos fundamentales. </w:t>
      </w:r>
    </w:p>
    <w:p w14:paraId="26FEF903" w14:textId="51E3A0A0" w:rsidR="00234DF3" w:rsidRPr="00241DE4" w:rsidRDefault="00234DF3" w:rsidP="00241DE4">
      <w:pPr>
        <w:pStyle w:val="ListParagraph"/>
        <w:numPr>
          <w:ilvl w:val="0"/>
          <w:numId w:val="4"/>
        </w:numPr>
        <w:spacing w:after="120" w:line="240" w:lineRule="auto"/>
        <w:contextualSpacing w:val="0"/>
        <w:jc w:val="both"/>
        <w:rPr>
          <w:rFonts w:cs="Calibri"/>
          <w:b/>
          <w:sz w:val="23"/>
          <w:szCs w:val="23"/>
        </w:rPr>
      </w:pPr>
      <w:r w:rsidRPr="00241DE4">
        <w:rPr>
          <w:rFonts w:cs="Calibri"/>
          <w:b/>
          <w:sz w:val="23"/>
          <w:szCs w:val="23"/>
        </w:rPr>
        <w:t>Adoptar un protocolo de actuación por parte del poder ejecutivo que garantice una pronta respuesta y fiscalización de la situación en que se encuentran niños, niñas y adolescentes detenidos en el marco de protestas sociales</w:t>
      </w:r>
      <w:r w:rsidR="001C07C1" w:rsidRPr="00241DE4">
        <w:rPr>
          <w:rFonts w:cs="Calibri"/>
          <w:b/>
          <w:sz w:val="23"/>
          <w:szCs w:val="23"/>
        </w:rPr>
        <w:t>.</w:t>
      </w:r>
    </w:p>
    <w:p w14:paraId="1EA39CD7" w14:textId="77777777" w:rsidR="0016344A" w:rsidRPr="00446153" w:rsidRDefault="0016344A" w:rsidP="00241DE4">
      <w:pPr>
        <w:pStyle w:val="ListParagraph"/>
        <w:spacing w:after="120" w:line="240" w:lineRule="auto"/>
        <w:contextualSpacing w:val="0"/>
        <w:jc w:val="both"/>
        <w:rPr>
          <w:rFonts w:cs="Calibri"/>
          <w:b/>
          <w:color w:val="000000"/>
          <w:sz w:val="23"/>
          <w:szCs w:val="23"/>
        </w:rPr>
      </w:pPr>
    </w:p>
    <w:p w14:paraId="05C4B927"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Condiciones carcelarias</w:t>
      </w:r>
    </w:p>
    <w:p w14:paraId="0751000D" w14:textId="77777777" w:rsidR="00241DE4" w:rsidRPr="00446153" w:rsidRDefault="00241DE4" w:rsidP="00241DE4">
      <w:pPr>
        <w:spacing w:after="120" w:line="240" w:lineRule="auto"/>
        <w:jc w:val="both"/>
        <w:rPr>
          <w:rFonts w:cs="Calibri"/>
          <w:b/>
          <w:color w:val="000000"/>
          <w:sz w:val="23"/>
          <w:szCs w:val="23"/>
        </w:rPr>
      </w:pPr>
    </w:p>
    <w:p w14:paraId="66FFC6DC" w14:textId="41144929" w:rsidR="002A2168" w:rsidRPr="00241DE4" w:rsidRDefault="00CF0E96" w:rsidP="00241DE4">
      <w:pPr>
        <w:spacing w:after="120" w:line="240" w:lineRule="auto"/>
        <w:jc w:val="both"/>
        <w:rPr>
          <w:rFonts w:cs="Calibri"/>
          <w:sz w:val="23"/>
          <w:szCs w:val="23"/>
        </w:rPr>
      </w:pPr>
      <w:r>
        <w:rPr>
          <w:rFonts w:cs="Calibri"/>
          <w:b/>
          <w:sz w:val="23"/>
          <w:szCs w:val="23"/>
        </w:rPr>
        <w:t>69</w:t>
      </w:r>
      <w:r w:rsidR="002A2168" w:rsidRPr="00241DE4">
        <w:rPr>
          <w:rFonts w:cs="Calibri"/>
          <w:b/>
          <w:sz w:val="23"/>
          <w:szCs w:val="23"/>
        </w:rPr>
        <w:t>.</w:t>
      </w:r>
      <w:r w:rsidR="002A2168" w:rsidRPr="00241DE4">
        <w:rPr>
          <w:rFonts w:cs="Calibri"/>
          <w:sz w:val="23"/>
          <w:szCs w:val="23"/>
        </w:rPr>
        <w:t xml:space="preserve"> En la lista de cuestiones previa</w:t>
      </w:r>
      <w:r w:rsidR="00234DF3" w:rsidRPr="00241DE4">
        <w:rPr>
          <w:rFonts w:cs="Calibri"/>
          <w:sz w:val="23"/>
          <w:szCs w:val="23"/>
        </w:rPr>
        <w:t>s</w:t>
      </w:r>
      <w:r w:rsidR="002A2168" w:rsidRPr="00241DE4">
        <w:rPr>
          <w:rFonts w:cs="Calibri"/>
          <w:sz w:val="23"/>
          <w:szCs w:val="23"/>
        </w:rPr>
        <w:t xml:space="preserve"> a la presentación del s</w:t>
      </w:r>
      <w:r w:rsidR="009C1CDC" w:rsidRPr="00241DE4">
        <w:rPr>
          <w:rFonts w:cs="Calibri"/>
          <w:sz w:val="23"/>
          <w:szCs w:val="23"/>
        </w:rPr>
        <w:t xml:space="preserve">exto informe periódico de Chile, </w:t>
      </w:r>
      <w:r w:rsidR="002A2168" w:rsidRPr="00241DE4">
        <w:rPr>
          <w:rFonts w:cs="Calibri"/>
          <w:sz w:val="23"/>
          <w:szCs w:val="23"/>
        </w:rPr>
        <w:t>se solicita al Estado chileno indicar las medidas adoptadas para mejorar las condiciones carcelarias, incluyendo infraestructura, a fin de garantizar las necesidades fundamentales de todas las personas privadas de libertad y cumplir con las normas internacionales de derechos humanos tales como la ventilación, luz, ampliación de períodos de desencierro, asistencia legal, educación, capacitación, actividades deportivas, de rehabilitación y laborales</w:t>
      </w:r>
      <w:r w:rsidR="00234DF3" w:rsidRPr="00241DE4">
        <w:rPr>
          <w:rFonts w:cs="Calibri"/>
          <w:sz w:val="23"/>
          <w:szCs w:val="23"/>
        </w:rPr>
        <w:t>,</w:t>
      </w:r>
      <w:r w:rsidR="002A2168" w:rsidRPr="00241DE4">
        <w:rPr>
          <w:rFonts w:cs="Calibri"/>
          <w:sz w:val="23"/>
          <w:szCs w:val="23"/>
        </w:rPr>
        <w:t xml:space="preserve"> y</w:t>
      </w:r>
      <w:r w:rsidR="009C1CDC" w:rsidRPr="00241DE4">
        <w:rPr>
          <w:rFonts w:cs="Calibri"/>
          <w:sz w:val="23"/>
          <w:szCs w:val="23"/>
        </w:rPr>
        <w:t xml:space="preserve"> en materia de</w:t>
      </w:r>
      <w:r w:rsidR="002A2168" w:rsidRPr="00241DE4">
        <w:rPr>
          <w:rFonts w:cs="Calibri"/>
          <w:sz w:val="23"/>
          <w:szCs w:val="23"/>
        </w:rPr>
        <w:t xml:space="preserve"> reinserción social. </w:t>
      </w:r>
    </w:p>
    <w:p w14:paraId="7D7CE0E0" w14:textId="4EFCB94B"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70</w:t>
      </w:r>
      <w:r w:rsidR="002A2168" w:rsidRPr="00446153">
        <w:rPr>
          <w:rFonts w:cs="Calibri"/>
          <w:b/>
          <w:color w:val="000000"/>
          <w:sz w:val="23"/>
          <w:szCs w:val="23"/>
        </w:rPr>
        <w:t>.</w:t>
      </w:r>
      <w:r w:rsidR="002A2168" w:rsidRPr="00446153">
        <w:rPr>
          <w:rFonts w:cs="Calibri"/>
          <w:color w:val="000000"/>
          <w:sz w:val="23"/>
          <w:szCs w:val="23"/>
        </w:rPr>
        <w:t xml:space="preserve"> Asimismo, se solicita indicar las medidas específicas tomadas para reducir el hacinamiento crónico, agravado por demoras judiciales y el recurso excesivo a la prisión preventiva, adopción de medidas alternativas no privativas de libertad, así como las mejoras </w:t>
      </w:r>
      <w:r w:rsidR="00234DF3" w:rsidRPr="00446153">
        <w:rPr>
          <w:rFonts w:cs="Calibri"/>
          <w:color w:val="000000"/>
          <w:sz w:val="23"/>
          <w:szCs w:val="23"/>
        </w:rPr>
        <w:t xml:space="preserve">que </w:t>
      </w:r>
      <w:r w:rsidR="002A2168" w:rsidRPr="00446153">
        <w:rPr>
          <w:rFonts w:cs="Calibri"/>
          <w:color w:val="000000"/>
          <w:sz w:val="23"/>
          <w:szCs w:val="23"/>
        </w:rPr>
        <w:t>se han hecho en el acceso a los servicios básicos, tales como espacio suficiente, agua potab</w:t>
      </w:r>
      <w:r w:rsidR="0016344A" w:rsidRPr="00446153">
        <w:rPr>
          <w:rFonts w:cs="Calibri"/>
          <w:color w:val="000000"/>
          <w:sz w:val="23"/>
          <w:szCs w:val="23"/>
        </w:rPr>
        <w:t xml:space="preserve">le, alimentos, atención médica y </w:t>
      </w:r>
      <w:r w:rsidR="002A2168" w:rsidRPr="00446153">
        <w:rPr>
          <w:rFonts w:cs="Calibri"/>
          <w:color w:val="000000"/>
          <w:sz w:val="23"/>
          <w:szCs w:val="23"/>
        </w:rPr>
        <w:t>servicios básicos de saneamiento e hig</w:t>
      </w:r>
      <w:r w:rsidR="00456D77" w:rsidRPr="00446153">
        <w:rPr>
          <w:rFonts w:cs="Calibri"/>
          <w:color w:val="000000"/>
          <w:sz w:val="23"/>
          <w:szCs w:val="23"/>
        </w:rPr>
        <w:t>u</w:t>
      </w:r>
      <w:r w:rsidR="002A2168" w:rsidRPr="00446153">
        <w:rPr>
          <w:rFonts w:cs="Calibri"/>
          <w:color w:val="000000"/>
          <w:sz w:val="23"/>
          <w:szCs w:val="23"/>
        </w:rPr>
        <w:t xml:space="preserve">iene. </w:t>
      </w:r>
    </w:p>
    <w:p w14:paraId="3ACBF45A" w14:textId="263CB9AA" w:rsidR="000C16BB" w:rsidRPr="00241DE4" w:rsidRDefault="00CF0E96" w:rsidP="00241DE4">
      <w:pPr>
        <w:spacing w:after="120" w:line="240" w:lineRule="auto"/>
        <w:jc w:val="both"/>
        <w:rPr>
          <w:rFonts w:eastAsia="Times New Roman" w:cs="Calibri"/>
          <w:sz w:val="23"/>
          <w:szCs w:val="23"/>
        </w:rPr>
      </w:pPr>
      <w:r w:rsidRPr="00446153">
        <w:rPr>
          <w:rFonts w:eastAsia="Times New Roman" w:cs="Calibri"/>
          <w:b/>
          <w:color w:val="000000"/>
          <w:sz w:val="23"/>
          <w:szCs w:val="23"/>
          <w:lang w:val="es-ES_tradnl"/>
        </w:rPr>
        <w:t>71</w:t>
      </w:r>
      <w:r w:rsidR="000C16BB" w:rsidRPr="00446153">
        <w:rPr>
          <w:rFonts w:eastAsia="Times New Roman" w:cs="Calibri"/>
          <w:b/>
          <w:color w:val="000000"/>
          <w:sz w:val="23"/>
          <w:szCs w:val="23"/>
          <w:lang w:val="es-ES_tradnl"/>
        </w:rPr>
        <w:t>.</w:t>
      </w:r>
      <w:r w:rsidR="000C16BB" w:rsidRPr="00446153">
        <w:rPr>
          <w:rFonts w:eastAsia="Times New Roman" w:cs="Calibri"/>
          <w:color w:val="000000"/>
          <w:sz w:val="23"/>
          <w:szCs w:val="23"/>
          <w:lang w:val="es-ES_tradnl"/>
        </w:rPr>
        <w:t xml:space="preserve"> En materia de hacinamiento, se puede advertir que </w:t>
      </w:r>
      <w:r w:rsidR="000C16BB" w:rsidRPr="00446153">
        <w:rPr>
          <w:rFonts w:eastAsia="Times New Roman" w:cs="Calibri"/>
          <w:color w:val="000000"/>
          <w:sz w:val="23"/>
          <w:szCs w:val="23"/>
        </w:rPr>
        <w:t>en el último informe realizado por los fiscales judiciales de la Corte Suprema el año 2017</w:t>
      </w:r>
      <w:r w:rsidR="00F72661" w:rsidRPr="00446153">
        <w:rPr>
          <w:rStyle w:val="FootnoteReference"/>
          <w:rFonts w:eastAsia="Times New Roman" w:cs="Calibri"/>
          <w:color w:val="000000"/>
          <w:sz w:val="23"/>
          <w:szCs w:val="23"/>
        </w:rPr>
        <w:footnoteReference w:id="48"/>
      </w:r>
      <w:r w:rsidR="000C16BB" w:rsidRPr="00446153">
        <w:rPr>
          <w:rFonts w:eastAsia="Times New Roman" w:cs="Calibri"/>
          <w:color w:val="000000"/>
          <w:sz w:val="23"/>
          <w:szCs w:val="23"/>
        </w:rPr>
        <w:t xml:space="preserve">, </w:t>
      </w:r>
      <w:r w:rsidR="000C16BB" w:rsidRPr="00241DE4">
        <w:rPr>
          <w:rFonts w:eastAsia="Times New Roman" w:cs="Calibri"/>
          <w:sz w:val="23"/>
          <w:szCs w:val="23"/>
        </w:rPr>
        <w:t xml:space="preserve">a propósito de las visitas efectuadas a diferentes centros de privación de libertad, se evidenciaron las altas tasas de hacinamiento y sobrepoblación de los recintos penitenciarios de nuestro país. En base a aquello, se estableció que los diferentes centros de privación de libertad, en gran medida, cuentan con más personas que plazas para albergarlos, lo que significa un grave atentado contra la dignidad humana y la integridad física y psíquica. Ejemplos de esto son los datos del Centro de Detención Provisoria Santiago Sur (ex penitenciaría). Dicho recinto penitenciario cuenta con una capacidad para albergar a 2.384 personas reclusas, según la última resolución dictada </w:t>
      </w:r>
      <w:r w:rsidR="0066454E" w:rsidRPr="00241DE4">
        <w:rPr>
          <w:rFonts w:eastAsia="Times New Roman" w:cs="Calibri"/>
          <w:sz w:val="23"/>
          <w:szCs w:val="23"/>
        </w:rPr>
        <w:t>del año</w:t>
      </w:r>
      <w:r w:rsidR="000C16BB" w:rsidRPr="00241DE4">
        <w:rPr>
          <w:rFonts w:eastAsia="Times New Roman" w:cs="Calibri"/>
          <w:sz w:val="23"/>
          <w:szCs w:val="23"/>
        </w:rPr>
        <w:t xml:space="preserve"> 2013. Sin embargo, en la visita del mes de julio del</w:t>
      </w:r>
      <w:r w:rsidR="0066454E" w:rsidRPr="00241DE4">
        <w:rPr>
          <w:rFonts w:eastAsia="Times New Roman" w:cs="Calibri"/>
          <w:sz w:val="23"/>
          <w:szCs w:val="23"/>
        </w:rPr>
        <w:t xml:space="preserve"> año</w:t>
      </w:r>
      <w:r w:rsidR="000C16BB" w:rsidRPr="00241DE4">
        <w:rPr>
          <w:rFonts w:eastAsia="Times New Roman" w:cs="Calibri"/>
          <w:sz w:val="23"/>
          <w:szCs w:val="23"/>
        </w:rPr>
        <w:t xml:space="preserve"> 2017 se constató que estaba albergando a 4.486 personas, contando con un 88% de sobrepoblación. </w:t>
      </w:r>
    </w:p>
    <w:p w14:paraId="3D69E7A7" w14:textId="0992E809" w:rsidR="000C16BB" w:rsidRPr="00241DE4" w:rsidRDefault="00CF0E96" w:rsidP="00241DE4">
      <w:pPr>
        <w:spacing w:after="120" w:line="240" w:lineRule="auto"/>
        <w:jc w:val="both"/>
        <w:rPr>
          <w:rFonts w:cs="Calibri"/>
          <w:sz w:val="23"/>
          <w:szCs w:val="23"/>
        </w:rPr>
      </w:pPr>
      <w:r>
        <w:rPr>
          <w:rFonts w:eastAsia="Times New Roman" w:cs="Calibri"/>
          <w:b/>
          <w:sz w:val="23"/>
          <w:szCs w:val="23"/>
        </w:rPr>
        <w:t>72</w:t>
      </w:r>
      <w:r w:rsidR="000C16BB" w:rsidRPr="00241DE4">
        <w:rPr>
          <w:rFonts w:eastAsia="Times New Roman" w:cs="Calibri"/>
          <w:b/>
          <w:sz w:val="23"/>
          <w:szCs w:val="23"/>
        </w:rPr>
        <w:t>.</w:t>
      </w:r>
      <w:r w:rsidR="0066454E" w:rsidRPr="00241DE4">
        <w:rPr>
          <w:rFonts w:eastAsia="Times New Roman" w:cs="Calibri"/>
          <w:sz w:val="23"/>
          <w:szCs w:val="23"/>
        </w:rPr>
        <w:t xml:space="preserve"> En este mismo sentido, </w:t>
      </w:r>
      <w:r w:rsidR="000C16BB" w:rsidRPr="00241DE4">
        <w:rPr>
          <w:rFonts w:eastAsia="Times New Roman" w:cs="Calibri"/>
          <w:sz w:val="23"/>
          <w:szCs w:val="23"/>
        </w:rPr>
        <w:t>podemos ver la situación del Centro Penitenciario Colina II, que tiene una capacidad para 1.490 personas, pero que, al momento de la visita, albergaba a 2.543 personas privadas de libertad (71% de sobrepoblación). Por último, el informe agrega que las estadísticas elaboradas por Gendarmería respecto a la población recluida, no obstante ser un instrumento confiable para dar cuenta de la efectiva población carcelaria, permiten deducir que la sobrepoblación no supera al 1% a nivel nacional, resultado que es producto de la estimación del promedio de la sobrepoblación de los recintos a nivel nacional, cifra que termina ocultando la dramática realidad de que en 25 de los 53 centros penitenciarios visitados el 2017 existía sobrepoblación de diferentes magnitudes, llegando en varios casos a existir una situación grave de hacinamiento.</w:t>
      </w:r>
    </w:p>
    <w:p w14:paraId="22E8CC09" w14:textId="148FA45E" w:rsidR="006C254A" w:rsidRPr="00446153" w:rsidRDefault="00CF0E96" w:rsidP="00241DE4">
      <w:pPr>
        <w:spacing w:after="120" w:line="240" w:lineRule="auto"/>
        <w:jc w:val="both"/>
        <w:rPr>
          <w:rFonts w:cs="Calibri"/>
          <w:color w:val="000000"/>
          <w:sz w:val="23"/>
          <w:szCs w:val="23"/>
        </w:rPr>
      </w:pPr>
      <w:r>
        <w:rPr>
          <w:rFonts w:cs="Calibri"/>
          <w:b/>
          <w:sz w:val="23"/>
          <w:szCs w:val="23"/>
        </w:rPr>
        <w:t>73</w:t>
      </w:r>
      <w:r w:rsidR="006C254A" w:rsidRPr="00241DE4">
        <w:rPr>
          <w:rFonts w:cs="Calibri"/>
          <w:b/>
          <w:sz w:val="23"/>
          <w:szCs w:val="23"/>
        </w:rPr>
        <w:t>.</w:t>
      </w:r>
      <w:r w:rsidR="006C254A" w:rsidRPr="00241DE4">
        <w:rPr>
          <w:rFonts w:cs="Calibri"/>
          <w:sz w:val="23"/>
          <w:szCs w:val="23"/>
        </w:rPr>
        <w:t xml:space="preserve"> El Reglamento de Establecimientos Penitenciarios contempla la posibilidad de usar la celda de aislamiento como castigo, aun cuando la recomendación </w:t>
      </w:r>
      <w:r w:rsidR="00234DF3" w:rsidRPr="00241DE4">
        <w:rPr>
          <w:rFonts w:cs="Calibri"/>
          <w:sz w:val="23"/>
          <w:szCs w:val="23"/>
        </w:rPr>
        <w:t>en esta materia,</w:t>
      </w:r>
      <w:r w:rsidR="00ED4372" w:rsidRPr="00241DE4">
        <w:rPr>
          <w:rFonts w:cs="Calibri"/>
          <w:sz w:val="23"/>
          <w:szCs w:val="23"/>
        </w:rPr>
        <w:t xml:space="preserve"> de acuerdo</w:t>
      </w:r>
      <w:r w:rsidR="006C254A" w:rsidRPr="00241DE4">
        <w:rPr>
          <w:rFonts w:cs="Calibri"/>
          <w:sz w:val="23"/>
          <w:szCs w:val="23"/>
        </w:rPr>
        <w:t xml:space="preserve"> a los estándares internacionales en materia de tortura y derechos humanos</w:t>
      </w:r>
      <w:r w:rsidR="00ED4372" w:rsidRPr="00241DE4">
        <w:rPr>
          <w:rFonts w:cs="Calibri"/>
          <w:sz w:val="23"/>
          <w:szCs w:val="23"/>
        </w:rPr>
        <w:t>,</w:t>
      </w:r>
      <w:r w:rsidR="006C254A" w:rsidRPr="00241DE4">
        <w:rPr>
          <w:rFonts w:cs="Calibri"/>
          <w:sz w:val="23"/>
          <w:szCs w:val="23"/>
        </w:rPr>
        <w:t xml:space="preserve"> es la eliminación de tal medida. Peor aún, el Reglamento de Establecimientos Penitenciarios es un cuerpo normativo emanado del </w:t>
      </w:r>
      <w:r w:rsidR="00F72661" w:rsidRPr="00241DE4">
        <w:rPr>
          <w:rFonts w:cs="Calibri"/>
          <w:sz w:val="23"/>
          <w:szCs w:val="23"/>
        </w:rPr>
        <w:t>Poder E</w:t>
      </w:r>
      <w:r w:rsidR="006C254A" w:rsidRPr="00241DE4">
        <w:rPr>
          <w:rFonts w:cs="Calibri"/>
          <w:sz w:val="23"/>
          <w:szCs w:val="23"/>
        </w:rPr>
        <w:t>jecutivo y sin forma de ley, y el control jurisdiccional de todo el régimen disciplinario contenido en él es prácticamente inexistente. La reconsideración o control de las medidas disciplinarias quedan entregados a las propias autoridades internas del penal. Además, las celdas de aislamient</w:t>
      </w:r>
      <w:r w:rsidR="00F72661" w:rsidRPr="00241DE4">
        <w:rPr>
          <w:rFonts w:cs="Calibri"/>
          <w:sz w:val="23"/>
          <w:szCs w:val="23"/>
        </w:rPr>
        <w:t xml:space="preserve">o u otras destinadas al castigo, </w:t>
      </w:r>
      <w:r w:rsidR="006C254A" w:rsidRPr="00241DE4">
        <w:rPr>
          <w:rFonts w:cs="Calibri"/>
          <w:sz w:val="23"/>
          <w:szCs w:val="23"/>
        </w:rPr>
        <w:t xml:space="preserve">son mantenidas en condiciones deficientes, en general sin luz eléctrica y en </w:t>
      </w:r>
      <w:r w:rsidR="00F72661" w:rsidRPr="00241DE4">
        <w:rPr>
          <w:rFonts w:cs="Calibri"/>
          <w:sz w:val="23"/>
          <w:szCs w:val="23"/>
        </w:rPr>
        <w:t xml:space="preserve">precarias </w:t>
      </w:r>
      <w:r w:rsidR="006C254A" w:rsidRPr="00241DE4">
        <w:rPr>
          <w:rFonts w:cs="Calibri"/>
          <w:sz w:val="23"/>
          <w:szCs w:val="23"/>
        </w:rPr>
        <w:t xml:space="preserve">condiciones higiénicas. El sometimiento a este castigo implica </w:t>
      </w:r>
      <w:r w:rsidR="00F72661" w:rsidRPr="00241DE4">
        <w:rPr>
          <w:rFonts w:cs="Calibri"/>
          <w:sz w:val="23"/>
          <w:szCs w:val="23"/>
        </w:rPr>
        <w:t xml:space="preserve">un </w:t>
      </w:r>
      <w:r w:rsidR="006C254A" w:rsidRPr="00241DE4">
        <w:rPr>
          <w:rFonts w:cs="Calibri"/>
          <w:sz w:val="23"/>
          <w:szCs w:val="23"/>
        </w:rPr>
        <w:t xml:space="preserve">trato inhumano y degradante, atentatorio no solo contra la dignidad de las personas privadas de libertad, sino que también contra su integridad física y psíquica. El carácter de recurso de </w:t>
      </w:r>
      <w:r w:rsidR="006C254A" w:rsidRPr="00241DE4">
        <w:rPr>
          <w:rFonts w:cs="Calibri"/>
          <w:i/>
          <w:sz w:val="23"/>
          <w:szCs w:val="23"/>
        </w:rPr>
        <w:t>ultima ratio</w:t>
      </w:r>
      <w:r w:rsidR="006C254A" w:rsidRPr="00241DE4">
        <w:rPr>
          <w:rFonts w:cs="Calibri"/>
          <w:sz w:val="23"/>
          <w:szCs w:val="23"/>
        </w:rPr>
        <w:t xml:space="preserve"> de esta medida lleva a que Gendarmería la use señalando que se hace por razones de tránsito cuando un interno va a ser transferido a otro recinto penitenciario, pudiendo ser mantenidos en estas hasta por 60 días o más</w:t>
      </w:r>
      <w:r w:rsidR="006C254A" w:rsidRPr="00241DE4">
        <w:rPr>
          <w:rStyle w:val="FootnoteReference"/>
          <w:rFonts w:cs="Calibri"/>
          <w:sz w:val="23"/>
          <w:szCs w:val="23"/>
        </w:rPr>
        <w:footnoteReference w:id="49"/>
      </w:r>
      <w:r w:rsidR="006C254A" w:rsidRPr="00241DE4">
        <w:rPr>
          <w:rFonts w:cs="Calibri"/>
          <w:sz w:val="23"/>
          <w:szCs w:val="23"/>
        </w:rPr>
        <w:t>.</w:t>
      </w:r>
    </w:p>
    <w:p w14:paraId="57E82AFE" w14:textId="7DB95074" w:rsidR="006C254A" w:rsidRPr="00446153" w:rsidRDefault="006C254A" w:rsidP="00241DE4">
      <w:pPr>
        <w:spacing w:after="120" w:line="240" w:lineRule="auto"/>
        <w:jc w:val="both"/>
        <w:rPr>
          <w:rFonts w:cs="Calibri"/>
          <w:b/>
          <w:color w:val="000000"/>
          <w:sz w:val="23"/>
          <w:szCs w:val="23"/>
        </w:rPr>
      </w:pPr>
      <w:r w:rsidRPr="00446153">
        <w:rPr>
          <w:rFonts w:cs="Calibri"/>
          <w:b/>
          <w:color w:val="000000"/>
          <w:sz w:val="23"/>
          <w:szCs w:val="23"/>
        </w:rPr>
        <w:t>7</w:t>
      </w:r>
      <w:r w:rsidR="00CF0E96" w:rsidRPr="00446153">
        <w:rPr>
          <w:rFonts w:cs="Calibri"/>
          <w:b/>
          <w:color w:val="000000"/>
          <w:sz w:val="23"/>
          <w:szCs w:val="23"/>
        </w:rPr>
        <w:t>4</w:t>
      </w:r>
      <w:r w:rsidRPr="00446153">
        <w:rPr>
          <w:rFonts w:cs="Calibri"/>
          <w:b/>
          <w:color w:val="000000"/>
          <w:sz w:val="23"/>
          <w:szCs w:val="23"/>
        </w:rPr>
        <w:t>.</w:t>
      </w:r>
      <w:r w:rsidRPr="00446153">
        <w:rPr>
          <w:rFonts w:cs="Calibri"/>
          <w:color w:val="000000"/>
          <w:sz w:val="23"/>
          <w:szCs w:val="23"/>
        </w:rPr>
        <w:t xml:space="preserve"> Por otro lado, respecto del aislamiento prolongado como forma de cumplimiento de condena, en Chile hay 411 personas en esta situación, llamada Máxima Seguridad</w:t>
      </w:r>
      <w:r w:rsidRPr="00446153">
        <w:rPr>
          <w:rStyle w:val="FootnoteReference"/>
          <w:rFonts w:cs="Calibri"/>
          <w:color w:val="000000"/>
          <w:sz w:val="23"/>
          <w:szCs w:val="23"/>
        </w:rPr>
        <w:footnoteReference w:id="50"/>
      </w:r>
      <w:r w:rsidR="00F72661" w:rsidRPr="00446153">
        <w:rPr>
          <w:rFonts w:cs="Calibri"/>
          <w:color w:val="000000"/>
          <w:sz w:val="23"/>
          <w:szCs w:val="23"/>
        </w:rPr>
        <w:t xml:space="preserve">. </w:t>
      </w:r>
      <w:r w:rsidRPr="00446153">
        <w:rPr>
          <w:rFonts w:cs="Calibri"/>
          <w:color w:val="000000"/>
          <w:sz w:val="23"/>
          <w:szCs w:val="23"/>
        </w:rPr>
        <w:t xml:space="preserve">El aislamiento prolongado como forma de cumplimiento de condena supone estar encerrado hasta 22 horas, reducido a pocos metros con escasa o nula interacción humana. Dicha rutina puede perpetuarse por años, sometiendo a las personas privadas de libertad a un intenso régimen de control y vigilancia con incomunicación prolongada, lo que atenta contra la vida, salud física, psíquica y dignidad de la persona privada de libertad en este regimen. </w:t>
      </w:r>
    </w:p>
    <w:p w14:paraId="00C6352F" w14:textId="2D1D18DB" w:rsidR="0016344A" w:rsidRPr="00446153" w:rsidRDefault="00CF0E96" w:rsidP="00241DE4">
      <w:pPr>
        <w:spacing w:after="120" w:line="240" w:lineRule="auto"/>
        <w:jc w:val="both"/>
        <w:rPr>
          <w:rFonts w:cs="Calibri"/>
          <w:color w:val="000000"/>
          <w:sz w:val="23"/>
          <w:szCs w:val="23"/>
          <w:highlight w:val="white"/>
        </w:rPr>
      </w:pPr>
      <w:r w:rsidRPr="00446153">
        <w:rPr>
          <w:rFonts w:cs="Calibri"/>
          <w:b/>
          <w:color w:val="000000"/>
          <w:sz w:val="23"/>
          <w:szCs w:val="23"/>
        </w:rPr>
        <w:t>75</w:t>
      </w:r>
      <w:r w:rsidR="006C254A" w:rsidRPr="00446153">
        <w:rPr>
          <w:rFonts w:cs="Calibri"/>
          <w:b/>
          <w:color w:val="000000"/>
          <w:sz w:val="23"/>
          <w:szCs w:val="23"/>
        </w:rPr>
        <w:t>.</w:t>
      </w:r>
      <w:r w:rsidR="006C254A" w:rsidRPr="00446153">
        <w:rPr>
          <w:rFonts w:cs="Calibri"/>
          <w:color w:val="000000"/>
          <w:sz w:val="23"/>
          <w:szCs w:val="23"/>
        </w:rPr>
        <w:t xml:space="preserve"> Este regimen especialísimo no está consagrado en el Reglamento, pero se regula por una norma infralegal, correspondiente a la Resolución 6506 Exenta (28/12/09) que aprueba el </w:t>
      </w:r>
      <w:r w:rsidR="006C254A" w:rsidRPr="00446153">
        <w:rPr>
          <w:rFonts w:cs="Calibri"/>
          <w:i/>
          <w:color w:val="000000"/>
          <w:sz w:val="23"/>
          <w:szCs w:val="23"/>
        </w:rPr>
        <w:t>Manual de Régimen Interno de la Unidad de Alta Seguridad</w:t>
      </w:r>
      <w:r w:rsidR="006C254A" w:rsidRPr="00446153">
        <w:rPr>
          <w:rFonts w:cs="Calibri"/>
          <w:color w:val="000000"/>
          <w:sz w:val="23"/>
          <w:szCs w:val="23"/>
        </w:rPr>
        <w:t xml:space="preserve"> y contiene normas particulares referidas a las horas de patio que tendrán las personas que habitan este módulo (dos horas diarias). Diferentes organismos de derechos humanos han reiterado que un período de aislamiento superior a 15 días está prohibido, pudiendo constituir tortura o un trato inhumano y degradante. </w:t>
      </w:r>
      <w:r w:rsidR="006C254A" w:rsidRPr="00446153">
        <w:rPr>
          <w:rFonts w:cs="Calibri"/>
          <w:color w:val="000000"/>
          <w:sz w:val="23"/>
          <w:szCs w:val="23"/>
          <w:highlight w:val="white"/>
        </w:rPr>
        <w:t xml:space="preserve">Así lo indican las </w:t>
      </w:r>
      <w:r w:rsidR="006C254A" w:rsidRPr="00446153">
        <w:rPr>
          <w:rFonts w:cs="Calibri"/>
          <w:i/>
          <w:color w:val="000000"/>
          <w:sz w:val="23"/>
          <w:szCs w:val="23"/>
          <w:highlight w:val="white"/>
        </w:rPr>
        <w:t xml:space="preserve">Reglas Mínimas de las Naciones Unidas para el Tratamiento de los Reclusos </w:t>
      </w:r>
      <w:r w:rsidR="006C254A" w:rsidRPr="00446153">
        <w:rPr>
          <w:rFonts w:cs="Calibri"/>
          <w:color w:val="000000"/>
          <w:sz w:val="23"/>
          <w:szCs w:val="23"/>
          <w:highlight w:val="white"/>
        </w:rPr>
        <w:t>(Reglas de Mandela) en las reglas 43 y 44 y la Resolución 45/111 de la Asamblea General de la ONU (14/12/90) que considera que el uso del aislamiento debe restringirse y abolir</w:t>
      </w:r>
      <w:r w:rsidR="00ED4372" w:rsidRPr="00446153">
        <w:rPr>
          <w:rFonts w:cs="Calibri"/>
          <w:color w:val="000000"/>
          <w:sz w:val="23"/>
          <w:szCs w:val="23"/>
          <w:highlight w:val="white"/>
        </w:rPr>
        <w:t>se</w:t>
      </w:r>
      <w:r w:rsidR="006C254A" w:rsidRPr="00446153">
        <w:rPr>
          <w:rFonts w:cs="Calibri"/>
          <w:color w:val="000000"/>
          <w:sz w:val="23"/>
          <w:szCs w:val="23"/>
          <w:highlight w:val="white"/>
        </w:rPr>
        <w:t>.</w:t>
      </w:r>
    </w:p>
    <w:p w14:paraId="4EF2F68F" w14:textId="0C0D66A0" w:rsidR="002A2168" w:rsidRPr="00241DE4" w:rsidRDefault="00CF0E96" w:rsidP="00241DE4">
      <w:pPr>
        <w:spacing w:after="120" w:line="240" w:lineRule="auto"/>
        <w:jc w:val="both"/>
        <w:rPr>
          <w:rFonts w:cs="Calibri"/>
          <w:sz w:val="23"/>
          <w:szCs w:val="23"/>
        </w:rPr>
      </w:pPr>
      <w:r>
        <w:rPr>
          <w:rFonts w:cs="Calibri"/>
          <w:b/>
          <w:sz w:val="23"/>
          <w:szCs w:val="23"/>
        </w:rPr>
        <w:t>76</w:t>
      </w:r>
      <w:r w:rsidR="002A2168" w:rsidRPr="00241DE4">
        <w:rPr>
          <w:rFonts w:cs="Calibri"/>
          <w:b/>
          <w:sz w:val="23"/>
          <w:szCs w:val="23"/>
        </w:rPr>
        <w:t>.</w:t>
      </w:r>
      <w:r w:rsidR="002A2168" w:rsidRPr="00241DE4">
        <w:rPr>
          <w:rFonts w:cs="Calibri"/>
          <w:sz w:val="23"/>
          <w:szCs w:val="23"/>
        </w:rPr>
        <w:t xml:space="preserve"> Los problemas de infraestructura carcelaria afectan una variedad de derechos básicos y condiciones mínimas de dignidad humana. Se observan deficiencias en las instalaciones eléct</w:t>
      </w:r>
      <w:r w:rsidR="00F72661" w:rsidRPr="00241DE4">
        <w:rPr>
          <w:rFonts w:cs="Calibri"/>
          <w:sz w:val="23"/>
          <w:szCs w:val="23"/>
        </w:rPr>
        <w:t xml:space="preserve">ricas, de agua y alcantarillado, </w:t>
      </w:r>
      <w:r w:rsidR="002A2168" w:rsidRPr="00241DE4">
        <w:rPr>
          <w:rFonts w:cs="Calibri"/>
          <w:sz w:val="23"/>
          <w:szCs w:val="23"/>
        </w:rPr>
        <w:t>y falta de espacios para servir las comidas. Varios recintos presentan graves dificultades de acceso al agua, siendo en muchos casos un servicio esporádico y disponible unas pocas horas al día. La mayoría de los recintos penitenciarios carecen de agua caliente a disposición de las personas privadas de libertad, existiendo excepcionalmente en algunos recintos disponibilidad parcial de agua caliente</w:t>
      </w:r>
      <w:r w:rsidR="000C16BB" w:rsidRPr="00241DE4">
        <w:rPr>
          <w:rFonts w:cs="Calibri"/>
          <w:sz w:val="23"/>
          <w:szCs w:val="23"/>
        </w:rPr>
        <w:t>, según lo indica el último informe de situaciones carcelarias elaborado por la Fiscalía de la Corte Suprema</w:t>
      </w:r>
      <w:r w:rsidR="00F72661" w:rsidRPr="00241DE4">
        <w:rPr>
          <w:rFonts w:cs="Calibri"/>
          <w:sz w:val="23"/>
          <w:szCs w:val="23"/>
        </w:rPr>
        <w:t>, ya mencionado anteriormente</w:t>
      </w:r>
      <w:r w:rsidR="002A2168" w:rsidRPr="00241DE4">
        <w:rPr>
          <w:rFonts w:cs="Calibri"/>
          <w:sz w:val="23"/>
          <w:szCs w:val="23"/>
        </w:rPr>
        <w:t xml:space="preserve">.   </w:t>
      </w:r>
    </w:p>
    <w:p w14:paraId="59E9A56A" w14:textId="5D87B9A9" w:rsidR="002A2168" w:rsidRPr="00241DE4" w:rsidRDefault="00CF0E96" w:rsidP="00241DE4">
      <w:pPr>
        <w:spacing w:after="120" w:line="240" w:lineRule="auto"/>
        <w:jc w:val="both"/>
        <w:rPr>
          <w:rFonts w:cs="Calibri"/>
          <w:sz w:val="23"/>
          <w:szCs w:val="23"/>
        </w:rPr>
      </w:pPr>
      <w:r>
        <w:rPr>
          <w:rFonts w:cs="Calibri"/>
          <w:b/>
          <w:sz w:val="23"/>
          <w:szCs w:val="23"/>
        </w:rPr>
        <w:t>77</w:t>
      </w:r>
      <w:r w:rsidR="002A2168" w:rsidRPr="00241DE4">
        <w:rPr>
          <w:rFonts w:cs="Calibri"/>
          <w:b/>
          <w:sz w:val="23"/>
          <w:szCs w:val="23"/>
        </w:rPr>
        <w:t>.</w:t>
      </w:r>
      <w:r w:rsidR="002A2168" w:rsidRPr="00241DE4">
        <w:rPr>
          <w:rFonts w:cs="Calibri"/>
          <w:sz w:val="23"/>
          <w:szCs w:val="23"/>
        </w:rPr>
        <w:t xml:space="preserve"> El </w:t>
      </w:r>
      <w:r w:rsidR="000C16BB" w:rsidRPr="00241DE4">
        <w:rPr>
          <w:rFonts w:cs="Calibri"/>
          <w:sz w:val="23"/>
          <w:szCs w:val="23"/>
        </w:rPr>
        <w:t xml:space="preserve">mencionado informe </w:t>
      </w:r>
      <w:r w:rsidR="002A2168" w:rsidRPr="00241DE4">
        <w:rPr>
          <w:rFonts w:cs="Calibri"/>
          <w:sz w:val="23"/>
          <w:szCs w:val="23"/>
        </w:rPr>
        <w:t>evidenció como una de l</w:t>
      </w:r>
      <w:r w:rsidR="00F72661" w:rsidRPr="00241DE4">
        <w:rPr>
          <w:rFonts w:cs="Calibri"/>
          <w:sz w:val="23"/>
          <w:szCs w:val="23"/>
        </w:rPr>
        <w:t>as problemáticas más relevantes</w:t>
      </w:r>
      <w:r w:rsidR="002A2168" w:rsidRPr="00241DE4">
        <w:rPr>
          <w:rFonts w:cs="Calibri"/>
          <w:sz w:val="23"/>
          <w:szCs w:val="23"/>
        </w:rPr>
        <w:t xml:space="preserve"> los largos períodos de encierro en celda a los que están sometidas las personas privadas de libertad. En este sentido, se pudo apreciar que, por instrucciones generales de Genda</w:t>
      </w:r>
      <w:r w:rsidR="00F72661" w:rsidRPr="00241DE4">
        <w:rPr>
          <w:rFonts w:cs="Calibri"/>
          <w:sz w:val="23"/>
          <w:szCs w:val="23"/>
        </w:rPr>
        <w:t xml:space="preserve">rmería, se mantiene a las personas encerradas, en promedio, </w:t>
      </w:r>
      <w:r w:rsidR="002A2168" w:rsidRPr="00241DE4">
        <w:rPr>
          <w:rFonts w:cs="Calibri"/>
          <w:sz w:val="23"/>
          <w:szCs w:val="23"/>
        </w:rPr>
        <w:t>entre 14 y 16 horas diarias, existiendo ciertos casos especialmente graves como el de la ex penitenciaría, con 17 horas de encierro, y el Centro Penitenciario de Arica, con 15:30 horas de encierro al día. Todo ello, en conjunto con las preocupantes cifras en términos de hacinamiento, genera condiciones de vida que no sólo impiden una adecuada reinserción social, sino que vulneran gravemente la dignidad y la vida misma de las personas privadas de libertad. Esto no es un problema nuevo, sino que había sido ya evidenciado como uno de los tantos problemas graves de la privación de libertad</w:t>
      </w:r>
      <w:r w:rsidR="002A2168" w:rsidRPr="00241DE4">
        <w:rPr>
          <w:rStyle w:val="FootnoteReference"/>
          <w:rFonts w:cs="Calibri"/>
          <w:sz w:val="23"/>
          <w:szCs w:val="23"/>
        </w:rPr>
        <w:footnoteReference w:id="51"/>
      </w:r>
      <w:r w:rsidR="002A2168" w:rsidRPr="00241DE4">
        <w:rPr>
          <w:rFonts w:cs="Calibri"/>
          <w:sz w:val="23"/>
          <w:szCs w:val="23"/>
        </w:rPr>
        <w:t>.</w:t>
      </w:r>
    </w:p>
    <w:p w14:paraId="737BB42A" w14:textId="4DCFDD92" w:rsidR="002A2168" w:rsidRPr="00241DE4" w:rsidRDefault="00CF0E96" w:rsidP="00241DE4">
      <w:pPr>
        <w:spacing w:after="120" w:line="240" w:lineRule="auto"/>
        <w:jc w:val="both"/>
        <w:rPr>
          <w:rFonts w:cs="Calibri"/>
          <w:sz w:val="23"/>
          <w:szCs w:val="23"/>
        </w:rPr>
      </w:pPr>
      <w:r>
        <w:rPr>
          <w:rFonts w:cs="Calibri"/>
          <w:b/>
          <w:sz w:val="23"/>
          <w:szCs w:val="23"/>
        </w:rPr>
        <w:t>78</w:t>
      </w:r>
      <w:r w:rsidR="002A2168" w:rsidRPr="00241DE4">
        <w:rPr>
          <w:rFonts w:cs="Calibri"/>
          <w:b/>
          <w:sz w:val="23"/>
          <w:szCs w:val="23"/>
        </w:rPr>
        <w:t>.</w:t>
      </w:r>
      <w:r w:rsidR="002A2168" w:rsidRPr="00241DE4">
        <w:rPr>
          <w:rFonts w:cs="Calibri"/>
          <w:sz w:val="23"/>
          <w:szCs w:val="23"/>
        </w:rPr>
        <w:t xml:space="preserve"> Una de las múltiples consecuenc</w:t>
      </w:r>
      <w:r w:rsidR="00F72661" w:rsidRPr="00241DE4">
        <w:rPr>
          <w:rFonts w:cs="Calibri"/>
          <w:sz w:val="23"/>
          <w:szCs w:val="23"/>
        </w:rPr>
        <w:t>ias negativas de esta situación</w:t>
      </w:r>
      <w:r w:rsidR="002A2168" w:rsidRPr="00241DE4">
        <w:rPr>
          <w:rFonts w:cs="Calibri"/>
          <w:sz w:val="23"/>
          <w:szCs w:val="23"/>
        </w:rPr>
        <w:t xml:space="preserve"> es la deficiente alimentación que se genera, pues las 3 comidas diarias se efectúan en períodos de 8 o 9 horas, generándose v</w:t>
      </w:r>
      <w:r w:rsidR="00F72661" w:rsidRPr="00241DE4">
        <w:rPr>
          <w:rFonts w:cs="Calibri"/>
          <w:sz w:val="23"/>
          <w:szCs w:val="23"/>
        </w:rPr>
        <w:t xml:space="preserve">acíos alimentarios prolongados, ya que </w:t>
      </w:r>
      <w:r w:rsidR="002A2168" w:rsidRPr="00241DE4">
        <w:rPr>
          <w:rFonts w:cs="Calibri"/>
          <w:sz w:val="23"/>
          <w:szCs w:val="23"/>
        </w:rPr>
        <w:t>el desayuno se efectúa a las 9:00</w:t>
      </w:r>
      <w:r w:rsidR="00F72661" w:rsidRPr="00241DE4">
        <w:rPr>
          <w:rFonts w:cs="Calibri"/>
          <w:sz w:val="23"/>
          <w:szCs w:val="23"/>
        </w:rPr>
        <w:t xml:space="preserve"> de la mañana</w:t>
      </w:r>
      <w:r w:rsidR="002A2168" w:rsidRPr="00241DE4">
        <w:rPr>
          <w:rFonts w:cs="Calibri"/>
          <w:sz w:val="23"/>
          <w:szCs w:val="23"/>
        </w:rPr>
        <w:t xml:space="preserve">, el almuerzo a las 12:00 </w:t>
      </w:r>
      <w:r w:rsidR="00F72661" w:rsidRPr="00241DE4">
        <w:rPr>
          <w:rFonts w:cs="Calibri"/>
          <w:sz w:val="23"/>
          <w:szCs w:val="23"/>
        </w:rPr>
        <w:t xml:space="preserve">del mediodía </w:t>
      </w:r>
      <w:r w:rsidR="002A2168" w:rsidRPr="00241DE4">
        <w:rPr>
          <w:rFonts w:cs="Calibri"/>
          <w:sz w:val="23"/>
          <w:szCs w:val="23"/>
        </w:rPr>
        <w:t>y la c</w:t>
      </w:r>
      <w:r w:rsidR="00F72661" w:rsidRPr="00241DE4">
        <w:rPr>
          <w:rFonts w:cs="Calibri"/>
          <w:sz w:val="23"/>
          <w:szCs w:val="23"/>
        </w:rPr>
        <w:t>ena</w:t>
      </w:r>
      <w:r w:rsidR="002A2168" w:rsidRPr="00241DE4">
        <w:rPr>
          <w:rFonts w:cs="Calibri"/>
          <w:sz w:val="23"/>
          <w:szCs w:val="23"/>
        </w:rPr>
        <w:t xml:space="preserve"> a las 16:00. </w:t>
      </w:r>
      <w:r w:rsidR="00F72661" w:rsidRPr="00241DE4">
        <w:rPr>
          <w:rFonts w:cs="Calibri"/>
          <w:sz w:val="23"/>
          <w:szCs w:val="23"/>
        </w:rPr>
        <w:t>De tal forma,</w:t>
      </w:r>
      <w:r w:rsidR="002A2168" w:rsidRPr="00241DE4">
        <w:rPr>
          <w:rFonts w:cs="Calibri"/>
          <w:sz w:val="23"/>
          <w:szCs w:val="23"/>
        </w:rPr>
        <w:t xml:space="preserve"> no se alimentan de 16:00 </w:t>
      </w:r>
      <w:r w:rsidR="00F72661" w:rsidRPr="00241DE4">
        <w:rPr>
          <w:rFonts w:cs="Calibri"/>
          <w:sz w:val="23"/>
          <w:szCs w:val="23"/>
        </w:rPr>
        <w:t xml:space="preserve">de la tarde </w:t>
      </w:r>
      <w:r w:rsidR="002A2168" w:rsidRPr="00241DE4">
        <w:rPr>
          <w:rFonts w:cs="Calibri"/>
          <w:sz w:val="23"/>
          <w:szCs w:val="23"/>
        </w:rPr>
        <w:t xml:space="preserve">a 9:00 </w:t>
      </w:r>
      <w:r w:rsidR="00F72661" w:rsidRPr="00241DE4">
        <w:rPr>
          <w:rFonts w:cs="Calibri"/>
          <w:sz w:val="23"/>
          <w:szCs w:val="23"/>
        </w:rPr>
        <w:t xml:space="preserve">de la mañana </w:t>
      </w:r>
      <w:r w:rsidR="002A2168" w:rsidRPr="00241DE4">
        <w:rPr>
          <w:rFonts w:cs="Calibri"/>
          <w:sz w:val="23"/>
          <w:szCs w:val="23"/>
        </w:rPr>
        <w:t>del día sig</w:t>
      </w:r>
      <w:r w:rsidR="00F72661" w:rsidRPr="00241DE4">
        <w:rPr>
          <w:rFonts w:cs="Calibri"/>
          <w:sz w:val="23"/>
          <w:szCs w:val="23"/>
        </w:rPr>
        <w:t xml:space="preserve">uiente, es decir, por 17 horas. </w:t>
      </w:r>
    </w:p>
    <w:p w14:paraId="6BBB953C" w14:textId="1060D96E" w:rsidR="002A2168" w:rsidRPr="00241DE4" w:rsidRDefault="00CF0E96" w:rsidP="00241DE4">
      <w:pPr>
        <w:spacing w:after="120" w:line="240" w:lineRule="auto"/>
        <w:jc w:val="both"/>
        <w:rPr>
          <w:rFonts w:cs="Calibri"/>
          <w:sz w:val="23"/>
          <w:szCs w:val="23"/>
        </w:rPr>
      </w:pPr>
      <w:r>
        <w:rPr>
          <w:rFonts w:cs="Calibri"/>
          <w:b/>
          <w:sz w:val="23"/>
          <w:szCs w:val="23"/>
        </w:rPr>
        <w:t>79</w:t>
      </w:r>
      <w:r w:rsidR="002A2168" w:rsidRPr="00241DE4">
        <w:rPr>
          <w:rFonts w:cs="Calibri"/>
          <w:b/>
          <w:sz w:val="23"/>
          <w:szCs w:val="23"/>
        </w:rPr>
        <w:t>.</w:t>
      </w:r>
      <w:r w:rsidR="002A2168" w:rsidRPr="00241DE4">
        <w:rPr>
          <w:rFonts w:cs="Calibri"/>
          <w:sz w:val="23"/>
          <w:szCs w:val="23"/>
        </w:rPr>
        <w:t xml:space="preserve"> Para las horas de encierro, en algunos centros penitenciarios se les entrega una colación. La dieta queda a discreción de los funcionarios de Gendarmería, por lo que las personas reclusas no pueden escoger la clase de alimentos que deseen ingerir. Esto tiene especial relevancia por cuanto dentro de la población penal, existen individuos con distintas creencias religiosas que siguen determinado régimen alimenticio, y que se encuentran imposibilitados de cumplir. </w:t>
      </w:r>
    </w:p>
    <w:p w14:paraId="165900E2" w14:textId="0E0501F3" w:rsidR="002A2168" w:rsidRPr="00241DE4" w:rsidRDefault="00CF0E96" w:rsidP="00241DE4">
      <w:pPr>
        <w:spacing w:after="120" w:line="240" w:lineRule="auto"/>
        <w:jc w:val="both"/>
        <w:rPr>
          <w:rFonts w:cs="Calibri"/>
          <w:sz w:val="23"/>
          <w:szCs w:val="23"/>
        </w:rPr>
      </w:pPr>
      <w:r>
        <w:rPr>
          <w:rFonts w:cs="Calibri"/>
          <w:b/>
          <w:sz w:val="23"/>
          <w:szCs w:val="23"/>
          <w:lang w:val="es-ES_tradnl"/>
        </w:rPr>
        <w:t>80</w:t>
      </w:r>
      <w:r w:rsidR="002A2168" w:rsidRPr="00241DE4">
        <w:rPr>
          <w:rFonts w:cs="Calibri"/>
          <w:b/>
          <w:sz w:val="23"/>
          <w:szCs w:val="23"/>
          <w:lang w:val="es-ES_tradnl"/>
        </w:rPr>
        <w:t>.</w:t>
      </w:r>
      <w:r w:rsidR="002A2168" w:rsidRPr="00241DE4">
        <w:rPr>
          <w:rFonts w:cs="Calibri"/>
          <w:sz w:val="23"/>
          <w:szCs w:val="23"/>
          <w:lang w:val="es-ES_tradnl"/>
        </w:rPr>
        <w:t xml:space="preserve"> En cuanto a la atención médica, al interior de los penales existen un alto número de personas privadas de libertad que presenta consumo problemático de drogas y alcohol, existiendo un número muy reducido de comunidades terapéuticas o tratamientos de adicción. Lo propio sucede con programas de salud mental, fundamentales tanto para paliar los efectos de la privación de libertad, como para establecer bases y desarrollar herramientas necesarias para la reinserción y la vida fuera del encierro posterior. En cuanto a otras prestaciones médicas, los establecimientos, salvo muy raras excepciones, no cuentan con </w:t>
      </w:r>
      <w:r w:rsidR="0082633F" w:rsidRPr="00241DE4">
        <w:rPr>
          <w:rFonts w:cs="Calibri"/>
          <w:sz w:val="23"/>
          <w:szCs w:val="23"/>
          <w:lang w:val="es-ES_tradnl"/>
        </w:rPr>
        <w:t xml:space="preserve">un </w:t>
      </w:r>
      <w:r w:rsidR="002A2168" w:rsidRPr="00241DE4">
        <w:rPr>
          <w:rFonts w:cs="Calibri"/>
          <w:sz w:val="23"/>
          <w:szCs w:val="23"/>
          <w:lang w:val="es-ES_tradnl"/>
        </w:rPr>
        <w:t>hospital dentro del recinto carcelario, y menos aún se puede tener acceso a consultas médicas con especialistas</w:t>
      </w:r>
      <w:r w:rsidR="002A2168" w:rsidRPr="00241DE4">
        <w:rPr>
          <w:rFonts w:cs="Calibri"/>
          <w:sz w:val="23"/>
          <w:szCs w:val="23"/>
        </w:rPr>
        <w:t xml:space="preserve">. </w:t>
      </w:r>
    </w:p>
    <w:p w14:paraId="06A1E43D" w14:textId="3722A4FF" w:rsidR="00F72661" w:rsidRPr="00241DE4" w:rsidRDefault="00CF0E96" w:rsidP="00241DE4">
      <w:pPr>
        <w:spacing w:after="120" w:line="240" w:lineRule="auto"/>
        <w:jc w:val="both"/>
        <w:rPr>
          <w:rFonts w:cs="Calibri"/>
          <w:sz w:val="23"/>
          <w:szCs w:val="23"/>
          <w:lang w:val="es-ES_tradnl"/>
        </w:rPr>
      </w:pPr>
      <w:r>
        <w:rPr>
          <w:rFonts w:cs="Calibri"/>
          <w:b/>
          <w:sz w:val="23"/>
          <w:szCs w:val="23"/>
          <w:lang w:val="es-ES_tradnl"/>
        </w:rPr>
        <w:t>81</w:t>
      </w:r>
      <w:r w:rsidR="002A2168" w:rsidRPr="00241DE4">
        <w:rPr>
          <w:rFonts w:cs="Calibri"/>
          <w:b/>
          <w:sz w:val="23"/>
          <w:szCs w:val="23"/>
          <w:lang w:val="es-ES_tradnl"/>
        </w:rPr>
        <w:t>.</w:t>
      </w:r>
      <w:r w:rsidR="002A2168" w:rsidRPr="00241DE4">
        <w:rPr>
          <w:rFonts w:cs="Calibri"/>
          <w:sz w:val="23"/>
          <w:szCs w:val="23"/>
          <w:lang w:val="es-ES_tradnl"/>
        </w:rPr>
        <w:t xml:space="preserve"> Desde 1981 las cárceles chilenas incorporan programas laborales orientados a contribuir a la reinserción social de los reclusos a través de la formación de habilidades laborales impulsadas por la capacitación y acceso a fuentes de trabajo (Gendarmería de Chile, 2016). Sin embargo, esta oferta programática es muy escasa, en términos tanto de diversidad de programas disponibles como de cobertura de los mismos, ya que estos se focalizan en grupos prioritarios, lo que significa que la gran mayoría de las personas privadas de libertad no tiene acceso a formación</w:t>
      </w:r>
      <w:r w:rsidR="002A2168" w:rsidRPr="00241DE4">
        <w:rPr>
          <w:rStyle w:val="FootnoteReference"/>
          <w:rFonts w:cs="Calibri"/>
          <w:sz w:val="23"/>
          <w:szCs w:val="23"/>
          <w:lang w:val="es-ES_tradnl"/>
        </w:rPr>
        <w:footnoteReference w:id="52"/>
      </w:r>
      <w:r w:rsidR="002A2168" w:rsidRPr="00241DE4">
        <w:rPr>
          <w:rFonts w:cs="Calibri"/>
          <w:sz w:val="23"/>
          <w:szCs w:val="23"/>
          <w:lang w:val="es-ES_tradnl"/>
        </w:rPr>
        <w:t xml:space="preserve">. </w:t>
      </w:r>
    </w:p>
    <w:p w14:paraId="24217BB3" w14:textId="4813C7DB" w:rsidR="002A2168" w:rsidRPr="00241DE4" w:rsidRDefault="00CF0E96" w:rsidP="00241DE4">
      <w:pPr>
        <w:spacing w:after="120" w:line="240" w:lineRule="auto"/>
        <w:jc w:val="both"/>
        <w:rPr>
          <w:rFonts w:eastAsia="Times New Roman" w:cs="Calibri"/>
          <w:sz w:val="23"/>
          <w:szCs w:val="23"/>
          <w:lang w:val="es-ES_tradnl"/>
        </w:rPr>
      </w:pPr>
      <w:r>
        <w:rPr>
          <w:rFonts w:cs="Calibri"/>
          <w:b/>
          <w:sz w:val="23"/>
          <w:szCs w:val="23"/>
          <w:lang w:val="es-ES_tradnl"/>
        </w:rPr>
        <w:t>81</w:t>
      </w:r>
      <w:r w:rsidR="00F72661" w:rsidRPr="00241DE4">
        <w:rPr>
          <w:rFonts w:cs="Calibri"/>
          <w:b/>
          <w:sz w:val="23"/>
          <w:szCs w:val="23"/>
          <w:lang w:val="es-ES_tradnl"/>
        </w:rPr>
        <w:t>.</w:t>
      </w:r>
      <w:r w:rsidR="00F72661" w:rsidRPr="00241DE4">
        <w:rPr>
          <w:rFonts w:cs="Calibri"/>
          <w:sz w:val="23"/>
          <w:szCs w:val="23"/>
          <w:lang w:val="es-ES_tradnl"/>
        </w:rPr>
        <w:t xml:space="preserve"> </w:t>
      </w:r>
      <w:r w:rsidR="002A2168" w:rsidRPr="00241DE4">
        <w:rPr>
          <w:rFonts w:cs="Calibri"/>
          <w:sz w:val="23"/>
          <w:szCs w:val="23"/>
          <w:lang w:val="es-ES_tradnl"/>
        </w:rPr>
        <w:t>Aunque algunos organismos no gubernamentales han tratado</w:t>
      </w:r>
      <w:r w:rsidR="002A2168" w:rsidRPr="00241DE4">
        <w:rPr>
          <w:rFonts w:eastAsia="Times New Roman" w:cs="Calibri"/>
          <w:sz w:val="23"/>
          <w:szCs w:val="23"/>
        </w:rPr>
        <w:t xml:space="preserve"> de suplir esta carencia brindando programas dentro de algunos penales, su implementación depende de contextos locales, por lo que se ha desarrollado de manera desarticulada. Si bien Gendarmería ha firmado convenios con entidades que ofrecen </w:t>
      </w:r>
      <w:r w:rsidR="002A2168" w:rsidRPr="00241DE4">
        <w:rPr>
          <w:rFonts w:eastAsia="Times New Roman" w:cs="Calibri"/>
          <w:sz w:val="23"/>
          <w:szCs w:val="23"/>
          <w:lang w:val="es-ES_tradnl"/>
        </w:rPr>
        <w:t>capacitación certificada en oficios, como la Cámara Chilena de la Construcción y el Servicio Nacional de Capacitación y Empleo (SENCE), los cupos son extremadamente restringidos. En efecto, sólo un 6% de las personas reclusas en el país recibió alguna capacitación laboral en 2017, lo que es más usual entre mujeres (12%) que entre hombres (5%). No obstante, una población aún más reducida (2%) accede a los Centros de Capacitación y Trabajo (CET), que son secciones al interior de algunos penales, orientadas a proporcionar una oferta más integral que contempla capacitación técnica, trabajo regular y remunerado, así como educación, formación e intervención psicosocial a los reclusos</w:t>
      </w:r>
      <w:r w:rsidR="00F72661" w:rsidRPr="00241DE4">
        <w:rPr>
          <w:rStyle w:val="FootnoteReference"/>
          <w:rFonts w:eastAsia="Times New Roman" w:cs="Calibri"/>
          <w:sz w:val="23"/>
          <w:szCs w:val="23"/>
          <w:lang w:val="es-ES_tradnl"/>
        </w:rPr>
        <w:footnoteReference w:id="53"/>
      </w:r>
      <w:r w:rsidR="002A2168" w:rsidRPr="00241DE4">
        <w:rPr>
          <w:rFonts w:eastAsia="Times New Roman" w:cs="Calibri"/>
          <w:sz w:val="23"/>
          <w:szCs w:val="23"/>
          <w:lang w:val="es-ES_tradnl"/>
        </w:rPr>
        <w:t>.</w:t>
      </w:r>
    </w:p>
    <w:p w14:paraId="33934EFB" w14:textId="6F3F196D" w:rsidR="002A2168" w:rsidRPr="00241DE4" w:rsidRDefault="00CF0E96" w:rsidP="00241DE4">
      <w:pPr>
        <w:spacing w:after="120" w:line="240" w:lineRule="auto"/>
        <w:jc w:val="both"/>
        <w:rPr>
          <w:rFonts w:cs="Calibri"/>
          <w:sz w:val="23"/>
          <w:szCs w:val="23"/>
        </w:rPr>
      </w:pPr>
      <w:r w:rsidRPr="00446153">
        <w:rPr>
          <w:rFonts w:cs="Calibri"/>
          <w:b/>
          <w:color w:val="000000"/>
          <w:sz w:val="23"/>
          <w:szCs w:val="23"/>
          <w:highlight w:val="white"/>
        </w:rPr>
        <w:t>82</w:t>
      </w:r>
      <w:r w:rsidR="002A2168" w:rsidRPr="00446153">
        <w:rPr>
          <w:rFonts w:cs="Calibri"/>
          <w:b/>
          <w:color w:val="000000"/>
          <w:sz w:val="23"/>
          <w:szCs w:val="23"/>
          <w:highlight w:val="white"/>
        </w:rPr>
        <w:t>.</w:t>
      </w:r>
      <w:r w:rsidR="002A2168" w:rsidRPr="00446153">
        <w:rPr>
          <w:rFonts w:cs="Calibri"/>
          <w:color w:val="000000"/>
          <w:sz w:val="23"/>
          <w:szCs w:val="23"/>
          <w:highlight w:val="white"/>
        </w:rPr>
        <w:t xml:space="preserve"> Finalmente, en materia de violencia carcelaria, tortura y malos tratos, se puede advertir que </w:t>
      </w:r>
      <w:r w:rsidR="002A2168" w:rsidRPr="00241DE4">
        <w:rPr>
          <w:rFonts w:cs="Calibri"/>
          <w:sz w:val="23"/>
          <w:szCs w:val="23"/>
        </w:rPr>
        <w:t>las riñas y la violencia dentro de los centros penitenciarios son la segunda causa de muerte dentro de los recintos penitenciarios en Chile, solo superado por enfermedades atribuibles principalmente a las malas condiciones sanitarias dentro de los penales</w:t>
      </w:r>
      <w:r w:rsidR="002A2168" w:rsidRPr="00241DE4">
        <w:rPr>
          <w:rStyle w:val="FootnoteReference"/>
          <w:rFonts w:cs="Calibri"/>
          <w:sz w:val="23"/>
          <w:szCs w:val="23"/>
        </w:rPr>
        <w:footnoteReference w:id="54"/>
      </w:r>
      <w:r w:rsidR="002A2168" w:rsidRPr="00241DE4">
        <w:rPr>
          <w:rFonts w:cs="Calibri"/>
          <w:sz w:val="23"/>
          <w:szCs w:val="23"/>
        </w:rPr>
        <w:t xml:space="preserve">. Gendarmería tiene la responsabilidad, como custodio de las personas privadas de libertad, de velar por la integridad y salud de estas personas. Los tribunales chilenos han resuelto que la normativa impone a Gendarmería de Chile </w:t>
      </w:r>
      <w:r w:rsidR="00B4712F" w:rsidRPr="00241DE4">
        <w:rPr>
          <w:rFonts w:cs="Calibri"/>
          <w:sz w:val="23"/>
          <w:szCs w:val="23"/>
        </w:rPr>
        <w:t>la obligación de</w:t>
      </w:r>
      <w:r w:rsidR="002A2168" w:rsidRPr="00241DE4">
        <w:rPr>
          <w:rFonts w:cs="Calibri"/>
          <w:sz w:val="23"/>
          <w:szCs w:val="23"/>
        </w:rPr>
        <w:t xml:space="preserve"> prestar la rápida y debida atención médica al interno que presente afecciones en su estado de salud y disponer la realización de una investigación sumaria cuando existan antecedentes que permitan estimar la ocurrencia de infracciones administrativas</w:t>
      </w:r>
      <w:r w:rsidR="002A2168" w:rsidRPr="00241DE4">
        <w:rPr>
          <w:rStyle w:val="FootnoteReference"/>
          <w:rFonts w:cs="Calibri"/>
          <w:sz w:val="23"/>
          <w:szCs w:val="23"/>
        </w:rPr>
        <w:footnoteReference w:id="55"/>
      </w:r>
      <w:r w:rsidR="002A2168" w:rsidRPr="00241DE4">
        <w:rPr>
          <w:rFonts w:cs="Calibri"/>
          <w:sz w:val="23"/>
          <w:szCs w:val="23"/>
        </w:rPr>
        <w:t xml:space="preserve">. </w:t>
      </w:r>
    </w:p>
    <w:p w14:paraId="3549BB91" w14:textId="64658CBC" w:rsidR="002A2168" w:rsidRPr="00241DE4" w:rsidRDefault="00CF0E96" w:rsidP="00241DE4">
      <w:pPr>
        <w:spacing w:after="120" w:line="240" w:lineRule="auto"/>
        <w:jc w:val="both"/>
        <w:rPr>
          <w:rFonts w:cs="Calibri"/>
          <w:sz w:val="23"/>
          <w:szCs w:val="23"/>
        </w:rPr>
      </w:pPr>
      <w:r>
        <w:rPr>
          <w:rFonts w:cs="Calibri"/>
          <w:b/>
          <w:sz w:val="23"/>
          <w:szCs w:val="23"/>
        </w:rPr>
        <w:t>83</w:t>
      </w:r>
      <w:r w:rsidR="002A2168" w:rsidRPr="00241DE4">
        <w:rPr>
          <w:rFonts w:cs="Calibri"/>
          <w:b/>
          <w:sz w:val="23"/>
          <w:szCs w:val="23"/>
        </w:rPr>
        <w:t>.</w:t>
      </w:r>
      <w:r w:rsidR="002A2168" w:rsidRPr="00241DE4">
        <w:rPr>
          <w:rFonts w:cs="Calibri"/>
          <w:sz w:val="23"/>
          <w:szCs w:val="23"/>
        </w:rPr>
        <w:t xml:space="preserve"> Las cifras de muerte por riña o violencia intramuros permiten inferir que la implementación de la Unidad de Protección y Promoción de los Derechos Humanos de Gendarmería no se ha traducido en resultados positivos en esta materia. Al contrario, recientemente funcionarios de Gendarmería se han manifestado en contra del rol del INDH, y sostienen que existe una criminalización de la función penitenciaria a través del INDH y la Defensoría Penal Pública</w:t>
      </w:r>
      <w:r w:rsidR="002A2168" w:rsidRPr="00241DE4">
        <w:rPr>
          <w:rStyle w:val="FootnoteReference"/>
          <w:rFonts w:cs="Calibri"/>
          <w:sz w:val="23"/>
          <w:szCs w:val="23"/>
        </w:rPr>
        <w:footnoteReference w:id="56"/>
      </w:r>
      <w:r w:rsidR="002A2168" w:rsidRPr="00241DE4">
        <w:rPr>
          <w:rFonts w:cs="Calibri"/>
          <w:sz w:val="23"/>
          <w:szCs w:val="23"/>
        </w:rPr>
        <w:t>. Es decir, no hay un entendimiento por parte de Gendarmería de Chile de la función que realiza el Instituto y la Defensoría en la protección de las garantías básicas de las personas privadas de libertad, que no obedece a una persecución de la labor penitenciaria, sino a la denuncia e investigación legal de las prácticas y abusos, y de la escasa seguridad para la integridad de las personas reclusas y la violación de sus derechos en un contexto de encierro. Existe una suerte de confrontación y animadversión de Gendarmería hacia las personas que custodia, que, si bien pued</w:t>
      </w:r>
      <w:r w:rsidR="00B4712F" w:rsidRPr="00241DE4">
        <w:rPr>
          <w:rFonts w:cs="Calibri"/>
          <w:sz w:val="23"/>
          <w:szCs w:val="23"/>
        </w:rPr>
        <w:t xml:space="preserve">e deberse a </w:t>
      </w:r>
      <w:r w:rsidR="002A2168" w:rsidRPr="00241DE4">
        <w:rPr>
          <w:rFonts w:cs="Calibri"/>
          <w:sz w:val="23"/>
          <w:szCs w:val="23"/>
        </w:rPr>
        <w:t>malas condiciones laborales y humanas en que deben desarrollar su labor, no puede significar la desprotección de éstos y la vulneración de sus derechos fundamentales.</w:t>
      </w:r>
    </w:p>
    <w:p w14:paraId="1A684B67" w14:textId="77777777" w:rsidR="00B4712F" w:rsidRPr="00241DE4" w:rsidRDefault="00B4712F" w:rsidP="00241DE4">
      <w:pPr>
        <w:spacing w:after="120" w:line="240" w:lineRule="auto"/>
        <w:jc w:val="both"/>
        <w:rPr>
          <w:rFonts w:cs="Calibri"/>
          <w:sz w:val="23"/>
          <w:szCs w:val="23"/>
        </w:rPr>
      </w:pPr>
    </w:p>
    <w:p w14:paraId="68AD6EFB" w14:textId="77777777" w:rsidR="002A2168" w:rsidRPr="00446153" w:rsidRDefault="002A2168" w:rsidP="00241DE4">
      <w:pPr>
        <w:spacing w:after="120" w:line="240" w:lineRule="auto"/>
        <w:jc w:val="both"/>
        <w:rPr>
          <w:rFonts w:cs="Calibri"/>
          <w:b/>
          <w:i/>
          <w:color w:val="000000"/>
          <w:sz w:val="23"/>
          <w:szCs w:val="23"/>
          <w:highlight w:val="white"/>
        </w:rPr>
      </w:pPr>
      <w:r w:rsidRPr="00446153">
        <w:rPr>
          <w:rFonts w:cs="Calibri"/>
          <w:b/>
          <w:i/>
          <w:color w:val="000000"/>
          <w:sz w:val="23"/>
          <w:szCs w:val="23"/>
          <w:highlight w:val="white"/>
          <w:u w:val="single"/>
        </w:rPr>
        <w:t>Recomendaciones</w:t>
      </w:r>
      <w:r w:rsidRPr="00446153">
        <w:rPr>
          <w:rFonts w:cs="Calibri"/>
          <w:b/>
          <w:i/>
          <w:color w:val="000000"/>
          <w:sz w:val="23"/>
          <w:szCs w:val="23"/>
          <w:highlight w:val="white"/>
        </w:rPr>
        <w:t xml:space="preserve">: </w:t>
      </w:r>
    </w:p>
    <w:p w14:paraId="497BACCB" w14:textId="77777777" w:rsidR="00241DE4" w:rsidRPr="00446153" w:rsidRDefault="00241DE4" w:rsidP="00241DE4">
      <w:pPr>
        <w:spacing w:after="120" w:line="240" w:lineRule="auto"/>
        <w:jc w:val="both"/>
        <w:rPr>
          <w:rFonts w:cs="Calibri"/>
          <w:b/>
          <w:i/>
          <w:color w:val="000000"/>
          <w:sz w:val="23"/>
          <w:szCs w:val="23"/>
          <w:highlight w:val="white"/>
        </w:rPr>
      </w:pPr>
    </w:p>
    <w:p w14:paraId="6087940F" w14:textId="77777777" w:rsidR="002A2168" w:rsidRPr="00446153" w:rsidRDefault="002A2168" w:rsidP="00241DE4">
      <w:pPr>
        <w:pStyle w:val="ListParagraph"/>
        <w:numPr>
          <w:ilvl w:val="0"/>
          <w:numId w:val="3"/>
        </w:numPr>
        <w:spacing w:after="120" w:line="240" w:lineRule="auto"/>
        <w:ind w:left="714" w:hanging="357"/>
        <w:contextualSpacing w:val="0"/>
        <w:jc w:val="both"/>
        <w:rPr>
          <w:rFonts w:cs="Calibri"/>
          <w:b/>
          <w:i/>
          <w:color w:val="000000"/>
          <w:sz w:val="23"/>
          <w:szCs w:val="23"/>
          <w:highlight w:val="white"/>
        </w:rPr>
      </w:pPr>
      <w:r w:rsidRPr="00446153">
        <w:rPr>
          <w:rFonts w:cs="Calibri"/>
          <w:b/>
          <w:color w:val="000000"/>
          <w:sz w:val="23"/>
          <w:szCs w:val="23"/>
          <w:highlight w:val="white"/>
        </w:rPr>
        <w:t>Asegurar co</w:t>
      </w:r>
      <w:r w:rsidR="006C254A" w:rsidRPr="00446153">
        <w:rPr>
          <w:rFonts w:cs="Calibri"/>
          <w:b/>
          <w:color w:val="000000"/>
          <w:sz w:val="23"/>
          <w:szCs w:val="23"/>
          <w:highlight w:val="white"/>
        </w:rPr>
        <w:t>ndiciones materiales de habitabilidad</w:t>
      </w:r>
      <w:r w:rsidRPr="00446153">
        <w:rPr>
          <w:rFonts w:cs="Calibri"/>
          <w:b/>
          <w:color w:val="000000"/>
          <w:sz w:val="23"/>
          <w:szCs w:val="23"/>
          <w:highlight w:val="white"/>
        </w:rPr>
        <w:t xml:space="preserve"> para las personas privadas de libertad en todos los recintos penitenciarios del país</w:t>
      </w:r>
      <w:r w:rsidR="009D3A90" w:rsidRPr="00446153">
        <w:rPr>
          <w:rFonts w:cs="Calibri"/>
          <w:b/>
          <w:color w:val="000000"/>
          <w:sz w:val="23"/>
          <w:szCs w:val="23"/>
          <w:highlight w:val="white"/>
        </w:rPr>
        <w:t xml:space="preserve">, que les aseguren un tratamiento digno y acorde a los estándares internacionales de derechos humanos. </w:t>
      </w:r>
    </w:p>
    <w:p w14:paraId="4C47ED79" w14:textId="77777777" w:rsidR="002A2168" w:rsidRPr="00446153" w:rsidRDefault="002A2168" w:rsidP="00241DE4">
      <w:pPr>
        <w:pStyle w:val="ListParagraph"/>
        <w:numPr>
          <w:ilvl w:val="0"/>
          <w:numId w:val="3"/>
        </w:numPr>
        <w:spacing w:after="120" w:line="240" w:lineRule="auto"/>
        <w:ind w:left="714" w:hanging="357"/>
        <w:contextualSpacing w:val="0"/>
        <w:jc w:val="both"/>
        <w:rPr>
          <w:rFonts w:cs="Calibri"/>
          <w:b/>
          <w:i/>
          <w:color w:val="000000"/>
          <w:sz w:val="23"/>
          <w:szCs w:val="23"/>
          <w:highlight w:val="white"/>
        </w:rPr>
      </w:pPr>
      <w:r w:rsidRPr="00446153">
        <w:rPr>
          <w:rFonts w:cs="Calibri"/>
          <w:b/>
          <w:color w:val="000000"/>
          <w:sz w:val="23"/>
          <w:szCs w:val="23"/>
          <w:highlight w:val="white"/>
        </w:rPr>
        <w:t xml:space="preserve">Garantizar que las medidas disciplinarias y sanciones impuestas en recintos penitenciarios sean </w:t>
      </w:r>
      <w:r w:rsidR="009D3A90" w:rsidRPr="00446153">
        <w:rPr>
          <w:rFonts w:cs="Calibri"/>
          <w:b/>
          <w:color w:val="000000"/>
          <w:sz w:val="23"/>
          <w:szCs w:val="23"/>
          <w:highlight w:val="white"/>
        </w:rPr>
        <w:t xml:space="preserve">necesarias y proporcionadas, </w:t>
      </w:r>
      <w:r w:rsidRPr="00446153">
        <w:rPr>
          <w:rFonts w:cs="Calibri"/>
          <w:b/>
          <w:color w:val="000000"/>
          <w:sz w:val="23"/>
          <w:szCs w:val="23"/>
          <w:highlight w:val="white"/>
        </w:rPr>
        <w:t>respetuosas de los derechos humanos de las person</w:t>
      </w:r>
      <w:r w:rsidR="006C254A" w:rsidRPr="00446153">
        <w:rPr>
          <w:rFonts w:cs="Calibri"/>
          <w:b/>
          <w:color w:val="000000"/>
          <w:sz w:val="23"/>
          <w:szCs w:val="23"/>
          <w:highlight w:val="white"/>
        </w:rPr>
        <w:t>a</w:t>
      </w:r>
      <w:r w:rsidRPr="00446153">
        <w:rPr>
          <w:rFonts w:cs="Calibri"/>
          <w:b/>
          <w:color w:val="000000"/>
          <w:sz w:val="23"/>
          <w:szCs w:val="23"/>
          <w:highlight w:val="white"/>
        </w:rPr>
        <w:t>s privadas de libertad, cumpliendo con estandares internacionales sobre la materia</w:t>
      </w:r>
      <w:r w:rsidR="006C254A" w:rsidRPr="00446153">
        <w:rPr>
          <w:rFonts w:cs="Calibri"/>
          <w:b/>
          <w:color w:val="000000"/>
          <w:sz w:val="23"/>
          <w:szCs w:val="23"/>
          <w:highlight w:val="white"/>
        </w:rPr>
        <w:t xml:space="preserve">. </w:t>
      </w:r>
    </w:p>
    <w:p w14:paraId="7E6E159E" w14:textId="77777777" w:rsidR="002A2168" w:rsidRPr="00446153" w:rsidRDefault="002A2168" w:rsidP="00241DE4">
      <w:pPr>
        <w:pStyle w:val="ListParagraph"/>
        <w:numPr>
          <w:ilvl w:val="0"/>
          <w:numId w:val="3"/>
        </w:numPr>
        <w:spacing w:after="120" w:line="240" w:lineRule="auto"/>
        <w:ind w:left="714" w:hanging="357"/>
        <w:contextualSpacing w:val="0"/>
        <w:jc w:val="both"/>
        <w:rPr>
          <w:rFonts w:cs="Calibri"/>
          <w:b/>
          <w:i/>
          <w:color w:val="000000"/>
          <w:sz w:val="23"/>
          <w:szCs w:val="23"/>
          <w:highlight w:val="white"/>
        </w:rPr>
      </w:pPr>
      <w:r w:rsidRPr="00446153">
        <w:rPr>
          <w:rFonts w:cs="Calibri"/>
          <w:b/>
          <w:color w:val="000000"/>
          <w:sz w:val="23"/>
          <w:szCs w:val="23"/>
          <w:highlight w:val="white"/>
        </w:rPr>
        <w:t xml:space="preserve">Adoptar medidas para disminuir el hacinamiento en recintos penitenciarios y mejorar la infraestructura de los mismos, con la finalidad de asegurar acceso a servicios básicos para las personas reclusas. </w:t>
      </w:r>
    </w:p>
    <w:p w14:paraId="6040465B" w14:textId="77777777" w:rsidR="002A2168" w:rsidRPr="00446153" w:rsidRDefault="002A2168" w:rsidP="00241DE4">
      <w:pPr>
        <w:pStyle w:val="ListParagraph"/>
        <w:numPr>
          <w:ilvl w:val="0"/>
          <w:numId w:val="3"/>
        </w:numPr>
        <w:spacing w:after="120" w:line="240" w:lineRule="auto"/>
        <w:ind w:left="714" w:hanging="357"/>
        <w:contextualSpacing w:val="0"/>
        <w:jc w:val="both"/>
        <w:rPr>
          <w:rFonts w:cs="Calibri"/>
          <w:b/>
          <w:i/>
          <w:color w:val="000000"/>
          <w:sz w:val="23"/>
          <w:szCs w:val="23"/>
          <w:highlight w:val="white"/>
        </w:rPr>
      </w:pPr>
      <w:r w:rsidRPr="00446153">
        <w:rPr>
          <w:rFonts w:cs="Calibri"/>
          <w:b/>
          <w:color w:val="000000"/>
          <w:sz w:val="23"/>
          <w:szCs w:val="23"/>
          <w:highlight w:val="white"/>
        </w:rPr>
        <w:t>Garantizar la atención médica, general y especializada, en todos los recintos penitenciarios para eventos de salud de las personas recluídas</w:t>
      </w:r>
      <w:r w:rsidR="006C254A" w:rsidRPr="00446153">
        <w:rPr>
          <w:rFonts w:cs="Calibri"/>
          <w:b/>
          <w:color w:val="000000"/>
          <w:sz w:val="23"/>
          <w:szCs w:val="23"/>
          <w:highlight w:val="white"/>
        </w:rPr>
        <w:t>, con especial énfasis en la atención de salud de las mujeres embarazadas, la atención del parto y puerperio y la atención de salud de lactantes, niños y niñas que estén con sus madres</w:t>
      </w:r>
      <w:r w:rsidRPr="00446153">
        <w:rPr>
          <w:rFonts w:cs="Calibri"/>
          <w:b/>
          <w:color w:val="000000"/>
          <w:sz w:val="23"/>
          <w:szCs w:val="23"/>
          <w:highlight w:val="white"/>
        </w:rPr>
        <w:t xml:space="preserve">.  </w:t>
      </w:r>
    </w:p>
    <w:p w14:paraId="1CD809EC" w14:textId="77777777" w:rsidR="002A2168" w:rsidRPr="00446153" w:rsidRDefault="002A2168" w:rsidP="00241DE4">
      <w:pPr>
        <w:pStyle w:val="ListParagraph"/>
        <w:numPr>
          <w:ilvl w:val="0"/>
          <w:numId w:val="3"/>
        </w:numPr>
        <w:spacing w:after="120" w:line="240" w:lineRule="auto"/>
        <w:ind w:left="714" w:hanging="357"/>
        <w:contextualSpacing w:val="0"/>
        <w:jc w:val="both"/>
        <w:rPr>
          <w:rFonts w:cs="Calibri"/>
          <w:b/>
          <w:i/>
          <w:color w:val="000000"/>
          <w:sz w:val="23"/>
          <w:szCs w:val="23"/>
          <w:highlight w:val="white"/>
        </w:rPr>
      </w:pPr>
      <w:r w:rsidRPr="00446153">
        <w:rPr>
          <w:rFonts w:cs="Calibri"/>
          <w:b/>
          <w:color w:val="000000"/>
          <w:sz w:val="23"/>
          <w:szCs w:val="23"/>
          <w:highlight w:val="white"/>
        </w:rPr>
        <w:t xml:space="preserve">Elaborar programas laborales para las personas privadas de libertad que sean coherentes con la vida en el ambiente libre y programas de reinserción que los prepare para el momento en que termine su pena privativa de libertad. </w:t>
      </w:r>
    </w:p>
    <w:p w14:paraId="79410831" w14:textId="42954525" w:rsidR="002A2168" w:rsidRPr="00241DE4" w:rsidRDefault="002A2168" w:rsidP="00241DE4">
      <w:pPr>
        <w:pStyle w:val="ListParagraph"/>
        <w:numPr>
          <w:ilvl w:val="0"/>
          <w:numId w:val="4"/>
        </w:numPr>
        <w:spacing w:after="120" w:line="240" w:lineRule="auto"/>
        <w:contextualSpacing w:val="0"/>
        <w:jc w:val="both"/>
        <w:rPr>
          <w:rFonts w:cs="Calibri"/>
          <w:b/>
          <w:color w:val="FF0000"/>
          <w:sz w:val="23"/>
          <w:szCs w:val="23"/>
          <w:u w:val="single"/>
        </w:rPr>
      </w:pPr>
      <w:r w:rsidRPr="00446153">
        <w:rPr>
          <w:rFonts w:cs="Calibri"/>
          <w:b/>
          <w:color w:val="000000"/>
          <w:sz w:val="23"/>
          <w:szCs w:val="23"/>
          <w:highlight w:val="white"/>
        </w:rPr>
        <w:t>Eliminar el uso de la celda de aislamiento como sanción en recintos penitenciarios, acorde con estandares internacionales en la materia</w:t>
      </w:r>
      <w:r w:rsidR="00B4712F" w:rsidRPr="00446153">
        <w:rPr>
          <w:rFonts w:cs="Calibri"/>
          <w:b/>
          <w:color w:val="000000"/>
          <w:sz w:val="23"/>
          <w:szCs w:val="23"/>
          <w:highlight w:val="white"/>
        </w:rPr>
        <w:t xml:space="preserve">, y acabar con el aislamiento prolongado como régimen excepcional de cumplimiento de condena, </w:t>
      </w:r>
      <w:r w:rsidR="0016344A" w:rsidRPr="00446153">
        <w:rPr>
          <w:rFonts w:cs="Calibri"/>
          <w:b/>
          <w:color w:val="000000"/>
          <w:sz w:val="23"/>
          <w:szCs w:val="23"/>
        </w:rPr>
        <w:t xml:space="preserve">establecido en los artículos 31, 32 y 33 de la Resolución Exenta N°6506 referidos al Módulo de Máxima seguridad. </w:t>
      </w:r>
    </w:p>
    <w:p w14:paraId="4EE43609" w14:textId="77777777" w:rsidR="00666E22" w:rsidRPr="00241DE4" w:rsidRDefault="002A2168" w:rsidP="00241DE4">
      <w:pPr>
        <w:pStyle w:val="ListParagraph"/>
        <w:numPr>
          <w:ilvl w:val="0"/>
          <w:numId w:val="3"/>
        </w:numPr>
        <w:spacing w:after="120" w:line="240" w:lineRule="auto"/>
        <w:ind w:left="714" w:hanging="357"/>
        <w:contextualSpacing w:val="0"/>
        <w:jc w:val="both"/>
        <w:rPr>
          <w:rFonts w:eastAsia="Times New Roman" w:cs="Calibri"/>
          <w:sz w:val="23"/>
          <w:szCs w:val="23"/>
          <w:lang w:val="es-ES_tradnl" w:eastAsia="es-ES_tradnl"/>
        </w:rPr>
      </w:pPr>
      <w:r w:rsidRPr="00446153">
        <w:rPr>
          <w:rFonts w:cs="Calibri"/>
          <w:b/>
          <w:color w:val="000000"/>
          <w:sz w:val="23"/>
          <w:szCs w:val="23"/>
          <w:highlight w:val="white"/>
        </w:rPr>
        <w:t xml:space="preserve">Creación de módulo de reinserción en recintos penitenciarios, específicos para la custodia de personas con discapacidad psicosocial, de tal forma que puedan tener acceso a atención de salud mental especializada y a ajustes </w:t>
      </w:r>
      <w:r w:rsidR="00666E22" w:rsidRPr="00446153">
        <w:rPr>
          <w:rFonts w:cs="Calibri"/>
          <w:b/>
          <w:color w:val="000000"/>
          <w:sz w:val="23"/>
          <w:szCs w:val="23"/>
          <w:highlight w:val="white"/>
        </w:rPr>
        <w:t xml:space="preserve">para el ejercicio de derechos sin discriminación por motivos de discapacidad. </w:t>
      </w:r>
    </w:p>
    <w:p w14:paraId="23F9E963" w14:textId="77777777" w:rsidR="00666E22" w:rsidRPr="00241DE4" w:rsidRDefault="00666E22" w:rsidP="00241DE4">
      <w:pPr>
        <w:pStyle w:val="ListParagraph"/>
        <w:spacing w:after="120" w:line="240" w:lineRule="auto"/>
        <w:ind w:left="714"/>
        <w:contextualSpacing w:val="0"/>
        <w:jc w:val="both"/>
        <w:rPr>
          <w:rFonts w:eastAsia="Times New Roman" w:cs="Calibri"/>
          <w:sz w:val="23"/>
          <w:szCs w:val="23"/>
          <w:lang w:val="es-ES_tradnl" w:eastAsia="es-ES_tradnl"/>
        </w:rPr>
      </w:pPr>
    </w:p>
    <w:p w14:paraId="36668449" w14:textId="77777777" w:rsidR="00F01E94" w:rsidRPr="00446153" w:rsidRDefault="00F01E94" w:rsidP="00241DE4">
      <w:pPr>
        <w:spacing w:after="120" w:line="240" w:lineRule="auto"/>
        <w:jc w:val="both"/>
        <w:rPr>
          <w:rFonts w:cs="Calibri"/>
          <w:b/>
          <w:color w:val="000000"/>
          <w:sz w:val="23"/>
          <w:szCs w:val="23"/>
        </w:rPr>
      </w:pPr>
    </w:p>
    <w:p w14:paraId="15EDC28F" w14:textId="77777777" w:rsidR="00F01E94" w:rsidRPr="00446153" w:rsidRDefault="00F01E94" w:rsidP="00241DE4">
      <w:pPr>
        <w:spacing w:after="120" w:line="240" w:lineRule="auto"/>
        <w:jc w:val="both"/>
        <w:rPr>
          <w:rFonts w:cs="Calibri"/>
          <w:b/>
          <w:color w:val="000000"/>
          <w:sz w:val="23"/>
          <w:szCs w:val="23"/>
        </w:rPr>
      </w:pPr>
    </w:p>
    <w:p w14:paraId="5D4DB0DA" w14:textId="77777777" w:rsidR="00F01E94" w:rsidRPr="00446153" w:rsidRDefault="00F01E94" w:rsidP="00241DE4">
      <w:pPr>
        <w:spacing w:after="120" w:line="240" w:lineRule="auto"/>
        <w:jc w:val="both"/>
        <w:rPr>
          <w:rFonts w:cs="Calibri"/>
          <w:b/>
          <w:color w:val="000000"/>
          <w:sz w:val="23"/>
          <w:szCs w:val="23"/>
        </w:rPr>
      </w:pPr>
    </w:p>
    <w:p w14:paraId="08869149" w14:textId="77777777" w:rsidR="00F01E94" w:rsidRPr="00446153" w:rsidRDefault="00F01E94" w:rsidP="00241DE4">
      <w:pPr>
        <w:spacing w:after="120" w:line="240" w:lineRule="auto"/>
        <w:jc w:val="both"/>
        <w:rPr>
          <w:rFonts w:cs="Calibri"/>
          <w:b/>
          <w:color w:val="000000"/>
          <w:sz w:val="23"/>
          <w:szCs w:val="23"/>
        </w:rPr>
      </w:pPr>
    </w:p>
    <w:p w14:paraId="2D805B30" w14:textId="77777777" w:rsidR="00F01E94" w:rsidRPr="00446153" w:rsidRDefault="00F01E94" w:rsidP="00241DE4">
      <w:pPr>
        <w:spacing w:after="120" w:line="240" w:lineRule="auto"/>
        <w:jc w:val="both"/>
        <w:rPr>
          <w:rFonts w:cs="Calibri"/>
          <w:b/>
          <w:color w:val="000000"/>
          <w:sz w:val="23"/>
          <w:szCs w:val="23"/>
        </w:rPr>
      </w:pPr>
    </w:p>
    <w:p w14:paraId="303706B9" w14:textId="77777777" w:rsidR="00F01E94" w:rsidRPr="00446153" w:rsidRDefault="00F01E94" w:rsidP="00241DE4">
      <w:pPr>
        <w:spacing w:after="120" w:line="240" w:lineRule="auto"/>
        <w:jc w:val="both"/>
        <w:rPr>
          <w:rFonts w:cs="Calibri"/>
          <w:b/>
          <w:color w:val="000000"/>
          <w:sz w:val="23"/>
          <w:szCs w:val="23"/>
        </w:rPr>
      </w:pPr>
    </w:p>
    <w:p w14:paraId="4A09A938" w14:textId="77777777" w:rsidR="00F01E94" w:rsidRPr="00446153" w:rsidRDefault="00F01E94" w:rsidP="00241DE4">
      <w:pPr>
        <w:spacing w:after="120" w:line="240" w:lineRule="auto"/>
        <w:jc w:val="both"/>
        <w:rPr>
          <w:rFonts w:cs="Calibri"/>
          <w:b/>
          <w:color w:val="000000"/>
          <w:sz w:val="23"/>
          <w:szCs w:val="23"/>
        </w:rPr>
      </w:pPr>
    </w:p>
    <w:p w14:paraId="6FADA427" w14:textId="77777777" w:rsidR="00F01E94" w:rsidRPr="00446153" w:rsidRDefault="00F01E94" w:rsidP="00241DE4">
      <w:pPr>
        <w:spacing w:after="120" w:line="240" w:lineRule="auto"/>
        <w:jc w:val="both"/>
        <w:rPr>
          <w:rFonts w:cs="Calibri"/>
          <w:b/>
          <w:color w:val="000000"/>
          <w:sz w:val="23"/>
          <w:szCs w:val="23"/>
        </w:rPr>
      </w:pPr>
    </w:p>
    <w:p w14:paraId="255D6C6F" w14:textId="61B3E470" w:rsidR="002A2168" w:rsidRPr="00446153" w:rsidRDefault="00241DE4" w:rsidP="00241DE4">
      <w:pPr>
        <w:spacing w:after="120" w:line="240" w:lineRule="auto"/>
        <w:jc w:val="both"/>
        <w:rPr>
          <w:rFonts w:cs="Calibri"/>
          <w:b/>
          <w:color w:val="000000"/>
          <w:sz w:val="23"/>
          <w:szCs w:val="23"/>
        </w:rPr>
      </w:pPr>
      <w:r w:rsidRPr="00446153">
        <w:rPr>
          <w:rFonts w:cs="Calibri"/>
          <w:b/>
          <w:color w:val="000000"/>
          <w:sz w:val="23"/>
          <w:szCs w:val="23"/>
        </w:rPr>
        <w:t>Pueblos I</w:t>
      </w:r>
      <w:r w:rsidR="002A2168" w:rsidRPr="00446153">
        <w:rPr>
          <w:rFonts w:cs="Calibri"/>
          <w:b/>
          <w:color w:val="000000"/>
          <w:sz w:val="23"/>
          <w:szCs w:val="23"/>
        </w:rPr>
        <w:t>ndígenas</w:t>
      </w:r>
    </w:p>
    <w:p w14:paraId="28A0B8D2" w14:textId="77777777" w:rsidR="00241DE4" w:rsidRPr="00446153" w:rsidRDefault="00241DE4" w:rsidP="00241DE4">
      <w:pPr>
        <w:spacing w:after="120" w:line="240" w:lineRule="auto"/>
        <w:jc w:val="both"/>
        <w:rPr>
          <w:rFonts w:cs="Calibri"/>
          <w:color w:val="000000"/>
          <w:sz w:val="23"/>
          <w:szCs w:val="23"/>
        </w:rPr>
      </w:pPr>
    </w:p>
    <w:p w14:paraId="0C15B2D9" w14:textId="1C3CB130"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84</w:t>
      </w:r>
      <w:r w:rsidR="002A2168" w:rsidRPr="00446153">
        <w:rPr>
          <w:rFonts w:cs="Calibri"/>
          <w:b/>
          <w:color w:val="000000"/>
          <w:sz w:val="23"/>
          <w:szCs w:val="23"/>
        </w:rPr>
        <w:t>.</w:t>
      </w:r>
      <w:r w:rsidR="002A2168" w:rsidRPr="00446153">
        <w:rPr>
          <w:rFonts w:cs="Calibri"/>
          <w:color w:val="000000"/>
          <w:sz w:val="23"/>
          <w:szCs w:val="23"/>
        </w:rPr>
        <w:t xml:space="preserve"> La Fundación 1367 Casa Memoria José Domingo Cañas, constituída como Comisión de Observadores de Derechos Humanos, han realizado desde el 2012 a la fecha el monitoreo</w:t>
      </w:r>
      <w:r w:rsidR="001D7D7F" w:rsidRPr="00446153">
        <w:rPr>
          <w:rFonts w:cs="Calibri"/>
          <w:color w:val="000000"/>
          <w:sz w:val="23"/>
          <w:szCs w:val="23"/>
        </w:rPr>
        <w:t xml:space="preserve"> y elaboración de un informe</w:t>
      </w:r>
      <w:r w:rsidR="001D7D7F" w:rsidRPr="00446153">
        <w:rPr>
          <w:rStyle w:val="FootnoteReference"/>
          <w:rFonts w:cs="Calibri"/>
          <w:color w:val="000000"/>
          <w:sz w:val="23"/>
          <w:szCs w:val="23"/>
        </w:rPr>
        <w:footnoteReference w:id="57"/>
      </w:r>
      <w:r w:rsidR="001D7D7F" w:rsidRPr="00446153">
        <w:rPr>
          <w:rFonts w:cs="Calibri"/>
          <w:color w:val="000000"/>
          <w:sz w:val="23"/>
          <w:szCs w:val="23"/>
        </w:rPr>
        <w:t xml:space="preserve"> sobre la situación de las</w:t>
      </w:r>
      <w:r w:rsidR="002A2168" w:rsidRPr="00446153">
        <w:rPr>
          <w:rFonts w:cs="Calibri"/>
          <w:color w:val="000000"/>
          <w:sz w:val="23"/>
          <w:szCs w:val="23"/>
        </w:rPr>
        <w:t xml:space="preserve"> comunidades Mapuche y Pehuenche del Alto Bío Bío, Collipulli y Tirúa, comunidades que han recurrido a ellos por situaciones de allanamientos y violencia policial en sus territorios. </w:t>
      </w:r>
    </w:p>
    <w:p w14:paraId="377ADE1D" w14:textId="6DFA76A9"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85</w:t>
      </w:r>
      <w:r w:rsidR="002A2168" w:rsidRPr="00446153">
        <w:rPr>
          <w:rFonts w:cs="Calibri"/>
          <w:b/>
          <w:color w:val="000000"/>
          <w:sz w:val="23"/>
          <w:szCs w:val="23"/>
        </w:rPr>
        <w:t>.</w:t>
      </w:r>
      <w:r w:rsidR="002A2168" w:rsidRPr="00446153">
        <w:rPr>
          <w:rFonts w:cs="Calibri"/>
          <w:color w:val="000000"/>
          <w:sz w:val="23"/>
          <w:szCs w:val="23"/>
        </w:rPr>
        <w:t xml:space="preserve"> De los testimonios obtenidos en primera persona, se constató la práctica de allanamientos arbitrarios y frecuentes respecto a personas pertenecientes a las comunidades referidas, instancia donde se cometen diversos tipos de abuso de poder y maltratos contra niños y niñas, adolescentes, mujeres, mujeres embarazadas, ancianos y ancianas, a pesar de las recomendaciones internacionales en la materia. Se presentan además diversas formas de tortura, entre éstas: desnudez forzada, amenaza de muerte con armas blancas y armas de fuego, amenaza de muerte a parientes cercanos, amago de quemar “a lo bonzo”, posiciones forzadas por periodos prolongados, amenaza y simulación de violación, amordazamiento, cautiverio en celda con excremento, cautiverio en celda sin cobijas, traslado de detenidos boca abajo sobre superficies con excremento animal, golpes de puños y golpes de pies estando las personas tendidas y amarradas en el suelo, forzamientos a tenderse sobre ramas con espinas, disparos de balines a quemarropa, y tratos crueles, inhumanos y degradantes como humillaciones alusivas a sus orígenes étnicos y daño a los animales utilizados como medios de trabajo y transporte, como los caballos. </w:t>
      </w:r>
    </w:p>
    <w:p w14:paraId="7FA7C99C" w14:textId="73F01A4B"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86</w:t>
      </w:r>
      <w:r w:rsidR="002A2168" w:rsidRPr="00446153">
        <w:rPr>
          <w:rFonts w:cs="Calibri"/>
          <w:b/>
          <w:color w:val="000000"/>
          <w:sz w:val="23"/>
          <w:szCs w:val="23"/>
        </w:rPr>
        <w:t>.</w:t>
      </w:r>
      <w:r w:rsidR="002A2168" w:rsidRPr="00446153">
        <w:rPr>
          <w:rFonts w:cs="Calibri"/>
          <w:color w:val="000000"/>
          <w:sz w:val="23"/>
          <w:szCs w:val="23"/>
        </w:rPr>
        <w:t xml:space="preserve"> En el caso d</w:t>
      </w:r>
      <w:r w:rsidR="006950F1" w:rsidRPr="00446153">
        <w:rPr>
          <w:rFonts w:cs="Calibri"/>
          <w:color w:val="000000"/>
          <w:sz w:val="23"/>
          <w:szCs w:val="23"/>
        </w:rPr>
        <w:t>e la comunidad del Alto Bío Bío</w:t>
      </w:r>
      <w:r w:rsidR="002A2168" w:rsidRPr="00446153">
        <w:rPr>
          <w:rFonts w:cs="Calibri"/>
          <w:color w:val="000000"/>
          <w:sz w:val="23"/>
          <w:szCs w:val="23"/>
        </w:rPr>
        <w:t xml:space="preserve"> se dan situaciones de lactante dejado sin su madre y con su comunidad aislada por una semana. También se ha</w:t>
      </w:r>
      <w:r w:rsidR="006950F1" w:rsidRPr="00446153">
        <w:rPr>
          <w:rFonts w:cs="Calibri"/>
          <w:color w:val="000000"/>
          <w:sz w:val="23"/>
          <w:szCs w:val="23"/>
        </w:rPr>
        <w:t>n</w:t>
      </w:r>
      <w:r w:rsidR="002A2168" w:rsidRPr="00446153">
        <w:rPr>
          <w:rFonts w:cs="Calibri"/>
          <w:color w:val="000000"/>
          <w:sz w:val="23"/>
          <w:szCs w:val="23"/>
        </w:rPr>
        <w:t xml:space="preserve"> presenciado casos de mujeres mapuche desnudadas en comisaría</w:t>
      </w:r>
      <w:r w:rsidR="003321A9" w:rsidRPr="00446153">
        <w:rPr>
          <w:rFonts w:cs="Calibri"/>
          <w:color w:val="000000"/>
          <w:sz w:val="23"/>
          <w:szCs w:val="23"/>
        </w:rPr>
        <w:t>s</w:t>
      </w:r>
      <w:r w:rsidR="002A2168" w:rsidRPr="00446153">
        <w:rPr>
          <w:rFonts w:cs="Calibri"/>
          <w:color w:val="000000"/>
          <w:sz w:val="23"/>
          <w:szCs w:val="23"/>
        </w:rPr>
        <w:t xml:space="preserve">, y de mujeres detenidas, adolescentes y un anciano asmático, a los que se les tira bomba lacrimógena mientras se encontraban detenidos en auto policial. </w:t>
      </w:r>
    </w:p>
    <w:p w14:paraId="62EE6606" w14:textId="3B604FBB"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87</w:t>
      </w:r>
      <w:r w:rsidR="002A2168" w:rsidRPr="00446153">
        <w:rPr>
          <w:rFonts w:cs="Calibri"/>
          <w:b/>
          <w:color w:val="000000"/>
          <w:sz w:val="23"/>
          <w:szCs w:val="23"/>
        </w:rPr>
        <w:t>.</w:t>
      </w:r>
      <w:r w:rsidR="002A2168" w:rsidRPr="00446153">
        <w:rPr>
          <w:rFonts w:cs="Calibri"/>
          <w:color w:val="000000"/>
          <w:sz w:val="23"/>
          <w:szCs w:val="23"/>
        </w:rPr>
        <w:t xml:space="preserve"> Los hechos observados evidencian la existencia de una estrategia política y militar por parte del Estado de Chile que busca detener, mediante el uso de la violencia, el conflicto territorial y de reivindicación de autonomía que las comunidades Mapuche sostienen hasta la actualidad, negando el principio de autodeterminación de los pueblos, y los derechos que les son reconocidos al haberse firmado y ratificado el Convenio 169 sobre Pueblos Indígenas y Tribales de la Organización Internacional del Trabajo.</w:t>
      </w:r>
    </w:p>
    <w:p w14:paraId="6ECCD3DC" w14:textId="3398ACE8"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88</w:t>
      </w:r>
      <w:r w:rsidR="002A2168" w:rsidRPr="00446153">
        <w:rPr>
          <w:rFonts w:cs="Calibri"/>
          <w:b/>
          <w:color w:val="000000"/>
          <w:sz w:val="23"/>
          <w:szCs w:val="23"/>
        </w:rPr>
        <w:t>.</w:t>
      </w:r>
      <w:r w:rsidR="002A2168" w:rsidRPr="00446153">
        <w:rPr>
          <w:rFonts w:cs="Calibri"/>
          <w:color w:val="000000"/>
          <w:sz w:val="23"/>
          <w:szCs w:val="23"/>
        </w:rPr>
        <w:t xml:space="preserve"> Respecto a las observaciones realizadas tanto en el sector de Tirúa como en Ercilla, se han constatado una serie de vulneraciones a derechos fundamentales, como el</w:t>
      </w:r>
      <w:r w:rsidR="003321A9" w:rsidRPr="00446153">
        <w:rPr>
          <w:rFonts w:cs="Calibri"/>
          <w:color w:val="000000"/>
          <w:sz w:val="23"/>
          <w:szCs w:val="23"/>
        </w:rPr>
        <w:t xml:space="preserve"> derecho a la vida y a la salud, tanto psíquica como física, consagrada</w:t>
      </w:r>
      <w:r w:rsidR="006C254A" w:rsidRPr="00446153">
        <w:rPr>
          <w:rFonts w:cs="Calibri"/>
          <w:color w:val="000000"/>
          <w:sz w:val="23"/>
          <w:szCs w:val="23"/>
        </w:rPr>
        <w:t xml:space="preserve"> en la </w:t>
      </w:r>
      <w:r w:rsidR="002A2168" w:rsidRPr="00446153">
        <w:rPr>
          <w:rFonts w:cs="Calibri"/>
          <w:color w:val="000000"/>
          <w:sz w:val="23"/>
          <w:szCs w:val="23"/>
        </w:rPr>
        <w:t xml:space="preserve">Constitución </w:t>
      </w:r>
      <w:r w:rsidR="003321A9" w:rsidRPr="00446153">
        <w:rPr>
          <w:rFonts w:cs="Calibri"/>
          <w:color w:val="000000"/>
          <w:sz w:val="23"/>
          <w:szCs w:val="23"/>
        </w:rPr>
        <w:t xml:space="preserve">Política. Así, </w:t>
      </w:r>
      <w:r w:rsidR="006C254A" w:rsidRPr="00446153">
        <w:rPr>
          <w:rFonts w:cs="Calibri"/>
          <w:color w:val="000000"/>
          <w:sz w:val="23"/>
          <w:szCs w:val="23"/>
        </w:rPr>
        <w:t>se p</w:t>
      </w:r>
      <w:r w:rsidR="003321A9" w:rsidRPr="00446153">
        <w:rPr>
          <w:rFonts w:cs="Calibri"/>
          <w:color w:val="000000"/>
          <w:sz w:val="23"/>
          <w:szCs w:val="23"/>
        </w:rPr>
        <w:t>u</w:t>
      </w:r>
      <w:r w:rsidR="006C254A" w:rsidRPr="00446153">
        <w:rPr>
          <w:rFonts w:cs="Calibri"/>
          <w:color w:val="000000"/>
          <w:sz w:val="23"/>
          <w:szCs w:val="23"/>
        </w:rPr>
        <w:t>e</w:t>
      </w:r>
      <w:r w:rsidR="003321A9" w:rsidRPr="00446153">
        <w:rPr>
          <w:rFonts w:cs="Calibri"/>
          <w:color w:val="000000"/>
          <w:sz w:val="23"/>
          <w:szCs w:val="23"/>
        </w:rPr>
        <w:t xml:space="preserve">de desprender </w:t>
      </w:r>
      <w:r w:rsidR="002A2168" w:rsidRPr="00446153">
        <w:rPr>
          <w:rFonts w:cs="Calibri"/>
          <w:color w:val="000000"/>
          <w:sz w:val="23"/>
          <w:szCs w:val="23"/>
        </w:rPr>
        <w:t>de las situaciones ocurridas en la observación Sector Ercilla - Puerto Choque, en la qu</w:t>
      </w:r>
      <w:r w:rsidR="003321A9" w:rsidRPr="00446153">
        <w:rPr>
          <w:rFonts w:cs="Calibri"/>
          <w:color w:val="000000"/>
          <w:sz w:val="23"/>
          <w:szCs w:val="23"/>
        </w:rPr>
        <w:t>e se evidencia que</w:t>
      </w:r>
      <w:r w:rsidR="002A2168" w:rsidRPr="00446153">
        <w:rPr>
          <w:rFonts w:cs="Calibri"/>
          <w:color w:val="000000"/>
          <w:sz w:val="23"/>
          <w:szCs w:val="23"/>
        </w:rPr>
        <w:t xml:space="preserve">: </w:t>
      </w:r>
      <w:r w:rsidR="002A2168" w:rsidRPr="00446153">
        <w:rPr>
          <w:rFonts w:cs="Calibri"/>
          <w:i/>
          <w:color w:val="000000"/>
          <w:sz w:val="23"/>
          <w:szCs w:val="23"/>
        </w:rPr>
        <w:t>“En ese momento, salen de su escondite alrededor de 8 oficiales de Carabineros, con los rostros cubiertos, fuertemente armados y sin identificación visible y los reducen. Mientras les preguntan por las armas y la ubicación de determinadas personas, los golpearon con puños, pies y ‘bates’. Son amarrados de pies y manos, subidos en la misma camioneta en que ellos llegaron al lugar, son rociados con combustible, son amenazados de quemarlos vivos si no entregaban la ubicación de armas y de determinadas personas. Al no entregar la información exigida, son retirados del camión, el cual ya había comenzado a incendiarse”</w:t>
      </w:r>
      <w:r w:rsidR="001D7D7F" w:rsidRPr="00446153">
        <w:rPr>
          <w:rFonts w:cs="Calibri"/>
          <w:i/>
          <w:color w:val="000000"/>
          <w:sz w:val="23"/>
          <w:szCs w:val="23"/>
        </w:rPr>
        <w:t xml:space="preserve">, </w:t>
      </w:r>
      <w:r w:rsidR="001D7D7F" w:rsidRPr="00446153">
        <w:rPr>
          <w:rFonts w:cs="Calibri"/>
          <w:color w:val="000000"/>
          <w:sz w:val="23"/>
          <w:szCs w:val="23"/>
        </w:rPr>
        <w:t>testimonio contenido en el mencionado anterior informe</w:t>
      </w:r>
      <w:r w:rsidR="002A2168" w:rsidRPr="00446153">
        <w:rPr>
          <w:rFonts w:cs="Calibri"/>
          <w:i/>
          <w:color w:val="000000"/>
          <w:sz w:val="23"/>
          <w:szCs w:val="23"/>
        </w:rPr>
        <w:t>.</w:t>
      </w:r>
      <w:r w:rsidR="002A2168" w:rsidRPr="00446153">
        <w:rPr>
          <w:rFonts w:cs="Calibri"/>
          <w:color w:val="000000"/>
          <w:sz w:val="23"/>
          <w:szCs w:val="23"/>
        </w:rPr>
        <w:t xml:space="preserve"> </w:t>
      </w:r>
    </w:p>
    <w:p w14:paraId="42E89D67" w14:textId="1731D107"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89</w:t>
      </w:r>
      <w:r w:rsidR="002A2168" w:rsidRPr="00446153">
        <w:rPr>
          <w:rFonts w:cs="Calibri"/>
          <w:b/>
          <w:color w:val="000000"/>
          <w:sz w:val="23"/>
          <w:szCs w:val="23"/>
        </w:rPr>
        <w:t>.</w:t>
      </w:r>
      <w:r w:rsidR="002A2168" w:rsidRPr="00446153">
        <w:rPr>
          <w:rFonts w:cs="Calibri"/>
          <w:color w:val="000000"/>
          <w:sz w:val="23"/>
          <w:szCs w:val="23"/>
        </w:rPr>
        <w:t xml:space="preserve"> Los malos tratos contenidos en el anterior relato constituyen tortura al tratarse de apremios físicos y psíquicos de carácter grave, ocasionados intencionalmente por funcionarios públicos con el fin de intimidar o coaccionar. La observación realizada en las distintas comunidades evidencia la sistemática vulneración de derechos que sufren las personas mapuche, la criminalización de sus demandas, la falta de acceso a la justicia, la sensación de impunidad por los abusos perpetrados por la policía y el trato discriminatorio que reciben por parte de </w:t>
      </w:r>
      <w:r w:rsidR="0060562F" w:rsidRPr="00446153">
        <w:rPr>
          <w:rFonts w:cs="Calibri"/>
          <w:color w:val="000000"/>
          <w:sz w:val="23"/>
          <w:szCs w:val="23"/>
        </w:rPr>
        <w:t>los agentes del Estado chileno.</w:t>
      </w:r>
    </w:p>
    <w:p w14:paraId="70EB4345" w14:textId="679FEE59"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90</w:t>
      </w:r>
      <w:r w:rsidR="002A2168" w:rsidRPr="00446153">
        <w:rPr>
          <w:rFonts w:cs="Calibri"/>
          <w:b/>
          <w:color w:val="000000"/>
          <w:sz w:val="23"/>
          <w:szCs w:val="23"/>
        </w:rPr>
        <w:t>.</w:t>
      </w:r>
      <w:r w:rsidR="002A2168" w:rsidRPr="00446153">
        <w:rPr>
          <w:rFonts w:cs="Calibri"/>
          <w:color w:val="000000"/>
          <w:sz w:val="23"/>
          <w:szCs w:val="23"/>
        </w:rPr>
        <w:t xml:space="preserve"> Aquello a su vez demuestra la relevancia de contar con investigaciones </w:t>
      </w:r>
      <w:r w:rsidR="003C016C" w:rsidRPr="00446153">
        <w:rPr>
          <w:rFonts w:cs="Calibri"/>
          <w:color w:val="000000"/>
          <w:sz w:val="23"/>
          <w:szCs w:val="23"/>
        </w:rPr>
        <w:t>rigurosas</w:t>
      </w:r>
      <w:r w:rsidR="002A2168" w:rsidRPr="00446153">
        <w:rPr>
          <w:rFonts w:cs="Calibri"/>
          <w:color w:val="000000"/>
          <w:sz w:val="23"/>
          <w:szCs w:val="23"/>
        </w:rPr>
        <w:t xml:space="preserve">, en las que se constate efectivamente las lesiones sufridas y denuncias realizadas por comuneros mapuche, y se consideren los antecedentes por posibles ilícitos de vejaciones, como </w:t>
      </w:r>
      <w:r w:rsidR="006C254A" w:rsidRPr="00446153">
        <w:rPr>
          <w:rFonts w:cs="Calibri"/>
          <w:color w:val="000000"/>
          <w:sz w:val="23"/>
          <w:szCs w:val="23"/>
        </w:rPr>
        <w:t>de apremios ilegítimos o tratos crueles, inhumanos o degradantes o tortura</w:t>
      </w:r>
      <w:r w:rsidR="002A2168" w:rsidRPr="00446153">
        <w:rPr>
          <w:rFonts w:cs="Calibri"/>
          <w:color w:val="000000"/>
          <w:sz w:val="23"/>
          <w:szCs w:val="23"/>
        </w:rPr>
        <w:t xml:space="preserve">. Los comportamientos anteriores de las fuerzas y cuerpos de seguridad del Estado vulneran además otras disposiciones, tales como el artículo 2 del Código de Conducta de Naciones Unidas sobre los funcionarios encargados de hacer cumplir la ley, de 1979, el que establece: </w:t>
      </w:r>
      <w:r w:rsidR="002A2168" w:rsidRPr="00446153">
        <w:rPr>
          <w:rFonts w:cs="Calibri"/>
          <w:i/>
          <w:color w:val="000000"/>
          <w:sz w:val="23"/>
          <w:szCs w:val="23"/>
        </w:rPr>
        <w:t>“En el desempeño de sus tareas, los funcionarios encargados de hacer cumplir la ley respetarán y protegerán la dignidad humana y mantendrán y defenderán los derechos humanos de todas las personas”;</w:t>
      </w:r>
      <w:r w:rsidR="002A2168" w:rsidRPr="00446153">
        <w:rPr>
          <w:rFonts w:cs="Calibri"/>
          <w:color w:val="000000"/>
          <w:sz w:val="23"/>
          <w:szCs w:val="23"/>
        </w:rPr>
        <w:t xml:space="preserve"> y del artículo 8 del mismo Código que indica que: </w:t>
      </w:r>
      <w:r w:rsidR="002A2168" w:rsidRPr="00446153">
        <w:rPr>
          <w:rFonts w:cs="Calibri"/>
          <w:i/>
          <w:color w:val="000000"/>
          <w:sz w:val="23"/>
          <w:szCs w:val="23"/>
        </w:rPr>
        <w:t xml:space="preserve">“Los funcionarios encargados de hacer cumplir la ley respetarán la ley y el presente Código. También harán cuanto esté a su alcance por impedir toda violación de ellos y por oponerse rigurosamente a tal violación”. </w:t>
      </w:r>
      <w:r w:rsidR="0060562F" w:rsidRPr="00446153">
        <w:rPr>
          <w:rFonts w:cs="Calibri"/>
          <w:color w:val="000000"/>
          <w:sz w:val="23"/>
          <w:szCs w:val="23"/>
        </w:rPr>
        <w:t>Asimismo, se transgrede</w:t>
      </w:r>
      <w:r w:rsidR="002A2168" w:rsidRPr="00446153">
        <w:rPr>
          <w:rFonts w:cs="Calibri"/>
          <w:color w:val="000000"/>
          <w:sz w:val="23"/>
          <w:szCs w:val="23"/>
        </w:rPr>
        <w:t xml:space="preserve"> lo establecido en el artículo 5 del Código de Conducta de Naciones Unidas sobre los funcionarios encargados de hacer cumplir la ley, que ordena que: </w:t>
      </w:r>
      <w:r w:rsidR="002A2168" w:rsidRPr="00446153">
        <w:rPr>
          <w:rFonts w:cs="Calibri"/>
          <w:i/>
          <w:color w:val="000000"/>
          <w:sz w:val="23"/>
          <w:szCs w:val="23"/>
        </w:rPr>
        <w:t>“Ningún funcionario encargado de hacer cumplir la ley podrá infli</w:t>
      </w:r>
      <w:r w:rsidR="0060562F" w:rsidRPr="00446153">
        <w:rPr>
          <w:rFonts w:cs="Calibri"/>
          <w:i/>
          <w:color w:val="000000"/>
          <w:sz w:val="23"/>
          <w:szCs w:val="23"/>
        </w:rPr>
        <w:t>n</w:t>
      </w:r>
      <w:r w:rsidR="002A2168" w:rsidRPr="00446153">
        <w:rPr>
          <w:rFonts w:cs="Calibri"/>
          <w:i/>
          <w:color w:val="000000"/>
          <w:sz w:val="23"/>
          <w:szCs w:val="23"/>
        </w:rPr>
        <w:t>gir, instigar o tolerar ningún acto de tortura u otros tratos o penas crueles, inhumanos o degradantes, ni invocar la orden de un superior o circunstancias especiales, como estado de guerra o amenaza de guerra, amenaza a la seguridad nacional, inestabilidad política interna, o cualquier otra emergencia pública, como justificación de la tortura u otros tratos o penas crueles, inhumanos o degradantes”</w:t>
      </w:r>
      <w:r w:rsidR="006C254A" w:rsidRPr="00446153">
        <w:rPr>
          <w:rStyle w:val="FootnoteReference"/>
          <w:rFonts w:cs="Calibri"/>
          <w:i/>
          <w:color w:val="000000"/>
          <w:sz w:val="23"/>
          <w:szCs w:val="23"/>
        </w:rPr>
        <w:footnoteReference w:id="58"/>
      </w:r>
      <w:r w:rsidR="002A2168" w:rsidRPr="00446153">
        <w:rPr>
          <w:rFonts w:cs="Calibri"/>
          <w:i/>
          <w:color w:val="000000"/>
          <w:sz w:val="23"/>
          <w:szCs w:val="23"/>
        </w:rPr>
        <w:t xml:space="preserve">. </w:t>
      </w:r>
    </w:p>
    <w:p w14:paraId="0C809984" w14:textId="0E51AD89" w:rsidR="002A2168" w:rsidRPr="00446153" w:rsidRDefault="00CF0E96" w:rsidP="00241DE4">
      <w:pPr>
        <w:spacing w:after="120" w:line="240" w:lineRule="auto"/>
        <w:jc w:val="both"/>
        <w:rPr>
          <w:rFonts w:cs="Calibri"/>
          <w:b/>
          <w:color w:val="000000"/>
          <w:sz w:val="23"/>
          <w:szCs w:val="23"/>
        </w:rPr>
      </w:pPr>
      <w:r w:rsidRPr="00446153">
        <w:rPr>
          <w:rFonts w:cs="Calibri"/>
          <w:b/>
          <w:color w:val="000000"/>
          <w:sz w:val="23"/>
          <w:szCs w:val="23"/>
        </w:rPr>
        <w:t>91</w:t>
      </w:r>
      <w:r w:rsidR="002A2168" w:rsidRPr="00446153">
        <w:rPr>
          <w:rFonts w:cs="Calibri"/>
          <w:b/>
          <w:color w:val="000000"/>
          <w:sz w:val="23"/>
          <w:szCs w:val="23"/>
        </w:rPr>
        <w:t>.</w:t>
      </w:r>
      <w:r w:rsidR="002A2168" w:rsidRPr="00446153">
        <w:rPr>
          <w:rFonts w:cs="Calibri"/>
          <w:color w:val="000000"/>
          <w:sz w:val="23"/>
          <w:szCs w:val="23"/>
        </w:rPr>
        <w:t xml:space="preserve"> E</w:t>
      </w:r>
      <w:r w:rsidR="006C254A" w:rsidRPr="00446153">
        <w:rPr>
          <w:rFonts w:cs="Calibri"/>
          <w:color w:val="000000"/>
          <w:sz w:val="23"/>
          <w:szCs w:val="23"/>
        </w:rPr>
        <w:t>l Informe de Subcomité para la P</w:t>
      </w:r>
      <w:r w:rsidR="002A2168" w:rsidRPr="00446153">
        <w:rPr>
          <w:rFonts w:cs="Calibri"/>
          <w:color w:val="000000"/>
          <w:sz w:val="23"/>
          <w:szCs w:val="23"/>
        </w:rPr>
        <w:t xml:space="preserve">revención de la Tortura en su visita a Chile en 2016 también </w:t>
      </w:r>
      <w:r w:rsidR="003C016C" w:rsidRPr="00446153">
        <w:rPr>
          <w:rFonts w:cs="Calibri"/>
          <w:color w:val="000000"/>
          <w:sz w:val="23"/>
          <w:szCs w:val="23"/>
        </w:rPr>
        <w:t>refiere a</w:t>
      </w:r>
      <w:r w:rsidR="002A2168" w:rsidRPr="00446153">
        <w:rPr>
          <w:rFonts w:cs="Calibri"/>
          <w:color w:val="000000"/>
          <w:sz w:val="23"/>
          <w:szCs w:val="23"/>
        </w:rPr>
        <w:t xml:space="preserve"> </w:t>
      </w:r>
      <w:r w:rsidR="002A2168" w:rsidRPr="00446153">
        <w:rPr>
          <w:rFonts w:cs="Calibri"/>
          <w:i/>
          <w:color w:val="000000"/>
          <w:sz w:val="23"/>
          <w:szCs w:val="23"/>
        </w:rPr>
        <w:t>“(…) casos de miembros de la comunidad Mapuche que habían sido objeto de tortura o malos tratos después de ser arrestados. En ocasiones esta tortura y malos tratos se aplicaron sobre personas heridas con armas de fuego en los momentos previos a la detención”</w:t>
      </w:r>
      <w:r w:rsidR="008B1DB5" w:rsidRPr="00446153">
        <w:rPr>
          <w:rStyle w:val="FootnoteReference"/>
          <w:rFonts w:cs="Calibri"/>
          <w:i/>
          <w:color w:val="000000"/>
          <w:sz w:val="23"/>
          <w:szCs w:val="23"/>
        </w:rPr>
        <w:footnoteReference w:id="59"/>
      </w:r>
      <w:r w:rsidR="002A2168" w:rsidRPr="00446153">
        <w:rPr>
          <w:rFonts w:cs="Calibri"/>
          <w:i/>
          <w:color w:val="000000"/>
          <w:sz w:val="23"/>
          <w:szCs w:val="23"/>
        </w:rPr>
        <w:t>.</w:t>
      </w:r>
    </w:p>
    <w:p w14:paraId="3C8E22B6" w14:textId="029F283E"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92</w:t>
      </w:r>
      <w:r w:rsidR="002A2168" w:rsidRPr="00446153">
        <w:rPr>
          <w:rFonts w:cs="Calibri"/>
          <w:b/>
          <w:color w:val="000000"/>
          <w:sz w:val="23"/>
          <w:szCs w:val="23"/>
        </w:rPr>
        <w:t>.</w:t>
      </w:r>
      <w:r w:rsidR="002A2168" w:rsidRPr="00446153">
        <w:rPr>
          <w:rFonts w:cs="Calibri"/>
          <w:color w:val="000000"/>
          <w:sz w:val="23"/>
          <w:szCs w:val="23"/>
        </w:rPr>
        <w:t xml:space="preserve"> Existen múltiples denuncias sobre el uso desproporcionado de violencia contra mujeres mapuche por parte de funcionarios del Estado y guardias privados de empresas forestales en el contexto de las situaciones de conflicto antes señaladas. En muchas ocasiones la violencia de estos agentes se ha extendido también a otros grupos vulnerables, tales como ancianos, niños y niñas. En el ataque a las comunidades del Lof Huapetrío aprehendieron a una mujer joven embarazada, la empujaron dentro del furgón y le lanzaron una bomba lacrimógena dentro. Ella, que estaba con seis meses de embarazo, les suplicaba que no le hicieran más daño y les señalaba que estaba embarazada. </w:t>
      </w:r>
    </w:p>
    <w:p w14:paraId="46AF9690" w14:textId="1F75A612"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93</w:t>
      </w:r>
      <w:r w:rsidR="002A2168" w:rsidRPr="00446153">
        <w:rPr>
          <w:rFonts w:cs="Calibri"/>
          <w:b/>
          <w:color w:val="000000"/>
          <w:sz w:val="23"/>
          <w:szCs w:val="23"/>
        </w:rPr>
        <w:t>.</w:t>
      </w:r>
      <w:r w:rsidR="002A2168" w:rsidRPr="00446153">
        <w:rPr>
          <w:rFonts w:cs="Calibri"/>
          <w:color w:val="000000"/>
          <w:sz w:val="23"/>
          <w:szCs w:val="23"/>
        </w:rPr>
        <w:t xml:space="preserve"> De los relatos de la comunidad de Licancurra, se desprende que la mayoría eran mujeres: </w:t>
      </w:r>
      <w:r w:rsidR="008B1DB5" w:rsidRPr="00446153">
        <w:rPr>
          <w:rFonts w:cs="Calibri"/>
          <w:i/>
          <w:color w:val="000000"/>
          <w:sz w:val="23"/>
          <w:szCs w:val="23"/>
        </w:rPr>
        <w:t>“É</w:t>
      </w:r>
      <w:r w:rsidR="002A2168" w:rsidRPr="00446153">
        <w:rPr>
          <w:rFonts w:cs="Calibri"/>
          <w:i/>
          <w:color w:val="000000"/>
          <w:sz w:val="23"/>
          <w:szCs w:val="23"/>
        </w:rPr>
        <w:t>ramos casi puras muje</w:t>
      </w:r>
      <w:r w:rsidR="008B1DB5" w:rsidRPr="00446153">
        <w:rPr>
          <w:rFonts w:cs="Calibri"/>
          <w:i/>
          <w:color w:val="000000"/>
          <w:sz w:val="23"/>
          <w:szCs w:val="23"/>
        </w:rPr>
        <w:t xml:space="preserve">res. Estaba mi hermano ahí, </w:t>
      </w:r>
      <w:r w:rsidR="002A2168" w:rsidRPr="00446153">
        <w:rPr>
          <w:rFonts w:cs="Calibri"/>
          <w:i/>
          <w:color w:val="000000"/>
          <w:sz w:val="23"/>
          <w:szCs w:val="23"/>
        </w:rPr>
        <w:t>el tío Juan y el otro chiquillo que andaba a caballo y las demás éramos puras mujeres. En total éramos alrededor de veinte, más un grupo de menores de edad.  Las fuerzas especiales de Carabineros hicieron uso de las armas de servicio de ellos, las de nueve milímetros y otras armas más grandes, una escopeta. Y las armas de servicio esas que utilizan ellos aquí al lado, los revólveres. Esos tres armamentos andaban trayendo. Y ahí había uno que daba la orden de que dispararan”.</w:t>
      </w:r>
      <w:r w:rsidR="002A2168" w:rsidRPr="00446153">
        <w:rPr>
          <w:rFonts w:cs="Calibri"/>
          <w:color w:val="000000"/>
          <w:sz w:val="23"/>
          <w:szCs w:val="23"/>
        </w:rPr>
        <w:t xml:space="preserve"> Estos actos vulneran abiertamente los tratados firmados por el Estado chileno como la Convención Interamericana para Prevenir, Erradicar y Eliminar la Violencia contra las Mujeres de la OEA (Convención de Belém do Pará) y la Convención sobre la Eliminación de Todas las Formas de Discriminación contra la Mujer (CEDAW). El artículo 2 de la Convención del Belém Do Pará incluye la violencia física, sexual o psicológica contra las mujeres que sea perpetrada o tolerada por el Estado y sus agentes, dondequiera que ocurra. </w:t>
      </w:r>
    </w:p>
    <w:p w14:paraId="592FEF39" w14:textId="238B5A0C" w:rsidR="008B1DB5"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94</w:t>
      </w:r>
      <w:r w:rsidR="002A2168" w:rsidRPr="00446153">
        <w:rPr>
          <w:rFonts w:cs="Calibri"/>
          <w:b/>
          <w:color w:val="000000"/>
          <w:sz w:val="23"/>
          <w:szCs w:val="23"/>
        </w:rPr>
        <w:t>.</w:t>
      </w:r>
      <w:r w:rsidR="002A2168" w:rsidRPr="00446153">
        <w:rPr>
          <w:rFonts w:cs="Calibri"/>
          <w:color w:val="000000"/>
          <w:sz w:val="23"/>
          <w:szCs w:val="23"/>
        </w:rPr>
        <w:t xml:space="preserve"> La Declaración de Beijing (China, 1995) reconoció las dificultades que afectan a las mujeres en el disfrute de sus derechos en razón de su origen étnico o por pertenecer a la población indígena, llamando a intensificar los esfuerzos para garantizar el disfrute de tales derechos en igualdad de condiciones con todas las mujeres (par. 18). Por otra parte, la Declaración que surgió de la Conferencia Regional de las Américas preparatoria a la Conferencia Mundial contra el Racismo de Durban, realizada en Santiago el año 2000, en su párrafo 98 señala: </w:t>
      </w:r>
      <w:r w:rsidR="002A2168" w:rsidRPr="00446153">
        <w:rPr>
          <w:rFonts w:cs="Calibri"/>
          <w:i/>
          <w:color w:val="000000"/>
          <w:sz w:val="23"/>
          <w:szCs w:val="23"/>
        </w:rPr>
        <w:t xml:space="preserve">“Pedimos a los estados que adopten políticas públicas e impulsen programas en beneficio de las mujeres indígenas con el compromiso de promover sus derechos civiles, políticos, económicos, sociales y culturales; eliminar su situación de desventaja por motivos de género; atender urgentes problemas que las afectan, en los ámbitos de la educación, de la economía y en el tema de la violencia doméstica; y eliminar la situación de agravada discriminación que sufren por manifestaciones de racismo y discriminación por género”. </w:t>
      </w:r>
    </w:p>
    <w:p w14:paraId="1EF9408A" w14:textId="08E9D09B"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95</w:t>
      </w:r>
      <w:r w:rsidR="002A2168" w:rsidRPr="00446153">
        <w:rPr>
          <w:rFonts w:cs="Calibri"/>
          <w:b/>
          <w:color w:val="000000"/>
          <w:sz w:val="23"/>
          <w:szCs w:val="23"/>
        </w:rPr>
        <w:t>.</w:t>
      </w:r>
      <w:r w:rsidR="002A2168" w:rsidRPr="00446153">
        <w:rPr>
          <w:rFonts w:cs="Calibri"/>
          <w:color w:val="000000"/>
          <w:sz w:val="23"/>
          <w:szCs w:val="23"/>
        </w:rPr>
        <w:t xml:space="preserve"> En el caso del ataque a las comunidades del Lof Huapetrío fueron heridas varias personas por perdigones disparados a corta distancia. Una de las mujeres heridas estuvo hospitalizada 20 días en Angol a causa del ataque. En el caso de la comunidad Antonio Paillao en el sector de Colcuma, a dos comuneros les dispararon a corta distancia con escopetas, lo que le provocó a uno la pérdida de su ojo izquierdo, y al otro la pérdida de gran parte de su masa muscular en la pierna izquierda. Asimismo, en la comunidad María Colipi, previo a un partido de palín (deporte tradicional mapuche), fueron atacados todos los comuneros que se encontraban en ese lugar, siendo gravemente heridos dos de ellos, uno de los cuales recibió más de 100 impactos de perdigones. </w:t>
      </w:r>
    </w:p>
    <w:p w14:paraId="5B2DB803" w14:textId="180676AA"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96</w:t>
      </w:r>
      <w:r w:rsidR="002A2168" w:rsidRPr="00446153">
        <w:rPr>
          <w:rFonts w:cs="Calibri"/>
          <w:b/>
          <w:color w:val="000000"/>
          <w:sz w:val="23"/>
          <w:szCs w:val="23"/>
        </w:rPr>
        <w:t>.</w:t>
      </w:r>
      <w:r w:rsidR="002A2168" w:rsidRPr="00446153">
        <w:rPr>
          <w:rFonts w:cs="Calibri"/>
          <w:color w:val="000000"/>
          <w:sz w:val="23"/>
          <w:szCs w:val="23"/>
        </w:rPr>
        <w:t xml:space="preserve"> Los testimonios sobre el actuar de la policía en las comunidades mapuche </w:t>
      </w:r>
      <w:r w:rsidR="003C016C" w:rsidRPr="00446153">
        <w:rPr>
          <w:rFonts w:cs="Calibri"/>
          <w:color w:val="000000"/>
          <w:sz w:val="23"/>
          <w:szCs w:val="23"/>
        </w:rPr>
        <w:t>reflejan</w:t>
      </w:r>
      <w:r w:rsidR="002A2168" w:rsidRPr="00446153">
        <w:rPr>
          <w:rFonts w:cs="Calibri"/>
          <w:color w:val="000000"/>
          <w:sz w:val="23"/>
          <w:szCs w:val="23"/>
        </w:rPr>
        <w:t xml:space="preserve"> una práctica </w:t>
      </w:r>
      <w:r w:rsidR="003C016C" w:rsidRPr="00446153">
        <w:rPr>
          <w:rFonts w:cs="Calibri"/>
          <w:color w:val="000000"/>
          <w:sz w:val="23"/>
          <w:szCs w:val="23"/>
        </w:rPr>
        <w:t xml:space="preserve">sistemática </w:t>
      </w:r>
      <w:r w:rsidR="002A2168" w:rsidRPr="00446153">
        <w:rPr>
          <w:rFonts w:cs="Calibri"/>
          <w:color w:val="000000"/>
          <w:sz w:val="23"/>
          <w:szCs w:val="23"/>
        </w:rPr>
        <w:t>del uso de la fuerza, la que no guarda proporción con las obligaciones de respeto y protección de los derechos humanos que les corresponde a Carabineros, particular</w:t>
      </w:r>
      <w:r w:rsidR="0060562F" w:rsidRPr="00446153">
        <w:rPr>
          <w:rFonts w:cs="Calibri"/>
          <w:color w:val="000000"/>
          <w:sz w:val="23"/>
          <w:szCs w:val="23"/>
        </w:rPr>
        <w:t>mente en relación al respeto al</w:t>
      </w:r>
      <w:r w:rsidR="002A2168" w:rsidRPr="00446153">
        <w:rPr>
          <w:rFonts w:cs="Calibri"/>
          <w:color w:val="000000"/>
          <w:sz w:val="23"/>
          <w:szCs w:val="23"/>
        </w:rPr>
        <w:t xml:space="preserve"> debido proceso y los derechos fundamentales. En dichos ataques </w:t>
      </w:r>
      <w:r w:rsidR="0060562F" w:rsidRPr="00446153">
        <w:rPr>
          <w:rFonts w:cs="Calibri"/>
          <w:color w:val="000000"/>
          <w:sz w:val="23"/>
          <w:szCs w:val="23"/>
        </w:rPr>
        <w:t>se ha infringido la Circular nº</w:t>
      </w:r>
      <w:r w:rsidR="002A2168" w:rsidRPr="00446153">
        <w:rPr>
          <w:rFonts w:cs="Calibri"/>
          <w:color w:val="000000"/>
          <w:sz w:val="23"/>
          <w:szCs w:val="23"/>
        </w:rPr>
        <w:t xml:space="preserve"> 1756 de</w:t>
      </w:r>
      <w:r w:rsidR="0060562F" w:rsidRPr="00446153">
        <w:rPr>
          <w:rFonts w:cs="Calibri"/>
          <w:color w:val="000000"/>
          <w:sz w:val="23"/>
          <w:szCs w:val="23"/>
        </w:rPr>
        <w:t>l año</w:t>
      </w:r>
      <w:r w:rsidR="002A2168" w:rsidRPr="00446153">
        <w:rPr>
          <w:rFonts w:cs="Calibri"/>
          <w:color w:val="000000"/>
          <w:sz w:val="23"/>
          <w:szCs w:val="23"/>
        </w:rPr>
        <w:t xml:space="preserve"> 2013, de Carabineros de Chile sobre el </w:t>
      </w:r>
      <w:r w:rsidR="002A2168" w:rsidRPr="00446153">
        <w:rPr>
          <w:rFonts w:cs="Calibri"/>
          <w:i/>
          <w:color w:val="000000"/>
          <w:sz w:val="23"/>
          <w:szCs w:val="23"/>
        </w:rPr>
        <w:t>Uso de la Fuerza</w:t>
      </w:r>
      <w:r w:rsidR="009C1C23" w:rsidRPr="00446153">
        <w:rPr>
          <w:rStyle w:val="FootnoteReference"/>
          <w:rFonts w:cs="Calibri"/>
          <w:i/>
          <w:color w:val="000000"/>
          <w:sz w:val="23"/>
          <w:szCs w:val="23"/>
        </w:rPr>
        <w:footnoteReference w:id="60"/>
      </w:r>
      <w:r w:rsidR="002A2168" w:rsidRPr="00446153">
        <w:rPr>
          <w:rFonts w:cs="Calibri"/>
          <w:color w:val="000000"/>
          <w:sz w:val="23"/>
          <w:szCs w:val="23"/>
        </w:rPr>
        <w:t xml:space="preserve">, que recoge los estándares internacionales en la materia, ya que de acuerdo a los testimonios recogidos en los relatos, no se respetaron los principios de legalidad, necesidad y proporcionalidad. </w:t>
      </w:r>
      <w:r w:rsidR="001652BE" w:rsidRPr="00446153">
        <w:rPr>
          <w:rFonts w:cs="Calibri"/>
          <w:color w:val="000000"/>
          <w:sz w:val="23"/>
          <w:szCs w:val="23"/>
        </w:rPr>
        <w:t xml:space="preserve">En la misma circular se consagra </w:t>
      </w:r>
      <w:r w:rsidR="002A2168" w:rsidRPr="00446153">
        <w:rPr>
          <w:rFonts w:cs="Calibri"/>
          <w:color w:val="000000"/>
          <w:sz w:val="23"/>
          <w:szCs w:val="23"/>
        </w:rPr>
        <w:t>que</w:t>
      </w:r>
      <w:r w:rsidR="001652BE" w:rsidRPr="00446153">
        <w:rPr>
          <w:rFonts w:cs="Calibri"/>
          <w:color w:val="000000"/>
          <w:sz w:val="23"/>
          <w:szCs w:val="23"/>
        </w:rPr>
        <w:t>:</w:t>
      </w:r>
      <w:r w:rsidR="003C016C" w:rsidRPr="00446153">
        <w:rPr>
          <w:rFonts w:cs="Calibri"/>
          <w:color w:val="000000"/>
          <w:sz w:val="23"/>
          <w:szCs w:val="23"/>
        </w:rPr>
        <w:t xml:space="preserve"> </w:t>
      </w:r>
      <w:r w:rsidR="001652BE" w:rsidRPr="00446153">
        <w:rPr>
          <w:rFonts w:cs="Calibri"/>
          <w:i/>
          <w:color w:val="000000"/>
          <w:sz w:val="23"/>
          <w:szCs w:val="23"/>
        </w:rPr>
        <w:t>“E</w:t>
      </w:r>
      <w:r w:rsidR="002A2168" w:rsidRPr="00446153">
        <w:rPr>
          <w:rFonts w:cs="Calibri"/>
          <w:i/>
          <w:color w:val="000000"/>
          <w:sz w:val="23"/>
          <w:szCs w:val="23"/>
        </w:rPr>
        <w:t>l uso de la fuerza potencialmente letal constituye una medida extrema solamente justificada por la legítima defensa de la vida. El arma de fuego sólo se empleará para interrumpir una agresión, es decir, para cesar un ataque grave que afecta a la integridad de una persona. De esta manera, el arma de fuego no debe emplearse para hacer demostraciones de fuerza sino para neutralizar a un agresor peligroso de la manera más inmediata posible. Por esta razón, es desaconsejable preparar el arma en casos que no son extremos, efectuar disparos al aire, o a los neumáticos de un vehículo”.</w:t>
      </w:r>
      <w:r w:rsidR="002A2168" w:rsidRPr="00446153">
        <w:rPr>
          <w:rFonts w:cs="Calibri"/>
          <w:color w:val="000000"/>
          <w:sz w:val="23"/>
          <w:szCs w:val="23"/>
        </w:rPr>
        <w:t xml:space="preserve"> </w:t>
      </w:r>
    </w:p>
    <w:p w14:paraId="03F928AE" w14:textId="4F1D8B1B" w:rsidR="002A2168" w:rsidRPr="00446153" w:rsidRDefault="00CF0E96" w:rsidP="00241DE4">
      <w:pPr>
        <w:spacing w:after="120" w:line="240" w:lineRule="auto"/>
        <w:jc w:val="both"/>
        <w:rPr>
          <w:rFonts w:cs="Calibri"/>
          <w:i/>
          <w:color w:val="000000"/>
          <w:sz w:val="23"/>
          <w:szCs w:val="23"/>
        </w:rPr>
      </w:pPr>
      <w:r w:rsidRPr="00446153">
        <w:rPr>
          <w:rFonts w:cs="Calibri"/>
          <w:b/>
          <w:color w:val="000000"/>
          <w:sz w:val="23"/>
          <w:szCs w:val="23"/>
        </w:rPr>
        <w:t>97</w:t>
      </w:r>
      <w:r w:rsidR="002A2168" w:rsidRPr="00446153">
        <w:rPr>
          <w:rFonts w:cs="Calibri"/>
          <w:b/>
          <w:color w:val="000000"/>
          <w:sz w:val="23"/>
          <w:szCs w:val="23"/>
        </w:rPr>
        <w:t>.</w:t>
      </w:r>
      <w:r w:rsidR="002A2168" w:rsidRPr="00446153">
        <w:rPr>
          <w:rFonts w:cs="Calibri"/>
          <w:color w:val="000000"/>
          <w:sz w:val="23"/>
          <w:szCs w:val="23"/>
        </w:rPr>
        <w:t xml:space="preserve"> Es así como, según lo observado, se vulneraron los estándares internacionales recogidos en la Circular en comento, ya que el ataque se produjo sin la identificación</w:t>
      </w:r>
      <w:r w:rsidR="009C1C23" w:rsidRPr="00446153">
        <w:rPr>
          <w:rFonts w:cs="Calibri"/>
          <w:color w:val="000000"/>
          <w:sz w:val="23"/>
          <w:szCs w:val="23"/>
        </w:rPr>
        <w:t xml:space="preserve"> de los funcionarios</w:t>
      </w:r>
      <w:r w:rsidR="002A2168" w:rsidRPr="00446153">
        <w:rPr>
          <w:rFonts w:cs="Calibri"/>
          <w:color w:val="000000"/>
          <w:sz w:val="23"/>
          <w:szCs w:val="23"/>
        </w:rPr>
        <w:t>. Igualmente, se vulneraron los Principios Básicos de Naciones Unidas sobre el empleo de fuerza y armas de fuego por funcionarios encargados de hacer cumplir la ley</w:t>
      </w:r>
      <w:r w:rsidR="009C1C23" w:rsidRPr="00446153">
        <w:rPr>
          <w:rStyle w:val="FootnoteReference"/>
          <w:rFonts w:cs="Calibri"/>
          <w:color w:val="000000"/>
          <w:sz w:val="23"/>
          <w:szCs w:val="23"/>
        </w:rPr>
        <w:footnoteReference w:id="61"/>
      </w:r>
      <w:r w:rsidR="002A2168" w:rsidRPr="00446153">
        <w:rPr>
          <w:rFonts w:cs="Calibri"/>
          <w:color w:val="000000"/>
          <w:sz w:val="23"/>
          <w:szCs w:val="23"/>
        </w:rPr>
        <w:t xml:space="preserve">, de 1990, </w:t>
      </w:r>
      <w:r w:rsidR="0060562F" w:rsidRPr="00446153">
        <w:rPr>
          <w:rFonts w:cs="Calibri"/>
          <w:color w:val="000000"/>
          <w:sz w:val="23"/>
          <w:szCs w:val="23"/>
        </w:rPr>
        <w:t xml:space="preserve">concretamente el Principionº 4 </w:t>
      </w:r>
      <w:r w:rsidR="002A2168" w:rsidRPr="00446153">
        <w:rPr>
          <w:rFonts w:cs="Calibri"/>
          <w:color w:val="000000"/>
          <w:sz w:val="23"/>
          <w:szCs w:val="23"/>
        </w:rPr>
        <w:t xml:space="preserve">que establece que: </w:t>
      </w:r>
      <w:r w:rsidR="002A2168" w:rsidRPr="00446153">
        <w:rPr>
          <w:rFonts w:cs="Calibri"/>
          <w:i/>
          <w:color w:val="000000"/>
          <w:sz w:val="23"/>
          <w:szCs w:val="23"/>
        </w:rPr>
        <w:t xml:space="preserve">“Los funcionarios encargados de hacer cumplir la ley, en el desempeño de sus funciones, utilizarán en la medida de lo posible medios no violentos antes de recurrir al empleo de la fuerza y de armas de fuego. Podrán utilizar la fuerza y armas de fuego solamente cuando otros medios resulten ineficaces o no garanticen de ninguna manera el logro del resultado previsto”; </w:t>
      </w:r>
      <w:r w:rsidR="0060562F" w:rsidRPr="00446153">
        <w:rPr>
          <w:rFonts w:cs="Calibri"/>
          <w:color w:val="000000"/>
          <w:sz w:val="23"/>
          <w:szCs w:val="23"/>
        </w:rPr>
        <w:t xml:space="preserve">el Principio nº 9 </w:t>
      </w:r>
      <w:r w:rsidR="002A2168" w:rsidRPr="00446153">
        <w:rPr>
          <w:rFonts w:cs="Calibri"/>
          <w:color w:val="000000"/>
          <w:sz w:val="23"/>
          <w:szCs w:val="23"/>
        </w:rPr>
        <w:t xml:space="preserve">que establece que: </w:t>
      </w:r>
      <w:r w:rsidR="002A2168" w:rsidRPr="00446153">
        <w:rPr>
          <w:rFonts w:cs="Calibri"/>
          <w:i/>
          <w:color w:val="000000"/>
          <w:sz w:val="23"/>
          <w:szCs w:val="23"/>
        </w:rPr>
        <w:t>“Los funcionarios encargados de hacer cumplir la ley no emplearán armas de fuego contra las personas salvo en defensa propia o de otras personas, en caso de peligro inminente de muerte o lesiones graves, o con el propósito de evitar la comisión de un delito particularmente grave que entrañe una seria amenaza para la vida, o con el objeto de detener a una persona que represente ese peligro y oponga resistencia a su autoridad, o para impedir su fuga, y sólo en caso de que resulten insuficientes medidas menos extremas para lograr dichos objetivos. En cualquier caso, sólo se podrá hacer uso intencional de armas letales cuando sea estrictamente inevitable para proteger una vida”.</w:t>
      </w:r>
      <w:r w:rsidR="0060562F" w:rsidRPr="00446153">
        <w:rPr>
          <w:rFonts w:cs="Calibri"/>
          <w:color w:val="000000"/>
          <w:sz w:val="23"/>
          <w:szCs w:val="23"/>
        </w:rPr>
        <w:t xml:space="preserve"> Finalmente, el Principio nº </w:t>
      </w:r>
      <w:r w:rsidR="002A2168" w:rsidRPr="00446153">
        <w:rPr>
          <w:rFonts w:cs="Calibri"/>
          <w:color w:val="000000"/>
          <w:sz w:val="23"/>
          <w:szCs w:val="23"/>
        </w:rPr>
        <w:t xml:space="preserve">15 también fue transgredido, el que indica que: </w:t>
      </w:r>
      <w:r w:rsidR="002A2168" w:rsidRPr="00446153">
        <w:rPr>
          <w:rFonts w:cs="Calibri"/>
          <w:i/>
          <w:color w:val="000000"/>
          <w:sz w:val="23"/>
          <w:szCs w:val="23"/>
        </w:rPr>
        <w:t xml:space="preserve">“Los funcionarios encargados de hacer cumplir la ley, en sus relaciones con las personas bajo custodia o detenidas, no emplearán la fuerza, salvo cuando sea estrictamente necesario para mantener la seguridad y el orden en los establecimientos o cuando corra peligro la integridad física de las personas”. </w:t>
      </w:r>
    </w:p>
    <w:p w14:paraId="089A49AC" w14:textId="1637790C"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98</w:t>
      </w:r>
      <w:r w:rsidR="002A2168" w:rsidRPr="00446153">
        <w:rPr>
          <w:rFonts w:cs="Calibri"/>
          <w:b/>
          <w:color w:val="000000"/>
          <w:sz w:val="23"/>
          <w:szCs w:val="23"/>
        </w:rPr>
        <w:t>.</w:t>
      </w:r>
      <w:r w:rsidR="002A2168" w:rsidRPr="00446153">
        <w:rPr>
          <w:rFonts w:cs="Calibri"/>
          <w:color w:val="000000"/>
          <w:sz w:val="23"/>
          <w:szCs w:val="23"/>
        </w:rPr>
        <w:t xml:space="preserve"> El Informe </w:t>
      </w:r>
      <w:r w:rsidR="0060562F" w:rsidRPr="00446153">
        <w:rPr>
          <w:rFonts w:cs="Calibri"/>
          <w:color w:val="000000"/>
          <w:sz w:val="23"/>
          <w:szCs w:val="23"/>
        </w:rPr>
        <w:t>emitido por el</w:t>
      </w:r>
      <w:r w:rsidR="002A2168" w:rsidRPr="00446153">
        <w:rPr>
          <w:rFonts w:cs="Calibri"/>
          <w:color w:val="000000"/>
          <w:sz w:val="23"/>
          <w:szCs w:val="23"/>
        </w:rPr>
        <w:t xml:space="preserve"> Subcomité par</w:t>
      </w:r>
      <w:r w:rsidR="0060562F" w:rsidRPr="00446153">
        <w:rPr>
          <w:rFonts w:cs="Calibri"/>
          <w:color w:val="000000"/>
          <w:sz w:val="23"/>
          <w:szCs w:val="23"/>
        </w:rPr>
        <w:t>a la Prevención de la Tortura, luego de su visita a Chile en el año</w:t>
      </w:r>
      <w:r w:rsidR="002A2168" w:rsidRPr="00446153">
        <w:rPr>
          <w:rFonts w:cs="Calibri"/>
          <w:color w:val="000000"/>
          <w:sz w:val="23"/>
          <w:szCs w:val="23"/>
        </w:rPr>
        <w:t xml:space="preserve"> 2016</w:t>
      </w:r>
      <w:r w:rsidR="0060562F" w:rsidRPr="00446153">
        <w:rPr>
          <w:rFonts w:cs="Calibri"/>
          <w:color w:val="000000"/>
          <w:sz w:val="23"/>
          <w:szCs w:val="23"/>
        </w:rPr>
        <w:t>,</w:t>
      </w:r>
      <w:r w:rsidR="002A2168" w:rsidRPr="00446153">
        <w:rPr>
          <w:rFonts w:cs="Calibri"/>
          <w:color w:val="000000"/>
          <w:sz w:val="23"/>
          <w:szCs w:val="23"/>
        </w:rPr>
        <w:t xml:space="preserve"> también constata que: </w:t>
      </w:r>
      <w:r w:rsidR="002A2168" w:rsidRPr="00446153">
        <w:rPr>
          <w:rFonts w:cs="Calibri"/>
          <w:i/>
          <w:color w:val="000000"/>
          <w:sz w:val="23"/>
          <w:szCs w:val="23"/>
        </w:rPr>
        <w:t>“Se ha recibido información sólida y consistente sobre el uso excesivo y desproporcionado de la fuerza en contra de miembros del pueblo mapuche al momento de su detención de parte, en particular, de Grupos de Operaciones Policiales Especiales de Carabineros. Los métodos utilizados han sido el uso de armas de fuego para la dispersión de miembros de la comunidad mapuche en contexto de protesta social a corta distancia de las víctimas, golpes indiscriminados y abuso verbal durante las detenciones y allanamientos. Algunos de estos incidentes se saldaron con personas seriamente heridas que quedaron con graves secuelas tales como la pérdida parcial de la visión o fracturas que paralizan, inmovilizan o lesionan de manera permanente parte del cuerpo”</w:t>
      </w:r>
      <w:r w:rsidR="006C254A" w:rsidRPr="00446153">
        <w:rPr>
          <w:rStyle w:val="FootnoteReference"/>
          <w:rFonts w:cs="Calibri"/>
          <w:i/>
          <w:color w:val="000000"/>
          <w:sz w:val="23"/>
          <w:szCs w:val="23"/>
        </w:rPr>
        <w:footnoteReference w:id="62"/>
      </w:r>
      <w:r w:rsidR="002A2168" w:rsidRPr="00446153">
        <w:rPr>
          <w:rFonts w:cs="Calibri"/>
          <w:i/>
          <w:color w:val="000000"/>
          <w:sz w:val="23"/>
          <w:szCs w:val="23"/>
        </w:rPr>
        <w:t>.</w:t>
      </w:r>
      <w:r w:rsidR="002A2168" w:rsidRPr="00446153">
        <w:rPr>
          <w:rFonts w:cs="Calibri"/>
          <w:color w:val="000000"/>
          <w:sz w:val="23"/>
          <w:szCs w:val="23"/>
        </w:rPr>
        <w:t xml:space="preserve"> </w:t>
      </w:r>
    </w:p>
    <w:p w14:paraId="2208F047" w14:textId="4498371E"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99</w:t>
      </w:r>
      <w:r w:rsidR="002A2168" w:rsidRPr="00446153">
        <w:rPr>
          <w:rFonts w:cs="Calibri"/>
          <w:b/>
          <w:color w:val="000000"/>
          <w:sz w:val="23"/>
          <w:szCs w:val="23"/>
        </w:rPr>
        <w:t>.</w:t>
      </w:r>
      <w:r w:rsidR="002A2168" w:rsidRPr="00446153">
        <w:rPr>
          <w:rFonts w:cs="Calibri"/>
          <w:color w:val="000000"/>
          <w:sz w:val="23"/>
          <w:szCs w:val="23"/>
        </w:rPr>
        <w:t xml:space="preserve"> Con respecto a los casos antes mencionados, sus perpetradores se encuentran en la total impunidad y ejerciendo funciones en las mismas zonas en donde cometieron estas violaciones a los derechos humanos. De hecho, los perpetradores se repiten en los distintos casos en las zonas. En los casos en que el INDH ha presentado querellas por tortura, los casos no han tenido movimiento, como es el caso de la comunidad de Choque en el sector de Tirúa y la comunidad Antonio Paillao en el sector de Colcuma</w:t>
      </w:r>
      <w:r w:rsidR="002A2168" w:rsidRPr="00446153">
        <w:rPr>
          <w:rStyle w:val="FootnoteReference"/>
          <w:rFonts w:cs="Calibri"/>
          <w:color w:val="000000"/>
          <w:sz w:val="23"/>
          <w:szCs w:val="23"/>
        </w:rPr>
        <w:footnoteReference w:id="63"/>
      </w:r>
      <w:r w:rsidR="002A2168" w:rsidRPr="00446153">
        <w:rPr>
          <w:rFonts w:cs="Calibri"/>
          <w:color w:val="000000"/>
          <w:sz w:val="23"/>
          <w:szCs w:val="23"/>
        </w:rPr>
        <w:t>.</w:t>
      </w:r>
    </w:p>
    <w:p w14:paraId="737F7210" w14:textId="77777777" w:rsidR="00F01E94" w:rsidRPr="00446153" w:rsidRDefault="00F01E94" w:rsidP="00241DE4">
      <w:pPr>
        <w:spacing w:after="120" w:line="240" w:lineRule="auto"/>
        <w:jc w:val="both"/>
        <w:rPr>
          <w:rStyle w:val="Hyperlink"/>
          <w:rFonts w:cs="Calibri"/>
          <w:b/>
          <w:i/>
          <w:color w:val="000000"/>
          <w:sz w:val="23"/>
          <w:szCs w:val="23"/>
        </w:rPr>
      </w:pPr>
    </w:p>
    <w:p w14:paraId="4CC14774" w14:textId="77777777" w:rsidR="002A2168" w:rsidRPr="00446153" w:rsidRDefault="002A2168" w:rsidP="00241DE4">
      <w:pPr>
        <w:spacing w:after="120" w:line="240" w:lineRule="auto"/>
        <w:jc w:val="both"/>
        <w:rPr>
          <w:rStyle w:val="Hyperlink"/>
          <w:rFonts w:cs="Calibri"/>
          <w:b/>
          <w:i/>
          <w:color w:val="000000"/>
          <w:sz w:val="23"/>
          <w:szCs w:val="23"/>
        </w:rPr>
      </w:pPr>
      <w:r w:rsidRPr="00446153">
        <w:rPr>
          <w:rStyle w:val="Hyperlink"/>
          <w:rFonts w:cs="Calibri"/>
          <w:b/>
          <w:i/>
          <w:color w:val="000000"/>
          <w:sz w:val="23"/>
          <w:szCs w:val="23"/>
        </w:rPr>
        <w:t>Recomendaciones:</w:t>
      </w:r>
    </w:p>
    <w:p w14:paraId="4D4F8BCE" w14:textId="77777777" w:rsidR="00241DE4" w:rsidRPr="00446153" w:rsidRDefault="00241DE4" w:rsidP="00241DE4">
      <w:pPr>
        <w:spacing w:after="120" w:line="240" w:lineRule="auto"/>
        <w:jc w:val="both"/>
        <w:rPr>
          <w:rStyle w:val="Hyperlink"/>
          <w:rFonts w:cs="Calibri"/>
          <w:b/>
          <w:i/>
          <w:color w:val="000000"/>
          <w:sz w:val="23"/>
          <w:szCs w:val="23"/>
        </w:rPr>
      </w:pPr>
    </w:p>
    <w:p w14:paraId="2DDEFEAA" w14:textId="77777777" w:rsidR="002A2168" w:rsidRPr="00446153" w:rsidRDefault="003C016C" w:rsidP="00241DE4">
      <w:pPr>
        <w:pStyle w:val="ListParagraph"/>
        <w:numPr>
          <w:ilvl w:val="0"/>
          <w:numId w:val="3"/>
        </w:numPr>
        <w:spacing w:after="120" w:line="240" w:lineRule="auto"/>
        <w:ind w:left="714" w:hanging="357"/>
        <w:contextualSpacing w:val="0"/>
        <w:jc w:val="both"/>
        <w:rPr>
          <w:rFonts w:cs="Calibri"/>
          <w:b/>
          <w:color w:val="000000"/>
          <w:sz w:val="23"/>
          <w:szCs w:val="23"/>
        </w:rPr>
      </w:pPr>
      <w:r w:rsidRPr="00446153">
        <w:rPr>
          <w:rStyle w:val="Hyperlink"/>
          <w:rFonts w:cs="Calibri"/>
          <w:b/>
          <w:color w:val="000000"/>
          <w:sz w:val="23"/>
          <w:szCs w:val="23"/>
          <w:u w:val="none"/>
        </w:rPr>
        <w:t>Adoptar</w:t>
      </w:r>
      <w:r w:rsidR="002A2168" w:rsidRPr="00446153">
        <w:rPr>
          <w:rStyle w:val="Hyperlink"/>
          <w:rFonts w:cs="Calibri"/>
          <w:b/>
          <w:color w:val="000000"/>
          <w:sz w:val="23"/>
          <w:szCs w:val="23"/>
          <w:u w:val="none"/>
        </w:rPr>
        <w:t xml:space="preserve"> medidas efectivas para investigar debidamente y sancionar las </w:t>
      </w:r>
      <w:r w:rsidR="002A2168" w:rsidRPr="00446153">
        <w:rPr>
          <w:rFonts w:cs="Calibri"/>
          <w:b/>
          <w:color w:val="000000"/>
          <w:sz w:val="23"/>
          <w:szCs w:val="23"/>
        </w:rPr>
        <w:t xml:space="preserve">denuncias de abusos y violencia ejercida por parte de los Carabineros contra los miembros de pueblos indígenas, y en particular del pueblo mapuche, en el contexto de allanamiento y otras operaciones policiales. </w:t>
      </w:r>
    </w:p>
    <w:p w14:paraId="5EDC8B36" w14:textId="77777777" w:rsidR="002A2168" w:rsidRPr="00446153" w:rsidRDefault="002A2168" w:rsidP="00241DE4">
      <w:pPr>
        <w:pStyle w:val="ListParagraph"/>
        <w:numPr>
          <w:ilvl w:val="0"/>
          <w:numId w:val="3"/>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Adoptar medidas para investigar, sancionar y asegurar la no repetición de casos en los que se ha alegado el uso excesivo o injustificado de la fuerza, inclusive to</w:t>
      </w:r>
      <w:r w:rsidR="006C254A" w:rsidRPr="00446153">
        <w:rPr>
          <w:rFonts w:cs="Calibri"/>
          <w:b/>
          <w:color w:val="000000"/>
          <w:sz w:val="23"/>
          <w:szCs w:val="23"/>
        </w:rPr>
        <w:t>rtur</w:t>
      </w:r>
      <w:r w:rsidR="003C016C" w:rsidRPr="00446153">
        <w:rPr>
          <w:rFonts w:cs="Calibri"/>
          <w:b/>
          <w:color w:val="000000"/>
          <w:sz w:val="23"/>
          <w:szCs w:val="23"/>
        </w:rPr>
        <w:t>a</w:t>
      </w:r>
      <w:r w:rsidR="006C254A" w:rsidRPr="00446153">
        <w:rPr>
          <w:rFonts w:cs="Calibri"/>
          <w:b/>
          <w:color w:val="000000"/>
          <w:sz w:val="23"/>
          <w:szCs w:val="23"/>
        </w:rPr>
        <w:t>, tratos crueles, inhumanos y degradantes</w:t>
      </w:r>
      <w:r w:rsidRPr="00446153">
        <w:rPr>
          <w:rFonts w:cs="Calibri"/>
          <w:b/>
          <w:color w:val="000000"/>
          <w:sz w:val="23"/>
          <w:szCs w:val="23"/>
        </w:rPr>
        <w:t xml:space="preserve">, </w:t>
      </w:r>
      <w:r w:rsidR="006C254A" w:rsidRPr="00446153">
        <w:rPr>
          <w:rFonts w:cs="Calibri"/>
          <w:b/>
          <w:color w:val="000000"/>
          <w:sz w:val="23"/>
          <w:szCs w:val="23"/>
        </w:rPr>
        <w:t>y la de</w:t>
      </w:r>
      <w:r w:rsidRPr="00446153">
        <w:rPr>
          <w:rFonts w:cs="Calibri"/>
          <w:b/>
          <w:color w:val="000000"/>
          <w:sz w:val="23"/>
          <w:szCs w:val="23"/>
        </w:rPr>
        <w:t xml:space="preserve">tención arbitraria de niños, niñas y adolecentes. </w:t>
      </w:r>
    </w:p>
    <w:p w14:paraId="23EB0264" w14:textId="41E2AF1E" w:rsidR="00DE5B76" w:rsidRPr="00446153" w:rsidRDefault="002A2168" w:rsidP="00241DE4">
      <w:pPr>
        <w:pStyle w:val="ListParagraph"/>
        <w:numPr>
          <w:ilvl w:val="0"/>
          <w:numId w:val="3"/>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 xml:space="preserve">Proceder a la correcta investigación, enjuiciamiento y condena en su caso y la correspondiente reparación, indemnización y rehabilitación a las víctimas </w:t>
      </w:r>
      <w:r w:rsidR="00C06CBE" w:rsidRPr="00446153">
        <w:rPr>
          <w:rFonts w:cs="Calibri"/>
          <w:b/>
          <w:color w:val="000000"/>
          <w:sz w:val="23"/>
          <w:szCs w:val="23"/>
        </w:rPr>
        <w:t xml:space="preserve">tortura. </w:t>
      </w:r>
      <w:r w:rsidRPr="00446153">
        <w:rPr>
          <w:rFonts w:cs="Calibri"/>
          <w:b/>
          <w:color w:val="000000"/>
          <w:sz w:val="23"/>
          <w:szCs w:val="23"/>
        </w:rPr>
        <w:t xml:space="preserve"> </w:t>
      </w:r>
    </w:p>
    <w:p w14:paraId="3064FBA0" w14:textId="77777777" w:rsidR="001D7D7F" w:rsidRPr="00446153" w:rsidRDefault="001D7D7F" w:rsidP="00241DE4">
      <w:pPr>
        <w:pStyle w:val="ListParagraph"/>
        <w:spacing w:after="120" w:line="240" w:lineRule="auto"/>
        <w:ind w:left="714"/>
        <w:contextualSpacing w:val="0"/>
        <w:jc w:val="both"/>
        <w:rPr>
          <w:rFonts w:cs="Calibri"/>
          <w:b/>
          <w:color w:val="000000"/>
          <w:sz w:val="23"/>
          <w:szCs w:val="23"/>
        </w:rPr>
      </w:pPr>
    </w:p>
    <w:p w14:paraId="3338BCC3"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Mujeres privadas de libertad</w:t>
      </w:r>
    </w:p>
    <w:p w14:paraId="7FB345FC" w14:textId="77777777" w:rsidR="00241DE4" w:rsidRPr="00446153" w:rsidRDefault="00241DE4" w:rsidP="00241DE4">
      <w:pPr>
        <w:spacing w:after="120" w:line="240" w:lineRule="auto"/>
        <w:jc w:val="both"/>
        <w:rPr>
          <w:rFonts w:cs="Calibri"/>
          <w:b/>
          <w:color w:val="000000"/>
          <w:sz w:val="23"/>
          <w:szCs w:val="23"/>
        </w:rPr>
      </w:pPr>
    </w:p>
    <w:p w14:paraId="22AE559D" w14:textId="4B3F2D54"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100</w:t>
      </w:r>
      <w:r w:rsidR="002A2168" w:rsidRPr="00446153">
        <w:rPr>
          <w:rFonts w:cs="Calibri"/>
          <w:b/>
          <w:color w:val="000000"/>
          <w:sz w:val="23"/>
          <w:szCs w:val="23"/>
        </w:rPr>
        <w:t xml:space="preserve">. </w:t>
      </w:r>
      <w:r w:rsidR="002A2168" w:rsidRPr="00446153">
        <w:rPr>
          <w:rFonts w:cs="Calibri"/>
          <w:color w:val="000000"/>
          <w:sz w:val="23"/>
          <w:szCs w:val="23"/>
        </w:rPr>
        <w:t xml:space="preserve">Desde la entrada en vigor en el año 2005 de la Ley nº 20.000, que sanciona el tráfico ilícito de estupefacientes y sustancias </w:t>
      </w:r>
      <w:r w:rsidR="003C016C" w:rsidRPr="00446153">
        <w:rPr>
          <w:rFonts w:cs="Calibri"/>
          <w:color w:val="000000"/>
          <w:sz w:val="23"/>
          <w:szCs w:val="23"/>
        </w:rPr>
        <w:t>p</w:t>
      </w:r>
      <w:r w:rsidR="002A2168" w:rsidRPr="00446153">
        <w:rPr>
          <w:rFonts w:cs="Calibri"/>
          <w:color w:val="000000"/>
          <w:sz w:val="23"/>
          <w:szCs w:val="23"/>
        </w:rPr>
        <w:t>sicotrópicas, las cifras de mujeres privadas de libertad han aumentado exponencialmente de 4.270 condenadas en el 2005 a 9.579 condenadas en el 2013</w:t>
      </w:r>
      <w:r w:rsidR="002A2168" w:rsidRPr="00446153">
        <w:rPr>
          <w:rStyle w:val="FootnoteReference"/>
          <w:rFonts w:cs="Calibri"/>
          <w:color w:val="000000"/>
          <w:sz w:val="23"/>
          <w:szCs w:val="23"/>
        </w:rPr>
        <w:footnoteReference w:id="64"/>
      </w:r>
      <w:r w:rsidR="002A2168" w:rsidRPr="00446153">
        <w:rPr>
          <w:rFonts w:cs="Calibri"/>
          <w:color w:val="000000"/>
          <w:sz w:val="23"/>
          <w:szCs w:val="23"/>
        </w:rPr>
        <w:t>. Las mujeres representan un 8% de la población penal recluida, de las cuales un 55% se encuentra por ilícitos tipificados en la Ley 20.000</w:t>
      </w:r>
      <w:r w:rsidR="002A2168" w:rsidRPr="00446153">
        <w:rPr>
          <w:rStyle w:val="FootnoteReference"/>
          <w:rFonts w:cs="Calibri"/>
          <w:color w:val="000000"/>
          <w:sz w:val="23"/>
          <w:szCs w:val="23"/>
        </w:rPr>
        <w:footnoteReference w:id="65"/>
      </w:r>
      <w:r w:rsidR="002A2168" w:rsidRPr="00446153">
        <w:rPr>
          <w:rFonts w:cs="Calibri"/>
          <w:color w:val="000000"/>
          <w:sz w:val="23"/>
          <w:szCs w:val="23"/>
        </w:rPr>
        <w:t>. Las mujeres son las más afec</w:t>
      </w:r>
      <w:r w:rsidR="009C1C23" w:rsidRPr="00446153">
        <w:rPr>
          <w:rFonts w:cs="Calibri"/>
          <w:color w:val="000000"/>
          <w:sz w:val="23"/>
          <w:szCs w:val="23"/>
        </w:rPr>
        <w:t xml:space="preserve">tadas por la política </w:t>
      </w:r>
      <w:r w:rsidR="003C016C" w:rsidRPr="00446153">
        <w:rPr>
          <w:rFonts w:cs="Calibri"/>
          <w:color w:val="000000"/>
          <w:sz w:val="23"/>
          <w:szCs w:val="23"/>
        </w:rPr>
        <w:t xml:space="preserve">prohibicionista en materia </w:t>
      </w:r>
      <w:r w:rsidR="009C1C23" w:rsidRPr="00446153">
        <w:rPr>
          <w:rFonts w:cs="Calibri"/>
          <w:color w:val="000000"/>
          <w:sz w:val="23"/>
          <w:szCs w:val="23"/>
        </w:rPr>
        <w:t xml:space="preserve">de drogas, </w:t>
      </w:r>
      <w:r w:rsidR="002A2168" w:rsidRPr="00446153">
        <w:rPr>
          <w:rFonts w:cs="Calibri"/>
          <w:color w:val="000000"/>
          <w:sz w:val="23"/>
          <w:szCs w:val="23"/>
        </w:rPr>
        <w:t>acumulando gran parte de las condenas por microtráfico, debido a que muchas de ellas son jefas de hogar de familias monoparentales, a cargo de</w:t>
      </w:r>
      <w:r w:rsidR="009C1C23" w:rsidRPr="00446153">
        <w:rPr>
          <w:rFonts w:cs="Calibri"/>
          <w:color w:val="000000"/>
          <w:sz w:val="23"/>
          <w:szCs w:val="23"/>
        </w:rPr>
        <w:t xml:space="preserve"> niños o niñas menores de edad o</w:t>
      </w:r>
      <w:r w:rsidR="002A2168" w:rsidRPr="00446153">
        <w:rPr>
          <w:rFonts w:cs="Calibri"/>
          <w:color w:val="000000"/>
          <w:sz w:val="23"/>
          <w:szCs w:val="23"/>
        </w:rPr>
        <w:t xml:space="preserve"> pequeños, o a cargo de personas de la tercera edad, siendo ellas, además, el único ingreso de la familia, por lo que el negocio del </w:t>
      </w:r>
      <w:r w:rsidR="00AB13AB" w:rsidRPr="00446153">
        <w:rPr>
          <w:rFonts w:cs="Calibri"/>
          <w:color w:val="000000"/>
          <w:sz w:val="23"/>
          <w:szCs w:val="23"/>
        </w:rPr>
        <w:t>micro</w:t>
      </w:r>
      <w:r w:rsidR="002A2168" w:rsidRPr="00446153">
        <w:rPr>
          <w:rFonts w:cs="Calibri"/>
          <w:color w:val="000000"/>
          <w:sz w:val="23"/>
          <w:szCs w:val="23"/>
        </w:rPr>
        <w:t xml:space="preserve">tráfico de drogas surge como una forma flexible y rentable de mantener a sus familias. De tal forma, cuando ingresan a cumplir penas privativas de libertad, hay </w:t>
      </w:r>
      <w:r w:rsidR="00AB13AB" w:rsidRPr="00446153">
        <w:rPr>
          <w:rFonts w:cs="Calibri"/>
          <w:color w:val="000000"/>
          <w:sz w:val="23"/>
          <w:szCs w:val="23"/>
        </w:rPr>
        <w:t>una configuración familiar que se desestabiliza,</w:t>
      </w:r>
      <w:r w:rsidR="002A2168" w:rsidRPr="00446153">
        <w:rPr>
          <w:rFonts w:cs="Calibri"/>
          <w:color w:val="000000"/>
          <w:sz w:val="23"/>
          <w:szCs w:val="23"/>
        </w:rPr>
        <w:t xml:space="preserve"> y cuya situación de vulnerabilidad aumenta más todavía. </w:t>
      </w:r>
    </w:p>
    <w:p w14:paraId="15173A89" w14:textId="062D3556"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101</w:t>
      </w:r>
      <w:r w:rsidR="002A2168" w:rsidRPr="00446153">
        <w:rPr>
          <w:rFonts w:cs="Calibri"/>
          <w:b/>
          <w:color w:val="000000"/>
          <w:sz w:val="23"/>
          <w:szCs w:val="23"/>
        </w:rPr>
        <w:t>.</w:t>
      </w:r>
      <w:r w:rsidR="002A2168" w:rsidRPr="00446153">
        <w:rPr>
          <w:rFonts w:cs="Calibri"/>
          <w:color w:val="000000"/>
          <w:sz w:val="23"/>
          <w:szCs w:val="23"/>
        </w:rPr>
        <w:t xml:space="preserve"> La situación que se vislumbra en Chile no es concordante con el princ</w:t>
      </w:r>
      <w:r w:rsidR="009C1C23" w:rsidRPr="00446153">
        <w:rPr>
          <w:rFonts w:cs="Calibri"/>
          <w:color w:val="000000"/>
          <w:sz w:val="23"/>
          <w:szCs w:val="23"/>
        </w:rPr>
        <w:t>i</w:t>
      </w:r>
      <w:r w:rsidR="002A2168" w:rsidRPr="00446153">
        <w:rPr>
          <w:rFonts w:cs="Calibri"/>
          <w:color w:val="000000"/>
          <w:sz w:val="23"/>
          <w:szCs w:val="23"/>
        </w:rPr>
        <w:t xml:space="preserve">pio del derecho penal de que la privación de libertad debe ser una herramienta de </w:t>
      </w:r>
      <w:r w:rsidR="002A2168" w:rsidRPr="00446153">
        <w:rPr>
          <w:rFonts w:cs="Calibri"/>
          <w:i/>
          <w:color w:val="000000"/>
          <w:sz w:val="23"/>
          <w:szCs w:val="23"/>
        </w:rPr>
        <w:t xml:space="preserve">ultima ratio, </w:t>
      </w:r>
      <w:r w:rsidR="002A2168" w:rsidRPr="00446153">
        <w:rPr>
          <w:rFonts w:cs="Calibri"/>
          <w:color w:val="000000"/>
          <w:sz w:val="23"/>
          <w:szCs w:val="23"/>
        </w:rPr>
        <w:t xml:space="preserve">más considerando que </w:t>
      </w:r>
      <w:r w:rsidR="00AB13AB" w:rsidRPr="00446153">
        <w:rPr>
          <w:rFonts w:cs="Calibri"/>
          <w:color w:val="000000"/>
          <w:sz w:val="23"/>
          <w:szCs w:val="23"/>
        </w:rPr>
        <w:t>en la mayoría de los casos se identifica</w:t>
      </w:r>
      <w:r w:rsidR="002A2168" w:rsidRPr="00446153">
        <w:rPr>
          <w:rFonts w:cs="Calibri"/>
          <w:color w:val="000000"/>
          <w:sz w:val="23"/>
          <w:szCs w:val="23"/>
        </w:rPr>
        <w:t xml:space="preserve"> a mujeres involucradas en delitos de drogas de muy poca monta y no violentos</w:t>
      </w:r>
      <w:r w:rsidR="002A2168" w:rsidRPr="00446153">
        <w:rPr>
          <w:rStyle w:val="FootnoteReference"/>
          <w:rFonts w:cs="Calibri"/>
          <w:color w:val="000000"/>
          <w:sz w:val="23"/>
          <w:szCs w:val="23"/>
        </w:rPr>
        <w:footnoteReference w:id="66"/>
      </w:r>
      <w:r w:rsidR="002A2168" w:rsidRPr="00446153">
        <w:rPr>
          <w:rFonts w:cs="Calibri"/>
          <w:color w:val="000000"/>
          <w:sz w:val="23"/>
          <w:szCs w:val="23"/>
        </w:rPr>
        <w:t xml:space="preserve">. </w:t>
      </w:r>
    </w:p>
    <w:p w14:paraId="372D4CB9" w14:textId="0645E946"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102</w:t>
      </w:r>
      <w:r w:rsidR="002A2168" w:rsidRPr="00446153">
        <w:rPr>
          <w:rFonts w:cs="Calibri"/>
          <w:b/>
          <w:color w:val="000000"/>
          <w:sz w:val="23"/>
          <w:szCs w:val="23"/>
        </w:rPr>
        <w:t>.</w:t>
      </w:r>
      <w:r w:rsidR="002A2168" w:rsidRPr="00446153">
        <w:rPr>
          <w:rFonts w:cs="Calibri"/>
          <w:color w:val="000000"/>
          <w:sz w:val="23"/>
          <w:szCs w:val="23"/>
        </w:rPr>
        <w:t xml:space="preserve"> Del total de las mujeres privadas de libertad, un 46% son imputadas, es decir, </w:t>
      </w:r>
      <w:r w:rsidR="00AB13AB" w:rsidRPr="00446153">
        <w:rPr>
          <w:rFonts w:cs="Calibri"/>
          <w:color w:val="000000"/>
          <w:sz w:val="23"/>
          <w:szCs w:val="23"/>
        </w:rPr>
        <w:t>mujeres</w:t>
      </w:r>
      <w:r w:rsidR="002A2168" w:rsidRPr="00446153">
        <w:rPr>
          <w:rFonts w:cs="Calibri"/>
          <w:color w:val="000000"/>
          <w:sz w:val="23"/>
          <w:szCs w:val="23"/>
        </w:rPr>
        <w:t xml:space="preserve"> a la espera de dictamen judicial. De éstas, un 64% </w:t>
      </w:r>
      <w:r w:rsidR="00AB13AB" w:rsidRPr="00446153">
        <w:rPr>
          <w:rFonts w:cs="Calibri"/>
          <w:color w:val="000000"/>
          <w:sz w:val="23"/>
          <w:szCs w:val="23"/>
        </w:rPr>
        <w:t>lo están</w:t>
      </w:r>
      <w:r w:rsidR="002A2168" w:rsidRPr="00446153">
        <w:rPr>
          <w:rFonts w:cs="Calibri"/>
          <w:color w:val="000000"/>
          <w:sz w:val="23"/>
          <w:szCs w:val="23"/>
        </w:rPr>
        <w:t xml:space="preserve"> por delitos relativos a ley de drogas. Casi 2 de cada 3 mujeres están privadas de libertad</w:t>
      </w:r>
      <w:r w:rsidR="00AB13AB" w:rsidRPr="00446153">
        <w:rPr>
          <w:rFonts w:cs="Calibri"/>
          <w:color w:val="000000"/>
          <w:sz w:val="23"/>
          <w:szCs w:val="23"/>
        </w:rPr>
        <w:t xml:space="preserve"> por delitos de drogas,</w:t>
      </w:r>
      <w:r w:rsidR="002A2168" w:rsidRPr="00446153">
        <w:rPr>
          <w:rFonts w:cs="Calibri"/>
          <w:color w:val="000000"/>
          <w:sz w:val="23"/>
          <w:szCs w:val="23"/>
        </w:rPr>
        <w:t xml:space="preserve"> </w:t>
      </w:r>
      <w:r w:rsidR="00AB13AB" w:rsidRPr="00446153">
        <w:rPr>
          <w:rFonts w:cs="Calibri"/>
          <w:color w:val="000000"/>
          <w:sz w:val="23"/>
          <w:szCs w:val="23"/>
        </w:rPr>
        <w:t>a la</w:t>
      </w:r>
      <w:r w:rsidR="002A2168" w:rsidRPr="00446153">
        <w:rPr>
          <w:rFonts w:cs="Calibri"/>
          <w:color w:val="000000"/>
          <w:sz w:val="23"/>
          <w:szCs w:val="23"/>
        </w:rPr>
        <w:t xml:space="preserve"> espera de juicio</w:t>
      </w:r>
      <w:r w:rsidR="00AB13AB" w:rsidRPr="00446153">
        <w:rPr>
          <w:rFonts w:cs="Calibri"/>
          <w:color w:val="000000"/>
          <w:sz w:val="23"/>
          <w:szCs w:val="23"/>
        </w:rPr>
        <w:t xml:space="preserve"> penal</w:t>
      </w:r>
      <w:r w:rsidR="002A2168" w:rsidRPr="00446153">
        <w:rPr>
          <w:rFonts w:cs="Calibri"/>
          <w:color w:val="000000"/>
          <w:sz w:val="23"/>
          <w:szCs w:val="23"/>
        </w:rPr>
        <w:t>.</w:t>
      </w:r>
    </w:p>
    <w:p w14:paraId="5FE51C76" w14:textId="47961512"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103</w:t>
      </w:r>
      <w:r w:rsidR="002A2168" w:rsidRPr="00446153">
        <w:rPr>
          <w:rFonts w:cs="Calibri"/>
          <w:b/>
          <w:color w:val="000000"/>
          <w:sz w:val="23"/>
          <w:szCs w:val="23"/>
        </w:rPr>
        <w:t>.</w:t>
      </w:r>
      <w:r w:rsidR="002A2168" w:rsidRPr="00446153">
        <w:rPr>
          <w:rFonts w:cs="Calibri"/>
          <w:color w:val="000000"/>
          <w:sz w:val="23"/>
          <w:szCs w:val="23"/>
        </w:rPr>
        <w:t xml:space="preserve"> En el Centro Penitenciario Femenino de Santiago</w:t>
      </w:r>
      <w:r w:rsidR="002A2168" w:rsidRPr="00446153">
        <w:rPr>
          <w:rStyle w:val="FootnoteReference"/>
          <w:rFonts w:cs="Calibri"/>
          <w:color w:val="000000"/>
          <w:sz w:val="23"/>
          <w:szCs w:val="23"/>
        </w:rPr>
        <w:footnoteReference w:id="67"/>
      </w:r>
      <w:r w:rsidR="0043523D" w:rsidRPr="00446153">
        <w:rPr>
          <w:rFonts w:cs="Calibri"/>
          <w:color w:val="000000"/>
          <w:sz w:val="23"/>
          <w:szCs w:val="23"/>
        </w:rPr>
        <w:t>, se aprecian</w:t>
      </w:r>
      <w:r w:rsidR="002A2168" w:rsidRPr="00446153">
        <w:rPr>
          <w:rFonts w:cs="Calibri"/>
          <w:color w:val="000000"/>
          <w:sz w:val="23"/>
          <w:szCs w:val="23"/>
        </w:rPr>
        <w:t xml:space="preserve"> condiciones de habitabilidad de algunos módulos que ponen en entredicho la dignidad humana, como son: no disponer de electricidad las 24 horas; limitación del acceso al agua potable; las habitaciones carecen de todo tipo de calefacción; el papel y el jabón son costeados por las propias reclusas; malos olores; no existe lavandería; no existen dependencias exclusivas para las visitas; se aplica el castigo extra-reglamentario del “pago al contado” (que consiste en recibir golpes por parte del personal uniformado o realizar ejercicios físicos); </w:t>
      </w:r>
      <w:r w:rsidR="0043523D" w:rsidRPr="00446153">
        <w:rPr>
          <w:rFonts w:cs="Calibri"/>
          <w:color w:val="000000"/>
          <w:sz w:val="23"/>
          <w:szCs w:val="23"/>
        </w:rPr>
        <w:t xml:space="preserve">hay </w:t>
      </w:r>
      <w:r w:rsidR="002A2168" w:rsidRPr="00446153">
        <w:rPr>
          <w:rFonts w:cs="Calibri"/>
          <w:color w:val="000000"/>
          <w:sz w:val="23"/>
          <w:szCs w:val="23"/>
        </w:rPr>
        <w:t xml:space="preserve">insectos como baratas en el módulo de mujeres con hijos/as lactantes y </w:t>
      </w:r>
      <w:r w:rsidR="0043523D" w:rsidRPr="00446153">
        <w:rPr>
          <w:rFonts w:cs="Calibri"/>
          <w:color w:val="000000"/>
          <w:sz w:val="23"/>
          <w:szCs w:val="23"/>
        </w:rPr>
        <w:t xml:space="preserve">hay </w:t>
      </w:r>
      <w:r w:rsidR="002A2168" w:rsidRPr="00446153">
        <w:rPr>
          <w:rFonts w:cs="Calibri"/>
          <w:color w:val="000000"/>
          <w:sz w:val="23"/>
          <w:szCs w:val="23"/>
        </w:rPr>
        <w:t>pulgas en otros módulos; no se permite el acceso al baño durante la noche, teniendo que hacer sus necesidades en un bote; pérdida de citas médicas, entre otras.</w:t>
      </w:r>
    </w:p>
    <w:p w14:paraId="7381D11A" w14:textId="6AFABE41" w:rsidR="0009770B" w:rsidRPr="00241DE4" w:rsidRDefault="00CF0E96" w:rsidP="00241DE4">
      <w:pPr>
        <w:spacing w:after="120" w:line="240" w:lineRule="auto"/>
        <w:jc w:val="both"/>
        <w:rPr>
          <w:rFonts w:cs="Calibri"/>
          <w:sz w:val="23"/>
          <w:szCs w:val="23"/>
          <w:lang w:val="es-ES"/>
        </w:rPr>
      </w:pPr>
      <w:r>
        <w:rPr>
          <w:rFonts w:cs="Calibri"/>
          <w:b/>
          <w:sz w:val="23"/>
          <w:szCs w:val="23"/>
        </w:rPr>
        <w:t>104</w:t>
      </w:r>
      <w:r w:rsidR="0009770B" w:rsidRPr="00241DE4">
        <w:rPr>
          <w:rFonts w:cs="Calibri"/>
          <w:b/>
          <w:sz w:val="23"/>
          <w:szCs w:val="23"/>
        </w:rPr>
        <w:t>.</w:t>
      </w:r>
      <w:r w:rsidR="0009770B" w:rsidRPr="00241DE4">
        <w:rPr>
          <w:rFonts w:cs="Calibri"/>
          <w:sz w:val="23"/>
          <w:szCs w:val="23"/>
        </w:rPr>
        <w:t xml:space="preserve"> Por otro lado, preocupa especialmente la vulneración de derechos sexuales y reproductivos de mujeres privadas de libertad. Cabe destacar la situación que afectó a Lorenza Cayuhán</w:t>
      </w:r>
      <w:r w:rsidR="0009770B" w:rsidRPr="00241DE4">
        <w:rPr>
          <w:rFonts w:cs="Calibri"/>
          <w:sz w:val="23"/>
          <w:szCs w:val="23"/>
          <w:lang w:val="es-ES"/>
        </w:rPr>
        <w:t xml:space="preserve"> el </w:t>
      </w:r>
      <w:r w:rsidR="009C1C23" w:rsidRPr="00241DE4">
        <w:rPr>
          <w:rFonts w:cs="Calibri"/>
          <w:sz w:val="23"/>
          <w:szCs w:val="23"/>
          <w:lang w:val="es-ES"/>
        </w:rPr>
        <w:t xml:space="preserve">año </w:t>
      </w:r>
      <w:r w:rsidR="0009770B" w:rsidRPr="00241DE4">
        <w:rPr>
          <w:rFonts w:cs="Calibri"/>
          <w:sz w:val="23"/>
          <w:szCs w:val="23"/>
          <w:lang w:val="es-ES"/>
        </w:rPr>
        <w:t>2016, mujer mapuche privada de libertad al momento del parto, quien tuvo a su hija engrillada y en presencia de custodios varones</w:t>
      </w:r>
      <w:r w:rsidR="0009770B" w:rsidRPr="00241DE4">
        <w:rPr>
          <w:rStyle w:val="FootnoteReference"/>
          <w:rFonts w:cs="Calibri"/>
          <w:sz w:val="23"/>
          <w:szCs w:val="23"/>
          <w:lang w:val="es-ES"/>
        </w:rPr>
        <w:footnoteReference w:id="68"/>
      </w:r>
      <w:r w:rsidR="0009770B" w:rsidRPr="00241DE4">
        <w:rPr>
          <w:rFonts w:cs="Calibri"/>
          <w:sz w:val="23"/>
          <w:szCs w:val="23"/>
          <w:lang w:val="es-ES"/>
        </w:rPr>
        <w:t xml:space="preserve"> o el caso de </w:t>
      </w:r>
      <w:r w:rsidR="0009770B" w:rsidRPr="00241DE4">
        <w:rPr>
          <w:rFonts w:cs="Calibri"/>
          <w:sz w:val="23"/>
          <w:szCs w:val="23"/>
        </w:rPr>
        <w:t>Jennyfer, quien estando recluida en la cárcel de Llancahue de Valdivia, perdió a su hija de casi seis meses de gestación luego de estar varios días quejándose de dolor sin ser atendida, siendo obligada a parir a su hija fallecida en presencia de funcionarios de Gendarmería de Chile</w:t>
      </w:r>
      <w:r w:rsidR="0009770B" w:rsidRPr="00241DE4">
        <w:rPr>
          <w:rStyle w:val="FootnoteReference"/>
          <w:rFonts w:cs="Calibri"/>
          <w:sz w:val="23"/>
          <w:szCs w:val="23"/>
        </w:rPr>
        <w:footnoteReference w:id="69"/>
      </w:r>
      <w:r w:rsidR="0009770B" w:rsidRPr="00241DE4">
        <w:rPr>
          <w:rFonts w:cs="Calibri"/>
          <w:sz w:val="23"/>
          <w:szCs w:val="23"/>
        </w:rPr>
        <w:t>.</w:t>
      </w:r>
      <w:r w:rsidR="0009770B" w:rsidRPr="00241DE4">
        <w:rPr>
          <w:rFonts w:cs="Calibri"/>
          <w:sz w:val="23"/>
          <w:szCs w:val="23"/>
          <w:lang w:val="es-ES"/>
        </w:rPr>
        <w:t xml:space="preserve"> Ellas se suman a las numerosas denuncias y testimonios de mujeres que tanto en servicios públicos como privados de salud han sufrido violencia obstétrica</w:t>
      </w:r>
      <w:r w:rsidR="0009770B" w:rsidRPr="00241DE4">
        <w:rPr>
          <w:rStyle w:val="FootnoteReference"/>
          <w:rFonts w:cs="Calibri"/>
          <w:sz w:val="23"/>
          <w:szCs w:val="23"/>
          <w:lang w:val="es-ES"/>
        </w:rPr>
        <w:footnoteReference w:id="70"/>
      </w:r>
      <w:r w:rsidR="0009770B" w:rsidRPr="00241DE4">
        <w:rPr>
          <w:rFonts w:cs="Calibri"/>
          <w:sz w:val="23"/>
          <w:szCs w:val="23"/>
          <w:lang w:val="es-ES"/>
        </w:rPr>
        <w:t>.</w:t>
      </w:r>
      <w:r w:rsidR="0009770B" w:rsidRPr="00241DE4">
        <w:rPr>
          <w:rFonts w:cs="Calibri"/>
          <w:sz w:val="23"/>
          <w:szCs w:val="23"/>
        </w:rPr>
        <w:t xml:space="preserve"> </w:t>
      </w:r>
    </w:p>
    <w:p w14:paraId="4DB63094" w14:textId="77777777" w:rsidR="00241DE4" w:rsidRPr="00446153" w:rsidRDefault="00241DE4" w:rsidP="00241DE4">
      <w:pPr>
        <w:spacing w:after="120" w:line="240" w:lineRule="auto"/>
        <w:jc w:val="both"/>
        <w:rPr>
          <w:rFonts w:cs="Calibri"/>
          <w:b/>
          <w:i/>
          <w:color w:val="000000"/>
          <w:sz w:val="23"/>
          <w:szCs w:val="23"/>
          <w:u w:val="single"/>
        </w:rPr>
      </w:pPr>
    </w:p>
    <w:p w14:paraId="563FC469" w14:textId="77777777" w:rsidR="006967C5" w:rsidRPr="00446153" w:rsidRDefault="002A2168" w:rsidP="00241DE4">
      <w:pPr>
        <w:spacing w:after="120" w:line="240" w:lineRule="auto"/>
        <w:jc w:val="both"/>
        <w:rPr>
          <w:rFonts w:cs="Calibri"/>
          <w:b/>
          <w:i/>
          <w:color w:val="000000"/>
          <w:sz w:val="23"/>
          <w:szCs w:val="23"/>
        </w:rPr>
      </w:pPr>
      <w:r w:rsidRPr="00446153">
        <w:rPr>
          <w:rFonts w:cs="Calibri"/>
          <w:b/>
          <w:i/>
          <w:color w:val="000000"/>
          <w:sz w:val="23"/>
          <w:szCs w:val="23"/>
          <w:u w:val="single"/>
        </w:rPr>
        <w:t>Recomendaciones</w:t>
      </w:r>
      <w:r w:rsidRPr="00446153">
        <w:rPr>
          <w:rFonts w:cs="Calibri"/>
          <w:b/>
          <w:i/>
          <w:color w:val="000000"/>
          <w:sz w:val="23"/>
          <w:szCs w:val="23"/>
        </w:rPr>
        <w:t xml:space="preserve">: </w:t>
      </w:r>
    </w:p>
    <w:p w14:paraId="6172774E" w14:textId="77777777" w:rsidR="00241DE4" w:rsidRPr="00446153" w:rsidRDefault="00241DE4" w:rsidP="00241DE4">
      <w:pPr>
        <w:spacing w:after="120" w:line="240" w:lineRule="auto"/>
        <w:jc w:val="both"/>
        <w:rPr>
          <w:rFonts w:cs="Calibri"/>
          <w:b/>
          <w:i/>
          <w:color w:val="000000"/>
          <w:sz w:val="23"/>
          <w:szCs w:val="23"/>
        </w:rPr>
      </w:pPr>
    </w:p>
    <w:p w14:paraId="675ED49F" w14:textId="77777777" w:rsidR="002A2168" w:rsidRPr="00446153" w:rsidRDefault="002A2168" w:rsidP="00241DE4">
      <w:pPr>
        <w:numPr>
          <w:ilvl w:val="0"/>
          <w:numId w:val="5"/>
        </w:numPr>
        <w:spacing w:after="120" w:line="240" w:lineRule="auto"/>
        <w:ind w:left="714" w:hanging="357"/>
        <w:jc w:val="both"/>
        <w:rPr>
          <w:rFonts w:cs="Calibri"/>
          <w:b/>
          <w:color w:val="000000"/>
          <w:sz w:val="23"/>
          <w:szCs w:val="23"/>
        </w:rPr>
      </w:pPr>
      <w:r w:rsidRPr="00446153">
        <w:rPr>
          <w:rFonts w:cs="Calibri"/>
          <w:b/>
          <w:color w:val="000000"/>
          <w:sz w:val="23"/>
          <w:szCs w:val="23"/>
        </w:rPr>
        <w:t>Incorporar un enfoque de género en la creación, implementación y seguimiento de las reformas legislativas y políticas necesarias dirigidas a reducir el uso de la prisión preventiva como medida cautelar en los casos de mujeres</w:t>
      </w:r>
      <w:r w:rsidR="00AB13AB" w:rsidRPr="00446153">
        <w:rPr>
          <w:rFonts w:cs="Calibri"/>
          <w:b/>
          <w:color w:val="000000"/>
          <w:sz w:val="23"/>
          <w:szCs w:val="23"/>
        </w:rPr>
        <w:t>, especialmente en aquellas con responsabilidades familiares</w:t>
      </w:r>
      <w:r w:rsidRPr="00446153">
        <w:rPr>
          <w:rFonts w:cs="Calibri"/>
          <w:b/>
          <w:color w:val="000000"/>
          <w:sz w:val="23"/>
          <w:szCs w:val="23"/>
        </w:rPr>
        <w:t>.</w:t>
      </w:r>
    </w:p>
    <w:p w14:paraId="3C0FC7DB" w14:textId="77777777" w:rsidR="002A2168" w:rsidRPr="00446153" w:rsidRDefault="002A2168" w:rsidP="00241DE4">
      <w:pPr>
        <w:numPr>
          <w:ilvl w:val="0"/>
          <w:numId w:val="5"/>
        </w:numPr>
        <w:spacing w:after="120" w:line="240" w:lineRule="auto"/>
        <w:ind w:left="714" w:hanging="357"/>
        <w:jc w:val="both"/>
        <w:rPr>
          <w:rFonts w:cs="Calibri"/>
          <w:b/>
          <w:color w:val="000000"/>
          <w:sz w:val="23"/>
          <w:szCs w:val="23"/>
        </w:rPr>
      </w:pPr>
      <w:r w:rsidRPr="00446153">
        <w:rPr>
          <w:rFonts w:cs="Calibri"/>
          <w:b/>
          <w:color w:val="000000"/>
          <w:sz w:val="23"/>
          <w:szCs w:val="23"/>
        </w:rPr>
        <w:t>Incorporar un enfoque de género y de derechos humanos en la respuesta político-criminal al tráfico de drogas, y promover el establecimiento de medidas alternativas a la privación de libertad para mujeres involucradas en este tipo de ilícitos</w:t>
      </w:r>
      <w:r w:rsidR="00AB13AB" w:rsidRPr="00446153">
        <w:rPr>
          <w:rFonts w:cs="Calibri"/>
          <w:b/>
          <w:color w:val="000000"/>
          <w:sz w:val="23"/>
          <w:szCs w:val="23"/>
        </w:rPr>
        <w:t>, especialmente en aquellas con responsabilidades familiares</w:t>
      </w:r>
      <w:r w:rsidRPr="00446153">
        <w:rPr>
          <w:rFonts w:cs="Calibri"/>
          <w:b/>
          <w:color w:val="000000"/>
          <w:sz w:val="23"/>
          <w:szCs w:val="23"/>
        </w:rPr>
        <w:t>.</w:t>
      </w:r>
    </w:p>
    <w:p w14:paraId="4472EC35" w14:textId="77777777" w:rsidR="002A2168" w:rsidRPr="00446153" w:rsidRDefault="002A2168" w:rsidP="00241DE4">
      <w:pPr>
        <w:numPr>
          <w:ilvl w:val="0"/>
          <w:numId w:val="5"/>
        </w:numPr>
        <w:spacing w:after="120" w:line="240" w:lineRule="auto"/>
        <w:ind w:left="714" w:hanging="357"/>
        <w:jc w:val="both"/>
        <w:rPr>
          <w:rFonts w:cs="Calibri"/>
          <w:b/>
          <w:color w:val="000000"/>
          <w:sz w:val="23"/>
          <w:szCs w:val="23"/>
        </w:rPr>
      </w:pPr>
      <w:r w:rsidRPr="00446153">
        <w:rPr>
          <w:rFonts w:cs="Calibri"/>
          <w:b/>
          <w:color w:val="000000"/>
          <w:sz w:val="23"/>
          <w:szCs w:val="23"/>
        </w:rPr>
        <w:t>Mejorar las condiciones de habitabilidad del Centro Peni</w:t>
      </w:r>
      <w:r w:rsidR="00AB13AB" w:rsidRPr="00446153">
        <w:rPr>
          <w:rFonts w:cs="Calibri"/>
          <w:b/>
          <w:color w:val="000000"/>
          <w:sz w:val="23"/>
          <w:szCs w:val="23"/>
        </w:rPr>
        <w:t xml:space="preserve">tenciario Femenino de Santiago, y de todos los centrospenitenciarios femeninos del país, </w:t>
      </w:r>
      <w:r w:rsidRPr="00446153">
        <w:rPr>
          <w:rFonts w:cs="Calibri"/>
          <w:b/>
          <w:color w:val="000000"/>
          <w:sz w:val="23"/>
          <w:szCs w:val="23"/>
        </w:rPr>
        <w:t>asegurando el acceso al agua potable y luz las 24 horas del día, calefacción y saneamiento adecuado.</w:t>
      </w:r>
    </w:p>
    <w:p w14:paraId="07DC8A52" w14:textId="77777777" w:rsidR="002A2168" w:rsidRPr="00446153" w:rsidRDefault="002A2168" w:rsidP="00241DE4">
      <w:pPr>
        <w:numPr>
          <w:ilvl w:val="0"/>
          <w:numId w:val="5"/>
        </w:numPr>
        <w:spacing w:after="120" w:line="240" w:lineRule="auto"/>
        <w:ind w:left="714" w:hanging="357"/>
        <w:jc w:val="both"/>
        <w:rPr>
          <w:rFonts w:cs="Calibri"/>
          <w:b/>
          <w:color w:val="000000"/>
          <w:sz w:val="23"/>
          <w:szCs w:val="23"/>
        </w:rPr>
      </w:pPr>
      <w:r w:rsidRPr="00446153">
        <w:rPr>
          <w:rFonts w:cs="Calibri"/>
          <w:b/>
          <w:color w:val="000000"/>
          <w:sz w:val="23"/>
          <w:szCs w:val="23"/>
        </w:rPr>
        <w:t>Garantizar el derecho a la salud en iguales condiciones que a las mujeres no privadas de libertad.</w:t>
      </w:r>
    </w:p>
    <w:p w14:paraId="4DA017CA" w14:textId="28B3EF13" w:rsidR="003C016C" w:rsidRPr="00446153" w:rsidRDefault="002A2168" w:rsidP="00241DE4">
      <w:pPr>
        <w:numPr>
          <w:ilvl w:val="0"/>
          <w:numId w:val="5"/>
        </w:numPr>
        <w:spacing w:after="120" w:line="240" w:lineRule="auto"/>
        <w:ind w:left="714" w:hanging="357"/>
        <w:jc w:val="both"/>
        <w:rPr>
          <w:rFonts w:cs="Calibri"/>
          <w:b/>
          <w:color w:val="000000"/>
          <w:sz w:val="23"/>
          <w:szCs w:val="23"/>
        </w:rPr>
      </w:pPr>
      <w:r w:rsidRPr="00446153">
        <w:rPr>
          <w:rFonts w:cs="Calibri"/>
          <w:b/>
          <w:color w:val="000000"/>
          <w:sz w:val="23"/>
          <w:szCs w:val="23"/>
        </w:rPr>
        <w:t>Prohibir expresamente y perseguir las prácticas ilegales de sanciones extra reglamentarias</w:t>
      </w:r>
      <w:r w:rsidR="0043523D" w:rsidRPr="00446153">
        <w:rPr>
          <w:rFonts w:cs="Calibri"/>
          <w:b/>
          <w:color w:val="000000"/>
          <w:sz w:val="23"/>
          <w:szCs w:val="23"/>
        </w:rPr>
        <w:t>.</w:t>
      </w:r>
    </w:p>
    <w:p w14:paraId="070011B5" w14:textId="7D208058" w:rsidR="0043523D" w:rsidRPr="00446153" w:rsidRDefault="00653958" w:rsidP="00241DE4">
      <w:pPr>
        <w:numPr>
          <w:ilvl w:val="0"/>
          <w:numId w:val="5"/>
        </w:numPr>
        <w:spacing w:after="120" w:line="240" w:lineRule="auto"/>
        <w:ind w:left="714" w:hanging="357"/>
        <w:jc w:val="both"/>
        <w:rPr>
          <w:rFonts w:cs="Calibri"/>
          <w:b/>
          <w:color w:val="000000"/>
          <w:sz w:val="23"/>
          <w:szCs w:val="23"/>
        </w:rPr>
      </w:pPr>
      <w:r w:rsidRPr="00446153">
        <w:rPr>
          <w:rFonts w:cs="Calibri"/>
          <w:b/>
          <w:color w:val="000000"/>
          <w:sz w:val="23"/>
          <w:szCs w:val="23"/>
        </w:rPr>
        <w:t xml:space="preserve">Garantizar </w:t>
      </w:r>
      <w:r w:rsidR="00BD05C4" w:rsidRPr="00446153">
        <w:rPr>
          <w:rFonts w:cs="Calibri"/>
          <w:b/>
          <w:color w:val="000000"/>
          <w:sz w:val="23"/>
          <w:szCs w:val="23"/>
        </w:rPr>
        <w:t xml:space="preserve">la vigencia y respeto a los derechos sexuales y reproductivos de las mujeres privadas de libertad, particularmente aquellas que tendrán que parir dentro del recinto penitenciario, otorgando las condiciones necesarias para que no se vulneren sus derechos humanos, no se produzcan actos constitutivos de tortura, ni los de su hijo o hija por nacer. </w:t>
      </w:r>
    </w:p>
    <w:p w14:paraId="7ACA542E" w14:textId="77777777" w:rsidR="00BD05C4" w:rsidRPr="00446153" w:rsidRDefault="00BD05C4" w:rsidP="00241DE4">
      <w:pPr>
        <w:spacing w:after="120" w:line="240" w:lineRule="auto"/>
        <w:jc w:val="both"/>
        <w:rPr>
          <w:rFonts w:cs="Calibri"/>
          <w:b/>
          <w:color w:val="000000"/>
          <w:sz w:val="23"/>
          <w:szCs w:val="23"/>
        </w:rPr>
      </w:pPr>
    </w:p>
    <w:p w14:paraId="55C5AE11" w14:textId="77777777" w:rsidR="00F01E94" w:rsidRPr="00446153" w:rsidRDefault="00F01E94" w:rsidP="00241DE4">
      <w:pPr>
        <w:spacing w:after="120" w:line="240" w:lineRule="auto"/>
        <w:jc w:val="both"/>
        <w:rPr>
          <w:rFonts w:cs="Calibri"/>
          <w:b/>
          <w:color w:val="000000"/>
          <w:sz w:val="23"/>
          <w:szCs w:val="23"/>
        </w:rPr>
      </w:pPr>
    </w:p>
    <w:p w14:paraId="11BD6E29" w14:textId="6B46D3A2" w:rsidR="002A2168" w:rsidRPr="00446153" w:rsidRDefault="00241DE4" w:rsidP="00241DE4">
      <w:pPr>
        <w:spacing w:after="120" w:line="240" w:lineRule="auto"/>
        <w:jc w:val="both"/>
        <w:rPr>
          <w:rFonts w:cs="Calibri"/>
          <w:b/>
          <w:color w:val="000000"/>
          <w:sz w:val="23"/>
          <w:szCs w:val="23"/>
        </w:rPr>
      </w:pPr>
      <w:r w:rsidRPr="00446153">
        <w:rPr>
          <w:rFonts w:cs="Calibri"/>
          <w:b/>
          <w:color w:val="000000"/>
          <w:sz w:val="23"/>
          <w:szCs w:val="23"/>
        </w:rPr>
        <w:t>P</w:t>
      </w:r>
      <w:r w:rsidR="00643FD4" w:rsidRPr="00446153">
        <w:rPr>
          <w:rFonts w:cs="Calibri"/>
          <w:b/>
          <w:color w:val="000000"/>
          <w:sz w:val="23"/>
          <w:szCs w:val="23"/>
        </w:rPr>
        <w:t>ersonas</w:t>
      </w:r>
      <w:r w:rsidR="002A2168" w:rsidRPr="00446153">
        <w:rPr>
          <w:rFonts w:cs="Calibri"/>
          <w:b/>
          <w:color w:val="000000"/>
          <w:sz w:val="23"/>
          <w:szCs w:val="23"/>
        </w:rPr>
        <w:t xml:space="preserve"> con discapacidad psicosocial e intelectual</w:t>
      </w:r>
    </w:p>
    <w:p w14:paraId="1731E1C5" w14:textId="77777777" w:rsidR="00241DE4" w:rsidRPr="00446153" w:rsidRDefault="00241DE4" w:rsidP="00241DE4">
      <w:pPr>
        <w:spacing w:after="120" w:line="240" w:lineRule="auto"/>
        <w:jc w:val="both"/>
        <w:rPr>
          <w:rFonts w:cs="Calibri"/>
          <w:color w:val="000000"/>
          <w:sz w:val="23"/>
          <w:szCs w:val="23"/>
        </w:rPr>
      </w:pPr>
    </w:p>
    <w:p w14:paraId="2B37E334" w14:textId="7F3DF43D"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105.</w:t>
      </w:r>
      <w:r w:rsidR="002A2168" w:rsidRPr="00446153">
        <w:rPr>
          <w:rFonts w:cs="Calibri"/>
          <w:color w:val="000000"/>
          <w:sz w:val="23"/>
          <w:szCs w:val="23"/>
        </w:rPr>
        <w:t xml:space="preserve"> Actualmente, se encuentra en discusión el Proyecto de ley Boletín 10563-11/10755-11, sobre el </w:t>
      </w:r>
      <w:r w:rsidR="002A2168" w:rsidRPr="00446153">
        <w:rPr>
          <w:rFonts w:cs="Calibri"/>
          <w:i/>
          <w:color w:val="000000"/>
          <w:sz w:val="23"/>
          <w:szCs w:val="23"/>
        </w:rPr>
        <w:t>“Reconocimiento y protección de los derechos fundamentales de las personas con enfermedad mental, con discapacidad intelectual y con discapacidad psíquica”,</w:t>
      </w:r>
      <w:r w:rsidR="002A2168" w:rsidRPr="00446153">
        <w:rPr>
          <w:rFonts w:cs="Calibri"/>
          <w:color w:val="000000"/>
          <w:sz w:val="23"/>
          <w:szCs w:val="23"/>
        </w:rPr>
        <w:t xml:space="preserve"> el cual si bien amplía el reconocimiento de derechos en el ámbito de la atención en salud mental, mantiene vigente el modelo biomédico de intervención, la posibilidad de sustituir la voluntad de las personas con discapacidad y personas usuarias de los servicios, y no traza un horizonte hacia la abolición del uso de la coerción y las prácticas involuntarias, </w:t>
      </w:r>
      <w:r w:rsidR="002A2168" w:rsidRPr="00241DE4">
        <w:rPr>
          <w:rFonts w:cs="Calibri"/>
          <w:sz w:val="23"/>
          <w:szCs w:val="23"/>
        </w:rPr>
        <w:t xml:space="preserve">pese a las recomendaciones explícitas en sentido contrario que se han hecho recientemente al Estado por el Comité </w:t>
      </w:r>
      <w:r w:rsidR="009C1C23" w:rsidRPr="00241DE4">
        <w:rPr>
          <w:rFonts w:cs="Calibri"/>
          <w:sz w:val="23"/>
          <w:szCs w:val="23"/>
        </w:rPr>
        <w:t>de los Derechos de las Personas con Discapacidad</w:t>
      </w:r>
      <w:r w:rsidR="009C1C23" w:rsidRPr="00446153">
        <w:rPr>
          <w:rFonts w:cs="Calibri"/>
          <w:color w:val="000000"/>
          <w:sz w:val="23"/>
          <w:szCs w:val="23"/>
        </w:rPr>
        <w:t xml:space="preserve">. </w:t>
      </w:r>
    </w:p>
    <w:p w14:paraId="1A14003C" w14:textId="69668AA3"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106</w:t>
      </w:r>
      <w:r w:rsidR="002A2168" w:rsidRPr="00446153">
        <w:rPr>
          <w:rFonts w:cs="Calibri"/>
          <w:b/>
          <w:color w:val="000000"/>
          <w:sz w:val="23"/>
          <w:szCs w:val="23"/>
        </w:rPr>
        <w:t>.</w:t>
      </w:r>
      <w:r w:rsidR="002A2168" w:rsidRPr="00446153">
        <w:rPr>
          <w:rFonts w:cs="Calibri"/>
          <w:color w:val="000000"/>
          <w:sz w:val="23"/>
          <w:szCs w:val="23"/>
        </w:rPr>
        <w:t xml:space="preserve"> Concretamente, a la luz del art. 15 de la C</w:t>
      </w:r>
      <w:r w:rsidR="009C1C23" w:rsidRPr="00446153">
        <w:rPr>
          <w:rFonts w:cs="Calibri"/>
          <w:color w:val="000000"/>
          <w:sz w:val="23"/>
          <w:szCs w:val="23"/>
        </w:rPr>
        <w:t xml:space="preserve">onvención sobre los Derechos de las </w:t>
      </w:r>
      <w:r w:rsidR="002A2168" w:rsidRPr="00446153">
        <w:rPr>
          <w:rFonts w:cs="Calibri"/>
          <w:color w:val="000000"/>
          <w:sz w:val="23"/>
          <w:szCs w:val="23"/>
        </w:rPr>
        <w:t>P</w:t>
      </w:r>
      <w:r w:rsidR="009C1C23" w:rsidRPr="00446153">
        <w:rPr>
          <w:rFonts w:cs="Calibri"/>
          <w:color w:val="000000"/>
          <w:sz w:val="23"/>
          <w:szCs w:val="23"/>
        </w:rPr>
        <w:t xml:space="preserve">ersonas con </w:t>
      </w:r>
      <w:r w:rsidR="002A2168" w:rsidRPr="00446153">
        <w:rPr>
          <w:rFonts w:cs="Calibri"/>
          <w:color w:val="000000"/>
          <w:sz w:val="23"/>
          <w:szCs w:val="23"/>
        </w:rPr>
        <w:t>D</w:t>
      </w:r>
      <w:r w:rsidR="009C1C23" w:rsidRPr="00446153">
        <w:rPr>
          <w:rFonts w:cs="Calibri"/>
          <w:color w:val="000000"/>
          <w:sz w:val="23"/>
          <w:szCs w:val="23"/>
        </w:rPr>
        <w:t xml:space="preserve">iscapacidad, </w:t>
      </w:r>
      <w:r w:rsidR="003C016C" w:rsidRPr="00446153">
        <w:rPr>
          <w:rFonts w:cs="Calibri"/>
          <w:color w:val="000000"/>
          <w:sz w:val="23"/>
          <w:szCs w:val="23"/>
        </w:rPr>
        <w:t>referido a</w:t>
      </w:r>
      <w:r w:rsidR="002A2168" w:rsidRPr="00446153">
        <w:rPr>
          <w:rFonts w:cs="Calibri"/>
          <w:color w:val="000000"/>
          <w:sz w:val="23"/>
          <w:szCs w:val="23"/>
        </w:rPr>
        <w:t xml:space="preserve"> la protección contra la tortura, se observó al Estado de Chile la preocupación sobre las condiciones de habitabilidad en las instituciones psiquiátricas, la vigencia </w:t>
      </w:r>
      <w:r w:rsidR="003C016C" w:rsidRPr="00446153">
        <w:rPr>
          <w:rFonts w:cs="Calibri"/>
          <w:color w:val="000000"/>
          <w:sz w:val="23"/>
          <w:szCs w:val="23"/>
        </w:rPr>
        <w:t>de</w:t>
      </w:r>
      <w:r w:rsidR="002A2168" w:rsidRPr="00446153">
        <w:rPr>
          <w:rFonts w:cs="Calibri"/>
          <w:color w:val="000000"/>
          <w:sz w:val="23"/>
          <w:szCs w:val="23"/>
        </w:rPr>
        <w:t xml:space="preserve"> practicas como la psicocirugía y la terapia electroconvulsiva sin consentimiento, la utilización de la contención y otros tratos crueles, inhumanos o degradantes, con objetivos de disciplinamiento y control conductual en personas con discapacidad psicosocial e intelectual.</w:t>
      </w:r>
    </w:p>
    <w:p w14:paraId="0C59B612" w14:textId="6F620365" w:rsidR="002A2168" w:rsidRPr="00241DE4" w:rsidRDefault="00CF0E96" w:rsidP="00241DE4">
      <w:pPr>
        <w:spacing w:after="120" w:line="240" w:lineRule="auto"/>
        <w:jc w:val="both"/>
        <w:rPr>
          <w:rFonts w:cs="Calibri"/>
          <w:sz w:val="23"/>
          <w:szCs w:val="23"/>
        </w:rPr>
      </w:pPr>
      <w:r w:rsidRPr="00446153">
        <w:rPr>
          <w:rFonts w:cs="Calibri"/>
          <w:b/>
          <w:color w:val="000000"/>
          <w:sz w:val="23"/>
          <w:szCs w:val="23"/>
        </w:rPr>
        <w:t>107</w:t>
      </w:r>
      <w:r w:rsidR="009C1C23" w:rsidRPr="00446153">
        <w:rPr>
          <w:rFonts w:cs="Calibri"/>
          <w:b/>
          <w:color w:val="000000"/>
          <w:sz w:val="23"/>
          <w:szCs w:val="23"/>
        </w:rPr>
        <w:t>.</w:t>
      </w:r>
      <w:r w:rsidR="009C1C23" w:rsidRPr="00446153">
        <w:rPr>
          <w:rFonts w:cs="Calibri"/>
          <w:color w:val="000000"/>
          <w:sz w:val="23"/>
          <w:szCs w:val="23"/>
        </w:rPr>
        <w:t xml:space="preserve"> </w:t>
      </w:r>
      <w:r w:rsidR="002A2168" w:rsidRPr="00446153">
        <w:rPr>
          <w:rFonts w:cs="Calibri"/>
          <w:color w:val="000000"/>
          <w:sz w:val="23"/>
          <w:szCs w:val="23"/>
        </w:rPr>
        <w:t>A modo de ejemplo, en el caso de la terapia electroconvulsiva, de acuerdo a los datos oficiales recogidos por el Ministerio de Salud</w:t>
      </w:r>
      <w:r w:rsidR="00BD05C4" w:rsidRPr="00446153">
        <w:rPr>
          <w:rStyle w:val="FootnoteReference"/>
          <w:rFonts w:cs="Calibri"/>
          <w:color w:val="000000"/>
          <w:sz w:val="23"/>
          <w:szCs w:val="23"/>
        </w:rPr>
        <w:footnoteReference w:id="71"/>
      </w:r>
      <w:r w:rsidR="002A2168" w:rsidRPr="00446153">
        <w:rPr>
          <w:rFonts w:cs="Calibri"/>
          <w:color w:val="000000"/>
          <w:sz w:val="23"/>
          <w:szCs w:val="23"/>
        </w:rPr>
        <w:t xml:space="preserve">, entre el 2014 y el 2015, en un 85,7% de los casos este procedimiento se aplicó sin contar con el consentimiento libre e informado de la persona afectada, sustituyendo su voluntad a criterio del médico tratante, de familiares y otros representantes. Sobre este punto, </w:t>
      </w:r>
      <w:r w:rsidR="002A2168" w:rsidRPr="00241DE4">
        <w:rPr>
          <w:rFonts w:cs="Calibri"/>
          <w:sz w:val="23"/>
          <w:szCs w:val="23"/>
        </w:rPr>
        <w:t xml:space="preserve">resulta preocupante la ausencia de datos desagregados por sexo, circunstancia que invisibiliza al universo de mujeres y niñas con problemas de salud mental o discapacidad psicosocial </w:t>
      </w:r>
      <w:r w:rsidR="003C016C" w:rsidRPr="00241DE4">
        <w:rPr>
          <w:rFonts w:cs="Calibri"/>
          <w:sz w:val="23"/>
          <w:szCs w:val="23"/>
        </w:rPr>
        <w:t>afectadas por</w:t>
      </w:r>
      <w:r w:rsidR="002A2168" w:rsidRPr="00241DE4">
        <w:rPr>
          <w:rFonts w:cs="Calibri"/>
          <w:sz w:val="23"/>
          <w:szCs w:val="23"/>
        </w:rPr>
        <w:t xml:space="preserve"> este procedimiento de forma involuntaria, </w:t>
      </w:r>
      <w:r w:rsidR="003C016C" w:rsidRPr="00241DE4">
        <w:rPr>
          <w:rFonts w:cs="Calibri"/>
          <w:sz w:val="23"/>
          <w:szCs w:val="23"/>
        </w:rPr>
        <w:t>y</w:t>
      </w:r>
      <w:r w:rsidR="002A2168" w:rsidRPr="00241DE4">
        <w:rPr>
          <w:rFonts w:cs="Calibri"/>
          <w:sz w:val="23"/>
          <w:szCs w:val="23"/>
        </w:rPr>
        <w:t xml:space="preserve"> la constatación de la vigencia </w:t>
      </w:r>
      <w:r w:rsidR="003C016C" w:rsidRPr="00241DE4">
        <w:rPr>
          <w:rFonts w:cs="Calibri"/>
          <w:sz w:val="23"/>
          <w:szCs w:val="23"/>
        </w:rPr>
        <w:t>de</w:t>
      </w:r>
      <w:r w:rsidR="002A2168" w:rsidRPr="00241DE4">
        <w:rPr>
          <w:rFonts w:cs="Calibri"/>
          <w:sz w:val="23"/>
          <w:szCs w:val="23"/>
        </w:rPr>
        <w:t xml:space="preserve"> la utilización en mujeres embarazadas, pes</w:t>
      </w:r>
      <w:r w:rsidR="003C016C" w:rsidRPr="00241DE4">
        <w:rPr>
          <w:rFonts w:cs="Calibri"/>
          <w:sz w:val="23"/>
          <w:szCs w:val="23"/>
        </w:rPr>
        <w:t>e</w:t>
      </w:r>
      <w:r w:rsidR="002A2168" w:rsidRPr="00241DE4">
        <w:rPr>
          <w:rFonts w:cs="Calibri"/>
          <w:sz w:val="23"/>
          <w:szCs w:val="23"/>
        </w:rPr>
        <w:t xml:space="preserve"> a la evidencia científica recogida por el propio Ministerio de Salud, que advierte efectos adversos en estos casos. </w:t>
      </w:r>
    </w:p>
    <w:p w14:paraId="68AA93D3" w14:textId="2F70AE6C" w:rsidR="002A2168" w:rsidRPr="00446153" w:rsidRDefault="00CF0E96" w:rsidP="00241DE4">
      <w:pPr>
        <w:spacing w:after="120" w:line="240" w:lineRule="auto"/>
        <w:jc w:val="both"/>
        <w:rPr>
          <w:rFonts w:cs="Calibri"/>
          <w:color w:val="000000"/>
          <w:sz w:val="23"/>
          <w:szCs w:val="23"/>
        </w:rPr>
      </w:pPr>
      <w:r>
        <w:rPr>
          <w:rFonts w:cs="Calibri"/>
          <w:b/>
          <w:sz w:val="23"/>
          <w:szCs w:val="23"/>
        </w:rPr>
        <w:t>108</w:t>
      </w:r>
      <w:r w:rsidR="002A2168" w:rsidRPr="00241DE4">
        <w:rPr>
          <w:rFonts w:cs="Calibri"/>
          <w:b/>
          <w:sz w:val="23"/>
          <w:szCs w:val="23"/>
        </w:rPr>
        <w:t>.</w:t>
      </w:r>
      <w:r w:rsidR="002A2168" w:rsidRPr="00241DE4">
        <w:rPr>
          <w:rFonts w:cs="Calibri"/>
          <w:sz w:val="23"/>
          <w:szCs w:val="23"/>
        </w:rPr>
        <w:t xml:space="preserve"> </w:t>
      </w:r>
      <w:r w:rsidR="002A2168" w:rsidRPr="00446153">
        <w:rPr>
          <w:rFonts w:cs="Calibri"/>
          <w:color w:val="000000"/>
          <w:sz w:val="23"/>
          <w:szCs w:val="23"/>
        </w:rPr>
        <w:t xml:space="preserve">La legislación vigente en Chile permite la aplicación involuntaria de prácticas altamente gravosas para la dignidad e integridad física y psíquica de las personas, y que se encuentran dentro </w:t>
      </w:r>
      <w:r w:rsidR="003C016C" w:rsidRPr="00446153">
        <w:rPr>
          <w:rFonts w:cs="Calibri"/>
          <w:color w:val="000000"/>
          <w:sz w:val="23"/>
          <w:szCs w:val="23"/>
        </w:rPr>
        <w:t>d</w:t>
      </w:r>
      <w:r w:rsidR="002A2168" w:rsidRPr="00446153">
        <w:rPr>
          <w:rFonts w:cs="Calibri"/>
          <w:color w:val="000000"/>
          <w:sz w:val="23"/>
          <w:szCs w:val="23"/>
        </w:rPr>
        <w:t xml:space="preserve">el marco de la prohibición absoluta de la tortura y los tratos crueles, inhumanos y degradantes, estas son, las intervenciones invasivas e irreversibles, como la psicocirugía y la esterilización involuntaria, la terapia electroconvulsiva y el uso de medidas de aislamiento y contención mecánica y química. </w:t>
      </w:r>
    </w:p>
    <w:p w14:paraId="5D6B3176" w14:textId="06B823E1" w:rsidR="00FA4E0A" w:rsidRPr="00446153" w:rsidRDefault="001D7D7F" w:rsidP="00241DE4">
      <w:pPr>
        <w:spacing w:after="120" w:line="240" w:lineRule="auto"/>
        <w:jc w:val="both"/>
        <w:rPr>
          <w:rFonts w:cs="Calibri"/>
          <w:color w:val="000000"/>
          <w:sz w:val="23"/>
          <w:szCs w:val="23"/>
        </w:rPr>
      </w:pPr>
      <w:r w:rsidRPr="00446153">
        <w:rPr>
          <w:rFonts w:cs="Calibri"/>
          <w:b/>
          <w:color w:val="000000"/>
          <w:sz w:val="23"/>
          <w:szCs w:val="23"/>
        </w:rPr>
        <w:t>1</w:t>
      </w:r>
      <w:r w:rsidR="00CF0E96" w:rsidRPr="00446153">
        <w:rPr>
          <w:rFonts w:cs="Calibri"/>
          <w:b/>
          <w:color w:val="000000"/>
          <w:sz w:val="23"/>
          <w:szCs w:val="23"/>
        </w:rPr>
        <w:t>09</w:t>
      </w:r>
      <w:r w:rsidR="00643FD4" w:rsidRPr="00446153">
        <w:rPr>
          <w:rFonts w:cs="Calibri"/>
          <w:b/>
          <w:color w:val="000000"/>
          <w:sz w:val="23"/>
          <w:szCs w:val="23"/>
        </w:rPr>
        <w:t>.</w:t>
      </w:r>
      <w:r w:rsidR="00643FD4" w:rsidRPr="00446153">
        <w:rPr>
          <w:rFonts w:cs="Calibri"/>
          <w:color w:val="000000"/>
          <w:sz w:val="23"/>
          <w:szCs w:val="23"/>
        </w:rPr>
        <w:t xml:space="preserve"> </w:t>
      </w:r>
      <w:r w:rsidR="002A2168" w:rsidRPr="00446153">
        <w:rPr>
          <w:rFonts w:cs="Calibri"/>
          <w:color w:val="000000"/>
          <w:sz w:val="23"/>
          <w:szCs w:val="23"/>
        </w:rPr>
        <w:t>Tales normas que permiten exceptuar el ejercicio del consentimiento libre e informado en personas con discapacidad psicosocial e intelectual, aún tratándose de prácticas que se encuentran dentro del marco de protección contr</w:t>
      </w:r>
      <w:r w:rsidR="00FA4E0A" w:rsidRPr="00446153">
        <w:rPr>
          <w:rFonts w:cs="Calibri"/>
          <w:color w:val="000000"/>
          <w:sz w:val="23"/>
          <w:szCs w:val="23"/>
        </w:rPr>
        <w:t xml:space="preserve">a la tortura y tratos crueles, </w:t>
      </w:r>
      <w:r w:rsidR="002A2168" w:rsidRPr="00446153">
        <w:rPr>
          <w:rFonts w:cs="Calibri"/>
          <w:color w:val="000000"/>
          <w:sz w:val="23"/>
          <w:szCs w:val="23"/>
        </w:rPr>
        <w:t>inhumanos o degradantes, son:</w:t>
      </w:r>
      <w:r w:rsidR="002A2168" w:rsidRPr="00241DE4">
        <w:rPr>
          <w:rFonts w:cs="Calibri"/>
          <w:sz w:val="23"/>
          <w:szCs w:val="23"/>
        </w:rPr>
        <w:t xml:space="preserve"> el Párrafo 8 de la Ley 20.584, sobre Derechos y Deberes que tienen las Personas en relación con Acciones vinculadas a su Atención en Salud (2012); el Decreto 570 del Ministerio de Salud sobre Internación de las Personas con Enfermedades Mentales y los Establecimientos que la proporcionan (2000); la Resolución Exenta 656 sobre Psicocirugía o Cirugía aplicada al Tejido Cerebral (2002); la Norma Técnica sobre Contención en Psiquiatría (2003); la Norma Técnica sobre Terapia Electroconsulsivante (2000).</w:t>
      </w:r>
    </w:p>
    <w:p w14:paraId="5E326EF1" w14:textId="45C78AE2" w:rsidR="002A2168" w:rsidRPr="00241DE4" w:rsidRDefault="00CF0E96" w:rsidP="00241DE4">
      <w:pPr>
        <w:spacing w:after="120" w:line="240" w:lineRule="auto"/>
        <w:jc w:val="both"/>
        <w:rPr>
          <w:rFonts w:cs="Calibri"/>
          <w:sz w:val="23"/>
          <w:szCs w:val="23"/>
        </w:rPr>
      </w:pPr>
      <w:r>
        <w:rPr>
          <w:rFonts w:cs="Calibri"/>
          <w:b/>
          <w:sz w:val="23"/>
          <w:szCs w:val="23"/>
        </w:rPr>
        <w:t>110</w:t>
      </w:r>
      <w:r w:rsidR="00643FD4" w:rsidRPr="00241DE4">
        <w:rPr>
          <w:rFonts w:cs="Calibri"/>
          <w:b/>
          <w:sz w:val="23"/>
          <w:szCs w:val="23"/>
        </w:rPr>
        <w:t>.</w:t>
      </w:r>
      <w:r w:rsidR="00643FD4" w:rsidRPr="00241DE4">
        <w:rPr>
          <w:rFonts w:cs="Calibri"/>
          <w:sz w:val="23"/>
          <w:szCs w:val="23"/>
        </w:rPr>
        <w:t xml:space="preserve"> </w:t>
      </w:r>
      <w:r w:rsidR="003C016C" w:rsidRPr="00241DE4">
        <w:rPr>
          <w:rFonts w:cs="Calibri"/>
          <w:sz w:val="23"/>
          <w:szCs w:val="23"/>
        </w:rPr>
        <w:t>R</w:t>
      </w:r>
      <w:r w:rsidR="002A2168" w:rsidRPr="00241DE4">
        <w:rPr>
          <w:rFonts w:cs="Calibri"/>
          <w:sz w:val="23"/>
          <w:szCs w:val="23"/>
        </w:rPr>
        <w:t>esulta preocupante además, que estas prácticas altamente invasivas para</w:t>
      </w:r>
      <w:r w:rsidR="003C016C" w:rsidRPr="00241DE4">
        <w:rPr>
          <w:rFonts w:cs="Calibri"/>
          <w:sz w:val="23"/>
          <w:szCs w:val="23"/>
        </w:rPr>
        <w:t xml:space="preserve"> la</w:t>
      </w:r>
      <w:r w:rsidR="002A2168" w:rsidRPr="00241DE4">
        <w:rPr>
          <w:rFonts w:cs="Calibri"/>
          <w:sz w:val="23"/>
          <w:szCs w:val="23"/>
        </w:rPr>
        <w:t xml:space="preserve"> integridad física y psíquica </w:t>
      </w:r>
      <w:r w:rsidR="003C016C" w:rsidRPr="00241DE4">
        <w:rPr>
          <w:rFonts w:cs="Calibri"/>
          <w:sz w:val="23"/>
          <w:szCs w:val="23"/>
        </w:rPr>
        <w:t>de</w:t>
      </w:r>
      <w:r w:rsidR="002A2168" w:rsidRPr="00241DE4">
        <w:rPr>
          <w:rFonts w:cs="Calibri"/>
          <w:sz w:val="23"/>
          <w:szCs w:val="23"/>
        </w:rPr>
        <w:t xml:space="preserve"> la persona, se encuentren sujetas a instancias y controles administrativos que dependen de la autoridad sanitaria, operan en f</w:t>
      </w:r>
      <w:r w:rsidR="00BD7F7B" w:rsidRPr="00241DE4">
        <w:rPr>
          <w:rFonts w:cs="Calibri"/>
          <w:sz w:val="23"/>
          <w:szCs w:val="23"/>
        </w:rPr>
        <w:t>unción del</w:t>
      </w:r>
      <w:r w:rsidR="002A2168" w:rsidRPr="00241DE4">
        <w:rPr>
          <w:rFonts w:cs="Calibri"/>
          <w:sz w:val="23"/>
          <w:szCs w:val="23"/>
        </w:rPr>
        <w:t xml:space="preserve"> paradigma biomédico de atención en salud mental y carecen de la autonomía e imparcialidad para el resguardo de derecho</w:t>
      </w:r>
      <w:r w:rsidR="003C016C" w:rsidRPr="00241DE4">
        <w:rPr>
          <w:rFonts w:cs="Calibri"/>
          <w:sz w:val="23"/>
          <w:szCs w:val="23"/>
        </w:rPr>
        <w:t>s</w:t>
      </w:r>
      <w:r w:rsidR="002A2168" w:rsidRPr="00241DE4">
        <w:rPr>
          <w:rFonts w:cs="Calibri"/>
          <w:sz w:val="23"/>
          <w:szCs w:val="23"/>
        </w:rPr>
        <w:t xml:space="preserve"> de las personas con discapacidad psicosocial y personas usuarias de los servicios de salud mental.</w:t>
      </w:r>
    </w:p>
    <w:p w14:paraId="4FD70A76" w14:textId="7CEBECAF" w:rsidR="00BD7F7B" w:rsidRPr="00241DE4" w:rsidRDefault="00CF0E96" w:rsidP="00241DE4">
      <w:pPr>
        <w:spacing w:after="120" w:line="240" w:lineRule="auto"/>
        <w:jc w:val="both"/>
        <w:rPr>
          <w:rFonts w:cs="Calibri"/>
          <w:color w:val="141413"/>
          <w:sz w:val="23"/>
          <w:szCs w:val="23"/>
          <w:lang w:val="es-ES"/>
        </w:rPr>
      </w:pPr>
      <w:r>
        <w:rPr>
          <w:rFonts w:cs="Calibri"/>
          <w:b/>
          <w:sz w:val="23"/>
          <w:szCs w:val="23"/>
          <w:lang w:val="es-ES"/>
        </w:rPr>
        <w:t>111</w:t>
      </w:r>
      <w:r w:rsidR="002A2168" w:rsidRPr="00241DE4">
        <w:rPr>
          <w:rFonts w:cs="Calibri"/>
          <w:b/>
          <w:sz w:val="23"/>
          <w:szCs w:val="23"/>
          <w:lang w:val="es-ES"/>
        </w:rPr>
        <w:t>.</w:t>
      </w:r>
      <w:r w:rsidR="00BD7F7B" w:rsidRPr="00241DE4">
        <w:rPr>
          <w:rFonts w:cs="Calibri"/>
          <w:sz w:val="23"/>
          <w:szCs w:val="23"/>
          <w:lang w:val="es-ES"/>
        </w:rPr>
        <w:t xml:space="preserve"> E</w:t>
      </w:r>
      <w:r w:rsidR="002A2168" w:rsidRPr="00241DE4">
        <w:rPr>
          <w:rFonts w:cs="Calibri"/>
          <w:sz w:val="23"/>
          <w:szCs w:val="23"/>
          <w:lang w:val="es-ES"/>
        </w:rPr>
        <w:t>n relación a los de</w:t>
      </w:r>
      <w:r w:rsidR="00BD7F7B" w:rsidRPr="00241DE4">
        <w:rPr>
          <w:rFonts w:cs="Calibri"/>
          <w:sz w:val="23"/>
          <w:szCs w:val="23"/>
          <w:lang w:val="es-ES"/>
        </w:rPr>
        <w:t xml:space="preserve">rechos sexuales y reproductivos, </w:t>
      </w:r>
      <w:r w:rsidR="002A2168" w:rsidRPr="00241DE4">
        <w:rPr>
          <w:rFonts w:cs="Calibri"/>
          <w:sz w:val="23"/>
          <w:szCs w:val="23"/>
          <w:lang w:val="es-ES"/>
        </w:rPr>
        <w:t>el problema se acentúa considerablemente e intersecta con una discriminación en razón de género. La legislación chil</w:t>
      </w:r>
      <w:r w:rsidR="00BD7F7B" w:rsidRPr="00241DE4">
        <w:rPr>
          <w:rFonts w:cs="Calibri"/>
          <w:sz w:val="23"/>
          <w:szCs w:val="23"/>
          <w:lang w:val="es-ES"/>
        </w:rPr>
        <w:t>ena aún permite la sustitución de</w:t>
      </w:r>
      <w:r w:rsidR="002A2168" w:rsidRPr="00241DE4">
        <w:rPr>
          <w:rFonts w:cs="Calibri"/>
          <w:sz w:val="23"/>
          <w:szCs w:val="23"/>
          <w:lang w:val="es-ES"/>
        </w:rPr>
        <w:t xml:space="preserve"> la voluntad de mujeres con discapacidad psicosocial e intelectual en materia de salud sexual y reproductiva. Se ven afectadas selectivamente </w:t>
      </w:r>
      <w:r w:rsidR="002A2168" w:rsidRPr="00241DE4">
        <w:rPr>
          <w:rFonts w:cs="Calibri"/>
          <w:color w:val="141413"/>
          <w:sz w:val="23"/>
          <w:szCs w:val="23"/>
          <w:lang w:val="es-ES"/>
        </w:rPr>
        <w:t xml:space="preserve">a prácticas como la esterilización forzada o bajo coacción, la anticoncepción forzada y el aborto, lo cual vulnera su derecho al reconocimiento pleno de su capacidad jurídica, su derecho a la integridad física y psíquica, y a ser protegidas contra la tortura y los tratos crueles, inhumanos o degradantes en los dispositivos de salud. </w:t>
      </w:r>
      <w:r w:rsidR="003C016C" w:rsidRPr="00241DE4">
        <w:rPr>
          <w:rFonts w:cs="Calibri"/>
          <w:color w:val="141413"/>
          <w:sz w:val="23"/>
          <w:szCs w:val="23"/>
          <w:lang w:val="es-ES"/>
        </w:rPr>
        <w:t>Esto ocurre porque l</w:t>
      </w:r>
      <w:r w:rsidR="002A2168" w:rsidRPr="00241DE4">
        <w:rPr>
          <w:rFonts w:cs="Calibri"/>
          <w:color w:val="141413"/>
          <w:sz w:val="23"/>
          <w:szCs w:val="23"/>
          <w:lang w:val="es-ES"/>
        </w:rPr>
        <w:t>a ley permite la sustitución de su voluntad en la toma de decisiones por parte de padres, tutores o médicos, en relación con estos procedimientos de salud sexual y reproductiva en mujeres con discapacidad</w:t>
      </w:r>
      <w:r w:rsidR="003C016C" w:rsidRPr="00241DE4">
        <w:rPr>
          <w:rStyle w:val="FootnoteReference"/>
          <w:rFonts w:cs="Calibri"/>
          <w:color w:val="141413"/>
          <w:sz w:val="23"/>
          <w:szCs w:val="23"/>
          <w:lang w:val="es-ES"/>
        </w:rPr>
        <w:footnoteReference w:id="72"/>
      </w:r>
      <w:r w:rsidR="002A2168" w:rsidRPr="00241DE4">
        <w:rPr>
          <w:rFonts w:cs="Calibri"/>
          <w:color w:val="141413"/>
          <w:sz w:val="23"/>
          <w:szCs w:val="23"/>
          <w:lang w:val="es-ES"/>
        </w:rPr>
        <w:t>.</w:t>
      </w:r>
    </w:p>
    <w:p w14:paraId="07B934D3" w14:textId="1E1CCA4A" w:rsidR="002A2168" w:rsidRPr="00241DE4" w:rsidRDefault="00CF0E96" w:rsidP="00241DE4">
      <w:pPr>
        <w:widowControl w:val="0"/>
        <w:autoSpaceDE w:val="0"/>
        <w:autoSpaceDN w:val="0"/>
        <w:adjustRightInd w:val="0"/>
        <w:spacing w:after="120" w:line="240" w:lineRule="auto"/>
        <w:jc w:val="both"/>
        <w:rPr>
          <w:rFonts w:cs="Calibri"/>
          <w:color w:val="141413"/>
          <w:sz w:val="23"/>
          <w:szCs w:val="23"/>
          <w:lang w:val="es-ES"/>
        </w:rPr>
      </w:pPr>
      <w:r>
        <w:rPr>
          <w:rFonts w:cs="Calibri"/>
          <w:b/>
          <w:sz w:val="23"/>
          <w:szCs w:val="23"/>
          <w:lang w:val="es-ES"/>
        </w:rPr>
        <w:t>112</w:t>
      </w:r>
      <w:r w:rsidR="002A2168" w:rsidRPr="00241DE4">
        <w:rPr>
          <w:rFonts w:cs="Calibri"/>
          <w:b/>
          <w:sz w:val="23"/>
          <w:szCs w:val="23"/>
          <w:lang w:val="es-ES"/>
        </w:rPr>
        <w:t>.</w:t>
      </w:r>
      <w:r w:rsidR="002A2168" w:rsidRPr="00241DE4">
        <w:rPr>
          <w:rFonts w:cs="Calibri"/>
          <w:sz w:val="23"/>
          <w:szCs w:val="23"/>
          <w:lang w:val="es-ES"/>
        </w:rPr>
        <w:t xml:space="preserve"> Hay</w:t>
      </w:r>
      <w:r w:rsidR="002A2168" w:rsidRPr="00241DE4">
        <w:rPr>
          <w:rFonts w:cs="Calibri"/>
          <w:color w:val="141413"/>
          <w:sz w:val="23"/>
          <w:szCs w:val="23"/>
          <w:lang w:val="es-ES"/>
        </w:rPr>
        <w:t xml:space="preserve"> prácticas generalizadas de denegación de servicios y de acceso a información de salud sexual y reproductiva para mujeres y niñas con discapacidad. Las niñas y niños con discapacidad suelen ser excluidos de los programas de educación sexual—o se les niega el acceso a ellos—debido a presunciones de que no necesitan dicha información. </w:t>
      </w:r>
      <w:r w:rsidR="002A2168" w:rsidRPr="00241DE4">
        <w:rPr>
          <w:rFonts w:cs="Calibri"/>
          <w:sz w:val="23"/>
          <w:szCs w:val="23"/>
          <w:lang w:val="es-ES"/>
        </w:rPr>
        <w:t xml:space="preserve">Las mujeres y niñas con discapacidad no reciben este tipo de educación, porque las Escuelas Especiales tienen la errónea creencia de que “no la necesitan”. Además, la </w:t>
      </w:r>
      <w:r w:rsidR="002A2168" w:rsidRPr="00241DE4">
        <w:rPr>
          <w:rFonts w:cs="Calibri"/>
          <w:color w:val="141413"/>
          <w:sz w:val="23"/>
          <w:szCs w:val="23"/>
          <w:lang w:val="es-ES"/>
        </w:rPr>
        <w:t xml:space="preserve">información con la que se cuenta en estas materias en las instituciones de salud con frecuencia no se proporciona en formatos accesibles, con lo cual se niega a las mujeres y niñas con discapacidad información esencial para evitar el abuso sexual, embarazos no deseados y enfermedades de transmisión sexual (ETS). Los Servicios de Salud, han llegado incluso a no ofrecer a las mujeres con discapacidad información sobre métodos anticonceptivos y prevención de las ETS (incluyendo el VIH).  </w:t>
      </w:r>
    </w:p>
    <w:p w14:paraId="672C41F7" w14:textId="1715C6FD" w:rsidR="002A2168" w:rsidRPr="00241DE4" w:rsidRDefault="00CF0E96" w:rsidP="00241DE4">
      <w:pPr>
        <w:spacing w:after="120" w:line="240" w:lineRule="auto"/>
        <w:jc w:val="both"/>
        <w:rPr>
          <w:rFonts w:cs="Calibri"/>
          <w:color w:val="141413"/>
          <w:sz w:val="23"/>
          <w:szCs w:val="23"/>
          <w:lang w:val="es-ES"/>
        </w:rPr>
      </w:pPr>
      <w:r>
        <w:rPr>
          <w:rFonts w:cs="Calibri"/>
          <w:b/>
          <w:sz w:val="23"/>
          <w:szCs w:val="23"/>
          <w:lang w:val="es-ES"/>
        </w:rPr>
        <w:t>113</w:t>
      </w:r>
      <w:r w:rsidR="002A2168" w:rsidRPr="00241DE4">
        <w:rPr>
          <w:rFonts w:cs="Calibri"/>
          <w:b/>
          <w:sz w:val="23"/>
          <w:szCs w:val="23"/>
          <w:lang w:val="es-ES"/>
        </w:rPr>
        <w:t>.</w:t>
      </w:r>
      <w:r w:rsidR="002A2168" w:rsidRPr="00241DE4">
        <w:rPr>
          <w:rFonts w:cs="Calibri"/>
          <w:sz w:val="23"/>
          <w:szCs w:val="23"/>
          <w:lang w:val="es-ES"/>
        </w:rPr>
        <w:t xml:space="preserve"> La discriminación y estigma en torno al embarazo y la maternidad</w:t>
      </w:r>
      <w:r w:rsidR="002A2168" w:rsidRPr="00241DE4">
        <w:rPr>
          <w:rFonts w:cs="Calibri"/>
          <w:color w:val="141413"/>
          <w:sz w:val="23"/>
          <w:szCs w:val="23"/>
          <w:lang w:val="es-ES"/>
        </w:rPr>
        <w:t xml:space="preserve"> hacia mujeres con discapacidad está muy presente en organismos públicos y privados. Las mujeres con discapacidad con frecuencia se encuentran con atención deficiente, discriminación y trato abusivo cuando acceden a servicios de salud materna y neonatal. Este tratamiento negativo puede disuadirlas de buscar atención en cuidado prenatal.</w:t>
      </w:r>
    </w:p>
    <w:p w14:paraId="1BB3B678" w14:textId="77777777" w:rsidR="00F01E94" w:rsidRDefault="00F01E94" w:rsidP="00241DE4">
      <w:pPr>
        <w:spacing w:after="120" w:line="240" w:lineRule="auto"/>
        <w:jc w:val="both"/>
        <w:rPr>
          <w:rFonts w:cs="Calibri"/>
          <w:b/>
          <w:color w:val="141413"/>
          <w:sz w:val="23"/>
          <w:szCs w:val="23"/>
          <w:lang w:val="es-ES"/>
        </w:rPr>
      </w:pPr>
    </w:p>
    <w:p w14:paraId="586BC979" w14:textId="77777777" w:rsidR="00F01E94" w:rsidRDefault="00F01E94" w:rsidP="00241DE4">
      <w:pPr>
        <w:spacing w:after="120" w:line="240" w:lineRule="auto"/>
        <w:jc w:val="both"/>
        <w:rPr>
          <w:rFonts w:cs="Calibri"/>
          <w:b/>
          <w:color w:val="141413"/>
          <w:sz w:val="23"/>
          <w:szCs w:val="23"/>
          <w:lang w:val="es-ES"/>
        </w:rPr>
      </w:pPr>
    </w:p>
    <w:p w14:paraId="27EB8D3A" w14:textId="6C2D30FB" w:rsidR="002A2168" w:rsidRPr="00241DE4" w:rsidRDefault="00CF0E96" w:rsidP="00241DE4">
      <w:pPr>
        <w:spacing w:after="120" w:line="240" w:lineRule="auto"/>
        <w:jc w:val="both"/>
        <w:rPr>
          <w:rFonts w:cs="Calibri"/>
          <w:color w:val="141413"/>
          <w:sz w:val="23"/>
          <w:szCs w:val="23"/>
          <w:lang w:val="es-ES"/>
        </w:rPr>
      </w:pPr>
      <w:r>
        <w:rPr>
          <w:rFonts w:cs="Calibri"/>
          <w:b/>
          <w:color w:val="141413"/>
          <w:sz w:val="23"/>
          <w:szCs w:val="23"/>
          <w:lang w:val="es-ES"/>
        </w:rPr>
        <w:t>114</w:t>
      </w:r>
      <w:r w:rsidR="002A2168" w:rsidRPr="00241DE4">
        <w:rPr>
          <w:rFonts w:cs="Calibri"/>
          <w:b/>
          <w:color w:val="141413"/>
          <w:sz w:val="23"/>
          <w:szCs w:val="23"/>
          <w:lang w:val="es-ES"/>
        </w:rPr>
        <w:t>.</w:t>
      </w:r>
      <w:r w:rsidR="002A2168" w:rsidRPr="00241DE4">
        <w:rPr>
          <w:rFonts w:cs="Calibri"/>
          <w:color w:val="141413"/>
          <w:sz w:val="23"/>
          <w:szCs w:val="23"/>
          <w:lang w:val="es-ES"/>
        </w:rPr>
        <w:t xml:space="preserve"> Los estereotipos de que las mujeres con discapacidad no deben convertirse en madres pueden llevar a que los servicios de salud las ignoren en su necesidad de asesoramiento sobre un embarazo seguro o promuevan como únicas alternativas el aborto terapéutico y la esterilización</w:t>
      </w:r>
      <w:r w:rsidR="003C016C" w:rsidRPr="00241DE4">
        <w:rPr>
          <w:rStyle w:val="FootnoteReference"/>
          <w:rFonts w:cs="Calibri"/>
          <w:color w:val="141413"/>
          <w:sz w:val="23"/>
          <w:szCs w:val="23"/>
          <w:lang w:val="es-ES"/>
        </w:rPr>
        <w:footnoteReference w:id="73"/>
      </w:r>
      <w:r w:rsidR="00FA4E0A" w:rsidRPr="00241DE4">
        <w:rPr>
          <w:rFonts w:cs="Calibri"/>
          <w:color w:val="141413"/>
          <w:sz w:val="23"/>
          <w:szCs w:val="23"/>
          <w:lang w:val="es-ES"/>
        </w:rPr>
        <w:t>.</w:t>
      </w:r>
      <w:r w:rsidR="002A2168" w:rsidRPr="00241DE4">
        <w:rPr>
          <w:rFonts w:cs="Calibri"/>
          <w:color w:val="141413"/>
          <w:sz w:val="23"/>
          <w:szCs w:val="23"/>
          <w:lang w:val="es-ES"/>
        </w:rPr>
        <w:t xml:space="preserve"> </w:t>
      </w:r>
    </w:p>
    <w:p w14:paraId="1295C483" w14:textId="19503C64" w:rsidR="002A2168" w:rsidRPr="00241DE4" w:rsidRDefault="00FA4E0A" w:rsidP="00241DE4">
      <w:pPr>
        <w:spacing w:after="120" w:line="240" w:lineRule="auto"/>
        <w:jc w:val="both"/>
        <w:rPr>
          <w:rFonts w:cs="Calibri"/>
          <w:sz w:val="23"/>
          <w:szCs w:val="23"/>
          <w:lang w:val="es-ES"/>
        </w:rPr>
      </w:pPr>
      <w:r w:rsidRPr="00241DE4">
        <w:rPr>
          <w:rFonts w:cs="Calibri"/>
          <w:b/>
          <w:sz w:val="23"/>
          <w:szCs w:val="23"/>
          <w:lang w:val="es-ES"/>
        </w:rPr>
        <w:t>1</w:t>
      </w:r>
      <w:r w:rsidR="00CF0E96">
        <w:rPr>
          <w:rFonts w:cs="Calibri"/>
          <w:b/>
          <w:sz w:val="23"/>
          <w:szCs w:val="23"/>
          <w:lang w:val="es-ES"/>
        </w:rPr>
        <w:t>15</w:t>
      </w:r>
      <w:r w:rsidR="002A2168" w:rsidRPr="00241DE4">
        <w:rPr>
          <w:rFonts w:cs="Calibri"/>
          <w:b/>
          <w:sz w:val="23"/>
          <w:szCs w:val="23"/>
          <w:lang w:val="es-ES"/>
        </w:rPr>
        <w:t>.</w:t>
      </w:r>
      <w:r w:rsidR="002A2168" w:rsidRPr="00241DE4">
        <w:rPr>
          <w:rFonts w:cs="Calibri"/>
          <w:sz w:val="23"/>
          <w:szCs w:val="23"/>
          <w:lang w:val="es-ES"/>
        </w:rPr>
        <w:t xml:space="preserve"> El modelo médico impone la infantilización y dependencia como forma de adaptación de las mujeres con discapacidad a una forza</w:t>
      </w:r>
      <w:r w:rsidR="003C016C" w:rsidRPr="00241DE4">
        <w:rPr>
          <w:rFonts w:cs="Calibri"/>
          <w:sz w:val="23"/>
          <w:szCs w:val="23"/>
          <w:lang w:val="es-ES"/>
        </w:rPr>
        <w:t>da situación de pobreza, basado</w:t>
      </w:r>
      <w:r w:rsidR="002A2168" w:rsidRPr="00241DE4">
        <w:rPr>
          <w:rFonts w:cs="Calibri"/>
          <w:sz w:val="23"/>
          <w:szCs w:val="23"/>
          <w:lang w:val="es-ES"/>
        </w:rPr>
        <w:t xml:space="preserve"> en estereotipos</w:t>
      </w:r>
      <w:r w:rsidR="002A2168" w:rsidRPr="00241DE4">
        <w:rPr>
          <w:rFonts w:cs="Calibri"/>
          <w:b/>
          <w:sz w:val="23"/>
          <w:szCs w:val="23"/>
          <w:lang w:val="es-ES"/>
        </w:rPr>
        <w:t xml:space="preserve"> </w:t>
      </w:r>
      <w:r w:rsidR="002A2168" w:rsidRPr="00241DE4">
        <w:rPr>
          <w:rFonts w:cs="Calibri"/>
          <w:color w:val="141413"/>
          <w:sz w:val="23"/>
          <w:szCs w:val="23"/>
          <w:lang w:val="es-ES"/>
        </w:rPr>
        <w:t xml:space="preserve">de que son asexuales, incapaces y anormales. </w:t>
      </w:r>
      <w:r w:rsidR="00BD7F7B" w:rsidRPr="00241DE4">
        <w:rPr>
          <w:rFonts w:cs="Calibri"/>
          <w:sz w:val="23"/>
          <w:szCs w:val="23"/>
          <w:lang w:val="es-ES"/>
        </w:rPr>
        <w:t xml:space="preserve">A las mujeres con discapacidad, </w:t>
      </w:r>
      <w:r w:rsidR="002A2168" w:rsidRPr="00241DE4">
        <w:rPr>
          <w:rFonts w:cs="Calibri"/>
          <w:sz w:val="23"/>
          <w:szCs w:val="23"/>
          <w:lang w:val="es-ES"/>
        </w:rPr>
        <w:t>la familia y las instituciones</w:t>
      </w:r>
      <w:r w:rsidR="00BD7F7B" w:rsidRPr="00241DE4">
        <w:rPr>
          <w:rFonts w:cs="Calibri"/>
          <w:sz w:val="23"/>
          <w:szCs w:val="23"/>
          <w:lang w:val="es-ES"/>
        </w:rPr>
        <w:t xml:space="preserve"> estatales de educación y salud, </w:t>
      </w:r>
      <w:r w:rsidR="002A2168" w:rsidRPr="00241DE4">
        <w:rPr>
          <w:rFonts w:cs="Calibri"/>
          <w:sz w:val="23"/>
          <w:szCs w:val="23"/>
          <w:lang w:val="es-ES"/>
        </w:rPr>
        <w:t>le</w:t>
      </w:r>
      <w:r w:rsidR="003C016C" w:rsidRPr="00241DE4">
        <w:rPr>
          <w:rFonts w:cs="Calibri"/>
          <w:sz w:val="23"/>
          <w:szCs w:val="23"/>
          <w:lang w:val="es-ES"/>
        </w:rPr>
        <w:t>s</w:t>
      </w:r>
      <w:r w:rsidR="002A2168" w:rsidRPr="00241DE4">
        <w:rPr>
          <w:rFonts w:cs="Calibri"/>
          <w:sz w:val="23"/>
          <w:szCs w:val="23"/>
          <w:lang w:val="es-ES"/>
        </w:rPr>
        <w:t xml:space="preserve"> han clausurado a la fuerza sus proyectos </w:t>
      </w:r>
      <w:r w:rsidR="003C016C" w:rsidRPr="00241DE4">
        <w:rPr>
          <w:rFonts w:cs="Calibri"/>
          <w:sz w:val="23"/>
          <w:szCs w:val="23"/>
          <w:lang w:val="es-ES"/>
        </w:rPr>
        <w:t xml:space="preserve">de </w:t>
      </w:r>
      <w:r w:rsidR="002A2168" w:rsidRPr="00241DE4">
        <w:rPr>
          <w:rFonts w:cs="Calibri"/>
          <w:sz w:val="23"/>
          <w:szCs w:val="23"/>
          <w:lang w:val="es-ES"/>
        </w:rPr>
        <w:t xml:space="preserve">vida personales. </w:t>
      </w:r>
    </w:p>
    <w:p w14:paraId="16A09249" w14:textId="71683508" w:rsidR="002A2168" w:rsidRPr="00241DE4" w:rsidRDefault="00CF0E96" w:rsidP="00241DE4">
      <w:pPr>
        <w:spacing w:after="120" w:line="240" w:lineRule="auto"/>
        <w:jc w:val="both"/>
        <w:rPr>
          <w:rFonts w:cs="Calibri"/>
          <w:sz w:val="23"/>
          <w:szCs w:val="23"/>
          <w:lang w:val="es-ES"/>
        </w:rPr>
      </w:pPr>
      <w:r>
        <w:rPr>
          <w:rFonts w:cs="Calibri"/>
          <w:b/>
          <w:sz w:val="23"/>
          <w:szCs w:val="23"/>
          <w:lang w:val="es-ES"/>
        </w:rPr>
        <w:t>116</w:t>
      </w:r>
      <w:r w:rsidR="002A2168" w:rsidRPr="00241DE4">
        <w:rPr>
          <w:rFonts w:cs="Calibri"/>
          <w:b/>
          <w:sz w:val="23"/>
          <w:szCs w:val="23"/>
          <w:lang w:val="es-ES"/>
        </w:rPr>
        <w:t>.</w:t>
      </w:r>
      <w:r w:rsidR="002A2168" w:rsidRPr="00241DE4">
        <w:rPr>
          <w:rFonts w:cs="Calibri"/>
          <w:sz w:val="23"/>
          <w:szCs w:val="23"/>
          <w:lang w:val="es-ES"/>
        </w:rPr>
        <w:t xml:space="preserve"> Lo mencionado anteriormente va en la misma línea de lo recomendado por el Comité CEDAW en su Recomendación General nº 24</w:t>
      </w:r>
      <w:r w:rsidR="00BD7F7B" w:rsidRPr="00241DE4">
        <w:rPr>
          <w:rStyle w:val="FootnoteReference"/>
          <w:rFonts w:cs="Calibri"/>
          <w:sz w:val="23"/>
          <w:szCs w:val="23"/>
          <w:lang w:val="es-ES"/>
        </w:rPr>
        <w:footnoteReference w:id="74"/>
      </w:r>
      <w:r w:rsidR="002A2168" w:rsidRPr="00241DE4">
        <w:rPr>
          <w:rFonts w:cs="Calibri"/>
          <w:sz w:val="23"/>
          <w:szCs w:val="23"/>
          <w:lang w:val="es-ES"/>
        </w:rPr>
        <w:t xml:space="preserve"> (1999) sobre mujeres y salud, al señalar que se deben: </w:t>
      </w:r>
      <w:r w:rsidR="002A2168" w:rsidRPr="00241DE4">
        <w:rPr>
          <w:rFonts w:cs="Calibri"/>
          <w:i/>
          <w:sz w:val="23"/>
          <w:szCs w:val="23"/>
          <w:lang w:val="es-ES"/>
        </w:rPr>
        <w:t>“Tomar medidas para asegurar que los servicios de salud, especialmente ginecológicos, estén accesibles para todas las mujeres, especialmente para mujeres con discapacidades;</w:t>
      </w:r>
    </w:p>
    <w:p w14:paraId="2918B2F1" w14:textId="77777777" w:rsidR="006967C5" w:rsidRPr="00241DE4" w:rsidRDefault="002A2168" w:rsidP="00241DE4">
      <w:pPr>
        <w:spacing w:after="120" w:line="240" w:lineRule="auto"/>
        <w:jc w:val="both"/>
        <w:rPr>
          <w:rFonts w:cs="Calibri"/>
          <w:sz w:val="23"/>
          <w:szCs w:val="23"/>
          <w:lang w:val="es-ES"/>
        </w:rPr>
      </w:pPr>
      <w:r w:rsidRPr="00241DE4">
        <w:rPr>
          <w:rFonts w:cs="Calibri"/>
          <w:i/>
          <w:sz w:val="23"/>
          <w:szCs w:val="23"/>
          <w:lang w:val="es-ES"/>
        </w:rPr>
        <w:t xml:space="preserve">Asegurar la total implementación de los Lineamientos Nacionales sobre la Regulación de la Fertilidad (2018) al garantizar </w:t>
      </w:r>
      <w:r w:rsidR="003C016C" w:rsidRPr="00241DE4">
        <w:rPr>
          <w:rFonts w:cs="Calibri"/>
          <w:i/>
          <w:sz w:val="23"/>
          <w:szCs w:val="23"/>
          <w:lang w:val="es-ES"/>
        </w:rPr>
        <w:t xml:space="preserve">que </w:t>
      </w:r>
      <w:r w:rsidRPr="00241DE4">
        <w:rPr>
          <w:rFonts w:cs="Calibri"/>
          <w:i/>
          <w:sz w:val="23"/>
          <w:szCs w:val="23"/>
          <w:lang w:val="es-ES"/>
        </w:rPr>
        <w:t>el consentimiento totalmente informado sea buscado por el personal médico antes de que la esterilización sea realizada, que los funcionarios que practiquen la esterilización sin ese consentimiento sean sancionados y que compensaciones financieras estén disponibles para las mujeres víctimas de esterilización no consentida”.</w:t>
      </w:r>
    </w:p>
    <w:p w14:paraId="2621D5AB" w14:textId="77777777" w:rsidR="00241DE4" w:rsidRPr="00446153" w:rsidRDefault="00241DE4" w:rsidP="00241DE4">
      <w:pPr>
        <w:spacing w:after="120" w:line="240" w:lineRule="auto"/>
        <w:jc w:val="both"/>
        <w:rPr>
          <w:rFonts w:cs="Calibri"/>
          <w:b/>
          <w:i/>
          <w:color w:val="000000"/>
          <w:sz w:val="23"/>
          <w:szCs w:val="23"/>
          <w:u w:val="single"/>
        </w:rPr>
      </w:pPr>
    </w:p>
    <w:p w14:paraId="339598C6" w14:textId="77777777" w:rsidR="002A2168" w:rsidRPr="00446153" w:rsidRDefault="002A2168" w:rsidP="00241DE4">
      <w:pPr>
        <w:spacing w:after="120" w:line="240" w:lineRule="auto"/>
        <w:jc w:val="both"/>
        <w:rPr>
          <w:rFonts w:cs="Calibri"/>
          <w:b/>
          <w:i/>
          <w:color w:val="000000"/>
          <w:sz w:val="23"/>
          <w:szCs w:val="23"/>
        </w:rPr>
      </w:pPr>
      <w:r w:rsidRPr="00446153">
        <w:rPr>
          <w:rFonts w:cs="Calibri"/>
          <w:b/>
          <w:i/>
          <w:color w:val="000000"/>
          <w:sz w:val="23"/>
          <w:szCs w:val="23"/>
          <w:u w:val="single"/>
        </w:rPr>
        <w:t>Recomendaciones</w:t>
      </w:r>
      <w:r w:rsidRPr="00446153">
        <w:rPr>
          <w:rFonts w:cs="Calibri"/>
          <w:b/>
          <w:i/>
          <w:color w:val="000000"/>
          <w:sz w:val="23"/>
          <w:szCs w:val="23"/>
        </w:rPr>
        <w:t xml:space="preserve">: </w:t>
      </w:r>
    </w:p>
    <w:p w14:paraId="7B0EDAA8" w14:textId="77777777" w:rsidR="00241DE4" w:rsidRPr="00446153" w:rsidRDefault="00241DE4" w:rsidP="00241DE4">
      <w:pPr>
        <w:spacing w:after="120" w:line="240" w:lineRule="auto"/>
        <w:jc w:val="both"/>
        <w:rPr>
          <w:rFonts w:cs="Calibri"/>
          <w:b/>
          <w:i/>
          <w:color w:val="000000"/>
          <w:sz w:val="23"/>
          <w:szCs w:val="23"/>
          <w:u w:val="single"/>
        </w:rPr>
      </w:pPr>
    </w:p>
    <w:p w14:paraId="0D12B9E0" w14:textId="77777777" w:rsidR="002A2168" w:rsidRPr="00446153" w:rsidRDefault="002A2168" w:rsidP="00241DE4">
      <w:pPr>
        <w:pStyle w:val="ListParagraph"/>
        <w:numPr>
          <w:ilvl w:val="0"/>
          <w:numId w:val="7"/>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Derogar toda la normativa que permite sustituir el consentimiento de las personas con discapacidad en el ejercicio de su derecho al consentimiento libre e informado.</w:t>
      </w:r>
      <w:r w:rsidRPr="00241DE4">
        <w:rPr>
          <w:rFonts w:cs="Calibri"/>
          <w:sz w:val="23"/>
          <w:szCs w:val="23"/>
        </w:rPr>
        <w:t xml:space="preserve"> </w:t>
      </w:r>
      <w:r w:rsidRPr="00241DE4">
        <w:rPr>
          <w:rFonts w:cs="Calibri"/>
          <w:b/>
          <w:sz w:val="23"/>
          <w:szCs w:val="23"/>
        </w:rPr>
        <w:t>Concretamente, el Párrafo 8 de la Ley 20.584, sobre Derechos y Deberes que tienen las Personas en relación con Acciones vinculadas a su Atención en Salud (2012); el Decreto 570 del Ministerio de Salud sobre Internación de las Personas con Enfermedades Mentales y los Establecimientos que la proporcionan (2000); la Resolución Exenta 656 sobre Psicocirugía o Cirugía aplicada al Tejido Cerebral (2002); la Norma Técnica sobre Contención en Psiquiatría (2003); la Norma Técnica sobre Terapia Electroconsulsivante (2000).</w:t>
      </w:r>
    </w:p>
    <w:p w14:paraId="227186F7" w14:textId="77777777" w:rsidR="002A2168" w:rsidRPr="00446153" w:rsidRDefault="002A2168" w:rsidP="00241DE4">
      <w:pPr>
        <w:pStyle w:val="ListParagraph"/>
        <w:numPr>
          <w:ilvl w:val="0"/>
          <w:numId w:val="7"/>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Prohibir explícitamente la aplicación sin consentimiento de procedimientos psiquiátricos considerados invasivos o irreversibles, la terapia electroconvulsiva y las medidas de coerción, como el aislamiento y la contención mecánica y química en la atención en salud mental.</w:t>
      </w:r>
    </w:p>
    <w:p w14:paraId="78537B3B" w14:textId="77777777" w:rsidR="002A2168" w:rsidRPr="00446153" w:rsidRDefault="002A2168" w:rsidP="00241DE4">
      <w:pPr>
        <w:pStyle w:val="ListParagraph"/>
        <w:numPr>
          <w:ilvl w:val="0"/>
          <w:numId w:val="7"/>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Disponer una estrategia legislativa y de política pública, para avanzar hacia el cierre de los hospitales psiquiátricos en el Estado parte, sustituyendo la atención en salud mental por servicios integrados en la comunidad.</w:t>
      </w:r>
    </w:p>
    <w:p w14:paraId="35AB8DE8" w14:textId="68C1445D" w:rsidR="002A2168" w:rsidRPr="00241DE4" w:rsidRDefault="003C016C" w:rsidP="00241DE4">
      <w:pPr>
        <w:pStyle w:val="ListParagraph"/>
        <w:numPr>
          <w:ilvl w:val="0"/>
          <w:numId w:val="7"/>
        </w:numPr>
        <w:spacing w:after="120" w:line="240" w:lineRule="auto"/>
        <w:ind w:left="714" w:hanging="357"/>
        <w:contextualSpacing w:val="0"/>
        <w:jc w:val="both"/>
        <w:rPr>
          <w:rFonts w:cs="Calibri"/>
          <w:b/>
          <w:sz w:val="23"/>
          <w:szCs w:val="23"/>
        </w:rPr>
      </w:pPr>
      <w:r w:rsidRPr="00241DE4">
        <w:rPr>
          <w:rFonts w:cs="Calibri"/>
          <w:b/>
          <w:sz w:val="23"/>
          <w:szCs w:val="23"/>
        </w:rPr>
        <w:t xml:space="preserve">Adecuar </w:t>
      </w:r>
      <w:r w:rsidR="002A2168" w:rsidRPr="00241DE4">
        <w:rPr>
          <w:rFonts w:cs="Calibri"/>
          <w:b/>
          <w:sz w:val="23"/>
          <w:szCs w:val="23"/>
        </w:rPr>
        <w:t xml:space="preserve">el proyecto de ley </w:t>
      </w:r>
      <w:r w:rsidRPr="00241DE4">
        <w:rPr>
          <w:rFonts w:cs="Calibri"/>
          <w:b/>
          <w:sz w:val="23"/>
          <w:szCs w:val="23"/>
        </w:rPr>
        <w:t xml:space="preserve">de </w:t>
      </w:r>
      <w:r w:rsidR="002A2168" w:rsidRPr="00241DE4">
        <w:rPr>
          <w:rFonts w:cs="Calibri"/>
          <w:b/>
          <w:sz w:val="23"/>
          <w:szCs w:val="23"/>
        </w:rPr>
        <w:t>salud mental en actual discusión legislativa, al enfoque de derechos humanos y a las recomendaciones recibidas por el Estado parte en la materia.</w:t>
      </w:r>
    </w:p>
    <w:p w14:paraId="116FC058" w14:textId="77777777" w:rsidR="002A2168" w:rsidRPr="00241DE4" w:rsidRDefault="002A2168" w:rsidP="00241DE4">
      <w:pPr>
        <w:pStyle w:val="ListParagraph"/>
        <w:numPr>
          <w:ilvl w:val="0"/>
          <w:numId w:val="7"/>
        </w:numPr>
        <w:spacing w:after="120" w:line="240" w:lineRule="auto"/>
        <w:ind w:left="714" w:hanging="357"/>
        <w:contextualSpacing w:val="0"/>
        <w:jc w:val="both"/>
        <w:rPr>
          <w:rFonts w:cs="Calibri"/>
          <w:b/>
          <w:sz w:val="23"/>
          <w:szCs w:val="23"/>
        </w:rPr>
      </w:pPr>
      <w:r w:rsidRPr="00241DE4">
        <w:rPr>
          <w:rFonts w:cs="Calibri"/>
          <w:b/>
          <w:sz w:val="23"/>
          <w:szCs w:val="23"/>
        </w:rPr>
        <w:t xml:space="preserve">Generar información cuantitativa y cualitativa respecto a la situación de esterilización forzada de mujeres con discapacidad, a fin de contar con la información adecuada para implementar políticas públicas que garanticen los derechos de las mujeres. </w:t>
      </w:r>
    </w:p>
    <w:p w14:paraId="0732B941" w14:textId="596892FA" w:rsidR="002A2168" w:rsidRPr="00241DE4" w:rsidRDefault="002A2168" w:rsidP="00241DE4">
      <w:pPr>
        <w:pStyle w:val="ListParagraph"/>
        <w:numPr>
          <w:ilvl w:val="0"/>
          <w:numId w:val="7"/>
        </w:numPr>
        <w:spacing w:after="120" w:line="240" w:lineRule="auto"/>
        <w:ind w:left="714" w:hanging="357"/>
        <w:contextualSpacing w:val="0"/>
        <w:jc w:val="both"/>
        <w:rPr>
          <w:rFonts w:cs="Calibri"/>
          <w:b/>
          <w:sz w:val="23"/>
          <w:szCs w:val="23"/>
        </w:rPr>
      </w:pPr>
      <w:r w:rsidRPr="00241DE4">
        <w:rPr>
          <w:rFonts w:cs="Calibri"/>
          <w:b/>
          <w:sz w:val="23"/>
          <w:szCs w:val="23"/>
        </w:rPr>
        <w:t xml:space="preserve">Derogar la normativa que permite la esterilización involuntaria </w:t>
      </w:r>
      <w:r w:rsidR="003C016C" w:rsidRPr="00241DE4">
        <w:rPr>
          <w:rFonts w:cs="Calibri"/>
          <w:b/>
          <w:sz w:val="23"/>
          <w:szCs w:val="23"/>
        </w:rPr>
        <w:t xml:space="preserve">de </w:t>
      </w:r>
      <w:r w:rsidRPr="00241DE4">
        <w:rPr>
          <w:rFonts w:cs="Calibri"/>
          <w:b/>
          <w:sz w:val="23"/>
          <w:szCs w:val="23"/>
        </w:rPr>
        <w:t>personas con discapacidad, prohibir y penalizar expresamente su práctica en ausencia de un consentimiento libre e informado, armonizando la normativa interna a los estándares internacionales de derechos humanos.</w:t>
      </w:r>
    </w:p>
    <w:p w14:paraId="3FF99874" w14:textId="77777777" w:rsidR="002A2168" w:rsidRPr="00241DE4" w:rsidRDefault="002A2168" w:rsidP="00241DE4">
      <w:pPr>
        <w:pStyle w:val="ListParagraph"/>
        <w:widowControl w:val="0"/>
        <w:numPr>
          <w:ilvl w:val="0"/>
          <w:numId w:val="7"/>
        </w:numPr>
        <w:autoSpaceDE w:val="0"/>
        <w:autoSpaceDN w:val="0"/>
        <w:adjustRightInd w:val="0"/>
        <w:spacing w:after="120" w:line="240" w:lineRule="auto"/>
        <w:ind w:left="714" w:hanging="357"/>
        <w:contextualSpacing w:val="0"/>
        <w:jc w:val="both"/>
        <w:rPr>
          <w:rFonts w:cs="Calibri"/>
          <w:b/>
          <w:sz w:val="23"/>
          <w:szCs w:val="23"/>
          <w:lang w:val="es-ES"/>
        </w:rPr>
      </w:pPr>
      <w:r w:rsidRPr="00241DE4">
        <w:rPr>
          <w:rFonts w:cs="Calibri"/>
          <w:b/>
          <w:color w:val="141413"/>
          <w:sz w:val="23"/>
          <w:szCs w:val="23"/>
          <w:lang w:val="es-ES"/>
        </w:rPr>
        <w:t xml:space="preserve">Implementación de una política pública sobre salud sexual y reproductiva inclusiva, con características preventivas de tortura, tratos crueles inhumanos y degradantes, hacia mujeres con discapacidad. </w:t>
      </w:r>
    </w:p>
    <w:p w14:paraId="03E7618F" w14:textId="77777777" w:rsidR="00241DE4" w:rsidRDefault="00241DE4" w:rsidP="00241DE4">
      <w:pPr>
        <w:spacing w:after="120" w:line="240" w:lineRule="auto"/>
        <w:jc w:val="both"/>
        <w:rPr>
          <w:rFonts w:cs="Calibri"/>
          <w:b/>
          <w:sz w:val="23"/>
          <w:szCs w:val="23"/>
          <w:lang w:val="es-ES"/>
        </w:rPr>
      </w:pPr>
    </w:p>
    <w:p w14:paraId="5890A7D5" w14:textId="4127BFE8" w:rsidR="003C016C" w:rsidRPr="00446153" w:rsidRDefault="00FA4E0A" w:rsidP="00241DE4">
      <w:pPr>
        <w:spacing w:after="120" w:line="240" w:lineRule="auto"/>
        <w:jc w:val="both"/>
        <w:rPr>
          <w:rFonts w:cs="Calibri"/>
          <w:b/>
          <w:color w:val="000000"/>
          <w:sz w:val="23"/>
          <w:szCs w:val="23"/>
        </w:rPr>
      </w:pPr>
      <w:r w:rsidRPr="00446153">
        <w:rPr>
          <w:rFonts w:cs="Calibri"/>
          <w:b/>
          <w:color w:val="000000"/>
          <w:sz w:val="23"/>
          <w:szCs w:val="23"/>
        </w:rPr>
        <w:t xml:space="preserve">Interrupción del embarazo </w:t>
      </w:r>
      <w:r w:rsidR="002A2168" w:rsidRPr="00446153">
        <w:rPr>
          <w:rFonts w:cs="Calibri"/>
          <w:b/>
          <w:color w:val="000000"/>
          <w:sz w:val="23"/>
          <w:szCs w:val="23"/>
        </w:rPr>
        <w:t xml:space="preserve"> </w:t>
      </w:r>
    </w:p>
    <w:p w14:paraId="5E966E9C" w14:textId="77777777" w:rsidR="00241DE4" w:rsidRPr="00446153" w:rsidRDefault="00241DE4" w:rsidP="00241DE4">
      <w:pPr>
        <w:spacing w:after="120" w:line="240" w:lineRule="auto"/>
        <w:jc w:val="both"/>
        <w:rPr>
          <w:rFonts w:cs="Calibri"/>
          <w:b/>
          <w:color w:val="000000"/>
          <w:sz w:val="23"/>
          <w:szCs w:val="23"/>
        </w:rPr>
      </w:pPr>
    </w:p>
    <w:p w14:paraId="40836D25" w14:textId="0BA4F733" w:rsidR="00BD7F7B"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117</w:t>
      </w:r>
      <w:r w:rsidR="002A2168" w:rsidRPr="00446153">
        <w:rPr>
          <w:rFonts w:cs="Calibri"/>
          <w:b/>
          <w:color w:val="000000"/>
          <w:sz w:val="23"/>
          <w:szCs w:val="23"/>
        </w:rPr>
        <w:t>.</w:t>
      </w:r>
      <w:r w:rsidR="002A2168" w:rsidRPr="00446153">
        <w:rPr>
          <w:rFonts w:cs="Calibri"/>
          <w:color w:val="000000"/>
          <w:sz w:val="23"/>
          <w:szCs w:val="23"/>
        </w:rPr>
        <w:t xml:space="preserve"> El 14 de septiembre de 2017 se promulga en Chile la ley que despenaliza la interrupción voluntaria del embarazo en tres causales, </w:t>
      </w:r>
      <w:r w:rsidR="00FA4E0A" w:rsidRPr="00446153">
        <w:rPr>
          <w:rFonts w:cs="Calibri"/>
          <w:color w:val="000000"/>
          <w:sz w:val="23"/>
          <w:szCs w:val="23"/>
        </w:rPr>
        <w:t xml:space="preserve">Ley nº 21.030, </w:t>
      </w:r>
      <w:r w:rsidR="002A2168" w:rsidRPr="00446153">
        <w:rPr>
          <w:rFonts w:cs="Calibri"/>
          <w:color w:val="000000"/>
          <w:sz w:val="23"/>
          <w:szCs w:val="23"/>
        </w:rPr>
        <w:t xml:space="preserve">específicamente en caso de invialibilidad fetal, peligro de vida para la madre y violación sexual. Esta normativa viene a recoger lo indicado por diversos comités internacionales de derechos humanos a lo largo de muchos años a Chile, en relación </w:t>
      </w:r>
      <w:r w:rsidR="003E26BE" w:rsidRPr="00446153">
        <w:rPr>
          <w:rFonts w:cs="Calibri"/>
          <w:color w:val="000000"/>
          <w:sz w:val="23"/>
          <w:szCs w:val="23"/>
        </w:rPr>
        <w:t xml:space="preserve">a la despenalización del aborto, como mínimo en determinadas causales. </w:t>
      </w:r>
    </w:p>
    <w:p w14:paraId="0CFF0B52" w14:textId="319AD9EB"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118</w:t>
      </w:r>
      <w:r w:rsidR="00BD7F7B" w:rsidRPr="00446153">
        <w:rPr>
          <w:rFonts w:cs="Calibri"/>
          <w:b/>
          <w:color w:val="000000"/>
          <w:sz w:val="23"/>
          <w:szCs w:val="23"/>
        </w:rPr>
        <w:t>.</w:t>
      </w:r>
      <w:r w:rsidR="00BD7F7B" w:rsidRPr="00446153">
        <w:rPr>
          <w:rFonts w:cs="Calibri"/>
          <w:color w:val="000000"/>
          <w:sz w:val="23"/>
          <w:szCs w:val="23"/>
        </w:rPr>
        <w:t xml:space="preserve"> </w:t>
      </w:r>
      <w:r w:rsidR="002A2168" w:rsidRPr="00446153">
        <w:rPr>
          <w:rFonts w:cs="Calibri"/>
          <w:color w:val="000000"/>
          <w:sz w:val="23"/>
          <w:szCs w:val="23"/>
        </w:rPr>
        <w:t>Si bien celebramos su promulgación, preocupa especialmente el caso de las niñas menores de 14 años que están embaraza</w:t>
      </w:r>
      <w:r w:rsidR="003C016C" w:rsidRPr="00446153">
        <w:rPr>
          <w:rFonts w:cs="Calibri"/>
          <w:color w:val="000000"/>
          <w:sz w:val="23"/>
          <w:szCs w:val="23"/>
        </w:rPr>
        <w:t>da</w:t>
      </w:r>
      <w:r w:rsidR="002A2168" w:rsidRPr="00446153">
        <w:rPr>
          <w:rFonts w:cs="Calibri"/>
          <w:color w:val="000000"/>
          <w:sz w:val="23"/>
          <w:szCs w:val="23"/>
        </w:rPr>
        <w:t xml:space="preserve">s producto de una violación, y el establecimiento de un plazo máximo de 14 de semanas de embarazo para proceder a la interrupción, lo que a nuestro juicio es un plazo muy reducido, </w:t>
      </w:r>
      <w:r w:rsidR="003C016C" w:rsidRPr="00446153">
        <w:rPr>
          <w:rFonts w:cs="Calibri"/>
          <w:color w:val="000000"/>
          <w:sz w:val="23"/>
          <w:szCs w:val="23"/>
        </w:rPr>
        <w:t xml:space="preserve">considerando la dificultad de las niñas para identificar su embarazo y la situación de que una proporción importante de ellas ha sido </w:t>
      </w:r>
      <w:r w:rsidR="002A2168" w:rsidRPr="00446153">
        <w:rPr>
          <w:rFonts w:cs="Calibri"/>
          <w:color w:val="000000"/>
          <w:sz w:val="23"/>
          <w:szCs w:val="23"/>
        </w:rPr>
        <w:t xml:space="preserve"> abusada sexualmente por algún familiar cercano</w:t>
      </w:r>
      <w:r w:rsidR="00FA4E0A" w:rsidRPr="00446153">
        <w:rPr>
          <w:rFonts w:cs="Calibri"/>
          <w:color w:val="000000"/>
          <w:sz w:val="23"/>
          <w:szCs w:val="23"/>
        </w:rPr>
        <w:t xml:space="preserve">. </w:t>
      </w:r>
    </w:p>
    <w:p w14:paraId="5E79DA2A" w14:textId="4AC34CD0" w:rsidR="00FA4E0A" w:rsidRPr="00241DE4" w:rsidRDefault="00CF0E96" w:rsidP="00241DE4">
      <w:pPr>
        <w:spacing w:after="120" w:line="240" w:lineRule="auto"/>
        <w:jc w:val="both"/>
        <w:rPr>
          <w:sz w:val="23"/>
          <w:szCs w:val="23"/>
        </w:rPr>
      </w:pPr>
      <w:r w:rsidRPr="00446153">
        <w:rPr>
          <w:rFonts w:cs="Calibri"/>
          <w:b/>
          <w:color w:val="000000"/>
          <w:sz w:val="23"/>
          <w:szCs w:val="23"/>
        </w:rPr>
        <w:t>119</w:t>
      </w:r>
      <w:r w:rsidR="00FA4E0A" w:rsidRPr="00446153">
        <w:rPr>
          <w:rFonts w:cs="Calibri"/>
          <w:b/>
          <w:color w:val="000000"/>
          <w:sz w:val="23"/>
          <w:szCs w:val="23"/>
        </w:rPr>
        <w:t>.</w:t>
      </w:r>
      <w:r w:rsidR="00FA4E0A" w:rsidRPr="00446153">
        <w:rPr>
          <w:rFonts w:cs="Calibri"/>
          <w:color w:val="000000"/>
          <w:sz w:val="23"/>
          <w:szCs w:val="23"/>
        </w:rPr>
        <w:t xml:space="preserve"> Por otro lado, tras la dictación </w:t>
      </w:r>
      <w:r w:rsidR="00FA4E0A" w:rsidRPr="00241DE4">
        <w:rPr>
          <w:sz w:val="23"/>
          <w:szCs w:val="23"/>
        </w:rPr>
        <w:t>de la Ley Nº 21.030 lamentablemente se han observado diversas dificultades en su implementación; que imponen a las mujeres y niñas que requieren la atención de salud prevista en la legislación, barreras a su acceso. En primer lugar, cabe destacar que el Tribunal Constitucional determinó –contraviniendo la normativa expresamente aprobada por el Congreso Nacional– la procedencia de la objeción de conciencia institucional, posibilitando que personas jurídicas puedan acogerse a ella para no prestar la atención de salud. Ello, además de la objeción de conciencia de carácter individual reconocida por la ley en términos amplios al “médico cirujano requerido para interrumpir el embarazo por alguna de las [tres] causales” y al “resto del personal al que corresponda desarrollar sus funciones al interior del pabellón quirúrgico durante la intervención” (Código Sanitario, Art. 119 ter, conforme a la modificación de la Ley Nº 21.030).</w:t>
      </w:r>
    </w:p>
    <w:p w14:paraId="35DA1FAC" w14:textId="77777777" w:rsidR="00CF0E96" w:rsidRDefault="00CF0E96" w:rsidP="00241DE4">
      <w:pPr>
        <w:spacing w:after="120" w:line="240" w:lineRule="auto"/>
        <w:jc w:val="both"/>
        <w:rPr>
          <w:b/>
          <w:sz w:val="23"/>
          <w:szCs w:val="23"/>
        </w:rPr>
      </w:pPr>
    </w:p>
    <w:p w14:paraId="45D93A6D" w14:textId="1AF14B15" w:rsidR="00FA4E0A" w:rsidRPr="00241DE4" w:rsidRDefault="00CF0E96" w:rsidP="00241DE4">
      <w:pPr>
        <w:spacing w:after="120" w:line="240" w:lineRule="auto"/>
        <w:jc w:val="both"/>
        <w:rPr>
          <w:sz w:val="23"/>
          <w:szCs w:val="23"/>
          <w:lang w:val="es-ES"/>
        </w:rPr>
      </w:pPr>
      <w:r>
        <w:rPr>
          <w:b/>
          <w:sz w:val="23"/>
          <w:szCs w:val="23"/>
        </w:rPr>
        <w:t>120</w:t>
      </w:r>
      <w:r w:rsidR="00FA4E0A" w:rsidRPr="00241DE4">
        <w:rPr>
          <w:b/>
          <w:sz w:val="23"/>
          <w:szCs w:val="23"/>
        </w:rPr>
        <w:t>.</w:t>
      </w:r>
      <w:r w:rsidR="00FA4E0A" w:rsidRPr="00241DE4">
        <w:rPr>
          <w:sz w:val="23"/>
          <w:szCs w:val="23"/>
        </w:rPr>
        <w:t xml:space="preserve"> A partir de ello, el Ministro de Salud del Presidente de la República Sebastián Piñera, Sr. Emilio Santelices, el 23 de marzo del año 2018, a poco más de una semana de haber asumido su cargo, definió derogar el protocolo sobre objeción de conciencia dictado previamente y lo reemplazó por uno nuevo que en lugar de resguardar el carácter excepcional de la objeción de conciencia, la regulaba como una regla general. Frente a ello, diversos requerimientos de ilegalidad fueron presentados ante la Contraloría General de la República por parlamentarios/as y organizaciones de la sociedad civil, que en definitiva fueron acogidos y la Contraloría determinó </w:t>
      </w:r>
      <w:r w:rsidR="00FA4E0A" w:rsidRPr="00241DE4">
        <w:rPr>
          <w:sz w:val="23"/>
          <w:szCs w:val="23"/>
          <w:lang w:val="es-ES"/>
        </w:rPr>
        <w:t xml:space="preserve">que el Ministerio de Salud </w:t>
      </w:r>
      <w:r w:rsidR="00FA4E0A" w:rsidRPr="00241DE4">
        <w:rPr>
          <w:i/>
          <w:sz w:val="23"/>
          <w:szCs w:val="23"/>
          <w:lang w:val="es-ES"/>
        </w:rPr>
        <w:t>“deberá adoptar las medidas necesarias a fin de dejar sin efecto la citada resolución exenta N° 432, de 2018, por ser contraria a derecho”.</w:t>
      </w:r>
      <w:r w:rsidR="00FA4E0A" w:rsidRPr="00241DE4">
        <w:rPr>
          <w:sz w:val="23"/>
          <w:szCs w:val="23"/>
          <w:lang w:val="es-ES"/>
        </w:rPr>
        <w:t xml:space="preserve"> Sin embargo, transcurrido más de un mes desde el referido Dictamen de la Contraloría General de la República, el Ministerio de Salud no ha procedido </w:t>
      </w:r>
      <w:r w:rsidR="00640BAE" w:rsidRPr="00241DE4">
        <w:rPr>
          <w:sz w:val="23"/>
          <w:szCs w:val="23"/>
          <w:lang w:val="es-ES"/>
        </w:rPr>
        <w:t>a dictar la normativa ordenada.</w:t>
      </w:r>
    </w:p>
    <w:p w14:paraId="41B601E7" w14:textId="26CA3008" w:rsidR="00640BAE" w:rsidRPr="00241DE4" w:rsidRDefault="00CF0E96" w:rsidP="00241DE4">
      <w:pPr>
        <w:spacing w:after="120" w:line="240" w:lineRule="auto"/>
        <w:jc w:val="both"/>
        <w:rPr>
          <w:sz w:val="23"/>
          <w:szCs w:val="23"/>
        </w:rPr>
      </w:pPr>
      <w:r>
        <w:rPr>
          <w:b/>
          <w:sz w:val="23"/>
          <w:szCs w:val="23"/>
        </w:rPr>
        <w:t>121</w:t>
      </w:r>
      <w:r w:rsidR="00FA4E0A" w:rsidRPr="00241DE4">
        <w:rPr>
          <w:b/>
          <w:sz w:val="23"/>
          <w:szCs w:val="23"/>
        </w:rPr>
        <w:t>.</w:t>
      </w:r>
      <w:r w:rsidR="00FA4E0A" w:rsidRPr="00241DE4">
        <w:rPr>
          <w:sz w:val="23"/>
          <w:szCs w:val="23"/>
        </w:rPr>
        <w:t xml:space="preserve"> </w:t>
      </w:r>
      <w:r w:rsidR="00640BAE" w:rsidRPr="00241DE4">
        <w:rPr>
          <w:sz w:val="23"/>
          <w:szCs w:val="23"/>
        </w:rPr>
        <w:t>Sin perjuicio de lo anterior, se observa que las principales limitaciones de la legislación vigente en Chile (Ley Nº 21.030) están dadas por la acotada definición de cada una de las tres causales reguladas, que no abarcan la totalidad de las situaciones que enfrentan las mujeres en el país y que respecto del aborto terapéutico este se defina acotado a la hipótesis de riesgo vital sin permitirlo frente a riesgos para la salud física ni psíquica de las mujeres. Además, en la causal violación sexual se definen plazos limitados para acceder a la interrupción legal del embarazo, de “doce semanas de gestación” respecto de mujeres mayores de edad y adolescentes de 14 a 18 años, y respecto de “una niña menor de 14 años, la interrupción del embarazo podrá realizarse siempre que no hayan transcurrido más de catorce semanas de gestación”. Asimismo, cabe referir que un amplio número de profesionales de la salud que se desempeñan en establecimientos públicos de salud (un tercio) se habría acogido a la objeción de conciencia personal; y que en algunas localidades del país la totalidad de los ginecólogos se habría declarado objetor, generando que las mujeres y niñas que requieran la interrupción del embarazo en alguna de las tres causales deban ser trasladadas a hospitales de otras ciudades para ser atendidas</w:t>
      </w:r>
      <w:r w:rsidR="00640BAE" w:rsidRPr="00241DE4">
        <w:rPr>
          <w:rStyle w:val="FootnoteReference"/>
          <w:sz w:val="23"/>
          <w:szCs w:val="23"/>
        </w:rPr>
        <w:footnoteReference w:id="75"/>
      </w:r>
      <w:r w:rsidR="00640BAE" w:rsidRPr="00241DE4">
        <w:rPr>
          <w:sz w:val="23"/>
          <w:szCs w:val="23"/>
        </w:rPr>
        <w:t>.</w:t>
      </w:r>
    </w:p>
    <w:p w14:paraId="3A06E70F" w14:textId="0D69D203" w:rsidR="00640BAE" w:rsidRPr="00241DE4" w:rsidRDefault="00CF0E96" w:rsidP="00241DE4">
      <w:pPr>
        <w:spacing w:after="120" w:line="240" w:lineRule="auto"/>
        <w:jc w:val="both"/>
        <w:rPr>
          <w:sz w:val="23"/>
          <w:szCs w:val="23"/>
        </w:rPr>
      </w:pPr>
      <w:r>
        <w:rPr>
          <w:b/>
          <w:sz w:val="23"/>
          <w:szCs w:val="23"/>
        </w:rPr>
        <w:t>122</w:t>
      </w:r>
      <w:r w:rsidR="00640BAE" w:rsidRPr="00241DE4">
        <w:rPr>
          <w:b/>
          <w:sz w:val="23"/>
          <w:szCs w:val="23"/>
        </w:rPr>
        <w:t>.</w:t>
      </w:r>
      <w:r w:rsidR="00640BAE" w:rsidRPr="00241DE4">
        <w:rPr>
          <w:sz w:val="23"/>
          <w:szCs w:val="23"/>
        </w:rPr>
        <w:t xml:space="preserve"> De ahí que resulte de interés presentar ante el Comité contra la Tortura que la organización Corporación Humanas representa a la familia de Estefanía Cabello Ponce, una joven mujer de 22 años que falleció en el Hospital de Curicó (Región del Maule) el 11 de abril de 2018 cursando un embarazo de 17 semanas. Debido a complicaciones en su embarazo, Estefanía Cabello fue hospitalizada el 1º de abril por un cuadro de rotura prematura de membranas que no revirtió y derivó en una infección generalizada que le causó la muerte, desconociéndose hasta ahora las razones que llevaron al equipo médico a no interrumpir el embarazo tan pronto se detectó la infección</w:t>
      </w:r>
      <w:r w:rsidR="00640BAE" w:rsidRPr="00241DE4">
        <w:rPr>
          <w:rStyle w:val="FootnoteReference"/>
          <w:sz w:val="23"/>
          <w:szCs w:val="23"/>
        </w:rPr>
        <w:footnoteReference w:id="76"/>
      </w:r>
      <w:r w:rsidR="00640BAE" w:rsidRPr="00241DE4">
        <w:rPr>
          <w:sz w:val="23"/>
          <w:szCs w:val="23"/>
        </w:rPr>
        <w:t>. Tras la muerte, familiares presentaron una denuncia ante la Fiscalía de Curicó, que se encuentra en etapa de investigación</w:t>
      </w:r>
      <w:r w:rsidR="00640BAE" w:rsidRPr="00241DE4">
        <w:rPr>
          <w:rStyle w:val="FootnoteReference"/>
          <w:sz w:val="23"/>
          <w:szCs w:val="23"/>
        </w:rPr>
        <w:footnoteReference w:id="77"/>
      </w:r>
      <w:r w:rsidR="00640BAE" w:rsidRPr="00241DE4">
        <w:rPr>
          <w:sz w:val="23"/>
          <w:szCs w:val="23"/>
        </w:rPr>
        <w:t>; como igualmente el Hospital de Curicó dispuso la realización de una auditoría de muerte materna, cuyos resultados se encuentran pendientes.</w:t>
      </w:r>
    </w:p>
    <w:p w14:paraId="2C51F2CD" w14:textId="3AEC227C" w:rsidR="00640BAE" w:rsidRPr="00241DE4" w:rsidRDefault="00CF0E96" w:rsidP="00241DE4">
      <w:pPr>
        <w:spacing w:after="120" w:line="240" w:lineRule="auto"/>
        <w:jc w:val="both"/>
        <w:rPr>
          <w:sz w:val="23"/>
          <w:szCs w:val="23"/>
        </w:rPr>
      </w:pPr>
      <w:r>
        <w:rPr>
          <w:b/>
          <w:sz w:val="23"/>
          <w:szCs w:val="23"/>
        </w:rPr>
        <w:t>123</w:t>
      </w:r>
      <w:r w:rsidR="00640BAE" w:rsidRPr="00241DE4">
        <w:rPr>
          <w:b/>
          <w:sz w:val="23"/>
          <w:szCs w:val="23"/>
        </w:rPr>
        <w:t>.</w:t>
      </w:r>
      <w:r w:rsidR="00640BAE" w:rsidRPr="00241DE4">
        <w:rPr>
          <w:sz w:val="23"/>
          <w:szCs w:val="23"/>
        </w:rPr>
        <w:t xml:space="preserve"> Además, la misma organización representa también a Fernanda Sandoval, de 25 años, quien cursaba un embarazo de 14 semanas cuando debió ser hospitalizada en el Hospital de Quilpué (Región de Valparaíso) debido a una infección y rotura prematura de membranas, el 6 de abril de 2018. Pese a que su situación de salud enmarcaba en las hipótesis previstas en la Ley nº 21.030, uno de los médicos que la atendió señaló ser objetor de conciencia y no procedió a interrumpir el embarazo ni tampoco comunicó la necesidad de remitirla a un profesional no objetor al director del establecimiento, como prevé la ley. Al día siguiente, otra médica le plantea la interrupción del embarazo, a lo que Fernanda accede, completando los respectivos registros y se inicia el tratamiento médico con mifepristona. Sin embargo, transcurridas 24 horas, la médica que la atiende, a quien correspondía continuar el tratamiento con fármacos, igualmente señala ser objetora de conciencia e impide que la paciente reciba la dosis indicada de misotrol y no comunica al director del Hospital la necesidad de remitirla a un profesional no objetor. Posteriormente, Fernanda igualmente sufre un aborto en la pieza que compartía con otras pacientes hospitalizadas, sin contar asistencia médica pese a haberla solicitado ni recibir medicamentos para mitigar el dolor. Dado que el aborto resultó incompleto, luego fue intervenida quirúrgicamente (legrado intrauterino) debiendo soportar en el pabellón nuevamente el cuestionamiento del equipo de salud que aducía la objeción de conciencia de parte de ellos para no atenderla</w:t>
      </w:r>
      <w:r w:rsidR="00640BAE" w:rsidRPr="00241DE4">
        <w:rPr>
          <w:rStyle w:val="FootnoteReference"/>
          <w:sz w:val="23"/>
          <w:szCs w:val="23"/>
        </w:rPr>
        <w:footnoteReference w:id="78"/>
      </w:r>
      <w:r w:rsidR="00640BAE" w:rsidRPr="00241DE4">
        <w:rPr>
          <w:sz w:val="23"/>
          <w:szCs w:val="23"/>
        </w:rPr>
        <w:t>. Posterior a ello, y debido a los reclamos administrativos presentados el Hospital de Quilpué y el Servicio de Salud Viña del Mar-Quillota, iniciaron dos auditorías clínicas a fin de revisar los procedimientos aplicados y definir eventuales correcciones, sin que a la fecha se conozcan los resultados de ambas auditorías clínicas.</w:t>
      </w:r>
    </w:p>
    <w:p w14:paraId="48863E2B" w14:textId="13945EFD" w:rsidR="00640BAE" w:rsidRPr="00241DE4" w:rsidRDefault="00CF0E96" w:rsidP="00241DE4">
      <w:pPr>
        <w:spacing w:after="120" w:line="240" w:lineRule="auto"/>
        <w:jc w:val="both"/>
        <w:rPr>
          <w:sz w:val="23"/>
          <w:szCs w:val="23"/>
        </w:rPr>
      </w:pPr>
      <w:r>
        <w:rPr>
          <w:b/>
          <w:sz w:val="23"/>
          <w:szCs w:val="23"/>
        </w:rPr>
        <w:t>124</w:t>
      </w:r>
      <w:r w:rsidR="00640BAE" w:rsidRPr="00241DE4">
        <w:rPr>
          <w:b/>
          <w:sz w:val="23"/>
          <w:szCs w:val="23"/>
        </w:rPr>
        <w:t>.</w:t>
      </w:r>
      <w:r w:rsidR="00640BAE" w:rsidRPr="00241DE4">
        <w:rPr>
          <w:sz w:val="23"/>
          <w:szCs w:val="23"/>
        </w:rPr>
        <w:t xml:space="preserve"> Asimismo, cabe referir que en establecimientos privados de salud igualmente se presentan dificultades para que las mujeres reciban la atención de salud por aborto en tres causales de manera adecuada y oportuna. El caso de A.A.B., paciente de la Clínica Dávila (Santiago), ilustra este problema. En octubre de 2017, a las 12 semanas de embarazo se le diagnostica sospecha de inviabilidad fetal, sin entregarle mayor información, diagnóstico que a las 17 semanas de embarazo es confirmado (feto acráneo). Pese a la posibilidad legal de interrumpir el embarazo, su ginecólogo se excusa en base a su calidad de objetor de conciencia y la inexistencia de protocolos para ello, planteándole como única posibilidad la continuidad del embarazo a término. Frente a ello, A.A.B. debió acudir a un establecimiento público y presentar una solicitud al Ministerio de Salud, la que fue acogida favorablemente y luego de los respectivos diagnósticos médicos, fue intervenida en diciembre de 2017. Posteriormente, frente al reclamo presentado ante la Superintendencia de Salud en febrero de 2018, se dio inicio a un proceso de mediación que se encuentra en curso.</w:t>
      </w:r>
    </w:p>
    <w:p w14:paraId="5F595461" w14:textId="0C42EC89" w:rsidR="003C016C" w:rsidRPr="00446153" w:rsidRDefault="00CF0E96" w:rsidP="00241DE4">
      <w:pPr>
        <w:spacing w:after="120" w:line="240" w:lineRule="auto"/>
        <w:jc w:val="both"/>
        <w:rPr>
          <w:rFonts w:cs="Calibri"/>
          <w:sz w:val="23"/>
          <w:szCs w:val="23"/>
        </w:rPr>
      </w:pPr>
      <w:r w:rsidRPr="00446153">
        <w:rPr>
          <w:rFonts w:cs="Calibri"/>
          <w:b/>
          <w:color w:val="000000"/>
          <w:sz w:val="23"/>
          <w:szCs w:val="23"/>
        </w:rPr>
        <w:t>125</w:t>
      </w:r>
      <w:r w:rsidR="002A2168" w:rsidRPr="00446153">
        <w:rPr>
          <w:rFonts w:cs="Calibri"/>
          <w:b/>
          <w:color w:val="000000"/>
          <w:sz w:val="23"/>
          <w:szCs w:val="23"/>
        </w:rPr>
        <w:t>.</w:t>
      </w:r>
      <w:r w:rsidR="002A2168" w:rsidRPr="00446153">
        <w:rPr>
          <w:rFonts w:cs="Calibri"/>
          <w:color w:val="000000"/>
          <w:sz w:val="23"/>
          <w:szCs w:val="23"/>
        </w:rPr>
        <w:t xml:space="preserve"> </w:t>
      </w:r>
      <w:r w:rsidR="003C016C" w:rsidRPr="00446153">
        <w:rPr>
          <w:rFonts w:cs="Calibri"/>
          <w:color w:val="000000"/>
          <w:sz w:val="23"/>
          <w:szCs w:val="23"/>
        </w:rPr>
        <w:t>Si</w:t>
      </w:r>
      <w:r w:rsidR="002A2168" w:rsidRPr="00446153">
        <w:rPr>
          <w:rFonts w:cs="Calibri"/>
          <w:color w:val="000000"/>
          <w:sz w:val="23"/>
          <w:szCs w:val="23"/>
        </w:rPr>
        <w:t xml:space="preserve"> bien la despenalización </w:t>
      </w:r>
      <w:r w:rsidR="00640BAE" w:rsidRPr="00446153">
        <w:rPr>
          <w:rFonts w:cs="Calibri"/>
          <w:color w:val="000000"/>
          <w:sz w:val="23"/>
          <w:szCs w:val="23"/>
        </w:rPr>
        <w:t>de la interrupción del embarazo en</w:t>
      </w:r>
      <w:r w:rsidR="002A2168" w:rsidRPr="00446153">
        <w:rPr>
          <w:rFonts w:cs="Calibri"/>
          <w:color w:val="000000"/>
          <w:sz w:val="23"/>
          <w:szCs w:val="23"/>
        </w:rPr>
        <w:t xml:space="preserve"> tres causales </w:t>
      </w:r>
      <w:r w:rsidR="003C016C" w:rsidRPr="00446153">
        <w:rPr>
          <w:rFonts w:cs="Calibri"/>
          <w:color w:val="000000"/>
          <w:sz w:val="23"/>
          <w:szCs w:val="23"/>
        </w:rPr>
        <w:t>constituye un avance</w:t>
      </w:r>
      <w:r w:rsidR="002A2168" w:rsidRPr="00446153">
        <w:rPr>
          <w:rFonts w:cs="Calibri"/>
          <w:color w:val="000000"/>
          <w:sz w:val="23"/>
          <w:szCs w:val="23"/>
        </w:rPr>
        <w:t xml:space="preserve">, </w:t>
      </w:r>
      <w:r w:rsidR="003C016C" w:rsidRPr="00446153">
        <w:rPr>
          <w:rFonts w:cs="Calibri"/>
          <w:sz w:val="23"/>
          <w:szCs w:val="23"/>
        </w:rPr>
        <w:t xml:space="preserve">no da cuenta de la legítima decisión de </w:t>
      </w:r>
      <w:r w:rsidR="00640BAE" w:rsidRPr="00446153">
        <w:rPr>
          <w:rFonts w:cs="Calibri"/>
          <w:sz w:val="23"/>
          <w:szCs w:val="23"/>
        </w:rPr>
        <w:t xml:space="preserve">las </w:t>
      </w:r>
      <w:r w:rsidR="003C016C" w:rsidRPr="00446153">
        <w:rPr>
          <w:rFonts w:cs="Calibri"/>
          <w:sz w:val="23"/>
          <w:szCs w:val="23"/>
        </w:rPr>
        <w:t>mujeres que por múltiples causales –que no corresponde al Estado ponderar- deciden interrumpir embarazos para hacer efectivo su derecho a decidir el número y espaciamiento de hijos/as y las empuja a seguir recurriendo a prácticas clandestinas y eventualmente riesgosas.</w:t>
      </w:r>
    </w:p>
    <w:p w14:paraId="4C1E3156" w14:textId="77777777" w:rsidR="00241DE4" w:rsidRPr="00446153" w:rsidRDefault="00241DE4" w:rsidP="00241DE4">
      <w:pPr>
        <w:tabs>
          <w:tab w:val="left" w:pos="2942"/>
        </w:tabs>
        <w:spacing w:after="120" w:line="240" w:lineRule="auto"/>
        <w:jc w:val="both"/>
        <w:rPr>
          <w:rFonts w:cs="Calibri"/>
          <w:b/>
          <w:i/>
          <w:color w:val="000000"/>
          <w:sz w:val="23"/>
          <w:szCs w:val="23"/>
          <w:u w:val="single"/>
        </w:rPr>
      </w:pPr>
    </w:p>
    <w:p w14:paraId="42D703A7" w14:textId="77777777" w:rsidR="002A2168" w:rsidRPr="00446153" w:rsidRDefault="002A2168" w:rsidP="00241DE4">
      <w:pPr>
        <w:tabs>
          <w:tab w:val="left" w:pos="2942"/>
        </w:tabs>
        <w:spacing w:after="120" w:line="240" w:lineRule="auto"/>
        <w:jc w:val="both"/>
        <w:rPr>
          <w:rFonts w:cs="Calibri"/>
          <w:b/>
          <w:i/>
          <w:color w:val="000000"/>
          <w:sz w:val="23"/>
          <w:szCs w:val="23"/>
        </w:rPr>
      </w:pPr>
      <w:r w:rsidRPr="00446153">
        <w:rPr>
          <w:rFonts w:cs="Calibri"/>
          <w:b/>
          <w:i/>
          <w:color w:val="000000"/>
          <w:sz w:val="23"/>
          <w:szCs w:val="23"/>
          <w:u w:val="single"/>
        </w:rPr>
        <w:t>Recomendaciones</w:t>
      </w:r>
      <w:r w:rsidRPr="00446153">
        <w:rPr>
          <w:rFonts w:cs="Calibri"/>
          <w:b/>
          <w:i/>
          <w:color w:val="000000"/>
          <w:sz w:val="23"/>
          <w:szCs w:val="23"/>
        </w:rPr>
        <w:t>:</w:t>
      </w:r>
      <w:r w:rsidRPr="00446153">
        <w:rPr>
          <w:rFonts w:cs="Calibri"/>
          <w:b/>
          <w:i/>
          <w:color w:val="000000"/>
          <w:sz w:val="23"/>
          <w:szCs w:val="23"/>
        </w:rPr>
        <w:tab/>
      </w:r>
    </w:p>
    <w:p w14:paraId="3D5781D7" w14:textId="77777777" w:rsidR="00241DE4" w:rsidRPr="00446153" w:rsidRDefault="00241DE4" w:rsidP="00241DE4">
      <w:pPr>
        <w:tabs>
          <w:tab w:val="left" w:pos="2942"/>
        </w:tabs>
        <w:spacing w:after="120" w:line="240" w:lineRule="auto"/>
        <w:jc w:val="both"/>
        <w:rPr>
          <w:rFonts w:cs="Calibri"/>
          <w:b/>
          <w:i/>
          <w:color w:val="000000"/>
          <w:sz w:val="23"/>
          <w:szCs w:val="23"/>
        </w:rPr>
      </w:pPr>
    </w:p>
    <w:p w14:paraId="4DB3EF1D" w14:textId="51305BF6" w:rsidR="002A2168" w:rsidRPr="00446153" w:rsidRDefault="002A2168" w:rsidP="00241DE4">
      <w:pPr>
        <w:pStyle w:val="ListParagraph"/>
        <w:numPr>
          <w:ilvl w:val="0"/>
          <w:numId w:val="6"/>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 xml:space="preserve">Garantizar que toda mujer y niña, que se encuentre en las hipótesis de la ley, tendrá acceso a la prestación </w:t>
      </w:r>
      <w:r w:rsidR="003C016C" w:rsidRPr="00446153">
        <w:rPr>
          <w:rFonts w:cs="Calibri"/>
          <w:b/>
          <w:color w:val="000000"/>
          <w:sz w:val="23"/>
          <w:szCs w:val="23"/>
        </w:rPr>
        <w:t>para la interrupción del embarazo</w:t>
      </w:r>
      <w:r w:rsidRPr="00446153">
        <w:rPr>
          <w:rFonts w:cs="Calibri"/>
          <w:b/>
          <w:color w:val="000000"/>
          <w:sz w:val="23"/>
          <w:szCs w:val="23"/>
        </w:rPr>
        <w:t xml:space="preserve">, en condiciones seguras y </w:t>
      </w:r>
      <w:r w:rsidR="003C016C" w:rsidRPr="00446153">
        <w:rPr>
          <w:rFonts w:cs="Calibri"/>
          <w:b/>
          <w:color w:val="000000"/>
          <w:sz w:val="23"/>
          <w:szCs w:val="23"/>
        </w:rPr>
        <w:t>recibiendo</w:t>
      </w:r>
      <w:r w:rsidRPr="00446153">
        <w:rPr>
          <w:rFonts w:cs="Calibri"/>
          <w:b/>
          <w:color w:val="000000"/>
          <w:sz w:val="23"/>
          <w:szCs w:val="23"/>
        </w:rPr>
        <w:t xml:space="preserve"> un trato respetuoso de sus derechos humanos en todo el procedimiento. </w:t>
      </w:r>
    </w:p>
    <w:p w14:paraId="4744D498" w14:textId="17EBBC09" w:rsidR="00640BAE" w:rsidRPr="00446153" w:rsidRDefault="002A2168" w:rsidP="00241DE4">
      <w:pPr>
        <w:pStyle w:val="ListParagraph"/>
        <w:numPr>
          <w:ilvl w:val="0"/>
          <w:numId w:val="6"/>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 xml:space="preserve">Impulsar la discusión de una modificación a la actual ley que despenaliza la interrupción voluntaria del embarazo para </w:t>
      </w:r>
      <w:r w:rsidR="003C016C" w:rsidRPr="00446153">
        <w:rPr>
          <w:rFonts w:cs="Calibri"/>
          <w:b/>
          <w:color w:val="000000"/>
          <w:sz w:val="23"/>
          <w:szCs w:val="23"/>
        </w:rPr>
        <w:t xml:space="preserve">aumentar </w:t>
      </w:r>
      <w:r w:rsidRPr="00446153">
        <w:rPr>
          <w:rFonts w:cs="Calibri"/>
          <w:b/>
          <w:color w:val="000000"/>
          <w:sz w:val="23"/>
          <w:szCs w:val="23"/>
        </w:rPr>
        <w:t xml:space="preserve">el plazo establecido para niñas menores de 14 años. </w:t>
      </w:r>
    </w:p>
    <w:p w14:paraId="49995200" w14:textId="08F03817" w:rsidR="00640BAE" w:rsidRPr="00446153" w:rsidRDefault="00640BAE" w:rsidP="00241DE4">
      <w:pPr>
        <w:pStyle w:val="ListParagraph"/>
        <w:numPr>
          <w:ilvl w:val="0"/>
          <w:numId w:val="6"/>
        </w:numPr>
        <w:spacing w:after="120" w:line="240" w:lineRule="auto"/>
        <w:ind w:left="714" w:hanging="357"/>
        <w:contextualSpacing w:val="0"/>
        <w:jc w:val="both"/>
        <w:rPr>
          <w:rFonts w:cs="Calibri"/>
          <w:b/>
          <w:color w:val="000000"/>
          <w:sz w:val="23"/>
          <w:szCs w:val="23"/>
        </w:rPr>
      </w:pPr>
      <w:r w:rsidRPr="00446153">
        <w:rPr>
          <w:rFonts w:cs="Calibri"/>
          <w:b/>
          <w:color w:val="000000"/>
          <w:sz w:val="23"/>
          <w:szCs w:val="23"/>
        </w:rPr>
        <w:t xml:space="preserve">Dictar la reglamentación correspondiente para la forma en que los médicos y médicas puedan manifestar su objeción de conciencia, de forma previa y anticipada, respetando los derechos de las niñas y mujeres a interrupir su embarazo en las causales previstas por la ley y asegurando la presencia de un prestador no objetor en todo establecimiento de salud. </w:t>
      </w:r>
    </w:p>
    <w:p w14:paraId="1AD18A6F" w14:textId="77777777" w:rsidR="006C254A" w:rsidRPr="00241DE4" w:rsidRDefault="006C254A" w:rsidP="00241DE4">
      <w:pPr>
        <w:pStyle w:val="ListParagraph"/>
        <w:spacing w:after="120" w:line="240" w:lineRule="auto"/>
        <w:ind w:left="714"/>
        <w:contextualSpacing w:val="0"/>
        <w:jc w:val="both"/>
        <w:rPr>
          <w:rFonts w:cs="Calibri"/>
          <w:b/>
          <w:color w:val="FF0000"/>
          <w:sz w:val="23"/>
          <w:szCs w:val="23"/>
        </w:rPr>
      </w:pPr>
    </w:p>
    <w:p w14:paraId="73B87480" w14:textId="77777777" w:rsidR="002A2168" w:rsidRPr="00446153" w:rsidRDefault="002A2168" w:rsidP="00241DE4">
      <w:pPr>
        <w:spacing w:after="120" w:line="240" w:lineRule="auto"/>
        <w:jc w:val="both"/>
        <w:rPr>
          <w:rFonts w:cs="Calibri"/>
          <w:b/>
          <w:color w:val="000000"/>
          <w:sz w:val="28"/>
          <w:szCs w:val="28"/>
        </w:rPr>
      </w:pPr>
      <w:r w:rsidRPr="00446153">
        <w:rPr>
          <w:rFonts w:cs="Calibri"/>
          <w:b/>
          <w:color w:val="000000"/>
          <w:sz w:val="28"/>
          <w:szCs w:val="28"/>
        </w:rPr>
        <w:t>Artículo</w:t>
      </w:r>
      <w:r w:rsidR="003C016C" w:rsidRPr="00446153">
        <w:rPr>
          <w:rFonts w:cs="Calibri"/>
          <w:b/>
          <w:color w:val="000000"/>
          <w:sz w:val="28"/>
          <w:szCs w:val="28"/>
        </w:rPr>
        <w:t>s</w:t>
      </w:r>
      <w:r w:rsidRPr="00446153">
        <w:rPr>
          <w:rFonts w:cs="Calibri"/>
          <w:b/>
          <w:color w:val="000000"/>
          <w:sz w:val="28"/>
          <w:szCs w:val="28"/>
        </w:rPr>
        <w:t xml:space="preserve"> 12 y 13</w:t>
      </w:r>
    </w:p>
    <w:p w14:paraId="611CE786" w14:textId="77777777" w:rsidR="00241DE4" w:rsidRPr="00446153" w:rsidRDefault="00241DE4" w:rsidP="00241DE4">
      <w:pPr>
        <w:spacing w:after="120" w:line="240" w:lineRule="auto"/>
        <w:jc w:val="both"/>
        <w:rPr>
          <w:rFonts w:cs="Calibri"/>
          <w:b/>
          <w:color w:val="000000"/>
          <w:sz w:val="28"/>
          <w:szCs w:val="28"/>
        </w:rPr>
      </w:pPr>
    </w:p>
    <w:p w14:paraId="065A4AD7" w14:textId="77777777" w:rsidR="002A2168" w:rsidRPr="00446153" w:rsidRDefault="002A2168" w:rsidP="00241DE4">
      <w:pPr>
        <w:spacing w:after="120" w:line="240" w:lineRule="auto"/>
        <w:jc w:val="both"/>
        <w:rPr>
          <w:rFonts w:cs="Calibri"/>
          <w:b/>
          <w:color w:val="000000"/>
          <w:sz w:val="23"/>
          <w:szCs w:val="23"/>
        </w:rPr>
      </w:pPr>
      <w:r w:rsidRPr="00446153">
        <w:rPr>
          <w:rFonts w:cs="Calibri"/>
          <w:b/>
          <w:color w:val="000000"/>
          <w:sz w:val="23"/>
          <w:szCs w:val="23"/>
        </w:rPr>
        <w:t>Institucionalidad de Derechos Humanos</w:t>
      </w:r>
    </w:p>
    <w:p w14:paraId="50F5C2CA" w14:textId="77777777" w:rsidR="00BD7F7B" w:rsidRPr="00446153" w:rsidRDefault="00BD7F7B" w:rsidP="00241DE4">
      <w:pPr>
        <w:spacing w:after="120" w:line="240" w:lineRule="auto"/>
        <w:jc w:val="both"/>
        <w:rPr>
          <w:rFonts w:cs="Calibri"/>
          <w:b/>
          <w:color w:val="000000"/>
          <w:sz w:val="23"/>
          <w:szCs w:val="23"/>
        </w:rPr>
      </w:pPr>
    </w:p>
    <w:p w14:paraId="0ED1AE43" w14:textId="1D16F099" w:rsidR="00301400" w:rsidRPr="00241DE4" w:rsidRDefault="00CF0E96" w:rsidP="00241DE4">
      <w:pPr>
        <w:pStyle w:val="ListParagraph"/>
        <w:widowControl w:val="0"/>
        <w:autoSpaceDE w:val="0"/>
        <w:autoSpaceDN w:val="0"/>
        <w:adjustRightInd w:val="0"/>
        <w:spacing w:after="120" w:line="240" w:lineRule="auto"/>
        <w:ind w:left="0"/>
        <w:contextualSpacing w:val="0"/>
        <w:jc w:val="both"/>
        <w:rPr>
          <w:rFonts w:cs="Calibri"/>
          <w:sz w:val="23"/>
          <w:szCs w:val="23"/>
        </w:rPr>
      </w:pPr>
      <w:r>
        <w:rPr>
          <w:rFonts w:cs="Calibri"/>
          <w:b/>
          <w:sz w:val="23"/>
          <w:szCs w:val="23"/>
        </w:rPr>
        <w:t>126</w:t>
      </w:r>
      <w:r w:rsidR="002A2168" w:rsidRPr="00241DE4">
        <w:rPr>
          <w:rFonts w:cs="Calibri"/>
          <w:b/>
          <w:sz w:val="23"/>
          <w:szCs w:val="23"/>
        </w:rPr>
        <w:t>.</w:t>
      </w:r>
      <w:r w:rsidR="002A2168" w:rsidRPr="00241DE4">
        <w:rPr>
          <w:rFonts w:cs="Calibri"/>
          <w:sz w:val="23"/>
          <w:szCs w:val="23"/>
        </w:rPr>
        <w:t xml:space="preserve"> En la lista de cuestiones previas se solicitó al Estado de Chil</w:t>
      </w:r>
      <w:r w:rsidR="00640BAE" w:rsidRPr="00241DE4">
        <w:rPr>
          <w:rFonts w:cs="Calibri"/>
          <w:sz w:val="23"/>
          <w:szCs w:val="23"/>
        </w:rPr>
        <w:t>e indicar si ha establecido un Mecanismo Nacional de P</w:t>
      </w:r>
      <w:r w:rsidR="002A2168" w:rsidRPr="00241DE4">
        <w:rPr>
          <w:rFonts w:cs="Calibri"/>
          <w:sz w:val="23"/>
          <w:szCs w:val="23"/>
        </w:rPr>
        <w:t xml:space="preserve">revención </w:t>
      </w:r>
      <w:r w:rsidR="00640BAE" w:rsidRPr="00241DE4">
        <w:rPr>
          <w:rFonts w:cs="Calibri"/>
          <w:sz w:val="23"/>
          <w:szCs w:val="23"/>
        </w:rPr>
        <w:t>de la T</w:t>
      </w:r>
      <w:r w:rsidR="003C016C" w:rsidRPr="00241DE4">
        <w:rPr>
          <w:rFonts w:cs="Calibri"/>
          <w:sz w:val="23"/>
          <w:szCs w:val="23"/>
        </w:rPr>
        <w:t xml:space="preserve">ortura </w:t>
      </w:r>
      <w:r w:rsidR="002A2168" w:rsidRPr="00241DE4">
        <w:rPr>
          <w:rFonts w:cs="Calibri"/>
          <w:sz w:val="23"/>
          <w:szCs w:val="23"/>
        </w:rPr>
        <w:t>que prevea la realización de visitas a los c</w:t>
      </w:r>
      <w:r w:rsidR="00AB13AB" w:rsidRPr="00241DE4">
        <w:rPr>
          <w:rFonts w:cs="Calibri"/>
          <w:sz w:val="23"/>
          <w:szCs w:val="23"/>
        </w:rPr>
        <w:t>entros de privación de libertad. Dicho mecanismo debió crearse a más tarde el año 2009, esto es, un año después de la rati</w:t>
      </w:r>
      <w:r w:rsidR="00640BAE" w:rsidRPr="00241DE4">
        <w:rPr>
          <w:rFonts w:cs="Calibri"/>
          <w:sz w:val="23"/>
          <w:szCs w:val="23"/>
        </w:rPr>
        <w:t>ficación del Protoclo Facultativ</w:t>
      </w:r>
      <w:r w:rsidR="00AB13AB" w:rsidRPr="00241DE4">
        <w:rPr>
          <w:rFonts w:cs="Calibri"/>
          <w:sz w:val="23"/>
          <w:szCs w:val="23"/>
        </w:rPr>
        <w:t xml:space="preserve">o de la </w:t>
      </w:r>
      <w:r w:rsidR="00C92CE4" w:rsidRPr="00241DE4">
        <w:rPr>
          <w:rFonts w:cs="Calibri"/>
          <w:sz w:val="23"/>
          <w:szCs w:val="23"/>
        </w:rPr>
        <w:t xml:space="preserve">Convención contra la Tortura y otros Tratos o Penas Crueles, Inhumanos o Degradantes en diciembre de 2008; sin embargo, casi 10 años después, ello todavía permanece pendiente. </w:t>
      </w:r>
    </w:p>
    <w:p w14:paraId="2329679C" w14:textId="36E02290" w:rsidR="002A2168" w:rsidRPr="00241DE4" w:rsidRDefault="00CF0E96" w:rsidP="00241DE4">
      <w:pPr>
        <w:pStyle w:val="ListParagraph"/>
        <w:widowControl w:val="0"/>
        <w:autoSpaceDE w:val="0"/>
        <w:autoSpaceDN w:val="0"/>
        <w:adjustRightInd w:val="0"/>
        <w:spacing w:after="120" w:line="240" w:lineRule="auto"/>
        <w:ind w:left="0"/>
        <w:contextualSpacing w:val="0"/>
        <w:jc w:val="both"/>
        <w:rPr>
          <w:rFonts w:cs="Calibri"/>
          <w:b/>
          <w:sz w:val="23"/>
          <w:szCs w:val="23"/>
        </w:rPr>
      </w:pPr>
      <w:r>
        <w:rPr>
          <w:rFonts w:cs="Calibri"/>
          <w:b/>
          <w:sz w:val="23"/>
          <w:szCs w:val="23"/>
        </w:rPr>
        <w:t>127</w:t>
      </w:r>
      <w:r w:rsidR="002A2168" w:rsidRPr="00241DE4">
        <w:rPr>
          <w:rFonts w:cs="Calibri"/>
          <w:b/>
          <w:sz w:val="23"/>
          <w:szCs w:val="23"/>
        </w:rPr>
        <w:t xml:space="preserve">. </w:t>
      </w:r>
      <w:r w:rsidR="002A2168" w:rsidRPr="00241DE4">
        <w:rPr>
          <w:rFonts w:cs="Calibri"/>
          <w:sz w:val="23"/>
          <w:szCs w:val="23"/>
        </w:rPr>
        <w:t xml:space="preserve">Frente a este requerimiento, el Estado de Chile respondió que: </w:t>
      </w:r>
      <w:r w:rsidR="002A2168" w:rsidRPr="00241DE4">
        <w:rPr>
          <w:rFonts w:cs="Calibri"/>
          <w:i/>
          <w:sz w:val="23"/>
          <w:szCs w:val="23"/>
        </w:rPr>
        <w:t xml:space="preserve">“aún no cuenta con el Mecanismo Nacional de Prevención de la Tortura. Pese a lo ya señalado, cabe precisar que, de acuerdo al artículo 4°, inciso 2°, de la Ley núm. 20.405 que crea el INDH, éste (...) podrá comisionar a uno o más consejeros, al Director o a su personal para ingresar a recintos públicos donde una persona esté o pueda estar privada de libertad”. </w:t>
      </w:r>
      <w:r w:rsidR="002A2168" w:rsidRPr="00241DE4">
        <w:rPr>
          <w:rFonts w:cs="Calibri"/>
          <w:sz w:val="23"/>
          <w:szCs w:val="23"/>
        </w:rPr>
        <w:t>En relación con esta norma, el INDH solicitó a la Contraloría General de la República un pronunciamiento sobre la procedencia de ingresar a cualquier lugar espacialmente limitado que se encuentre a cargo de funcionarios/as públicas donde pueda configurarse una privación de libertad, incluyendo los furgones pol</w:t>
      </w:r>
      <w:r w:rsidR="00226A14" w:rsidRPr="00241DE4">
        <w:rPr>
          <w:rFonts w:cs="Calibri"/>
          <w:sz w:val="23"/>
          <w:szCs w:val="23"/>
        </w:rPr>
        <w:t xml:space="preserve">iciales. El 21 de septiembre del año 2012, </w:t>
      </w:r>
      <w:r w:rsidR="002A2168" w:rsidRPr="00241DE4">
        <w:rPr>
          <w:rFonts w:cs="Calibri"/>
          <w:sz w:val="23"/>
          <w:szCs w:val="23"/>
        </w:rPr>
        <w:t>el órgano contralor emitió el Dictamen nº 058070 sosteniendo que era proce</w:t>
      </w:r>
      <w:r w:rsidR="003C016C" w:rsidRPr="00241DE4">
        <w:rPr>
          <w:rFonts w:cs="Calibri"/>
          <w:sz w:val="23"/>
          <w:szCs w:val="23"/>
        </w:rPr>
        <w:t>dente dicho acceso mientras medi</w:t>
      </w:r>
      <w:r w:rsidR="002A2168" w:rsidRPr="00241DE4">
        <w:rPr>
          <w:rFonts w:cs="Calibri"/>
          <w:sz w:val="23"/>
          <w:szCs w:val="23"/>
        </w:rPr>
        <w:t>ara la debida comunicación con la autoridad correspondiente de Carabinero</w:t>
      </w:r>
      <w:r w:rsidR="00BD7F7B" w:rsidRPr="00241DE4">
        <w:rPr>
          <w:rFonts w:cs="Calibri"/>
          <w:sz w:val="23"/>
          <w:szCs w:val="23"/>
        </w:rPr>
        <w:t xml:space="preserve">s. Además, mediante Oficio nº </w:t>
      </w:r>
      <w:r w:rsidR="002A2168" w:rsidRPr="00241DE4">
        <w:rPr>
          <w:rFonts w:cs="Calibri"/>
          <w:sz w:val="23"/>
          <w:szCs w:val="23"/>
        </w:rPr>
        <w:t>516 de 17 de diciembre de 2014, el Director Nacional de Gendarmería ha instruido a directores regionales y otras autoridades sobre controles y colaboración para visitas realizadas por personeros del INDH a establecimie</w:t>
      </w:r>
      <w:r w:rsidR="00226A14" w:rsidRPr="00241DE4">
        <w:rPr>
          <w:rFonts w:cs="Calibri"/>
          <w:sz w:val="23"/>
          <w:szCs w:val="23"/>
        </w:rPr>
        <w:t xml:space="preserve">ntos penitenciarios (párrafo 14, </w:t>
      </w:r>
      <w:r w:rsidR="002A2168" w:rsidRPr="00241DE4">
        <w:rPr>
          <w:rFonts w:cs="Calibri"/>
          <w:sz w:val="23"/>
          <w:szCs w:val="23"/>
        </w:rPr>
        <w:t>sexto informe periódico conforme al artículo 19 CAT, de fecha 15 de marzo de 2017), agregando que, no obstante ello, el Gobierno estaría en la etapa final de elaboración de un proyecto de ley que crea el Mecanismo Nacional de Prevención contra la Tortura en cumplimiento con el Protocolo Facultativo de la Convención contra la Tort</w:t>
      </w:r>
      <w:r w:rsidR="00226A14" w:rsidRPr="00241DE4">
        <w:rPr>
          <w:rFonts w:cs="Calibri"/>
          <w:sz w:val="23"/>
          <w:szCs w:val="23"/>
        </w:rPr>
        <w:t>ura el cual será ingresado al Congreso Nacional</w:t>
      </w:r>
      <w:r w:rsidR="002A2168" w:rsidRPr="00241DE4">
        <w:rPr>
          <w:rFonts w:cs="Calibri"/>
          <w:sz w:val="23"/>
          <w:szCs w:val="23"/>
        </w:rPr>
        <w:t xml:space="preserve"> el primer trimestre de 2017.</w:t>
      </w:r>
    </w:p>
    <w:p w14:paraId="06788A64" w14:textId="7C14FED8" w:rsidR="002A2168" w:rsidRPr="00241DE4" w:rsidRDefault="00CF0E96" w:rsidP="00241DE4">
      <w:pPr>
        <w:pStyle w:val="ListParagraph"/>
        <w:widowControl w:val="0"/>
        <w:autoSpaceDE w:val="0"/>
        <w:autoSpaceDN w:val="0"/>
        <w:adjustRightInd w:val="0"/>
        <w:spacing w:after="120" w:line="240" w:lineRule="auto"/>
        <w:ind w:left="0"/>
        <w:contextualSpacing w:val="0"/>
        <w:jc w:val="both"/>
        <w:rPr>
          <w:rFonts w:cs="Calibri"/>
          <w:b/>
          <w:sz w:val="23"/>
          <w:szCs w:val="23"/>
        </w:rPr>
      </w:pPr>
      <w:r>
        <w:rPr>
          <w:rFonts w:cs="Calibri"/>
          <w:b/>
          <w:sz w:val="23"/>
          <w:szCs w:val="23"/>
        </w:rPr>
        <w:t>128</w:t>
      </w:r>
      <w:r w:rsidR="002A2168" w:rsidRPr="00241DE4">
        <w:rPr>
          <w:rFonts w:cs="Calibri"/>
          <w:b/>
          <w:sz w:val="23"/>
          <w:szCs w:val="23"/>
        </w:rPr>
        <w:t xml:space="preserve">. </w:t>
      </w:r>
      <w:r w:rsidR="002A2168" w:rsidRPr="00241DE4">
        <w:rPr>
          <w:rFonts w:cs="Calibri"/>
          <w:sz w:val="23"/>
          <w:szCs w:val="23"/>
        </w:rPr>
        <w:t>El 2017 el Ejecutivo ingresó al Congreso Nacional el Proyecto de Ley que establece el Mecanismo Nacional de Prevención a la Tortura (MNPT), estableciéndose la designación del Instituto Nacional de Derechos Humanos (INDH) como el Mecanismo, el que para el cumplimiento de su mandato actuaría exclusivamente a través del Comité de Prevención de la Tortura, cuerpo compuesto de 9 integrantes expertos y expertas, con dedicación exclusiva, escogidos por la mayoría simple del Consejo del INDH, quienes durarán 4 años en su cargo.</w:t>
      </w:r>
      <w:r w:rsidR="00C92CE4" w:rsidRPr="00241DE4">
        <w:rPr>
          <w:rFonts w:cs="Calibri"/>
          <w:sz w:val="23"/>
          <w:szCs w:val="23"/>
        </w:rPr>
        <w:t xml:space="preserve"> El proyecto fue aprobado en primer trámite constitucional por la Cámara de Dip</w:t>
      </w:r>
      <w:r w:rsidR="003C016C" w:rsidRPr="00241DE4">
        <w:rPr>
          <w:rFonts w:cs="Calibri"/>
          <w:sz w:val="23"/>
          <w:szCs w:val="23"/>
        </w:rPr>
        <w:t>utados en enero de 2018, y remit</w:t>
      </w:r>
      <w:r w:rsidR="00C92CE4" w:rsidRPr="00241DE4">
        <w:rPr>
          <w:rFonts w:cs="Calibri"/>
          <w:sz w:val="23"/>
          <w:szCs w:val="23"/>
        </w:rPr>
        <w:t xml:space="preserve">ido al Senado para su segundo debate legislativo. </w:t>
      </w:r>
      <w:r w:rsidR="002A2168" w:rsidRPr="00241DE4">
        <w:rPr>
          <w:rFonts w:cs="Calibri"/>
          <w:sz w:val="23"/>
          <w:szCs w:val="23"/>
        </w:rPr>
        <w:t xml:space="preserve">   </w:t>
      </w:r>
    </w:p>
    <w:p w14:paraId="61C0A882" w14:textId="20F995E0" w:rsidR="006E4F57" w:rsidRPr="00241DE4" w:rsidRDefault="00CF0E96" w:rsidP="00241DE4">
      <w:pPr>
        <w:spacing w:after="120" w:line="240" w:lineRule="auto"/>
        <w:jc w:val="both"/>
        <w:rPr>
          <w:rFonts w:eastAsia="Times New Roman"/>
          <w:sz w:val="23"/>
          <w:szCs w:val="23"/>
          <w:lang w:val="es-ES_tradnl" w:eastAsia="es-ES_tradnl"/>
        </w:rPr>
      </w:pPr>
      <w:r w:rsidRPr="00446153">
        <w:rPr>
          <w:rFonts w:cs="Calibri"/>
          <w:b/>
          <w:color w:val="000000"/>
          <w:sz w:val="23"/>
          <w:szCs w:val="23"/>
        </w:rPr>
        <w:t>129</w:t>
      </w:r>
      <w:r w:rsidR="002A2168" w:rsidRPr="00446153">
        <w:rPr>
          <w:rFonts w:cs="Calibri"/>
          <w:b/>
          <w:color w:val="000000"/>
          <w:sz w:val="23"/>
          <w:szCs w:val="23"/>
        </w:rPr>
        <w:t>.</w:t>
      </w:r>
      <w:r w:rsidR="002A2168" w:rsidRPr="00446153">
        <w:rPr>
          <w:rFonts w:cs="Calibri"/>
          <w:color w:val="000000"/>
          <w:sz w:val="23"/>
          <w:szCs w:val="23"/>
        </w:rPr>
        <w:t xml:space="preserve"> </w:t>
      </w:r>
      <w:r w:rsidR="006E4F57" w:rsidRPr="00241DE4">
        <w:rPr>
          <w:rFonts w:eastAsia="Times New Roman" w:cs="Arial"/>
          <w:sz w:val="23"/>
          <w:szCs w:val="23"/>
          <w:lang w:val="es-ES_tradnl" w:eastAsia="es-ES_tradnl"/>
        </w:rPr>
        <w:t>Aunque la presentación y debate de esta ley supone un avance, preocupa que no se consideren las recomendaciones efectuadas por el propio Subcomité para la Prevención de la Tortura (SPT) que, en su visita a Chile en el año 2016, declaró,</w:t>
      </w:r>
      <w:r w:rsidR="006E4F57" w:rsidRPr="00241DE4">
        <w:rPr>
          <w:rFonts w:eastAsia="Times New Roman" w:cs="Arial"/>
          <w:i/>
          <w:iCs/>
          <w:sz w:val="23"/>
          <w:szCs w:val="23"/>
          <w:lang w:val="es-ES_tradnl" w:eastAsia="es-ES_tradnl"/>
        </w:rPr>
        <w:t xml:space="preserve"> “con el fin de garantizar la autonomía funcional del MNP, el SPT recomienda que el MNP no esté sujeto a ninguna forma de subordinación con el INDH." </w:t>
      </w:r>
      <w:r w:rsidR="006E4F57" w:rsidRPr="00241DE4">
        <w:rPr>
          <w:rFonts w:eastAsia="Times New Roman" w:cs="Arial"/>
          <w:sz w:val="23"/>
          <w:szCs w:val="23"/>
          <w:lang w:val="es-ES_tradnl" w:eastAsia="es-ES_tradnl"/>
        </w:rPr>
        <w:t xml:space="preserve">Añadiendo la recomendación que, en su orgánica, el INDH, </w:t>
      </w:r>
      <w:r w:rsidR="006E4F57" w:rsidRPr="00241DE4">
        <w:rPr>
          <w:rFonts w:eastAsia="Times New Roman" w:cs="Arial"/>
          <w:i/>
          <w:iCs/>
          <w:sz w:val="23"/>
          <w:szCs w:val="23"/>
          <w:lang w:val="es-ES_tradnl" w:eastAsia="es-ES_tradnl"/>
        </w:rPr>
        <w:t>"[...] debería reflejar los requisitos del Protocolo Facultativo, que especifican que el MNP debe tener autonomía operativa con respecto a sus recursos, su plan de trabajo, conclusiones, recomendaciones y contacto directo y confidencial con el SPT [...]</w:t>
      </w:r>
      <w:r w:rsidR="0074223E" w:rsidRPr="00241DE4">
        <w:rPr>
          <w:rFonts w:eastAsia="Times New Roman" w:cs="Arial"/>
          <w:i/>
          <w:iCs/>
          <w:sz w:val="23"/>
          <w:szCs w:val="23"/>
          <w:lang w:val="es-ES_tradnl" w:eastAsia="es-ES_tradnl"/>
        </w:rPr>
        <w:t>”</w:t>
      </w:r>
      <w:r w:rsidR="006E4F57" w:rsidRPr="00241DE4">
        <w:rPr>
          <w:rFonts w:eastAsia="Times New Roman" w:cs="Arial"/>
          <w:i/>
          <w:iCs/>
          <w:sz w:val="23"/>
          <w:szCs w:val="23"/>
          <w:lang w:val="es-ES_tradnl" w:eastAsia="es-ES_tradnl"/>
        </w:rPr>
        <w:t>.  </w:t>
      </w:r>
      <w:r w:rsidR="006E4F57" w:rsidRPr="00241DE4">
        <w:rPr>
          <w:rFonts w:eastAsia="Times New Roman" w:cs="Arial"/>
          <w:sz w:val="23"/>
          <w:szCs w:val="23"/>
          <w:lang w:val="es-ES_tradnl" w:eastAsia="es-ES_tradnl"/>
        </w:rPr>
        <w:t xml:space="preserve">A pesar de las recomendaciones mencionadas, el proyecto que se encuentra en el Senado no solo determina que el INDH defina -en última instancia- la integración del MNPT, sino que además el Comité (MNPT) deberá someter al Consejo del INDH todas las normas para su funcionamiento, incluidas las relativas a su organización interna, así como la delegación de algunas de sus funciones y atribuciones en uno o más de sus miembros. Asimismo el INDH está facultado para contratar personal de apoyo requerido por el Comité. En este sentido, el SPT, indica que </w:t>
      </w:r>
      <w:r w:rsidR="006E4F57" w:rsidRPr="00241DE4">
        <w:rPr>
          <w:rFonts w:eastAsia="Times New Roman" w:cs="Arial"/>
          <w:i/>
          <w:iCs/>
          <w:sz w:val="23"/>
          <w:szCs w:val="23"/>
          <w:lang w:val="es-ES_tradnl" w:eastAsia="es-ES_tradnl"/>
        </w:rPr>
        <w:t>"El Protocolo Facultativo es inequívoco en la necesidad de que el Estado parte asigne recursos propios para el funcionamiento del MNP, con el fin de garantizar su independencia funcional. </w:t>
      </w:r>
      <w:r w:rsidR="006E4F57" w:rsidRPr="00241DE4">
        <w:rPr>
          <w:rFonts w:eastAsia="Times New Roman" w:cs="Arial"/>
          <w:i/>
          <w:iCs/>
          <w:sz w:val="23"/>
          <w:szCs w:val="23"/>
          <w:shd w:val="clear" w:color="auto" w:fill="FFFFFF"/>
          <w:lang w:val="es-ES_tradnl" w:eastAsia="es-ES_tradnl"/>
        </w:rPr>
        <w:t>Esto implica que el MNP debe actuar de forma independiente, no sólo del Estado, sino también del INDH"</w:t>
      </w:r>
      <w:r w:rsidR="006E4F57" w:rsidRPr="00446153">
        <w:rPr>
          <w:rStyle w:val="FootnoteReference"/>
          <w:rFonts w:cs="Calibri"/>
          <w:i/>
          <w:color w:val="000000"/>
          <w:sz w:val="23"/>
          <w:szCs w:val="23"/>
        </w:rPr>
        <w:t xml:space="preserve"> </w:t>
      </w:r>
      <w:r w:rsidR="006E4F57" w:rsidRPr="00446153">
        <w:rPr>
          <w:rStyle w:val="FootnoteReference"/>
          <w:rFonts w:cs="Calibri"/>
          <w:i/>
          <w:color w:val="000000"/>
          <w:sz w:val="23"/>
          <w:szCs w:val="23"/>
        </w:rPr>
        <w:footnoteReference w:id="79"/>
      </w:r>
      <w:r w:rsidR="006E4F57" w:rsidRPr="00241DE4">
        <w:rPr>
          <w:rFonts w:eastAsia="Times New Roman" w:cs="Arial"/>
          <w:i/>
          <w:iCs/>
          <w:sz w:val="23"/>
          <w:szCs w:val="23"/>
          <w:shd w:val="clear" w:color="auto" w:fill="FFFFFF"/>
          <w:lang w:val="es-ES_tradnl" w:eastAsia="es-ES_tradnl"/>
        </w:rPr>
        <w:t>.</w:t>
      </w:r>
    </w:p>
    <w:p w14:paraId="18EB7B50" w14:textId="2F695B90" w:rsidR="002A2168" w:rsidRPr="00241DE4" w:rsidRDefault="00CF0E96" w:rsidP="00241DE4">
      <w:pPr>
        <w:widowControl w:val="0"/>
        <w:autoSpaceDE w:val="0"/>
        <w:autoSpaceDN w:val="0"/>
        <w:adjustRightInd w:val="0"/>
        <w:spacing w:after="120" w:line="240" w:lineRule="auto"/>
        <w:jc w:val="both"/>
        <w:rPr>
          <w:rFonts w:cs="Calibri"/>
          <w:sz w:val="23"/>
          <w:szCs w:val="23"/>
        </w:rPr>
      </w:pPr>
      <w:r>
        <w:rPr>
          <w:rFonts w:cs="Calibri"/>
          <w:b/>
          <w:sz w:val="23"/>
          <w:szCs w:val="23"/>
        </w:rPr>
        <w:t>130</w:t>
      </w:r>
      <w:r w:rsidR="002A2168" w:rsidRPr="00241DE4">
        <w:rPr>
          <w:rFonts w:cs="Calibri"/>
          <w:b/>
          <w:sz w:val="23"/>
          <w:szCs w:val="23"/>
        </w:rPr>
        <w:t>.</w:t>
      </w:r>
      <w:r w:rsidR="002A2168" w:rsidRPr="00241DE4">
        <w:rPr>
          <w:rFonts w:cs="Calibri"/>
          <w:sz w:val="23"/>
          <w:szCs w:val="23"/>
        </w:rPr>
        <w:t xml:space="preserve"> Por otro lado, el mecanismo no contempla formas particulares de participación de la sociedad civil en el nombramiento de los expertos y expertas integrantes del Comité, como es recomendado de acuerdo a los estándares internacionales. </w:t>
      </w:r>
      <w:r w:rsidR="00D47407" w:rsidRPr="00241DE4">
        <w:rPr>
          <w:rFonts w:cs="Calibri"/>
          <w:sz w:val="23"/>
          <w:szCs w:val="23"/>
        </w:rPr>
        <w:t>En reuniones con la sociedad civil, l</w:t>
      </w:r>
      <w:r w:rsidR="002A2168" w:rsidRPr="00241DE4">
        <w:rPr>
          <w:rFonts w:cs="Calibri"/>
          <w:sz w:val="23"/>
          <w:szCs w:val="23"/>
        </w:rPr>
        <w:t xml:space="preserve">a Asociación para la Prevención de la Tortura ha recomendado que el proceso de nombramiento de los miembros del MNPT debe exigir que se realicen consultas o se implique en forma directa a una amplia variedad de los grupos de la sociedad civil, de manera de asegurar espacios de participación a la sociedad civil. </w:t>
      </w:r>
    </w:p>
    <w:p w14:paraId="1CE665C2" w14:textId="753867BB" w:rsidR="002A2168" w:rsidRPr="00446153" w:rsidRDefault="00CF0E96" w:rsidP="00241DE4">
      <w:pPr>
        <w:spacing w:after="120" w:line="240" w:lineRule="auto"/>
        <w:jc w:val="both"/>
        <w:rPr>
          <w:rFonts w:cs="Calibri"/>
          <w:color w:val="000000"/>
          <w:sz w:val="23"/>
          <w:szCs w:val="23"/>
        </w:rPr>
      </w:pPr>
      <w:r w:rsidRPr="00446153">
        <w:rPr>
          <w:rFonts w:cs="Calibri"/>
          <w:b/>
          <w:color w:val="000000"/>
          <w:sz w:val="23"/>
          <w:szCs w:val="23"/>
        </w:rPr>
        <w:t>131</w:t>
      </w:r>
      <w:r w:rsidR="002A2168" w:rsidRPr="00446153">
        <w:rPr>
          <w:rFonts w:cs="Calibri"/>
          <w:b/>
          <w:color w:val="000000"/>
          <w:sz w:val="23"/>
          <w:szCs w:val="23"/>
        </w:rPr>
        <w:t>.</w:t>
      </w:r>
      <w:r w:rsidR="002A2168" w:rsidRPr="00446153">
        <w:rPr>
          <w:rFonts w:cs="Calibri"/>
          <w:color w:val="000000"/>
          <w:sz w:val="23"/>
          <w:szCs w:val="23"/>
        </w:rPr>
        <w:t xml:space="preserve"> Otra cuestión preocupante en la propuesta de ley es la posibilidad del Mecanismo de denunciar sólo casos que constituyan tortura. </w:t>
      </w:r>
      <w:r w:rsidR="005610EA" w:rsidRPr="00446153">
        <w:rPr>
          <w:rFonts w:cs="Calibri"/>
          <w:color w:val="000000"/>
          <w:sz w:val="23"/>
          <w:szCs w:val="23"/>
        </w:rPr>
        <w:t xml:space="preserve">Esto puede generar impunidad para casos en que se adviertan otro tipo de actos atentatorios de los derechos humanos de personas privadas de libertad o detenidos, que no podrán ser denunciados por el Mecanismo. </w:t>
      </w:r>
    </w:p>
    <w:p w14:paraId="5F0E5CA2" w14:textId="15C3E261" w:rsidR="00241DE4" w:rsidRDefault="00CF0E96" w:rsidP="00241DE4">
      <w:pPr>
        <w:widowControl w:val="0"/>
        <w:autoSpaceDE w:val="0"/>
        <w:autoSpaceDN w:val="0"/>
        <w:adjustRightInd w:val="0"/>
        <w:spacing w:after="120" w:line="240" w:lineRule="auto"/>
        <w:jc w:val="both"/>
        <w:rPr>
          <w:rFonts w:cs="Calibri"/>
          <w:sz w:val="23"/>
          <w:szCs w:val="23"/>
        </w:rPr>
      </w:pPr>
      <w:r>
        <w:rPr>
          <w:rFonts w:cs="Calibri"/>
          <w:b/>
          <w:sz w:val="23"/>
          <w:szCs w:val="23"/>
        </w:rPr>
        <w:t>132</w:t>
      </w:r>
      <w:r w:rsidR="00416E2C" w:rsidRPr="00241DE4">
        <w:rPr>
          <w:rFonts w:cs="Calibri"/>
          <w:b/>
          <w:sz w:val="23"/>
          <w:szCs w:val="23"/>
        </w:rPr>
        <w:t>.</w:t>
      </w:r>
      <w:r w:rsidR="002A2168" w:rsidRPr="00241DE4">
        <w:rPr>
          <w:rFonts w:cs="Calibri"/>
          <w:sz w:val="23"/>
          <w:szCs w:val="23"/>
        </w:rPr>
        <w:t xml:space="preserve"> Resulta evidente concluir que el Estado chileno, mediante sus diferentes gobiernos, no le ha dado prioridad al establecimiento de un órgano que tenga la labor fundamental de observar y controlar las prácticas de violencia institucional ejercida en los diferentes espacios de privación de libertad, custodia y control de personas bajo diferentes agentes del Estado, </w:t>
      </w:r>
      <w:r w:rsidR="005610EA" w:rsidRPr="00241DE4">
        <w:rPr>
          <w:rFonts w:cs="Calibri"/>
          <w:sz w:val="23"/>
          <w:szCs w:val="23"/>
        </w:rPr>
        <w:t>como sería la instalación del Mecanismo Nacional de Prevención de la Tortura, a quién le cabría</w:t>
      </w:r>
      <w:r w:rsidR="002A2168" w:rsidRPr="00241DE4">
        <w:rPr>
          <w:rFonts w:cs="Calibri"/>
          <w:sz w:val="23"/>
          <w:szCs w:val="23"/>
        </w:rPr>
        <w:t xml:space="preserve"> precisamente enfocarse</w:t>
      </w:r>
      <w:r w:rsidR="005610EA" w:rsidRPr="00241DE4">
        <w:rPr>
          <w:rFonts w:cs="Calibri"/>
          <w:sz w:val="23"/>
          <w:szCs w:val="23"/>
        </w:rPr>
        <w:t xml:space="preserve"> en</w:t>
      </w:r>
      <w:r w:rsidR="002A2168" w:rsidRPr="00241DE4">
        <w:rPr>
          <w:rFonts w:cs="Calibri"/>
          <w:sz w:val="23"/>
          <w:szCs w:val="23"/>
        </w:rPr>
        <w:t xml:space="preserve"> la labor de prevención de la tortura y tratos inhumanos, crueles y degradantes. </w:t>
      </w:r>
    </w:p>
    <w:p w14:paraId="45049DC6" w14:textId="77777777" w:rsidR="00241DE4" w:rsidRPr="00241DE4" w:rsidRDefault="00241DE4" w:rsidP="00241DE4">
      <w:pPr>
        <w:widowControl w:val="0"/>
        <w:autoSpaceDE w:val="0"/>
        <w:autoSpaceDN w:val="0"/>
        <w:adjustRightInd w:val="0"/>
        <w:spacing w:after="120" w:line="240" w:lineRule="auto"/>
        <w:jc w:val="both"/>
        <w:rPr>
          <w:rFonts w:cs="Calibri"/>
          <w:sz w:val="23"/>
          <w:szCs w:val="23"/>
        </w:rPr>
      </w:pPr>
    </w:p>
    <w:p w14:paraId="5608C726" w14:textId="77777777" w:rsidR="002A2168" w:rsidRPr="00446153" w:rsidRDefault="002A2168" w:rsidP="00241DE4">
      <w:pPr>
        <w:spacing w:after="120" w:line="240" w:lineRule="auto"/>
        <w:jc w:val="both"/>
        <w:rPr>
          <w:rFonts w:cs="Calibri"/>
          <w:b/>
          <w:i/>
          <w:color w:val="000000"/>
          <w:sz w:val="23"/>
          <w:szCs w:val="23"/>
        </w:rPr>
      </w:pPr>
      <w:r w:rsidRPr="00446153">
        <w:rPr>
          <w:rFonts w:cs="Calibri"/>
          <w:b/>
          <w:i/>
          <w:color w:val="000000"/>
          <w:sz w:val="23"/>
          <w:szCs w:val="23"/>
          <w:u w:val="single"/>
        </w:rPr>
        <w:t>Recomendaciones</w:t>
      </w:r>
      <w:r w:rsidRPr="00446153">
        <w:rPr>
          <w:rFonts w:cs="Calibri"/>
          <w:b/>
          <w:i/>
          <w:color w:val="000000"/>
          <w:sz w:val="23"/>
          <w:szCs w:val="23"/>
        </w:rPr>
        <w:t xml:space="preserve">: </w:t>
      </w:r>
    </w:p>
    <w:p w14:paraId="5D25967C" w14:textId="77777777" w:rsidR="00241DE4" w:rsidRPr="00446153" w:rsidRDefault="00241DE4" w:rsidP="00241DE4">
      <w:pPr>
        <w:spacing w:after="120" w:line="240" w:lineRule="auto"/>
        <w:jc w:val="both"/>
        <w:rPr>
          <w:rFonts w:cs="Calibri"/>
          <w:b/>
          <w:i/>
          <w:color w:val="000000"/>
          <w:sz w:val="23"/>
          <w:szCs w:val="23"/>
        </w:rPr>
      </w:pPr>
    </w:p>
    <w:p w14:paraId="29CCEA20" w14:textId="77777777" w:rsidR="002A2168" w:rsidRPr="00446153" w:rsidRDefault="002A2168" w:rsidP="00241DE4">
      <w:pPr>
        <w:numPr>
          <w:ilvl w:val="0"/>
          <w:numId w:val="6"/>
        </w:numPr>
        <w:autoSpaceDE w:val="0"/>
        <w:autoSpaceDN w:val="0"/>
        <w:adjustRightInd w:val="0"/>
        <w:spacing w:after="120" w:line="240" w:lineRule="auto"/>
        <w:ind w:left="714" w:hanging="357"/>
        <w:jc w:val="both"/>
        <w:rPr>
          <w:rFonts w:cs="Calibri"/>
          <w:b/>
          <w:color w:val="000000"/>
          <w:sz w:val="23"/>
          <w:szCs w:val="23"/>
        </w:rPr>
      </w:pPr>
      <w:r w:rsidRPr="00446153">
        <w:rPr>
          <w:rFonts w:cs="Calibri"/>
          <w:b/>
          <w:color w:val="000000"/>
          <w:sz w:val="23"/>
          <w:szCs w:val="23"/>
        </w:rPr>
        <w:t>Promulgar la ley que crea el Mecanismo Nacional de Prevención de la Tortura en Chile, de acuerdo al Protocolo Facultativo de la Convención contra la Tortura.</w:t>
      </w:r>
    </w:p>
    <w:p w14:paraId="353EA7FD" w14:textId="77777777" w:rsidR="002A2168" w:rsidRPr="00446153" w:rsidRDefault="002A2168" w:rsidP="00241DE4">
      <w:pPr>
        <w:numPr>
          <w:ilvl w:val="0"/>
          <w:numId w:val="6"/>
        </w:numPr>
        <w:spacing w:after="120" w:line="240" w:lineRule="auto"/>
        <w:ind w:left="714" w:hanging="357"/>
        <w:jc w:val="both"/>
        <w:rPr>
          <w:rFonts w:cs="Calibri"/>
          <w:b/>
          <w:color w:val="000000"/>
          <w:sz w:val="23"/>
          <w:szCs w:val="23"/>
        </w:rPr>
      </w:pPr>
      <w:r w:rsidRPr="00446153">
        <w:rPr>
          <w:rFonts w:cs="Calibri"/>
          <w:b/>
          <w:color w:val="000000"/>
          <w:sz w:val="23"/>
          <w:szCs w:val="23"/>
        </w:rPr>
        <w:t xml:space="preserve">Incorporar a la sociedad civil en las distintas fases de implementación y fiscalización del futuro Mecanismo Nacional de Prevención de la Tortura. </w:t>
      </w:r>
    </w:p>
    <w:p w14:paraId="2E5EC98B" w14:textId="77777777" w:rsidR="002A2168" w:rsidRPr="00446153" w:rsidRDefault="002A2168" w:rsidP="00241DE4">
      <w:pPr>
        <w:numPr>
          <w:ilvl w:val="0"/>
          <w:numId w:val="6"/>
        </w:numPr>
        <w:spacing w:after="120" w:line="240" w:lineRule="auto"/>
        <w:ind w:left="714" w:hanging="357"/>
        <w:jc w:val="both"/>
        <w:rPr>
          <w:rFonts w:cs="Calibri"/>
          <w:b/>
          <w:color w:val="000000"/>
          <w:sz w:val="23"/>
          <w:szCs w:val="23"/>
        </w:rPr>
      </w:pPr>
      <w:r w:rsidRPr="00446153">
        <w:rPr>
          <w:rFonts w:cs="Calibri"/>
          <w:b/>
          <w:color w:val="000000"/>
          <w:sz w:val="23"/>
          <w:szCs w:val="23"/>
        </w:rPr>
        <w:t>Investigar eficazmente, tanto denuncias como querellas por lesiones, torturas y malos tratos, estableciendo un mecanismo de denuncia segura que garantice la imparcialidad de las instituciones que investigan.</w:t>
      </w:r>
    </w:p>
    <w:p w14:paraId="0566AA59" w14:textId="77777777" w:rsidR="00747BBA" w:rsidRPr="00446153" w:rsidRDefault="00747BBA" w:rsidP="00241DE4">
      <w:pPr>
        <w:spacing w:after="120" w:line="240" w:lineRule="auto"/>
        <w:jc w:val="both"/>
        <w:rPr>
          <w:rFonts w:cs="Calibri"/>
          <w:b/>
          <w:color w:val="000000"/>
          <w:sz w:val="23"/>
          <w:szCs w:val="23"/>
        </w:rPr>
      </w:pPr>
    </w:p>
    <w:p w14:paraId="4EA1CB6F" w14:textId="77777777" w:rsidR="002A2168" w:rsidRPr="00446153" w:rsidRDefault="002A2168" w:rsidP="00241DE4">
      <w:pPr>
        <w:spacing w:after="120" w:line="240" w:lineRule="auto"/>
        <w:jc w:val="both"/>
        <w:rPr>
          <w:rFonts w:cs="Calibri"/>
          <w:b/>
          <w:color w:val="000000"/>
          <w:sz w:val="28"/>
          <w:szCs w:val="28"/>
        </w:rPr>
      </w:pPr>
      <w:r w:rsidRPr="00446153">
        <w:rPr>
          <w:rFonts w:cs="Calibri"/>
          <w:b/>
          <w:color w:val="000000"/>
          <w:sz w:val="28"/>
          <w:szCs w:val="28"/>
        </w:rPr>
        <w:t>Artículo 14</w:t>
      </w:r>
    </w:p>
    <w:p w14:paraId="060AFFEC" w14:textId="77777777" w:rsidR="00241DE4" w:rsidRPr="00446153" w:rsidRDefault="00241DE4" w:rsidP="00241DE4">
      <w:pPr>
        <w:spacing w:after="120" w:line="240" w:lineRule="auto"/>
        <w:jc w:val="both"/>
        <w:rPr>
          <w:rFonts w:cs="Calibri"/>
          <w:b/>
          <w:color w:val="000000"/>
          <w:sz w:val="28"/>
          <w:szCs w:val="28"/>
        </w:rPr>
      </w:pPr>
    </w:p>
    <w:p w14:paraId="30063685" w14:textId="77777777" w:rsidR="00747BBA" w:rsidRPr="00446153" w:rsidRDefault="00747BBA" w:rsidP="00241DE4">
      <w:pPr>
        <w:spacing w:after="120" w:line="240" w:lineRule="auto"/>
        <w:jc w:val="both"/>
        <w:rPr>
          <w:rFonts w:cs="Calibri"/>
          <w:b/>
          <w:color w:val="000000"/>
          <w:sz w:val="23"/>
          <w:szCs w:val="23"/>
        </w:rPr>
      </w:pPr>
      <w:r w:rsidRPr="00446153">
        <w:rPr>
          <w:rFonts w:cs="Calibri"/>
          <w:b/>
          <w:color w:val="000000"/>
          <w:sz w:val="23"/>
          <w:szCs w:val="23"/>
        </w:rPr>
        <w:t>Programa de reparación y atención integral en salud (PRAIS)</w:t>
      </w:r>
    </w:p>
    <w:p w14:paraId="6F08B149" w14:textId="77777777" w:rsidR="00241DE4" w:rsidRPr="00446153" w:rsidRDefault="00241DE4" w:rsidP="00241DE4">
      <w:pPr>
        <w:spacing w:after="120" w:line="240" w:lineRule="auto"/>
        <w:jc w:val="both"/>
        <w:rPr>
          <w:rFonts w:cs="Calibri"/>
          <w:b/>
          <w:color w:val="000000"/>
          <w:sz w:val="23"/>
          <w:szCs w:val="23"/>
        </w:rPr>
      </w:pPr>
    </w:p>
    <w:p w14:paraId="796653F2" w14:textId="530E4B78" w:rsidR="00747BBA" w:rsidRPr="00241DE4" w:rsidRDefault="00CF0E96" w:rsidP="00241DE4">
      <w:pPr>
        <w:spacing w:after="120" w:line="240" w:lineRule="auto"/>
        <w:jc w:val="both"/>
        <w:rPr>
          <w:rFonts w:eastAsia="Times New Roman" w:cs="Calibri"/>
          <w:sz w:val="23"/>
          <w:szCs w:val="23"/>
          <w:lang w:eastAsia="es-ES"/>
        </w:rPr>
      </w:pPr>
      <w:r>
        <w:rPr>
          <w:rFonts w:eastAsia="Times New Roman" w:cs="Calibri"/>
          <w:b/>
          <w:sz w:val="23"/>
          <w:szCs w:val="23"/>
          <w:lang w:eastAsia="es-ES"/>
        </w:rPr>
        <w:t>133</w:t>
      </w:r>
      <w:r w:rsidR="00747BBA" w:rsidRPr="00241DE4">
        <w:rPr>
          <w:rFonts w:eastAsia="Times New Roman" w:cs="Calibri"/>
          <w:b/>
          <w:sz w:val="23"/>
          <w:szCs w:val="23"/>
          <w:lang w:eastAsia="es-ES"/>
        </w:rPr>
        <w:t>.</w:t>
      </w:r>
      <w:r w:rsidR="00747BBA" w:rsidRPr="00241DE4">
        <w:rPr>
          <w:rFonts w:eastAsia="Times New Roman" w:cs="Calibri"/>
          <w:sz w:val="23"/>
          <w:szCs w:val="23"/>
          <w:lang w:eastAsia="es-ES"/>
        </w:rPr>
        <w:t xml:space="preserve"> En las Observaciones Finales del Comité contra la Tortura se tomó nota del acceso de las víctimas de tortura al sistema PRAIS de salud y celebró "</w:t>
      </w:r>
      <w:r w:rsidR="00747BBA" w:rsidRPr="00241DE4">
        <w:rPr>
          <w:rFonts w:eastAsia="Times New Roman" w:cs="Calibri"/>
          <w:i/>
          <w:sz w:val="23"/>
          <w:szCs w:val="23"/>
          <w:lang w:eastAsia="es-ES"/>
        </w:rPr>
        <w:t>el nivel de cooperación de dicho programa con organizaciones como CINTRAS, CODEPU, ILAS y FASIC</w:t>
      </w:r>
      <w:r w:rsidR="00747BBA" w:rsidRPr="00241DE4">
        <w:rPr>
          <w:rFonts w:eastAsia="Times New Roman" w:cs="Calibri"/>
          <w:sz w:val="23"/>
          <w:szCs w:val="23"/>
          <w:lang w:eastAsia="es-ES"/>
        </w:rPr>
        <w:t>", pero expresó su preocupación respecto de "</w:t>
      </w:r>
      <w:r w:rsidR="00747BBA" w:rsidRPr="00241DE4">
        <w:rPr>
          <w:rFonts w:eastAsia="Times New Roman" w:cs="Calibri"/>
          <w:i/>
          <w:sz w:val="23"/>
          <w:szCs w:val="23"/>
          <w:lang w:eastAsia="es-ES"/>
        </w:rPr>
        <w:t>víctimas de tortura que residen fuera del país no puedan beneficiarse de este Programa</w:t>
      </w:r>
      <w:r w:rsidR="00747BBA" w:rsidRPr="00241DE4">
        <w:rPr>
          <w:rFonts w:eastAsia="Times New Roman" w:cs="Calibri"/>
          <w:sz w:val="23"/>
          <w:szCs w:val="23"/>
          <w:lang w:eastAsia="es-ES"/>
        </w:rPr>
        <w:t>", recomendando al Estado que "</w:t>
      </w:r>
      <w:r w:rsidR="00747BBA" w:rsidRPr="00241DE4">
        <w:rPr>
          <w:rFonts w:eastAsia="Times New Roman" w:cs="Calibri"/>
          <w:i/>
          <w:sz w:val="23"/>
          <w:szCs w:val="23"/>
          <w:lang w:eastAsia="es-ES"/>
        </w:rPr>
        <w:t>tenga en cuenta el deber de reparar a todas las víctimas de tortura y que considere establecer acuerdos de cooperación con países donde residen para que aquellas puedan tener acceso al tipo de tratamiento médico necesario a su condición de víctimas de tortura</w:t>
      </w:r>
      <w:r w:rsidR="00747BBA" w:rsidRPr="00241DE4">
        <w:rPr>
          <w:rFonts w:eastAsia="Times New Roman" w:cs="Calibri"/>
          <w:sz w:val="23"/>
          <w:szCs w:val="23"/>
          <w:lang w:eastAsia="es-ES"/>
        </w:rPr>
        <w:t>". Asimismo, el Comité instó al Estado a que "</w:t>
      </w:r>
      <w:r w:rsidR="00747BBA" w:rsidRPr="00241DE4">
        <w:rPr>
          <w:rFonts w:eastAsia="Times New Roman" w:cs="Calibri"/>
          <w:i/>
          <w:sz w:val="23"/>
          <w:szCs w:val="23"/>
          <w:lang w:eastAsia="es-ES"/>
        </w:rPr>
        <w:t xml:space="preserve">incorpore una política de género que incluya la capacitación </w:t>
      </w:r>
      <w:r w:rsidR="00747BBA" w:rsidRPr="00241DE4">
        <w:rPr>
          <w:rFonts w:cs="Calibri"/>
          <w:i/>
          <w:sz w:val="23"/>
          <w:szCs w:val="23"/>
        </w:rPr>
        <w:t>y sensibilización de los funcionarios encargados de atender los casos de las víctimas de agresión y violencia sexual. El Comité recomienda al Estado parte que incremente los esfuerzos en materia de reparación, indemnización y rehabilitación de manera que se garantice una reparación justa y adecuada a todas las víctimas de tortura</w:t>
      </w:r>
      <w:r w:rsidR="00747BBA" w:rsidRPr="00241DE4">
        <w:rPr>
          <w:rFonts w:eastAsia="Times New Roman" w:cs="Calibri"/>
          <w:sz w:val="23"/>
          <w:szCs w:val="23"/>
          <w:lang w:eastAsia="es-ES"/>
        </w:rPr>
        <w:t>" (párrafo 18).</w:t>
      </w:r>
    </w:p>
    <w:p w14:paraId="65AF5DA1" w14:textId="42474F55" w:rsidR="00747BBA" w:rsidRPr="00241DE4" w:rsidRDefault="00CF0E96" w:rsidP="00241DE4">
      <w:pPr>
        <w:spacing w:after="120" w:line="240" w:lineRule="auto"/>
        <w:jc w:val="both"/>
        <w:rPr>
          <w:rFonts w:eastAsia="Times New Roman" w:cs="Calibri"/>
          <w:sz w:val="23"/>
          <w:szCs w:val="23"/>
          <w:lang w:eastAsia="es-ES"/>
        </w:rPr>
      </w:pPr>
      <w:r>
        <w:rPr>
          <w:rFonts w:cs="Calibri"/>
          <w:b/>
          <w:sz w:val="23"/>
          <w:szCs w:val="23"/>
        </w:rPr>
        <w:t>134</w:t>
      </w:r>
      <w:r w:rsidR="00747BBA" w:rsidRPr="00241DE4">
        <w:rPr>
          <w:rFonts w:cs="Calibri"/>
          <w:b/>
          <w:sz w:val="23"/>
          <w:szCs w:val="23"/>
        </w:rPr>
        <w:t>.</w:t>
      </w:r>
      <w:r w:rsidR="00747BBA" w:rsidRPr="00241DE4">
        <w:rPr>
          <w:rFonts w:cs="Calibri"/>
          <w:sz w:val="23"/>
          <w:szCs w:val="23"/>
        </w:rPr>
        <w:t xml:space="preserve"> Al respecto, preocupa la ausencia de uniformidad en la entrega de beneficios PRAIS. El programa de salud depende de cada Servi</w:t>
      </w:r>
      <w:r w:rsidR="00236D63" w:rsidRPr="00241DE4">
        <w:rPr>
          <w:rFonts w:cs="Calibri"/>
          <w:sz w:val="23"/>
          <w:szCs w:val="23"/>
        </w:rPr>
        <w:t xml:space="preserve">cio regional de salud, por ende, </w:t>
      </w:r>
      <w:r w:rsidR="00747BBA" w:rsidRPr="00241DE4">
        <w:rPr>
          <w:rFonts w:cs="Calibri"/>
          <w:sz w:val="23"/>
          <w:szCs w:val="23"/>
        </w:rPr>
        <w:t>varía dentro del territorio nacional. Asimismo, y pese a las recomendaciones del Comité, persiste la preocupación respecto de las víctimas de tortura que se encuentren en el extranjero, que no acceden a tratamientos sicológicos ni a tratamientos de enfermedades derivadas a consecuencia de las torturas.</w:t>
      </w:r>
    </w:p>
    <w:p w14:paraId="3B863255" w14:textId="77777777" w:rsidR="00241DE4" w:rsidRDefault="00241DE4" w:rsidP="00241DE4">
      <w:pPr>
        <w:tabs>
          <w:tab w:val="left" w:pos="3041"/>
        </w:tabs>
        <w:spacing w:after="120" w:line="240" w:lineRule="auto"/>
        <w:jc w:val="both"/>
        <w:rPr>
          <w:rFonts w:eastAsia="Times New Roman" w:cs="Calibri"/>
          <w:b/>
          <w:i/>
          <w:sz w:val="23"/>
          <w:szCs w:val="23"/>
          <w:u w:val="single"/>
          <w:lang w:eastAsia="es-ES"/>
        </w:rPr>
      </w:pPr>
    </w:p>
    <w:p w14:paraId="13A7C6ED" w14:textId="77777777" w:rsidR="00747BBA" w:rsidRDefault="00747BBA" w:rsidP="00241DE4">
      <w:pPr>
        <w:tabs>
          <w:tab w:val="left" w:pos="3041"/>
        </w:tabs>
        <w:spacing w:after="120" w:line="240" w:lineRule="auto"/>
        <w:jc w:val="both"/>
        <w:rPr>
          <w:rFonts w:eastAsia="Times New Roman" w:cs="Calibri"/>
          <w:b/>
          <w:i/>
          <w:sz w:val="23"/>
          <w:szCs w:val="23"/>
          <w:lang w:eastAsia="es-ES"/>
        </w:rPr>
      </w:pPr>
      <w:r w:rsidRPr="00241DE4">
        <w:rPr>
          <w:rFonts w:eastAsia="Times New Roman" w:cs="Calibri"/>
          <w:b/>
          <w:i/>
          <w:sz w:val="23"/>
          <w:szCs w:val="23"/>
          <w:u w:val="single"/>
          <w:lang w:eastAsia="es-ES"/>
        </w:rPr>
        <w:t>Recomendaciones</w:t>
      </w:r>
      <w:r w:rsidRPr="00241DE4">
        <w:rPr>
          <w:rFonts w:eastAsia="Times New Roman" w:cs="Calibri"/>
          <w:b/>
          <w:i/>
          <w:sz w:val="23"/>
          <w:szCs w:val="23"/>
          <w:lang w:eastAsia="es-ES"/>
        </w:rPr>
        <w:t>:</w:t>
      </w:r>
      <w:r w:rsidRPr="00241DE4">
        <w:rPr>
          <w:rFonts w:eastAsia="Times New Roman" w:cs="Calibri"/>
          <w:b/>
          <w:i/>
          <w:sz w:val="23"/>
          <w:szCs w:val="23"/>
          <w:lang w:eastAsia="es-ES"/>
        </w:rPr>
        <w:tab/>
      </w:r>
    </w:p>
    <w:p w14:paraId="049E12DE" w14:textId="77777777" w:rsidR="00241DE4" w:rsidRPr="00241DE4" w:rsidRDefault="00241DE4" w:rsidP="00241DE4">
      <w:pPr>
        <w:tabs>
          <w:tab w:val="left" w:pos="3041"/>
        </w:tabs>
        <w:spacing w:after="120" w:line="240" w:lineRule="auto"/>
        <w:jc w:val="both"/>
        <w:rPr>
          <w:rFonts w:eastAsia="Times New Roman" w:cs="Calibri"/>
          <w:b/>
          <w:i/>
          <w:sz w:val="23"/>
          <w:szCs w:val="23"/>
          <w:u w:val="single"/>
          <w:lang w:eastAsia="es-ES"/>
        </w:rPr>
      </w:pPr>
    </w:p>
    <w:p w14:paraId="268738FB" w14:textId="77777777" w:rsidR="00747BBA" w:rsidRPr="00241DE4" w:rsidRDefault="00747BBA" w:rsidP="00241DE4">
      <w:pPr>
        <w:pStyle w:val="ListParagraph"/>
        <w:numPr>
          <w:ilvl w:val="0"/>
          <w:numId w:val="3"/>
        </w:numPr>
        <w:spacing w:after="120" w:line="240" w:lineRule="auto"/>
        <w:ind w:left="714" w:hanging="357"/>
        <w:contextualSpacing w:val="0"/>
        <w:jc w:val="both"/>
        <w:rPr>
          <w:rFonts w:eastAsia="Times New Roman" w:cs="Calibri"/>
          <w:b/>
          <w:sz w:val="23"/>
          <w:szCs w:val="23"/>
          <w:lang w:eastAsia="es-ES"/>
        </w:rPr>
      </w:pPr>
      <w:r w:rsidRPr="00241DE4">
        <w:rPr>
          <w:rFonts w:eastAsia="Times New Roman" w:cs="Calibri"/>
          <w:b/>
          <w:sz w:val="23"/>
          <w:szCs w:val="23"/>
          <w:lang w:eastAsia="es-ES"/>
        </w:rPr>
        <w:t xml:space="preserve">Mantener la atención de las víctimas de prisión política y tortura a través del sistema PRAIS, estableciendo un sistema de información pública que registre cuántas personas reciben dicha atención en las diversas regiones del país, si existen víctimas de tortura que no acceden a ella, cuánto se ha ampliado dicha atención en años recientes y las garantías para su financiamiento. </w:t>
      </w:r>
    </w:p>
    <w:p w14:paraId="2CA1C895" w14:textId="77777777" w:rsidR="00747BBA" w:rsidRPr="00241DE4" w:rsidRDefault="00747BBA" w:rsidP="00241DE4">
      <w:pPr>
        <w:pStyle w:val="ListParagraph"/>
        <w:numPr>
          <w:ilvl w:val="0"/>
          <w:numId w:val="3"/>
        </w:numPr>
        <w:spacing w:after="120" w:line="240" w:lineRule="auto"/>
        <w:ind w:left="714" w:hanging="357"/>
        <w:contextualSpacing w:val="0"/>
        <w:jc w:val="both"/>
        <w:rPr>
          <w:rFonts w:eastAsia="Times New Roman" w:cs="Calibri"/>
          <w:b/>
          <w:sz w:val="23"/>
          <w:szCs w:val="23"/>
          <w:lang w:eastAsia="es-ES"/>
        </w:rPr>
      </w:pPr>
      <w:r w:rsidRPr="00241DE4">
        <w:rPr>
          <w:rFonts w:eastAsia="Times New Roman" w:cs="Calibri"/>
          <w:b/>
          <w:sz w:val="23"/>
          <w:szCs w:val="23"/>
          <w:lang w:eastAsia="es-ES"/>
        </w:rPr>
        <w:t>Adoptar medidas para mantener la cooperación con organizaciones no gubernamentales que atienden a víctimas de tortura.</w:t>
      </w:r>
    </w:p>
    <w:p w14:paraId="5598B5F9" w14:textId="77777777" w:rsidR="00747BBA" w:rsidRPr="00241DE4" w:rsidRDefault="00747BBA" w:rsidP="00241DE4">
      <w:pPr>
        <w:pStyle w:val="ListParagraph"/>
        <w:numPr>
          <w:ilvl w:val="0"/>
          <w:numId w:val="3"/>
        </w:numPr>
        <w:spacing w:after="120" w:line="240" w:lineRule="auto"/>
        <w:ind w:left="714" w:hanging="357"/>
        <w:contextualSpacing w:val="0"/>
        <w:jc w:val="both"/>
        <w:rPr>
          <w:rFonts w:eastAsia="Times New Roman" w:cs="Calibri"/>
          <w:b/>
          <w:sz w:val="23"/>
          <w:szCs w:val="23"/>
          <w:lang w:eastAsia="es-ES"/>
        </w:rPr>
      </w:pPr>
      <w:r w:rsidRPr="00241DE4">
        <w:rPr>
          <w:rFonts w:eastAsia="Times New Roman" w:cs="Calibri"/>
          <w:b/>
          <w:sz w:val="23"/>
          <w:szCs w:val="23"/>
          <w:lang w:eastAsia="es-ES"/>
        </w:rPr>
        <w:t xml:space="preserve">Celebrar convenios de cooperación con países donde residen víctimas de tortura, con la finalidad de que se beneficien de la atención del sistema PRAIS. </w:t>
      </w:r>
    </w:p>
    <w:p w14:paraId="221B5567" w14:textId="336EA797" w:rsidR="002A2168" w:rsidRPr="00241DE4" w:rsidRDefault="00747BBA" w:rsidP="00241DE4">
      <w:pPr>
        <w:pStyle w:val="ListParagraph"/>
        <w:numPr>
          <w:ilvl w:val="0"/>
          <w:numId w:val="3"/>
        </w:numPr>
        <w:spacing w:after="120" w:line="240" w:lineRule="auto"/>
        <w:ind w:left="714" w:hanging="357"/>
        <w:contextualSpacing w:val="0"/>
        <w:jc w:val="both"/>
        <w:rPr>
          <w:rFonts w:eastAsia="Times New Roman" w:cs="Calibri"/>
          <w:b/>
          <w:sz w:val="23"/>
          <w:szCs w:val="23"/>
          <w:lang w:eastAsia="es-ES"/>
        </w:rPr>
      </w:pPr>
      <w:r w:rsidRPr="00241DE4">
        <w:rPr>
          <w:rFonts w:eastAsia="Times New Roman" w:cs="Calibri"/>
          <w:b/>
          <w:sz w:val="23"/>
          <w:szCs w:val="23"/>
          <w:lang w:eastAsia="es-ES"/>
        </w:rPr>
        <w:t>Adoptar medidas para implementar una política de género para la atención de víctimas de agresión y violencia sexual.</w:t>
      </w:r>
    </w:p>
    <w:sectPr w:rsidR="002A2168" w:rsidRPr="00241DE4" w:rsidSect="00D4185C">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2F3AFA" w14:textId="77777777" w:rsidR="00027F53" w:rsidRDefault="00027F53" w:rsidP="002A2168">
      <w:pPr>
        <w:spacing w:after="0" w:line="240" w:lineRule="auto"/>
      </w:pPr>
      <w:r>
        <w:separator/>
      </w:r>
    </w:p>
  </w:endnote>
  <w:endnote w:type="continuationSeparator" w:id="0">
    <w:p w14:paraId="0E8DB49C" w14:textId="77777777" w:rsidR="00027F53" w:rsidRDefault="00027F53" w:rsidP="002A2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354E2" w14:textId="77777777" w:rsidR="00301400" w:rsidRDefault="00301400" w:rsidP="00D46F7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FAC3F4F" w14:textId="77777777" w:rsidR="00301400" w:rsidRDefault="00301400" w:rsidP="00D46F7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80273F" w14:textId="77777777" w:rsidR="00301400" w:rsidRPr="00446153" w:rsidRDefault="00301400" w:rsidP="00D46F78">
    <w:pPr>
      <w:pStyle w:val="Footer"/>
      <w:framePr w:wrap="none" w:vAnchor="text" w:hAnchor="margin" w:xAlign="right" w:y="1"/>
      <w:rPr>
        <w:rStyle w:val="PageNumber"/>
        <w:i/>
        <w:color w:val="7F7F7F"/>
        <w:sz w:val="20"/>
        <w:szCs w:val="20"/>
      </w:rPr>
    </w:pPr>
    <w:r w:rsidRPr="00446153">
      <w:rPr>
        <w:rStyle w:val="PageNumber"/>
        <w:i/>
        <w:color w:val="7F7F7F"/>
        <w:sz w:val="20"/>
        <w:szCs w:val="20"/>
      </w:rPr>
      <w:fldChar w:fldCharType="begin"/>
    </w:r>
    <w:r w:rsidRPr="00446153">
      <w:rPr>
        <w:rStyle w:val="PageNumber"/>
        <w:i/>
        <w:color w:val="7F7F7F"/>
        <w:sz w:val="20"/>
        <w:szCs w:val="20"/>
      </w:rPr>
      <w:instrText xml:space="preserve">PAGE  </w:instrText>
    </w:r>
    <w:r w:rsidRPr="00446153">
      <w:rPr>
        <w:rStyle w:val="PageNumber"/>
        <w:i/>
        <w:color w:val="7F7F7F"/>
        <w:sz w:val="20"/>
        <w:szCs w:val="20"/>
      </w:rPr>
      <w:fldChar w:fldCharType="separate"/>
    </w:r>
    <w:r w:rsidR="00446153" w:rsidRPr="00446153">
      <w:rPr>
        <w:rStyle w:val="PageNumber"/>
        <w:i/>
        <w:noProof/>
        <w:color w:val="7F7F7F"/>
        <w:sz w:val="20"/>
        <w:szCs w:val="20"/>
      </w:rPr>
      <w:t>1</w:t>
    </w:r>
    <w:r w:rsidRPr="00446153">
      <w:rPr>
        <w:rStyle w:val="PageNumber"/>
        <w:i/>
        <w:color w:val="7F7F7F"/>
        <w:sz w:val="20"/>
        <w:szCs w:val="20"/>
      </w:rPr>
      <w:fldChar w:fldCharType="end"/>
    </w:r>
  </w:p>
  <w:p w14:paraId="5B6EA84D" w14:textId="77777777" w:rsidR="00301400" w:rsidRPr="00A00E1C" w:rsidRDefault="00301400" w:rsidP="00D46F7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AB4C6" w14:textId="77777777" w:rsidR="00027F53" w:rsidRDefault="00027F53" w:rsidP="002A2168">
      <w:pPr>
        <w:spacing w:after="0" w:line="240" w:lineRule="auto"/>
      </w:pPr>
      <w:r>
        <w:separator/>
      </w:r>
    </w:p>
  </w:footnote>
  <w:footnote w:type="continuationSeparator" w:id="0">
    <w:p w14:paraId="4B4823AA" w14:textId="77777777" w:rsidR="00027F53" w:rsidRDefault="00027F53" w:rsidP="002A2168">
      <w:pPr>
        <w:spacing w:after="0" w:line="240" w:lineRule="auto"/>
      </w:pPr>
      <w:r>
        <w:continuationSeparator/>
      </w:r>
    </w:p>
  </w:footnote>
  <w:footnote w:id="1">
    <w:p w14:paraId="3A6124E2"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Durante el periodo en que se elaboró este Informe, se inician las rondas policiales masivas en sectores populares a lo largo del país. Es así como la noche del 15 al 16 de junio son detenidas a lo largo del país, según informa el Ministro del Interior, 4.885 personas. Según información de prensa, </w:t>
      </w:r>
      <w:r w:rsidRPr="001D7D7F">
        <w:rPr>
          <w:i/>
          <w:sz w:val="20"/>
          <w:szCs w:val="20"/>
        </w:rPr>
        <w:t xml:space="preserve">“573 fueron detenidos por delitos violentos y 1.312 por ilícitos contra la propiedad. Sin embargo, no fue posible obtener una versión del ítem “otros casos”, que concentra 3.000 de los detenidos” </w:t>
      </w:r>
      <w:r w:rsidRPr="001D7D7F">
        <w:rPr>
          <w:sz w:val="20"/>
          <w:szCs w:val="20"/>
        </w:rPr>
        <w:t xml:space="preserve">(Diario La Tercera). El mismo medio señala que el 73% de los arrestados en la Región Metropolitana no debieron enfrentar a tribunales.  </w:t>
      </w:r>
    </w:p>
  </w:footnote>
  <w:footnote w:id="2">
    <w:p w14:paraId="3BD0C007"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Artículo 150, letra A, inciso tercero, Código Penal de Chile. </w:t>
      </w:r>
    </w:p>
  </w:footnote>
  <w:footnote w:id="3">
    <w:p w14:paraId="5263A2C9"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CORTE INTERAMERICANA DE DERECHOS HUMANOS, “Caso Almonacid Arellano y otros Vs. Chile”, Sentencia de 26 de septiembre de 2006, Excepciones Preliminares, Fondo, Reparaciones y Costas.</w:t>
      </w:r>
    </w:p>
  </w:footnote>
  <w:footnote w:id="4">
    <w:p w14:paraId="5368D57B"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En el mismo sentido: CONSEJO DE DERECHOS HUMANOS, Examen Periódico Universal Informe del Grupo de Trabajo sobre el Examen Periódico Universal Chile, Op. Cit., párrafo 96.39; </w:t>
      </w:r>
      <w:r w:rsidRPr="001D7D7F">
        <w:rPr>
          <w:bCs/>
          <w:sz w:val="20"/>
          <w:szCs w:val="20"/>
        </w:rPr>
        <w:t xml:space="preserve">COMITÉ DE DERECHOS HUMANOS, </w:t>
      </w:r>
      <w:r w:rsidRPr="001D7D7F">
        <w:rPr>
          <w:sz w:val="20"/>
          <w:szCs w:val="20"/>
        </w:rPr>
        <w:t>Examen de los informes presentados por los estados partes con arreglo al artículo 40 del Pacto, Observaciones finales del Comité de Derechos Humanos CHILE, 89º período de sesiones, 17 de abril de 2007, CCPR/C/CHL/CO/5, párrafo 5.</w:t>
      </w:r>
    </w:p>
  </w:footnote>
  <w:footnote w:id="5">
    <w:p w14:paraId="77D2AF10" w14:textId="77777777" w:rsidR="00301400" w:rsidRPr="001D7D7F" w:rsidRDefault="00301400" w:rsidP="001D7D7F">
      <w:pPr>
        <w:spacing w:after="0" w:line="240" w:lineRule="auto"/>
        <w:jc w:val="both"/>
        <w:rPr>
          <w:rFonts w:eastAsia="Times New Roman"/>
          <w:sz w:val="20"/>
          <w:szCs w:val="20"/>
          <w:lang w:val="es-ES_tradnl" w:eastAsia="es-ES_tradnl"/>
        </w:rPr>
      </w:pPr>
      <w:r w:rsidRPr="001D7D7F">
        <w:rPr>
          <w:rStyle w:val="FootnoteReference"/>
          <w:sz w:val="20"/>
          <w:szCs w:val="20"/>
        </w:rPr>
        <w:footnoteRef/>
      </w:r>
      <w:r w:rsidRPr="001D7D7F">
        <w:rPr>
          <w:sz w:val="20"/>
          <w:szCs w:val="20"/>
        </w:rPr>
        <w:t xml:space="preserve"> </w:t>
      </w:r>
      <w:r w:rsidRPr="001D7D7F">
        <w:rPr>
          <w:rFonts w:eastAsia="Times New Roman"/>
          <w:color w:val="222222"/>
          <w:sz w:val="20"/>
          <w:szCs w:val="20"/>
          <w:shd w:val="clear" w:color="auto" w:fill="FFFFFF"/>
          <w:lang w:val="es-ES_tradnl" w:eastAsia="es-ES_tradnl"/>
        </w:rPr>
        <w:t xml:space="preserve">A pesar de ello, la atenuante de irreprochable conducta anterior ha empezado a ser utilizado con una frecuencia notablemente mayor que en otros años. Cabe recordar que, por más absurdo o aberrante que parezca, ello puede ser invocado incluso por el más notorio agente de múltiples crímenes, porque es medido según los antecedentes penales que una persona tiene, no al momento de ser juzgado, sino en el momento de cometer el delito. </w:t>
      </w:r>
    </w:p>
    <w:p w14:paraId="689301C7" w14:textId="77777777" w:rsidR="00301400" w:rsidRPr="001D7D7F" w:rsidRDefault="00301400" w:rsidP="001D7D7F">
      <w:pPr>
        <w:pStyle w:val="FootnoteText"/>
        <w:jc w:val="both"/>
        <w:rPr>
          <w:sz w:val="20"/>
          <w:szCs w:val="20"/>
          <w:lang w:val="es-ES"/>
        </w:rPr>
      </w:pPr>
    </w:p>
  </w:footnote>
  <w:footnote w:id="6">
    <w:p w14:paraId="6AB830FE"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Informe completo en: </w:t>
      </w:r>
      <w:hyperlink r:id="rId1" w:history="1">
        <w:r w:rsidRPr="001D7D7F">
          <w:rPr>
            <w:rStyle w:val="Hyperlink"/>
            <w:sz w:val="20"/>
            <w:szCs w:val="20"/>
          </w:rPr>
          <w:t>http://www.acnur.org/fileadmin/Documentos/BDL/2010/7856.pdf?view=1</w:t>
        </w:r>
      </w:hyperlink>
      <w:r w:rsidRPr="001D7D7F">
        <w:rPr>
          <w:sz w:val="20"/>
          <w:szCs w:val="20"/>
        </w:rPr>
        <w:t xml:space="preserve"> (visitado 19/06/18, 12:52). </w:t>
      </w:r>
    </w:p>
  </w:footnote>
  <w:footnote w:id="7">
    <w:p w14:paraId="373C6A39"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color w:val="000000"/>
          <w:sz w:val="20"/>
          <w:szCs w:val="20"/>
          <w:lang w:val="es-ES_tradnl"/>
        </w:rPr>
        <w:t xml:space="preserve">CORTE INTERAMERICANA DE DERECHOS HUMANOS (2005), </w:t>
      </w:r>
      <w:r w:rsidRPr="001D7D7F">
        <w:rPr>
          <w:i/>
          <w:iCs/>
          <w:color w:val="000000"/>
          <w:sz w:val="20"/>
          <w:szCs w:val="20"/>
          <w:lang w:val="es-ES_tradnl"/>
        </w:rPr>
        <w:t>Caso Palamara Iribarne Vs. Chile</w:t>
      </w:r>
      <w:r w:rsidRPr="001D7D7F">
        <w:rPr>
          <w:color w:val="000000"/>
          <w:sz w:val="20"/>
          <w:szCs w:val="20"/>
          <w:lang w:val="es-ES_tradnl"/>
        </w:rPr>
        <w:t>, Sentencia de 22 de noviembre de 2005 (Fondo, Reparaciones y Costas), Serie C N° 135, puntos resolutivos 14 y 15.</w:t>
      </w:r>
    </w:p>
  </w:footnote>
  <w:footnote w:id="8">
    <w:p w14:paraId="23C3E067"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color w:val="000000"/>
          <w:sz w:val="20"/>
          <w:szCs w:val="20"/>
          <w:lang w:val="es-ES_tradnl"/>
        </w:rPr>
        <w:t xml:space="preserve">COMITÉ DE DERECHOS HUMANOS (2014), </w:t>
      </w:r>
      <w:r w:rsidRPr="001D7D7F">
        <w:rPr>
          <w:i/>
          <w:iCs/>
          <w:color w:val="000000"/>
          <w:sz w:val="20"/>
          <w:szCs w:val="20"/>
          <w:lang w:val="es-ES_tradnl"/>
        </w:rPr>
        <w:t>Observaciones finales sobre el sexto informe periódico de Chile</w:t>
      </w:r>
      <w:r w:rsidRPr="001D7D7F">
        <w:rPr>
          <w:color w:val="000000"/>
          <w:sz w:val="20"/>
          <w:szCs w:val="20"/>
          <w:lang w:val="es-ES_tradnl"/>
        </w:rPr>
        <w:t xml:space="preserve">, 111o período de sesiones, 13 de agosto de 2014, U.N. Doc. CCPR/C/CHL/CO/6, párr. 22; COMITÉ DE DERECHOS HUMANOS (2007), </w:t>
      </w:r>
      <w:r w:rsidRPr="001D7D7F">
        <w:rPr>
          <w:i/>
          <w:iCs/>
          <w:color w:val="000000"/>
          <w:sz w:val="20"/>
          <w:szCs w:val="20"/>
          <w:lang w:val="es-ES_tradnl"/>
        </w:rPr>
        <w:t>Examen de los informes presentados por los Estados partes con arreglo al artículo 40 del Pacto, Observaciones finales del Comité de Derechos Humanos, Chile</w:t>
      </w:r>
      <w:r w:rsidRPr="001D7D7F">
        <w:rPr>
          <w:color w:val="000000"/>
          <w:sz w:val="20"/>
          <w:szCs w:val="20"/>
          <w:lang w:val="es-ES_tradnl"/>
        </w:rPr>
        <w:t>, 89° período de sesiones, 17 de abril de 2007, U.N. Doc. CCPR/C/CHL/CO/5, párr. 12.</w:t>
      </w:r>
    </w:p>
  </w:footnote>
  <w:footnote w:id="9">
    <w:p w14:paraId="2C84A523"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color w:val="000000"/>
          <w:sz w:val="20"/>
          <w:szCs w:val="20"/>
          <w:lang w:val="es-ES_tradnl"/>
        </w:rPr>
        <w:t xml:space="preserve">COMITÉ CONTRA LA TORTURA (2009), </w:t>
      </w:r>
      <w:r w:rsidRPr="001D7D7F">
        <w:rPr>
          <w:i/>
          <w:iCs/>
          <w:color w:val="000000"/>
          <w:sz w:val="20"/>
          <w:szCs w:val="20"/>
          <w:lang w:val="es-ES_tradnl"/>
        </w:rPr>
        <w:t>Examen de los informes presentados por los Estados partes en virtud del artículo 19 de la Convención, Observaciones finales del Comité contra la Tortura, Chile</w:t>
      </w:r>
      <w:r w:rsidRPr="001D7D7F">
        <w:rPr>
          <w:color w:val="000000"/>
          <w:sz w:val="20"/>
          <w:szCs w:val="20"/>
          <w:lang w:val="es-ES_tradnl"/>
        </w:rPr>
        <w:t>, 42° período de sesiones, 23 de junio de 2009, U.N. Doc. CAT/C/CHL/CO/5, párr. 14.</w:t>
      </w:r>
    </w:p>
  </w:footnote>
  <w:footnote w:id="10">
    <w:p w14:paraId="77C001C2" w14:textId="371A57EA" w:rsidR="00301400" w:rsidRPr="001D7D7F" w:rsidRDefault="00301400" w:rsidP="00326D5E">
      <w:pPr>
        <w:widowControl w:val="0"/>
        <w:autoSpaceDE w:val="0"/>
        <w:autoSpaceDN w:val="0"/>
        <w:adjustRightInd w:val="0"/>
        <w:spacing w:after="0" w:line="240" w:lineRule="auto"/>
        <w:jc w:val="both"/>
        <w:rPr>
          <w:color w:val="000000"/>
          <w:sz w:val="20"/>
          <w:szCs w:val="20"/>
          <w:lang w:val="es-ES_tradnl"/>
        </w:rPr>
      </w:pPr>
      <w:r w:rsidRPr="001D7D7F">
        <w:rPr>
          <w:rStyle w:val="FootnoteReference"/>
          <w:sz w:val="20"/>
          <w:szCs w:val="20"/>
        </w:rPr>
        <w:footnoteRef/>
      </w:r>
      <w:r w:rsidRPr="001D7D7F">
        <w:rPr>
          <w:sz w:val="20"/>
          <w:szCs w:val="20"/>
        </w:rPr>
        <w:t xml:space="preserve"> </w:t>
      </w:r>
      <w:r w:rsidRPr="001D7D7F">
        <w:rPr>
          <w:color w:val="000000"/>
          <w:sz w:val="20"/>
          <w:szCs w:val="20"/>
          <w:lang w:val="es-ES_tradnl"/>
        </w:rPr>
        <w:t xml:space="preserve">CONSEJO DE DERECHOS HUMANOS (2014), </w:t>
      </w:r>
      <w:r w:rsidRPr="001D7D7F">
        <w:rPr>
          <w:i/>
          <w:iCs/>
          <w:color w:val="000000"/>
          <w:sz w:val="20"/>
          <w:szCs w:val="20"/>
          <w:lang w:val="es-ES_tradnl"/>
        </w:rPr>
        <w:t>Informe del Grupo de Trabajo sobre el Examen Periódico Universal, Chile</w:t>
      </w:r>
      <w:r w:rsidRPr="001D7D7F">
        <w:rPr>
          <w:color w:val="000000"/>
          <w:sz w:val="20"/>
          <w:szCs w:val="20"/>
          <w:lang w:val="es-ES_tradnl"/>
        </w:rPr>
        <w:t xml:space="preserve">, 26° período de sesiones, 2 de abril de 2014, U.N. Doc. A/HRC/26/5, párrs. 121.109 a 121.112; CONSEJO DE DERECHOS HUMANOS (2009), </w:t>
      </w:r>
      <w:r w:rsidRPr="001D7D7F">
        <w:rPr>
          <w:i/>
          <w:iCs/>
          <w:color w:val="000000"/>
          <w:sz w:val="20"/>
          <w:szCs w:val="20"/>
          <w:lang w:val="es-ES_tradnl"/>
        </w:rPr>
        <w:t>Examen Periódico Universal, Informe del Grupo de Trabajo sobre el Examen Periódico Universal, Chile</w:t>
      </w:r>
      <w:r w:rsidRPr="001D7D7F">
        <w:rPr>
          <w:color w:val="000000"/>
          <w:sz w:val="20"/>
          <w:szCs w:val="20"/>
          <w:lang w:val="es-ES_tradnl"/>
        </w:rPr>
        <w:t>, 12° período de sesiones, 4 de junio de 2009, U.N. Doc. A/HRC/12/10, párrs. 96.46 a 96.49.</w:t>
      </w:r>
    </w:p>
  </w:footnote>
  <w:footnote w:id="11">
    <w:p w14:paraId="1C106BB6" w14:textId="77777777" w:rsidR="00301400" w:rsidRPr="001D7D7F" w:rsidRDefault="00301400" w:rsidP="00326D5E">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color w:val="000000"/>
          <w:sz w:val="20"/>
          <w:szCs w:val="20"/>
          <w:lang w:val="es-ES_tradnl"/>
        </w:rPr>
        <w:t>República de Chile, Ley No 20.477 modifica competencia de tribunales militares, publicada en el Diario Oficial el 30 de diciembre de 2010.</w:t>
      </w:r>
    </w:p>
  </w:footnote>
  <w:footnote w:id="12">
    <w:p w14:paraId="3D00DEE3"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color w:val="000000"/>
          <w:sz w:val="20"/>
          <w:szCs w:val="20"/>
          <w:lang w:val="es-ES_tradnl"/>
        </w:rPr>
        <w:t xml:space="preserve">Ver: OBSERVATORIO PARLAMENTARIO (2014), </w:t>
      </w:r>
      <w:r w:rsidRPr="001D7D7F">
        <w:rPr>
          <w:i/>
          <w:iCs/>
          <w:color w:val="000000"/>
          <w:sz w:val="20"/>
          <w:szCs w:val="20"/>
          <w:lang w:val="es-ES_tradnl"/>
        </w:rPr>
        <w:t>Balance al Poder Legislativo Período 2010-2013</w:t>
      </w:r>
      <w:r w:rsidRPr="001D7D7F">
        <w:rPr>
          <w:color w:val="000000"/>
          <w:sz w:val="20"/>
          <w:szCs w:val="20"/>
          <w:lang w:val="es-ES_tradnl"/>
        </w:rPr>
        <w:t xml:space="preserve">, pp. 53-60; OBSERVATORIO PARLAMENTARIO (2013), </w:t>
      </w:r>
      <w:r w:rsidRPr="001D7D7F">
        <w:rPr>
          <w:i/>
          <w:iCs/>
          <w:color w:val="000000"/>
          <w:sz w:val="20"/>
          <w:szCs w:val="20"/>
          <w:lang w:val="es-ES_tradnl"/>
        </w:rPr>
        <w:t>Balance al Poder Legislativo Año 2012</w:t>
      </w:r>
      <w:r w:rsidRPr="001D7D7F">
        <w:rPr>
          <w:color w:val="000000"/>
          <w:sz w:val="20"/>
          <w:szCs w:val="20"/>
          <w:lang w:val="es-ES_tradnl"/>
        </w:rPr>
        <w:t xml:space="preserve">, pp. 54- 58; OBSERVATORIO PARLAMENTARIO (2012), </w:t>
      </w:r>
      <w:r w:rsidRPr="001D7D7F">
        <w:rPr>
          <w:i/>
          <w:iCs/>
          <w:color w:val="000000"/>
          <w:sz w:val="20"/>
          <w:szCs w:val="20"/>
          <w:lang w:val="es-ES_tradnl"/>
        </w:rPr>
        <w:t>Balance al Poder Legislativo Año 2011</w:t>
      </w:r>
      <w:r w:rsidRPr="001D7D7F">
        <w:rPr>
          <w:color w:val="000000"/>
          <w:sz w:val="20"/>
          <w:szCs w:val="20"/>
          <w:lang w:val="es-ES_tradnl"/>
        </w:rPr>
        <w:t xml:space="preserve">, pp. 24-27; OBSERVATORIO PARLAMENTARIO (2011), </w:t>
      </w:r>
      <w:r w:rsidRPr="001D7D7F">
        <w:rPr>
          <w:i/>
          <w:iCs/>
          <w:color w:val="000000"/>
          <w:sz w:val="20"/>
          <w:szCs w:val="20"/>
          <w:lang w:val="es-ES_tradnl"/>
        </w:rPr>
        <w:t>Balance al Poder Legislativo Año 2010</w:t>
      </w:r>
      <w:r w:rsidRPr="001D7D7F">
        <w:rPr>
          <w:color w:val="000000"/>
          <w:sz w:val="20"/>
          <w:szCs w:val="20"/>
          <w:lang w:val="es-ES_tradnl"/>
        </w:rPr>
        <w:t>, pp. 30-33.</w:t>
      </w:r>
    </w:p>
  </w:footnote>
  <w:footnote w:id="13">
    <w:p w14:paraId="65738606"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color w:val="000000"/>
          <w:sz w:val="20"/>
          <w:szCs w:val="20"/>
          <w:lang w:val="es-ES_tradnl"/>
        </w:rPr>
        <w:t xml:space="preserve">CORTE INTERAMERICANA DE DERECHOS HUMANOS (2011), </w:t>
      </w:r>
      <w:r w:rsidRPr="001D7D7F">
        <w:rPr>
          <w:i/>
          <w:iCs/>
          <w:color w:val="000000"/>
          <w:sz w:val="20"/>
          <w:szCs w:val="20"/>
          <w:lang w:val="es-ES_tradnl"/>
        </w:rPr>
        <w:t>Resolución de la Corte Interamericana de Derechos Humanos de 1 de julio 2011, Caso Palamara Iribarne Vs. Chile, Supervisión de Cumplimiento de Sentencia</w:t>
      </w:r>
      <w:r w:rsidRPr="001D7D7F">
        <w:rPr>
          <w:color w:val="000000"/>
          <w:sz w:val="20"/>
          <w:szCs w:val="20"/>
          <w:lang w:val="es-ES_tradnl"/>
        </w:rPr>
        <w:t>, párrs. 19 y 20.</w:t>
      </w:r>
      <w:r w:rsidRPr="001D7D7F">
        <w:rPr>
          <w:rFonts w:ascii="MS Mincho" w:eastAsia="MS Mincho" w:hAnsi="MS Mincho" w:cs="MS Mincho"/>
          <w:color w:val="000000"/>
          <w:sz w:val="20"/>
          <w:szCs w:val="20"/>
          <w:lang w:val="es-ES_tradnl"/>
        </w:rPr>
        <w:t> </w:t>
      </w:r>
    </w:p>
  </w:footnote>
  <w:footnote w:id="14">
    <w:p w14:paraId="1BE99309"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color w:val="000000"/>
          <w:sz w:val="20"/>
          <w:szCs w:val="20"/>
          <w:lang w:val="es-ES_tradnl"/>
        </w:rPr>
        <w:t xml:space="preserve">CORTE INTERAMERICANA DE DERECHOS HUMANOS (2016), </w:t>
      </w:r>
      <w:r w:rsidRPr="001D7D7F">
        <w:rPr>
          <w:i/>
          <w:iCs/>
          <w:color w:val="000000"/>
          <w:sz w:val="20"/>
          <w:szCs w:val="20"/>
          <w:lang w:val="es-ES_tradnl"/>
        </w:rPr>
        <w:t>Resolución de la Corte Interamericana de Derechos Humanos de 1 de septiembre de 2016, Caso Palamara Iribarne Vs. Chile, Supervisión de Cumplimiento de Sentencia</w:t>
      </w:r>
      <w:r w:rsidRPr="001D7D7F">
        <w:rPr>
          <w:color w:val="000000"/>
          <w:sz w:val="20"/>
          <w:szCs w:val="20"/>
          <w:lang w:val="es-ES_tradnl"/>
        </w:rPr>
        <w:t>, párrs. 30 y 31.</w:t>
      </w:r>
    </w:p>
  </w:footnote>
  <w:footnote w:id="15">
    <w:p w14:paraId="6ABA8799"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color w:val="000000"/>
          <w:sz w:val="20"/>
          <w:szCs w:val="20"/>
          <w:lang w:val="es-ES_tradnl"/>
        </w:rPr>
        <w:t>Ibíd., párrs. 34 y 35.</w:t>
      </w:r>
      <w:r w:rsidRPr="001D7D7F">
        <w:rPr>
          <w:rFonts w:ascii="MS Mincho" w:eastAsia="MS Mincho" w:hAnsi="MS Mincho" w:cs="MS Mincho"/>
          <w:color w:val="000000"/>
          <w:sz w:val="20"/>
          <w:szCs w:val="20"/>
          <w:lang w:val="es-ES_tradnl"/>
        </w:rPr>
        <w:t> </w:t>
      </w:r>
    </w:p>
  </w:footnote>
  <w:footnote w:id="16">
    <w:p w14:paraId="10F0F5CA" w14:textId="77777777" w:rsidR="00301400" w:rsidRPr="001D7D7F" w:rsidRDefault="00301400" w:rsidP="00326D5E">
      <w:pPr>
        <w:widowControl w:val="0"/>
        <w:autoSpaceDE w:val="0"/>
        <w:autoSpaceDN w:val="0"/>
        <w:adjustRightInd w:val="0"/>
        <w:spacing w:after="0" w:line="240" w:lineRule="auto"/>
        <w:jc w:val="both"/>
        <w:rPr>
          <w:color w:val="000000"/>
          <w:sz w:val="20"/>
          <w:szCs w:val="20"/>
          <w:lang w:val="es-ES_tradnl"/>
        </w:rPr>
      </w:pPr>
      <w:r w:rsidRPr="001D7D7F">
        <w:rPr>
          <w:rStyle w:val="FootnoteReference"/>
          <w:sz w:val="20"/>
          <w:szCs w:val="20"/>
        </w:rPr>
        <w:footnoteRef/>
      </w:r>
      <w:r w:rsidRPr="001D7D7F">
        <w:rPr>
          <w:sz w:val="20"/>
          <w:szCs w:val="20"/>
        </w:rPr>
        <w:t xml:space="preserve"> </w:t>
      </w:r>
      <w:r w:rsidRPr="001D7D7F">
        <w:rPr>
          <w:color w:val="000000"/>
          <w:sz w:val="20"/>
          <w:szCs w:val="20"/>
          <w:lang w:val="es-ES_tradnl"/>
        </w:rPr>
        <w:t>Proyecto de ley que modifica el Código de Justicia Militar en materia de competencia por delitos en que aparezcan involucrados menores de edad, 30 de agosto de 2011, archivado (Boletín Legislativo N° 7.887-07); proyecto de ley que modifica la competencia de la Justicia Militar para permitir que la justicia ordinaria juzgue a carabineros por delitos cometidos en actos de servicios, 19 de octubre de 2011 (Boletín Legislativo N° 7.999-07); proyecto de ley que modifica el Código de Justicia Militar y la Ley N° 20.477 en materia de competencia de los tribunales militares, 31 de julio de 2012, archivado (Boletín Legislativo N° 8.472-07); proyecto de ley que adecua la legislación a las exigencias de los tratados internacionales sobre derechos humanos en las materias que indica, 24 de enero de 2013 (Boletín Legislativo N° 8.803-02); proyecto de ley que modifica el Código de Justicia Militar en materia de competencia en causas por delitos cometidos contra civiles, 9 de noviembre de 2016 (Boletín Legislativo No 10.960-07); proyecto de ley que modifica el Código de Justicia Militar en materia de prisión preventiva y cumplimiento de condenas aplicables a militares tanto por delitos militares como por delitos comunes, 9 de noviembre de 2016 (Boletín Legislativo No 10.971-07); proyecto de ley que modifica el artículo 1° de la ley N° 20.477 que modifica competencia de tribunales militares en lo relativo a delitos comunes cometidos por militares, 21 de diciembre de 2016 (Boletín Legislativo No 11.059-02).</w:t>
      </w:r>
    </w:p>
  </w:footnote>
  <w:footnote w:id="17">
    <w:p w14:paraId="07120DDE" w14:textId="1825C00A" w:rsidR="00301400" w:rsidRPr="001D7D7F" w:rsidRDefault="00301400" w:rsidP="001D7D7F">
      <w:pPr>
        <w:widowControl w:val="0"/>
        <w:autoSpaceDE w:val="0"/>
        <w:autoSpaceDN w:val="0"/>
        <w:adjustRightInd w:val="0"/>
        <w:spacing w:after="240" w:line="240" w:lineRule="auto"/>
        <w:jc w:val="both"/>
        <w:rPr>
          <w:color w:val="000000"/>
          <w:sz w:val="20"/>
          <w:szCs w:val="20"/>
          <w:lang w:val="es-ES_tradnl"/>
        </w:rPr>
      </w:pPr>
      <w:r w:rsidRPr="001D7D7F">
        <w:rPr>
          <w:rStyle w:val="FootnoteReference"/>
          <w:sz w:val="20"/>
          <w:szCs w:val="20"/>
        </w:rPr>
        <w:footnoteRef/>
      </w:r>
      <w:r w:rsidRPr="001D7D7F">
        <w:rPr>
          <w:sz w:val="20"/>
          <w:szCs w:val="20"/>
        </w:rPr>
        <w:t xml:space="preserve"> </w:t>
      </w:r>
      <w:r w:rsidRPr="001D7D7F">
        <w:rPr>
          <w:color w:val="000000"/>
          <w:sz w:val="20"/>
          <w:szCs w:val="20"/>
          <w:lang w:val="es-ES_tradnl"/>
        </w:rPr>
        <w:t>El artículo 5 de la Ley No 20.968 dispone que: “</w:t>
      </w:r>
      <w:r w:rsidR="001F70E0">
        <w:rPr>
          <w:i/>
          <w:iCs/>
          <w:color w:val="000000"/>
          <w:sz w:val="20"/>
          <w:szCs w:val="20"/>
          <w:lang w:val="es-ES_tradnl"/>
        </w:rPr>
        <w:t>Artículo 5.- Intercále</w:t>
      </w:r>
      <w:r w:rsidRPr="001D7D7F">
        <w:rPr>
          <w:i/>
          <w:iCs/>
          <w:color w:val="000000"/>
          <w:sz w:val="20"/>
          <w:szCs w:val="20"/>
          <w:lang w:val="es-ES_tradnl"/>
        </w:rPr>
        <w:t>se en el inciso primero del artículo 1 de la ley No 20.477, que Modifica Competencia de Tribunales Militares, a continuación del término ‘edad’, la frase siguiente: ‘, que revistan la calidad de víctimas o de imputados,’</w:t>
      </w:r>
      <w:r w:rsidRPr="001D7D7F">
        <w:rPr>
          <w:color w:val="000000"/>
          <w:sz w:val="20"/>
          <w:szCs w:val="20"/>
          <w:lang w:val="es-ES_tradnl"/>
        </w:rPr>
        <w:t>.”. A partir de ello, el artículo 1o de la Ley No 20.477 pasa a disponer: “</w:t>
      </w:r>
      <w:r w:rsidRPr="001D7D7F">
        <w:rPr>
          <w:i/>
          <w:iCs/>
          <w:color w:val="000000"/>
          <w:sz w:val="20"/>
          <w:szCs w:val="20"/>
          <w:lang w:val="es-ES_tradnl"/>
        </w:rPr>
        <w:t>Artículo 1o.- Restricción de la competencia de los tribunales militares. En ningún caso, los civiles y los menores de edad, que revistan la calidad de víctimas o de imputados, estarán sujetos a la competencia de los tribunales militares. Ésta siempre se radicará en los tribunales ordinarios con competencia en materia penal. Para estos efectos, se entenderá que civil es una persona que no reviste la calidad de militar, de acuerdo al artículo 6o del Código de Justicia Militar.</w:t>
      </w:r>
      <w:r w:rsidRPr="001D7D7F">
        <w:rPr>
          <w:color w:val="000000"/>
          <w:sz w:val="20"/>
          <w:szCs w:val="20"/>
          <w:lang w:val="es-ES_tradnl"/>
        </w:rPr>
        <w:t xml:space="preserve">”. </w:t>
      </w:r>
    </w:p>
    <w:p w14:paraId="5AAABC10" w14:textId="77777777" w:rsidR="00301400" w:rsidRPr="001D7D7F" w:rsidRDefault="00301400" w:rsidP="001D7D7F">
      <w:pPr>
        <w:pStyle w:val="FootnoteText"/>
        <w:jc w:val="both"/>
        <w:rPr>
          <w:sz w:val="20"/>
          <w:szCs w:val="20"/>
          <w:lang w:val="es-ES"/>
        </w:rPr>
      </w:pPr>
    </w:p>
  </w:footnote>
  <w:footnote w:id="18">
    <w:p w14:paraId="62FD976A"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Se puede revisar el documento en: </w:t>
      </w:r>
      <w:hyperlink r:id="rId2" w:history="1">
        <w:r w:rsidRPr="001D7D7F">
          <w:rPr>
            <w:rStyle w:val="Hyperlink"/>
            <w:sz w:val="20"/>
            <w:szCs w:val="20"/>
            <w:lang w:val="es-ES"/>
          </w:rPr>
          <w:t>http://deptoddhh.carabineros.cl/assets/protocolos_mantenimiento_del_orden_publico.pdf</w:t>
        </w:r>
      </w:hyperlink>
      <w:r w:rsidRPr="001D7D7F">
        <w:rPr>
          <w:sz w:val="20"/>
          <w:szCs w:val="20"/>
          <w:lang w:val="es-ES"/>
        </w:rPr>
        <w:t xml:space="preserve"> </w:t>
      </w:r>
    </w:p>
  </w:footnote>
  <w:footnote w:id="19">
    <w:p w14:paraId="35A6A309"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Término que se utiliza para eludir a aquella acción u omisión verbal o física con contenido sexual o de discriminación por razones de sexo o género que no es considerada un delito sexual o violencia sexual propiamente tal, cuyo único objetivo es humillar y denostar la figura de una mujer. </w:t>
      </w:r>
    </w:p>
  </w:footnote>
  <w:footnote w:id="20">
    <w:p w14:paraId="54C96ED4"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Ratificado por Chile en el año 2000, entrando en vigencia en el año 2002, ver en: </w:t>
      </w:r>
      <w:hyperlink r:id="rId3" w:history="1">
        <w:r w:rsidRPr="001D7D7F">
          <w:rPr>
            <w:rStyle w:val="Hyperlink"/>
            <w:sz w:val="20"/>
            <w:szCs w:val="20"/>
          </w:rPr>
          <w:t>https://www.leychile.cl/Navegar?idNorma=1004655</w:t>
        </w:r>
      </w:hyperlink>
      <w:r w:rsidRPr="001D7D7F">
        <w:rPr>
          <w:sz w:val="20"/>
          <w:szCs w:val="20"/>
        </w:rPr>
        <w:t xml:space="preserve"> (visitado 19/06/18, 17:04).</w:t>
      </w:r>
    </w:p>
  </w:footnote>
  <w:footnote w:id="21">
    <w:p w14:paraId="4EAD9DB2"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Estatuto de Roma de la Corte Penal Internacional (1998), Art. 7.1 letra g).</w:t>
      </w:r>
    </w:p>
  </w:footnote>
  <w:footnote w:id="22">
    <w:p w14:paraId="758797F8"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Corte Interamericana de Derechos Humanos, Caso del Penal Miguel Castro Castro Vs. Perú, Sentencia de Fondo, Reparación y Costas (2006), párr. 306. Reafirma la Corte esta conceptualización de la violencia sexual en: Corte Interamericana de Derechos Humanos, Caso Fernández Ortega y Otros Vs. México, Sentencia Excepción Preliminar, Fondo, Reparaciones y Costas (2010), párr. 119. Corte Interamericana de Derechos Humanos, Caso Rosendo Cantú y Otra Vs. México, Sentencia Excepción Preliminar, Fondo, Reparaciones y Costas (2010), párr. 109. Corte Interamericana de Derechos Humanos, Caso J. Vs. Perú, Sentencia Excepción Preliminar, Fondo, Reparaciones y Costas (2013), párr. 358. Corte Interamericana de Derechos Humanos, Caso Espinoza González Vs. Perú, Sentencia Excepciones Preliminares, Fondo, Reparaciones y Costas (2014), párr. 191. </w:t>
      </w:r>
    </w:p>
  </w:footnote>
  <w:footnote w:id="23">
    <w:p w14:paraId="6DDDEAEB"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COMISIÓN NACIONAL SOBRE PRISIÓN POLÍTICA Y TORTURA (2004), Informe de la Comisión Nacional sobre Prisión Política y Tortura, p. 291.</w:t>
      </w:r>
    </w:p>
  </w:footnote>
  <w:footnote w:id="24">
    <w:p w14:paraId="758A33E0" w14:textId="77777777" w:rsidR="00301400" w:rsidRPr="001D7D7F" w:rsidRDefault="00301400" w:rsidP="001D7D7F">
      <w:pPr>
        <w:pStyle w:val="FootnoteText"/>
        <w:jc w:val="both"/>
        <w:rPr>
          <w:i/>
          <w:sz w:val="20"/>
          <w:szCs w:val="20"/>
        </w:rPr>
      </w:pPr>
      <w:r w:rsidRPr="001D7D7F">
        <w:rPr>
          <w:rStyle w:val="FootnoteReference"/>
          <w:sz w:val="20"/>
          <w:szCs w:val="20"/>
        </w:rPr>
        <w:footnoteRef/>
      </w:r>
      <w:r w:rsidRPr="001D7D7F">
        <w:rPr>
          <w:sz w:val="20"/>
          <w:szCs w:val="20"/>
        </w:rPr>
        <w:t xml:space="preserve"> Dictada con fecha 23 de enero de 2018. La sentencia versa sobre improcedencia de la medida de prescripción respecto de la demanda de indemnización en contra del Estado por un delito sexual cometido por agentes del Estado en un contexto de privación arbitraria de libertad en contra de una estudiante menor de edad, tras haber participado en una manifestación social. Se trata de una sentencia sin precedentes, ya que por primera vez el máximo tribunal del país reconoce la comisión de un delito sexual perpetrado por agentes del Estado durante la dictadura cívica militar, como un delito de lesa humanidad, haciendo alusión a un </w:t>
      </w:r>
      <w:r w:rsidRPr="001D7D7F">
        <w:rPr>
          <w:i/>
          <w:sz w:val="20"/>
          <w:szCs w:val="20"/>
        </w:rPr>
        <w:t>“contexto en que funcionarios policiales torturaban y agredían sexualmente a mujeres como un plan de Estado”.</w:t>
      </w:r>
    </w:p>
  </w:footnote>
  <w:footnote w:id="25">
    <w:p w14:paraId="51F517FA"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En los casos de delitos de lesa humanidad se aplica el mismo estándar exigido en la actualidad para la acreditación de los delitos sexuales, exigiéndose la existencia de marcas o secuelas físicas para su acreditación, estándar que en la práctica es prácticamente imposible de alcanzar.</w:t>
      </w:r>
    </w:p>
  </w:footnote>
  <w:footnote w:id="26">
    <w:p w14:paraId="42A5B88C"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Reunión de Expertos </w:t>
      </w:r>
      <w:r w:rsidRPr="001D7D7F">
        <w:rPr>
          <w:i/>
          <w:sz w:val="20"/>
          <w:szCs w:val="20"/>
        </w:rPr>
        <w:t>“Poner fin a la Impunidad en los Casos de Violencia Sexual y Violencia de Género en América Latina</w:t>
      </w:r>
      <w:r w:rsidRPr="001D7D7F">
        <w:rPr>
          <w:sz w:val="20"/>
          <w:szCs w:val="20"/>
        </w:rPr>
        <w:t>”, Informes sobre las jurisdicciones nacionales, Organizado por la Oficina de Investigación de Crímenes de Guerra, el Programa de Género y Derecho y la Academia de Derechos Humanos y Derecho Internacional Humanitario de American University Washington College of Law, Marzo 2017, p.87</w:t>
      </w:r>
    </w:p>
  </w:footnote>
  <w:footnote w:id="27">
    <w:p w14:paraId="6AA5ADD2" w14:textId="77777777" w:rsidR="00301400" w:rsidRPr="001D7D7F" w:rsidRDefault="00301400" w:rsidP="00326D5E">
      <w:pPr>
        <w:spacing w:after="0" w:line="240" w:lineRule="auto"/>
        <w:contextualSpacing/>
        <w:jc w:val="both"/>
        <w:rPr>
          <w:sz w:val="20"/>
          <w:szCs w:val="20"/>
        </w:rPr>
      </w:pPr>
      <w:r w:rsidRPr="001D7D7F">
        <w:rPr>
          <w:rStyle w:val="FootnoteReference"/>
          <w:sz w:val="20"/>
          <w:szCs w:val="20"/>
        </w:rPr>
        <w:footnoteRef/>
      </w:r>
      <w:r w:rsidRPr="001D7D7F">
        <w:rPr>
          <w:sz w:val="20"/>
          <w:szCs w:val="20"/>
        </w:rPr>
        <w:t xml:space="preserve"> Ver: </w:t>
      </w:r>
      <w:hyperlink r:id="rId4" w:history="1">
        <w:r w:rsidRPr="001D7D7F">
          <w:rPr>
            <w:rStyle w:val="Hyperlink"/>
            <w:sz w:val="20"/>
            <w:szCs w:val="20"/>
          </w:rPr>
          <w:t>http://www.cels.org.ar/protestasocial_AL/</w:t>
        </w:r>
      </w:hyperlink>
      <w:r w:rsidRPr="001D7D7F">
        <w:rPr>
          <w:sz w:val="20"/>
          <w:szCs w:val="20"/>
        </w:rPr>
        <w:t xml:space="preserve">, </w:t>
      </w:r>
      <w:r w:rsidRPr="001D7D7F">
        <w:rPr>
          <w:i/>
          <w:sz w:val="20"/>
          <w:szCs w:val="20"/>
        </w:rPr>
        <w:t>“Violencia policial con las mujeres”</w:t>
      </w:r>
      <w:r w:rsidRPr="001D7D7F">
        <w:rPr>
          <w:sz w:val="20"/>
          <w:szCs w:val="20"/>
        </w:rPr>
        <w:t xml:space="preserve"> y Documental titulado “Las Niñas”, publicado en agosto de 2011, explica los maltratos de alumnas del Liceo San José de Puente Alto, donde 12 adolescentes mujeres fueron obligadas a desnudarse al interior de una comisaría, frente a funcionarios policiales: </w:t>
      </w:r>
      <w:hyperlink r:id="rId5" w:history="1">
        <w:r w:rsidRPr="001D7D7F">
          <w:rPr>
            <w:rStyle w:val="Hyperlink"/>
            <w:sz w:val="20"/>
            <w:szCs w:val="20"/>
          </w:rPr>
          <w:t>https://www.youtube.com/watch?v=9ODF-ZT9AbY</w:t>
        </w:r>
      </w:hyperlink>
      <w:r w:rsidRPr="001D7D7F">
        <w:rPr>
          <w:sz w:val="20"/>
          <w:szCs w:val="20"/>
        </w:rPr>
        <w:t xml:space="preserve">. Ver también: </w:t>
      </w:r>
      <w:hyperlink r:id="rId6" w:history="1">
        <w:r w:rsidRPr="001D7D7F">
          <w:rPr>
            <w:rStyle w:val="Hyperlink"/>
            <w:sz w:val="20"/>
            <w:szCs w:val="20"/>
          </w:rPr>
          <w:t>http://www.cooperativa.cl/estudiantes-denunciaron-tocaciones-indebidas-de-la-policia-tras-detenciones-en-unicef/prontus_nots/2011-07-25/213458.html</w:t>
        </w:r>
      </w:hyperlink>
      <w:r w:rsidRPr="001D7D7F">
        <w:rPr>
          <w:sz w:val="20"/>
          <w:szCs w:val="20"/>
        </w:rPr>
        <w:t xml:space="preserve">; </w:t>
      </w:r>
      <w:hyperlink r:id="rId7" w:history="1">
        <w:r w:rsidRPr="001D7D7F">
          <w:rPr>
            <w:rStyle w:val="Hyperlink"/>
            <w:sz w:val="20"/>
            <w:szCs w:val="20"/>
          </w:rPr>
          <w:t>http://www.eldesconcierto.cl/2018/06/08/apoderada-denuncio-violenta-detencion-de-su-hija-de-12-anos-en-frontis-del-liceo-carmela-carvajal/</w:t>
        </w:r>
      </w:hyperlink>
      <w:r w:rsidRPr="001D7D7F">
        <w:rPr>
          <w:sz w:val="20"/>
          <w:szCs w:val="20"/>
        </w:rPr>
        <w:t>.</w:t>
      </w:r>
    </w:p>
  </w:footnote>
  <w:footnote w:id="28">
    <w:p w14:paraId="710A3EC2" w14:textId="77777777" w:rsidR="00301400" w:rsidRPr="001D7D7F" w:rsidRDefault="00301400" w:rsidP="001D7D7F">
      <w:pPr>
        <w:pStyle w:val="FootnoteText"/>
        <w:contextualSpacing/>
        <w:jc w:val="both"/>
        <w:rPr>
          <w:sz w:val="20"/>
          <w:szCs w:val="20"/>
        </w:rPr>
      </w:pPr>
      <w:r w:rsidRPr="001D7D7F">
        <w:rPr>
          <w:rStyle w:val="FootnoteReference"/>
          <w:sz w:val="20"/>
          <w:szCs w:val="20"/>
        </w:rPr>
        <w:footnoteRef/>
      </w:r>
      <w:r w:rsidRPr="001D7D7F">
        <w:rPr>
          <w:sz w:val="20"/>
          <w:szCs w:val="20"/>
        </w:rPr>
        <w:t xml:space="preserve"> Ley N°20.931, publicada el 5 de julio de 2016, la que establece una modificación al artículo 85 del Código Procesal Penal, que regula el control de identidad, dejando al arbitrio policial el control de identidad de cualquier persona.</w:t>
      </w:r>
    </w:p>
  </w:footnote>
  <w:footnote w:id="29">
    <w:p w14:paraId="311680C7"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Daniela Tapia M., Héctor Mérida C. y Julia Arriagada M., Unidad de Comunicaciones y Participación Ciudadana de la Defensoría Penal Pública, “Migrantes y ‘control de identidad preventivo’” y Ver: </w:t>
      </w:r>
      <w:hyperlink r:id="rId8" w:history="1">
        <w:r w:rsidRPr="001D7D7F">
          <w:rPr>
            <w:rStyle w:val="Hyperlink"/>
            <w:sz w:val="20"/>
            <w:szCs w:val="20"/>
          </w:rPr>
          <w:t>http://www.eldesconcierto.cl/2018/04/23/soy-el-nazi-pa-que-te-acordi-carabineros-en-estacion-central-son-investigados-por-torturas-a-extranjeros-y-comerciantes/</w:t>
        </w:r>
      </w:hyperlink>
      <w:r w:rsidRPr="001D7D7F">
        <w:rPr>
          <w:sz w:val="20"/>
          <w:szCs w:val="20"/>
        </w:rPr>
        <w:t xml:space="preserve"> </w:t>
      </w:r>
    </w:p>
  </w:footnote>
  <w:footnote w:id="30">
    <w:p w14:paraId="47572623"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Ver: </w:t>
      </w:r>
      <w:hyperlink r:id="rId9" w:history="1">
        <w:r w:rsidRPr="001D7D7F">
          <w:rPr>
            <w:rStyle w:val="Hyperlink"/>
            <w:sz w:val="20"/>
            <w:szCs w:val="20"/>
          </w:rPr>
          <w:t>http://piensachile.com/2016/06/estudiante-liceo-ninas-concepcion-torturada-carabineros/</w:t>
        </w:r>
      </w:hyperlink>
      <w:r w:rsidRPr="001D7D7F">
        <w:rPr>
          <w:sz w:val="20"/>
          <w:szCs w:val="20"/>
        </w:rPr>
        <w:t xml:space="preserve"> y </w:t>
      </w:r>
      <w:hyperlink r:id="rId10" w:history="1">
        <w:r w:rsidRPr="001D7D7F">
          <w:rPr>
            <w:rStyle w:val="Hyperlink"/>
            <w:sz w:val="20"/>
            <w:szCs w:val="20"/>
          </w:rPr>
          <w:t>http://www.elmostrador.cl/braga/2017/06/08/vocera-de-ni-una-menos-chile-anuncia-acciones-legales-por-represion-desmedida-senti-terror-asegura/</w:t>
        </w:r>
      </w:hyperlink>
      <w:r w:rsidRPr="001D7D7F">
        <w:rPr>
          <w:sz w:val="20"/>
          <w:szCs w:val="20"/>
        </w:rPr>
        <w:t xml:space="preserve">. </w:t>
      </w:r>
    </w:p>
  </w:footnote>
  <w:footnote w:id="31">
    <w:p w14:paraId="755EF05E"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Ver: </w:t>
      </w:r>
      <w:hyperlink r:id="rId11" w:history="1">
        <w:r w:rsidRPr="001D7D7F">
          <w:rPr>
            <w:rStyle w:val="Hyperlink"/>
            <w:sz w:val="20"/>
            <w:szCs w:val="20"/>
          </w:rPr>
          <w:t>https://www.elciudadano.cl/justicia/denuncian-que-universitaria-fue-golpeada-y-vejada-por-carabineros-tras-intervenir-en-violenta-detencion/11/24/</w:t>
        </w:r>
      </w:hyperlink>
      <w:r w:rsidRPr="001D7D7F">
        <w:rPr>
          <w:sz w:val="20"/>
          <w:szCs w:val="20"/>
        </w:rPr>
        <w:t xml:space="preserve"> </w:t>
      </w:r>
    </w:p>
  </w:footnote>
  <w:footnote w:id="32">
    <w:p w14:paraId="56383651"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Ver:  </w:t>
      </w:r>
      <w:hyperlink r:id="rId12" w:history="1">
        <w:r w:rsidRPr="001D7D7F">
          <w:rPr>
            <w:rStyle w:val="Hyperlink"/>
            <w:sz w:val="20"/>
            <w:szCs w:val="20"/>
          </w:rPr>
          <w:t>http://www.cooperativa.cl/noticias/pais/educacion/movimiento-estudiantil/alumna-denuncio-abuso-policial-tras-marcha-nos-tocaron-como-si-fueramos-prostitutas/2011-09-26/132937.html</w:t>
        </w:r>
      </w:hyperlink>
      <w:r w:rsidRPr="001D7D7F">
        <w:rPr>
          <w:sz w:val="20"/>
          <w:szCs w:val="20"/>
        </w:rPr>
        <w:t xml:space="preserve">; </w:t>
      </w:r>
    </w:p>
  </w:footnote>
  <w:footnote w:id="33">
    <w:p w14:paraId="4588981E"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Ver: </w:t>
      </w:r>
      <w:hyperlink r:id="rId13" w:history="1">
        <w:r w:rsidRPr="001D7D7F">
          <w:rPr>
            <w:rStyle w:val="Hyperlink"/>
            <w:sz w:val="20"/>
            <w:szCs w:val="20"/>
          </w:rPr>
          <w:t>http://www.24horas.cl/nacional/carabinera-acusada-de-provocar-aborto-a-mujer-en-marcha-estudiantil-fue-formalizada-2633274</w:t>
        </w:r>
      </w:hyperlink>
      <w:r w:rsidRPr="001D7D7F">
        <w:rPr>
          <w:sz w:val="20"/>
          <w:szCs w:val="20"/>
        </w:rPr>
        <w:t xml:space="preserve"> </w:t>
      </w:r>
    </w:p>
  </w:footnote>
  <w:footnote w:id="34">
    <w:p w14:paraId="244096CF"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Ver: </w:t>
      </w:r>
      <w:hyperlink r:id="rId14" w:history="1">
        <w:r w:rsidRPr="001D7D7F">
          <w:rPr>
            <w:rStyle w:val="Hyperlink"/>
            <w:sz w:val="20"/>
            <w:szCs w:val="20"/>
          </w:rPr>
          <w:t>http://www.diarioeldia.cl/policial/mujer-victima-violacion-por-parte-excarabinero-cuenta-su-crudo-relato</w:t>
        </w:r>
      </w:hyperlink>
      <w:r w:rsidRPr="001D7D7F">
        <w:rPr>
          <w:sz w:val="20"/>
          <w:szCs w:val="20"/>
        </w:rPr>
        <w:t xml:space="preserve">. Corporación Humanas cuenta con el relato de otras mujeres que no han querido hacer públicos sus casos. </w:t>
      </w:r>
    </w:p>
  </w:footnote>
  <w:footnote w:id="35">
    <w:p w14:paraId="5CE649DB" w14:textId="4B9DDCCD"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w:t>
      </w:r>
      <w:hyperlink r:id="rId15" w:history="1">
        <w:r w:rsidRPr="001D7D7F">
          <w:rPr>
            <w:rStyle w:val="Hyperlink"/>
            <w:sz w:val="20"/>
            <w:szCs w:val="20"/>
          </w:rPr>
          <w:t>http://www.laizquierdadiario.com/Represion-y-violencia-politico-sexual-Lo-que-sucede-en-el-gobierno-de-Pinera</w:t>
        </w:r>
      </w:hyperlink>
      <w:r w:rsidRPr="001D7D7F">
        <w:rPr>
          <w:sz w:val="20"/>
          <w:szCs w:val="20"/>
        </w:rPr>
        <w:t xml:space="preserve"> </w:t>
      </w:r>
    </w:p>
  </w:footnote>
  <w:footnote w:id="36">
    <w:p w14:paraId="09AC3B6A"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Ver: </w:t>
      </w:r>
      <w:hyperlink r:id="rId16" w:history="1">
        <w:r w:rsidRPr="001D7D7F">
          <w:rPr>
            <w:rStyle w:val="Hyperlink"/>
            <w:sz w:val="20"/>
            <w:szCs w:val="20"/>
          </w:rPr>
          <w:t>http://www.eldesconcierto.cl/2014/05/16/abusos-policiales-en-mujeres-una-nueva-expresion-de-violencia-de-genero-y-politica/</w:t>
        </w:r>
      </w:hyperlink>
      <w:r w:rsidRPr="001D7D7F">
        <w:rPr>
          <w:sz w:val="20"/>
          <w:szCs w:val="20"/>
        </w:rPr>
        <w:t xml:space="preserve"> </w:t>
      </w:r>
    </w:p>
  </w:footnote>
  <w:footnote w:id="37">
    <w:p w14:paraId="2F7017B8"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La organización de la Directiva de Organización y Funcionamiento de la Subdirección General de Carabineros se puede encontrar en: </w:t>
      </w:r>
      <w:hyperlink r:id="rId17" w:history="1">
        <w:r w:rsidRPr="00446153">
          <w:rPr>
            <w:rStyle w:val="Hyperlink"/>
            <w:color w:val="000000"/>
            <w:sz w:val="20"/>
            <w:szCs w:val="20"/>
          </w:rPr>
          <w:t>http://www.carabineros.cl/transparencia/og/OG2393_29022016.pdf</w:t>
        </w:r>
      </w:hyperlink>
    </w:p>
  </w:footnote>
  <w:footnote w:id="38">
    <w:p w14:paraId="7A4AA8E2"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Se puede revisar en: </w:t>
      </w:r>
      <w:hyperlink r:id="rId18" w:history="1">
        <w:r w:rsidRPr="001D7D7F">
          <w:rPr>
            <w:rStyle w:val="Hyperlink"/>
            <w:sz w:val="20"/>
            <w:szCs w:val="20"/>
            <w:lang w:val="es-ES"/>
          </w:rPr>
          <w:t>http://deptoddhh.carabineros.cl/</w:t>
        </w:r>
      </w:hyperlink>
      <w:r w:rsidRPr="001D7D7F">
        <w:rPr>
          <w:sz w:val="20"/>
          <w:szCs w:val="20"/>
          <w:lang w:val="es-ES"/>
        </w:rPr>
        <w:t xml:space="preserve"> (visitada 15:28, 18/06/18). </w:t>
      </w:r>
    </w:p>
  </w:footnote>
  <w:footnote w:id="39">
    <w:p w14:paraId="1D3DEB67" w14:textId="77777777" w:rsidR="00301400" w:rsidRPr="00446153" w:rsidRDefault="00301400" w:rsidP="001D7D7F">
      <w:pPr>
        <w:spacing w:line="240" w:lineRule="auto"/>
        <w:jc w:val="both"/>
        <w:rPr>
          <w:color w:val="000000"/>
          <w:sz w:val="20"/>
          <w:szCs w:val="20"/>
        </w:rPr>
      </w:pPr>
      <w:r w:rsidRPr="001D7D7F">
        <w:rPr>
          <w:rStyle w:val="FootnoteReference"/>
          <w:sz w:val="20"/>
          <w:szCs w:val="20"/>
        </w:rPr>
        <w:footnoteRef/>
      </w:r>
      <w:r w:rsidRPr="001D7D7F">
        <w:rPr>
          <w:sz w:val="20"/>
          <w:szCs w:val="20"/>
        </w:rPr>
        <w:t xml:space="preserve"> Para mayor información, se puede revisar el Informe de Misión de Observación del 5 de abril de 2018 en el contexto de una marcha de estudiantes secundarios, que da cuenta de las situaciones de vulneración a menores de edad: </w:t>
      </w:r>
      <w:hyperlink r:id="rId19" w:history="1">
        <w:r w:rsidRPr="00446153">
          <w:rPr>
            <w:rStyle w:val="Hyperlink"/>
            <w:color w:val="000000"/>
            <w:sz w:val="20"/>
            <w:szCs w:val="20"/>
          </w:rPr>
          <w:t>http://www.observadoresddhh.org/wp-content/uploads/2012/02/2018-04-05-informe-de-observaci%C3%B3n.pdf</w:t>
        </w:r>
      </w:hyperlink>
      <w:r w:rsidRPr="00446153">
        <w:rPr>
          <w:color w:val="000000"/>
          <w:sz w:val="20"/>
          <w:szCs w:val="20"/>
        </w:rPr>
        <w:t xml:space="preserve">. También se puede revisar la cobertura periodísitca de la situación: </w:t>
      </w:r>
      <w:hyperlink r:id="rId20" w:history="1">
        <w:r w:rsidRPr="00446153">
          <w:rPr>
            <w:rStyle w:val="Hyperlink"/>
            <w:color w:val="000000"/>
            <w:sz w:val="20"/>
            <w:szCs w:val="20"/>
          </w:rPr>
          <w:t>http://www.primeralineaprensa.cl/?p=931</w:t>
        </w:r>
      </w:hyperlink>
      <w:r w:rsidRPr="00446153">
        <w:rPr>
          <w:color w:val="000000"/>
          <w:sz w:val="20"/>
          <w:szCs w:val="20"/>
        </w:rPr>
        <w:t xml:space="preserve">, </w:t>
      </w:r>
      <w:hyperlink r:id="rId21" w:history="1">
        <w:r w:rsidRPr="00446153">
          <w:rPr>
            <w:rStyle w:val="Hyperlink"/>
            <w:color w:val="000000"/>
            <w:sz w:val="20"/>
            <w:szCs w:val="20"/>
          </w:rPr>
          <w:t>https://www.biobiochile.cl/noticias/nacional/region-metropolitana/2018/05/24/asi-fue-el-actuar-de-carabineros-tras-ingresar-al-instituto-nacional.shtml</w:t>
        </w:r>
      </w:hyperlink>
      <w:r w:rsidRPr="00446153">
        <w:rPr>
          <w:rStyle w:val="Hyperlink"/>
          <w:color w:val="000000"/>
          <w:sz w:val="20"/>
          <w:szCs w:val="20"/>
        </w:rPr>
        <w:t xml:space="preserve">. </w:t>
      </w:r>
    </w:p>
  </w:footnote>
  <w:footnote w:id="40">
    <w:p w14:paraId="6B7C8749"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Disponible en: </w:t>
      </w:r>
      <w:hyperlink r:id="rId22" w:history="1">
        <w:r w:rsidRPr="001D7D7F">
          <w:rPr>
            <w:rStyle w:val="Hyperlink"/>
            <w:sz w:val="20"/>
            <w:szCs w:val="20"/>
            <w:lang w:val="es-ES"/>
          </w:rPr>
          <w:t>http://www.carabineros.cl/transparencia/transparencia2009/_15Reglamento.pdf</w:t>
        </w:r>
      </w:hyperlink>
      <w:r w:rsidRPr="001D7D7F">
        <w:rPr>
          <w:sz w:val="20"/>
          <w:szCs w:val="20"/>
          <w:lang w:val="es-ES"/>
        </w:rPr>
        <w:t xml:space="preserve"> (visitado 15:36, 18/06/18). </w:t>
      </w:r>
    </w:p>
  </w:footnote>
  <w:footnote w:id="41">
    <w:p w14:paraId="235EF68E"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Se puede encontrar en: </w:t>
      </w:r>
      <w:hyperlink r:id="rId23" w:history="1">
        <w:r w:rsidRPr="00446153">
          <w:rPr>
            <w:rStyle w:val="Hyperlink"/>
            <w:color w:val="000000"/>
            <w:sz w:val="20"/>
            <w:szCs w:val="20"/>
          </w:rPr>
          <w:t>http://www.carabineros.cl/transparencia/Resoluciones/Decreto2534_24072013.pdf</w:t>
        </w:r>
      </w:hyperlink>
    </w:p>
  </w:footnote>
  <w:footnote w:id="42">
    <w:p w14:paraId="0D2562F5"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Convención contra la Tortura y Otros Tratos o Penas Crueles, Inhumanos o Degradantes. Examen de los informes presentados por los Estados partes de conformidad con el artículo 19 de la Convención. Quinto informe periódico que los Estados Partes debían presentar en 2005. Aditivo. Chile. 19 de enero del 2007, p. 36.</w:t>
      </w:r>
    </w:p>
  </w:footnote>
  <w:footnote w:id="43">
    <w:p w14:paraId="6E51FB69"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Gendarmería de Chile. Estadísticas de la población penal. </w:t>
      </w:r>
      <w:hyperlink r:id="rId24" w:history="1">
        <w:r w:rsidRPr="001D7D7F">
          <w:rPr>
            <w:rStyle w:val="Hyperlink"/>
            <w:sz w:val="20"/>
            <w:szCs w:val="20"/>
          </w:rPr>
          <w:t>http://www.gendarmeria.gob.cl/estadisticas_pobpenal.jsp</w:t>
        </w:r>
      </w:hyperlink>
      <w:r w:rsidRPr="001D7D7F">
        <w:rPr>
          <w:sz w:val="20"/>
          <w:szCs w:val="20"/>
        </w:rPr>
        <w:t xml:space="preserve"> página web observada el 27 de mayo del año 2018.</w:t>
      </w:r>
    </w:p>
  </w:footnote>
  <w:footnote w:id="44">
    <w:p w14:paraId="5A26E401" w14:textId="77777777" w:rsidR="00301400" w:rsidRPr="001D7D7F" w:rsidRDefault="00301400" w:rsidP="001D7D7F">
      <w:pPr>
        <w:pStyle w:val="FootnoteText"/>
        <w:jc w:val="both"/>
        <w:rPr>
          <w:sz w:val="20"/>
          <w:szCs w:val="20"/>
          <w:lang w:val="es-ES_tradnl"/>
        </w:rPr>
      </w:pPr>
      <w:r w:rsidRPr="001D7D7F">
        <w:rPr>
          <w:rStyle w:val="FootnoteReference"/>
          <w:sz w:val="20"/>
          <w:szCs w:val="20"/>
        </w:rPr>
        <w:footnoteRef/>
      </w:r>
      <w:r w:rsidRPr="001D7D7F">
        <w:rPr>
          <w:sz w:val="20"/>
          <w:szCs w:val="20"/>
        </w:rPr>
        <w:t xml:space="preserve"> </w:t>
      </w:r>
      <w:r w:rsidRPr="001D7D7F">
        <w:rPr>
          <w:color w:val="000000"/>
          <w:sz w:val="20"/>
          <w:szCs w:val="20"/>
          <w:shd w:val="clear" w:color="auto" w:fill="FFFFFF"/>
        </w:rPr>
        <w:t>Fuente: Emol.com - </w:t>
      </w:r>
      <w:hyperlink r:id="rId25" w:history="1">
        <w:r w:rsidRPr="001D7D7F">
          <w:rPr>
            <w:rStyle w:val="Hyperlink"/>
            <w:sz w:val="20"/>
            <w:szCs w:val="20"/>
            <w:bdr w:val="none" w:sz="0" w:space="0" w:color="auto" w:frame="1"/>
            <w:shd w:val="clear" w:color="auto" w:fill="FFFFFF"/>
          </w:rPr>
          <w:t>http://www.emol.com/noticias/Nacional/2016/10/02/824609/Defensoria-Penal-Publica-advierte-uso-excesivo-de-la-prision-preventiva-en-menores-de-edad.html</w:t>
        </w:r>
      </w:hyperlink>
    </w:p>
  </w:footnote>
  <w:footnote w:id="45">
    <w:p w14:paraId="2105D3C1"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Revisar cobertura periodística en: </w:t>
      </w:r>
      <w:hyperlink r:id="rId26" w:history="1">
        <w:r w:rsidRPr="001D7D7F">
          <w:rPr>
            <w:rStyle w:val="Hyperlink"/>
            <w:sz w:val="20"/>
            <w:szCs w:val="20"/>
            <w:lang w:val="es-ES"/>
          </w:rPr>
          <w:t>http://www.t13.cl/noticia/nacional/indh-presentara-recurso-amparo-actuar-carabineros-desalojo-del-instituto-nacional</w:t>
        </w:r>
      </w:hyperlink>
      <w:r w:rsidRPr="001D7D7F">
        <w:rPr>
          <w:sz w:val="20"/>
          <w:szCs w:val="20"/>
          <w:lang w:val="es-ES"/>
        </w:rPr>
        <w:t xml:space="preserve"> (visitada 15:48, 18/06/18). </w:t>
      </w:r>
    </w:p>
  </w:footnote>
  <w:footnote w:id="46">
    <w:p w14:paraId="77996156"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Revisar cobertura periodística en: http://www.eldesconcierto.cl/2018/05/29/denuncian-que-carabineros-estrangulo-y-dejo-inconsciente-a-alumno-durante-desalojo-de-liceo-confederacion-suiza/</w:t>
      </w:r>
    </w:p>
  </w:footnote>
  <w:footnote w:id="47">
    <w:p w14:paraId="5238125B" w14:textId="77777777" w:rsidR="00301400" w:rsidRPr="001D7D7F" w:rsidRDefault="00301400" w:rsidP="001D7D7F">
      <w:pPr>
        <w:pStyle w:val="FootnoteText"/>
        <w:jc w:val="both"/>
        <w:rPr>
          <w:sz w:val="20"/>
          <w:szCs w:val="20"/>
          <w:lang w:val="es-ES_tradnl"/>
        </w:rPr>
      </w:pPr>
      <w:r w:rsidRPr="001D7D7F">
        <w:rPr>
          <w:rStyle w:val="FootnoteReference"/>
          <w:sz w:val="20"/>
          <w:szCs w:val="20"/>
        </w:rPr>
        <w:footnoteRef/>
      </w:r>
      <w:r w:rsidRPr="001D7D7F">
        <w:rPr>
          <w:sz w:val="20"/>
          <w:szCs w:val="20"/>
        </w:rPr>
        <w:t xml:space="preserve"> </w:t>
      </w:r>
      <w:r w:rsidRPr="001D7D7F">
        <w:rPr>
          <w:sz w:val="20"/>
          <w:szCs w:val="20"/>
          <w:shd w:val="clear" w:color="auto" w:fill="FFFFFF"/>
        </w:rPr>
        <w:t xml:space="preserve">Comunicado de Maina Kiai, Relator Especial de las Naciones Unidas sobre los derechos a la libertad de reunión pacífica y de asociación, al término de su visita a la República de Chile (21 al 30 de septiembre de 2015). Disponible en: </w:t>
      </w:r>
      <w:hyperlink r:id="rId27" w:history="1">
        <w:r w:rsidRPr="001D7D7F">
          <w:rPr>
            <w:rStyle w:val="Hyperlink"/>
            <w:sz w:val="20"/>
            <w:szCs w:val="20"/>
            <w:lang w:val="es-ES_tradnl"/>
          </w:rPr>
          <w:t>http://www.ohchr.org/SP/NewsEvents/Pages/DisplayNews.aspx?NewsID=16542&amp;LangID=S</w:t>
        </w:r>
      </w:hyperlink>
      <w:r w:rsidRPr="001D7D7F">
        <w:rPr>
          <w:sz w:val="20"/>
          <w:szCs w:val="20"/>
          <w:lang w:val="es-ES_tradnl"/>
        </w:rPr>
        <w:t>.</w:t>
      </w:r>
    </w:p>
  </w:footnote>
  <w:footnote w:id="48">
    <w:p w14:paraId="2B2E9BF6" w14:textId="04CCDA62"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Informe Fiscal Judicial de la Corte Suprema, 16 de febrero de 2018. Disponible en: </w:t>
      </w:r>
      <w:hyperlink r:id="rId28" w:history="1">
        <w:r w:rsidRPr="001D7D7F">
          <w:rPr>
            <w:rStyle w:val="Hyperlink"/>
            <w:sz w:val="20"/>
            <w:szCs w:val="20"/>
            <w:lang w:val="es-ES"/>
          </w:rPr>
          <w:t>https://www.cooperativa.cl/noticias/site/artic/20180219/asocfile/20180219123321/informe_fiscalia_carceles.pdf</w:t>
        </w:r>
      </w:hyperlink>
      <w:r w:rsidRPr="001D7D7F">
        <w:rPr>
          <w:sz w:val="20"/>
          <w:szCs w:val="20"/>
          <w:lang w:val="es-ES"/>
        </w:rPr>
        <w:t xml:space="preserve"> (visitado 19/06/18, 10:02).</w:t>
      </w:r>
    </w:p>
  </w:footnote>
  <w:footnote w:id="49">
    <w:p w14:paraId="4C251F79"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Informe Fiscal Judicial de la Corte Suprema, 16 de febrero de 2018.</w:t>
      </w:r>
    </w:p>
  </w:footnote>
  <w:footnote w:id="50">
    <w:p w14:paraId="47354CCF"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Gendarmería de Chile. Información obtenida por transparencia el 17/09/17.</w:t>
      </w:r>
    </w:p>
  </w:footnote>
  <w:footnote w:id="51">
    <w:p w14:paraId="71A2D099"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vertAlign w:val="superscript"/>
        </w:rPr>
        <w:t xml:space="preserve"> </w:t>
      </w:r>
      <w:r w:rsidRPr="001D7D7F">
        <w:rPr>
          <w:color w:val="000000"/>
          <w:sz w:val="20"/>
          <w:szCs w:val="20"/>
        </w:rPr>
        <w:t>Oficio reservado 27 de Gendarmería de Chile “11 medidas inmediatas para enfrentar el problema carcelario”, el 23 de enero de 2003.</w:t>
      </w:r>
    </w:p>
  </w:footnote>
  <w:footnote w:id="52">
    <w:p w14:paraId="4122A73D" w14:textId="2FEBEEB1" w:rsidR="00301400" w:rsidRPr="001D7D7F" w:rsidRDefault="00301400" w:rsidP="001D7D7F">
      <w:pPr>
        <w:spacing w:line="240" w:lineRule="auto"/>
        <w:jc w:val="both"/>
        <w:rPr>
          <w:sz w:val="20"/>
          <w:szCs w:val="20"/>
        </w:rPr>
      </w:pPr>
      <w:r w:rsidRPr="001D7D7F">
        <w:rPr>
          <w:rStyle w:val="FootnoteReference"/>
          <w:sz w:val="20"/>
          <w:szCs w:val="20"/>
        </w:rPr>
        <w:footnoteRef/>
      </w:r>
      <w:r w:rsidRPr="001D7D7F">
        <w:rPr>
          <w:sz w:val="20"/>
          <w:szCs w:val="20"/>
        </w:rPr>
        <w:t xml:space="preserve"> A., </w:t>
      </w:r>
      <w:r w:rsidRPr="001D7D7F">
        <w:rPr>
          <w:i/>
          <w:sz w:val="20"/>
          <w:szCs w:val="20"/>
        </w:rPr>
        <w:t>Cárdenas,</w:t>
      </w:r>
      <w:r w:rsidRPr="001D7D7F">
        <w:rPr>
          <w:sz w:val="20"/>
          <w:szCs w:val="20"/>
        </w:rPr>
        <w:t xml:space="preserve"> Género y precarización laboral: El trabajo penitenciario femenino en Chile, Mora, C. (Ed.), Patrones de Desigualdad y Estratificación en Chile: La Continua Relevancia del Género, Editorial Universidad Alberto Hurtado, Santiago de Chile, pp.143</w:t>
      </w:r>
      <w:r w:rsidRPr="001D7D7F">
        <w:rPr>
          <w:rFonts w:cs="Calibri"/>
          <w:sz w:val="20"/>
          <w:szCs w:val="20"/>
        </w:rPr>
        <w:t>‐</w:t>
      </w:r>
      <w:r w:rsidRPr="001D7D7F">
        <w:rPr>
          <w:sz w:val="20"/>
          <w:szCs w:val="20"/>
        </w:rPr>
        <w:t>169.</w:t>
      </w:r>
      <w:r w:rsidRPr="001D7D7F">
        <w:rPr>
          <w:sz w:val="20"/>
          <w:szCs w:val="20"/>
          <w:lang w:val="es-ES"/>
        </w:rPr>
        <w:tab/>
      </w:r>
    </w:p>
  </w:footnote>
  <w:footnote w:id="53">
    <w:p w14:paraId="7B54BD2C" w14:textId="0930C3F0" w:rsidR="00301400" w:rsidRPr="001D7D7F" w:rsidRDefault="00301400" w:rsidP="001D7D7F">
      <w:pPr>
        <w:spacing w:after="0" w:line="240" w:lineRule="auto"/>
        <w:jc w:val="both"/>
        <w:rPr>
          <w:rFonts w:eastAsia="Times New Roman"/>
          <w:sz w:val="20"/>
          <w:szCs w:val="20"/>
          <w:lang w:val="es-ES_tradnl" w:eastAsia="es-ES_tradnl"/>
        </w:rPr>
      </w:pPr>
      <w:r w:rsidRPr="001D7D7F">
        <w:rPr>
          <w:rStyle w:val="FootnoteReference"/>
          <w:sz w:val="20"/>
          <w:szCs w:val="20"/>
        </w:rPr>
        <w:footnoteRef/>
      </w:r>
      <w:r w:rsidRPr="001D7D7F">
        <w:rPr>
          <w:sz w:val="20"/>
          <w:szCs w:val="20"/>
        </w:rPr>
        <w:t xml:space="preserve"> </w:t>
      </w:r>
      <w:r w:rsidRPr="001D7D7F">
        <w:rPr>
          <w:rFonts w:eastAsia="Times New Roman"/>
          <w:iCs/>
          <w:sz w:val="20"/>
          <w:szCs w:val="20"/>
          <w:lang w:val="es-ES_tradnl" w:eastAsia="es-ES_tradnl"/>
        </w:rPr>
        <w:t>Gendarmería de Chile, Información proporcionada en Carta Nº 3377/17 de 15 de diciembre de 2017, en respuesta a requerimiento hecho mediante Ley 20.285 (código de identificador de solicitud AK006T0006717, sobre acceso a la Información Pública.</w:t>
      </w:r>
    </w:p>
  </w:footnote>
  <w:footnote w:id="54">
    <w:p w14:paraId="6976B0F0" w14:textId="77777777" w:rsidR="00301400" w:rsidRPr="001D7D7F" w:rsidRDefault="00301400" w:rsidP="00326D5E">
      <w:pPr>
        <w:spacing w:after="0" w:line="240" w:lineRule="auto"/>
        <w:jc w:val="both"/>
        <w:rPr>
          <w:rFonts w:eastAsia="Times New Roman"/>
          <w:sz w:val="20"/>
          <w:szCs w:val="20"/>
        </w:rPr>
      </w:pPr>
      <w:r w:rsidRPr="001D7D7F">
        <w:rPr>
          <w:rStyle w:val="FootnoteReference"/>
          <w:sz w:val="20"/>
          <w:szCs w:val="20"/>
        </w:rPr>
        <w:footnoteRef/>
      </w:r>
      <w:r w:rsidRPr="001D7D7F">
        <w:rPr>
          <w:sz w:val="20"/>
          <w:szCs w:val="20"/>
        </w:rPr>
        <w:t xml:space="preserve"> </w:t>
      </w:r>
      <w:r w:rsidRPr="001D7D7F">
        <w:rPr>
          <w:rFonts w:eastAsia="Times New Roman"/>
          <w:color w:val="000000"/>
          <w:sz w:val="20"/>
          <w:szCs w:val="20"/>
        </w:rPr>
        <w:t>Oficio número 744/2017 de Gendarmería, del 21 de marzo de 2017.</w:t>
      </w:r>
    </w:p>
  </w:footnote>
  <w:footnote w:id="55">
    <w:p w14:paraId="096EE8F8"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Corte de Apelaciones de Arica, causa rol Nº 77-2015 Amparo, de 1 de julio 2015</w:t>
      </w:r>
    </w:p>
  </w:footnote>
  <w:footnote w:id="56">
    <w:p w14:paraId="7EEC1648" w14:textId="55B2DE66" w:rsidR="00301400" w:rsidRPr="001D7D7F" w:rsidRDefault="00301400" w:rsidP="001D7D7F">
      <w:pPr>
        <w:pStyle w:val="FootnoteText"/>
        <w:jc w:val="both"/>
        <w:rPr>
          <w:sz w:val="20"/>
          <w:szCs w:val="20"/>
          <w:lang w:val="es-ES"/>
        </w:rPr>
      </w:pPr>
      <w:r w:rsidRPr="001D7D7F">
        <w:rPr>
          <w:rStyle w:val="FootnoteReference"/>
          <w:sz w:val="20"/>
          <w:szCs w:val="20"/>
        </w:rPr>
        <w:footnoteRef/>
      </w:r>
      <w:r>
        <w:rPr>
          <w:sz w:val="20"/>
          <w:szCs w:val="20"/>
        </w:rPr>
        <w:t xml:space="preserve">Revisar: </w:t>
      </w:r>
      <w:hyperlink r:id="rId29" w:history="1">
        <w:r w:rsidRPr="006A6B7B">
          <w:rPr>
            <w:rStyle w:val="Hyperlink"/>
            <w:sz w:val="20"/>
            <w:szCs w:val="20"/>
          </w:rPr>
          <w:t>https://www.cooperativa.cl/noticias/pais/manifestaciones/gendarmes-se-manifestaran-en-todas-las-carceles-del-pais-este-martes/2018-04-23/212839.html</w:t>
        </w:r>
      </w:hyperlink>
      <w:r>
        <w:rPr>
          <w:sz w:val="20"/>
          <w:szCs w:val="20"/>
        </w:rPr>
        <w:t xml:space="preserve"> </w:t>
      </w:r>
    </w:p>
  </w:footnote>
  <w:footnote w:id="57">
    <w:p w14:paraId="66073DC1" w14:textId="0CE0BAAD"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Para ver informe completo, ir a: </w:t>
      </w:r>
      <w:hyperlink r:id="rId30" w:history="1">
        <w:r w:rsidRPr="001D7D7F">
          <w:rPr>
            <w:rStyle w:val="Hyperlink"/>
            <w:sz w:val="20"/>
            <w:szCs w:val="20"/>
            <w:lang w:val="es-ES"/>
          </w:rPr>
          <w:t>http://www.observadoresddhh.org/wp-content/uploads/2012/02/Informe-Tirua-Ercilla-Mayo-2018.pdf</w:t>
        </w:r>
      </w:hyperlink>
      <w:r w:rsidRPr="001D7D7F">
        <w:rPr>
          <w:sz w:val="20"/>
          <w:szCs w:val="20"/>
          <w:lang w:val="es-ES"/>
        </w:rPr>
        <w:t xml:space="preserve"> (visitada 21/06/18, 18:08): </w:t>
      </w:r>
    </w:p>
  </w:footnote>
  <w:footnote w:id="58">
    <w:p w14:paraId="421FBE18"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SUBCOMITÉ PARA LA PREVENCIÓN DE LA TORTURA Y OTROS TRATOS O PENAS CRUELES, INHUMANOS O DEGRADANTES (2016), </w:t>
      </w:r>
      <w:r w:rsidRPr="001D7D7F">
        <w:rPr>
          <w:i/>
          <w:sz w:val="20"/>
          <w:szCs w:val="20"/>
        </w:rPr>
        <w:t>Visita a Chile: recomendaciones y observaciones dirigidas al Estado parte (4-13 de abril de 2016)</w:t>
      </w:r>
      <w:r w:rsidRPr="001D7D7F">
        <w:rPr>
          <w:sz w:val="20"/>
          <w:szCs w:val="20"/>
        </w:rPr>
        <w:t>, 8 de junio de 2016, U.N. Doc. CAT/OP/CHL/R.1, párr. 114.</w:t>
      </w:r>
    </w:p>
  </w:footnote>
  <w:footnote w:id="59">
    <w:p w14:paraId="56CC74F6"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i/>
          <w:sz w:val="20"/>
          <w:szCs w:val="20"/>
        </w:rPr>
        <w:t>Ídem,</w:t>
      </w:r>
      <w:r w:rsidRPr="001D7D7F">
        <w:rPr>
          <w:sz w:val="20"/>
          <w:szCs w:val="20"/>
        </w:rPr>
        <w:t xml:space="preserve"> párr. 120. </w:t>
      </w:r>
    </w:p>
  </w:footnote>
  <w:footnote w:id="60">
    <w:p w14:paraId="7CAFDDD3"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Documento disponible en: </w:t>
      </w:r>
      <w:hyperlink r:id="rId31" w:history="1">
        <w:r w:rsidRPr="001D7D7F">
          <w:rPr>
            <w:rStyle w:val="Hyperlink"/>
            <w:sz w:val="20"/>
            <w:szCs w:val="20"/>
            <w:lang w:val="es-ES"/>
          </w:rPr>
          <w:t>http://deptoddhh.carabineros.cl/assets/circular_digcar_1756_13032013_usodelafuerza.pdf</w:t>
        </w:r>
      </w:hyperlink>
      <w:r w:rsidRPr="001D7D7F">
        <w:rPr>
          <w:sz w:val="20"/>
          <w:szCs w:val="20"/>
          <w:lang w:val="es-ES"/>
        </w:rPr>
        <w:t xml:space="preserve"> (visitado 19/06/18, 10:34). </w:t>
      </w:r>
    </w:p>
  </w:footnote>
  <w:footnote w:id="61">
    <w:p w14:paraId="01DDED67"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Documento disponible en:</w:t>
      </w:r>
      <w:r w:rsidRPr="001D7D7F">
        <w:rPr>
          <w:sz w:val="20"/>
          <w:szCs w:val="20"/>
        </w:rPr>
        <w:t xml:space="preserve"> </w:t>
      </w:r>
      <w:hyperlink r:id="rId32" w:history="1">
        <w:r w:rsidRPr="001D7D7F">
          <w:rPr>
            <w:rStyle w:val="Hyperlink"/>
            <w:sz w:val="20"/>
            <w:szCs w:val="20"/>
            <w:lang w:val="es-ES"/>
          </w:rPr>
          <w:t>https://www.ohchr.org/SP/ProfessionalInterest/Pages/UseOfForceAndFirearms.aspx</w:t>
        </w:r>
      </w:hyperlink>
      <w:r w:rsidRPr="001D7D7F">
        <w:rPr>
          <w:sz w:val="20"/>
          <w:szCs w:val="20"/>
          <w:lang w:val="es-ES"/>
        </w:rPr>
        <w:t xml:space="preserve"> (visitado 19/06/18, 10:36). </w:t>
      </w:r>
    </w:p>
  </w:footnote>
  <w:footnote w:id="62">
    <w:p w14:paraId="39E944BC" w14:textId="77777777" w:rsidR="00301400" w:rsidRPr="001D7D7F" w:rsidRDefault="00301400" w:rsidP="00326D5E">
      <w:pPr>
        <w:pStyle w:val="CommentText"/>
        <w:spacing w:after="0"/>
        <w:jc w:val="both"/>
        <w:rPr>
          <w:sz w:val="20"/>
          <w:szCs w:val="20"/>
        </w:rPr>
      </w:pPr>
      <w:r w:rsidRPr="001D7D7F">
        <w:rPr>
          <w:rStyle w:val="FootnoteReference"/>
          <w:sz w:val="20"/>
          <w:szCs w:val="20"/>
        </w:rPr>
        <w:footnoteRef/>
      </w:r>
      <w:r w:rsidRPr="001D7D7F">
        <w:rPr>
          <w:sz w:val="20"/>
          <w:szCs w:val="20"/>
        </w:rPr>
        <w:t xml:space="preserve"> SUBCOMITÉ PARA LA PREVENCIÓN DE LA TORTURA Y OTROS TRATOS O PENAS CRUELES, INHUMANOS O DEGRADANTES (2016), </w:t>
      </w:r>
      <w:r w:rsidRPr="001D7D7F">
        <w:rPr>
          <w:i/>
          <w:sz w:val="20"/>
          <w:szCs w:val="20"/>
        </w:rPr>
        <w:t>Visita a Chile: recomendaciones y observaciones dirigidas al Estado parte (4-13 de abril de 2016)</w:t>
      </w:r>
      <w:r w:rsidRPr="001D7D7F">
        <w:rPr>
          <w:sz w:val="20"/>
          <w:szCs w:val="20"/>
        </w:rPr>
        <w:t>, 8 de junio de 2016, U.N. Doc. CAT/OP/CHL/R.1, párr. 114.</w:t>
      </w:r>
    </w:p>
  </w:footnote>
  <w:footnote w:id="63">
    <w:p w14:paraId="44FEC29B" w14:textId="77777777" w:rsidR="00301400" w:rsidRPr="00446153" w:rsidRDefault="00301400" w:rsidP="00326D5E">
      <w:pPr>
        <w:spacing w:after="0" w:line="240" w:lineRule="auto"/>
        <w:contextualSpacing/>
        <w:jc w:val="both"/>
        <w:rPr>
          <w:color w:val="000000"/>
          <w:sz w:val="20"/>
          <w:szCs w:val="20"/>
          <w:u w:val="single"/>
        </w:rPr>
      </w:pPr>
      <w:r w:rsidRPr="001D7D7F">
        <w:rPr>
          <w:rStyle w:val="FootnoteReference"/>
          <w:sz w:val="20"/>
          <w:szCs w:val="20"/>
        </w:rPr>
        <w:footnoteRef/>
      </w:r>
      <w:r w:rsidRPr="001D7D7F">
        <w:rPr>
          <w:sz w:val="20"/>
          <w:szCs w:val="20"/>
        </w:rPr>
        <w:t xml:space="preserve"> </w:t>
      </w:r>
      <w:r w:rsidRPr="001D7D7F">
        <w:rPr>
          <w:sz w:val="20"/>
          <w:szCs w:val="20"/>
          <w:lang w:val="es-ES"/>
        </w:rPr>
        <w:t xml:space="preserve">Para mayor información, se pueden revisar informes de las zonas monitoreadas en: </w:t>
      </w:r>
      <w:hyperlink r:id="rId33" w:history="1">
        <w:r w:rsidRPr="00446153">
          <w:rPr>
            <w:rStyle w:val="Hyperlink"/>
            <w:color w:val="000000"/>
            <w:sz w:val="20"/>
            <w:szCs w:val="20"/>
          </w:rPr>
          <w:t>http://www.observadoresddhh.org/wp-content/uploads/2012/02/Informe-Tirua-Ercilla-Mayo-2018.pdf</w:t>
        </w:r>
      </w:hyperlink>
      <w:r w:rsidRPr="00446153">
        <w:rPr>
          <w:rStyle w:val="Hyperlink"/>
          <w:color w:val="000000"/>
          <w:sz w:val="20"/>
          <w:szCs w:val="20"/>
        </w:rPr>
        <w:t xml:space="preserve"> y en </w:t>
      </w:r>
      <w:hyperlink r:id="rId34" w:history="1">
        <w:r w:rsidRPr="00446153">
          <w:rPr>
            <w:rStyle w:val="Hyperlink"/>
            <w:color w:val="000000"/>
            <w:sz w:val="20"/>
            <w:szCs w:val="20"/>
          </w:rPr>
          <w:t>http://www.observadoresddhh.org/wp-content/uploads/2012/02/2015-03-31-Informe-DDHH-Malla-Malla.pdf</w:t>
        </w:r>
      </w:hyperlink>
      <w:r w:rsidRPr="00446153">
        <w:rPr>
          <w:rStyle w:val="Hyperlink"/>
          <w:color w:val="000000"/>
          <w:sz w:val="20"/>
          <w:szCs w:val="20"/>
        </w:rPr>
        <w:t>.</w:t>
      </w:r>
    </w:p>
  </w:footnote>
  <w:footnote w:id="64">
    <w:p w14:paraId="7C7C8AC6" w14:textId="77777777" w:rsidR="00301400" w:rsidRPr="001D7D7F" w:rsidRDefault="00301400" w:rsidP="00326D5E">
      <w:pPr>
        <w:pStyle w:val="FootnoteText"/>
        <w:contextualSpacing/>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Ministerio de Justicia. Políticas penitenciarias con enfoque de género. Chile. 2014.</w:t>
      </w:r>
    </w:p>
  </w:footnote>
  <w:footnote w:id="65">
    <w:p w14:paraId="50E4BF4C"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Gendarmería de Chile. Caracterización de la población femenina reclusa. Subcomité de género del Ministerio de Justicia. 2017.</w:t>
      </w:r>
    </w:p>
  </w:footnote>
  <w:footnote w:id="66">
    <w:p w14:paraId="728B99B4"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Para mayor abundamiento, revisar </w:t>
      </w:r>
      <w:r w:rsidRPr="001D7D7F">
        <w:rPr>
          <w:i/>
          <w:sz w:val="20"/>
          <w:szCs w:val="20"/>
          <w:lang w:val="es-ES"/>
        </w:rPr>
        <w:t xml:space="preserve">“Guía Nacional de Recomendaciones para la incorporación del enfoque de género en las Políticas de Drogas en Chile”, </w:t>
      </w:r>
      <w:r w:rsidRPr="001D7D7F">
        <w:rPr>
          <w:sz w:val="20"/>
          <w:szCs w:val="20"/>
          <w:lang w:val="es-ES"/>
        </w:rPr>
        <w:t>de Centro Regional de Derechos Humanos y Justicia de Género, Corporación Humanas, disponible</w:t>
      </w:r>
      <w:r w:rsidRPr="001D7D7F">
        <w:rPr>
          <w:i/>
          <w:sz w:val="20"/>
          <w:szCs w:val="20"/>
          <w:lang w:val="es-ES"/>
        </w:rPr>
        <w:t xml:space="preserve"> </w:t>
      </w:r>
      <w:r w:rsidRPr="001D7D7F">
        <w:rPr>
          <w:sz w:val="20"/>
          <w:szCs w:val="20"/>
          <w:lang w:val="es-ES"/>
        </w:rPr>
        <w:t xml:space="preserve">en: </w:t>
      </w:r>
      <w:hyperlink r:id="rId35" w:history="1">
        <w:r w:rsidRPr="001D7D7F">
          <w:rPr>
            <w:rStyle w:val="Hyperlink"/>
            <w:sz w:val="20"/>
            <w:szCs w:val="20"/>
            <w:lang w:val="es-ES"/>
          </w:rPr>
          <w:t>http://www.humanas.cl/?p=16682</w:t>
        </w:r>
      </w:hyperlink>
      <w:r w:rsidRPr="001D7D7F">
        <w:rPr>
          <w:sz w:val="20"/>
          <w:szCs w:val="20"/>
          <w:lang w:val="es-ES"/>
        </w:rPr>
        <w:t xml:space="preserve"> </w:t>
      </w:r>
    </w:p>
  </w:footnote>
  <w:footnote w:id="67">
    <w:p w14:paraId="70947916"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INDH, Estudio de las condiciones carcelarias en Chile. Informe CPF Santiago. Región Metropolitana. 2014-2105. </w:t>
      </w:r>
    </w:p>
  </w:footnote>
  <w:footnote w:id="68">
    <w:p w14:paraId="0AF63403"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La gravedad de las violaciones a los derechos humanos cometidas contra Lorenza Cayuhán y la interseccionalidad de la discriminación por ella sufrida fue reconocida por la Corte Suprema de Chile, que acogió un recurso de amparo (acción constitucional de amparo) interpuesto por la Defensoría Penal Pública en representación de Lorenza Cayuhán. Sin embargo, luego de ello ninguna medida se adoptó a fin de reparar las graves violaciones a sus derechos cometidas contra Lorenza y su hija Sayén. CORTE SUPREMA, sentencia de 01/12/16, Rol Nº 92.795-2016, caratulado “</w:t>
      </w:r>
      <w:r w:rsidRPr="001D7D7F">
        <w:rPr>
          <w:i/>
          <w:sz w:val="20"/>
          <w:szCs w:val="20"/>
        </w:rPr>
        <w:t>Pía Campos Campos por Lorenza Beatriz Cayuhán Llebul contra Gendarmería de Chile</w:t>
      </w:r>
      <w:r w:rsidRPr="001D7D7F">
        <w:rPr>
          <w:sz w:val="20"/>
          <w:szCs w:val="20"/>
        </w:rPr>
        <w:t xml:space="preserve">”. Disponible en: </w:t>
      </w:r>
      <w:hyperlink r:id="rId36" w:history="1">
        <w:r w:rsidRPr="001D7D7F">
          <w:rPr>
            <w:rStyle w:val="Hyperlink"/>
            <w:sz w:val="20"/>
            <w:szCs w:val="20"/>
          </w:rPr>
          <w:t>http://www.pjud.cl/documents/396729/0/AMPARO+LORENZA+CAYUHAN.pdf/b4c0a036-ee59-419b-8b42-f04ae12531c6</w:t>
        </w:r>
      </w:hyperlink>
      <w:r w:rsidRPr="001D7D7F">
        <w:rPr>
          <w:sz w:val="20"/>
          <w:szCs w:val="20"/>
        </w:rPr>
        <w:t xml:space="preserve"> (30/08/17, 14:20).</w:t>
      </w:r>
    </w:p>
  </w:footnote>
  <w:footnote w:id="69">
    <w:p w14:paraId="223603AD"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Referencia de noticia periodística sobre el caso: </w:t>
      </w:r>
      <w:hyperlink r:id="rId37" w:history="1">
        <w:r w:rsidRPr="001D7D7F">
          <w:rPr>
            <w:rStyle w:val="Hyperlink"/>
            <w:sz w:val="20"/>
            <w:szCs w:val="20"/>
          </w:rPr>
          <w:t>http://www.theclinic.cl/2017/02/05/parir-tras-las-rejas-cuando-jennyfer-perdio-hija-esperanza/</w:t>
        </w:r>
      </w:hyperlink>
      <w:r w:rsidRPr="001D7D7F">
        <w:rPr>
          <w:sz w:val="20"/>
          <w:szCs w:val="20"/>
        </w:rPr>
        <w:t xml:space="preserve"> (02/01/18, 10:11). </w:t>
      </w:r>
    </w:p>
  </w:footnote>
  <w:footnote w:id="70">
    <w:p w14:paraId="0D37BA40"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Algunos testimonios de mujeres víctimas de violencia obstétrica son recogidos en el sitio web del Observatorio de Violencia Obstétrica OVO Chile. Disponible en: </w:t>
      </w:r>
      <w:hyperlink r:id="rId38" w:history="1">
        <w:r w:rsidRPr="001D7D7F">
          <w:rPr>
            <w:rStyle w:val="Hyperlink"/>
            <w:sz w:val="20"/>
            <w:szCs w:val="20"/>
          </w:rPr>
          <w:t>http://ovochile.cl/testimonios/</w:t>
        </w:r>
      </w:hyperlink>
      <w:r w:rsidRPr="001D7D7F">
        <w:rPr>
          <w:sz w:val="20"/>
          <w:szCs w:val="20"/>
        </w:rPr>
        <w:t xml:space="preserve"> (31/08/17, 12:02). Más antecedentes en: El País On Line, </w:t>
      </w:r>
      <w:r w:rsidRPr="001D7D7F">
        <w:rPr>
          <w:i/>
          <w:sz w:val="20"/>
          <w:szCs w:val="20"/>
        </w:rPr>
        <w:t>El silenciado abuso que hay detrás de las cesáreas</w:t>
      </w:r>
      <w:r w:rsidRPr="001D7D7F">
        <w:rPr>
          <w:sz w:val="20"/>
          <w:szCs w:val="20"/>
        </w:rPr>
        <w:t xml:space="preserve">, 31 de agosto de 2017. Disponible en: </w:t>
      </w:r>
      <w:hyperlink r:id="rId39" w:history="1">
        <w:r w:rsidRPr="001D7D7F">
          <w:rPr>
            <w:rStyle w:val="Hyperlink"/>
            <w:sz w:val="20"/>
            <w:szCs w:val="20"/>
          </w:rPr>
          <w:t>https://elpais.com/elpais/2017/08/24/planeta_futuro/1503582688_802126.html</w:t>
        </w:r>
      </w:hyperlink>
      <w:r w:rsidRPr="001D7D7F">
        <w:rPr>
          <w:sz w:val="20"/>
          <w:szCs w:val="20"/>
        </w:rPr>
        <w:t xml:space="preserve"> (31/08/17, 12:09); El Desconcierto On Line, </w:t>
      </w:r>
      <w:r w:rsidRPr="001D7D7F">
        <w:rPr>
          <w:i/>
          <w:sz w:val="20"/>
          <w:szCs w:val="20"/>
        </w:rPr>
        <w:t>Violencia obstétrica: El currículum oculto que legitima prácticas indebidas en la formación universitaria</w:t>
      </w:r>
      <w:r w:rsidRPr="001D7D7F">
        <w:rPr>
          <w:sz w:val="20"/>
          <w:szCs w:val="20"/>
        </w:rPr>
        <w:t xml:space="preserve">, 19 de diciembre de 2016. Disponible en: </w:t>
      </w:r>
      <w:hyperlink r:id="rId40" w:history="1">
        <w:r w:rsidRPr="001D7D7F">
          <w:rPr>
            <w:rStyle w:val="Hyperlink"/>
            <w:sz w:val="20"/>
            <w:szCs w:val="20"/>
          </w:rPr>
          <w:t>http://www.eldesconcierto.cl/2016/12/19/violencia-obstetrica-el-curriculum-oculto-que-legitima-practicas-indebidas-en-la-formacion-universitaria/</w:t>
        </w:r>
      </w:hyperlink>
      <w:r w:rsidRPr="001D7D7F">
        <w:rPr>
          <w:sz w:val="20"/>
          <w:szCs w:val="20"/>
        </w:rPr>
        <w:t xml:space="preserve"> (31/08/17, 12:10); Revista Paula On Line, </w:t>
      </w:r>
      <w:r w:rsidRPr="001D7D7F">
        <w:rPr>
          <w:i/>
          <w:sz w:val="20"/>
          <w:szCs w:val="20"/>
        </w:rPr>
        <w:t>Violencia Obstétrica: el reclamo de las mujeres</w:t>
      </w:r>
      <w:r w:rsidRPr="001D7D7F">
        <w:rPr>
          <w:sz w:val="20"/>
          <w:szCs w:val="20"/>
        </w:rPr>
        <w:t xml:space="preserve">, 2 de julio de 2015. Disponible en: </w:t>
      </w:r>
      <w:hyperlink r:id="rId41" w:history="1">
        <w:r w:rsidRPr="001D7D7F">
          <w:rPr>
            <w:rStyle w:val="Hyperlink"/>
            <w:sz w:val="20"/>
            <w:szCs w:val="20"/>
          </w:rPr>
          <w:t>http://www.paula.cl/reportajes-y-entrevistas/el-reclamo-de-la-mujeres/</w:t>
        </w:r>
      </w:hyperlink>
      <w:r w:rsidRPr="001D7D7F">
        <w:rPr>
          <w:sz w:val="20"/>
          <w:szCs w:val="20"/>
        </w:rPr>
        <w:t xml:space="preserve"> (31/08/17, 13:10).</w:t>
      </w:r>
    </w:p>
  </w:footnote>
  <w:footnote w:id="71">
    <w:p w14:paraId="5FBB331B" w14:textId="50BEC365" w:rsidR="00301400" w:rsidRPr="001D7D7F" w:rsidRDefault="00301400" w:rsidP="001D7D7F">
      <w:pPr>
        <w:spacing w:after="0" w:line="240" w:lineRule="auto"/>
        <w:jc w:val="both"/>
        <w:rPr>
          <w:rFonts w:eastAsia="Times New Roman"/>
          <w:sz w:val="20"/>
          <w:szCs w:val="20"/>
          <w:lang w:val="es-ES_tradnl" w:eastAsia="es-ES_tradnl"/>
        </w:rPr>
      </w:pPr>
      <w:r w:rsidRPr="001D7D7F">
        <w:rPr>
          <w:rStyle w:val="FootnoteReference"/>
          <w:sz w:val="20"/>
          <w:szCs w:val="20"/>
        </w:rPr>
        <w:footnoteRef/>
      </w:r>
      <w:r w:rsidRPr="001D7D7F">
        <w:rPr>
          <w:sz w:val="20"/>
          <w:szCs w:val="20"/>
        </w:rPr>
        <w:t xml:space="preserve"> </w:t>
      </w:r>
      <w:r w:rsidRPr="001D7D7F">
        <w:rPr>
          <w:rFonts w:eastAsia="Times New Roman"/>
          <w:sz w:val="20"/>
          <w:szCs w:val="20"/>
          <w:lang w:val="es-ES_tradnl" w:eastAsia="es-ES_tradnl"/>
        </w:rPr>
        <w:t>Ministerio de Salud, Departamento de salud mental. Presentación: Norma Técnica de Terapia Electro compulsiva, actualización 2017. Reunión de expertos, 06 de abril del año 2017.</w:t>
      </w:r>
    </w:p>
    <w:p w14:paraId="25FDE4F0" w14:textId="1AD5423A" w:rsidR="00301400" w:rsidRPr="001D7D7F" w:rsidRDefault="00301400" w:rsidP="001D7D7F">
      <w:pPr>
        <w:pStyle w:val="FootnoteText"/>
        <w:jc w:val="both"/>
        <w:rPr>
          <w:sz w:val="20"/>
          <w:szCs w:val="20"/>
          <w:lang w:val="es-ES"/>
        </w:rPr>
      </w:pPr>
    </w:p>
  </w:footnote>
  <w:footnote w:id="72">
    <w:p w14:paraId="2DF0D7C8" w14:textId="3798123C"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En 2017 en una investigación cualitativa de diagnóstico realizada por el Círculo Emancipador de Mujeres y Niñas de Chile (CIMUNIDIS) sobre la situación de violencia contra mujeres con discapacidad en Región de Valparaíso en un proyecto apoyado por ONU Mujeres, se constata que de 7 mujeres entrevistadas de entre 14 y 27 años</w:t>
      </w:r>
      <w:r>
        <w:rPr>
          <w:sz w:val="20"/>
          <w:szCs w:val="20"/>
        </w:rPr>
        <w:t xml:space="preserve"> con discapacidad intelectual, </w:t>
      </w:r>
      <w:r w:rsidRPr="001D7D7F">
        <w:rPr>
          <w:sz w:val="20"/>
          <w:szCs w:val="20"/>
        </w:rPr>
        <w:t>2 habían sido esterilizadas y a una se le extirpó el clítoris.</w:t>
      </w:r>
    </w:p>
  </w:footnote>
  <w:footnote w:id="73">
    <w:p w14:paraId="0B92E5C8"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CIMUNIDIS ha recogido estudios con testimonios de Violencia obstétrica en Chile, México y Uruguay que dan cuenta de que  las mujeres y niñas con discapacidad tienden a huir de los servicios de ginecología después de la primera consulta.  </w:t>
      </w:r>
    </w:p>
  </w:footnote>
  <w:footnote w:id="74">
    <w:p w14:paraId="1D85E022" w14:textId="77777777" w:rsidR="00301400" w:rsidRPr="001D7D7F" w:rsidRDefault="00301400" w:rsidP="001D7D7F">
      <w:pPr>
        <w:pStyle w:val="FootnoteText"/>
        <w:jc w:val="both"/>
        <w:rPr>
          <w:sz w:val="20"/>
          <w:szCs w:val="20"/>
          <w:lang w:val="es-ES"/>
        </w:rPr>
      </w:pPr>
      <w:r w:rsidRPr="001D7D7F">
        <w:rPr>
          <w:rStyle w:val="FootnoteReference"/>
          <w:sz w:val="20"/>
          <w:szCs w:val="20"/>
        </w:rPr>
        <w:footnoteRef/>
      </w:r>
      <w:r w:rsidRPr="001D7D7F">
        <w:rPr>
          <w:sz w:val="20"/>
          <w:szCs w:val="20"/>
        </w:rPr>
        <w:t xml:space="preserve"> </w:t>
      </w:r>
      <w:r w:rsidRPr="001D7D7F">
        <w:rPr>
          <w:sz w:val="20"/>
          <w:szCs w:val="20"/>
          <w:lang w:val="es-ES"/>
        </w:rPr>
        <w:t xml:space="preserve">Documento disponible en: </w:t>
      </w:r>
      <w:hyperlink r:id="rId42" w:history="1">
        <w:r w:rsidRPr="001D7D7F">
          <w:rPr>
            <w:rStyle w:val="Hyperlink"/>
            <w:sz w:val="20"/>
            <w:szCs w:val="20"/>
            <w:lang w:val="es-ES"/>
          </w:rPr>
          <w:t>http://www.acnur.org/fileadmin/Documentos/BDL/2001/1280.pdf</w:t>
        </w:r>
      </w:hyperlink>
      <w:r w:rsidRPr="001D7D7F">
        <w:rPr>
          <w:sz w:val="20"/>
          <w:szCs w:val="20"/>
          <w:lang w:val="es-ES"/>
        </w:rPr>
        <w:t xml:space="preserve"> (visitado 19/06/18, 10:47). </w:t>
      </w:r>
    </w:p>
  </w:footnote>
  <w:footnote w:id="75">
    <w:p w14:paraId="1FDC519B"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El Mercurio, </w:t>
      </w:r>
      <w:r w:rsidRPr="001D7D7F">
        <w:rPr>
          <w:i/>
          <w:sz w:val="20"/>
          <w:szCs w:val="20"/>
        </w:rPr>
        <w:t>Casi un tercio de los médicos obstetras de los hospitales se declaró objetor de conciencia</w:t>
      </w:r>
      <w:r w:rsidRPr="001D7D7F">
        <w:rPr>
          <w:sz w:val="20"/>
          <w:szCs w:val="20"/>
        </w:rPr>
        <w:t>, 14 de abril de 2018, p. C1.</w:t>
      </w:r>
    </w:p>
  </w:footnote>
  <w:footnote w:id="76">
    <w:p w14:paraId="623378E7"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Ver notas de prensa: El Desconcierto, </w:t>
      </w:r>
      <w:r w:rsidRPr="001D7D7F">
        <w:rPr>
          <w:i/>
          <w:sz w:val="20"/>
          <w:szCs w:val="20"/>
        </w:rPr>
        <w:t>La historia de Estefanía Cabello, la mujer que murió tras aborto y que pone en alerta aplicación de las 3 causales</w:t>
      </w:r>
      <w:r w:rsidRPr="001D7D7F">
        <w:rPr>
          <w:sz w:val="20"/>
          <w:szCs w:val="20"/>
        </w:rPr>
        <w:t xml:space="preserve">, 18 de abril de 2018. Disponible en: </w:t>
      </w:r>
      <w:hyperlink r:id="rId43" w:history="1">
        <w:r w:rsidRPr="001D7D7F">
          <w:rPr>
            <w:rStyle w:val="Hyperlink"/>
            <w:sz w:val="20"/>
            <w:szCs w:val="20"/>
          </w:rPr>
          <w:t>http://www.eldesconcierto.cl/2018/04/18/la-historia-de-estefania-cabello-la-mujer-que-murio-tras-aborto-y-que-pone-en-alerta-aplicacion-de-las-3-causales/</w:t>
        </w:r>
      </w:hyperlink>
      <w:r w:rsidRPr="001D7D7F">
        <w:rPr>
          <w:sz w:val="20"/>
          <w:szCs w:val="20"/>
        </w:rPr>
        <w:t xml:space="preserve">; La Tercera, Fiscalía indaga muerte de madre por presunto aborto tardío, 18 de abril de 2018. Disponible en: </w:t>
      </w:r>
      <w:hyperlink r:id="rId44" w:history="1">
        <w:r w:rsidRPr="001D7D7F">
          <w:rPr>
            <w:rStyle w:val="Hyperlink"/>
            <w:sz w:val="20"/>
            <w:szCs w:val="20"/>
          </w:rPr>
          <w:t>http://www.latercera.com/nacional/noticia/fiscalia-indaga-muerte-madre-presunto-aborto-tardio/137523/</w:t>
        </w:r>
      </w:hyperlink>
      <w:r w:rsidRPr="001D7D7F">
        <w:rPr>
          <w:sz w:val="20"/>
          <w:szCs w:val="20"/>
        </w:rPr>
        <w:t xml:space="preserve">; La Tercera, </w:t>
      </w:r>
      <w:r w:rsidRPr="001D7D7F">
        <w:rPr>
          <w:i/>
          <w:sz w:val="20"/>
          <w:szCs w:val="20"/>
        </w:rPr>
        <w:t>Aborto: muerte de madre abre debate por aplicación de ley</w:t>
      </w:r>
      <w:r w:rsidRPr="001D7D7F">
        <w:rPr>
          <w:sz w:val="20"/>
          <w:szCs w:val="20"/>
        </w:rPr>
        <w:t xml:space="preserve">, 19 de abril de 2018. Disponible en: </w:t>
      </w:r>
      <w:hyperlink r:id="rId45" w:history="1">
        <w:r w:rsidRPr="001D7D7F">
          <w:rPr>
            <w:rStyle w:val="Hyperlink"/>
            <w:sz w:val="20"/>
            <w:szCs w:val="20"/>
          </w:rPr>
          <w:t>http://www.latercera.com/nacional/noticia/aborto-muerte-madre-abre-debate-aplicacion-ley/138707/</w:t>
        </w:r>
      </w:hyperlink>
      <w:r w:rsidRPr="001D7D7F">
        <w:rPr>
          <w:sz w:val="20"/>
          <w:szCs w:val="20"/>
        </w:rPr>
        <w:t xml:space="preserve">. </w:t>
      </w:r>
    </w:p>
  </w:footnote>
  <w:footnote w:id="77">
    <w:p w14:paraId="6BB22EB3"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Fiscalía Local de Curicó, causa RUC Nº 1800359405-6, cuasidelito de homicidio cometido por profesionales de la salud.</w:t>
      </w:r>
    </w:p>
  </w:footnote>
  <w:footnote w:id="78">
    <w:p w14:paraId="2DB681BD" w14:textId="77777777" w:rsidR="00301400" w:rsidRPr="001D7D7F" w:rsidRDefault="00301400" w:rsidP="001D7D7F">
      <w:pPr>
        <w:pStyle w:val="FootnoteText"/>
        <w:jc w:val="both"/>
        <w:rPr>
          <w:sz w:val="20"/>
          <w:szCs w:val="20"/>
        </w:rPr>
      </w:pPr>
      <w:r w:rsidRPr="001D7D7F">
        <w:rPr>
          <w:rStyle w:val="FootnoteReference"/>
          <w:sz w:val="20"/>
          <w:szCs w:val="20"/>
        </w:rPr>
        <w:footnoteRef/>
      </w:r>
      <w:r w:rsidRPr="001D7D7F">
        <w:rPr>
          <w:sz w:val="20"/>
          <w:szCs w:val="20"/>
        </w:rPr>
        <w:t xml:space="preserve"> Ver notas de prensa: El Desconcierto, </w:t>
      </w:r>
      <w:r w:rsidRPr="001D7D7F">
        <w:rPr>
          <w:i/>
          <w:sz w:val="20"/>
          <w:szCs w:val="20"/>
        </w:rPr>
        <w:t>“No quiero que esto le pase a nadie”: El crudo relato de joven a la que le negaron aborto por inviabilidad fetal</w:t>
      </w:r>
      <w:r w:rsidRPr="001D7D7F">
        <w:rPr>
          <w:sz w:val="20"/>
          <w:szCs w:val="20"/>
        </w:rPr>
        <w:t xml:space="preserve">, 27 de abril de 2018. Disponible en: </w:t>
      </w:r>
      <w:hyperlink r:id="rId46" w:history="1">
        <w:r w:rsidRPr="001D7D7F">
          <w:rPr>
            <w:rStyle w:val="Hyperlink"/>
            <w:sz w:val="20"/>
            <w:szCs w:val="20"/>
          </w:rPr>
          <w:t>http://www.eldesconcierto.cl/2018/04/27/video-no-quiero-que-esto-le-pase-a-nadie-el-crudo-relato-de-joven-a-la-que-le-negaron-aborto-por-inviabilidad-fetal/</w:t>
        </w:r>
      </w:hyperlink>
      <w:r w:rsidRPr="001D7D7F">
        <w:rPr>
          <w:sz w:val="20"/>
          <w:szCs w:val="20"/>
        </w:rPr>
        <w:t xml:space="preserve"> ; Televisión Nacional de Chile, </w:t>
      </w:r>
      <w:r w:rsidRPr="001D7D7F">
        <w:rPr>
          <w:i/>
          <w:sz w:val="20"/>
          <w:szCs w:val="20"/>
        </w:rPr>
        <w:t>Joven denuncia que le negaron aborto en Quilpué: "No se imaginan el dolor que me provocaron"</w:t>
      </w:r>
      <w:r w:rsidRPr="001D7D7F">
        <w:rPr>
          <w:sz w:val="20"/>
          <w:szCs w:val="20"/>
        </w:rPr>
        <w:t xml:space="preserve">, 29 de abril de 2018, Disponible en: </w:t>
      </w:r>
      <w:hyperlink r:id="rId47" w:history="1">
        <w:r w:rsidRPr="001D7D7F">
          <w:rPr>
            <w:rStyle w:val="Hyperlink"/>
            <w:sz w:val="20"/>
            <w:szCs w:val="20"/>
          </w:rPr>
          <w:t>http://www.24horas.cl/nacional/joven-denuncia-que-le-negaron-aborto-en-quilpue-no-se-imaginan-el-dolor-que-me-provocaron-2700360</w:t>
        </w:r>
      </w:hyperlink>
      <w:r w:rsidRPr="001D7D7F">
        <w:rPr>
          <w:sz w:val="20"/>
          <w:szCs w:val="20"/>
        </w:rPr>
        <w:t xml:space="preserve">  </w:t>
      </w:r>
    </w:p>
  </w:footnote>
  <w:footnote w:id="79">
    <w:p w14:paraId="043B3416" w14:textId="77777777" w:rsidR="00301400" w:rsidRPr="001D7D7F" w:rsidRDefault="00301400" w:rsidP="006E4F57">
      <w:pPr>
        <w:pStyle w:val="FootnoteText"/>
        <w:jc w:val="both"/>
        <w:rPr>
          <w:sz w:val="20"/>
          <w:szCs w:val="20"/>
          <w:lang w:val="es-ES"/>
        </w:rPr>
      </w:pPr>
      <w:r w:rsidRPr="001D7D7F">
        <w:rPr>
          <w:rStyle w:val="FootnoteReference"/>
          <w:sz w:val="20"/>
          <w:szCs w:val="20"/>
        </w:rPr>
        <w:footnoteRef/>
      </w:r>
      <w:r w:rsidRPr="001D7D7F">
        <w:rPr>
          <w:sz w:val="20"/>
          <w:szCs w:val="20"/>
        </w:rPr>
        <w:t xml:space="preserve"> Naciones Unidas. SPT. Informe Final al Estado de Chile. 8 de junio de 2016. CAT/OP/CHL/R.1  http://www.minjusticia.gob.cl/media/2016/12/InformeFinal_SPT.pdf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F6A8F"/>
    <w:multiLevelType w:val="hybridMultilevel"/>
    <w:tmpl w:val="AF2CC886"/>
    <w:lvl w:ilvl="0" w:tplc="D8DE5D10">
      <w:start w:val="17"/>
      <w:numFmt w:val="bullet"/>
      <w:lvlText w:val="-"/>
      <w:lvlJc w:val="left"/>
      <w:pPr>
        <w:ind w:left="720" w:hanging="360"/>
      </w:pPr>
      <w:rPr>
        <w:rFonts w:ascii="Calibri" w:eastAsia="Times New Roman" w:hAnsi="Calibri"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0699533A"/>
    <w:multiLevelType w:val="hybridMultilevel"/>
    <w:tmpl w:val="3F1457F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06BF7F2A"/>
    <w:multiLevelType w:val="hybridMultilevel"/>
    <w:tmpl w:val="9192FC28"/>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315C4391"/>
    <w:multiLevelType w:val="multilevel"/>
    <w:tmpl w:val="AE8EF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2DB4A22"/>
    <w:multiLevelType w:val="hybridMultilevel"/>
    <w:tmpl w:val="09E84BD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451C132B"/>
    <w:multiLevelType w:val="hybridMultilevel"/>
    <w:tmpl w:val="32B6EC34"/>
    <w:lvl w:ilvl="0" w:tplc="040A0011">
      <w:start w:val="1"/>
      <w:numFmt w:val="decimal"/>
      <w:lvlText w:val="%1)"/>
      <w:lvlJc w:val="left"/>
      <w:pPr>
        <w:ind w:left="360" w:hanging="360"/>
      </w:pPr>
      <w:rPr>
        <w:rFonts w:hint="default"/>
      </w:rPr>
    </w:lvl>
    <w:lvl w:ilvl="1" w:tplc="1D280BC4">
      <w:start w:val="1"/>
      <w:numFmt w:val="lowerLetter"/>
      <w:lvlText w:val="%2."/>
      <w:lvlJc w:val="left"/>
      <w:pPr>
        <w:ind w:left="1080" w:hanging="360"/>
      </w:pPr>
      <w:rPr>
        <w:b/>
      </w:rPr>
    </w:lvl>
    <w:lvl w:ilvl="2" w:tplc="040A001B">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nsid w:val="622321D4"/>
    <w:multiLevelType w:val="multilevel"/>
    <w:tmpl w:val="137E3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6B737168"/>
    <w:multiLevelType w:val="hybridMultilevel"/>
    <w:tmpl w:val="7DD4B13E"/>
    <w:lvl w:ilvl="0" w:tplc="DE8412DA">
      <w:start w:val="13"/>
      <w:numFmt w:val="bullet"/>
      <w:lvlText w:val="-"/>
      <w:lvlJc w:val="left"/>
      <w:pPr>
        <w:ind w:left="720" w:hanging="360"/>
      </w:pPr>
      <w:rPr>
        <w:rFonts w:ascii="Calibri" w:eastAsia="Calibri" w:hAnsi="Calibri"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nsid w:val="6DE95C7F"/>
    <w:multiLevelType w:val="hybridMultilevel"/>
    <w:tmpl w:val="E834BCEA"/>
    <w:lvl w:ilvl="0" w:tplc="040A0011">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nsid w:val="72ED47E1"/>
    <w:multiLevelType w:val="hybridMultilevel"/>
    <w:tmpl w:val="82821BEC"/>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nsid w:val="76254A0D"/>
    <w:multiLevelType w:val="multilevel"/>
    <w:tmpl w:val="4D0C3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79674333"/>
    <w:multiLevelType w:val="hybridMultilevel"/>
    <w:tmpl w:val="37B80164"/>
    <w:lvl w:ilvl="0" w:tplc="C5F271E0">
      <w:start w:val="17"/>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0"/>
  </w:num>
  <w:num w:numId="4">
    <w:abstractNumId w:val="10"/>
  </w:num>
  <w:num w:numId="5">
    <w:abstractNumId w:val="3"/>
  </w:num>
  <w:num w:numId="6">
    <w:abstractNumId w:val="6"/>
  </w:num>
  <w:num w:numId="7">
    <w:abstractNumId w:val="7"/>
  </w:num>
  <w:num w:numId="8">
    <w:abstractNumId w:val="2"/>
  </w:num>
  <w:num w:numId="9">
    <w:abstractNumId w:val="1"/>
  </w:num>
  <w:num w:numId="10">
    <w:abstractNumId w:val="8"/>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2168"/>
    <w:rsid w:val="00015338"/>
    <w:rsid w:val="00027F53"/>
    <w:rsid w:val="0003631C"/>
    <w:rsid w:val="00046117"/>
    <w:rsid w:val="00060294"/>
    <w:rsid w:val="000662DB"/>
    <w:rsid w:val="000762C9"/>
    <w:rsid w:val="00091CDA"/>
    <w:rsid w:val="0009770B"/>
    <w:rsid w:val="000C08FE"/>
    <w:rsid w:val="000C16BB"/>
    <w:rsid w:val="000D38CC"/>
    <w:rsid w:val="000E79B0"/>
    <w:rsid w:val="000F117A"/>
    <w:rsid w:val="001009CF"/>
    <w:rsid w:val="00106251"/>
    <w:rsid w:val="00114637"/>
    <w:rsid w:val="00147C7D"/>
    <w:rsid w:val="001547DA"/>
    <w:rsid w:val="00161872"/>
    <w:rsid w:val="0016344A"/>
    <w:rsid w:val="001652BE"/>
    <w:rsid w:val="0016791A"/>
    <w:rsid w:val="00167A44"/>
    <w:rsid w:val="00177F23"/>
    <w:rsid w:val="001C07C1"/>
    <w:rsid w:val="001D7D7F"/>
    <w:rsid w:val="001E281F"/>
    <w:rsid w:val="001E6CB4"/>
    <w:rsid w:val="001F1A76"/>
    <w:rsid w:val="001F70E0"/>
    <w:rsid w:val="001F7FB9"/>
    <w:rsid w:val="002024C1"/>
    <w:rsid w:val="0020480A"/>
    <w:rsid w:val="002106DB"/>
    <w:rsid w:val="00226A14"/>
    <w:rsid w:val="00234DF3"/>
    <w:rsid w:val="00234F25"/>
    <w:rsid w:val="00235029"/>
    <w:rsid w:val="002355E6"/>
    <w:rsid w:val="00236D63"/>
    <w:rsid w:val="00241DE4"/>
    <w:rsid w:val="00243F77"/>
    <w:rsid w:val="00266D44"/>
    <w:rsid w:val="002828CE"/>
    <w:rsid w:val="002A2168"/>
    <w:rsid w:val="002D70F9"/>
    <w:rsid w:val="00301400"/>
    <w:rsid w:val="003159B8"/>
    <w:rsid w:val="00317409"/>
    <w:rsid w:val="00326D5E"/>
    <w:rsid w:val="003321A9"/>
    <w:rsid w:val="003611A2"/>
    <w:rsid w:val="003971F0"/>
    <w:rsid w:val="003A5347"/>
    <w:rsid w:val="003C016C"/>
    <w:rsid w:val="003E26BE"/>
    <w:rsid w:val="00416E2C"/>
    <w:rsid w:val="004218B7"/>
    <w:rsid w:val="004343E4"/>
    <w:rsid w:val="0043523D"/>
    <w:rsid w:val="004420D8"/>
    <w:rsid w:val="00446153"/>
    <w:rsid w:val="00456D77"/>
    <w:rsid w:val="00456E81"/>
    <w:rsid w:val="004727C0"/>
    <w:rsid w:val="00475163"/>
    <w:rsid w:val="0049722C"/>
    <w:rsid w:val="004B0D17"/>
    <w:rsid w:val="004B1B47"/>
    <w:rsid w:val="004B53E0"/>
    <w:rsid w:val="004E1209"/>
    <w:rsid w:val="00517D04"/>
    <w:rsid w:val="0052363D"/>
    <w:rsid w:val="00525DDA"/>
    <w:rsid w:val="00535A1C"/>
    <w:rsid w:val="00544D9F"/>
    <w:rsid w:val="005610EA"/>
    <w:rsid w:val="0056590D"/>
    <w:rsid w:val="005712D5"/>
    <w:rsid w:val="00574E42"/>
    <w:rsid w:val="005867D9"/>
    <w:rsid w:val="005A22A4"/>
    <w:rsid w:val="005B27F2"/>
    <w:rsid w:val="005B376E"/>
    <w:rsid w:val="005C7FB2"/>
    <w:rsid w:val="005E4FAE"/>
    <w:rsid w:val="005E7E3A"/>
    <w:rsid w:val="0060562F"/>
    <w:rsid w:val="006134ED"/>
    <w:rsid w:val="00614C48"/>
    <w:rsid w:val="00634FDB"/>
    <w:rsid w:val="00640BAE"/>
    <w:rsid w:val="00643FD4"/>
    <w:rsid w:val="00653958"/>
    <w:rsid w:val="0066108A"/>
    <w:rsid w:val="0066454E"/>
    <w:rsid w:val="00666B3E"/>
    <w:rsid w:val="00666E22"/>
    <w:rsid w:val="00670941"/>
    <w:rsid w:val="00684F0C"/>
    <w:rsid w:val="0068691D"/>
    <w:rsid w:val="00690053"/>
    <w:rsid w:val="00693087"/>
    <w:rsid w:val="006950F1"/>
    <w:rsid w:val="006967C5"/>
    <w:rsid w:val="006B01F7"/>
    <w:rsid w:val="006C254A"/>
    <w:rsid w:val="006E44D0"/>
    <w:rsid w:val="006E4F57"/>
    <w:rsid w:val="006E59D3"/>
    <w:rsid w:val="0070124A"/>
    <w:rsid w:val="0074223E"/>
    <w:rsid w:val="00747BBA"/>
    <w:rsid w:val="007577C5"/>
    <w:rsid w:val="00762C0A"/>
    <w:rsid w:val="00771B37"/>
    <w:rsid w:val="00783DF3"/>
    <w:rsid w:val="00792A5D"/>
    <w:rsid w:val="00797BEF"/>
    <w:rsid w:val="007C2990"/>
    <w:rsid w:val="007F5887"/>
    <w:rsid w:val="0080589A"/>
    <w:rsid w:val="008112FB"/>
    <w:rsid w:val="008236EF"/>
    <w:rsid w:val="00824E9D"/>
    <w:rsid w:val="0082633F"/>
    <w:rsid w:val="00841739"/>
    <w:rsid w:val="0084656E"/>
    <w:rsid w:val="0085145A"/>
    <w:rsid w:val="008536C0"/>
    <w:rsid w:val="0085674F"/>
    <w:rsid w:val="00884C94"/>
    <w:rsid w:val="00895AD7"/>
    <w:rsid w:val="008B1DB5"/>
    <w:rsid w:val="008C3C0A"/>
    <w:rsid w:val="008C45C0"/>
    <w:rsid w:val="008E0877"/>
    <w:rsid w:val="00900737"/>
    <w:rsid w:val="00954E6B"/>
    <w:rsid w:val="00993696"/>
    <w:rsid w:val="009A41C4"/>
    <w:rsid w:val="009A7FA5"/>
    <w:rsid w:val="009B4D74"/>
    <w:rsid w:val="009B6607"/>
    <w:rsid w:val="009C1C23"/>
    <w:rsid w:val="009C1CDC"/>
    <w:rsid w:val="009C6DE2"/>
    <w:rsid w:val="009D3A90"/>
    <w:rsid w:val="009D7865"/>
    <w:rsid w:val="009D7E8D"/>
    <w:rsid w:val="009E4C41"/>
    <w:rsid w:val="009E6040"/>
    <w:rsid w:val="009F758F"/>
    <w:rsid w:val="00A00E1C"/>
    <w:rsid w:val="00A04125"/>
    <w:rsid w:val="00A24BA1"/>
    <w:rsid w:val="00A26080"/>
    <w:rsid w:val="00A5088D"/>
    <w:rsid w:val="00A703E0"/>
    <w:rsid w:val="00A7128C"/>
    <w:rsid w:val="00A71CE2"/>
    <w:rsid w:val="00A802DC"/>
    <w:rsid w:val="00A81FBC"/>
    <w:rsid w:val="00A904A2"/>
    <w:rsid w:val="00A9755B"/>
    <w:rsid w:val="00AA1934"/>
    <w:rsid w:val="00AA6D22"/>
    <w:rsid w:val="00AB13AB"/>
    <w:rsid w:val="00B0458D"/>
    <w:rsid w:val="00B124CA"/>
    <w:rsid w:val="00B15913"/>
    <w:rsid w:val="00B23722"/>
    <w:rsid w:val="00B26326"/>
    <w:rsid w:val="00B34997"/>
    <w:rsid w:val="00B43B15"/>
    <w:rsid w:val="00B464B9"/>
    <w:rsid w:val="00B4712F"/>
    <w:rsid w:val="00B47564"/>
    <w:rsid w:val="00BA7CAA"/>
    <w:rsid w:val="00BD05C4"/>
    <w:rsid w:val="00BD729C"/>
    <w:rsid w:val="00BD7F7B"/>
    <w:rsid w:val="00BE66B3"/>
    <w:rsid w:val="00BE720D"/>
    <w:rsid w:val="00C0203B"/>
    <w:rsid w:val="00C04A4A"/>
    <w:rsid w:val="00C06CBE"/>
    <w:rsid w:val="00C363DE"/>
    <w:rsid w:val="00C57DEC"/>
    <w:rsid w:val="00C72826"/>
    <w:rsid w:val="00C832D6"/>
    <w:rsid w:val="00C92CE4"/>
    <w:rsid w:val="00CA2EBB"/>
    <w:rsid w:val="00CA6591"/>
    <w:rsid w:val="00CC129A"/>
    <w:rsid w:val="00CE265A"/>
    <w:rsid w:val="00CE41A8"/>
    <w:rsid w:val="00CF0E96"/>
    <w:rsid w:val="00D15592"/>
    <w:rsid w:val="00D22417"/>
    <w:rsid w:val="00D250C1"/>
    <w:rsid w:val="00D269A6"/>
    <w:rsid w:val="00D375EE"/>
    <w:rsid w:val="00D4185C"/>
    <w:rsid w:val="00D4648E"/>
    <w:rsid w:val="00D46F78"/>
    <w:rsid w:val="00D47407"/>
    <w:rsid w:val="00D766E2"/>
    <w:rsid w:val="00D876C3"/>
    <w:rsid w:val="00D952AC"/>
    <w:rsid w:val="00DC55FE"/>
    <w:rsid w:val="00DE0756"/>
    <w:rsid w:val="00DE5B76"/>
    <w:rsid w:val="00DE5E80"/>
    <w:rsid w:val="00DF2BF4"/>
    <w:rsid w:val="00DF2EED"/>
    <w:rsid w:val="00DF753E"/>
    <w:rsid w:val="00E30452"/>
    <w:rsid w:val="00E33987"/>
    <w:rsid w:val="00E36F3E"/>
    <w:rsid w:val="00E4530F"/>
    <w:rsid w:val="00E4611E"/>
    <w:rsid w:val="00E547A9"/>
    <w:rsid w:val="00E647F9"/>
    <w:rsid w:val="00E82A43"/>
    <w:rsid w:val="00E8350D"/>
    <w:rsid w:val="00E9675E"/>
    <w:rsid w:val="00EB0BD4"/>
    <w:rsid w:val="00EB1B92"/>
    <w:rsid w:val="00EC1E13"/>
    <w:rsid w:val="00EC2241"/>
    <w:rsid w:val="00EC23E9"/>
    <w:rsid w:val="00ED05E9"/>
    <w:rsid w:val="00ED4372"/>
    <w:rsid w:val="00EF44D0"/>
    <w:rsid w:val="00F01E94"/>
    <w:rsid w:val="00F113E2"/>
    <w:rsid w:val="00F21C56"/>
    <w:rsid w:val="00F41C2D"/>
    <w:rsid w:val="00F548D9"/>
    <w:rsid w:val="00F573A9"/>
    <w:rsid w:val="00F6215D"/>
    <w:rsid w:val="00F72661"/>
    <w:rsid w:val="00FA4E0A"/>
    <w:rsid w:val="00FB213D"/>
    <w:rsid w:val="00FB4882"/>
    <w:rsid w:val="00FB70E1"/>
    <w:rsid w:val="00FC092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A0BCE"/>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168"/>
    <w:pPr>
      <w:spacing w:after="200" w:line="276" w:lineRule="auto"/>
    </w:pPr>
    <w:rPr>
      <w:sz w:val="22"/>
      <w:szCs w:val="22"/>
      <w:lang w:val="es-CL"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168"/>
    <w:pPr>
      <w:ind w:left="720"/>
      <w:contextualSpacing/>
    </w:pPr>
  </w:style>
  <w:style w:type="paragraph" w:styleId="FootnoteText">
    <w:name w:val="footnote text"/>
    <w:aliases w:val="Texto nota pie Car Car,5_G,Footnote reference,FA Fu,Footnote Text Char Char Char Char Char,Footnote Text Char Char Char Char,Footnote Text Char Char Char,Texto nota pie Car Car Car Car,Footnote Text Cha,Ca,C,ft"/>
    <w:basedOn w:val="Normal"/>
    <w:link w:val="FootnoteTextChar"/>
    <w:uiPriority w:val="99"/>
    <w:unhideWhenUsed/>
    <w:qFormat/>
    <w:rsid w:val="002A2168"/>
    <w:pPr>
      <w:spacing w:after="0" w:line="240" w:lineRule="auto"/>
    </w:pPr>
    <w:rPr>
      <w:rFonts w:eastAsia="Times New Roman"/>
      <w:sz w:val="24"/>
      <w:szCs w:val="24"/>
      <w:lang w:eastAsia="es-ES"/>
    </w:rPr>
  </w:style>
  <w:style w:type="character" w:customStyle="1" w:styleId="FootnoteTextChar">
    <w:name w:val="Footnote Text Char"/>
    <w:aliases w:val="Texto nota pie Car Car Char,5_G Char,Footnote reference Char,FA Fu Char,Footnote Text Char Char Char Char Char Char,Footnote Text Char Char Char Char Char1,Footnote Text Char Char Char Char1,Texto nota pie Car Car Car Car Char,Ca Char"/>
    <w:link w:val="FootnoteText"/>
    <w:uiPriority w:val="99"/>
    <w:rsid w:val="002A2168"/>
    <w:rPr>
      <w:rFonts w:eastAsia="Times New Roman"/>
      <w:lang w:val="es-CL" w:eastAsia="es-ES"/>
    </w:rPr>
  </w:style>
  <w:style w:type="character" w:styleId="FootnoteReference">
    <w:name w:val="footnote reference"/>
    <w:aliases w:val="4_G,Texto de nota al pie,Appel note de bas de page,Footnotes refss,Footnote number,referencia nota al pie,BVI fnr,f,16 Point,Superscript 6 Point,Texto nota al pie,Footnote Reference Char3,Footnote Reference Char1 Char,Ref. de nota al"/>
    <w:uiPriority w:val="99"/>
    <w:unhideWhenUsed/>
    <w:qFormat/>
    <w:rsid w:val="002A2168"/>
    <w:rPr>
      <w:vertAlign w:val="superscript"/>
    </w:rPr>
  </w:style>
  <w:style w:type="character" w:styleId="Hyperlink">
    <w:name w:val="Hyperlink"/>
    <w:uiPriority w:val="99"/>
    <w:unhideWhenUsed/>
    <w:rsid w:val="002A2168"/>
    <w:rPr>
      <w:color w:val="0563C1"/>
      <w:u w:val="single"/>
    </w:rPr>
  </w:style>
  <w:style w:type="paragraph" w:customStyle="1" w:styleId="Default">
    <w:name w:val="Default"/>
    <w:rsid w:val="002A2168"/>
    <w:pPr>
      <w:autoSpaceDE w:val="0"/>
      <w:autoSpaceDN w:val="0"/>
      <w:adjustRightInd w:val="0"/>
    </w:pPr>
    <w:rPr>
      <w:rFonts w:ascii="Times New Roman" w:hAnsi="Times New Roman"/>
      <w:color w:val="000000"/>
      <w:sz w:val="24"/>
      <w:szCs w:val="24"/>
      <w:lang w:val="es-ES" w:eastAsia="es-ES"/>
    </w:rPr>
  </w:style>
  <w:style w:type="paragraph" w:customStyle="1" w:styleId="Prrafodelista1">
    <w:name w:val="Párrafo de lista1"/>
    <w:basedOn w:val="Normal"/>
    <w:qFormat/>
    <w:rsid w:val="002A2168"/>
    <w:pPr>
      <w:ind w:left="720"/>
      <w:contextualSpacing/>
    </w:pPr>
  </w:style>
  <w:style w:type="character" w:styleId="CommentReference">
    <w:name w:val="annotation reference"/>
    <w:uiPriority w:val="99"/>
    <w:semiHidden/>
    <w:unhideWhenUsed/>
    <w:rsid w:val="00B47564"/>
    <w:rPr>
      <w:sz w:val="18"/>
      <w:szCs w:val="18"/>
    </w:rPr>
  </w:style>
  <w:style w:type="paragraph" w:styleId="CommentText">
    <w:name w:val="annotation text"/>
    <w:basedOn w:val="Normal"/>
    <w:link w:val="CommentTextChar"/>
    <w:uiPriority w:val="99"/>
    <w:unhideWhenUsed/>
    <w:rsid w:val="00B47564"/>
    <w:pPr>
      <w:spacing w:line="240" w:lineRule="auto"/>
    </w:pPr>
    <w:rPr>
      <w:sz w:val="24"/>
      <w:szCs w:val="24"/>
    </w:rPr>
  </w:style>
  <w:style w:type="character" w:customStyle="1" w:styleId="CommentTextChar">
    <w:name w:val="Comment Text Char"/>
    <w:link w:val="CommentText"/>
    <w:uiPriority w:val="99"/>
    <w:rsid w:val="00B47564"/>
    <w:rPr>
      <w:lang w:val="es-CL"/>
    </w:rPr>
  </w:style>
  <w:style w:type="paragraph" w:styleId="CommentSubject">
    <w:name w:val="annotation subject"/>
    <w:basedOn w:val="CommentText"/>
    <w:next w:val="CommentText"/>
    <w:link w:val="CommentSubjectChar"/>
    <w:uiPriority w:val="99"/>
    <w:semiHidden/>
    <w:unhideWhenUsed/>
    <w:rsid w:val="00B47564"/>
    <w:rPr>
      <w:b/>
      <w:bCs/>
      <w:sz w:val="20"/>
      <w:szCs w:val="20"/>
    </w:rPr>
  </w:style>
  <w:style w:type="character" w:customStyle="1" w:styleId="CommentSubjectChar">
    <w:name w:val="Comment Subject Char"/>
    <w:link w:val="CommentSubject"/>
    <w:uiPriority w:val="99"/>
    <w:semiHidden/>
    <w:rsid w:val="00B47564"/>
    <w:rPr>
      <w:b/>
      <w:bCs/>
      <w:sz w:val="20"/>
      <w:szCs w:val="20"/>
      <w:lang w:val="es-CL"/>
    </w:rPr>
  </w:style>
  <w:style w:type="paragraph" w:styleId="BalloonText">
    <w:name w:val="Balloon Text"/>
    <w:basedOn w:val="Normal"/>
    <w:link w:val="BalloonTextChar"/>
    <w:uiPriority w:val="99"/>
    <w:semiHidden/>
    <w:unhideWhenUsed/>
    <w:rsid w:val="00B47564"/>
    <w:pPr>
      <w:spacing w:after="0" w:line="240" w:lineRule="auto"/>
    </w:pPr>
    <w:rPr>
      <w:rFonts w:ascii="Times New Roman" w:hAnsi="Times New Roman"/>
      <w:sz w:val="18"/>
      <w:szCs w:val="18"/>
    </w:rPr>
  </w:style>
  <w:style w:type="character" w:customStyle="1" w:styleId="BalloonTextChar">
    <w:name w:val="Balloon Text Char"/>
    <w:link w:val="BalloonText"/>
    <w:uiPriority w:val="99"/>
    <w:semiHidden/>
    <w:rsid w:val="00B47564"/>
    <w:rPr>
      <w:rFonts w:ascii="Times New Roman" w:hAnsi="Times New Roman" w:cs="Times New Roman"/>
      <w:sz w:val="18"/>
      <w:szCs w:val="18"/>
      <w:lang w:val="es-CL"/>
    </w:rPr>
  </w:style>
  <w:style w:type="character" w:styleId="Strong">
    <w:name w:val="Strong"/>
    <w:uiPriority w:val="22"/>
    <w:qFormat/>
    <w:rsid w:val="009B4D74"/>
    <w:rPr>
      <w:b/>
      <w:bCs/>
    </w:rPr>
  </w:style>
  <w:style w:type="paragraph" w:styleId="Header">
    <w:name w:val="header"/>
    <w:basedOn w:val="Normal"/>
    <w:link w:val="HeaderChar"/>
    <w:uiPriority w:val="99"/>
    <w:unhideWhenUsed/>
    <w:rsid w:val="00D46F78"/>
    <w:pPr>
      <w:tabs>
        <w:tab w:val="center" w:pos="4419"/>
        <w:tab w:val="right" w:pos="8838"/>
      </w:tabs>
      <w:spacing w:after="0" w:line="240" w:lineRule="auto"/>
    </w:pPr>
  </w:style>
  <w:style w:type="character" w:customStyle="1" w:styleId="HeaderChar">
    <w:name w:val="Header Char"/>
    <w:link w:val="Header"/>
    <w:uiPriority w:val="99"/>
    <w:rsid w:val="00D46F78"/>
    <w:rPr>
      <w:sz w:val="22"/>
      <w:szCs w:val="22"/>
      <w:lang w:val="es-CL"/>
    </w:rPr>
  </w:style>
  <w:style w:type="paragraph" w:styleId="Footer">
    <w:name w:val="footer"/>
    <w:basedOn w:val="Normal"/>
    <w:link w:val="FooterChar"/>
    <w:uiPriority w:val="99"/>
    <w:unhideWhenUsed/>
    <w:rsid w:val="00D46F78"/>
    <w:pPr>
      <w:tabs>
        <w:tab w:val="center" w:pos="4419"/>
        <w:tab w:val="right" w:pos="8838"/>
      </w:tabs>
      <w:spacing w:after="0" w:line="240" w:lineRule="auto"/>
    </w:pPr>
  </w:style>
  <w:style w:type="character" w:customStyle="1" w:styleId="FooterChar">
    <w:name w:val="Footer Char"/>
    <w:link w:val="Footer"/>
    <w:uiPriority w:val="99"/>
    <w:rsid w:val="00D46F78"/>
    <w:rPr>
      <w:sz w:val="22"/>
      <w:szCs w:val="22"/>
      <w:lang w:val="es-CL"/>
    </w:rPr>
  </w:style>
  <w:style w:type="character" w:styleId="PageNumber">
    <w:name w:val="page number"/>
    <w:basedOn w:val="DefaultParagraphFont"/>
    <w:uiPriority w:val="99"/>
    <w:semiHidden/>
    <w:unhideWhenUsed/>
    <w:rsid w:val="00D46F78"/>
  </w:style>
  <w:style w:type="character" w:styleId="FollowedHyperlink">
    <w:name w:val="FollowedHyperlink"/>
    <w:uiPriority w:val="99"/>
    <w:semiHidden/>
    <w:unhideWhenUsed/>
    <w:rsid w:val="00DC55FE"/>
    <w:rPr>
      <w:color w:val="954F72"/>
      <w:u w:val="single"/>
    </w:rPr>
  </w:style>
  <w:style w:type="table" w:styleId="TableGrid">
    <w:name w:val="Table Grid"/>
    <w:basedOn w:val="TableNormal"/>
    <w:uiPriority w:val="39"/>
    <w:rsid w:val="00D269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65133">
      <w:bodyDiv w:val="1"/>
      <w:marLeft w:val="0"/>
      <w:marRight w:val="0"/>
      <w:marTop w:val="0"/>
      <w:marBottom w:val="0"/>
      <w:divBdr>
        <w:top w:val="none" w:sz="0" w:space="0" w:color="auto"/>
        <w:left w:val="none" w:sz="0" w:space="0" w:color="auto"/>
        <w:bottom w:val="none" w:sz="0" w:space="0" w:color="auto"/>
        <w:right w:val="none" w:sz="0" w:space="0" w:color="auto"/>
      </w:divBdr>
    </w:div>
    <w:div w:id="140780987">
      <w:bodyDiv w:val="1"/>
      <w:marLeft w:val="0"/>
      <w:marRight w:val="0"/>
      <w:marTop w:val="0"/>
      <w:marBottom w:val="0"/>
      <w:divBdr>
        <w:top w:val="none" w:sz="0" w:space="0" w:color="auto"/>
        <w:left w:val="none" w:sz="0" w:space="0" w:color="auto"/>
        <w:bottom w:val="none" w:sz="0" w:space="0" w:color="auto"/>
        <w:right w:val="none" w:sz="0" w:space="0" w:color="auto"/>
      </w:divBdr>
    </w:div>
    <w:div w:id="823083010">
      <w:bodyDiv w:val="1"/>
      <w:marLeft w:val="0"/>
      <w:marRight w:val="0"/>
      <w:marTop w:val="0"/>
      <w:marBottom w:val="0"/>
      <w:divBdr>
        <w:top w:val="none" w:sz="0" w:space="0" w:color="auto"/>
        <w:left w:val="none" w:sz="0" w:space="0" w:color="auto"/>
        <w:bottom w:val="none" w:sz="0" w:space="0" w:color="auto"/>
        <w:right w:val="none" w:sz="0" w:space="0" w:color="auto"/>
      </w:divBdr>
    </w:div>
    <w:div w:id="1276055768">
      <w:bodyDiv w:val="1"/>
      <w:marLeft w:val="0"/>
      <w:marRight w:val="0"/>
      <w:marTop w:val="0"/>
      <w:marBottom w:val="0"/>
      <w:divBdr>
        <w:top w:val="none" w:sz="0" w:space="0" w:color="auto"/>
        <w:left w:val="none" w:sz="0" w:space="0" w:color="auto"/>
        <w:bottom w:val="none" w:sz="0" w:space="0" w:color="auto"/>
        <w:right w:val="none" w:sz="0" w:space="0" w:color="auto"/>
      </w:divBdr>
      <w:divsChild>
        <w:div w:id="214506788">
          <w:marLeft w:val="0"/>
          <w:marRight w:val="0"/>
          <w:marTop w:val="0"/>
          <w:marBottom w:val="0"/>
          <w:divBdr>
            <w:top w:val="none" w:sz="0" w:space="0" w:color="auto"/>
            <w:left w:val="none" w:sz="0" w:space="0" w:color="auto"/>
            <w:bottom w:val="none" w:sz="0" w:space="0" w:color="auto"/>
            <w:right w:val="none" w:sz="0" w:space="0" w:color="auto"/>
          </w:divBdr>
        </w:div>
        <w:div w:id="2009550191">
          <w:marLeft w:val="0"/>
          <w:marRight w:val="0"/>
          <w:marTop w:val="0"/>
          <w:marBottom w:val="0"/>
          <w:divBdr>
            <w:top w:val="none" w:sz="0" w:space="0" w:color="auto"/>
            <w:left w:val="none" w:sz="0" w:space="0" w:color="auto"/>
            <w:bottom w:val="none" w:sz="0" w:space="0" w:color="auto"/>
            <w:right w:val="none" w:sz="0" w:space="0" w:color="auto"/>
          </w:divBdr>
        </w:div>
      </w:divsChild>
    </w:div>
    <w:div w:id="1295796953">
      <w:bodyDiv w:val="1"/>
      <w:marLeft w:val="0"/>
      <w:marRight w:val="0"/>
      <w:marTop w:val="0"/>
      <w:marBottom w:val="0"/>
      <w:divBdr>
        <w:top w:val="none" w:sz="0" w:space="0" w:color="auto"/>
        <w:left w:val="none" w:sz="0" w:space="0" w:color="auto"/>
        <w:bottom w:val="none" w:sz="0" w:space="0" w:color="auto"/>
        <w:right w:val="none" w:sz="0" w:space="0" w:color="auto"/>
      </w:divBdr>
    </w:div>
    <w:div w:id="1541942065">
      <w:bodyDiv w:val="1"/>
      <w:marLeft w:val="0"/>
      <w:marRight w:val="0"/>
      <w:marTop w:val="0"/>
      <w:marBottom w:val="0"/>
      <w:divBdr>
        <w:top w:val="none" w:sz="0" w:space="0" w:color="auto"/>
        <w:left w:val="none" w:sz="0" w:space="0" w:color="auto"/>
        <w:bottom w:val="none" w:sz="0" w:space="0" w:color="auto"/>
        <w:right w:val="none" w:sz="0" w:space="0" w:color="auto"/>
      </w:divBdr>
    </w:div>
    <w:div w:id="21066070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eldesconcierto.cl/2018/04/23/soy-el-nazi-pa-que-te-acordi-carabineros-en-estacion-central-son-investigados-por-torturas-a-extranjeros-y-comerciantes/" TargetMode="External"/><Relationship Id="rId13" Type="http://schemas.openxmlformats.org/officeDocument/2006/relationships/hyperlink" Target="http://www.24horas.cl/nacional/carabinera-acusada-de-provocar-aborto-a-mujer-en-marcha-estudiantil-fue-formalizada-2633274" TargetMode="External"/><Relationship Id="rId18" Type="http://schemas.openxmlformats.org/officeDocument/2006/relationships/hyperlink" Target="http://deptoddhh.carabineros.cl/" TargetMode="External"/><Relationship Id="rId26" Type="http://schemas.openxmlformats.org/officeDocument/2006/relationships/hyperlink" Target="http://www.t13.cl/noticia/nacional/indh-presentara-recurso-amparo-actuar-carabineros-desalojo-del-instituto-nacional" TargetMode="External"/><Relationship Id="rId39" Type="http://schemas.openxmlformats.org/officeDocument/2006/relationships/hyperlink" Target="https://elpais.com/elpais/2017/08/24/planeta_futuro/1503582688_802126.html" TargetMode="External"/><Relationship Id="rId3" Type="http://schemas.openxmlformats.org/officeDocument/2006/relationships/hyperlink" Target="https://www.leychile.cl/Navegar?idNorma=1004655" TargetMode="External"/><Relationship Id="rId21" Type="http://schemas.openxmlformats.org/officeDocument/2006/relationships/hyperlink" Target="https://www.biobiochile.cl/noticias/nacional/region-metropolitana/2018/05/24/asi-fue-el-actuar-de-carabineros-tras-ingresar-al-instituto-nacional.shtml" TargetMode="External"/><Relationship Id="rId34" Type="http://schemas.openxmlformats.org/officeDocument/2006/relationships/hyperlink" Target="http://www.observadoresddhh.org/wp-content/uploads/2012/02/2015-03-31-Informe-DDHH-Malla-Malla.pdf" TargetMode="External"/><Relationship Id="rId42" Type="http://schemas.openxmlformats.org/officeDocument/2006/relationships/hyperlink" Target="http://www.acnur.org/fileadmin/Documentos/BDL/2001/1280.pdf" TargetMode="External"/><Relationship Id="rId47" Type="http://schemas.openxmlformats.org/officeDocument/2006/relationships/hyperlink" Target="http://www.24horas.cl/nacional/joven-denuncia-que-le-negaron-aborto-en-quilpue-no-se-imaginan-el-dolor-que-me-provocaron-2700360" TargetMode="External"/><Relationship Id="rId7" Type="http://schemas.openxmlformats.org/officeDocument/2006/relationships/hyperlink" Target="http://www.eldesconcierto.cl/2018/06/08/apoderada-denuncio-violenta-detencion-de-su-hija-de-12-anos-en-frontis-del-liceo-carmela-carvajal/" TargetMode="External"/><Relationship Id="rId12" Type="http://schemas.openxmlformats.org/officeDocument/2006/relationships/hyperlink" Target="http://www.cooperativa.cl/noticias/pais/educacion/movimiento-estudiantil/alumna-denuncio-abuso-policial-tras-marcha-nos-tocaron-como-si-fueramos-prostitutas/2011-09-26/132937.html" TargetMode="External"/><Relationship Id="rId17" Type="http://schemas.openxmlformats.org/officeDocument/2006/relationships/hyperlink" Target="http://www.carabineros.cl/transparencia/og/OG2393_29022016.pdf" TargetMode="External"/><Relationship Id="rId25" Type="http://schemas.openxmlformats.org/officeDocument/2006/relationships/hyperlink" Target="http://www.emol.com/noticias/Nacional/2016/10/02/824609/Defensoria-Penal-Publica-advierte-uso-excesivo-de-la-prision-preventiva-en-menores-de-edad.html" TargetMode="External"/><Relationship Id="rId33" Type="http://schemas.openxmlformats.org/officeDocument/2006/relationships/hyperlink" Target="http://www.observadoresddhh.org/wp-content/uploads/2012/02/Informe-Tirua-Ercilla-Mayo-2018.pdf" TargetMode="External"/><Relationship Id="rId38" Type="http://schemas.openxmlformats.org/officeDocument/2006/relationships/hyperlink" Target="http://ovochile.cl/testimonios/" TargetMode="External"/><Relationship Id="rId46" Type="http://schemas.openxmlformats.org/officeDocument/2006/relationships/hyperlink" Target="http://www.eldesconcierto.cl/2018/04/27/video-no-quiero-que-esto-le-pase-a-nadie-el-crudo-relato-de-joven-a-la-que-le-negaron-aborto-por-inviabilidad-fetal/" TargetMode="External"/><Relationship Id="rId2" Type="http://schemas.openxmlformats.org/officeDocument/2006/relationships/hyperlink" Target="http://deptoddhh.carabineros.cl/assets/protocolos_mantenimiento_del_orden_publico.pdf" TargetMode="External"/><Relationship Id="rId16" Type="http://schemas.openxmlformats.org/officeDocument/2006/relationships/hyperlink" Target="http://www.eldesconcierto.cl/2014/05/16/abusos-policiales-en-mujeres-una-nueva-expresion-de-violencia-de-genero-y-politica/" TargetMode="External"/><Relationship Id="rId20" Type="http://schemas.openxmlformats.org/officeDocument/2006/relationships/hyperlink" Target="http://www.primeralineaprensa.cl/?p=931" TargetMode="External"/><Relationship Id="rId29" Type="http://schemas.openxmlformats.org/officeDocument/2006/relationships/hyperlink" Target="https://www.cooperativa.cl/noticias/pais/manifestaciones/gendarmes-se-manifestaran-en-todas-las-carceles-del-pais-este-martes/2018-04-23/212839.html" TargetMode="External"/><Relationship Id="rId41" Type="http://schemas.openxmlformats.org/officeDocument/2006/relationships/hyperlink" Target="http://www.paula.cl/reportajes-y-entrevistas/el-reclamo-de-la-mujeres/" TargetMode="External"/><Relationship Id="rId1" Type="http://schemas.openxmlformats.org/officeDocument/2006/relationships/hyperlink" Target="http://www.acnur.org/fileadmin/Documentos/BDL/2010/7856.pdf?view=1" TargetMode="External"/><Relationship Id="rId6" Type="http://schemas.openxmlformats.org/officeDocument/2006/relationships/hyperlink" Target="http://www.cooperativa.cl/estudiantes-denunciaron-tocaciones-indebidas-de-la-policia-tras-detenciones-en-unicef/prontus_nots/2011-07-25/213458.html" TargetMode="External"/><Relationship Id="rId11" Type="http://schemas.openxmlformats.org/officeDocument/2006/relationships/hyperlink" Target="https://www.elciudadano.cl/justicia/denuncian-que-universitaria-fue-golpeada-y-vejada-por-carabineros-tras-intervenir-en-violenta-detencion/11/24/" TargetMode="External"/><Relationship Id="rId24" Type="http://schemas.openxmlformats.org/officeDocument/2006/relationships/hyperlink" Target="http://www.gendarmeria.gob.cl/estadisticas_pobpenal.jsp" TargetMode="External"/><Relationship Id="rId32" Type="http://schemas.openxmlformats.org/officeDocument/2006/relationships/hyperlink" Target="https://www.ohchr.org/SP/ProfessionalInterest/Pages/UseOfForceAndFirearms.aspx" TargetMode="External"/><Relationship Id="rId37" Type="http://schemas.openxmlformats.org/officeDocument/2006/relationships/hyperlink" Target="http://www.theclinic.cl/2017/02/05/parir-tras-las-rejas-cuando-jennyfer-perdio-hija-esperanza/" TargetMode="External"/><Relationship Id="rId40" Type="http://schemas.openxmlformats.org/officeDocument/2006/relationships/hyperlink" Target="http://www.eldesconcierto.cl/2016/12/19/violencia-obstetrica-el-curriculum-oculto-que-legitima-practicas-indebidas-en-la-formacion-universitaria/" TargetMode="External"/><Relationship Id="rId45" Type="http://schemas.openxmlformats.org/officeDocument/2006/relationships/hyperlink" Target="http://www.latercera.com/nacional/noticia/aborto-muerte-madre-abre-debate-aplicacion-ley/138707/" TargetMode="External"/><Relationship Id="rId5" Type="http://schemas.openxmlformats.org/officeDocument/2006/relationships/hyperlink" Target="https://www.youtube.com/watch?v=9ODF-ZT9AbY" TargetMode="External"/><Relationship Id="rId15" Type="http://schemas.openxmlformats.org/officeDocument/2006/relationships/hyperlink" Target="http://www.laizquierdadiario.com/Represion-y-violencia-politico-sexual-Lo-que-sucede-en-el-gobierno-de-Pinera" TargetMode="External"/><Relationship Id="rId23" Type="http://schemas.openxmlformats.org/officeDocument/2006/relationships/hyperlink" Target="http://www.carabineros.cl/transparencia/Resoluciones/Decreto2534_24072013.pdf" TargetMode="External"/><Relationship Id="rId28" Type="http://schemas.openxmlformats.org/officeDocument/2006/relationships/hyperlink" Target="https://www.cooperativa.cl/noticias/site/artic/20180219/asocfile/20180219123321/informe_fiscalia_carceles.pdf" TargetMode="External"/><Relationship Id="rId36" Type="http://schemas.openxmlformats.org/officeDocument/2006/relationships/hyperlink" Target="http://www.pjud.cl/documents/396729/0/AMPARO+LORENZA+CAYUHAN.pdf/b4c0a036-ee59-419b-8b42-f04ae12531c6" TargetMode="External"/><Relationship Id="rId10" Type="http://schemas.openxmlformats.org/officeDocument/2006/relationships/hyperlink" Target="http://www.elmostrador.cl/braga/2017/06/08/vocera-de-ni-una-menos-chile-anuncia-acciones-legales-por-represion-desmedida-senti-terror-asegura/" TargetMode="External"/><Relationship Id="rId19" Type="http://schemas.openxmlformats.org/officeDocument/2006/relationships/hyperlink" Target="http://www.observadoresddhh.org/wp-content/uploads/2012/02/2018-04-05-informe-de-observaci%C3%B3n.pdf" TargetMode="External"/><Relationship Id="rId31" Type="http://schemas.openxmlformats.org/officeDocument/2006/relationships/hyperlink" Target="http://deptoddhh.carabineros.cl/assets/circular_digcar_1756_13032013_usodelafuerza.pdf" TargetMode="External"/><Relationship Id="rId44" Type="http://schemas.openxmlformats.org/officeDocument/2006/relationships/hyperlink" Target="http://www.latercera.com/nacional/noticia/fiscalia-indaga-muerte-madre-presunto-aborto-tardio/137523/" TargetMode="External"/><Relationship Id="rId4" Type="http://schemas.openxmlformats.org/officeDocument/2006/relationships/hyperlink" Target="http://www.cels.org.ar/protestasocial_AL/" TargetMode="External"/><Relationship Id="rId9" Type="http://schemas.openxmlformats.org/officeDocument/2006/relationships/hyperlink" Target="http://piensachile.com/2016/06/estudiante-liceo-ninas-concepcion-torturada-carabineros/" TargetMode="External"/><Relationship Id="rId14" Type="http://schemas.openxmlformats.org/officeDocument/2006/relationships/hyperlink" Target="http://www.diarioeldia.cl/policial/mujer-victima-violacion-por-parte-excarabinero-cuenta-su-crudo-relato" TargetMode="External"/><Relationship Id="rId22" Type="http://schemas.openxmlformats.org/officeDocument/2006/relationships/hyperlink" Target="http://www.carabineros.cl/transparencia/transparencia2009/_15Reglamento.pdf" TargetMode="External"/><Relationship Id="rId27" Type="http://schemas.openxmlformats.org/officeDocument/2006/relationships/hyperlink" Target="http://www.ohchr.org/SP/NewsEvents/Pages/DisplayNews.aspx?NewsID=16542&amp;LangID=S" TargetMode="External"/><Relationship Id="rId30" Type="http://schemas.openxmlformats.org/officeDocument/2006/relationships/hyperlink" Target="http://www.observadoresddhh.org/wp-content/uploads/2012/02/Informe-Tirua-Ercilla-Mayo-2018.pdf" TargetMode="External"/><Relationship Id="rId35" Type="http://schemas.openxmlformats.org/officeDocument/2006/relationships/hyperlink" Target="http://www.humanas.cl/?p=16682" TargetMode="External"/><Relationship Id="rId43" Type="http://schemas.openxmlformats.org/officeDocument/2006/relationships/hyperlink" Target="http://www.eldesconcierto.cl/2018/04/18/la-historia-de-estefania-cabello-la-mujer-que-murio-tras-aborto-y-que-pone-en-alerta-aplicacion-de-las-3-causa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GostTitle.XSL" StyleName="GOST - Title So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BE3264-ED61-45B6-B2C1-404F22FCA213}"/>
</file>

<file path=customXml/itemProps2.xml><?xml version="1.0" encoding="utf-8"?>
<ds:datastoreItem xmlns:ds="http://schemas.openxmlformats.org/officeDocument/2006/customXml" ds:itemID="{B97D9D5F-419D-4AF7-9D1D-7B6AA5895A11}"/>
</file>

<file path=customXml/itemProps3.xml><?xml version="1.0" encoding="utf-8"?>
<ds:datastoreItem xmlns:ds="http://schemas.openxmlformats.org/officeDocument/2006/customXml" ds:itemID="{8796D7C6-61E1-4ED8-B545-75867389B64D}"/>
</file>

<file path=customXml/itemProps4.xml><?xml version="1.0" encoding="utf-8"?>
<ds:datastoreItem xmlns:ds="http://schemas.openxmlformats.org/officeDocument/2006/customXml" ds:itemID="{7AC0DC72-7573-41D1-8C64-A232AB9AB6FC}"/>
</file>

<file path=docProps/app.xml><?xml version="1.0" encoding="utf-8"?>
<Properties xmlns="http://schemas.openxmlformats.org/officeDocument/2006/extended-properties" xmlns:vt="http://schemas.openxmlformats.org/officeDocument/2006/docPropsVTypes">
  <Template>Normal.dotm</Template>
  <TotalTime>0</TotalTime>
  <Pages>4</Pages>
  <Words>18681</Words>
  <Characters>106484</Characters>
  <Application>Microsoft Office Word</Application>
  <DocSecurity>4</DocSecurity>
  <Lines>887</Lines>
  <Paragraphs>249</Paragraphs>
  <ScaleCrop>false</ScaleCrop>
  <HeadingPairs>
    <vt:vector size="2" baseType="variant">
      <vt:variant>
        <vt:lpstr>Título</vt:lpstr>
      </vt:variant>
      <vt:variant>
        <vt:i4>1</vt:i4>
      </vt:variant>
    </vt:vector>
  </HeadingPairs>
  <TitlesOfParts>
    <vt:vector size="1" baseType="lpstr">
      <vt:lpstr/>
    </vt:vector>
  </TitlesOfParts>
  <Company>Corporación Humanas</Company>
  <LinksUpToDate>false</LinksUpToDate>
  <CharactersWithSpaces>124916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Javier Leoz Invernón</cp:lastModifiedBy>
  <cp:revision>2</cp:revision>
  <dcterms:created xsi:type="dcterms:W3CDTF">2018-07-02T08:11:00Z</dcterms:created>
  <dcterms:modified xsi:type="dcterms:W3CDTF">2018-07-02T08:11:00Z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